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79" w:rsidRDefault="00321079" w:rsidP="006E747D">
      <w:pPr>
        <w:pBdr>
          <w:top w:val="nil"/>
          <w:left w:val="nil"/>
          <w:bottom w:val="nil"/>
          <w:right w:val="nil"/>
          <w:between w:val="nil"/>
        </w:pBdr>
        <w:spacing w:after="0" w:line="360" w:lineRule="auto"/>
        <w:jc w:val="both"/>
        <w:rPr>
          <w:rFonts w:ascii="Century Gothic" w:eastAsia="Century Gothic" w:hAnsi="Century Gothic" w:cs="Century Gothic"/>
          <w:b/>
          <w:color w:val="000000"/>
          <w:sz w:val="28"/>
          <w:szCs w:val="28"/>
        </w:rPr>
      </w:pPr>
    </w:p>
    <w:p w:rsidR="00321079" w:rsidRDefault="00321079" w:rsidP="006E747D">
      <w:pPr>
        <w:pBdr>
          <w:top w:val="nil"/>
          <w:left w:val="nil"/>
          <w:bottom w:val="nil"/>
          <w:right w:val="nil"/>
          <w:between w:val="nil"/>
        </w:pBdr>
        <w:spacing w:after="0" w:line="360" w:lineRule="auto"/>
        <w:jc w:val="both"/>
        <w:rPr>
          <w:rFonts w:ascii="Century Gothic" w:eastAsia="Century Gothic" w:hAnsi="Century Gothic" w:cs="Century Gothic"/>
          <w:b/>
          <w:color w:val="000000"/>
          <w:sz w:val="28"/>
          <w:szCs w:val="28"/>
        </w:rPr>
      </w:pPr>
    </w:p>
    <w:p w:rsidR="006E747D" w:rsidRDefault="006E747D" w:rsidP="006E747D">
      <w:pPr>
        <w:pBdr>
          <w:top w:val="nil"/>
          <w:left w:val="nil"/>
          <w:bottom w:val="nil"/>
          <w:right w:val="nil"/>
          <w:between w:val="nil"/>
        </w:pBdr>
        <w:spacing w:after="0" w:line="360" w:lineRule="auto"/>
        <w:jc w:val="both"/>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H. CONGRESO DEL ESTADO DE CHIHUAHUA</w:t>
      </w:r>
    </w:p>
    <w:p w:rsidR="006E747D" w:rsidRDefault="006E747D" w:rsidP="006E747D">
      <w:pPr>
        <w:pBdr>
          <w:top w:val="nil"/>
          <w:left w:val="nil"/>
          <w:bottom w:val="nil"/>
          <w:right w:val="nil"/>
          <w:between w:val="nil"/>
        </w:pBdr>
        <w:spacing w:after="0" w:line="360" w:lineRule="auto"/>
        <w:jc w:val="both"/>
        <w:rPr>
          <w:rFonts w:ascii="Century Gothic" w:eastAsia="Century Gothic" w:hAnsi="Century Gothic" w:cs="Century Gothic"/>
          <w:b/>
          <w:color w:val="000000"/>
          <w:sz w:val="28"/>
          <w:szCs w:val="28"/>
        </w:rPr>
      </w:pPr>
      <w:r>
        <w:rPr>
          <w:rFonts w:ascii="Century Gothic" w:eastAsia="Century Gothic" w:hAnsi="Century Gothic" w:cs="Century Gothic"/>
          <w:b/>
          <w:color w:val="000000"/>
          <w:sz w:val="28"/>
          <w:szCs w:val="28"/>
        </w:rPr>
        <w:t>PRESENTE.</w:t>
      </w:r>
    </w:p>
    <w:p w:rsidR="006E747D" w:rsidRDefault="006E747D" w:rsidP="006E747D">
      <w:pPr>
        <w:pBdr>
          <w:top w:val="nil"/>
          <w:left w:val="nil"/>
          <w:bottom w:val="nil"/>
          <w:right w:val="nil"/>
          <w:between w:val="nil"/>
        </w:pBdr>
        <w:spacing w:after="0" w:line="360" w:lineRule="auto"/>
        <w:jc w:val="both"/>
        <w:rPr>
          <w:rFonts w:ascii="Century Gothic" w:eastAsia="Century Gothic" w:hAnsi="Century Gothic" w:cs="Century Gothic"/>
          <w:b/>
          <w:sz w:val="28"/>
          <w:szCs w:val="28"/>
        </w:rPr>
      </w:pPr>
    </w:p>
    <w:p w:rsidR="006E747D" w:rsidRDefault="00785FB1" w:rsidP="006E747D">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r w:rsidRPr="00785FB1">
        <w:rPr>
          <w:rFonts w:ascii="Century Gothic" w:eastAsia="Times New Roman" w:hAnsi="Century Gothic"/>
          <w:bCs/>
          <w:color w:val="000000"/>
          <w:sz w:val="28"/>
          <w:szCs w:val="28"/>
        </w:rPr>
        <w:t xml:space="preserve">Quienes suscriben, la de la voz, Diputada Rosana Díaz Reyes y los integrantes del Grupo Parlamentario de MORENA que signan la presente, en nuestro carácter de Diputados de la Sexagésima Séptima Legislatura, con fundamento en lo dispuesto por la fracción I del artículo 68 de la Constitución Política del Estado y </w:t>
      </w:r>
      <w:r w:rsidRPr="00785FB1">
        <w:rPr>
          <w:rFonts w:ascii="Century Gothic" w:hAnsi="Century Gothic"/>
          <w:color w:val="000000"/>
          <w:sz w:val="28"/>
          <w:szCs w:val="28"/>
        </w:rPr>
        <w:t>los artículos 167 fracción I, 167 y 168 de la Ley Orgánica del Poder Legislativo, es que</w:t>
      </w:r>
      <w:r w:rsidRPr="00785FB1">
        <w:rPr>
          <w:rFonts w:ascii="Century Gothic" w:eastAsia="Times New Roman" w:hAnsi="Century Gothic"/>
          <w:bCs/>
          <w:color w:val="000000"/>
          <w:sz w:val="28"/>
          <w:szCs w:val="28"/>
        </w:rPr>
        <w:t xml:space="preserve"> me permito someter a la consideración de esta Soberanía</w:t>
      </w:r>
      <w:r w:rsidR="006E747D">
        <w:rPr>
          <w:rFonts w:ascii="Century Gothic" w:eastAsia="Century Gothic" w:hAnsi="Century Gothic" w:cs="Century Gothic"/>
          <w:color w:val="000000"/>
          <w:sz w:val="28"/>
          <w:szCs w:val="28"/>
        </w:rPr>
        <w:t xml:space="preserve">, la presente iniciativa con carácter de </w:t>
      </w:r>
      <w:r w:rsidR="00DE0724" w:rsidRPr="00DE0724">
        <w:rPr>
          <w:rFonts w:ascii="Century Gothic" w:eastAsia="Century Gothic" w:hAnsi="Century Gothic" w:cs="Century Gothic"/>
          <w:b/>
          <w:color w:val="000000"/>
          <w:sz w:val="28"/>
          <w:szCs w:val="28"/>
        </w:rPr>
        <w:t>DECRETO</w:t>
      </w:r>
      <w:r w:rsidR="006E747D">
        <w:rPr>
          <w:rFonts w:ascii="Century Gothic" w:eastAsia="Century Gothic" w:hAnsi="Century Gothic" w:cs="Century Gothic"/>
          <w:color w:val="000000"/>
          <w:sz w:val="28"/>
          <w:szCs w:val="28"/>
        </w:rPr>
        <w:t xml:space="preserve">, </w:t>
      </w:r>
      <w:r w:rsidR="00F67796">
        <w:rPr>
          <w:rFonts w:ascii="Century Gothic" w:eastAsia="Century Gothic" w:hAnsi="Century Gothic" w:cs="Century Gothic"/>
          <w:color w:val="000000"/>
          <w:sz w:val="28"/>
          <w:szCs w:val="28"/>
        </w:rPr>
        <w:t xml:space="preserve">a fin de derogar la fracción I </w:t>
      </w:r>
      <w:r w:rsidR="00024EFB">
        <w:rPr>
          <w:rFonts w:ascii="Century Gothic" w:eastAsia="Century Gothic" w:hAnsi="Century Gothic" w:cs="Century Gothic"/>
          <w:color w:val="000000"/>
          <w:sz w:val="28"/>
          <w:szCs w:val="28"/>
        </w:rPr>
        <w:t xml:space="preserve"> </w:t>
      </w:r>
      <w:r w:rsidR="00F67796">
        <w:rPr>
          <w:rFonts w:ascii="Century Gothic" w:eastAsia="Century Gothic" w:hAnsi="Century Gothic" w:cs="Century Gothic"/>
          <w:color w:val="000000"/>
          <w:sz w:val="28"/>
          <w:szCs w:val="28"/>
        </w:rPr>
        <w:t>d</w:t>
      </w:r>
      <w:r w:rsidR="003125DE">
        <w:rPr>
          <w:rFonts w:ascii="Century Gothic" w:eastAsia="Century Gothic" w:hAnsi="Century Gothic" w:cs="Century Gothic"/>
          <w:color w:val="000000"/>
          <w:sz w:val="28"/>
          <w:szCs w:val="28"/>
        </w:rPr>
        <w:t>el artículo 297 del Código Civil</w:t>
      </w:r>
      <w:r w:rsidR="00024EFB">
        <w:rPr>
          <w:rFonts w:ascii="Century Gothic" w:eastAsia="Century Gothic" w:hAnsi="Century Gothic" w:cs="Century Gothic"/>
          <w:color w:val="000000"/>
          <w:sz w:val="28"/>
          <w:szCs w:val="28"/>
        </w:rPr>
        <w:t xml:space="preserve"> del Estado de Chihuahua en materia de </w:t>
      </w:r>
      <w:r w:rsidR="003125DE">
        <w:rPr>
          <w:rFonts w:ascii="Century Gothic" w:eastAsia="Century Gothic" w:hAnsi="Century Gothic" w:cs="Century Gothic"/>
          <w:color w:val="000000"/>
          <w:sz w:val="28"/>
          <w:szCs w:val="28"/>
        </w:rPr>
        <w:t>alimentos</w:t>
      </w:r>
      <w:r w:rsidR="00024EFB">
        <w:rPr>
          <w:rFonts w:ascii="Century Gothic" w:eastAsia="Century Gothic" w:hAnsi="Century Gothic" w:cs="Century Gothic"/>
          <w:color w:val="000000"/>
          <w:sz w:val="28"/>
          <w:szCs w:val="28"/>
        </w:rPr>
        <w:t>, al tenor de la siguiente</w:t>
      </w:r>
      <w:r w:rsidR="006E747D">
        <w:rPr>
          <w:rFonts w:ascii="Century Gothic" w:eastAsia="Century Gothic" w:hAnsi="Century Gothic" w:cs="Century Gothic"/>
          <w:color w:val="000000"/>
          <w:sz w:val="28"/>
          <w:szCs w:val="28"/>
        </w:rPr>
        <w:t>:</w:t>
      </w:r>
    </w:p>
    <w:p w:rsidR="006E747D" w:rsidRDefault="006E747D" w:rsidP="006E747D">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p>
    <w:p w:rsidR="00024EFB" w:rsidRDefault="00024EFB" w:rsidP="006E747D">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p>
    <w:p w:rsidR="00024EFB" w:rsidRDefault="00024EFB" w:rsidP="00024EFB">
      <w:pPr>
        <w:pBdr>
          <w:top w:val="nil"/>
          <w:left w:val="nil"/>
          <w:bottom w:val="nil"/>
          <w:right w:val="nil"/>
          <w:between w:val="nil"/>
        </w:pBdr>
        <w:spacing w:after="0" w:line="360" w:lineRule="auto"/>
        <w:jc w:val="center"/>
        <w:rPr>
          <w:rFonts w:ascii="Century Gothic" w:eastAsia="Century Gothic" w:hAnsi="Century Gothic" w:cs="Century Gothic"/>
          <w:b/>
          <w:color w:val="000000"/>
          <w:sz w:val="28"/>
          <w:szCs w:val="28"/>
        </w:rPr>
      </w:pPr>
      <w:r w:rsidRPr="00024EFB">
        <w:rPr>
          <w:rFonts w:ascii="Century Gothic" w:eastAsia="Century Gothic" w:hAnsi="Century Gothic" w:cs="Century Gothic"/>
          <w:b/>
          <w:color w:val="000000"/>
          <w:sz w:val="28"/>
          <w:szCs w:val="28"/>
        </w:rPr>
        <w:t>EXPOSICIÓN DE MOTIV</w:t>
      </w:r>
      <w:bookmarkStart w:id="0" w:name="_GoBack"/>
      <w:bookmarkEnd w:id="0"/>
      <w:r w:rsidRPr="00024EFB">
        <w:rPr>
          <w:rFonts w:ascii="Century Gothic" w:eastAsia="Century Gothic" w:hAnsi="Century Gothic" w:cs="Century Gothic"/>
          <w:b/>
          <w:color w:val="000000"/>
          <w:sz w:val="28"/>
          <w:szCs w:val="28"/>
        </w:rPr>
        <w:t>OS</w:t>
      </w:r>
    </w:p>
    <w:p w:rsidR="006432EC" w:rsidRDefault="006432EC" w:rsidP="00024EFB">
      <w:pPr>
        <w:pBdr>
          <w:top w:val="nil"/>
          <w:left w:val="nil"/>
          <w:bottom w:val="nil"/>
          <w:right w:val="nil"/>
          <w:between w:val="nil"/>
        </w:pBdr>
        <w:spacing w:after="0" w:line="360" w:lineRule="auto"/>
        <w:jc w:val="center"/>
        <w:rPr>
          <w:rFonts w:ascii="Century Gothic" w:eastAsia="Century Gothic" w:hAnsi="Century Gothic" w:cs="Century Gothic"/>
          <w:b/>
          <w:color w:val="000000"/>
          <w:sz w:val="28"/>
          <w:szCs w:val="28"/>
        </w:rPr>
      </w:pPr>
    </w:p>
    <w:p w:rsidR="003125DE" w:rsidRDefault="00321079" w:rsidP="006432EC">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 xml:space="preserve">Como se declara en nuestra carta magna en su artículo 4°, </w:t>
      </w:r>
      <w:r w:rsidR="003125DE" w:rsidRPr="006432EC">
        <w:rPr>
          <w:rFonts w:ascii="Century Gothic" w:hAnsi="Century Gothic"/>
          <w:sz w:val="28"/>
          <w:szCs w:val="28"/>
        </w:rPr>
        <w:t xml:space="preserve">“En todas las decisiones y actuaciones del Estado se velará y cumplirá con el principio del interés superior de la niñez, garantizando de manera plena sus derechos. Los niños y las niñas tienen derecho a la satisfacción de sus necesidades de </w:t>
      </w:r>
      <w:r w:rsidR="003125DE" w:rsidRPr="006432EC">
        <w:rPr>
          <w:rFonts w:ascii="Century Gothic" w:hAnsi="Century Gothic"/>
          <w:b/>
          <w:sz w:val="28"/>
          <w:szCs w:val="28"/>
        </w:rPr>
        <w:t>alimentación</w:t>
      </w:r>
      <w:r w:rsidR="003125DE" w:rsidRPr="006432EC">
        <w:rPr>
          <w:rFonts w:ascii="Century Gothic" w:hAnsi="Century Gothic"/>
          <w:sz w:val="28"/>
          <w:szCs w:val="28"/>
        </w:rPr>
        <w:t xml:space="preserve">, salud, </w:t>
      </w:r>
      <w:r w:rsidR="003125DE" w:rsidRPr="006432EC">
        <w:rPr>
          <w:rFonts w:ascii="Century Gothic" w:hAnsi="Century Gothic"/>
          <w:sz w:val="28"/>
          <w:szCs w:val="28"/>
        </w:rPr>
        <w:lastRenderedPageBreak/>
        <w:t>educación y sano esparcimiento para su desarrollo integral. Este principio deberá guiar el diseño, ejecución, seguimiento y evaluación de las políticas públicas dirigidas a la niñez”.</w:t>
      </w:r>
      <w:r>
        <w:rPr>
          <w:rStyle w:val="Refdenotaalpie"/>
          <w:rFonts w:ascii="Century Gothic" w:hAnsi="Century Gothic"/>
          <w:sz w:val="28"/>
          <w:szCs w:val="28"/>
        </w:rPr>
        <w:footnoteReference w:id="1"/>
      </w:r>
    </w:p>
    <w:p w:rsidR="00321079" w:rsidRDefault="00321079" w:rsidP="006432EC">
      <w:pPr>
        <w:pBdr>
          <w:top w:val="nil"/>
          <w:left w:val="nil"/>
          <w:bottom w:val="nil"/>
          <w:right w:val="nil"/>
          <w:between w:val="nil"/>
        </w:pBdr>
        <w:spacing w:after="0" w:line="360" w:lineRule="auto"/>
        <w:jc w:val="both"/>
        <w:rPr>
          <w:rFonts w:ascii="Century Gothic" w:hAnsi="Century Gothic"/>
          <w:sz w:val="28"/>
          <w:szCs w:val="28"/>
        </w:rPr>
      </w:pPr>
    </w:p>
    <w:p w:rsidR="00321079" w:rsidRDefault="00321079" w:rsidP="00321079">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Con base al interés superior de la niñez, ambos padres tienen la obligación de cubrir las necesidades físicas y elementales de estos, haciendo lo necesario y suficiente para proveer de alimentos, a sus menores hijos.</w:t>
      </w:r>
    </w:p>
    <w:p w:rsidR="006432EC" w:rsidRDefault="006432EC" w:rsidP="006432EC">
      <w:pPr>
        <w:pBdr>
          <w:top w:val="nil"/>
          <w:left w:val="nil"/>
          <w:bottom w:val="nil"/>
          <w:right w:val="nil"/>
          <w:between w:val="nil"/>
        </w:pBdr>
        <w:spacing w:after="0" w:line="360" w:lineRule="auto"/>
        <w:jc w:val="both"/>
        <w:rPr>
          <w:rFonts w:ascii="Century Gothic" w:hAnsi="Century Gothic"/>
          <w:sz w:val="28"/>
          <w:szCs w:val="28"/>
        </w:rPr>
      </w:pPr>
    </w:p>
    <w:p w:rsidR="00AC5109" w:rsidRDefault="006432EC" w:rsidP="006432EC">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 xml:space="preserve">Ambos padres tienen que buscar los medios necesarios para cumplir con su obligación alimenticia para con sus menores hijos, </w:t>
      </w:r>
      <w:r w:rsidR="00AC5109">
        <w:rPr>
          <w:rFonts w:ascii="Century Gothic" w:hAnsi="Century Gothic"/>
          <w:sz w:val="28"/>
          <w:szCs w:val="28"/>
        </w:rPr>
        <w:t xml:space="preserve">en el </w:t>
      </w:r>
      <w:r w:rsidR="00F67796">
        <w:rPr>
          <w:rFonts w:ascii="Century Gothic" w:hAnsi="Century Gothic"/>
          <w:sz w:val="28"/>
          <w:szCs w:val="28"/>
        </w:rPr>
        <w:t>artículo</w:t>
      </w:r>
      <w:r w:rsidR="00AC5109">
        <w:rPr>
          <w:rFonts w:ascii="Century Gothic" w:hAnsi="Century Gothic"/>
          <w:sz w:val="28"/>
          <w:szCs w:val="28"/>
        </w:rPr>
        <w:t xml:space="preserve"> 297 fracción primera de nuestro Código Civil, nos menciona que si el deudor alimentario carece de medios para cumplir  con su obligación,  esta cesará, lo cual deja abierta la posibilidad de que el obligado alimentario encuentre los medios </w:t>
      </w:r>
      <w:r w:rsidR="002D3778">
        <w:rPr>
          <w:rFonts w:ascii="Century Gothic" w:hAnsi="Century Gothic"/>
          <w:sz w:val="28"/>
          <w:szCs w:val="28"/>
        </w:rPr>
        <w:t xml:space="preserve">simulados </w:t>
      </w:r>
      <w:r w:rsidR="00AC5109">
        <w:rPr>
          <w:rFonts w:ascii="Century Gothic" w:hAnsi="Century Gothic"/>
          <w:sz w:val="28"/>
          <w:szCs w:val="28"/>
        </w:rPr>
        <w:t>para no cumplir con su obligación, dejando de esta forma a un menor sin las necesidad</w:t>
      </w:r>
      <w:r w:rsidR="002D3778">
        <w:rPr>
          <w:rFonts w:ascii="Century Gothic" w:hAnsi="Century Gothic"/>
          <w:sz w:val="28"/>
          <w:szCs w:val="28"/>
        </w:rPr>
        <w:t>es básicas para su subsistencia, el derecho del menor no cesa por la circunstancia del deudor alimentario</w:t>
      </w:r>
    </w:p>
    <w:p w:rsidR="00AC5109" w:rsidRDefault="00AC5109" w:rsidP="006432EC">
      <w:pPr>
        <w:pBdr>
          <w:top w:val="nil"/>
          <w:left w:val="nil"/>
          <w:bottom w:val="nil"/>
          <w:right w:val="nil"/>
          <w:between w:val="nil"/>
        </w:pBdr>
        <w:spacing w:after="0" w:line="360" w:lineRule="auto"/>
        <w:jc w:val="both"/>
        <w:rPr>
          <w:rFonts w:ascii="Century Gothic" w:hAnsi="Century Gothic"/>
          <w:sz w:val="28"/>
          <w:szCs w:val="28"/>
        </w:rPr>
      </w:pPr>
    </w:p>
    <w:p w:rsidR="00AC5109" w:rsidRDefault="00321079" w:rsidP="00321079">
      <w:pPr>
        <w:pBdr>
          <w:top w:val="nil"/>
          <w:left w:val="nil"/>
          <w:bottom w:val="nil"/>
          <w:right w:val="nil"/>
          <w:between w:val="nil"/>
        </w:pBdr>
        <w:tabs>
          <w:tab w:val="left" w:pos="5505"/>
        </w:tabs>
        <w:spacing w:after="0" w:line="360" w:lineRule="auto"/>
        <w:jc w:val="both"/>
        <w:rPr>
          <w:rFonts w:ascii="Century Gothic" w:hAnsi="Century Gothic"/>
          <w:sz w:val="28"/>
          <w:szCs w:val="28"/>
        </w:rPr>
      </w:pPr>
      <w:r>
        <w:rPr>
          <w:rFonts w:ascii="Century Gothic" w:hAnsi="Century Gothic"/>
          <w:sz w:val="28"/>
          <w:szCs w:val="28"/>
        </w:rPr>
        <w:tab/>
      </w:r>
    </w:p>
    <w:p w:rsidR="00AC5109" w:rsidRDefault="00321079" w:rsidP="006432EC">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Es</w:t>
      </w:r>
      <w:r w:rsidR="00AC5109">
        <w:rPr>
          <w:rFonts w:ascii="Century Gothic" w:hAnsi="Century Gothic"/>
          <w:sz w:val="28"/>
          <w:szCs w:val="28"/>
        </w:rPr>
        <w:t xml:space="preserve"> por eso, que la fracción antes mencionada llega a ser una laguna legal para dar pie a que se pueda evitar el </w:t>
      </w:r>
      <w:r w:rsidR="002D3778">
        <w:rPr>
          <w:rFonts w:ascii="Century Gothic" w:hAnsi="Century Gothic"/>
          <w:sz w:val="28"/>
          <w:szCs w:val="28"/>
        </w:rPr>
        <w:t>cumplimiento</w:t>
      </w:r>
      <w:r w:rsidR="00AC5109">
        <w:rPr>
          <w:rFonts w:ascii="Century Gothic" w:hAnsi="Century Gothic"/>
          <w:sz w:val="28"/>
          <w:szCs w:val="28"/>
        </w:rPr>
        <w:t xml:space="preserve"> de la obligación. </w:t>
      </w:r>
    </w:p>
    <w:p w:rsidR="00AC5109" w:rsidRDefault="00AC5109" w:rsidP="006432EC">
      <w:pPr>
        <w:pBdr>
          <w:top w:val="nil"/>
          <w:left w:val="nil"/>
          <w:bottom w:val="nil"/>
          <w:right w:val="nil"/>
          <w:between w:val="nil"/>
        </w:pBdr>
        <w:spacing w:after="0" w:line="360" w:lineRule="auto"/>
        <w:jc w:val="both"/>
        <w:rPr>
          <w:rFonts w:ascii="Century Gothic" w:hAnsi="Century Gothic"/>
          <w:sz w:val="28"/>
          <w:szCs w:val="28"/>
        </w:rPr>
      </w:pPr>
    </w:p>
    <w:p w:rsidR="00AC5109" w:rsidRDefault="002D3778" w:rsidP="006432EC">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De conformidad con lo anterior podemos reforzar y argumentar lo antes dicho desde el criterio de la Suprema Corte de Justicia de la Nación y la Comisión Nacional de los Derechos Humanos</w:t>
      </w:r>
      <w:r w:rsidR="00F63A98">
        <w:rPr>
          <w:rFonts w:ascii="Century Gothic" w:hAnsi="Century Gothic"/>
          <w:sz w:val="28"/>
          <w:szCs w:val="28"/>
        </w:rPr>
        <w:t>.</w:t>
      </w:r>
    </w:p>
    <w:p w:rsidR="00F63A98" w:rsidRDefault="00F63A98" w:rsidP="006432EC">
      <w:pPr>
        <w:pBdr>
          <w:top w:val="nil"/>
          <w:left w:val="nil"/>
          <w:bottom w:val="nil"/>
          <w:right w:val="nil"/>
          <w:between w:val="nil"/>
        </w:pBdr>
        <w:spacing w:after="0" w:line="360" w:lineRule="auto"/>
        <w:jc w:val="both"/>
        <w:rPr>
          <w:rFonts w:ascii="Century Gothic" w:hAnsi="Century Gothic"/>
          <w:sz w:val="28"/>
          <w:szCs w:val="28"/>
        </w:rPr>
      </w:pP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Suprema Corte de Justicia de la Nación</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Registro digital: 2006011</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Instancia: Primera Sala</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Décima Época</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Materias(s): Constitucional</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Tesis: 1a</w:t>
      </w:r>
      <w:proofErr w:type="gramStart"/>
      <w:r w:rsidRPr="00F63A98">
        <w:rPr>
          <w:rFonts w:ascii="Century Gothic" w:hAnsi="Century Gothic"/>
          <w:sz w:val="28"/>
          <w:szCs w:val="28"/>
        </w:rPr>
        <w:t>./</w:t>
      </w:r>
      <w:proofErr w:type="gramEnd"/>
      <w:r w:rsidRPr="00F63A98">
        <w:rPr>
          <w:rFonts w:ascii="Century Gothic" w:hAnsi="Century Gothic"/>
          <w:sz w:val="28"/>
          <w:szCs w:val="28"/>
        </w:rPr>
        <w:t>J. 18/2014 (10a.)</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Fuente: Gaceta del Semanario Judicial de la Federación. Libro 4, Marzo de 2014, Tomo I, página 406</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Tipo: Jurisprudencia</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p>
    <w:p w:rsidR="00F63A98" w:rsidRPr="00F63A98" w:rsidRDefault="00F63A98" w:rsidP="00F63A98">
      <w:pPr>
        <w:pBdr>
          <w:top w:val="nil"/>
          <w:left w:val="nil"/>
          <w:bottom w:val="nil"/>
          <w:right w:val="nil"/>
          <w:between w:val="nil"/>
        </w:pBdr>
        <w:spacing w:after="0" w:line="360" w:lineRule="auto"/>
        <w:jc w:val="both"/>
        <w:rPr>
          <w:rFonts w:ascii="Century Gothic" w:hAnsi="Century Gothic"/>
          <w:b/>
          <w:sz w:val="28"/>
          <w:szCs w:val="28"/>
        </w:rPr>
      </w:pPr>
      <w:r w:rsidRPr="00F63A98">
        <w:rPr>
          <w:rFonts w:ascii="Century Gothic" w:hAnsi="Century Gothic"/>
          <w:b/>
          <w:sz w:val="28"/>
          <w:szCs w:val="28"/>
        </w:rPr>
        <w:t>INTERÉS SUPERIOR DEL NIÑO. FUNCIÓN EN EL ÁMBITO JURISDICCIONAL.</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 xml:space="preserve">En el ámbito jurisdiccional, el interés superior del niño es un principio orientador de la actividad interpretativa relacionada con cualquier norma jurídica que tenga que aplicarse a un niño en un caso concreto o que pueda afectar los intereses de algún menor. Este principio ordena la realización de una interpretación sistemática que, para darle sentido a la norma en cuestión, tome </w:t>
      </w:r>
      <w:r w:rsidRPr="00F63A98">
        <w:rPr>
          <w:rFonts w:ascii="Century Gothic" w:hAnsi="Century Gothic"/>
          <w:sz w:val="28"/>
          <w:szCs w:val="28"/>
        </w:rPr>
        <w:lastRenderedPageBreak/>
        <w:t>en cuenta los deberes de protección de los menores y los derechos especiales de éstos previstos en la Constitución, tratados internacionales y leyes de protección de la niñez. Cuando se trata de medidas legislativas o administrativas que afecten derechos de los menores, el interés superior del niño demanda de los órganos jurisdiccionales la realización de un escrutinio mucho más estricto en relación con la necesidad y proporcionalidad de la medida en cuestión.</w:t>
      </w:r>
    </w:p>
    <w:p w:rsid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p>
    <w:p w:rsidR="00F63A98" w:rsidRDefault="00F63A98" w:rsidP="006432EC">
      <w:pPr>
        <w:pBdr>
          <w:top w:val="nil"/>
          <w:left w:val="nil"/>
          <w:bottom w:val="nil"/>
          <w:right w:val="nil"/>
          <w:between w:val="nil"/>
        </w:pBdr>
        <w:spacing w:after="0" w:line="360" w:lineRule="auto"/>
        <w:jc w:val="both"/>
        <w:rPr>
          <w:rFonts w:ascii="Century Gothic" w:hAnsi="Century Gothic"/>
          <w:sz w:val="28"/>
          <w:szCs w:val="28"/>
        </w:rPr>
      </w:pP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Suprema Corte de Justicia de la Nación</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Registro digital: 2008546</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Instancia: Primera Sala</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Décima Época</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Materias(s): Constitucional</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Tesis: 1a. LXXXIII/2015 (10a.)</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Fuente: Gaceta del Semanario Judicial de la Federación. Libro 15, Febrero de 2015, Tomo II, página 1397</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t>Tipo: Aislada</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p>
    <w:p w:rsidR="00F63A98" w:rsidRPr="00F63A98" w:rsidRDefault="00F63A98" w:rsidP="00F63A98">
      <w:pPr>
        <w:pBdr>
          <w:top w:val="nil"/>
          <w:left w:val="nil"/>
          <w:bottom w:val="nil"/>
          <w:right w:val="nil"/>
          <w:between w:val="nil"/>
        </w:pBdr>
        <w:spacing w:after="0" w:line="360" w:lineRule="auto"/>
        <w:jc w:val="both"/>
        <w:rPr>
          <w:rFonts w:ascii="Century Gothic" w:hAnsi="Century Gothic"/>
          <w:b/>
          <w:sz w:val="28"/>
          <w:szCs w:val="28"/>
        </w:rPr>
      </w:pPr>
      <w:r w:rsidRPr="00F63A98">
        <w:rPr>
          <w:rFonts w:ascii="Century Gothic" w:hAnsi="Century Gothic"/>
          <w:b/>
          <w:sz w:val="28"/>
          <w:szCs w:val="28"/>
        </w:rPr>
        <w:t>INTERÉS SUPERIOR DEL MENOR COMO ELEMENTO DE INTERPRETACIÓN EN EL ÁMBITO JURISDICCIONAL.</w:t>
      </w: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p>
    <w:p w:rsidR="00F63A98" w:rsidRP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r w:rsidRPr="00F63A98">
        <w:rPr>
          <w:rFonts w:ascii="Century Gothic" w:hAnsi="Century Gothic"/>
          <w:sz w:val="28"/>
          <w:szCs w:val="28"/>
        </w:rPr>
        <w:lastRenderedPageBreak/>
        <w:t xml:space="preserve">El interés superior del menor tiene un contenido de naturaleza real y relacional, que demanda una verificación y especial atención de los elementos concretos y específicos que identifican a los menores, por lo que el escrutinio que debe realizarse en controversias que afecten dicho interés, de forma directa o indirecta, es más estricto que el de otros casos de protección a derechos fundamentales. Particularmente, en el ámbito jurisdiccional el interés superior del menor es tanto un principio orientador como una clave heurística de la actividad interpretativa relacionada con cualquier norma jurídica que deba aplicarse a un niño en un caso concreto o que pueda afectar sus intereses. Así, el interés superior del menor ordena la realización de una interpretación sistemática que considere los deberes de protección de los menores y los derechos especiales de éstos previstos en la Constitución Política de los Estados Unidos Mexicanos, en los tratados internacionales y en las leyes de protección de la niñez; de este modo, el principio del interés superior del menor se consagra como criterio orientador fundamental de la actuación judicial; de ahí que conlleva ineludiblemente a que el juzgador tome en cuenta, al emitir sus resoluciones, algunos aspectos que le permitan determinar con precisión el ámbito de protección requerida, tales como la opinión del menor, sus necesidades físicas, afectivas y educativas; el efecto sobre él de un cambio; su edad, sexo y personalidad; los males que ha padecido o en que puede </w:t>
      </w:r>
      <w:r w:rsidRPr="00F63A98">
        <w:rPr>
          <w:rFonts w:ascii="Century Gothic" w:hAnsi="Century Gothic"/>
          <w:sz w:val="28"/>
          <w:szCs w:val="28"/>
        </w:rPr>
        <w:lastRenderedPageBreak/>
        <w:t>incurrir, y la posibilidad de que cada uno de sus padres responda a sus posibilidades. En suma, el principio del interés superior del menor debe informar todos los ámbitos de la actividad estatal que estén relacionados directa o indirectamente con los menores, lo que necesariamente implica que la protección de los derechos del niño se realice a través de medidas reforzadas o agravadas, ya que los intereses de los niños deben protegerse siempre con una mayor intensidad.</w:t>
      </w:r>
    </w:p>
    <w:p w:rsidR="00F63A98" w:rsidRDefault="00F63A98" w:rsidP="00F63A98">
      <w:pPr>
        <w:pBdr>
          <w:top w:val="nil"/>
          <w:left w:val="nil"/>
          <w:bottom w:val="nil"/>
          <w:right w:val="nil"/>
          <w:between w:val="nil"/>
        </w:pBdr>
        <w:spacing w:after="0" w:line="360" w:lineRule="auto"/>
        <w:jc w:val="both"/>
        <w:rPr>
          <w:rFonts w:ascii="Century Gothic" w:hAnsi="Century Gothic"/>
          <w:sz w:val="28"/>
          <w:szCs w:val="28"/>
        </w:rPr>
      </w:pPr>
    </w:p>
    <w:p w:rsidR="00F67796" w:rsidRDefault="00F67796" w:rsidP="00F63A98">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La convención sobre los Derechos del Niño (CDN) cuya aplicación busca la mayor satisfacción de todas y cada una de las necesidades de niñas, niños y adolescentes, ha señalado que el principio del interés superior tiene un concepto triple:</w:t>
      </w:r>
    </w:p>
    <w:p w:rsidR="00F67796" w:rsidRDefault="00F67796" w:rsidP="00F63A98">
      <w:pPr>
        <w:pBdr>
          <w:top w:val="nil"/>
          <w:left w:val="nil"/>
          <w:bottom w:val="nil"/>
          <w:right w:val="nil"/>
          <w:between w:val="nil"/>
        </w:pBdr>
        <w:spacing w:after="0" w:line="360" w:lineRule="auto"/>
        <w:jc w:val="both"/>
        <w:rPr>
          <w:rFonts w:ascii="Century Gothic" w:hAnsi="Century Gothic"/>
          <w:sz w:val="28"/>
          <w:szCs w:val="28"/>
        </w:rPr>
      </w:pPr>
    </w:p>
    <w:p w:rsidR="00F67796" w:rsidRDefault="00F67796" w:rsidP="00F67796">
      <w:pPr>
        <w:pStyle w:val="Prrafodelista"/>
        <w:numPr>
          <w:ilvl w:val="0"/>
          <w:numId w:val="1"/>
        </w:num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 xml:space="preserve">Derecho sustantivo: Al ser consideración primordial, se deberá evaluar y tener en </w:t>
      </w:r>
      <w:r w:rsidR="004174F0">
        <w:rPr>
          <w:rFonts w:ascii="Century Gothic" w:hAnsi="Century Gothic"/>
          <w:sz w:val="28"/>
          <w:szCs w:val="28"/>
        </w:rPr>
        <w:t>cuenta</w:t>
      </w:r>
      <w:r>
        <w:rPr>
          <w:rFonts w:ascii="Century Gothic" w:hAnsi="Century Gothic"/>
          <w:sz w:val="28"/>
          <w:szCs w:val="28"/>
        </w:rPr>
        <w:t xml:space="preserve"> el valorar distintos intereses, para tomar una decisión sobre una cuestión debatida que afecte a una niña o niño o a un grupo de ellas (os)</w:t>
      </w:r>
    </w:p>
    <w:p w:rsidR="00F67796" w:rsidRDefault="00F67796" w:rsidP="00F67796">
      <w:pPr>
        <w:pStyle w:val="Prrafodelista"/>
        <w:numPr>
          <w:ilvl w:val="0"/>
          <w:numId w:val="1"/>
        </w:num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 xml:space="preserve">Principio Jurídico interpretativo: Cuando </w:t>
      </w:r>
      <w:r w:rsidR="004174F0">
        <w:rPr>
          <w:rFonts w:ascii="Century Gothic" w:hAnsi="Century Gothic"/>
          <w:sz w:val="28"/>
          <w:szCs w:val="28"/>
        </w:rPr>
        <w:t>una</w:t>
      </w:r>
      <w:r>
        <w:rPr>
          <w:rFonts w:ascii="Century Gothic" w:hAnsi="Century Gothic"/>
          <w:sz w:val="28"/>
          <w:szCs w:val="28"/>
        </w:rPr>
        <w:t xml:space="preserve"> disposición jurídica admita </w:t>
      </w:r>
      <w:r w:rsidR="004174F0">
        <w:rPr>
          <w:rFonts w:ascii="Century Gothic" w:hAnsi="Century Gothic"/>
          <w:sz w:val="28"/>
          <w:szCs w:val="28"/>
        </w:rPr>
        <w:t>más</w:t>
      </w:r>
      <w:r>
        <w:rPr>
          <w:rFonts w:ascii="Century Gothic" w:hAnsi="Century Gothic"/>
          <w:sz w:val="28"/>
          <w:szCs w:val="28"/>
        </w:rPr>
        <w:t xml:space="preserve"> de una interpretación, se elegirá aquella que satisfaga el interés </w:t>
      </w:r>
      <w:r w:rsidR="004174F0">
        <w:rPr>
          <w:rFonts w:ascii="Century Gothic" w:hAnsi="Century Gothic"/>
          <w:sz w:val="28"/>
          <w:szCs w:val="28"/>
        </w:rPr>
        <w:t>superior de la niña, niño o adolescente.</w:t>
      </w:r>
    </w:p>
    <w:p w:rsidR="004174F0" w:rsidRPr="00F67796" w:rsidRDefault="004174F0" w:rsidP="00F67796">
      <w:pPr>
        <w:pStyle w:val="Prrafodelista"/>
        <w:numPr>
          <w:ilvl w:val="0"/>
          <w:numId w:val="1"/>
        </w:num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 xml:space="preserve">Norma de procedimiento: Cuando se deba tomar una decisión que afecte a una niña, niño, adolescente, o a un </w:t>
      </w:r>
      <w:r>
        <w:rPr>
          <w:rFonts w:ascii="Century Gothic" w:hAnsi="Century Gothic"/>
          <w:sz w:val="28"/>
          <w:szCs w:val="28"/>
        </w:rPr>
        <w:lastRenderedPageBreak/>
        <w:t>grupo de ellas (os), es necesario realizar una estimación de las posibles repercusiones (positivas o negativas) sobre su vida y explicar por qué se tomó esa decisión.</w:t>
      </w:r>
    </w:p>
    <w:p w:rsidR="00024EFB" w:rsidRDefault="00024EFB" w:rsidP="00024EFB">
      <w:pPr>
        <w:pBdr>
          <w:top w:val="nil"/>
          <w:left w:val="nil"/>
          <w:bottom w:val="nil"/>
          <w:right w:val="nil"/>
          <w:between w:val="nil"/>
        </w:pBdr>
        <w:spacing w:after="0" w:line="360" w:lineRule="auto"/>
        <w:jc w:val="center"/>
        <w:rPr>
          <w:rFonts w:ascii="Century Gothic" w:eastAsia="Century Gothic" w:hAnsi="Century Gothic" w:cs="Century Gothic"/>
          <w:b/>
          <w:color w:val="000000"/>
          <w:sz w:val="28"/>
          <w:szCs w:val="28"/>
        </w:rPr>
      </w:pPr>
    </w:p>
    <w:p w:rsidR="00321079" w:rsidRDefault="00321079" w:rsidP="00321079">
      <w:pPr>
        <w:pBdr>
          <w:top w:val="nil"/>
          <w:left w:val="nil"/>
          <w:bottom w:val="nil"/>
          <w:right w:val="nil"/>
          <w:between w:val="nil"/>
        </w:pBdr>
        <w:spacing w:after="0" w:line="360" w:lineRule="auto"/>
        <w:jc w:val="both"/>
        <w:rPr>
          <w:rFonts w:ascii="Century Gothic" w:hAnsi="Century Gothic"/>
          <w:sz w:val="28"/>
          <w:szCs w:val="28"/>
        </w:rPr>
      </w:pPr>
      <w:r w:rsidRPr="00321079">
        <w:rPr>
          <w:rFonts w:ascii="Century Gothic" w:hAnsi="Century Gothic"/>
          <w:sz w:val="28"/>
          <w:szCs w:val="28"/>
        </w:rPr>
        <w:t>Todos los órganos jurisdiccionales, autoridades administrativas y órganos legislativos (federal y locales) tienen la obligación de tomar en cuenta el interés superior como una consideración primordial2 y promover, respetar, proteger y garantizar los derechos de las personas menores de edad de conformidad con los principios de universalidad, interdependencia, indivisibilidad y progresividad</w:t>
      </w:r>
      <w:r>
        <w:rPr>
          <w:rFonts w:ascii="Century Gothic" w:hAnsi="Century Gothic"/>
          <w:sz w:val="28"/>
          <w:szCs w:val="28"/>
        </w:rPr>
        <w:t>.</w:t>
      </w:r>
      <w:r>
        <w:rPr>
          <w:rStyle w:val="Refdenotaalpie"/>
          <w:rFonts w:ascii="Century Gothic" w:hAnsi="Century Gothic"/>
          <w:sz w:val="28"/>
          <w:szCs w:val="28"/>
        </w:rPr>
        <w:footnoteReference w:id="2"/>
      </w:r>
    </w:p>
    <w:p w:rsidR="00321079" w:rsidRPr="00321079" w:rsidRDefault="00321079" w:rsidP="00321079">
      <w:pPr>
        <w:pBdr>
          <w:top w:val="nil"/>
          <w:left w:val="nil"/>
          <w:bottom w:val="nil"/>
          <w:right w:val="nil"/>
          <w:between w:val="nil"/>
        </w:pBdr>
        <w:spacing w:after="0" w:line="360" w:lineRule="auto"/>
        <w:jc w:val="both"/>
        <w:rPr>
          <w:rFonts w:ascii="Century Gothic" w:eastAsia="Century Gothic" w:hAnsi="Century Gothic" w:cs="Century Gothic"/>
          <w:b/>
          <w:color w:val="000000"/>
          <w:sz w:val="28"/>
          <w:szCs w:val="28"/>
        </w:rPr>
      </w:pPr>
    </w:p>
    <w:p w:rsidR="00000727" w:rsidRPr="004174F0" w:rsidRDefault="00000727" w:rsidP="00000727">
      <w:pPr>
        <w:pBdr>
          <w:top w:val="nil"/>
          <w:left w:val="nil"/>
          <w:bottom w:val="nil"/>
          <w:right w:val="nil"/>
          <w:between w:val="nil"/>
        </w:pBdr>
        <w:spacing w:after="0" w:line="360" w:lineRule="auto"/>
        <w:jc w:val="center"/>
        <w:rPr>
          <w:rFonts w:ascii="Century Gothic" w:hAnsi="Century Gothic"/>
          <w:b/>
          <w:sz w:val="28"/>
          <w:szCs w:val="28"/>
        </w:rPr>
      </w:pPr>
      <w:r w:rsidRPr="004174F0">
        <w:rPr>
          <w:rFonts w:ascii="Century Gothic" w:hAnsi="Century Gothic"/>
          <w:b/>
          <w:sz w:val="28"/>
          <w:szCs w:val="28"/>
        </w:rPr>
        <w:t>DECRETO</w:t>
      </w:r>
    </w:p>
    <w:p w:rsidR="00000727" w:rsidRDefault="00000727" w:rsidP="00000727">
      <w:pPr>
        <w:pBdr>
          <w:top w:val="nil"/>
          <w:left w:val="nil"/>
          <w:bottom w:val="nil"/>
          <w:right w:val="nil"/>
          <w:between w:val="nil"/>
        </w:pBdr>
        <w:spacing w:after="0" w:line="360" w:lineRule="auto"/>
        <w:jc w:val="center"/>
        <w:rPr>
          <w:rFonts w:ascii="Century Gothic" w:hAnsi="Century Gothic"/>
          <w:sz w:val="28"/>
          <w:szCs w:val="28"/>
        </w:rPr>
      </w:pPr>
    </w:p>
    <w:p w:rsidR="00000727" w:rsidRDefault="00321079" w:rsidP="00000727">
      <w:pPr>
        <w:pBdr>
          <w:top w:val="nil"/>
          <w:left w:val="nil"/>
          <w:bottom w:val="nil"/>
          <w:right w:val="nil"/>
          <w:between w:val="nil"/>
        </w:pBdr>
        <w:spacing w:after="0" w:line="360" w:lineRule="auto"/>
        <w:jc w:val="both"/>
        <w:rPr>
          <w:rFonts w:ascii="Century Gothic" w:hAnsi="Century Gothic"/>
          <w:sz w:val="28"/>
          <w:szCs w:val="28"/>
        </w:rPr>
      </w:pPr>
      <w:r w:rsidRPr="00321079">
        <w:rPr>
          <w:rFonts w:ascii="Century Gothic" w:hAnsi="Century Gothic"/>
          <w:b/>
          <w:sz w:val="28"/>
          <w:szCs w:val="28"/>
        </w:rPr>
        <w:t>ARTÍCULO ÚNICO</w:t>
      </w:r>
      <w:r>
        <w:rPr>
          <w:rFonts w:ascii="Century Gothic" w:hAnsi="Century Gothic"/>
          <w:sz w:val="28"/>
          <w:szCs w:val="28"/>
        </w:rPr>
        <w:t xml:space="preserve">: </w:t>
      </w:r>
      <w:r w:rsidR="00F67796">
        <w:rPr>
          <w:rFonts w:ascii="Century Gothic" w:hAnsi="Century Gothic"/>
          <w:sz w:val="28"/>
          <w:szCs w:val="28"/>
        </w:rPr>
        <w:t>Se deroga la fracción I</w:t>
      </w:r>
      <w:r w:rsidR="00F63A98">
        <w:rPr>
          <w:rFonts w:ascii="Century Gothic" w:hAnsi="Century Gothic"/>
          <w:sz w:val="28"/>
          <w:szCs w:val="28"/>
        </w:rPr>
        <w:t xml:space="preserve"> </w:t>
      </w:r>
      <w:r w:rsidR="00F67796">
        <w:rPr>
          <w:rFonts w:ascii="Century Gothic" w:hAnsi="Century Gothic"/>
          <w:sz w:val="28"/>
          <w:szCs w:val="28"/>
        </w:rPr>
        <w:t>d</w:t>
      </w:r>
      <w:r w:rsidR="00F63A98">
        <w:rPr>
          <w:rFonts w:ascii="Century Gothic" w:hAnsi="Century Gothic"/>
          <w:sz w:val="28"/>
          <w:szCs w:val="28"/>
        </w:rPr>
        <w:t>el artículo</w:t>
      </w:r>
      <w:r w:rsidR="00000727">
        <w:rPr>
          <w:rFonts w:ascii="Century Gothic" w:hAnsi="Century Gothic"/>
          <w:sz w:val="28"/>
          <w:szCs w:val="28"/>
        </w:rPr>
        <w:t xml:space="preserve"> </w:t>
      </w:r>
      <w:r w:rsidR="00F63A98">
        <w:rPr>
          <w:rFonts w:ascii="Century Gothic" w:hAnsi="Century Gothic"/>
          <w:sz w:val="28"/>
          <w:szCs w:val="28"/>
        </w:rPr>
        <w:t>297, del Código Civi</w:t>
      </w:r>
      <w:r w:rsidR="00000727">
        <w:rPr>
          <w:rFonts w:ascii="Century Gothic" w:hAnsi="Century Gothic"/>
          <w:sz w:val="28"/>
          <w:szCs w:val="28"/>
        </w:rPr>
        <w:t xml:space="preserve">l del Estado de Chihuahua quedando de la siguiente manera: </w:t>
      </w:r>
    </w:p>
    <w:p w:rsidR="00000727" w:rsidRDefault="00000727" w:rsidP="00000727">
      <w:pPr>
        <w:pBdr>
          <w:top w:val="nil"/>
          <w:left w:val="nil"/>
          <w:bottom w:val="nil"/>
          <w:right w:val="nil"/>
          <w:between w:val="nil"/>
        </w:pBdr>
        <w:spacing w:after="0" w:line="360" w:lineRule="auto"/>
        <w:jc w:val="both"/>
        <w:rPr>
          <w:rFonts w:ascii="Century Gothic" w:hAnsi="Century Gothic"/>
          <w:sz w:val="28"/>
          <w:szCs w:val="28"/>
        </w:rPr>
      </w:pPr>
    </w:p>
    <w:p w:rsidR="00000727" w:rsidRDefault="00000727" w:rsidP="00000727">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sz w:val="28"/>
          <w:szCs w:val="28"/>
        </w:rPr>
        <w:t xml:space="preserve">Artículo </w:t>
      </w:r>
      <w:r w:rsidR="00F63A98">
        <w:rPr>
          <w:rFonts w:ascii="Century Gothic" w:hAnsi="Century Gothic"/>
          <w:sz w:val="28"/>
          <w:szCs w:val="28"/>
        </w:rPr>
        <w:t>297…</w:t>
      </w:r>
    </w:p>
    <w:p w:rsidR="003039D2" w:rsidRDefault="003039D2" w:rsidP="00FF5AD2">
      <w:pPr>
        <w:pBdr>
          <w:top w:val="nil"/>
          <w:left w:val="nil"/>
          <w:bottom w:val="nil"/>
          <w:right w:val="nil"/>
          <w:between w:val="nil"/>
        </w:pBdr>
        <w:spacing w:after="0" w:line="360" w:lineRule="auto"/>
        <w:jc w:val="center"/>
        <w:rPr>
          <w:rFonts w:ascii="Century Gothic" w:hAnsi="Century Gothic"/>
          <w:b/>
          <w:sz w:val="28"/>
          <w:szCs w:val="28"/>
        </w:rPr>
      </w:pPr>
    </w:p>
    <w:p w:rsidR="00F67796" w:rsidRDefault="00F67796" w:rsidP="00F67796">
      <w:pPr>
        <w:pBdr>
          <w:top w:val="nil"/>
          <w:left w:val="nil"/>
          <w:bottom w:val="nil"/>
          <w:right w:val="nil"/>
          <w:between w:val="nil"/>
        </w:pBdr>
        <w:spacing w:after="0" w:line="360" w:lineRule="auto"/>
        <w:jc w:val="both"/>
        <w:rPr>
          <w:rFonts w:ascii="Century Gothic" w:hAnsi="Century Gothic"/>
          <w:b/>
          <w:sz w:val="28"/>
          <w:szCs w:val="28"/>
        </w:rPr>
      </w:pPr>
      <w:r>
        <w:rPr>
          <w:rFonts w:ascii="Century Gothic" w:hAnsi="Century Gothic"/>
          <w:b/>
          <w:sz w:val="28"/>
          <w:szCs w:val="28"/>
        </w:rPr>
        <w:t>I… derogado</w:t>
      </w:r>
    </w:p>
    <w:p w:rsidR="00321079" w:rsidRDefault="00321079" w:rsidP="00F67796">
      <w:pPr>
        <w:pBdr>
          <w:top w:val="nil"/>
          <w:left w:val="nil"/>
          <w:bottom w:val="nil"/>
          <w:right w:val="nil"/>
          <w:between w:val="nil"/>
        </w:pBdr>
        <w:spacing w:after="0" w:line="360" w:lineRule="auto"/>
        <w:jc w:val="both"/>
        <w:rPr>
          <w:rFonts w:ascii="Century Gothic" w:hAnsi="Century Gothic"/>
          <w:sz w:val="28"/>
          <w:szCs w:val="28"/>
        </w:rPr>
      </w:pPr>
    </w:p>
    <w:p w:rsidR="003039D2" w:rsidRPr="00FF5AD2" w:rsidRDefault="00FF5AD2" w:rsidP="00FF5AD2">
      <w:pPr>
        <w:pBdr>
          <w:top w:val="nil"/>
          <w:left w:val="nil"/>
          <w:bottom w:val="nil"/>
          <w:right w:val="nil"/>
          <w:between w:val="nil"/>
        </w:pBdr>
        <w:spacing w:after="0" w:line="360" w:lineRule="auto"/>
        <w:jc w:val="center"/>
        <w:rPr>
          <w:rFonts w:ascii="Century Gothic" w:hAnsi="Century Gothic"/>
          <w:b/>
          <w:sz w:val="28"/>
          <w:szCs w:val="28"/>
        </w:rPr>
      </w:pPr>
      <w:r w:rsidRPr="00FF5AD2">
        <w:rPr>
          <w:rFonts w:ascii="Century Gothic" w:hAnsi="Century Gothic"/>
          <w:b/>
          <w:sz w:val="28"/>
          <w:szCs w:val="28"/>
        </w:rPr>
        <w:t>ARTÍCULO TANSITORIOS</w:t>
      </w:r>
    </w:p>
    <w:p w:rsidR="00FF5AD2" w:rsidRPr="00FF5AD2" w:rsidRDefault="00FF5AD2" w:rsidP="00FF5AD2">
      <w:pPr>
        <w:pBdr>
          <w:top w:val="nil"/>
          <w:left w:val="nil"/>
          <w:bottom w:val="nil"/>
          <w:right w:val="nil"/>
          <w:between w:val="nil"/>
        </w:pBdr>
        <w:spacing w:after="0" w:line="360" w:lineRule="auto"/>
        <w:jc w:val="center"/>
        <w:rPr>
          <w:rFonts w:ascii="Century Gothic" w:hAnsi="Century Gothic"/>
          <w:b/>
          <w:sz w:val="28"/>
          <w:szCs w:val="28"/>
        </w:rPr>
      </w:pPr>
    </w:p>
    <w:p w:rsidR="00FF5AD2" w:rsidRDefault="00FF5AD2" w:rsidP="00FF5AD2">
      <w:pPr>
        <w:pBdr>
          <w:top w:val="nil"/>
          <w:left w:val="nil"/>
          <w:bottom w:val="nil"/>
          <w:right w:val="nil"/>
          <w:between w:val="nil"/>
        </w:pBdr>
        <w:spacing w:after="0" w:line="360" w:lineRule="auto"/>
        <w:jc w:val="both"/>
        <w:rPr>
          <w:rFonts w:ascii="Century Gothic" w:hAnsi="Century Gothic"/>
          <w:b/>
          <w:sz w:val="28"/>
          <w:szCs w:val="28"/>
        </w:rPr>
      </w:pPr>
      <w:r w:rsidRPr="00FF5AD2">
        <w:rPr>
          <w:rFonts w:ascii="Century Gothic" w:hAnsi="Century Gothic"/>
          <w:b/>
          <w:sz w:val="28"/>
          <w:szCs w:val="28"/>
        </w:rPr>
        <w:t>ÚNICO.- El presente decreto entrará en vigor al día siguiente de su publicación en el Periódico Oficial del Estado.</w:t>
      </w:r>
    </w:p>
    <w:p w:rsidR="00FF5AD2" w:rsidRDefault="00FF5AD2" w:rsidP="00FF5AD2">
      <w:pPr>
        <w:pBdr>
          <w:top w:val="nil"/>
          <w:left w:val="nil"/>
          <w:bottom w:val="nil"/>
          <w:right w:val="nil"/>
          <w:between w:val="nil"/>
        </w:pBdr>
        <w:spacing w:after="0" w:line="360" w:lineRule="auto"/>
        <w:jc w:val="both"/>
        <w:rPr>
          <w:rFonts w:ascii="Century Gothic" w:hAnsi="Century Gothic"/>
          <w:b/>
          <w:sz w:val="28"/>
          <w:szCs w:val="28"/>
        </w:rPr>
      </w:pPr>
    </w:p>
    <w:p w:rsidR="00FF5AD2" w:rsidRDefault="00FF5AD2" w:rsidP="00FF5AD2">
      <w:pPr>
        <w:pBdr>
          <w:top w:val="nil"/>
          <w:left w:val="nil"/>
          <w:bottom w:val="nil"/>
          <w:right w:val="nil"/>
          <w:between w:val="nil"/>
        </w:pBdr>
        <w:spacing w:after="0" w:line="360" w:lineRule="auto"/>
        <w:jc w:val="both"/>
        <w:rPr>
          <w:rFonts w:ascii="Century Gothic" w:hAnsi="Century Gothic"/>
          <w:sz w:val="28"/>
          <w:szCs w:val="28"/>
        </w:rPr>
      </w:pPr>
      <w:r>
        <w:rPr>
          <w:rFonts w:ascii="Century Gothic" w:hAnsi="Century Gothic"/>
          <w:b/>
          <w:sz w:val="28"/>
          <w:szCs w:val="28"/>
        </w:rPr>
        <w:t xml:space="preserve">D A D O.- </w:t>
      </w:r>
      <w:r>
        <w:rPr>
          <w:rFonts w:ascii="Century Gothic" w:hAnsi="Century Gothic"/>
          <w:sz w:val="28"/>
          <w:szCs w:val="28"/>
        </w:rPr>
        <w:t>en el Salón de Sesiones del Poder Legislativo, en l</w:t>
      </w:r>
      <w:r w:rsidR="004174F0">
        <w:rPr>
          <w:rFonts w:ascii="Century Gothic" w:hAnsi="Century Gothic"/>
          <w:sz w:val="28"/>
          <w:szCs w:val="28"/>
        </w:rPr>
        <w:t>a ciudad de Chihuahua</w:t>
      </w:r>
      <w:r w:rsidR="00321079">
        <w:rPr>
          <w:rFonts w:ascii="Century Gothic" w:hAnsi="Century Gothic"/>
          <w:sz w:val="28"/>
          <w:szCs w:val="28"/>
        </w:rPr>
        <w:t>, a</w:t>
      </w:r>
      <w:r w:rsidR="004174F0">
        <w:rPr>
          <w:rFonts w:ascii="Century Gothic" w:hAnsi="Century Gothic"/>
          <w:sz w:val="28"/>
          <w:szCs w:val="28"/>
        </w:rPr>
        <w:t xml:space="preserve"> los 24 días del mes de </w:t>
      </w:r>
      <w:r w:rsidR="00321079">
        <w:rPr>
          <w:rFonts w:ascii="Century Gothic" w:hAnsi="Century Gothic"/>
          <w:sz w:val="28"/>
          <w:szCs w:val="28"/>
        </w:rPr>
        <w:t>noviembre de</w:t>
      </w:r>
      <w:r>
        <w:rPr>
          <w:rFonts w:ascii="Century Gothic" w:hAnsi="Century Gothic"/>
          <w:sz w:val="28"/>
          <w:szCs w:val="28"/>
        </w:rPr>
        <w:t xml:space="preserve"> dos mil veintiuno.</w:t>
      </w:r>
    </w:p>
    <w:p w:rsidR="00FF5AD2" w:rsidRDefault="00FF5AD2" w:rsidP="00FF5AD2">
      <w:pPr>
        <w:pBdr>
          <w:top w:val="nil"/>
          <w:left w:val="nil"/>
          <w:bottom w:val="nil"/>
          <w:right w:val="nil"/>
          <w:between w:val="nil"/>
        </w:pBdr>
        <w:spacing w:after="0" w:line="360" w:lineRule="auto"/>
        <w:jc w:val="center"/>
        <w:rPr>
          <w:rFonts w:ascii="Century Gothic" w:hAnsi="Century Gothic"/>
          <w:sz w:val="28"/>
          <w:szCs w:val="28"/>
        </w:rPr>
      </w:pPr>
      <w:r>
        <w:rPr>
          <w:rFonts w:ascii="Century Gothic" w:hAnsi="Century Gothic"/>
          <w:sz w:val="28"/>
          <w:szCs w:val="28"/>
        </w:rPr>
        <w:t xml:space="preserve">ATENTAMENTE </w:t>
      </w:r>
    </w:p>
    <w:p w:rsidR="00FF5AD2" w:rsidRDefault="00FF5AD2" w:rsidP="00FF5AD2">
      <w:pPr>
        <w:pBdr>
          <w:top w:val="nil"/>
          <w:left w:val="nil"/>
          <w:bottom w:val="nil"/>
          <w:right w:val="nil"/>
          <w:between w:val="nil"/>
        </w:pBdr>
        <w:spacing w:after="0" w:line="360" w:lineRule="auto"/>
        <w:jc w:val="center"/>
        <w:rPr>
          <w:rFonts w:ascii="Century Gothic" w:hAnsi="Century Gothic"/>
          <w:sz w:val="28"/>
          <w:szCs w:val="28"/>
        </w:rPr>
      </w:pPr>
    </w:p>
    <w:p w:rsidR="00FF5AD2" w:rsidRDefault="00FF5AD2" w:rsidP="00FF5AD2">
      <w:pPr>
        <w:pBdr>
          <w:top w:val="nil"/>
          <w:left w:val="nil"/>
          <w:bottom w:val="nil"/>
          <w:right w:val="nil"/>
          <w:between w:val="nil"/>
        </w:pBdr>
        <w:spacing w:after="0" w:line="360" w:lineRule="auto"/>
        <w:jc w:val="center"/>
        <w:rPr>
          <w:rFonts w:ascii="Century Gothic" w:hAnsi="Century Gothic"/>
          <w:sz w:val="28"/>
          <w:szCs w:val="28"/>
        </w:rPr>
      </w:pPr>
    </w:p>
    <w:p w:rsidR="00737368" w:rsidRPr="00B924D4" w:rsidRDefault="00737368" w:rsidP="00737368">
      <w:pPr>
        <w:jc w:val="center"/>
        <w:rPr>
          <w:rFonts w:ascii="Century Gothic" w:hAnsi="Century Gothic" w:cstheme="minorHAnsi"/>
          <w:b/>
        </w:rPr>
      </w:pPr>
      <w:r w:rsidRPr="00B924D4">
        <w:rPr>
          <w:rFonts w:ascii="Century Gothic" w:hAnsi="Century Gothic" w:cstheme="minorHAnsi"/>
          <w:b/>
        </w:rPr>
        <w:t>A T E N T A M E N T E</w:t>
      </w:r>
    </w:p>
    <w:p w:rsidR="00737368" w:rsidRDefault="00737368" w:rsidP="00737368">
      <w:pPr>
        <w:jc w:val="center"/>
        <w:rPr>
          <w:rFonts w:ascii="Century Gothic" w:hAnsi="Century Gothic" w:cs="Arial"/>
          <w:b/>
        </w:rPr>
      </w:pPr>
    </w:p>
    <w:p w:rsidR="00737368" w:rsidRDefault="00737368" w:rsidP="00737368">
      <w:pPr>
        <w:jc w:val="center"/>
        <w:rPr>
          <w:rFonts w:ascii="Century Gothic" w:hAnsi="Century Gothic" w:cs="Arial"/>
          <w:b/>
        </w:rPr>
      </w:pPr>
    </w:p>
    <w:p w:rsidR="00737368" w:rsidRPr="00B924D4" w:rsidRDefault="00737368" w:rsidP="00737368">
      <w:pPr>
        <w:jc w:val="center"/>
        <w:rPr>
          <w:rFonts w:ascii="Century Gothic" w:eastAsia="Arial Unicode MS" w:hAnsi="Century Gothic" w:cs="Arial"/>
          <w:b/>
        </w:rPr>
      </w:pPr>
      <w:r w:rsidRPr="00B924D4">
        <w:rPr>
          <w:rFonts w:ascii="Century Gothic" w:hAnsi="Century Gothic" w:cs="Arial"/>
          <w:b/>
        </w:rPr>
        <w:t>DIP.</w:t>
      </w:r>
      <w:r w:rsidRPr="00B924D4">
        <w:rPr>
          <w:rFonts w:ascii="Century Gothic" w:eastAsia="Times New Roman" w:hAnsi="Century Gothic" w:cstheme="minorHAnsi"/>
          <w:b/>
        </w:rPr>
        <w:t xml:space="preserve"> </w:t>
      </w:r>
      <w:r>
        <w:rPr>
          <w:rFonts w:ascii="Century Gothic" w:eastAsia="Times New Roman" w:hAnsi="Century Gothic" w:cstheme="minorHAnsi"/>
          <w:b/>
        </w:rPr>
        <w:t xml:space="preserve">ROSANA DÍAZ REYES </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37368" w:rsidRPr="00B924D4" w:rsidTr="002604F9">
        <w:trPr>
          <w:trHeight w:val="1984"/>
        </w:trPr>
        <w:tc>
          <w:tcPr>
            <w:tcW w:w="4414" w:type="dxa"/>
            <w:vAlign w:val="bottom"/>
          </w:tcPr>
          <w:p w:rsidR="00737368" w:rsidRPr="00B924D4" w:rsidRDefault="00737368" w:rsidP="002604F9">
            <w:pPr>
              <w:jc w:val="center"/>
              <w:rPr>
                <w:rFonts w:ascii="Century Gothic" w:hAnsi="Century Gothic" w:cs="Arial"/>
                <w:b/>
                <w:bCs/>
              </w:rPr>
            </w:pPr>
            <w:r w:rsidRPr="00B924D4">
              <w:rPr>
                <w:rFonts w:ascii="Century Gothic" w:hAnsi="Century Gothic" w:cs="Arial"/>
                <w:b/>
                <w:bCs/>
              </w:rPr>
              <w:t>DIP. EDIN CUAHUTÉMOC ESTRADA SOTELO</w:t>
            </w:r>
          </w:p>
        </w:tc>
        <w:tc>
          <w:tcPr>
            <w:tcW w:w="4414" w:type="dxa"/>
            <w:vAlign w:val="bottom"/>
          </w:tcPr>
          <w:p w:rsidR="00737368" w:rsidRPr="00B924D4" w:rsidRDefault="00737368" w:rsidP="002604F9">
            <w:pPr>
              <w:jc w:val="center"/>
              <w:rPr>
                <w:rFonts w:ascii="Century Gothic" w:hAnsi="Century Gothic" w:cs="Arial"/>
                <w:b/>
                <w:bCs/>
              </w:rPr>
            </w:pPr>
            <w:r w:rsidRPr="00B924D4">
              <w:rPr>
                <w:rFonts w:ascii="Century Gothic" w:hAnsi="Century Gothic" w:cs="Arial"/>
                <w:b/>
                <w:bCs/>
              </w:rPr>
              <w:t>DIP. LETICIA ORTEGA                         MÁYNEZ</w:t>
            </w:r>
          </w:p>
        </w:tc>
      </w:tr>
      <w:tr w:rsidR="00737368" w:rsidRPr="00B924D4" w:rsidTr="002604F9">
        <w:trPr>
          <w:trHeight w:val="1984"/>
        </w:trPr>
        <w:tc>
          <w:tcPr>
            <w:tcW w:w="4414" w:type="dxa"/>
            <w:vAlign w:val="bottom"/>
          </w:tcPr>
          <w:p w:rsidR="00737368" w:rsidRPr="00B924D4" w:rsidRDefault="00737368" w:rsidP="002604F9">
            <w:pPr>
              <w:jc w:val="center"/>
              <w:rPr>
                <w:rFonts w:ascii="Century Gothic" w:hAnsi="Century Gothic" w:cs="Arial"/>
                <w:b/>
                <w:bCs/>
              </w:rPr>
            </w:pPr>
            <w:r w:rsidRPr="00B924D4">
              <w:rPr>
                <w:rFonts w:ascii="Century Gothic" w:hAnsi="Century Gothic" w:cs="Arial"/>
                <w:b/>
                <w:bCs/>
              </w:rPr>
              <w:t xml:space="preserve">DIP. </w:t>
            </w:r>
            <w:r w:rsidRPr="00B924D4">
              <w:rPr>
                <w:rFonts w:ascii="Century Gothic" w:hAnsi="Century Gothic" w:cstheme="minorHAnsi"/>
                <w:b/>
                <w:bCs/>
              </w:rPr>
              <w:t>ÓSCAR DANIEL AVITIA ARELLANES</w:t>
            </w:r>
            <w:r w:rsidRPr="00B924D4">
              <w:rPr>
                <w:rFonts w:ascii="Century Gothic" w:hAnsi="Century Gothic" w:cs="Arial"/>
                <w:b/>
                <w:bCs/>
              </w:rPr>
              <w:t xml:space="preserve"> </w:t>
            </w:r>
          </w:p>
        </w:tc>
        <w:tc>
          <w:tcPr>
            <w:tcW w:w="4414" w:type="dxa"/>
            <w:vAlign w:val="bottom"/>
          </w:tcPr>
          <w:p w:rsidR="00737368" w:rsidRPr="00B924D4" w:rsidRDefault="00737368" w:rsidP="002604F9">
            <w:pPr>
              <w:jc w:val="center"/>
              <w:rPr>
                <w:rFonts w:ascii="Century Gothic" w:hAnsi="Century Gothic" w:cs="Arial"/>
                <w:b/>
                <w:bCs/>
              </w:rPr>
            </w:pPr>
            <w:r w:rsidRPr="00B924D4">
              <w:rPr>
                <w:rFonts w:ascii="Century Gothic" w:hAnsi="Century Gothic" w:cs="Arial"/>
                <w:b/>
                <w:bCs/>
              </w:rPr>
              <w:t>DIP.</w:t>
            </w:r>
            <w:bookmarkStart w:id="1" w:name="_Hlk83371069"/>
            <w:r w:rsidRPr="00B924D4">
              <w:rPr>
                <w:rFonts w:ascii="Century Gothic" w:hAnsi="Century Gothic" w:cs="Arial"/>
                <w:b/>
                <w:bCs/>
              </w:rPr>
              <w:t xml:space="preserve"> </w:t>
            </w:r>
            <w:bookmarkEnd w:id="1"/>
            <w:r w:rsidRPr="00B924D4">
              <w:rPr>
                <w:rFonts w:ascii="Century Gothic" w:eastAsia="Times New Roman" w:hAnsi="Century Gothic" w:cstheme="minorHAnsi"/>
                <w:b/>
              </w:rPr>
              <w:t>GUSTAVO DE LA ROSA HICKERSON</w:t>
            </w:r>
          </w:p>
        </w:tc>
      </w:tr>
      <w:tr w:rsidR="00737368" w:rsidRPr="00B924D4" w:rsidTr="002604F9">
        <w:trPr>
          <w:trHeight w:val="1984"/>
        </w:trPr>
        <w:tc>
          <w:tcPr>
            <w:tcW w:w="4414" w:type="dxa"/>
            <w:vAlign w:val="bottom"/>
          </w:tcPr>
          <w:p w:rsidR="00737368" w:rsidRPr="00B924D4" w:rsidRDefault="00737368" w:rsidP="002604F9">
            <w:pPr>
              <w:jc w:val="center"/>
              <w:rPr>
                <w:rFonts w:ascii="Century Gothic" w:hAnsi="Century Gothic" w:cs="Arial"/>
                <w:b/>
                <w:bCs/>
              </w:rPr>
            </w:pPr>
            <w:r w:rsidRPr="00B924D4">
              <w:rPr>
                <w:rFonts w:ascii="Century Gothic" w:eastAsia="Times New Roman" w:hAnsi="Century Gothic" w:cstheme="minorHAnsi"/>
                <w:b/>
              </w:rPr>
              <w:t>DIP. MAGDALENA RENTERÍA PÉREZ</w:t>
            </w:r>
          </w:p>
        </w:tc>
        <w:tc>
          <w:tcPr>
            <w:tcW w:w="4414" w:type="dxa"/>
            <w:vAlign w:val="bottom"/>
          </w:tcPr>
          <w:p w:rsidR="00737368" w:rsidRPr="00B924D4" w:rsidRDefault="00737368" w:rsidP="002604F9">
            <w:pPr>
              <w:jc w:val="center"/>
              <w:rPr>
                <w:rFonts w:ascii="Century Gothic" w:hAnsi="Century Gothic" w:cs="Arial"/>
                <w:b/>
                <w:bCs/>
              </w:rPr>
            </w:pPr>
            <w:r w:rsidRPr="00B924D4">
              <w:rPr>
                <w:rFonts w:ascii="Century Gothic" w:hAnsi="Century Gothic" w:cs="Arial"/>
                <w:b/>
                <w:bCs/>
              </w:rPr>
              <w:t>DIP. MARIA ANTONIETA PÉREZ REYES</w:t>
            </w:r>
          </w:p>
        </w:tc>
      </w:tr>
      <w:tr w:rsidR="00737368" w:rsidRPr="00B924D4" w:rsidTr="002604F9">
        <w:trPr>
          <w:trHeight w:val="1984"/>
        </w:trPr>
        <w:tc>
          <w:tcPr>
            <w:tcW w:w="4414" w:type="dxa"/>
            <w:vAlign w:val="bottom"/>
          </w:tcPr>
          <w:p w:rsidR="00737368" w:rsidRPr="00B924D4" w:rsidRDefault="00737368" w:rsidP="002604F9">
            <w:pPr>
              <w:jc w:val="center"/>
              <w:rPr>
                <w:rFonts w:ascii="Century Gothic" w:hAnsi="Century Gothic" w:cs="Arial"/>
                <w:b/>
                <w:bCs/>
              </w:rPr>
            </w:pPr>
            <w:r w:rsidRPr="00B924D4">
              <w:rPr>
                <w:rFonts w:ascii="Century Gothic" w:hAnsi="Century Gothic" w:cs="Arial"/>
                <w:b/>
                <w:bCs/>
              </w:rPr>
              <w:lastRenderedPageBreak/>
              <w:t>DIP. ADRIANA TERRAZAS PORRAS</w:t>
            </w:r>
          </w:p>
        </w:tc>
        <w:tc>
          <w:tcPr>
            <w:tcW w:w="4414" w:type="dxa"/>
            <w:vAlign w:val="bottom"/>
          </w:tcPr>
          <w:p w:rsidR="00737368" w:rsidRPr="00B924D4" w:rsidRDefault="00737368" w:rsidP="002604F9">
            <w:pPr>
              <w:jc w:val="center"/>
              <w:rPr>
                <w:rFonts w:ascii="Century Gothic" w:hAnsi="Century Gothic" w:cs="Arial"/>
                <w:b/>
                <w:bCs/>
              </w:rPr>
            </w:pPr>
            <w:r w:rsidRPr="00B924D4">
              <w:rPr>
                <w:rFonts w:ascii="Century Gothic" w:hAnsi="Century Gothic" w:cs="Arial"/>
                <w:b/>
                <w:bCs/>
              </w:rPr>
              <w:t>DIP. BENJAMÍN CARRERA CHÁVEZ</w:t>
            </w:r>
          </w:p>
        </w:tc>
      </w:tr>
      <w:tr w:rsidR="00737368" w:rsidRPr="00B924D4" w:rsidTr="002604F9">
        <w:trPr>
          <w:trHeight w:val="1984"/>
        </w:trPr>
        <w:tc>
          <w:tcPr>
            <w:tcW w:w="4414" w:type="dxa"/>
            <w:vAlign w:val="bottom"/>
          </w:tcPr>
          <w:p w:rsidR="00737368" w:rsidRPr="00B924D4" w:rsidRDefault="00737368" w:rsidP="002604F9">
            <w:pPr>
              <w:jc w:val="center"/>
              <w:rPr>
                <w:rFonts w:ascii="Century Gothic" w:hAnsi="Century Gothic" w:cs="Arial"/>
                <w:b/>
                <w:bCs/>
              </w:rPr>
            </w:pPr>
          </w:p>
          <w:p w:rsidR="00737368" w:rsidRPr="00B924D4" w:rsidRDefault="00737368" w:rsidP="002604F9">
            <w:pPr>
              <w:jc w:val="center"/>
              <w:rPr>
                <w:rFonts w:ascii="Century Gothic" w:hAnsi="Century Gothic" w:cs="Arial"/>
                <w:b/>
                <w:bCs/>
              </w:rPr>
            </w:pPr>
            <w:r w:rsidRPr="00B924D4">
              <w:rPr>
                <w:rFonts w:ascii="Century Gothic" w:hAnsi="Century Gothic" w:cs="Arial"/>
                <w:b/>
                <w:bCs/>
              </w:rPr>
              <w:t>DIP. DAVID OSCAR CASTREJÓN RIVAS</w:t>
            </w:r>
          </w:p>
        </w:tc>
        <w:tc>
          <w:tcPr>
            <w:tcW w:w="4414" w:type="dxa"/>
          </w:tcPr>
          <w:p w:rsidR="00737368" w:rsidRPr="00B924D4" w:rsidRDefault="00737368" w:rsidP="002604F9">
            <w:pPr>
              <w:jc w:val="center"/>
              <w:rPr>
                <w:rFonts w:ascii="Century Gothic" w:hAnsi="Century Gothic" w:cs="Arial"/>
              </w:rPr>
            </w:pPr>
          </w:p>
        </w:tc>
      </w:tr>
    </w:tbl>
    <w:p w:rsidR="00737368" w:rsidRPr="00B924D4" w:rsidRDefault="00737368" w:rsidP="00737368">
      <w:pPr>
        <w:spacing w:after="0" w:line="240" w:lineRule="auto"/>
        <w:rPr>
          <w:rFonts w:ascii="Century Gothic" w:hAnsi="Century Gothic"/>
          <w:b/>
          <w:bCs/>
        </w:rPr>
      </w:pPr>
      <w:r w:rsidRPr="00B924D4">
        <w:rPr>
          <w:rFonts w:ascii="Century Gothic" w:hAnsi="Century Gothic"/>
          <w:b/>
          <w:bCs/>
          <w:lang w:val="es-ES_tradnl"/>
        </w:rPr>
        <w:t xml:space="preserve"> </w:t>
      </w:r>
    </w:p>
    <w:p w:rsidR="00FF5AD2" w:rsidRPr="00FF5AD2" w:rsidRDefault="00FF5AD2" w:rsidP="00FF5AD2">
      <w:pPr>
        <w:pBdr>
          <w:top w:val="nil"/>
          <w:left w:val="nil"/>
          <w:bottom w:val="nil"/>
          <w:right w:val="nil"/>
          <w:between w:val="nil"/>
        </w:pBdr>
        <w:spacing w:after="0" w:line="360" w:lineRule="auto"/>
        <w:jc w:val="center"/>
        <w:rPr>
          <w:rFonts w:ascii="Century Gothic" w:hAnsi="Century Gothic"/>
          <w:sz w:val="28"/>
          <w:szCs w:val="28"/>
        </w:rPr>
      </w:pPr>
      <w:r>
        <w:rPr>
          <w:rFonts w:ascii="Century Gothic" w:hAnsi="Century Gothic"/>
          <w:sz w:val="28"/>
          <w:szCs w:val="28"/>
        </w:rPr>
        <w:t xml:space="preserve"> </w:t>
      </w:r>
    </w:p>
    <w:p w:rsidR="00000727" w:rsidRPr="003039D2" w:rsidRDefault="003039D2" w:rsidP="00000727">
      <w:pPr>
        <w:pBdr>
          <w:top w:val="nil"/>
          <w:left w:val="nil"/>
          <w:bottom w:val="nil"/>
          <w:right w:val="nil"/>
          <w:between w:val="nil"/>
        </w:pBdr>
        <w:spacing w:after="0" w:line="360" w:lineRule="auto"/>
        <w:jc w:val="both"/>
        <w:rPr>
          <w:rFonts w:ascii="Century Gothic" w:hAnsi="Century Gothic"/>
          <w:b/>
          <w:sz w:val="28"/>
          <w:szCs w:val="28"/>
        </w:rPr>
      </w:pPr>
      <w:r w:rsidRPr="003039D2">
        <w:rPr>
          <w:rFonts w:ascii="Century Gothic" w:hAnsi="Century Gothic"/>
          <w:b/>
          <w:sz w:val="28"/>
          <w:szCs w:val="28"/>
        </w:rPr>
        <w:t xml:space="preserve"> </w:t>
      </w:r>
    </w:p>
    <w:p w:rsidR="00000727" w:rsidRDefault="00000727" w:rsidP="00000727">
      <w:pPr>
        <w:pBdr>
          <w:top w:val="nil"/>
          <w:left w:val="nil"/>
          <w:bottom w:val="nil"/>
          <w:right w:val="nil"/>
          <w:between w:val="nil"/>
        </w:pBdr>
        <w:spacing w:after="0" w:line="360" w:lineRule="auto"/>
        <w:jc w:val="both"/>
        <w:rPr>
          <w:rFonts w:ascii="Century Gothic" w:hAnsi="Century Gothic"/>
          <w:sz w:val="28"/>
          <w:szCs w:val="28"/>
        </w:rPr>
      </w:pPr>
    </w:p>
    <w:p w:rsidR="00000727" w:rsidRPr="00000727" w:rsidRDefault="00000727" w:rsidP="00000727">
      <w:pPr>
        <w:pBdr>
          <w:top w:val="nil"/>
          <w:left w:val="nil"/>
          <w:bottom w:val="nil"/>
          <w:right w:val="nil"/>
          <w:between w:val="nil"/>
        </w:pBdr>
        <w:spacing w:after="0" w:line="360" w:lineRule="auto"/>
        <w:jc w:val="both"/>
        <w:rPr>
          <w:rFonts w:ascii="Century Gothic" w:eastAsia="Century Gothic" w:hAnsi="Century Gothic" w:cs="Century Gothic"/>
          <w:color w:val="000000"/>
          <w:sz w:val="28"/>
          <w:szCs w:val="28"/>
        </w:rPr>
      </w:pPr>
    </w:p>
    <w:sectPr w:rsidR="00000727" w:rsidRPr="0000072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AB" w:rsidRDefault="000712AB" w:rsidP="00321079">
      <w:pPr>
        <w:spacing w:after="0" w:line="240" w:lineRule="auto"/>
      </w:pPr>
      <w:r>
        <w:separator/>
      </w:r>
    </w:p>
  </w:endnote>
  <w:endnote w:type="continuationSeparator" w:id="0">
    <w:p w:rsidR="000712AB" w:rsidRDefault="000712AB" w:rsidP="0032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AB" w:rsidRDefault="000712AB" w:rsidP="00321079">
      <w:pPr>
        <w:spacing w:after="0" w:line="240" w:lineRule="auto"/>
      </w:pPr>
      <w:r>
        <w:separator/>
      </w:r>
    </w:p>
  </w:footnote>
  <w:footnote w:type="continuationSeparator" w:id="0">
    <w:p w:rsidR="000712AB" w:rsidRDefault="000712AB" w:rsidP="00321079">
      <w:pPr>
        <w:spacing w:after="0" w:line="240" w:lineRule="auto"/>
      </w:pPr>
      <w:r>
        <w:continuationSeparator/>
      </w:r>
    </w:p>
  </w:footnote>
  <w:footnote w:id="1">
    <w:p w:rsidR="00321079" w:rsidRDefault="00321079">
      <w:pPr>
        <w:pStyle w:val="Textonotapie"/>
      </w:pPr>
      <w:r>
        <w:rPr>
          <w:rStyle w:val="Refdenotaalpie"/>
        </w:rPr>
        <w:footnoteRef/>
      </w:r>
      <w:r>
        <w:t xml:space="preserve"> Constitución Política de los Estados Unidos Mexicanos en el artículo 4°</w:t>
      </w:r>
    </w:p>
  </w:footnote>
  <w:footnote w:id="2">
    <w:p w:rsidR="00321079" w:rsidRDefault="00321079">
      <w:pPr>
        <w:pStyle w:val="Textonotapie"/>
      </w:pPr>
      <w:r>
        <w:rPr>
          <w:rStyle w:val="Refdenotaalpie"/>
        </w:rPr>
        <w:footnoteRef/>
      </w:r>
      <w:r>
        <w:t xml:space="preserve"> </w:t>
      </w:r>
      <w:r w:rsidRPr="00321079">
        <w:t>https://www.cndh.org.mx/sites/default/files/doc/Programas/Ninez_familia/Material/cuadri_interes_superior_NNA.pdf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33A1D"/>
    <w:multiLevelType w:val="hybridMultilevel"/>
    <w:tmpl w:val="5096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7D"/>
    <w:rsid w:val="00000727"/>
    <w:rsid w:val="00024EFB"/>
    <w:rsid w:val="000712AB"/>
    <w:rsid w:val="00260228"/>
    <w:rsid w:val="002D3778"/>
    <w:rsid w:val="003039D2"/>
    <w:rsid w:val="003125DE"/>
    <w:rsid w:val="00321079"/>
    <w:rsid w:val="004174F0"/>
    <w:rsid w:val="006432EC"/>
    <w:rsid w:val="006D2340"/>
    <w:rsid w:val="006E747D"/>
    <w:rsid w:val="00737368"/>
    <w:rsid w:val="00744508"/>
    <w:rsid w:val="00785FB1"/>
    <w:rsid w:val="007F406A"/>
    <w:rsid w:val="00885373"/>
    <w:rsid w:val="009004C1"/>
    <w:rsid w:val="009610CF"/>
    <w:rsid w:val="00A23880"/>
    <w:rsid w:val="00AC5109"/>
    <w:rsid w:val="00AE4952"/>
    <w:rsid w:val="00DE0724"/>
    <w:rsid w:val="00E4245B"/>
    <w:rsid w:val="00F63A98"/>
    <w:rsid w:val="00F67796"/>
    <w:rsid w:val="00FF5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FB8E2-11D7-45F8-8186-6BF2977B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47D"/>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7796"/>
    <w:pPr>
      <w:ind w:left="720"/>
      <w:contextualSpacing/>
    </w:pPr>
  </w:style>
  <w:style w:type="paragraph" w:styleId="Textonotapie">
    <w:name w:val="footnote text"/>
    <w:basedOn w:val="Normal"/>
    <w:link w:val="TextonotapieCar"/>
    <w:uiPriority w:val="99"/>
    <w:semiHidden/>
    <w:unhideWhenUsed/>
    <w:rsid w:val="003210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1079"/>
    <w:rPr>
      <w:rFonts w:ascii="Calibri" w:eastAsia="Calibri" w:hAnsi="Calibri" w:cs="Calibri"/>
      <w:sz w:val="20"/>
      <w:szCs w:val="20"/>
      <w:lang w:eastAsia="es-MX"/>
    </w:rPr>
  </w:style>
  <w:style w:type="character" w:styleId="Refdenotaalpie">
    <w:name w:val="footnote reference"/>
    <w:basedOn w:val="Fuentedeprrafopredeter"/>
    <w:uiPriority w:val="99"/>
    <w:semiHidden/>
    <w:unhideWhenUsed/>
    <w:rsid w:val="00321079"/>
    <w:rPr>
      <w:vertAlign w:val="superscript"/>
    </w:rPr>
  </w:style>
  <w:style w:type="table" w:styleId="Tablaconcuadrcula">
    <w:name w:val="Table Grid"/>
    <w:basedOn w:val="Tablanormal"/>
    <w:uiPriority w:val="39"/>
    <w:rsid w:val="00785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unhideWhenUsed/>
    <w:rsid w:val="00737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A034-AF40-4140-B268-35F956EE0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1245</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5</cp:revision>
  <dcterms:created xsi:type="dcterms:W3CDTF">2021-11-23T18:23:00Z</dcterms:created>
  <dcterms:modified xsi:type="dcterms:W3CDTF">2021-11-24T18:49:00Z</dcterms:modified>
</cp:coreProperties>
</file>