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B17AD1" w:rsidRDefault="005442F2" w:rsidP="00B17AD1">
      <w:pPr>
        <w:spacing w:after="120" w:line="360" w:lineRule="auto"/>
        <w:jc w:val="both"/>
        <w:rPr>
          <w:rFonts w:ascii="Century Gothic" w:hAnsi="Century Gothic" w:cstheme="minorHAnsi"/>
          <w:b/>
          <w:sz w:val="24"/>
          <w:szCs w:val="24"/>
        </w:rPr>
      </w:pPr>
      <w:bookmarkStart w:id="0" w:name="_GoBack"/>
      <w:bookmarkEnd w:id="0"/>
      <w:r w:rsidRPr="00B17AD1">
        <w:rPr>
          <w:rFonts w:ascii="Century Gothic" w:hAnsi="Century Gothic" w:cstheme="minorHAnsi"/>
          <w:b/>
          <w:sz w:val="24"/>
          <w:szCs w:val="24"/>
        </w:rPr>
        <w:t>H. CONGRESO DEL ESTADO DE CHIHUAHUA</w:t>
      </w:r>
    </w:p>
    <w:p w14:paraId="1C1C2286" w14:textId="2644CE84" w:rsidR="001A343E" w:rsidRDefault="005442F2" w:rsidP="00B17AD1">
      <w:pPr>
        <w:spacing w:after="120" w:line="360" w:lineRule="auto"/>
        <w:jc w:val="both"/>
        <w:rPr>
          <w:rFonts w:ascii="Century Gothic" w:hAnsi="Century Gothic" w:cstheme="minorHAnsi"/>
          <w:b/>
          <w:sz w:val="24"/>
          <w:szCs w:val="24"/>
        </w:rPr>
      </w:pPr>
      <w:r w:rsidRPr="00B17AD1">
        <w:rPr>
          <w:rFonts w:ascii="Century Gothic" w:hAnsi="Century Gothic" w:cstheme="minorHAnsi"/>
          <w:b/>
          <w:sz w:val="24"/>
          <w:szCs w:val="24"/>
        </w:rPr>
        <w:t xml:space="preserve">P R E S E N T E. </w:t>
      </w:r>
    </w:p>
    <w:p w14:paraId="38B35613" w14:textId="77777777" w:rsidR="00B17AD1" w:rsidRPr="00B17AD1" w:rsidRDefault="00B17AD1" w:rsidP="00B17AD1">
      <w:pPr>
        <w:spacing w:after="120" w:line="360" w:lineRule="auto"/>
        <w:jc w:val="both"/>
        <w:rPr>
          <w:rFonts w:ascii="Century Gothic" w:hAnsi="Century Gothic" w:cstheme="minorHAnsi"/>
          <w:b/>
          <w:sz w:val="24"/>
          <w:szCs w:val="24"/>
        </w:rPr>
      </w:pPr>
    </w:p>
    <w:p w14:paraId="189B0BA0" w14:textId="5CFDBABE" w:rsidR="005442F2" w:rsidRPr="00B17AD1" w:rsidRDefault="00283C0B" w:rsidP="00B17AD1">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 xml:space="preserve">Los que suscriben </w:t>
      </w:r>
      <w:r w:rsidR="00C714CE" w:rsidRPr="00B17AD1">
        <w:rPr>
          <w:rFonts w:ascii="Century Gothic" w:hAnsi="Century Gothic" w:cstheme="minorHAnsi"/>
          <w:b/>
          <w:bCs/>
          <w:sz w:val="24"/>
          <w:szCs w:val="24"/>
        </w:rPr>
        <w:t xml:space="preserve">Leticia Ortega Máynez, </w:t>
      </w:r>
      <w:r w:rsidR="005B3653">
        <w:rPr>
          <w:rFonts w:ascii="Century Gothic" w:hAnsi="Century Gothic" w:cstheme="minorHAnsi"/>
          <w:b/>
          <w:bCs/>
          <w:sz w:val="24"/>
          <w:szCs w:val="24"/>
        </w:rPr>
        <w:t>Edin Cuauhtémoc Estrada Sotelo</w:t>
      </w:r>
      <w:r w:rsidRPr="00B17AD1">
        <w:rPr>
          <w:rFonts w:ascii="Century Gothic" w:hAnsi="Century Gothic" w:cstheme="minorHAnsi"/>
          <w:b/>
          <w:bCs/>
          <w:sz w:val="24"/>
          <w:szCs w:val="24"/>
        </w:rPr>
        <w:t>, Óscar Daniel Avitia Arellanes, Rosana Díaz Reyes, Gustavo De la Rosa Hickerson, Magdalena Rentería Pérez, Mar</w:t>
      </w:r>
      <w:r w:rsidR="008169E4" w:rsidRPr="00B17AD1">
        <w:rPr>
          <w:rFonts w:ascii="Century Gothic" w:hAnsi="Century Gothic" w:cstheme="minorHAnsi"/>
          <w:b/>
          <w:bCs/>
          <w:sz w:val="24"/>
          <w:szCs w:val="24"/>
        </w:rPr>
        <w:t>í</w:t>
      </w:r>
      <w:r w:rsidRPr="00B17AD1">
        <w:rPr>
          <w:rFonts w:ascii="Century Gothic" w:hAnsi="Century Gothic" w:cstheme="minorHAnsi"/>
          <w:b/>
          <w:bCs/>
          <w:sz w:val="24"/>
          <w:szCs w:val="24"/>
        </w:rPr>
        <w:t xml:space="preserve">a Antonieta Pérez Reyes, Adriana Terrazas Porras, Benjamín Carrera Chávez y David </w:t>
      </w:r>
      <w:r w:rsidR="008169E4" w:rsidRPr="00B17AD1">
        <w:rPr>
          <w:rFonts w:ascii="Century Gothic" w:hAnsi="Century Gothic" w:cstheme="minorHAnsi"/>
          <w:b/>
          <w:bCs/>
          <w:sz w:val="24"/>
          <w:szCs w:val="24"/>
        </w:rPr>
        <w:t>Ó</w:t>
      </w:r>
      <w:r w:rsidRPr="00B17AD1">
        <w:rPr>
          <w:rFonts w:ascii="Century Gothic" w:hAnsi="Century Gothic" w:cstheme="minorHAnsi"/>
          <w:b/>
          <w:bCs/>
          <w:sz w:val="24"/>
          <w:szCs w:val="24"/>
        </w:rPr>
        <w:t xml:space="preserve">scar Castrejón Rivas, </w:t>
      </w:r>
      <w:r w:rsidRPr="00B17AD1">
        <w:rPr>
          <w:rFonts w:ascii="Century Gothic" w:eastAsia="Times New Roman" w:hAnsi="Century Gothic" w:cstheme="minorHAnsi"/>
          <w:bCs/>
          <w:sz w:val="24"/>
          <w:szCs w:val="24"/>
        </w:rPr>
        <w:t>en nuestro carácter de Diputados de la</w:t>
      </w:r>
      <w:r w:rsidRPr="00B17AD1">
        <w:rPr>
          <w:rFonts w:ascii="Century Gothic" w:eastAsia="Times New Roman" w:hAnsi="Century Gothic" w:cstheme="minorHAnsi"/>
          <w:sz w:val="24"/>
          <w:szCs w:val="24"/>
        </w:rPr>
        <w:t xml:space="preserve"> </w:t>
      </w:r>
      <w:r w:rsidRPr="00B17AD1">
        <w:rPr>
          <w:rFonts w:ascii="Century Gothic" w:hAnsi="Century Gothic" w:cstheme="minorHAnsi"/>
          <w:sz w:val="24"/>
          <w:szCs w:val="24"/>
        </w:rPr>
        <w:t xml:space="preserve">Sexagésima Séptima Legislatura del Honorable Congreso del Estado de Chihuahua e integrantes del </w:t>
      </w:r>
      <w:r w:rsidRPr="00B17AD1">
        <w:rPr>
          <w:rFonts w:ascii="Century Gothic" w:hAnsi="Century Gothic" w:cstheme="minorHAnsi"/>
          <w:b/>
          <w:bCs/>
          <w:sz w:val="24"/>
          <w:szCs w:val="24"/>
        </w:rPr>
        <w:t xml:space="preserve">Grupo Parlamentario de </w:t>
      </w:r>
      <w:r w:rsidR="00134451" w:rsidRPr="00B17AD1">
        <w:rPr>
          <w:rFonts w:ascii="Century Gothic" w:hAnsi="Century Gothic" w:cstheme="minorHAnsi"/>
          <w:b/>
          <w:bCs/>
          <w:sz w:val="24"/>
          <w:szCs w:val="24"/>
        </w:rPr>
        <w:t>MORENA</w:t>
      </w:r>
      <w:r w:rsidRPr="00B17AD1">
        <w:rPr>
          <w:rFonts w:ascii="Century Gothic" w:hAnsi="Century Gothic" w:cstheme="minorHAnsi"/>
          <w:sz w:val="24"/>
          <w:szCs w:val="24"/>
        </w:rPr>
        <w:t xml:space="preserve">,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w:t>
      </w:r>
      <w:r w:rsidR="0063174E" w:rsidRPr="00B17AD1">
        <w:rPr>
          <w:rFonts w:ascii="Century Gothic" w:hAnsi="Century Gothic" w:cstheme="minorHAnsi"/>
          <w:sz w:val="24"/>
          <w:szCs w:val="24"/>
        </w:rPr>
        <w:t>someter a consideración del Pleno el siguiente proyecto con</w:t>
      </w:r>
      <w:r w:rsidR="004D77F0" w:rsidRPr="00B17AD1">
        <w:rPr>
          <w:rFonts w:ascii="Century Gothic" w:hAnsi="Century Gothic" w:cstheme="minorHAnsi"/>
          <w:sz w:val="24"/>
          <w:szCs w:val="24"/>
        </w:rPr>
        <w:t xml:space="preserve"> </w:t>
      </w:r>
      <w:r w:rsidR="004D77F0" w:rsidRPr="00B17AD1">
        <w:rPr>
          <w:rFonts w:ascii="Century Gothic" w:hAnsi="Century Gothic" w:cstheme="minorHAnsi"/>
          <w:b/>
          <w:bCs/>
          <w:sz w:val="24"/>
          <w:szCs w:val="24"/>
        </w:rPr>
        <w:t xml:space="preserve">carácter de </w:t>
      </w:r>
      <w:r w:rsidR="0063174E" w:rsidRPr="00B17AD1">
        <w:rPr>
          <w:rFonts w:ascii="Century Gothic" w:hAnsi="Century Gothic" w:cstheme="minorHAnsi"/>
          <w:b/>
          <w:bCs/>
          <w:sz w:val="24"/>
          <w:szCs w:val="24"/>
        </w:rPr>
        <w:t>DECRETO</w:t>
      </w:r>
      <w:r w:rsidR="004D77F0" w:rsidRPr="00B17AD1">
        <w:rPr>
          <w:rFonts w:ascii="Century Gothic" w:hAnsi="Century Gothic" w:cstheme="minorHAnsi"/>
          <w:sz w:val="24"/>
          <w:szCs w:val="24"/>
        </w:rPr>
        <w:t>,</w:t>
      </w:r>
      <w:r w:rsidR="0029446B" w:rsidRPr="00B17AD1">
        <w:rPr>
          <w:rFonts w:ascii="Century Gothic" w:hAnsi="Century Gothic" w:cstheme="minorHAnsi"/>
          <w:sz w:val="24"/>
          <w:szCs w:val="24"/>
        </w:rPr>
        <w:t xml:space="preserve"> </w:t>
      </w:r>
      <w:r w:rsidR="0029446B" w:rsidRPr="00B17AD1">
        <w:rPr>
          <w:rFonts w:ascii="Century Gothic" w:hAnsi="Century Gothic" w:cstheme="minorHAnsi"/>
          <w:b/>
          <w:sz w:val="24"/>
          <w:szCs w:val="24"/>
        </w:rPr>
        <w:t xml:space="preserve">por medio del cual se </w:t>
      </w:r>
      <w:r w:rsidR="00B17AD1" w:rsidRPr="00B17AD1">
        <w:rPr>
          <w:rFonts w:ascii="Century Gothic" w:hAnsi="Century Gothic" w:cs="Arial"/>
          <w:b/>
          <w:sz w:val="24"/>
          <w:szCs w:val="24"/>
          <w:shd w:val="clear" w:color="auto" w:fill="FFFFFF"/>
        </w:rPr>
        <w:t>adiciona el artículo 195 bis, del Código Civil del Estado de Chihuahua</w:t>
      </w:r>
      <w:r w:rsidR="0001535C" w:rsidRPr="00B17AD1">
        <w:rPr>
          <w:rFonts w:ascii="Century Gothic" w:hAnsi="Century Gothic" w:cstheme="minorHAnsi"/>
          <w:sz w:val="24"/>
          <w:szCs w:val="24"/>
        </w:rPr>
        <w:t xml:space="preserve">, </w:t>
      </w:r>
      <w:r w:rsidR="00383EBC" w:rsidRPr="00B17AD1">
        <w:rPr>
          <w:rFonts w:ascii="Century Gothic" w:hAnsi="Century Gothic" w:cstheme="minorHAnsi"/>
          <w:sz w:val="24"/>
          <w:szCs w:val="24"/>
        </w:rPr>
        <w:t xml:space="preserve">lo anterior </w:t>
      </w:r>
      <w:r w:rsidR="00E2101A" w:rsidRPr="00B17AD1">
        <w:rPr>
          <w:rFonts w:ascii="Century Gothic" w:hAnsi="Century Gothic" w:cstheme="minorHAnsi"/>
          <w:sz w:val="24"/>
          <w:szCs w:val="24"/>
        </w:rPr>
        <w:t xml:space="preserve">con sustento en </w:t>
      </w:r>
      <w:r w:rsidR="00383EBC" w:rsidRPr="00B17AD1">
        <w:rPr>
          <w:rFonts w:ascii="Century Gothic" w:hAnsi="Century Gothic" w:cstheme="minorHAnsi"/>
          <w:sz w:val="24"/>
          <w:szCs w:val="24"/>
        </w:rPr>
        <w:t>la siguiente:</w:t>
      </w:r>
    </w:p>
    <w:p w14:paraId="5C46E7D6" w14:textId="741A9FA1" w:rsidR="00383EBC" w:rsidRPr="00B17AD1" w:rsidRDefault="00377087" w:rsidP="00B17AD1">
      <w:pPr>
        <w:tabs>
          <w:tab w:val="left" w:pos="8040"/>
        </w:tabs>
        <w:spacing w:after="120" w:line="360" w:lineRule="auto"/>
        <w:jc w:val="both"/>
        <w:rPr>
          <w:rFonts w:ascii="Century Gothic" w:hAnsi="Century Gothic" w:cs="Arial"/>
          <w:sz w:val="24"/>
          <w:szCs w:val="24"/>
          <w:lang w:val="es-ES_tradnl"/>
        </w:rPr>
      </w:pPr>
      <w:r w:rsidRPr="00B17AD1">
        <w:rPr>
          <w:rFonts w:ascii="Century Gothic" w:hAnsi="Century Gothic" w:cs="Arial"/>
          <w:sz w:val="24"/>
          <w:szCs w:val="24"/>
          <w:lang w:val="es-ES_tradnl"/>
        </w:rPr>
        <w:tab/>
      </w:r>
    </w:p>
    <w:p w14:paraId="0F19C900" w14:textId="77777777" w:rsidR="005442F2" w:rsidRPr="00B17AD1" w:rsidRDefault="005442F2" w:rsidP="00B17AD1">
      <w:pPr>
        <w:spacing w:after="120" w:line="360" w:lineRule="auto"/>
        <w:jc w:val="center"/>
        <w:rPr>
          <w:rFonts w:ascii="Century Gothic" w:hAnsi="Century Gothic" w:cstheme="minorHAnsi"/>
          <w:b/>
          <w:sz w:val="24"/>
          <w:szCs w:val="24"/>
        </w:rPr>
      </w:pPr>
      <w:r w:rsidRPr="00B17AD1">
        <w:rPr>
          <w:rFonts w:ascii="Century Gothic" w:hAnsi="Century Gothic" w:cstheme="minorHAnsi"/>
          <w:b/>
          <w:sz w:val="24"/>
          <w:szCs w:val="24"/>
        </w:rPr>
        <w:t>EXPOSICIÓN DE MOTIVOS:</w:t>
      </w:r>
    </w:p>
    <w:p w14:paraId="1EA08379" w14:textId="77777777" w:rsidR="009F7752" w:rsidRDefault="009F7752" w:rsidP="00B17AD1">
      <w:pPr>
        <w:spacing w:after="120" w:line="360" w:lineRule="auto"/>
        <w:jc w:val="both"/>
        <w:rPr>
          <w:rFonts w:ascii="Century Gothic" w:hAnsi="Century Gothic" w:cstheme="minorHAnsi"/>
          <w:sz w:val="24"/>
          <w:szCs w:val="24"/>
        </w:rPr>
      </w:pPr>
    </w:p>
    <w:p w14:paraId="59F9491C" w14:textId="2E336B85" w:rsidR="00E902B1"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 xml:space="preserve">La asignación tradicional de roles dentro del funcionamiento del matrimonio ha coartado, históricamente, la libertad de las mujeres para </w:t>
      </w:r>
      <w:r w:rsidR="00E902B1">
        <w:rPr>
          <w:rFonts w:ascii="Century Gothic" w:hAnsi="Century Gothic" w:cstheme="minorHAnsi"/>
          <w:sz w:val="24"/>
          <w:szCs w:val="24"/>
        </w:rPr>
        <w:t xml:space="preserve">desarrollarse profesional y laboralmente, </w:t>
      </w:r>
      <w:r w:rsidR="00A73470">
        <w:rPr>
          <w:rFonts w:ascii="Century Gothic" w:hAnsi="Century Gothic" w:cstheme="minorHAnsi"/>
          <w:sz w:val="24"/>
          <w:szCs w:val="24"/>
        </w:rPr>
        <w:t xml:space="preserve">teniendo </w:t>
      </w:r>
      <w:r w:rsidR="00E902B1">
        <w:rPr>
          <w:rFonts w:ascii="Century Gothic" w:hAnsi="Century Gothic" w:cstheme="minorHAnsi"/>
          <w:sz w:val="24"/>
          <w:szCs w:val="24"/>
        </w:rPr>
        <w:t>la responsabilidad</w:t>
      </w:r>
      <w:r w:rsidR="00A73470">
        <w:rPr>
          <w:rFonts w:ascii="Century Gothic" w:hAnsi="Century Gothic" w:cstheme="minorHAnsi"/>
          <w:sz w:val="24"/>
          <w:szCs w:val="24"/>
        </w:rPr>
        <w:t xml:space="preserve"> total</w:t>
      </w:r>
      <w:r w:rsidR="00E902B1">
        <w:rPr>
          <w:rFonts w:ascii="Century Gothic" w:hAnsi="Century Gothic" w:cstheme="minorHAnsi"/>
          <w:sz w:val="24"/>
          <w:szCs w:val="24"/>
        </w:rPr>
        <w:t xml:space="preserve"> del hogar, y del cuidado de las y los hijos</w:t>
      </w:r>
      <w:r w:rsidR="00A73470">
        <w:rPr>
          <w:rFonts w:ascii="Century Gothic" w:hAnsi="Century Gothic" w:cstheme="minorHAnsi"/>
          <w:sz w:val="24"/>
          <w:szCs w:val="24"/>
        </w:rPr>
        <w:t>,</w:t>
      </w:r>
      <w:r w:rsidR="00E902B1">
        <w:rPr>
          <w:rFonts w:ascii="Century Gothic" w:hAnsi="Century Gothic" w:cstheme="minorHAnsi"/>
          <w:sz w:val="24"/>
          <w:szCs w:val="24"/>
        </w:rPr>
        <w:t xml:space="preserve"> </w:t>
      </w:r>
      <w:r w:rsidR="00A73470">
        <w:rPr>
          <w:rFonts w:ascii="Century Gothic" w:hAnsi="Century Gothic" w:cstheme="minorHAnsi"/>
          <w:sz w:val="24"/>
          <w:szCs w:val="24"/>
        </w:rPr>
        <w:t xml:space="preserve">se </w:t>
      </w:r>
      <w:r w:rsidR="00E902B1">
        <w:rPr>
          <w:rFonts w:ascii="Century Gothic" w:hAnsi="Century Gothic" w:cstheme="minorHAnsi"/>
          <w:sz w:val="24"/>
          <w:szCs w:val="24"/>
        </w:rPr>
        <w:t xml:space="preserve">limita su tiempo para realizar otras </w:t>
      </w:r>
      <w:r w:rsidR="00E902B1">
        <w:rPr>
          <w:rFonts w:ascii="Century Gothic" w:hAnsi="Century Gothic" w:cstheme="minorHAnsi"/>
          <w:sz w:val="24"/>
          <w:szCs w:val="24"/>
        </w:rPr>
        <w:lastRenderedPageBreak/>
        <w:t>activid</w:t>
      </w:r>
      <w:r w:rsidR="00A73470">
        <w:rPr>
          <w:rFonts w:ascii="Century Gothic" w:hAnsi="Century Gothic" w:cstheme="minorHAnsi"/>
          <w:sz w:val="24"/>
          <w:szCs w:val="24"/>
        </w:rPr>
        <w:t>ades que permitan incluso generar sus propios ingresos</w:t>
      </w:r>
      <w:r w:rsidR="00D05604">
        <w:rPr>
          <w:rFonts w:ascii="Century Gothic" w:hAnsi="Century Gothic" w:cstheme="minorHAnsi"/>
          <w:sz w:val="24"/>
          <w:szCs w:val="24"/>
        </w:rPr>
        <w:t>, teniendo como consecuencia una desigualdad económica entre los cónyuges</w:t>
      </w:r>
      <w:r w:rsidR="00E902B1">
        <w:rPr>
          <w:rFonts w:ascii="Century Gothic" w:hAnsi="Century Gothic" w:cstheme="minorHAnsi"/>
          <w:sz w:val="24"/>
          <w:szCs w:val="24"/>
        </w:rPr>
        <w:t xml:space="preserve">. </w:t>
      </w:r>
      <w:r w:rsidR="00A73470">
        <w:rPr>
          <w:rFonts w:ascii="Century Gothic" w:hAnsi="Century Gothic" w:cstheme="minorHAnsi"/>
          <w:sz w:val="24"/>
          <w:szCs w:val="24"/>
        </w:rPr>
        <w:t xml:space="preserve">En estos casos el patrimonio familiar se conforma </w:t>
      </w:r>
      <w:r w:rsidR="00D05604">
        <w:rPr>
          <w:rFonts w:ascii="Century Gothic" w:hAnsi="Century Gothic" w:cstheme="minorHAnsi"/>
          <w:sz w:val="24"/>
          <w:szCs w:val="24"/>
        </w:rPr>
        <w:t xml:space="preserve">solamente </w:t>
      </w:r>
      <w:r w:rsidR="00A73470">
        <w:rPr>
          <w:rFonts w:ascii="Century Gothic" w:hAnsi="Century Gothic" w:cstheme="minorHAnsi"/>
          <w:sz w:val="24"/>
          <w:szCs w:val="24"/>
        </w:rPr>
        <w:t xml:space="preserve">con la aportación </w:t>
      </w:r>
      <w:r w:rsidR="00D05604">
        <w:rPr>
          <w:rFonts w:ascii="Century Gothic" w:hAnsi="Century Gothic" w:cstheme="minorHAnsi"/>
          <w:sz w:val="24"/>
          <w:szCs w:val="24"/>
        </w:rPr>
        <w:t>del cónyuge</w:t>
      </w:r>
      <w:r w:rsidR="00E902B1">
        <w:rPr>
          <w:rFonts w:ascii="Century Gothic" w:hAnsi="Century Gothic" w:cstheme="minorHAnsi"/>
          <w:sz w:val="24"/>
          <w:szCs w:val="24"/>
        </w:rPr>
        <w:t xml:space="preserve"> </w:t>
      </w:r>
      <w:r w:rsidR="00D05604">
        <w:rPr>
          <w:rFonts w:ascii="Century Gothic" w:hAnsi="Century Gothic" w:cstheme="minorHAnsi"/>
          <w:sz w:val="24"/>
          <w:szCs w:val="24"/>
        </w:rPr>
        <w:t xml:space="preserve">que </w:t>
      </w:r>
      <w:r w:rsidR="00E902B1">
        <w:rPr>
          <w:rFonts w:ascii="Century Gothic" w:hAnsi="Century Gothic" w:cstheme="minorHAnsi"/>
          <w:sz w:val="24"/>
          <w:szCs w:val="24"/>
        </w:rPr>
        <w:t>trabaja y provee de recursos al hogar para su subs</w:t>
      </w:r>
      <w:r w:rsidR="00D05604">
        <w:rPr>
          <w:rFonts w:ascii="Century Gothic" w:hAnsi="Century Gothic" w:cstheme="minorHAnsi"/>
          <w:sz w:val="24"/>
          <w:szCs w:val="24"/>
        </w:rPr>
        <w:t xml:space="preserve">istencia, siendo éste el que ostenta el dominio económico. </w:t>
      </w:r>
    </w:p>
    <w:p w14:paraId="05B0879B" w14:textId="77777777" w:rsidR="009F7752" w:rsidRDefault="009F7752" w:rsidP="00B17AD1">
      <w:pPr>
        <w:spacing w:after="120" w:line="360" w:lineRule="auto"/>
        <w:jc w:val="both"/>
        <w:rPr>
          <w:rFonts w:ascii="Century Gothic" w:hAnsi="Century Gothic" w:cstheme="minorHAnsi"/>
          <w:sz w:val="24"/>
          <w:szCs w:val="24"/>
        </w:rPr>
      </w:pPr>
    </w:p>
    <w:p w14:paraId="4AE3DFB0" w14:textId="6735C4DA" w:rsidR="006030F2" w:rsidRPr="00B17AD1" w:rsidRDefault="00F22560" w:rsidP="006030F2">
      <w:pPr>
        <w:spacing w:after="120" w:line="360" w:lineRule="auto"/>
        <w:jc w:val="both"/>
        <w:rPr>
          <w:rFonts w:ascii="Century Gothic" w:hAnsi="Century Gothic" w:cstheme="minorHAnsi"/>
          <w:sz w:val="24"/>
          <w:szCs w:val="24"/>
        </w:rPr>
      </w:pPr>
      <w:r>
        <w:rPr>
          <w:rFonts w:ascii="Century Gothic" w:hAnsi="Century Gothic" w:cstheme="minorHAnsi"/>
          <w:sz w:val="24"/>
          <w:szCs w:val="24"/>
        </w:rPr>
        <w:t>Estas situaciones</w:t>
      </w:r>
      <w:r w:rsidRPr="00B17AD1">
        <w:rPr>
          <w:rFonts w:ascii="Century Gothic" w:hAnsi="Century Gothic" w:cstheme="minorHAnsi"/>
          <w:sz w:val="24"/>
          <w:szCs w:val="24"/>
        </w:rPr>
        <w:t xml:space="preserve"> refuerzan conceptos estereotipados de las funciones de la mujer y del hombre que perpetúan una discriminación de facto en su contra dentro de la esfera familiar, y que, a su vez, tienen el efecto de dificultar la capacidad de los hombres para desarrollar plenamente sus papeles dentro del matrimonio y de la familia. </w:t>
      </w:r>
      <w:r w:rsidR="006030F2">
        <w:rPr>
          <w:rFonts w:ascii="Century Gothic" w:hAnsi="Century Gothic" w:cstheme="minorHAnsi"/>
          <w:sz w:val="24"/>
          <w:szCs w:val="24"/>
        </w:rPr>
        <w:t>G</w:t>
      </w:r>
      <w:r w:rsidRPr="00B17AD1">
        <w:rPr>
          <w:rFonts w:ascii="Century Gothic" w:hAnsi="Century Gothic" w:cstheme="minorHAnsi"/>
          <w:sz w:val="24"/>
          <w:szCs w:val="24"/>
        </w:rPr>
        <w:t>eneran</w:t>
      </w:r>
      <w:r w:rsidR="006030F2">
        <w:rPr>
          <w:rFonts w:ascii="Century Gothic" w:hAnsi="Century Gothic" w:cstheme="minorHAnsi"/>
          <w:sz w:val="24"/>
          <w:szCs w:val="24"/>
        </w:rPr>
        <w:t>do</w:t>
      </w:r>
      <w:r w:rsidRPr="00B17AD1">
        <w:rPr>
          <w:rFonts w:ascii="Century Gothic" w:hAnsi="Century Gothic" w:cstheme="minorHAnsi"/>
          <w:sz w:val="24"/>
          <w:szCs w:val="24"/>
        </w:rPr>
        <w:t xml:space="preserve"> desequilibrio</w:t>
      </w:r>
      <w:r w:rsidR="006030F2">
        <w:rPr>
          <w:rFonts w:ascii="Century Gothic" w:hAnsi="Century Gothic" w:cstheme="minorHAnsi"/>
          <w:sz w:val="24"/>
          <w:szCs w:val="24"/>
        </w:rPr>
        <w:t xml:space="preserve"> en la vida familiar</w:t>
      </w:r>
      <w:r w:rsidRPr="00B17AD1">
        <w:rPr>
          <w:rFonts w:ascii="Century Gothic" w:hAnsi="Century Gothic" w:cstheme="minorHAnsi"/>
          <w:sz w:val="24"/>
          <w:szCs w:val="24"/>
        </w:rPr>
        <w:t xml:space="preserve">. </w:t>
      </w:r>
    </w:p>
    <w:p w14:paraId="1BEE3629" w14:textId="77777777" w:rsidR="009F7752" w:rsidRDefault="009F7752" w:rsidP="00F22560">
      <w:pPr>
        <w:spacing w:after="120" w:line="360" w:lineRule="auto"/>
        <w:jc w:val="both"/>
        <w:rPr>
          <w:rFonts w:ascii="Century Gothic" w:hAnsi="Century Gothic" w:cstheme="minorHAnsi"/>
          <w:sz w:val="24"/>
          <w:szCs w:val="24"/>
        </w:rPr>
      </w:pPr>
    </w:p>
    <w:p w14:paraId="16AB590A" w14:textId="59D6AE6B" w:rsidR="00F22560" w:rsidRPr="00B17AD1" w:rsidRDefault="00F22560" w:rsidP="00F22560">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Normalmente el trabajo doméstico no es remunerado y representa un costo de oportunidad para las mujeres. Las labores domésticas y el trabajo de cuidado están asignados a las mujeres a través de una visión estereotípi</w:t>
      </w:r>
      <w:r w:rsidR="006030F2">
        <w:rPr>
          <w:rFonts w:ascii="Century Gothic" w:hAnsi="Century Gothic" w:cstheme="minorHAnsi"/>
          <w:sz w:val="24"/>
          <w:szCs w:val="24"/>
        </w:rPr>
        <w:t>ca a partir de su sexo</w:t>
      </w:r>
      <w:r w:rsidRPr="00B17AD1">
        <w:rPr>
          <w:rFonts w:ascii="Century Gothic" w:hAnsi="Century Gothic" w:cstheme="minorHAnsi"/>
          <w:sz w:val="24"/>
          <w:szCs w:val="24"/>
        </w:rPr>
        <w:t>, se les adscribe el rol de madres y amas de casa por el solo hecho de ser mujeres. Estas circunstancias impiden que las mujeres logren desarrollar plenamente su proyecto de vida profesional, al dedicarse exclusivamente al cuidado del hogar o al tener una “doble jornada laboral”–un empleo fuera del hogar y la realización de tareas domésticas– que acaban por consumir su tiempo.</w:t>
      </w:r>
      <w:r w:rsidR="006030F2" w:rsidRPr="006030F2">
        <w:rPr>
          <w:rFonts w:ascii="Century Gothic" w:hAnsi="Century Gothic" w:cstheme="minorHAnsi"/>
          <w:sz w:val="24"/>
          <w:szCs w:val="24"/>
        </w:rPr>
        <w:t xml:space="preserve"> </w:t>
      </w:r>
    </w:p>
    <w:p w14:paraId="193BB517" w14:textId="77777777" w:rsidR="009F7752" w:rsidRDefault="009F7752" w:rsidP="00B17AD1">
      <w:pPr>
        <w:spacing w:after="120" w:line="360" w:lineRule="auto"/>
        <w:jc w:val="both"/>
        <w:rPr>
          <w:rFonts w:ascii="Century Gothic" w:hAnsi="Century Gothic" w:cstheme="minorHAnsi"/>
          <w:sz w:val="24"/>
          <w:szCs w:val="24"/>
        </w:rPr>
      </w:pPr>
    </w:p>
    <w:p w14:paraId="592D0FD5" w14:textId="05368FEA" w:rsidR="00D05604" w:rsidRDefault="00E902B1" w:rsidP="00B17AD1">
      <w:pPr>
        <w:spacing w:after="120" w:line="360" w:lineRule="auto"/>
        <w:jc w:val="both"/>
        <w:rPr>
          <w:rFonts w:ascii="Century Gothic" w:hAnsi="Century Gothic" w:cstheme="minorHAnsi"/>
          <w:sz w:val="24"/>
          <w:szCs w:val="24"/>
        </w:rPr>
      </w:pPr>
      <w:r>
        <w:rPr>
          <w:rFonts w:ascii="Century Gothic" w:hAnsi="Century Gothic" w:cstheme="minorHAnsi"/>
          <w:sz w:val="24"/>
          <w:szCs w:val="24"/>
        </w:rPr>
        <w:t>Esta dependencia econ</w:t>
      </w:r>
      <w:r w:rsidR="00A73470">
        <w:rPr>
          <w:rFonts w:ascii="Century Gothic" w:hAnsi="Century Gothic" w:cstheme="minorHAnsi"/>
          <w:sz w:val="24"/>
          <w:szCs w:val="24"/>
        </w:rPr>
        <w:t xml:space="preserve">ómica comúnmente </w:t>
      </w:r>
      <w:r w:rsidR="006030F2">
        <w:rPr>
          <w:rFonts w:ascii="Century Gothic" w:hAnsi="Century Gothic" w:cstheme="minorHAnsi"/>
          <w:sz w:val="24"/>
          <w:szCs w:val="24"/>
        </w:rPr>
        <w:t>limita la posibilidad</w:t>
      </w:r>
      <w:r w:rsidR="00A73470">
        <w:rPr>
          <w:rFonts w:ascii="Century Gothic" w:hAnsi="Century Gothic" w:cstheme="minorHAnsi"/>
          <w:sz w:val="24"/>
          <w:szCs w:val="24"/>
        </w:rPr>
        <w:t xml:space="preserve"> de </w:t>
      </w:r>
      <w:r w:rsidR="00D05604">
        <w:rPr>
          <w:rFonts w:ascii="Century Gothic" w:hAnsi="Century Gothic" w:cstheme="minorHAnsi"/>
          <w:sz w:val="24"/>
          <w:szCs w:val="24"/>
        </w:rPr>
        <w:t xml:space="preserve">llevar a cabo un divorcio, pues </w:t>
      </w:r>
      <w:r w:rsidR="00B17AD1" w:rsidRPr="00B17AD1">
        <w:rPr>
          <w:rFonts w:ascii="Century Gothic" w:hAnsi="Century Gothic" w:cstheme="minorHAnsi"/>
          <w:sz w:val="24"/>
          <w:szCs w:val="24"/>
        </w:rPr>
        <w:t>generalmente</w:t>
      </w:r>
      <w:r w:rsidR="00D05604">
        <w:rPr>
          <w:rFonts w:ascii="Century Gothic" w:hAnsi="Century Gothic" w:cstheme="minorHAnsi"/>
          <w:sz w:val="24"/>
          <w:szCs w:val="24"/>
        </w:rPr>
        <w:t xml:space="preserve"> las mujeres</w:t>
      </w:r>
      <w:r w:rsidR="00B17AD1" w:rsidRPr="00B17AD1">
        <w:rPr>
          <w:rFonts w:ascii="Century Gothic" w:hAnsi="Century Gothic" w:cstheme="minorHAnsi"/>
          <w:sz w:val="24"/>
          <w:szCs w:val="24"/>
        </w:rPr>
        <w:t xml:space="preserve"> se ve</w:t>
      </w:r>
      <w:r w:rsidR="00D05604">
        <w:rPr>
          <w:rFonts w:ascii="Century Gothic" w:hAnsi="Century Gothic" w:cstheme="minorHAnsi"/>
          <w:sz w:val="24"/>
          <w:szCs w:val="24"/>
        </w:rPr>
        <w:t>n</w:t>
      </w:r>
      <w:r w:rsidR="00B17AD1" w:rsidRPr="00B17AD1">
        <w:rPr>
          <w:rFonts w:ascii="Century Gothic" w:hAnsi="Century Gothic" w:cstheme="minorHAnsi"/>
          <w:sz w:val="24"/>
          <w:szCs w:val="24"/>
        </w:rPr>
        <w:t xml:space="preserve"> obligada</w:t>
      </w:r>
      <w:r w:rsidR="00D05604">
        <w:rPr>
          <w:rFonts w:ascii="Century Gothic" w:hAnsi="Century Gothic" w:cstheme="minorHAnsi"/>
          <w:sz w:val="24"/>
          <w:szCs w:val="24"/>
        </w:rPr>
        <w:t>s</w:t>
      </w:r>
      <w:r w:rsidR="00B17AD1" w:rsidRPr="00B17AD1">
        <w:rPr>
          <w:rFonts w:ascii="Century Gothic" w:hAnsi="Century Gothic" w:cstheme="minorHAnsi"/>
          <w:sz w:val="24"/>
          <w:szCs w:val="24"/>
        </w:rPr>
        <w:t xml:space="preserve"> a permanecer en matrimonio dadas las desventajas</w:t>
      </w:r>
      <w:r w:rsidR="00D05604">
        <w:rPr>
          <w:rFonts w:ascii="Century Gothic" w:hAnsi="Century Gothic" w:cstheme="minorHAnsi"/>
          <w:sz w:val="24"/>
          <w:szCs w:val="24"/>
        </w:rPr>
        <w:t xml:space="preserve"> económicas </w:t>
      </w:r>
      <w:r w:rsidR="00B17AD1" w:rsidRPr="00B17AD1">
        <w:rPr>
          <w:rFonts w:ascii="Century Gothic" w:hAnsi="Century Gothic" w:cstheme="minorHAnsi"/>
          <w:sz w:val="24"/>
          <w:szCs w:val="24"/>
        </w:rPr>
        <w:t xml:space="preserve">que </w:t>
      </w:r>
      <w:r w:rsidR="00B17AD1" w:rsidRPr="00B17AD1">
        <w:rPr>
          <w:rFonts w:ascii="Century Gothic" w:hAnsi="Century Gothic" w:cstheme="minorHAnsi"/>
          <w:sz w:val="24"/>
          <w:szCs w:val="24"/>
        </w:rPr>
        <w:lastRenderedPageBreak/>
        <w:t>tendría</w:t>
      </w:r>
      <w:r w:rsidR="00D05604">
        <w:rPr>
          <w:rFonts w:ascii="Century Gothic" w:hAnsi="Century Gothic" w:cstheme="minorHAnsi"/>
          <w:sz w:val="24"/>
          <w:szCs w:val="24"/>
        </w:rPr>
        <w:t>n</w:t>
      </w:r>
      <w:r w:rsidR="006030F2">
        <w:rPr>
          <w:rFonts w:ascii="Century Gothic" w:hAnsi="Century Gothic" w:cstheme="minorHAnsi"/>
          <w:sz w:val="24"/>
          <w:szCs w:val="24"/>
        </w:rPr>
        <w:t xml:space="preserve"> que enfrentar ante</w:t>
      </w:r>
      <w:r w:rsidR="00B17AD1" w:rsidRPr="00B17AD1">
        <w:rPr>
          <w:rFonts w:ascii="Century Gothic" w:hAnsi="Century Gothic" w:cstheme="minorHAnsi"/>
          <w:sz w:val="24"/>
          <w:szCs w:val="24"/>
        </w:rPr>
        <w:t xml:space="preserve"> una separación, máxime que son ellas quienes, generalmente, se quedan a cargo del cuidado y crianza de los hijos e hijas.</w:t>
      </w:r>
    </w:p>
    <w:p w14:paraId="657F522C" w14:textId="77777777" w:rsidR="00D05604" w:rsidRDefault="00D05604" w:rsidP="00B17AD1">
      <w:pPr>
        <w:spacing w:after="120" w:line="360" w:lineRule="auto"/>
        <w:jc w:val="both"/>
        <w:rPr>
          <w:rFonts w:ascii="Century Gothic" w:hAnsi="Century Gothic"/>
          <w:sz w:val="24"/>
          <w:szCs w:val="24"/>
        </w:rPr>
      </w:pPr>
    </w:p>
    <w:p w14:paraId="42A80366" w14:textId="0E2967C9" w:rsidR="00B17AD1" w:rsidRDefault="00B17AD1" w:rsidP="00B17AD1">
      <w:pPr>
        <w:spacing w:after="120" w:line="360" w:lineRule="auto"/>
        <w:jc w:val="both"/>
        <w:rPr>
          <w:rFonts w:ascii="Century Gothic" w:hAnsi="Century Gothic"/>
          <w:sz w:val="24"/>
          <w:szCs w:val="24"/>
        </w:rPr>
      </w:pPr>
      <w:r w:rsidRPr="00B17AD1">
        <w:rPr>
          <w:rFonts w:ascii="Century Gothic" w:hAnsi="Century Gothic"/>
          <w:sz w:val="24"/>
          <w:szCs w:val="24"/>
        </w:rPr>
        <w:t xml:space="preserve">De acuerdo con información de las bases de datos de 89 países en desarrollo, las mujeres divorciadas de 15 años o más tienen el doble de probabilidades de vivir en pobreza que hombres divorciados de ese mismo grupo de edad. América Latina es la región con el mayor porcentaje de mujeres divorciadas entre la población femenina en </w:t>
      </w:r>
      <w:r w:rsidR="00D05604">
        <w:rPr>
          <w:rFonts w:ascii="Century Gothic" w:hAnsi="Century Gothic"/>
          <w:sz w:val="24"/>
          <w:szCs w:val="24"/>
        </w:rPr>
        <w:t>situación de pobreza, con un 15.</w:t>
      </w:r>
      <w:r w:rsidRPr="00B17AD1">
        <w:rPr>
          <w:rFonts w:ascii="Century Gothic" w:hAnsi="Century Gothic"/>
          <w:sz w:val="24"/>
          <w:szCs w:val="24"/>
        </w:rPr>
        <w:t>8%.</w:t>
      </w:r>
    </w:p>
    <w:p w14:paraId="300A9EED" w14:textId="77777777" w:rsidR="006030F2" w:rsidRDefault="006030F2" w:rsidP="00B17AD1">
      <w:pPr>
        <w:spacing w:after="120" w:line="360" w:lineRule="auto"/>
        <w:jc w:val="both"/>
        <w:rPr>
          <w:rFonts w:ascii="Century Gothic" w:hAnsi="Century Gothic" w:cstheme="minorHAnsi"/>
          <w:sz w:val="24"/>
          <w:szCs w:val="24"/>
        </w:rPr>
      </w:pPr>
    </w:p>
    <w:p w14:paraId="42972B2C" w14:textId="0B0067CB" w:rsidR="00B17AD1" w:rsidRDefault="00381BBC" w:rsidP="00B17AD1">
      <w:pPr>
        <w:spacing w:after="120" w:line="360" w:lineRule="auto"/>
        <w:jc w:val="both"/>
        <w:rPr>
          <w:rFonts w:ascii="Century Gothic" w:hAnsi="Century Gothic" w:cstheme="minorHAnsi"/>
          <w:sz w:val="24"/>
          <w:szCs w:val="24"/>
        </w:rPr>
      </w:pPr>
      <w:r w:rsidRPr="00CB25DE">
        <w:rPr>
          <w:rFonts w:ascii="Century Gothic" w:hAnsi="Century Gothic" w:cstheme="minorHAnsi"/>
          <w:sz w:val="24"/>
          <w:szCs w:val="24"/>
        </w:rPr>
        <w:t>Ante una</w:t>
      </w:r>
      <w:r w:rsidR="00B17AD1" w:rsidRPr="00CB25DE">
        <w:rPr>
          <w:rFonts w:ascii="Century Gothic" w:hAnsi="Century Gothic" w:cstheme="minorHAnsi"/>
          <w:sz w:val="24"/>
          <w:szCs w:val="24"/>
        </w:rPr>
        <w:t xml:space="preserve"> separación, </w:t>
      </w:r>
      <w:r w:rsidRPr="00CB25DE">
        <w:rPr>
          <w:rFonts w:ascii="Century Gothic" w:hAnsi="Century Gothic" w:cstheme="minorHAnsi"/>
          <w:sz w:val="24"/>
          <w:szCs w:val="24"/>
        </w:rPr>
        <w:t xml:space="preserve">las mujeres se ven obligadas a resolver los problemas que con ello se generan, </w:t>
      </w:r>
      <w:r w:rsidR="00B17AD1" w:rsidRPr="00CB25DE">
        <w:rPr>
          <w:rFonts w:ascii="Century Gothic" w:hAnsi="Century Gothic" w:cstheme="minorHAnsi"/>
          <w:sz w:val="24"/>
          <w:szCs w:val="24"/>
        </w:rPr>
        <w:t xml:space="preserve">a buscar nuevas formas de organización de la familia, </w:t>
      </w:r>
      <w:r w:rsidRPr="00CB25DE">
        <w:rPr>
          <w:rFonts w:ascii="Century Gothic" w:hAnsi="Century Gothic" w:cstheme="minorHAnsi"/>
          <w:sz w:val="24"/>
          <w:szCs w:val="24"/>
        </w:rPr>
        <w:t xml:space="preserve">a ubicar </w:t>
      </w:r>
      <w:r w:rsidR="00B17AD1" w:rsidRPr="00CB25DE">
        <w:rPr>
          <w:rFonts w:ascii="Century Gothic" w:hAnsi="Century Gothic" w:cstheme="minorHAnsi"/>
          <w:sz w:val="24"/>
          <w:szCs w:val="24"/>
        </w:rPr>
        <w:t xml:space="preserve">redes de apoyo </w:t>
      </w:r>
      <w:r w:rsidRPr="00CB25DE">
        <w:rPr>
          <w:rFonts w:ascii="Century Gothic" w:hAnsi="Century Gothic" w:cstheme="minorHAnsi"/>
          <w:sz w:val="24"/>
          <w:szCs w:val="24"/>
        </w:rPr>
        <w:t xml:space="preserve">y </w:t>
      </w:r>
      <w:r w:rsidR="00B17AD1" w:rsidRPr="00CB25DE">
        <w:rPr>
          <w:rFonts w:ascii="Century Gothic" w:hAnsi="Century Gothic" w:cstheme="minorHAnsi"/>
          <w:sz w:val="24"/>
          <w:szCs w:val="24"/>
        </w:rPr>
        <w:t>de cuidado dada la necesidad de incorporarse al mercado laboral</w:t>
      </w:r>
      <w:r w:rsidR="00CB25DE" w:rsidRPr="00CB25DE">
        <w:rPr>
          <w:rFonts w:ascii="Century Gothic" w:hAnsi="Century Gothic" w:cstheme="minorHAnsi"/>
          <w:sz w:val="24"/>
          <w:szCs w:val="24"/>
        </w:rPr>
        <w:t xml:space="preserve">, del que en ocasiones tienen años sin involucrarse, </w:t>
      </w:r>
      <w:r w:rsidR="00B17AD1" w:rsidRPr="00CB25DE">
        <w:rPr>
          <w:rFonts w:ascii="Century Gothic" w:hAnsi="Century Gothic" w:cstheme="minorHAnsi"/>
          <w:sz w:val="24"/>
          <w:szCs w:val="24"/>
        </w:rPr>
        <w:t>para</w:t>
      </w:r>
      <w:r w:rsidR="00CB25DE" w:rsidRPr="00CB25DE">
        <w:rPr>
          <w:rFonts w:ascii="Century Gothic" w:hAnsi="Century Gothic" w:cstheme="minorHAnsi"/>
          <w:sz w:val="24"/>
          <w:szCs w:val="24"/>
        </w:rPr>
        <w:t xml:space="preserve"> de esta manera</w:t>
      </w:r>
      <w:r w:rsidR="00B17AD1" w:rsidRPr="00CB25DE">
        <w:rPr>
          <w:rFonts w:ascii="Century Gothic" w:hAnsi="Century Gothic" w:cstheme="minorHAnsi"/>
          <w:sz w:val="24"/>
          <w:szCs w:val="24"/>
        </w:rPr>
        <w:t xml:space="preserve"> obtener </w:t>
      </w:r>
      <w:r w:rsidR="00CB25DE" w:rsidRPr="00CB25DE">
        <w:rPr>
          <w:rFonts w:ascii="Century Gothic" w:hAnsi="Century Gothic" w:cstheme="minorHAnsi"/>
          <w:sz w:val="24"/>
          <w:szCs w:val="24"/>
        </w:rPr>
        <w:t xml:space="preserve">sus propios </w:t>
      </w:r>
      <w:r w:rsidR="00B17AD1" w:rsidRPr="00CB25DE">
        <w:rPr>
          <w:rFonts w:ascii="Century Gothic" w:hAnsi="Century Gothic" w:cstheme="minorHAnsi"/>
          <w:sz w:val="24"/>
          <w:szCs w:val="24"/>
        </w:rPr>
        <w:t>ingresos económicos</w:t>
      </w:r>
      <w:r w:rsidR="00CB25DE" w:rsidRPr="00CB25DE">
        <w:rPr>
          <w:rFonts w:ascii="Century Gothic" w:hAnsi="Century Gothic" w:cstheme="minorHAnsi"/>
          <w:sz w:val="24"/>
          <w:szCs w:val="24"/>
        </w:rPr>
        <w:t>,</w:t>
      </w:r>
      <w:r w:rsidRPr="00CB25DE">
        <w:rPr>
          <w:rFonts w:ascii="Century Gothic" w:hAnsi="Century Gothic" w:cstheme="minorHAnsi"/>
          <w:sz w:val="24"/>
          <w:szCs w:val="24"/>
        </w:rPr>
        <w:t xml:space="preserve"> e incluso </w:t>
      </w:r>
      <w:r w:rsidR="00CB25DE" w:rsidRPr="00CB25DE">
        <w:rPr>
          <w:rFonts w:ascii="Century Gothic" w:hAnsi="Century Gothic" w:cstheme="minorHAnsi"/>
          <w:sz w:val="24"/>
          <w:szCs w:val="24"/>
        </w:rPr>
        <w:t xml:space="preserve">tristemente </w:t>
      </w:r>
      <w:r w:rsidRPr="00CB25DE">
        <w:rPr>
          <w:rFonts w:ascii="Century Gothic" w:hAnsi="Century Gothic" w:cstheme="minorHAnsi"/>
          <w:sz w:val="24"/>
          <w:szCs w:val="24"/>
        </w:rPr>
        <w:t xml:space="preserve">en ocasiones </w:t>
      </w:r>
      <w:r w:rsidR="00CB25DE" w:rsidRPr="00CB25DE">
        <w:rPr>
          <w:rFonts w:ascii="Century Gothic" w:hAnsi="Century Gothic" w:cstheme="minorHAnsi"/>
          <w:sz w:val="24"/>
          <w:szCs w:val="24"/>
        </w:rPr>
        <w:t xml:space="preserve">se ven obligadas a tener que buscar </w:t>
      </w:r>
      <w:r w:rsidRPr="00CB25DE">
        <w:rPr>
          <w:rFonts w:ascii="Century Gothic" w:hAnsi="Century Gothic" w:cstheme="minorHAnsi"/>
          <w:sz w:val="24"/>
          <w:szCs w:val="24"/>
        </w:rPr>
        <w:t>un lugar para vivir con sus hijos</w:t>
      </w:r>
      <w:r w:rsidR="00B17AD1" w:rsidRPr="00CB25DE">
        <w:rPr>
          <w:rFonts w:ascii="Century Gothic" w:hAnsi="Century Gothic" w:cstheme="minorHAnsi"/>
          <w:sz w:val="24"/>
          <w:szCs w:val="24"/>
        </w:rPr>
        <w:t>. Estas cargas encuentran su principal legitimidad en las leyes que rigen el matrimonio, mismas que se han creado y replicado a partir de una visión tradicional del derecho familiar como rama de la esfera privada en donde el Estado no debe inmiscuirse.</w:t>
      </w:r>
    </w:p>
    <w:p w14:paraId="299A87AD" w14:textId="77777777" w:rsidR="00CB25DE" w:rsidRPr="00B17AD1" w:rsidRDefault="00CB25DE" w:rsidP="00B17AD1">
      <w:pPr>
        <w:spacing w:after="120" w:line="360" w:lineRule="auto"/>
        <w:jc w:val="both"/>
        <w:rPr>
          <w:rFonts w:ascii="Century Gothic" w:hAnsi="Century Gothic" w:cstheme="minorHAnsi"/>
          <w:sz w:val="24"/>
          <w:szCs w:val="24"/>
        </w:rPr>
      </w:pPr>
    </w:p>
    <w:p w14:paraId="2B2AEA2D" w14:textId="2B29286D" w:rsidR="00B17AD1"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 xml:space="preserve">Mediante una perspectiva de género, los cónyuges deben gozar de igualdad de derechos y obligaciones en el cuidado, protección, crianza y mantenimiento de las hijas y los hijos o familiares a cargo. Igualdad que no </w:t>
      </w:r>
      <w:r w:rsidRPr="00B17AD1">
        <w:rPr>
          <w:rFonts w:ascii="Century Gothic" w:hAnsi="Century Gothic" w:cstheme="minorHAnsi"/>
          <w:sz w:val="24"/>
          <w:szCs w:val="24"/>
        </w:rPr>
        <w:lastRenderedPageBreak/>
        <w:t>puede ser ciega a las nuevas condiciones familiares que surgen ante la disolución del matrimonio o la separación.</w:t>
      </w:r>
    </w:p>
    <w:p w14:paraId="6500B869" w14:textId="77777777" w:rsidR="009F7752" w:rsidRPr="00B17AD1" w:rsidRDefault="009F7752" w:rsidP="00B17AD1">
      <w:pPr>
        <w:spacing w:after="120" w:line="360" w:lineRule="auto"/>
        <w:jc w:val="both"/>
        <w:rPr>
          <w:rFonts w:ascii="Century Gothic" w:hAnsi="Century Gothic" w:cstheme="minorHAnsi"/>
          <w:sz w:val="24"/>
          <w:szCs w:val="24"/>
        </w:rPr>
      </w:pPr>
    </w:p>
    <w:p w14:paraId="28668DC0" w14:textId="3AE9EFE6" w:rsidR="00B17AD1"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Las leyes o costumbres que conceden al hombre, de forma implícita o explícita, el derecho a una mayor parte del patrimonio cuando se extingue el matrimonio o la relación familiar, son contrarias al principio de igualdad entre cónyuges. Asimismo, aquéllas que coartan el derecho de la mujer a obtener o conservar una parte igual del patrimonio, menoscaban su posición de persona independiente, responsable y valiosa dentro de la sociedad a la que pertenece. Por ello, cuando la actual legislación limita su posibilidad de ejercicio de derechos derivados del matrimonio o de su disolución en igualdad de condiciones que el hombre.</w:t>
      </w:r>
    </w:p>
    <w:p w14:paraId="3BA517BB" w14:textId="77777777" w:rsidR="009F7752" w:rsidRDefault="009F7752" w:rsidP="00B17AD1">
      <w:pPr>
        <w:spacing w:after="120" w:line="360" w:lineRule="auto"/>
        <w:jc w:val="both"/>
        <w:rPr>
          <w:rFonts w:ascii="Century Gothic" w:hAnsi="Century Gothic" w:cstheme="minorHAnsi"/>
          <w:sz w:val="24"/>
          <w:szCs w:val="24"/>
        </w:rPr>
      </w:pPr>
    </w:p>
    <w:p w14:paraId="0158CA95" w14:textId="4FFB5EF3" w:rsidR="00B17AD1"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Como lo reconoció la Comisión Interamericana de Derechos Humanos en el informe Nº 4/0150, los Estados deben evitar la repetición de legislación o imperativos normativos que institucionalicen desequilibrios en los derechos y deberes de los cónyuges que, por ejemplo, establezcan situaciones de dependencia para la esposa que crean un desequilibrio incorregible en la autoridad de los consortes dentro del matrimonio.</w:t>
      </w:r>
    </w:p>
    <w:p w14:paraId="79766278" w14:textId="77777777" w:rsidR="009F7752" w:rsidRDefault="009F7752" w:rsidP="00B17AD1">
      <w:pPr>
        <w:spacing w:after="120" w:line="360" w:lineRule="auto"/>
        <w:jc w:val="both"/>
        <w:rPr>
          <w:rFonts w:ascii="Century Gothic" w:hAnsi="Century Gothic" w:cstheme="minorHAnsi"/>
          <w:sz w:val="24"/>
          <w:szCs w:val="24"/>
        </w:rPr>
      </w:pPr>
    </w:p>
    <w:p w14:paraId="63461C14" w14:textId="32A34784" w:rsidR="00CB25DE" w:rsidRDefault="00CB25DE" w:rsidP="00CB25DE">
      <w:pPr>
        <w:spacing w:after="120" w:line="360" w:lineRule="auto"/>
        <w:jc w:val="both"/>
        <w:rPr>
          <w:rFonts w:ascii="Century Gothic" w:hAnsi="Century Gothic" w:cstheme="minorHAnsi"/>
          <w:sz w:val="24"/>
          <w:szCs w:val="24"/>
        </w:rPr>
      </w:pPr>
      <w:r w:rsidRPr="00CB25DE">
        <w:rPr>
          <w:rFonts w:ascii="Century Gothic" w:hAnsi="Century Gothic" w:cstheme="minorHAnsi"/>
          <w:sz w:val="24"/>
          <w:szCs w:val="24"/>
        </w:rPr>
        <w:t xml:space="preserve">Procurar la igualdad de derechos entre cónyuges permitiría a su vez encontrar una sociedad mexicana más igualitaria, </w:t>
      </w:r>
      <w:r w:rsidRPr="00B17AD1">
        <w:rPr>
          <w:rFonts w:ascii="Century Gothic" w:hAnsi="Century Gothic" w:cstheme="minorHAnsi"/>
          <w:sz w:val="24"/>
          <w:szCs w:val="24"/>
        </w:rPr>
        <w:t>para lograr</w:t>
      </w:r>
      <w:r>
        <w:rPr>
          <w:rFonts w:ascii="Century Gothic" w:hAnsi="Century Gothic" w:cstheme="minorHAnsi"/>
          <w:sz w:val="24"/>
          <w:szCs w:val="24"/>
        </w:rPr>
        <w:t>lo</w:t>
      </w:r>
      <w:r w:rsidRPr="00B17AD1">
        <w:rPr>
          <w:rFonts w:ascii="Century Gothic" w:hAnsi="Century Gothic" w:cstheme="minorHAnsi"/>
          <w:sz w:val="24"/>
          <w:szCs w:val="24"/>
        </w:rPr>
        <w:t xml:space="preserve"> debe tomarse en cuenta que son principalmente las mujeres quienes, ante una separación o divorcio, siguen llevando a cabo las labores de crianza de hijos e hijas y por tanto, la organización de la familia. </w:t>
      </w:r>
    </w:p>
    <w:p w14:paraId="3CFB51F8" w14:textId="77777777" w:rsidR="009F7752" w:rsidRDefault="009F7752" w:rsidP="00CB25DE">
      <w:pPr>
        <w:spacing w:after="120" w:line="360" w:lineRule="auto"/>
        <w:jc w:val="both"/>
        <w:rPr>
          <w:rFonts w:ascii="Century Gothic" w:hAnsi="Century Gothic" w:cstheme="minorHAnsi"/>
          <w:sz w:val="24"/>
          <w:szCs w:val="24"/>
        </w:rPr>
      </w:pPr>
    </w:p>
    <w:p w14:paraId="466062B6" w14:textId="19BDAB09" w:rsidR="00B17AD1"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Tradicionalmente se reconocen dos formas de disposición de los bienes que se adquieren durante la vigencia del matrimonio: sociedad conyugal y separación de bienes. Éste último, consiste en un régimen en el que cada uno de los cónyuges conserva la propiedad y administración de sus bienes, así como sus frutos y accesorios, sin necesidad de la participación de la otra parte. La sociedad conyugal, por el contrario, es un régimen a través del cual los cónyuges se hacen copartíci</w:t>
      </w:r>
      <w:r w:rsidR="009F7752">
        <w:rPr>
          <w:rFonts w:ascii="Century Gothic" w:hAnsi="Century Gothic" w:cstheme="minorHAnsi"/>
          <w:sz w:val="24"/>
          <w:szCs w:val="24"/>
        </w:rPr>
        <w:t>pes de derechos y obligaciones.</w:t>
      </w:r>
    </w:p>
    <w:p w14:paraId="1C5735B7" w14:textId="77777777" w:rsidR="009F7752" w:rsidRPr="00B17AD1" w:rsidRDefault="009F7752" w:rsidP="00B17AD1">
      <w:pPr>
        <w:spacing w:after="120" w:line="360" w:lineRule="auto"/>
        <w:jc w:val="both"/>
        <w:rPr>
          <w:rFonts w:ascii="Century Gothic" w:hAnsi="Century Gothic" w:cstheme="minorHAnsi"/>
          <w:sz w:val="24"/>
          <w:szCs w:val="24"/>
        </w:rPr>
      </w:pPr>
    </w:p>
    <w:p w14:paraId="7AB7BCE0" w14:textId="29080BE3" w:rsidR="00B17AD1"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 xml:space="preserve">A diferencia del matrimonio por sociedad conyugal, en el de separación de bienes puede ser mayor el desequilibrio económico a raíz del divorcio, </w:t>
      </w:r>
      <w:r w:rsidR="00CB25DE">
        <w:rPr>
          <w:rFonts w:ascii="Century Gothic" w:hAnsi="Century Gothic" w:cstheme="minorHAnsi"/>
          <w:sz w:val="24"/>
          <w:szCs w:val="24"/>
        </w:rPr>
        <w:t xml:space="preserve">sobre todo </w:t>
      </w:r>
      <w:r w:rsidRPr="00B17AD1">
        <w:rPr>
          <w:rFonts w:ascii="Century Gothic" w:hAnsi="Century Gothic" w:cstheme="minorHAnsi"/>
          <w:sz w:val="24"/>
          <w:szCs w:val="24"/>
        </w:rPr>
        <w:t>cuando uno de los o las consortes se dedicó preponderantemente a las labores de</w:t>
      </w:r>
      <w:r w:rsidR="00CB25DE">
        <w:rPr>
          <w:rFonts w:ascii="Century Gothic" w:hAnsi="Century Gothic" w:cstheme="minorHAnsi"/>
          <w:sz w:val="24"/>
          <w:szCs w:val="24"/>
        </w:rPr>
        <w:t xml:space="preserve">l hogar y de </w:t>
      </w:r>
      <w:r w:rsidRPr="00B17AD1">
        <w:rPr>
          <w:rFonts w:ascii="Century Gothic" w:hAnsi="Century Gothic" w:cstheme="minorHAnsi"/>
          <w:sz w:val="24"/>
          <w:szCs w:val="24"/>
        </w:rPr>
        <w:t>crianza</w:t>
      </w:r>
      <w:r w:rsidR="00CB25DE">
        <w:rPr>
          <w:rFonts w:ascii="Century Gothic" w:hAnsi="Century Gothic" w:cstheme="minorHAnsi"/>
          <w:sz w:val="24"/>
          <w:szCs w:val="24"/>
        </w:rPr>
        <w:t>, y</w:t>
      </w:r>
      <w:r w:rsidRPr="00B17AD1">
        <w:rPr>
          <w:rFonts w:ascii="Century Gothic" w:hAnsi="Century Gothic" w:cstheme="minorHAnsi"/>
          <w:sz w:val="24"/>
          <w:szCs w:val="24"/>
        </w:rPr>
        <w:t xml:space="preserve"> no se tuvie</w:t>
      </w:r>
      <w:r w:rsidR="00CB25DE">
        <w:rPr>
          <w:rFonts w:ascii="Century Gothic" w:hAnsi="Century Gothic" w:cstheme="minorHAnsi"/>
          <w:sz w:val="24"/>
          <w:szCs w:val="24"/>
        </w:rPr>
        <w:t>ron las condiciones para</w:t>
      </w:r>
      <w:r w:rsidRPr="00B17AD1">
        <w:rPr>
          <w:rFonts w:ascii="Century Gothic" w:hAnsi="Century Gothic" w:cstheme="minorHAnsi"/>
          <w:sz w:val="24"/>
          <w:szCs w:val="24"/>
        </w:rPr>
        <w:t xml:space="preserve"> forjar un patrimonio</w:t>
      </w:r>
      <w:r w:rsidR="00CB25DE">
        <w:rPr>
          <w:rFonts w:ascii="Century Gothic" w:hAnsi="Century Gothic" w:cstheme="minorHAnsi"/>
          <w:sz w:val="24"/>
          <w:szCs w:val="24"/>
        </w:rPr>
        <w:t xml:space="preserve"> propio</w:t>
      </w:r>
      <w:r w:rsidRPr="00B17AD1">
        <w:rPr>
          <w:rFonts w:ascii="Century Gothic" w:hAnsi="Century Gothic" w:cstheme="minorHAnsi"/>
          <w:sz w:val="24"/>
          <w:szCs w:val="24"/>
        </w:rPr>
        <w:t xml:space="preserve"> durante la vida marital. </w:t>
      </w:r>
      <w:r w:rsidR="00CB25DE">
        <w:rPr>
          <w:rFonts w:ascii="Century Gothic" w:hAnsi="Century Gothic" w:cstheme="minorHAnsi"/>
          <w:sz w:val="24"/>
          <w:szCs w:val="24"/>
        </w:rPr>
        <w:t xml:space="preserve">En estos casos, </w:t>
      </w:r>
      <w:r w:rsidRPr="00B17AD1">
        <w:rPr>
          <w:rFonts w:ascii="Century Gothic" w:hAnsi="Century Gothic" w:cstheme="minorHAnsi"/>
          <w:sz w:val="24"/>
          <w:szCs w:val="24"/>
        </w:rPr>
        <w:t xml:space="preserve">existe una desproporción patrimonial entre el o la cónyuge que se dedicó a un trabajo remunerado, de aquel que se dedicó preponderantemente al cuidado de </w:t>
      </w:r>
      <w:r w:rsidR="00DE1B15">
        <w:rPr>
          <w:rFonts w:ascii="Century Gothic" w:hAnsi="Century Gothic" w:cstheme="minorHAnsi"/>
          <w:sz w:val="24"/>
          <w:szCs w:val="24"/>
        </w:rPr>
        <w:t>la familia</w:t>
      </w:r>
      <w:r w:rsidRPr="00B17AD1">
        <w:rPr>
          <w:rFonts w:ascii="Century Gothic" w:hAnsi="Century Gothic" w:cstheme="minorHAnsi"/>
          <w:sz w:val="24"/>
          <w:szCs w:val="24"/>
        </w:rPr>
        <w:t xml:space="preserve">, por lo que vio mermadas sus posibilidades de dedicarse a otras actividades y así adquirir bienes y derechos de carácter económico, sin omitir la responsabilidad que tienen ambos consortes de aportar conjuntamente a la atención del hogar y la educación de los hijos. </w:t>
      </w:r>
    </w:p>
    <w:p w14:paraId="34BCC554" w14:textId="77777777" w:rsidR="009F7752" w:rsidRPr="00B17AD1" w:rsidRDefault="009F7752" w:rsidP="00B17AD1">
      <w:pPr>
        <w:spacing w:after="120" w:line="360" w:lineRule="auto"/>
        <w:jc w:val="both"/>
        <w:rPr>
          <w:rFonts w:ascii="Century Gothic" w:hAnsi="Century Gothic" w:cstheme="minorHAnsi"/>
          <w:sz w:val="24"/>
          <w:szCs w:val="24"/>
        </w:rPr>
      </w:pPr>
    </w:p>
    <w:p w14:paraId="75D5E418" w14:textId="3EBEE147" w:rsidR="00B17AD1"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Mediante el régimen de separación de bienes la masa patrimonial de cada una de las partes se mantiene independiente al trabajo realizado por los miembros de la familia, por lo que invisibiliza a aquel o aquella que realiza actividades no remuneradas que no se traducen en un beneficio económico, durante el tiempo que apoyó a su pareja</w:t>
      </w:r>
      <w:r w:rsidR="00DE1B15">
        <w:rPr>
          <w:rFonts w:ascii="Century Gothic" w:hAnsi="Century Gothic" w:cstheme="minorHAnsi"/>
          <w:sz w:val="24"/>
          <w:szCs w:val="24"/>
        </w:rPr>
        <w:t xml:space="preserve"> para desarrollarse y </w:t>
      </w:r>
      <w:r w:rsidRPr="00342ABB">
        <w:rPr>
          <w:rFonts w:ascii="Century Gothic" w:hAnsi="Century Gothic" w:cstheme="minorHAnsi"/>
          <w:sz w:val="24"/>
          <w:szCs w:val="24"/>
        </w:rPr>
        <w:t>crear un patrimonio propio</w:t>
      </w:r>
      <w:r w:rsidR="00DE1B15" w:rsidRPr="00342ABB">
        <w:rPr>
          <w:rFonts w:ascii="Century Gothic" w:hAnsi="Century Gothic" w:cstheme="minorHAnsi"/>
          <w:sz w:val="24"/>
          <w:szCs w:val="24"/>
        </w:rPr>
        <w:t xml:space="preserve">. </w:t>
      </w:r>
    </w:p>
    <w:p w14:paraId="5097FAA0" w14:textId="77777777" w:rsidR="001E1F3A" w:rsidRDefault="001E1F3A" w:rsidP="00B17AD1">
      <w:pPr>
        <w:spacing w:after="120" w:line="360" w:lineRule="auto"/>
        <w:jc w:val="both"/>
        <w:rPr>
          <w:rStyle w:val="nfasis"/>
          <w:color w:val="000000"/>
          <w:spacing w:val="4"/>
          <w:sz w:val="26"/>
          <w:szCs w:val="26"/>
          <w:shd w:val="clear" w:color="auto" w:fill="FFFFFF"/>
        </w:rPr>
      </w:pPr>
    </w:p>
    <w:p w14:paraId="0C356F90" w14:textId="663F2406" w:rsidR="001E1F3A" w:rsidRDefault="00B17AD1" w:rsidP="00B17AD1">
      <w:pPr>
        <w:spacing w:after="120" w:line="360" w:lineRule="auto"/>
        <w:jc w:val="both"/>
        <w:rPr>
          <w:rFonts w:ascii="Century Gothic" w:hAnsi="Century Gothic"/>
          <w:sz w:val="24"/>
          <w:szCs w:val="24"/>
        </w:rPr>
      </w:pPr>
      <w:r w:rsidRPr="00342ABB">
        <w:rPr>
          <w:rFonts w:ascii="Century Gothic" w:hAnsi="Century Gothic" w:cstheme="minorHAnsi"/>
          <w:sz w:val="24"/>
          <w:szCs w:val="24"/>
        </w:rPr>
        <w:t xml:space="preserve">A través de la presente iniciativa se pretende </w:t>
      </w:r>
      <w:r w:rsidRPr="00342ABB">
        <w:rPr>
          <w:rFonts w:ascii="Century Gothic" w:hAnsi="Century Gothic"/>
          <w:sz w:val="24"/>
          <w:szCs w:val="24"/>
        </w:rPr>
        <w:t>establecer la llamada compensación</w:t>
      </w:r>
      <w:r w:rsidRPr="00342ABB">
        <w:rPr>
          <w:rStyle w:val="Refdenotaalpie"/>
          <w:rFonts w:ascii="Century Gothic" w:hAnsi="Century Gothic"/>
          <w:sz w:val="24"/>
          <w:szCs w:val="24"/>
        </w:rPr>
        <w:footnoteReference w:id="1"/>
      </w:r>
      <w:r w:rsidRPr="00342ABB">
        <w:rPr>
          <w:rFonts w:ascii="Century Gothic" w:hAnsi="Century Gothic"/>
          <w:sz w:val="24"/>
          <w:szCs w:val="24"/>
        </w:rPr>
        <w:t xml:space="preserve">, entendida como medida legislativa </w:t>
      </w:r>
      <w:r w:rsidR="00342ABB">
        <w:rPr>
          <w:rFonts w:ascii="Century Gothic" w:hAnsi="Century Gothic" w:cs="Arial"/>
          <w:color w:val="000000"/>
          <w:spacing w:val="4"/>
          <w:sz w:val="24"/>
          <w:szCs w:val="24"/>
          <w:shd w:val="clear" w:color="auto" w:fill="FFFFFF"/>
        </w:rPr>
        <w:t>que procura</w:t>
      </w:r>
      <w:r w:rsidRPr="00342ABB">
        <w:rPr>
          <w:rFonts w:ascii="Century Gothic" w:hAnsi="Century Gothic" w:cs="Arial"/>
          <w:sz w:val="24"/>
          <w:szCs w:val="24"/>
        </w:rPr>
        <w:t xml:space="preserve"> </w:t>
      </w:r>
      <w:r w:rsidRPr="00342ABB">
        <w:rPr>
          <w:rFonts w:ascii="Century Gothic" w:hAnsi="Century Gothic"/>
          <w:sz w:val="24"/>
          <w:szCs w:val="24"/>
        </w:rPr>
        <w:t>la igualdad de derechos y responsabilidades de ambos cónyuges en el matrimonio, su duración y disolución, conforme</w:t>
      </w:r>
      <w:r w:rsidRPr="00B17AD1">
        <w:rPr>
          <w:rFonts w:ascii="Century Gothic" w:hAnsi="Century Gothic"/>
          <w:sz w:val="24"/>
          <w:szCs w:val="24"/>
        </w:rPr>
        <w:t xml:space="preserve"> al Pacto Internacional de Derechos Civiles y Políticos y la Convención Americana sobre Derechos Humanos. Es una medida tendiente a reivindicar el valor del trabajo doméstico y de cuidado largamente invisibilizado en la sociedad</w:t>
      </w:r>
      <w:r w:rsidRPr="00B17AD1">
        <w:rPr>
          <w:rStyle w:val="Refdenotaalpie"/>
          <w:rFonts w:ascii="Century Gothic" w:hAnsi="Century Gothic"/>
          <w:sz w:val="24"/>
          <w:szCs w:val="24"/>
        </w:rPr>
        <w:footnoteReference w:id="2"/>
      </w:r>
      <w:r w:rsidRPr="00B17AD1">
        <w:rPr>
          <w:rFonts w:ascii="Century Gothic" w:hAnsi="Century Gothic"/>
          <w:sz w:val="24"/>
          <w:szCs w:val="24"/>
        </w:rPr>
        <w:t xml:space="preserve">. </w:t>
      </w:r>
    </w:p>
    <w:p w14:paraId="7E9BA0AF" w14:textId="77777777" w:rsidR="001E1F3A" w:rsidRDefault="001E1F3A" w:rsidP="00B17AD1">
      <w:pPr>
        <w:spacing w:after="120" w:line="360" w:lineRule="auto"/>
        <w:jc w:val="both"/>
        <w:rPr>
          <w:rFonts w:ascii="Century Gothic" w:hAnsi="Century Gothic"/>
          <w:sz w:val="24"/>
          <w:szCs w:val="24"/>
        </w:rPr>
      </w:pPr>
    </w:p>
    <w:p w14:paraId="6EB58661" w14:textId="283354A6" w:rsidR="00B17AD1"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sz w:val="24"/>
          <w:szCs w:val="24"/>
        </w:rPr>
        <w:t>La compensación permite corregir situaciones de enriquecimiento y empobrecimiento injustos, derivadas de que uno de los cónyuges</w:t>
      </w:r>
      <w:r w:rsidR="00833C07">
        <w:rPr>
          <w:rFonts w:ascii="Century Gothic" w:hAnsi="Century Gothic"/>
          <w:sz w:val="24"/>
          <w:szCs w:val="24"/>
        </w:rPr>
        <w:t>, comúnmente la mujer,</w:t>
      </w:r>
      <w:r w:rsidRPr="00B17AD1">
        <w:rPr>
          <w:rFonts w:ascii="Century Gothic" w:hAnsi="Century Gothic"/>
          <w:sz w:val="24"/>
          <w:szCs w:val="24"/>
        </w:rPr>
        <w:t xml:space="preserve"> asumió las cargas domésticas en mayor medida que el otro. </w:t>
      </w:r>
      <w:r w:rsidRPr="00B17AD1">
        <w:rPr>
          <w:rFonts w:ascii="Century Gothic" w:hAnsi="Century Gothic" w:cstheme="minorHAnsi"/>
          <w:sz w:val="24"/>
          <w:szCs w:val="24"/>
        </w:rPr>
        <w:t xml:space="preserve">En términos económicos, se trata de compensar o resarcir el costo de oportunidad que puede conllevar la menor obtención de experiencia laboral, la no obtención de salario, o de uno menor durante el matrimonio, entre otros perjuicios. </w:t>
      </w:r>
    </w:p>
    <w:p w14:paraId="544331C8" w14:textId="77777777" w:rsidR="001E1F3A" w:rsidRPr="00B17AD1" w:rsidRDefault="001E1F3A" w:rsidP="00B17AD1">
      <w:pPr>
        <w:spacing w:after="120" w:line="360" w:lineRule="auto"/>
        <w:jc w:val="both"/>
        <w:rPr>
          <w:rFonts w:ascii="Century Gothic" w:hAnsi="Century Gothic" w:cstheme="minorHAnsi"/>
          <w:sz w:val="24"/>
          <w:szCs w:val="24"/>
        </w:rPr>
      </w:pPr>
    </w:p>
    <w:p w14:paraId="44F124C9" w14:textId="3E7F7695" w:rsidR="00B17AD1" w:rsidRDefault="00342ABB" w:rsidP="00B17AD1">
      <w:pPr>
        <w:spacing w:after="120" w:line="360" w:lineRule="auto"/>
        <w:jc w:val="both"/>
        <w:rPr>
          <w:rFonts w:ascii="Century Gothic" w:hAnsi="Century Gothic"/>
          <w:sz w:val="24"/>
          <w:szCs w:val="24"/>
        </w:rPr>
      </w:pPr>
      <w:r>
        <w:rPr>
          <w:rFonts w:ascii="Century Gothic" w:hAnsi="Century Gothic" w:cstheme="minorHAnsi"/>
          <w:sz w:val="24"/>
          <w:szCs w:val="24"/>
        </w:rPr>
        <w:t>L</w:t>
      </w:r>
      <w:r w:rsidR="00B17AD1" w:rsidRPr="00B17AD1">
        <w:rPr>
          <w:rFonts w:ascii="Century Gothic" w:hAnsi="Century Gothic" w:cstheme="minorHAnsi"/>
          <w:sz w:val="24"/>
          <w:szCs w:val="24"/>
        </w:rPr>
        <w:t>a Suprema Corte de Justicia de la Nación</w:t>
      </w:r>
      <w:r>
        <w:rPr>
          <w:rFonts w:ascii="Century Gothic" w:hAnsi="Century Gothic" w:cstheme="minorHAnsi"/>
          <w:sz w:val="24"/>
          <w:szCs w:val="24"/>
        </w:rPr>
        <w:t>, en días pasados,</w:t>
      </w:r>
      <w:r w:rsidR="00B17AD1" w:rsidRPr="00B17AD1">
        <w:rPr>
          <w:rFonts w:ascii="Century Gothic" w:hAnsi="Century Gothic" w:cstheme="minorHAnsi"/>
          <w:sz w:val="24"/>
          <w:szCs w:val="24"/>
        </w:rPr>
        <w:t xml:space="preserve"> estableció mediante la resolución del amparo directo en revisión 7653/2018 que las legislaciones locales que no contemplan la compensación sobre bienes adquiridos durante el matrimonio celebrado bajo el régimen de separación de bienes, son inconstitucionales, en contravención al principio de igualdad entre cónyuge</w:t>
      </w:r>
      <w:r w:rsidR="00833C07">
        <w:rPr>
          <w:rFonts w:ascii="Century Gothic" w:hAnsi="Century Gothic" w:cstheme="minorHAnsi"/>
          <w:sz w:val="24"/>
          <w:szCs w:val="24"/>
        </w:rPr>
        <w:t>s</w:t>
      </w:r>
      <w:r w:rsidR="00B17AD1" w:rsidRPr="00B17AD1">
        <w:rPr>
          <w:rFonts w:ascii="Century Gothic" w:hAnsi="Century Gothic" w:cstheme="minorHAnsi"/>
          <w:sz w:val="24"/>
          <w:szCs w:val="24"/>
        </w:rPr>
        <w:t xml:space="preserve">, </w:t>
      </w:r>
      <w:r w:rsidR="00B17AD1" w:rsidRPr="00B17AD1">
        <w:rPr>
          <w:rFonts w:ascii="Century Gothic" w:hAnsi="Century Gothic"/>
          <w:sz w:val="24"/>
          <w:szCs w:val="24"/>
        </w:rPr>
        <w:t>en términos de los artículos 1 y 4 de la Constitución federal en relación con el artículo 23 del Pacto Internacional de Derechos Civiles y Políticos, así como el artículo 17 de la Convención Americana Sobre Derechos Humanos</w:t>
      </w:r>
    </w:p>
    <w:p w14:paraId="3AF51675" w14:textId="77777777" w:rsidR="00342ABB" w:rsidRPr="00B17AD1" w:rsidRDefault="00342ABB" w:rsidP="00B17AD1">
      <w:pPr>
        <w:spacing w:after="120" w:line="360" w:lineRule="auto"/>
        <w:jc w:val="both"/>
        <w:rPr>
          <w:rFonts w:ascii="Century Gothic" w:hAnsi="Century Gothic" w:cstheme="minorHAnsi"/>
          <w:sz w:val="24"/>
          <w:szCs w:val="24"/>
        </w:rPr>
      </w:pPr>
    </w:p>
    <w:p w14:paraId="721CFC12" w14:textId="3C436098" w:rsidR="00B17AD1"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cstheme="minorHAnsi"/>
          <w:sz w:val="24"/>
          <w:szCs w:val="24"/>
        </w:rPr>
        <w:t xml:space="preserve">Así, esta iniciativa tiene la finalidad </w:t>
      </w:r>
      <w:r w:rsidR="00342ABB">
        <w:rPr>
          <w:rFonts w:ascii="Century Gothic" w:hAnsi="Century Gothic" w:cstheme="minorHAnsi"/>
          <w:sz w:val="24"/>
          <w:szCs w:val="24"/>
        </w:rPr>
        <w:t xml:space="preserve">de </w:t>
      </w:r>
      <w:r w:rsidRPr="00B17AD1">
        <w:rPr>
          <w:rFonts w:ascii="Century Gothic" w:hAnsi="Century Gothic" w:cstheme="minorHAnsi"/>
          <w:sz w:val="24"/>
          <w:szCs w:val="24"/>
        </w:rPr>
        <w:t xml:space="preserve">establecer en el Estado de Chihuahua </w:t>
      </w:r>
      <w:r>
        <w:rPr>
          <w:rFonts w:ascii="Century Gothic" w:hAnsi="Century Gothic" w:cstheme="minorHAnsi"/>
          <w:sz w:val="24"/>
          <w:szCs w:val="24"/>
        </w:rPr>
        <w:t>este</w:t>
      </w:r>
      <w:r w:rsidRPr="00B17AD1">
        <w:rPr>
          <w:rFonts w:ascii="Century Gothic" w:hAnsi="Century Gothic" w:cstheme="minorHAnsi"/>
          <w:sz w:val="24"/>
          <w:szCs w:val="24"/>
        </w:rPr>
        <w:t xml:space="preserve"> mecanismo resarcitorio tendiente a lograr la igualdad de derechos y obligaciones entre cónyuges, ante los posibles desequilibrios económicos en el patrimonio</w:t>
      </w:r>
      <w:r>
        <w:rPr>
          <w:rFonts w:ascii="Century Gothic" w:hAnsi="Century Gothic" w:cstheme="minorHAnsi"/>
          <w:sz w:val="24"/>
          <w:szCs w:val="24"/>
        </w:rPr>
        <w:t xml:space="preserve"> mediante el régimen de separación de bienes.</w:t>
      </w:r>
    </w:p>
    <w:p w14:paraId="7FDD8613" w14:textId="77777777" w:rsidR="009F7752" w:rsidRPr="00B17AD1" w:rsidRDefault="009F7752" w:rsidP="00B17AD1">
      <w:pPr>
        <w:spacing w:after="120" w:line="360" w:lineRule="auto"/>
        <w:jc w:val="both"/>
        <w:rPr>
          <w:rFonts w:ascii="Century Gothic" w:hAnsi="Century Gothic" w:cstheme="minorHAnsi"/>
          <w:sz w:val="24"/>
          <w:szCs w:val="24"/>
        </w:rPr>
      </w:pPr>
    </w:p>
    <w:p w14:paraId="05223EF4" w14:textId="79F9C6BE" w:rsidR="00FD176D" w:rsidRDefault="00B17AD1" w:rsidP="00B17AD1">
      <w:pPr>
        <w:spacing w:after="120" w:line="360" w:lineRule="auto"/>
        <w:jc w:val="both"/>
        <w:rPr>
          <w:rFonts w:ascii="Century Gothic" w:hAnsi="Century Gothic" w:cstheme="minorHAnsi"/>
          <w:sz w:val="24"/>
          <w:szCs w:val="24"/>
        </w:rPr>
      </w:pPr>
      <w:r w:rsidRPr="00B17AD1">
        <w:rPr>
          <w:rFonts w:ascii="Century Gothic" w:hAnsi="Century Gothic"/>
          <w:sz w:val="24"/>
          <w:szCs w:val="24"/>
        </w:rPr>
        <w:t xml:space="preserve">El trabajo en el hogar o el cuidado de los hijos tiene el mismo valor que el realizado afuera. </w:t>
      </w:r>
      <w:r w:rsidRPr="00B17AD1">
        <w:rPr>
          <w:rFonts w:ascii="Century Gothic" w:hAnsi="Century Gothic" w:cstheme="minorHAnsi"/>
          <w:sz w:val="24"/>
          <w:szCs w:val="24"/>
        </w:rPr>
        <w:t>Reivindiquemos el valor del trabajo doméstico y de cuidado largamente invisibilizado en nuestra sociedad.</w:t>
      </w:r>
    </w:p>
    <w:p w14:paraId="7E4A516B" w14:textId="77777777" w:rsidR="009F7752" w:rsidRPr="00B17AD1" w:rsidRDefault="009F7752" w:rsidP="00B17AD1">
      <w:pPr>
        <w:spacing w:after="120" w:line="360" w:lineRule="auto"/>
        <w:jc w:val="both"/>
        <w:rPr>
          <w:rFonts w:ascii="Century Gothic" w:hAnsi="Century Gothic" w:cstheme="minorBidi"/>
          <w:sz w:val="24"/>
          <w:szCs w:val="24"/>
        </w:rPr>
      </w:pPr>
    </w:p>
    <w:p w14:paraId="28418656" w14:textId="02515E1F" w:rsidR="004D39C0" w:rsidRPr="00B17AD1" w:rsidRDefault="00BD146F" w:rsidP="00B17AD1">
      <w:pPr>
        <w:pStyle w:val="NormalWeb"/>
        <w:shd w:val="clear" w:color="auto" w:fill="FDFDFD"/>
        <w:spacing w:before="0" w:beforeAutospacing="0" w:after="120" w:afterAutospacing="0" w:line="360" w:lineRule="auto"/>
        <w:jc w:val="both"/>
        <w:rPr>
          <w:rFonts w:ascii="Century Gothic" w:hAnsi="Century Gothic" w:cstheme="minorHAnsi"/>
        </w:rPr>
      </w:pPr>
      <w:r w:rsidRPr="00B17AD1">
        <w:rPr>
          <w:rFonts w:ascii="Century Gothic" w:hAnsi="Century Gothic" w:cstheme="minorHAnsi"/>
        </w:rPr>
        <w:t>Por las anteriores consideraciones y motivos, nos permitimos a someter a esta soberanía, el siguiente proyecto de:</w:t>
      </w:r>
    </w:p>
    <w:p w14:paraId="32881AA7" w14:textId="532F15C1" w:rsidR="009F7752" w:rsidRDefault="009F7752" w:rsidP="00B17AD1">
      <w:pPr>
        <w:spacing w:after="120" w:line="360" w:lineRule="auto"/>
        <w:jc w:val="center"/>
        <w:rPr>
          <w:rFonts w:ascii="Century Gothic" w:hAnsi="Century Gothic" w:cs="Arial"/>
          <w:b/>
          <w:sz w:val="24"/>
          <w:szCs w:val="24"/>
          <w:shd w:val="clear" w:color="auto" w:fill="FFFFFF"/>
        </w:rPr>
      </w:pPr>
      <w:bookmarkStart w:id="1" w:name="_Hlk83199602"/>
    </w:p>
    <w:p w14:paraId="385CA9E3" w14:textId="05DFBEBA" w:rsidR="004D39C0" w:rsidRDefault="00772816" w:rsidP="00B17AD1">
      <w:pPr>
        <w:spacing w:after="120" w:line="360" w:lineRule="auto"/>
        <w:jc w:val="center"/>
        <w:rPr>
          <w:rFonts w:ascii="Century Gothic" w:hAnsi="Century Gothic" w:cs="Arial"/>
          <w:b/>
          <w:sz w:val="24"/>
          <w:szCs w:val="24"/>
          <w:shd w:val="clear" w:color="auto" w:fill="FFFFFF"/>
        </w:rPr>
      </w:pPr>
      <w:r w:rsidRPr="00B17AD1">
        <w:rPr>
          <w:rFonts w:ascii="Century Gothic" w:hAnsi="Century Gothic" w:cs="Arial"/>
          <w:b/>
          <w:sz w:val="24"/>
          <w:szCs w:val="24"/>
          <w:shd w:val="clear" w:color="auto" w:fill="FFFFFF"/>
        </w:rPr>
        <w:t>D E C R E T O</w:t>
      </w:r>
    </w:p>
    <w:p w14:paraId="73A49AC4" w14:textId="77777777" w:rsidR="009F7752" w:rsidRPr="00B17AD1" w:rsidRDefault="009F7752" w:rsidP="00B17AD1">
      <w:pPr>
        <w:spacing w:after="120" w:line="360" w:lineRule="auto"/>
        <w:jc w:val="center"/>
        <w:rPr>
          <w:rFonts w:ascii="Century Gothic" w:hAnsi="Century Gothic" w:cs="Arial"/>
          <w:b/>
          <w:sz w:val="24"/>
          <w:szCs w:val="24"/>
          <w:shd w:val="clear" w:color="auto" w:fill="FFFFFF"/>
        </w:rPr>
      </w:pPr>
    </w:p>
    <w:bookmarkEnd w:id="1"/>
    <w:p w14:paraId="53CFBBC7" w14:textId="0CA71EB3" w:rsidR="00A06126" w:rsidRPr="00B17AD1" w:rsidRDefault="0029446B" w:rsidP="00B17AD1">
      <w:pPr>
        <w:spacing w:after="120" w:line="360" w:lineRule="auto"/>
        <w:jc w:val="both"/>
        <w:rPr>
          <w:rFonts w:ascii="Century Gothic" w:hAnsi="Century Gothic" w:cs="Arial"/>
          <w:bCs/>
          <w:sz w:val="24"/>
          <w:szCs w:val="24"/>
          <w:shd w:val="clear" w:color="auto" w:fill="FFFFFF"/>
        </w:rPr>
      </w:pPr>
      <w:r w:rsidRPr="00B17AD1">
        <w:rPr>
          <w:rFonts w:ascii="Century Gothic" w:hAnsi="Century Gothic" w:cstheme="minorHAnsi"/>
          <w:b/>
          <w:sz w:val="24"/>
          <w:szCs w:val="24"/>
        </w:rPr>
        <w:t>ARTÍCULO PRIMERO</w:t>
      </w:r>
      <w:r w:rsidRPr="00B17AD1">
        <w:rPr>
          <w:rFonts w:ascii="Century Gothic" w:hAnsi="Century Gothic" w:cs="Arial"/>
          <w:b/>
          <w:sz w:val="24"/>
          <w:szCs w:val="24"/>
          <w:shd w:val="clear" w:color="auto" w:fill="FFFFFF"/>
        </w:rPr>
        <w:t xml:space="preserve">.- </w:t>
      </w:r>
      <w:r w:rsidRPr="00B17AD1">
        <w:rPr>
          <w:rFonts w:ascii="Century Gothic" w:hAnsi="Century Gothic" w:cs="Arial"/>
          <w:bCs/>
          <w:sz w:val="24"/>
          <w:szCs w:val="24"/>
          <w:shd w:val="clear" w:color="auto" w:fill="FFFFFF"/>
        </w:rPr>
        <w:t xml:space="preserve">Se </w:t>
      </w:r>
      <w:r w:rsidR="00B17AD1">
        <w:rPr>
          <w:rFonts w:ascii="Century Gothic" w:hAnsi="Century Gothic" w:cs="Arial"/>
          <w:b/>
          <w:sz w:val="24"/>
          <w:szCs w:val="24"/>
          <w:shd w:val="clear" w:color="auto" w:fill="FFFFFF"/>
        </w:rPr>
        <w:t xml:space="preserve">adiciona </w:t>
      </w:r>
      <w:r w:rsidRPr="00B17AD1">
        <w:rPr>
          <w:rFonts w:ascii="Century Gothic" w:hAnsi="Century Gothic" w:cs="Arial"/>
          <w:bCs/>
          <w:sz w:val="24"/>
          <w:szCs w:val="24"/>
          <w:shd w:val="clear" w:color="auto" w:fill="FFFFFF"/>
        </w:rPr>
        <w:t>el artículo 1</w:t>
      </w:r>
      <w:r w:rsidR="00B17AD1">
        <w:rPr>
          <w:rFonts w:ascii="Century Gothic" w:hAnsi="Century Gothic" w:cs="Arial"/>
          <w:bCs/>
          <w:sz w:val="24"/>
          <w:szCs w:val="24"/>
          <w:shd w:val="clear" w:color="auto" w:fill="FFFFFF"/>
        </w:rPr>
        <w:t>95 bis</w:t>
      </w:r>
      <w:r w:rsidR="00A06126" w:rsidRPr="00B17AD1">
        <w:rPr>
          <w:rFonts w:ascii="Century Gothic" w:hAnsi="Century Gothic" w:cs="Arial"/>
          <w:bCs/>
          <w:sz w:val="24"/>
          <w:szCs w:val="24"/>
          <w:shd w:val="clear" w:color="auto" w:fill="FFFFFF"/>
        </w:rPr>
        <w:t>,</w:t>
      </w:r>
      <w:r w:rsidRPr="00B17AD1">
        <w:rPr>
          <w:rFonts w:ascii="Century Gothic" w:hAnsi="Century Gothic" w:cs="Arial"/>
          <w:bCs/>
          <w:sz w:val="24"/>
          <w:szCs w:val="24"/>
          <w:shd w:val="clear" w:color="auto" w:fill="FFFFFF"/>
        </w:rPr>
        <w:t xml:space="preserve"> </w:t>
      </w:r>
      <w:r w:rsidR="00B17AD1">
        <w:rPr>
          <w:rFonts w:ascii="Century Gothic" w:hAnsi="Century Gothic" w:cs="Arial"/>
          <w:bCs/>
          <w:sz w:val="24"/>
          <w:szCs w:val="24"/>
          <w:shd w:val="clear" w:color="auto" w:fill="FFFFFF"/>
        </w:rPr>
        <w:t>del Código Civil del Estado de Chihuahua</w:t>
      </w:r>
      <w:r w:rsidRPr="00B17AD1">
        <w:rPr>
          <w:rFonts w:ascii="Century Gothic" w:hAnsi="Century Gothic" w:cs="Arial"/>
          <w:bCs/>
          <w:sz w:val="24"/>
          <w:szCs w:val="24"/>
          <w:shd w:val="clear" w:color="auto" w:fill="FFFFFF"/>
        </w:rPr>
        <w:t>, para quedar en los siguientes términos:</w:t>
      </w:r>
    </w:p>
    <w:p w14:paraId="659F21E3" w14:textId="77777777" w:rsidR="007B75E4" w:rsidRDefault="007B75E4" w:rsidP="00B17AD1">
      <w:pPr>
        <w:spacing w:line="360" w:lineRule="auto"/>
        <w:ind w:left="708"/>
        <w:jc w:val="both"/>
        <w:rPr>
          <w:rFonts w:ascii="Century Gothic" w:hAnsi="Century Gothic"/>
          <w:b/>
          <w:bCs/>
          <w:sz w:val="24"/>
          <w:szCs w:val="24"/>
        </w:rPr>
      </w:pPr>
    </w:p>
    <w:p w14:paraId="27BFCC99" w14:textId="4B3196B6" w:rsidR="00B17AD1" w:rsidRDefault="00ED7657" w:rsidP="00B17AD1">
      <w:pPr>
        <w:spacing w:line="360" w:lineRule="auto"/>
        <w:ind w:left="708"/>
        <w:jc w:val="both"/>
        <w:rPr>
          <w:rFonts w:ascii="Century Gothic" w:hAnsi="Century Gothic"/>
          <w:b/>
          <w:bCs/>
          <w:sz w:val="24"/>
          <w:szCs w:val="24"/>
        </w:rPr>
      </w:pPr>
      <w:r w:rsidRPr="00B17AD1">
        <w:rPr>
          <w:rFonts w:ascii="Century Gothic" w:hAnsi="Century Gothic"/>
          <w:b/>
          <w:bCs/>
          <w:sz w:val="24"/>
          <w:szCs w:val="24"/>
        </w:rPr>
        <w:t>Artículo 195 bis. Para efectos de divorcio al existir régimen de separación de bienes</w:t>
      </w:r>
      <w:r w:rsidR="00B17AD1" w:rsidRPr="00B17AD1">
        <w:rPr>
          <w:rFonts w:ascii="Century Gothic" w:hAnsi="Century Gothic"/>
          <w:b/>
          <w:bCs/>
          <w:sz w:val="24"/>
          <w:szCs w:val="24"/>
        </w:rPr>
        <w:t>, cuando alguno de los cónyuges haya realizado trabajo del hogar consistente en tareas de administración, dirección, atención del mismo o cuidado de la familia de manera cotidiana, tendrá derecho a la repartición de los bienes adquiridos durante el matrimonio hasta por el cincuenta por ciento, con base en los principios de equidad y proporcionalidad.</w:t>
      </w:r>
    </w:p>
    <w:p w14:paraId="36F7B75C" w14:textId="77777777" w:rsidR="007B75E4" w:rsidRPr="00B17AD1" w:rsidRDefault="007B75E4" w:rsidP="00B17AD1">
      <w:pPr>
        <w:spacing w:line="360" w:lineRule="auto"/>
        <w:ind w:left="708"/>
        <w:jc w:val="both"/>
        <w:rPr>
          <w:rFonts w:ascii="Century Gothic" w:hAnsi="Century Gothic"/>
          <w:b/>
          <w:bCs/>
          <w:sz w:val="24"/>
          <w:szCs w:val="24"/>
        </w:rPr>
      </w:pPr>
    </w:p>
    <w:p w14:paraId="0418E12D" w14:textId="4A45BCD2" w:rsidR="00B17AD1" w:rsidRDefault="007B75E4" w:rsidP="00B17AD1">
      <w:pPr>
        <w:spacing w:line="360" w:lineRule="auto"/>
        <w:ind w:left="708"/>
        <w:jc w:val="both"/>
        <w:rPr>
          <w:rFonts w:ascii="Century Gothic" w:hAnsi="Century Gothic"/>
          <w:b/>
          <w:bCs/>
          <w:sz w:val="24"/>
          <w:szCs w:val="24"/>
        </w:rPr>
      </w:pPr>
      <w:r>
        <w:rPr>
          <w:rFonts w:ascii="Century Gothic" w:hAnsi="Century Gothic"/>
          <w:b/>
          <w:bCs/>
          <w:sz w:val="24"/>
          <w:szCs w:val="24"/>
        </w:rPr>
        <w:t xml:space="preserve">La o el </w:t>
      </w:r>
      <w:r w:rsidR="00B17AD1" w:rsidRPr="00B17AD1">
        <w:rPr>
          <w:rFonts w:ascii="Century Gothic" w:hAnsi="Century Gothic"/>
          <w:b/>
          <w:bCs/>
          <w:sz w:val="24"/>
          <w:szCs w:val="24"/>
        </w:rPr>
        <w:t xml:space="preserve">Juez habrá de resolver atendiendo al tiempo que duró el matrimonio, los bienes </w:t>
      </w:r>
      <w:r w:rsidR="00ED7657">
        <w:rPr>
          <w:rFonts w:ascii="Century Gothic" w:hAnsi="Century Gothic"/>
          <w:b/>
          <w:bCs/>
          <w:sz w:val="24"/>
          <w:szCs w:val="24"/>
        </w:rPr>
        <w:t>con que cuenten los cónyuges</w:t>
      </w:r>
      <w:r w:rsidR="00B17AD1" w:rsidRPr="00B17AD1">
        <w:rPr>
          <w:rFonts w:ascii="Century Gothic" w:hAnsi="Century Gothic"/>
          <w:b/>
          <w:bCs/>
          <w:sz w:val="24"/>
          <w:szCs w:val="24"/>
        </w:rPr>
        <w:t>, la custodia de los hijos y las demás circunstancias especiales de cada caso.</w:t>
      </w:r>
    </w:p>
    <w:p w14:paraId="45260406" w14:textId="77777777" w:rsidR="007B75E4" w:rsidRPr="00B17AD1" w:rsidRDefault="007B75E4" w:rsidP="00B17AD1">
      <w:pPr>
        <w:spacing w:line="360" w:lineRule="auto"/>
        <w:ind w:left="708"/>
        <w:jc w:val="both"/>
        <w:rPr>
          <w:rFonts w:ascii="Century Gothic" w:hAnsi="Century Gothic"/>
          <w:b/>
          <w:bCs/>
          <w:sz w:val="24"/>
          <w:szCs w:val="24"/>
        </w:rPr>
      </w:pPr>
    </w:p>
    <w:p w14:paraId="49833BC9" w14:textId="56A3A964" w:rsidR="00B17AD1" w:rsidRDefault="00B17AD1" w:rsidP="00B17AD1">
      <w:pPr>
        <w:spacing w:line="360" w:lineRule="auto"/>
        <w:ind w:left="708"/>
        <w:jc w:val="both"/>
        <w:rPr>
          <w:rFonts w:ascii="Century Gothic" w:hAnsi="Century Gothic"/>
          <w:b/>
          <w:bCs/>
          <w:sz w:val="24"/>
          <w:szCs w:val="24"/>
        </w:rPr>
      </w:pPr>
      <w:r w:rsidRPr="00B17AD1">
        <w:rPr>
          <w:rFonts w:ascii="Century Gothic" w:hAnsi="Century Gothic"/>
          <w:b/>
          <w:bCs/>
          <w:sz w:val="24"/>
          <w:szCs w:val="24"/>
        </w:rPr>
        <w:t>Se exceptúan de los bienes establecidos en este artículo, los que se adquieran por sucesión y donación</w:t>
      </w:r>
      <w:r>
        <w:rPr>
          <w:rFonts w:ascii="Century Gothic" w:hAnsi="Century Gothic"/>
          <w:b/>
          <w:bCs/>
          <w:sz w:val="24"/>
          <w:szCs w:val="24"/>
        </w:rPr>
        <w:t>.</w:t>
      </w:r>
    </w:p>
    <w:p w14:paraId="5FA63552" w14:textId="06587C62" w:rsidR="00B17AD1" w:rsidRDefault="00B17AD1" w:rsidP="00B17AD1">
      <w:pPr>
        <w:spacing w:line="360" w:lineRule="auto"/>
        <w:ind w:left="708"/>
        <w:jc w:val="both"/>
        <w:rPr>
          <w:rFonts w:ascii="Century Gothic" w:hAnsi="Century Gothic"/>
          <w:b/>
          <w:bCs/>
          <w:sz w:val="24"/>
          <w:szCs w:val="24"/>
        </w:rPr>
      </w:pPr>
    </w:p>
    <w:p w14:paraId="59D68B9F" w14:textId="77777777" w:rsidR="00B17AD1" w:rsidRPr="00427280" w:rsidRDefault="00B17AD1" w:rsidP="00B17AD1">
      <w:pPr>
        <w:pStyle w:val="Prrafodelista"/>
        <w:spacing w:before="80" w:afterLines="80" w:after="192" w:line="360" w:lineRule="auto"/>
        <w:ind w:left="0"/>
        <w:jc w:val="center"/>
        <w:rPr>
          <w:rFonts w:ascii="Century Gothic" w:hAnsi="Century Gothic" w:cstheme="minorHAnsi"/>
          <w:b/>
          <w:bCs/>
          <w:sz w:val="28"/>
          <w:szCs w:val="28"/>
          <w:lang w:val="en-US"/>
        </w:rPr>
      </w:pPr>
      <w:r w:rsidRPr="00124628">
        <w:rPr>
          <w:rFonts w:ascii="Century Gothic" w:hAnsi="Century Gothic" w:cstheme="minorHAnsi"/>
          <w:b/>
          <w:bCs/>
          <w:sz w:val="28"/>
          <w:szCs w:val="28"/>
          <w:lang w:val="en-US"/>
        </w:rPr>
        <w:t>T R A N S I T O R I O S:</w:t>
      </w:r>
    </w:p>
    <w:p w14:paraId="16B74B06" w14:textId="77777777" w:rsidR="00B17AD1" w:rsidRDefault="00B17AD1" w:rsidP="00B17AD1">
      <w:pPr>
        <w:pStyle w:val="Prrafodelista"/>
        <w:spacing w:before="80" w:afterLines="80" w:after="192" w:line="360" w:lineRule="auto"/>
        <w:ind w:left="0"/>
        <w:jc w:val="both"/>
        <w:rPr>
          <w:rFonts w:ascii="Century Gothic" w:hAnsi="Century Gothic" w:cstheme="minorHAnsi"/>
          <w:sz w:val="24"/>
          <w:szCs w:val="24"/>
        </w:rPr>
      </w:pPr>
      <w:r>
        <w:rPr>
          <w:rFonts w:ascii="Century Gothic" w:hAnsi="Century Gothic" w:cstheme="minorHAnsi"/>
          <w:b/>
          <w:sz w:val="28"/>
          <w:szCs w:val="28"/>
        </w:rPr>
        <w:t xml:space="preserve">ARTÍCULO PRIMERO.  </w:t>
      </w:r>
      <w:r>
        <w:rPr>
          <w:rFonts w:ascii="Century Gothic" w:hAnsi="Century Gothic" w:cstheme="minorHAnsi"/>
          <w:sz w:val="24"/>
          <w:szCs w:val="24"/>
        </w:rPr>
        <w:t>El presente Decreto entrará en vigor al día siguiente de su publicación en el Periódico Oficial del Estado.</w:t>
      </w:r>
    </w:p>
    <w:p w14:paraId="10C5ED1D" w14:textId="77777777" w:rsidR="00B17AD1" w:rsidRDefault="00B17AD1" w:rsidP="00B17AD1">
      <w:pPr>
        <w:pStyle w:val="Prrafodelista"/>
        <w:spacing w:before="80" w:afterLines="80" w:after="192" w:line="360" w:lineRule="auto"/>
        <w:ind w:left="0"/>
        <w:jc w:val="both"/>
        <w:rPr>
          <w:rFonts w:ascii="Century Gothic" w:hAnsi="Century Gothic" w:cstheme="minorHAnsi"/>
          <w:b/>
          <w:sz w:val="28"/>
          <w:szCs w:val="28"/>
        </w:rPr>
      </w:pPr>
    </w:p>
    <w:p w14:paraId="14263366" w14:textId="77777777" w:rsidR="00B17AD1" w:rsidRDefault="00B17AD1" w:rsidP="00B17AD1">
      <w:pPr>
        <w:pStyle w:val="Prrafodelista"/>
        <w:spacing w:before="80" w:afterLines="80" w:after="192" w:line="360" w:lineRule="auto"/>
        <w:ind w:left="0"/>
        <w:jc w:val="both"/>
        <w:rPr>
          <w:rFonts w:ascii="Century Gothic" w:hAnsi="Century Gothic" w:cstheme="minorHAnsi"/>
          <w:sz w:val="24"/>
          <w:szCs w:val="24"/>
        </w:rPr>
      </w:pPr>
      <w:r w:rsidRPr="00610662">
        <w:rPr>
          <w:rFonts w:ascii="Century Gothic" w:hAnsi="Century Gothic" w:cstheme="minorHAnsi"/>
          <w:b/>
          <w:bCs/>
          <w:sz w:val="28"/>
          <w:szCs w:val="28"/>
        </w:rPr>
        <w:t>ECONÓMICO</w:t>
      </w:r>
      <w:r>
        <w:rPr>
          <w:rFonts w:ascii="Century Gothic" w:hAnsi="Century Gothic" w:cstheme="minorHAnsi"/>
          <w:b/>
          <w:bCs/>
          <w:sz w:val="24"/>
          <w:szCs w:val="24"/>
        </w:rPr>
        <w:t xml:space="preserve">. - </w:t>
      </w:r>
      <w:r w:rsidRPr="00E24806">
        <w:rPr>
          <w:rFonts w:ascii="Century Gothic" w:hAnsi="Century Gothic" w:cstheme="minorHAnsi"/>
          <w:sz w:val="24"/>
          <w:szCs w:val="24"/>
        </w:rPr>
        <w:t>Aprobado que sea túrnese a la Secretaría de Asuntos Legislativos y Jurídicos para que elabore la minuta de Decreto en los términos que deba publicarse.</w:t>
      </w:r>
    </w:p>
    <w:p w14:paraId="188E9CEF" w14:textId="77777777" w:rsidR="00B17AD1" w:rsidRPr="00E24806" w:rsidRDefault="00B17AD1" w:rsidP="00B17AD1">
      <w:pPr>
        <w:pStyle w:val="Prrafodelista"/>
        <w:spacing w:before="80" w:afterLines="80" w:after="192" w:line="360" w:lineRule="auto"/>
        <w:ind w:left="0"/>
        <w:jc w:val="both"/>
        <w:rPr>
          <w:rFonts w:ascii="Century Gothic" w:hAnsi="Century Gothic" w:cstheme="minorHAnsi"/>
          <w:sz w:val="24"/>
          <w:szCs w:val="24"/>
        </w:rPr>
      </w:pPr>
    </w:p>
    <w:p w14:paraId="69B4C340" w14:textId="647C8BC7" w:rsidR="00146B3B" w:rsidRPr="00B17AD1" w:rsidRDefault="00B17AD1" w:rsidP="00B17AD1">
      <w:pPr>
        <w:pStyle w:val="Prrafodelista"/>
        <w:spacing w:before="80" w:afterLines="80" w:after="192" w:line="360" w:lineRule="auto"/>
        <w:ind w:left="0"/>
        <w:jc w:val="both"/>
        <w:rPr>
          <w:rFonts w:ascii="Century Gothic" w:hAnsi="Century Gothic" w:cstheme="minorHAnsi"/>
          <w:sz w:val="24"/>
          <w:szCs w:val="24"/>
        </w:rPr>
      </w:pPr>
      <w:r w:rsidRPr="00AD56FF">
        <w:rPr>
          <w:rFonts w:ascii="Century Gothic" w:hAnsi="Century Gothic" w:cstheme="minorHAnsi"/>
          <w:b/>
          <w:sz w:val="28"/>
          <w:szCs w:val="28"/>
        </w:rPr>
        <w:t>D A D O</w:t>
      </w:r>
      <w:r w:rsidRPr="00AD56FF">
        <w:rPr>
          <w:rFonts w:ascii="Century Gothic" w:hAnsi="Century Gothic" w:cstheme="minorHAnsi"/>
          <w:sz w:val="28"/>
          <w:szCs w:val="28"/>
        </w:rPr>
        <w:t xml:space="preserve"> </w:t>
      </w:r>
      <w:r w:rsidRPr="00004561">
        <w:rPr>
          <w:rFonts w:ascii="Century Gothic" w:hAnsi="Century Gothic" w:cstheme="minorHAnsi"/>
          <w:sz w:val="24"/>
          <w:szCs w:val="24"/>
        </w:rPr>
        <w:t>en el salón de sesiones del Poder Legislativo</w:t>
      </w:r>
      <w:r>
        <w:rPr>
          <w:rFonts w:ascii="Century Gothic" w:hAnsi="Century Gothic" w:cstheme="minorHAnsi"/>
          <w:sz w:val="24"/>
          <w:szCs w:val="24"/>
        </w:rPr>
        <w:t xml:space="preserve"> </w:t>
      </w:r>
      <w:r w:rsidRPr="00004561">
        <w:rPr>
          <w:rFonts w:ascii="Century Gothic" w:hAnsi="Century Gothic" w:cstheme="minorHAnsi"/>
          <w:sz w:val="24"/>
          <w:szCs w:val="24"/>
        </w:rPr>
        <w:t>a</w:t>
      </w:r>
      <w:r w:rsidR="007B75E4">
        <w:rPr>
          <w:rFonts w:ascii="Century Gothic" w:hAnsi="Century Gothic" w:cstheme="minorHAnsi"/>
          <w:sz w:val="24"/>
          <w:szCs w:val="24"/>
        </w:rPr>
        <w:t xml:space="preserve"> los 16 </w:t>
      </w:r>
      <w:r>
        <w:rPr>
          <w:rFonts w:ascii="Century Gothic" w:hAnsi="Century Gothic" w:cstheme="minorHAnsi"/>
          <w:sz w:val="24"/>
          <w:szCs w:val="24"/>
        </w:rPr>
        <w:t xml:space="preserve">días </w:t>
      </w:r>
      <w:r w:rsidRPr="00004561">
        <w:rPr>
          <w:rFonts w:ascii="Century Gothic" w:hAnsi="Century Gothic" w:cstheme="minorHAnsi"/>
          <w:sz w:val="24"/>
          <w:szCs w:val="24"/>
        </w:rPr>
        <w:t>de</w:t>
      </w:r>
      <w:r>
        <w:rPr>
          <w:rFonts w:ascii="Century Gothic" w:hAnsi="Century Gothic" w:cstheme="minorHAnsi"/>
          <w:sz w:val="24"/>
          <w:szCs w:val="24"/>
        </w:rPr>
        <w:t xml:space="preserve">l mes de </w:t>
      </w:r>
      <w:r w:rsidR="007B75E4">
        <w:rPr>
          <w:rFonts w:ascii="Century Gothic" w:hAnsi="Century Gothic" w:cstheme="minorHAnsi"/>
          <w:sz w:val="24"/>
          <w:szCs w:val="24"/>
        </w:rPr>
        <w:t>noviembre</w:t>
      </w:r>
      <w:r w:rsidRPr="00004561">
        <w:rPr>
          <w:rFonts w:ascii="Century Gothic" w:hAnsi="Century Gothic" w:cstheme="minorHAnsi"/>
          <w:sz w:val="24"/>
          <w:szCs w:val="24"/>
        </w:rPr>
        <w:t xml:space="preserve"> de</w:t>
      </w:r>
      <w:r>
        <w:rPr>
          <w:rFonts w:ascii="Century Gothic" w:hAnsi="Century Gothic" w:cstheme="minorHAnsi"/>
          <w:sz w:val="24"/>
          <w:szCs w:val="24"/>
        </w:rPr>
        <w:t>l año</w:t>
      </w:r>
      <w:r w:rsidRPr="00004561">
        <w:rPr>
          <w:rFonts w:ascii="Century Gothic" w:hAnsi="Century Gothic" w:cstheme="minorHAnsi"/>
          <w:sz w:val="24"/>
          <w:szCs w:val="24"/>
        </w:rPr>
        <w:t xml:space="preserve"> dos mil veintiuno.</w:t>
      </w:r>
    </w:p>
    <w:p w14:paraId="63478705" w14:textId="12F52D38" w:rsidR="00136775" w:rsidRDefault="00136775" w:rsidP="00B17AD1">
      <w:pPr>
        <w:spacing w:after="120"/>
        <w:rPr>
          <w:rFonts w:ascii="Century Gothic" w:hAnsi="Century Gothic" w:cstheme="minorHAnsi"/>
          <w:b/>
          <w:sz w:val="24"/>
          <w:szCs w:val="24"/>
        </w:rPr>
      </w:pPr>
    </w:p>
    <w:p w14:paraId="62D46714" w14:textId="68DF8E04" w:rsidR="009F7752" w:rsidRDefault="009F7752" w:rsidP="00B17AD1">
      <w:pPr>
        <w:spacing w:after="120"/>
        <w:rPr>
          <w:rFonts w:ascii="Century Gothic" w:hAnsi="Century Gothic" w:cstheme="minorHAnsi"/>
          <w:b/>
          <w:sz w:val="24"/>
          <w:szCs w:val="24"/>
        </w:rPr>
      </w:pPr>
    </w:p>
    <w:p w14:paraId="63581AC0" w14:textId="77777777" w:rsidR="009F7752" w:rsidRPr="00B17AD1" w:rsidRDefault="009F7752" w:rsidP="00B17AD1">
      <w:pPr>
        <w:spacing w:after="120"/>
        <w:rPr>
          <w:rFonts w:ascii="Century Gothic" w:hAnsi="Century Gothic" w:cstheme="minorHAnsi"/>
          <w:b/>
          <w:sz w:val="24"/>
          <w:szCs w:val="24"/>
        </w:rPr>
      </w:pPr>
    </w:p>
    <w:p w14:paraId="52E48E98" w14:textId="77777777" w:rsidR="001E54FB" w:rsidRPr="00B17AD1" w:rsidRDefault="001E54FB" w:rsidP="00B17AD1">
      <w:pPr>
        <w:spacing w:after="120"/>
        <w:jc w:val="center"/>
        <w:rPr>
          <w:rFonts w:ascii="Century Gothic" w:hAnsi="Century Gothic" w:cstheme="minorHAnsi"/>
          <w:b/>
          <w:sz w:val="24"/>
          <w:szCs w:val="24"/>
        </w:rPr>
      </w:pPr>
      <w:r w:rsidRPr="00B17AD1">
        <w:rPr>
          <w:rFonts w:ascii="Century Gothic" w:hAnsi="Century Gothic" w:cstheme="minorHAnsi"/>
          <w:b/>
          <w:sz w:val="24"/>
          <w:szCs w:val="24"/>
        </w:rPr>
        <w:t>A T E N T A M E N T E</w:t>
      </w:r>
    </w:p>
    <w:p w14:paraId="07831CD2" w14:textId="77777777" w:rsidR="001E54FB" w:rsidRPr="00B17AD1" w:rsidRDefault="001E54FB" w:rsidP="00B17AD1">
      <w:pPr>
        <w:pStyle w:val="Prrafodelista"/>
        <w:spacing w:after="120" w:line="240" w:lineRule="auto"/>
        <w:ind w:left="0"/>
        <w:contextualSpacing w:val="0"/>
        <w:rPr>
          <w:rFonts w:ascii="Century Gothic" w:hAnsi="Century Gothic" w:cs="Arial"/>
          <w:b/>
          <w:sz w:val="24"/>
          <w:szCs w:val="24"/>
          <w:shd w:val="clear" w:color="auto" w:fill="FFFFFF"/>
        </w:rPr>
      </w:pPr>
    </w:p>
    <w:p w14:paraId="4A9E5D8C" w14:textId="1488AEC4" w:rsidR="004B3C58" w:rsidRPr="00B17AD1" w:rsidRDefault="004B3C58" w:rsidP="00B17AD1">
      <w:pPr>
        <w:pStyle w:val="Prrafodelista"/>
        <w:spacing w:after="120" w:line="240" w:lineRule="auto"/>
        <w:ind w:left="0"/>
        <w:contextualSpacing w:val="0"/>
        <w:rPr>
          <w:rFonts w:ascii="Century Gothic" w:hAnsi="Century Gothic" w:cs="Arial"/>
          <w:b/>
          <w:sz w:val="24"/>
          <w:szCs w:val="24"/>
          <w:shd w:val="clear" w:color="auto" w:fill="FFFFFF"/>
        </w:rPr>
      </w:pPr>
    </w:p>
    <w:p w14:paraId="5AA5593D" w14:textId="77777777" w:rsidR="00134451" w:rsidRPr="00B17AD1" w:rsidRDefault="00134451" w:rsidP="00B17AD1">
      <w:pPr>
        <w:pStyle w:val="Prrafodelista"/>
        <w:spacing w:after="120" w:line="240" w:lineRule="auto"/>
        <w:ind w:left="0"/>
        <w:contextualSpacing w:val="0"/>
        <w:rPr>
          <w:rFonts w:ascii="Century Gothic" w:hAnsi="Century Gothic" w:cs="Arial"/>
          <w:b/>
          <w:sz w:val="24"/>
          <w:szCs w:val="24"/>
          <w:shd w:val="clear" w:color="auto" w:fill="FFFFFF"/>
        </w:rPr>
      </w:pPr>
    </w:p>
    <w:p w14:paraId="1B942A24" w14:textId="4B2FB216" w:rsidR="001E54FB" w:rsidRPr="00B17AD1" w:rsidRDefault="001E54FB" w:rsidP="00B17AD1">
      <w:pPr>
        <w:spacing w:after="120"/>
        <w:jc w:val="center"/>
        <w:rPr>
          <w:rFonts w:ascii="Century Gothic" w:eastAsia="Arial Unicode MS" w:hAnsi="Century Gothic" w:cs="Arial"/>
          <w:b/>
          <w:sz w:val="24"/>
          <w:szCs w:val="24"/>
        </w:rPr>
      </w:pPr>
      <w:r w:rsidRPr="00B17AD1">
        <w:rPr>
          <w:rFonts w:ascii="Century Gothic" w:hAnsi="Century Gothic" w:cs="Arial"/>
          <w:b/>
          <w:sz w:val="24"/>
          <w:szCs w:val="24"/>
        </w:rPr>
        <w:t>DIP.</w:t>
      </w:r>
      <w:r w:rsidRPr="00B17AD1">
        <w:rPr>
          <w:rFonts w:ascii="Century Gothic" w:eastAsia="Times New Roman" w:hAnsi="Century Gothic" w:cstheme="minorHAnsi"/>
          <w:b/>
          <w:sz w:val="24"/>
          <w:szCs w:val="24"/>
        </w:rPr>
        <w:t xml:space="preserve"> </w:t>
      </w:r>
      <w:r w:rsidR="00C714CE" w:rsidRPr="00B17AD1">
        <w:rPr>
          <w:rFonts w:ascii="Century Gothic" w:eastAsia="Times New Roman" w:hAnsi="Century Gothic" w:cstheme="minorHAnsi"/>
          <w:b/>
          <w:sz w:val="24"/>
          <w:szCs w:val="24"/>
        </w:rPr>
        <w:t>LETICIA ORTEGA MÁYNEZ</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54FB" w:rsidRPr="00B17AD1" w14:paraId="768ADAA3" w14:textId="77777777" w:rsidTr="003631DF">
        <w:trPr>
          <w:trHeight w:val="1984"/>
        </w:trPr>
        <w:tc>
          <w:tcPr>
            <w:tcW w:w="4414" w:type="dxa"/>
            <w:vAlign w:val="bottom"/>
          </w:tcPr>
          <w:p w14:paraId="056BF55F" w14:textId="0FA400CD" w:rsidR="00C714CE" w:rsidRPr="00B17AD1" w:rsidRDefault="001E54FB" w:rsidP="00B17AD1">
            <w:pPr>
              <w:spacing w:after="120"/>
              <w:jc w:val="center"/>
              <w:rPr>
                <w:rFonts w:ascii="Century Gothic" w:hAnsi="Century Gothic" w:cs="Arial"/>
                <w:b/>
                <w:bCs/>
                <w:sz w:val="24"/>
                <w:szCs w:val="24"/>
              </w:rPr>
            </w:pPr>
            <w:r w:rsidRPr="00B17AD1">
              <w:rPr>
                <w:rFonts w:ascii="Century Gothic" w:hAnsi="Century Gothic" w:cs="Arial"/>
                <w:b/>
                <w:bCs/>
                <w:sz w:val="24"/>
                <w:szCs w:val="24"/>
              </w:rPr>
              <w:t xml:space="preserve">DIP. </w:t>
            </w:r>
            <w:r w:rsidR="00C714CE" w:rsidRPr="00B17AD1">
              <w:rPr>
                <w:rFonts w:ascii="Century Gothic" w:hAnsi="Century Gothic" w:cs="Arial"/>
                <w:b/>
                <w:bCs/>
                <w:sz w:val="24"/>
                <w:szCs w:val="24"/>
              </w:rPr>
              <w:t>EDIN CUAUTHÉMOC ESTRADA</w:t>
            </w:r>
          </w:p>
          <w:p w14:paraId="19B0FD5B" w14:textId="264B811F" w:rsidR="001E54FB" w:rsidRPr="00B17AD1" w:rsidRDefault="001E54FB" w:rsidP="00B17AD1">
            <w:pPr>
              <w:spacing w:after="120"/>
              <w:jc w:val="center"/>
              <w:rPr>
                <w:rFonts w:ascii="Century Gothic" w:hAnsi="Century Gothic" w:cs="Arial"/>
                <w:b/>
                <w:bCs/>
                <w:sz w:val="24"/>
                <w:szCs w:val="24"/>
              </w:rPr>
            </w:pPr>
          </w:p>
        </w:tc>
        <w:tc>
          <w:tcPr>
            <w:tcW w:w="4414" w:type="dxa"/>
            <w:vAlign w:val="bottom"/>
          </w:tcPr>
          <w:p w14:paraId="35F441BE" w14:textId="4AC1F6BD" w:rsidR="001E54FB" w:rsidRPr="00B17AD1" w:rsidRDefault="001E54FB" w:rsidP="00B17AD1">
            <w:pPr>
              <w:spacing w:after="120"/>
              <w:jc w:val="center"/>
              <w:rPr>
                <w:rFonts w:ascii="Century Gothic" w:hAnsi="Century Gothic" w:cs="Arial"/>
                <w:b/>
                <w:bCs/>
                <w:sz w:val="24"/>
                <w:szCs w:val="24"/>
              </w:rPr>
            </w:pPr>
            <w:r w:rsidRPr="00B17AD1">
              <w:rPr>
                <w:rFonts w:ascii="Century Gothic" w:hAnsi="Century Gothic" w:cs="Arial"/>
                <w:b/>
                <w:bCs/>
                <w:sz w:val="24"/>
                <w:szCs w:val="24"/>
              </w:rPr>
              <w:t>DIP. ÓSCAR DANIEL AVITIA</w:t>
            </w:r>
            <w:r w:rsidR="00C714CE" w:rsidRPr="00B17AD1">
              <w:rPr>
                <w:rFonts w:ascii="Century Gothic" w:hAnsi="Century Gothic" w:cs="Arial"/>
                <w:b/>
                <w:bCs/>
                <w:sz w:val="24"/>
                <w:szCs w:val="24"/>
              </w:rPr>
              <w:t xml:space="preserve"> </w:t>
            </w:r>
            <w:r w:rsidRPr="00B17AD1">
              <w:rPr>
                <w:rFonts w:ascii="Century Gothic" w:hAnsi="Century Gothic" w:cs="Arial"/>
                <w:b/>
                <w:bCs/>
                <w:sz w:val="24"/>
                <w:szCs w:val="24"/>
              </w:rPr>
              <w:t>ARELLANES</w:t>
            </w:r>
          </w:p>
        </w:tc>
      </w:tr>
      <w:tr w:rsidR="001E54FB" w:rsidRPr="00B17AD1" w14:paraId="7BC0D5E7" w14:textId="77777777" w:rsidTr="003631DF">
        <w:trPr>
          <w:trHeight w:val="1984"/>
        </w:trPr>
        <w:tc>
          <w:tcPr>
            <w:tcW w:w="4414" w:type="dxa"/>
            <w:vAlign w:val="bottom"/>
          </w:tcPr>
          <w:p w14:paraId="47F28F9B" w14:textId="77777777" w:rsidR="001E54FB" w:rsidRPr="00B17AD1" w:rsidRDefault="001E54FB" w:rsidP="00B17AD1">
            <w:pPr>
              <w:spacing w:after="120"/>
              <w:jc w:val="center"/>
              <w:rPr>
                <w:rFonts w:ascii="Century Gothic" w:hAnsi="Century Gothic" w:cs="Arial"/>
                <w:b/>
                <w:bCs/>
                <w:sz w:val="24"/>
                <w:szCs w:val="24"/>
              </w:rPr>
            </w:pPr>
            <w:r w:rsidRPr="00B17AD1">
              <w:rPr>
                <w:rFonts w:ascii="Century Gothic" w:hAnsi="Century Gothic" w:cs="Arial"/>
                <w:b/>
                <w:bCs/>
                <w:sz w:val="24"/>
                <w:szCs w:val="24"/>
              </w:rPr>
              <w:t xml:space="preserve">DIP. ROSANA DÍAZ </w:t>
            </w:r>
          </w:p>
          <w:p w14:paraId="3F7C18D5" w14:textId="77777777" w:rsidR="001E54FB" w:rsidRPr="00B17AD1" w:rsidRDefault="001E54FB" w:rsidP="00B17AD1">
            <w:pPr>
              <w:spacing w:after="120"/>
              <w:jc w:val="center"/>
              <w:rPr>
                <w:rFonts w:ascii="Century Gothic" w:hAnsi="Century Gothic" w:cs="Arial"/>
                <w:b/>
                <w:bCs/>
                <w:sz w:val="24"/>
                <w:szCs w:val="24"/>
              </w:rPr>
            </w:pPr>
            <w:r w:rsidRPr="00B17AD1">
              <w:rPr>
                <w:rFonts w:ascii="Century Gothic" w:hAnsi="Century Gothic" w:cs="Arial"/>
                <w:b/>
                <w:bCs/>
                <w:sz w:val="24"/>
                <w:szCs w:val="24"/>
              </w:rPr>
              <w:t>REYES</w:t>
            </w:r>
          </w:p>
        </w:tc>
        <w:tc>
          <w:tcPr>
            <w:tcW w:w="4414" w:type="dxa"/>
            <w:vAlign w:val="bottom"/>
          </w:tcPr>
          <w:p w14:paraId="16D16FF5" w14:textId="77777777" w:rsidR="001E54FB" w:rsidRPr="00B17AD1" w:rsidRDefault="001E54FB" w:rsidP="00B17AD1">
            <w:pPr>
              <w:spacing w:after="120"/>
              <w:jc w:val="center"/>
              <w:rPr>
                <w:rFonts w:ascii="Century Gothic" w:hAnsi="Century Gothic" w:cs="Arial"/>
                <w:b/>
                <w:bCs/>
                <w:sz w:val="24"/>
                <w:szCs w:val="24"/>
              </w:rPr>
            </w:pPr>
            <w:r w:rsidRPr="00B17AD1">
              <w:rPr>
                <w:rFonts w:ascii="Century Gothic" w:hAnsi="Century Gothic" w:cs="Arial"/>
                <w:b/>
                <w:bCs/>
                <w:sz w:val="24"/>
                <w:szCs w:val="24"/>
              </w:rPr>
              <w:t>DIP. GUSTAVO DE LA ROSA HICKERSON</w:t>
            </w:r>
          </w:p>
        </w:tc>
      </w:tr>
      <w:tr w:rsidR="001E54FB" w:rsidRPr="00B17AD1" w14:paraId="7888291A" w14:textId="77777777" w:rsidTr="003631DF">
        <w:trPr>
          <w:trHeight w:val="1984"/>
        </w:trPr>
        <w:tc>
          <w:tcPr>
            <w:tcW w:w="4414" w:type="dxa"/>
            <w:vAlign w:val="bottom"/>
          </w:tcPr>
          <w:p w14:paraId="2FDAFF32" w14:textId="77777777" w:rsidR="001E54FB" w:rsidRPr="00B17AD1" w:rsidRDefault="001E54FB" w:rsidP="00B17AD1">
            <w:pPr>
              <w:spacing w:after="120"/>
              <w:jc w:val="center"/>
              <w:rPr>
                <w:rFonts w:ascii="Century Gothic" w:hAnsi="Century Gothic" w:cs="Arial"/>
                <w:b/>
                <w:bCs/>
                <w:sz w:val="24"/>
                <w:szCs w:val="24"/>
              </w:rPr>
            </w:pPr>
            <w:r w:rsidRPr="00B17AD1">
              <w:rPr>
                <w:rFonts w:ascii="Century Gothic" w:eastAsia="Times New Roman" w:hAnsi="Century Gothic" w:cstheme="minorHAnsi"/>
                <w:b/>
                <w:sz w:val="24"/>
                <w:szCs w:val="24"/>
              </w:rPr>
              <w:t>DIP. MAGDALENA RENTERÍA PÉREZ</w:t>
            </w:r>
          </w:p>
        </w:tc>
        <w:tc>
          <w:tcPr>
            <w:tcW w:w="4414" w:type="dxa"/>
            <w:vAlign w:val="bottom"/>
          </w:tcPr>
          <w:p w14:paraId="7F7CF9CD" w14:textId="7F72EA31" w:rsidR="001E54FB" w:rsidRPr="00B17AD1" w:rsidRDefault="001E54FB" w:rsidP="00B17AD1">
            <w:pPr>
              <w:spacing w:after="120"/>
              <w:jc w:val="center"/>
              <w:rPr>
                <w:rFonts w:ascii="Century Gothic" w:hAnsi="Century Gothic" w:cs="Arial"/>
                <w:b/>
                <w:bCs/>
                <w:sz w:val="24"/>
                <w:szCs w:val="24"/>
              </w:rPr>
            </w:pPr>
            <w:r w:rsidRPr="00B17AD1">
              <w:rPr>
                <w:rFonts w:ascii="Century Gothic" w:hAnsi="Century Gothic" w:cs="Arial"/>
                <w:b/>
                <w:bCs/>
                <w:sz w:val="24"/>
                <w:szCs w:val="24"/>
              </w:rPr>
              <w:t>DIP. MAR</w:t>
            </w:r>
            <w:r w:rsidR="008169E4" w:rsidRPr="00B17AD1">
              <w:rPr>
                <w:rFonts w:ascii="Century Gothic" w:hAnsi="Century Gothic" w:cs="Arial"/>
                <w:b/>
                <w:bCs/>
                <w:sz w:val="24"/>
                <w:szCs w:val="24"/>
              </w:rPr>
              <w:t>Í</w:t>
            </w:r>
            <w:r w:rsidRPr="00B17AD1">
              <w:rPr>
                <w:rFonts w:ascii="Century Gothic" w:hAnsi="Century Gothic" w:cs="Arial"/>
                <w:b/>
                <w:bCs/>
                <w:sz w:val="24"/>
                <w:szCs w:val="24"/>
              </w:rPr>
              <w:t>A ANTONIETA PÉREZ REYES</w:t>
            </w:r>
          </w:p>
        </w:tc>
      </w:tr>
      <w:tr w:rsidR="001E54FB" w:rsidRPr="00B17AD1" w14:paraId="697CDF43" w14:textId="77777777" w:rsidTr="003631DF">
        <w:trPr>
          <w:trHeight w:val="1984"/>
        </w:trPr>
        <w:tc>
          <w:tcPr>
            <w:tcW w:w="4414" w:type="dxa"/>
            <w:vAlign w:val="bottom"/>
          </w:tcPr>
          <w:p w14:paraId="1A9DBF90" w14:textId="77777777" w:rsidR="001E54FB" w:rsidRPr="00B17AD1" w:rsidRDefault="001E54FB" w:rsidP="00B17AD1">
            <w:pPr>
              <w:spacing w:after="120"/>
              <w:jc w:val="center"/>
              <w:rPr>
                <w:rFonts w:ascii="Century Gothic" w:hAnsi="Century Gothic" w:cs="Arial"/>
                <w:b/>
                <w:bCs/>
                <w:sz w:val="24"/>
                <w:szCs w:val="24"/>
              </w:rPr>
            </w:pPr>
            <w:r w:rsidRPr="00B17AD1">
              <w:rPr>
                <w:rFonts w:ascii="Century Gothic" w:hAnsi="Century Gothic" w:cs="Arial"/>
                <w:b/>
                <w:bCs/>
                <w:sz w:val="24"/>
                <w:szCs w:val="24"/>
              </w:rPr>
              <w:t>DIP. ADRIANA TERRAZAS PORRAS</w:t>
            </w:r>
          </w:p>
        </w:tc>
        <w:tc>
          <w:tcPr>
            <w:tcW w:w="4414" w:type="dxa"/>
            <w:vAlign w:val="bottom"/>
          </w:tcPr>
          <w:p w14:paraId="30CAA731" w14:textId="77777777" w:rsidR="001E54FB" w:rsidRPr="00B17AD1" w:rsidRDefault="001E54FB" w:rsidP="00B17AD1">
            <w:pPr>
              <w:spacing w:after="120"/>
              <w:jc w:val="center"/>
              <w:rPr>
                <w:rFonts w:ascii="Century Gothic" w:hAnsi="Century Gothic" w:cs="Arial"/>
                <w:b/>
                <w:bCs/>
                <w:sz w:val="24"/>
                <w:szCs w:val="24"/>
              </w:rPr>
            </w:pPr>
            <w:r w:rsidRPr="00B17AD1">
              <w:rPr>
                <w:rFonts w:ascii="Century Gothic" w:hAnsi="Century Gothic" w:cs="Arial"/>
                <w:b/>
                <w:bCs/>
                <w:sz w:val="24"/>
                <w:szCs w:val="24"/>
              </w:rPr>
              <w:t>DIP. BENJAMÍN CARRERA CHÁVEZ</w:t>
            </w:r>
          </w:p>
        </w:tc>
      </w:tr>
      <w:tr w:rsidR="001E54FB" w:rsidRPr="00B17AD1" w14:paraId="7098A1E6" w14:textId="77777777" w:rsidTr="003631DF">
        <w:trPr>
          <w:trHeight w:val="1984"/>
        </w:trPr>
        <w:tc>
          <w:tcPr>
            <w:tcW w:w="4414" w:type="dxa"/>
            <w:vAlign w:val="bottom"/>
          </w:tcPr>
          <w:p w14:paraId="768DECB8" w14:textId="72275388" w:rsidR="001E54FB" w:rsidRPr="00B17AD1" w:rsidRDefault="001E54FB" w:rsidP="00B17AD1">
            <w:pPr>
              <w:spacing w:after="120"/>
              <w:jc w:val="center"/>
              <w:rPr>
                <w:rFonts w:ascii="Century Gothic" w:hAnsi="Century Gothic" w:cs="Arial"/>
                <w:b/>
                <w:bCs/>
                <w:sz w:val="24"/>
                <w:szCs w:val="24"/>
              </w:rPr>
            </w:pPr>
            <w:r w:rsidRPr="00B17AD1">
              <w:rPr>
                <w:rFonts w:ascii="Century Gothic" w:hAnsi="Century Gothic" w:cs="Arial"/>
                <w:b/>
                <w:bCs/>
                <w:sz w:val="24"/>
                <w:szCs w:val="24"/>
              </w:rPr>
              <w:t xml:space="preserve">DIP. DAVID </w:t>
            </w:r>
            <w:r w:rsidR="008169E4" w:rsidRPr="00B17AD1">
              <w:rPr>
                <w:rFonts w:ascii="Century Gothic" w:hAnsi="Century Gothic" w:cs="Arial"/>
                <w:b/>
                <w:bCs/>
                <w:sz w:val="24"/>
                <w:szCs w:val="24"/>
              </w:rPr>
              <w:t>Ó</w:t>
            </w:r>
            <w:r w:rsidRPr="00B17AD1">
              <w:rPr>
                <w:rFonts w:ascii="Century Gothic" w:hAnsi="Century Gothic" w:cs="Arial"/>
                <w:b/>
                <w:bCs/>
                <w:sz w:val="24"/>
                <w:szCs w:val="24"/>
              </w:rPr>
              <w:t>SCAR CASTREJÓN RIVAS</w:t>
            </w:r>
          </w:p>
        </w:tc>
        <w:tc>
          <w:tcPr>
            <w:tcW w:w="4414" w:type="dxa"/>
          </w:tcPr>
          <w:p w14:paraId="3DBF57D0" w14:textId="77777777" w:rsidR="001E54FB" w:rsidRPr="00B17AD1" w:rsidRDefault="001E54FB" w:rsidP="00B17AD1">
            <w:pPr>
              <w:spacing w:after="120"/>
              <w:jc w:val="center"/>
              <w:rPr>
                <w:rFonts w:ascii="Century Gothic" w:hAnsi="Century Gothic" w:cs="Arial"/>
                <w:sz w:val="24"/>
                <w:szCs w:val="24"/>
              </w:rPr>
            </w:pPr>
          </w:p>
        </w:tc>
      </w:tr>
    </w:tbl>
    <w:p w14:paraId="337A5040" w14:textId="7FCFE602" w:rsidR="00134451" w:rsidRPr="00B17AD1" w:rsidRDefault="00134451" w:rsidP="00B17AD1">
      <w:pPr>
        <w:spacing w:after="120"/>
        <w:rPr>
          <w:rFonts w:ascii="Century Gothic" w:eastAsia="Arial Unicode MS" w:hAnsi="Century Gothic" w:cs="Arial"/>
          <w:b/>
          <w:sz w:val="24"/>
          <w:szCs w:val="24"/>
        </w:rPr>
      </w:pPr>
    </w:p>
    <w:sectPr w:rsidR="00134451" w:rsidRPr="00B17AD1" w:rsidSect="00EF0A59">
      <w:headerReference w:type="default" r:id="rId7"/>
      <w:footerReference w:type="default" r:id="rId8"/>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82E0B" w14:textId="77777777" w:rsidR="003A7812" w:rsidRDefault="003A7812" w:rsidP="00C251A4">
      <w:r>
        <w:separator/>
      </w:r>
    </w:p>
  </w:endnote>
  <w:endnote w:type="continuationSeparator" w:id="0">
    <w:p w14:paraId="0F10AC2D" w14:textId="77777777" w:rsidR="003A7812" w:rsidRDefault="003A7812"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E985CA9"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D01AA5">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D01AA5">
              <w:rPr>
                <w:rFonts w:ascii="Century Gothic" w:hAnsi="Century Gothic"/>
                <w:b/>
                <w:bCs/>
                <w:noProof/>
                <w:color w:val="525252" w:themeColor="accent3" w:themeShade="80"/>
                <w:sz w:val="16"/>
                <w:szCs w:val="16"/>
              </w:rPr>
              <w:t>10</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FE72B" w14:textId="77777777" w:rsidR="003A7812" w:rsidRDefault="003A7812" w:rsidP="00C251A4">
      <w:r>
        <w:separator/>
      </w:r>
    </w:p>
  </w:footnote>
  <w:footnote w:type="continuationSeparator" w:id="0">
    <w:p w14:paraId="5D5A5033" w14:textId="77777777" w:rsidR="003A7812" w:rsidRDefault="003A7812" w:rsidP="00C251A4">
      <w:r>
        <w:continuationSeparator/>
      </w:r>
    </w:p>
  </w:footnote>
  <w:footnote w:id="1">
    <w:p w14:paraId="47A96A40" w14:textId="77777777" w:rsidR="00B17AD1" w:rsidRPr="00BB36C8" w:rsidRDefault="00B17AD1" w:rsidP="00B17AD1">
      <w:pPr>
        <w:pStyle w:val="Textonotapie"/>
        <w:rPr>
          <w:lang w:val="es-419"/>
        </w:rPr>
      </w:pPr>
      <w:r>
        <w:rPr>
          <w:rStyle w:val="Refdenotaalpie"/>
        </w:rPr>
        <w:footnoteRef/>
      </w:r>
      <w:r>
        <w:t xml:space="preserve"> La figura se introdujo por primera vez a nivel nacional en el Código Civil para el Distrito Federal en el año 2000.</w:t>
      </w:r>
    </w:p>
  </w:footnote>
  <w:footnote w:id="2">
    <w:p w14:paraId="495DEE38" w14:textId="77777777" w:rsidR="00B17AD1" w:rsidRPr="009A7A3C" w:rsidRDefault="00B17AD1" w:rsidP="00B17AD1">
      <w:pPr>
        <w:pStyle w:val="Textonotapie"/>
        <w:rPr>
          <w:lang w:val="es-419"/>
        </w:rPr>
      </w:pPr>
      <w:r>
        <w:rPr>
          <w:rStyle w:val="Refdenotaalpie"/>
        </w:rPr>
        <w:footnoteRef/>
      </w:r>
      <w:r>
        <w:t>Véanse los artículos 279 a 281 del Código Civil para el Estado de Nuevo León, el artículo 267, fracción VI, del Código Civil para el Distrito Federal y 4.46 del Código Civil del Estado de México. Véase también, los artículos 281 del Código Civil para el Estado de Nayarit y 342-A del Código Civil para el Estado de Guanajuato.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4BC95BE7" w:rsidR="00C251A4" w:rsidRDefault="00C251A4">
    <w:pPr>
      <w:pStyle w:val="Encabezado"/>
      <w:rPr>
        <w:sz w:val="24"/>
      </w:rPr>
    </w:pPr>
  </w:p>
  <w:p w14:paraId="06D77899" w14:textId="4B766D0F" w:rsidR="0063174E" w:rsidRDefault="0063174E">
    <w:pPr>
      <w:pStyle w:val="Encabezado"/>
      <w:rPr>
        <w:sz w:val="24"/>
      </w:rPr>
    </w:pPr>
  </w:p>
  <w:p w14:paraId="2D20A409" w14:textId="77777777" w:rsidR="00134451" w:rsidRDefault="00134451">
    <w:pPr>
      <w:pStyle w:val="Encabezado"/>
      <w:rPr>
        <w:sz w:val="24"/>
      </w:rPr>
    </w:pPr>
  </w:p>
  <w:p w14:paraId="30D4F413" w14:textId="77CF8441" w:rsidR="0063174E" w:rsidRPr="00134451" w:rsidRDefault="0063174E" w:rsidP="0063174E">
    <w:pPr>
      <w:pStyle w:val="Encabezado"/>
      <w:jc w:val="right"/>
      <w:rPr>
        <w:rFonts w:ascii="Century Gothic" w:hAnsi="Century Gothic"/>
        <w:b/>
        <w:bCs/>
        <w:sz w:val="28"/>
        <w:szCs w:val="28"/>
      </w:rPr>
    </w:pPr>
    <w:r w:rsidRPr="00134451">
      <w:rPr>
        <w:rFonts w:ascii="Century Gothic" w:hAnsi="Century Gothic"/>
        <w:b/>
        <w:bCs/>
        <w:sz w:val="28"/>
        <w:szCs w:val="28"/>
      </w:rPr>
      <w:t>Grupo Parlamentario de MORENA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04F87"/>
    <w:multiLevelType w:val="hybridMultilevel"/>
    <w:tmpl w:val="1D84A356"/>
    <w:lvl w:ilvl="0" w:tplc="A4CEFE12">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F3731D"/>
    <w:multiLevelType w:val="hybridMultilevel"/>
    <w:tmpl w:val="07E66C80"/>
    <w:lvl w:ilvl="0" w:tplc="DC9830EC">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E4114DB"/>
    <w:multiLevelType w:val="hybridMultilevel"/>
    <w:tmpl w:val="A4F61D0C"/>
    <w:lvl w:ilvl="0" w:tplc="85EAFE80">
      <w:start w:val="2"/>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41417"/>
    <w:multiLevelType w:val="hybridMultilevel"/>
    <w:tmpl w:val="59A8E14E"/>
    <w:lvl w:ilvl="0" w:tplc="1D6ADB08">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D21DF"/>
    <w:multiLevelType w:val="hybridMultilevel"/>
    <w:tmpl w:val="23BEA1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442A2B"/>
    <w:multiLevelType w:val="hybridMultilevel"/>
    <w:tmpl w:val="0174F8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7E4B5B"/>
    <w:multiLevelType w:val="hybridMultilevel"/>
    <w:tmpl w:val="5D980C62"/>
    <w:lvl w:ilvl="0" w:tplc="48F2D98C">
      <w:start w:val="1"/>
      <w:numFmt w:val="lowerLetter"/>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CB74941"/>
    <w:multiLevelType w:val="hybridMultilevel"/>
    <w:tmpl w:val="9E88416E"/>
    <w:lvl w:ilvl="0" w:tplc="7B7CA26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DA01FA"/>
    <w:multiLevelType w:val="hybridMultilevel"/>
    <w:tmpl w:val="EA5C75D2"/>
    <w:lvl w:ilvl="0" w:tplc="8D6E488A">
      <w:start w:val="2"/>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CF497D"/>
    <w:multiLevelType w:val="hybridMultilevel"/>
    <w:tmpl w:val="2A30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096AF4"/>
    <w:multiLevelType w:val="hybridMultilevel"/>
    <w:tmpl w:val="D8503204"/>
    <w:lvl w:ilvl="0" w:tplc="24B6DBF0">
      <w:start w:val="1"/>
      <w:numFmt w:val="upperRoman"/>
      <w:lvlText w:val="%1."/>
      <w:lvlJc w:val="righ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D15470F"/>
    <w:multiLevelType w:val="hybridMultilevel"/>
    <w:tmpl w:val="0E424E72"/>
    <w:lvl w:ilvl="0" w:tplc="61CC3F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B030CA"/>
    <w:multiLevelType w:val="hybridMultilevel"/>
    <w:tmpl w:val="A6FCB71C"/>
    <w:lvl w:ilvl="0" w:tplc="179E7A44">
      <w:start w:val="1"/>
      <w:numFmt w:val="upperRoman"/>
      <w:lvlText w:val="%1."/>
      <w:lvlJc w:val="right"/>
      <w:pPr>
        <w:ind w:left="163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372A7966"/>
    <w:multiLevelType w:val="hybridMultilevel"/>
    <w:tmpl w:val="3642FF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96B55"/>
    <w:multiLevelType w:val="hybridMultilevel"/>
    <w:tmpl w:val="04242962"/>
    <w:lvl w:ilvl="0" w:tplc="023C310C">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114E5F"/>
    <w:multiLevelType w:val="hybridMultilevel"/>
    <w:tmpl w:val="5FA4A5AE"/>
    <w:lvl w:ilvl="0" w:tplc="763C4004">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135147"/>
    <w:multiLevelType w:val="hybridMultilevel"/>
    <w:tmpl w:val="CFAC97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93796B"/>
    <w:multiLevelType w:val="hybridMultilevel"/>
    <w:tmpl w:val="83303A78"/>
    <w:lvl w:ilvl="0" w:tplc="79EE24CA">
      <w:start w:val="1"/>
      <w:numFmt w:val="upperRoman"/>
      <w:lvlText w:val="%1."/>
      <w:lvlJc w:val="righ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5059342C"/>
    <w:multiLevelType w:val="hybridMultilevel"/>
    <w:tmpl w:val="EC482C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435CA3"/>
    <w:multiLevelType w:val="hybridMultilevel"/>
    <w:tmpl w:val="8924D074"/>
    <w:lvl w:ilvl="0" w:tplc="75441F88">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827049"/>
    <w:multiLevelType w:val="hybridMultilevel"/>
    <w:tmpl w:val="542C6C3E"/>
    <w:lvl w:ilvl="0" w:tplc="057CDCB2">
      <w:start w:val="1"/>
      <w:numFmt w:val="lowerLetter"/>
      <w:lvlText w:val="%1)"/>
      <w:lvlJc w:val="left"/>
      <w:pPr>
        <w:ind w:left="1068" w:hanging="360"/>
      </w:pPr>
      <w:rPr>
        <w:b/>
        <w:bCs/>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5C347731"/>
    <w:multiLevelType w:val="hybridMultilevel"/>
    <w:tmpl w:val="3D5C3EEA"/>
    <w:lvl w:ilvl="0" w:tplc="179E7A44">
      <w:start w:val="1"/>
      <w:numFmt w:val="upperRoman"/>
      <w:lvlText w:val="%1."/>
      <w:lvlJc w:val="righ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5C5B64D8"/>
    <w:multiLevelType w:val="hybridMultilevel"/>
    <w:tmpl w:val="0AA82E14"/>
    <w:lvl w:ilvl="0" w:tplc="080A0017">
      <w:start w:val="1"/>
      <w:numFmt w:val="lowerLetter"/>
      <w:lvlText w:val="%1)"/>
      <w:lvlJc w:val="left"/>
      <w:pPr>
        <w:ind w:left="1440" w:hanging="360"/>
      </w:pPr>
      <w:rPr>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60852489"/>
    <w:multiLevelType w:val="hybridMultilevel"/>
    <w:tmpl w:val="FF2CBFDC"/>
    <w:lvl w:ilvl="0" w:tplc="119274EC">
      <w:start w:val="1"/>
      <w:numFmt w:val="lowerLetter"/>
      <w:lvlText w:val="%1)"/>
      <w:lvlJc w:val="left"/>
      <w:pPr>
        <w:ind w:left="1068" w:hanging="360"/>
      </w:pPr>
      <w:rPr>
        <w:b/>
        <w:bCs/>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191554F"/>
    <w:multiLevelType w:val="hybridMultilevel"/>
    <w:tmpl w:val="02F0EA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4177A0"/>
    <w:multiLevelType w:val="hybridMultilevel"/>
    <w:tmpl w:val="FAB0D6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22787E"/>
    <w:multiLevelType w:val="hybridMultilevel"/>
    <w:tmpl w:val="EC867B8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6A1274D9"/>
    <w:multiLevelType w:val="hybridMultilevel"/>
    <w:tmpl w:val="F18403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421B1A"/>
    <w:multiLevelType w:val="hybridMultilevel"/>
    <w:tmpl w:val="542C6C3E"/>
    <w:lvl w:ilvl="0" w:tplc="057CDCB2">
      <w:start w:val="1"/>
      <w:numFmt w:val="lowerLetter"/>
      <w:lvlText w:val="%1)"/>
      <w:lvlJc w:val="left"/>
      <w:pPr>
        <w:ind w:left="1068" w:hanging="360"/>
      </w:pPr>
      <w:rPr>
        <w:b/>
        <w:bCs/>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7675C6"/>
    <w:multiLevelType w:val="hybridMultilevel"/>
    <w:tmpl w:val="6E3A1046"/>
    <w:lvl w:ilvl="0" w:tplc="9A7E5582">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C65732"/>
    <w:multiLevelType w:val="hybridMultilevel"/>
    <w:tmpl w:val="3BC8E3AE"/>
    <w:lvl w:ilvl="0" w:tplc="29483300">
      <w:start w:val="1"/>
      <w:numFmt w:val="lowerLetter"/>
      <w:lvlText w:val="%1)"/>
      <w:lvlJc w:val="left"/>
      <w:pPr>
        <w:ind w:left="2496" w:hanging="360"/>
      </w:pPr>
      <w:rPr>
        <w:b/>
        <w:bCs/>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35" w15:restartNumberingAfterBreak="0">
    <w:nsid w:val="72A74DFC"/>
    <w:multiLevelType w:val="hybridMultilevel"/>
    <w:tmpl w:val="145EC4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D9691C"/>
    <w:multiLevelType w:val="hybridMultilevel"/>
    <w:tmpl w:val="A3FEF672"/>
    <w:lvl w:ilvl="0" w:tplc="245AFE6C">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31"/>
  </w:num>
  <w:num w:numId="3">
    <w:abstractNumId w:val="0"/>
  </w:num>
  <w:num w:numId="4">
    <w:abstractNumId w:val="9"/>
  </w:num>
  <w:num w:numId="5">
    <w:abstractNumId w:val="17"/>
  </w:num>
  <w:num w:numId="6">
    <w:abstractNumId w:val="12"/>
  </w:num>
  <w:num w:numId="7">
    <w:abstractNumId w:val="18"/>
  </w:num>
  <w:num w:numId="8">
    <w:abstractNumId w:val="22"/>
  </w:num>
  <w:num w:numId="9">
    <w:abstractNumId w:val="33"/>
  </w:num>
  <w:num w:numId="10">
    <w:abstractNumId w:val="7"/>
  </w:num>
  <w:num w:numId="11">
    <w:abstractNumId w:val="15"/>
  </w:num>
  <w:num w:numId="12">
    <w:abstractNumId w:val="28"/>
  </w:num>
  <w:num w:numId="13">
    <w:abstractNumId w:val="5"/>
  </w:num>
  <w:num w:numId="14">
    <w:abstractNumId w:val="36"/>
  </w:num>
  <w:num w:numId="15">
    <w:abstractNumId w:val="4"/>
  </w:num>
  <w:num w:numId="16">
    <w:abstractNumId w:val="8"/>
  </w:num>
  <w:num w:numId="17">
    <w:abstractNumId w:val="25"/>
  </w:num>
  <w:num w:numId="18">
    <w:abstractNumId w:val="29"/>
  </w:num>
  <w:num w:numId="19">
    <w:abstractNumId w:val="11"/>
  </w:num>
  <w:num w:numId="20">
    <w:abstractNumId w:val="6"/>
  </w:num>
  <w:num w:numId="21">
    <w:abstractNumId w:val="30"/>
  </w:num>
  <w:num w:numId="22">
    <w:abstractNumId w:val="35"/>
  </w:num>
  <w:num w:numId="23">
    <w:abstractNumId w:val="3"/>
  </w:num>
  <w:num w:numId="24">
    <w:abstractNumId w:val="19"/>
  </w:num>
  <w:num w:numId="25">
    <w:abstractNumId w:val="27"/>
  </w:num>
  <w:num w:numId="26">
    <w:abstractNumId w:val="10"/>
  </w:num>
  <w:num w:numId="27">
    <w:abstractNumId w:val="23"/>
  </w:num>
  <w:num w:numId="28">
    <w:abstractNumId w:val="26"/>
  </w:num>
  <w:num w:numId="29">
    <w:abstractNumId w:val="32"/>
  </w:num>
  <w:num w:numId="30">
    <w:abstractNumId w:val="2"/>
  </w:num>
  <w:num w:numId="31">
    <w:abstractNumId w:val="14"/>
  </w:num>
  <w:num w:numId="32">
    <w:abstractNumId w:val="34"/>
  </w:num>
  <w:num w:numId="33">
    <w:abstractNumId w:val="1"/>
  </w:num>
  <w:num w:numId="34">
    <w:abstractNumId w:val="16"/>
  </w:num>
  <w:num w:numId="35">
    <w:abstractNumId w:val="13"/>
  </w:num>
  <w:num w:numId="36">
    <w:abstractNumId w:val="24"/>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1577"/>
    <w:rsid w:val="000023FC"/>
    <w:rsid w:val="00004561"/>
    <w:rsid w:val="00014035"/>
    <w:rsid w:val="000145AE"/>
    <w:rsid w:val="0001535C"/>
    <w:rsid w:val="000368C4"/>
    <w:rsid w:val="00053264"/>
    <w:rsid w:val="00063458"/>
    <w:rsid w:val="00063741"/>
    <w:rsid w:val="00066A63"/>
    <w:rsid w:val="00071B8E"/>
    <w:rsid w:val="00072F5D"/>
    <w:rsid w:val="00075B11"/>
    <w:rsid w:val="00080904"/>
    <w:rsid w:val="00095F3B"/>
    <w:rsid w:val="000A5173"/>
    <w:rsid w:val="000B09FF"/>
    <w:rsid w:val="000B531A"/>
    <w:rsid w:val="000B7160"/>
    <w:rsid w:val="000C023F"/>
    <w:rsid w:val="000C6F45"/>
    <w:rsid w:val="000D32AC"/>
    <w:rsid w:val="000D381F"/>
    <w:rsid w:val="000E63BE"/>
    <w:rsid w:val="000F04E4"/>
    <w:rsid w:val="000F529B"/>
    <w:rsid w:val="001001A2"/>
    <w:rsid w:val="0010127E"/>
    <w:rsid w:val="00101F49"/>
    <w:rsid w:val="00103358"/>
    <w:rsid w:val="001033EA"/>
    <w:rsid w:val="00107C68"/>
    <w:rsid w:val="001325BE"/>
    <w:rsid w:val="0013352D"/>
    <w:rsid w:val="00133963"/>
    <w:rsid w:val="00134451"/>
    <w:rsid w:val="00136775"/>
    <w:rsid w:val="00140089"/>
    <w:rsid w:val="001421A7"/>
    <w:rsid w:val="00146B3B"/>
    <w:rsid w:val="00150BC4"/>
    <w:rsid w:val="001601B1"/>
    <w:rsid w:val="00161933"/>
    <w:rsid w:val="00161D4E"/>
    <w:rsid w:val="001624F4"/>
    <w:rsid w:val="0016309E"/>
    <w:rsid w:val="001638D3"/>
    <w:rsid w:val="00167FF2"/>
    <w:rsid w:val="00181A62"/>
    <w:rsid w:val="001922A1"/>
    <w:rsid w:val="00196423"/>
    <w:rsid w:val="001A0582"/>
    <w:rsid w:val="001A343E"/>
    <w:rsid w:val="001A7A8C"/>
    <w:rsid w:val="001B3178"/>
    <w:rsid w:val="001B7CF7"/>
    <w:rsid w:val="001C3779"/>
    <w:rsid w:val="001D02B7"/>
    <w:rsid w:val="001E1F3A"/>
    <w:rsid w:val="001E54FB"/>
    <w:rsid w:val="001F0863"/>
    <w:rsid w:val="001F1AF8"/>
    <w:rsid w:val="00210DE7"/>
    <w:rsid w:val="00216799"/>
    <w:rsid w:val="002320C5"/>
    <w:rsid w:val="00236D8B"/>
    <w:rsid w:val="00244259"/>
    <w:rsid w:val="00245442"/>
    <w:rsid w:val="00264BFE"/>
    <w:rsid w:val="00265967"/>
    <w:rsid w:val="002665C2"/>
    <w:rsid w:val="002724B0"/>
    <w:rsid w:val="00277CF7"/>
    <w:rsid w:val="002800B0"/>
    <w:rsid w:val="00280AC0"/>
    <w:rsid w:val="00283C0B"/>
    <w:rsid w:val="002938F7"/>
    <w:rsid w:val="0029446B"/>
    <w:rsid w:val="0029637A"/>
    <w:rsid w:val="002B14ED"/>
    <w:rsid w:val="002B19DA"/>
    <w:rsid w:val="002B4140"/>
    <w:rsid w:val="002C5FC1"/>
    <w:rsid w:val="002C760D"/>
    <w:rsid w:val="002C79BC"/>
    <w:rsid w:val="002D52D1"/>
    <w:rsid w:val="002D5B56"/>
    <w:rsid w:val="002E03E7"/>
    <w:rsid w:val="002E71C5"/>
    <w:rsid w:val="002E7E41"/>
    <w:rsid w:val="003017DB"/>
    <w:rsid w:val="00303FAD"/>
    <w:rsid w:val="00306FE4"/>
    <w:rsid w:val="003145D1"/>
    <w:rsid w:val="00314FF2"/>
    <w:rsid w:val="00317DA5"/>
    <w:rsid w:val="00326A4B"/>
    <w:rsid w:val="00327B56"/>
    <w:rsid w:val="0033154D"/>
    <w:rsid w:val="0033191A"/>
    <w:rsid w:val="00342ABB"/>
    <w:rsid w:val="00347879"/>
    <w:rsid w:val="00362580"/>
    <w:rsid w:val="003631DF"/>
    <w:rsid w:val="00365BE0"/>
    <w:rsid w:val="0037240F"/>
    <w:rsid w:val="00373138"/>
    <w:rsid w:val="00377087"/>
    <w:rsid w:val="00381BBC"/>
    <w:rsid w:val="00383EBC"/>
    <w:rsid w:val="0039420F"/>
    <w:rsid w:val="003A0F0F"/>
    <w:rsid w:val="003A3F09"/>
    <w:rsid w:val="003A56C3"/>
    <w:rsid w:val="003A5836"/>
    <w:rsid w:val="003A7812"/>
    <w:rsid w:val="003B2B3D"/>
    <w:rsid w:val="003B7AE5"/>
    <w:rsid w:val="003C2DCF"/>
    <w:rsid w:val="003D0270"/>
    <w:rsid w:val="003D1590"/>
    <w:rsid w:val="003F3A2C"/>
    <w:rsid w:val="003F7ED5"/>
    <w:rsid w:val="00404D67"/>
    <w:rsid w:val="0041149F"/>
    <w:rsid w:val="0041363C"/>
    <w:rsid w:val="00414AA3"/>
    <w:rsid w:val="004231D9"/>
    <w:rsid w:val="004348E0"/>
    <w:rsid w:val="0043743D"/>
    <w:rsid w:val="004427EA"/>
    <w:rsid w:val="00443630"/>
    <w:rsid w:val="00451D22"/>
    <w:rsid w:val="00451E1E"/>
    <w:rsid w:val="0045240B"/>
    <w:rsid w:val="00456054"/>
    <w:rsid w:val="0046016B"/>
    <w:rsid w:val="00461A2D"/>
    <w:rsid w:val="00463819"/>
    <w:rsid w:val="00486DA1"/>
    <w:rsid w:val="00494CAF"/>
    <w:rsid w:val="00495C2F"/>
    <w:rsid w:val="004B0C3B"/>
    <w:rsid w:val="004B1EF6"/>
    <w:rsid w:val="004B352A"/>
    <w:rsid w:val="004B3C58"/>
    <w:rsid w:val="004C2672"/>
    <w:rsid w:val="004C56DE"/>
    <w:rsid w:val="004D39C0"/>
    <w:rsid w:val="004D4BF3"/>
    <w:rsid w:val="004D77F0"/>
    <w:rsid w:val="004F0BDC"/>
    <w:rsid w:val="004F0ED0"/>
    <w:rsid w:val="00503D65"/>
    <w:rsid w:val="00506A31"/>
    <w:rsid w:val="00513388"/>
    <w:rsid w:val="0051604B"/>
    <w:rsid w:val="00532F22"/>
    <w:rsid w:val="005432C4"/>
    <w:rsid w:val="005437FF"/>
    <w:rsid w:val="005442F2"/>
    <w:rsid w:val="00547DD0"/>
    <w:rsid w:val="00562D63"/>
    <w:rsid w:val="0056508F"/>
    <w:rsid w:val="00567A58"/>
    <w:rsid w:val="00571C7B"/>
    <w:rsid w:val="00573A0E"/>
    <w:rsid w:val="005837D0"/>
    <w:rsid w:val="00585C3E"/>
    <w:rsid w:val="005A7B2A"/>
    <w:rsid w:val="005B3653"/>
    <w:rsid w:val="005B57D1"/>
    <w:rsid w:val="005B59B6"/>
    <w:rsid w:val="005E6556"/>
    <w:rsid w:val="005E7D1D"/>
    <w:rsid w:val="005F0F5D"/>
    <w:rsid w:val="006017FC"/>
    <w:rsid w:val="006030F2"/>
    <w:rsid w:val="006057EA"/>
    <w:rsid w:val="00610662"/>
    <w:rsid w:val="00612297"/>
    <w:rsid w:val="0061325C"/>
    <w:rsid w:val="0063174E"/>
    <w:rsid w:val="00641458"/>
    <w:rsid w:val="0064202A"/>
    <w:rsid w:val="00643A24"/>
    <w:rsid w:val="0064501D"/>
    <w:rsid w:val="00647DE0"/>
    <w:rsid w:val="00650E97"/>
    <w:rsid w:val="006617AE"/>
    <w:rsid w:val="00674D45"/>
    <w:rsid w:val="0068020C"/>
    <w:rsid w:val="0068082E"/>
    <w:rsid w:val="00684C7B"/>
    <w:rsid w:val="006855BD"/>
    <w:rsid w:val="0068745A"/>
    <w:rsid w:val="00687A07"/>
    <w:rsid w:val="00692E99"/>
    <w:rsid w:val="006B18ED"/>
    <w:rsid w:val="006B5B87"/>
    <w:rsid w:val="006C048E"/>
    <w:rsid w:val="006C3686"/>
    <w:rsid w:val="006C6086"/>
    <w:rsid w:val="006D3F29"/>
    <w:rsid w:val="006D61F9"/>
    <w:rsid w:val="006E032F"/>
    <w:rsid w:val="006F10E1"/>
    <w:rsid w:val="007073FF"/>
    <w:rsid w:val="00732FD9"/>
    <w:rsid w:val="007417C1"/>
    <w:rsid w:val="00754276"/>
    <w:rsid w:val="0076786B"/>
    <w:rsid w:val="00772816"/>
    <w:rsid w:val="00773A65"/>
    <w:rsid w:val="00773A87"/>
    <w:rsid w:val="007758A5"/>
    <w:rsid w:val="0078283A"/>
    <w:rsid w:val="00786320"/>
    <w:rsid w:val="0078724C"/>
    <w:rsid w:val="007A0C8B"/>
    <w:rsid w:val="007A1AB7"/>
    <w:rsid w:val="007A7A92"/>
    <w:rsid w:val="007B5454"/>
    <w:rsid w:val="007B75E4"/>
    <w:rsid w:val="007B76D7"/>
    <w:rsid w:val="007C2B4D"/>
    <w:rsid w:val="007C7D36"/>
    <w:rsid w:val="007E1BF1"/>
    <w:rsid w:val="007E43D4"/>
    <w:rsid w:val="007E7D66"/>
    <w:rsid w:val="007F2161"/>
    <w:rsid w:val="007F63D5"/>
    <w:rsid w:val="007F74FB"/>
    <w:rsid w:val="00803AB7"/>
    <w:rsid w:val="00805208"/>
    <w:rsid w:val="0081446E"/>
    <w:rsid w:val="008169E4"/>
    <w:rsid w:val="008253CA"/>
    <w:rsid w:val="0083152C"/>
    <w:rsid w:val="00833C07"/>
    <w:rsid w:val="00843115"/>
    <w:rsid w:val="00857206"/>
    <w:rsid w:val="00861132"/>
    <w:rsid w:val="0086466D"/>
    <w:rsid w:val="00870C29"/>
    <w:rsid w:val="008742F8"/>
    <w:rsid w:val="0088666A"/>
    <w:rsid w:val="00886CDA"/>
    <w:rsid w:val="0088734F"/>
    <w:rsid w:val="00887403"/>
    <w:rsid w:val="0089334D"/>
    <w:rsid w:val="008A2BE7"/>
    <w:rsid w:val="008A5E36"/>
    <w:rsid w:val="008A723B"/>
    <w:rsid w:val="008B18C6"/>
    <w:rsid w:val="008B575D"/>
    <w:rsid w:val="008B7CA6"/>
    <w:rsid w:val="008B7D60"/>
    <w:rsid w:val="008C678C"/>
    <w:rsid w:val="008E4110"/>
    <w:rsid w:val="008F7DB3"/>
    <w:rsid w:val="00903A94"/>
    <w:rsid w:val="0090717D"/>
    <w:rsid w:val="009439AB"/>
    <w:rsid w:val="00951789"/>
    <w:rsid w:val="009523EE"/>
    <w:rsid w:val="0096119C"/>
    <w:rsid w:val="00964BFD"/>
    <w:rsid w:val="00980D13"/>
    <w:rsid w:val="00984520"/>
    <w:rsid w:val="00996FD9"/>
    <w:rsid w:val="009A01C5"/>
    <w:rsid w:val="009B14F6"/>
    <w:rsid w:val="009B5E67"/>
    <w:rsid w:val="009C1186"/>
    <w:rsid w:val="009E1592"/>
    <w:rsid w:val="009E2E14"/>
    <w:rsid w:val="009E7DAA"/>
    <w:rsid w:val="009F7752"/>
    <w:rsid w:val="00A0441D"/>
    <w:rsid w:val="00A04EF3"/>
    <w:rsid w:val="00A06126"/>
    <w:rsid w:val="00A16188"/>
    <w:rsid w:val="00A230D8"/>
    <w:rsid w:val="00A256ED"/>
    <w:rsid w:val="00A30919"/>
    <w:rsid w:val="00A41875"/>
    <w:rsid w:val="00A46C55"/>
    <w:rsid w:val="00A52C0C"/>
    <w:rsid w:val="00A5448E"/>
    <w:rsid w:val="00A564B3"/>
    <w:rsid w:val="00A6094F"/>
    <w:rsid w:val="00A61F4D"/>
    <w:rsid w:val="00A63F04"/>
    <w:rsid w:val="00A73470"/>
    <w:rsid w:val="00A74429"/>
    <w:rsid w:val="00A8092E"/>
    <w:rsid w:val="00A82471"/>
    <w:rsid w:val="00A82B83"/>
    <w:rsid w:val="00A8584E"/>
    <w:rsid w:val="00A90A3A"/>
    <w:rsid w:val="00AB66CA"/>
    <w:rsid w:val="00AD56FF"/>
    <w:rsid w:val="00AD5ACE"/>
    <w:rsid w:val="00AD5AD3"/>
    <w:rsid w:val="00AE1779"/>
    <w:rsid w:val="00AE6C78"/>
    <w:rsid w:val="00AE775B"/>
    <w:rsid w:val="00B01D6A"/>
    <w:rsid w:val="00B01F48"/>
    <w:rsid w:val="00B03EF6"/>
    <w:rsid w:val="00B15B87"/>
    <w:rsid w:val="00B17AD1"/>
    <w:rsid w:val="00B259D8"/>
    <w:rsid w:val="00B2782E"/>
    <w:rsid w:val="00B406B3"/>
    <w:rsid w:val="00B520AE"/>
    <w:rsid w:val="00B525AA"/>
    <w:rsid w:val="00B56BB7"/>
    <w:rsid w:val="00B63686"/>
    <w:rsid w:val="00B757B4"/>
    <w:rsid w:val="00B76AF4"/>
    <w:rsid w:val="00B76D27"/>
    <w:rsid w:val="00B87498"/>
    <w:rsid w:val="00B92142"/>
    <w:rsid w:val="00BD146F"/>
    <w:rsid w:val="00BE5E26"/>
    <w:rsid w:val="00BF0037"/>
    <w:rsid w:val="00BF51D2"/>
    <w:rsid w:val="00BF5662"/>
    <w:rsid w:val="00BF642A"/>
    <w:rsid w:val="00C00964"/>
    <w:rsid w:val="00C131BA"/>
    <w:rsid w:val="00C15C13"/>
    <w:rsid w:val="00C2305A"/>
    <w:rsid w:val="00C251A4"/>
    <w:rsid w:val="00C27F58"/>
    <w:rsid w:val="00C30918"/>
    <w:rsid w:val="00C42705"/>
    <w:rsid w:val="00C465AD"/>
    <w:rsid w:val="00C550AE"/>
    <w:rsid w:val="00C60107"/>
    <w:rsid w:val="00C6624F"/>
    <w:rsid w:val="00C66D21"/>
    <w:rsid w:val="00C70F79"/>
    <w:rsid w:val="00C70FC2"/>
    <w:rsid w:val="00C714CE"/>
    <w:rsid w:val="00CA351B"/>
    <w:rsid w:val="00CA7AE8"/>
    <w:rsid w:val="00CB25DE"/>
    <w:rsid w:val="00CC3BF2"/>
    <w:rsid w:val="00CD64F9"/>
    <w:rsid w:val="00CD7505"/>
    <w:rsid w:val="00CF2FD6"/>
    <w:rsid w:val="00CF4DCD"/>
    <w:rsid w:val="00CF66AB"/>
    <w:rsid w:val="00D01AA5"/>
    <w:rsid w:val="00D05604"/>
    <w:rsid w:val="00D23486"/>
    <w:rsid w:val="00D24119"/>
    <w:rsid w:val="00D33B6A"/>
    <w:rsid w:val="00D35546"/>
    <w:rsid w:val="00D438A8"/>
    <w:rsid w:val="00D459C8"/>
    <w:rsid w:val="00D542D0"/>
    <w:rsid w:val="00D56CB4"/>
    <w:rsid w:val="00D66E26"/>
    <w:rsid w:val="00D67818"/>
    <w:rsid w:val="00D74E18"/>
    <w:rsid w:val="00D83348"/>
    <w:rsid w:val="00D918F9"/>
    <w:rsid w:val="00D93609"/>
    <w:rsid w:val="00D96B92"/>
    <w:rsid w:val="00DA69CD"/>
    <w:rsid w:val="00DA6F46"/>
    <w:rsid w:val="00DB1680"/>
    <w:rsid w:val="00DB4652"/>
    <w:rsid w:val="00DC0089"/>
    <w:rsid w:val="00DC57CA"/>
    <w:rsid w:val="00DD4B52"/>
    <w:rsid w:val="00DE1B15"/>
    <w:rsid w:val="00DF384F"/>
    <w:rsid w:val="00DF4725"/>
    <w:rsid w:val="00E04AA2"/>
    <w:rsid w:val="00E05E7C"/>
    <w:rsid w:val="00E13115"/>
    <w:rsid w:val="00E161AF"/>
    <w:rsid w:val="00E2101A"/>
    <w:rsid w:val="00E2214F"/>
    <w:rsid w:val="00E22408"/>
    <w:rsid w:val="00E227B2"/>
    <w:rsid w:val="00E24806"/>
    <w:rsid w:val="00E24A6E"/>
    <w:rsid w:val="00E2648E"/>
    <w:rsid w:val="00E325E0"/>
    <w:rsid w:val="00E3335C"/>
    <w:rsid w:val="00E334AC"/>
    <w:rsid w:val="00E3433B"/>
    <w:rsid w:val="00E42609"/>
    <w:rsid w:val="00E4576B"/>
    <w:rsid w:val="00E615A7"/>
    <w:rsid w:val="00E6681A"/>
    <w:rsid w:val="00E673B1"/>
    <w:rsid w:val="00E72902"/>
    <w:rsid w:val="00E81563"/>
    <w:rsid w:val="00E902B1"/>
    <w:rsid w:val="00E9133B"/>
    <w:rsid w:val="00E960C5"/>
    <w:rsid w:val="00EB4EB1"/>
    <w:rsid w:val="00EC0906"/>
    <w:rsid w:val="00ED19B5"/>
    <w:rsid w:val="00ED335F"/>
    <w:rsid w:val="00ED3DB2"/>
    <w:rsid w:val="00ED7657"/>
    <w:rsid w:val="00EE1B24"/>
    <w:rsid w:val="00EE3564"/>
    <w:rsid w:val="00EF0A59"/>
    <w:rsid w:val="00EF5E46"/>
    <w:rsid w:val="00F01814"/>
    <w:rsid w:val="00F108D5"/>
    <w:rsid w:val="00F10E0F"/>
    <w:rsid w:val="00F17354"/>
    <w:rsid w:val="00F20123"/>
    <w:rsid w:val="00F22560"/>
    <w:rsid w:val="00F2541F"/>
    <w:rsid w:val="00F33054"/>
    <w:rsid w:val="00F52E33"/>
    <w:rsid w:val="00F53B2E"/>
    <w:rsid w:val="00F623CB"/>
    <w:rsid w:val="00F66355"/>
    <w:rsid w:val="00F67FF9"/>
    <w:rsid w:val="00F7565F"/>
    <w:rsid w:val="00F7667E"/>
    <w:rsid w:val="00F92DED"/>
    <w:rsid w:val="00F967AF"/>
    <w:rsid w:val="00FB336E"/>
    <w:rsid w:val="00FC701C"/>
    <w:rsid w:val="00FD03DB"/>
    <w:rsid w:val="00FD11C9"/>
    <w:rsid w:val="00FD176D"/>
    <w:rsid w:val="00FE0F90"/>
    <w:rsid w:val="00FE0FDD"/>
    <w:rsid w:val="00FE318C"/>
    <w:rsid w:val="00FE4F72"/>
    <w:rsid w:val="00FE532D"/>
    <w:rsid w:val="00FE6B74"/>
    <w:rsid w:val="00FF2CE7"/>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09"/>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17AD1"/>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B17AD1"/>
    <w:rPr>
      <w:sz w:val="20"/>
      <w:szCs w:val="20"/>
    </w:rPr>
  </w:style>
  <w:style w:type="character" w:styleId="nfasis">
    <w:name w:val="Emphasis"/>
    <w:basedOn w:val="Fuentedeprrafopredeter"/>
    <w:uiPriority w:val="20"/>
    <w:qFormat/>
    <w:rsid w:val="001E1F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1756</Words>
  <Characters>9663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Cruces</dc:creator>
  <cp:keywords/>
  <dc:description/>
  <cp:lastModifiedBy>Sonia Pérez Chacón</cp:lastModifiedBy>
  <cp:revision>2</cp:revision>
  <cp:lastPrinted>2021-03-08T22:48:00Z</cp:lastPrinted>
  <dcterms:created xsi:type="dcterms:W3CDTF">2021-11-12T21:29:00Z</dcterms:created>
  <dcterms:modified xsi:type="dcterms:W3CDTF">2021-11-12T21:29:00Z</dcterms:modified>
</cp:coreProperties>
</file>