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46" w:rsidRDefault="001A2946" w:rsidP="00F201A6">
      <w:pPr>
        <w:ind w:left="1100"/>
        <w:jc w:val="center"/>
        <w:rPr>
          <w:rFonts w:ascii="Arial" w:hAnsi="Arial" w:cs="Arial"/>
          <w:b/>
          <w:bCs/>
          <w:color w:val="000000"/>
        </w:rPr>
      </w:pPr>
    </w:p>
    <w:p w:rsidR="001A2946" w:rsidRDefault="001A2946" w:rsidP="00F201A6">
      <w:pPr>
        <w:ind w:left="1100"/>
        <w:jc w:val="center"/>
        <w:rPr>
          <w:rFonts w:ascii="Arial" w:hAnsi="Arial" w:cs="Arial"/>
          <w:b/>
          <w:bCs/>
          <w:color w:val="000000"/>
        </w:rPr>
      </w:pPr>
    </w:p>
    <w:p w:rsidR="001A2946" w:rsidRPr="00CC6522" w:rsidRDefault="001A2946" w:rsidP="00CC6522">
      <w:pPr>
        <w:spacing w:line="360" w:lineRule="auto"/>
        <w:ind w:left="1100"/>
        <w:jc w:val="center"/>
        <w:rPr>
          <w:rFonts w:ascii="Century Gothic" w:hAnsi="Century Gothic" w:cs="Arial"/>
          <w:b/>
          <w:bCs/>
          <w:color w:val="000000"/>
        </w:rPr>
      </w:pPr>
    </w:p>
    <w:p w:rsidR="001A2946" w:rsidRPr="00CC6522" w:rsidRDefault="001A2946" w:rsidP="00CC6522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CC6522">
        <w:rPr>
          <w:rFonts w:ascii="Century Gothic" w:hAnsi="Century Gothic" w:cs="Arial"/>
          <w:b/>
          <w:sz w:val="24"/>
          <w:szCs w:val="24"/>
        </w:rPr>
        <w:t>H. CONGRESO DEL ESTADO DE CHIHUAHUA</w:t>
      </w:r>
    </w:p>
    <w:p w:rsidR="001A2946" w:rsidRPr="00CC6522" w:rsidRDefault="001A2946" w:rsidP="00CC6522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CC6522">
        <w:rPr>
          <w:rFonts w:ascii="Century Gothic" w:hAnsi="Century Gothic" w:cs="Arial"/>
          <w:b/>
          <w:sz w:val="24"/>
          <w:szCs w:val="24"/>
        </w:rPr>
        <w:t xml:space="preserve">P R E S E N T E. </w:t>
      </w:r>
    </w:p>
    <w:p w:rsidR="00CC6522" w:rsidRDefault="001A2946" w:rsidP="00CC6522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CC6522">
        <w:rPr>
          <w:rFonts w:ascii="Century Gothic" w:hAnsi="Century Gothic" w:cs="Arial"/>
          <w:sz w:val="24"/>
          <w:szCs w:val="24"/>
        </w:rPr>
        <w:t>Los que suscriben</w:t>
      </w:r>
      <w:r w:rsidRPr="00CC6522">
        <w:rPr>
          <w:rFonts w:ascii="Century Gothic" w:hAnsi="Century Gothic" w:cs="Arial"/>
          <w:b/>
          <w:bCs/>
          <w:sz w:val="24"/>
          <w:szCs w:val="24"/>
        </w:rPr>
        <w:t xml:space="preserve">, Benjamín Carrera Chávez, </w:t>
      </w:r>
      <w:r w:rsidR="004573F5" w:rsidRPr="00CC6522">
        <w:rPr>
          <w:rFonts w:ascii="Century Gothic" w:hAnsi="Century Gothic" w:cs="Arial"/>
          <w:b/>
          <w:bCs/>
          <w:sz w:val="24"/>
          <w:szCs w:val="24"/>
        </w:rPr>
        <w:t xml:space="preserve">Edin Cuauhtémoc Estrada Sotelo, </w:t>
      </w:r>
      <w:r w:rsidRPr="00CC6522">
        <w:rPr>
          <w:rFonts w:ascii="Century Gothic" w:hAnsi="Century Gothic" w:cs="Arial"/>
          <w:b/>
          <w:bCs/>
          <w:sz w:val="24"/>
          <w:szCs w:val="24"/>
        </w:rPr>
        <w:t xml:space="preserve">Leticia Ortega Máynez, Óscar Daniel Avitia Arellanes, Rosana Díaz Reyes, Gustavo De la Rosa Hickerson, Edin Cuauhtémoc Estrada Sotelo, Magdalena Rentería Pérez, María Antonieta Pérez Reyes, Adriana Terrazas Porras y David Óscar Castrejón Rivas, </w:t>
      </w:r>
      <w:r w:rsidRPr="00CC6522">
        <w:rPr>
          <w:rFonts w:ascii="Century Gothic" w:hAnsi="Century Gothic" w:cs="Arial"/>
          <w:bCs/>
          <w:sz w:val="24"/>
          <w:szCs w:val="24"/>
        </w:rPr>
        <w:t>en nuestro carácter de Diputados de la</w:t>
      </w:r>
      <w:r w:rsidRPr="00CC6522">
        <w:rPr>
          <w:rFonts w:ascii="Century Gothic" w:hAnsi="Century Gothic" w:cs="Arial"/>
          <w:sz w:val="24"/>
          <w:szCs w:val="24"/>
        </w:rPr>
        <w:t xml:space="preserve"> Sexagésima Séptima Legislatura del Honorable Congreso del Estado de Chihuahua e integrantes del </w:t>
      </w:r>
      <w:r w:rsidRPr="00CC6522">
        <w:rPr>
          <w:rFonts w:ascii="Century Gothic" w:hAnsi="Century Gothic" w:cs="Arial"/>
          <w:b/>
          <w:bCs/>
          <w:sz w:val="24"/>
          <w:szCs w:val="24"/>
        </w:rPr>
        <w:t>Grupo Parlamentario de MORENA</w:t>
      </w:r>
      <w:r w:rsidRPr="00CC6522">
        <w:rPr>
          <w:rFonts w:ascii="Century Gothic" w:hAnsi="Century Gothic" w:cs="Arial"/>
          <w:sz w:val="24"/>
          <w:szCs w:val="24"/>
        </w:rPr>
        <w:t>, con fundamento en lo dispuesto por los artículos 68 fracción I, de la Constitución Política del Estado de Chihuahua;167 fracción I, de la Ley Orgánica del Poder Legislativo; así como los numerales 75 y 77 del R</w:t>
      </w:r>
      <w:bookmarkStart w:id="0" w:name="_GoBack"/>
      <w:bookmarkEnd w:id="0"/>
      <w:r w:rsidRPr="00CC6522">
        <w:rPr>
          <w:rFonts w:ascii="Century Gothic" w:hAnsi="Century Gothic" w:cs="Arial"/>
          <w:sz w:val="24"/>
          <w:szCs w:val="24"/>
        </w:rPr>
        <w:t xml:space="preserve">eglamento Interior de Prácticas Parlamentarias del Poder Legislativo; todos ordenamientos del Estado de Chihuahua, acudimos ante esta Honorable Asamblea Legislativa, a fin de someter a consideración del Pleno el siguiente proyecto con </w:t>
      </w:r>
      <w:r w:rsidRPr="00CC6522">
        <w:rPr>
          <w:rFonts w:ascii="Century Gothic" w:hAnsi="Century Gothic" w:cs="Arial"/>
          <w:b/>
          <w:bCs/>
          <w:sz w:val="24"/>
          <w:szCs w:val="24"/>
        </w:rPr>
        <w:t>carácter de DECRETO</w:t>
      </w:r>
      <w:r w:rsidRPr="00CC6522">
        <w:rPr>
          <w:rFonts w:ascii="Century Gothic" w:hAnsi="Century Gothic" w:cs="Arial"/>
          <w:bCs/>
          <w:sz w:val="24"/>
          <w:szCs w:val="24"/>
        </w:rPr>
        <w:t xml:space="preserve">  por medio del cual </w:t>
      </w:r>
      <w:r w:rsidR="00CC6522">
        <w:rPr>
          <w:rFonts w:ascii="Century Gothic" w:hAnsi="Century Gothic" w:cs="Arial"/>
          <w:b/>
          <w:bCs/>
          <w:sz w:val="24"/>
          <w:szCs w:val="24"/>
        </w:rPr>
        <w:t>se adiciona</w:t>
      </w:r>
      <w:r w:rsidRPr="00CC6522">
        <w:rPr>
          <w:rFonts w:ascii="Century Gothic" w:hAnsi="Century Gothic" w:cs="Arial"/>
          <w:b/>
          <w:bCs/>
          <w:sz w:val="24"/>
          <w:szCs w:val="24"/>
        </w:rPr>
        <w:t xml:space="preserve">n los artículos 253 bis y 253 ter del Código Penal para el Estado de Chihuahua, </w:t>
      </w:r>
      <w:r w:rsidR="00CC6522">
        <w:rPr>
          <w:rFonts w:ascii="Century Gothic" w:hAnsi="Century Gothic" w:cs="Arial"/>
          <w:b/>
          <w:bCs/>
          <w:sz w:val="24"/>
          <w:szCs w:val="24"/>
        </w:rPr>
        <w:t xml:space="preserve">con el fin </w:t>
      </w:r>
      <w:r w:rsidRPr="00CC6522">
        <w:rPr>
          <w:rFonts w:ascii="Century Gothic" w:hAnsi="Century Gothic" w:cs="Arial"/>
          <w:b/>
          <w:bCs/>
          <w:sz w:val="24"/>
          <w:szCs w:val="24"/>
        </w:rPr>
        <w:t>de incorporar dos conductas  previstas y sancionadas dentro del Capítulo denominado Ejercici</w:t>
      </w:r>
      <w:r w:rsidR="00CC6522">
        <w:rPr>
          <w:rFonts w:ascii="Century Gothic" w:hAnsi="Century Gothic" w:cs="Arial"/>
          <w:b/>
          <w:bCs/>
          <w:sz w:val="24"/>
          <w:szCs w:val="24"/>
        </w:rPr>
        <w:t>o Ilegal  del Servicio Público.</w:t>
      </w:r>
    </w:p>
    <w:p w:rsidR="00CC6522" w:rsidRDefault="00CC6522" w:rsidP="00CC6522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1A2946" w:rsidRPr="00CC6522" w:rsidRDefault="00CC6522" w:rsidP="00CC6522">
      <w:pPr>
        <w:spacing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</w:t>
      </w:r>
      <w:r w:rsidR="001A2946" w:rsidRPr="00CC6522">
        <w:rPr>
          <w:rFonts w:ascii="Century Gothic" w:hAnsi="Century Gothic" w:cs="Arial"/>
          <w:sz w:val="24"/>
          <w:szCs w:val="24"/>
        </w:rPr>
        <w:t>o anterior con sustento en la siguiente:</w:t>
      </w:r>
    </w:p>
    <w:p w:rsidR="001A2946" w:rsidRPr="00303C00" w:rsidRDefault="001A2946" w:rsidP="001A294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2946" w:rsidRPr="00CC6522" w:rsidRDefault="001A2946" w:rsidP="001A2946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CC6522">
        <w:rPr>
          <w:rFonts w:ascii="Century Gothic" w:hAnsi="Century Gothic" w:cs="Arial"/>
          <w:b/>
          <w:sz w:val="24"/>
          <w:szCs w:val="24"/>
        </w:rPr>
        <w:t>EXPOSICIÓN DE MOTIVOS:</w:t>
      </w:r>
    </w:p>
    <w:p w:rsidR="001A2946" w:rsidRDefault="001A2946" w:rsidP="001A2946">
      <w:pPr>
        <w:jc w:val="center"/>
        <w:rPr>
          <w:rFonts w:ascii="Arial" w:hAnsi="Arial" w:cs="Arial"/>
          <w:b/>
          <w:sz w:val="24"/>
          <w:szCs w:val="24"/>
        </w:rPr>
      </w:pPr>
    </w:p>
    <w:p w:rsidR="004573F5" w:rsidRPr="00CC6522" w:rsidRDefault="001A2946" w:rsidP="00CC6522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C6522">
        <w:rPr>
          <w:rFonts w:ascii="Century Gothic" w:hAnsi="Century Gothic" w:cs="Arial"/>
          <w:sz w:val="24"/>
          <w:szCs w:val="24"/>
        </w:rPr>
        <w:t>En fechas recientes  se han</w:t>
      </w:r>
      <w:r w:rsidR="00CC6522">
        <w:rPr>
          <w:rFonts w:ascii="Century Gothic" w:hAnsi="Century Gothic" w:cs="Arial"/>
          <w:sz w:val="24"/>
          <w:szCs w:val="24"/>
        </w:rPr>
        <w:t xml:space="preserve"> estado abordando a través de esta tribuna, diversas propuestas</w:t>
      </w:r>
      <w:r w:rsidRPr="00CC6522">
        <w:rPr>
          <w:rFonts w:ascii="Century Gothic" w:hAnsi="Century Gothic" w:cs="Arial"/>
          <w:sz w:val="24"/>
          <w:szCs w:val="24"/>
        </w:rPr>
        <w:t xml:space="preserve"> por</w:t>
      </w:r>
      <w:r w:rsidR="00CC6522">
        <w:rPr>
          <w:rFonts w:ascii="Century Gothic" w:hAnsi="Century Gothic" w:cs="Arial"/>
          <w:sz w:val="24"/>
          <w:szCs w:val="24"/>
        </w:rPr>
        <w:t xml:space="preserve"> medio de las cuales se propone</w:t>
      </w:r>
      <w:r w:rsidRPr="00CC6522">
        <w:rPr>
          <w:rFonts w:ascii="Century Gothic" w:hAnsi="Century Gothic" w:cs="Arial"/>
          <w:sz w:val="24"/>
          <w:szCs w:val="24"/>
        </w:rPr>
        <w:t xml:space="preserve"> establecer los </w:t>
      </w:r>
      <w:r w:rsidRPr="00CC6522">
        <w:rPr>
          <w:rFonts w:ascii="Century Gothic" w:hAnsi="Century Gothic" w:cs="Arial"/>
          <w:sz w:val="24"/>
          <w:szCs w:val="24"/>
        </w:rPr>
        <w:lastRenderedPageBreak/>
        <w:t xml:space="preserve">mecanismos  legales para tener un mejor control en el manejo de la deuda púbica  y </w:t>
      </w:r>
      <w:r w:rsidR="00CC6522">
        <w:rPr>
          <w:rFonts w:ascii="Century Gothic" w:hAnsi="Century Gothic" w:cs="Arial"/>
          <w:sz w:val="24"/>
          <w:szCs w:val="24"/>
        </w:rPr>
        <w:t xml:space="preserve">las </w:t>
      </w:r>
      <w:r w:rsidRPr="00CC6522">
        <w:rPr>
          <w:rFonts w:ascii="Century Gothic" w:hAnsi="Century Gothic" w:cs="Arial"/>
          <w:sz w:val="24"/>
          <w:szCs w:val="24"/>
        </w:rPr>
        <w:t>obligaciones financieras que contrate e</w:t>
      </w:r>
      <w:r w:rsidR="0055052E">
        <w:rPr>
          <w:rFonts w:ascii="Century Gothic" w:hAnsi="Century Gothic" w:cs="Arial"/>
          <w:sz w:val="24"/>
          <w:szCs w:val="24"/>
        </w:rPr>
        <w:t xml:space="preserve">l Estado -ya sea a largo o </w:t>
      </w:r>
      <w:r w:rsidRPr="00CC6522">
        <w:rPr>
          <w:rFonts w:ascii="Century Gothic" w:hAnsi="Century Gothic" w:cs="Arial"/>
          <w:sz w:val="24"/>
          <w:szCs w:val="24"/>
        </w:rPr>
        <w:t>corto plazo</w:t>
      </w:r>
      <w:r w:rsidR="0055052E">
        <w:rPr>
          <w:rFonts w:ascii="Century Gothic" w:hAnsi="Century Gothic" w:cs="Arial"/>
          <w:sz w:val="24"/>
          <w:szCs w:val="24"/>
        </w:rPr>
        <w:t>-</w:t>
      </w:r>
      <w:r w:rsidRPr="00CC6522">
        <w:rPr>
          <w:rFonts w:ascii="Century Gothic" w:hAnsi="Century Gothic" w:cs="Arial"/>
          <w:sz w:val="24"/>
          <w:szCs w:val="24"/>
        </w:rPr>
        <w:t xml:space="preserve"> </w:t>
      </w:r>
      <w:r w:rsidR="0055052E">
        <w:rPr>
          <w:rFonts w:ascii="Century Gothic" w:hAnsi="Century Gothic" w:cs="Arial"/>
          <w:sz w:val="24"/>
          <w:szCs w:val="24"/>
        </w:rPr>
        <w:t>así como  las</w:t>
      </w:r>
      <w:r w:rsidRPr="00CC6522">
        <w:rPr>
          <w:rFonts w:ascii="Century Gothic" w:hAnsi="Century Gothic" w:cs="Arial"/>
          <w:sz w:val="24"/>
          <w:szCs w:val="24"/>
        </w:rPr>
        <w:t xml:space="preserve"> emisiones bursátiles, deuda contingente o bien por la falta de entrega a las personas físicas, morales, organismos autónomos, descentralizados  con independencia de su denominación </w:t>
      </w:r>
      <w:r w:rsidR="008D69BA" w:rsidRPr="00CC6522">
        <w:rPr>
          <w:rFonts w:ascii="Century Gothic" w:hAnsi="Century Gothic" w:cs="Arial"/>
          <w:sz w:val="24"/>
          <w:szCs w:val="24"/>
        </w:rPr>
        <w:t xml:space="preserve">que deben por disposición </w:t>
      </w:r>
      <w:r w:rsidR="0055052E">
        <w:rPr>
          <w:rFonts w:ascii="Century Gothic" w:hAnsi="Century Gothic" w:cs="Arial"/>
          <w:sz w:val="24"/>
          <w:szCs w:val="24"/>
        </w:rPr>
        <w:t>legal</w:t>
      </w:r>
      <w:r w:rsidR="008D69BA" w:rsidRPr="00CC6522">
        <w:rPr>
          <w:rFonts w:ascii="Century Gothic" w:hAnsi="Century Gothic" w:cs="Arial"/>
          <w:sz w:val="24"/>
          <w:szCs w:val="24"/>
        </w:rPr>
        <w:t xml:space="preserve"> recibir recursos por parte del Estado. </w:t>
      </w:r>
    </w:p>
    <w:p w:rsidR="008D69BA" w:rsidRPr="008D69BA" w:rsidRDefault="008D69BA" w:rsidP="001A2946">
      <w:pPr>
        <w:jc w:val="both"/>
        <w:rPr>
          <w:rFonts w:ascii="Arial" w:hAnsi="Arial" w:cs="Arial"/>
          <w:sz w:val="24"/>
          <w:szCs w:val="24"/>
        </w:rPr>
      </w:pPr>
    </w:p>
    <w:p w:rsidR="004573F5" w:rsidRPr="009B0DD3" w:rsidRDefault="0055052E" w:rsidP="009B0DD3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Como ya ha sido</w:t>
      </w:r>
      <w:r w:rsidR="008D69BA" w:rsidRPr="0055052E">
        <w:rPr>
          <w:rFonts w:ascii="Century Gothic" w:hAnsi="Century Gothic" w:cs="Arial"/>
          <w:sz w:val="24"/>
          <w:szCs w:val="24"/>
        </w:rPr>
        <w:t xml:space="preserve"> señalado, el manejo de las finanzas públicas por lo menos de las dos últimas administraciones generó que la capacidad financiera del Estado se haya comprometido por lo menos las siguientes tres o más administraciones, lo que sin duda alguna no tiene justificación</w:t>
      </w:r>
      <w:r w:rsidR="009B0DD3">
        <w:rPr>
          <w:rFonts w:ascii="Century Gothic" w:hAnsi="Century Gothic" w:cs="Arial"/>
          <w:sz w:val="24"/>
          <w:szCs w:val="24"/>
        </w:rPr>
        <w:t>;</w:t>
      </w:r>
      <w:r w:rsidR="008D69BA" w:rsidRPr="0055052E">
        <w:rPr>
          <w:rFonts w:ascii="Century Gothic" w:hAnsi="Century Gothic" w:cs="Arial"/>
          <w:sz w:val="24"/>
          <w:szCs w:val="24"/>
        </w:rPr>
        <w:t xml:space="preserve"> bajo este tenor y ante la falta de  mecanismos en la legislación vigente para que </w:t>
      </w:r>
      <w:r w:rsidR="009B0DD3">
        <w:rPr>
          <w:rFonts w:ascii="Century Gothic" w:hAnsi="Century Gothic" w:cs="Arial"/>
          <w:sz w:val="24"/>
          <w:szCs w:val="24"/>
        </w:rPr>
        <w:t xml:space="preserve">esta representación </w:t>
      </w:r>
      <w:r w:rsidR="008D69BA" w:rsidRPr="0055052E">
        <w:rPr>
          <w:rFonts w:ascii="Century Gothic" w:hAnsi="Century Gothic" w:cs="Arial"/>
          <w:sz w:val="24"/>
          <w:szCs w:val="24"/>
        </w:rPr>
        <w:t xml:space="preserve">pudiera tener información oficial respecto los compromisos económicos </w:t>
      </w:r>
      <w:r w:rsidR="009B0DD3">
        <w:rPr>
          <w:rFonts w:ascii="Century Gothic" w:hAnsi="Century Gothic" w:cs="Arial"/>
          <w:sz w:val="24"/>
          <w:szCs w:val="24"/>
        </w:rPr>
        <w:t xml:space="preserve">del Estado –y </w:t>
      </w:r>
      <w:r w:rsidR="008D69BA" w:rsidRPr="0055052E">
        <w:rPr>
          <w:rFonts w:ascii="Century Gothic" w:hAnsi="Century Gothic" w:cs="Arial"/>
          <w:sz w:val="24"/>
          <w:szCs w:val="24"/>
        </w:rPr>
        <w:t xml:space="preserve">por </w:t>
      </w:r>
      <w:r w:rsidR="009B0DD3">
        <w:rPr>
          <w:rFonts w:ascii="Century Gothic" w:hAnsi="Century Gothic" w:cs="Arial"/>
          <w:sz w:val="24"/>
          <w:szCs w:val="24"/>
        </w:rPr>
        <w:t xml:space="preserve">ende de su capacidad financiera- </w:t>
      </w:r>
      <w:r w:rsidR="008D69BA" w:rsidRPr="0055052E">
        <w:rPr>
          <w:rFonts w:ascii="Century Gothic" w:hAnsi="Century Gothic" w:cs="Arial"/>
          <w:sz w:val="24"/>
          <w:szCs w:val="24"/>
        </w:rPr>
        <w:t xml:space="preserve"> es que h</w:t>
      </w:r>
      <w:r w:rsidR="009B0DD3">
        <w:rPr>
          <w:rFonts w:ascii="Century Gothic" w:hAnsi="Century Gothic" w:cs="Arial"/>
          <w:sz w:val="24"/>
          <w:szCs w:val="24"/>
        </w:rPr>
        <w:t xml:space="preserve">emos propuesto la modificación </w:t>
      </w:r>
      <w:r w:rsidR="008D69BA" w:rsidRPr="0055052E">
        <w:rPr>
          <w:rFonts w:ascii="Century Gothic" w:hAnsi="Century Gothic" w:cs="Arial"/>
          <w:sz w:val="24"/>
          <w:szCs w:val="24"/>
        </w:rPr>
        <w:t>a la Ley de Presupuesto de Egresos, Contabilidad Gubernamental y Gasto Público, para garantizar la mayor y mejor participación del Poder Legislativo en el Manejo del Gasto Público.</w:t>
      </w:r>
    </w:p>
    <w:p w:rsidR="008D69BA" w:rsidRDefault="008D69BA" w:rsidP="001A2946">
      <w:pPr>
        <w:jc w:val="both"/>
        <w:rPr>
          <w:rFonts w:ascii="Arial" w:hAnsi="Arial" w:cs="Arial"/>
          <w:sz w:val="24"/>
          <w:szCs w:val="24"/>
        </w:rPr>
      </w:pPr>
    </w:p>
    <w:p w:rsidR="00FB37D4" w:rsidRPr="009B0DD3" w:rsidRDefault="009B0DD3" w:rsidP="009B0DD3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Ahor</w:t>
      </w:r>
      <w:r w:rsidR="008D69BA" w:rsidRPr="009B0DD3">
        <w:rPr>
          <w:rFonts w:ascii="Century Gothic" w:hAnsi="Century Gothic" w:cs="Arial"/>
          <w:sz w:val="24"/>
          <w:szCs w:val="24"/>
        </w:rPr>
        <w:t>a</w:t>
      </w:r>
      <w:r>
        <w:rPr>
          <w:rFonts w:ascii="Century Gothic" w:hAnsi="Century Gothic" w:cs="Arial"/>
          <w:sz w:val="24"/>
          <w:szCs w:val="24"/>
        </w:rPr>
        <w:t xml:space="preserve"> bien, la</w:t>
      </w:r>
      <w:r w:rsidR="008D69BA" w:rsidRPr="009B0DD3">
        <w:rPr>
          <w:rFonts w:ascii="Century Gothic" w:hAnsi="Century Gothic" w:cs="Arial"/>
          <w:sz w:val="24"/>
          <w:szCs w:val="24"/>
        </w:rPr>
        <w:t xml:space="preserve"> iniciativa  que hoy presentamos tiene como finalidad  </w:t>
      </w:r>
      <w:r w:rsidR="00040989">
        <w:rPr>
          <w:rFonts w:ascii="Century Gothic" w:hAnsi="Century Gothic" w:cs="Arial"/>
          <w:sz w:val="24"/>
          <w:szCs w:val="24"/>
        </w:rPr>
        <w:t xml:space="preserve">complementar a las anteriores propuestas </w:t>
      </w:r>
      <w:r w:rsidR="008D69BA" w:rsidRPr="009B0DD3">
        <w:rPr>
          <w:rFonts w:ascii="Century Gothic" w:hAnsi="Century Gothic" w:cs="Arial"/>
          <w:sz w:val="24"/>
          <w:szCs w:val="24"/>
        </w:rPr>
        <w:t>en materia de d</w:t>
      </w:r>
      <w:r w:rsidR="00040989">
        <w:rPr>
          <w:rFonts w:ascii="Century Gothic" w:hAnsi="Century Gothic" w:cs="Arial"/>
          <w:sz w:val="24"/>
          <w:szCs w:val="24"/>
        </w:rPr>
        <w:t xml:space="preserve">euda para que sean vigentes, positivas; </w:t>
      </w:r>
      <w:r w:rsidR="008D69BA" w:rsidRPr="009B0DD3">
        <w:rPr>
          <w:rFonts w:ascii="Century Gothic" w:hAnsi="Century Gothic" w:cs="Arial"/>
          <w:sz w:val="24"/>
          <w:szCs w:val="24"/>
        </w:rPr>
        <w:t>es decir que</w:t>
      </w:r>
      <w:r w:rsidR="00040989">
        <w:rPr>
          <w:rFonts w:ascii="Century Gothic" w:hAnsi="Century Gothic" w:cs="Arial"/>
          <w:sz w:val="24"/>
          <w:szCs w:val="24"/>
        </w:rPr>
        <w:t xml:space="preserve"> en caso de no darse</w:t>
      </w:r>
      <w:r w:rsidR="008D69BA" w:rsidRPr="009B0DD3">
        <w:rPr>
          <w:rFonts w:ascii="Century Gothic" w:hAnsi="Century Gothic" w:cs="Arial"/>
          <w:sz w:val="24"/>
          <w:szCs w:val="24"/>
        </w:rPr>
        <w:t xml:space="preserve"> </w:t>
      </w:r>
      <w:r w:rsidR="00FB37D4" w:rsidRPr="009B0DD3">
        <w:rPr>
          <w:rFonts w:ascii="Century Gothic" w:hAnsi="Century Gothic" w:cs="Arial"/>
          <w:sz w:val="24"/>
          <w:szCs w:val="24"/>
        </w:rPr>
        <w:t>el debido cumplimiento,</w:t>
      </w:r>
      <w:r w:rsidR="00040989">
        <w:rPr>
          <w:rFonts w:ascii="Century Gothic" w:hAnsi="Century Gothic" w:cs="Arial"/>
          <w:sz w:val="24"/>
          <w:szCs w:val="24"/>
        </w:rPr>
        <w:t xml:space="preserve"> esto</w:t>
      </w:r>
      <w:r w:rsidR="00FB37D4" w:rsidRPr="009B0DD3">
        <w:rPr>
          <w:rFonts w:ascii="Century Gothic" w:hAnsi="Century Gothic" w:cs="Arial"/>
          <w:sz w:val="24"/>
          <w:szCs w:val="24"/>
        </w:rPr>
        <w:t xml:space="preserve"> traiga consigo una responsabilidad, siendo por ello que se plantea</w:t>
      </w:r>
      <w:r w:rsidR="00040989">
        <w:rPr>
          <w:rFonts w:ascii="Century Gothic" w:hAnsi="Century Gothic" w:cs="Arial"/>
          <w:sz w:val="24"/>
          <w:szCs w:val="24"/>
        </w:rPr>
        <w:t>n</w:t>
      </w:r>
      <w:r w:rsidR="00FB37D4" w:rsidRPr="009B0DD3">
        <w:rPr>
          <w:rFonts w:ascii="Century Gothic" w:hAnsi="Century Gothic" w:cs="Arial"/>
          <w:sz w:val="24"/>
          <w:szCs w:val="24"/>
        </w:rPr>
        <w:t xml:space="preserve"> dos nuevas conductas que sería</w:t>
      </w:r>
      <w:r w:rsidR="00040989">
        <w:rPr>
          <w:rFonts w:ascii="Century Gothic" w:hAnsi="Century Gothic" w:cs="Arial"/>
          <w:sz w:val="24"/>
          <w:szCs w:val="24"/>
        </w:rPr>
        <w:t>n</w:t>
      </w:r>
      <w:r w:rsidR="00FB37D4" w:rsidRPr="009B0DD3">
        <w:rPr>
          <w:rFonts w:ascii="Century Gothic" w:hAnsi="Century Gothic" w:cs="Arial"/>
          <w:sz w:val="24"/>
          <w:szCs w:val="24"/>
        </w:rPr>
        <w:t xml:space="preserve"> sancionadas con pena privativa de libertad, sanción de carácter económica e inhabilitación para desempeñar un empleo o cargo público. </w:t>
      </w:r>
    </w:p>
    <w:p w:rsidR="004573F5" w:rsidRDefault="004573F5" w:rsidP="001A2946">
      <w:pPr>
        <w:jc w:val="both"/>
        <w:rPr>
          <w:rFonts w:ascii="Arial" w:hAnsi="Arial" w:cs="Arial"/>
          <w:sz w:val="24"/>
          <w:szCs w:val="24"/>
        </w:rPr>
      </w:pPr>
    </w:p>
    <w:p w:rsidR="00FB37D4" w:rsidRDefault="00FB37D4" w:rsidP="001A2946">
      <w:pPr>
        <w:jc w:val="both"/>
        <w:rPr>
          <w:rFonts w:ascii="Arial" w:hAnsi="Arial" w:cs="Arial"/>
          <w:sz w:val="24"/>
          <w:szCs w:val="24"/>
        </w:rPr>
      </w:pPr>
    </w:p>
    <w:p w:rsidR="004573F5" w:rsidRPr="00040989" w:rsidRDefault="00FB37D4" w:rsidP="00040989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40989">
        <w:rPr>
          <w:rFonts w:ascii="Century Gothic" w:hAnsi="Century Gothic" w:cs="Arial"/>
          <w:sz w:val="24"/>
          <w:szCs w:val="24"/>
        </w:rPr>
        <w:t>Si bien la Ley de Presupuesto de Egresos, Contabilidad Gubernamental y G</w:t>
      </w:r>
      <w:r w:rsidR="00040989">
        <w:rPr>
          <w:rFonts w:ascii="Century Gothic" w:hAnsi="Century Gothic" w:cs="Arial"/>
          <w:sz w:val="24"/>
          <w:szCs w:val="24"/>
        </w:rPr>
        <w:t xml:space="preserve">asto Público en su capítulo de responsabilidades, señala </w:t>
      </w:r>
      <w:r w:rsidRPr="00040989">
        <w:rPr>
          <w:rFonts w:ascii="Century Gothic" w:hAnsi="Century Gothic" w:cs="Arial"/>
          <w:sz w:val="24"/>
          <w:szCs w:val="24"/>
        </w:rPr>
        <w:t xml:space="preserve">de manera </w:t>
      </w:r>
      <w:r w:rsidRPr="00040989">
        <w:rPr>
          <w:rFonts w:ascii="Century Gothic" w:hAnsi="Century Gothic" w:cs="Arial"/>
          <w:sz w:val="24"/>
          <w:szCs w:val="24"/>
        </w:rPr>
        <w:lastRenderedPageBreak/>
        <w:t>expresa en su artículo 183 que el actuar doloso</w:t>
      </w:r>
      <w:r w:rsidR="00040989">
        <w:rPr>
          <w:rFonts w:ascii="Century Gothic" w:hAnsi="Century Gothic" w:cs="Arial"/>
          <w:sz w:val="24"/>
          <w:szCs w:val="24"/>
        </w:rPr>
        <w:t xml:space="preserve"> por parte de un funcionario</w:t>
      </w:r>
      <w:r w:rsidRPr="00040989">
        <w:rPr>
          <w:rFonts w:ascii="Century Gothic" w:hAnsi="Century Gothic" w:cs="Arial"/>
          <w:sz w:val="24"/>
          <w:szCs w:val="24"/>
        </w:rPr>
        <w:t xml:space="preserve"> público </w:t>
      </w:r>
      <w:r w:rsidR="00040989">
        <w:rPr>
          <w:rFonts w:ascii="Century Gothic" w:hAnsi="Century Gothic" w:cs="Arial"/>
          <w:sz w:val="24"/>
          <w:szCs w:val="24"/>
        </w:rPr>
        <w:t xml:space="preserve">que </w:t>
      </w:r>
      <w:r w:rsidR="000E23C8" w:rsidRPr="00040989">
        <w:rPr>
          <w:rFonts w:ascii="Century Gothic" w:hAnsi="Century Gothic" w:cs="Arial"/>
          <w:sz w:val="24"/>
          <w:szCs w:val="24"/>
        </w:rPr>
        <w:t xml:space="preserve">omita </w:t>
      </w:r>
      <w:r w:rsidRPr="00040989">
        <w:rPr>
          <w:rFonts w:ascii="Century Gothic" w:hAnsi="Century Gothic" w:cs="Arial"/>
          <w:sz w:val="24"/>
          <w:szCs w:val="24"/>
        </w:rPr>
        <w:t xml:space="preserve"> el registro de operaciones financieras,</w:t>
      </w:r>
      <w:r w:rsidR="000E23C8" w:rsidRPr="00040989">
        <w:rPr>
          <w:rFonts w:ascii="Century Gothic" w:hAnsi="Century Gothic" w:cs="Arial"/>
          <w:sz w:val="24"/>
          <w:szCs w:val="24"/>
        </w:rPr>
        <w:t xml:space="preserve"> omita o altere documentos o registros de la contabilidad</w:t>
      </w:r>
      <w:r w:rsidR="004C2AB5">
        <w:rPr>
          <w:rFonts w:ascii="Century Gothic" w:hAnsi="Century Gothic" w:cs="Arial"/>
          <w:sz w:val="24"/>
          <w:szCs w:val="24"/>
        </w:rPr>
        <w:t>,</w:t>
      </w:r>
      <w:r w:rsidR="000E23C8" w:rsidRPr="00040989">
        <w:rPr>
          <w:rFonts w:ascii="Century Gothic" w:hAnsi="Century Gothic" w:cs="Arial"/>
          <w:sz w:val="24"/>
          <w:szCs w:val="24"/>
        </w:rPr>
        <w:t xml:space="preserve"> entre otros, causa</w:t>
      </w:r>
      <w:r w:rsidR="004C2AB5">
        <w:rPr>
          <w:rFonts w:ascii="Century Gothic" w:hAnsi="Century Gothic" w:cs="Arial"/>
          <w:sz w:val="24"/>
          <w:szCs w:val="24"/>
        </w:rPr>
        <w:t>ndo</w:t>
      </w:r>
      <w:r w:rsidR="000E23C8" w:rsidRPr="00040989">
        <w:rPr>
          <w:rFonts w:ascii="Century Gothic" w:hAnsi="Century Gothic" w:cs="Arial"/>
          <w:sz w:val="24"/>
          <w:szCs w:val="24"/>
        </w:rPr>
        <w:t xml:space="preserve"> un </w:t>
      </w:r>
      <w:r w:rsidRPr="00040989">
        <w:rPr>
          <w:rFonts w:ascii="Century Gothic" w:hAnsi="Century Gothic" w:cs="Arial"/>
          <w:sz w:val="24"/>
          <w:szCs w:val="24"/>
        </w:rPr>
        <w:t xml:space="preserve"> dañ</w:t>
      </w:r>
      <w:r w:rsidR="000E23C8" w:rsidRPr="00040989">
        <w:rPr>
          <w:rFonts w:ascii="Century Gothic" w:hAnsi="Century Gothic" w:cs="Arial"/>
          <w:sz w:val="24"/>
          <w:szCs w:val="24"/>
        </w:rPr>
        <w:t xml:space="preserve">o </w:t>
      </w:r>
      <w:r w:rsidRPr="00040989">
        <w:rPr>
          <w:rFonts w:ascii="Century Gothic" w:hAnsi="Century Gothic" w:cs="Arial"/>
          <w:sz w:val="24"/>
          <w:szCs w:val="24"/>
        </w:rPr>
        <w:t xml:space="preserve"> al Estado, será sancionado con pena privativa de la libertad  de </w:t>
      </w:r>
      <w:r w:rsidR="000E23C8" w:rsidRPr="00040989">
        <w:rPr>
          <w:rFonts w:ascii="Century Gothic" w:hAnsi="Century Gothic" w:cs="Arial"/>
          <w:sz w:val="24"/>
          <w:szCs w:val="24"/>
        </w:rPr>
        <w:t>dos  a siete</w:t>
      </w:r>
      <w:r w:rsidR="007E3F6E">
        <w:rPr>
          <w:rFonts w:ascii="Century Gothic" w:hAnsi="Century Gothic" w:cs="Arial"/>
          <w:sz w:val="24"/>
          <w:szCs w:val="24"/>
        </w:rPr>
        <w:t xml:space="preserve"> años de prisión. Lo anterior no se contrapone </w:t>
      </w:r>
      <w:r w:rsidRPr="00040989">
        <w:rPr>
          <w:rFonts w:ascii="Century Gothic" w:hAnsi="Century Gothic" w:cs="Arial"/>
          <w:sz w:val="24"/>
          <w:szCs w:val="24"/>
        </w:rPr>
        <w:t xml:space="preserve">con </w:t>
      </w:r>
      <w:r w:rsidR="007E3F6E">
        <w:rPr>
          <w:rFonts w:ascii="Century Gothic" w:hAnsi="Century Gothic" w:cs="Arial"/>
          <w:sz w:val="24"/>
          <w:szCs w:val="24"/>
        </w:rPr>
        <w:t xml:space="preserve">lo planteado en </w:t>
      </w:r>
      <w:r w:rsidRPr="00040989">
        <w:rPr>
          <w:rFonts w:ascii="Century Gothic" w:hAnsi="Century Gothic" w:cs="Arial"/>
          <w:sz w:val="24"/>
          <w:szCs w:val="24"/>
        </w:rPr>
        <w:t>la presente iniciativa puesto que para que se actualice la hipótesis  antes mencionada, se</w:t>
      </w:r>
      <w:r w:rsidR="007E3F6E">
        <w:rPr>
          <w:rFonts w:ascii="Century Gothic" w:hAnsi="Century Gothic" w:cs="Arial"/>
          <w:sz w:val="24"/>
          <w:szCs w:val="24"/>
        </w:rPr>
        <w:t xml:space="preserve"> requiere</w:t>
      </w:r>
      <w:r w:rsidRPr="00040989">
        <w:rPr>
          <w:rFonts w:ascii="Century Gothic" w:hAnsi="Century Gothic" w:cs="Arial"/>
          <w:sz w:val="24"/>
          <w:szCs w:val="24"/>
        </w:rPr>
        <w:t xml:space="preserve"> el actuar dolos</w:t>
      </w:r>
      <w:r w:rsidR="007E3F6E">
        <w:rPr>
          <w:rFonts w:ascii="Century Gothic" w:hAnsi="Century Gothic" w:cs="Arial"/>
          <w:sz w:val="24"/>
          <w:szCs w:val="24"/>
        </w:rPr>
        <w:t>o</w:t>
      </w:r>
      <w:r w:rsidRPr="00040989">
        <w:rPr>
          <w:rFonts w:ascii="Century Gothic" w:hAnsi="Century Gothic" w:cs="Arial"/>
          <w:sz w:val="24"/>
          <w:szCs w:val="24"/>
        </w:rPr>
        <w:t xml:space="preserve"> del funcionario y qu</w:t>
      </w:r>
      <w:r w:rsidR="007E3F6E">
        <w:rPr>
          <w:rFonts w:ascii="Century Gothic" w:hAnsi="Century Gothic" w:cs="Arial"/>
          <w:sz w:val="24"/>
          <w:szCs w:val="24"/>
        </w:rPr>
        <w:t>e se cause un daño patrimonial; el primer requisito</w:t>
      </w:r>
      <w:r w:rsidRPr="00040989">
        <w:rPr>
          <w:rFonts w:ascii="Century Gothic" w:hAnsi="Century Gothic" w:cs="Arial"/>
          <w:sz w:val="24"/>
          <w:szCs w:val="24"/>
        </w:rPr>
        <w:t xml:space="preserve"> de carácter </w:t>
      </w:r>
      <w:r w:rsidR="000E23C8" w:rsidRPr="00040989">
        <w:rPr>
          <w:rFonts w:ascii="Century Gothic" w:hAnsi="Century Gothic" w:cs="Arial"/>
          <w:sz w:val="24"/>
          <w:szCs w:val="24"/>
        </w:rPr>
        <w:t>subjetivo</w:t>
      </w:r>
      <w:r w:rsidRPr="00040989">
        <w:rPr>
          <w:rFonts w:ascii="Century Gothic" w:hAnsi="Century Gothic" w:cs="Arial"/>
          <w:sz w:val="24"/>
          <w:szCs w:val="24"/>
        </w:rPr>
        <w:t xml:space="preserve"> que con dificultad se podrá acreditar, de tal suerte que los elementos </w:t>
      </w:r>
      <w:r w:rsidR="007E3F6E">
        <w:rPr>
          <w:rFonts w:ascii="Century Gothic" w:hAnsi="Century Gothic" w:cs="Arial"/>
          <w:sz w:val="24"/>
          <w:szCs w:val="24"/>
        </w:rPr>
        <w:t>del delito difícilmente se actualizarán</w:t>
      </w:r>
      <w:r w:rsidR="000E23C8" w:rsidRPr="00040989">
        <w:rPr>
          <w:rFonts w:ascii="Century Gothic" w:hAnsi="Century Gothic" w:cs="Arial"/>
          <w:sz w:val="24"/>
          <w:szCs w:val="24"/>
        </w:rPr>
        <w:t xml:space="preserve">, </w:t>
      </w:r>
      <w:r w:rsidR="007E3F6E">
        <w:rPr>
          <w:rFonts w:ascii="Century Gothic" w:hAnsi="Century Gothic" w:cs="Arial"/>
          <w:sz w:val="24"/>
          <w:szCs w:val="24"/>
        </w:rPr>
        <w:t xml:space="preserve">por lo </w:t>
      </w:r>
      <w:r w:rsidR="000E23C8" w:rsidRPr="00040989">
        <w:rPr>
          <w:rFonts w:ascii="Century Gothic" w:hAnsi="Century Gothic" w:cs="Arial"/>
          <w:sz w:val="24"/>
          <w:szCs w:val="24"/>
        </w:rPr>
        <w:t>que</w:t>
      </w:r>
      <w:r w:rsidR="007E3F6E">
        <w:rPr>
          <w:rFonts w:ascii="Century Gothic" w:hAnsi="Century Gothic" w:cs="Arial"/>
          <w:sz w:val="24"/>
          <w:szCs w:val="24"/>
        </w:rPr>
        <w:t xml:space="preserve"> se considera</w:t>
      </w:r>
      <w:r w:rsidR="000E23C8" w:rsidRPr="00040989">
        <w:rPr>
          <w:rFonts w:ascii="Century Gothic" w:hAnsi="Century Gothic" w:cs="Arial"/>
          <w:sz w:val="24"/>
          <w:szCs w:val="24"/>
        </w:rPr>
        <w:t xml:space="preserve"> procedente el establecimiento de las nuevas  figuras típicas. </w:t>
      </w:r>
      <w:r w:rsidRPr="00040989">
        <w:rPr>
          <w:rFonts w:ascii="Century Gothic" w:hAnsi="Century Gothic" w:cs="Arial"/>
          <w:sz w:val="24"/>
          <w:szCs w:val="24"/>
        </w:rPr>
        <w:t xml:space="preserve">  </w:t>
      </w:r>
    </w:p>
    <w:p w:rsidR="004573F5" w:rsidRDefault="004573F5" w:rsidP="001A2946">
      <w:pPr>
        <w:jc w:val="both"/>
        <w:rPr>
          <w:rFonts w:ascii="Arial" w:hAnsi="Arial" w:cs="Arial"/>
          <w:sz w:val="24"/>
          <w:szCs w:val="24"/>
        </w:rPr>
      </w:pPr>
    </w:p>
    <w:p w:rsidR="004573F5" w:rsidRDefault="004573F5" w:rsidP="001A2946">
      <w:pPr>
        <w:jc w:val="both"/>
        <w:rPr>
          <w:rFonts w:ascii="Arial" w:hAnsi="Arial" w:cs="Arial"/>
          <w:sz w:val="24"/>
          <w:szCs w:val="24"/>
        </w:rPr>
      </w:pPr>
    </w:p>
    <w:p w:rsidR="008D69BA" w:rsidRPr="007E3F6E" w:rsidRDefault="004573F5" w:rsidP="007E3F6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E3F6E">
        <w:rPr>
          <w:rFonts w:ascii="Century Gothic" w:hAnsi="Century Gothic" w:cs="Arial"/>
          <w:sz w:val="24"/>
          <w:szCs w:val="24"/>
        </w:rPr>
        <w:t>Las conductas delictivas que se proponen van enfocadas en no cumplir con la obligación de  informar de la contratación de la deuda a corto y largo plazo, así como de todas y cada una de los compromisos financieros a cargo del Estado.</w:t>
      </w:r>
      <w:r w:rsidR="00FB37D4" w:rsidRPr="007E3F6E">
        <w:rPr>
          <w:rFonts w:ascii="Century Gothic" w:hAnsi="Century Gothic" w:cs="Arial"/>
          <w:sz w:val="24"/>
          <w:szCs w:val="24"/>
        </w:rPr>
        <w:t xml:space="preserve"> </w:t>
      </w:r>
    </w:p>
    <w:p w:rsidR="00FB37D4" w:rsidRDefault="00FB37D4" w:rsidP="001A2946">
      <w:pPr>
        <w:jc w:val="both"/>
        <w:rPr>
          <w:rFonts w:ascii="Arial" w:hAnsi="Arial" w:cs="Arial"/>
          <w:sz w:val="24"/>
          <w:szCs w:val="24"/>
        </w:rPr>
      </w:pPr>
    </w:p>
    <w:p w:rsidR="001A2946" w:rsidRDefault="001A2946" w:rsidP="00F201A6">
      <w:pPr>
        <w:ind w:left="1100"/>
        <w:jc w:val="center"/>
        <w:rPr>
          <w:rFonts w:ascii="Arial" w:hAnsi="Arial" w:cs="Arial"/>
          <w:b/>
          <w:bCs/>
          <w:color w:val="000000"/>
        </w:rPr>
      </w:pPr>
    </w:p>
    <w:p w:rsidR="001A2946" w:rsidRPr="007E3F6E" w:rsidRDefault="001A2946" w:rsidP="007E3F6E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="Century Gothic" w:hAnsi="Century Gothic" w:cs="Arial"/>
        </w:rPr>
      </w:pPr>
      <w:bookmarkStart w:id="1" w:name="_Hlk85026079"/>
      <w:r w:rsidRPr="007E3F6E">
        <w:rPr>
          <w:rFonts w:ascii="Century Gothic" w:hAnsi="Century Gothic" w:cs="Arial"/>
        </w:rPr>
        <w:t>Por las anteriores consideraciones y motivos, nos permitimos a someter a esta soberanía, el siguiente proyecto</w:t>
      </w:r>
      <w:r w:rsidR="007E3F6E">
        <w:rPr>
          <w:rFonts w:ascii="Century Gothic" w:hAnsi="Century Gothic" w:cs="Arial"/>
        </w:rPr>
        <w:t xml:space="preserve"> con carácter </w:t>
      </w:r>
      <w:r w:rsidRPr="007E3F6E">
        <w:rPr>
          <w:rFonts w:ascii="Century Gothic" w:hAnsi="Century Gothic" w:cs="Arial"/>
        </w:rPr>
        <w:t>de:</w:t>
      </w:r>
    </w:p>
    <w:bookmarkEnd w:id="1"/>
    <w:p w:rsidR="004573F5" w:rsidRPr="007E3F6E" w:rsidRDefault="004573F5" w:rsidP="007E3F6E">
      <w:pPr>
        <w:spacing w:line="360" w:lineRule="auto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:rsidR="001A2946" w:rsidRPr="007E3F6E" w:rsidRDefault="001A2946" w:rsidP="007E3F6E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7E3F6E">
        <w:rPr>
          <w:rFonts w:ascii="Century Gothic" w:hAnsi="Century Gothic" w:cs="Arial"/>
          <w:b/>
          <w:sz w:val="24"/>
          <w:szCs w:val="24"/>
          <w:shd w:val="clear" w:color="auto" w:fill="FFFFFF"/>
        </w:rPr>
        <w:t>D E C R E T O:</w:t>
      </w:r>
    </w:p>
    <w:p w:rsidR="001A2946" w:rsidRPr="007E3F6E" w:rsidRDefault="001A2946" w:rsidP="007E3F6E">
      <w:pPr>
        <w:spacing w:line="360" w:lineRule="auto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:rsidR="001A2946" w:rsidRPr="007E3F6E" w:rsidRDefault="001A2946" w:rsidP="007E3F6E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7E3F6E">
        <w:rPr>
          <w:rFonts w:ascii="Century Gothic" w:eastAsia="Calibri" w:hAnsi="Century Gothic" w:cs="Arial"/>
          <w:b/>
          <w:sz w:val="24"/>
          <w:szCs w:val="24"/>
          <w:shd w:val="clear" w:color="auto" w:fill="FFFFFF"/>
          <w:lang w:eastAsia="en-US"/>
        </w:rPr>
        <w:t xml:space="preserve">ARTÍCULO PRIMERO.- </w:t>
      </w:r>
      <w:r w:rsidRPr="007E3F6E">
        <w:rPr>
          <w:rFonts w:ascii="Century Gothic" w:hAnsi="Century Gothic" w:cs="Arial"/>
          <w:sz w:val="24"/>
          <w:szCs w:val="24"/>
        </w:rPr>
        <w:t xml:space="preserve">Se </w:t>
      </w:r>
      <w:r w:rsidRPr="007E3F6E">
        <w:rPr>
          <w:rFonts w:ascii="Century Gothic" w:hAnsi="Century Gothic" w:cs="Arial"/>
          <w:b/>
          <w:bCs/>
          <w:sz w:val="24"/>
          <w:szCs w:val="24"/>
        </w:rPr>
        <w:t>ADICIONAN los artículos</w:t>
      </w:r>
      <w:r w:rsidR="007E3F6E">
        <w:rPr>
          <w:rFonts w:ascii="Century Gothic" w:hAnsi="Century Gothic" w:cs="Arial"/>
          <w:b/>
          <w:bCs/>
          <w:sz w:val="24"/>
          <w:szCs w:val="24"/>
        </w:rPr>
        <w:t xml:space="preserve"> 253 bis y 253 ter al </w:t>
      </w:r>
      <w:r w:rsidRPr="007E3F6E">
        <w:rPr>
          <w:rFonts w:ascii="Century Gothic" w:hAnsi="Century Gothic" w:cs="Arial"/>
          <w:b/>
          <w:bCs/>
          <w:sz w:val="24"/>
          <w:szCs w:val="24"/>
        </w:rPr>
        <w:t xml:space="preserve">Código Penal para el Estado de Chihuahua </w:t>
      </w:r>
      <w:r w:rsidRPr="007E3F6E">
        <w:rPr>
          <w:rFonts w:ascii="Century Gothic" w:eastAsia="Calibri" w:hAnsi="Century Gothic" w:cs="Arial"/>
          <w:sz w:val="24"/>
          <w:szCs w:val="24"/>
          <w:shd w:val="clear" w:color="auto" w:fill="FFFFFF"/>
          <w:lang w:eastAsia="en-US"/>
        </w:rPr>
        <w:t xml:space="preserve">para quedar </w:t>
      </w:r>
      <w:r w:rsidR="007E3F6E">
        <w:rPr>
          <w:rFonts w:ascii="Century Gothic" w:eastAsia="Calibri" w:hAnsi="Century Gothic" w:cs="Arial"/>
          <w:sz w:val="24"/>
          <w:szCs w:val="24"/>
          <w:shd w:val="clear" w:color="auto" w:fill="FFFFFF"/>
          <w:lang w:eastAsia="en-US"/>
        </w:rPr>
        <w:t xml:space="preserve">redactados </w:t>
      </w:r>
      <w:r w:rsidRPr="007E3F6E">
        <w:rPr>
          <w:rFonts w:ascii="Century Gothic" w:eastAsia="Calibri" w:hAnsi="Century Gothic" w:cs="Arial"/>
          <w:sz w:val="24"/>
          <w:szCs w:val="24"/>
          <w:shd w:val="clear" w:color="auto" w:fill="FFFFFF"/>
          <w:lang w:eastAsia="en-US"/>
        </w:rPr>
        <w:t>en los siguientes términos</w:t>
      </w:r>
      <w:r w:rsidR="007E3F6E">
        <w:rPr>
          <w:rFonts w:ascii="Century Gothic" w:eastAsia="Calibri" w:hAnsi="Century Gothic" w:cs="Arial"/>
          <w:sz w:val="24"/>
          <w:szCs w:val="24"/>
          <w:shd w:val="clear" w:color="auto" w:fill="FFFFFF"/>
          <w:lang w:eastAsia="en-US"/>
        </w:rPr>
        <w:t>:</w:t>
      </w:r>
    </w:p>
    <w:p w:rsidR="00F201A6" w:rsidRPr="007E3F6E" w:rsidRDefault="00F201A6" w:rsidP="007E3F6E">
      <w:pPr>
        <w:spacing w:line="360" w:lineRule="auto"/>
        <w:rPr>
          <w:rFonts w:ascii="Century Gothic" w:hAnsi="Century Gothic"/>
        </w:rPr>
      </w:pPr>
    </w:p>
    <w:p w:rsidR="00BC2EDA" w:rsidRPr="007E3F6E" w:rsidRDefault="00F201A6" w:rsidP="007E3F6E">
      <w:pPr>
        <w:spacing w:line="360" w:lineRule="auto"/>
        <w:ind w:left="708"/>
        <w:jc w:val="both"/>
        <w:rPr>
          <w:rFonts w:ascii="Century Gothic" w:hAnsi="Century Gothic"/>
          <w:sz w:val="24"/>
          <w:szCs w:val="24"/>
        </w:rPr>
      </w:pPr>
      <w:r w:rsidRPr="007E3F6E">
        <w:rPr>
          <w:rFonts w:ascii="Century Gothic" w:hAnsi="Century Gothic"/>
          <w:b/>
          <w:sz w:val="24"/>
          <w:szCs w:val="24"/>
        </w:rPr>
        <w:lastRenderedPageBreak/>
        <w:t>Artículo 253 bis</w:t>
      </w:r>
      <w:r w:rsidRPr="007E3F6E">
        <w:rPr>
          <w:rFonts w:ascii="Century Gothic" w:hAnsi="Century Gothic"/>
          <w:sz w:val="24"/>
          <w:szCs w:val="24"/>
        </w:rPr>
        <w:t xml:space="preserve">.  Se impondrán de  </w:t>
      </w:r>
      <w:r w:rsidRPr="007E3F6E">
        <w:rPr>
          <w:rFonts w:ascii="Century Gothic" w:hAnsi="Century Gothic"/>
          <w:b/>
          <w:i/>
          <w:sz w:val="24"/>
          <w:szCs w:val="24"/>
          <w:u w:val="single"/>
        </w:rPr>
        <w:t>cinco a diez años</w:t>
      </w:r>
      <w:r w:rsidR="00A95F6F" w:rsidRPr="007E3F6E">
        <w:rPr>
          <w:rFonts w:ascii="Century Gothic" w:hAnsi="Century Gothic"/>
          <w:b/>
          <w:i/>
          <w:sz w:val="24"/>
          <w:szCs w:val="24"/>
          <w:u w:val="single"/>
        </w:rPr>
        <w:t xml:space="preserve"> de prisión</w:t>
      </w:r>
      <w:r w:rsidR="00BC2EDA" w:rsidRPr="007E3F6E">
        <w:rPr>
          <w:rFonts w:ascii="Century Gothic" w:hAnsi="Century Gothic"/>
          <w:b/>
          <w:i/>
          <w:sz w:val="24"/>
          <w:szCs w:val="24"/>
          <w:u w:val="single"/>
        </w:rPr>
        <w:t xml:space="preserve">, </w:t>
      </w:r>
      <w:r w:rsidR="00B71519" w:rsidRPr="007E3F6E">
        <w:rPr>
          <w:rFonts w:ascii="Century Gothic" w:hAnsi="Century Gothic"/>
          <w:sz w:val="24"/>
          <w:szCs w:val="24"/>
        </w:rPr>
        <w:t xml:space="preserve"> de </w:t>
      </w:r>
      <w:r w:rsidR="00B71519" w:rsidRPr="007E3F6E">
        <w:rPr>
          <w:rFonts w:ascii="Century Gothic" w:hAnsi="Century Gothic"/>
          <w:b/>
          <w:i/>
          <w:sz w:val="24"/>
          <w:szCs w:val="24"/>
          <w:u w:val="single"/>
        </w:rPr>
        <w:t xml:space="preserve">tres mil a cinco mil </w:t>
      </w:r>
      <w:r w:rsidR="00B71519" w:rsidRPr="007E3F6E">
        <w:rPr>
          <w:rFonts w:ascii="Century Gothic" w:hAnsi="Century Gothic" w:cs="Arial"/>
          <w:b/>
          <w:i/>
          <w:color w:val="000000"/>
          <w:sz w:val="24"/>
          <w:szCs w:val="24"/>
          <w:u w:val="single"/>
        </w:rPr>
        <w:t>días multa</w:t>
      </w:r>
      <w:r w:rsidR="00B71519" w:rsidRPr="007E3F6E">
        <w:rPr>
          <w:rFonts w:ascii="Century Gothic" w:hAnsi="Century Gothic"/>
          <w:sz w:val="24"/>
          <w:szCs w:val="24"/>
        </w:rPr>
        <w:t xml:space="preserve"> </w:t>
      </w:r>
      <w:r w:rsidR="00BC2EDA" w:rsidRPr="007E3F6E">
        <w:rPr>
          <w:rFonts w:ascii="Century Gothic" w:hAnsi="Century Gothic"/>
          <w:sz w:val="24"/>
          <w:szCs w:val="24"/>
        </w:rPr>
        <w:t xml:space="preserve"> e inhabilitación de diez años para desempeñar cualquier empleo, cargo o comisión,</w:t>
      </w:r>
      <w:r w:rsidRPr="007E3F6E">
        <w:rPr>
          <w:rFonts w:ascii="Century Gothic" w:hAnsi="Century Gothic"/>
          <w:sz w:val="24"/>
          <w:szCs w:val="24"/>
        </w:rPr>
        <w:t xml:space="preserve"> </w:t>
      </w:r>
      <w:r w:rsidR="00B71519" w:rsidRPr="007E3F6E">
        <w:rPr>
          <w:rFonts w:ascii="Century Gothic" w:hAnsi="Century Gothic"/>
          <w:b/>
          <w:i/>
          <w:sz w:val="24"/>
          <w:szCs w:val="24"/>
          <w:u w:val="single"/>
        </w:rPr>
        <w:t>al servidor público que contrate  o participe en la contratación  de deuda pública</w:t>
      </w:r>
      <w:r w:rsidR="00B71519" w:rsidRPr="007E3F6E">
        <w:rPr>
          <w:rFonts w:ascii="Century Gothic" w:hAnsi="Century Gothic"/>
          <w:sz w:val="24"/>
          <w:szCs w:val="24"/>
        </w:rPr>
        <w:t xml:space="preserve"> sin cumplir con los requisitos</w:t>
      </w:r>
      <w:r w:rsidR="00BC2EDA" w:rsidRPr="007E3F6E">
        <w:rPr>
          <w:rFonts w:ascii="Century Gothic" w:hAnsi="Century Gothic"/>
          <w:sz w:val="24"/>
          <w:szCs w:val="24"/>
        </w:rPr>
        <w:t>,</w:t>
      </w:r>
      <w:r w:rsidR="00B71519" w:rsidRPr="007E3F6E">
        <w:rPr>
          <w:rFonts w:ascii="Century Gothic" w:hAnsi="Century Gothic"/>
          <w:sz w:val="24"/>
          <w:szCs w:val="24"/>
        </w:rPr>
        <w:t xml:space="preserve"> destine los recursos a fines distintos a los que</w:t>
      </w:r>
      <w:r w:rsidR="00BC2EDA" w:rsidRPr="007E3F6E">
        <w:rPr>
          <w:rFonts w:ascii="Century Gothic" w:hAnsi="Century Gothic"/>
          <w:sz w:val="24"/>
          <w:szCs w:val="24"/>
        </w:rPr>
        <w:t xml:space="preserve"> </w:t>
      </w:r>
      <w:r w:rsidR="00B71519" w:rsidRPr="007E3F6E">
        <w:rPr>
          <w:rFonts w:ascii="Century Gothic" w:hAnsi="Century Gothic"/>
          <w:sz w:val="24"/>
          <w:szCs w:val="24"/>
        </w:rPr>
        <w:t>deben  aplicarse</w:t>
      </w:r>
      <w:r w:rsidR="002D1FE7" w:rsidRPr="007E3F6E">
        <w:rPr>
          <w:rFonts w:ascii="Century Gothic" w:hAnsi="Century Gothic"/>
          <w:sz w:val="24"/>
          <w:szCs w:val="24"/>
        </w:rPr>
        <w:t xml:space="preserve"> o su liquidación no se realice conforme en cumplimiento a la ley de la materia</w:t>
      </w:r>
      <w:r w:rsidR="00BC2EDA" w:rsidRPr="007E3F6E">
        <w:rPr>
          <w:rFonts w:ascii="Century Gothic" w:hAnsi="Century Gothic"/>
          <w:sz w:val="24"/>
          <w:szCs w:val="24"/>
        </w:rPr>
        <w:t>.</w:t>
      </w:r>
    </w:p>
    <w:p w:rsidR="00CF0B8E" w:rsidRPr="007E3F6E" w:rsidRDefault="00CF0B8E" w:rsidP="007E3F6E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1A2946" w:rsidRPr="007E3F6E" w:rsidRDefault="00CF0B8E" w:rsidP="007E3F6E">
      <w:pPr>
        <w:spacing w:line="360" w:lineRule="auto"/>
        <w:ind w:left="708"/>
        <w:jc w:val="both"/>
        <w:rPr>
          <w:rFonts w:ascii="Century Gothic" w:hAnsi="Century Gothic"/>
          <w:sz w:val="24"/>
          <w:szCs w:val="24"/>
        </w:rPr>
      </w:pPr>
      <w:r w:rsidRPr="007E3F6E">
        <w:rPr>
          <w:rFonts w:ascii="Century Gothic" w:hAnsi="Century Gothic"/>
          <w:b/>
          <w:sz w:val="24"/>
          <w:szCs w:val="24"/>
        </w:rPr>
        <w:t>Artículo 253 ter.</w:t>
      </w:r>
      <w:r w:rsidRPr="007E3F6E">
        <w:rPr>
          <w:rFonts w:ascii="Century Gothic" w:hAnsi="Century Gothic"/>
          <w:sz w:val="24"/>
          <w:szCs w:val="24"/>
        </w:rPr>
        <w:t xml:space="preserve">  </w:t>
      </w:r>
      <w:r w:rsidR="00BC2EDA" w:rsidRPr="007E3F6E">
        <w:rPr>
          <w:rFonts w:ascii="Century Gothic" w:hAnsi="Century Gothic"/>
          <w:sz w:val="24"/>
          <w:szCs w:val="24"/>
        </w:rPr>
        <w:t xml:space="preserve">Se impondrán de  </w:t>
      </w:r>
      <w:r w:rsidR="00681CB9" w:rsidRPr="007E3F6E">
        <w:rPr>
          <w:rFonts w:ascii="Century Gothic" w:hAnsi="Century Gothic"/>
          <w:b/>
          <w:i/>
          <w:sz w:val="24"/>
          <w:szCs w:val="24"/>
          <w:u w:val="single"/>
        </w:rPr>
        <w:t>cuatro a ocho</w:t>
      </w:r>
      <w:r w:rsidR="00BC2EDA" w:rsidRPr="007E3F6E">
        <w:rPr>
          <w:rFonts w:ascii="Century Gothic" w:hAnsi="Century Gothic"/>
          <w:b/>
          <w:i/>
          <w:sz w:val="24"/>
          <w:szCs w:val="24"/>
          <w:u w:val="single"/>
        </w:rPr>
        <w:t xml:space="preserve"> años de prisión, </w:t>
      </w:r>
      <w:r w:rsidR="00BC2EDA" w:rsidRPr="007E3F6E">
        <w:rPr>
          <w:rFonts w:ascii="Century Gothic" w:hAnsi="Century Gothic"/>
          <w:sz w:val="24"/>
          <w:szCs w:val="24"/>
        </w:rPr>
        <w:t xml:space="preserve"> de </w:t>
      </w:r>
      <w:r w:rsidR="00681CB9" w:rsidRPr="007E3F6E">
        <w:rPr>
          <w:rFonts w:ascii="Century Gothic" w:hAnsi="Century Gothic"/>
          <w:b/>
          <w:i/>
          <w:sz w:val="24"/>
          <w:szCs w:val="24"/>
          <w:u w:val="single"/>
        </w:rPr>
        <w:t>dos</w:t>
      </w:r>
      <w:r w:rsidR="00BC2EDA" w:rsidRPr="007E3F6E">
        <w:rPr>
          <w:rFonts w:ascii="Century Gothic" w:hAnsi="Century Gothic"/>
          <w:b/>
          <w:i/>
          <w:sz w:val="24"/>
          <w:szCs w:val="24"/>
          <w:u w:val="single"/>
        </w:rPr>
        <w:t xml:space="preserve"> mil </w:t>
      </w:r>
      <w:r w:rsidR="00681CB9" w:rsidRPr="007E3F6E">
        <w:rPr>
          <w:rFonts w:ascii="Century Gothic" w:hAnsi="Century Gothic"/>
          <w:b/>
          <w:i/>
          <w:sz w:val="24"/>
          <w:szCs w:val="24"/>
          <w:u w:val="single"/>
        </w:rPr>
        <w:t>a cuatro</w:t>
      </w:r>
      <w:r w:rsidR="00BC2EDA" w:rsidRPr="007E3F6E">
        <w:rPr>
          <w:rFonts w:ascii="Century Gothic" w:hAnsi="Century Gothic"/>
          <w:b/>
          <w:i/>
          <w:sz w:val="24"/>
          <w:szCs w:val="24"/>
          <w:u w:val="single"/>
        </w:rPr>
        <w:t xml:space="preserve"> mil </w:t>
      </w:r>
      <w:r w:rsidR="00BC2EDA" w:rsidRPr="007E3F6E">
        <w:rPr>
          <w:rFonts w:ascii="Century Gothic" w:hAnsi="Century Gothic" w:cs="Arial"/>
          <w:b/>
          <w:i/>
          <w:color w:val="000000"/>
          <w:sz w:val="24"/>
          <w:szCs w:val="24"/>
          <w:u w:val="single"/>
        </w:rPr>
        <w:t>días multa</w:t>
      </w:r>
      <w:r w:rsidR="00BC2EDA" w:rsidRPr="007E3F6E">
        <w:rPr>
          <w:rFonts w:ascii="Century Gothic" w:hAnsi="Century Gothic"/>
          <w:sz w:val="24"/>
          <w:szCs w:val="24"/>
        </w:rPr>
        <w:t xml:space="preserve">  e inhabilitación de diez años para desempeñar cualquier empleo, cargo o comisión, </w:t>
      </w:r>
      <w:r w:rsidRPr="007E3F6E">
        <w:rPr>
          <w:rFonts w:ascii="Century Gothic" w:hAnsi="Century Gothic"/>
          <w:sz w:val="24"/>
          <w:szCs w:val="24"/>
        </w:rPr>
        <w:t>a</w:t>
      </w:r>
      <w:r w:rsidR="002D1FE7" w:rsidRPr="007E3F6E">
        <w:rPr>
          <w:rFonts w:ascii="Century Gothic" w:hAnsi="Century Gothic"/>
          <w:sz w:val="24"/>
          <w:szCs w:val="24"/>
        </w:rPr>
        <w:t xml:space="preserve">l titular </w:t>
      </w:r>
      <w:r w:rsidRPr="007E3F6E">
        <w:rPr>
          <w:rFonts w:ascii="Century Gothic" w:hAnsi="Century Gothic"/>
          <w:sz w:val="24"/>
          <w:szCs w:val="24"/>
        </w:rPr>
        <w:t xml:space="preserve">de un ente público, </w:t>
      </w:r>
      <w:r w:rsidR="002D1FE7" w:rsidRPr="007E3F6E">
        <w:rPr>
          <w:rFonts w:ascii="Century Gothic" w:hAnsi="Century Gothic"/>
          <w:sz w:val="24"/>
          <w:szCs w:val="24"/>
        </w:rPr>
        <w:t xml:space="preserve"> que </w:t>
      </w:r>
      <w:r w:rsidRPr="007E3F6E">
        <w:rPr>
          <w:rFonts w:ascii="Century Gothic" w:hAnsi="Century Gothic"/>
          <w:sz w:val="24"/>
          <w:szCs w:val="24"/>
        </w:rPr>
        <w:t>omita informar o bien informe parcialmente de</w:t>
      </w:r>
      <w:r w:rsidR="002D1FE7" w:rsidRPr="007E3F6E">
        <w:rPr>
          <w:rFonts w:ascii="Century Gothic" w:hAnsi="Century Gothic"/>
          <w:sz w:val="24"/>
          <w:szCs w:val="24"/>
        </w:rPr>
        <w:t xml:space="preserve">  los montos de la deuda a corto y largo plazo, monto de cuentas por pagar a proveedores y contratistas o bien importes que debe transferir a personas físicas o morales que por disposición de la ley deben recibir recursos públicos.  </w:t>
      </w:r>
    </w:p>
    <w:p w:rsidR="001A2946" w:rsidRDefault="001A2946" w:rsidP="00B71519">
      <w:pPr>
        <w:jc w:val="both"/>
        <w:rPr>
          <w:sz w:val="28"/>
          <w:szCs w:val="28"/>
        </w:rPr>
      </w:pPr>
    </w:p>
    <w:p w:rsidR="001A2946" w:rsidRPr="007E3F6E" w:rsidRDefault="001A2946" w:rsidP="007E3F6E">
      <w:pPr>
        <w:pStyle w:val="Prrafodelista"/>
        <w:spacing w:after="0" w:line="360" w:lineRule="auto"/>
        <w:ind w:left="0"/>
        <w:jc w:val="center"/>
        <w:rPr>
          <w:rFonts w:ascii="Century Gothic" w:hAnsi="Century Gothic" w:cs="Calibri"/>
          <w:b/>
          <w:bCs/>
          <w:sz w:val="24"/>
          <w:szCs w:val="24"/>
        </w:rPr>
      </w:pPr>
      <w:r w:rsidRPr="007E3F6E">
        <w:rPr>
          <w:rFonts w:ascii="Century Gothic" w:hAnsi="Century Gothic" w:cs="Calibri"/>
          <w:b/>
          <w:bCs/>
          <w:sz w:val="24"/>
          <w:szCs w:val="24"/>
        </w:rPr>
        <w:t>T R A N S I T O R I O S:</w:t>
      </w:r>
    </w:p>
    <w:p w:rsidR="001A2946" w:rsidRPr="007E3F6E" w:rsidRDefault="001A2946" w:rsidP="007E3F6E">
      <w:pPr>
        <w:pStyle w:val="Prrafodelista"/>
        <w:spacing w:after="0" w:line="360" w:lineRule="auto"/>
        <w:ind w:left="0"/>
        <w:jc w:val="both"/>
        <w:rPr>
          <w:rFonts w:ascii="Century Gothic" w:hAnsi="Century Gothic" w:cs="Calibri"/>
          <w:b/>
          <w:sz w:val="24"/>
          <w:szCs w:val="24"/>
        </w:rPr>
      </w:pPr>
    </w:p>
    <w:p w:rsidR="001A2946" w:rsidRPr="007E3F6E" w:rsidRDefault="001A2946" w:rsidP="007E3F6E">
      <w:pPr>
        <w:pStyle w:val="Prrafodelista"/>
        <w:spacing w:after="0" w:line="360" w:lineRule="auto"/>
        <w:ind w:left="0"/>
        <w:jc w:val="both"/>
        <w:rPr>
          <w:rFonts w:ascii="Century Gothic" w:hAnsi="Century Gothic" w:cs="Calibri"/>
          <w:sz w:val="24"/>
          <w:szCs w:val="24"/>
        </w:rPr>
      </w:pPr>
      <w:r w:rsidRPr="007E3F6E">
        <w:rPr>
          <w:rFonts w:ascii="Century Gothic" w:hAnsi="Century Gothic" w:cs="Calibri"/>
          <w:b/>
          <w:sz w:val="24"/>
          <w:szCs w:val="24"/>
        </w:rPr>
        <w:t xml:space="preserve">PRIMERO. - </w:t>
      </w:r>
      <w:r w:rsidRPr="007E3F6E">
        <w:rPr>
          <w:rFonts w:ascii="Century Gothic" w:hAnsi="Century Gothic" w:cs="Calibri"/>
          <w:sz w:val="24"/>
          <w:szCs w:val="24"/>
        </w:rPr>
        <w:t>El presente Decreto entrará en vigor al día siguiente de su publicación en el Periódico Oficial del Estado.</w:t>
      </w:r>
    </w:p>
    <w:p w:rsidR="001A2946" w:rsidRPr="007E3F6E" w:rsidRDefault="001A2946" w:rsidP="007E3F6E">
      <w:pPr>
        <w:pStyle w:val="Prrafodelista"/>
        <w:spacing w:after="0" w:line="360" w:lineRule="auto"/>
        <w:ind w:left="0"/>
        <w:jc w:val="both"/>
        <w:rPr>
          <w:rFonts w:ascii="Century Gothic" w:hAnsi="Century Gothic" w:cs="Calibri"/>
          <w:b/>
          <w:bCs/>
          <w:sz w:val="24"/>
          <w:szCs w:val="24"/>
        </w:rPr>
      </w:pPr>
    </w:p>
    <w:p w:rsidR="001A2946" w:rsidRPr="007E3F6E" w:rsidRDefault="001A2946" w:rsidP="007E3F6E">
      <w:pPr>
        <w:pStyle w:val="Prrafodelista"/>
        <w:spacing w:after="0" w:line="360" w:lineRule="auto"/>
        <w:ind w:left="0"/>
        <w:jc w:val="both"/>
        <w:rPr>
          <w:rFonts w:ascii="Century Gothic" w:hAnsi="Century Gothic" w:cs="Calibri"/>
          <w:bCs/>
          <w:sz w:val="24"/>
          <w:szCs w:val="24"/>
        </w:rPr>
      </w:pPr>
      <w:r w:rsidRPr="007E3F6E">
        <w:rPr>
          <w:rFonts w:ascii="Century Gothic" w:hAnsi="Century Gothic" w:cs="Calibri"/>
          <w:b/>
          <w:sz w:val="24"/>
          <w:szCs w:val="24"/>
        </w:rPr>
        <w:t>SEGUNDO.-</w:t>
      </w:r>
      <w:r w:rsidRPr="007E3F6E">
        <w:rPr>
          <w:rFonts w:ascii="Century Gothic" w:hAnsi="Century Gothic" w:cs="Calibri"/>
          <w:bCs/>
          <w:sz w:val="24"/>
          <w:szCs w:val="24"/>
        </w:rPr>
        <w:t xml:space="preserve"> Se derogan todas las disposiciones que se opongan al presente Decreto.</w:t>
      </w:r>
    </w:p>
    <w:p w:rsidR="001A2946" w:rsidRPr="007E3F6E" w:rsidRDefault="001A2946" w:rsidP="007E3F6E">
      <w:pPr>
        <w:pStyle w:val="Prrafodelista"/>
        <w:spacing w:after="0" w:line="360" w:lineRule="auto"/>
        <w:ind w:left="0"/>
        <w:jc w:val="both"/>
        <w:rPr>
          <w:rFonts w:ascii="Century Gothic" w:hAnsi="Century Gothic" w:cs="Calibri"/>
          <w:b/>
          <w:bCs/>
          <w:sz w:val="24"/>
          <w:szCs w:val="24"/>
        </w:rPr>
      </w:pPr>
    </w:p>
    <w:p w:rsidR="001A2946" w:rsidRPr="007E3F6E" w:rsidRDefault="007E3F6E" w:rsidP="007E3F6E">
      <w:pPr>
        <w:pStyle w:val="Prrafodelista"/>
        <w:spacing w:after="0" w:line="360" w:lineRule="auto"/>
        <w:ind w:left="0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sz w:val="24"/>
          <w:szCs w:val="24"/>
        </w:rPr>
        <w:t>ECONÓMICO.</w:t>
      </w:r>
      <w:r w:rsidR="001A2946" w:rsidRPr="007E3F6E">
        <w:rPr>
          <w:rFonts w:ascii="Century Gothic" w:hAnsi="Century Gothic" w:cs="Calibri"/>
          <w:b/>
          <w:bCs/>
          <w:sz w:val="24"/>
          <w:szCs w:val="24"/>
        </w:rPr>
        <w:t xml:space="preserve">- </w:t>
      </w:r>
      <w:r>
        <w:rPr>
          <w:rFonts w:ascii="Century Gothic" w:hAnsi="Century Gothic" w:cs="Calibri"/>
          <w:sz w:val="24"/>
          <w:szCs w:val="24"/>
        </w:rPr>
        <w:t xml:space="preserve">Aprobado que sea, </w:t>
      </w:r>
      <w:r w:rsidR="001A2946" w:rsidRPr="007E3F6E">
        <w:rPr>
          <w:rFonts w:ascii="Century Gothic" w:hAnsi="Century Gothic" w:cs="Calibri"/>
          <w:sz w:val="24"/>
          <w:szCs w:val="24"/>
        </w:rPr>
        <w:t xml:space="preserve">túrnese a la Secretaría de Asuntos Legislativos y Jurídicos para que elabore la minuta de Decreto en los términos </w:t>
      </w:r>
      <w:r>
        <w:rPr>
          <w:rFonts w:ascii="Century Gothic" w:hAnsi="Century Gothic" w:cs="Calibri"/>
          <w:sz w:val="24"/>
          <w:szCs w:val="24"/>
        </w:rPr>
        <w:t>correspondientes</w:t>
      </w:r>
      <w:r w:rsidR="001A2946" w:rsidRPr="007E3F6E">
        <w:rPr>
          <w:rFonts w:ascii="Century Gothic" w:hAnsi="Century Gothic" w:cs="Calibri"/>
          <w:sz w:val="24"/>
          <w:szCs w:val="24"/>
        </w:rPr>
        <w:t>.</w:t>
      </w:r>
    </w:p>
    <w:p w:rsidR="001A2946" w:rsidRPr="007E3F6E" w:rsidRDefault="001A2946" w:rsidP="007E3F6E">
      <w:pPr>
        <w:spacing w:line="360" w:lineRule="auto"/>
        <w:rPr>
          <w:rFonts w:ascii="Century Gothic" w:hAnsi="Century Gothic" w:cs="Calibri"/>
          <w:b/>
          <w:sz w:val="24"/>
          <w:szCs w:val="24"/>
        </w:rPr>
      </w:pPr>
    </w:p>
    <w:p w:rsidR="001A2946" w:rsidRPr="007E3F6E" w:rsidRDefault="001A2946" w:rsidP="007E3F6E">
      <w:pPr>
        <w:pStyle w:val="Prrafodelista"/>
        <w:spacing w:after="0" w:line="360" w:lineRule="auto"/>
        <w:ind w:left="0"/>
        <w:jc w:val="both"/>
        <w:rPr>
          <w:rFonts w:ascii="Century Gothic" w:hAnsi="Century Gothic" w:cs="Calibri"/>
          <w:sz w:val="24"/>
          <w:szCs w:val="24"/>
        </w:rPr>
      </w:pPr>
      <w:r w:rsidRPr="007E3F6E">
        <w:rPr>
          <w:rFonts w:ascii="Century Gothic" w:hAnsi="Century Gothic" w:cs="Calibri"/>
          <w:b/>
          <w:sz w:val="24"/>
          <w:szCs w:val="24"/>
        </w:rPr>
        <w:t>D A D O</w:t>
      </w:r>
      <w:r w:rsidRPr="007E3F6E">
        <w:rPr>
          <w:rFonts w:ascii="Century Gothic" w:hAnsi="Century Gothic" w:cs="Calibri"/>
          <w:sz w:val="24"/>
          <w:szCs w:val="24"/>
        </w:rPr>
        <w:t xml:space="preserve"> en el salón de sesiones del Poder Legislativo en la Ciudad de Chihuahua, </w:t>
      </w:r>
      <w:proofErr w:type="spellStart"/>
      <w:r w:rsidRPr="007E3F6E">
        <w:rPr>
          <w:rFonts w:ascii="Century Gothic" w:hAnsi="Century Gothic" w:cs="Calibri"/>
          <w:sz w:val="24"/>
          <w:szCs w:val="24"/>
        </w:rPr>
        <w:t>Chih</w:t>
      </w:r>
      <w:proofErr w:type="spellEnd"/>
      <w:r w:rsidRPr="007E3F6E">
        <w:rPr>
          <w:rFonts w:ascii="Century Gothic" w:hAnsi="Century Gothic" w:cs="Calibri"/>
          <w:sz w:val="24"/>
          <w:szCs w:val="24"/>
        </w:rPr>
        <w:t xml:space="preserve">., a los </w:t>
      </w:r>
      <w:r w:rsidR="007E3F6E">
        <w:rPr>
          <w:rFonts w:ascii="Century Gothic" w:hAnsi="Century Gothic" w:cs="Calibri"/>
          <w:sz w:val="24"/>
          <w:szCs w:val="24"/>
        </w:rPr>
        <w:t xml:space="preserve">16 días </w:t>
      </w:r>
      <w:r w:rsidRPr="007E3F6E">
        <w:rPr>
          <w:rFonts w:ascii="Century Gothic" w:hAnsi="Century Gothic" w:cs="Calibri"/>
          <w:sz w:val="24"/>
          <w:szCs w:val="24"/>
        </w:rPr>
        <w:t xml:space="preserve">del mes de </w:t>
      </w:r>
      <w:r w:rsidR="007E3F6E">
        <w:rPr>
          <w:rFonts w:ascii="Century Gothic" w:hAnsi="Century Gothic" w:cs="Calibri"/>
          <w:sz w:val="24"/>
          <w:szCs w:val="24"/>
        </w:rPr>
        <w:t xml:space="preserve">noviembre </w:t>
      </w:r>
      <w:r w:rsidRPr="007E3F6E">
        <w:rPr>
          <w:rFonts w:ascii="Century Gothic" w:hAnsi="Century Gothic" w:cs="Calibri"/>
          <w:sz w:val="24"/>
          <w:szCs w:val="24"/>
        </w:rPr>
        <w:t>del año dos mil veintiuno.</w:t>
      </w:r>
    </w:p>
    <w:p w:rsidR="004573F5" w:rsidRDefault="004573F5" w:rsidP="001A2946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:rsidR="004573F5" w:rsidRDefault="004573F5" w:rsidP="001A2946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:rsidR="001A2946" w:rsidRDefault="001A2946" w:rsidP="001A2946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303C00">
        <w:rPr>
          <w:rFonts w:ascii="Century Gothic" w:hAnsi="Century Gothic" w:cs="Calibri"/>
          <w:b/>
          <w:sz w:val="28"/>
          <w:szCs w:val="28"/>
        </w:rPr>
        <w:t>A T E N T A M E N T E</w:t>
      </w:r>
      <w:r w:rsidR="007E3F6E">
        <w:rPr>
          <w:rFonts w:ascii="Century Gothic" w:hAnsi="Century Gothic" w:cs="Calibri"/>
          <w:b/>
          <w:sz w:val="28"/>
          <w:szCs w:val="28"/>
        </w:rPr>
        <w:t xml:space="preserve">, </w:t>
      </w:r>
    </w:p>
    <w:p w:rsidR="007E3F6E" w:rsidRDefault="007E3F6E" w:rsidP="001A2946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:rsidR="007E3F6E" w:rsidRPr="00303C00" w:rsidRDefault="007E3F6E" w:rsidP="001A2946">
      <w:pPr>
        <w:jc w:val="center"/>
        <w:rPr>
          <w:rFonts w:ascii="Century Gothic" w:hAnsi="Century Gothic" w:cs="Calibri"/>
          <w:b/>
          <w:sz w:val="28"/>
          <w:szCs w:val="28"/>
        </w:rPr>
      </w:pPr>
    </w:p>
    <w:p w:rsidR="001A2946" w:rsidRDefault="001A2946" w:rsidP="001A2946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p w:rsidR="001A2946" w:rsidRDefault="001A2946" w:rsidP="001A2946">
      <w:pPr>
        <w:pStyle w:val="Prrafodelista"/>
        <w:spacing w:line="240" w:lineRule="auto"/>
        <w:ind w:left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BE34A6">
        <w:rPr>
          <w:rFonts w:ascii="Century Gothic" w:hAnsi="Century Gothic" w:cs="Arial"/>
          <w:b/>
          <w:bCs/>
          <w:sz w:val="28"/>
          <w:szCs w:val="28"/>
        </w:rPr>
        <w:t>DIP. BENJAMÍN CARRERA CHÁVEZ</w:t>
      </w:r>
    </w:p>
    <w:p w:rsidR="007E3F6E" w:rsidRPr="00CD7505" w:rsidRDefault="007E3F6E" w:rsidP="007E3F6E">
      <w:pPr>
        <w:pStyle w:val="Prrafodelista"/>
        <w:spacing w:line="240" w:lineRule="auto"/>
        <w:ind w:left="0"/>
        <w:rPr>
          <w:rFonts w:ascii="Century Gothic" w:hAnsi="Century Gothic" w:cs="Arial"/>
          <w:b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A2946" w:rsidTr="00FD4CF9">
        <w:trPr>
          <w:trHeight w:val="1701"/>
        </w:trPr>
        <w:tc>
          <w:tcPr>
            <w:tcW w:w="4414" w:type="dxa"/>
            <w:shd w:val="clear" w:color="auto" w:fill="auto"/>
            <w:vAlign w:val="bottom"/>
          </w:tcPr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B11E2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LETICIA ORTEGA </w:t>
            </w:r>
          </w:p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B11E2">
              <w:rPr>
                <w:rFonts w:ascii="Century Gothic" w:hAnsi="Century Gothic" w:cs="Arial"/>
                <w:b/>
                <w:bCs/>
                <w:sz w:val="28"/>
                <w:szCs w:val="28"/>
              </w:rPr>
              <w:t>MÁYNEZ</w:t>
            </w:r>
          </w:p>
        </w:tc>
        <w:tc>
          <w:tcPr>
            <w:tcW w:w="4414" w:type="dxa"/>
            <w:shd w:val="clear" w:color="auto" w:fill="auto"/>
            <w:vAlign w:val="bottom"/>
          </w:tcPr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B11E2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ÓSCAR DANIEL AVITIA ARELLANES</w:t>
            </w:r>
          </w:p>
        </w:tc>
      </w:tr>
      <w:tr w:rsidR="001A2946" w:rsidTr="00FD4CF9">
        <w:trPr>
          <w:trHeight w:val="1701"/>
        </w:trPr>
        <w:tc>
          <w:tcPr>
            <w:tcW w:w="4414" w:type="dxa"/>
            <w:shd w:val="clear" w:color="auto" w:fill="auto"/>
            <w:vAlign w:val="bottom"/>
          </w:tcPr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B11E2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ROSANA DÍAZ </w:t>
            </w:r>
          </w:p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B11E2">
              <w:rPr>
                <w:rFonts w:ascii="Century Gothic" w:hAnsi="Century Gothic" w:cs="Arial"/>
                <w:b/>
                <w:bCs/>
                <w:sz w:val="28"/>
                <w:szCs w:val="28"/>
              </w:rPr>
              <w:t>REYES</w:t>
            </w:r>
          </w:p>
        </w:tc>
        <w:tc>
          <w:tcPr>
            <w:tcW w:w="4414" w:type="dxa"/>
            <w:shd w:val="clear" w:color="auto" w:fill="auto"/>
            <w:vAlign w:val="bottom"/>
          </w:tcPr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B11E2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GUSTAVO DE LA ROSA HICKERSON</w:t>
            </w:r>
          </w:p>
        </w:tc>
      </w:tr>
      <w:tr w:rsidR="001A2946" w:rsidTr="00FD4CF9">
        <w:trPr>
          <w:trHeight w:val="1701"/>
        </w:trPr>
        <w:tc>
          <w:tcPr>
            <w:tcW w:w="4414" w:type="dxa"/>
            <w:shd w:val="clear" w:color="auto" w:fill="auto"/>
            <w:vAlign w:val="bottom"/>
          </w:tcPr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B11E2">
              <w:rPr>
                <w:rFonts w:ascii="Century Gothic" w:hAnsi="Century Gothic" w:cs="Arial"/>
                <w:b/>
                <w:sz w:val="28"/>
                <w:szCs w:val="28"/>
              </w:rPr>
              <w:t>DIP.</w:t>
            </w:r>
            <w:r w:rsidRPr="005B11E2">
              <w:rPr>
                <w:rFonts w:ascii="Century Gothic" w:hAnsi="Century Gothic" w:cs="Calibri"/>
                <w:b/>
                <w:sz w:val="28"/>
                <w:szCs w:val="28"/>
              </w:rPr>
              <w:t xml:space="preserve"> EDIN CUAUHTÉMOC ESTRADA SOTELO</w:t>
            </w:r>
          </w:p>
        </w:tc>
        <w:tc>
          <w:tcPr>
            <w:tcW w:w="4414" w:type="dxa"/>
            <w:shd w:val="clear" w:color="auto" w:fill="auto"/>
            <w:vAlign w:val="bottom"/>
          </w:tcPr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B11E2">
              <w:rPr>
                <w:rFonts w:ascii="Century Gothic" w:hAnsi="Century Gothic" w:cs="Calibri"/>
                <w:b/>
                <w:sz w:val="28"/>
                <w:szCs w:val="28"/>
              </w:rPr>
              <w:t>DIP. MAGDALENA RENTERÍA PÉREZ</w:t>
            </w:r>
          </w:p>
        </w:tc>
      </w:tr>
      <w:tr w:rsidR="001A2946" w:rsidTr="00FD4CF9">
        <w:trPr>
          <w:trHeight w:val="1701"/>
        </w:trPr>
        <w:tc>
          <w:tcPr>
            <w:tcW w:w="4414" w:type="dxa"/>
            <w:shd w:val="clear" w:color="auto" w:fill="auto"/>
            <w:vAlign w:val="bottom"/>
          </w:tcPr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B11E2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MARÍA ANTONIETA PÉREZ REYES</w:t>
            </w:r>
          </w:p>
        </w:tc>
        <w:tc>
          <w:tcPr>
            <w:tcW w:w="4414" w:type="dxa"/>
            <w:shd w:val="clear" w:color="auto" w:fill="auto"/>
            <w:vAlign w:val="bottom"/>
          </w:tcPr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B11E2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ADRIANA TERRAZAS PORRAS</w:t>
            </w:r>
          </w:p>
        </w:tc>
      </w:tr>
      <w:tr w:rsidR="001A2946" w:rsidTr="00FD4CF9">
        <w:trPr>
          <w:trHeight w:val="1701"/>
        </w:trPr>
        <w:tc>
          <w:tcPr>
            <w:tcW w:w="4414" w:type="dxa"/>
            <w:shd w:val="clear" w:color="auto" w:fill="auto"/>
            <w:vAlign w:val="bottom"/>
          </w:tcPr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B11E2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DAVID ÓSCAR CASTREJÓN RIVAS</w:t>
            </w:r>
          </w:p>
        </w:tc>
        <w:tc>
          <w:tcPr>
            <w:tcW w:w="4414" w:type="dxa"/>
            <w:shd w:val="clear" w:color="auto" w:fill="auto"/>
          </w:tcPr>
          <w:p w:rsidR="001A2946" w:rsidRPr="005B11E2" w:rsidRDefault="001A2946" w:rsidP="00FD4CF9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1A2946" w:rsidRDefault="001A2946" w:rsidP="00B71519">
      <w:pPr>
        <w:jc w:val="both"/>
        <w:rPr>
          <w:sz w:val="28"/>
          <w:szCs w:val="28"/>
        </w:rPr>
      </w:pPr>
    </w:p>
    <w:p w:rsidR="001A2946" w:rsidRDefault="001A2946" w:rsidP="00B71519">
      <w:pPr>
        <w:jc w:val="both"/>
        <w:rPr>
          <w:sz w:val="28"/>
          <w:szCs w:val="28"/>
        </w:rPr>
      </w:pPr>
    </w:p>
    <w:p w:rsidR="001A2946" w:rsidRDefault="001A2946" w:rsidP="00B71519">
      <w:pPr>
        <w:jc w:val="both"/>
        <w:rPr>
          <w:sz w:val="28"/>
          <w:szCs w:val="28"/>
        </w:rPr>
      </w:pPr>
    </w:p>
    <w:p w:rsidR="001A2946" w:rsidRDefault="001A2946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Default="007E3F6E" w:rsidP="00B71519">
      <w:pPr>
        <w:jc w:val="both"/>
        <w:rPr>
          <w:sz w:val="28"/>
          <w:szCs w:val="28"/>
        </w:rPr>
      </w:pPr>
    </w:p>
    <w:p w:rsidR="007E3F6E" w:rsidRPr="007E3F6E" w:rsidRDefault="007E3F6E" w:rsidP="00B71519">
      <w:pPr>
        <w:jc w:val="both"/>
        <w:rPr>
          <w:rFonts w:ascii="Century Gothic" w:hAnsi="Century Gothic"/>
        </w:rPr>
      </w:pPr>
    </w:p>
    <w:p w:rsidR="007E3F6E" w:rsidRDefault="007E3F6E" w:rsidP="00B71519">
      <w:pPr>
        <w:jc w:val="both"/>
        <w:rPr>
          <w:rFonts w:ascii="Century Gothic" w:hAnsi="Century Gothic"/>
        </w:rPr>
      </w:pPr>
    </w:p>
    <w:p w:rsidR="007E3F6E" w:rsidRDefault="007E3F6E" w:rsidP="00B71519">
      <w:pPr>
        <w:jc w:val="both"/>
        <w:rPr>
          <w:rFonts w:ascii="Century Gothic" w:hAnsi="Century Gothic"/>
        </w:rPr>
      </w:pPr>
    </w:p>
    <w:p w:rsidR="007E3F6E" w:rsidRDefault="007E3F6E" w:rsidP="00B71519">
      <w:pPr>
        <w:jc w:val="both"/>
        <w:rPr>
          <w:rFonts w:ascii="Century Gothic" w:hAnsi="Century Gothic"/>
        </w:rPr>
      </w:pPr>
    </w:p>
    <w:p w:rsidR="007E3F6E" w:rsidRDefault="007E3F6E" w:rsidP="00B71519">
      <w:pPr>
        <w:jc w:val="both"/>
        <w:rPr>
          <w:rFonts w:ascii="Century Gothic" w:hAnsi="Century Gothic"/>
        </w:rPr>
      </w:pPr>
    </w:p>
    <w:p w:rsidR="007E3F6E" w:rsidRDefault="007E3F6E" w:rsidP="00B71519">
      <w:pPr>
        <w:jc w:val="both"/>
        <w:rPr>
          <w:rFonts w:ascii="Century Gothic" w:hAnsi="Century Gothic"/>
        </w:rPr>
      </w:pPr>
    </w:p>
    <w:p w:rsidR="007E3F6E" w:rsidRDefault="007E3F6E" w:rsidP="00B71519">
      <w:pPr>
        <w:jc w:val="both"/>
        <w:rPr>
          <w:rFonts w:ascii="Century Gothic" w:hAnsi="Century Gothic"/>
        </w:rPr>
      </w:pPr>
    </w:p>
    <w:p w:rsidR="007E3F6E" w:rsidRDefault="007E3F6E" w:rsidP="00B71519">
      <w:pPr>
        <w:jc w:val="both"/>
        <w:rPr>
          <w:rFonts w:ascii="Century Gothic" w:hAnsi="Century Gothic"/>
        </w:rPr>
      </w:pPr>
    </w:p>
    <w:p w:rsidR="007E3F6E" w:rsidRDefault="007E3F6E" w:rsidP="00B71519">
      <w:pPr>
        <w:jc w:val="both"/>
        <w:rPr>
          <w:rFonts w:ascii="Century Gothic" w:hAnsi="Century Gothic"/>
        </w:rPr>
      </w:pPr>
    </w:p>
    <w:p w:rsidR="007E3F6E" w:rsidRDefault="007E3F6E" w:rsidP="00B71519">
      <w:pPr>
        <w:jc w:val="both"/>
        <w:rPr>
          <w:rFonts w:ascii="Century Gothic" w:hAnsi="Century Gothic"/>
        </w:rPr>
      </w:pPr>
    </w:p>
    <w:p w:rsidR="007E3F6E" w:rsidRPr="007E3F6E" w:rsidRDefault="007E3F6E" w:rsidP="00B71519">
      <w:pPr>
        <w:jc w:val="both"/>
        <w:rPr>
          <w:rFonts w:ascii="Century Gothic" w:hAnsi="Century Gothic"/>
        </w:rPr>
      </w:pPr>
      <w:r w:rsidRPr="007E3F6E">
        <w:rPr>
          <w:rFonts w:ascii="Century Gothic" w:hAnsi="Century Gothic"/>
        </w:rPr>
        <w:t xml:space="preserve">La presente hoja de firmas corresponde a la iniciativa con carácter de </w:t>
      </w:r>
      <w:r w:rsidRPr="007E3F6E">
        <w:rPr>
          <w:rFonts w:ascii="Century Gothic" w:hAnsi="Century Gothic"/>
          <w:b/>
        </w:rPr>
        <w:t>DECRETO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presentada por el Grupo Parlamentario de MORENA, </w:t>
      </w:r>
      <w:r w:rsidRPr="007E3F6E">
        <w:rPr>
          <w:rFonts w:ascii="Century Gothic" w:hAnsi="Century Gothic"/>
        </w:rPr>
        <w:t xml:space="preserve"> a fin de adicionar </w:t>
      </w:r>
      <w:r w:rsidRPr="007E3F6E">
        <w:rPr>
          <w:rFonts w:ascii="Century Gothic" w:hAnsi="Century Gothic"/>
          <w:b/>
        </w:rPr>
        <w:t>los artículos 253 bis y ter al Código Pena</w:t>
      </w:r>
      <w:r w:rsidRPr="007E3F6E">
        <w:rPr>
          <w:rFonts w:ascii="Century Gothic" w:hAnsi="Century Gothic"/>
        </w:rPr>
        <w:t>l para el estado de Chihuahua.</w:t>
      </w:r>
    </w:p>
    <w:sectPr w:rsidR="007E3F6E" w:rsidRPr="007E3F6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D6" w:rsidRDefault="00051FD6" w:rsidP="00CC6522">
      <w:r>
        <w:separator/>
      </w:r>
    </w:p>
  </w:endnote>
  <w:endnote w:type="continuationSeparator" w:id="0">
    <w:p w:rsidR="00051FD6" w:rsidRDefault="00051FD6" w:rsidP="00CC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D6" w:rsidRDefault="00051FD6" w:rsidP="00CC6522">
      <w:r>
        <w:separator/>
      </w:r>
    </w:p>
  </w:footnote>
  <w:footnote w:type="continuationSeparator" w:id="0">
    <w:p w:rsidR="00051FD6" w:rsidRDefault="00051FD6" w:rsidP="00CC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22" w:rsidRPr="00871EA9" w:rsidRDefault="00CC6522" w:rsidP="00CC6522">
    <w:pPr>
      <w:pStyle w:val="Encabezado"/>
      <w:jc w:val="right"/>
      <w:rPr>
        <w:rFonts w:ascii="Brush Script MT" w:hAnsi="Brush Script MT"/>
        <w:b/>
        <w:bCs/>
        <w:i/>
        <w:iCs/>
        <w:sz w:val="22"/>
        <w:szCs w:val="22"/>
      </w:rPr>
    </w:pPr>
    <w:r w:rsidRPr="00871EA9">
      <w:rPr>
        <w:rFonts w:ascii="Brush Script MT" w:hAnsi="Brush Script MT"/>
        <w:b/>
        <w:bCs/>
        <w:i/>
        <w:iCs/>
        <w:sz w:val="22"/>
        <w:szCs w:val="22"/>
      </w:rPr>
      <w:t xml:space="preserve">“2021, Año del Bicentenario de la Consumación de la Independencia de México” </w:t>
    </w:r>
  </w:p>
  <w:p w:rsidR="00CC6522" w:rsidRPr="00871EA9" w:rsidRDefault="00CC6522" w:rsidP="00CC6522">
    <w:pPr>
      <w:pStyle w:val="Encabezado"/>
      <w:jc w:val="right"/>
      <w:rPr>
        <w:rFonts w:ascii="Brush Script MT" w:hAnsi="Brush Script MT"/>
        <w:b/>
        <w:bCs/>
        <w:i/>
        <w:iCs/>
        <w:sz w:val="22"/>
        <w:szCs w:val="22"/>
      </w:rPr>
    </w:pPr>
    <w:r w:rsidRPr="00871EA9">
      <w:rPr>
        <w:rFonts w:ascii="Brush Script MT" w:hAnsi="Brush Script MT"/>
        <w:b/>
        <w:bCs/>
        <w:i/>
        <w:iCs/>
        <w:sz w:val="22"/>
        <w:szCs w:val="22"/>
      </w:rPr>
      <w:t>“2021, Año de las Culturas del Norte”</w:t>
    </w:r>
  </w:p>
  <w:p w:rsidR="00CC6522" w:rsidRDefault="00CC6522" w:rsidP="00CC6522">
    <w:pPr>
      <w:pStyle w:val="Encabezado"/>
      <w:rPr>
        <w:sz w:val="24"/>
      </w:rPr>
    </w:pPr>
  </w:p>
  <w:p w:rsidR="00CC6522" w:rsidRDefault="00CC6522" w:rsidP="00CC6522">
    <w:pPr>
      <w:pStyle w:val="Encabezado"/>
      <w:rPr>
        <w:sz w:val="24"/>
      </w:rPr>
    </w:pPr>
  </w:p>
  <w:p w:rsidR="00CC6522" w:rsidRPr="00871EA9" w:rsidRDefault="00CC6522" w:rsidP="00CC6522">
    <w:pPr>
      <w:pStyle w:val="Encabezado"/>
      <w:jc w:val="right"/>
      <w:rPr>
        <w:rFonts w:ascii="Bahnschrift Condensed" w:hAnsi="Bahnschrift Condensed"/>
        <w:b/>
        <w:bCs/>
        <w:sz w:val="28"/>
        <w:szCs w:val="28"/>
      </w:rPr>
    </w:pPr>
    <w:r w:rsidRPr="00871EA9">
      <w:rPr>
        <w:rFonts w:ascii="Bahnschrift Condensed" w:hAnsi="Bahnschrift Condensed"/>
        <w:b/>
        <w:bCs/>
        <w:sz w:val="28"/>
        <w:szCs w:val="28"/>
      </w:rPr>
      <w:t>Grupo Parlamentario de MORENA</w:t>
    </w:r>
  </w:p>
  <w:p w:rsidR="00CC6522" w:rsidRDefault="00CC65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A6"/>
    <w:rsid w:val="00040989"/>
    <w:rsid w:val="00051FD6"/>
    <w:rsid w:val="000E23C8"/>
    <w:rsid w:val="001A2946"/>
    <w:rsid w:val="002D1FE7"/>
    <w:rsid w:val="002E7E57"/>
    <w:rsid w:val="002F70E2"/>
    <w:rsid w:val="004573F5"/>
    <w:rsid w:val="00493A23"/>
    <w:rsid w:val="004C2AB5"/>
    <w:rsid w:val="0055052E"/>
    <w:rsid w:val="00681CB9"/>
    <w:rsid w:val="007E3F6E"/>
    <w:rsid w:val="008D69BA"/>
    <w:rsid w:val="009B0DD3"/>
    <w:rsid w:val="00A95F6F"/>
    <w:rsid w:val="00B71519"/>
    <w:rsid w:val="00BC2EDA"/>
    <w:rsid w:val="00CC6522"/>
    <w:rsid w:val="00CF0B8E"/>
    <w:rsid w:val="00D27CC9"/>
    <w:rsid w:val="00F201A6"/>
    <w:rsid w:val="00F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60942-E69D-4F69-A016-3FFA8F40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s-MX"/>
    </w:rPr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1A2946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1A294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C65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52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65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52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Eduardo Gonzalez Muñiz</dc:creator>
  <cp:keywords/>
  <dc:description/>
  <cp:lastModifiedBy>Sonia Pérez Chacón</cp:lastModifiedBy>
  <cp:revision>2</cp:revision>
  <dcterms:created xsi:type="dcterms:W3CDTF">2021-11-11T21:43:00Z</dcterms:created>
  <dcterms:modified xsi:type="dcterms:W3CDTF">2021-11-11T21:43:00Z</dcterms:modified>
</cp:coreProperties>
</file>