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A64CB" w14:textId="77777777" w:rsidR="005E55D3" w:rsidRPr="00B60096" w:rsidRDefault="005E55D3" w:rsidP="005E55D3">
      <w:pPr>
        <w:spacing w:line="360" w:lineRule="auto"/>
        <w:rPr>
          <w:rFonts w:ascii="Century Gothic" w:hAnsi="Century Gothic"/>
          <w:b/>
          <w:bCs/>
        </w:rPr>
      </w:pPr>
    </w:p>
    <w:p w14:paraId="2759B95B" w14:textId="77777777" w:rsidR="00DF654C" w:rsidRPr="00B60096" w:rsidRDefault="00DF654C" w:rsidP="005E55D3">
      <w:pPr>
        <w:spacing w:line="360" w:lineRule="auto"/>
        <w:rPr>
          <w:rFonts w:ascii="Century Gothic" w:hAnsi="Century Gothic"/>
          <w:b/>
          <w:bCs/>
        </w:rPr>
      </w:pPr>
      <w:r w:rsidRPr="00B60096">
        <w:rPr>
          <w:rFonts w:ascii="Century Gothic" w:hAnsi="Century Gothic"/>
          <w:b/>
          <w:bCs/>
        </w:rPr>
        <w:t>H. CONGRESO DEL ESTADO</w:t>
      </w:r>
    </w:p>
    <w:p w14:paraId="3828AA68" w14:textId="77777777" w:rsidR="00DF654C" w:rsidRPr="00B60096" w:rsidRDefault="00DF654C" w:rsidP="005E55D3">
      <w:pPr>
        <w:spacing w:line="360" w:lineRule="auto"/>
        <w:rPr>
          <w:rFonts w:ascii="Century Gothic" w:hAnsi="Century Gothic"/>
          <w:b/>
          <w:bCs/>
        </w:rPr>
      </w:pPr>
      <w:r w:rsidRPr="00B60096">
        <w:rPr>
          <w:rFonts w:ascii="Century Gothic" w:hAnsi="Century Gothic"/>
          <w:b/>
          <w:bCs/>
        </w:rPr>
        <w:t>P R E S E N T E.</w:t>
      </w:r>
    </w:p>
    <w:p w14:paraId="0B1E232A" w14:textId="0E09801E" w:rsidR="00DF654C" w:rsidRPr="00AB3B1B" w:rsidRDefault="00BE733C" w:rsidP="005E55D3">
      <w:pPr>
        <w:spacing w:line="360" w:lineRule="auto"/>
        <w:jc w:val="both"/>
        <w:rPr>
          <w:rFonts w:ascii="Century Gothic" w:hAnsi="Century Gothic"/>
          <w:b/>
          <w:bCs/>
        </w:rPr>
      </w:pPr>
      <w:r w:rsidRPr="00B60096">
        <w:rPr>
          <w:rFonts w:ascii="Century Gothic" w:hAnsi="Century Gothic"/>
        </w:rPr>
        <w:t>La suscrita</w:t>
      </w:r>
      <w:r w:rsidR="005E55D3" w:rsidRPr="00B60096">
        <w:rPr>
          <w:rFonts w:ascii="Century Gothic" w:hAnsi="Century Gothic"/>
          <w:b/>
          <w:bCs/>
        </w:rPr>
        <w:t xml:space="preserve"> Ivón Salazar Morales,</w:t>
      </w:r>
      <w:r w:rsidR="00DA5854" w:rsidRPr="00B60096">
        <w:rPr>
          <w:rFonts w:ascii="Century Gothic" w:hAnsi="Century Gothic"/>
          <w:b/>
          <w:bCs/>
        </w:rPr>
        <w:t xml:space="preserve"> </w:t>
      </w:r>
      <w:r w:rsidR="005E55D3" w:rsidRPr="00B60096">
        <w:rPr>
          <w:rFonts w:ascii="Century Gothic" w:hAnsi="Century Gothic"/>
        </w:rPr>
        <w:t xml:space="preserve">en </w:t>
      </w:r>
      <w:r w:rsidRPr="00B60096">
        <w:rPr>
          <w:rFonts w:ascii="Century Gothic" w:hAnsi="Century Gothic"/>
        </w:rPr>
        <w:t>mi</w:t>
      </w:r>
      <w:r w:rsidR="005E55D3" w:rsidRPr="00B60096">
        <w:rPr>
          <w:rFonts w:ascii="Century Gothic" w:hAnsi="Century Gothic"/>
        </w:rPr>
        <w:t xml:space="preserve"> calidad de Diputad</w:t>
      </w:r>
      <w:r w:rsidRPr="00B60096">
        <w:rPr>
          <w:rFonts w:ascii="Century Gothic" w:hAnsi="Century Gothic"/>
        </w:rPr>
        <w:t>a</w:t>
      </w:r>
      <w:r w:rsidR="00DF654C" w:rsidRPr="00B60096">
        <w:rPr>
          <w:rFonts w:ascii="Century Gothic" w:hAnsi="Century Gothic"/>
        </w:rPr>
        <w:t xml:space="preserve"> de la Sexagésima Séptima Legislatura del H. Congreso del Estado,</w:t>
      </w:r>
      <w:r w:rsidR="00DA5854" w:rsidRPr="00B60096">
        <w:rPr>
          <w:rFonts w:ascii="Century Gothic" w:hAnsi="Century Gothic"/>
        </w:rPr>
        <w:t xml:space="preserve"> </w:t>
      </w:r>
      <w:r w:rsidR="00DF654C" w:rsidRPr="00B60096">
        <w:rPr>
          <w:rFonts w:ascii="Century Gothic" w:hAnsi="Century Gothic"/>
        </w:rPr>
        <w:t>integrante de la fracción parlamentaria del Partido Revolucionario Institucional, con fundamento en los artículos</w:t>
      </w:r>
      <w:r w:rsidR="00DA5854" w:rsidRPr="00B60096">
        <w:rPr>
          <w:rFonts w:ascii="Century Gothic" w:hAnsi="Century Gothic"/>
        </w:rPr>
        <w:t xml:space="preserve"> </w:t>
      </w:r>
      <w:r w:rsidR="00DF654C" w:rsidRPr="00B60096">
        <w:rPr>
          <w:rFonts w:ascii="Century Gothic" w:hAnsi="Century Gothic"/>
        </w:rPr>
        <w:t xml:space="preserve">68 fracción I de la Constitución Política del Estado de Chihuahua, 167 y 168 de la Ley Orgánica del Poder Legislativo, 75 y 76 del Reglamento Interior y Prácticas Parlamentarias del Poder Legislativo y demás relativos, </w:t>
      </w:r>
      <w:r w:rsidR="005E55D3" w:rsidRPr="00B60096">
        <w:rPr>
          <w:rFonts w:ascii="Century Gothic" w:hAnsi="Century Gothic"/>
        </w:rPr>
        <w:t>acudimos</w:t>
      </w:r>
      <w:r w:rsidR="00DF654C" w:rsidRPr="00B60096">
        <w:rPr>
          <w:rFonts w:ascii="Century Gothic" w:hAnsi="Century Gothic"/>
        </w:rPr>
        <w:t xml:space="preserve"> ante esta Honorable Asamblea Legislativa a efecto de someter a consideración la presente </w:t>
      </w:r>
      <w:r w:rsidR="00DF654C" w:rsidRPr="00B60096">
        <w:rPr>
          <w:rFonts w:ascii="Century Gothic" w:hAnsi="Century Gothic"/>
          <w:b/>
          <w:bCs/>
        </w:rPr>
        <w:t>iniciativa con carácter de</w:t>
      </w:r>
      <w:r w:rsidR="001F0B1B">
        <w:rPr>
          <w:rFonts w:ascii="Century Gothic" w:hAnsi="Century Gothic"/>
          <w:b/>
          <w:bCs/>
        </w:rPr>
        <w:t xml:space="preserve"> </w:t>
      </w:r>
      <w:r w:rsidR="00D01527">
        <w:rPr>
          <w:rFonts w:ascii="Century Gothic" w:hAnsi="Century Gothic"/>
          <w:b/>
          <w:bCs/>
        </w:rPr>
        <w:t>ACUERDO</w:t>
      </w:r>
      <w:r w:rsidR="001F0B1B">
        <w:rPr>
          <w:rFonts w:ascii="Century Gothic" w:hAnsi="Century Gothic"/>
          <w:b/>
          <w:bCs/>
        </w:rPr>
        <w:t xml:space="preserve"> a fin</w:t>
      </w:r>
      <w:r w:rsidR="00D01527">
        <w:rPr>
          <w:rFonts w:ascii="Century Gothic" w:hAnsi="Century Gothic"/>
          <w:b/>
          <w:bCs/>
        </w:rPr>
        <w:t xml:space="preserve"> de EXHORTAR a los Poderes Ejecutivos Federal y Estatal</w:t>
      </w:r>
      <w:r w:rsidR="001F0B1B">
        <w:rPr>
          <w:rFonts w:ascii="Century Gothic" w:hAnsi="Century Gothic"/>
          <w:b/>
          <w:bCs/>
        </w:rPr>
        <w:t xml:space="preserve"> </w:t>
      </w:r>
      <w:r w:rsidR="00D01527">
        <w:rPr>
          <w:rFonts w:ascii="Century Gothic" w:hAnsi="Century Gothic"/>
          <w:b/>
          <w:bCs/>
        </w:rPr>
        <w:t xml:space="preserve">por conducto de las áreas correspondientes </w:t>
      </w:r>
      <w:r w:rsidR="001F0B1B">
        <w:rPr>
          <w:rFonts w:ascii="Century Gothic" w:hAnsi="Century Gothic"/>
          <w:b/>
          <w:bCs/>
        </w:rPr>
        <w:t>a efecto de exentar del cobro de peaje a las ambulancias del sector privado</w:t>
      </w:r>
      <w:r w:rsidR="001F0B1B" w:rsidRPr="001F0B1B">
        <w:rPr>
          <w:rFonts w:ascii="Century Gothic" w:hAnsi="Century Gothic"/>
          <w:bCs/>
        </w:rPr>
        <w:t xml:space="preserve"> l</w:t>
      </w:r>
      <w:r w:rsidR="00AB3B1B" w:rsidRPr="001F0B1B">
        <w:rPr>
          <w:rFonts w:ascii="Century Gothic" w:hAnsi="Century Gothic" w:cs="Arial"/>
        </w:rPr>
        <w:t>o</w:t>
      </w:r>
      <w:r w:rsidR="00DF654C" w:rsidRPr="00B60096">
        <w:rPr>
          <w:rFonts w:ascii="Century Gothic" w:hAnsi="Century Gothic" w:cs="Arial"/>
        </w:rPr>
        <w:t xml:space="preserve"> anterior bajo la siguiente:</w:t>
      </w:r>
      <w:bookmarkStart w:id="0" w:name="_GoBack"/>
      <w:bookmarkEnd w:id="0"/>
    </w:p>
    <w:p w14:paraId="2B4733CA" w14:textId="75A8EFC0" w:rsidR="00B80594" w:rsidRPr="00B60096" w:rsidRDefault="00B80594" w:rsidP="00B80594">
      <w:pPr>
        <w:spacing w:line="360" w:lineRule="auto"/>
        <w:jc w:val="center"/>
        <w:rPr>
          <w:rFonts w:ascii="Century Gothic" w:hAnsi="Century Gothic" w:cs="Arial"/>
          <w:b/>
        </w:rPr>
      </w:pPr>
      <w:r w:rsidRPr="00B60096">
        <w:rPr>
          <w:rFonts w:ascii="Century Gothic" w:hAnsi="Century Gothic" w:cs="Arial"/>
          <w:b/>
        </w:rPr>
        <w:t>EXPOSICIÓN DE MOTIVOS</w:t>
      </w:r>
    </w:p>
    <w:p w14:paraId="0C83D0AC" w14:textId="7865F79E" w:rsidR="00B80594" w:rsidRPr="00B60096" w:rsidRDefault="00E81958" w:rsidP="005E55D3">
      <w:pPr>
        <w:spacing w:line="360" w:lineRule="auto"/>
        <w:jc w:val="both"/>
        <w:rPr>
          <w:rFonts w:ascii="Century Gothic" w:hAnsi="Century Gothic" w:cs="Arial"/>
        </w:rPr>
      </w:pPr>
      <w:r w:rsidRPr="00B60096">
        <w:rPr>
          <w:rFonts w:ascii="Century Gothic" w:hAnsi="Century Gothic" w:cs="Arial"/>
        </w:rPr>
        <w:t>El estado de Chihuahua, también conocido como el estado grande, posee una extensión territorial de 247,412.6 km</w:t>
      </w:r>
      <w:r w:rsidRPr="00B60096">
        <w:rPr>
          <w:rFonts w:ascii="Century Gothic" w:hAnsi="Century Gothic" w:cs="Arial"/>
          <w:vertAlign w:val="superscript"/>
        </w:rPr>
        <w:t>2</w:t>
      </w:r>
      <w:r w:rsidRPr="00B60096">
        <w:rPr>
          <w:rFonts w:ascii="Century Gothic" w:hAnsi="Century Gothic" w:cs="Arial"/>
        </w:rPr>
        <w:t>  lo que representa</w:t>
      </w:r>
      <w:r w:rsidRPr="00B60096">
        <w:rPr>
          <w:rFonts w:ascii="Century Gothic" w:hAnsi="Century Gothic" w:cs="Arial"/>
        </w:rPr>
        <w:br/>
        <w:t>1</w:t>
      </w:r>
      <w:r w:rsidR="006B5F7F">
        <w:rPr>
          <w:rFonts w:ascii="Century Gothic" w:hAnsi="Century Gothic" w:cs="Arial"/>
        </w:rPr>
        <w:t>2.6 % de la superficie del país</w:t>
      </w:r>
      <w:r w:rsidRPr="00B60096">
        <w:rPr>
          <w:rStyle w:val="Refdenotaalpie"/>
          <w:rFonts w:ascii="Century Gothic" w:hAnsi="Century Gothic" w:cs="Arial"/>
        </w:rPr>
        <w:footnoteReference w:id="1"/>
      </w:r>
      <w:r w:rsidR="006B5F7F">
        <w:rPr>
          <w:rFonts w:ascii="Century Gothic" w:hAnsi="Century Gothic" w:cs="Arial"/>
        </w:rPr>
        <w:t xml:space="preserve"> y aunado a su </w:t>
      </w:r>
      <w:r w:rsidR="00E0122E">
        <w:rPr>
          <w:rFonts w:ascii="Century Gothic" w:hAnsi="Century Gothic" w:cs="Arial"/>
        </w:rPr>
        <w:t>vasta</w:t>
      </w:r>
      <w:r w:rsidR="006B5F7F">
        <w:rPr>
          <w:rFonts w:ascii="Century Gothic" w:hAnsi="Century Gothic" w:cs="Arial"/>
        </w:rPr>
        <w:t xml:space="preserve"> extensión territorial, el relieve </w:t>
      </w:r>
      <w:r w:rsidR="00E0122E">
        <w:rPr>
          <w:rFonts w:ascii="Century Gothic" w:hAnsi="Century Gothic" w:cs="Arial"/>
        </w:rPr>
        <w:t xml:space="preserve">montañoso que caracteriza a nuestra entidad dificulta la conectividad y el traslado de un municipio a otro, con tiempos de </w:t>
      </w:r>
      <w:r w:rsidR="00E0122E" w:rsidRPr="002551E1">
        <w:rPr>
          <w:rFonts w:ascii="Century Gothic" w:hAnsi="Century Gothic" w:cs="Arial"/>
        </w:rPr>
        <w:t>hasta 12 horas para</w:t>
      </w:r>
      <w:r w:rsidR="00E0122E">
        <w:rPr>
          <w:rFonts w:ascii="Century Gothic" w:hAnsi="Century Gothic" w:cs="Arial"/>
        </w:rPr>
        <w:t xml:space="preserve"> llegar a la capital del estado.</w:t>
      </w:r>
    </w:p>
    <w:p w14:paraId="4B460DE8" w14:textId="3654BB54" w:rsidR="002551E1" w:rsidRDefault="00147200" w:rsidP="005E55D3">
      <w:pPr>
        <w:spacing w:line="360" w:lineRule="auto"/>
        <w:jc w:val="both"/>
        <w:rPr>
          <w:rFonts w:ascii="Century Gothic" w:hAnsi="Century Gothic" w:cs="Arial"/>
        </w:rPr>
      </w:pPr>
      <w:r>
        <w:rPr>
          <w:rFonts w:ascii="Century Gothic" w:hAnsi="Century Gothic" w:cs="Arial"/>
        </w:rPr>
        <w:lastRenderedPageBreak/>
        <w:t xml:space="preserve">En los últimos dos años los traslados en ambulancia han aumentado considerablemente derivados de las complicaciones de salud a causa de la pandemia que provocó el COVID </w:t>
      </w:r>
      <w:r w:rsidR="002551E1">
        <w:rPr>
          <w:rFonts w:ascii="Century Gothic" w:hAnsi="Century Gothic" w:cs="Arial"/>
        </w:rPr>
        <w:t>19.</w:t>
      </w:r>
      <w:r w:rsidR="00006952">
        <w:rPr>
          <w:rFonts w:ascii="Century Gothic" w:hAnsi="Century Gothic" w:cs="Arial"/>
        </w:rPr>
        <w:t>Según la Guía Básica para los  Sistemas Prehospitalarios para COVID 19, se considera atención prehospitalaria a la a</w:t>
      </w:r>
      <w:r w:rsidR="00006952" w:rsidRPr="00006952">
        <w:rPr>
          <w:rFonts w:ascii="Century Gothic" w:hAnsi="Century Gothic" w:cs="Arial"/>
        </w:rPr>
        <w:t>tención otorgada al paciente cuya condición clínica se considera que pone en peligro la vida, un órgano o su función, con el fin de lograr la limitación del daño y su estabilización orgánico-funcional, desde los primeros auxilios hasta la llegada y entrega a un establecimiento para la atención médica con servicio de urgencias, así como durante el traslado entre diferentes establecimi</w:t>
      </w:r>
      <w:r w:rsidR="002551E1">
        <w:rPr>
          <w:rFonts w:ascii="Century Gothic" w:hAnsi="Century Gothic" w:cs="Arial"/>
        </w:rPr>
        <w:t>entos a bordo de una ambulancia</w:t>
      </w:r>
      <w:r w:rsidR="002551E1">
        <w:rPr>
          <w:rStyle w:val="Refdenotaalpie"/>
          <w:rFonts w:ascii="Century Gothic" w:hAnsi="Century Gothic" w:cs="Arial"/>
        </w:rPr>
        <w:footnoteReference w:id="2"/>
      </w:r>
      <w:r w:rsidR="002551E1">
        <w:rPr>
          <w:rFonts w:ascii="Century Gothic" w:hAnsi="Century Gothic" w:cs="Arial"/>
        </w:rPr>
        <w:t xml:space="preserve">. En el estado, pocas ambulancias de las diferentes organizaciones que brindan atención médica pre hospitalario estaban capacitadas con el equipo y protocolos necesarios para movilizar a los pacientes, por lo que fue necesario por parte de las familias recurrir a ambulancias privadas mismas que aumentan los costos de la atención médica.  </w:t>
      </w:r>
    </w:p>
    <w:p w14:paraId="69608FFE" w14:textId="19632B03" w:rsidR="00B80594" w:rsidRPr="00B60096" w:rsidRDefault="00597B58" w:rsidP="005E55D3">
      <w:pPr>
        <w:spacing w:line="360" w:lineRule="auto"/>
        <w:jc w:val="both"/>
        <w:rPr>
          <w:rFonts w:ascii="Century Gothic" w:hAnsi="Century Gothic" w:cs="Arial"/>
        </w:rPr>
      </w:pPr>
      <w:r w:rsidRPr="00B60096">
        <w:rPr>
          <w:rFonts w:ascii="Century Gothic" w:hAnsi="Century Gothic" w:cs="Arial"/>
        </w:rPr>
        <w:t>Durante el 2021 la tasa de muertes por accidentes automovilísticos se incrementó en un 21.5% en el país con un promedio de 1,273 accidentes cada mes, además de las lesiones causadas por accidentes, que también ha tenido un incr</w:t>
      </w:r>
      <w:r w:rsidR="0098354F" w:rsidRPr="00B60096">
        <w:rPr>
          <w:rFonts w:ascii="Century Gothic" w:hAnsi="Century Gothic" w:cs="Arial"/>
        </w:rPr>
        <w:t>e</w:t>
      </w:r>
      <w:r w:rsidRPr="00B60096">
        <w:rPr>
          <w:rFonts w:ascii="Century Gothic" w:hAnsi="Century Gothic" w:cs="Arial"/>
        </w:rPr>
        <w:t>mento</w:t>
      </w:r>
      <w:r w:rsidR="0098354F" w:rsidRPr="00B60096">
        <w:rPr>
          <w:rFonts w:ascii="Century Gothic" w:hAnsi="Century Gothic" w:cs="Arial"/>
        </w:rPr>
        <w:t xml:space="preserve"> </w:t>
      </w:r>
      <w:r w:rsidRPr="00B60096">
        <w:rPr>
          <w:rFonts w:ascii="Century Gothic" w:hAnsi="Century Gothic" w:cs="Arial"/>
        </w:rPr>
        <w:t>del 34.7% en comparación al 2020.</w:t>
      </w:r>
      <w:r w:rsidR="00D01527">
        <w:rPr>
          <w:rStyle w:val="Refdenotaalpie"/>
          <w:rFonts w:ascii="Century Gothic" w:hAnsi="Century Gothic" w:cs="Arial"/>
        </w:rPr>
        <w:footnoteReference w:id="3"/>
      </w:r>
    </w:p>
    <w:p w14:paraId="4B25BD80" w14:textId="58780581" w:rsidR="00597B58" w:rsidRPr="00B60096" w:rsidRDefault="00597B58" w:rsidP="005E55D3">
      <w:pPr>
        <w:spacing w:line="360" w:lineRule="auto"/>
        <w:jc w:val="both"/>
        <w:rPr>
          <w:rFonts w:ascii="Century Gothic" w:hAnsi="Century Gothic" w:cs="Arial"/>
        </w:rPr>
      </w:pPr>
      <w:r w:rsidRPr="00B60096">
        <w:rPr>
          <w:rFonts w:ascii="Century Gothic" w:hAnsi="Century Gothic" w:cs="Arial"/>
        </w:rPr>
        <w:t>En el estado de Chihuahua el año pasado se registraron un total de 22,175 accidentes</w:t>
      </w:r>
      <w:r w:rsidR="009137AD">
        <w:rPr>
          <w:rFonts w:ascii="Century Gothic" w:hAnsi="Century Gothic" w:cs="Arial"/>
        </w:rPr>
        <w:t xml:space="preserve">, siendo diciembre y agosto los meses con los mayores números. </w:t>
      </w:r>
      <w:r w:rsidR="0098354F" w:rsidRPr="00B60096">
        <w:rPr>
          <w:rFonts w:ascii="Century Gothic" w:hAnsi="Century Gothic" w:cs="Arial"/>
        </w:rPr>
        <w:t xml:space="preserve"> </w:t>
      </w:r>
    </w:p>
    <w:p w14:paraId="06DB2BA9" w14:textId="2126AA5E" w:rsidR="00D01527" w:rsidRDefault="0098354F" w:rsidP="005E55D3">
      <w:pPr>
        <w:spacing w:line="360" w:lineRule="auto"/>
        <w:jc w:val="both"/>
        <w:rPr>
          <w:rFonts w:ascii="Century Gothic" w:hAnsi="Century Gothic" w:cs="Arial"/>
        </w:rPr>
      </w:pPr>
      <w:r w:rsidRPr="00B60096">
        <w:rPr>
          <w:rFonts w:ascii="Century Gothic" w:hAnsi="Century Gothic" w:cs="Arial"/>
        </w:rPr>
        <w:t xml:space="preserve">En el estado de Chihuahua existen 11 casetas de cobro en las diferentes autopistas, vías por las que se cuenta con un acceso más rápido y seguro y que conectan los </w:t>
      </w:r>
      <w:r w:rsidRPr="00B60096">
        <w:rPr>
          <w:rFonts w:ascii="Century Gothic" w:hAnsi="Century Gothic" w:cs="Arial"/>
        </w:rPr>
        <w:lastRenderedPageBreak/>
        <w:t xml:space="preserve">municipios con las principales ciudades, donde, por lo general, se puede brindar atención medica de manera urgente e integral, con el propósito de salvar la mayor cantidad de vidas posible. </w:t>
      </w:r>
    </w:p>
    <w:p w14:paraId="4D659A44" w14:textId="4384A670" w:rsidR="00E81958" w:rsidRPr="00B60096" w:rsidRDefault="0098354F" w:rsidP="005E55D3">
      <w:pPr>
        <w:spacing w:line="360" w:lineRule="auto"/>
        <w:jc w:val="both"/>
        <w:rPr>
          <w:rFonts w:ascii="Century Gothic" w:hAnsi="Century Gothic" w:cs="Arial"/>
        </w:rPr>
      </w:pPr>
      <w:r w:rsidRPr="00B60096">
        <w:rPr>
          <w:rFonts w:ascii="Century Gothic" w:hAnsi="Century Gothic" w:cs="Arial"/>
        </w:rPr>
        <w:t>Tan solo unos minutos pueden hacer la diferencia en el traslado de una persona en</w:t>
      </w:r>
      <w:r w:rsidR="007F2B34">
        <w:rPr>
          <w:rFonts w:ascii="Century Gothic" w:hAnsi="Century Gothic" w:cs="Arial"/>
        </w:rPr>
        <w:t xml:space="preserve"> situación de emergencia médica y en una sociedad participativa como la que vivimos, diversas asociaciones civiles brindan sus ambulancias de manera gratuita a comunidades del estado para facilitar el traslado urgente de las personas </w:t>
      </w:r>
      <w:r w:rsidR="006B5F7F">
        <w:rPr>
          <w:rFonts w:ascii="Century Gothic" w:hAnsi="Century Gothic" w:cs="Arial"/>
        </w:rPr>
        <w:t xml:space="preserve">que </w:t>
      </w:r>
      <w:r w:rsidR="007F2B34">
        <w:rPr>
          <w:rFonts w:ascii="Century Gothic" w:hAnsi="Century Gothic" w:cs="Arial"/>
        </w:rPr>
        <w:t xml:space="preserve">lo requieran, sin embargo, sus ambulancias consideradas privadas no gozan los beneficios que cualquier otra institución pública. </w:t>
      </w:r>
    </w:p>
    <w:p w14:paraId="6EE04414" w14:textId="0AD55D9A" w:rsidR="0098354F" w:rsidRPr="00B60096" w:rsidRDefault="001F0B1B" w:rsidP="0098354F">
      <w:pPr>
        <w:spacing w:line="360" w:lineRule="auto"/>
        <w:jc w:val="both"/>
        <w:rPr>
          <w:rFonts w:ascii="Century Gothic" w:hAnsi="Century Gothic" w:cs="Arial"/>
        </w:rPr>
      </w:pPr>
      <w:r>
        <w:rPr>
          <w:rFonts w:ascii="Century Gothic" w:hAnsi="Century Gothic" w:cs="Arial"/>
        </w:rPr>
        <w:t>Las</w:t>
      </w:r>
      <w:r w:rsidR="0098354F" w:rsidRPr="00B60096">
        <w:rPr>
          <w:rFonts w:ascii="Century Gothic" w:hAnsi="Century Gothic" w:cs="Arial"/>
        </w:rPr>
        <w:t xml:space="preserve"> ambulancias del sector privado que coadyuvan en la atención de los diferentes sectores con el Centro Regulador de Urgencias Médicas (CRUM) de la Secretaría de Salud en el Estado, esto permite dar respuesta a los llamados de emergencia que día con día se presentan y que las ambulancias del sector público no alcanzan a cubrir</w:t>
      </w:r>
      <w:r w:rsidR="00DC45BD" w:rsidRPr="00B60096">
        <w:rPr>
          <w:rFonts w:ascii="Century Gothic" w:hAnsi="Century Gothic" w:cs="Arial"/>
        </w:rPr>
        <w:t>, s</w:t>
      </w:r>
      <w:r w:rsidR="0098354F" w:rsidRPr="00B60096">
        <w:rPr>
          <w:rFonts w:ascii="Century Gothic" w:hAnsi="Century Gothic" w:cs="Arial"/>
        </w:rPr>
        <w:t>in embargo</w:t>
      </w:r>
      <w:r w:rsidR="00DC45BD" w:rsidRPr="00B60096">
        <w:rPr>
          <w:rFonts w:ascii="Century Gothic" w:hAnsi="Century Gothic" w:cs="Arial"/>
        </w:rPr>
        <w:t xml:space="preserve">, a pesar de cumplir con la misma función que las ambulancias de las diferentes corporaciones públicas, estas no están exentas del pago de peaje en las carreteras de cuota del estado, por lo que deben detenerse en la ventanilla e incorporarse en muchas ocasiones a las extensivas filas de pago, lo que retrasa el traslado de urgencia de los pacientes, quienes requieren de una atención inmediata.  </w:t>
      </w:r>
    </w:p>
    <w:p w14:paraId="03A6DF2C" w14:textId="3134A1B7" w:rsidR="00082263" w:rsidRPr="00B60096" w:rsidRDefault="00082263" w:rsidP="005E55D3">
      <w:pPr>
        <w:spacing w:line="360" w:lineRule="auto"/>
        <w:jc w:val="both"/>
        <w:rPr>
          <w:rFonts w:ascii="Century Gothic" w:hAnsi="Century Gothic" w:cs="Arial"/>
        </w:rPr>
      </w:pPr>
      <w:r w:rsidRPr="00B60096">
        <w:rPr>
          <w:rFonts w:ascii="Century Gothic" w:hAnsi="Century Gothic" w:cs="Arial"/>
        </w:rPr>
        <w:t xml:space="preserve">Estas ambulancias, por ley están obligadas a prestar los servicios de emergencia que sean necesarios tal y como lo establece el artículo 54 de la Ley de Salud del Estado. </w:t>
      </w:r>
    </w:p>
    <w:p w14:paraId="1D47DFAE" w14:textId="79A32FBB" w:rsidR="00E81958" w:rsidRPr="00B60096" w:rsidRDefault="00E15332" w:rsidP="000C4DA6">
      <w:pPr>
        <w:spacing w:line="360" w:lineRule="auto"/>
        <w:ind w:left="567"/>
        <w:jc w:val="both"/>
        <w:rPr>
          <w:rFonts w:ascii="Century Gothic" w:hAnsi="Century Gothic" w:cs="Arial"/>
          <w:b/>
          <w:i/>
        </w:rPr>
      </w:pPr>
      <w:r w:rsidRPr="00D01527">
        <w:rPr>
          <w:rFonts w:ascii="Century Gothic" w:hAnsi="Century Gothic" w:cs="Arial"/>
          <w:i/>
        </w:rPr>
        <w:t xml:space="preserve">Artículo 54. Las personas o instituciones públicas o privadas que tengan conocimiento de accidentes o que alguna persona requiera de la prestación urgente de servicios de salud, cuidarán, por los medios a su alcance, que los </w:t>
      </w:r>
      <w:r w:rsidRPr="00D01527">
        <w:rPr>
          <w:rFonts w:ascii="Century Gothic" w:hAnsi="Century Gothic" w:cs="Arial"/>
          <w:i/>
        </w:rPr>
        <w:lastRenderedPageBreak/>
        <w:t>mismos sean trasladados a los establecimientos de salud más cercanos, en los que puedan recibir atención inmediata, sin perjuicio de su posterior remisión a otras instituciones.</w:t>
      </w:r>
    </w:p>
    <w:p w14:paraId="42D6A9DE" w14:textId="308EB581" w:rsidR="000C4DA6" w:rsidRDefault="00356E70" w:rsidP="005E55D3">
      <w:pPr>
        <w:spacing w:line="360" w:lineRule="auto"/>
        <w:jc w:val="both"/>
        <w:rPr>
          <w:rFonts w:ascii="Century Gothic" w:hAnsi="Century Gothic" w:cs="Arial"/>
        </w:rPr>
      </w:pPr>
      <w:r w:rsidRPr="00D91810">
        <w:rPr>
          <w:rFonts w:ascii="Century Gothic" w:hAnsi="Century Gothic" w:cs="Arial"/>
        </w:rPr>
        <w:t xml:space="preserve">En el ámbito federal se ha </w:t>
      </w:r>
      <w:r w:rsidR="001F0B1B" w:rsidRPr="00D91810">
        <w:rPr>
          <w:rFonts w:ascii="Century Gothic" w:hAnsi="Century Gothic" w:cs="Arial"/>
        </w:rPr>
        <w:t xml:space="preserve">considerado dentro de políticas públicas para casos de emergencia, como queda asentado en </w:t>
      </w:r>
      <w:r w:rsidR="007F2B34">
        <w:rPr>
          <w:rFonts w:ascii="Century Gothic" w:hAnsi="Century Gothic" w:cs="Arial"/>
        </w:rPr>
        <w:t xml:space="preserve">los Lineamientos para la Identificación de Vehículos que no Pagan Peaje emitidos por el </w:t>
      </w:r>
      <w:r w:rsidR="007F2B34" w:rsidRPr="00D91810">
        <w:rPr>
          <w:rFonts w:ascii="Century Gothic" w:hAnsi="Century Gothic" w:cs="Arial"/>
        </w:rPr>
        <w:t>CAPUFE</w:t>
      </w:r>
      <w:r w:rsidR="007F2B34">
        <w:rPr>
          <w:rFonts w:ascii="Century Gothic" w:hAnsi="Century Gothic" w:cs="Arial"/>
        </w:rPr>
        <w:t xml:space="preserve"> en</w:t>
      </w:r>
      <w:r w:rsidR="001F0B1B" w:rsidRPr="00D91810">
        <w:rPr>
          <w:rFonts w:ascii="Century Gothic" w:hAnsi="Century Gothic" w:cs="Arial"/>
        </w:rPr>
        <w:t xml:space="preserve"> 2016, en el cual se define </w:t>
      </w:r>
      <w:r w:rsidR="007F2B34">
        <w:rPr>
          <w:rFonts w:ascii="Century Gothic" w:hAnsi="Century Gothic" w:cs="Arial"/>
        </w:rPr>
        <w:t>como Vehículos al Servicio de la Comunidad a las ambulancias, sin embargo, e</w:t>
      </w:r>
      <w:r w:rsidR="00D91810">
        <w:rPr>
          <w:rFonts w:ascii="Century Gothic" w:hAnsi="Century Gothic" w:cs="Arial"/>
        </w:rPr>
        <w:t xml:space="preserve">ste contempla de únicamente a las ambulancias del sector público como Cruz Roja, Cruz Verde, Instituto Mexicano del Seguro Social IMSS, ISSSTE, entre otras. </w:t>
      </w:r>
    </w:p>
    <w:p w14:paraId="0EAD1604" w14:textId="42967A52" w:rsidR="00D91810" w:rsidRDefault="00D91810" w:rsidP="005E55D3">
      <w:pPr>
        <w:spacing w:line="360" w:lineRule="auto"/>
        <w:jc w:val="both"/>
        <w:rPr>
          <w:rFonts w:ascii="Century Gothic" w:hAnsi="Century Gothic" w:cs="Arial"/>
        </w:rPr>
      </w:pPr>
      <w:r w:rsidRPr="00B60096">
        <w:rPr>
          <w:rFonts w:ascii="Century Gothic" w:hAnsi="Century Gothic" w:cs="Arial"/>
        </w:rPr>
        <w:t>Es por ello que consideramos necesario se exente a las ambulancias del sector privado el pago del peaje en las carreteras de cuota</w:t>
      </w:r>
      <w:r>
        <w:rPr>
          <w:rFonts w:ascii="Century Gothic" w:hAnsi="Century Gothic" w:cs="Arial"/>
        </w:rPr>
        <w:t xml:space="preserve"> </w:t>
      </w:r>
      <w:r w:rsidRPr="00B60096">
        <w:rPr>
          <w:rFonts w:ascii="Century Gothic" w:hAnsi="Century Gothic" w:cs="Arial"/>
        </w:rPr>
        <w:t xml:space="preserve">con el objetivo de brindar una atención medica más eficiente </w:t>
      </w:r>
      <w:r>
        <w:rPr>
          <w:rFonts w:ascii="Century Gothic" w:hAnsi="Century Gothic" w:cs="Arial"/>
        </w:rPr>
        <w:t xml:space="preserve">y brindar </w:t>
      </w:r>
      <w:r w:rsidRPr="00D91810">
        <w:rPr>
          <w:rFonts w:ascii="Century Gothic" w:hAnsi="Century Gothic" w:cs="Arial"/>
        </w:rPr>
        <w:t>libre desplazamiento de los vehículos auxiliares</w:t>
      </w:r>
      <w:r>
        <w:rPr>
          <w:rFonts w:ascii="Century Gothic" w:hAnsi="Century Gothic" w:cs="Arial"/>
        </w:rPr>
        <w:t xml:space="preserve"> a las funciones de salud pública del estado. </w:t>
      </w:r>
    </w:p>
    <w:p w14:paraId="038742B1" w14:textId="29C5FD8C" w:rsidR="00E0122E" w:rsidRDefault="00CC7CEF" w:rsidP="00E0122E">
      <w:pPr>
        <w:spacing w:line="360" w:lineRule="auto"/>
        <w:jc w:val="both"/>
        <w:rPr>
          <w:rFonts w:ascii="Century Gothic" w:hAnsi="Century Gothic" w:cs="Arial"/>
        </w:rPr>
      </w:pPr>
      <w:r>
        <w:rPr>
          <w:rFonts w:ascii="Century Gothic" w:hAnsi="Century Gothic" w:cs="Arial"/>
        </w:rPr>
        <w:t xml:space="preserve">Por lo anteriormente expuesto </w:t>
      </w:r>
      <w:r w:rsidR="002551E1">
        <w:rPr>
          <w:rFonts w:ascii="Century Gothic" w:hAnsi="Century Gothic" w:cs="Arial"/>
        </w:rPr>
        <w:t xml:space="preserve">y con fundamento en el artículo </w:t>
      </w:r>
      <w:r w:rsidR="002551E1">
        <w:rPr>
          <w:rFonts w:ascii="Century Gothic" w:eastAsia="Arial" w:hAnsi="Century Gothic" w:cs="Arial"/>
          <w:color w:val="000000" w:themeColor="text1"/>
        </w:rPr>
        <w:t>173 de la Ley Orgánica del Poder Legislativo</w:t>
      </w:r>
      <w:r w:rsidR="00E0122E">
        <w:rPr>
          <w:rFonts w:ascii="Century Gothic" w:hAnsi="Century Gothic" w:cs="Arial"/>
        </w:rPr>
        <w:t xml:space="preserve"> someto a consideración de </w:t>
      </w:r>
      <w:r w:rsidR="00400FF1">
        <w:rPr>
          <w:rFonts w:ascii="Century Gothic" w:hAnsi="Century Gothic" w:cs="Arial"/>
        </w:rPr>
        <w:t>este</w:t>
      </w:r>
      <w:r w:rsidR="00E0122E">
        <w:rPr>
          <w:rFonts w:ascii="Century Gothic" w:hAnsi="Century Gothic" w:cs="Arial"/>
        </w:rPr>
        <w:t xml:space="preserve"> H. Asamblea Legislativa el siguiente </w:t>
      </w:r>
    </w:p>
    <w:p w14:paraId="34354170" w14:textId="77162C21" w:rsidR="001F0B1B" w:rsidRPr="001F0B1B" w:rsidRDefault="00356E70" w:rsidP="00E0122E">
      <w:pPr>
        <w:spacing w:line="360" w:lineRule="auto"/>
        <w:jc w:val="center"/>
        <w:rPr>
          <w:rFonts w:ascii="Century Gothic" w:hAnsi="Century Gothic"/>
          <w:b/>
        </w:rPr>
      </w:pPr>
      <w:r>
        <w:rPr>
          <w:rFonts w:ascii="Century Gothic" w:hAnsi="Century Gothic"/>
          <w:b/>
        </w:rPr>
        <w:t>ACUERDO</w:t>
      </w:r>
    </w:p>
    <w:p w14:paraId="555047FA" w14:textId="77777777" w:rsidR="001F0B1B" w:rsidRDefault="001F0B1B" w:rsidP="00E836A1">
      <w:pPr>
        <w:spacing w:line="360" w:lineRule="auto"/>
        <w:ind w:left="993" w:hanging="1133"/>
        <w:jc w:val="both"/>
        <w:rPr>
          <w:rFonts w:ascii="Century Gothic" w:hAnsi="Century Gothic"/>
        </w:rPr>
      </w:pPr>
    </w:p>
    <w:p w14:paraId="546AEADC" w14:textId="3A0F143D" w:rsidR="0061023C" w:rsidRDefault="00356E70" w:rsidP="00E836A1">
      <w:pPr>
        <w:spacing w:line="360" w:lineRule="auto"/>
        <w:ind w:left="993" w:hanging="1133"/>
        <w:jc w:val="both"/>
        <w:rPr>
          <w:rFonts w:ascii="Century Gothic" w:hAnsi="Century Gothic"/>
          <w:b/>
          <w:bCs/>
        </w:rPr>
      </w:pPr>
      <w:r>
        <w:rPr>
          <w:rFonts w:ascii="Century Gothic" w:hAnsi="Century Gothic"/>
          <w:b/>
          <w:bCs/>
        </w:rPr>
        <w:t xml:space="preserve">PRIMERO. </w:t>
      </w:r>
      <w:r w:rsidR="0061023C" w:rsidRPr="00B60096">
        <w:rPr>
          <w:rFonts w:ascii="Century Gothic" w:hAnsi="Century Gothic"/>
          <w:b/>
          <w:bCs/>
        </w:rPr>
        <w:t xml:space="preserve">La Sexagésima Séptima Legislatura del H. Congreso del Estado de Chihuahua exhorta al Poder Ejecutivo </w:t>
      </w:r>
      <w:r w:rsidR="00D91810">
        <w:rPr>
          <w:rFonts w:ascii="Century Gothic" w:hAnsi="Century Gothic"/>
          <w:b/>
          <w:bCs/>
        </w:rPr>
        <w:t xml:space="preserve">FEDERAL </w:t>
      </w:r>
      <w:r w:rsidR="0061023C" w:rsidRPr="00B60096">
        <w:rPr>
          <w:rFonts w:ascii="Century Gothic" w:hAnsi="Century Gothic"/>
          <w:b/>
          <w:bCs/>
        </w:rPr>
        <w:t xml:space="preserve"> a través de</w:t>
      </w:r>
      <w:r w:rsidR="00D91810">
        <w:rPr>
          <w:rFonts w:ascii="Century Gothic" w:hAnsi="Century Gothic"/>
          <w:b/>
          <w:bCs/>
        </w:rPr>
        <w:t xml:space="preserve">l CAPUFE para que se reformen los LINEAMIENTOS PARA LA IDENTIFICACIÓN DE VEHICULOS QUE NO PAGAN PEAJE, a efecto de integrar a las ambulancias privadas dentro de los vehículos mencionados en el Artículo Quinto, como Vehículos al Servicio de la Comunidad.  </w:t>
      </w:r>
    </w:p>
    <w:p w14:paraId="460F6C4A" w14:textId="7AD969A5" w:rsidR="00DF654C" w:rsidRPr="00B60096" w:rsidRDefault="007F2B34" w:rsidP="00E0122E">
      <w:pPr>
        <w:spacing w:line="360" w:lineRule="auto"/>
        <w:ind w:left="993" w:hanging="1133"/>
        <w:jc w:val="both"/>
        <w:rPr>
          <w:rFonts w:ascii="Century Gothic" w:hAnsi="Century Gothic"/>
          <w:b/>
          <w:bCs/>
        </w:rPr>
      </w:pPr>
      <w:r>
        <w:rPr>
          <w:rFonts w:ascii="Century Gothic" w:hAnsi="Century Gothic"/>
          <w:b/>
          <w:bCs/>
        </w:rPr>
        <w:t xml:space="preserve">SEGUNDO. </w:t>
      </w:r>
      <w:r w:rsidRPr="00B60096">
        <w:rPr>
          <w:rFonts w:ascii="Century Gothic" w:hAnsi="Century Gothic"/>
          <w:b/>
          <w:bCs/>
        </w:rPr>
        <w:t>La Sexagésima Séptima Legislatura del H. Congreso del Estado de Chihuahua</w:t>
      </w:r>
      <w:r>
        <w:rPr>
          <w:rFonts w:ascii="Century Gothic" w:hAnsi="Century Gothic"/>
          <w:b/>
          <w:bCs/>
        </w:rPr>
        <w:t xml:space="preserve"> al Poder Ejecutivo del Estado, por Conducto de la Secretaría de Hacienda a través del Departamento de Carreteras de Cuota para que en conjunto con el Comité Técnico </w:t>
      </w:r>
      <w:r w:rsidR="00D01527">
        <w:rPr>
          <w:rFonts w:ascii="Century Gothic" w:hAnsi="Century Gothic"/>
          <w:b/>
          <w:bCs/>
        </w:rPr>
        <w:t xml:space="preserve">del Fideicomiso Público 80672, exenten del pago de peaje a las ambulancias privadas. </w:t>
      </w:r>
    </w:p>
    <w:p w14:paraId="05FD1B53" w14:textId="77777777" w:rsidR="005E55D3" w:rsidRPr="00B60096" w:rsidRDefault="005E55D3" w:rsidP="005E55D3">
      <w:pPr>
        <w:spacing w:line="360" w:lineRule="auto"/>
        <w:ind w:firstLine="7"/>
        <w:jc w:val="both"/>
        <w:rPr>
          <w:rFonts w:ascii="Century Gothic" w:hAnsi="Century Gothic"/>
        </w:rPr>
      </w:pPr>
    </w:p>
    <w:p w14:paraId="5A0DE5E4" w14:textId="1A431729" w:rsidR="00DF654C" w:rsidRPr="00B60096" w:rsidRDefault="00DF654C" w:rsidP="005E55D3">
      <w:pPr>
        <w:spacing w:after="0" w:line="360" w:lineRule="auto"/>
        <w:jc w:val="both"/>
        <w:rPr>
          <w:rFonts w:ascii="Century Gothic" w:eastAsiaTheme="minorHAnsi" w:hAnsi="Century Gothic" w:cstheme="minorBidi"/>
        </w:rPr>
      </w:pPr>
      <w:r w:rsidRPr="00B60096">
        <w:rPr>
          <w:rFonts w:ascii="Century Gothic" w:hAnsi="Century Gothic"/>
          <w:b/>
          <w:bCs/>
        </w:rPr>
        <w:t>ECONÓMICO</w:t>
      </w:r>
      <w:r w:rsidRPr="00B60096">
        <w:rPr>
          <w:rFonts w:ascii="Century Gothic" w:eastAsiaTheme="minorHAnsi" w:hAnsi="Century Gothic" w:cstheme="minorBidi"/>
        </w:rPr>
        <w:t xml:space="preserve">. Aprobado que sea, túrnese a la Secretaría para los efectos </w:t>
      </w:r>
      <w:r w:rsidR="00BE733C" w:rsidRPr="00B60096">
        <w:rPr>
          <w:rFonts w:ascii="Century Gothic" w:eastAsiaTheme="minorHAnsi" w:hAnsi="Century Gothic" w:cstheme="minorBidi"/>
        </w:rPr>
        <w:t>correspondientes</w:t>
      </w:r>
      <w:r w:rsidRPr="00B60096">
        <w:rPr>
          <w:rFonts w:ascii="Century Gothic" w:eastAsiaTheme="minorHAnsi" w:hAnsi="Century Gothic" w:cstheme="minorBidi"/>
        </w:rPr>
        <w:t>.</w:t>
      </w:r>
    </w:p>
    <w:p w14:paraId="62393225" w14:textId="77777777" w:rsidR="00DF654C" w:rsidRPr="00B60096" w:rsidRDefault="00DF654C" w:rsidP="005E55D3">
      <w:pPr>
        <w:pStyle w:val="NormalWeb"/>
        <w:spacing w:before="0" w:beforeAutospacing="0" w:after="0" w:afterAutospacing="0" w:line="360" w:lineRule="auto"/>
        <w:jc w:val="both"/>
        <w:rPr>
          <w:rFonts w:ascii="Century Gothic" w:eastAsiaTheme="minorHAnsi" w:hAnsi="Century Gothic" w:cstheme="minorBidi"/>
          <w:sz w:val="22"/>
          <w:szCs w:val="22"/>
          <w:lang w:val="es-MX" w:eastAsia="en-US"/>
        </w:rPr>
      </w:pPr>
    </w:p>
    <w:p w14:paraId="474598DF" w14:textId="6D81B3E4" w:rsidR="00DF654C" w:rsidRPr="00B60096" w:rsidRDefault="00DF654C" w:rsidP="005E55D3">
      <w:pPr>
        <w:spacing w:after="0" w:line="360" w:lineRule="auto"/>
        <w:jc w:val="both"/>
        <w:rPr>
          <w:rFonts w:ascii="Century Gothic" w:hAnsi="Century Gothic"/>
        </w:rPr>
      </w:pPr>
      <w:r w:rsidRPr="00B60096">
        <w:rPr>
          <w:rFonts w:ascii="Century Gothic" w:hAnsi="Century Gothic" w:cstheme="minorBidi"/>
        </w:rPr>
        <w:t>Dado en Salón de Sesiones del Palacio del Poder Legisla</w:t>
      </w:r>
      <w:r w:rsidR="00E0122E">
        <w:rPr>
          <w:rFonts w:ascii="Century Gothic" w:hAnsi="Century Gothic" w:cstheme="minorBidi"/>
        </w:rPr>
        <w:t>tivo del Estado de Chihuahua, a 11 de noviembre</w:t>
      </w:r>
      <w:r w:rsidR="000C4DA6" w:rsidRPr="00B60096">
        <w:rPr>
          <w:rFonts w:ascii="Century Gothic" w:hAnsi="Century Gothic" w:cstheme="minorBidi"/>
        </w:rPr>
        <w:t xml:space="preserve"> </w:t>
      </w:r>
      <w:r w:rsidRPr="00B60096">
        <w:rPr>
          <w:rFonts w:ascii="Century Gothic" w:hAnsi="Century Gothic" w:cstheme="minorBidi"/>
        </w:rPr>
        <w:t>del año dos mil veintiuno.</w:t>
      </w:r>
    </w:p>
    <w:p w14:paraId="1827266A" w14:textId="77777777" w:rsidR="00DF654C" w:rsidRPr="00B60096" w:rsidRDefault="00DF654C" w:rsidP="005E55D3">
      <w:pPr>
        <w:spacing w:after="0" w:line="360" w:lineRule="auto"/>
        <w:jc w:val="both"/>
        <w:rPr>
          <w:rFonts w:ascii="Century Gothic" w:hAnsi="Century Gothic" w:cstheme="minorBidi"/>
        </w:rPr>
      </w:pPr>
    </w:p>
    <w:p w14:paraId="00D09A0D" w14:textId="4261BDC0" w:rsidR="00DF654C" w:rsidRPr="00B60096" w:rsidRDefault="00DF654C" w:rsidP="005E55D3">
      <w:pPr>
        <w:spacing w:after="0" w:line="360" w:lineRule="auto"/>
        <w:jc w:val="center"/>
        <w:rPr>
          <w:rFonts w:ascii="Century Gothic" w:hAnsi="Century Gothic"/>
          <w:b/>
          <w:bCs/>
        </w:rPr>
      </w:pPr>
      <w:r w:rsidRPr="00B60096">
        <w:rPr>
          <w:rFonts w:ascii="Century Gothic" w:hAnsi="Century Gothic" w:cstheme="minorBidi"/>
          <w:b/>
          <w:bCs/>
        </w:rPr>
        <w:t>ATENTAMENTE</w:t>
      </w:r>
    </w:p>
    <w:p w14:paraId="442452A4" w14:textId="3AB952A1" w:rsidR="00956012" w:rsidRPr="00E0122E" w:rsidRDefault="00DF654C" w:rsidP="00E0122E">
      <w:pPr>
        <w:spacing w:after="0" w:line="360" w:lineRule="auto"/>
        <w:jc w:val="center"/>
        <w:rPr>
          <w:rFonts w:ascii="Century Gothic" w:hAnsi="Century Gothic"/>
          <w:b/>
          <w:bCs/>
        </w:rPr>
      </w:pPr>
      <w:r w:rsidRPr="00B60096">
        <w:rPr>
          <w:rFonts w:ascii="Century Gothic" w:hAnsi="Century Gothic"/>
          <w:b/>
          <w:bCs/>
        </w:rPr>
        <w:t>DIP. IVÓN SALAZAR MORALES</w:t>
      </w:r>
    </w:p>
    <w:sectPr w:rsidR="00956012" w:rsidRPr="00E0122E" w:rsidSect="00981CA4">
      <w:headerReference w:type="even" r:id="rId8"/>
      <w:headerReference w:type="default" r:id="rId9"/>
      <w:footerReference w:type="even" r:id="rId10"/>
      <w:footerReference w:type="default" r:id="rId11"/>
      <w:headerReference w:type="first" r:id="rId12"/>
      <w:footerReference w:type="first" r:id="rId13"/>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61C15" w14:textId="77777777" w:rsidR="00AE1EEB" w:rsidRDefault="00AE1EEB" w:rsidP="007F665E">
      <w:pPr>
        <w:spacing w:after="0" w:line="240" w:lineRule="auto"/>
      </w:pPr>
      <w:r>
        <w:separator/>
      </w:r>
    </w:p>
  </w:endnote>
  <w:endnote w:type="continuationSeparator" w:id="0">
    <w:p w14:paraId="01BF8851" w14:textId="77777777" w:rsidR="00AE1EEB" w:rsidRDefault="00AE1EEB"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D9DDB" w14:textId="77777777" w:rsidR="006414EF" w:rsidRDefault="006414E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382144"/>
      <w:docPartObj>
        <w:docPartGallery w:val="Page Numbers (Bottom of Page)"/>
        <w:docPartUnique/>
      </w:docPartObj>
    </w:sdtPr>
    <w:sdtEndPr/>
    <w:sdtContent>
      <w:p w14:paraId="2EBE84E1" w14:textId="77777777" w:rsidR="006414EF" w:rsidRDefault="00A40F6F">
        <w:pPr>
          <w:pStyle w:val="Piedepgina"/>
          <w:jc w:val="right"/>
        </w:pPr>
        <w:r>
          <w:fldChar w:fldCharType="begin"/>
        </w:r>
        <w:r w:rsidR="006414EF">
          <w:instrText>PAGE   \* MERGEFORMAT</w:instrText>
        </w:r>
        <w:r>
          <w:fldChar w:fldCharType="separate"/>
        </w:r>
        <w:r w:rsidR="00CB31BE" w:rsidRPr="00CB31BE">
          <w:rPr>
            <w:noProof/>
            <w:lang w:val="es-ES"/>
          </w:rPr>
          <w:t>1</w:t>
        </w:r>
        <w:r>
          <w:fldChar w:fldCharType="end"/>
        </w:r>
      </w:p>
    </w:sdtContent>
  </w:sdt>
  <w:p w14:paraId="5DFC7936" w14:textId="77777777" w:rsidR="006414EF" w:rsidRDefault="006414E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118A5" w14:textId="77777777" w:rsidR="006414EF" w:rsidRDefault="006414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3622C" w14:textId="77777777" w:rsidR="00AE1EEB" w:rsidRDefault="00AE1EEB" w:rsidP="007F665E">
      <w:pPr>
        <w:spacing w:after="0" w:line="240" w:lineRule="auto"/>
      </w:pPr>
      <w:r>
        <w:separator/>
      </w:r>
    </w:p>
  </w:footnote>
  <w:footnote w:type="continuationSeparator" w:id="0">
    <w:p w14:paraId="3A49E273" w14:textId="77777777" w:rsidR="00AE1EEB" w:rsidRDefault="00AE1EEB" w:rsidP="007F665E">
      <w:pPr>
        <w:spacing w:after="0" w:line="240" w:lineRule="auto"/>
      </w:pPr>
      <w:r>
        <w:continuationSeparator/>
      </w:r>
    </w:p>
  </w:footnote>
  <w:footnote w:id="1">
    <w:p w14:paraId="3D4D5963" w14:textId="12B16A18" w:rsidR="00E81958" w:rsidRDefault="00E81958">
      <w:pPr>
        <w:pStyle w:val="Textonotapie"/>
      </w:pPr>
      <w:r>
        <w:rPr>
          <w:rStyle w:val="Refdenotaalpie"/>
        </w:rPr>
        <w:footnoteRef/>
      </w:r>
      <w:r w:rsidR="00D01527">
        <w:t xml:space="preserve"> Véase </w:t>
      </w:r>
      <w:hyperlink r:id="rId1" w:history="1">
        <w:r w:rsidR="00D01527" w:rsidRPr="00463147">
          <w:rPr>
            <w:rStyle w:val="Hipervnculo"/>
          </w:rPr>
          <w:t>http://cuentame.inegi.org.mx/monografias/informacion/chih/territorio/</w:t>
        </w:r>
      </w:hyperlink>
      <w:r w:rsidR="00D01527">
        <w:t xml:space="preserve"> </w:t>
      </w:r>
    </w:p>
    <w:p w14:paraId="3B3FCB33" w14:textId="77777777" w:rsidR="00D01527" w:rsidRDefault="00D01527">
      <w:pPr>
        <w:pStyle w:val="Textonotapie"/>
      </w:pPr>
    </w:p>
  </w:footnote>
  <w:footnote w:id="2">
    <w:p w14:paraId="589CA90D" w14:textId="1C037256" w:rsidR="002551E1" w:rsidRDefault="002551E1">
      <w:pPr>
        <w:pStyle w:val="Textonotapie"/>
      </w:pPr>
      <w:r>
        <w:rPr>
          <w:rStyle w:val="Refdenotaalpie"/>
        </w:rPr>
        <w:footnoteRef/>
      </w:r>
      <w:r>
        <w:t xml:space="preserve"> Se puede consultar en </w:t>
      </w:r>
      <w:hyperlink r:id="rId2" w:history="1">
        <w:r w:rsidRPr="00463147">
          <w:rPr>
            <w:rStyle w:val="Hipervnculo"/>
          </w:rPr>
          <w:t>https://coronavirus.gob.mx/wpcontent/uploads/2020/04/Guia_basica_sistemas_prehospitalarios_COVID19.pdf</w:t>
        </w:r>
      </w:hyperlink>
      <w:r>
        <w:t xml:space="preserve"> </w:t>
      </w:r>
    </w:p>
  </w:footnote>
  <w:footnote w:id="3">
    <w:p w14:paraId="0C75D082" w14:textId="2B76C7C9" w:rsidR="00D01527" w:rsidRDefault="00D01527">
      <w:pPr>
        <w:pStyle w:val="Textonotapie"/>
      </w:pPr>
      <w:r>
        <w:rPr>
          <w:rStyle w:val="Refdenotaalpie"/>
        </w:rPr>
        <w:footnoteRef/>
      </w:r>
      <w:r>
        <w:t xml:space="preserve"> Véase </w:t>
      </w:r>
      <w:hyperlink r:id="rId3" w:history="1">
        <w:r w:rsidRPr="00463147">
          <w:rPr>
            <w:rStyle w:val="Hipervnculo"/>
          </w:rPr>
          <w:t>https://www.animalpolitico.com/2021/08/accidentes-trafico-muertes-lesiones-2021/</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B75D5" w14:textId="77777777" w:rsidR="006414EF" w:rsidRDefault="006414E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1B36C" w14:textId="77777777" w:rsidR="006414EF" w:rsidRDefault="006414EF">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19C55A3D" wp14:editId="432389DC">
          <wp:simplePos x="0" y="0"/>
          <wp:positionH relativeFrom="page">
            <wp:posOffset>142875</wp:posOffset>
          </wp:positionH>
          <wp:positionV relativeFrom="paragraph">
            <wp:posOffset>-756920</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p w14:paraId="280D0DFA" w14:textId="77777777" w:rsidR="006414EF" w:rsidRDefault="006414EF">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utada Ivón Salazar Morales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1721F" w14:textId="77777777" w:rsidR="006414EF" w:rsidRDefault="006414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28D52E19"/>
    <w:multiLevelType w:val="hybridMultilevel"/>
    <w:tmpl w:val="126AE1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num>
  <w:num w:numId="2">
    <w:abstractNumId w:val="2"/>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06952"/>
    <w:rsid w:val="00013A03"/>
    <w:rsid w:val="00034AF4"/>
    <w:rsid w:val="00035776"/>
    <w:rsid w:val="00040F27"/>
    <w:rsid w:val="00046FFF"/>
    <w:rsid w:val="0007745A"/>
    <w:rsid w:val="00082263"/>
    <w:rsid w:val="00096ED8"/>
    <w:rsid w:val="000B1DCF"/>
    <w:rsid w:val="000B2303"/>
    <w:rsid w:val="000B6A91"/>
    <w:rsid w:val="000C0C7F"/>
    <w:rsid w:val="000C4DA6"/>
    <w:rsid w:val="000D099C"/>
    <w:rsid w:val="000E08F8"/>
    <w:rsid w:val="000E2797"/>
    <w:rsid w:val="000F168A"/>
    <w:rsid w:val="001003AC"/>
    <w:rsid w:val="00100BCA"/>
    <w:rsid w:val="00101AA8"/>
    <w:rsid w:val="00105B93"/>
    <w:rsid w:val="00120C3A"/>
    <w:rsid w:val="0012241A"/>
    <w:rsid w:val="0012265C"/>
    <w:rsid w:val="00123C6A"/>
    <w:rsid w:val="001257AC"/>
    <w:rsid w:val="0012624D"/>
    <w:rsid w:val="00127DEB"/>
    <w:rsid w:val="00136DF9"/>
    <w:rsid w:val="00142B27"/>
    <w:rsid w:val="00147200"/>
    <w:rsid w:val="00162487"/>
    <w:rsid w:val="00165406"/>
    <w:rsid w:val="00165C67"/>
    <w:rsid w:val="001676F9"/>
    <w:rsid w:val="001745A3"/>
    <w:rsid w:val="00175D2E"/>
    <w:rsid w:val="00181AFD"/>
    <w:rsid w:val="00187E83"/>
    <w:rsid w:val="00197F7B"/>
    <w:rsid w:val="001A147F"/>
    <w:rsid w:val="001B13B5"/>
    <w:rsid w:val="001C636F"/>
    <w:rsid w:val="001C6AE9"/>
    <w:rsid w:val="001D0003"/>
    <w:rsid w:val="001D5EA8"/>
    <w:rsid w:val="001F0B1B"/>
    <w:rsid w:val="001F7FA6"/>
    <w:rsid w:val="0021378F"/>
    <w:rsid w:val="002170FE"/>
    <w:rsid w:val="00217655"/>
    <w:rsid w:val="002249EE"/>
    <w:rsid w:val="00225728"/>
    <w:rsid w:val="002354D9"/>
    <w:rsid w:val="00245125"/>
    <w:rsid w:val="00245613"/>
    <w:rsid w:val="002551E1"/>
    <w:rsid w:val="00256185"/>
    <w:rsid w:val="002810F7"/>
    <w:rsid w:val="00283F7E"/>
    <w:rsid w:val="0029098F"/>
    <w:rsid w:val="00291896"/>
    <w:rsid w:val="00291FCD"/>
    <w:rsid w:val="00295AA0"/>
    <w:rsid w:val="002B6F6D"/>
    <w:rsid w:val="002D27CC"/>
    <w:rsid w:val="002D291D"/>
    <w:rsid w:val="002E1D49"/>
    <w:rsid w:val="002F0A79"/>
    <w:rsid w:val="0031296C"/>
    <w:rsid w:val="00312B2C"/>
    <w:rsid w:val="00317461"/>
    <w:rsid w:val="0032336A"/>
    <w:rsid w:val="00324859"/>
    <w:rsid w:val="00326670"/>
    <w:rsid w:val="003303A8"/>
    <w:rsid w:val="00337E9A"/>
    <w:rsid w:val="00341B19"/>
    <w:rsid w:val="0034230B"/>
    <w:rsid w:val="00355D83"/>
    <w:rsid w:val="00356E70"/>
    <w:rsid w:val="0036014F"/>
    <w:rsid w:val="0036018D"/>
    <w:rsid w:val="00360F64"/>
    <w:rsid w:val="00361ED9"/>
    <w:rsid w:val="00363CB5"/>
    <w:rsid w:val="003703F4"/>
    <w:rsid w:val="00376ED3"/>
    <w:rsid w:val="003804FE"/>
    <w:rsid w:val="0038144E"/>
    <w:rsid w:val="00387B84"/>
    <w:rsid w:val="00390D84"/>
    <w:rsid w:val="003946AC"/>
    <w:rsid w:val="003A31D4"/>
    <w:rsid w:val="003C745E"/>
    <w:rsid w:val="003D04ED"/>
    <w:rsid w:val="003D4747"/>
    <w:rsid w:val="003E5BFA"/>
    <w:rsid w:val="003E6F2A"/>
    <w:rsid w:val="003F0D6F"/>
    <w:rsid w:val="003F3D7F"/>
    <w:rsid w:val="003F5B1D"/>
    <w:rsid w:val="00400FF1"/>
    <w:rsid w:val="00406B17"/>
    <w:rsid w:val="004300BE"/>
    <w:rsid w:val="00444C92"/>
    <w:rsid w:val="00457FC1"/>
    <w:rsid w:val="0046122D"/>
    <w:rsid w:val="004703AF"/>
    <w:rsid w:val="004828C2"/>
    <w:rsid w:val="004835A4"/>
    <w:rsid w:val="004860F5"/>
    <w:rsid w:val="004A0082"/>
    <w:rsid w:val="004A2904"/>
    <w:rsid w:val="004A300A"/>
    <w:rsid w:val="004A5AE4"/>
    <w:rsid w:val="004A61D2"/>
    <w:rsid w:val="004D199A"/>
    <w:rsid w:val="004D2DC5"/>
    <w:rsid w:val="004D5B3F"/>
    <w:rsid w:val="004E77FD"/>
    <w:rsid w:val="004F3B14"/>
    <w:rsid w:val="005015AC"/>
    <w:rsid w:val="00507564"/>
    <w:rsid w:val="00514B57"/>
    <w:rsid w:val="005172F7"/>
    <w:rsid w:val="0052789E"/>
    <w:rsid w:val="0054546D"/>
    <w:rsid w:val="0054701C"/>
    <w:rsid w:val="00552D38"/>
    <w:rsid w:val="00553531"/>
    <w:rsid w:val="0055448B"/>
    <w:rsid w:val="00556431"/>
    <w:rsid w:val="00561A86"/>
    <w:rsid w:val="00563582"/>
    <w:rsid w:val="005668B2"/>
    <w:rsid w:val="005832F0"/>
    <w:rsid w:val="00594148"/>
    <w:rsid w:val="00596134"/>
    <w:rsid w:val="00596577"/>
    <w:rsid w:val="005970A2"/>
    <w:rsid w:val="00597B58"/>
    <w:rsid w:val="005A46D9"/>
    <w:rsid w:val="005A4D4B"/>
    <w:rsid w:val="005A524E"/>
    <w:rsid w:val="005C3CDD"/>
    <w:rsid w:val="005C76D2"/>
    <w:rsid w:val="005D01E6"/>
    <w:rsid w:val="005D52B0"/>
    <w:rsid w:val="005E55D3"/>
    <w:rsid w:val="005F1BC8"/>
    <w:rsid w:val="005F3E7D"/>
    <w:rsid w:val="006026E0"/>
    <w:rsid w:val="00607CEE"/>
    <w:rsid w:val="0061023C"/>
    <w:rsid w:val="00615DAF"/>
    <w:rsid w:val="00625A7A"/>
    <w:rsid w:val="00635698"/>
    <w:rsid w:val="00636486"/>
    <w:rsid w:val="00640C57"/>
    <w:rsid w:val="006414EF"/>
    <w:rsid w:val="0064176C"/>
    <w:rsid w:val="00644461"/>
    <w:rsid w:val="00650B03"/>
    <w:rsid w:val="0065589B"/>
    <w:rsid w:val="00656EC7"/>
    <w:rsid w:val="0067484E"/>
    <w:rsid w:val="00677C94"/>
    <w:rsid w:val="00685298"/>
    <w:rsid w:val="00697334"/>
    <w:rsid w:val="006A2D70"/>
    <w:rsid w:val="006A339C"/>
    <w:rsid w:val="006A7C7E"/>
    <w:rsid w:val="006B40A4"/>
    <w:rsid w:val="006B5F7F"/>
    <w:rsid w:val="006C66EB"/>
    <w:rsid w:val="006D6C2B"/>
    <w:rsid w:val="006D7337"/>
    <w:rsid w:val="006F1931"/>
    <w:rsid w:val="006F2249"/>
    <w:rsid w:val="007029C4"/>
    <w:rsid w:val="0070484A"/>
    <w:rsid w:val="00704D38"/>
    <w:rsid w:val="0072631C"/>
    <w:rsid w:val="00726C5C"/>
    <w:rsid w:val="00727BA3"/>
    <w:rsid w:val="00727CB5"/>
    <w:rsid w:val="00731F62"/>
    <w:rsid w:val="007360C3"/>
    <w:rsid w:val="00737B19"/>
    <w:rsid w:val="00737D8B"/>
    <w:rsid w:val="00740750"/>
    <w:rsid w:val="00740848"/>
    <w:rsid w:val="00761D48"/>
    <w:rsid w:val="0077183D"/>
    <w:rsid w:val="00782D89"/>
    <w:rsid w:val="00791BC9"/>
    <w:rsid w:val="00792A3F"/>
    <w:rsid w:val="00797977"/>
    <w:rsid w:val="00797B1A"/>
    <w:rsid w:val="007A04FF"/>
    <w:rsid w:val="007A1AB5"/>
    <w:rsid w:val="007B3F64"/>
    <w:rsid w:val="007B5CAE"/>
    <w:rsid w:val="007B65F5"/>
    <w:rsid w:val="007C13FE"/>
    <w:rsid w:val="007D2B07"/>
    <w:rsid w:val="007E46CF"/>
    <w:rsid w:val="007E568B"/>
    <w:rsid w:val="007F2B34"/>
    <w:rsid w:val="007F665E"/>
    <w:rsid w:val="007F6892"/>
    <w:rsid w:val="00806600"/>
    <w:rsid w:val="00816BE0"/>
    <w:rsid w:val="008372B7"/>
    <w:rsid w:val="00842714"/>
    <w:rsid w:val="00844B10"/>
    <w:rsid w:val="008471D3"/>
    <w:rsid w:val="0085312C"/>
    <w:rsid w:val="00854C1C"/>
    <w:rsid w:val="008614D8"/>
    <w:rsid w:val="00861C1C"/>
    <w:rsid w:val="00870C81"/>
    <w:rsid w:val="008818DB"/>
    <w:rsid w:val="0088338E"/>
    <w:rsid w:val="0089195D"/>
    <w:rsid w:val="00897B89"/>
    <w:rsid w:val="008A7E85"/>
    <w:rsid w:val="008B3E99"/>
    <w:rsid w:val="008B3EB0"/>
    <w:rsid w:val="008E4ACB"/>
    <w:rsid w:val="008E6C16"/>
    <w:rsid w:val="008F5B89"/>
    <w:rsid w:val="008F6A06"/>
    <w:rsid w:val="009055BD"/>
    <w:rsid w:val="00911D6D"/>
    <w:rsid w:val="009125BC"/>
    <w:rsid w:val="009137AD"/>
    <w:rsid w:val="009137F6"/>
    <w:rsid w:val="0092090B"/>
    <w:rsid w:val="009273EF"/>
    <w:rsid w:val="00930C7B"/>
    <w:rsid w:val="009313A0"/>
    <w:rsid w:val="00940FEE"/>
    <w:rsid w:val="009417CE"/>
    <w:rsid w:val="00942C34"/>
    <w:rsid w:val="00956012"/>
    <w:rsid w:val="00957CDA"/>
    <w:rsid w:val="0096723A"/>
    <w:rsid w:val="009715A5"/>
    <w:rsid w:val="00981CA4"/>
    <w:rsid w:val="00982E95"/>
    <w:rsid w:val="0098354F"/>
    <w:rsid w:val="00984E46"/>
    <w:rsid w:val="00992EC9"/>
    <w:rsid w:val="00997C6A"/>
    <w:rsid w:val="009B0F36"/>
    <w:rsid w:val="009B2A2E"/>
    <w:rsid w:val="009B55F8"/>
    <w:rsid w:val="009C08A0"/>
    <w:rsid w:val="009C2EAF"/>
    <w:rsid w:val="009C4BDD"/>
    <w:rsid w:val="009C4D99"/>
    <w:rsid w:val="009D713C"/>
    <w:rsid w:val="009E024A"/>
    <w:rsid w:val="009E2FF7"/>
    <w:rsid w:val="009E6E15"/>
    <w:rsid w:val="009F1C4E"/>
    <w:rsid w:val="009F1EB8"/>
    <w:rsid w:val="009F681E"/>
    <w:rsid w:val="00A03049"/>
    <w:rsid w:val="00A032D5"/>
    <w:rsid w:val="00A13068"/>
    <w:rsid w:val="00A13BC7"/>
    <w:rsid w:val="00A14949"/>
    <w:rsid w:val="00A16F9B"/>
    <w:rsid w:val="00A25BBF"/>
    <w:rsid w:val="00A40F6F"/>
    <w:rsid w:val="00A422FF"/>
    <w:rsid w:val="00A562EC"/>
    <w:rsid w:val="00A67BC9"/>
    <w:rsid w:val="00A67BCB"/>
    <w:rsid w:val="00A75221"/>
    <w:rsid w:val="00A82FC1"/>
    <w:rsid w:val="00A91E9E"/>
    <w:rsid w:val="00A93364"/>
    <w:rsid w:val="00AA6E75"/>
    <w:rsid w:val="00AA7197"/>
    <w:rsid w:val="00AB3B1B"/>
    <w:rsid w:val="00AD1CAE"/>
    <w:rsid w:val="00AD5734"/>
    <w:rsid w:val="00AD6495"/>
    <w:rsid w:val="00AE1EEB"/>
    <w:rsid w:val="00AE4140"/>
    <w:rsid w:val="00AE5F14"/>
    <w:rsid w:val="00AF0488"/>
    <w:rsid w:val="00AF342C"/>
    <w:rsid w:val="00AF3AF7"/>
    <w:rsid w:val="00AF6754"/>
    <w:rsid w:val="00AF6CCF"/>
    <w:rsid w:val="00B01E60"/>
    <w:rsid w:val="00B05F4C"/>
    <w:rsid w:val="00B111D2"/>
    <w:rsid w:val="00B212C3"/>
    <w:rsid w:val="00B226B0"/>
    <w:rsid w:val="00B30E95"/>
    <w:rsid w:val="00B34AEB"/>
    <w:rsid w:val="00B406C4"/>
    <w:rsid w:val="00B4118B"/>
    <w:rsid w:val="00B41A7D"/>
    <w:rsid w:val="00B52A9C"/>
    <w:rsid w:val="00B52D3C"/>
    <w:rsid w:val="00B60096"/>
    <w:rsid w:val="00B62696"/>
    <w:rsid w:val="00B67212"/>
    <w:rsid w:val="00B71A81"/>
    <w:rsid w:val="00B7532F"/>
    <w:rsid w:val="00B779EA"/>
    <w:rsid w:val="00B80594"/>
    <w:rsid w:val="00B9060C"/>
    <w:rsid w:val="00B93A07"/>
    <w:rsid w:val="00BA3C70"/>
    <w:rsid w:val="00BA6556"/>
    <w:rsid w:val="00BB3E7F"/>
    <w:rsid w:val="00BC02DD"/>
    <w:rsid w:val="00BD13FB"/>
    <w:rsid w:val="00BE2C56"/>
    <w:rsid w:val="00BE32D4"/>
    <w:rsid w:val="00BE733C"/>
    <w:rsid w:val="00BF20CA"/>
    <w:rsid w:val="00C00ED8"/>
    <w:rsid w:val="00C01B52"/>
    <w:rsid w:val="00C17A1B"/>
    <w:rsid w:val="00C37598"/>
    <w:rsid w:val="00C415BA"/>
    <w:rsid w:val="00C4777D"/>
    <w:rsid w:val="00C53248"/>
    <w:rsid w:val="00C61A62"/>
    <w:rsid w:val="00C6492B"/>
    <w:rsid w:val="00C70162"/>
    <w:rsid w:val="00C73736"/>
    <w:rsid w:val="00C74BCD"/>
    <w:rsid w:val="00C76C1D"/>
    <w:rsid w:val="00CA61F8"/>
    <w:rsid w:val="00CB0A50"/>
    <w:rsid w:val="00CB0EDE"/>
    <w:rsid w:val="00CB31BE"/>
    <w:rsid w:val="00CC7CEF"/>
    <w:rsid w:val="00CD01AC"/>
    <w:rsid w:val="00CD1FD6"/>
    <w:rsid w:val="00CD39D9"/>
    <w:rsid w:val="00CD627E"/>
    <w:rsid w:val="00CE471F"/>
    <w:rsid w:val="00D01527"/>
    <w:rsid w:val="00D02CCE"/>
    <w:rsid w:val="00D0516D"/>
    <w:rsid w:val="00D12B9A"/>
    <w:rsid w:val="00D2483B"/>
    <w:rsid w:val="00D3483B"/>
    <w:rsid w:val="00D37857"/>
    <w:rsid w:val="00D51794"/>
    <w:rsid w:val="00D634C7"/>
    <w:rsid w:val="00D642F1"/>
    <w:rsid w:val="00D77210"/>
    <w:rsid w:val="00D83EEA"/>
    <w:rsid w:val="00D91810"/>
    <w:rsid w:val="00D92EF1"/>
    <w:rsid w:val="00D9622D"/>
    <w:rsid w:val="00DA03B6"/>
    <w:rsid w:val="00DA3B71"/>
    <w:rsid w:val="00DA5854"/>
    <w:rsid w:val="00DB1060"/>
    <w:rsid w:val="00DB3F45"/>
    <w:rsid w:val="00DC29E9"/>
    <w:rsid w:val="00DC302B"/>
    <w:rsid w:val="00DC45BD"/>
    <w:rsid w:val="00DD0FD6"/>
    <w:rsid w:val="00DD113F"/>
    <w:rsid w:val="00DD14D4"/>
    <w:rsid w:val="00DD3919"/>
    <w:rsid w:val="00DD4B17"/>
    <w:rsid w:val="00DE224D"/>
    <w:rsid w:val="00DE2C36"/>
    <w:rsid w:val="00DE2FC4"/>
    <w:rsid w:val="00DE4F29"/>
    <w:rsid w:val="00DF654C"/>
    <w:rsid w:val="00E0122E"/>
    <w:rsid w:val="00E01A92"/>
    <w:rsid w:val="00E15332"/>
    <w:rsid w:val="00E22C47"/>
    <w:rsid w:val="00E31652"/>
    <w:rsid w:val="00E35523"/>
    <w:rsid w:val="00E43DE4"/>
    <w:rsid w:val="00E72D0C"/>
    <w:rsid w:val="00E749A6"/>
    <w:rsid w:val="00E77BD5"/>
    <w:rsid w:val="00E81958"/>
    <w:rsid w:val="00E82882"/>
    <w:rsid w:val="00E836A1"/>
    <w:rsid w:val="00E87C31"/>
    <w:rsid w:val="00E95938"/>
    <w:rsid w:val="00EA2393"/>
    <w:rsid w:val="00EA3B5C"/>
    <w:rsid w:val="00EA7DE3"/>
    <w:rsid w:val="00EE1053"/>
    <w:rsid w:val="00EE4CA9"/>
    <w:rsid w:val="00EE6F77"/>
    <w:rsid w:val="00EF1569"/>
    <w:rsid w:val="00F00F15"/>
    <w:rsid w:val="00F075E9"/>
    <w:rsid w:val="00F141AE"/>
    <w:rsid w:val="00F146C6"/>
    <w:rsid w:val="00F15AD3"/>
    <w:rsid w:val="00F1782A"/>
    <w:rsid w:val="00F17DD1"/>
    <w:rsid w:val="00F20BCE"/>
    <w:rsid w:val="00F218F4"/>
    <w:rsid w:val="00F27FE4"/>
    <w:rsid w:val="00F364DB"/>
    <w:rsid w:val="00F42BFE"/>
    <w:rsid w:val="00F51195"/>
    <w:rsid w:val="00F551D8"/>
    <w:rsid w:val="00F72C11"/>
    <w:rsid w:val="00F769E3"/>
    <w:rsid w:val="00F9371E"/>
    <w:rsid w:val="00FA39EC"/>
    <w:rsid w:val="00FB1259"/>
    <w:rsid w:val="00FB2574"/>
    <w:rsid w:val="00FB62EA"/>
    <w:rsid w:val="00FC31DF"/>
    <w:rsid w:val="00FC7E7F"/>
    <w:rsid w:val="00FD1A5B"/>
    <w:rsid w:val="00FD2A2A"/>
    <w:rsid w:val="00FD2F9A"/>
    <w:rsid w:val="00FD71E1"/>
    <w:rsid w:val="00FF44BA"/>
    <w:rsid w:val="00FF6460"/>
    <w:rsid w:val="00FF6FA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E864B4"/>
  <w15:docId w15:val="{F4CE5CDF-D375-4B87-9453-0BC94884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eastAsia="es-ES"/>
    </w:rPr>
  </w:style>
  <w:style w:type="paragraph" w:customStyle="1" w:styleId="Texto">
    <w:name w:val="Texto"/>
    <w:basedOn w:val="Normal"/>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table" w:styleId="Tablaconcuadrcula">
    <w:name w:val="Table Grid"/>
    <w:basedOn w:val="Tablanormal"/>
    <w:uiPriority w:val="39"/>
    <w:rsid w:val="00B75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8195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81958"/>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E81958"/>
    <w:rPr>
      <w:vertAlign w:val="superscript"/>
    </w:rPr>
  </w:style>
  <w:style w:type="character" w:styleId="Hipervnculo">
    <w:name w:val="Hyperlink"/>
    <w:basedOn w:val="Fuentedeprrafopredeter"/>
    <w:uiPriority w:val="99"/>
    <w:unhideWhenUsed/>
    <w:rsid w:val="00D01527"/>
    <w:rPr>
      <w:color w:val="0563C1" w:themeColor="hyperlink"/>
      <w:u w:val="single"/>
    </w:rPr>
  </w:style>
  <w:style w:type="paragraph" w:styleId="Textodeglobo">
    <w:name w:val="Balloon Text"/>
    <w:basedOn w:val="Normal"/>
    <w:link w:val="TextodegloboCar"/>
    <w:uiPriority w:val="99"/>
    <w:semiHidden/>
    <w:unhideWhenUsed/>
    <w:rsid w:val="00E012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122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210346">
      <w:bodyDiv w:val="1"/>
      <w:marLeft w:val="0"/>
      <w:marRight w:val="0"/>
      <w:marTop w:val="0"/>
      <w:marBottom w:val="0"/>
      <w:divBdr>
        <w:top w:val="none" w:sz="0" w:space="0" w:color="auto"/>
        <w:left w:val="none" w:sz="0" w:space="0" w:color="auto"/>
        <w:bottom w:val="none" w:sz="0" w:space="0" w:color="auto"/>
        <w:right w:val="none" w:sz="0" w:space="0" w:color="auto"/>
      </w:divBdr>
      <w:divsChild>
        <w:div w:id="714541872">
          <w:marLeft w:val="0"/>
          <w:marRight w:val="0"/>
          <w:marTop w:val="0"/>
          <w:marBottom w:val="101"/>
          <w:divBdr>
            <w:top w:val="none" w:sz="0" w:space="0" w:color="auto"/>
            <w:left w:val="none" w:sz="0" w:space="0" w:color="auto"/>
            <w:bottom w:val="none" w:sz="0" w:space="0" w:color="auto"/>
            <w:right w:val="none" w:sz="0" w:space="0" w:color="auto"/>
          </w:divBdr>
        </w:div>
        <w:div w:id="889922820">
          <w:marLeft w:val="0"/>
          <w:marRight w:val="0"/>
          <w:marTop w:val="0"/>
          <w:marBottom w:val="54"/>
          <w:divBdr>
            <w:top w:val="none" w:sz="0" w:space="0" w:color="auto"/>
            <w:left w:val="none" w:sz="0" w:space="0" w:color="auto"/>
            <w:bottom w:val="none" w:sz="0" w:space="0" w:color="auto"/>
            <w:right w:val="none" w:sz="0" w:space="0" w:color="auto"/>
          </w:divBdr>
        </w:div>
        <w:div w:id="951520640">
          <w:marLeft w:val="0"/>
          <w:marRight w:val="0"/>
          <w:marTop w:val="0"/>
          <w:marBottom w:val="86"/>
          <w:divBdr>
            <w:top w:val="none" w:sz="0" w:space="0" w:color="auto"/>
            <w:left w:val="none" w:sz="0" w:space="0" w:color="auto"/>
            <w:bottom w:val="none" w:sz="0" w:space="0" w:color="auto"/>
            <w:right w:val="none" w:sz="0" w:space="0" w:color="auto"/>
          </w:divBdr>
        </w:div>
        <w:div w:id="1227573686">
          <w:marLeft w:val="0"/>
          <w:marRight w:val="0"/>
          <w:marTop w:val="0"/>
          <w:marBottom w:val="90"/>
          <w:divBdr>
            <w:top w:val="none" w:sz="0" w:space="0" w:color="auto"/>
            <w:left w:val="none" w:sz="0" w:space="0" w:color="auto"/>
            <w:bottom w:val="none" w:sz="0" w:space="0" w:color="auto"/>
            <w:right w:val="none" w:sz="0" w:space="0" w:color="auto"/>
          </w:divBdr>
        </w:div>
        <w:div w:id="1357121139">
          <w:marLeft w:val="0"/>
          <w:marRight w:val="0"/>
          <w:marTop w:val="0"/>
          <w:marBottom w:val="86"/>
          <w:divBdr>
            <w:top w:val="none" w:sz="0" w:space="0" w:color="auto"/>
            <w:left w:val="none" w:sz="0" w:space="0" w:color="auto"/>
            <w:bottom w:val="none" w:sz="0" w:space="0" w:color="auto"/>
            <w:right w:val="none" w:sz="0" w:space="0" w:color="auto"/>
          </w:divBdr>
        </w:div>
        <w:div w:id="1560357470">
          <w:marLeft w:val="0"/>
          <w:marRight w:val="0"/>
          <w:marTop w:val="0"/>
          <w:marBottom w:val="86"/>
          <w:divBdr>
            <w:top w:val="none" w:sz="0" w:space="0" w:color="auto"/>
            <w:left w:val="none" w:sz="0" w:space="0" w:color="auto"/>
            <w:bottom w:val="none" w:sz="0" w:space="0" w:color="auto"/>
            <w:right w:val="none" w:sz="0" w:space="0" w:color="auto"/>
          </w:divBdr>
        </w:div>
        <w:div w:id="1694071422">
          <w:marLeft w:val="0"/>
          <w:marRight w:val="0"/>
          <w:marTop w:val="0"/>
          <w:marBottom w:val="90"/>
          <w:divBdr>
            <w:top w:val="none" w:sz="0" w:space="0" w:color="auto"/>
            <w:left w:val="none" w:sz="0" w:space="0" w:color="auto"/>
            <w:bottom w:val="none" w:sz="0" w:space="0" w:color="auto"/>
            <w:right w:val="none" w:sz="0" w:space="0" w:color="auto"/>
          </w:divBdr>
        </w:div>
        <w:div w:id="1797721606">
          <w:marLeft w:val="0"/>
          <w:marRight w:val="0"/>
          <w:marTop w:val="0"/>
          <w:marBottom w:val="90"/>
          <w:divBdr>
            <w:top w:val="none" w:sz="0" w:space="0" w:color="auto"/>
            <w:left w:val="none" w:sz="0" w:space="0" w:color="auto"/>
            <w:bottom w:val="none" w:sz="0" w:space="0" w:color="auto"/>
            <w:right w:val="none" w:sz="0" w:space="0" w:color="auto"/>
          </w:divBdr>
        </w:div>
        <w:div w:id="1924145052">
          <w:marLeft w:val="0"/>
          <w:marRight w:val="0"/>
          <w:marTop w:val="0"/>
          <w:marBottom w:val="54"/>
          <w:divBdr>
            <w:top w:val="none" w:sz="0" w:space="0" w:color="auto"/>
            <w:left w:val="none" w:sz="0" w:space="0" w:color="auto"/>
            <w:bottom w:val="none" w:sz="0" w:space="0" w:color="auto"/>
            <w:right w:val="none" w:sz="0" w:space="0" w:color="auto"/>
          </w:divBdr>
        </w:div>
        <w:div w:id="1960145751">
          <w:marLeft w:val="0"/>
          <w:marRight w:val="0"/>
          <w:marTop w:val="0"/>
          <w:marBottom w:val="86"/>
          <w:divBdr>
            <w:top w:val="none" w:sz="0" w:space="0" w:color="auto"/>
            <w:left w:val="none" w:sz="0" w:space="0" w:color="auto"/>
            <w:bottom w:val="none" w:sz="0" w:space="0" w:color="auto"/>
            <w:right w:val="none" w:sz="0" w:space="0" w:color="auto"/>
          </w:divBdr>
        </w:div>
        <w:div w:id="1963338017">
          <w:marLeft w:val="0"/>
          <w:marRight w:val="0"/>
          <w:marTop w:val="0"/>
          <w:marBottom w:val="86"/>
          <w:divBdr>
            <w:top w:val="none" w:sz="0" w:space="0" w:color="auto"/>
            <w:left w:val="none" w:sz="0" w:space="0" w:color="auto"/>
            <w:bottom w:val="none" w:sz="0" w:space="0" w:color="auto"/>
            <w:right w:val="none" w:sz="0" w:space="0" w:color="auto"/>
          </w:divBdr>
        </w:div>
        <w:div w:id="1964380847">
          <w:marLeft w:val="0"/>
          <w:marRight w:val="0"/>
          <w:marTop w:val="0"/>
          <w:marBottom w:val="86"/>
          <w:divBdr>
            <w:top w:val="none" w:sz="0" w:space="0" w:color="auto"/>
            <w:left w:val="none" w:sz="0" w:space="0" w:color="auto"/>
            <w:bottom w:val="none" w:sz="0" w:space="0" w:color="auto"/>
            <w:right w:val="none" w:sz="0" w:space="0" w:color="auto"/>
          </w:divBdr>
        </w:div>
        <w:div w:id="2137673331">
          <w:marLeft w:val="0"/>
          <w:marRight w:val="0"/>
          <w:marTop w:val="0"/>
          <w:marBottom w:val="90"/>
          <w:divBdr>
            <w:top w:val="none" w:sz="0" w:space="0" w:color="auto"/>
            <w:left w:val="none" w:sz="0" w:space="0" w:color="auto"/>
            <w:bottom w:val="none" w:sz="0" w:space="0" w:color="auto"/>
            <w:right w:val="none" w:sz="0" w:space="0" w:color="auto"/>
          </w:divBdr>
        </w:div>
        <w:div w:id="2144031732">
          <w:marLeft w:val="0"/>
          <w:marRight w:val="0"/>
          <w:marTop w:val="0"/>
          <w:marBottom w:val="86"/>
          <w:divBdr>
            <w:top w:val="none" w:sz="0" w:space="0" w:color="auto"/>
            <w:left w:val="none" w:sz="0" w:space="0" w:color="auto"/>
            <w:bottom w:val="none" w:sz="0" w:space="0" w:color="auto"/>
            <w:right w:val="none" w:sz="0" w:space="0" w:color="auto"/>
          </w:divBdr>
        </w:div>
      </w:divsChild>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nimalpolitico.com/2021/08/accidentes-trafico-muertes-lesiones-2021/" TargetMode="External"/><Relationship Id="rId2" Type="http://schemas.openxmlformats.org/officeDocument/2006/relationships/hyperlink" Target="https://coronavirus.gob.mx/wpcontent/uploads/2020/04/Guia_basica_sistemas_prehospitalarios_COVID19.pdf" TargetMode="External"/><Relationship Id="rId1" Type="http://schemas.openxmlformats.org/officeDocument/2006/relationships/hyperlink" Target="http://cuentame.inegi.org.mx/monografias/informacion/chih/territori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8CF4C-7BFF-4773-A168-3DC87F8FC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1043</Words>
  <Characters>5739</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López Nájera</dc:creator>
  <cp:keywords/>
  <dc:description/>
  <cp:lastModifiedBy>Sonia Pérez Chacón</cp:lastModifiedBy>
  <cp:revision>2</cp:revision>
  <cp:lastPrinted>2021-11-10T17:40:00Z</cp:lastPrinted>
  <dcterms:created xsi:type="dcterms:W3CDTF">2021-11-10T20:20:00Z</dcterms:created>
  <dcterms:modified xsi:type="dcterms:W3CDTF">2021-11-10T20:20:00Z</dcterms:modified>
</cp:coreProperties>
</file>