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8F389" w14:textId="77777777" w:rsidR="00CE613E" w:rsidRDefault="00CE613E" w:rsidP="002862F2">
      <w:pPr>
        <w:spacing w:line="360" w:lineRule="auto"/>
        <w:jc w:val="both"/>
        <w:rPr>
          <w:rFonts w:ascii="Century Gothic" w:hAnsi="Century Gothic"/>
          <w:b/>
          <w:bCs/>
          <w:sz w:val="24"/>
          <w:szCs w:val="24"/>
        </w:rPr>
      </w:pPr>
      <w:bookmarkStart w:id="0" w:name="_GoBack"/>
      <w:bookmarkEnd w:id="0"/>
    </w:p>
    <w:p w14:paraId="12DF7A6A" w14:textId="77777777" w:rsidR="00CB0F0F" w:rsidRPr="002862F2" w:rsidRDefault="00CB0F0F" w:rsidP="002862F2">
      <w:pPr>
        <w:spacing w:line="360" w:lineRule="auto"/>
        <w:jc w:val="both"/>
        <w:rPr>
          <w:rFonts w:ascii="Century Gothic" w:hAnsi="Century Gothic"/>
          <w:b/>
          <w:bCs/>
          <w:sz w:val="24"/>
          <w:szCs w:val="24"/>
        </w:rPr>
      </w:pPr>
      <w:r w:rsidRPr="002862F2">
        <w:rPr>
          <w:rFonts w:ascii="Century Gothic" w:hAnsi="Century Gothic"/>
          <w:b/>
          <w:bCs/>
          <w:sz w:val="24"/>
          <w:szCs w:val="24"/>
        </w:rPr>
        <w:t xml:space="preserve">H. CONGRESO DEL ESTADO. </w:t>
      </w:r>
    </w:p>
    <w:p w14:paraId="2267F15A" w14:textId="77777777" w:rsidR="00CB0F0F" w:rsidRPr="002862F2" w:rsidRDefault="00CB0F0F" w:rsidP="002862F2">
      <w:pPr>
        <w:spacing w:line="360" w:lineRule="auto"/>
        <w:jc w:val="both"/>
        <w:rPr>
          <w:rFonts w:ascii="Century Gothic" w:hAnsi="Century Gothic"/>
          <w:b/>
          <w:bCs/>
          <w:sz w:val="24"/>
          <w:szCs w:val="24"/>
        </w:rPr>
      </w:pPr>
      <w:r w:rsidRPr="002862F2">
        <w:rPr>
          <w:rFonts w:ascii="Century Gothic" w:hAnsi="Century Gothic"/>
          <w:b/>
          <w:bCs/>
          <w:sz w:val="24"/>
          <w:szCs w:val="24"/>
        </w:rPr>
        <w:t>PRESENTE.</w:t>
      </w:r>
    </w:p>
    <w:p w14:paraId="08A2D00F" w14:textId="77777777" w:rsidR="00CB0F0F" w:rsidRPr="00CB0F0F" w:rsidRDefault="00CB0F0F" w:rsidP="002862F2">
      <w:pPr>
        <w:spacing w:line="360" w:lineRule="auto"/>
        <w:jc w:val="both"/>
        <w:rPr>
          <w:rFonts w:ascii="Century Gothic" w:hAnsi="Century Gothic"/>
          <w:sz w:val="24"/>
          <w:szCs w:val="24"/>
        </w:rPr>
      </w:pPr>
      <w:r w:rsidRPr="00CB0F0F">
        <w:rPr>
          <w:rFonts w:ascii="Century Gothic" w:hAnsi="Century Gothic"/>
          <w:sz w:val="24"/>
          <w:szCs w:val="24"/>
        </w:rPr>
        <w:tab/>
      </w:r>
    </w:p>
    <w:p w14:paraId="69147210" w14:textId="2FFF0911" w:rsidR="00CB0F0F" w:rsidRDefault="007368E9" w:rsidP="00CE613E">
      <w:pPr>
        <w:spacing w:after="0" w:line="360" w:lineRule="auto"/>
        <w:jc w:val="both"/>
        <w:rPr>
          <w:rFonts w:ascii="Century Gothic" w:hAnsi="Century Gothic"/>
          <w:b/>
          <w:bCs/>
          <w:sz w:val="24"/>
          <w:szCs w:val="24"/>
        </w:rPr>
      </w:pPr>
      <w:r w:rsidRPr="007368E9">
        <w:rPr>
          <w:rFonts w:ascii="Century Gothic" w:hAnsi="Century Gothic"/>
          <w:sz w:val="24"/>
          <w:szCs w:val="24"/>
        </w:rPr>
        <w:t>Quien suscribe, Diputada Diana Ivette Pereda Gutiérrez, integrante del Grupo Parlamentario del Partido Acción Nacional y en su</w:t>
      </w:r>
      <w:r>
        <w:rPr>
          <w:rFonts w:ascii="Century Gothic" w:hAnsi="Century Gothic"/>
          <w:sz w:val="24"/>
          <w:szCs w:val="24"/>
        </w:rPr>
        <w:t xml:space="preserve"> representación en</w:t>
      </w:r>
      <w:r w:rsidR="00CB0F0F" w:rsidRPr="00CB0F0F">
        <w:rPr>
          <w:rFonts w:ascii="Century Gothic" w:hAnsi="Century Gothic"/>
          <w:sz w:val="24"/>
          <w:szCs w:val="24"/>
        </w:rPr>
        <w:t xml:space="preserve"> la Sexagésima Séptima Legislatura del H. Congreso del Estado, con fundamento en lo dispuesto en l</w:t>
      </w:r>
      <w:r>
        <w:rPr>
          <w:rFonts w:ascii="Century Gothic" w:hAnsi="Century Gothic"/>
          <w:sz w:val="24"/>
          <w:szCs w:val="24"/>
        </w:rPr>
        <w:t>os Artículos 64 fracción II</w:t>
      </w:r>
      <w:r w:rsidR="00CB0F0F" w:rsidRPr="00CB0F0F">
        <w:rPr>
          <w:rFonts w:ascii="Century Gothic" w:hAnsi="Century Gothic"/>
          <w:sz w:val="24"/>
          <w:szCs w:val="24"/>
        </w:rPr>
        <w:t xml:space="preserve">, 68 fracción </w:t>
      </w:r>
      <w:r>
        <w:rPr>
          <w:rFonts w:ascii="Century Gothic" w:hAnsi="Century Gothic"/>
          <w:sz w:val="24"/>
          <w:szCs w:val="24"/>
        </w:rPr>
        <w:t>I</w:t>
      </w:r>
      <w:r w:rsidR="00CB0F0F" w:rsidRPr="00CB0F0F">
        <w:rPr>
          <w:rFonts w:ascii="Century Gothic" w:hAnsi="Century Gothic"/>
          <w:sz w:val="24"/>
          <w:szCs w:val="24"/>
        </w:rPr>
        <w:t xml:space="preserve"> de la Constitución Política del Estado de Chihuahua, así como los artículos 167 fracción </w:t>
      </w:r>
      <w:r>
        <w:rPr>
          <w:rFonts w:ascii="Century Gothic" w:hAnsi="Century Gothic"/>
          <w:sz w:val="24"/>
          <w:szCs w:val="24"/>
        </w:rPr>
        <w:t>I</w:t>
      </w:r>
      <w:r w:rsidR="00CB0F0F" w:rsidRPr="00CB0F0F">
        <w:rPr>
          <w:rFonts w:ascii="Century Gothic" w:hAnsi="Century Gothic"/>
          <w:sz w:val="24"/>
          <w:szCs w:val="24"/>
        </w:rPr>
        <w:t xml:space="preserve"> y 169 de la Ley Orgánica del Poder Legislativo del Estado de Chihuahua; acudimos ante esta H. Representación Popular a presentar iniciativa con carácter de </w:t>
      </w:r>
      <w:r w:rsidR="002D0D65" w:rsidRPr="002D0D65">
        <w:rPr>
          <w:rFonts w:ascii="Century Gothic" w:hAnsi="Century Gothic"/>
          <w:b/>
          <w:bCs/>
          <w:sz w:val="24"/>
          <w:szCs w:val="24"/>
        </w:rPr>
        <w:t>P</w:t>
      </w:r>
      <w:r w:rsidR="00DB1D41" w:rsidRPr="002D0D65">
        <w:rPr>
          <w:rFonts w:ascii="Century Gothic" w:hAnsi="Century Gothic"/>
          <w:b/>
          <w:bCs/>
          <w:sz w:val="24"/>
          <w:szCs w:val="24"/>
        </w:rPr>
        <w:t xml:space="preserve">unto de Acuerdo, </w:t>
      </w:r>
      <w:r w:rsidR="000305D5" w:rsidRPr="000305D5">
        <w:rPr>
          <w:rFonts w:ascii="Century Gothic" w:hAnsi="Century Gothic"/>
          <w:b/>
          <w:bCs/>
          <w:sz w:val="24"/>
          <w:szCs w:val="24"/>
        </w:rPr>
        <w:t>a efecto de Exhortar a la Secretaría de Educación y Deporte del Estado de Chihuahua</w:t>
      </w:r>
      <w:r w:rsidR="00DB1D41" w:rsidRPr="000305D5">
        <w:rPr>
          <w:rFonts w:ascii="Century Gothic" w:hAnsi="Century Gothic"/>
          <w:b/>
          <w:bCs/>
          <w:sz w:val="24"/>
          <w:szCs w:val="24"/>
        </w:rPr>
        <w:t xml:space="preserve">, </w:t>
      </w:r>
      <w:r w:rsidR="000305D5" w:rsidRPr="000305D5">
        <w:rPr>
          <w:rFonts w:ascii="Century Gothic" w:hAnsi="Century Gothic"/>
          <w:b/>
          <w:bCs/>
          <w:sz w:val="24"/>
          <w:szCs w:val="24"/>
        </w:rPr>
        <w:t>para que dé</w:t>
      </w:r>
      <w:r w:rsidR="009E530B" w:rsidRPr="000305D5">
        <w:rPr>
          <w:rFonts w:ascii="Century Gothic" w:hAnsi="Century Gothic"/>
          <w:b/>
          <w:bCs/>
          <w:sz w:val="24"/>
          <w:szCs w:val="24"/>
        </w:rPr>
        <w:t xml:space="preserve"> </w:t>
      </w:r>
      <w:r w:rsidR="000305D5" w:rsidRPr="000305D5">
        <w:rPr>
          <w:rFonts w:ascii="Century Gothic" w:hAnsi="Century Gothic"/>
          <w:b/>
          <w:bCs/>
          <w:sz w:val="24"/>
          <w:szCs w:val="24"/>
        </w:rPr>
        <w:t>continuidad a la</w:t>
      </w:r>
      <w:r w:rsidR="009E530B" w:rsidRPr="000305D5">
        <w:rPr>
          <w:rFonts w:ascii="Century Gothic" w:hAnsi="Century Gothic"/>
          <w:b/>
          <w:bCs/>
          <w:sz w:val="24"/>
          <w:szCs w:val="24"/>
        </w:rPr>
        <w:t xml:space="preserve"> difusión</w:t>
      </w:r>
      <w:r w:rsidR="000305D5" w:rsidRPr="000305D5">
        <w:rPr>
          <w:rFonts w:ascii="Century Gothic" w:hAnsi="Century Gothic"/>
          <w:b/>
          <w:bCs/>
          <w:sz w:val="24"/>
          <w:szCs w:val="24"/>
        </w:rPr>
        <w:t xml:space="preserve"> y capacitación del</w:t>
      </w:r>
      <w:r w:rsidR="00C919CB" w:rsidRPr="000305D5">
        <w:rPr>
          <w:rFonts w:ascii="Century Gothic" w:hAnsi="Century Gothic"/>
          <w:b/>
          <w:bCs/>
          <w:sz w:val="24"/>
          <w:szCs w:val="24"/>
        </w:rPr>
        <w:t xml:space="preserve"> personal docente y directivo sobre el contenido del PROTOCOLO ÚNICO DE PREVENCIÓN, DETECCIÓN Y ACTUACIÓN EN CASOS DE VIOLENCIA CONTRA NIÑOS, NIÑAS Y ADOLESCENTES EN LA ESCUELA DE EDUCACIÓN BÁSICA EN EL ESTADO DE CHIHUAHUA, toda vez que con el reinicio de las clases presenciales</w:t>
      </w:r>
      <w:r w:rsidR="00B32E52" w:rsidRPr="000305D5">
        <w:rPr>
          <w:rFonts w:ascii="Century Gothic" w:hAnsi="Century Gothic"/>
          <w:b/>
          <w:bCs/>
          <w:sz w:val="24"/>
          <w:szCs w:val="24"/>
        </w:rPr>
        <w:t xml:space="preserve"> requiere actualizar</w:t>
      </w:r>
      <w:r w:rsidR="005277DB" w:rsidRPr="000305D5">
        <w:rPr>
          <w:rFonts w:ascii="Century Gothic" w:hAnsi="Century Gothic"/>
          <w:b/>
          <w:bCs/>
          <w:sz w:val="24"/>
          <w:szCs w:val="24"/>
        </w:rPr>
        <w:t xml:space="preserve"> la capacitación respecto del contenido del citado protocolo. </w:t>
      </w:r>
      <w:r w:rsidR="00CB0F0F" w:rsidRPr="000305D5">
        <w:rPr>
          <w:rFonts w:ascii="Century Gothic" w:hAnsi="Century Gothic"/>
          <w:b/>
          <w:bCs/>
          <w:sz w:val="24"/>
          <w:szCs w:val="24"/>
        </w:rPr>
        <w:t>Lo ante</w:t>
      </w:r>
      <w:r w:rsidR="00CB0F0F" w:rsidRPr="002D0D65">
        <w:rPr>
          <w:rFonts w:ascii="Century Gothic" w:hAnsi="Century Gothic"/>
          <w:b/>
          <w:bCs/>
          <w:sz w:val="24"/>
          <w:szCs w:val="24"/>
        </w:rPr>
        <w:t>rior al tenor de la siguiente:</w:t>
      </w:r>
    </w:p>
    <w:p w14:paraId="48390973" w14:textId="77777777" w:rsidR="00CE613E" w:rsidRPr="00DB1D41" w:rsidRDefault="00CE613E" w:rsidP="00CE613E">
      <w:pPr>
        <w:spacing w:after="0" w:line="360" w:lineRule="auto"/>
        <w:jc w:val="both"/>
        <w:rPr>
          <w:rFonts w:ascii="Century Gothic" w:hAnsi="Century Gothic"/>
          <w:sz w:val="24"/>
          <w:szCs w:val="24"/>
          <w:highlight w:val="yellow"/>
        </w:rPr>
      </w:pPr>
    </w:p>
    <w:p w14:paraId="75D90E8F" w14:textId="5068CCDE" w:rsidR="00CB0F0F" w:rsidRDefault="00CB0F0F" w:rsidP="00CE613E">
      <w:pPr>
        <w:spacing w:after="0" w:line="360" w:lineRule="auto"/>
        <w:jc w:val="center"/>
        <w:rPr>
          <w:rFonts w:ascii="Century Gothic" w:hAnsi="Century Gothic"/>
          <w:b/>
          <w:bCs/>
          <w:sz w:val="24"/>
          <w:szCs w:val="24"/>
        </w:rPr>
      </w:pPr>
      <w:r w:rsidRPr="002862F2">
        <w:rPr>
          <w:rFonts w:ascii="Century Gothic" w:hAnsi="Century Gothic"/>
          <w:b/>
          <w:bCs/>
          <w:sz w:val="24"/>
          <w:szCs w:val="24"/>
        </w:rPr>
        <w:t>EXPOSICIÓN DE MOTIVOS.</w:t>
      </w:r>
    </w:p>
    <w:p w14:paraId="4F2C6B53" w14:textId="77777777" w:rsidR="00CE613E" w:rsidRPr="002862F2" w:rsidRDefault="00CE613E" w:rsidP="00CE613E">
      <w:pPr>
        <w:spacing w:after="0" w:line="360" w:lineRule="auto"/>
        <w:jc w:val="center"/>
        <w:rPr>
          <w:rFonts w:ascii="Century Gothic" w:hAnsi="Century Gothic"/>
          <w:b/>
          <w:bCs/>
          <w:sz w:val="24"/>
          <w:szCs w:val="24"/>
        </w:rPr>
      </w:pPr>
    </w:p>
    <w:p w14:paraId="0B3420F1" w14:textId="01F3B726" w:rsidR="002F4408" w:rsidRPr="002F4408" w:rsidRDefault="00CB0F0F" w:rsidP="00CE613E">
      <w:pPr>
        <w:spacing w:line="360" w:lineRule="auto"/>
        <w:jc w:val="both"/>
        <w:rPr>
          <w:rFonts w:ascii="Century Gothic" w:hAnsi="Century Gothic"/>
          <w:sz w:val="24"/>
          <w:szCs w:val="24"/>
        </w:rPr>
      </w:pPr>
      <w:r w:rsidRPr="002862F2">
        <w:rPr>
          <w:rFonts w:ascii="Century Gothic" w:hAnsi="Century Gothic"/>
          <w:b/>
          <w:bCs/>
          <w:sz w:val="24"/>
          <w:szCs w:val="24"/>
        </w:rPr>
        <w:t>I.-</w:t>
      </w:r>
      <w:r>
        <w:rPr>
          <w:rFonts w:ascii="Century Gothic" w:hAnsi="Century Gothic"/>
          <w:sz w:val="24"/>
          <w:szCs w:val="24"/>
        </w:rPr>
        <w:t xml:space="preserve"> </w:t>
      </w:r>
      <w:r w:rsidR="002F4408" w:rsidRPr="002F4408">
        <w:rPr>
          <w:rFonts w:ascii="Century Gothic" w:hAnsi="Century Gothic"/>
          <w:sz w:val="24"/>
          <w:szCs w:val="24"/>
        </w:rPr>
        <w:t xml:space="preserve">La pandemia de COVID-19, desatada a comienzos del 2020, </w:t>
      </w:r>
      <w:r w:rsidR="002F4408" w:rsidRPr="00CB0F0F">
        <w:rPr>
          <w:rFonts w:ascii="Century Gothic" w:hAnsi="Century Gothic"/>
          <w:sz w:val="24"/>
          <w:szCs w:val="24"/>
        </w:rPr>
        <w:t xml:space="preserve">derivó en un cambio drástico en la vida de las personas creando </w:t>
      </w:r>
      <w:r w:rsidR="002F4408" w:rsidRPr="002F4408">
        <w:rPr>
          <w:rFonts w:ascii="Century Gothic" w:hAnsi="Century Gothic"/>
          <w:sz w:val="24"/>
          <w:szCs w:val="24"/>
        </w:rPr>
        <w:t xml:space="preserve">una conmoción para las familias a nivel mundial. El confinamiento social y el cierre escolar </w:t>
      </w:r>
      <w:r w:rsidR="002F4408" w:rsidRPr="00CB0F0F">
        <w:rPr>
          <w:rFonts w:ascii="Century Gothic" w:hAnsi="Century Gothic"/>
          <w:sz w:val="24"/>
          <w:szCs w:val="24"/>
        </w:rPr>
        <w:t xml:space="preserve">fueron </w:t>
      </w:r>
      <w:r w:rsidR="002F4408" w:rsidRPr="002F4408">
        <w:rPr>
          <w:rFonts w:ascii="Century Gothic" w:hAnsi="Century Gothic"/>
          <w:sz w:val="24"/>
          <w:szCs w:val="24"/>
        </w:rPr>
        <w:t xml:space="preserve">medidas adoptadas por los países afectados, para prevenir la propagación de la enfermedad. Si bien en </w:t>
      </w:r>
      <w:r w:rsidR="002F4408" w:rsidRPr="00CB0F0F">
        <w:rPr>
          <w:rFonts w:ascii="Century Gothic" w:hAnsi="Century Gothic"/>
          <w:sz w:val="24"/>
          <w:szCs w:val="24"/>
        </w:rPr>
        <w:t>nuestro país</w:t>
      </w:r>
      <w:r w:rsidR="002F4408" w:rsidRPr="002F4408">
        <w:rPr>
          <w:rFonts w:ascii="Century Gothic" w:hAnsi="Century Gothic"/>
          <w:sz w:val="24"/>
          <w:szCs w:val="24"/>
        </w:rPr>
        <w:t xml:space="preserve"> se optó por el confinamiento </w:t>
      </w:r>
      <w:r w:rsidR="002F4408" w:rsidRPr="002F4408">
        <w:rPr>
          <w:rFonts w:ascii="Century Gothic" w:hAnsi="Century Gothic"/>
          <w:sz w:val="24"/>
          <w:szCs w:val="24"/>
        </w:rPr>
        <w:lastRenderedPageBreak/>
        <w:t>voluntario, hubo un alto acatamiento por parte de la población. Estas medidas, que sin duda contribuyeron en el control de la epidemia, determinaron cambios profundos en la vida cotidiana y en las rutinas básicas de las familias, con un importante impacto en otros componentes de la salud, psicosociales y económicos. Estos fenómenos asociados se han llegado a denominar pandemia secundaria o parapandemia.</w:t>
      </w:r>
    </w:p>
    <w:p w14:paraId="69E07EF6" w14:textId="69107C0E" w:rsidR="002F4408" w:rsidRPr="002F4408" w:rsidRDefault="002F4408" w:rsidP="00CE613E">
      <w:pPr>
        <w:spacing w:line="360" w:lineRule="auto"/>
        <w:jc w:val="both"/>
        <w:rPr>
          <w:rFonts w:ascii="Century Gothic" w:hAnsi="Century Gothic"/>
          <w:sz w:val="24"/>
          <w:szCs w:val="24"/>
        </w:rPr>
      </w:pPr>
      <w:r w:rsidRPr="002F4408">
        <w:rPr>
          <w:rFonts w:ascii="Century Gothic" w:hAnsi="Century Gothic"/>
          <w:sz w:val="24"/>
          <w:szCs w:val="24"/>
        </w:rPr>
        <w:t>Para los adultos, el no concurrir a los lugares de trabajo habitual, el teletrabajo, la inseguridad laboral, el desempleo y la disminución o pérdida de ingresos, sup</w:t>
      </w:r>
      <w:r w:rsidRPr="00CB0F0F">
        <w:rPr>
          <w:rFonts w:ascii="Century Gothic" w:hAnsi="Century Gothic"/>
          <w:sz w:val="24"/>
          <w:szCs w:val="24"/>
        </w:rPr>
        <w:t>usieron una</w:t>
      </w:r>
      <w:r w:rsidRPr="002F4408">
        <w:rPr>
          <w:rFonts w:ascii="Century Gothic" w:hAnsi="Century Gothic"/>
          <w:sz w:val="24"/>
          <w:szCs w:val="24"/>
        </w:rPr>
        <w:t xml:space="preserve"> gran incertidumbre y un alto nivel de estrés. A esto se agreg</w:t>
      </w:r>
      <w:r w:rsidRPr="00CB0F0F">
        <w:rPr>
          <w:rFonts w:ascii="Century Gothic" w:hAnsi="Century Gothic"/>
          <w:sz w:val="24"/>
          <w:szCs w:val="24"/>
        </w:rPr>
        <w:t>ó</w:t>
      </w:r>
      <w:r w:rsidRPr="002F4408">
        <w:rPr>
          <w:rFonts w:ascii="Century Gothic" w:hAnsi="Century Gothic"/>
          <w:sz w:val="24"/>
          <w:szCs w:val="24"/>
        </w:rPr>
        <w:t xml:space="preserve"> el cuidado de los hijos a tiempo completo, asumir la responsabilidad de la tarea escolar en la casa y las actividades domésticas.</w:t>
      </w:r>
    </w:p>
    <w:p w14:paraId="64739329" w14:textId="5174FB0B" w:rsidR="002F4408" w:rsidRPr="00CB0F0F" w:rsidRDefault="007368E9" w:rsidP="002862F2">
      <w:pPr>
        <w:spacing w:line="360" w:lineRule="auto"/>
        <w:jc w:val="both"/>
        <w:rPr>
          <w:rFonts w:ascii="Century Gothic" w:hAnsi="Century Gothic"/>
          <w:sz w:val="24"/>
          <w:szCs w:val="24"/>
        </w:rPr>
      </w:pPr>
      <w:r>
        <w:rPr>
          <w:rFonts w:ascii="Century Gothic" w:hAnsi="Century Gothic"/>
          <w:sz w:val="24"/>
          <w:szCs w:val="24"/>
        </w:rPr>
        <w:t>En niños, niñas</w:t>
      </w:r>
      <w:r w:rsidR="002F4408" w:rsidRPr="002F4408">
        <w:rPr>
          <w:rFonts w:ascii="Century Gothic" w:hAnsi="Century Gothic"/>
          <w:sz w:val="24"/>
          <w:szCs w:val="24"/>
        </w:rPr>
        <w:t xml:space="preserve"> y adolescentes</w:t>
      </w:r>
      <w:r>
        <w:rPr>
          <w:rFonts w:ascii="Century Gothic" w:hAnsi="Century Gothic"/>
          <w:sz w:val="24"/>
          <w:szCs w:val="24"/>
        </w:rPr>
        <w:t>,</w:t>
      </w:r>
      <w:r w:rsidR="002F4408" w:rsidRPr="002F4408">
        <w:rPr>
          <w:rFonts w:ascii="Century Gothic" w:hAnsi="Century Gothic"/>
          <w:sz w:val="24"/>
          <w:szCs w:val="24"/>
        </w:rPr>
        <w:t xml:space="preserve"> la restricción de la concurrencia a los centros educativos limita los procesos de socialización, el intercambio con pares, el juego compartido, la actividad física y los aprendizajes formales, además de otros beneficios que brindan las escuelas. Estos cierres educativos y su reapertura en condiciones de extrema precaución sanitaria generan temor, tristeza e inseguridad en las nuevas generaciones. Riesgos que no son mitigados con la educación virtual, que además de sobrecargar tareas en los padres y obligarlos a cumplir un rol educativo activo, atentan contra el derecho sagrado del niño de socializar y jugar libremente con sus pares.</w:t>
      </w:r>
    </w:p>
    <w:p w14:paraId="5B097694" w14:textId="308D5452" w:rsidR="002F4408" w:rsidRPr="00CB0F0F" w:rsidRDefault="00153D06" w:rsidP="002862F2">
      <w:pPr>
        <w:spacing w:line="360" w:lineRule="auto"/>
        <w:jc w:val="both"/>
        <w:rPr>
          <w:rFonts w:ascii="Century Gothic" w:hAnsi="Century Gothic"/>
          <w:sz w:val="24"/>
          <w:szCs w:val="24"/>
        </w:rPr>
      </w:pPr>
      <w:r w:rsidRPr="00CB0F0F">
        <w:rPr>
          <w:rFonts w:ascii="Century Gothic" w:hAnsi="Century Gothic"/>
          <w:sz w:val="24"/>
          <w:szCs w:val="24"/>
        </w:rPr>
        <w:t>La familia, es el primer educador de los niños, su rol en importancia como el lugar seguro y natural de las niñas y niños en nuestra sociedad es innegable, pero también e</w:t>
      </w:r>
      <w:r w:rsidR="002F4408" w:rsidRPr="00CB0F0F">
        <w:rPr>
          <w:rFonts w:ascii="Century Gothic" w:hAnsi="Century Gothic"/>
          <w:sz w:val="24"/>
          <w:szCs w:val="24"/>
        </w:rPr>
        <w:t xml:space="preserve">s innegable que </w:t>
      </w:r>
      <w:r w:rsidRPr="00CB0F0F">
        <w:rPr>
          <w:rFonts w:ascii="Century Gothic" w:hAnsi="Century Gothic"/>
          <w:sz w:val="24"/>
          <w:szCs w:val="24"/>
        </w:rPr>
        <w:t>los</w:t>
      </w:r>
      <w:r w:rsidR="002F4408" w:rsidRPr="00CB0F0F">
        <w:rPr>
          <w:rFonts w:ascii="Century Gothic" w:hAnsi="Century Gothic"/>
          <w:sz w:val="24"/>
          <w:szCs w:val="24"/>
        </w:rPr>
        <w:t xml:space="preserve"> factores</w:t>
      </w:r>
      <w:r w:rsidRPr="00CB0F0F">
        <w:rPr>
          <w:rFonts w:ascii="Century Gothic" w:hAnsi="Century Gothic"/>
          <w:sz w:val="24"/>
          <w:szCs w:val="24"/>
        </w:rPr>
        <w:t xml:space="preserve"> derivados de la pandemia, impactaron e</w:t>
      </w:r>
      <w:r w:rsidR="002F4408" w:rsidRPr="00CB0F0F">
        <w:rPr>
          <w:rFonts w:ascii="Century Gothic" w:hAnsi="Century Gothic"/>
          <w:sz w:val="24"/>
          <w:szCs w:val="24"/>
        </w:rPr>
        <w:t xml:space="preserve"> impactan en forma no equitativa, siendo aquellos niños, niñas y adolescentes en situación de discapacidad, trauma, con problemas de salud mental o pertenecientes a familias en situación de pobreza, los más vulnerables. En este sentido, se menciona que las familias en estos contextos de confinamiento padecen una gran presión interna que requiere de </w:t>
      </w:r>
      <w:r w:rsidR="002F4408" w:rsidRPr="00CB0F0F">
        <w:rPr>
          <w:rFonts w:ascii="Century Gothic" w:hAnsi="Century Gothic"/>
          <w:sz w:val="24"/>
          <w:szCs w:val="24"/>
        </w:rPr>
        <w:lastRenderedPageBreak/>
        <w:t>mecanismos de afrontamiento potentes para regular emociones y controlar comportamientos para adaptarse a las nuevas situaciones. Las fallas en estos mecanismos y el agravamiento de los problemas de salud mental de los adultos</w:t>
      </w:r>
      <w:r w:rsidRPr="00CB0F0F">
        <w:rPr>
          <w:rFonts w:ascii="Century Gothic" w:hAnsi="Century Gothic"/>
          <w:sz w:val="24"/>
          <w:szCs w:val="24"/>
        </w:rPr>
        <w:t xml:space="preserve">, el cierre escolar y las limitaciones en el acceso a servicios de salud y de apoyo social a las familias por el shock de las instituciones, como ocurrió en nuestro país, disminuyen las barreras de control social frente a las situaciones de violencia hacia la infancia </w:t>
      </w:r>
      <w:r w:rsidR="007721CB">
        <w:rPr>
          <w:rFonts w:ascii="Century Gothic" w:hAnsi="Century Gothic"/>
          <w:sz w:val="24"/>
          <w:szCs w:val="24"/>
        </w:rPr>
        <w:t xml:space="preserve">durante el confinamiento, </w:t>
      </w:r>
      <w:r w:rsidR="002F4408" w:rsidRPr="00CB0F0F">
        <w:rPr>
          <w:rFonts w:ascii="Century Gothic" w:hAnsi="Century Gothic"/>
          <w:sz w:val="24"/>
          <w:szCs w:val="24"/>
        </w:rPr>
        <w:t>incrementan la posibilidad de violencia doméstica y exponen a niños</w:t>
      </w:r>
      <w:r w:rsidRPr="00CB0F0F">
        <w:rPr>
          <w:rFonts w:ascii="Century Gothic" w:hAnsi="Century Gothic"/>
          <w:sz w:val="24"/>
          <w:szCs w:val="24"/>
        </w:rPr>
        <w:t>, niñ</w:t>
      </w:r>
      <w:r w:rsidR="002F4408" w:rsidRPr="00CB0F0F">
        <w:rPr>
          <w:rFonts w:ascii="Century Gothic" w:hAnsi="Century Gothic"/>
          <w:sz w:val="24"/>
          <w:szCs w:val="24"/>
        </w:rPr>
        <w:t xml:space="preserve">as y adolescentes a un mayor riesgo de sufrir distintas formas de maltrato. </w:t>
      </w:r>
    </w:p>
    <w:p w14:paraId="2BFF6427" w14:textId="77EBF781" w:rsidR="00153D06" w:rsidRPr="00CB0F0F" w:rsidRDefault="00153D06" w:rsidP="002862F2">
      <w:pPr>
        <w:spacing w:line="360" w:lineRule="auto"/>
        <w:jc w:val="both"/>
        <w:rPr>
          <w:rFonts w:ascii="Century Gothic" w:hAnsi="Century Gothic"/>
          <w:sz w:val="24"/>
          <w:szCs w:val="24"/>
        </w:rPr>
      </w:pPr>
      <w:r w:rsidRPr="00CB0F0F">
        <w:rPr>
          <w:rFonts w:ascii="Century Gothic" w:hAnsi="Century Gothic"/>
          <w:sz w:val="24"/>
          <w:szCs w:val="24"/>
        </w:rPr>
        <w:t>Sabemos que las situaciones de violencia de distinto tipo en el ámbito de la familia (maltrato físico, abuso sexual, psicológico, violencia de género, etc.) son factores ambientales de alto riesgo para la salud física y mental en niños, niñas y adolescentes a corto, mediano y largo plazo. Por este motivo, entendemos que es fundamental alertar sobre la importancia de lograr un retorno seguro y pleno a los centros educativos. Lo cual cobra mayor relevancia al papel que los centros educativos deben representar como instancias para detectar posibles casos de violencia infantil, que las niñas, niños y adolescentes sufrieron o sufren en su entorno doméstico.</w:t>
      </w:r>
    </w:p>
    <w:p w14:paraId="3282F94A" w14:textId="5DE3435E" w:rsidR="00153D06" w:rsidRDefault="00CB0F0F" w:rsidP="002862F2">
      <w:pPr>
        <w:spacing w:line="360" w:lineRule="auto"/>
        <w:jc w:val="both"/>
        <w:rPr>
          <w:rFonts w:ascii="Century Gothic" w:hAnsi="Century Gothic"/>
          <w:sz w:val="24"/>
          <w:szCs w:val="24"/>
        </w:rPr>
      </w:pPr>
      <w:r w:rsidRPr="002862F2">
        <w:rPr>
          <w:rFonts w:ascii="Century Gothic" w:hAnsi="Century Gothic"/>
          <w:b/>
          <w:bCs/>
          <w:sz w:val="24"/>
          <w:szCs w:val="24"/>
        </w:rPr>
        <w:t>II.-</w:t>
      </w:r>
      <w:r w:rsidR="002862F2">
        <w:rPr>
          <w:rFonts w:ascii="Century Gothic" w:hAnsi="Century Gothic"/>
          <w:b/>
          <w:bCs/>
          <w:sz w:val="24"/>
          <w:szCs w:val="24"/>
        </w:rPr>
        <w:t xml:space="preserve"> </w:t>
      </w:r>
      <w:r w:rsidR="002862F2">
        <w:rPr>
          <w:rFonts w:ascii="Century Gothic" w:hAnsi="Century Gothic"/>
          <w:sz w:val="24"/>
          <w:szCs w:val="24"/>
        </w:rPr>
        <w:t xml:space="preserve">Es necesario aclarar, que la función docente es la enseñanza, no es ni la investigación, ni la solución de las conductas ilícitas ni mucho menos, pero es innegable que su papel como constructores de comunidad, y al estar en la vanguardia en el contacto que el Estado tiene con los educandos, es </w:t>
      </w:r>
      <w:r w:rsidR="002D0D65">
        <w:rPr>
          <w:rFonts w:ascii="Century Gothic" w:hAnsi="Century Gothic"/>
          <w:sz w:val="24"/>
          <w:szCs w:val="24"/>
        </w:rPr>
        <w:t xml:space="preserve">entonces inevitable que sean las maestras y maestros los primeros adultos que tengan conocimiento de los llamados de auxilios de las niñas, niños y adolescentes e inclusive de padres y tutores, por ello, es de suma importancia que nuestros docentes estén </w:t>
      </w:r>
      <w:r w:rsidR="002D0D65" w:rsidRPr="000305D5">
        <w:rPr>
          <w:rFonts w:ascii="Century Gothic" w:hAnsi="Century Gothic"/>
          <w:sz w:val="24"/>
          <w:szCs w:val="24"/>
        </w:rPr>
        <w:t xml:space="preserve">debidamente </w:t>
      </w:r>
      <w:r w:rsidR="005277DB" w:rsidRPr="000305D5">
        <w:rPr>
          <w:rFonts w:ascii="Century Gothic" w:hAnsi="Century Gothic"/>
          <w:sz w:val="24"/>
          <w:szCs w:val="24"/>
        </w:rPr>
        <w:t xml:space="preserve">informados y </w:t>
      </w:r>
      <w:r w:rsidR="002D0D65" w:rsidRPr="000305D5">
        <w:rPr>
          <w:rFonts w:ascii="Century Gothic" w:hAnsi="Century Gothic"/>
          <w:sz w:val="24"/>
          <w:szCs w:val="24"/>
        </w:rPr>
        <w:t xml:space="preserve">capacitados </w:t>
      </w:r>
      <w:r w:rsidR="005277DB" w:rsidRPr="000305D5">
        <w:rPr>
          <w:rFonts w:ascii="Century Gothic" w:hAnsi="Century Gothic"/>
          <w:sz w:val="24"/>
          <w:szCs w:val="24"/>
        </w:rPr>
        <w:t xml:space="preserve">de las acciones a seguir planteadas </w:t>
      </w:r>
      <w:r w:rsidR="002D0D65" w:rsidRPr="000305D5">
        <w:rPr>
          <w:rFonts w:ascii="Century Gothic" w:hAnsi="Century Gothic"/>
          <w:sz w:val="24"/>
          <w:szCs w:val="24"/>
        </w:rPr>
        <w:t>en el</w:t>
      </w:r>
      <w:r w:rsidR="00FF0EB3" w:rsidRPr="000305D5">
        <w:rPr>
          <w:rFonts w:ascii="Century Gothic" w:hAnsi="Century Gothic"/>
          <w:sz w:val="24"/>
          <w:szCs w:val="24"/>
        </w:rPr>
        <w:t xml:space="preserve"> P</w:t>
      </w:r>
      <w:r w:rsidR="002D0D65" w:rsidRPr="000305D5">
        <w:rPr>
          <w:rFonts w:ascii="Century Gothic" w:hAnsi="Century Gothic"/>
          <w:sz w:val="24"/>
          <w:szCs w:val="24"/>
        </w:rPr>
        <w:t>rotoc</w:t>
      </w:r>
      <w:r w:rsidR="002D0D65">
        <w:rPr>
          <w:rFonts w:ascii="Century Gothic" w:hAnsi="Century Gothic"/>
          <w:sz w:val="24"/>
          <w:szCs w:val="24"/>
        </w:rPr>
        <w:t xml:space="preserve">olo </w:t>
      </w:r>
      <w:r w:rsidR="00FF0EB3">
        <w:rPr>
          <w:rFonts w:ascii="Century Gothic" w:hAnsi="Century Gothic"/>
          <w:sz w:val="24"/>
          <w:szCs w:val="24"/>
        </w:rPr>
        <w:t>Único para la Prevención, Detección y Actuación en Casos de Violencia Contra Niñas, Niños y Adolescentes</w:t>
      </w:r>
      <w:r w:rsidR="00FF0EB3" w:rsidRPr="00FF0EB3">
        <w:rPr>
          <w:rFonts w:ascii="Century Gothic" w:hAnsi="Century Gothic"/>
          <w:sz w:val="24"/>
          <w:szCs w:val="24"/>
        </w:rPr>
        <w:t xml:space="preserve"> </w:t>
      </w:r>
      <w:r w:rsidR="00FF0EB3">
        <w:rPr>
          <w:rFonts w:ascii="Century Gothic" w:hAnsi="Century Gothic"/>
          <w:sz w:val="24"/>
          <w:szCs w:val="24"/>
        </w:rPr>
        <w:t xml:space="preserve">en las Escuelas de Educación Básica del Estado de </w:t>
      </w:r>
      <w:r w:rsidR="00FF0EB3">
        <w:rPr>
          <w:rFonts w:ascii="Century Gothic" w:hAnsi="Century Gothic"/>
          <w:sz w:val="24"/>
          <w:szCs w:val="24"/>
        </w:rPr>
        <w:lastRenderedPageBreak/>
        <w:t xml:space="preserve">Chihuahua,  </w:t>
      </w:r>
      <w:r w:rsidR="002D0D65">
        <w:rPr>
          <w:rFonts w:ascii="Century Gothic" w:hAnsi="Century Gothic"/>
          <w:sz w:val="24"/>
          <w:szCs w:val="24"/>
        </w:rPr>
        <w:t xml:space="preserve">que deben seguir cuando se vean frente a estos llamados de auxilio. </w:t>
      </w:r>
      <w:r w:rsidR="002862F2">
        <w:rPr>
          <w:rFonts w:ascii="Century Gothic" w:hAnsi="Century Gothic"/>
          <w:sz w:val="24"/>
          <w:szCs w:val="24"/>
        </w:rPr>
        <w:t xml:space="preserve"> </w:t>
      </w:r>
      <w:r w:rsidR="002D0D65">
        <w:rPr>
          <w:rFonts w:ascii="Century Gothic" w:hAnsi="Century Gothic"/>
          <w:sz w:val="24"/>
          <w:szCs w:val="24"/>
        </w:rPr>
        <w:t>Por supuesto, es debido reconocer</w:t>
      </w:r>
      <w:r w:rsidR="00153D06" w:rsidRPr="00CB0F0F">
        <w:rPr>
          <w:rFonts w:ascii="Century Gothic" w:hAnsi="Century Gothic"/>
          <w:sz w:val="24"/>
          <w:szCs w:val="24"/>
        </w:rPr>
        <w:t>,</w:t>
      </w:r>
      <w:r w:rsidR="002D0D65">
        <w:rPr>
          <w:rFonts w:ascii="Century Gothic" w:hAnsi="Century Gothic"/>
          <w:sz w:val="24"/>
          <w:szCs w:val="24"/>
        </w:rPr>
        <w:t xml:space="preserve"> que ese papel</w:t>
      </w:r>
      <w:r w:rsidR="00153D06" w:rsidRPr="00CB0F0F">
        <w:rPr>
          <w:rFonts w:ascii="Century Gothic" w:hAnsi="Century Gothic"/>
          <w:sz w:val="24"/>
          <w:szCs w:val="24"/>
        </w:rPr>
        <w:t xml:space="preserve"> de los centros educativos, siempre se ha desempeñado gracias al profesionalismo de las maestras y maestros de nuestro Estado, particularmente en el nivel básico, así como del personal de apoyo, profesionistas en psicopedagogía, trabajo social y jurídico de las instancias </w:t>
      </w:r>
      <w:r w:rsidR="00063361" w:rsidRPr="00CB0F0F">
        <w:rPr>
          <w:rFonts w:ascii="Century Gothic" w:hAnsi="Century Gothic"/>
          <w:sz w:val="24"/>
          <w:szCs w:val="24"/>
        </w:rPr>
        <w:t xml:space="preserve">de la estructura educativa. Por mencionar un ejemplo: los Servicios Educativos del Estado </w:t>
      </w:r>
      <w:r w:rsidR="00E15E5E" w:rsidRPr="00CB0F0F">
        <w:rPr>
          <w:rFonts w:ascii="Century Gothic" w:hAnsi="Century Gothic"/>
          <w:sz w:val="24"/>
          <w:szCs w:val="24"/>
        </w:rPr>
        <w:t>a través de la Dirección de Educación Primaria, imparte cursos al personal docente, directivo y de supervisión a fin de</w:t>
      </w:r>
      <w:r w:rsidR="00B30313" w:rsidRPr="00CB0F0F">
        <w:rPr>
          <w:rFonts w:ascii="Century Gothic" w:hAnsi="Century Gothic"/>
          <w:sz w:val="24"/>
          <w:szCs w:val="24"/>
        </w:rPr>
        <w:t xml:space="preserve"> informar los protocolos </w:t>
      </w:r>
      <w:r w:rsidR="00FF0EB3">
        <w:rPr>
          <w:rFonts w:ascii="Century Gothic" w:hAnsi="Century Gothic"/>
          <w:sz w:val="24"/>
          <w:szCs w:val="24"/>
        </w:rPr>
        <w:t>para</w:t>
      </w:r>
      <w:r w:rsidR="00E15E5E" w:rsidRPr="00CB0F0F">
        <w:rPr>
          <w:rFonts w:ascii="Century Gothic" w:hAnsi="Century Gothic"/>
          <w:sz w:val="24"/>
          <w:szCs w:val="24"/>
        </w:rPr>
        <w:t xml:space="preserve"> canalizar denuncias </w:t>
      </w:r>
      <w:r w:rsidR="00B30313" w:rsidRPr="00CB0F0F">
        <w:rPr>
          <w:rFonts w:ascii="Century Gothic" w:hAnsi="Century Gothic"/>
          <w:sz w:val="24"/>
          <w:szCs w:val="24"/>
        </w:rPr>
        <w:t xml:space="preserve">de violencia infantil de las que tengan conocimiento. </w:t>
      </w:r>
    </w:p>
    <w:p w14:paraId="7D48FDA6" w14:textId="07DA45D5" w:rsidR="00D66E42" w:rsidRPr="000305D5" w:rsidRDefault="00D66E42" w:rsidP="002862F2">
      <w:pPr>
        <w:spacing w:line="360" w:lineRule="auto"/>
        <w:jc w:val="both"/>
        <w:rPr>
          <w:rFonts w:ascii="Century Gothic" w:hAnsi="Century Gothic"/>
          <w:sz w:val="24"/>
          <w:szCs w:val="24"/>
        </w:rPr>
      </w:pPr>
      <w:r w:rsidRPr="00374402">
        <w:rPr>
          <w:rFonts w:ascii="Century Gothic" w:hAnsi="Century Gothic"/>
          <w:sz w:val="24"/>
          <w:szCs w:val="24"/>
        </w:rPr>
        <w:t xml:space="preserve">Es relevante destacar, que actualmente existen diversas dependencias y organismos que por separado actúan en relación a este protocolo, tal es el caso </w:t>
      </w:r>
      <w:r w:rsidR="000305D5">
        <w:rPr>
          <w:rFonts w:ascii="Century Gothic" w:hAnsi="Century Gothic"/>
          <w:sz w:val="24"/>
          <w:szCs w:val="24"/>
        </w:rPr>
        <w:t>también del Sistema Estatal de P</w:t>
      </w:r>
      <w:r w:rsidRPr="00374402">
        <w:rPr>
          <w:rFonts w:ascii="Century Gothic" w:hAnsi="Century Gothic"/>
          <w:sz w:val="24"/>
          <w:szCs w:val="24"/>
        </w:rPr>
        <w:t>rotección Integral de Niñas, Niños y Adolescentes, (SIPINNA</w:t>
      </w:r>
      <w:r w:rsidRPr="000305D5">
        <w:rPr>
          <w:rFonts w:ascii="Century Gothic" w:hAnsi="Century Gothic"/>
          <w:sz w:val="24"/>
          <w:szCs w:val="24"/>
        </w:rPr>
        <w:t>) que es la ins</w:t>
      </w:r>
      <w:r w:rsidR="00EF129C" w:rsidRPr="000305D5">
        <w:rPr>
          <w:rFonts w:ascii="Century Gothic" w:hAnsi="Century Gothic"/>
          <w:sz w:val="24"/>
          <w:szCs w:val="24"/>
        </w:rPr>
        <w:t xml:space="preserve">tancia encargada </w:t>
      </w:r>
      <w:r w:rsidR="000305D5" w:rsidRPr="000305D5">
        <w:rPr>
          <w:rFonts w:ascii="Century Gothic" w:hAnsi="Century Gothic"/>
          <w:sz w:val="24"/>
          <w:szCs w:val="24"/>
        </w:rPr>
        <w:t xml:space="preserve">de </w:t>
      </w:r>
      <w:r w:rsidR="005277DB" w:rsidRPr="000305D5">
        <w:rPr>
          <w:rFonts w:ascii="Century Gothic" w:hAnsi="Century Gothic"/>
          <w:sz w:val="24"/>
          <w:szCs w:val="24"/>
        </w:rPr>
        <w:t xml:space="preserve">vigilar el cumplimiento, que en atención a la protección de niños, niñas y adolescentes, les corresponde a cada dependencia de gobierno tal y como se establece en el Protocolo </w:t>
      </w:r>
      <w:r w:rsidR="00374402" w:rsidRPr="000305D5">
        <w:rPr>
          <w:rFonts w:ascii="Century Gothic" w:hAnsi="Century Gothic"/>
          <w:sz w:val="24"/>
          <w:szCs w:val="24"/>
        </w:rPr>
        <w:t xml:space="preserve">de Coordinación Institucional para la detección, atención e investigación de actos que impliquen vulneración o restricción de derechos de niñas, niños y adolescentes. </w:t>
      </w:r>
    </w:p>
    <w:p w14:paraId="3C54D00A" w14:textId="1A1A2A2E" w:rsidR="00B30313" w:rsidRPr="00CB0F0F" w:rsidRDefault="00617466" w:rsidP="002862F2">
      <w:pPr>
        <w:spacing w:line="360" w:lineRule="auto"/>
        <w:jc w:val="both"/>
        <w:rPr>
          <w:rFonts w:ascii="Century Gothic" w:hAnsi="Century Gothic"/>
          <w:sz w:val="24"/>
          <w:szCs w:val="24"/>
        </w:rPr>
      </w:pPr>
      <w:r w:rsidRPr="00CB0F0F">
        <w:rPr>
          <w:rFonts w:ascii="Century Gothic" w:hAnsi="Century Gothic"/>
          <w:sz w:val="24"/>
          <w:szCs w:val="24"/>
        </w:rPr>
        <w:t>Además,</w:t>
      </w:r>
      <w:r w:rsidR="00B30313" w:rsidRPr="00CB0F0F">
        <w:rPr>
          <w:rFonts w:ascii="Century Gothic" w:hAnsi="Century Gothic"/>
          <w:sz w:val="24"/>
          <w:szCs w:val="24"/>
        </w:rPr>
        <w:t xml:space="preserve"> Servicios Educativos del Estado de Chihuahua, forma parte de la Red para la Atención Integral de la Violencia Sexual de </w:t>
      </w:r>
      <w:r w:rsidRPr="00CB0F0F">
        <w:rPr>
          <w:rFonts w:ascii="Century Gothic" w:hAnsi="Century Gothic"/>
          <w:sz w:val="24"/>
          <w:szCs w:val="24"/>
        </w:rPr>
        <w:t>Niñas,</w:t>
      </w:r>
      <w:r w:rsidR="00B30313" w:rsidRPr="00CB0F0F">
        <w:rPr>
          <w:rFonts w:ascii="Century Gothic" w:hAnsi="Century Gothic"/>
          <w:sz w:val="24"/>
          <w:szCs w:val="24"/>
        </w:rPr>
        <w:t xml:space="preserve"> Niños y Adolescentes conformada por otras doce instituciones</w:t>
      </w:r>
      <w:r w:rsidRPr="00CB0F0F">
        <w:rPr>
          <w:rFonts w:ascii="Century Gothic" w:hAnsi="Century Gothic"/>
          <w:sz w:val="24"/>
          <w:szCs w:val="24"/>
        </w:rPr>
        <w:t>, donde existe una comunicación constante entre instancias para dar seguimiento a las denuncias recibidas y organizar la atención que le corresponde a cada instancia.</w:t>
      </w:r>
    </w:p>
    <w:p w14:paraId="78D0E8DF" w14:textId="71BEBCE1" w:rsidR="00617466" w:rsidRPr="00CB0F0F" w:rsidRDefault="00617466" w:rsidP="002862F2">
      <w:pPr>
        <w:spacing w:line="360" w:lineRule="auto"/>
        <w:jc w:val="both"/>
        <w:rPr>
          <w:rFonts w:ascii="Century Gothic" w:hAnsi="Century Gothic"/>
          <w:sz w:val="24"/>
          <w:szCs w:val="24"/>
        </w:rPr>
      </w:pPr>
      <w:r w:rsidRPr="00CB0F0F">
        <w:rPr>
          <w:rFonts w:ascii="Century Gothic" w:hAnsi="Century Gothic"/>
          <w:sz w:val="24"/>
          <w:szCs w:val="24"/>
        </w:rPr>
        <w:t xml:space="preserve">Todo lo anterior, es acorde a </w:t>
      </w:r>
      <w:r w:rsidR="00BC72CA" w:rsidRPr="00CB0F0F">
        <w:rPr>
          <w:rFonts w:ascii="Century Gothic" w:hAnsi="Century Gothic"/>
          <w:sz w:val="24"/>
          <w:szCs w:val="24"/>
        </w:rPr>
        <w:t>lo est</w:t>
      </w:r>
      <w:r w:rsidR="00FA3A88">
        <w:rPr>
          <w:rFonts w:ascii="Century Gothic" w:hAnsi="Century Gothic"/>
          <w:sz w:val="24"/>
          <w:szCs w:val="24"/>
        </w:rPr>
        <w:t xml:space="preserve">ablecido por la </w:t>
      </w:r>
      <w:r w:rsidR="00FA3A88" w:rsidRPr="00FA3A88">
        <w:rPr>
          <w:rFonts w:ascii="Century Gothic" w:hAnsi="Century Gothic"/>
          <w:sz w:val="24"/>
          <w:szCs w:val="24"/>
        </w:rPr>
        <w:t>Ley de los Derechos de Niñas, Niños y Adolescentes del Estado de Chihuahua</w:t>
      </w:r>
      <w:r w:rsidR="00FA3A88">
        <w:rPr>
          <w:rFonts w:ascii="Century Gothic" w:hAnsi="Century Gothic"/>
          <w:sz w:val="24"/>
          <w:szCs w:val="24"/>
        </w:rPr>
        <w:t>:</w:t>
      </w:r>
      <w:r w:rsidR="00BC72CA" w:rsidRPr="00CB0F0F">
        <w:rPr>
          <w:rFonts w:ascii="Century Gothic" w:hAnsi="Century Gothic"/>
          <w:sz w:val="24"/>
          <w:szCs w:val="24"/>
        </w:rPr>
        <w:t xml:space="preserve"> </w:t>
      </w:r>
    </w:p>
    <w:p w14:paraId="653FE1BE" w14:textId="3BE69A2D" w:rsidR="00BC72CA" w:rsidRPr="00CB0F0F" w:rsidRDefault="00BC72CA" w:rsidP="00CE613E">
      <w:pPr>
        <w:spacing w:before="240" w:after="0" w:line="360" w:lineRule="auto"/>
        <w:ind w:left="567" w:right="758"/>
        <w:jc w:val="both"/>
        <w:rPr>
          <w:rFonts w:ascii="Century Gothic" w:eastAsia="Times New Roman" w:hAnsi="Century Gothic" w:cs="Arial"/>
          <w:sz w:val="24"/>
          <w:szCs w:val="24"/>
          <w:lang w:eastAsia="es-ES"/>
        </w:rPr>
      </w:pPr>
      <w:r w:rsidRPr="00CB0F0F">
        <w:rPr>
          <w:rFonts w:ascii="Century Gothic" w:eastAsia="Times New Roman" w:hAnsi="Century Gothic" w:cs="Arial"/>
          <w:b/>
          <w:bCs/>
          <w:sz w:val="24"/>
          <w:szCs w:val="24"/>
          <w:lang w:eastAsia="es-ES"/>
        </w:rPr>
        <w:t xml:space="preserve">Artículo 16. </w:t>
      </w:r>
      <w:r w:rsidRPr="00CB0F0F">
        <w:rPr>
          <w:rFonts w:ascii="Century Gothic" w:eastAsia="Times New Roman" w:hAnsi="Century Gothic" w:cs="Arial"/>
          <w:sz w:val="24"/>
          <w:szCs w:val="24"/>
          <w:lang w:eastAsia="es-ES"/>
        </w:rPr>
        <w:t>Es obligación de toda persona que tenga conocimiento de casos de niñas, niños y adolescentes que sufran o hayan sufrido, en cualquier forma, violación de sus derechos, hacerlo del conocimiento inmediato de la Procuraduría de Protección, de la Comisión Estatal de los Derechos Humanos, del Ministerio Público o cualquier otra autoridad competente, según corresponda, de manera que pueda seguirse la investigación correspondiente y, en su caso, instrumentar las medidas cautelares, de protección y de restitución integrales procedentes en términos de las disposiciones aplicables.</w:t>
      </w:r>
    </w:p>
    <w:p w14:paraId="36498551" w14:textId="77777777" w:rsidR="00BC72CA" w:rsidRPr="00BC72CA" w:rsidRDefault="00BC72CA" w:rsidP="00CE613E">
      <w:pPr>
        <w:autoSpaceDE w:val="0"/>
        <w:autoSpaceDN w:val="0"/>
        <w:adjustRightInd w:val="0"/>
        <w:spacing w:before="240" w:after="0" w:line="360" w:lineRule="auto"/>
        <w:ind w:left="567" w:right="758"/>
        <w:jc w:val="both"/>
        <w:rPr>
          <w:rFonts w:ascii="Century Gothic" w:eastAsia="Calibri" w:hAnsi="Century Gothic" w:cs="Arial"/>
          <w:color w:val="000000"/>
          <w:sz w:val="24"/>
          <w:szCs w:val="24"/>
        </w:rPr>
      </w:pPr>
      <w:r w:rsidRPr="00BC72CA">
        <w:rPr>
          <w:rFonts w:ascii="Century Gothic" w:eastAsia="Calibri" w:hAnsi="Century Gothic" w:cs="Arial"/>
          <w:b/>
          <w:bCs/>
          <w:color w:val="000000"/>
          <w:sz w:val="24"/>
          <w:szCs w:val="24"/>
        </w:rPr>
        <w:t xml:space="preserve">Artículo 53. </w:t>
      </w:r>
      <w:r w:rsidRPr="00BC72CA">
        <w:rPr>
          <w:rFonts w:ascii="Century Gothic" w:eastAsia="Calibri" w:hAnsi="Century Gothic" w:cs="Arial"/>
          <w:color w:val="000000"/>
          <w:sz w:val="24"/>
          <w:szCs w:val="24"/>
        </w:rPr>
        <w:t xml:space="preserve">Las autoridades estatales y municipales, en el ámbito de sus respectivas competencias, están obligadas a tomar las medidas necesarias para prevenir, atender y sancionar los casos en que niñas, niños o adolescentes se vean afectados por: </w:t>
      </w:r>
    </w:p>
    <w:p w14:paraId="3D8C498B" w14:textId="77777777" w:rsidR="00BC72CA" w:rsidRPr="00BC72CA" w:rsidRDefault="00BC72CA" w:rsidP="002862F2">
      <w:pPr>
        <w:autoSpaceDE w:val="0"/>
        <w:autoSpaceDN w:val="0"/>
        <w:adjustRightInd w:val="0"/>
        <w:spacing w:after="0" w:line="360" w:lineRule="auto"/>
        <w:ind w:left="1418" w:right="758"/>
        <w:jc w:val="both"/>
        <w:rPr>
          <w:rFonts w:ascii="Century Gothic" w:eastAsia="Calibri" w:hAnsi="Century Gothic" w:cs="Arial"/>
          <w:color w:val="000000"/>
          <w:sz w:val="24"/>
          <w:szCs w:val="24"/>
        </w:rPr>
      </w:pPr>
    </w:p>
    <w:p w14:paraId="49EE4086" w14:textId="3D610849" w:rsidR="00BC72CA" w:rsidRPr="00BC72CA" w:rsidRDefault="00BC72CA" w:rsidP="002862F2">
      <w:pPr>
        <w:numPr>
          <w:ilvl w:val="0"/>
          <w:numId w:val="1"/>
        </w:numPr>
        <w:spacing w:after="0" w:line="360" w:lineRule="auto"/>
        <w:ind w:left="1418" w:right="758" w:hanging="567"/>
        <w:jc w:val="both"/>
        <w:rPr>
          <w:rFonts w:ascii="Century Gothic" w:eastAsia="Helvetica" w:hAnsi="Century Gothic" w:cs="Arial"/>
          <w:sz w:val="24"/>
          <w:szCs w:val="24"/>
          <w:lang w:val="es-ES" w:eastAsia="es-ES"/>
        </w:rPr>
      </w:pPr>
      <w:r w:rsidRPr="00BC72CA">
        <w:rPr>
          <w:rFonts w:ascii="Century Gothic" w:eastAsia="Helvetica" w:hAnsi="Century Gothic" w:cs="Arial"/>
          <w:sz w:val="24"/>
          <w:szCs w:val="24"/>
          <w:lang w:val="es-ES" w:eastAsia="es-ES"/>
        </w:rPr>
        <w:t xml:space="preserve">El maltrato físico o psicológico, desatención, negligencia, abandono, abuso sexual, así como cualquier otro tipo de violencia generada </w:t>
      </w:r>
      <w:r w:rsidRPr="00BC72CA">
        <w:rPr>
          <w:rFonts w:ascii="Century Gothic" w:eastAsia="Times New Roman" w:hAnsi="Century Gothic" w:cs="Arial"/>
          <w:sz w:val="24"/>
          <w:szCs w:val="24"/>
          <w:lang w:eastAsia="es-MX"/>
        </w:rPr>
        <w:t>que les cause o pueda causar un daño a su salud, desarrollo o dignidad, o poner en peligro su supervivencia</w:t>
      </w:r>
      <w:r w:rsidRPr="00BC72CA">
        <w:rPr>
          <w:rFonts w:ascii="Century Gothic" w:eastAsia="Helvetica" w:hAnsi="Century Gothic" w:cs="Arial"/>
          <w:sz w:val="24"/>
          <w:szCs w:val="24"/>
          <w:lang w:val="es-ES" w:eastAsia="es-ES"/>
        </w:rPr>
        <w:t>.</w:t>
      </w:r>
    </w:p>
    <w:p w14:paraId="542E2527" w14:textId="77777777" w:rsidR="00BC72CA" w:rsidRPr="00BC72CA" w:rsidRDefault="00BC72CA" w:rsidP="002862F2">
      <w:pPr>
        <w:autoSpaceDE w:val="0"/>
        <w:autoSpaceDN w:val="0"/>
        <w:adjustRightInd w:val="0"/>
        <w:spacing w:after="0" w:line="360" w:lineRule="auto"/>
        <w:ind w:left="1418" w:right="758" w:hanging="567"/>
        <w:jc w:val="both"/>
        <w:rPr>
          <w:rFonts w:ascii="Century Gothic" w:eastAsia="Calibri" w:hAnsi="Century Gothic" w:cs="Arial"/>
          <w:color w:val="000000"/>
          <w:sz w:val="24"/>
          <w:szCs w:val="24"/>
        </w:rPr>
      </w:pPr>
    </w:p>
    <w:p w14:paraId="09542628" w14:textId="77777777" w:rsidR="00BC72CA" w:rsidRPr="00BC72CA" w:rsidRDefault="00BC72CA" w:rsidP="002862F2">
      <w:pPr>
        <w:numPr>
          <w:ilvl w:val="0"/>
          <w:numId w:val="1"/>
        </w:numPr>
        <w:autoSpaceDE w:val="0"/>
        <w:autoSpaceDN w:val="0"/>
        <w:adjustRightInd w:val="0"/>
        <w:spacing w:after="0" w:line="360" w:lineRule="auto"/>
        <w:ind w:left="1418" w:right="758" w:hanging="567"/>
        <w:jc w:val="both"/>
        <w:rPr>
          <w:rFonts w:ascii="Century Gothic" w:eastAsia="Calibri" w:hAnsi="Century Gothic" w:cs="Arial"/>
          <w:color w:val="000000"/>
          <w:sz w:val="24"/>
          <w:szCs w:val="24"/>
        </w:rPr>
      </w:pPr>
      <w:r w:rsidRPr="00BC72CA">
        <w:rPr>
          <w:rFonts w:ascii="Century Gothic" w:eastAsia="Calibri" w:hAnsi="Century Gothic" w:cs="Arial"/>
          <w:sz w:val="24"/>
          <w:szCs w:val="24"/>
        </w:rPr>
        <w:t>Conductas que atenten contra su correcta formación.</w:t>
      </w:r>
      <w:r w:rsidRPr="00BC72CA">
        <w:rPr>
          <w:rFonts w:ascii="Century Gothic" w:eastAsia="Calibri" w:hAnsi="Century Gothic" w:cs="Arial"/>
          <w:b/>
          <w:color w:val="00B050"/>
          <w:sz w:val="24"/>
          <w:szCs w:val="24"/>
        </w:rPr>
        <w:t xml:space="preserve"> </w:t>
      </w:r>
    </w:p>
    <w:p w14:paraId="7C488FF7" w14:textId="77777777" w:rsidR="00BC72CA" w:rsidRPr="00BC72CA" w:rsidRDefault="00BC72CA" w:rsidP="002862F2">
      <w:pPr>
        <w:autoSpaceDE w:val="0"/>
        <w:autoSpaceDN w:val="0"/>
        <w:adjustRightInd w:val="0"/>
        <w:spacing w:after="0" w:line="360" w:lineRule="auto"/>
        <w:ind w:left="1418" w:right="758" w:hanging="567"/>
        <w:jc w:val="both"/>
        <w:rPr>
          <w:rFonts w:ascii="Century Gothic" w:eastAsia="Calibri" w:hAnsi="Century Gothic" w:cs="Arial"/>
          <w:color w:val="000000"/>
          <w:sz w:val="24"/>
          <w:szCs w:val="24"/>
        </w:rPr>
      </w:pPr>
    </w:p>
    <w:p w14:paraId="06C7E2DB" w14:textId="77777777" w:rsidR="00BC72CA" w:rsidRPr="00BC72CA" w:rsidRDefault="00BC72CA" w:rsidP="002862F2">
      <w:pPr>
        <w:numPr>
          <w:ilvl w:val="0"/>
          <w:numId w:val="1"/>
        </w:numPr>
        <w:spacing w:after="0" w:line="360" w:lineRule="auto"/>
        <w:ind w:left="1418" w:right="758" w:hanging="567"/>
        <w:jc w:val="both"/>
        <w:rPr>
          <w:rFonts w:ascii="Century Gothic" w:eastAsia="Helvetica" w:hAnsi="Century Gothic" w:cs="Arial"/>
          <w:sz w:val="24"/>
          <w:szCs w:val="24"/>
          <w:lang w:val="es-ES" w:eastAsia="es-ES"/>
        </w:rPr>
      </w:pPr>
      <w:r w:rsidRPr="00BC72CA">
        <w:rPr>
          <w:rFonts w:ascii="Century Gothic" w:eastAsia="Helvetica" w:hAnsi="Century Gothic" w:cs="Arial"/>
          <w:sz w:val="24"/>
          <w:szCs w:val="24"/>
          <w:lang w:val="es-ES" w:eastAsia="es-ES"/>
        </w:rPr>
        <w:t>Trata de personas en cualquiera de sus formas de explotación y demás conductas punibles establecidas en las disposiciones aplicables,</w:t>
      </w:r>
      <w:r w:rsidRPr="00BC72CA">
        <w:rPr>
          <w:rFonts w:ascii="Century Gothic" w:eastAsia="Helvetica" w:hAnsi="Century Gothic" w:cs="Arial"/>
          <w:bCs/>
          <w:sz w:val="24"/>
          <w:szCs w:val="24"/>
          <w:lang w:val="es-ES" w:eastAsia="es-ES"/>
        </w:rPr>
        <w:t xml:space="preserve"> incluidos los actos de mendicidad forzada.</w:t>
      </w:r>
    </w:p>
    <w:p w14:paraId="3D56A33B" w14:textId="77777777" w:rsidR="00BC72CA" w:rsidRPr="00BC72CA" w:rsidRDefault="00BC72CA" w:rsidP="002862F2">
      <w:pPr>
        <w:autoSpaceDE w:val="0"/>
        <w:autoSpaceDN w:val="0"/>
        <w:adjustRightInd w:val="0"/>
        <w:spacing w:after="0" w:line="360" w:lineRule="auto"/>
        <w:ind w:left="1418" w:right="758" w:hanging="567"/>
        <w:jc w:val="both"/>
        <w:rPr>
          <w:rFonts w:ascii="Century Gothic" w:eastAsia="Calibri" w:hAnsi="Century Gothic" w:cs="Arial"/>
          <w:color w:val="000000"/>
          <w:sz w:val="24"/>
          <w:szCs w:val="24"/>
          <w:lang w:val="es-ES"/>
        </w:rPr>
      </w:pPr>
    </w:p>
    <w:p w14:paraId="3FC0E6B3" w14:textId="77777777" w:rsidR="00BC72CA" w:rsidRPr="00BC72CA" w:rsidRDefault="00BC72CA" w:rsidP="002862F2">
      <w:pPr>
        <w:numPr>
          <w:ilvl w:val="0"/>
          <w:numId w:val="1"/>
        </w:numPr>
        <w:autoSpaceDE w:val="0"/>
        <w:autoSpaceDN w:val="0"/>
        <w:adjustRightInd w:val="0"/>
        <w:spacing w:after="0" w:line="360" w:lineRule="auto"/>
        <w:ind w:left="1418" w:right="758" w:hanging="567"/>
        <w:jc w:val="both"/>
        <w:rPr>
          <w:rFonts w:ascii="Century Gothic" w:eastAsia="Calibri" w:hAnsi="Century Gothic" w:cs="Arial"/>
          <w:color w:val="000000"/>
          <w:sz w:val="24"/>
          <w:szCs w:val="24"/>
        </w:rPr>
      </w:pPr>
      <w:r w:rsidRPr="00BC72CA">
        <w:rPr>
          <w:rFonts w:ascii="Century Gothic" w:eastAsia="Calibri" w:hAnsi="Century Gothic" w:cs="Arial"/>
          <w:color w:val="000000"/>
          <w:sz w:val="24"/>
          <w:szCs w:val="24"/>
        </w:rPr>
        <w:t>El trabajo antes de la edad mínima de quince años.</w:t>
      </w:r>
    </w:p>
    <w:p w14:paraId="665F39D1" w14:textId="77777777" w:rsidR="00BC72CA" w:rsidRPr="00BC72CA" w:rsidRDefault="00BC72CA" w:rsidP="002862F2">
      <w:pPr>
        <w:autoSpaceDE w:val="0"/>
        <w:autoSpaceDN w:val="0"/>
        <w:adjustRightInd w:val="0"/>
        <w:spacing w:after="0" w:line="360" w:lineRule="auto"/>
        <w:ind w:left="1418" w:right="758" w:hanging="567"/>
        <w:jc w:val="both"/>
        <w:rPr>
          <w:rFonts w:ascii="Century Gothic" w:eastAsia="Calibri" w:hAnsi="Century Gothic" w:cs="Arial"/>
          <w:color w:val="000000"/>
          <w:sz w:val="24"/>
          <w:szCs w:val="24"/>
        </w:rPr>
      </w:pPr>
      <w:r w:rsidRPr="00BC72CA">
        <w:rPr>
          <w:rFonts w:ascii="Century Gothic" w:eastAsia="Calibri" w:hAnsi="Century Gothic" w:cs="Arial"/>
          <w:color w:val="000000"/>
          <w:sz w:val="24"/>
          <w:szCs w:val="24"/>
        </w:rPr>
        <w:t xml:space="preserve"> </w:t>
      </w:r>
    </w:p>
    <w:p w14:paraId="6E39EA21" w14:textId="77777777" w:rsidR="00BC72CA" w:rsidRPr="00BC72CA" w:rsidRDefault="00BC72CA" w:rsidP="002862F2">
      <w:pPr>
        <w:numPr>
          <w:ilvl w:val="0"/>
          <w:numId w:val="1"/>
        </w:numPr>
        <w:autoSpaceDE w:val="0"/>
        <w:autoSpaceDN w:val="0"/>
        <w:adjustRightInd w:val="0"/>
        <w:spacing w:after="0" w:line="360" w:lineRule="auto"/>
        <w:ind w:left="1418" w:right="758" w:hanging="567"/>
        <w:jc w:val="both"/>
        <w:rPr>
          <w:rFonts w:ascii="Century Gothic" w:eastAsia="Calibri" w:hAnsi="Century Gothic" w:cs="Arial"/>
          <w:color w:val="000000"/>
          <w:sz w:val="24"/>
          <w:szCs w:val="24"/>
        </w:rPr>
      </w:pPr>
      <w:r w:rsidRPr="00BC72CA">
        <w:rPr>
          <w:rFonts w:ascii="Century Gothic" w:eastAsia="Calibri" w:hAnsi="Century Gothic" w:cs="Arial"/>
          <w:color w:val="000000"/>
          <w:sz w:val="24"/>
          <w:szCs w:val="24"/>
        </w:rPr>
        <w:t xml:space="preserve">El trabajo en adolescentes mayores de </w:t>
      </w:r>
      <w:r w:rsidRPr="00BC72CA">
        <w:rPr>
          <w:rFonts w:ascii="Century Gothic" w:eastAsia="Calibri" w:hAnsi="Century Gothic" w:cs="Arial"/>
          <w:sz w:val="24"/>
          <w:szCs w:val="24"/>
        </w:rPr>
        <w:t>quince</w:t>
      </w:r>
      <w:r w:rsidRPr="00BC72CA">
        <w:rPr>
          <w:rFonts w:ascii="Century Gothic" w:eastAsia="Calibri" w:hAnsi="Century Gothic" w:cs="Arial"/>
          <w:b/>
          <w:color w:val="00B050"/>
          <w:sz w:val="24"/>
          <w:szCs w:val="24"/>
        </w:rPr>
        <w:t xml:space="preserve"> </w:t>
      </w:r>
      <w:r w:rsidRPr="00BC72CA">
        <w:rPr>
          <w:rFonts w:ascii="Century Gothic" w:eastAsia="Calibri" w:hAnsi="Century Gothic" w:cs="Arial"/>
          <w:color w:val="000000"/>
          <w:sz w:val="24"/>
          <w:szCs w:val="24"/>
        </w:rPr>
        <w:t xml:space="preserve">años que </w:t>
      </w:r>
      <w:r w:rsidRPr="00BC72CA">
        <w:rPr>
          <w:rFonts w:ascii="Century Gothic" w:eastAsia="Calibri" w:hAnsi="Century Gothic" w:cs="Arial"/>
          <w:sz w:val="24"/>
          <w:szCs w:val="24"/>
        </w:rPr>
        <w:t>sean peligrosas y</w:t>
      </w:r>
      <w:r w:rsidRPr="00BC72CA">
        <w:rPr>
          <w:rFonts w:ascii="Century Gothic" w:eastAsia="Calibri" w:hAnsi="Century Gothic" w:cs="Arial"/>
          <w:color w:val="00B050"/>
          <w:sz w:val="24"/>
          <w:szCs w:val="24"/>
        </w:rPr>
        <w:t xml:space="preserve"> </w:t>
      </w:r>
      <w:r w:rsidRPr="00BC72CA">
        <w:rPr>
          <w:rFonts w:ascii="Century Gothic" w:eastAsia="Calibri" w:hAnsi="Century Gothic" w:cs="Arial"/>
          <w:color w:val="000000"/>
          <w:sz w:val="24"/>
          <w:szCs w:val="24"/>
        </w:rPr>
        <w:t xml:space="preserve">puedan perjudicar su salud, su educación o impedir su desarrollo físico o mental, explotación laboral, las peores formas de trabajo infantil, así como el trabajo forzoso.  </w:t>
      </w:r>
    </w:p>
    <w:p w14:paraId="3ED7E0B6" w14:textId="77777777" w:rsidR="00BC72CA" w:rsidRPr="00BC72CA" w:rsidRDefault="00BC72CA" w:rsidP="002862F2">
      <w:pPr>
        <w:autoSpaceDE w:val="0"/>
        <w:autoSpaceDN w:val="0"/>
        <w:adjustRightInd w:val="0"/>
        <w:spacing w:after="0" w:line="360" w:lineRule="auto"/>
        <w:ind w:left="1418" w:right="758" w:hanging="567"/>
        <w:jc w:val="both"/>
        <w:rPr>
          <w:rFonts w:ascii="Century Gothic" w:eastAsia="Calibri" w:hAnsi="Century Gothic" w:cs="Arial"/>
          <w:color w:val="000000"/>
          <w:sz w:val="24"/>
          <w:szCs w:val="24"/>
        </w:rPr>
      </w:pPr>
    </w:p>
    <w:p w14:paraId="7AD46F2B" w14:textId="77777777" w:rsidR="00BC72CA" w:rsidRPr="00BC72CA" w:rsidRDefault="00BC72CA" w:rsidP="002862F2">
      <w:pPr>
        <w:numPr>
          <w:ilvl w:val="0"/>
          <w:numId w:val="1"/>
        </w:numPr>
        <w:autoSpaceDE w:val="0"/>
        <w:autoSpaceDN w:val="0"/>
        <w:adjustRightInd w:val="0"/>
        <w:spacing w:after="0" w:line="360" w:lineRule="auto"/>
        <w:ind w:left="1418" w:right="758" w:hanging="567"/>
        <w:jc w:val="both"/>
        <w:rPr>
          <w:rFonts w:ascii="Century Gothic" w:eastAsia="Calibri" w:hAnsi="Century Gothic" w:cs="Arial"/>
          <w:color w:val="000000"/>
          <w:sz w:val="24"/>
          <w:szCs w:val="24"/>
        </w:rPr>
      </w:pPr>
      <w:r w:rsidRPr="00BC72CA">
        <w:rPr>
          <w:rFonts w:ascii="Century Gothic" w:eastAsia="Calibri" w:hAnsi="Century Gothic" w:cs="Arial"/>
          <w:color w:val="000000"/>
          <w:sz w:val="24"/>
          <w:szCs w:val="24"/>
        </w:rPr>
        <w:t>La incitación o coacción para que participen en la comisión de delitos o en asociaciones delictuosas, en conflictos armados o en cualquier otra actividad que impida su desarrollo integral.</w:t>
      </w:r>
    </w:p>
    <w:p w14:paraId="42B9C8A5" w14:textId="77777777" w:rsidR="00BC72CA" w:rsidRPr="00BC72CA" w:rsidRDefault="00BC72CA" w:rsidP="002862F2">
      <w:pPr>
        <w:autoSpaceDE w:val="0"/>
        <w:autoSpaceDN w:val="0"/>
        <w:adjustRightInd w:val="0"/>
        <w:spacing w:after="0" w:line="360" w:lineRule="auto"/>
        <w:ind w:left="1418" w:right="758"/>
        <w:jc w:val="both"/>
        <w:rPr>
          <w:rFonts w:ascii="Century Gothic" w:eastAsia="Calibri" w:hAnsi="Century Gothic" w:cs="Arial"/>
          <w:color w:val="000000"/>
          <w:sz w:val="24"/>
          <w:szCs w:val="24"/>
        </w:rPr>
      </w:pPr>
    </w:p>
    <w:p w14:paraId="6C533DE0" w14:textId="77777777" w:rsidR="00BC72CA" w:rsidRPr="00BC72CA" w:rsidRDefault="00BC72CA" w:rsidP="002862F2">
      <w:pPr>
        <w:autoSpaceDE w:val="0"/>
        <w:autoSpaceDN w:val="0"/>
        <w:adjustRightInd w:val="0"/>
        <w:spacing w:after="0" w:line="360" w:lineRule="auto"/>
        <w:ind w:left="1418" w:right="758"/>
        <w:jc w:val="both"/>
        <w:rPr>
          <w:rFonts w:ascii="Century Gothic" w:eastAsia="Calibri" w:hAnsi="Century Gothic" w:cs="Arial"/>
          <w:color w:val="000000"/>
          <w:sz w:val="24"/>
          <w:szCs w:val="24"/>
        </w:rPr>
      </w:pPr>
      <w:r w:rsidRPr="00BC72CA">
        <w:rPr>
          <w:rFonts w:ascii="Century Gothic" w:eastAsia="Calibri" w:hAnsi="Century Gothic" w:cs="Arial"/>
          <w:color w:val="000000"/>
          <w:sz w:val="24"/>
          <w:szCs w:val="24"/>
        </w:rPr>
        <w:t>Las autoridades competentes deberán considerar la perspectiva de género en las situaciones de violencia.</w:t>
      </w:r>
    </w:p>
    <w:p w14:paraId="5079B5B5" w14:textId="77777777" w:rsidR="00BC72CA" w:rsidRPr="00BC72CA" w:rsidRDefault="00BC72CA" w:rsidP="002862F2">
      <w:pPr>
        <w:autoSpaceDE w:val="0"/>
        <w:autoSpaceDN w:val="0"/>
        <w:adjustRightInd w:val="0"/>
        <w:spacing w:after="0" w:line="360" w:lineRule="auto"/>
        <w:ind w:left="1418" w:right="758"/>
        <w:jc w:val="both"/>
        <w:rPr>
          <w:rFonts w:ascii="Century Gothic" w:eastAsia="Calibri" w:hAnsi="Century Gothic" w:cs="Arial"/>
          <w:color w:val="000000"/>
          <w:sz w:val="24"/>
          <w:szCs w:val="24"/>
          <w:highlight w:val="yellow"/>
        </w:rPr>
      </w:pPr>
    </w:p>
    <w:p w14:paraId="683CB9FE" w14:textId="77777777" w:rsidR="00BC72CA" w:rsidRPr="00BC72CA" w:rsidRDefault="00BC72CA" w:rsidP="002862F2">
      <w:pPr>
        <w:autoSpaceDE w:val="0"/>
        <w:autoSpaceDN w:val="0"/>
        <w:adjustRightInd w:val="0"/>
        <w:spacing w:after="0" w:line="360" w:lineRule="auto"/>
        <w:ind w:left="1418" w:right="758"/>
        <w:jc w:val="both"/>
        <w:rPr>
          <w:rFonts w:ascii="Century Gothic" w:eastAsia="Calibri" w:hAnsi="Century Gothic" w:cs="Arial"/>
          <w:color w:val="000000"/>
          <w:sz w:val="24"/>
          <w:szCs w:val="24"/>
        </w:rPr>
      </w:pPr>
      <w:r w:rsidRPr="00BC72CA">
        <w:rPr>
          <w:rFonts w:ascii="Century Gothic" w:eastAsia="Calibri" w:hAnsi="Century Gothic" w:cs="Arial"/>
          <w:color w:val="000000"/>
          <w:sz w:val="24"/>
          <w:szCs w:val="24"/>
        </w:rPr>
        <w:t xml:space="preserve">Las leyes estatales y municipales deberán establecer las disposiciones que orientarán las políticas de prevención, protección, atención, sanción y erradicación de los supuestos a que se refieren las fracciones anteriores. </w:t>
      </w:r>
    </w:p>
    <w:p w14:paraId="7CB82BEC" w14:textId="77777777" w:rsidR="00BC72CA" w:rsidRPr="00BC72CA" w:rsidRDefault="00BC72CA" w:rsidP="002862F2">
      <w:pPr>
        <w:autoSpaceDE w:val="0"/>
        <w:autoSpaceDN w:val="0"/>
        <w:adjustRightInd w:val="0"/>
        <w:spacing w:after="0" w:line="360" w:lineRule="auto"/>
        <w:ind w:left="1418" w:right="758"/>
        <w:jc w:val="both"/>
        <w:rPr>
          <w:rFonts w:ascii="Century Gothic" w:eastAsia="Calibri" w:hAnsi="Century Gothic" w:cs="Arial"/>
          <w:color w:val="000000"/>
          <w:sz w:val="24"/>
          <w:szCs w:val="24"/>
        </w:rPr>
      </w:pPr>
    </w:p>
    <w:p w14:paraId="4079F718" w14:textId="77777777" w:rsidR="00BC72CA" w:rsidRDefault="00BC72CA" w:rsidP="002862F2">
      <w:pPr>
        <w:autoSpaceDE w:val="0"/>
        <w:autoSpaceDN w:val="0"/>
        <w:adjustRightInd w:val="0"/>
        <w:spacing w:after="0" w:line="360" w:lineRule="auto"/>
        <w:ind w:left="1418" w:right="758"/>
        <w:jc w:val="both"/>
        <w:rPr>
          <w:rFonts w:ascii="Century Gothic" w:eastAsia="Calibri" w:hAnsi="Century Gothic" w:cs="Arial"/>
          <w:color w:val="000000"/>
          <w:sz w:val="24"/>
          <w:szCs w:val="24"/>
        </w:rPr>
      </w:pPr>
      <w:r w:rsidRPr="00BC72CA">
        <w:rPr>
          <w:rFonts w:ascii="Century Gothic" w:eastAsia="Calibri" w:hAnsi="Century Gothic" w:cs="Arial"/>
          <w:color w:val="000000"/>
          <w:sz w:val="24"/>
          <w:szCs w:val="24"/>
        </w:rPr>
        <w:t xml:space="preserve">Las autoridades competentes, están obligadas a implementar medidas especiales para prevenir, sancionar y reparar las conductas previstas en este Artículo para niñas, niños y adolescentes con discapacidad. </w:t>
      </w:r>
    </w:p>
    <w:p w14:paraId="4E87BECC" w14:textId="77777777" w:rsidR="00FA3A88" w:rsidRPr="00BC72CA" w:rsidRDefault="00FA3A88" w:rsidP="002862F2">
      <w:pPr>
        <w:autoSpaceDE w:val="0"/>
        <w:autoSpaceDN w:val="0"/>
        <w:adjustRightInd w:val="0"/>
        <w:spacing w:after="0" w:line="360" w:lineRule="auto"/>
        <w:ind w:left="1418" w:right="758"/>
        <w:jc w:val="both"/>
        <w:rPr>
          <w:rFonts w:ascii="Century Gothic" w:eastAsia="Calibri" w:hAnsi="Century Gothic" w:cs="Arial"/>
          <w:color w:val="000000"/>
          <w:sz w:val="24"/>
          <w:szCs w:val="24"/>
        </w:rPr>
      </w:pPr>
    </w:p>
    <w:p w14:paraId="3602F2D4" w14:textId="04DEB874" w:rsidR="00E8540B" w:rsidRDefault="00CB0F0F" w:rsidP="002862F2">
      <w:pPr>
        <w:spacing w:line="360" w:lineRule="auto"/>
        <w:jc w:val="both"/>
        <w:rPr>
          <w:rFonts w:ascii="Century Gothic" w:eastAsia="Times New Roman" w:hAnsi="Century Gothic" w:cs="Arial"/>
          <w:sz w:val="24"/>
          <w:szCs w:val="24"/>
          <w:lang w:eastAsia="es-ES"/>
        </w:rPr>
      </w:pPr>
      <w:r w:rsidRPr="00210678">
        <w:rPr>
          <w:rFonts w:ascii="Century Gothic" w:eastAsia="Times New Roman" w:hAnsi="Century Gothic" w:cs="Arial"/>
          <w:b/>
          <w:sz w:val="24"/>
          <w:szCs w:val="24"/>
          <w:lang w:eastAsia="es-ES"/>
        </w:rPr>
        <w:t>III.-</w:t>
      </w:r>
      <w:r>
        <w:rPr>
          <w:rFonts w:ascii="Century Gothic" w:eastAsia="Times New Roman" w:hAnsi="Century Gothic" w:cs="Arial"/>
          <w:sz w:val="24"/>
          <w:szCs w:val="24"/>
          <w:lang w:eastAsia="es-ES"/>
        </w:rPr>
        <w:t xml:space="preserve"> En virtud de todo lo anterior, es la intención de esta propuesta, exhortar a la Secretaría de Educación y Deporte, a efecto de</w:t>
      </w:r>
      <w:r w:rsidR="00EF129C">
        <w:rPr>
          <w:rFonts w:ascii="Century Gothic" w:eastAsia="Times New Roman" w:hAnsi="Century Gothic" w:cs="Arial"/>
          <w:sz w:val="24"/>
          <w:szCs w:val="24"/>
          <w:lang w:eastAsia="es-ES"/>
        </w:rPr>
        <w:t xml:space="preserve"> retomar y</w:t>
      </w:r>
      <w:r>
        <w:rPr>
          <w:rFonts w:ascii="Century Gothic" w:eastAsia="Times New Roman" w:hAnsi="Century Gothic" w:cs="Arial"/>
          <w:sz w:val="24"/>
          <w:szCs w:val="24"/>
          <w:lang w:eastAsia="es-ES"/>
        </w:rPr>
        <w:t xml:space="preserve"> dar continuidad a la </w:t>
      </w:r>
      <w:r w:rsidR="00374402">
        <w:rPr>
          <w:rFonts w:ascii="Century Gothic" w:eastAsia="Times New Roman" w:hAnsi="Century Gothic" w:cs="Arial"/>
          <w:sz w:val="24"/>
          <w:szCs w:val="24"/>
          <w:lang w:eastAsia="es-ES"/>
        </w:rPr>
        <w:t xml:space="preserve">difusión y </w:t>
      </w:r>
      <w:r>
        <w:rPr>
          <w:rFonts w:ascii="Century Gothic" w:eastAsia="Times New Roman" w:hAnsi="Century Gothic" w:cs="Arial"/>
          <w:sz w:val="24"/>
          <w:szCs w:val="24"/>
          <w:lang w:eastAsia="es-ES"/>
        </w:rPr>
        <w:t xml:space="preserve">capacitación mencionada </w:t>
      </w:r>
      <w:r w:rsidR="00DB1D41">
        <w:rPr>
          <w:rFonts w:ascii="Century Gothic" w:eastAsia="Times New Roman" w:hAnsi="Century Gothic" w:cs="Arial"/>
          <w:sz w:val="24"/>
          <w:szCs w:val="24"/>
          <w:lang w:eastAsia="es-ES"/>
        </w:rPr>
        <w:t xml:space="preserve">en el punto número dos de esta exposición de motivos, ampliándola y profundizándola, a efecto de que todo el personal docente, directivos y supervisiones del Estado, tengan conocimiento de los protocolos previstos para atender y canalizar debidamente aquellos casos de los que tengan conocimiento de violencia de las que sean víctimas, niñas, niños y adolescentes en el Estado, de conformidad a la Ley y </w:t>
      </w:r>
      <w:r w:rsidR="00DB1D41" w:rsidRPr="00CE613E">
        <w:rPr>
          <w:rFonts w:ascii="Century Gothic" w:eastAsia="Times New Roman" w:hAnsi="Century Gothic" w:cs="Arial"/>
          <w:sz w:val="24"/>
          <w:szCs w:val="24"/>
          <w:lang w:eastAsia="es-ES"/>
        </w:rPr>
        <w:t xml:space="preserve">el Marco Local de Convivencia </w:t>
      </w:r>
      <w:r w:rsidR="00FA3A88" w:rsidRPr="00CE613E">
        <w:rPr>
          <w:rFonts w:ascii="Century Gothic" w:eastAsia="Times New Roman" w:hAnsi="Century Gothic" w:cs="Arial"/>
          <w:sz w:val="24"/>
          <w:szCs w:val="24"/>
          <w:lang w:eastAsia="es-ES"/>
        </w:rPr>
        <w:t xml:space="preserve">Escolar </w:t>
      </w:r>
      <w:r w:rsidR="00DB1D41" w:rsidRPr="00CE613E">
        <w:rPr>
          <w:rFonts w:ascii="Century Gothic" w:eastAsia="Times New Roman" w:hAnsi="Century Gothic" w:cs="Arial"/>
          <w:sz w:val="24"/>
          <w:szCs w:val="24"/>
          <w:lang w:eastAsia="es-ES"/>
        </w:rPr>
        <w:t>del Estado de Chihuahua.</w:t>
      </w:r>
      <w:r w:rsidR="00DB1D41">
        <w:rPr>
          <w:rFonts w:ascii="Century Gothic" w:eastAsia="Times New Roman" w:hAnsi="Century Gothic" w:cs="Arial"/>
          <w:sz w:val="24"/>
          <w:szCs w:val="24"/>
          <w:lang w:eastAsia="es-ES"/>
        </w:rPr>
        <w:t xml:space="preserve"> </w:t>
      </w:r>
    </w:p>
    <w:p w14:paraId="3FCD4FF1" w14:textId="6EF44D77" w:rsidR="00DB1D41" w:rsidRDefault="00DB1D41" w:rsidP="002862F2">
      <w:pPr>
        <w:spacing w:line="360" w:lineRule="auto"/>
        <w:jc w:val="both"/>
        <w:rPr>
          <w:rFonts w:ascii="Century Gothic" w:hAnsi="Century Gothic"/>
          <w:sz w:val="24"/>
          <w:szCs w:val="24"/>
        </w:rPr>
      </w:pPr>
      <w:r w:rsidRPr="00210678">
        <w:rPr>
          <w:rFonts w:ascii="Century Gothic" w:hAnsi="Century Gothic"/>
          <w:b/>
          <w:sz w:val="24"/>
          <w:szCs w:val="24"/>
        </w:rPr>
        <w:t>IV.-</w:t>
      </w:r>
      <w:r w:rsidR="00210678">
        <w:rPr>
          <w:rFonts w:ascii="Century Gothic" w:hAnsi="Century Gothic"/>
          <w:sz w:val="24"/>
          <w:szCs w:val="24"/>
        </w:rPr>
        <w:t xml:space="preserve"> </w:t>
      </w:r>
      <w:r w:rsidRPr="00DB1D41">
        <w:rPr>
          <w:rFonts w:ascii="Century Gothic" w:hAnsi="Century Gothic"/>
          <w:sz w:val="24"/>
          <w:szCs w:val="24"/>
        </w:rPr>
        <w:t>En mérito de lo antes expuesto, y con fundamento en lo dispuesto en los artículos señalados en el proemio del presente, someto a consideraci</w:t>
      </w:r>
      <w:r w:rsidR="00210678">
        <w:rPr>
          <w:rFonts w:ascii="Century Gothic" w:hAnsi="Century Gothic"/>
          <w:sz w:val="24"/>
          <w:szCs w:val="24"/>
        </w:rPr>
        <w:t>ón del Pleno del e</w:t>
      </w:r>
      <w:r w:rsidRPr="00DB1D41">
        <w:rPr>
          <w:rFonts w:ascii="Century Gothic" w:hAnsi="Century Gothic"/>
          <w:sz w:val="24"/>
          <w:szCs w:val="24"/>
        </w:rPr>
        <w:t>ste Honorable Cuerpo Colegiado, el siguiente proyecto de:</w:t>
      </w:r>
    </w:p>
    <w:p w14:paraId="2D5BCF5C" w14:textId="77777777" w:rsidR="00CE613E" w:rsidRDefault="00CE613E" w:rsidP="002862F2">
      <w:pPr>
        <w:spacing w:line="360" w:lineRule="auto"/>
        <w:jc w:val="both"/>
        <w:rPr>
          <w:rFonts w:ascii="Century Gothic" w:hAnsi="Century Gothic"/>
          <w:sz w:val="24"/>
          <w:szCs w:val="24"/>
        </w:rPr>
      </w:pPr>
    </w:p>
    <w:p w14:paraId="362EB67E" w14:textId="391BD0D9" w:rsidR="00CE613E" w:rsidRPr="002B5D28" w:rsidRDefault="00DB1D41" w:rsidP="00CE613E">
      <w:pPr>
        <w:spacing w:line="360" w:lineRule="auto"/>
        <w:jc w:val="center"/>
        <w:rPr>
          <w:rFonts w:ascii="Century Gothic" w:hAnsi="Century Gothic"/>
          <w:b/>
          <w:bCs/>
          <w:sz w:val="24"/>
          <w:szCs w:val="24"/>
        </w:rPr>
      </w:pPr>
      <w:r w:rsidRPr="002B5D28">
        <w:rPr>
          <w:rFonts w:ascii="Century Gothic" w:hAnsi="Century Gothic"/>
          <w:b/>
          <w:bCs/>
          <w:sz w:val="24"/>
          <w:szCs w:val="24"/>
        </w:rPr>
        <w:t>ACUERDO</w:t>
      </w:r>
    </w:p>
    <w:p w14:paraId="6E1FFC30" w14:textId="20D43ABE" w:rsidR="004D381C" w:rsidRPr="000305D5" w:rsidRDefault="007518CA" w:rsidP="002862F2">
      <w:pPr>
        <w:spacing w:line="360" w:lineRule="auto"/>
        <w:jc w:val="both"/>
        <w:rPr>
          <w:rFonts w:ascii="Century Gothic" w:hAnsi="Century Gothic"/>
          <w:b/>
          <w:bCs/>
          <w:sz w:val="24"/>
          <w:szCs w:val="24"/>
        </w:rPr>
      </w:pPr>
      <w:r w:rsidRPr="002B5D28">
        <w:rPr>
          <w:rFonts w:ascii="Century Gothic" w:hAnsi="Century Gothic"/>
          <w:b/>
          <w:bCs/>
          <w:sz w:val="24"/>
          <w:szCs w:val="24"/>
        </w:rPr>
        <w:t>PRIMERO.-</w:t>
      </w:r>
      <w:r>
        <w:rPr>
          <w:rFonts w:ascii="Century Gothic" w:hAnsi="Century Gothic"/>
          <w:sz w:val="24"/>
          <w:szCs w:val="24"/>
        </w:rPr>
        <w:t xml:space="preserve"> </w:t>
      </w:r>
      <w:r w:rsidR="00DB1D41">
        <w:rPr>
          <w:rFonts w:ascii="Century Gothic" w:hAnsi="Century Gothic"/>
          <w:sz w:val="24"/>
          <w:szCs w:val="24"/>
        </w:rPr>
        <w:t>La Sexagésima Séptima Legislatura</w:t>
      </w:r>
      <w:r>
        <w:rPr>
          <w:rFonts w:ascii="Century Gothic" w:hAnsi="Century Gothic"/>
          <w:sz w:val="24"/>
          <w:szCs w:val="24"/>
        </w:rPr>
        <w:t xml:space="preserve">, en irrestricto apego a la división constitucional de Poderes, exhorta respetuosamente a la Secretaría de Educación y Deporte, </w:t>
      </w:r>
      <w:r w:rsidR="00CE613E">
        <w:rPr>
          <w:rFonts w:ascii="Century Gothic" w:hAnsi="Century Gothic"/>
          <w:sz w:val="24"/>
          <w:szCs w:val="24"/>
        </w:rPr>
        <w:t>para que</w:t>
      </w:r>
      <w:r>
        <w:rPr>
          <w:rFonts w:ascii="Century Gothic" w:hAnsi="Century Gothic"/>
          <w:sz w:val="24"/>
          <w:szCs w:val="24"/>
        </w:rPr>
        <w:t xml:space="preserve"> </w:t>
      </w:r>
      <w:r w:rsidR="000305D5" w:rsidRPr="000305D5">
        <w:rPr>
          <w:rFonts w:ascii="Century Gothic" w:hAnsi="Century Gothic"/>
          <w:b/>
          <w:bCs/>
          <w:sz w:val="24"/>
          <w:szCs w:val="24"/>
        </w:rPr>
        <w:t>se dé continuidad a la</w:t>
      </w:r>
      <w:r w:rsidR="004D381C" w:rsidRPr="000305D5">
        <w:rPr>
          <w:rFonts w:ascii="Century Gothic" w:hAnsi="Century Gothic"/>
          <w:b/>
          <w:bCs/>
          <w:sz w:val="24"/>
          <w:szCs w:val="24"/>
        </w:rPr>
        <w:t xml:space="preserve"> difusión y capacitación </w:t>
      </w:r>
      <w:r w:rsidR="000305D5" w:rsidRPr="000305D5">
        <w:rPr>
          <w:rFonts w:ascii="Century Gothic" w:hAnsi="Century Gothic"/>
          <w:b/>
          <w:bCs/>
          <w:sz w:val="24"/>
          <w:szCs w:val="24"/>
        </w:rPr>
        <w:t>del</w:t>
      </w:r>
      <w:r w:rsidR="004D381C" w:rsidRPr="000305D5">
        <w:rPr>
          <w:rFonts w:ascii="Century Gothic" w:hAnsi="Century Gothic"/>
          <w:b/>
          <w:bCs/>
          <w:sz w:val="24"/>
          <w:szCs w:val="24"/>
        </w:rPr>
        <w:t xml:space="preserve"> personal docente y directivo sobre el contenido del PROTOCOLO ÚNICO DE PREVENCIÓN, DETECCIÓN Y ACTUACIÓN EN CASOS DE VIOLENCIA CONTRA NIÑOS, NIÑAS Y ADOLESCENTES EN LA ESCUELA DE EDUCACIÓN BÁSICA EN EL ESTADO DE CHIHUAHUA, </w:t>
      </w:r>
      <w:r w:rsidR="00B32E52" w:rsidRPr="000305D5">
        <w:rPr>
          <w:rFonts w:ascii="Century Gothic" w:hAnsi="Century Gothic"/>
          <w:b/>
          <w:bCs/>
          <w:sz w:val="24"/>
          <w:szCs w:val="24"/>
        </w:rPr>
        <w:t>toda vez que con el reinicio de las clases presenciales</w:t>
      </w:r>
      <w:r w:rsidR="000305D5" w:rsidRPr="000305D5">
        <w:rPr>
          <w:rFonts w:ascii="Century Gothic" w:hAnsi="Century Gothic"/>
          <w:b/>
          <w:bCs/>
          <w:sz w:val="24"/>
          <w:szCs w:val="24"/>
        </w:rPr>
        <w:t>, se</w:t>
      </w:r>
      <w:r w:rsidR="00B32E52" w:rsidRPr="000305D5">
        <w:rPr>
          <w:rFonts w:ascii="Century Gothic" w:hAnsi="Century Gothic"/>
          <w:b/>
          <w:bCs/>
          <w:sz w:val="24"/>
          <w:szCs w:val="24"/>
        </w:rPr>
        <w:t xml:space="preserve"> requiere actualizar la capacitación respecto del contenido del citado protocolo </w:t>
      </w:r>
      <w:r w:rsidR="00B72419">
        <w:rPr>
          <w:rFonts w:ascii="Century Gothic" w:hAnsi="Century Gothic"/>
          <w:b/>
          <w:bCs/>
          <w:sz w:val="24"/>
          <w:szCs w:val="24"/>
        </w:rPr>
        <w:t xml:space="preserve">y </w:t>
      </w:r>
      <w:r w:rsidR="004D381C" w:rsidRPr="000305D5">
        <w:rPr>
          <w:rFonts w:ascii="Century Gothic" w:hAnsi="Century Gothic"/>
          <w:b/>
          <w:bCs/>
          <w:sz w:val="24"/>
          <w:szCs w:val="24"/>
        </w:rPr>
        <w:t>de igual forma se coordine con el Sistema E</w:t>
      </w:r>
      <w:r w:rsidR="00B72419">
        <w:rPr>
          <w:rFonts w:ascii="Century Gothic" w:hAnsi="Century Gothic"/>
          <w:b/>
          <w:bCs/>
          <w:sz w:val="24"/>
          <w:szCs w:val="24"/>
        </w:rPr>
        <w:t>statal de Protección de Niñas, Niños y A</w:t>
      </w:r>
      <w:r w:rsidR="004D381C" w:rsidRPr="000305D5">
        <w:rPr>
          <w:rFonts w:ascii="Century Gothic" w:hAnsi="Century Gothic"/>
          <w:b/>
          <w:bCs/>
          <w:sz w:val="24"/>
          <w:szCs w:val="24"/>
        </w:rPr>
        <w:t>dolescentes para</w:t>
      </w:r>
      <w:r w:rsidR="0031692E" w:rsidRPr="000305D5">
        <w:rPr>
          <w:rFonts w:ascii="Century Gothic" w:hAnsi="Century Gothic"/>
          <w:b/>
          <w:bCs/>
          <w:sz w:val="24"/>
          <w:szCs w:val="24"/>
        </w:rPr>
        <w:t xml:space="preserve"> generar programas de prevención y la oportuna atención con las instancias correspondiente en aquellos casos donde se hayan vulnerado los derechos de niñas, niños y adolescentes en el Estado de Chihuahua.</w:t>
      </w:r>
    </w:p>
    <w:p w14:paraId="1BEC8F8D" w14:textId="1F7A275D" w:rsidR="00DB1D41" w:rsidRDefault="002B5D28" w:rsidP="002862F2">
      <w:pPr>
        <w:spacing w:line="360" w:lineRule="auto"/>
        <w:jc w:val="both"/>
        <w:rPr>
          <w:rFonts w:ascii="Century Gothic" w:hAnsi="Century Gothic"/>
          <w:sz w:val="24"/>
          <w:szCs w:val="24"/>
        </w:rPr>
      </w:pPr>
      <w:r w:rsidRPr="002B5D28">
        <w:rPr>
          <w:rFonts w:ascii="Century Gothic" w:hAnsi="Century Gothic"/>
          <w:b/>
          <w:bCs/>
          <w:sz w:val="24"/>
          <w:szCs w:val="24"/>
        </w:rPr>
        <w:t>SEGUNDO. -</w:t>
      </w:r>
      <w:r w:rsidR="00210678">
        <w:rPr>
          <w:rFonts w:ascii="Century Gothic" w:hAnsi="Century Gothic"/>
          <w:sz w:val="24"/>
          <w:szCs w:val="24"/>
        </w:rPr>
        <w:t xml:space="preserve">  Se reconoce e</w:t>
      </w:r>
      <w:r w:rsidR="007518CA">
        <w:rPr>
          <w:rFonts w:ascii="Century Gothic" w:hAnsi="Century Gothic"/>
          <w:sz w:val="24"/>
          <w:szCs w:val="24"/>
        </w:rPr>
        <w:t xml:space="preserve">l esfuerzo que los </w:t>
      </w:r>
      <w:r>
        <w:rPr>
          <w:rFonts w:ascii="Century Gothic" w:hAnsi="Century Gothic"/>
          <w:sz w:val="24"/>
          <w:szCs w:val="24"/>
        </w:rPr>
        <w:t>Servicios Educativos</w:t>
      </w:r>
      <w:r w:rsidR="007518CA">
        <w:rPr>
          <w:rFonts w:ascii="Century Gothic" w:hAnsi="Century Gothic"/>
          <w:sz w:val="24"/>
          <w:szCs w:val="24"/>
        </w:rPr>
        <w:t xml:space="preserve"> del Estado de Chihuahua, a través del </w:t>
      </w:r>
      <w:r>
        <w:rPr>
          <w:rFonts w:ascii="Century Gothic" w:hAnsi="Century Gothic"/>
          <w:sz w:val="24"/>
          <w:szCs w:val="24"/>
        </w:rPr>
        <w:t>Área</w:t>
      </w:r>
      <w:r w:rsidR="007518CA">
        <w:rPr>
          <w:rFonts w:ascii="Century Gothic" w:hAnsi="Century Gothic"/>
          <w:sz w:val="24"/>
          <w:szCs w:val="24"/>
        </w:rPr>
        <w:t xml:space="preserve"> de </w:t>
      </w:r>
      <w:r>
        <w:rPr>
          <w:rFonts w:ascii="Century Gothic" w:hAnsi="Century Gothic"/>
          <w:sz w:val="24"/>
          <w:szCs w:val="24"/>
        </w:rPr>
        <w:t>P</w:t>
      </w:r>
      <w:r w:rsidR="007518CA">
        <w:rPr>
          <w:rFonts w:ascii="Century Gothic" w:hAnsi="Century Gothic"/>
          <w:sz w:val="24"/>
          <w:szCs w:val="24"/>
        </w:rPr>
        <w:t xml:space="preserve">rotección de </w:t>
      </w:r>
      <w:r>
        <w:rPr>
          <w:rFonts w:ascii="Century Gothic" w:hAnsi="Century Gothic"/>
          <w:sz w:val="24"/>
          <w:szCs w:val="24"/>
        </w:rPr>
        <w:t>N</w:t>
      </w:r>
      <w:r w:rsidR="007518CA">
        <w:rPr>
          <w:rFonts w:ascii="Century Gothic" w:hAnsi="Century Gothic"/>
          <w:sz w:val="24"/>
          <w:szCs w:val="24"/>
        </w:rPr>
        <w:t xml:space="preserve">iñas, </w:t>
      </w:r>
      <w:r>
        <w:rPr>
          <w:rFonts w:ascii="Century Gothic" w:hAnsi="Century Gothic"/>
          <w:sz w:val="24"/>
          <w:szCs w:val="24"/>
        </w:rPr>
        <w:t>N</w:t>
      </w:r>
      <w:r w:rsidR="007518CA">
        <w:rPr>
          <w:rFonts w:ascii="Century Gothic" w:hAnsi="Century Gothic"/>
          <w:sz w:val="24"/>
          <w:szCs w:val="24"/>
        </w:rPr>
        <w:t xml:space="preserve">iños y </w:t>
      </w:r>
      <w:r>
        <w:rPr>
          <w:rFonts w:ascii="Century Gothic" w:hAnsi="Century Gothic"/>
          <w:sz w:val="24"/>
          <w:szCs w:val="24"/>
        </w:rPr>
        <w:t>A</w:t>
      </w:r>
      <w:r w:rsidR="007518CA">
        <w:rPr>
          <w:rFonts w:ascii="Century Gothic" w:hAnsi="Century Gothic"/>
          <w:sz w:val="24"/>
          <w:szCs w:val="24"/>
        </w:rPr>
        <w:t>dolescentes, perteneciente al Departamento de Apoyo Técnico a la Supervisión Es</w:t>
      </w:r>
      <w:r w:rsidR="00D10596">
        <w:rPr>
          <w:rFonts w:ascii="Century Gothic" w:hAnsi="Century Gothic"/>
          <w:sz w:val="24"/>
          <w:szCs w:val="24"/>
        </w:rPr>
        <w:t>colar, de la Dirección Primaria,</w:t>
      </w:r>
      <w:r w:rsidR="007518CA">
        <w:rPr>
          <w:rFonts w:ascii="Century Gothic" w:hAnsi="Century Gothic"/>
          <w:sz w:val="24"/>
          <w:szCs w:val="24"/>
        </w:rPr>
        <w:t xml:space="preserve"> </w:t>
      </w:r>
      <w:r w:rsidR="00D10596">
        <w:rPr>
          <w:rFonts w:ascii="Century Gothic" w:hAnsi="Century Gothic"/>
          <w:sz w:val="24"/>
          <w:szCs w:val="24"/>
        </w:rPr>
        <w:t>e</w:t>
      </w:r>
      <w:r w:rsidR="007518CA">
        <w:rPr>
          <w:rFonts w:ascii="Century Gothic" w:hAnsi="Century Gothic"/>
          <w:sz w:val="24"/>
          <w:szCs w:val="24"/>
        </w:rPr>
        <w:t>n la capacitación de docentes del Estado de Chihuahua para la prevención</w:t>
      </w:r>
      <w:r>
        <w:rPr>
          <w:rFonts w:ascii="Century Gothic" w:hAnsi="Century Gothic"/>
          <w:sz w:val="24"/>
          <w:szCs w:val="24"/>
        </w:rPr>
        <w:t xml:space="preserve"> y atención </w:t>
      </w:r>
      <w:r w:rsidR="00CE613E">
        <w:rPr>
          <w:rFonts w:ascii="Century Gothic" w:hAnsi="Century Gothic"/>
          <w:sz w:val="24"/>
          <w:szCs w:val="24"/>
        </w:rPr>
        <w:t xml:space="preserve">de </w:t>
      </w:r>
      <w:r>
        <w:rPr>
          <w:rFonts w:ascii="Century Gothic" w:hAnsi="Century Gothic"/>
          <w:sz w:val="24"/>
          <w:szCs w:val="24"/>
        </w:rPr>
        <w:t>denuncias</w:t>
      </w:r>
      <w:r w:rsidR="00210678">
        <w:rPr>
          <w:rFonts w:ascii="Century Gothic" w:hAnsi="Century Gothic"/>
          <w:sz w:val="24"/>
          <w:szCs w:val="24"/>
        </w:rPr>
        <w:t xml:space="preserve"> de violencia en conta de niñas, niño</w:t>
      </w:r>
      <w:r w:rsidR="007518CA">
        <w:rPr>
          <w:rFonts w:ascii="Century Gothic" w:hAnsi="Century Gothic"/>
          <w:sz w:val="24"/>
          <w:szCs w:val="24"/>
        </w:rPr>
        <w:t xml:space="preserve">s y </w:t>
      </w:r>
      <w:r>
        <w:rPr>
          <w:rFonts w:ascii="Century Gothic" w:hAnsi="Century Gothic"/>
          <w:sz w:val="24"/>
          <w:szCs w:val="24"/>
        </w:rPr>
        <w:t>adolescentes.</w:t>
      </w:r>
    </w:p>
    <w:p w14:paraId="7C783D7E" w14:textId="77777777" w:rsidR="00E24ADF" w:rsidRPr="00E24ADF" w:rsidRDefault="00E24ADF" w:rsidP="00E24ADF">
      <w:pPr>
        <w:spacing w:line="360" w:lineRule="auto"/>
        <w:jc w:val="both"/>
        <w:rPr>
          <w:rFonts w:ascii="Century Gothic" w:eastAsia="Century Gothic" w:hAnsi="Century Gothic" w:cs="Century Gothic"/>
          <w:color w:val="000000"/>
          <w:sz w:val="24"/>
          <w:szCs w:val="24"/>
          <w:lang w:eastAsia="es-MX"/>
        </w:rPr>
      </w:pPr>
      <w:r w:rsidRPr="00E24ADF">
        <w:rPr>
          <w:rFonts w:ascii="Century Gothic" w:eastAsia="Century Gothic" w:hAnsi="Century Gothic" w:cs="Century Gothic"/>
          <w:b/>
          <w:color w:val="000000"/>
          <w:sz w:val="24"/>
          <w:szCs w:val="24"/>
          <w:lang w:eastAsia="es-MX"/>
        </w:rPr>
        <w:t>ECONÓMICO</w:t>
      </w:r>
      <w:r w:rsidRPr="00E24ADF">
        <w:rPr>
          <w:rFonts w:ascii="Century Gothic" w:eastAsia="Century Gothic" w:hAnsi="Century Gothic" w:cs="Century Gothic"/>
          <w:color w:val="000000"/>
          <w:sz w:val="24"/>
          <w:szCs w:val="24"/>
          <w:lang w:eastAsia="es-MX"/>
        </w:rPr>
        <w:t>. Aprobado que sea, túrnese a la Secretaría, a fin de que se remita copia del acuerdo a las autoridades competentes, para los efectos a que haya lugar.</w:t>
      </w:r>
    </w:p>
    <w:p w14:paraId="6278DA62" w14:textId="50ABEAB3" w:rsidR="002D0D65" w:rsidRDefault="002D0D65" w:rsidP="002D0D65">
      <w:pPr>
        <w:spacing w:after="0" w:line="312" w:lineRule="auto"/>
        <w:jc w:val="both"/>
        <w:rPr>
          <w:rFonts w:ascii="Century Gothic" w:eastAsia="Calibri" w:hAnsi="Century Gothic" w:cs="Arial"/>
          <w:sz w:val="24"/>
          <w:szCs w:val="24"/>
        </w:rPr>
      </w:pPr>
      <w:r w:rsidRPr="00CE613E">
        <w:rPr>
          <w:rFonts w:ascii="Century Gothic" w:eastAsia="Calibri" w:hAnsi="Century Gothic" w:cs="Arial"/>
          <w:sz w:val="24"/>
          <w:szCs w:val="24"/>
        </w:rPr>
        <w:t xml:space="preserve">Dado </w:t>
      </w:r>
      <w:r w:rsidR="00E24ADF" w:rsidRPr="00CE613E">
        <w:rPr>
          <w:rFonts w:ascii="Century Gothic" w:eastAsia="Calibri" w:hAnsi="Century Gothic" w:cs="Arial"/>
          <w:sz w:val="24"/>
          <w:szCs w:val="24"/>
        </w:rPr>
        <w:t>en el Salón del Pleno de la Sede del Poder Legislativo</w:t>
      </w:r>
      <w:r w:rsidRPr="00CE613E">
        <w:rPr>
          <w:rFonts w:ascii="Century Gothic" w:eastAsia="Calibri" w:hAnsi="Century Gothic" w:cs="Arial"/>
          <w:sz w:val="24"/>
          <w:szCs w:val="24"/>
        </w:rPr>
        <w:t xml:space="preserve"> </w:t>
      </w:r>
      <w:r w:rsidR="00E24ADF" w:rsidRPr="00CE613E">
        <w:rPr>
          <w:rFonts w:ascii="Century Gothic" w:eastAsia="Calibri" w:hAnsi="Century Gothic" w:cs="Arial"/>
          <w:sz w:val="24"/>
          <w:szCs w:val="24"/>
        </w:rPr>
        <w:t>Chihuahua,</w:t>
      </w:r>
      <w:r w:rsidRPr="00CE613E">
        <w:rPr>
          <w:rFonts w:ascii="Century Gothic" w:eastAsia="Calibri" w:hAnsi="Century Gothic" w:cs="Arial"/>
          <w:sz w:val="24"/>
          <w:szCs w:val="24"/>
        </w:rPr>
        <w:t xml:space="preserve"> Chihuahua, a los </w:t>
      </w:r>
      <w:r w:rsidR="00B72419">
        <w:rPr>
          <w:rFonts w:ascii="Century Gothic" w:eastAsia="Calibri" w:hAnsi="Century Gothic" w:cs="Arial"/>
          <w:sz w:val="24"/>
          <w:szCs w:val="24"/>
        </w:rPr>
        <w:t>28</w:t>
      </w:r>
      <w:r w:rsidRPr="00CE613E">
        <w:rPr>
          <w:rFonts w:ascii="Century Gothic" w:eastAsia="Calibri" w:hAnsi="Century Gothic" w:cs="Arial"/>
          <w:sz w:val="24"/>
          <w:szCs w:val="24"/>
        </w:rPr>
        <w:t xml:space="preserve"> días del mes de </w:t>
      </w:r>
      <w:r w:rsidR="00E24ADF" w:rsidRPr="00CE613E">
        <w:rPr>
          <w:rFonts w:ascii="Century Gothic" w:eastAsia="Calibri" w:hAnsi="Century Gothic" w:cs="Arial"/>
          <w:sz w:val="24"/>
          <w:szCs w:val="24"/>
        </w:rPr>
        <w:t>octubre</w:t>
      </w:r>
      <w:r w:rsidRPr="00CE613E">
        <w:rPr>
          <w:rFonts w:ascii="Century Gothic" w:eastAsia="Calibri" w:hAnsi="Century Gothic" w:cs="Arial"/>
          <w:sz w:val="24"/>
          <w:szCs w:val="24"/>
        </w:rPr>
        <w:t xml:space="preserve"> del 2021. </w:t>
      </w:r>
    </w:p>
    <w:p w14:paraId="4FBD5467" w14:textId="77777777" w:rsidR="00CE613E" w:rsidRPr="00CE613E" w:rsidRDefault="00CE613E" w:rsidP="002D0D65">
      <w:pPr>
        <w:spacing w:after="0" w:line="312" w:lineRule="auto"/>
        <w:jc w:val="both"/>
        <w:rPr>
          <w:rFonts w:ascii="Century Gothic" w:eastAsia="Calibri" w:hAnsi="Century Gothic" w:cs="Arial"/>
          <w:sz w:val="24"/>
          <w:szCs w:val="24"/>
        </w:rPr>
      </w:pPr>
    </w:p>
    <w:p w14:paraId="5C48D1DB" w14:textId="77777777" w:rsidR="00CE613E" w:rsidRPr="00CE613E" w:rsidRDefault="00CE613E" w:rsidP="00CE613E">
      <w:pPr>
        <w:spacing w:after="0" w:line="360" w:lineRule="auto"/>
        <w:jc w:val="center"/>
        <w:rPr>
          <w:rFonts w:ascii="Arial" w:eastAsia="Arial" w:hAnsi="Arial" w:cs="Arial"/>
          <w:b/>
          <w:sz w:val="24"/>
          <w:szCs w:val="24"/>
          <w:lang w:val="es" w:eastAsia="es-MX"/>
        </w:rPr>
      </w:pPr>
      <w:r w:rsidRPr="00CE613E">
        <w:rPr>
          <w:rFonts w:ascii="Arial" w:eastAsia="Arial" w:hAnsi="Arial" w:cs="Arial"/>
          <w:b/>
          <w:sz w:val="24"/>
          <w:szCs w:val="24"/>
          <w:lang w:val="es" w:eastAsia="es-MX"/>
        </w:rPr>
        <w:t>ATENTAMENTE</w:t>
      </w:r>
    </w:p>
    <w:p w14:paraId="70A79FAA" w14:textId="77777777" w:rsidR="00CE613E" w:rsidRPr="00CE613E" w:rsidRDefault="00CE613E" w:rsidP="00CE613E">
      <w:pPr>
        <w:spacing w:after="0" w:line="360" w:lineRule="auto"/>
        <w:jc w:val="center"/>
        <w:rPr>
          <w:rFonts w:ascii="Arial" w:eastAsia="Arial" w:hAnsi="Arial" w:cs="Arial"/>
          <w:b/>
          <w:sz w:val="24"/>
          <w:szCs w:val="24"/>
          <w:lang w:val="es" w:eastAsia="es-MX"/>
        </w:rPr>
      </w:pPr>
    </w:p>
    <w:p w14:paraId="7FB6A26D" w14:textId="77777777" w:rsidR="00CE613E" w:rsidRPr="00CE613E" w:rsidRDefault="00CE613E" w:rsidP="00CE613E">
      <w:pPr>
        <w:spacing w:after="0" w:line="360" w:lineRule="auto"/>
        <w:jc w:val="center"/>
        <w:rPr>
          <w:rFonts w:ascii="Arial" w:eastAsia="Arial" w:hAnsi="Arial" w:cs="Arial"/>
          <w:b/>
          <w:sz w:val="24"/>
          <w:szCs w:val="24"/>
          <w:lang w:val="es" w:eastAsia="es-MX"/>
        </w:rPr>
      </w:pPr>
      <w:r w:rsidRPr="00CE613E">
        <w:rPr>
          <w:rFonts w:ascii="Arial" w:eastAsia="Arial" w:hAnsi="Arial" w:cs="Arial"/>
          <w:b/>
          <w:sz w:val="24"/>
          <w:szCs w:val="24"/>
          <w:lang w:val="es" w:eastAsia="es-MX"/>
        </w:rPr>
        <w:t xml:space="preserve"> </w:t>
      </w:r>
    </w:p>
    <w:p w14:paraId="1C822922" w14:textId="77777777" w:rsidR="00CE613E" w:rsidRPr="00CE613E" w:rsidRDefault="00CE613E" w:rsidP="00CE613E">
      <w:pPr>
        <w:spacing w:after="0" w:line="360" w:lineRule="auto"/>
        <w:jc w:val="center"/>
        <w:rPr>
          <w:rFonts w:ascii="Arial" w:eastAsia="Arial" w:hAnsi="Arial" w:cs="Arial"/>
          <w:b/>
          <w:sz w:val="24"/>
          <w:szCs w:val="24"/>
          <w:lang w:val="es" w:eastAsia="es-MX"/>
        </w:rPr>
      </w:pPr>
      <w:r w:rsidRPr="00CE613E">
        <w:rPr>
          <w:rFonts w:ascii="Arial" w:eastAsia="Arial" w:hAnsi="Arial" w:cs="Arial"/>
          <w:b/>
          <w:sz w:val="24"/>
          <w:szCs w:val="24"/>
          <w:lang w:val="es" w:eastAsia="es-MX"/>
        </w:rPr>
        <w:t>_______________________________________</w:t>
      </w:r>
    </w:p>
    <w:p w14:paraId="4870C8CE" w14:textId="77777777" w:rsidR="00CE613E" w:rsidRPr="00CE613E" w:rsidRDefault="00CE613E" w:rsidP="00CE613E">
      <w:pPr>
        <w:spacing w:after="0" w:line="360" w:lineRule="auto"/>
        <w:jc w:val="center"/>
        <w:rPr>
          <w:rFonts w:ascii="Arial" w:eastAsia="Arial" w:hAnsi="Arial" w:cs="Arial"/>
          <w:b/>
          <w:sz w:val="24"/>
          <w:szCs w:val="24"/>
          <w:lang w:val="es" w:eastAsia="es-MX"/>
        </w:rPr>
      </w:pPr>
      <w:proofErr w:type="spellStart"/>
      <w:r w:rsidRPr="00CE613E">
        <w:rPr>
          <w:rFonts w:ascii="Arial" w:eastAsia="Arial" w:hAnsi="Arial" w:cs="Arial"/>
          <w:b/>
          <w:sz w:val="24"/>
          <w:szCs w:val="24"/>
          <w:lang w:val="es" w:eastAsia="es-MX"/>
        </w:rPr>
        <w:t>Dip</w:t>
      </w:r>
      <w:proofErr w:type="spellEnd"/>
      <w:r w:rsidRPr="00CE613E">
        <w:rPr>
          <w:rFonts w:ascii="Arial" w:eastAsia="Arial" w:hAnsi="Arial" w:cs="Arial"/>
          <w:b/>
          <w:sz w:val="24"/>
          <w:szCs w:val="24"/>
          <w:lang w:val="es" w:eastAsia="es-MX"/>
        </w:rPr>
        <w:t>. Diana Ivette Pereda Gutiérrez</w:t>
      </w:r>
    </w:p>
    <w:p w14:paraId="29D45D4E" w14:textId="77777777" w:rsidR="00CE613E" w:rsidRDefault="00CE613E" w:rsidP="00CE613E">
      <w:pPr>
        <w:spacing w:after="0" w:line="360" w:lineRule="auto"/>
        <w:jc w:val="center"/>
        <w:rPr>
          <w:rFonts w:ascii="Arial" w:eastAsia="Arial" w:hAnsi="Arial" w:cs="Arial"/>
          <w:sz w:val="24"/>
          <w:szCs w:val="24"/>
          <w:lang w:val="es" w:eastAsia="es-MX"/>
        </w:rPr>
      </w:pPr>
    </w:p>
    <w:p w14:paraId="302E0247" w14:textId="77777777" w:rsidR="00EC5E08" w:rsidRDefault="00EC5E08" w:rsidP="00CE613E">
      <w:pPr>
        <w:spacing w:after="0" w:line="360" w:lineRule="auto"/>
        <w:jc w:val="center"/>
        <w:rPr>
          <w:rFonts w:ascii="Arial" w:eastAsia="Arial" w:hAnsi="Arial" w:cs="Arial"/>
          <w:sz w:val="24"/>
          <w:szCs w:val="24"/>
          <w:lang w:val="es" w:eastAsia="es-MX"/>
        </w:rPr>
      </w:pPr>
    </w:p>
    <w:p w14:paraId="2956020E" w14:textId="77777777" w:rsidR="000D2E2D" w:rsidRPr="00CE613E" w:rsidRDefault="000D2E2D" w:rsidP="00CE613E">
      <w:pPr>
        <w:spacing w:after="0" w:line="360" w:lineRule="auto"/>
        <w:jc w:val="center"/>
        <w:rPr>
          <w:rFonts w:ascii="Arial" w:eastAsia="Arial" w:hAnsi="Arial" w:cs="Arial"/>
          <w:sz w:val="24"/>
          <w:szCs w:val="24"/>
          <w:lang w:val="es" w:eastAsia="es-MX"/>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448"/>
        <w:gridCol w:w="4390"/>
      </w:tblGrid>
      <w:tr w:rsidR="00CE613E" w:rsidRPr="00CE613E" w14:paraId="4A348384" w14:textId="77777777" w:rsidTr="00CE613E">
        <w:tc>
          <w:tcPr>
            <w:tcW w:w="4448" w:type="dxa"/>
          </w:tcPr>
          <w:p w14:paraId="3376FB55" w14:textId="77777777" w:rsidR="00CE613E" w:rsidRPr="00CE613E" w:rsidRDefault="00CE613E" w:rsidP="00CE613E">
            <w:pPr>
              <w:spacing w:line="312" w:lineRule="auto"/>
              <w:jc w:val="center"/>
              <w:rPr>
                <w:rFonts w:eastAsia="Calibri"/>
                <w:b/>
                <w:bCs/>
                <w:sz w:val="24"/>
                <w:szCs w:val="24"/>
              </w:rPr>
            </w:pPr>
            <w:r w:rsidRPr="00CE613E">
              <w:rPr>
                <w:rFonts w:eastAsia="Calibri"/>
                <w:b/>
                <w:bCs/>
                <w:sz w:val="24"/>
                <w:szCs w:val="24"/>
              </w:rPr>
              <w:t>__________________________</w:t>
            </w:r>
          </w:p>
          <w:p w14:paraId="7694BE5F" w14:textId="77777777" w:rsidR="00CE613E" w:rsidRPr="00CE613E" w:rsidRDefault="00CE613E" w:rsidP="00CE613E">
            <w:pPr>
              <w:spacing w:line="312" w:lineRule="auto"/>
              <w:jc w:val="center"/>
              <w:rPr>
                <w:rFonts w:eastAsia="Calibri"/>
                <w:b/>
                <w:bCs/>
                <w:sz w:val="24"/>
                <w:szCs w:val="24"/>
              </w:rPr>
            </w:pPr>
            <w:proofErr w:type="spellStart"/>
            <w:r w:rsidRPr="00CE613E">
              <w:rPr>
                <w:rFonts w:eastAsia="Calibri"/>
                <w:b/>
                <w:bCs/>
                <w:sz w:val="24"/>
                <w:szCs w:val="24"/>
              </w:rPr>
              <w:t>Dip</w:t>
            </w:r>
            <w:proofErr w:type="spellEnd"/>
            <w:r w:rsidRPr="00CE613E">
              <w:rPr>
                <w:rFonts w:eastAsia="Calibri"/>
                <w:b/>
                <w:bCs/>
                <w:sz w:val="24"/>
                <w:szCs w:val="24"/>
              </w:rPr>
              <w:t>. Marisela Terrazas Muñoz</w:t>
            </w:r>
          </w:p>
          <w:p w14:paraId="43584231" w14:textId="77777777" w:rsidR="00CE613E" w:rsidRPr="00CE613E" w:rsidRDefault="00CE613E" w:rsidP="00CE613E">
            <w:pPr>
              <w:spacing w:line="360" w:lineRule="auto"/>
              <w:jc w:val="center"/>
              <w:rPr>
                <w:sz w:val="24"/>
                <w:szCs w:val="24"/>
              </w:rPr>
            </w:pPr>
          </w:p>
        </w:tc>
        <w:tc>
          <w:tcPr>
            <w:tcW w:w="4390" w:type="dxa"/>
          </w:tcPr>
          <w:p w14:paraId="34FE2453" w14:textId="77777777" w:rsidR="00CE613E" w:rsidRPr="00CE613E" w:rsidRDefault="00CE613E" w:rsidP="00CE613E">
            <w:pPr>
              <w:spacing w:line="276" w:lineRule="auto"/>
              <w:jc w:val="center"/>
              <w:rPr>
                <w:b/>
                <w:sz w:val="24"/>
                <w:szCs w:val="24"/>
              </w:rPr>
            </w:pPr>
            <w:r w:rsidRPr="00CE613E">
              <w:rPr>
                <w:b/>
                <w:sz w:val="24"/>
                <w:szCs w:val="24"/>
              </w:rPr>
              <w:t>_________________________</w:t>
            </w:r>
          </w:p>
          <w:p w14:paraId="14C44FC2" w14:textId="77777777" w:rsidR="00CE613E" w:rsidRPr="00CE613E" w:rsidRDefault="00CE613E" w:rsidP="00CE613E">
            <w:pPr>
              <w:spacing w:line="276" w:lineRule="auto"/>
              <w:jc w:val="center"/>
              <w:rPr>
                <w:sz w:val="24"/>
                <w:szCs w:val="24"/>
              </w:rPr>
            </w:pPr>
            <w:proofErr w:type="spellStart"/>
            <w:r w:rsidRPr="00CE613E">
              <w:rPr>
                <w:b/>
                <w:sz w:val="24"/>
                <w:szCs w:val="24"/>
              </w:rPr>
              <w:t>Dip</w:t>
            </w:r>
            <w:proofErr w:type="spellEnd"/>
            <w:r w:rsidRPr="00CE613E">
              <w:rPr>
                <w:b/>
                <w:sz w:val="24"/>
                <w:szCs w:val="24"/>
              </w:rPr>
              <w:t>. Ismael Pérez Pavía</w:t>
            </w:r>
          </w:p>
        </w:tc>
      </w:tr>
      <w:tr w:rsidR="00CE613E" w:rsidRPr="00CE613E" w14:paraId="1266330E" w14:textId="77777777" w:rsidTr="00CE613E">
        <w:tc>
          <w:tcPr>
            <w:tcW w:w="4448" w:type="dxa"/>
          </w:tcPr>
          <w:p w14:paraId="5BA64813" w14:textId="77777777" w:rsidR="00CE613E" w:rsidRDefault="00CE613E" w:rsidP="00CE613E">
            <w:pPr>
              <w:spacing w:line="360" w:lineRule="auto"/>
              <w:jc w:val="center"/>
              <w:rPr>
                <w:b/>
                <w:sz w:val="24"/>
                <w:szCs w:val="24"/>
              </w:rPr>
            </w:pPr>
          </w:p>
          <w:p w14:paraId="63999D7D" w14:textId="77777777" w:rsidR="000D2E2D" w:rsidRPr="00CE613E" w:rsidRDefault="000D2E2D" w:rsidP="00CE613E">
            <w:pPr>
              <w:spacing w:line="360" w:lineRule="auto"/>
              <w:jc w:val="center"/>
              <w:rPr>
                <w:b/>
                <w:sz w:val="24"/>
                <w:szCs w:val="24"/>
              </w:rPr>
            </w:pPr>
          </w:p>
          <w:p w14:paraId="39D664F5" w14:textId="77777777" w:rsidR="00CE613E" w:rsidRPr="00CE613E" w:rsidRDefault="00CE613E" w:rsidP="00CE613E">
            <w:pPr>
              <w:spacing w:line="360" w:lineRule="auto"/>
              <w:jc w:val="center"/>
              <w:rPr>
                <w:b/>
                <w:sz w:val="24"/>
                <w:szCs w:val="24"/>
              </w:rPr>
            </w:pPr>
            <w:r w:rsidRPr="00CE613E">
              <w:rPr>
                <w:b/>
                <w:sz w:val="24"/>
                <w:szCs w:val="24"/>
              </w:rPr>
              <w:t>_________________________</w:t>
            </w:r>
          </w:p>
          <w:p w14:paraId="70EBD8ED" w14:textId="77777777" w:rsidR="00CE613E" w:rsidRPr="00CE613E" w:rsidRDefault="00CE613E" w:rsidP="00CE613E">
            <w:pPr>
              <w:spacing w:line="360" w:lineRule="auto"/>
              <w:jc w:val="center"/>
              <w:rPr>
                <w:b/>
                <w:sz w:val="24"/>
                <w:szCs w:val="24"/>
              </w:rPr>
            </w:pPr>
            <w:proofErr w:type="spellStart"/>
            <w:r w:rsidRPr="00CE613E">
              <w:rPr>
                <w:b/>
                <w:sz w:val="24"/>
                <w:szCs w:val="24"/>
              </w:rPr>
              <w:t>Dip</w:t>
            </w:r>
            <w:proofErr w:type="spellEnd"/>
            <w:r w:rsidRPr="00CE613E">
              <w:rPr>
                <w:b/>
                <w:sz w:val="24"/>
                <w:szCs w:val="24"/>
              </w:rPr>
              <w:t>. Georgina Alejandra Bujanda Ríos</w:t>
            </w:r>
          </w:p>
        </w:tc>
        <w:tc>
          <w:tcPr>
            <w:tcW w:w="4390" w:type="dxa"/>
          </w:tcPr>
          <w:p w14:paraId="22EDF8B5" w14:textId="77777777" w:rsidR="00CE613E" w:rsidRDefault="00CE613E" w:rsidP="00CE613E">
            <w:pPr>
              <w:spacing w:line="360" w:lineRule="auto"/>
              <w:jc w:val="center"/>
              <w:rPr>
                <w:b/>
                <w:sz w:val="24"/>
                <w:szCs w:val="24"/>
              </w:rPr>
            </w:pPr>
          </w:p>
          <w:p w14:paraId="173BAC6A" w14:textId="77777777" w:rsidR="000D2E2D" w:rsidRPr="00CE613E" w:rsidRDefault="000D2E2D" w:rsidP="00CE613E">
            <w:pPr>
              <w:spacing w:line="360" w:lineRule="auto"/>
              <w:jc w:val="center"/>
              <w:rPr>
                <w:b/>
                <w:sz w:val="24"/>
                <w:szCs w:val="24"/>
              </w:rPr>
            </w:pPr>
          </w:p>
          <w:p w14:paraId="07368374" w14:textId="77777777" w:rsidR="00CE613E" w:rsidRPr="00CE613E" w:rsidRDefault="00CE613E" w:rsidP="00CE613E">
            <w:pPr>
              <w:spacing w:line="360" w:lineRule="auto"/>
              <w:jc w:val="center"/>
              <w:rPr>
                <w:b/>
                <w:sz w:val="24"/>
                <w:szCs w:val="24"/>
              </w:rPr>
            </w:pPr>
            <w:r w:rsidRPr="00CE613E">
              <w:rPr>
                <w:b/>
                <w:sz w:val="24"/>
                <w:szCs w:val="24"/>
              </w:rPr>
              <w:t>________________________</w:t>
            </w:r>
          </w:p>
          <w:p w14:paraId="515DB143" w14:textId="77777777" w:rsidR="00CE613E" w:rsidRPr="00CE613E" w:rsidRDefault="00CE613E" w:rsidP="00CE613E">
            <w:pPr>
              <w:spacing w:line="360" w:lineRule="auto"/>
              <w:jc w:val="center"/>
              <w:rPr>
                <w:b/>
                <w:sz w:val="24"/>
                <w:szCs w:val="24"/>
              </w:rPr>
            </w:pPr>
            <w:proofErr w:type="spellStart"/>
            <w:r w:rsidRPr="00CE613E">
              <w:rPr>
                <w:b/>
                <w:sz w:val="24"/>
                <w:szCs w:val="24"/>
              </w:rPr>
              <w:t>Dip</w:t>
            </w:r>
            <w:proofErr w:type="spellEnd"/>
            <w:r w:rsidRPr="00CE613E">
              <w:rPr>
                <w:b/>
                <w:sz w:val="24"/>
                <w:szCs w:val="24"/>
              </w:rPr>
              <w:t>. Saúl Mireles Corral</w:t>
            </w:r>
          </w:p>
        </w:tc>
      </w:tr>
      <w:tr w:rsidR="00CE613E" w:rsidRPr="00CE613E" w14:paraId="72338FF3" w14:textId="77777777" w:rsidTr="00CE613E">
        <w:tc>
          <w:tcPr>
            <w:tcW w:w="4448" w:type="dxa"/>
          </w:tcPr>
          <w:p w14:paraId="75C16026" w14:textId="77777777" w:rsidR="00CE613E" w:rsidRPr="00CE613E" w:rsidRDefault="00CE613E" w:rsidP="00CE613E">
            <w:pPr>
              <w:spacing w:line="360" w:lineRule="auto"/>
              <w:jc w:val="center"/>
              <w:rPr>
                <w:b/>
                <w:sz w:val="24"/>
                <w:szCs w:val="24"/>
              </w:rPr>
            </w:pPr>
          </w:p>
          <w:p w14:paraId="16927743" w14:textId="77777777" w:rsidR="00CE613E" w:rsidRDefault="00CE613E" w:rsidP="00CE613E">
            <w:pPr>
              <w:spacing w:line="360" w:lineRule="auto"/>
              <w:jc w:val="center"/>
              <w:rPr>
                <w:b/>
                <w:sz w:val="24"/>
                <w:szCs w:val="24"/>
              </w:rPr>
            </w:pPr>
          </w:p>
          <w:p w14:paraId="2F3F473B" w14:textId="77777777" w:rsidR="00EC5E08" w:rsidRDefault="00EC5E08" w:rsidP="00CE613E">
            <w:pPr>
              <w:spacing w:line="360" w:lineRule="auto"/>
              <w:jc w:val="center"/>
              <w:rPr>
                <w:b/>
                <w:sz w:val="24"/>
                <w:szCs w:val="24"/>
              </w:rPr>
            </w:pPr>
          </w:p>
          <w:p w14:paraId="299C79CD" w14:textId="77777777" w:rsidR="00EC5E08" w:rsidRDefault="00EC5E08" w:rsidP="00CE613E">
            <w:pPr>
              <w:spacing w:line="360" w:lineRule="auto"/>
              <w:jc w:val="center"/>
              <w:rPr>
                <w:b/>
                <w:sz w:val="24"/>
                <w:szCs w:val="24"/>
              </w:rPr>
            </w:pPr>
          </w:p>
          <w:p w14:paraId="6752167A" w14:textId="77777777" w:rsidR="000D2E2D" w:rsidRPr="00CE613E" w:rsidRDefault="000D2E2D" w:rsidP="00CE613E">
            <w:pPr>
              <w:spacing w:line="360" w:lineRule="auto"/>
              <w:jc w:val="center"/>
              <w:rPr>
                <w:b/>
                <w:sz w:val="24"/>
                <w:szCs w:val="24"/>
              </w:rPr>
            </w:pPr>
          </w:p>
          <w:p w14:paraId="7606BF37" w14:textId="77777777" w:rsidR="00CE613E" w:rsidRPr="00CE613E" w:rsidRDefault="00CE613E" w:rsidP="00CE613E">
            <w:pPr>
              <w:spacing w:line="360" w:lineRule="auto"/>
              <w:jc w:val="center"/>
              <w:rPr>
                <w:b/>
                <w:sz w:val="24"/>
                <w:szCs w:val="24"/>
              </w:rPr>
            </w:pPr>
            <w:r w:rsidRPr="00CE613E">
              <w:rPr>
                <w:b/>
                <w:sz w:val="24"/>
                <w:szCs w:val="24"/>
              </w:rPr>
              <w:t>_________________________</w:t>
            </w:r>
          </w:p>
          <w:p w14:paraId="7BE2A108" w14:textId="77777777" w:rsidR="00CE613E" w:rsidRPr="00CE613E" w:rsidRDefault="00CE613E" w:rsidP="00CE613E">
            <w:pPr>
              <w:spacing w:line="360" w:lineRule="auto"/>
              <w:jc w:val="center"/>
              <w:rPr>
                <w:b/>
                <w:sz w:val="24"/>
                <w:szCs w:val="24"/>
              </w:rPr>
            </w:pPr>
            <w:proofErr w:type="spellStart"/>
            <w:r w:rsidRPr="00CE613E">
              <w:rPr>
                <w:b/>
                <w:sz w:val="24"/>
                <w:szCs w:val="24"/>
              </w:rPr>
              <w:t>Dip</w:t>
            </w:r>
            <w:proofErr w:type="spellEnd"/>
            <w:r w:rsidRPr="00CE613E">
              <w:rPr>
                <w:b/>
                <w:sz w:val="24"/>
                <w:szCs w:val="24"/>
              </w:rPr>
              <w:t>. José Alfredo Chávez Madrid</w:t>
            </w:r>
          </w:p>
        </w:tc>
        <w:tc>
          <w:tcPr>
            <w:tcW w:w="4390" w:type="dxa"/>
          </w:tcPr>
          <w:p w14:paraId="40489A14" w14:textId="77777777" w:rsidR="00CE613E" w:rsidRPr="00CE613E" w:rsidRDefault="00CE613E" w:rsidP="00CE613E">
            <w:pPr>
              <w:spacing w:line="360" w:lineRule="auto"/>
              <w:jc w:val="center"/>
              <w:rPr>
                <w:b/>
                <w:sz w:val="24"/>
                <w:szCs w:val="24"/>
              </w:rPr>
            </w:pPr>
          </w:p>
          <w:p w14:paraId="44F4C2E0" w14:textId="77777777" w:rsidR="00CE613E" w:rsidRDefault="00CE613E" w:rsidP="00CE613E">
            <w:pPr>
              <w:spacing w:line="360" w:lineRule="auto"/>
              <w:jc w:val="center"/>
              <w:rPr>
                <w:b/>
                <w:sz w:val="24"/>
                <w:szCs w:val="24"/>
              </w:rPr>
            </w:pPr>
          </w:p>
          <w:p w14:paraId="72F97F5E" w14:textId="77777777" w:rsidR="00EC5E08" w:rsidRDefault="00EC5E08" w:rsidP="00CE613E">
            <w:pPr>
              <w:spacing w:line="360" w:lineRule="auto"/>
              <w:jc w:val="center"/>
              <w:rPr>
                <w:b/>
                <w:sz w:val="24"/>
                <w:szCs w:val="24"/>
              </w:rPr>
            </w:pPr>
          </w:p>
          <w:p w14:paraId="68982771" w14:textId="77777777" w:rsidR="00EC5E08" w:rsidRDefault="00EC5E08" w:rsidP="00CE613E">
            <w:pPr>
              <w:spacing w:line="360" w:lineRule="auto"/>
              <w:jc w:val="center"/>
              <w:rPr>
                <w:b/>
                <w:sz w:val="24"/>
                <w:szCs w:val="24"/>
              </w:rPr>
            </w:pPr>
          </w:p>
          <w:p w14:paraId="53353A75" w14:textId="77777777" w:rsidR="000D2E2D" w:rsidRPr="00CE613E" w:rsidRDefault="000D2E2D" w:rsidP="00CE613E">
            <w:pPr>
              <w:spacing w:line="360" w:lineRule="auto"/>
              <w:jc w:val="center"/>
              <w:rPr>
                <w:b/>
                <w:sz w:val="24"/>
                <w:szCs w:val="24"/>
              </w:rPr>
            </w:pPr>
          </w:p>
          <w:p w14:paraId="7CE4DA6C" w14:textId="77777777" w:rsidR="00CE613E" w:rsidRPr="00CE613E" w:rsidRDefault="00CE613E" w:rsidP="00CE613E">
            <w:pPr>
              <w:spacing w:line="360" w:lineRule="auto"/>
              <w:jc w:val="center"/>
              <w:rPr>
                <w:b/>
                <w:sz w:val="24"/>
                <w:szCs w:val="24"/>
              </w:rPr>
            </w:pPr>
            <w:r w:rsidRPr="00CE613E">
              <w:rPr>
                <w:b/>
                <w:sz w:val="24"/>
                <w:szCs w:val="24"/>
              </w:rPr>
              <w:t>________________________</w:t>
            </w:r>
          </w:p>
          <w:p w14:paraId="729C5346" w14:textId="77777777" w:rsidR="00CE613E" w:rsidRPr="00CE613E" w:rsidRDefault="00CE613E" w:rsidP="00CE613E">
            <w:pPr>
              <w:spacing w:line="360" w:lineRule="auto"/>
              <w:jc w:val="center"/>
              <w:rPr>
                <w:b/>
                <w:sz w:val="24"/>
                <w:szCs w:val="24"/>
              </w:rPr>
            </w:pPr>
            <w:proofErr w:type="spellStart"/>
            <w:r w:rsidRPr="00CE613E">
              <w:rPr>
                <w:b/>
                <w:sz w:val="24"/>
                <w:szCs w:val="24"/>
              </w:rPr>
              <w:t>Dip</w:t>
            </w:r>
            <w:proofErr w:type="spellEnd"/>
            <w:r w:rsidRPr="00CE613E">
              <w:rPr>
                <w:b/>
                <w:sz w:val="24"/>
                <w:szCs w:val="24"/>
              </w:rPr>
              <w:t>. Mario Humberto Vázquez Robles</w:t>
            </w:r>
          </w:p>
        </w:tc>
      </w:tr>
      <w:tr w:rsidR="00CE613E" w:rsidRPr="00CE613E" w14:paraId="4CB1FEC1" w14:textId="77777777" w:rsidTr="00CE613E">
        <w:tc>
          <w:tcPr>
            <w:tcW w:w="4448" w:type="dxa"/>
          </w:tcPr>
          <w:p w14:paraId="3F26504B" w14:textId="77777777" w:rsidR="00CE613E" w:rsidRPr="00CE613E" w:rsidRDefault="00CE613E" w:rsidP="00CE613E">
            <w:pPr>
              <w:spacing w:line="360" w:lineRule="auto"/>
              <w:jc w:val="center"/>
              <w:rPr>
                <w:b/>
                <w:sz w:val="24"/>
                <w:szCs w:val="24"/>
              </w:rPr>
            </w:pPr>
          </w:p>
          <w:p w14:paraId="3BE32031" w14:textId="77777777" w:rsidR="00CE613E" w:rsidRPr="00CE613E" w:rsidRDefault="00CE613E" w:rsidP="00CE613E">
            <w:pPr>
              <w:spacing w:line="360" w:lineRule="auto"/>
              <w:jc w:val="center"/>
              <w:rPr>
                <w:b/>
                <w:sz w:val="24"/>
                <w:szCs w:val="24"/>
              </w:rPr>
            </w:pPr>
          </w:p>
          <w:p w14:paraId="05256D36" w14:textId="77777777" w:rsidR="00CE613E" w:rsidRPr="00CE613E" w:rsidRDefault="00CE613E" w:rsidP="00CE613E">
            <w:pPr>
              <w:spacing w:line="360" w:lineRule="auto"/>
              <w:jc w:val="center"/>
              <w:rPr>
                <w:b/>
                <w:sz w:val="24"/>
                <w:szCs w:val="24"/>
              </w:rPr>
            </w:pPr>
            <w:r w:rsidRPr="00CE613E">
              <w:rPr>
                <w:b/>
                <w:sz w:val="24"/>
                <w:szCs w:val="24"/>
              </w:rPr>
              <w:t>__________________________</w:t>
            </w:r>
          </w:p>
          <w:p w14:paraId="07DB5C61" w14:textId="77777777" w:rsidR="00CE613E" w:rsidRPr="00CE613E" w:rsidRDefault="00CE613E" w:rsidP="00CE613E">
            <w:pPr>
              <w:spacing w:line="360" w:lineRule="auto"/>
              <w:jc w:val="center"/>
              <w:rPr>
                <w:b/>
                <w:sz w:val="24"/>
                <w:szCs w:val="24"/>
              </w:rPr>
            </w:pPr>
            <w:proofErr w:type="spellStart"/>
            <w:r w:rsidRPr="00CE613E">
              <w:rPr>
                <w:b/>
                <w:sz w:val="24"/>
                <w:szCs w:val="24"/>
              </w:rPr>
              <w:t>Dip</w:t>
            </w:r>
            <w:proofErr w:type="spellEnd"/>
            <w:r w:rsidRPr="00CE613E">
              <w:rPr>
                <w:b/>
                <w:sz w:val="24"/>
                <w:szCs w:val="24"/>
              </w:rPr>
              <w:t>. Carlos Alfredo Olson San Vicente</w:t>
            </w:r>
          </w:p>
        </w:tc>
        <w:tc>
          <w:tcPr>
            <w:tcW w:w="4390" w:type="dxa"/>
          </w:tcPr>
          <w:p w14:paraId="418F40FB" w14:textId="77777777" w:rsidR="00CE613E" w:rsidRPr="00CE613E" w:rsidRDefault="00CE613E" w:rsidP="00CE613E">
            <w:pPr>
              <w:spacing w:line="360" w:lineRule="auto"/>
              <w:jc w:val="center"/>
              <w:rPr>
                <w:b/>
                <w:sz w:val="24"/>
                <w:szCs w:val="24"/>
              </w:rPr>
            </w:pPr>
          </w:p>
          <w:p w14:paraId="2FBCAB2F" w14:textId="77777777" w:rsidR="00CE613E" w:rsidRPr="00CE613E" w:rsidRDefault="00CE613E" w:rsidP="00CE613E">
            <w:pPr>
              <w:spacing w:line="360" w:lineRule="auto"/>
              <w:jc w:val="center"/>
              <w:rPr>
                <w:b/>
                <w:sz w:val="24"/>
                <w:szCs w:val="24"/>
              </w:rPr>
            </w:pPr>
          </w:p>
          <w:p w14:paraId="74000748" w14:textId="77777777" w:rsidR="00CE613E" w:rsidRPr="00CE613E" w:rsidRDefault="00CE613E" w:rsidP="00CE613E">
            <w:pPr>
              <w:spacing w:line="360" w:lineRule="auto"/>
              <w:jc w:val="center"/>
              <w:rPr>
                <w:b/>
                <w:sz w:val="24"/>
                <w:szCs w:val="24"/>
              </w:rPr>
            </w:pPr>
            <w:r w:rsidRPr="00CE613E">
              <w:rPr>
                <w:b/>
                <w:sz w:val="24"/>
                <w:szCs w:val="24"/>
              </w:rPr>
              <w:t>_________________________</w:t>
            </w:r>
          </w:p>
          <w:p w14:paraId="402453DC" w14:textId="77777777" w:rsidR="00CE613E" w:rsidRPr="00CE613E" w:rsidRDefault="00CE613E" w:rsidP="00CE613E">
            <w:pPr>
              <w:spacing w:line="360" w:lineRule="auto"/>
              <w:jc w:val="center"/>
              <w:rPr>
                <w:b/>
                <w:sz w:val="24"/>
                <w:szCs w:val="24"/>
              </w:rPr>
            </w:pPr>
            <w:proofErr w:type="spellStart"/>
            <w:r w:rsidRPr="00CE613E">
              <w:rPr>
                <w:b/>
                <w:sz w:val="24"/>
                <w:szCs w:val="24"/>
              </w:rPr>
              <w:t>Dip</w:t>
            </w:r>
            <w:proofErr w:type="spellEnd"/>
            <w:r w:rsidRPr="00CE613E">
              <w:rPr>
                <w:b/>
                <w:sz w:val="24"/>
                <w:szCs w:val="24"/>
              </w:rPr>
              <w:t>. Carla Yamileth Rivas Martínez</w:t>
            </w:r>
          </w:p>
        </w:tc>
      </w:tr>
      <w:tr w:rsidR="00CE613E" w:rsidRPr="00CE613E" w14:paraId="59F179EA" w14:textId="77777777" w:rsidTr="00CE613E">
        <w:tc>
          <w:tcPr>
            <w:tcW w:w="4448" w:type="dxa"/>
          </w:tcPr>
          <w:p w14:paraId="6387182A" w14:textId="77777777" w:rsidR="00CE613E" w:rsidRPr="00CE613E" w:rsidRDefault="00CE613E" w:rsidP="00CE613E">
            <w:pPr>
              <w:spacing w:line="360" w:lineRule="auto"/>
              <w:jc w:val="center"/>
              <w:rPr>
                <w:b/>
                <w:sz w:val="24"/>
                <w:szCs w:val="24"/>
              </w:rPr>
            </w:pPr>
          </w:p>
          <w:p w14:paraId="50B6EC3B" w14:textId="77777777" w:rsidR="00CE613E" w:rsidRPr="00CE613E" w:rsidRDefault="00CE613E" w:rsidP="00CE613E">
            <w:pPr>
              <w:spacing w:line="360" w:lineRule="auto"/>
              <w:jc w:val="center"/>
              <w:rPr>
                <w:b/>
                <w:sz w:val="24"/>
                <w:szCs w:val="24"/>
              </w:rPr>
            </w:pPr>
          </w:p>
          <w:p w14:paraId="14917FA2" w14:textId="77777777" w:rsidR="00CE613E" w:rsidRPr="00CE613E" w:rsidRDefault="00CE613E" w:rsidP="00CE613E">
            <w:pPr>
              <w:spacing w:line="360" w:lineRule="auto"/>
              <w:jc w:val="center"/>
              <w:rPr>
                <w:b/>
                <w:sz w:val="24"/>
                <w:szCs w:val="24"/>
              </w:rPr>
            </w:pPr>
          </w:p>
          <w:p w14:paraId="2CDA286B" w14:textId="77777777" w:rsidR="00CE613E" w:rsidRPr="00CE613E" w:rsidRDefault="00CE613E" w:rsidP="00CE613E">
            <w:pPr>
              <w:spacing w:line="360" w:lineRule="auto"/>
              <w:jc w:val="center"/>
              <w:rPr>
                <w:b/>
                <w:sz w:val="24"/>
                <w:szCs w:val="24"/>
              </w:rPr>
            </w:pPr>
            <w:r w:rsidRPr="00CE613E">
              <w:rPr>
                <w:b/>
                <w:sz w:val="24"/>
                <w:szCs w:val="24"/>
              </w:rPr>
              <w:t>____________________________</w:t>
            </w:r>
          </w:p>
          <w:p w14:paraId="484D5E0C" w14:textId="77777777" w:rsidR="00CE613E" w:rsidRPr="00CE613E" w:rsidRDefault="00CE613E" w:rsidP="00CE613E">
            <w:pPr>
              <w:spacing w:line="360" w:lineRule="auto"/>
              <w:jc w:val="center"/>
              <w:rPr>
                <w:b/>
                <w:sz w:val="23"/>
                <w:szCs w:val="23"/>
              </w:rPr>
            </w:pPr>
            <w:proofErr w:type="spellStart"/>
            <w:r w:rsidRPr="00CE613E">
              <w:rPr>
                <w:b/>
                <w:sz w:val="23"/>
                <w:szCs w:val="23"/>
              </w:rPr>
              <w:t>Dip</w:t>
            </w:r>
            <w:proofErr w:type="spellEnd"/>
            <w:r w:rsidRPr="00CE613E">
              <w:rPr>
                <w:b/>
                <w:sz w:val="23"/>
                <w:szCs w:val="23"/>
              </w:rPr>
              <w:t>. Roberto Marcelino Carreón Huitrón</w:t>
            </w:r>
          </w:p>
        </w:tc>
        <w:tc>
          <w:tcPr>
            <w:tcW w:w="4390" w:type="dxa"/>
          </w:tcPr>
          <w:p w14:paraId="5B1DCFA5" w14:textId="77777777" w:rsidR="00CE613E" w:rsidRPr="00CE613E" w:rsidRDefault="00CE613E" w:rsidP="00CE613E">
            <w:pPr>
              <w:spacing w:line="360" w:lineRule="auto"/>
              <w:jc w:val="center"/>
              <w:rPr>
                <w:b/>
                <w:sz w:val="24"/>
                <w:szCs w:val="24"/>
              </w:rPr>
            </w:pPr>
          </w:p>
          <w:p w14:paraId="21B3CC41" w14:textId="77777777" w:rsidR="00CE613E" w:rsidRPr="00CE613E" w:rsidRDefault="00CE613E" w:rsidP="00CE613E">
            <w:pPr>
              <w:spacing w:line="360" w:lineRule="auto"/>
              <w:jc w:val="center"/>
              <w:rPr>
                <w:b/>
                <w:sz w:val="24"/>
                <w:szCs w:val="24"/>
              </w:rPr>
            </w:pPr>
          </w:p>
          <w:p w14:paraId="09AF8EE4" w14:textId="77777777" w:rsidR="00CE613E" w:rsidRPr="00CE613E" w:rsidRDefault="00CE613E" w:rsidP="00CE613E">
            <w:pPr>
              <w:spacing w:line="360" w:lineRule="auto"/>
              <w:jc w:val="center"/>
              <w:rPr>
                <w:b/>
                <w:sz w:val="24"/>
                <w:szCs w:val="24"/>
              </w:rPr>
            </w:pPr>
          </w:p>
          <w:p w14:paraId="2F0979ED" w14:textId="77777777" w:rsidR="00CE613E" w:rsidRPr="00CE613E" w:rsidRDefault="00CE613E" w:rsidP="00CE613E">
            <w:pPr>
              <w:spacing w:line="360" w:lineRule="auto"/>
              <w:jc w:val="center"/>
              <w:rPr>
                <w:b/>
                <w:sz w:val="24"/>
                <w:szCs w:val="24"/>
              </w:rPr>
            </w:pPr>
            <w:r w:rsidRPr="00CE613E">
              <w:rPr>
                <w:b/>
                <w:sz w:val="24"/>
                <w:szCs w:val="24"/>
              </w:rPr>
              <w:t>__________________________</w:t>
            </w:r>
          </w:p>
          <w:p w14:paraId="19973C50" w14:textId="77777777" w:rsidR="00CE613E" w:rsidRPr="00CE613E" w:rsidRDefault="00CE613E" w:rsidP="00CE613E">
            <w:pPr>
              <w:spacing w:line="360" w:lineRule="auto"/>
              <w:jc w:val="center"/>
              <w:rPr>
                <w:b/>
                <w:sz w:val="24"/>
                <w:szCs w:val="24"/>
              </w:rPr>
            </w:pPr>
            <w:proofErr w:type="spellStart"/>
            <w:r w:rsidRPr="00CE613E">
              <w:rPr>
                <w:b/>
                <w:sz w:val="24"/>
                <w:szCs w:val="24"/>
              </w:rPr>
              <w:t>Dip</w:t>
            </w:r>
            <w:proofErr w:type="spellEnd"/>
            <w:r w:rsidRPr="00CE613E">
              <w:rPr>
                <w:b/>
                <w:sz w:val="24"/>
                <w:szCs w:val="24"/>
              </w:rPr>
              <w:t>. Luis Alberto Aguilar Lozoya</w:t>
            </w:r>
          </w:p>
        </w:tc>
      </w:tr>
      <w:tr w:rsidR="00CE613E" w:rsidRPr="00CE613E" w14:paraId="1D95DC77" w14:textId="77777777" w:rsidTr="00CE613E">
        <w:tc>
          <w:tcPr>
            <w:tcW w:w="4448" w:type="dxa"/>
          </w:tcPr>
          <w:p w14:paraId="1FDEF055" w14:textId="77777777" w:rsidR="00CE613E" w:rsidRPr="00CE613E" w:rsidRDefault="00CE613E" w:rsidP="00CE613E">
            <w:pPr>
              <w:spacing w:line="360" w:lineRule="auto"/>
              <w:jc w:val="center"/>
              <w:rPr>
                <w:b/>
                <w:sz w:val="24"/>
                <w:szCs w:val="24"/>
              </w:rPr>
            </w:pPr>
          </w:p>
          <w:p w14:paraId="6B7F8332" w14:textId="77777777" w:rsidR="00CE613E" w:rsidRPr="00CE613E" w:rsidRDefault="00CE613E" w:rsidP="00CE613E">
            <w:pPr>
              <w:spacing w:line="360" w:lineRule="auto"/>
              <w:jc w:val="center"/>
              <w:rPr>
                <w:b/>
                <w:sz w:val="24"/>
                <w:szCs w:val="24"/>
              </w:rPr>
            </w:pPr>
          </w:p>
          <w:p w14:paraId="15D90F73" w14:textId="77777777" w:rsidR="00CE613E" w:rsidRPr="00CE613E" w:rsidRDefault="00CE613E" w:rsidP="00CE613E">
            <w:pPr>
              <w:spacing w:line="360" w:lineRule="auto"/>
              <w:jc w:val="center"/>
              <w:rPr>
                <w:b/>
                <w:sz w:val="24"/>
                <w:szCs w:val="24"/>
              </w:rPr>
            </w:pPr>
            <w:r w:rsidRPr="00CE613E">
              <w:rPr>
                <w:b/>
                <w:sz w:val="24"/>
                <w:szCs w:val="24"/>
              </w:rPr>
              <w:t>____________________________</w:t>
            </w:r>
          </w:p>
          <w:p w14:paraId="4332730A" w14:textId="77777777" w:rsidR="00CE613E" w:rsidRPr="00CE613E" w:rsidRDefault="00CE613E" w:rsidP="00CE613E">
            <w:pPr>
              <w:spacing w:line="360" w:lineRule="auto"/>
              <w:jc w:val="center"/>
              <w:rPr>
                <w:b/>
                <w:sz w:val="24"/>
                <w:szCs w:val="24"/>
              </w:rPr>
            </w:pPr>
            <w:proofErr w:type="spellStart"/>
            <w:r w:rsidRPr="00CE613E">
              <w:rPr>
                <w:b/>
                <w:sz w:val="24"/>
                <w:szCs w:val="24"/>
              </w:rPr>
              <w:t>Dip</w:t>
            </w:r>
            <w:proofErr w:type="spellEnd"/>
            <w:r w:rsidRPr="00CE613E">
              <w:rPr>
                <w:b/>
                <w:sz w:val="24"/>
                <w:szCs w:val="24"/>
              </w:rPr>
              <w:t xml:space="preserve">. Rosa Isela Martínez Díaz      </w:t>
            </w:r>
          </w:p>
        </w:tc>
        <w:tc>
          <w:tcPr>
            <w:tcW w:w="4390" w:type="dxa"/>
          </w:tcPr>
          <w:p w14:paraId="01740C52" w14:textId="77777777" w:rsidR="00CE613E" w:rsidRPr="00CE613E" w:rsidRDefault="00CE613E" w:rsidP="00CE613E">
            <w:pPr>
              <w:spacing w:line="360" w:lineRule="auto"/>
              <w:jc w:val="center"/>
              <w:rPr>
                <w:b/>
                <w:sz w:val="24"/>
                <w:szCs w:val="24"/>
              </w:rPr>
            </w:pPr>
          </w:p>
          <w:p w14:paraId="5C09566B" w14:textId="77777777" w:rsidR="00CE613E" w:rsidRPr="00CE613E" w:rsidRDefault="00CE613E" w:rsidP="00CE613E">
            <w:pPr>
              <w:spacing w:line="360" w:lineRule="auto"/>
              <w:jc w:val="center"/>
              <w:rPr>
                <w:b/>
                <w:sz w:val="24"/>
                <w:szCs w:val="24"/>
              </w:rPr>
            </w:pPr>
          </w:p>
          <w:p w14:paraId="0F5B2AE3" w14:textId="77777777" w:rsidR="00CE613E" w:rsidRPr="00CE613E" w:rsidRDefault="00CE613E" w:rsidP="00CE613E">
            <w:pPr>
              <w:spacing w:line="360" w:lineRule="auto"/>
              <w:jc w:val="center"/>
              <w:rPr>
                <w:b/>
                <w:sz w:val="24"/>
                <w:szCs w:val="24"/>
              </w:rPr>
            </w:pPr>
            <w:r w:rsidRPr="00CE613E">
              <w:rPr>
                <w:b/>
                <w:sz w:val="24"/>
                <w:szCs w:val="24"/>
              </w:rPr>
              <w:t>__________________________</w:t>
            </w:r>
          </w:p>
          <w:p w14:paraId="3788FE70" w14:textId="77777777" w:rsidR="00CE613E" w:rsidRPr="00CE613E" w:rsidRDefault="00CE613E" w:rsidP="00CE613E">
            <w:pPr>
              <w:spacing w:line="360" w:lineRule="auto"/>
              <w:jc w:val="center"/>
              <w:rPr>
                <w:b/>
                <w:sz w:val="24"/>
                <w:szCs w:val="24"/>
              </w:rPr>
            </w:pPr>
            <w:proofErr w:type="spellStart"/>
            <w:r w:rsidRPr="00CE613E">
              <w:rPr>
                <w:b/>
                <w:sz w:val="24"/>
                <w:szCs w:val="24"/>
              </w:rPr>
              <w:t>Dip</w:t>
            </w:r>
            <w:proofErr w:type="spellEnd"/>
            <w:r w:rsidRPr="00CE613E">
              <w:rPr>
                <w:b/>
                <w:sz w:val="24"/>
                <w:szCs w:val="24"/>
              </w:rPr>
              <w:t>. Rocío Guadalupe Sarmiento Rufino</w:t>
            </w:r>
          </w:p>
        </w:tc>
      </w:tr>
      <w:tr w:rsidR="00CE613E" w:rsidRPr="00CE613E" w14:paraId="64598F2F" w14:textId="77777777" w:rsidTr="00CE613E">
        <w:tc>
          <w:tcPr>
            <w:tcW w:w="4448" w:type="dxa"/>
          </w:tcPr>
          <w:p w14:paraId="1937898A" w14:textId="77777777" w:rsidR="00CE613E" w:rsidRDefault="00CE613E" w:rsidP="00CE613E">
            <w:pPr>
              <w:spacing w:line="360" w:lineRule="auto"/>
              <w:jc w:val="center"/>
              <w:rPr>
                <w:b/>
                <w:sz w:val="24"/>
                <w:szCs w:val="24"/>
              </w:rPr>
            </w:pPr>
          </w:p>
          <w:p w14:paraId="3C10892C" w14:textId="77777777" w:rsidR="000D2E2D" w:rsidRPr="00CE613E" w:rsidRDefault="000D2E2D" w:rsidP="00CE613E">
            <w:pPr>
              <w:spacing w:line="360" w:lineRule="auto"/>
              <w:jc w:val="center"/>
              <w:rPr>
                <w:b/>
                <w:sz w:val="24"/>
                <w:szCs w:val="24"/>
              </w:rPr>
            </w:pPr>
          </w:p>
          <w:p w14:paraId="697E0381" w14:textId="77777777" w:rsidR="00CE613E" w:rsidRPr="00CE613E" w:rsidRDefault="00CE613E" w:rsidP="00CE613E">
            <w:pPr>
              <w:spacing w:line="360" w:lineRule="auto"/>
              <w:jc w:val="center"/>
              <w:rPr>
                <w:b/>
                <w:sz w:val="24"/>
                <w:szCs w:val="24"/>
              </w:rPr>
            </w:pPr>
            <w:r w:rsidRPr="00CE613E">
              <w:rPr>
                <w:b/>
                <w:sz w:val="24"/>
                <w:szCs w:val="24"/>
              </w:rPr>
              <w:t>___________________________</w:t>
            </w:r>
          </w:p>
          <w:p w14:paraId="22596121" w14:textId="77777777" w:rsidR="00CE613E" w:rsidRPr="00CE613E" w:rsidRDefault="00CE613E" w:rsidP="00CE613E">
            <w:pPr>
              <w:spacing w:line="360" w:lineRule="auto"/>
              <w:jc w:val="center"/>
              <w:rPr>
                <w:b/>
                <w:sz w:val="24"/>
                <w:szCs w:val="24"/>
              </w:rPr>
            </w:pPr>
            <w:proofErr w:type="spellStart"/>
            <w:r w:rsidRPr="00CE613E">
              <w:rPr>
                <w:b/>
                <w:sz w:val="24"/>
                <w:szCs w:val="24"/>
              </w:rPr>
              <w:t>Dip</w:t>
            </w:r>
            <w:proofErr w:type="spellEnd"/>
            <w:r w:rsidRPr="00CE613E">
              <w:rPr>
                <w:b/>
                <w:sz w:val="24"/>
                <w:szCs w:val="24"/>
              </w:rPr>
              <w:t>. Gabriel Ángel García Cantú</w:t>
            </w:r>
          </w:p>
        </w:tc>
        <w:tc>
          <w:tcPr>
            <w:tcW w:w="4390" w:type="dxa"/>
          </w:tcPr>
          <w:p w14:paraId="59EFECBA" w14:textId="77777777" w:rsidR="00CE613E" w:rsidRPr="00CE613E" w:rsidRDefault="00CE613E" w:rsidP="00CE613E">
            <w:pPr>
              <w:spacing w:line="360" w:lineRule="auto"/>
              <w:jc w:val="center"/>
              <w:rPr>
                <w:b/>
                <w:sz w:val="24"/>
                <w:szCs w:val="24"/>
              </w:rPr>
            </w:pPr>
          </w:p>
        </w:tc>
      </w:tr>
    </w:tbl>
    <w:p w14:paraId="515EC628" w14:textId="77777777" w:rsidR="002D0D65" w:rsidRPr="002D0D65" w:rsidRDefault="002D0D65" w:rsidP="002D0D65">
      <w:pPr>
        <w:spacing w:after="0" w:line="312" w:lineRule="auto"/>
        <w:jc w:val="both"/>
        <w:rPr>
          <w:rFonts w:ascii="Arial" w:eastAsia="Calibri" w:hAnsi="Arial" w:cs="Arial"/>
          <w:b/>
          <w:bCs/>
          <w:sz w:val="24"/>
          <w:szCs w:val="24"/>
        </w:rPr>
      </w:pPr>
    </w:p>
    <w:sectPr w:rsidR="002D0D65" w:rsidRPr="002D0D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9B6778"/>
    <w:multiLevelType w:val="hybridMultilevel"/>
    <w:tmpl w:val="0D2815BA"/>
    <w:lvl w:ilvl="0" w:tplc="803A9F84">
      <w:start w:val="1"/>
      <w:numFmt w:val="upperRoman"/>
      <w:lvlText w:val="%1."/>
      <w:lvlJc w:val="left"/>
      <w:pPr>
        <w:ind w:left="1713" w:hanging="720"/>
      </w:pPr>
      <w:rPr>
        <w:rFonts w:eastAsia="Calibri"/>
        <w:color w:val="000000"/>
      </w:rPr>
    </w:lvl>
    <w:lvl w:ilvl="1" w:tplc="080A0019">
      <w:start w:val="1"/>
      <w:numFmt w:val="lowerLetter"/>
      <w:lvlText w:val="%2."/>
      <w:lvlJc w:val="left"/>
      <w:pPr>
        <w:ind w:left="2073" w:hanging="360"/>
      </w:pPr>
    </w:lvl>
    <w:lvl w:ilvl="2" w:tplc="080A001B">
      <w:start w:val="1"/>
      <w:numFmt w:val="lowerRoman"/>
      <w:lvlText w:val="%3."/>
      <w:lvlJc w:val="right"/>
      <w:pPr>
        <w:ind w:left="2793" w:hanging="180"/>
      </w:pPr>
    </w:lvl>
    <w:lvl w:ilvl="3" w:tplc="080A000F">
      <w:start w:val="1"/>
      <w:numFmt w:val="decimal"/>
      <w:lvlText w:val="%4."/>
      <w:lvlJc w:val="left"/>
      <w:pPr>
        <w:ind w:left="3513" w:hanging="360"/>
      </w:pPr>
    </w:lvl>
    <w:lvl w:ilvl="4" w:tplc="080A0019">
      <w:start w:val="1"/>
      <w:numFmt w:val="lowerLetter"/>
      <w:lvlText w:val="%5."/>
      <w:lvlJc w:val="left"/>
      <w:pPr>
        <w:ind w:left="4233" w:hanging="360"/>
      </w:pPr>
    </w:lvl>
    <w:lvl w:ilvl="5" w:tplc="080A001B">
      <w:start w:val="1"/>
      <w:numFmt w:val="lowerRoman"/>
      <w:lvlText w:val="%6."/>
      <w:lvlJc w:val="right"/>
      <w:pPr>
        <w:ind w:left="4953" w:hanging="180"/>
      </w:pPr>
    </w:lvl>
    <w:lvl w:ilvl="6" w:tplc="080A000F">
      <w:start w:val="1"/>
      <w:numFmt w:val="decimal"/>
      <w:lvlText w:val="%7."/>
      <w:lvlJc w:val="left"/>
      <w:pPr>
        <w:ind w:left="5673" w:hanging="360"/>
      </w:pPr>
    </w:lvl>
    <w:lvl w:ilvl="7" w:tplc="080A0019">
      <w:start w:val="1"/>
      <w:numFmt w:val="lowerLetter"/>
      <w:lvlText w:val="%8."/>
      <w:lvlJc w:val="left"/>
      <w:pPr>
        <w:ind w:left="6393" w:hanging="360"/>
      </w:pPr>
    </w:lvl>
    <w:lvl w:ilvl="8" w:tplc="080A001B">
      <w:start w:val="1"/>
      <w:numFmt w:val="lowerRoman"/>
      <w:lvlText w:val="%9."/>
      <w:lvlJc w:val="right"/>
      <w:pPr>
        <w:ind w:left="711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08"/>
    <w:rsid w:val="000305D5"/>
    <w:rsid w:val="00063361"/>
    <w:rsid w:val="000B3402"/>
    <w:rsid w:val="000D2E2D"/>
    <w:rsid w:val="00153D06"/>
    <w:rsid w:val="00183930"/>
    <w:rsid w:val="00210678"/>
    <w:rsid w:val="00273CA2"/>
    <w:rsid w:val="002862F2"/>
    <w:rsid w:val="002B5D28"/>
    <w:rsid w:val="002D0D65"/>
    <w:rsid w:val="002F4408"/>
    <w:rsid w:val="0031692E"/>
    <w:rsid w:val="00374402"/>
    <w:rsid w:val="00481060"/>
    <w:rsid w:val="004D381C"/>
    <w:rsid w:val="005277DB"/>
    <w:rsid w:val="00617466"/>
    <w:rsid w:val="007368E9"/>
    <w:rsid w:val="007518CA"/>
    <w:rsid w:val="007721CB"/>
    <w:rsid w:val="008274A8"/>
    <w:rsid w:val="009E530B"/>
    <w:rsid w:val="00B30313"/>
    <w:rsid w:val="00B32E52"/>
    <w:rsid w:val="00B70D3A"/>
    <w:rsid w:val="00B72419"/>
    <w:rsid w:val="00BB0C79"/>
    <w:rsid w:val="00BC72CA"/>
    <w:rsid w:val="00BF1E26"/>
    <w:rsid w:val="00C919CB"/>
    <w:rsid w:val="00CB0F0F"/>
    <w:rsid w:val="00CE613E"/>
    <w:rsid w:val="00D10596"/>
    <w:rsid w:val="00D41C5C"/>
    <w:rsid w:val="00D66E42"/>
    <w:rsid w:val="00DB1D41"/>
    <w:rsid w:val="00DD6B87"/>
    <w:rsid w:val="00E15E5E"/>
    <w:rsid w:val="00E24ADF"/>
    <w:rsid w:val="00E8540B"/>
    <w:rsid w:val="00EC5E08"/>
    <w:rsid w:val="00EF129C"/>
    <w:rsid w:val="00FA3A88"/>
    <w:rsid w:val="00FF0E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B83D"/>
  <w15:docId w15:val="{1FAE1004-EFD0-4821-AF02-0536AAC3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D0D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E613E"/>
    <w:pPr>
      <w:spacing w:after="0" w:line="240" w:lineRule="auto"/>
    </w:pPr>
    <w:rPr>
      <w:rFonts w:ascii="Arial" w:eastAsia="Arial" w:hAnsi="Arial" w:cs="Arial"/>
      <w:lang w:val="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713620">
      <w:bodyDiv w:val="1"/>
      <w:marLeft w:val="0"/>
      <w:marRight w:val="0"/>
      <w:marTop w:val="0"/>
      <w:marBottom w:val="0"/>
      <w:divBdr>
        <w:top w:val="none" w:sz="0" w:space="0" w:color="auto"/>
        <w:left w:val="none" w:sz="0" w:space="0" w:color="auto"/>
        <w:bottom w:val="none" w:sz="0" w:space="0" w:color="auto"/>
        <w:right w:val="none" w:sz="0" w:space="0" w:color="auto"/>
      </w:divBdr>
    </w:div>
    <w:div w:id="629942577">
      <w:bodyDiv w:val="1"/>
      <w:marLeft w:val="0"/>
      <w:marRight w:val="0"/>
      <w:marTop w:val="0"/>
      <w:marBottom w:val="0"/>
      <w:divBdr>
        <w:top w:val="none" w:sz="0" w:space="0" w:color="auto"/>
        <w:left w:val="none" w:sz="0" w:space="0" w:color="auto"/>
        <w:bottom w:val="none" w:sz="0" w:space="0" w:color="auto"/>
        <w:right w:val="none" w:sz="0" w:space="0" w:color="auto"/>
      </w:divBdr>
    </w:div>
    <w:div w:id="959536046">
      <w:bodyDiv w:val="1"/>
      <w:marLeft w:val="0"/>
      <w:marRight w:val="0"/>
      <w:marTop w:val="0"/>
      <w:marBottom w:val="0"/>
      <w:divBdr>
        <w:top w:val="none" w:sz="0" w:space="0" w:color="auto"/>
        <w:left w:val="none" w:sz="0" w:space="0" w:color="auto"/>
        <w:bottom w:val="none" w:sz="0" w:space="0" w:color="auto"/>
        <w:right w:val="none" w:sz="0" w:space="0" w:color="auto"/>
      </w:divBdr>
    </w:div>
    <w:div w:id="1183394207">
      <w:bodyDiv w:val="1"/>
      <w:marLeft w:val="0"/>
      <w:marRight w:val="0"/>
      <w:marTop w:val="0"/>
      <w:marBottom w:val="0"/>
      <w:divBdr>
        <w:top w:val="none" w:sz="0" w:space="0" w:color="auto"/>
        <w:left w:val="none" w:sz="0" w:space="0" w:color="auto"/>
        <w:bottom w:val="none" w:sz="0" w:space="0" w:color="auto"/>
        <w:right w:val="none" w:sz="0" w:space="0" w:color="auto"/>
      </w:divBdr>
    </w:div>
    <w:div w:id="1606428178">
      <w:bodyDiv w:val="1"/>
      <w:marLeft w:val="0"/>
      <w:marRight w:val="0"/>
      <w:marTop w:val="0"/>
      <w:marBottom w:val="0"/>
      <w:divBdr>
        <w:top w:val="none" w:sz="0" w:space="0" w:color="auto"/>
        <w:left w:val="none" w:sz="0" w:space="0" w:color="auto"/>
        <w:bottom w:val="none" w:sz="0" w:space="0" w:color="auto"/>
        <w:right w:val="none" w:sz="0" w:space="0" w:color="auto"/>
      </w:divBdr>
    </w:div>
    <w:div w:id="19132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2041</Words>
  <Characters>11226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macias</dc:creator>
  <cp:lastModifiedBy>Sonia Pérez Chacón</cp:lastModifiedBy>
  <cp:revision>2</cp:revision>
  <dcterms:created xsi:type="dcterms:W3CDTF">2021-10-27T15:56:00Z</dcterms:created>
  <dcterms:modified xsi:type="dcterms:W3CDTF">2021-10-27T15:56:00Z</dcterms:modified>
</cp:coreProperties>
</file>