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446B" w14:textId="77777777" w:rsidR="00340E51" w:rsidRPr="00340E51" w:rsidRDefault="00340E51" w:rsidP="00340E51">
      <w:pPr>
        <w:spacing w:after="0" w:line="360" w:lineRule="auto"/>
        <w:jc w:val="both"/>
        <w:rPr>
          <w:rFonts w:ascii="Century Gothic" w:hAnsi="Century Gothic" w:cs="Arial"/>
          <w:b/>
          <w:color w:val="000000"/>
          <w:sz w:val="24"/>
          <w:szCs w:val="24"/>
          <w:lang w:val="es-ES_tradnl"/>
        </w:rPr>
      </w:pPr>
      <w:bookmarkStart w:id="0" w:name="_GoBack"/>
      <w:bookmarkEnd w:id="0"/>
      <w:r w:rsidRPr="00340E51">
        <w:rPr>
          <w:rFonts w:ascii="Century Gothic" w:hAnsi="Century Gothic" w:cs="Arial"/>
          <w:b/>
          <w:color w:val="000000"/>
          <w:sz w:val="24"/>
          <w:szCs w:val="24"/>
          <w:lang w:val="es-ES_tradnl"/>
        </w:rPr>
        <w:t>H. CONGRESO DEL ESTADO DE CHIHUAHUA</w:t>
      </w:r>
    </w:p>
    <w:p w14:paraId="7D589189" w14:textId="29E74650" w:rsidR="00340E51" w:rsidRPr="00340E51" w:rsidRDefault="00340E51" w:rsidP="00340E51">
      <w:pPr>
        <w:spacing w:after="0" w:line="360" w:lineRule="auto"/>
        <w:jc w:val="both"/>
        <w:rPr>
          <w:rFonts w:ascii="Century Gothic" w:hAnsi="Century Gothic" w:cs="Arial"/>
          <w:bCs/>
          <w:color w:val="000000"/>
          <w:sz w:val="24"/>
          <w:szCs w:val="24"/>
          <w:lang w:val="es-ES_tradnl"/>
        </w:rPr>
      </w:pPr>
      <w:r w:rsidRPr="00340E51">
        <w:rPr>
          <w:rFonts w:ascii="Century Gothic" w:hAnsi="Century Gothic" w:cs="Arial"/>
          <w:b/>
          <w:color w:val="000000"/>
          <w:sz w:val="24"/>
          <w:szCs w:val="24"/>
          <w:lang w:val="es-ES_tradnl"/>
        </w:rPr>
        <w:t>P R E S E N T E</w:t>
      </w:r>
      <w:r w:rsidR="00B609AC">
        <w:rPr>
          <w:rFonts w:ascii="Century Gothic" w:hAnsi="Century Gothic" w:cs="Arial"/>
          <w:b/>
          <w:color w:val="000000"/>
          <w:sz w:val="24"/>
          <w:szCs w:val="24"/>
          <w:lang w:val="es-ES_tradnl"/>
        </w:rPr>
        <w:t xml:space="preserve"> </w:t>
      </w:r>
      <w:r w:rsidRPr="00340E51">
        <w:rPr>
          <w:rFonts w:ascii="Century Gothic" w:hAnsi="Century Gothic" w:cs="Arial"/>
          <w:b/>
          <w:color w:val="000000"/>
          <w:sz w:val="24"/>
          <w:szCs w:val="24"/>
          <w:lang w:val="es-ES_tradnl"/>
        </w:rPr>
        <w:t>.</w:t>
      </w:r>
      <w:r w:rsidR="00B609AC">
        <w:rPr>
          <w:rFonts w:ascii="Century Gothic" w:hAnsi="Century Gothic" w:cs="Arial"/>
          <w:b/>
          <w:color w:val="000000"/>
          <w:sz w:val="24"/>
          <w:szCs w:val="24"/>
          <w:lang w:val="es-ES_tradnl"/>
        </w:rPr>
        <w:t xml:space="preserve"> </w:t>
      </w:r>
      <w:r w:rsidRPr="00340E51">
        <w:rPr>
          <w:rFonts w:ascii="Century Gothic" w:hAnsi="Century Gothic" w:cs="Arial"/>
          <w:bCs/>
          <w:color w:val="000000"/>
          <w:sz w:val="24"/>
          <w:szCs w:val="24"/>
          <w:lang w:val="es-ES_tradnl"/>
        </w:rPr>
        <w:t xml:space="preserve">-  </w:t>
      </w:r>
    </w:p>
    <w:p w14:paraId="5CD05B05" w14:textId="77777777" w:rsidR="006E7891" w:rsidRDefault="006E7891" w:rsidP="00340E51">
      <w:pPr>
        <w:pStyle w:val="Prrafodelista"/>
        <w:spacing w:line="360" w:lineRule="auto"/>
        <w:ind w:left="0"/>
        <w:jc w:val="both"/>
        <w:rPr>
          <w:rFonts w:ascii="Century Gothic" w:hAnsi="Century Gothic"/>
          <w:sz w:val="24"/>
          <w:szCs w:val="24"/>
        </w:rPr>
      </w:pPr>
    </w:p>
    <w:p w14:paraId="6B1DFE56" w14:textId="6B00D1B5" w:rsidR="00DD3886" w:rsidRPr="009601CB" w:rsidRDefault="00340E51" w:rsidP="00340E51">
      <w:pPr>
        <w:pStyle w:val="Prrafodelista"/>
        <w:spacing w:line="360" w:lineRule="auto"/>
        <w:ind w:left="0"/>
        <w:jc w:val="both"/>
        <w:rPr>
          <w:rFonts w:ascii="Century Gothic" w:hAnsi="Century Gothic" w:cs="Arial"/>
          <w:sz w:val="24"/>
          <w:szCs w:val="24"/>
        </w:rPr>
      </w:pPr>
      <w:r w:rsidRPr="00340E51">
        <w:rPr>
          <w:rFonts w:ascii="Century Gothic" w:hAnsi="Century Gothic"/>
          <w:sz w:val="24"/>
          <w:szCs w:val="24"/>
        </w:rPr>
        <w:t>Los que suscriben,</w:t>
      </w:r>
      <w:r w:rsidRPr="00340E51">
        <w:rPr>
          <w:rFonts w:ascii="Century Gothic" w:hAnsi="Century Gothic" w:cstheme="minorHAnsi"/>
          <w:b/>
          <w:bCs/>
          <w:sz w:val="24"/>
          <w:szCs w:val="24"/>
        </w:rPr>
        <w:t xml:space="preserve"> GUSTAVO DE LA ROSA HICKERSON, EDIN CUAUHTÉMOC ESTRADA SOTELO, LETICIA ORTEGA MÁYNEZ, ÓSCAR DANIEL AVITIA ARELLANES, ROSANA DÍAZ REYES, MAGDALENA RENTERÍA PÉREZ, MARÍA ANTONIETA PÉREZ REYES, ADRIANA TERRAZAS PORRAS, BENJAMÍN CARRERA CHÁVEZ y DAVID OSCAR CASTREJÓN RIVAS,</w:t>
      </w:r>
      <w:r w:rsidRPr="00340E51">
        <w:rPr>
          <w:rFonts w:ascii="Century Gothic" w:hAnsi="Century Gothic"/>
          <w:b/>
          <w:sz w:val="24"/>
          <w:szCs w:val="24"/>
          <w:lang w:val="es-ES_tradnl"/>
        </w:rPr>
        <w:t xml:space="preserve"> </w:t>
      </w:r>
      <w:r w:rsidRPr="00340E51">
        <w:rPr>
          <w:rFonts w:ascii="Century Gothic" w:hAnsi="Century Gothic"/>
          <w:bCs/>
          <w:sz w:val="24"/>
          <w:szCs w:val="24"/>
          <w:lang w:val="es-ES_tradnl"/>
        </w:rPr>
        <w:t xml:space="preserve">integrantes del Grupo Parlamentario de </w:t>
      </w:r>
      <w:r w:rsidRPr="00340E51">
        <w:rPr>
          <w:rFonts w:ascii="Century Gothic" w:hAnsi="Century Gothic"/>
          <w:b/>
          <w:bCs/>
          <w:sz w:val="24"/>
          <w:szCs w:val="24"/>
          <w:lang w:val="es-ES_tradnl"/>
        </w:rPr>
        <w:t>MORENA</w:t>
      </w:r>
      <w:r w:rsidR="00A77412" w:rsidRPr="00340E51">
        <w:rPr>
          <w:rFonts w:ascii="Century Gothic" w:hAnsi="Century Gothic"/>
          <w:sz w:val="24"/>
          <w:szCs w:val="24"/>
        </w:rPr>
        <w:t xml:space="preserve">, </w:t>
      </w:r>
      <w:r w:rsidR="00464275" w:rsidRPr="00340E51">
        <w:rPr>
          <w:rFonts w:ascii="Century Gothic" w:eastAsia="Arial" w:hAnsi="Century Gothic" w:cs="Arial"/>
          <w:sz w:val="24"/>
          <w:szCs w:val="24"/>
        </w:rPr>
        <w:t>con fundamento en lo previsto por</w:t>
      </w:r>
      <w:r w:rsidR="00343E75">
        <w:rPr>
          <w:rFonts w:ascii="Century Gothic" w:eastAsia="Arial" w:hAnsi="Century Gothic" w:cs="Arial"/>
          <w:sz w:val="24"/>
          <w:szCs w:val="24"/>
        </w:rPr>
        <w:t xml:space="preserve"> el</w:t>
      </w:r>
      <w:r w:rsidR="00464275" w:rsidRPr="00340E51">
        <w:rPr>
          <w:rFonts w:ascii="Century Gothic" w:eastAsia="Arial" w:hAnsi="Century Gothic" w:cs="Arial"/>
          <w:sz w:val="24"/>
          <w:szCs w:val="24"/>
        </w:rPr>
        <w:t xml:space="preserve"> artículo</w:t>
      </w:r>
      <w:r w:rsidR="00896ACC">
        <w:rPr>
          <w:rFonts w:ascii="Century Gothic" w:eastAsia="Arial" w:hAnsi="Century Gothic" w:cs="Arial"/>
          <w:sz w:val="24"/>
          <w:szCs w:val="24"/>
        </w:rPr>
        <w:t xml:space="preserve"> 6</w:t>
      </w:r>
      <w:r w:rsidR="00343E75">
        <w:rPr>
          <w:rFonts w:ascii="Century Gothic" w:eastAsia="Arial" w:hAnsi="Century Gothic" w:cs="Arial"/>
          <w:sz w:val="24"/>
          <w:szCs w:val="24"/>
        </w:rPr>
        <w:t>8</w:t>
      </w:r>
      <w:r w:rsidR="00896ACC">
        <w:rPr>
          <w:rFonts w:ascii="Century Gothic" w:eastAsia="Arial" w:hAnsi="Century Gothic" w:cs="Arial"/>
          <w:sz w:val="24"/>
          <w:szCs w:val="24"/>
        </w:rPr>
        <w:t xml:space="preserve"> fracciones I </w:t>
      </w:r>
      <w:r w:rsidR="00464275" w:rsidRPr="00340E51">
        <w:rPr>
          <w:rFonts w:ascii="Century Gothic" w:eastAsia="Arial" w:hAnsi="Century Gothic" w:cs="Arial"/>
          <w:sz w:val="24"/>
          <w:szCs w:val="24"/>
        </w:rPr>
        <w:t>y demás relativos de la Constitución Política</w:t>
      </w:r>
      <w:r w:rsidR="00896ACC">
        <w:rPr>
          <w:rFonts w:ascii="Century Gothic" w:eastAsia="Arial" w:hAnsi="Century Gothic" w:cs="Arial"/>
          <w:sz w:val="24"/>
          <w:szCs w:val="24"/>
        </w:rPr>
        <w:t xml:space="preserve"> </w:t>
      </w:r>
      <w:r w:rsidR="00464275" w:rsidRPr="00340E51">
        <w:rPr>
          <w:rFonts w:ascii="Century Gothic" w:eastAsia="Arial" w:hAnsi="Century Gothic" w:cs="Arial"/>
          <w:sz w:val="24"/>
          <w:szCs w:val="24"/>
        </w:rPr>
        <w:t>del Estado de Chihuahua, así como</w:t>
      </w:r>
      <w:r w:rsidR="00343E75">
        <w:rPr>
          <w:rFonts w:ascii="Century Gothic" w:eastAsia="Arial" w:hAnsi="Century Gothic" w:cs="Arial"/>
          <w:sz w:val="24"/>
          <w:szCs w:val="24"/>
        </w:rPr>
        <w:t xml:space="preserve"> los artículos </w:t>
      </w:r>
      <w:r w:rsidR="00464275" w:rsidRPr="00340E51">
        <w:rPr>
          <w:rFonts w:ascii="Century Gothic" w:eastAsia="Verdana" w:hAnsi="Century Gothic" w:cs="Arial"/>
          <w:sz w:val="24"/>
          <w:szCs w:val="24"/>
        </w:rPr>
        <w:t>16</w:t>
      </w:r>
      <w:r w:rsidR="00896ACC">
        <w:rPr>
          <w:rFonts w:ascii="Century Gothic" w:eastAsia="Verdana" w:hAnsi="Century Gothic" w:cs="Arial"/>
          <w:sz w:val="24"/>
          <w:szCs w:val="24"/>
        </w:rPr>
        <w:t>7 fracción I</w:t>
      </w:r>
      <w:r w:rsidR="00371C78">
        <w:rPr>
          <w:rFonts w:ascii="Century Gothic" w:eastAsia="Verdana" w:hAnsi="Century Gothic" w:cs="Arial"/>
          <w:sz w:val="24"/>
          <w:szCs w:val="24"/>
        </w:rPr>
        <w:t xml:space="preserve">, </w:t>
      </w:r>
      <w:r w:rsidR="00464275" w:rsidRPr="00340E51">
        <w:rPr>
          <w:rFonts w:ascii="Century Gothic" w:eastAsia="Verdana" w:hAnsi="Century Gothic" w:cs="Arial"/>
          <w:sz w:val="24"/>
          <w:szCs w:val="24"/>
        </w:rPr>
        <w:t xml:space="preserve">de </w:t>
      </w:r>
      <w:r w:rsidR="00464275" w:rsidRPr="00340E51">
        <w:rPr>
          <w:rFonts w:ascii="Century Gothic" w:eastAsia="Arial" w:hAnsi="Century Gothic" w:cs="Arial"/>
          <w:sz w:val="24"/>
          <w:szCs w:val="24"/>
        </w:rPr>
        <w:t xml:space="preserve">la Ley Orgánica del Poder Legislativo del Estado de Chihuahua, </w:t>
      </w:r>
      <w:r w:rsidR="00862A0C">
        <w:rPr>
          <w:rFonts w:ascii="Century Gothic" w:eastAsia="Arial" w:hAnsi="Century Gothic" w:cs="Arial"/>
          <w:sz w:val="24"/>
          <w:szCs w:val="24"/>
        </w:rPr>
        <w:t xml:space="preserve">75, </w:t>
      </w:r>
      <w:r w:rsidR="00126F9F">
        <w:rPr>
          <w:rFonts w:ascii="Century Gothic" w:eastAsia="Arial" w:hAnsi="Century Gothic" w:cs="Arial"/>
          <w:sz w:val="24"/>
          <w:szCs w:val="24"/>
        </w:rPr>
        <w:t>7</w:t>
      </w:r>
      <w:r w:rsidR="00862A0C">
        <w:rPr>
          <w:rFonts w:ascii="Century Gothic" w:eastAsia="Arial" w:hAnsi="Century Gothic" w:cs="Arial"/>
          <w:sz w:val="24"/>
          <w:szCs w:val="24"/>
        </w:rPr>
        <w:t>6</w:t>
      </w:r>
      <w:r w:rsidR="00126F9F">
        <w:rPr>
          <w:rFonts w:ascii="Century Gothic" w:eastAsia="Arial" w:hAnsi="Century Gothic" w:cs="Arial"/>
          <w:sz w:val="24"/>
          <w:szCs w:val="24"/>
        </w:rPr>
        <w:t xml:space="preserve"> y</w:t>
      </w:r>
      <w:r w:rsidR="00862A0C">
        <w:rPr>
          <w:rFonts w:ascii="Century Gothic" w:eastAsia="Arial" w:hAnsi="Century Gothic" w:cs="Arial"/>
          <w:sz w:val="24"/>
          <w:szCs w:val="24"/>
        </w:rPr>
        <w:t xml:space="preserve"> 77 fracción I</w:t>
      </w:r>
      <w:r w:rsidR="00946CF6">
        <w:rPr>
          <w:rFonts w:ascii="Century Gothic" w:eastAsia="Arial" w:hAnsi="Century Gothic" w:cs="Arial"/>
          <w:sz w:val="24"/>
          <w:szCs w:val="24"/>
        </w:rPr>
        <w:t>,</w:t>
      </w:r>
      <w:r w:rsidR="00862A0C">
        <w:rPr>
          <w:rFonts w:ascii="Century Gothic" w:eastAsia="Arial" w:hAnsi="Century Gothic" w:cs="Arial"/>
          <w:sz w:val="24"/>
          <w:szCs w:val="24"/>
        </w:rPr>
        <w:t xml:space="preserve"> </w:t>
      </w:r>
      <w:r w:rsidR="00464275" w:rsidRPr="00340E51">
        <w:rPr>
          <w:rFonts w:ascii="Century Gothic" w:eastAsia="Arial" w:hAnsi="Century Gothic" w:cs="Arial"/>
          <w:sz w:val="24"/>
          <w:szCs w:val="24"/>
        </w:rPr>
        <w:t xml:space="preserve">del Reglamento Interior y de Prácticas Parlamentarias del Poder Legislativo, </w:t>
      </w:r>
      <w:r w:rsidR="007C493A" w:rsidRPr="00340E51">
        <w:rPr>
          <w:rFonts w:ascii="Century Gothic" w:eastAsia="Arial" w:hAnsi="Century Gothic" w:cs="Arial"/>
          <w:sz w:val="24"/>
          <w:szCs w:val="24"/>
        </w:rPr>
        <w:t>compare</w:t>
      </w:r>
      <w:r w:rsidR="006F5279">
        <w:rPr>
          <w:rFonts w:ascii="Century Gothic" w:eastAsia="Arial" w:hAnsi="Century Gothic" w:cs="Arial"/>
          <w:sz w:val="24"/>
          <w:szCs w:val="24"/>
        </w:rPr>
        <w:t xml:space="preserve">cemos </w:t>
      </w:r>
      <w:r w:rsidR="007C493A" w:rsidRPr="00340E51">
        <w:rPr>
          <w:rFonts w:ascii="Century Gothic" w:eastAsia="Arial" w:hAnsi="Century Gothic" w:cs="Arial"/>
          <w:sz w:val="24"/>
          <w:szCs w:val="24"/>
        </w:rPr>
        <w:t>a</w:t>
      </w:r>
      <w:r w:rsidR="00464275" w:rsidRPr="00340E51">
        <w:rPr>
          <w:rFonts w:ascii="Century Gothic" w:eastAsia="Arial" w:hAnsi="Century Gothic" w:cs="Arial"/>
          <w:sz w:val="24"/>
          <w:szCs w:val="24"/>
        </w:rPr>
        <w:t xml:space="preserve">nte esta soberanía </w:t>
      </w:r>
      <w:r w:rsidR="007C493A" w:rsidRPr="00340E51">
        <w:rPr>
          <w:rFonts w:ascii="Century Gothic" w:eastAsia="Arial" w:hAnsi="Century Gothic" w:cs="Arial"/>
          <w:sz w:val="24"/>
          <w:szCs w:val="24"/>
        </w:rPr>
        <w:t xml:space="preserve"> para presentar </w:t>
      </w:r>
      <w:r w:rsidR="007C493A" w:rsidRPr="00E8386A">
        <w:rPr>
          <w:rFonts w:ascii="Century Gothic" w:hAnsi="Century Gothic" w:cs="Arial"/>
          <w:b/>
          <w:i/>
          <w:sz w:val="24"/>
          <w:szCs w:val="24"/>
        </w:rPr>
        <w:t>Iniciativa</w:t>
      </w:r>
      <w:r w:rsidR="00862A0C" w:rsidRPr="00E8386A">
        <w:rPr>
          <w:rFonts w:ascii="Century Gothic" w:hAnsi="Century Gothic" w:cs="Arial"/>
          <w:b/>
          <w:i/>
          <w:sz w:val="24"/>
          <w:szCs w:val="24"/>
        </w:rPr>
        <w:t xml:space="preserve"> con carácter de decreto</w:t>
      </w:r>
      <w:r w:rsidR="00A67EC5">
        <w:rPr>
          <w:rFonts w:ascii="Century Gothic" w:hAnsi="Century Gothic" w:cs="Arial"/>
          <w:b/>
          <w:i/>
          <w:sz w:val="24"/>
          <w:szCs w:val="24"/>
        </w:rPr>
        <w:t>,</w:t>
      </w:r>
      <w:r w:rsidR="007C493A" w:rsidRPr="00E8386A">
        <w:rPr>
          <w:rFonts w:ascii="Century Gothic" w:hAnsi="Century Gothic" w:cs="Arial"/>
          <w:b/>
          <w:i/>
          <w:sz w:val="24"/>
          <w:szCs w:val="24"/>
        </w:rPr>
        <w:t xml:space="preserve"> </w:t>
      </w:r>
      <w:r w:rsidR="00DD3886" w:rsidRPr="00E8386A">
        <w:rPr>
          <w:rFonts w:ascii="Century Gothic" w:hAnsi="Century Gothic" w:cs="Arial"/>
          <w:b/>
          <w:i/>
          <w:sz w:val="24"/>
          <w:szCs w:val="24"/>
        </w:rPr>
        <w:t xml:space="preserve">a efecto </w:t>
      </w:r>
      <w:r w:rsidR="00A67EC5">
        <w:rPr>
          <w:rFonts w:ascii="Century Gothic" w:hAnsi="Century Gothic" w:cs="Arial"/>
          <w:b/>
          <w:i/>
          <w:sz w:val="24"/>
          <w:szCs w:val="24"/>
        </w:rPr>
        <w:t xml:space="preserve">de empoderar a las víctimas de violaciones de derechos humanos, mediante la </w:t>
      </w:r>
      <w:r w:rsidR="00DD3886" w:rsidRPr="00E8386A">
        <w:rPr>
          <w:rFonts w:ascii="Century Gothic" w:hAnsi="Century Gothic" w:cs="Arial"/>
          <w:b/>
          <w:i/>
          <w:sz w:val="24"/>
          <w:szCs w:val="24"/>
        </w:rPr>
        <w:t>reforma</w:t>
      </w:r>
      <w:r w:rsidR="00A67EC5">
        <w:rPr>
          <w:rFonts w:ascii="Century Gothic" w:hAnsi="Century Gothic" w:cs="Arial"/>
          <w:b/>
          <w:i/>
          <w:sz w:val="24"/>
          <w:szCs w:val="24"/>
        </w:rPr>
        <w:t xml:space="preserve"> de los </w:t>
      </w:r>
      <w:r w:rsidR="00E8386A" w:rsidRPr="00E8386A">
        <w:rPr>
          <w:rFonts w:ascii="Century Gothic" w:hAnsi="Century Gothic" w:cs="Arial"/>
          <w:b/>
          <w:sz w:val="24"/>
          <w:szCs w:val="24"/>
        </w:rPr>
        <w:t xml:space="preserve">artículos </w:t>
      </w:r>
      <w:r w:rsidR="00BA39F5">
        <w:rPr>
          <w:rFonts w:ascii="Century Gothic" w:hAnsi="Century Gothic" w:cs="Arial"/>
          <w:b/>
          <w:sz w:val="24"/>
          <w:szCs w:val="24"/>
        </w:rPr>
        <w:t>44</w:t>
      </w:r>
      <w:r w:rsidR="009601CB">
        <w:rPr>
          <w:rFonts w:ascii="Century Gothic" w:hAnsi="Century Gothic" w:cs="Arial"/>
          <w:b/>
          <w:sz w:val="24"/>
          <w:szCs w:val="24"/>
        </w:rPr>
        <w:t xml:space="preserve">, </w:t>
      </w:r>
      <w:r w:rsidR="00BA39F5">
        <w:rPr>
          <w:rFonts w:ascii="Century Gothic" w:hAnsi="Century Gothic" w:cs="Arial"/>
          <w:b/>
          <w:sz w:val="24"/>
          <w:szCs w:val="24"/>
        </w:rPr>
        <w:t>56</w:t>
      </w:r>
      <w:r w:rsidR="009601CB">
        <w:rPr>
          <w:rFonts w:ascii="Century Gothic" w:hAnsi="Century Gothic" w:cs="Arial"/>
          <w:b/>
          <w:sz w:val="24"/>
          <w:szCs w:val="24"/>
        </w:rPr>
        <w:t xml:space="preserve"> </w:t>
      </w:r>
      <w:r w:rsidR="009601CB" w:rsidRPr="00A133B0">
        <w:rPr>
          <w:rFonts w:ascii="Century Gothic" w:hAnsi="Century Gothic" w:cs="Arial"/>
          <w:b/>
          <w:i/>
          <w:iCs/>
          <w:sz w:val="24"/>
          <w:szCs w:val="24"/>
        </w:rPr>
        <w:t>y 57,</w:t>
      </w:r>
      <w:r w:rsidR="00A133B0" w:rsidRPr="00A133B0">
        <w:rPr>
          <w:rFonts w:ascii="Century Gothic" w:hAnsi="Century Gothic" w:cs="Arial"/>
          <w:b/>
          <w:i/>
          <w:iCs/>
          <w:sz w:val="24"/>
          <w:szCs w:val="24"/>
        </w:rPr>
        <w:t xml:space="preserve"> así como adicionar el</w:t>
      </w:r>
      <w:r w:rsidR="00A67EC5">
        <w:rPr>
          <w:rFonts w:ascii="Century Gothic" w:hAnsi="Century Gothic" w:cs="Arial"/>
          <w:b/>
          <w:sz w:val="24"/>
          <w:szCs w:val="24"/>
        </w:rPr>
        <w:t xml:space="preserve"> </w:t>
      </w:r>
      <w:r w:rsidR="003206EA">
        <w:rPr>
          <w:rFonts w:ascii="Century Gothic" w:hAnsi="Century Gothic" w:cs="Arial"/>
          <w:b/>
          <w:sz w:val="24"/>
          <w:szCs w:val="24"/>
        </w:rPr>
        <w:t>artículo</w:t>
      </w:r>
      <w:r w:rsidR="00BA39F5">
        <w:rPr>
          <w:rFonts w:ascii="Century Gothic" w:hAnsi="Century Gothic" w:cs="Arial"/>
          <w:b/>
          <w:sz w:val="24"/>
          <w:szCs w:val="24"/>
        </w:rPr>
        <w:t xml:space="preserve"> 44 bis </w:t>
      </w:r>
      <w:r w:rsidR="00DD3886" w:rsidRPr="00340E51">
        <w:rPr>
          <w:rFonts w:ascii="Century Gothic" w:hAnsi="Century Gothic" w:cs="Arial"/>
          <w:b/>
          <w:i/>
          <w:sz w:val="24"/>
          <w:szCs w:val="24"/>
        </w:rPr>
        <w:t>de la Ley de</w:t>
      </w:r>
      <w:r w:rsidR="00307A44">
        <w:rPr>
          <w:rFonts w:ascii="Century Gothic" w:hAnsi="Century Gothic" w:cs="Arial"/>
          <w:b/>
          <w:i/>
          <w:sz w:val="24"/>
          <w:szCs w:val="24"/>
        </w:rPr>
        <w:t xml:space="preserve"> la Comisión Estatal de los Derechos Humanos</w:t>
      </w:r>
      <w:r w:rsidR="00DD3886" w:rsidRPr="00340E51">
        <w:rPr>
          <w:rFonts w:ascii="Century Gothic" w:hAnsi="Century Gothic" w:cs="Arial"/>
          <w:b/>
          <w:i/>
          <w:sz w:val="24"/>
          <w:szCs w:val="24"/>
        </w:rPr>
        <w:t xml:space="preserve">, </w:t>
      </w:r>
      <w:r w:rsidR="00DD3886" w:rsidRPr="009601CB">
        <w:rPr>
          <w:rFonts w:ascii="Century Gothic" w:hAnsi="Century Gothic" w:cs="Arial"/>
          <w:sz w:val="24"/>
          <w:szCs w:val="24"/>
        </w:rPr>
        <w:t>de conformidad con la siguiente</w:t>
      </w:r>
    </w:p>
    <w:p w14:paraId="71BA96B5" w14:textId="77777777" w:rsidR="00646803" w:rsidRDefault="00646803"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5B1BFF8C" w14:textId="1E3482F2" w:rsidR="00307A44" w:rsidRDefault="005760A2"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340E51">
        <w:rPr>
          <w:rFonts w:ascii="Century Gothic" w:eastAsia="Century Gothic" w:hAnsi="Century Gothic" w:cs="Century Gothic"/>
          <w:b/>
          <w:color w:val="000000"/>
          <w:sz w:val="24"/>
          <w:szCs w:val="24"/>
        </w:rPr>
        <w:t xml:space="preserve">EXPOSICIÓN DE MOTIVOS: </w:t>
      </w:r>
    </w:p>
    <w:p w14:paraId="5F905069" w14:textId="77777777" w:rsidR="00646803" w:rsidRDefault="00646803"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39968A2F" w14:textId="722A0D24" w:rsidR="00E727DD" w:rsidRDefault="00E727DD" w:rsidP="00882609">
      <w:pPr>
        <w:spacing w:line="360" w:lineRule="auto"/>
        <w:ind w:left="127"/>
        <w:jc w:val="both"/>
        <w:rPr>
          <w:rFonts w:ascii="Century Gothic" w:hAnsi="Century Gothic"/>
          <w:sz w:val="24"/>
          <w:szCs w:val="24"/>
        </w:rPr>
      </w:pPr>
      <w:r w:rsidRPr="00F93842">
        <w:rPr>
          <w:rFonts w:ascii="Century Gothic" w:hAnsi="Century Gothic"/>
          <w:sz w:val="24"/>
          <w:szCs w:val="24"/>
        </w:rPr>
        <w:t xml:space="preserve">Los Derechos Humanos son el conjunto de prerrogativas inherentes a la naturaleza de la persona, cuya realización efectiva resulta indispensable para el desarrollo integral del individuo que vive en una sociedad jurídicamente organizada. </w:t>
      </w:r>
    </w:p>
    <w:p w14:paraId="75FD671F" w14:textId="77777777" w:rsidR="00646803" w:rsidRDefault="00646803" w:rsidP="00882609">
      <w:pPr>
        <w:spacing w:after="0" w:line="360" w:lineRule="auto"/>
        <w:ind w:left="127"/>
        <w:jc w:val="both"/>
        <w:rPr>
          <w:rFonts w:ascii="Century Gothic" w:hAnsi="Century Gothic"/>
          <w:sz w:val="24"/>
          <w:szCs w:val="24"/>
        </w:rPr>
      </w:pPr>
    </w:p>
    <w:p w14:paraId="34AF83B1" w14:textId="3E69A576" w:rsidR="00E727DD" w:rsidRPr="006E7891" w:rsidRDefault="00E727DD" w:rsidP="00882609">
      <w:pPr>
        <w:spacing w:after="0" w:line="360" w:lineRule="auto"/>
        <w:ind w:left="127"/>
        <w:jc w:val="both"/>
        <w:rPr>
          <w:rFonts w:ascii="Century Gothic" w:hAnsi="Century Gothic"/>
          <w:sz w:val="24"/>
          <w:szCs w:val="24"/>
        </w:rPr>
      </w:pPr>
      <w:r w:rsidRPr="00F93842">
        <w:rPr>
          <w:rFonts w:ascii="Century Gothic" w:hAnsi="Century Gothic"/>
          <w:sz w:val="24"/>
          <w:szCs w:val="24"/>
        </w:rPr>
        <w:lastRenderedPageBreak/>
        <w:t xml:space="preserve">La cultura de legalidad y respeto </w:t>
      </w:r>
      <w:r w:rsidRPr="006E7891">
        <w:rPr>
          <w:rFonts w:ascii="Century Gothic" w:hAnsi="Century Gothic"/>
          <w:sz w:val="24"/>
          <w:szCs w:val="24"/>
        </w:rPr>
        <w:t xml:space="preserve">por los derechos humanos, son el fundamento de toda sociedad que se </w:t>
      </w:r>
      <w:r w:rsidR="00700A02" w:rsidRPr="006E7891">
        <w:rPr>
          <w:rFonts w:ascii="Century Gothic" w:hAnsi="Century Gothic"/>
          <w:sz w:val="24"/>
          <w:szCs w:val="24"/>
        </w:rPr>
        <w:t xml:space="preserve">jacte </w:t>
      </w:r>
      <w:r w:rsidRPr="006E7891">
        <w:rPr>
          <w:rFonts w:ascii="Century Gothic" w:hAnsi="Century Gothic"/>
          <w:sz w:val="24"/>
          <w:szCs w:val="24"/>
        </w:rPr>
        <w:t xml:space="preserve">de democrática. La Comisión </w:t>
      </w:r>
      <w:r w:rsidR="00F95E59" w:rsidRPr="006E7891">
        <w:rPr>
          <w:rFonts w:ascii="Century Gothic" w:hAnsi="Century Gothic"/>
          <w:sz w:val="24"/>
          <w:szCs w:val="24"/>
        </w:rPr>
        <w:t xml:space="preserve">Estatal </w:t>
      </w:r>
      <w:r w:rsidRPr="006E7891">
        <w:rPr>
          <w:rFonts w:ascii="Century Gothic" w:hAnsi="Century Gothic"/>
          <w:sz w:val="24"/>
          <w:szCs w:val="24"/>
        </w:rPr>
        <w:t>de</w:t>
      </w:r>
      <w:r w:rsidR="001013CB" w:rsidRPr="006E7891">
        <w:rPr>
          <w:rFonts w:ascii="Century Gothic" w:hAnsi="Century Gothic"/>
          <w:sz w:val="24"/>
          <w:szCs w:val="24"/>
        </w:rPr>
        <w:t xml:space="preserve"> los</w:t>
      </w:r>
      <w:r w:rsidRPr="006E7891">
        <w:rPr>
          <w:rFonts w:ascii="Century Gothic" w:hAnsi="Century Gothic"/>
          <w:sz w:val="24"/>
          <w:szCs w:val="24"/>
        </w:rPr>
        <w:t xml:space="preserve"> Derechos Humanos del Estado de </w:t>
      </w:r>
      <w:r w:rsidR="00F464A1" w:rsidRPr="006E7891">
        <w:rPr>
          <w:rFonts w:ascii="Century Gothic" w:hAnsi="Century Gothic"/>
          <w:sz w:val="24"/>
          <w:szCs w:val="24"/>
        </w:rPr>
        <w:t>Chihuahua</w:t>
      </w:r>
      <w:r w:rsidRPr="006E7891">
        <w:rPr>
          <w:rFonts w:ascii="Century Gothic" w:hAnsi="Century Gothic"/>
          <w:sz w:val="24"/>
          <w:szCs w:val="24"/>
        </w:rPr>
        <w:t xml:space="preserve">, como institución, tiene la finalidad de salvaguardar </w:t>
      </w:r>
      <w:r w:rsidR="00960F4B" w:rsidRPr="006E7891">
        <w:rPr>
          <w:rFonts w:ascii="Century Gothic" w:hAnsi="Century Gothic"/>
          <w:sz w:val="24"/>
          <w:szCs w:val="24"/>
        </w:rPr>
        <w:t xml:space="preserve">esta cultura </w:t>
      </w:r>
      <w:r w:rsidRPr="006E7891">
        <w:rPr>
          <w:rFonts w:ascii="Century Gothic" w:hAnsi="Century Gothic"/>
          <w:sz w:val="24"/>
          <w:szCs w:val="24"/>
        </w:rPr>
        <w:t>y proteger los derechos humanos de los habitantes del Estado</w:t>
      </w:r>
      <w:r w:rsidR="00F464A1" w:rsidRPr="006E7891">
        <w:rPr>
          <w:rFonts w:ascii="Century Gothic" w:hAnsi="Century Gothic"/>
          <w:sz w:val="24"/>
          <w:szCs w:val="24"/>
        </w:rPr>
        <w:t>.</w:t>
      </w:r>
      <w:r w:rsidRPr="006E7891">
        <w:rPr>
          <w:rFonts w:ascii="Century Gothic" w:hAnsi="Century Gothic"/>
          <w:sz w:val="24"/>
          <w:szCs w:val="24"/>
        </w:rPr>
        <w:t xml:space="preserve"> </w:t>
      </w:r>
    </w:p>
    <w:p w14:paraId="343462AE" w14:textId="77777777" w:rsidR="00BA39F5" w:rsidRPr="006E7891" w:rsidRDefault="00E727DD" w:rsidP="00BA39F5">
      <w:pPr>
        <w:spacing w:after="0" w:line="360" w:lineRule="auto"/>
        <w:ind w:left="127"/>
        <w:jc w:val="both"/>
        <w:rPr>
          <w:rFonts w:ascii="Century Gothic" w:hAnsi="Century Gothic"/>
          <w:sz w:val="24"/>
          <w:szCs w:val="24"/>
        </w:rPr>
      </w:pPr>
      <w:r w:rsidRPr="006E7891">
        <w:rPr>
          <w:rFonts w:ascii="Century Gothic" w:hAnsi="Century Gothic"/>
          <w:sz w:val="24"/>
          <w:szCs w:val="24"/>
        </w:rPr>
        <w:t xml:space="preserve"> </w:t>
      </w:r>
    </w:p>
    <w:p w14:paraId="7DE0205C" w14:textId="6B1FC3E3" w:rsidR="00E727DD" w:rsidRPr="006E7891" w:rsidRDefault="00E727DD" w:rsidP="00BA39F5">
      <w:pPr>
        <w:spacing w:after="0" w:line="360" w:lineRule="auto"/>
        <w:ind w:left="127"/>
        <w:jc w:val="both"/>
        <w:rPr>
          <w:rFonts w:ascii="Century Gothic" w:hAnsi="Century Gothic"/>
          <w:sz w:val="24"/>
          <w:szCs w:val="24"/>
        </w:rPr>
      </w:pPr>
      <w:r w:rsidRPr="006E7891">
        <w:rPr>
          <w:rFonts w:ascii="Century Gothic" w:hAnsi="Century Gothic"/>
          <w:sz w:val="24"/>
          <w:szCs w:val="24"/>
        </w:rPr>
        <w:t xml:space="preserve">Los derechos humanos son esencialmente valores de la más alta categoría; son normas y principios de </w:t>
      </w:r>
      <w:r w:rsidR="0036235E" w:rsidRPr="006E7891">
        <w:rPr>
          <w:rFonts w:ascii="Century Gothic" w:hAnsi="Century Gothic"/>
          <w:sz w:val="24"/>
          <w:szCs w:val="24"/>
        </w:rPr>
        <w:t xml:space="preserve">derecho positivo </w:t>
      </w:r>
      <w:r w:rsidRPr="006E7891">
        <w:rPr>
          <w:rFonts w:ascii="Century Gothic" w:hAnsi="Century Gothic"/>
          <w:sz w:val="24"/>
          <w:szCs w:val="24"/>
        </w:rPr>
        <w:t xml:space="preserve">que tutelan esos derechos de manera amplia y completa y cuya violación o incumplimiento constituye un delito y, en consecuencia, da origen a una responsabilidad para quien los vulnere. </w:t>
      </w:r>
    </w:p>
    <w:p w14:paraId="3CAAD7C5" w14:textId="77777777" w:rsidR="00F37096" w:rsidRPr="006E7891" w:rsidRDefault="00F37096" w:rsidP="00BA39F5">
      <w:pPr>
        <w:spacing w:after="0" w:line="360" w:lineRule="auto"/>
        <w:ind w:left="127"/>
        <w:jc w:val="both"/>
        <w:rPr>
          <w:rFonts w:ascii="Century Gothic" w:hAnsi="Century Gothic"/>
          <w:sz w:val="24"/>
          <w:szCs w:val="24"/>
        </w:rPr>
      </w:pPr>
    </w:p>
    <w:p w14:paraId="61597E64" w14:textId="6BBD5A92" w:rsidR="00E727DD" w:rsidRPr="006E7891" w:rsidRDefault="00E727DD" w:rsidP="00882609">
      <w:pPr>
        <w:spacing w:line="360" w:lineRule="auto"/>
        <w:ind w:left="127"/>
        <w:jc w:val="both"/>
        <w:rPr>
          <w:rFonts w:ascii="Century Gothic" w:hAnsi="Century Gothic"/>
          <w:sz w:val="24"/>
          <w:szCs w:val="24"/>
        </w:rPr>
      </w:pPr>
      <w:r w:rsidRPr="006E7891">
        <w:rPr>
          <w:rFonts w:ascii="Century Gothic" w:hAnsi="Century Gothic"/>
          <w:sz w:val="24"/>
          <w:szCs w:val="24"/>
        </w:rPr>
        <w:t xml:space="preserve">Es responsabilidad de la </w:t>
      </w:r>
      <w:r w:rsidR="00F37096" w:rsidRPr="006E7891">
        <w:rPr>
          <w:rFonts w:ascii="Century Gothic" w:hAnsi="Century Gothic"/>
          <w:sz w:val="24"/>
          <w:szCs w:val="24"/>
        </w:rPr>
        <w:t>C</w:t>
      </w:r>
      <w:r w:rsidRPr="006E7891">
        <w:rPr>
          <w:rFonts w:ascii="Century Gothic" w:hAnsi="Century Gothic"/>
          <w:sz w:val="24"/>
          <w:szCs w:val="24"/>
        </w:rPr>
        <w:t xml:space="preserve">omisión </w:t>
      </w:r>
      <w:r w:rsidR="00F95E59" w:rsidRPr="006E7891">
        <w:rPr>
          <w:rFonts w:ascii="Century Gothic" w:hAnsi="Century Gothic"/>
          <w:sz w:val="24"/>
          <w:szCs w:val="24"/>
        </w:rPr>
        <w:t xml:space="preserve">Estatal de </w:t>
      </w:r>
      <w:r w:rsidR="001013CB" w:rsidRPr="006E7891">
        <w:rPr>
          <w:rFonts w:ascii="Century Gothic" w:hAnsi="Century Gothic"/>
          <w:sz w:val="24"/>
          <w:szCs w:val="24"/>
        </w:rPr>
        <w:t xml:space="preserve">los </w:t>
      </w:r>
      <w:r w:rsidR="00F95E59" w:rsidRPr="006E7891">
        <w:rPr>
          <w:rFonts w:ascii="Century Gothic" w:hAnsi="Century Gothic"/>
          <w:sz w:val="24"/>
          <w:szCs w:val="24"/>
        </w:rPr>
        <w:t xml:space="preserve">Derechos Humanos del Estado de Chihuahua en el ámbito de su competencia, </w:t>
      </w:r>
      <w:r w:rsidRPr="006E7891">
        <w:rPr>
          <w:rFonts w:ascii="Century Gothic" w:hAnsi="Century Gothic"/>
          <w:sz w:val="24"/>
          <w:szCs w:val="24"/>
        </w:rPr>
        <w:t xml:space="preserve">el control de los actos de autoridad que </w:t>
      </w:r>
      <w:r w:rsidR="009601FA" w:rsidRPr="006E7891">
        <w:rPr>
          <w:rFonts w:ascii="Century Gothic" w:hAnsi="Century Gothic"/>
          <w:sz w:val="24"/>
          <w:szCs w:val="24"/>
        </w:rPr>
        <w:t xml:space="preserve">quebranten </w:t>
      </w:r>
      <w:r w:rsidRPr="006E7891">
        <w:rPr>
          <w:rFonts w:ascii="Century Gothic" w:hAnsi="Century Gothic"/>
          <w:sz w:val="24"/>
          <w:szCs w:val="24"/>
        </w:rPr>
        <w:t>los derechos humanos y debe servir para vigilar</w:t>
      </w:r>
      <w:r w:rsidR="00F95E59" w:rsidRPr="006E7891">
        <w:rPr>
          <w:rFonts w:ascii="Century Gothic" w:hAnsi="Century Gothic"/>
          <w:sz w:val="24"/>
          <w:szCs w:val="24"/>
        </w:rPr>
        <w:t xml:space="preserve"> y coadyuvar </w:t>
      </w:r>
      <w:r w:rsidRPr="006E7891">
        <w:rPr>
          <w:rFonts w:ascii="Century Gothic" w:hAnsi="Century Gothic"/>
          <w:sz w:val="24"/>
          <w:szCs w:val="24"/>
        </w:rPr>
        <w:t xml:space="preserve">permanentemente </w:t>
      </w:r>
      <w:r w:rsidR="00F95E59" w:rsidRPr="006E7891">
        <w:rPr>
          <w:rFonts w:ascii="Century Gothic" w:hAnsi="Century Gothic"/>
          <w:sz w:val="24"/>
          <w:szCs w:val="24"/>
        </w:rPr>
        <w:t xml:space="preserve">con </w:t>
      </w:r>
      <w:r w:rsidRPr="006E7891">
        <w:rPr>
          <w:rFonts w:ascii="Century Gothic" w:hAnsi="Century Gothic"/>
          <w:sz w:val="24"/>
          <w:szCs w:val="24"/>
        </w:rPr>
        <w:t xml:space="preserve">los sistemas de procuración e impartición de justicia, para brindar a las personas la seguridad que les permita vivir libremente en sociedad, teniendo garantizadas sus libertades e igualdad jurídica, generando el clima necesario de tolerancia y respeto a la dignidad de las personas, previniendo y sancionando las conductas que lesionen su dignidad.  </w:t>
      </w:r>
    </w:p>
    <w:p w14:paraId="2DDD9899" w14:textId="77777777" w:rsidR="00AD5BA5" w:rsidRPr="006E7891" w:rsidRDefault="00AD5BA5" w:rsidP="000D5B4A">
      <w:pPr>
        <w:spacing w:line="240" w:lineRule="atLeast"/>
        <w:ind w:left="125"/>
        <w:jc w:val="both"/>
        <w:rPr>
          <w:rFonts w:ascii="Century Gothic" w:hAnsi="Century Gothic"/>
          <w:sz w:val="24"/>
          <w:szCs w:val="24"/>
        </w:rPr>
      </w:pPr>
    </w:p>
    <w:p w14:paraId="3B4A1F88" w14:textId="1E184706" w:rsidR="00E727DD" w:rsidRPr="006E7891" w:rsidRDefault="0036235E" w:rsidP="00882609">
      <w:pPr>
        <w:spacing w:line="360" w:lineRule="auto"/>
        <w:ind w:left="127"/>
        <w:jc w:val="both"/>
        <w:rPr>
          <w:rFonts w:ascii="Century Gothic" w:hAnsi="Century Gothic"/>
          <w:sz w:val="24"/>
          <w:szCs w:val="24"/>
        </w:rPr>
      </w:pPr>
      <w:r w:rsidRPr="006E7891">
        <w:rPr>
          <w:rFonts w:ascii="Century Gothic" w:hAnsi="Century Gothic"/>
          <w:sz w:val="24"/>
          <w:szCs w:val="24"/>
        </w:rPr>
        <w:t xml:space="preserve">La </w:t>
      </w:r>
      <w:r w:rsidR="00E727DD" w:rsidRPr="006E7891">
        <w:rPr>
          <w:rFonts w:ascii="Century Gothic" w:hAnsi="Century Gothic"/>
          <w:sz w:val="24"/>
          <w:szCs w:val="24"/>
        </w:rPr>
        <w:t xml:space="preserve">situación que prevalece en nuestra entidad </w:t>
      </w:r>
      <w:r w:rsidRPr="006E7891">
        <w:rPr>
          <w:rFonts w:ascii="Century Gothic" w:hAnsi="Century Gothic"/>
          <w:sz w:val="24"/>
          <w:szCs w:val="24"/>
        </w:rPr>
        <w:t>en</w:t>
      </w:r>
      <w:r w:rsidR="00E727DD" w:rsidRPr="006E7891">
        <w:rPr>
          <w:rFonts w:ascii="Century Gothic" w:hAnsi="Century Gothic"/>
          <w:sz w:val="24"/>
          <w:szCs w:val="24"/>
        </w:rPr>
        <w:t xml:space="preserve"> cuanto al respeto por los </w:t>
      </w:r>
      <w:r w:rsidR="00660A6D" w:rsidRPr="006E7891">
        <w:rPr>
          <w:rFonts w:ascii="Century Gothic" w:hAnsi="Century Gothic"/>
          <w:sz w:val="24"/>
          <w:szCs w:val="24"/>
        </w:rPr>
        <w:t>d</w:t>
      </w:r>
      <w:r w:rsidR="00E727DD" w:rsidRPr="006E7891">
        <w:rPr>
          <w:rFonts w:ascii="Century Gothic" w:hAnsi="Century Gothic"/>
          <w:sz w:val="24"/>
          <w:szCs w:val="24"/>
        </w:rPr>
        <w:t xml:space="preserve">erechos </w:t>
      </w:r>
      <w:r w:rsidR="00660A6D" w:rsidRPr="006E7891">
        <w:rPr>
          <w:rFonts w:ascii="Century Gothic" w:hAnsi="Century Gothic"/>
          <w:sz w:val="24"/>
          <w:szCs w:val="24"/>
        </w:rPr>
        <w:t>h</w:t>
      </w:r>
      <w:r w:rsidR="00E727DD" w:rsidRPr="006E7891">
        <w:rPr>
          <w:rFonts w:ascii="Century Gothic" w:hAnsi="Century Gothic"/>
          <w:sz w:val="24"/>
          <w:szCs w:val="24"/>
        </w:rPr>
        <w:t>umanos y el trabajo de la Comisión de</w:t>
      </w:r>
      <w:r w:rsidR="001013CB" w:rsidRPr="006E7891">
        <w:rPr>
          <w:rFonts w:ascii="Century Gothic" w:hAnsi="Century Gothic"/>
          <w:sz w:val="24"/>
          <w:szCs w:val="24"/>
        </w:rPr>
        <w:t xml:space="preserve"> los</w:t>
      </w:r>
      <w:r w:rsidR="00E727DD" w:rsidRPr="006E7891">
        <w:rPr>
          <w:rFonts w:ascii="Century Gothic" w:hAnsi="Century Gothic"/>
          <w:sz w:val="24"/>
          <w:szCs w:val="24"/>
        </w:rPr>
        <w:t xml:space="preserve"> Derechos Humanos del Estado de </w:t>
      </w:r>
      <w:r w:rsidR="00F464A1" w:rsidRPr="006E7891">
        <w:rPr>
          <w:rFonts w:ascii="Century Gothic" w:hAnsi="Century Gothic"/>
          <w:sz w:val="24"/>
          <w:szCs w:val="24"/>
        </w:rPr>
        <w:t>Chihuahua</w:t>
      </w:r>
      <w:r w:rsidR="00E727DD" w:rsidRPr="006E7891">
        <w:rPr>
          <w:rFonts w:ascii="Century Gothic" w:hAnsi="Century Gothic"/>
          <w:sz w:val="24"/>
          <w:szCs w:val="24"/>
        </w:rPr>
        <w:t xml:space="preserve">, </w:t>
      </w:r>
      <w:r w:rsidR="00660A6D" w:rsidRPr="006E7891">
        <w:rPr>
          <w:rFonts w:ascii="Century Gothic" w:hAnsi="Century Gothic"/>
          <w:sz w:val="24"/>
          <w:szCs w:val="24"/>
        </w:rPr>
        <w:t xml:space="preserve">es que </w:t>
      </w:r>
      <w:r w:rsidR="00E727DD" w:rsidRPr="006E7891">
        <w:rPr>
          <w:rFonts w:ascii="Century Gothic" w:hAnsi="Century Gothic"/>
          <w:sz w:val="24"/>
          <w:szCs w:val="24"/>
        </w:rPr>
        <w:t xml:space="preserve">estamos en el entendido de que las recomendaciones que emite la Comisión no tienen el carácter vinculatorio, éstas se fundan </w:t>
      </w:r>
      <w:r w:rsidR="00E727DD" w:rsidRPr="006E7891">
        <w:rPr>
          <w:rFonts w:ascii="Century Gothic" w:hAnsi="Century Gothic"/>
          <w:b/>
          <w:i/>
          <w:iCs/>
          <w:sz w:val="24"/>
          <w:szCs w:val="24"/>
          <w:u w:val="single"/>
        </w:rPr>
        <w:t xml:space="preserve">"en el alto valor moral de su contenido y en el respeto que </w:t>
      </w:r>
      <w:r w:rsidR="00E727DD" w:rsidRPr="006E7891">
        <w:rPr>
          <w:rFonts w:ascii="Century Gothic" w:hAnsi="Century Gothic"/>
          <w:b/>
          <w:i/>
          <w:iCs/>
          <w:sz w:val="24"/>
          <w:szCs w:val="24"/>
          <w:u w:val="single"/>
        </w:rPr>
        <w:lastRenderedPageBreak/>
        <w:t>la sociedad y las autoridades tengan para el organismo"</w:t>
      </w:r>
      <w:r w:rsidR="00E727DD" w:rsidRPr="006E7891">
        <w:rPr>
          <w:rFonts w:ascii="Century Gothic" w:hAnsi="Century Gothic"/>
          <w:i/>
          <w:iCs/>
          <w:sz w:val="24"/>
          <w:szCs w:val="24"/>
          <w:u w:val="single"/>
        </w:rPr>
        <w:t>.</w:t>
      </w:r>
      <w:r w:rsidR="00D1027B" w:rsidRPr="006E7891">
        <w:rPr>
          <w:rFonts w:ascii="Century Gothic" w:hAnsi="Century Gothic"/>
          <w:iCs/>
          <w:sz w:val="24"/>
          <w:szCs w:val="24"/>
          <w:u w:val="single"/>
        </w:rPr>
        <w:t>;</w:t>
      </w:r>
      <w:r w:rsidR="00D1027B" w:rsidRPr="00F36CA6">
        <w:rPr>
          <w:rFonts w:ascii="Century Gothic" w:hAnsi="Century Gothic"/>
          <w:iCs/>
          <w:sz w:val="24"/>
          <w:szCs w:val="24"/>
        </w:rPr>
        <w:t xml:space="preserve"> </w:t>
      </w:r>
      <w:r w:rsidR="00F36CA6" w:rsidRPr="00F36CA6">
        <w:rPr>
          <w:rFonts w:ascii="Century Gothic" w:hAnsi="Century Gothic"/>
          <w:iCs/>
          <w:sz w:val="24"/>
          <w:szCs w:val="24"/>
        </w:rPr>
        <w:t xml:space="preserve"> </w:t>
      </w:r>
      <w:r w:rsidR="00D1027B" w:rsidRPr="006E7891">
        <w:rPr>
          <w:rFonts w:ascii="Century Gothic" w:hAnsi="Century Gothic"/>
          <w:iCs/>
          <w:sz w:val="24"/>
          <w:szCs w:val="24"/>
        </w:rPr>
        <w:t>Sin embargo,</w:t>
      </w:r>
      <w:r w:rsidR="008E41A0" w:rsidRPr="008E41A0">
        <w:rPr>
          <w:rFonts w:ascii="Century Gothic" w:hAnsi="Century Gothic"/>
          <w:iCs/>
          <w:sz w:val="24"/>
          <w:szCs w:val="24"/>
        </w:rPr>
        <w:t xml:space="preserve"> </w:t>
      </w:r>
      <w:r w:rsidR="00F36CA6">
        <w:rPr>
          <w:rFonts w:ascii="Century Gothic" w:hAnsi="Century Gothic"/>
          <w:sz w:val="24"/>
          <w:szCs w:val="24"/>
        </w:rPr>
        <w:t xml:space="preserve">en </w:t>
      </w:r>
      <w:r w:rsidR="00660A6D" w:rsidRPr="006E7891">
        <w:rPr>
          <w:rFonts w:ascii="Century Gothic" w:hAnsi="Century Gothic"/>
          <w:sz w:val="24"/>
          <w:szCs w:val="24"/>
        </w:rPr>
        <w:t>este sentido, l</w:t>
      </w:r>
      <w:r w:rsidR="00E727DD" w:rsidRPr="006E7891">
        <w:rPr>
          <w:rFonts w:ascii="Century Gothic" w:hAnsi="Century Gothic"/>
          <w:sz w:val="24"/>
          <w:szCs w:val="24"/>
        </w:rPr>
        <w:t xml:space="preserve">a Comisión no ha logrado esa autoridad moral tan necesaria a un organismo de este tipo, mismo que al carecer de la fuerza jurídica que vincule sus recomendaciones no puede servir a las altísimas finalidades para las que fue creada. </w:t>
      </w:r>
    </w:p>
    <w:p w14:paraId="531C7077" w14:textId="77777777" w:rsidR="000D5B4A" w:rsidRPr="006E7891" w:rsidRDefault="000D5B4A" w:rsidP="000D5B4A">
      <w:pPr>
        <w:spacing w:line="240" w:lineRule="atLeast"/>
        <w:ind w:left="125"/>
        <w:jc w:val="both"/>
        <w:rPr>
          <w:rFonts w:ascii="Century Gothic" w:hAnsi="Century Gothic"/>
          <w:sz w:val="24"/>
          <w:szCs w:val="24"/>
        </w:rPr>
      </w:pPr>
    </w:p>
    <w:p w14:paraId="1927CA33" w14:textId="27D93512" w:rsidR="004A1178" w:rsidRPr="006E7891" w:rsidRDefault="00700A02" w:rsidP="00882609">
      <w:pPr>
        <w:spacing w:line="360" w:lineRule="auto"/>
        <w:ind w:left="127"/>
        <w:jc w:val="both"/>
        <w:rPr>
          <w:rFonts w:ascii="Century Gothic" w:hAnsi="Century Gothic"/>
          <w:sz w:val="24"/>
          <w:szCs w:val="24"/>
        </w:rPr>
      </w:pPr>
      <w:r w:rsidRPr="006E7891">
        <w:rPr>
          <w:rFonts w:ascii="Century Gothic" w:hAnsi="Century Gothic"/>
          <w:sz w:val="24"/>
          <w:szCs w:val="24"/>
        </w:rPr>
        <w:t>El procedimiento</w:t>
      </w:r>
      <w:r w:rsidR="00C0686D" w:rsidRPr="006E7891">
        <w:rPr>
          <w:rFonts w:ascii="Century Gothic" w:hAnsi="Century Gothic"/>
          <w:sz w:val="24"/>
          <w:szCs w:val="24"/>
        </w:rPr>
        <w:t xml:space="preserve"> ante la Comisión Estatal de </w:t>
      </w:r>
      <w:r w:rsidR="001013CB" w:rsidRPr="006E7891">
        <w:rPr>
          <w:rFonts w:ascii="Century Gothic" w:hAnsi="Century Gothic"/>
          <w:sz w:val="24"/>
          <w:szCs w:val="24"/>
        </w:rPr>
        <w:t xml:space="preserve">los </w:t>
      </w:r>
      <w:r w:rsidR="00C0686D" w:rsidRPr="006E7891">
        <w:rPr>
          <w:rFonts w:ascii="Century Gothic" w:hAnsi="Century Gothic"/>
          <w:sz w:val="24"/>
          <w:szCs w:val="24"/>
        </w:rPr>
        <w:t>Derechos Humanos,</w:t>
      </w:r>
      <w:r w:rsidRPr="006E7891">
        <w:rPr>
          <w:rFonts w:ascii="Century Gothic" w:hAnsi="Century Gothic"/>
          <w:sz w:val="24"/>
          <w:szCs w:val="24"/>
        </w:rPr>
        <w:t xml:space="preserve"> </w:t>
      </w:r>
      <w:r w:rsidR="00C0686D" w:rsidRPr="006E7891">
        <w:rPr>
          <w:rFonts w:ascii="Century Gothic" w:hAnsi="Century Gothic"/>
          <w:sz w:val="24"/>
          <w:szCs w:val="24"/>
        </w:rPr>
        <w:t xml:space="preserve">a grandes rasgos </w:t>
      </w:r>
      <w:r w:rsidRPr="006E7891">
        <w:rPr>
          <w:rFonts w:ascii="Century Gothic" w:hAnsi="Century Gothic"/>
          <w:sz w:val="24"/>
          <w:szCs w:val="24"/>
        </w:rPr>
        <w:t>es el siguiente: s</w:t>
      </w:r>
      <w:r w:rsidR="00E727DD" w:rsidRPr="006E7891">
        <w:rPr>
          <w:rFonts w:ascii="Century Gothic" w:hAnsi="Century Gothic"/>
          <w:sz w:val="24"/>
          <w:szCs w:val="24"/>
        </w:rPr>
        <w:t xml:space="preserve">e </w:t>
      </w:r>
      <w:r w:rsidR="00C0686D" w:rsidRPr="006E7891">
        <w:rPr>
          <w:rFonts w:ascii="Century Gothic" w:hAnsi="Century Gothic"/>
          <w:sz w:val="24"/>
          <w:szCs w:val="24"/>
        </w:rPr>
        <w:t>i</w:t>
      </w:r>
      <w:r w:rsidR="00E727DD" w:rsidRPr="006E7891">
        <w:rPr>
          <w:rFonts w:ascii="Century Gothic" w:hAnsi="Century Gothic"/>
          <w:sz w:val="24"/>
          <w:szCs w:val="24"/>
        </w:rPr>
        <w:t>nicia</w:t>
      </w:r>
      <w:r w:rsidR="00C0686D" w:rsidRPr="006E7891">
        <w:rPr>
          <w:rFonts w:ascii="Century Gothic" w:hAnsi="Century Gothic"/>
          <w:sz w:val="24"/>
          <w:szCs w:val="24"/>
        </w:rPr>
        <w:t xml:space="preserve"> el </w:t>
      </w:r>
      <w:r w:rsidR="00E727DD" w:rsidRPr="006E7891">
        <w:rPr>
          <w:rFonts w:ascii="Century Gothic" w:hAnsi="Century Gothic"/>
          <w:sz w:val="24"/>
          <w:szCs w:val="24"/>
        </w:rPr>
        <w:t>expediente</w:t>
      </w:r>
      <w:r w:rsidR="00C0686D" w:rsidRPr="006E7891">
        <w:rPr>
          <w:rFonts w:ascii="Century Gothic" w:hAnsi="Century Gothic"/>
          <w:sz w:val="24"/>
          <w:szCs w:val="24"/>
        </w:rPr>
        <w:t xml:space="preserve"> a través de una queja</w:t>
      </w:r>
      <w:r w:rsidR="00E727DD" w:rsidRPr="006E7891">
        <w:rPr>
          <w:rFonts w:ascii="Century Gothic" w:hAnsi="Century Gothic"/>
          <w:sz w:val="24"/>
          <w:szCs w:val="24"/>
        </w:rPr>
        <w:t>,</w:t>
      </w:r>
      <w:r w:rsidR="00C0686D" w:rsidRPr="006E7891">
        <w:rPr>
          <w:rFonts w:ascii="Century Gothic" w:hAnsi="Century Gothic"/>
          <w:sz w:val="24"/>
          <w:szCs w:val="24"/>
        </w:rPr>
        <w:t xml:space="preserve"> la misma se notifica a la autoridad señalada como responsable </w:t>
      </w:r>
      <w:r w:rsidR="00E17F76" w:rsidRPr="006E7891">
        <w:rPr>
          <w:rFonts w:ascii="Century Gothic" w:hAnsi="Century Gothic"/>
          <w:sz w:val="24"/>
          <w:szCs w:val="24"/>
        </w:rPr>
        <w:t>quien dará</w:t>
      </w:r>
      <w:r w:rsidR="00C0686D" w:rsidRPr="006E7891">
        <w:rPr>
          <w:rFonts w:ascii="Century Gothic" w:hAnsi="Century Gothic"/>
          <w:sz w:val="24"/>
          <w:szCs w:val="24"/>
        </w:rPr>
        <w:t xml:space="preserve"> respuesta sobre los hechos que motiv</w:t>
      </w:r>
      <w:r w:rsidR="001C064C" w:rsidRPr="006E7891">
        <w:rPr>
          <w:rFonts w:ascii="Century Gothic" w:hAnsi="Century Gothic"/>
          <w:sz w:val="24"/>
          <w:szCs w:val="24"/>
        </w:rPr>
        <w:t xml:space="preserve">aron </w:t>
      </w:r>
      <w:r w:rsidR="00E17F76" w:rsidRPr="006E7891">
        <w:rPr>
          <w:rFonts w:ascii="Century Gothic" w:hAnsi="Century Gothic"/>
          <w:sz w:val="24"/>
          <w:szCs w:val="24"/>
        </w:rPr>
        <w:t>la</w:t>
      </w:r>
      <w:r w:rsidR="00C0686D" w:rsidRPr="006E7891">
        <w:rPr>
          <w:rFonts w:ascii="Century Gothic" w:hAnsi="Century Gothic"/>
          <w:sz w:val="24"/>
          <w:szCs w:val="24"/>
        </w:rPr>
        <w:t xml:space="preserve"> instauración del procedimiento</w:t>
      </w:r>
      <w:r w:rsidR="00E17F76" w:rsidRPr="006E7891">
        <w:rPr>
          <w:rFonts w:ascii="Century Gothic" w:hAnsi="Century Gothic"/>
          <w:sz w:val="24"/>
          <w:szCs w:val="24"/>
        </w:rPr>
        <w:t xml:space="preserve"> aportando las pruebas que se consideren oportunas</w:t>
      </w:r>
      <w:r w:rsidR="00C0686D" w:rsidRPr="006E7891">
        <w:rPr>
          <w:rFonts w:ascii="Century Gothic" w:hAnsi="Century Gothic"/>
          <w:sz w:val="24"/>
          <w:szCs w:val="24"/>
        </w:rPr>
        <w:t>,</w:t>
      </w:r>
      <w:r w:rsidR="00E17F76" w:rsidRPr="006E7891">
        <w:rPr>
          <w:rFonts w:ascii="Century Gothic" w:hAnsi="Century Gothic"/>
          <w:sz w:val="24"/>
          <w:szCs w:val="24"/>
        </w:rPr>
        <w:t xml:space="preserve"> las cuales se valoraran por la Comisión</w:t>
      </w:r>
      <w:r w:rsidR="001C064C" w:rsidRPr="006E7891">
        <w:rPr>
          <w:rFonts w:ascii="Century Gothic" w:hAnsi="Century Gothic"/>
          <w:sz w:val="24"/>
          <w:szCs w:val="24"/>
        </w:rPr>
        <w:t>,</w:t>
      </w:r>
      <w:r w:rsidR="00E17F76" w:rsidRPr="006E7891">
        <w:rPr>
          <w:rFonts w:ascii="Century Gothic" w:hAnsi="Century Gothic"/>
          <w:sz w:val="24"/>
          <w:szCs w:val="24"/>
        </w:rPr>
        <w:t xml:space="preserve"> quien finalmente concluirá con un acuerdo de No Responsabilidad de la autoridad responsable, o bien, en caso contrario con una Recomendación, </w:t>
      </w:r>
      <w:r w:rsidR="007025F5" w:rsidRPr="006E7891">
        <w:rPr>
          <w:rFonts w:ascii="Century Gothic" w:hAnsi="Century Gothic"/>
          <w:sz w:val="24"/>
          <w:szCs w:val="24"/>
        </w:rPr>
        <w:t xml:space="preserve">el </w:t>
      </w:r>
      <w:r w:rsidR="00E17F76" w:rsidRPr="006E7891">
        <w:rPr>
          <w:rFonts w:ascii="Century Gothic" w:hAnsi="Century Gothic"/>
          <w:sz w:val="24"/>
          <w:szCs w:val="24"/>
        </w:rPr>
        <w:t>que será informado a las partes</w:t>
      </w:r>
      <w:r w:rsidR="001C064C" w:rsidRPr="006E7891">
        <w:rPr>
          <w:rFonts w:ascii="Century Gothic" w:hAnsi="Century Gothic"/>
          <w:sz w:val="24"/>
          <w:szCs w:val="24"/>
        </w:rPr>
        <w:t xml:space="preserve">, manifestando </w:t>
      </w:r>
      <w:r w:rsidR="007025F5" w:rsidRPr="006E7891">
        <w:rPr>
          <w:rFonts w:ascii="Century Gothic" w:hAnsi="Century Gothic"/>
          <w:sz w:val="24"/>
          <w:szCs w:val="24"/>
        </w:rPr>
        <w:t>la</w:t>
      </w:r>
      <w:r w:rsidR="001C064C" w:rsidRPr="006E7891">
        <w:rPr>
          <w:rFonts w:ascii="Century Gothic" w:hAnsi="Century Gothic"/>
          <w:sz w:val="24"/>
          <w:szCs w:val="24"/>
        </w:rPr>
        <w:t xml:space="preserve"> autoridad en el último de los casos, si acepta o no, la recomendación</w:t>
      </w:r>
      <w:r w:rsidR="007025F5" w:rsidRPr="006E7891">
        <w:rPr>
          <w:rFonts w:ascii="Century Gothic" w:hAnsi="Century Gothic"/>
          <w:sz w:val="24"/>
          <w:szCs w:val="24"/>
        </w:rPr>
        <w:t xml:space="preserve">. </w:t>
      </w:r>
    </w:p>
    <w:p w14:paraId="34461C88" w14:textId="77777777" w:rsidR="000D5B4A" w:rsidRPr="006E7891" w:rsidRDefault="000D5B4A" w:rsidP="000D5B4A">
      <w:pPr>
        <w:spacing w:line="240" w:lineRule="atLeast"/>
        <w:ind w:left="125"/>
        <w:jc w:val="both"/>
        <w:rPr>
          <w:rFonts w:ascii="Century Gothic" w:hAnsi="Century Gothic"/>
          <w:sz w:val="24"/>
          <w:szCs w:val="24"/>
        </w:rPr>
      </w:pPr>
    </w:p>
    <w:p w14:paraId="781DEEC9" w14:textId="12BA2B24" w:rsidR="00843EE4" w:rsidRPr="006E7891" w:rsidRDefault="007025F5" w:rsidP="00882609">
      <w:pPr>
        <w:spacing w:line="360" w:lineRule="auto"/>
        <w:ind w:left="127"/>
        <w:jc w:val="both"/>
        <w:rPr>
          <w:rFonts w:ascii="Century Gothic" w:hAnsi="Century Gothic"/>
          <w:sz w:val="24"/>
          <w:szCs w:val="24"/>
        </w:rPr>
      </w:pPr>
      <w:r w:rsidRPr="006E7891">
        <w:rPr>
          <w:rFonts w:ascii="Century Gothic" w:hAnsi="Century Gothic"/>
          <w:sz w:val="24"/>
          <w:szCs w:val="24"/>
        </w:rPr>
        <w:t xml:space="preserve">Como se advierte, el </w:t>
      </w:r>
      <w:r w:rsidR="001C064C" w:rsidRPr="006E7891">
        <w:rPr>
          <w:rFonts w:ascii="Century Gothic" w:hAnsi="Century Gothic"/>
          <w:sz w:val="24"/>
          <w:szCs w:val="24"/>
        </w:rPr>
        <w:t xml:space="preserve">procedimiento descrito </w:t>
      </w:r>
      <w:r w:rsidR="00F85053" w:rsidRPr="006E7891">
        <w:rPr>
          <w:rFonts w:ascii="Century Gothic" w:hAnsi="Century Gothic"/>
          <w:sz w:val="24"/>
          <w:szCs w:val="24"/>
        </w:rPr>
        <w:t xml:space="preserve">pareciera </w:t>
      </w:r>
      <w:r w:rsidR="00D425BE" w:rsidRPr="006E7891">
        <w:rPr>
          <w:rFonts w:ascii="Century Gothic" w:hAnsi="Century Gothic"/>
          <w:sz w:val="24"/>
          <w:szCs w:val="24"/>
        </w:rPr>
        <w:t>de forma</w:t>
      </w:r>
      <w:r w:rsidR="00E727DD" w:rsidRPr="006E7891">
        <w:rPr>
          <w:rFonts w:ascii="Century Gothic" w:hAnsi="Century Gothic"/>
          <w:sz w:val="24"/>
          <w:szCs w:val="24"/>
        </w:rPr>
        <w:t xml:space="preserve"> similar a la de un departamento de quejas y no de una Comisión Estatal de </w:t>
      </w:r>
      <w:r w:rsidR="001013CB" w:rsidRPr="006E7891">
        <w:rPr>
          <w:rFonts w:ascii="Century Gothic" w:hAnsi="Century Gothic"/>
          <w:sz w:val="24"/>
          <w:szCs w:val="24"/>
        </w:rPr>
        <w:t xml:space="preserve">los </w:t>
      </w:r>
      <w:r w:rsidR="00E727DD" w:rsidRPr="006E7891">
        <w:rPr>
          <w:rFonts w:ascii="Century Gothic" w:hAnsi="Century Gothic"/>
          <w:sz w:val="24"/>
          <w:szCs w:val="24"/>
        </w:rPr>
        <w:t>Derechos Humanos</w:t>
      </w:r>
      <w:r w:rsidR="004A1178" w:rsidRPr="006E7891">
        <w:rPr>
          <w:rFonts w:ascii="Century Gothic" w:hAnsi="Century Gothic"/>
          <w:sz w:val="24"/>
          <w:szCs w:val="24"/>
        </w:rPr>
        <w:t>, esto lo corrobora, una somera revisión a la actuación</w:t>
      </w:r>
      <w:r w:rsidR="004B05F5" w:rsidRPr="006E7891">
        <w:rPr>
          <w:rFonts w:ascii="Century Gothic" w:hAnsi="Century Gothic"/>
          <w:sz w:val="24"/>
          <w:szCs w:val="24"/>
        </w:rPr>
        <w:t xml:space="preserve"> de la comisión en un lapso de tiempo de su actuación del año 2017 a la fecha (4años 9 meses)</w:t>
      </w:r>
      <w:r w:rsidR="00B527AE" w:rsidRPr="006E7891">
        <w:rPr>
          <w:rFonts w:ascii="Century Gothic" w:hAnsi="Century Gothic"/>
          <w:sz w:val="24"/>
          <w:szCs w:val="24"/>
        </w:rPr>
        <w:t xml:space="preserve">, mismo </w:t>
      </w:r>
      <w:r w:rsidR="004B05F5" w:rsidRPr="006E7891">
        <w:rPr>
          <w:rFonts w:ascii="Century Gothic" w:hAnsi="Century Gothic"/>
          <w:sz w:val="24"/>
          <w:szCs w:val="24"/>
        </w:rPr>
        <w:t xml:space="preserve">en el que </w:t>
      </w:r>
      <w:r w:rsidR="00B527AE" w:rsidRPr="006E7891">
        <w:rPr>
          <w:rFonts w:ascii="Century Gothic" w:hAnsi="Century Gothic"/>
          <w:sz w:val="24"/>
          <w:szCs w:val="24"/>
        </w:rPr>
        <w:t>ha</w:t>
      </w:r>
      <w:r w:rsidR="004B05F5" w:rsidRPr="006E7891">
        <w:rPr>
          <w:rFonts w:ascii="Century Gothic" w:hAnsi="Century Gothic"/>
          <w:sz w:val="24"/>
          <w:szCs w:val="24"/>
        </w:rPr>
        <w:t xml:space="preserve"> emitido un total de </w:t>
      </w:r>
      <w:r w:rsidR="00843EE4" w:rsidRPr="006E7891">
        <w:rPr>
          <w:rFonts w:ascii="Century Gothic" w:hAnsi="Century Gothic"/>
          <w:sz w:val="24"/>
          <w:szCs w:val="24"/>
        </w:rPr>
        <w:t xml:space="preserve">298 </w:t>
      </w:r>
      <w:r w:rsidR="004B05F5" w:rsidRPr="006E7891">
        <w:rPr>
          <w:rFonts w:ascii="Century Gothic" w:hAnsi="Century Gothic"/>
          <w:sz w:val="24"/>
          <w:szCs w:val="24"/>
        </w:rPr>
        <w:t xml:space="preserve">recomendaciones, </w:t>
      </w:r>
      <w:r w:rsidR="00843EE4" w:rsidRPr="006E7891">
        <w:rPr>
          <w:rFonts w:ascii="Century Gothic" w:hAnsi="Century Gothic"/>
          <w:sz w:val="24"/>
          <w:szCs w:val="24"/>
        </w:rPr>
        <w:t xml:space="preserve">de las cuales </w:t>
      </w:r>
      <w:r w:rsidR="00B527AE" w:rsidRPr="006E7891">
        <w:rPr>
          <w:rFonts w:ascii="Century Gothic" w:hAnsi="Century Gothic"/>
          <w:sz w:val="24"/>
          <w:szCs w:val="24"/>
        </w:rPr>
        <w:t xml:space="preserve">solo </w:t>
      </w:r>
      <w:r w:rsidR="00843EE4" w:rsidRPr="006E7891">
        <w:rPr>
          <w:rFonts w:ascii="Century Gothic" w:hAnsi="Century Gothic"/>
          <w:sz w:val="24"/>
          <w:szCs w:val="24"/>
        </w:rPr>
        <w:t xml:space="preserve">202 fueron aceptadas sin </w:t>
      </w:r>
      <w:r w:rsidR="00B527AE" w:rsidRPr="006E7891">
        <w:rPr>
          <w:rFonts w:ascii="Century Gothic" w:hAnsi="Century Gothic"/>
          <w:sz w:val="24"/>
          <w:szCs w:val="24"/>
        </w:rPr>
        <w:t xml:space="preserve">que a fecha se </w:t>
      </w:r>
      <w:r w:rsidR="004B05F5" w:rsidRPr="006E7891">
        <w:rPr>
          <w:rFonts w:ascii="Century Gothic" w:hAnsi="Century Gothic"/>
          <w:sz w:val="24"/>
          <w:szCs w:val="24"/>
        </w:rPr>
        <w:t xml:space="preserve">hayan </w:t>
      </w:r>
      <w:r w:rsidR="00843EE4" w:rsidRPr="006E7891">
        <w:rPr>
          <w:rFonts w:ascii="Century Gothic" w:hAnsi="Century Gothic"/>
          <w:sz w:val="24"/>
          <w:szCs w:val="24"/>
        </w:rPr>
        <w:t>cumplido en s</w:t>
      </w:r>
      <w:r w:rsidR="00B527AE" w:rsidRPr="006E7891">
        <w:rPr>
          <w:rFonts w:ascii="Century Gothic" w:hAnsi="Century Gothic"/>
          <w:sz w:val="24"/>
          <w:szCs w:val="24"/>
        </w:rPr>
        <w:t>u</w:t>
      </w:r>
      <w:r w:rsidR="00843EE4" w:rsidRPr="006E7891">
        <w:rPr>
          <w:rFonts w:ascii="Century Gothic" w:hAnsi="Century Gothic"/>
          <w:sz w:val="24"/>
          <w:szCs w:val="24"/>
        </w:rPr>
        <w:t xml:space="preserve"> </w:t>
      </w:r>
      <w:r w:rsidR="004B05F5" w:rsidRPr="006E7891">
        <w:rPr>
          <w:rFonts w:ascii="Century Gothic" w:hAnsi="Century Gothic"/>
          <w:sz w:val="24"/>
          <w:szCs w:val="24"/>
        </w:rPr>
        <w:t>totalidad</w:t>
      </w:r>
      <w:r w:rsidR="009D22F1" w:rsidRPr="006E7891">
        <w:rPr>
          <w:rFonts w:ascii="Century Gothic" w:hAnsi="Century Gothic"/>
          <w:sz w:val="24"/>
          <w:szCs w:val="24"/>
        </w:rPr>
        <w:t xml:space="preserve"> es decir, el 67.7 % de las recomendaciones están sin cumplir, </w:t>
      </w:r>
      <w:r w:rsidR="004B05F5" w:rsidRPr="006E7891">
        <w:rPr>
          <w:rFonts w:ascii="Century Gothic" w:hAnsi="Century Gothic"/>
          <w:sz w:val="24"/>
          <w:szCs w:val="24"/>
        </w:rPr>
        <w:t xml:space="preserve"> </w:t>
      </w:r>
      <w:r w:rsidR="00843EE4" w:rsidRPr="006E7891">
        <w:rPr>
          <w:rFonts w:ascii="Century Gothic" w:hAnsi="Century Gothic"/>
          <w:sz w:val="24"/>
          <w:szCs w:val="24"/>
        </w:rPr>
        <w:t xml:space="preserve">y por lo que se refiere a las aceptadas y cumplidas existen únicamente un total de </w:t>
      </w:r>
      <w:r w:rsidR="009D22F1" w:rsidRPr="006E7891">
        <w:rPr>
          <w:rFonts w:ascii="Century Gothic" w:hAnsi="Century Gothic"/>
          <w:sz w:val="24"/>
          <w:szCs w:val="24"/>
        </w:rPr>
        <w:t xml:space="preserve">23, es decir el solo 7.7% se ha </w:t>
      </w:r>
      <w:r w:rsidR="009D22F1" w:rsidRPr="006E7891">
        <w:rPr>
          <w:rFonts w:ascii="Century Gothic" w:hAnsi="Century Gothic"/>
          <w:sz w:val="24"/>
          <w:szCs w:val="24"/>
        </w:rPr>
        <w:lastRenderedPageBreak/>
        <w:t xml:space="preserve">cumplido </w:t>
      </w:r>
      <w:r w:rsidR="00843EE4" w:rsidRPr="006E7891">
        <w:rPr>
          <w:rFonts w:ascii="Century Gothic" w:hAnsi="Century Gothic"/>
          <w:sz w:val="24"/>
          <w:szCs w:val="24"/>
        </w:rPr>
        <w:t xml:space="preserve"> en mismo </w:t>
      </w:r>
      <w:r w:rsidR="004B05F5" w:rsidRPr="006E7891">
        <w:rPr>
          <w:rFonts w:ascii="Century Gothic" w:hAnsi="Century Gothic"/>
          <w:sz w:val="24"/>
          <w:szCs w:val="24"/>
        </w:rPr>
        <w:t>lapso</w:t>
      </w:r>
      <w:r w:rsidR="00843EE4" w:rsidRPr="006E7891">
        <w:rPr>
          <w:rFonts w:ascii="Century Gothic" w:hAnsi="Century Gothic"/>
          <w:sz w:val="24"/>
          <w:szCs w:val="24"/>
        </w:rPr>
        <w:t xml:space="preserve"> de tiempo</w:t>
      </w:r>
      <w:r w:rsidR="004B05F5" w:rsidRPr="006E7891">
        <w:rPr>
          <w:rFonts w:ascii="Century Gothic" w:hAnsi="Century Gothic"/>
          <w:sz w:val="24"/>
          <w:szCs w:val="24"/>
        </w:rPr>
        <w:t xml:space="preserve">, </w:t>
      </w:r>
      <w:r w:rsidR="00843EE4" w:rsidRPr="006E7891">
        <w:rPr>
          <w:rFonts w:ascii="Century Gothic" w:hAnsi="Century Gothic"/>
          <w:sz w:val="24"/>
          <w:szCs w:val="24"/>
        </w:rPr>
        <w:t xml:space="preserve">pero </w:t>
      </w:r>
      <w:r w:rsidR="004B05F5" w:rsidRPr="006E7891">
        <w:rPr>
          <w:rFonts w:ascii="Century Gothic" w:hAnsi="Century Gothic"/>
          <w:sz w:val="24"/>
          <w:szCs w:val="24"/>
        </w:rPr>
        <w:t xml:space="preserve">también es </w:t>
      </w:r>
      <w:r w:rsidR="00843EE4" w:rsidRPr="006E7891">
        <w:rPr>
          <w:rFonts w:ascii="Century Gothic" w:hAnsi="Century Gothic"/>
          <w:sz w:val="24"/>
          <w:szCs w:val="24"/>
        </w:rPr>
        <w:t xml:space="preserve">grave </w:t>
      </w:r>
      <w:r w:rsidR="004B05F5" w:rsidRPr="006E7891">
        <w:rPr>
          <w:rFonts w:ascii="Century Gothic" w:hAnsi="Century Gothic"/>
          <w:sz w:val="24"/>
          <w:szCs w:val="24"/>
        </w:rPr>
        <w:t xml:space="preserve">que en la misma temporalidad, </w:t>
      </w:r>
      <w:r w:rsidR="00FF1E94" w:rsidRPr="006E7891">
        <w:rPr>
          <w:rFonts w:ascii="Century Gothic" w:hAnsi="Century Gothic"/>
          <w:sz w:val="24"/>
          <w:szCs w:val="24"/>
        </w:rPr>
        <w:t>46</w:t>
      </w:r>
      <w:r w:rsidR="00400EA3" w:rsidRPr="006E7891">
        <w:rPr>
          <w:rFonts w:ascii="Century Gothic" w:hAnsi="Century Gothic"/>
          <w:sz w:val="24"/>
          <w:szCs w:val="24"/>
        </w:rPr>
        <w:t xml:space="preserve"> recomendaciones no fueron aceptadas, es decir el 15.4 % no se aceptaron en este mismo lapso de tiempo, </w:t>
      </w:r>
      <w:r w:rsidR="004B05F5" w:rsidRPr="006E7891">
        <w:rPr>
          <w:rFonts w:ascii="Century Gothic" w:hAnsi="Century Gothic"/>
          <w:sz w:val="24"/>
          <w:szCs w:val="24"/>
        </w:rPr>
        <w:t xml:space="preserve">sin que se advierta razón o fundamento de la negativa y tampoco se haya convocado a la </w:t>
      </w:r>
      <w:r w:rsidR="00400EA3" w:rsidRPr="006E7891">
        <w:rPr>
          <w:rFonts w:ascii="Century Gothic" w:hAnsi="Century Gothic"/>
          <w:sz w:val="24"/>
          <w:szCs w:val="24"/>
        </w:rPr>
        <w:t>autoridad</w:t>
      </w:r>
      <w:r w:rsidR="004B05F5" w:rsidRPr="006E7891">
        <w:rPr>
          <w:rFonts w:ascii="Century Gothic" w:hAnsi="Century Gothic"/>
          <w:sz w:val="24"/>
          <w:szCs w:val="24"/>
        </w:rPr>
        <w:t xml:space="preserve"> responsable en los términos de</w:t>
      </w:r>
      <w:r w:rsidR="00400EA3" w:rsidRPr="006E7891">
        <w:rPr>
          <w:rFonts w:ascii="Century Gothic" w:hAnsi="Century Gothic"/>
          <w:sz w:val="24"/>
          <w:szCs w:val="24"/>
        </w:rPr>
        <w:t>l artículo 44 tercer párrafo de la Ley de la Comisión Estatal de</w:t>
      </w:r>
      <w:r w:rsidR="001013CB" w:rsidRPr="006E7891">
        <w:rPr>
          <w:rFonts w:ascii="Century Gothic" w:hAnsi="Century Gothic"/>
          <w:sz w:val="24"/>
          <w:szCs w:val="24"/>
        </w:rPr>
        <w:t xml:space="preserve"> los</w:t>
      </w:r>
      <w:r w:rsidR="00400EA3" w:rsidRPr="006E7891">
        <w:rPr>
          <w:rFonts w:ascii="Century Gothic" w:hAnsi="Century Gothic"/>
          <w:sz w:val="24"/>
          <w:szCs w:val="24"/>
        </w:rPr>
        <w:t xml:space="preserve"> Derechos </w:t>
      </w:r>
      <w:r w:rsidR="004B05F5" w:rsidRPr="006E7891">
        <w:rPr>
          <w:rFonts w:ascii="Century Gothic" w:hAnsi="Century Gothic"/>
          <w:sz w:val="24"/>
          <w:szCs w:val="24"/>
        </w:rPr>
        <w:t xml:space="preserve"> </w:t>
      </w:r>
      <w:r w:rsidR="00400EA3" w:rsidRPr="006E7891">
        <w:rPr>
          <w:rFonts w:ascii="Century Gothic" w:hAnsi="Century Gothic"/>
          <w:sz w:val="24"/>
          <w:szCs w:val="24"/>
        </w:rPr>
        <w:t xml:space="preserve">Humanos, </w:t>
      </w:r>
      <w:r w:rsidR="004B05F5" w:rsidRPr="006E7891">
        <w:rPr>
          <w:rFonts w:ascii="Century Gothic" w:hAnsi="Century Gothic"/>
          <w:sz w:val="24"/>
          <w:szCs w:val="24"/>
        </w:rPr>
        <w:t xml:space="preserve"> para que acuda ante la </w:t>
      </w:r>
      <w:r w:rsidR="00B7596E" w:rsidRPr="006E7891">
        <w:rPr>
          <w:rFonts w:ascii="Century Gothic" w:hAnsi="Century Gothic"/>
          <w:sz w:val="24"/>
          <w:szCs w:val="24"/>
        </w:rPr>
        <w:t>L</w:t>
      </w:r>
      <w:r w:rsidR="004B05F5" w:rsidRPr="006E7891">
        <w:rPr>
          <w:rFonts w:ascii="Century Gothic" w:hAnsi="Century Gothic"/>
          <w:sz w:val="24"/>
          <w:szCs w:val="24"/>
        </w:rPr>
        <w:t xml:space="preserve">egislatura del </w:t>
      </w:r>
      <w:r w:rsidR="00B7596E" w:rsidRPr="006E7891">
        <w:rPr>
          <w:rFonts w:ascii="Century Gothic" w:hAnsi="Century Gothic"/>
          <w:sz w:val="24"/>
          <w:szCs w:val="24"/>
        </w:rPr>
        <w:t>C</w:t>
      </w:r>
      <w:r w:rsidR="004B05F5" w:rsidRPr="006E7891">
        <w:rPr>
          <w:rFonts w:ascii="Century Gothic" w:hAnsi="Century Gothic"/>
          <w:sz w:val="24"/>
          <w:szCs w:val="24"/>
        </w:rPr>
        <w:t xml:space="preserve">ongreso del </w:t>
      </w:r>
      <w:r w:rsidR="00B7596E" w:rsidRPr="006E7891">
        <w:rPr>
          <w:rFonts w:ascii="Century Gothic" w:hAnsi="Century Gothic"/>
          <w:sz w:val="24"/>
          <w:szCs w:val="24"/>
        </w:rPr>
        <w:t>E</w:t>
      </w:r>
      <w:r w:rsidR="004B05F5" w:rsidRPr="006E7891">
        <w:rPr>
          <w:rFonts w:ascii="Century Gothic" w:hAnsi="Century Gothic"/>
          <w:sz w:val="24"/>
          <w:szCs w:val="24"/>
        </w:rPr>
        <w:t>stado, a exponer sus razones a tal negativa</w:t>
      </w:r>
      <w:r w:rsidR="00AF6589" w:rsidRPr="006E7891">
        <w:rPr>
          <w:rFonts w:ascii="Century Gothic" w:hAnsi="Century Gothic"/>
          <w:sz w:val="24"/>
          <w:szCs w:val="24"/>
        </w:rPr>
        <w:t xml:space="preserve">; </w:t>
      </w:r>
      <w:r w:rsidR="00774C6E" w:rsidRPr="006E7891">
        <w:rPr>
          <w:rFonts w:ascii="Century Gothic" w:hAnsi="Century Gothic"/>
          <w:sz w:val="24"/>
          <w:szCs w:val="24"/>
        </w:rPr>
        <w:t>Así</w:t>
      </w:r>
      <w:r w:rsidR="00AF6589" w:rsidRPr="006E7891">
        <w:rPr>
          <w:rFonts w:ascii="Century Gothic" w:hAnsi="Century Gothic"/>
          <w:sz w:val="24"/>
          <w:szCs w:val="24"/>
        </w:rPr>
        <w:t xml:space="preserve"> también, por lo que se refiere al resto de las recomendaciones y que engrosan fundamentalmente a las impugnadas, se descono</w:t>
      </w:r>
      <w:r w:rsidR="00774C6E" w:rsidRPr="006E7891">
        <w:rPr>
          <w:rFonts w:ascii="Century Gothic" w:hAnsi="Century Gothic"/>
          <w:sz w:val="24"/>
          <w:szCs w:val="24"/>
        </w:rPr>
        <w:t>ce</w:t>
      </w:r>
      <w:r w:rsidR="00AF6589" w:rsidRPr="006E7891">
        <w:rPr>
          <w:rFonts w:ascii="Century Gothic" w:hAnsi="Century Gothic"/>
          <w:sz w:val="24"/>
          <w:szCs w:val="24"/>
        </w:rPr>
        <w:t xml:space="preserve"> la situación final de  las mismas</w:t>
      </w:r>
      <w:r w:rsidR="00774C6E" w:rsidRPr="006E7891">
        <w:rPr>
          <w:rFonts w:ascii="Century Gothic" w:hAnsi="Century Gothic"/>
          <w:sz w:val="24"/>
          <w:szCs w:val="24"/>
        </w:rPr>
        <w:t>.</w:t>
      </w:r>
      <w:r w:rsidR="00AF6589" w:rsidRPr="006E7891">
        <w:rPr>
          <w:rFonts w:ascii="Century Gothic" w:hAnsi="Century Gothic"/>
          <w:sz w:val="24"/>
          <w:szCs w:val="24"/>
        </w:rPr>
        <w:t xml:space="preserve">  </w:t>
      </w:r>
    </w:p>
    <w:p w14:paraId="1E89FB4A" w14:textId="77777777" w:rsidR="00B7596E" w:rsidRPr="006E7891" w:rsidRDefault="00B7596E" w:rsidP="00B7596E">
      <w:pPr>
        <w:spacing w:line="240" w:lineRule="atLeast"/>
        <w:ind w:left="125"/>
        <w:jc w:val="both"/>
        <w:rPr>
          <w:rFonts w:ascii="Century Gothic" w:hAnsi="Century Gothic"/>
          <w:sz w:val="24"/>
          <w:szCs w:val="24"/>
        </w:rPr>
      </w:pPr>
    </w:p>
    <w:p w14:paraId="5684AC03" w14:textId="1DEF019F" w:rsidR="00843EE4" w:rsidRPr="006E7891" w:rsidRDefault="00774C6E" w:rsidP="00882609">
      <w:pPr>
        <w:spacing w:line="360" w:lineRule="auto"/>
        <w:ind w:left="137"/>
        <w:jc w:val="both"/>
        <w:rPr>
          <w:rFonts w:ascii="Century Gothic" w:hAnsi="Century Gothic"/>
          <w:sz w:val="24"/>
          <w:szCs w:val="24"/>
        </w:rPr>
      </w:pPr>
      <w:r w:rsidRPr="006E7891">
        <w:rPr>
          <w:rFonts w:ascii="Century Gothic" w:hAnsi="Century Gothic"/>
          <w:sz w:val="24"/>
          <w:szCs w:val="24"/>
        </w:rPr>
        <w:t>Evidentemente que esta situación es grave, ya que, de 298 recomendaciones emitidas, 248 se encuentra</w:t>
      </w:r>
      <w:r w:rsidR="00A41972" w:rsidRPr="006E7891">
        <w:rPr>
          <w:rFonts w:ascii="Century Gothic" w:hAnsi="Century Gothic"/>
          <w:sz w:val="24"/>
          <w:szCs w:val="24"/>
        </w:rPr>
        <w:t>n</w:t>
      </w:r>
      <w:r w:rsidRPr="006E7891">
        <w:rPr>
          <w:rFonts w:ascii="Century Gothic" w:hAnsi="Century Gothic"/>
          <w:sz w:val="24"/>
          <w:szCs w:val="24"/>
        </w:rPr>
        <w:t xml:space="preserve"> entre </w:t>
      </w:r>
      <w:r w:rsidR="00A41972" w:rsidRPr="006E7891">
        <w:rPr>
          <w:rFonts w:ascii="Century Gothic" w:hAnsi="Century Gothic"/>
          <w:b/>
          <w:caps/>
        </w:rPr>
        <w:t>ACEPTADAS,</w:t>
      </w:r>
      <w:r w:rsidRPr="006E7891">
        <w:rPr>
          <w:rFonts w:ascii="Century Gothic" w:hAnsi="Century Gothic"/>
          <w:b/>
          <w:caps/>
        </w:rPr>
        <w:t xml:space="preserve"> pero sin cumplir</w:t>
      </w:r>
      <w:r w:rsidRPr="006E7891">
        <w:rPr>
          <w:rFonts w:ascii="Century Gothic" w:hAnsi="Century Gothic"/>
          <w:sz w:val="24"/>
          <w:szCs w:val="24"/>
        </w:rPr>
        <w:t xml:space="preserve"> o </w:t>
      </w:r>
      <w:r w:rsidR="000E3932" w:rsidRPr="006E7891">
        <w:rPr>
          <w:rFonts w:ascii="Century Gothic" w:hAnsi="Century Gothic"/>
          <w:sz w:val="24"/>
          <w:szCs w:val="24"/>
        </w:rPr>
        <w:t>simplemente</w:t>
      </w:r>
      <w:r w:rsidRPr="006E7891">
        <w:rPr>
          <w:rFonts w:ascii="Century Gothic" w:hAnsi="Century Gothic"/>
          <w:sz w:val="24"/>
          <w:szCs w:val="24"/>
        </w:rPr>
        <w:t xml:space="preserve"> </w:t>
      </w:r>
      <w:r w:rsidRPr="006E7891">
        <w:rPr>
          <w:rFonts w:ascii="Century Gothic" w:hAnsi="Century Gothic"/>
          <w:b/>
          <w:caps/>
        </w:rPr>
        <w:t>no aceptadas</w:t>
      </w:r>
      <w:r w:rsidRPr="006E7891">
        <w:rPr>
          <w:rFonts w:ascii="Century Gothic" w:hAnsi="Century Gothic"/>
          <w:sz w:val="24"/>
          <w:szCs w:val="24"/>
        </w:rPr>
        <w:t>, lo que representa un 83.1 % de</w:t>
      </w:r>
      <w:r w:rsidR="00C00342">
        <w:rPr>
          <w:rFonts w:ascii="Century Gothic" w:hAnsi="Century Gothic"/>
          <w:sz w:val="24"/>
          <w:szCs w:val="24"/>
        </w:rPr>
        <w:t>l</w:t>
      </w:r>
      <w:r w:rsidRPr="006E7891">
        <w:rPr>
          <w:rFonts w:ascii="Century Gothic" w:hAnsi="Century Gothic"/>
          <w:sz w:val="24"/>
          <w:szCs w:val="24"/>
        </w:rPr>
        <w:t xml:space="preserve"> total de las recomendaciones emitidas</w:t>
      </w:r>
      <w:r w:rsidR="000E3932" w:rsidRPr="006E7891">
        <w:rPr>
          <w:rFonts w:ascii="Century Gothic" w:hAnsi="Century Gothic"/>
          <w:sz w:val="24"/>
          <w:szCs w:val="24"/>
        </w:rPr>
        <w:t xml:space="preserve">, y el resto distribuidas entre aceptas y cumplidas o impugnadas, </w:t>
      </w:r>
      <w:r w:rsidRPr="006E7891">
        <w:rPr>
          <w:rFonts w:ascii="Century Gothic" w:hAnsi="Century Gothic"/>
          <w:sz w:val="24"/>
          <w:szCs w:val="24"/>
        </w:rPr>
        <w:t>p</w:t>
      </w:r>
      <w:r w:rsidR="00564013" w:rsidRPr="006E7891">
        <w:rPr>
          <w:rFonts w:ascii="Century Gothic" w:hAnsi="Century Gothic"/>
          <w:sz w:val="24"/>
          <w:szCs w:val="24"/>
        </w:rPr>
        <w:t xml:space="preserve">resentándose esta problemática como a continuación se detalla cronológicamente, según los datos obtenidos del portal oficial de la Comisión Estatal de </w:t>
      </w:r>
      <w:r w:rsidR="00515F40" w:rsidRPr="006E7891">
        <w:rPr>
          <w:rFonts w:ascii="Century Gothic" w:hAnsi="Century Gothic"/>
          <w:sz w:val="24"/>
          <w:szCs w:val="24"/>
        </w:rPr>
        <w:t xml:space="preserve">los </w:t>
      </w:r>
      <w:r w:rsidR="00564013" w:rsidRPr="006E7891">
        <w:rPr>
          <w:rFonts w:ascii="Century Gothic" w:hAnsi="Century Gothic"/>
          <w:sz w:val="24"/>
          <w:szCs w:val="24"/>
        </w:rPr>
        <w:t>Derechos Humanos.</w:t>
      </w:r>
    </w:p>
    <w:p w14:paraId="26BEF2FB" w14:textId="2A542A27" w:rsidR="004C5A91" w:rsidRPr="006E7891" w:rsidRDefault="004C5A91" w:rsidP="001013CB">
      <w:pPr>
        <w:jc w:val="both"/>
        <w:rPr>
          <w:rFonts w:ascii="Century Gothic" w:hAnsi="Century Gothic" w:cs="Arial"/>
          <w:i/>
          <w:caps/>
        </w:rPr>
      </w:pPr>
      <w:r w:rsidRPr="006E7891">
        <w:rPr>
          <w:rFonts w:ascii="Century Gothic" w:hAnsi="Century Gothic" w:cs="Arial"/>
          <w:b/>
          <w:i/>
          <w:caps/>
        </w:rPr>
        <w:t>AÑO 2017:</w:t>
      </w:r>
      <w:r w:rsidRPr="006E7891">
        <w:rPr>
          <w:rFonts w:ascii="Century Gothic" w:hAnsi="Century Gothic" w:cs="Arial"/>
          <w:i/>
          <w:caps/>
        </w:rPr>
        <w:t xml:space="preserve"> </w:t>
      </w:r>
      <w:r w:rsidRPr="006E7891">
        <w:rPr>
          <w:rFonts w:ascii="Century Gothic" w:hAnsi="Century Gothic" w:cs="Arial"/>
          <w:b/>
          <w:i/>
          <w:caps/>
          <w:u w:val="single"/>
        </w:rPr>
        <w:t>70 Recomendaciones en total emitidas</w:t>
      </w:r>
      <w:r w:rsidRPr="006E7891">
        <w:rPr>
          <w:rFonts w:ascii="Century Gothic" w:hAnsi="Century Gothic" w:cs="Arial"/>
          <w:i/>
          <w:caps/>
        </w:rPr>
        <w:t xml:space="preserve">; </w:t>
      </w:r>
      <w:r w:rsidRPr="006E7891">
        <w:rPr>
          <w:rFonts w:ascii="Century Gothic" w:hAnsi="Century Gothic" w:cs="Arial"/>
          <w:i/>
        </w:rPr>
        <w:t>De las cuales</w:t>
      </w:r>
      <w:r w:rsidRPr="006E7891">
        <w:rPr>
          <w:rFonts w:ascii="Century Gothic" w:hAnsi="Century Gothic" w:cs="Arial"/>
          <w:i/>
          <w:caps/>
        </w:rPr>
        <w:t xml:space="preserve"> 51 </w:t>
      </w:r>
      <w:r w:rsidRPr="006E7891">
        <w:rPr>
          <w:rFonts w:ascii="Century Gothic" w:hAnsi="Century Gothic" w:cs="Arial"/>
          <w:i/>
        </w:rPr>
        <w:t>fueron</w:t>
      </w:r>
      <w:r w:rsidR="001013CB" w:rsidRPr="006E7891">
        <w:rPr>
          <w:rFonts w:ascii="Century Gothic" w:hAnsi="Century Gothic" w:cs="Arial"/>
          <w:i/>
          <w:caps/>
        </w:rPr>
        <w:t xml:space="preserve"> </w:t>
      </w:r>
      <w:r w:rsidRPr="006E7891">
        <w:rPr>
          <w:rFonts w:ascii="Century Gothic" w:hAnsi="Century Gothic" w:cs="Arial"/>
          <w:i/>
          <w:caps/>
        </w:rPr>
        <w:t>ACEPTADAS Y no SE HAN CUMPLIDO; U</w:t>
      </w:r>
      <w:r w:rsidRPr="006E7891">
        <w:rPr>
          <w:rFonts w:ascii="Century Gothic" w:hAnsi="Century Gothic" w:cs="Arial"/>
          <w:i/>
        </w:rPr>
        <w:t xml:space="preserve">na fue </w:t>
      </w:r>
      <w:r w:rsidRPr="006E7891">
        <w:rPr>
          <w:rFonts w:ascii="Century Gothic" w:hAnsi="Century Gothic" w:cs="Arial"/>
          <w:i/>
          <w:caps/>
        </w:rPr>
        <w:t xml:space="preserve">IMPUGNADA </w:t>
      </w:r>
      <w:r w:rsidRPr="006E7891">
        <w:rPr>
          <w:rFonts w:ascii="Century Gothic" w:hAnsi="Century Gothic" w:cs="Arial"/>
          <w:i/>
        </w:rPr>
        <w:t>sin saber en qué</w:t>
      </w:r>
      <w:r w:rsidR="001013CB" w:rsidRPr="006E7891">
        <w:rPr>
          <w:rFonts w:ascii="Century Gothic" w:hAnsi="Century Gothic" w:cs="Arial"/>
          <w:i/>
        </w:rPr>
        <w:t xml:space="preserve"> </w:t>
      </w:r>
      <w:r w:rsidRPr="006E7891">
        <w:rPr>
          <w:rFonts w:ascii="Century Gothic" w:hAnsi="Century Gothic" w:cs="Arial"/>
          <w:i/>
        </w:rPr>
        <w:t>termino;</w:t>
      </w:r>
      <w:r w:rsidRPr="006E7891">
        <w:rPr>
          <w:rFonts w:ascii="Century Gothic" w:hAnsi="Century Gothic" w:cs="Arial"/>
          <w:i/>
          <w:caps/>
        </w:rPr>
        <w:t xml:space="preserve"> 11 NO fueron ACEPTAdas</w:t>
      </w:r>
      <w:r w:rsidR="001013CB" w:rsidRPr="006E7891">
        <w:rPr>
          <w:rFonts w:ascii="Century Gothic" w:hAnsi="Century Gothic" w:cs="Arial"/>
          <w:i/>
          <w:caps/>
        </w:rPr>
        <w:t xml:space="preserve"> y</w:t>
      </w:r>
      <w:r w:rsidRPr="006E7891">
        <w:rPr>
          <w:rFonts w:ascii="Century Gothic" w:hAnsi="Century Gothic" w:cs="Arial"/>
          <w:i/>
          <w:caps/>
        </w:rPr>
        <w:t xml:space="preserve"> </w:t>
      </w:r>
      <w:r w:rsidRPr="006E7891">
        <w:rPr>
          <w:rFonts w:ascii="Century Gothic" w:hAnsi="Century Gothic" w:cs="Arial"/>
          <w:i/>
        </w:rPr>
        <w:t xml:space="preserve">Solo </w:t>
      </w:r>
      <w:r w:rsidRPr="006E7891">
        <w:rPr>
          <w:rFonts w:ascii="Century Gothic" w:hAnsi="Century Gothic" w:cs="Arial"/>
          <w:i/>
          <w:caps/>
        </w:rPr>
        <w:t>7 SE HAN CUMPLIDO.</w:t>
      </w:r>
    </w:p>
    <w:p w14:paraId="69501B21" w14:textId="751DF000" w:rsidR="004C5A91" w:rsidRPr="006E7891" w:rsidRDefault="004C5A91" w:rsidP="004C5A91">
      <w:pPr>
        <w:spacing w:line="240" w:lineRule="auto"/>
        <w:jc w:val="both"/>
        <w:rPr>
          <w:rFonts w:ascii="Century Gothic" w:hAnsi="Century Gothic" w:cs="Arial"/>
          <w:i/>
          <w:caps/>
        </w:rPr>
      </w:pPr>
      <w:r w:rsidRPr="006E7891">
        <w:rPr>
          <w:rFonts w:ascii="Century Gothic" w:hAnsi="Century Gothic" w:cs="Arial"/>
          <w:b/>
          <w:i/>
          <w:caps/>
        </w:rPr>
        <w:t>AÑO 2018:</w:t>
      </w:r>
      <w:r w:rsidRPr="006E7891">
        <w:rPr>
          <w:rFonts w:ascii="Century Gothic" w:hAnsi="Century Gothic" w:cs="Arial"/>
          <w:i/>
          <w:caps/>
        </w:rPr>
        <w:t xml:space="preserve"> </w:t>
      </w:r>
      <w:r w:rsidRPr="006E7891">
        <w:rPr>
          <w:rFonts w:ascii="Century Gothic" w:hAnsi="Century Gothic" w:cs="Arial"/>
          <w:b/>
          <w:i/>
          <w:caps/>
          <w:u w:val="single"/>
        </w:rPr>
        <w:t>96 Recomendaciones en total emitidas</w:t>
      </w:r>
      <w:r w:rsidRPr="006E7891">
        <w:rPr>
          <w:rFonts w:ascii="Century Gothic" w:hAnsi="Century Gothic" w:cs="Arial"/>
          <w:i/>
          <w:caps/>
        </w:rPr>
        <w:t xml:space="preserve">; </w:t>
      </w:r>
      <w:r w:rsidRPr="006E7891">
        <w:rPr>
          <w:rFonts w:ascii="Century Gothic" w:hAnsi="Century Gothic" w:cs="Arial"/>
          <w:i/>
        </w:rPr>
        <w:t>De las cuales</w:t>
      </w:r>
      <w:r w:rsidRPr="006E7891">
        <w:rPr>
          <w:rFonts w:ascii="Century Gothic" w:hAnsi="Century Gothic" w:cs="Arial"/>
          <w:i/>
          <w:caps/>
        </w:rPr>
        <w:t xml:space="preserve"> 80 </w:t>
      </w:r>
      <w:r w:rsidRPr="006E7891">
        <w:rPr>
          <w:rFonts w:ascii="Century Gothic" w:hAnsi="Century Gothic" w:cs="Arial"/>
          <w:i/>
        </w:rPr>
        <w:t>fueron</w:t>
      </w:r>
      <w:r w:rsidRPr="006E7891">
        <w:rPr>
          <w:rFonts w:ascii="Century Gothic" w:hAnsi="Century Gothic" w:cs="Arial"/>
          <w:i/>
          <w:caps/>
        </w:rPr>
        <w:t xml:space="preserve"> ACEPTADAS Y no SE HAN CUMPLIDO; Dos </w:t>
      </w:r>
      <w:r w:rsidRPr="006E7891">
        <w:rPr>
          <w:rFonts w:ascii="Century Gothic" w:hAnsi="Century Gothic" w:cs="Arial"/>
          <w:i/>
        </w:rPr>
        <w:t xml:space="preserve">fueron </w:t>
      </w:r>
      <w:r w:rsidRPr="006E7891">
        <w:rPr>
          <w:rFonts w:ascii="Century Gothic" w:hAnsi="Century Gothic" w:cs="Arial"/>
          <w:i/>
          <w:caps/>
        </w:rPr>
        <w:t>IMPUGNADA</w:t>
      </w:r>
      <w:r w:rsidR="00C00342">
        <w:rPr>
          <w:rFonts w:ascii="Century Gothic" w:hAnsi="Century Gothic" w:cs="Arial"/>
          <w:i/>
          <w:caps/>
        </w:rPr>
        <w:t>S</w:t>
      </w:r>
      <w:r w:rsidRPr="006E7891">
        <w:rPr>
          <w:rFonts w:ascii="Century Gothic" w:hAnsi="Century Gothic" w:cs="Arial"/>
          <w:i/>
          <w:caps/>
        </w:rPr>
        <w:t xml:space="preserve"> </w:t>
      </w:r>
      <w:r w:rsidRPr="006E7891">
        <w:rPr>
          <w:rFonts w:ascii="Century Gothic" w:hAnsi="Century Gothic" w:cs="Arial"/>
          <w:i/>
        </w:rPr>
        <w:t>sin saber en qué terminaron;</w:t>
      </w:r>
      <w:r w:rsidRPr="006E7891">
        <w:rPr>
          <w:rFonts w:ascii="Century Gothic" w:hAnsi="Century Gothic" w:cs="Arial"/>
          <w:i/>
          <w:caps/>
        </w:rPr>
        <w:t xml:space="preserve"> 11 NO fueron ACEPTAdas Y </w:t>
      </w:r>
      <w:r w:rsidRPr="006E7891">
        <w:rPr>
          <w:rFonts w:ascii="Century Gothic" w:hAnsi="Century Gothic" w:cs="Arial"/>
          <w:i/>
        </w:rPr>
        <w:t>Solo 3</w:t>
      </w:r>
      <w:r w:rsidRPr="006E7891">
        <w:rPr>
          <w:rFonts w:ascii="Century Gothic" w:hAnsi="Century Gothic" w:cs="Arial"/>
          <w:i/>
          <w:caps/>
        </w:rPr>
        <w:t xml:space="preserve"> SE HAN CUMPLIDO.</w:t>
      </w:r>
    </w:p>
    <w:p w14:paraId="121D14B4" w14:textId="3C52BC38" w:rsidR="004C5A91" w:rsidRPr="006E7891" w:rsidRDefault="004C5A91" w:rsidP="004C5A91">
      <w:pPr>
        <w:spacing w:line="240" w:lineRule="auto"/>
        <w:jc w:val="both"/>
        <w:rPr>
          <w:rFonts w:ascii="Century Gothic" w:hAnsi="Century Gothic" w:cs="Arial"/>
          <w:i/>
          <w:caps/>
        </w:rPr>
      </w:pPr>
      <w:r w:rsidRPr="006E7891">
        <w:rPr>
          <w:rFonts w:ascii="Century Gothic" w:hAnsi="Century Gothic" w:cs="Arial"/>
          <w:b/>
          <w:i/>
          <w:caps/>
        </w:rPr>
        <w:t>AÑO 2019:</w:t>
      </w:r>
      <w:r w:rsidRPr="006E7891">
        <w:rPr>
          <w:rFonts w:ascii="Century Gothic" w:hAnsi="Century Gothic" w:cs="Arial"/>
          <w:i/>
          <w:caps/>
        </w:rPr>
        <w:t xml:space="preserve"> </w:t>
      </w:r>
      <w:r w:rsidRPr="006E7891">
        <w:rPr>
          <w:rFonts w:ascii="Century Gothic" w:hAnsi="Century Gothic" w:cs="Arial"/>
          <w:b/>
          <w:i/>
          <w:caps/>
          <w:u w:val="single"/>
        </w:rPr>
        <w:t>54 Recomendaciones en total emitidas</w:t>
      </w:r>
      <w:r w:rsidRPr="006E7891">
        <w:rPr>
          <w:rFonts w:ascii="Century Gothic" w:hAnsi="Century Gothic" w:cs="Arial"/>
          <w:i/>
          <w:caps/>
        </w:rPr>
        <w:t xml:space="preserve">; </w:t>
      </w:r>
      <w:r w:rsidRPr="006E7891">
        <w:rPr>
          <w:rFonts w:ascii="Century Gothic" w:hAnsi="Century Gothic" w:cs="Arial"/>
          <w:i/>
        </w:rPr>
        <w:t>De las cuales</w:t>
      </w:r>
      <w:r w:rsidRPr="006E7891">
        <w:rPr>
          <w:rFonts w:ascii="Century Gothic" w:hAnsi="Century Gothic" w:cs="Arial"/>
          <w:i/>
          <w:caps/>
        </w:rPr>
        <w:t xml:space="preserve"> 31 </w:t>
      </w:r>
      <w:r w:rsidRPr="006E7891">
        <w:rPr>
          <w:rFonts w:ascii="Century Gothic" w:hAnsi="Century Gothic" w:cs="Arial"/>
          <w:i/>
        </w:rPr>
        <w:t>fueron</w:t>
      </w:r>
      <w:r w:rsidRPr="006E7891">
        <w:rPr>
          <w:rFonts w:ascii="Century Gothic" w:hAnsi="Century Gothic" w:cs="Arial"/>
          <w:i/>
          <w:caps/>
        </w:rPr>
        <w:t xml:space="preserve"> ACEPTADAS Y no SE HAN CUMPLIDO; </w:t>
      </w:r>
      <w:r w:rsidRPr="006E7891">
        <w:rPr>
          <w:rFonts w:ascii="Century Gothic" w:hAnsi="Century Gothic" w:cs="Arial"/>
          <w:i/>
        </w:rPr>
        <w:t xml:space="preserve">Siete fueron </w:t>
      </w:r>
      <w:r w:rsidRPr="006E7891">
        <w:rPr>
          <w:rFonts w:ascii="Century Gothic" w:hAnsi="Century Gothic" w:cs="Arial"/>
          <w:i/>
          <w:caps/>
        </w:rPr>
        <w:t>IMPUGNADA</w:t>
      </w:r>
      <w:r w:rsidR="009C0465">
        <w:rPr>
          <w:rFonts w:ascii="Century Gothic" w:hAnsi="Century Gothic" w:cs="Arial"/>
          <w:i/>
          <w:caps/>
        </w:rPr>
        <w:t>S</w:t>
      </w:r>
      <w:r w:rsidRPr="006E7891">
        <w:rPr>
          <w:rFonts w:ascii="Century Gothic" w:hAnsi="Century Gothic" w:cs="Arial"/>
          <w:i/>
          <w:caps/>
        </w:rPr>
        <w:t xml:space="preserve"> </w:t>
      </w:r>
      <w:r w:rsidRPr="006E7891">
        <w:rPr>
          <w:rFonts w:ascii="Century Gothic" w:hAnsi="Century Gothic" w:cs="Arial"/>
          <w:i/>
        </w:rPr>
        <w:t>sin saber en qué terminaron;</w:t>
      </w:r>
      <w:r w:rsidRPr="006E7891">
        <w:rPr>
          <w:rFonts w:ascii="Century Gothic" w:hAnsi="Century Gothic" w:cs="Arial"/>
          <w:i/>
          <w:caps/>
        </w:rPr>
        <w:t xml:space="preserve"> 12 NO fueron ACEPTAdas Y </w:t>
      </w:r>
      <w:r w:rsidRPr="006E7891">
        <w:rPr>
          <w:rFonts w:ascii="Century Gothic" w:hAnsi="Century Gothic" w:cs="Arial"/>
          <w:i/>
        </w:rPr>
        <w:t>Solo 6</w:t>
      </w:r>
      <w:r w:rsidRPr="006E7891">
        <w:rPr>
          <w:rFonts w:ascii="Century Gothic" w:hAnsi="Century Gothic" w:cs="Arial"/>
          <w:i/>
          <w:caps/>
        </w:rPr>
        <w:t xml:space="preserve"> SE HAN CUMPLIDO.</w:t>
      </w:r>
    </w:p>
    <w:p w14:paraId="7798D340" w14:textId="6BD9C79C" w:rsidR="004C5A91" w:rsidRPr="006E7891" w:rsidRDefault="004C5A91" w:rsidP="004C5A91">
      <w:pPr>
        <w:spacing w:line="240" w:lineRule="auto"/>
        <w:jc w:val="both"/>
        <w:rPr>
          <w:rFonts w:ascii="Arial" w:hAnsi="Arial" w:cs="Arial"/>
          <w:i/>
          <w:caps/>
          <w:sz w:val="24"/>
          <w:szCs w:val="24"/>
        </w:rPr>
      </w:pPr>
      <w:r w:rsidRPr="006E7891">
        <w:rPr>
          <w:rFonts w:ascii="Arial" w:hAnsi="Arial" w:cs="Arial"/>
          <w:i/>
          <w:caps/>
        </w:rPr>
        <w:t xml:space="preserve"> </w:t>
      </w:r>
      <w:r w:rsidRPr="006E7891">
        <w:rPr>
          <w:rFonts w:ascii="Century Gothic" w:hAnsi="Century Gothic" w:cs="Arial"/>
          <w:b/>
          <w:i/>
          <w:caps/>
        </w:rPr>
        <w:t>AÑO 2020:</w:t>
      </w:r>
      <w:r w:rsidRPr="006E7891">
        <w:rPr>
          <w:rFonts w:ascii="Century Gothic" w:hAnsi="Century Gothic" w:cs="Arial"/>
          <w:i/>
          <w:caps/>
        </w:rPr>
        <w:t xml:space="preserve"> </w:t>
      </w:r>
      <w:r w:rsidRPr="006E7891">
        <w:rPr>
          <w:rFonts w:ascii="Century Gothic" w:hAnsi="Century Gothic" w:cs="Arial"/>
          <w:b/>
          <w:i/>
          <w:caps/>
          <w:u w:val="single"/>
        </w:rPr>
        <w:t>52 Recomendaciones en total emitidas</w:t>
      </w:r>
      <w:r w:rsidRPr="006E7891">
        <w:rPr>
          <w:rFonts w:ascii="Century Gothic" w:hAnsi="Century Gothic" w:cs="Arial"/>
          <w:i/>
          <w:caps/>
        </w:rPr>
        <w:t xml:space="preserve">; </w:t>
      </w:r>
      <w:r w:rsidRPr="006E7891">
        <w:rPr>
          <w:rFonts w:ascii="Century Gothic" w:hAnsi="Century Gothic" w:cs="Arial"/>
          <w:i/>
        </w:rPr>
        <w:t>De las cuales</w:t>
      </w:r>
      <w:r w:rsidRPr="006E7891">
        <w:rPr>
          <w:rFonts w:ascii="Century Gothic" w:hAnsi="Century Gothic" w:cs="Arial"/>
          <w:i/>
          <w:caps/>
        </w:rPr>
        <w:t xml:space="preserve"> 14 </w:t>
      </w:r>
      <w:r w:rsidRPr="006E7891">
        <w:rPr>
          <w:rFonts w:ascii="Century Gothic" w:hAnsi="Century Gothic" w:cs="Arial"/>
          <w:i/>
        </w:rPr>
        <w:t>fueron</w:t>
      </w:r>
      <w:r w:rsidRPr="006E7891">
        <w:rPr>
          <w:rFonts w:ascii="Century Gothic" w:hAnsi="Century Gothic" w:cs="Arial"/>
          <w:i/>
          <w:caps/>
        </w:rPr>
        <w:t xml:space="preserve"> ACEPTADAS Y no SE HAN CUMPLIDO; 29 </w:t>
      </w:r>
      <w:r w:rsidRPr="006E7891">
        <w:rPr>
          <w:rFonts w:ascii="Century Gothic" w:hAnsi="Century Gothic" w:cs="Arial"/>
          <w:i/>
        </w:rPr>
        <w:t>aparentemente aceptadas</w:t>
      </w:r>
      <w:r w:rsidRPr="006E7891">
        <w:rPr>
          <w:rFonts w:ascii="Century Gothic" w:hAnsi="Century Gothic" w:cs="Arial"/>
          <w:i/>
          <w:caps/>
        </w:rPr>
        <w:t xml:space="preserve"> </w:t>
      </w:r>
      <w:r w:rsidRPr="006E7891">
        <w:rPr>
          <w:rFonts w:ascii="Century Gothic" w:hAnsi="Century Gothic" w:cs="Arial"/>
          <w:i/>
        </w:rPr>
        <w:t>SIN contestar</w:t>
      </w:r>
      <w:r w:rsidR="001013CB" w:rsidRPr="006E7891">
        <w:rPr>
          <w:rFonts w:ascii="Century Gothic" w:hAnsi="Century Gothic" w:cs="Arial"/>
          <w:i/>
        </w:rPr>
        <w:t>;</w:t>
      </w:r>
      <w:r w:rsidRPr="006E7891">
        <w:rPr>
          <w:rFonts w:ascii="Century Gothic" w:hAnsi="Century Gothic" w:cs="Arial"/>
          <w:i/>
          <w:caps/>
        </w:rPr>
        <w:t xml:space="preserve"> </w:t>
      </w:r>
      <w:r w:rsidRPr="006E7891">
        <w:rPr>
          <w:rFonts w:ascii="Century Gothic" w:hAnsi="Century Gothic" w:cs="Arial"/>
          <w:i/>
        </w:rPr>
        <w:t>Una</w:t>
      </w:r>
      <w:r w:rsidRPr="006E7891">
        <w:rPr>
          <w:rFonts w:ascii="Century Gothic" w:hAnsi="Century Gothic" w:cs="Arial"/>
          <w:i/>
          <w:caps/>
        </w:rPr>
        <w:t xml:space="preserve"> </w:t>
      </w:r>
      <w:r w:rsidRPr="006E7891">
        <w:rPr>
          <w:rFonts w:ascii="Century Gothic" w:hAnsi="Century Gothic" w:cs="Arial"/>
          <w:i/>
        </w:rPr>
        <w:t xml:space="preserve">fue </w:t>
      </w:r>
      <w:r w:rsidRPr="006E7891">
        <w:rPr>
          <w:rFonts w:ascii="Century Gothic" w:hAnsi="Century Gothic" w:cs="Arial"/>
          <w:i/>
          <w:caps/>
        </w:rPr>
        <w:t xml:space="preserve">IMPUGNADA </w:t>
      </w:r>
      <w:r w:rsidRPr="006E7891">
        <w:rPr>
          <w:rFonts w:ascii="Century Gothic" w:hAnsi="Century Gothic" w:cs="Arial"/>
          <w:i/>
        </w:rPr>
        <w:t>sin saber en qué termino;</w:t>
      </w:r>
      <w:r w:rsidRPr="006E7891">
        <w:rPr>
          <w:rFonts w:ascii="Century Gothic" w:hAnsi="Century Gothic" w:cs="Arial"/>
          <w:i/>
          <w:caps/>
        </w:rPr>
        <w:t xml:space="preserve"> 12 NO fueron ACEPTAdas Y </w:t>
      </w:r>
      <w:r w:rsidRPr="006E7891">
        <w:rPr>
          <w:rFonts w:ascii="Century Gothic" w:hAnsi="Century Gothic" w:cs="Arial"/>
          <w:i/>
        </w:rPr>
        <w:t>Solo 7</w:t>
      </w:r>
      <w:r w:rsidRPr="006E7891">
        <w:rPr>
          <w:rFonts w:ascii="Century Gothic" w:hAnsi="Century Gothic" w:cs="Arial"/>
          <w:i/>
          <w:caps/>
        </w:rPr>
        <w:t xml:space="preserve"> SE HAN CUMPLIDO</w:t>
      </w:r>
      <w:r w:rsidR="001013CB" w:rsidRPr="006E7891">
        <w:rPr>
          <w:rFonts w:ascii="Century Gothic" w:hAnsi="Century Gothic" w:cs="Arial"/>
          <w:i/>
          <w:caps/>
        </w:rPr>
        <w:t>.</w:t>
      </w:r>
    </w:p>
    <w:p w14:paraId="72F51745" w14:textId="7936DB56" w:rsidR="004C5A91" w:rsidRPr="007172E3" w:rsidRDefault="004C5A91" w:rsidP="006C77BF">
      <w:pPr>
        <w:spacing w:line="240" w:lineRule="auto"/>
        <w:jc w:val="both"/>
        <w:rPr>
          <w:rFonts w:ascii="Century Gothic" w:hAnsi="Century Gothic" w:cs="Arial"/>
          <w:i/>
        </w:rPr>
      </w:pPr>
      <w:r w:rsidRPr="006E7891">
        <w:rPr>
          <w:rFonts w:ascii="Century Gothic" w:hAnsi="Century Gothic" w:cs="Arial"/>
          <w:b/>
          <w:i/>
          <w:caps/>
        </w:rPr>
        <w:t xml:space="preserve">AÑO 2021 (9 ½ </w:t>
      </w:r>
      <w:r w:rsidR="00B679AE" w:rsidRPr="006E7891">
        <w:rPr>
          <w:rFonts w:ascii="Century Gothic" w:hAnsi="Century Gothic" w:cs="Arial"/>
          <w:b/>
          <w:i/>
          <w:caps/>
        </w:rPr>
        <w:t xml:space="preserve">MESES): </w:t>
      </w:r>
      <w:r w:rsidRPr="006E7891">
        <w:rPr>
          <w:rFonts w:ascii="Century Gothic" w:hAnsi="Century Gothic" w:cs="Arial"/>
          <w:b/>
          <w:i/>
          <w:caps/>
          <w:u w:val="single"/>
        </w:rPr>
        <w:t>26 Recomendaciones en total e</w:t>
      </w:r>
      <w:r w:rsidRPr="007172E3">
        <w:rPr>
          <w:rFonts w:ascii="Century Gothic" w:hAnsi="Century Gothic" w:cs="Arial"/>
          <w:b/>
          <w:i/>
          <w:caps/>
          <w:u w:val="single"/>
        </w:rPr>
        <w:t>mitidas</w:t>
      </w:r>
      <w:r w:rsidRPr="007172E3">
        <w:rPr>
          <w:rFonts w:ascii="Century Gothic" w:hAnsi="Century Gothic" w:cs="Arial"/>
          <w:i/>
          <w:caps/>
        </w:rPr>
        <w:t xml:space="preserve">; </w:t>
      </w:r>
      <w:r w:rsidRPr="007172E3">
        <w:rPr>
          <w:rFonts w:ascii="Century Gothic" w:hAnsi="Century Gothic" w:cs="Arial"/>
          <w:i/>
        </w:rPr>
        <w:t>De las cuales</w:t>
      </w:r>
      <w:r w:rsidRPr="007172E3">
        <w:rPr>
          <w:rFonts w:ascii="Century Gothic" w:hAnsi="Century Gothic" w:cs="Arial"/>
          <w:i/>
          <w:caps/>
        </w:rPr>
        <w:t xml:space="preserve"> </w:t>
      </w:r>
      <w:r w:rsidRPr="007172E3">
        <w:rPr>
          <w:rFonts w:ascii="Century Gothic" w:hAnsi="Century Gothic" w:cs="Arial"/>
          <w:i/>
        </w:rPr>
        <w:t xml:space="preserve">todas al parecer aceptadas, sin </w:t>
      </w:r>
      <w:r w:rsidR="00B679AE" w:rsidRPr="007172E3">
        <w:rPr>
          <w:rFonts w:ascii="Century Gothic" w:hAnsi="Century Gothic" w:cs="Arial"/>
          <w:i/>
        </w:rPr>
        <w:t>contestar,</w:t>
      </w:r>
      <w:r w:rsidRPr="007172E3">
        <w:rPr>
          <w:rFonts w:ascii="Century Gothic" w:hAnsi="Century Gothic" w:cs="Arial"/>
          <w:i/>
        </w:rPr>
        <w:t xml:space="preserve"> pero con 0% de cumplimiento</w:t>
      </w:r>
      <w:r w:rsidR="001013CB" w:rsidRPr="007172E3">
        <w:rPr>
          <w:rFonts w:ascii="Century Gothic" w:hAnsi="Century Gothic" w:cs="Arial"/>
          <w:i/>
        </w:rPr>
        <w:t>.</w:t>
      </w:r>
      <w:r w:rsidRPr="007172E3">
        <w:rPr>
          <w:rFonts w:ascii="Century Gothic" w:hAnsi="Century Gothic" w:cs="Arial"/>
          <w:i/>
        </w:rPr>
        <w:t xml:space="preserve"> </w:t>
      </w:r>
    </w:p>
    <w:p w14:paraId="140F66F1" w14:textId="77777777" w:rsidR="00B679AE" w:rsidRPr="007172E3" w:rsidRDefault="00B679AE" w:rsidP="006305A7">
      <w:pPr>
        <w:spacing w:after="0" w:line="360" w:lineRule="auto"/>
        <w:ind w:right="5"/>
        <w:jc w:val="both"/>
        <w:rPr>
          <w:rFonts w:ascii="Century Gothic" w:hAnsi="Century Gothic"/>
          <w:sz w:val="24"/>
          <w:szCs w:val="24"/>
        </w:rPr>
      </w:pPr>
    </w:p>
    <w:p w14:paraId="16C1870E" w14:textId="5554AEA8" w:rsidR="004A1178" w:rsidRPr="007172E3" w:rsidRDefault="004A1178" w:rsidP="006305A7">
      <w:pPr>
        <w:spacing w:after="0" w:line="360" w:lineRule="auto"/>
        <w:ind w:right="5"/>
        <w:jc w:val="both"/>
        <w:rPr>
          <w:rFonts w:ascii="Century Gothic" w:hAnsi="Century Gothic"/>
          <w:sz w:val="24"/>
          <w:szCs w:val="24"/>
        </w:rPr>
      </w:pPr>
      <w:r w:rsidRPr="007172E3">
        <w:rPr>
          <w:rFonts w:ascii="Century Gothic" w:hAnsi="Century Gothic"/>
          <w:sz w:val="24"/>
          <w:szCs w:val="24"/>
        </w:rPr>
        <w:t xml:space="preserve">Las recomendaciones emitidas por la </w:t>
      </w:r>
      <w:r w:rsidR="008F359B" w:rsidRPr="007172E3">
        <w:rPr>
          <w:rFonts w:ascii="Century Gothic" w:hAnsi="Century Gothic"/>
          <w:sz w:val="24"/>
          <w:szCs w:val="24"/>
        </w:rPr>
        <w:t>Comisión Estatal de</w:t>
      </w:r>
      <w:r w:rsidR="00515F40" w:rsidRPr="007172E3">
        <w:rPr>
          <w:rFonts w:ascii="Century Gothic" w:hAnsi="Century Gothic"/>
          <w:sz w:val="24"/>
          <w:szCs w:val="24"/>
        </w:rPr>
        <w:t xml:space="preserve"> los</w:t>
      </w:r>
      <w:r w:rsidR="008F359B" w:rsidRPr="007172E3">
        <w:rPr>
          <w:rFonts w:ascii="Century Gothic" w:hAnsi="Century Gothic"/>
          <w:sz w:val="24"/>
          <w:szCs w:val="24"/>
        </w:rPr>
        <w:t xml:space="preserve"> Derechos Humanos,</w:t>
      </w:r>
      <w:r w:rsidRPr="007172E3">
        <w:rPr>
          <w:rFonts w:ascii="Century Gothic" w:hAnsi="Century Gothic"/>
          <w:sz w:val="24"/>
          <w:szCs w:val="24"/>
        </w:rPr>
        <w:t xml:space="preserve"> no sólo deben buscar restituir a una persona en el goce de sus derechos humanos afectados, sino </w:t>
      </w:r>
      <w:r w:rsidRPr="007172E3">
        <w:rPr>
          <w:rFonts w:ascii="Century Gothic" w:hAnsi="Century Gothic"/>
          <w:color w:val="333333"/>
          <w:sz w:val="24"/>
          <w:szCs w:val="24"/>
        </w:rPr>
        <w:t>también conservarlos</w:t>
      </w:r>
      <w:r w:rsidR="008F359B" w:rsidRPr="007172E3">
        <w:rPr>
          <w:rFonts w:ascii="Century Gothic" w:hAnsi="Century Gothic"/>
          <w:color w:val="333333"/>
          <w:sz w:val="24"/>
          <w:szCs w:val="24"/>
        </w:rPr>
        <w:t xml:space="preserve">, aunado a la reparación </w:t>
      </w:r>
      <w:r w:rsidR="00A63AC9" w:rsidRPr="007172E3">
        <w:rPr>
          <w:rFonts w:ascii="Century Gothic" w:hAnsi="Century Gothic"/>
          <w:color w:val="333333"/>
          <w:sz w:val="24"/>
          <w:szCs w:val="24"/>
        </w:rPr>
        <w:t xml:space="preserve">integral </w:t>
      </w:r>
      <w:r w:rsidR="008F359B" w:rsidRPr="007172E3">
        <w:rPr>
          <w:rFonts w:ascii="Century Gothic" w:hAnsi="Century Gothic"/>
          <w:color w:val="333333"/>
          <w:sz w:val="24"/>
          <w:szCs w:val="24"/>
        </w:rPr>
        <w:t>de los daños y perjuicios ocasionados</w:t>
      </w:r>
      <w:r w:rsidRPr="007172E3">
        <w:rPr>
          <w:rFonts w:ascii="Century Gothic" w:hAnsi="Century Gothic"/>
          <w:color w:val="333333"/>
          <w:sz w:val="24"/>
          <w:szCs w:val="24"/>
        </w:rPr>
        <w:t xml:space="preserve">, </w:t>
      </w:r>
      <w:r w:rsidRPr="007172E3">
        <w:rPr>
          <w:rFonts w:ascii="Century Gothic" w:hAnsi="Century Gothic"/>
          <w:sz w:val="24"/>
          <w:szCs w:val="24"/>
        </w:rPr>
        <w:t>con el fin de privilegiar un enfoque preventivo de la violación de los derechos fundamentales.</w:t>
      </w:r>
    </w:p>
    <w:p w14:paraId="1966F217" w14:textId="77777777" w:rsidR="004A1178" w:rsidRPr="007172E3" w:rsidRDefault="004A1178" w:rsidP="006305A7">
      <w:pPr>
        <w:spacing w:after="0" w:line="360" w:lineRule="auto"/>
        <w:jc w:val="both"/>
        <w:rPr>
          <w:rFonts w:ascii="Century Gothic" w:hAnsi="Century Gothic"/>
        </w:rPr>
      </w:pPr>
      <w:r w:rsidRPr="007172E3">
        <w:rPr>
          <w:rFonts w:ascii="Century Gothic" w:hAnsi="Century Gothic"/>
        </w:rPr>
        <w:t xml:space="preserve"> </w:t>
      </w:r>
    </w:p>
    <w:p w14:paraId="4A136D92" w14:textId="4287E439" w:rsidR="00C4783E" w:rsidRPr="007172E3" w:rsidRDefault="00C4783E" w:rsidP="001A2A19">
      <w:pPr>
        <w:pStyle w:val="Prrafodelista"/>
        <w:spacing w:line="360" w:lineRule="auto"/>
        <w:ind w:left="0"/>
        <w:contextualSpacing w:val="0"/>
        <w:jc w:val="both"/>
        <w:rPr>
          <w:rFonts w:ascii="Century Gothic" w:hAnsi="Century Gothic" w:cs="Arial"/>
          <w:sz w:val="24"/>
          <w:szCs w:val="24"/>
        </w:rPr>
      </w:pPr>
      <w:r w:rsidRPr="007172E3">
        <w:rPr>
          <w:rFonts w:ascii="Century Gothic" w:hAnsi="Century Gothic" w:cs="Arial"/>
          <w:sz w:val="24"/>
          <w:szCs w:val="24"/>
        </w:rPr>
        <w:t xml:space="preserve">Sin embargo, a pesar de la situación antes  descrita del estado en que se encuentran las recomendaciones emitidas del 2017 a la fecha, no existe recurso alguno que permita a las víctimas de violaciones a derechos humanos, inconformarse de las determinaciones adoptadas por el Presidente de la Comisión Estatal  de los Derechos Humanos y la autoridad responsable que incumple la recomendación aceptada, ya que él  artículo 45 de la Ley </w:t>
      </w:r>
      <w:r w:rsidR="00D00AB9">
        <w:rPr>
          <w:rFonts w:ascii="Century Gothic" w:hAnsi="Century Gothic" w:cs="Arial"/>
          <w:sz w:val="24"/>
          <w:szCs w:val="24"/>
        </w:rPr>
        <w:t xml:space="preserve">de </w:t>
      </w:r>
      <w:r w:rsidRPr="007172E3">
        <w:rPr>
          <w:rFonts w:ascii="Century Gothic" w:hAnsi="Century Gothic" w:cs="Arial"/>
          <w:sz w:val="24"/>
          <w:szCs w:val="24"/>
        </w:rPr>
        <w:t xml:space="preserve">la </w:t>
      </w:r>
      <w:r w:rsidR="00E50333" w:rsidRPr="007172E3">
        <w:rPr>
          <w:rFonts w:ascii="Century Gothic" w:hAnsi="Century Gothic" w:cs="Arial"/>
          <w:sz w:val="24"/>
          <w:szCs w:val="24"/>
        </w:rPr>
        <w:t>Comisión</w:t>
      </w:r>
      <w:r w:rsidRPr="007172E3">
        <w:rPr>
          <w:rFonts w:ascii="Century Gothic" w:hAnsi="Century Gothic" w:cs="Arial"/>
          <w:sz w:val="24"/>
          <w:szCs w:val="24"/>
        </w:rPr>
        <w:t xml:space="preserve"> Estatal de </w:t>
      </w:r>
      <w:r w:rsidR="001A2A19" w:rsidRPr="007172E3">
        <w:rPr>
          <w:rFonts w:ascii="Century Gothic" w:hAnsi="Century Gothic" w:cs="Arial"/>
          <w:sz w:val="24"/>
          <w:szCs w:val="24"/>
        </w:rPr>
        <w:t xml:space="preserve">los </w:t>
      </w:r>
      <w:r w:rsidRPr="007172E3">
        <w:rPr>
          <w:rFonts w:ascii="Century Gothic" w:hAnsi="Century Gothic" w:cs="Arial"/>
          <w:sz w:val="24"/>
          <w:szCs w:val="24"/>
        </w:rPr>
        <w:t>Derechos Humanos</w:t>
      </w:r>
      <w:r w:rsidR="008F359B" w:rsidRPr="007172E3">
        <w:rPr>
          <w:rFonts w:ascii="Century Gothic" w:hAnsi="Century Gothic" w:cs="Arial"/>
          <w:sz w:val="24"/>
          <w:szCs w:val="24"/>
        </w:rPr>
        <w:t>,</w:t>
      </w:r>
      <w:r w:rsidRPr="007172E3">
        <w:rPr>
          <w:rFonts w:ascii="Century Gothic" w:hAnsi="Century Gothic" w:cs="Arial"/>
          <w:sz w:val="24"/>
          <w:szCs w:val="24"/>
        </w:rPr>
        <w:t xml:space="preserve"> permite únicamente impugnar las recomendaciones, acuerdos, resoluciones, u omisiones de la Comisión Estatal de los Derechos Humanos ante la Comisión Nacional de los Derechos Humanos, conforme a lo dispuesto por el artículo 102, apartado B, de la Constitución Política de los Estados Unidos Mexicanos; </w:t>
      </w:r>
      <w:r w:rsidR="001A2A19" w:rsidRPr="007172E3">
        <w:rPr>
          <w:rFonts w:ascii="Century Gothic" w:hAnsi="Century Gothic" w:cs="Arial"/>
          <w:sz w:val="24"/>
          <w:szCs w:val="24"/>
        </w:rPr>
        <w:t xml:space="preserve">pero </w:t>
      </w:r>
      <w:r w:rsidRPr="007172E3">
        <w:rPr>
          <w:rFonts w:ascii="Century Gothic" w:hAnsi="Century Gothic" w:cs="Arial"/>
          <w:sz w:val="24"/>
          <w:szCs w:val="24"/>
        </w:rPr>
        <w:t>nada dice de las recomendaciones aceptadas y no cumplidas por la autoridad responsable, lo que además de que</w:t>
      </w:r>
      <w:r w:rsidR="00EF56F8">
        <w:rPr>
          <w:rFonts w:ascii="Century Gothic" w:hAnsi="Century Gothic" w:cs="Arial"/>
          <w:sz w:val="24"/>
          <w:szCs w:val="24"/>
        </w:rPr>
        <w:t>,</w:t>
      </w:r>
      <w:r w:rsidRPr="007172E3">
        <w:rPr>
          <w:rFonts w:ascii="Century Gothic" w:hAnsi="Century Gothic" w:cs="Arial"/>
          <w:sz w:val="24"/>
          <w:szCs w:val="24"/>
        </w:rPr>
        <w:t xml:space="preserve"> consideramos que es inconstitucional, deja a las víctimas en estado de indefensión, cerrando toda posibilidad de evaluar el contenido material y cumplimiento de las recomendaciones, encontrándonos fuera del ámbito del escrutinio legal, lo cual implica una violación al acceso efectivo a la justicia contenido en los artículos 8º y 25 de la Convención Americana sobre Derechos Humanos, a partir de la interpretación que de tales preceptos ha realizado la Corte Interamericana de Derechos Humanos</w:t>
      </w:r>
      <w:r w:rsidR="00FC24E8" w:rsidRPr="007172E3">
        <w:rPr>
          <w:rFonts w:ascii="Century Gothic" w:hAnsi="Century Gothic" w:cs="Arial"/>
          <w:sz w:val="24"/>
          <w:szCs w:val="24"/>
        </w:rPr>
        <w:t>; P</w:t>
      </w:r>
      <w:r w:rsidRPr="007172E3">
        <w:rPr>
          <w:rFonts w:ascii="Century Gothic" w:hAnsi="Century Gothic" w:cs="Arial"/>
          <w:sz w:val="24"/>
          <w:szCs w:val="24"/>
        </w:rPr>
        <w:t>or lo que consideramos</w:t>
      </w:r>
      <w:r w:rsidR="008F359B" w:rsidRPr="007172E3">
        <w:rPr>
          <w:rFonts w:ascii="Century Gothic" w:hAnsi="Century Gothic" w:cs="Arial"/>
          <w:sz w:val="24"/>
          <w:szCs w:val="24"/>
        </w:rPr>
        <w:t>,</w:t>
      </w:r>
      <w:r w:rsidRPr="007172E3">
        <w:rPr>
          <w:rFonts w:ascii="Century Gothic" w:hAnsi="Century Gothic" w:cs="Arial"/>
          <w:sz w:val="24"/>
          <w:szCs w:val="24"/>
        </w:rPr>
        <w:t xml:space="preserve"> que en los casos de recomendaciones aceptadas y no cumplidas, debe existir una etapa revisora</w:t>
      </w:r>
      <w:r w:rsidR="00E50333" w:rsidRPr="007172E3">
        <w:rPr>
          <w:rFonts w:ascii="Century Gothic" w:hAnsi="Century Gothic" w:cs="Arial"/>
          <w:sz w:val="24"/>
          <w:szCs w:val="24"/>
        </w:rPr>
        <w:t xml:space="preserve"> que obligue jurídicamente a su cumplimiento</w:t>
      </w:r>
      <w:r w:rsidRPr="007172E3">
        <w:rPr>
          <w:rFonts w:ascii="Century Gothic" w:hAnsi="Century Gothic" w:cs="Arial"/>
          <w:sz w:val="24"/>
          <w:szCs w:val="24"/>
        </w:rPr>
        <w:t>, para evitar que el acceso a la protección de los derechos de las victimas sea violentado, esto es, se debe contar con un</w:t>
      </w:r>
      <w:r w:rsidR="00E50333" w:rsidRPr="007172E3">
        <w:rPr>
          <w:rFonts w:ascii="Century Gothic" w:hAnsi="Century Gothic" w:cs="Arial"/>
          <w:sz w:val="24"/>
          <w:szCs w:val="24"/>
        </w:rPr>
        <w:t xml:space="preserve">a acción legal </w:t>
      </w:r>
      <w:r w:rsidRPr="007172E3">
        <w:rPr>
          <w:rFonts w:ascii="Century Gothic" w:hAnsi="Century Gothic" w:cs="Arial"/>
          <w:sz w:val="24"/>
          <w:szCs w:val="24"/>
        </w:rPr>
        <w:t>a</w:t>
      </w:r>
      <w:r w:rsidR="007F4B97" w:rsidRPr="007172E3">
        <w:rPr>
          <w:rFonts w:ascii="Century Gothic" w:hAnsi="Century Gothic" w:cs="Arial"/>
          <w:sz w:val="24"/>
          <w:szCs w:val="24"/>
        </w:rPr>
        <w:t xml:space="preserve"> la</w:t>
      </w:r>
      <w:r w:rsidRPr="007172E3">
        <w:rPr>
          <w:rFonts w:ascii="Century Gothic" w:hAnsi="Century Gothic" w:cs="Arial"/>
          <w:sz w:val="24"/>
          <w:szCs w:val="24"/>
        </w:rPr>
        <w:t xml:space="preserve"> cual </w:t>
      </w:r>
      <w:r w:rsidR="008F359B" w:rsidRPr="007172E3">
        <w:rPr>
          <w:rFonts w:ascii="Century Gothic" w:hAnsi="Century Gothic" w:cs="Arial"/>
          <w:sz w:val="24"/>
          <w:szCs w:val="24"/>
        </w:rPr>
        <w:t xml:space="preserve">puedan acudir las victimas </w:t>
      </w:r>
      <w:r w:rsidRPr="007172E3">
        <w:rPr>
          <w:rFonts w:ascii="Century Gothic" w:hAnsi="Century Gothic" w:cs="Arial"/>
          <w:sz w:val="24"/>
          <w:szCs w:val="24"/>
        </w:rPr>
        <w:t xml:space="preserve">para lograr la restitución de </w:t>
      </w:r>
      <w:r w:rsidR="00FC24E8" w:rsidRPr="007172E3">
        <w:rPr>
          <w:rFonts w:ascii="Century Gothic" w:hAnsi="Century Gothic" w:cs="Arial"/>
          <w:sz w:val="24"/>
          <w:szCs w:val="24"/>
        </w:rPr>
        <w:t>sus</w:t>
      </w:r>
      <w:r w:rsidRPr="007172E3">
        <w:rPr>
          <w:rFonts w:ascii="Century Gothic" w:hAnsi="Century Gothic" w:cs="Arial"/>
          <w:sz w:val="24"/>
          <w:szCs w:val="24"/>
        </w:rPr>
        <w:t xml:space="preserve"> derechos, lo cual constituye una garantía primordial, sin que puedan considerarse efectivos aquellos recursos que por las condiciones del país o las circunstancias del caso, resulten ilusorios.</w:t>
      </w:r>
    </w:p>
    <w:p w14:paraId="1CDF92CC" w14:textId="77777777" w:rsidR="00A350DB" w:rsidRPr="007172E3" w:rsidRDefault="00A350DB" w:rsidP="00A350DB">
      <w:pPr>
        <w:pStyle w:val="Prrafodelista"/>
        <w:spacing w:line="240" w:lineRule="atLeast"/>
        <w:ind w:left="0"/>
        <w:contextualSpacing w:val="0"/>
        <w:jc w:val="both"/>
        <w:rPr>
          <w:rFonts w:ascii="Century Gothic" w:hAnsi="Century Gothic" w:cs="Arial"/>
          <w:sz w:val="24"/>
          <w:szCs w:val="24"/>
        </w:rPr>
      </w:pPr>
    </w:p>
    <w:p w14:paraId="3FC29E16" w14:textId="0854286B" w:rsidR="006A1096" w:rsidRPr="007172E3" w:rsidRDefault="00C4783E" w:rsidP="00A5088D">
      <w:pPr>
        <w:pStyle w:val="corte4fondo"/>
        <w:ind w:right="51" w:firstLine="0"/>
        <w:rPr>
          <w:rFonts w:ascii="Century Gothic" w:hAnsi="Century Gothic" w:cs="Arial"/>
          <w:sz w:val="24"/>
          <w:szCs w:val="24"/>
        </w:rPr>
      </w:pPr>
      <w:r w:rsidRPr="007172E3">
        <w:rPr>
          <w:rFonts w:ascii="Century Gothic" w:hAnsi="Century Gothic" w:cs="Arial"/>
          <w:sz w:val="24"/>
          <w:szCs w:val="24"/>
        </w:rPr>
        <w:t xml:space="preserve">Aunado a que las recomendaciones que emite la </w:t>
      </w:r>
      <w:r w:rsidR="007F4B97" w:rsidRPr="007172E3">
        <w:rPr>
          <w:rFonts w:ascii="Century Gothic" w:hAnsi="Century Gothic" w:cs="Arial"/>
          <w:sz w:val="24"/>
          <w:szCs w:val="24"/>
        </w:rPr>
        <w:t>Comisión Estatal  de los Derechos Humanos</w:t>
      </w:r>
      <w:r w:rsidRPr="007172E3">
        <w:rPr>
          <w:rFonts w:ascii="Century Gothic" w:hAnsi="Century Gothic" w:cs="Arial"/>
          <w:sz w:val="24"/>
          <w:szCs w:val="24"/>
        </w:rPr>
        <w:t xml:space="preserve">, no son actos de autoridad para efectos del juicio de amparo, pues por sí mismas no crean, modifican o extinguen situaciones jurídicas, tal y como se desprende del propio texto constitucional, ya que éstas no son vinculantes, pues solamente </w:t>
      </w:r>
      <w:r w:rsidR="007F4B97" w:rsidRPr="007172E3">
        <w:rPr>
          <w:rFonts w:ascii="Century Gothic" w:hAnsi="Century Gothic" w:cs="Arial"/>
          <w:sz w:val="24"/>
          <w:szCs w:val="24"/>
        </w:rPr>
        <w:t xml:space="preserve">podrán serlo </w:t>
      </w:r>
      <w:r w:rsidRPr="007172E3">
        <w:rPr>
          <w:rFonts w:ascii="Century Gothic" w:hAnsi="Century Gothic" w:cs="Arial"/>
          <w:sz w:val="24"/>
          <w:szCs w:val="24"/>
        </w:rPr>
        <w:t>cuando las autoridades correspondientes las acepten</w:t>
      </w:r>
      <w:r w:rsidR="007F4B97" w:rsidRPr="007172E3">
        <w:rPr>
          <w:rFonts w:ascii="Century Gothic" w:hAnsi="Century Gothic" w:cs="Arial"/>
          <w:sz w:val="24"/>
          <w:szCs w:val="24"/>
        </w:rPr>
        <w:t xml:space="preserve"> y tengan que </w:t>
      </w:r>
      <w:r w:rsidRPr="007172E3">
        <w:rPr>
          <w:rFonts w:ascii="Century Gothic" w:hAnsi="Century Gothic" w:cs="Arial"/>
          <w:sz w:val="24"/>
          <w:szCs w:val="24"/>
        </w:rPr>
        <w:t>generar</w:t>
      </w:r>
      <w:r w:rsidR="007F4B97" w:rsidRPr="007172E3">
        <w:rPr>
          <w:rFonts w:ascii="Century Gothic" w:hAnsi="Century Gothic" w:cs="Arial"/>
          <w:sz w:val="24"/>
          <w:szCs w:val="24"/>
        </w:rPr>
        <w:t>se</w:t>
      </w:r>
      <w:r w:rsidRPr="007172E3">
        <w:rPr>
          <w:rFonts w:ascii="Century Gothic" w:hAnsi="Century Gothic" w:cs="Arial"/>
          <w:sz w:val="24"/>
          <w:szCs w:val="24"/>
        </w:rPr>
        <w:t xml:space="preserve"> acciones directas para cumplir con las mismas, razón por la que </w:t>
      </w:r>
      <w:r w:rsidR="0004429B" w:rsidRPr="007172E3">
        <w:rPr>
          <w:rFonts w:ascii="Century Gothic" w:hAnsi="Century Gothic" w:cs="Arial"/>
          <w:sz w:val="24"/>
          <w:szCs w:val="24"/>
        </w:rPr>
        <w:t xml:space="preserve">mientras no sean aceptadas,  </w:t>
      </w:r>
      <w:r w:rsidRPr="007172E3">
        <w:rPr>
          <w:rFonts w:ascii="Century Gothic" w:hAnsi="Century Gothic" w:cs="Arial"/>
          <w:sz w:val="24"/>
          <w:szCs w:val="24"/>
        </w:rPr>
        <w:t>no se pueden considerar como actos de autoridad para efectos del juicio de amparo</w:t>
      </w:r>
      <w:r w:rsidR="006A1096" w:rsidRPr="007172E3">
        <w:rPr>
          <w:rFonts w:ascii="Century Gothic" w:hAnsi="Century Gothic" w:cs="Arial"/>
          <w:sz w:val="24"/>
          <w:szCs w:val="24"/>
        </w:rPr>
        <w:t xml:space="preserve">, lo cual lo hace improcedente </w:t>
      </w:r>
      <w:r w:rsidR="006A1096" w:rsidRPr="007172E3">
        <w:rPr>
          <w:rFonts w:ascii="Century Gothic" w:hAnsi="Century Gothic" w:cs="Arial"/>
          <w:sz w:val="24"/>
          <w:szCs w:val="24"/>
          <w:lang w:val="es-MX"/>
        </w:rPr>
        <w:t>de conformidad con el artículo 61, fracción XXIII, de la Ley de Amparo, en relación con el artículo 102, Apartado B, de la Constitución Política de los Estados Unidos Mexicanos.</w:t>
      </w:r>
    </w:p>
    <w:p w14:paraId="73A37714" w14:textId="77777777" w:rsidR="006A1096" w:rsidRPr="007172E3" w:rsidRDefault="006A1096" w:rsidP="00353D2C">
      <w:pPr>
        <w:pStyle w:val="corte4fondo"/>
        <w:spacing w:line="240" w:lineRule="atLeast"/>
        <w:ind w:right="51"/>
        <w:rPr>
          <w:rFonts w:ascii="Century Gothic" w:hAnsi="Century Gothic" w:cs="Arial"/>
          <w:sz w:val="24"/>
          <w:szCs w:val="24"/>
        </w:rPr>
      </w:pPr>
    </w:p>
    <w:p w14:paraId="52E06499" w14:textId="0172170B" w:rsidR="00E57363" w:rsidRPr="007172E3" w:rsidRDefault="00E57363" w:rsidP="00E57363">
      <w:pPr>
        <w:spacing w:after="0" w:line="360" w:lineRule="auto"/>
        <w:jc w:val="both"/>
        <w:rPr>
          <w:rFonts w:ascii="Century Gothic" w:hAnsi="Century Gothic"/>
          <w:color w:val="212529"/>
          <w:sz w:val="24"/>
          <w:szCs w:val="24"/>
        </w:rPr>
      </w:pPr>
      <w:r w:rsidRPr="007172E3">
        <w:rPr>
          <w:rStyle w:val="Textoennegrita"/>
          <w:rFonts w:ascii="Century Gothic" w:hAnsi="Century Gothic" w:cs="Arial"/>
          <w:b w:val="0"/>
          <w:color w:val="242424"/>
          <w:sz w:val="24"/>
          <w:szCs w:val="24"/>
          <w:bdr w:val="none" w:sz="0" w:space="0" w:color="auto" w:frame="1"/>
          <w:shd w:val="clear" w:color="auto" w:fill="FFFFFF"/>
        </w:rPr>
        <w:t>Continuar en la situación descrita en cuanto a las recomendaciones aceptadas pero no cumplidas, constituye una revictimización, victimización secundaria o doble victimización</w:t>
      </w:r>
      <w:r w:rsidRPr="007172E3">
        <w:rPr>
          <w:rFonts w:ascii="Century Gothic" w:hAnsi="Century Gothic" w:cs="Arial"/>
          <w:color w:val="242424"/>
          <w:sz w:val="24"/>
          <w:szCs w:val="24"/>
          <w:shd w:val="clear" w:color="auto" w:fill="FFFFFF"/>
        </w:rPr>
        <w:t xml:space="preserve"> que produce un sufrimiento añadido por parte de instituciones y profesionales encargados de prestar atención a la víctima, ejerciendo en su contra con este incumplimiento una </w:t>
      </w:r>
      <w:r w:rsidRPr="007172E3">
        <w:rPr>
          <w:rFonts w:ascii="Century Gothic" w:hAnsi="Century Gothic"/>
          <w:color w:val="212529"/>
          <w:sz w:val="24"/>
          <w:szCs w:val="24"/>
        </w:rPr>
        <w:t>violencia</w:t>
      </w:r>
      <w:r w:rsidRPr="007172E3">
        <w:rPr>
          <w:rFonts w:ascii="Century Gothic" w:hAnsi="Century Gothic"/>
          <w:color w:val="212529"/>
          <w:sz w:val="24"/>
          <w:szCs w:val="24"/>
          <w:shd w:val="clear" w:color="auto" w:fill="FFFFFF"/>
        </w:rPr>
        <w:t> </w:t>
      </w:r>
      <w:r w:rsidRPr="007172E3">
        <w:rPr>
          <w:rFonts w:ascii="Century Gothic" w:hAnsi="Century Gothic"/>
          <w:color w:val="212529"/>
          <w:sz w:val="24"/>
          <w:szCs w:val="24"/>
        </w:rPr>
        <w:t>institucional</w:t>
      </w:r>
      <w:r w:rsidRPr="007172E3">
        <w:rPr>
          <w:rFonts w:ascii="Century Gothic" w:hAnsi="Century Gothic"/>
          <w:color w:val="212529"/>
          <w:sz w:val="24"/>
          <w:szCs w:val="24"/>
          <w:shd w:val="clear" w:color="auto" w:fill="FFFFFF"/>
        </w:rPr>
        <w:t xml:space="preserve">, ya que </w:t>
      </w:r>
      <w:r w:rsidR="00122D59" w:rsidRPr="007172E3">
        <w:rPr>
          <w:rFonts w:ascii="Century Gothic" w:hAnsi="Century Gothic"/>
          <w:color w:val="212529"/>
          <w:sz w:val="24"/>
          <w:szCs w:val="24"/>
          <w:shd w:val="clear" w:color="auto" w:fill="FFFFFF"/>
        </w:rPr>
        <w:t xml:space="preserve">el </w:t>
      </w:r>
      <w:r w:rsidRPr="007172E3">
        <w:rPr>
          <w:rFonts w:ascii="Century Gothic" w:hAnsi="Century Gothic"/>
          <w:color w:val="212529"/>
          <w:sz w:val="24"/>
          <w:szCs w:val="24"/>
          <w:shd w:val="clear" w:color="auto" w:fill="FFFFFF"/>
        </w:rPr>
        <w:t>incumplimiento de la recomendación aceptada, son actos u omisiones de las y los servidores públicos de cualquier orden de gobierno</w:t>
      </w:r>
      <w:r w:rsidR="006D7922">
        <w:rPr>
          <w:rFonts w:ascii="Century Gothic" w:hAnsi="Century Gothic"/>
          <w:color w:val="212529"/>
          <w:sz w:val="24"/>
          <w:szCs w:val="24"/>
          <w:shd w:val="clear" w:color="auto" w:fill="FFFFFF"/>
        </w:rPr>
        <w:t xml:space="preserve">, </w:t>
      </w:r>
      <w:r w:rsidRPr="007172E3">
        <w:rPr>
          <w:rFonts w:ascii="Century Gothic" w:hAnsi="Century Gothic"/>
          <w:color w:val="212529"/>
          <w:sz w:val="24"/>
          <w:szCs w:val="24"/>
          <w:shd w:val="clear" w:color="auto" w:fill="FFFFFF"/>
        </w:rPr>
        <w:t xml:space="preserve">que discriminan o tienen la finalidad </w:t>
      </w:r>
      <w:r w:rsidR="006D7922">
        <w:rPr>
          <w:rFonts w:ascii="Century Gothic" w:hAnsi="Century Gothic"/>
          <w:color w:val="212529"/>
          <w:sz w:val="24"/>
          <w:szCs w:val="24"/>
          <w:shd w:val="clear" w:color="auto" w:fill="FFFFFF"/>
        </w:rPr>
        <w:t>de</w:t>
      </w:r>
      <w:r w:rsidRPr="007172E3">
        <w:rPr>
          <w:rFonts w:ascii="Century Gothic" w:hAnsi="Century Gothic"/>
          <w:color w:val="212529"/>
          <w:sz w:val="24"/>
          <w:szCs w:val="24"/>
          <w:shd w:val="clear" w:color="auto" w:fill="FFFFFF"/>
        </w:rPr>
        <w:t xml:space="preserve"> dilatar, obstaculizar o impedir el goce y ejercicio de los derechos humanos de las Víctimas,  así como su acceso al disfrute de políticas públicas destinadas a prevenir, atender, investigar, sancionar y erradicar los diferentes tipos de </w:t>
      </w:r>
      <w:r w:rsidRPr="007172E3">
        <w:rPr>
          <w:rFonts w:ascii="Century Gothic" w:hAnsi="Century Gothic"/>
          <w:color w:val="212529"/>
          <w:sz w:val="24"/>
          <w:szCs w:val="24"/>
        </w:rPr>
        <w:t>violaciones de derechos humanos.</w:t>
      </w:r>
    </w:p>
    <w:p w14:paraId="05802324" w14:textId="77777777" w:rsidR="00E57363" w:rsidRPr="007172E3" w:rsidRDefault="00E57363" w:rsidP="00E57363">
      <w:pPr>
        <w:spacing w:after="0" w:line="360" w:lineRule="auto"/>
        <w:jc w:val="both"/>
        <w:rPr>
          <w:rFonts w:ascii="Calibri" w:hAnsi="Calibri"/>
          <w:color w:val="212529"/>
          <w:sz w:val="26"/>
          <w:szCs w:val="26"/>
        </w:rPr>
      </w:pPr>
    </w:p>
    <w:p w14:paraId="7573F5FE" w14:textId="7AD510D1" w:rsidR="008E1509" w:rsidRDefault="008E1509" w:rsidP="008E1509">
      <w:pPr>
        <w:pStyle w:val="NormalWeb"/>
        <w:shd w:val="clear" w:color="auto" w:fill="FFFFFF"/>
        <w:spacing w:line="360" w:lineRule="auto"/>
        <w:jc w:val="both"/>
        <w:rPr>
          <w:rFonts w:ascii="Century Gothic" w:hAnsi="Century Gothic" w:cs="Calibri"/>
          <w:color w:val="212529"/>
        </w:rPr>
      </w:pPr>
      <w:r w:rsidRPr="007172E3">
        <w:rPr>
          <w:rFonts w:ascii="Century Gothic" w:hAnsi="Century Gothic" w:cs="Calibri"/>
          <w:color w:val="212529"/>
        </w:rPr>
        <w:t>En ese contexto, la voluntad como fuente de obligaciones bien puede constituirse con una </w:t>
      </w:r>
      <w:r w:rsidR="007A4A42">
        <w:rPr>
          <w:rFonts w:ascii="Century Gothic" w:hAnsi="Century Gothic" w:cs="Calibri"/>
          <w:color w:val="212529"/>
        </w:rPr>
        <w:t xml:space="preserve"> </w:t>
      </w:r>
      <w:r w:rsidRPr="007172E3">
        <w:rPr>
          <w:rFonts w:ascii="Century Gothic" w:hAnsi="Century Gothic" w:cs="Calibri"/>
          <w:color w:val="212529"/>
        </w:rPr>
        <w:t>declaración</w:t>
      </w:r>
      <w:r w:rsidR="007A4A42">
        <w:rPr>
          <w:rFonts w:ascii="Century Gothic" w:hAnsi="Century Gothic" w:cs="Calibri"/>
          <w:color w:val="212529"/>
        </w:rPr>
        <w:t xml:space="preserve"> </w:t>
      </w:r>
      <w:r w:rsidRPr="007172E3">
        <w:rPr>
          <w:rFonts w:ascii="Century Gothic" w:hAnsi="Century Gothic" w:cs="Calibri"/>
          <w:color w:val="212529"/>
        </w:rPr>
        <w:t> unilateral</w:t>
      </w:r>
      <w:r w:rsidR="007A4A42">
        <w:rPr>
          <w:rFonts w:ascii="Century Gothic" w:hAnsi="Century Gothic" w:cs="Calibri"/>
          <w:color w:val="212529"/>
        </w:rPr>
        <w:t xml:space="preserve"> </w:t>
      </w:r>
      <w:r w:rsidRPr="007172E3">
        <w:rPr>
          <w:rFonts w:ascii="Century Gothic" w:hAnsi="Century Gothic" w:cs="Calibri"/>
          <w:color w:val="212529"/>
        </w:rPr>
        <w:t> de </w:t>
      </w:r>
      <w:r w:rsidR="007A4A42">
        <w:rPr>
          <w:rFonts w:ascii="Century Gothic" w:hAnsi="Century Gothic" w:cs="Calibri"/>
          <w:color w:val="212529"/>
        </w:rPr>
        <w:t xml:space="preserve"> </w:t>
      </w:r>
      <w:r w:rsidRPr="007172E3">
        <w:rPr>
          <w:rFonts w:ascii="Century Gothic" w:hAnsi="Century Gothic" w:cs="Calibri"/>
          <w:color w:val="212529"/>
        </w:rPr>
        <w:t>voluntad </w:t>
      </w:r>
      <w:r w:rsidR="007A4A42">
        <w:rPr>
          <w:rFonts w:ascii="Century Gothic" w:hAnsi="Century Gothic" w:cs="Calibri"/>
          <w:color w:val="212529"/>
        </w:rPr>
        <w:t xml:space="preserve"> </w:t>
      </w:r>
      <w:r w:rsidRPr="007172E3">
        <w:rPr>
          <w:rFonts w:ascii="Century Gothic" w:hAnsi="Century Gothic" w:cs="Calibri"/>
          <w:color w:val="212529"/>
        </w:rPr>
        <w:t>que produce consecuencias jurídicas, razón por la cual, aun cuando en el Código Civil del Estado de Chihuahua, en su Libro Cuarto relativo a las obligaciones, Primera parte relativo a las obligaciones en general, Titulo primero relativo a las fuentes de las obligaciones, Capitulo Segundo ( artículos del 1754 al 1766) relativo a la declaración unilateral de voluntad,  no contenga expresamente previstos todos los supuestos sobre una declaración unilateral de voluntad, ello no significa que solamente deban reconocerse como fuente de obligaciones los casos a que se contrae, pues existen formas innominadas que deben aceptarse de manera análoga.</w:t>
      </w:r>
    </w:p>
    <w:p w14:paraId="5AF31457" w14:textId="77777777" w:rsidR="002D6863" w:rsidRPr="007172E3" w:rsidRDefault="002D6863" w:rsidP="002D6863">
      <w:pPr>
        <w:pStyle w:val="NormalWeb"/>
        <w:shd w:val="clear" w:color="auto" w:fill="FFFFFF"/>
        <w:spacing w:line="240" w:lineRule="atLeast"/>
        <w:jc w:val="both"/>
        <w:rPr>
          <w:rFonts w:ascii="Century Gothic" w:hAnsi="Century Gothic" w:cs="Calibri"/>
          <w:color w:val="212529"/>
        </w:rPr>
      </w:pPr>
    </w:p>
    <w:p w14:paraId="7CB11AEA" w14:textId="38BA9F6B" w:rsidR="008E1509" w:rsidRPr="007172E3" w:rsidRDefault="008E1509" w:rsidP="008E1509">
      <w:pPr>
        <w:pStyle w:val="NormalWeb"/>
        <w:shd w:val="clear" w:color="auto" w:fill="FFFFFF"/>
        <w:spacing w:line="360" w:lineRule="auto"/>
        <w:jc w:val="both"/>
        <w:rPr>
          <w:rFonts w:ascii="Century Gothic" w:hAnsi="Century Gothic" w:cs="Calibri"/>
          <w:color w:val="212529"/>
        </w:rPr>
      </w:pPr>
      <w:r w:rsidRPr="007172E3">
        <w:rPr>
          <w:rFonts w:ascii="Century Gothic" w:hAnsi="Century Gothic" w:cs="Calibri"/>
          <w:color w:val="212529"/>
        </w:rPr>
        <w:t>En este mismo sentido, sobre el particular, el tratadista mexicano Rafael Rojina Villegas, en su obra "Teoría General de las Obligaciones", expone que sólo en las obligaciones contractuales se requiere el conocimiento y consentimiento del acreedor para que nazcan, pues sólo en ellas el acuerdo de voluntades crea la relación jurídica, pero en las obligaciones extracontractuales no se requiere necesariamente la intervención del acreedor para que se constituyan.</w:t>
      </w:r>
    </w:p>
    <w:p w14:paraId="1AA00CE5" w14:textId="77777777" w:rsidR="00934A35" w:rsidRDefault="00934A35" w:rsidP="00934A35">
      <w:pPr>
        <w:pStyle w:val="NormalWeb"/>
        <w:shd w:val="clear" w:color="auto" w:fill="FFFFFF"/>
        <w:spacing w:line="240" w:lineRule="atLeast"/>
        <w:jc w:val="both"/>
        <w:rPr>
          <w:rFonts w:ascii="Century Gothic" w:hAnsi="Century Gothic" w:cs="Calibri"/>
          <w:color w:val="212529"/>
        </w:rPr>
      </w:pPr>
    </w:p>
    <w:p w14:paraId="316276C6" w14:textId="46DD10FA" w:rsidR="008E1509" w:rsidRDefault="008E1509" w:rsidP="008E1509">
      <w:pPr>
        <w:pStyle w:val="NormalWeb"/>
        <w:shd w:val="clear" w:color="auto" w:fill="FFFFFF"/>
        <w:spacing w:line="360" w:lineRule="auto"/>
        <w:jc w:val="both"/>
        <w:rPr>
          <w:rFonts w:ascii="Century Gothic" w:hAnsi="Century Gothic" w:cs="Calibri"/>
          <w:color w:val="212529"/>
        </w:rPr>
      </w:pPr>
      <w:r w:rsidRPr="007172E3">
        <w:rPr>
          <w:rFonts w:ascii="Century Gothic" w:hAnsi="Century Gothic" w:cs="Calibri"/>
          <w:color w:val="212529"/>
        </w:rPr>
        <w:t>Así, existen formas nominadas de declaración unilateral de la voluntad reguladas por el Código Civil, y formas innominadas, que deben constituirse por un procedimiento analógico. Por ende, en casos en que la voluntad unilateral proponga un fin lícito como es el contenido y la  aceptación de una recomendación y su cumplimiento es posible, no se requiere necesariamente el consentimiento de las partes, pues las obligaciones jurídicas derivadas de la aceptación de una recomendación</w:t>
      </w:r>
      <w:r w:rsidRPr="007172E3">
        <w:rPr>
          <w:rFonts w:ascii="Century Gothic" w:hAnsi="Century Gothic"/>
        </w:rPr>
        <w:t xml:space="preserve"> emitida por la Comisión Estatal de los Derechos Humanos, </w:t>
      </w:r>
      <w:r w:rsidRPr="007172E3">
        <w:rPr>
          <w:rFonts w:ascii="Century Gothic" w:hAnsi="Century Gothic" w:cs="Calibri"/>
          <w:color w:val="212529"/>
        </w:rPr>
        <w:t xml:space="preserve">se generaran con la declaración unilateral de aceptación, máxime que dicha aceptación es hecha por la autoridad responsable en ejercicio de sus funciones. </w:t>
      </w:r>
    </w:p>
    <w:p w14:paraId="29E126E1" w14:textId="77777777" w:rsidR="00934A35" w:rsidRPr="007172E3" w:rsidRDefault="00934A35" w:rsidP="00934A35">
      <w:pPr>
        <w:pStyle w:val="NormalWeb"/>
        <w:shd w:val="clear" w:color="auto" w:fill="FFFFFF"/>
        <w:spacing w:line="240" w:lineRule="atLeast"/>
        <w:jc w:val="both"/>
        <w:rPr>
          <w:rFonts w:ascii="Century Gothic" w:hAnsi="Century Gothic" w:cs="Calibri"/>
          <w:color w:val="212529"/>
        </w:rPr>
      </w:pPr>
    </w:p>
    <w:p w14:paraId="7656B6E7" w14:textId="2E0E66B2" w:rsidR="006C77BF" w:rsidRPr="007172E3" w:rsidRDefault="009A6CAD" w:rsidP="009C211E">
      <w:pPr>
        <w:spacing w:after="0" w:line="360" w:lineRule="auto"/>
        <w:jc w:val="both"/>
        <w:rPr>
          <w:rFonts w:ascii="Century Gothic" w:hAnsi="Century Gothic"/>
          <w:sz w:val="24"/>
          <w:szCs w:val="24"/>
        </w:rPr>
      </w:pPr>
      <w:r w:rsidRPr="007172E3">
        <w:rPr>
          <w:rFonts w:ascii="Century Gothic" w:hAnsi="Century Gothic"/>
          <w:color w:val="212529"/>
          <w:sz w:val="24"/>
          <w:szCs w:val="24"/>
        </w:rPr>
        <w:t xml:space="preserve">Atento a estas consideraciones, es la razón y fundamento por la que acudimos a proponer el reconocimiento de la </w:t>
      </w:r>
      <w:r w:rsidRPr="007172E3">
        <w:rPr>
          <w:rFonts w:ascii="Century Gothic" w:hAnsi="Century Gothic"/>
          <w:sz w:val="24"/>
          <w:szCs w:val="24"/>
        </w:rPr>
        <w:t xml:space="preserve">naturaleza constitucional no vinculatoria de las Recomendaciones; empero, considerando que la </w:t>
      </w:r>
      <w:r w:rsidR="00122D59" w:rsidRPr="007172E3">
        <w:rPr>
          <w:rFonts w:ascii="Century Gothic" w:hAnsi="Century Gothic"/>
          <w:sz w:val="24"/>
          <w:szCs w:val="24"/>
        </w:rPr>
        <w:t xml:space="preserve">declaración unilateral de voluntad </w:t>
      </w:r>
      <w:r w:rsidRPr="007172E3">
        <w:rPr>
          <w:rFonts w:ascii="Century Gothic" w:hAnsi="Century Gothic"/>
          <w:sz w:val="24"/>
          <w:szCs w:val="24"/>
        </w:rPr>
        <w:t>es una fuente de las obligaciones</w:t>
      </w:r>
      <w:r w:rsidR="00122D59" w:rsidRPr="007172E3">
        <w:rPr>
          <w:rFonts w:ascii="Century Gothic" w:hAnsi="Century Gothic"/>
          <w:sz w:val="24"/>
          <w:szCs w:val="24"/>
        </w:rPr>
        <w:t xml:space="preserve"> y sin</w:t>
      </w:r>
      <w:r w:rsidR="00934A35">
        <w:rPr>
          <w:rFonts w:ascii="Century Gothic" w:hAnsi="Century Gothic"/>
          <w:sz w:val="24"/>
          <w:szCs w:val="24"/>
        </w:rPr>
        <w:t xml:space="preserve"> t</w:t>
      </w:r>
      <w:r w:rsidRPr="007172E3">
        <w:rPr>
          <w:rFonts w:ascii="Century Gothic" w:hAnsi="Century Gothic"/>
          <w:sz w:val="24"/>
          <w:szCs w:val="24"/>
        </w:rPr>
        <w:t>ransgredir el contenido de nuestra norma fundante básica, establecer que la aceptación de una Recomendación se constituye como el vínculo jurídico a través del cual no sólo se genera la obligatoriedad del cumplimiento de una Recomendación, sino también, su exigibilidad en términos de la legislación aplicable. Lo anterior, atendiendo a que la manifestación de la voluntad, también es fuente de las obligaciones, la cual se perfecciona con la aceptación de la Recomendación</w:t>
      </w:r>
      <w:r w:rsidR="00B25023" w:rsidRPr="007172E3">
        <w:rPr>
          <w:rFonts w:ascii="Century Gothic" w:hAnsi="Century Gothic"/>
          <w:sz w:val="24"/>
          <w:szCs w:val="24"/>
        </w:rPr>
        <w:t>, con lo cual se constitu</w:t>
      </w:r>
      <w:r w:rsidR="002410FB" w:rsidRPr="007172E3">
        <w:rPr>
          <w:rFonts w:ascii="Century Gothic" w:hAnsi="Century Gothic"/>
          <w:sz w:val="24"/>
          <w:szCs w:val="24"/>
        </w:rPr>
        <w:t>ye</w:t>
      </w:r>
      <w:r w:rsidR="00B25023" w:rsidRPr="007172E3">
        <w:rPr>
          <w:rFonts w:ascii="Century Gothic" w:hAnsi="Century Gothic"/>
          <w:sz w:val="24"/>
          <w:szCs w:val="24"/>
        </w:rPr>
        <w:t xml:space="preserve"> a favor de la víctima o víctimas, </w:t>
      </w:r>
      <w:r w:rsidR="009C211E" w:rsidRPr="007172E3">
        <w:rPr>
          <w:rFonts w:ascii="Century Gothic" w:hAnsi="Century Gothic"/>
          <w:sz w:val="24"/>
          <w:szCs w:val="24"/>
        </w:rPr>
        <w:t xml:space="preserve">un derecho subjetivo que les </w:t>
      </w:r>
      <w:r w:rsidR="00172A81" w:rsidRPr="007172E3">
        <w:rPr>
          <w:rFonts w:ascii="Century Gothic" w:hAnsi="Century Gothic"/>
          <w:sz w:val="24"/>
          <w:szCs w:val="24"/>
        </w:rPr>
        <w:t>permitiría</w:t>
      </w:r>
      <w:r w:rsidR="009C211E" w:rsidRPr="007172E3">
        <w:rPr>
          <w:rFonts w:ascii="Century Gothic" w:hAnsi="Century Gothic"/>
          <w:sz w:val="24"/>
          <w:szCs w:val="24"/>
        </w:rPr>
        <w:t xml:space="preserve"> </w:t>
      </w:r>
      <w:r w:rsidR="00B25023" w:rsidRPr="007172E3">
        <w:rPr>
          <w:rFonts w:ascii="Century Gothic" w:hAnsi="Century Gothic" w:cs="Arial"/>
          <w:sz w:val="24"/>
          <w:szCs w:val="24"/>
          <w:lang w:eastAsia="es-ES"/>
        </w:rPr>
        <w:t xml:space="preserve">exigir </w:t>
      </w:r>
      <w:r w:rsidR="008E1509" w:rsidRPr="007172E3">
        <w:rPr>
          <w:rFonts w:ascii="Century Gothic" w:hAnsi="Century Gothic" w:cs="Arial"/>
          <w:sz w:val="24"/>
          <w:szCs w:val="24"/>
          <w:lang w:eastAsia="es-ES"/>
        </w:rPr>
        <w:t>de la</w:t>
      </w:r>
      <w:r w:rsidR="00B25023" w:rsidRPr="007172E3">
        <w:rPr>
          <w:rFonts w:ascii="Century Gothic" w:hAnsi="Century Gothic" w:cs="Arial"/>
          <w:sz w:val="24"/>
          <w:szCs w:val="24"/>
          <w:lang w:eastAsia="es-ES"/>
        </w:rPr>
        <w:t xml:space="preserve"> autoridad </w:t>
      </w:r>
      <w:r w:rsidR="00172A81" w:rsidRPr="007172E3">
        <w:rPr>
          <w:rFonts w:ascii="Century Gothic" w:hAnsi="Century Gothic" w:cs="Arial"/>
          <w:sz w:val="24"/>
          <w:szCs w:val="24"/>
          <w:lang w:eastAsia="es-ES"/>
        </w:rPr>
        <w:t xml:space="preserve">responsable, </w:t>
      </w:r>
      <w:r w:rsidR="00122D59" w:rsidRPr="007172E3">
        <w:rPr>
          <w:rFonts w:ascii="Century Gothic" w:hAnsi="Century Gothic" w:cs="Arial"/>
          <w:sz w:val="24"/>
          <w:szCs w:val="24"/>
          <w:lang w:eastAsia="es-ES"/>
        </w:rPr>
        <w:t xml:space="preserve">ante los órganos judiciales </w:t>
      </w:r>
      <w:r w:rsidR="00172A81" w:rsidRPr="007172E3">
        <w:rPr>
          <w:rFonts w:ascii="Century Gothic" w:hAnsi="Century Gothic" w:cs="Arial"/>
          <w:sz w:val="24"/>
          <w:szCs w:val="24"/>
          <w:lang w:eastAsia="es-ES"/>
        </w:rPr>
        <w:t xml:space="preserve">o administrativos </w:t>
      </w:r>
      <w:r w:rsidR="00122D59" w:rsidRPr="007172E3">
        <w:rPr>
          <w:rFonts w:ascii="Century Gothic" w:hAnsi="Century Gothic" w:cs="Arial"/>
          <w:sz w:val="24"/>
          <w:szCs w:val="24"/>
          <w:lang w:eastAsia="es-ES"/>
        </w:rPr>
        <w:t xml:space="preserve">competentes, </w:t>
      </w:r>
      <w:r w:rsidR="009C211E" w:rsidRPr="007172E3">
        <w:rPr>
          <w:rFonts w:ascii="Century Gothic" w:hAnsi="Century Gothic" w:cs="Arial"/>
          <w:sz w:val="24"/>
          <w:szCs w:val="24"/>
          <w:lang w:eastAsia="es-ES"/>
        </w:rPr>
        <w:t xml:space="preserve">el cumplimiento de la recomendación y </w:t>
      </w:r>
      <w:r w:rsidR="00B25023" w:rsidRPr="007172E3">
        <w:rPr>
          <w:rFonts w:ascii="Century Gothic" w:hAnsi="Century Gothic" w:cs="Arial"/>
          <w:sz w:val="24"/>
          <w:szCs w:val="24"/>
          <w:lang w:eastAsia="es-ES"/>
        </w:rPr>
        <w:t>como consecuencia lógica, que la autoridad tenga el deber de realizar tal conducta</w:t>
      </w:r>
      <w:r w:rsidR="009C211E" w:rsidRPr="007172E3">
        <w:rPr>
          <w:rFonts w:ascii="Century Gothic" w:hAnsi="Century Gothic" w:cs="Arial"/>
          <w:sz w:val="24"/>
          <w:szCs w:val="24"/>
          <w:lang w:eastAsia="es-ES"/>
        </w:rPr>
        <w:t xml:space="preserve"> de cumplimiento.</w:t>
      </w:r>
    </w:p>
    <w:p w14:paraId="5ED5D874" w14:textId="77777777" w:rsidR="00C4783E" w:rsidRPr="007172E3" w:rsidRDefault="00C4783E" w:rsidP="006C77BF">
      <w:pPr>
        <w:jc w:val="both"/>
        <w:rPr>
          <w:rFonts w:ascii="Century Gothic" w:hAnsi="Century Gothic"/>
        </w:rPr>
      </w:pPr>
    </w:p>
    <w:p w14:paraId="79758ED0" w14:textId="798690AE" w:rsidR="002618F7" w:rsidRPr="007172E3" w:rsidRDefault="004A1178" w:rsidP="00F93842">
      <w:pPr>
        <w:spacing w:line="360" w:lineRule="auto"/>
        <w:jc w:val="both"/>
        <w:rPr>
          <w:rFonts w:ascii="Century Gothic" w:hAnsi="Century Gothic" w:cstheme="minorHAnsi"/>
          <w:sz w:val="24"/>
          <w:szCs w:val="24"/>
        </w:rPr>
      </w:pPr>
      <w:r w:rsidRPr="007172E3">
        <w:rPr>
          <w:rFonts w:ascii="Century Gothic" w:hAnsi="Century Gothic"/>
          <w:sz w:val="24"/>
          <w:szCs w:val="24"/>
        </w:rPr>
        <w:t xml:space="preserve">Perfeccionar lo relativo a la aceptación de las Recomendaciones, al plasmar expresamente </w:t>
      </w:r>
      <w:r w:rsidR="00F57474" w:rsidRPr="007172E3">
        <w:rPr>
          <w:rFonts w:ascii="Century Gothic" w:hAnsi="Century Gothic"/>
          <w:sz w:val="24"/>
          <w:szCs w:val="24"/>
        </w:rPr>
        <w:t>la obligación de la autoridad de cumplir la recomendación emitida en su contra que acepte y que este solo hecho</w:t>
      </w:r>
      <w:r w:rsidR="0063260F" w:rsidRPr="007172E3">
        <w:rPr>
          <w:rFonts w:ascii="Century Gothic" w:hAnsi="Century Gothic"/>
          <w:sz w:val="24"/>
          <w:szCs w:val="24"/>
        </w:rPr>
        <w:t xml:space="preserve"> </w:t>
      </w:r>
      <w:r w:rsidR="000928FC" w:rsidRPr="007172E3">
        <w:rPr>
          <w:rFonts w:ascii="Century Gothic" w:hAnsi="Century Gothic"/>
          <w:sz w:val="24"/>
          <w:szCs w:val="24"/>
        </w:rPr>
        <w:t>se genere</w:t>
      </w:r>
      <w:r w:rsidR="00F93842" w:rsidRPr="007172E3">
        <w:rPr>
          <w:rFonts w:ascii="Century Gothic" w:hAnsi="Century Gothic"/>
          <w:sz w:val="24"/>
          <w:szCs w:val="24"/>
        </w:rPr>
        <w:t xml:space="preserve"> </w:t>
      </w:r>
      <w:r w:rsidR="00F57474" w:rsidRPr="007172E3">
        <w:rPr>
          <w:rFonts w:ascii="Century Gothic" w:hAnsi="Century Gothic"/>
          <w:sz w:val="24"/>
          <w:szCs w:val="24"/>
        </w:rPr>
        <w:t>un derecho subjetivo a favor de la víctima o víctimas, que jurídicamente l</w:t>
      </w:r>
      <w:r w:rsidR="0063260F" w:rsidRPr="007172E3">
        <w:rPr>
          <w:rFonts w:ascii="Century Gothic" w:hAnsi="Century Gothic"/>
          <w:sz w:val="24"/>
          <w:szCs w:val="24"/>
        </w:rPr>
        <w:t>as</w:t>
      </w:r>
      <w:r w:rsidR="00F57474" w:rsidRPr="007172E3">
        <w:rPr>
          <w:rFonts w:ascii="Century Gothic" w:hAnsi="Century Gothic"/>
          <w:sz w:val="24"/>
          <w:szCs w:val="24"/>
        </w:rPr>
        <w:t xml:space="preserve"> faculte para exigir su cumplimiento en la vía legal competente</w:t>
      </w:r>
      <w:r w:rsidR="00F93842" w:rsidRPr="007172E3">
        <w:rPr>
          <w:rFonts w:ascii="Century Gothic" w:hAnsi="Century Gothic"/>
          <w:sz w:val="24"/>
          <w:szCs w:val="24"/>
        </w:rPr>
        <w:t xml:space="preserve">, es la razón y fundamento por la que ponemos a consideración </w:t>
      </w:r>
      <w:r w:rsidR="00725661" w:rsidRPr="007172E3">
        <w:rPr>
          <w:rFonts w:ascii="Century Gothic" w:hAnsi="Century Gothic" w:cs="Arial"/>
          <w:sz w:val="24"/>
          <w:szCs w:val="24"/>
        </w:rPr>
        <w:t>de esta Honorable Asamblea</w:t>
      </w:r>
      <w:r w:rsidR="00371C78" w:rsidRPr="007172E3">
        <w:rPr>
          <w:rFonts w:ascii="Century Gothic" w:hAnsi="Century Gothic" w:cs="Arial"/>
          <w:sz w:val="24"/>
          <w:szCs w:val="24"/>
        </w:rPr>
        <w:t>,</w:t>
      </w:r>
      <w:r w:rsidR="00725661" w:rsidRPr="007172E3">
        <w:rPr>
          <w:rFonts w:ascii="Century Gothic" w:hAnsi="Century Gothic" w:cs="Arial"/>
          <w:sz w:val="24"/>
          <w:szCs w:val="24"/>
        </w:rPr>
        <w:t xml:space="preserve"> el siguiente </w:t>
      </w:r>
      <w:r w:rsidR="002618F7" w:rsidRPr="007172E3">
        <w:rPr>
          <w:rFonts w:ascii="Century Gothic" w:hAnsi="Century Gothic" w:cstheme="minorHAnsi"/>
          <w:sz w:val="24"/>
          <w:szCs w:val="24"/>
        </w:rPr>
        <w:t>proyecto de</w:t>
      </w:r>
    </w:p>
    <w:p w14:paraId="2DF4BBEC" w14:textId="77777777" w:rsidR="002618F7" w:rsidRPr="007172E3" w:rsidRDefault="002618F7" w:rsidP="002618F7">
      <w:pPr>
        <w:pStyle w:val="NormalWeb"/>
        <w:shd w:val="clear" w:color="auto" w:fill="FDFDFD"/>
        <w:spacing w:before="0" w:beforeAutospacing="0" w:after="0" w:afterAutospacing="0" w:line="360" w:lineRule="auto"/>
        <w:jc w:val="both"/>
        <w:rPr>
          <w:rFonts w:ascii="Century Gothic" w:hAnsi="Century Gothic" w:cstheme="minorHAnsi"/>
        </w:rPr>
      </w:pPr>
    </w:p>
    <w:p w14:paraId="20DA180A" w14:textId="3A695122" w:rsidR="002618F7" w:rsidRDefault="002618F7" w:rsidP="002618F7">
      <w:pPr>
        <w:jc w:val="center"/>
        <w:rPr>
          <w:rFonts w:ascii="Century Gothic" w:hAnsi="Century Gothic" w:cs="Arial"/>
          <w:b/>
          <w:sz w:val="24"/>
          <w:szCs w:val="24"/>
          <w:shd w:val="clear" w:color="auto" w:fill="FFFFFF"/>
        </w:rPr>
      </w:pPr>
      <w:r w:rsidRPr="007172E3">
        <w:rPr>
          <w:rFonts w:ascii="Century Gothic" w:hAnsi="Century Gothic" w:cs="Arial"/>
          <w:b/>
          <w:sz w:val="24"/>
          <w:szCs w:val="24"/>
          <w:shd w:val="clear" w:color="auto" w:fill="FFFFFF"/>
        </w:rPr>
        <w:t>D E C R E T O:</w:t>
      </w:r>
    </w:p>
    <w:p w14:paraId="755A4ACF" w14:textId="77777777" w:rsidR="00934A35" w:rsidRPr="007172E3" w:rsidRDefault="00934A35" w:rsidP="002618F7">
      <w:pPr>
        <w:jc w:val="center"/>
        <w:rPr>
          <w:rFonts w:ascii="Century Gothic" w:hAnsi="Century Gothic" w:cs="Arial"/>
          <w:b/>
          <w:sz w:val="24"/>
          <w:szCs w:val="24"/>
          <w:shd w:val="clear" w:color="auto" w:fill="FFFFFF"/>
        </w:rPr>
      </w:pPr>
    </w:p>
    <w:p w14:paraId="1F225A78" w14:textId="6794BDB5" w:rsidR="00490E70" w:rsidRPr="007172E3" w:rsidRDefault="00811511" w:rsidP="00BF09B5">
      <w:pPr>
        <w:spacing w:after="0" w:line="360" w:lineRule="auto"/>
        <w:jc w:val="both"/>
        <w:rPr>
          <w:rFonts w:ascii="Century Gothic" w:hAnsi="Century Gothic" w:cs="Arial"/>
          <w:sz w:val="24"/>
          <w:szCs w:val="24"/>
        </w:rPr>
      </w:pPr>
      <w:r w:rsidRPr="007172E3">
        <w:rPr>
          <w:rFonts w:ascii="Century Gothic" w:hAnsi="Century Gothic" w:cs="Arial"/>
          <w:b/>
          <w:bCs/>
          <w:sz w:val="24"/>
          <w:szCs w:val="24"/>
        </w:rPr>
        <w:t>ÚNICO. -</w:t>
      </w:r>
      <w:r w:rsidR="00B9351E" w:rsidRPr="007172E3">
        <w:rPr>
          <w:rFonts w:ascii="Century Gothic" w:hAnsi="Century Gothic" w:cs="Arial"/>
          <w:b/>
          <w:bCs/>
          <w:sz w:val="24"/>
          <w:szCs w:val="24"/>
        </w:rPr>
        <w:t xml:space="preserve"> </w:t>
      </w:r>
      <w:r w:rsidR="00B9351E" w:rsidRPr="007172E3">
        <w:rPr>
          <w:rFonts w:ascii="Century Gothic" w:hAnsi="Century Gothic" w:cs="Arial"/>
          <w:sz w:val="24"/>
          <w:szCs w:val="24"/>
        </w:rPr>
        <w:t>L</w:t>
      </w:r>
      <w:r w:rsidR="002C6AA3" w:rsidRPr="007172E3">
        <w:rPr>
          <w:rFonts w:ascii="Century Gothic" w:hAnsi="Century Gothic" w:cs="Arial"/>
          <w:sz w:val="24"/>
          <w:szCs w:val="24"/>
        </w:rPr>
        <w:t>a</w:t>
      </w:r>
      <w:r w:rsidR="00B9351E" w:rsidRPr="007172E3">
        <w:rPr>
          <w:rFonts w:ascii="Century Gothic" w:hAnsi="Century Gothic" w:cs="Arial"/>
          <w:sz w:val="24"/>
          <w:szCs w:val="24"/>
        </w:rPr>
        <w:t xml:space="preserve"> Sexagésima Séptima Legislatura del Estado libre y Soberano de Chihuahua,</w:t>
      </w:r>
      <w:bookmarkStart w:id="1" w:name="_Hlk84412155"/>
      <w:r w:rsidR="00B9351E" w:rsidRPr="007172E3">
        <w:rPr>
          <w:rFonts w:ascii="Century Gothic" w:hAnsi="Century Gothic" w:cs="Arial"/>
          <w:sz w:val="24"/>
          <w:szCs w:val="24"/>
        </w:rPr>
        <w:t xml:space="preserve"> reforma los artículos </w:t>
      </w:r>
      <w:r w:rsidR="001B0824" w:rsidRPr="007172E3">
        <w:rPr>
          <w:rFonts w:ascii="Century Gothic" w:hAnsi="Century Gothic" w:cs="Arial"/>
          <w:sz w:val="24"/>
          <w:szCs w:val="24"/>
        </w:rPr>
        <w:t>44</w:t>
      </w:r>
      <w:r w:rsidR="00314792" w:rsidRPr="007172E3">
        <w:rPr>
          <w:rFonts w:ascii="Century Gothic" w:hAnsi="Century Gothic" w:cs="Arial"/>
          <w:sz w:val="24"/>
          <w:szCs w:val="24"/>
        </w:rPr>
        <w:t xml:space="preserve">, </w:t>
      </w:r>
      <w:r w:rsidR="001B0824" w:rsidRPr="007172E3">
        <w:rPr>
          <w:rFonts w:ascii="Century Gothic" w:hAnsi="Century Gothic" w:cs="Arial"/>
          <w:sz w:val="24"/>
          <w:szCs w:val="24"/>
        </w:rPr>
        <w:t>56</w:t>
      </w:r>
      <w:r w:rsidR="002C6AA3" w:rsidRPr="007172E3">
        <w:rPr>
          <w:rFonts w:ascii="Century Gothic" w:hAnsi="Century Gothic" w:cs="Arial"/>
          <w:sz w:val="24"/>
          <w:szCs w:val="24"/>
        </w:rPr>
        <w:t xml:space="preserve"> y </w:t>
      </w:r>
      <w:r w:rsidR="00314792" w:rsidRPr="007172E3">
        <w:rPr>
          <w:rFonts w:ascii="Century Gothic" w:hAnsi="Century Gothic" w:cs="Arial"/>
          <w:sz w:val="24"/>
          <w:szCs w:val="24"/>
        </w:rPr>
        <w:t xml:space="preserve">57, así como </w:t>
      </w:r>
      <w:r w:rsidR="001B0824" w:rsidRPr="007172E3">
        <w:rPr>
          <w:rFonts w:ascii="Century Gothic" w:hAnsi="Century Gothic" w:cs="Arial"/>
          <w:sz w:val="24"/>
          <w:szCs w:val="24"/>
        </w:rPr>
        <w:t>adiciona</w:t>
      </w:r>
      <w:r w:rsidR="00314792" w:rsidRPr="007172E3">
        <w:rPr>
          <w:rFonts w:ascii="Century Gothic" w:hAnsi="Century Gothic" w:cs="Arial"/>
          <w:sz w:val="24"/>
          <w:szCs w:val="24"/>
        </w:rPr>
        <w:t>r</w:t>
      </w:r>
      <w:r w:rsidR="001B0824" w:rsidRPr="007172E3">
        <w:rPr>
          <w:rFonts w:ascii="Century Gothic" w:hAnsi="Century Gothic" w:cs="Arial"/>
          <w:sz w:val="24"/>
          <w:szCs w:val="24"/>
        </w:rPr>
        <w:t xml:space="preserve"> el artículo 44 </w:t>
      </w:r>
      <w:r w:rsidR="00BA39F5" w:rsidRPr="007172E3">
        <w:rPr>
          <w:rFonts w:ascii="Century Gothic" w:hAnsi="Century Gothic" w:cs="Arial"/>
          <w:sz w:val="24"/>
          <w:szCs w:val="24"/>
        </w:rPr>
        <w:t>bis de</w:t>
      </w:r>
      <w:r w:rsidR="00B9351E" w:rsidRPr="007172E3">
        <w:rPr>
          <w:rFonts w:ascii="Century Gothic" w:hAnsi="Century Gothic" w:cs="Arial"/>
          <w:sz w:val="24"/>
          <w:szCs w:val="24"/>
        </w:rPr>
        <w:t xml:space="preserve"> la Ley </w:t>
      </w:r>
      <w:r w:rsidR="001B0824" w:rsidRPr="007172E3">
        <w:rPr>
          <w:rFonts w:ascii="Century Gothic" w:hAnsi="Century Gothic" w:cs="Arial"/>
          <w:sz w:val="24"/>
          <w:szCs w:val="24"/>
        </w:rPr>
        <w:t xml:space="preserve">Estatal </w:t>
      </w:r>
      <w:r w:rsidR="00307A44" w:rsidRPr="007172E3">
        <w:rPr>
          <w:rFonts w:ascii="Century Gothic" w:hAnsi="Century Gothic" w:cs="Arial"/>
          <w:sz w:val="24"/>
          <w:szCs w:val="24"/>
        </w:rPr>
        <w:t>de la Comisión de los Derechos Humanos</w:t>
      </w:r>
      <w:bookmarkEnd w:id="1"/>
      <w:r w:rsidR="00B9351E" w:rsidRPr="007172E3">
        <w:rPr>
          <w:rFonts w:ascii="Century Gothic" w:hAnsi="Century Gothic" w:cs="Arial"/>
          <w:sz w:val="24"/>
          <w:szCs w:val="24"/>
        </w:rPr>
        <w:t>, para quedar redactados de</w:t>
      </w:r>
      <w:r w:rsidR="00B45F9E" w:rsidRPr="007172E3">
        <w:rPr>
          <w:rFonts w:ascii="Century Gothic" w:hAnsi="Century Gothic" w:cs="Arial"/>
          <w:sz w:val="24"/>
          <w:szCs w:val="24"/>
        </w:rPr>
        <w:t xml:space="preserve"> </w:t>
      </w:r>
      <w:r w:rsidR="00B9351E" w:rsidRPr="007172E3">
        <w:rPr>
          <w:rFonts w:ascii="Century Gothic" w:hAnsi="Century Gothic" w:cs="Arial"/>
          <w:sz w:val="24"/>
          <w:szCs w:val="24"/>
        </w:rPr>
        <w:t>la siguiente manera:</w:t>
      </w:r>
    </w:p>
    <w:p w14:paraId="12D23941" w14:textId="77777777" w:rsidR="001B0824" w:rsidRPr="007172E3" w:rsidRDefault="001B0824" w:rsidP="00BF09B5">
      <w:pPr>
        <w:jc w:val="both"/>
        <w:rPr>
          <w:rFonts w:ascii="Century Gothic" w:hAnsi="Century Gothic"/>
          <w:b/>
          <w:sz w:val="24"/>
          <w:szCs w:val="24"/>
        </w:rPr>
      </w:pPr>
    </w:p>
    <w:p w14:paraId="0A2B24E5" w14:textId="71C44D31" w:rsidR="00BF09B5" w:rsidRPr="007172E3" w:rsidRDefault="00BF09B5" w:rsidP="00606EFA">
      <w:pPr>
        <w:spacing w:line="360" w:lineRule="auto"/>
        <w:jc w:val="both"/>
        <w:rPr>
          <w:rFonts w:ascii="Century Gothic" w:hAnsi="Century Gothic"/>
          <w:sz w:val="24"/>
          <w:szCs w:val="24"/>
        </w:rPr>
      </w:pPr>
      <w:r w:rsidRPr="007172E3">
        <w:rPr>
          <w:rFonts w:ascii="Century Gothic" w:hAnsi="Century Gothic"/>
          <w:b/>
          <w:sz w:val="24"/>
          <w:szCs w:val="24"/>
        </w:rPr>
        <w:t>ARTÍCULO 44.</w:t>
      </w:r>
      <w:r w:rsidRPr="007172E3">
        <w:rPr>
          <w:rFonts w:ascii="Century Gothic" w:hAnsi="Century Gothic"/>
          <w:sz w:val="24"/>
          <w:szCs w:val="24"/>
        </w:rPr>
        <w:t xml:space="preserve">  </w:t>
      </w:r>
      <w:r w:rsidRPr="0048128D">
        <w:rPr>
          <w:rFonts w:ascii="Century Gothic" w:hAnsi="Century Gothic"/>
          <w:sz w:val="24"/>
          <w:szCs w:val="24"/>
        </w:rPr>
        <w:t>La recomendación será pública y autónoma, no tendrá carácter imperativo para la autoridad o servidor público a los cuales se dirigirá y, en consecuencia, no podrá por si misma anular, modificar, o dejar sin efecto las resoluciones o actos contra los cuales se hubiese presentado lo queja o denuncia.</w:t>
      </w:r>
    </w:p>
    <w:p w14:paraId="264C150C" w14:textId="69F4CDFB" w:rsidR="00BF09B5" w:rsidRPr="00413A67" w:rsidRDefault="00B654B4" w:rsidP="00606EFA">
      <w:pPr>
        <w:spacing w:line="360" w:lineRule="auto"/>
        <w:jc w:val="both"/>
        <w:rPr>
          <w:rFonts w:ascii="Century Gothic" w:hAnsi="Century Gothic"/>
          <w:b/>
          <w:sz w:val="24"/>
          <w:szCs w:val="24"/>
          <w:lang w:val="es-ES" w:eastAsia="es-ES"/>
        </w:rPr>
      </w:pPr>
      <w:r>
        <w:rPr>
          <w:rFonts w:ascii="Century Gothic" w:hAnsi="Century Gothic"/>
          <w:b/>
          <w:sz w:val="24"/>
          <w:szCs w:val="24"/>
          <w:lang w:val="es-ES" w:eastAsia="es-ES"/>
        </w:rPr>
        <w:t xml:space="preserve">Una </w:t>
      </w:r>
      <w:r w:rsidR="003A3220">
        <w:rPr>
          <w:rFonts w:ascii="Century Gothic" w:hAnsi="Century Gothic"/>
          <w:b/>
          <w:sz w:val="24"/>
          <w:szCs w:val="24"/>
          <w:lang w:val="es-ES" w:eastAsia="es-ES"/>
        </w:rPr>
        <w:t>v</w:t>
      </w:r>
      <w:r w:rsidR="00BF09B5" w:rsidRPr="00413A67">
        <w:rPr>
          <w:rFonts w:ascii="Century Gothic" w:hAnsi="Century Gothic"/>
          <w:b/>
          <w:sz w:val="24"/>
          <w:szCs w:val="24"/>
          <w:lang w:val="es-ES" w:eastAsia="es-ES"/>
        </w:rPr>
        <w:t>ez aceptada</w:t>
      </w:r>
      <w:r w:rsidR="003608DE" w:rsidRPr="00413A67">
        <w:rPr>
          <w:rFonts w:ascii="Century Gothic" w:hAnsi="Century Gothic"/>
          <w:b/>
          <w:sz w:val="24"/>
          <w:szCs w:val="24"/>
          <w:lang w:val="es-ES" w:eastAsia="es-ES"/>
        </w:rPr>
        <w:t xml:space="preserve"> la </w:t>
      </w:r>
      <w:r w:rsidR="00D056FE" w:rsidRPr="00413A67">
        <w:rPr>
          <w:rFonts w:ascii="Century Gothic" w:hAnsi="Century Gothic"/>
          <w:b/>
          <w:sz w:val="24"/>
          <w:szCs w:val="24"/>
          <w:lang w:val="es-ES" w:eastAsia="es-ES"/>
        </w:rPr>
        <w:t>recomendación, todas</w:t>
      </w:r>
      <w:r w:rsidR="00BF09B5" w:rsidRPr="00413A67">
        <w:rPr>
          <w:rFonts w:ascii="Century Gothic" w:hAnsi="Century Gothic"/>
          <w:b/>
          <w:sz w:val="24"/>
          <w:szCs w:val="24"/>
          <w:lang w:val="es-ES" w:eastAsia="es-ES"/>
        </w:rPr>
        <w:t xml:space="preserve"> las autoridades o servidores públicos están obligados jurídicamente a responder, cumplirlas en sus términos y a dar publicidad a las acciones llevadas a cabo para la protección o restitución de los derechos humanos, constituyendo la aceptación un derecho a favor de las víctimas</w:t>
      </w:r>
      <w:r w:rsidR="00606EFA" w:rsidRPr="00413A67">
        <w:rPr>
          <w:rFonts w:ascii="Century Gothic" w:hAnsi="Century Gothic"/>
          <w:b/>
          <w:sz w:val="24"/>
          <w:szCs w:val="24"/>
          <w:lang w:val="es-ES" w:eastAsia="es-ES"/>
        </w:rPr>
        <w:t xml:space="preserve"> que podrá ejercerlo ante las autoridades competentes para en caso de incumplimiento.</w:t>
      </w:r>
    </w:p>
    <w:p w14:paraId="495ED840" w14:textId="46FE3F00" w:rsidR="00C870C8" w:rsidRPr="007172E3" w:rsidRDefault="00B636D5" w:rsidP="00C870C8">
      <w:pPr>
        <w:spacing w:line="360" w:lineRule="auto"/>
        <w:jc w:val="both"/>
        <w:rPr>
          <w:rFonts w:ascii="Century Gothic" w:hAnsi="Century Gothic" w:cs="Arial"/>
          <w:b/>
          <w:sz w:val="24"/>
          <w:szCs w:val="24"/>
        </w:rPr>
      </w:pPr>
      <w:r w:rsidRPr="00413A67">
        <w:rPr>
          <w:rFonts w:ascii="Century Gothic" w:hAnsi="Century Gothic"/>
          <w:b/>
          <w:sz w:val="24"/>
          <w:szCs w:val="24"/>
          <w:lang w:val="es-ES" w:eastAsia="es-ES"/>
        </w:rPr>
        <w:t xml:space="preserve">La </w:t>
      </w:r>
      <w:r w:rsidR="000928FC" w:rsidRPr="00413A67">
        <w:rPr>
          <w:rFonts w:ascii="Century Gothic" w:hAnsi="Century Gothic"/>
          <w:b/>
          <w:sz w:val="24"/>
          <w:szCs w:val="24"/>
          <w:lang w:val="es-ES" w:eastAsia="es-ES"/>
        </w:rPr>
        <w:t>Comisión</w:t>
      </w:r>
      <w:r w:rsidRPr="00413A67">
        <w:rPr>
          <w:rFonts w:ascii="Century Gothic" w:hAnsi="Century Gothic"/>
          <w:b/>
          <w:sz w:val="24"/>
          <w:szCs w:val="24"/>
          <w:lang w:val="es-ES" w:eastAsia="es-ES"/>
        </w:rPr>
        <w:t xml:space="preserve"> deberá informar en forma personal a </w:t>
      </w:r>
      <w:r w:rsidR="003608DE" w:rsidRPr="00413A67">
        <w:rPr>
          <w:rFonts w:ascii="Century Gothic" w:hAnsi="Century Gothic"/>
          <w:b/>
          <w:sz w:val="24"/>
          <w:szCs w:val="24"/>
          <w:lang w:val="es-ES" w:eastAsia="es-ES"/>
        </w:rPr>
        <w:t xml:space="preserve">la parte </w:t>
      </w:r>
      <w:r w:rsidRPr="00413A67">
        <w:rPr>
          <w:rFonts w:ascii="Century Gothic" w:hAnsi="Century Gothic"/>
          <w:b/>
          <w:sz w:val="24"/>
          <w:szCs w:val="24"/>
          <w:lang w:val="es-ES" w:eastAsia="es-ES"/>
        </w:rPr>
        <w:t>quejos</w:t>
      </w:r>
      <w:r w:rsidR="003608DE" w:rsidRPr="00413A67">
        <w:rPr>
          <w:rFonts w:ascii="Century Gothic" w:hAnsi="Century Gothic"/>
          <w:b/>
          <w:sz w:val="24"/>
          <w:szCs w:val="24"/>
          <w:lang w:val="es-ES" w:eastAsia="es-ES"/>
        </w:rPr>
        <w:t>a</w:t>
      </w:r>
      <w:r w:rsidRPr="00413A67">
        <w:rPr>
          <w:rFonts w:ascii="Century Gothic" w:hAnsi="Century Gothic"/>
          <w:b/>
          <w:sz w:val="24"/>
          <w:szCs w:val="24"/>
          <w:lang w:val="es-ES" w:eastAsia="es-ES"/>
        </w:rPr>
        <w:t xml:space="preserve"> la aceptación </w:t>
      </w:r>
      <w:r w:rsidR="00F900C5">
        <w:rPr>
          <w:rFonts w:ascii="Century Gothic" w:hAnsi="Century Gothic"/>
          <w:b/>
          <w:sz w:val="24"/>
          <w:szCs w:val="24"/>
          <w:lang w:val="es-ES" w:eastAsia="es-ES"/>
        </w:rPr>
        <w:t xml:space="preserve">de </w:t>
      </w:r>
      <w:r w:rsidRPr="00413A67">
        <w:rPr>
          <w:rFonts w:ascii="Century Gothic" w:hAnsi="Century Gothic"/>
          <w:b/>
          <w:sz w:val="24"/>
          <w:szCs w:val="24"/>
          <w:lang w:val="es-ES" w:eastAsia="es-ES"/>
        </w:rPr>
        <w:t xml:space="preserve">las autoridades y servidores a las recomendaciones </w:t>
      </w:r>
      <w:r w:rsidR="00C870C8" w:rsidRPr="007172E3">
        <w:rPr>
          <w:rFonts w:ascii="Century Gothic" w:hAnsi="Century Gothic" w:cs="Arial"/>
          <w:b/>
          <w:sz w:val="24"/>
          <w:szCs w:val="24"/>
        </w:rPr>
        <w:t xml:space="preserve">y verificar el cumplimiento, para lo cual, </w:t>
      </w:r>
      <w:r w:rsidR="00C870C8">
        <w:rPr>
          <w:rFonts w:ascii="Century Gothic" w:hAnsi="Century Gothic" w:cs="Arial"/>
          <w:b/>
          <w:sz w:val="24"/>
          <w:szCs w:val="24"/>
        </w:rPr>
        <w:t>debe</w:t>
      </w:r>
      <w:r w:rsidR="00C870C8" w:rsidRPr="007172E3">
        <w:rPr>
          <w:rFonts w:ascii="Century Gothic" w:hAnsi="Century Gothic" w:cs="Arial"/>
          <w:b/>
          <w:sz w:val="24"/>
          <w:szCs w:val="24"/>
        </w:rPr>
        <w:t xml:space="preserve"> realizar toda clase de actuaciones, gestiones o diligencias de oficio o a petición de parte. </w:t>
      </w:r>
    </w:p>
    <w:p w14:paraId="7F2F0E32" w14:textId="569AF3A7" w:rsidR="00BF09B5" w:rsidRPr="007172E3" w:rsidRDefault="00BF09B5" w:rsidP="00606EFA">
      <w:pPr>
        <w:spacing w:line="360" w:lineRule="auto"/>
        <w:jc w:val="both"/>
        <w:rPr>
          <w:rFonts w:ascii="Century Gothic" w:hAnsi="Century Gothic"/>
          <w:sz w:val="24"/>
          <w:szCs w:val="24"/>
        </w:rPr>
      </w:pPr>
      <w:r w:rsidRPr="007172E3">
        <w:rPr>
          <w:rFonts w:ascii="Century Gothic" w:hAnsi="Century Gothic"/>
          <w:sz w:val="24"/>
          <w:szCs w:val="24"/>
        </w:rPr>
        <w:t xml:space="preserve">En todo caso, una vez recibida, la autoridad o servidor público de que se trate informará, dentro de los quince días hábiles siguientes a su notificación, si acepta dicha recomendación. Entregará, en su caso, en otros quince </w:t>
      </w:r>
      <w:r w:rsidR="001B0824" w:rsidRPr="007172E3">
        <w:rPr>
          <w:rFonts w:ascii="Century Gothic" w:hAnsi="Century Gothic"/>
          <w:sz w:val="24"/>
          <w:szCs w:val="24"/>
        </w:rPr>
        <w:t>días adicionales</w:t>
      </w:r>
      <w:r w:rsidRPr="007172E3">
        <w:rPr>
          <w:rFonts w:ascii="Century Gothic" w:hAnsi="Century Gothic"/>
          <w:sz w:val="24"/>
          <w:szCs w:val="24"/>
        </w:rPr>
        <w:t xml:space="preserve"> las pruebas correspondientes de que ha cumplido con la recomendación. Dicho plazo podrá ser ampliado cuando la naturaleza de la recomendación así lo amerite.</w:t>
      </w:r>
    </w:p>
    <w:p w14:paraId="4574686D" w14:textId="385D833E" w:rsidR="00DF19C6" w:rsidRPr="00413A67" w:rsidRDefault="00BF09B5" w:rsidP="00606EFA">
      <w:pPr>
        <w:pStyle w:val="Prrafodelista"/>
        <w:spacing w:after="0" w:line="360" w:lineRule="auto"/>
        <w:ind w:left="0"/>
        <w:jc w:val="both"/>
        <w:rPr>
          <w:rFonts w:ascii="Century Gothic" w:hAnsi="Century Gothic" w:cs="Arial"/>
          <w:b/>
          <w:sz w:val="24"/>
          <w:szCs w:val="24"/>
        </w:rPr>
      </w:pPr>
      <w:r w:rsidRPr="007172E3">
        <w:rPr>
          <w:rFonts w:ascii="Century Gothic" w:hAnsi="Century Gothic" w:cs="Arial"/>
          <w:sz w:val="24"/>
          <w:szCs w:val="24"/>
          <w:lang w:val="es-ES"/>
        </w:rPr>
        <w:t>Todo servidor público está obligado a responder las recomendaciones que le presente la Comisión.</w:t>
      </w:r>
      <w:r w:rsidR="00980795">
        <w:rPr>
          <w:rFonts w:ascii="Century Gothic" w:hAnsi="Century Gothic" w:cs="Arial"/>
          <w:sz w:val="24"/>
          <w:szCs w:val="24"/>
          <w:lang w:val="es-ES"/>
        </w:rPr>
        <w:t xml:space="preserve"> </w:t>
      </w:r>
      <w:r w:rsidRPr="00413A67">
        <w:rPr>
          <w:rFonts w:ascii="Century Gothic" w:hAnsi="Century Gothic" w:cs="Arial"/>
          <w:b/>
          <w:sz w:val="24"/>
          <w:szCs w:val="24"/>
        </w:rPr>
        <w:t xml:space="preserve">La rendición del informe sobre la aceptación o no de la </w:t>
      </w:r>
      <w:r w:rsidR="00970BAE">
        <w:rPr>
          <w:rFonts w:ascii="Century Gothic" w:hAnsi="Century Gothic" w:cs="Arial"/>
          <w:b/>
          <w:sz w:val="24"/>
          <w:szCs w:val="24"/>
        </w:rPr>
        <w:t>r</w:t>
      </w:r>
      <w:r w:rsidRPr="00413A67">
        <w:rPr>
          <w:rFonts w:ascii="Century Gothic" w:hAnsi="Century Gothic" w:cs="Arial"/>
          <w:b/>
          <w:sz w:val="24"/>
          <w:szCs w:val="24"/>
        </w:rPr>
        <w:t>ecomendación</w:t>
      </w:r>
      <w:r w:rsidR="001B0824" w:rsidRPr="00413A67">
        <w:rPr>
          <w:rFonts w:ascii="Century Gothic" w:hAnsi="Century Gothic" w:cs="Arial"/>
          <w:b/>
          <w:sz w:val="24"/>
          <w:szCs w:val="24"/>
        </w:rPr>
        <w:t xml:space="preserve"> </w:t>
      </w:r>
      <w:r w:rsidRPr="00413A67">
        <w:rPr>
          <w:rFonts w:ascii="Century Gothic" w:hAnsi="Century Gothic" w:cs="Arial"/>
          <w:b/>
          <w:sz w:val="24"/>
          <w:szCs w:val="24"/>
        </w:rPr>
        <w:t>no podrá ser delegada</w:t>
      </w:r>
      <w:r w:rsidR="001B0824" w:rsidRPr="00413A67">
        <w:rPr>
          <w:rFonts w:ascii="Century Gothic" w:hAnsi="Century Gothic" w:cs="Arial"/>
          <w:b/>
          <w:sz w:val="24"/>
          <w:szCs w:val="24"/>
        </w:rPr>
        <w:t xml:space="preserve">; </w:t>
      </w:r>
      <w:r w:rsidR="000928FC" w:rsidRPr="00413A67">
        <w:rPr>
          <w:rFonts w:ascii="Century Gothic" w:hAnsi="Century Gothic" w:cs="Arial"/>
          <w:b/>
          <w:sz w:val="24"/>
          <w:szCs w:val="24"/>
        </w:rPr>
        <w:t>Así</w:t>
      </w:r>
      <w:r w:rsidR="00DF19C6" w:rsidRPr="00413A67">
        <w:rPr>
          <w:rFonts w:ascii="Century Gothic" w:hAnsi="Century Gothic" w:cs="Arial"/>
          <w:b/>
          <w:sz w:val="24"/>
          <w:szCs w:val="24"/>
        </w:rPr>
        <w:t xml:space="preserve"> también la falta de comunicación de aceptación, dará lugar a que se interprete que fue aceptada, asumiendo la autoridad a la cual fue dirigida, el compromiso de darle cumplimiento. </w:t>
      </w:r>
    </w:p>
    <w:p w14:paraId="69BDC103" w14:textId="7C9CD8BA" w:rsidR="00A63B53" w:rsidRPr="007172E3" w:rsidRDefault="00BF09B5" w:rsidP="00606EFA">
      <w:pPr>
        <w:pStyle w:val="Prrafodelista"/>
        <w:spacing w:after="0" w:line="360" w:lineRule="auto"/>
        <w:ind w:left="0"/>
        <w:jc w:val="both"/>
        <w:rPr>
          <w:rFonts w:ascii="Century Gothic" w:hAnsi="Century Gothic"/>
          <w:sz w:val="24"/>
          <w:szCs w:val="24"/>
        </w:rPr>
      </w:pPr>
      <w:r w:rsidRPr="007172E3">
        <w:rPr>
          <w:rFonts w:ascii="Century Gothic" w:hAnsi="Century Gothic" w:cs="Arial"/>
          <w:sz w:val="24"/>
          <w:szCs w:val="24"/>
          <w:lang w:val="es-ES"/>
        </w:rPr>
        <w:t xml:space="preserve">Cuando las recomendaciones emitidas no sean aceptadas o cumplidas por las autoridades o servidores públicos, éstos deberán fundar, motivar y hacer pública su negativa; además, el Congreso del Estado o la Diputación Permanente, en su caso, podrá llamar, a solicitud de la Comisión, a las autoridades o servidores públicos responsables para que comparezcan ante el Pleno Legislativo, a efecto de que expliquen el motivo de su negativa. </w:t>
      </w:r>
    </w:p>
    <w:p w14:paraId="333FB80C" w14:textId="77777777" w:rsidR="0048128D" w:rsidRDefault="0048128D" w:rsidP="00606EFA">
      <w:pPr>
        <w:spacing w:line="360" w:lineRule="auto"/>
        <w:jc w:val="both"/>
        <w:rPr>
          <w:rFonts w:ascii="Century Gothic" w:hAnsi="Century Gothic" w:cs="Arial"/>
          <w:b/>
          <w:bCs/>
          <w:sz w:val="24"/>
          <w:szCs w:val="24"/>
        </w:rPr>
      </w:pPr>
    </w:p>
    <w:p w14:paraId="041BCEE4" w14:textId="7F4FE887" w:rsidR="00DF19C6" w:rsidRPr="007172E3" w:rsidRDefault="000928FC" w:rsidP="00606EFA">
      <w:pPr>
        <w:spacing w:line="360" w:lineRule="auto"/>
        <w:jc w:val="both"/>
        <w:rPr>
          <w:rFonts w:ascii="Century Gothic" w:hAnsi="Century Gothic" w:cs="Arial"/>
          <w:b/>
          <w:sz w:val="24"/>
          <w:szCs w:val="24"/>
        </w:rPr>
      </w:pPr>
      <w:r w:rsidRPr="007172E3">
        <w:rPr>
          <w:rFonts w:ascii="Century Gothic" w:hAnsi="Century Gothic" w:cs="Arial"/>
          <w:b/>
          <w:bCs/>
          <w:sz w:val="24"/>
          <w:szCs w:val="24"/>
        </w:rPr>
        <w:t xml:space="preserve">ARTÍCULO </w:t>
      </w:r>
      <w:r w:rsidR="00DF19C6" w:rsidRPr="007172E3">
        <w:rPr>
          <w:rFonts w:ascii="Century Gothic" w:hAnsi="Century Gothic" w:cs="Arial"/>
          <w:b/>
          <w:bCs/>
          <w:sz w:val="24"/>
          <w:szCs w:val="24"/>
        </w:rPr>
        <w:t xml:space="preserve">44 </w:t>
      </w:r>
      <w:r w:rsidR="0024074E" w:rsidRPr="007172E3">
        <w:rPr>
          <w:rFonts w:ascii="Century Gothic" w:hAnsi="Century Gothic" w:cs="Arial"/>
          <w:b/>
          <w:bCs/>
          <w:sz w:val="24"/>
          <w:szCs w:val="24"/>
        </w:rPr>
        <w:t>bis</w:t>
      </w:r>
      <w:r w:rsidR="0048128D">
        <w:rPr>
          <w:rFonts w:ascii="Century Gothic" w:hAnsi="Century Gothic" w:cs="Arial"/>
          <w:b/>
          <w:bCs/>
          <w:sz w:val="24"/>
          <w:szCs w:val="24"/>
        </w:rPr>
        <w:t>.</w:t>
      </w:r>
      <w:r w:rsidR="00DF19C6" w:rsidRPr="007172E3">
        <w:rPr>
          <w:rFonts w:ascii="Century Gothic" w:hAnsi="Century Gothic" w:cs="Arial"/>
          <w:b/>
          <w:sz w:val="24"/>
          <w:szCs w:val="24"/>
        </w:rPr>
        <w:t xml:space="preserve"> Cuando la </w:t>
      </w:r>
      <w:r w:rsidR="0011471E">
        <w:rPr>
          <w:rFonts w:ascii="Century Gothic" w:hAnsi="Century Gothic" w:cs="Arial"/>
          <w:b/>
          <w:sz w:val="24"/>
          <w:szCs w:val="24"/>
        </w:rPr>
        <w:t>r</w:t>
      </w:r>
      <w:r w:rsidR="00DF19C6" w:rsidRPr="007172E3">
        <w:rPr>
          <w:rFonts w:ascii="Century Gothic" w:hAnsi="Century Gothic" w:cs="Arial"/>
          <w:b/>
          <w:sz w:val="24"/>
          <w:szCs w:val="24"/>
        </w:rPr>
        <w:t>ecomendación haya sido aceptada, a petición del quejoso</w:t>
      </w:r>
      <w:r w:rsidR="0024074E">
        <w:rPr>
          <w:rFonts w:ascii="Century Gothic" w:hAnsi="Century Gothic" w:cs="Arial"/>
          <w:b/>
          <w:sz w:val="24"/>
          <w:szCs w:val="24"/>
        </w:rPr>
        <w:t xml:space="preserve"> o la </w:t>
      </w:r>
      <w:r w:rsidR="00F3203B">
        <w:rPr>
          <w:rFonts w:ascii="Century Gothic" w:hAnsi="Century Gothic" w:cs="Arial"/>
          <w:b/>
          <w:sz w:val="24"/>
          <w:szCs w:val="24"/>
        </w:rPr>
        <w:t xml:space="preserve">autoridad, </w:t>
      </w:r>
      <w:r w:rsidR="00F3203B" w:rsidRPr="007172E3">
        <w:rPr>
          <w:rFonts w:ascii="Century Gothic" w:hAnsi="Century Gothic" w:cs="Arial"/>
          <w:b/>
          <w:sz w:val="24"/>
          <w:szCs w:val="24"/>
        </w:rPr>
        <w:t>y</w:t>
      </w:r>
      <w:r w:rsidR="00DF19C6" w:rsidRPr="007172E3">
        <w:rPr>
          <w:rFonts w:ascii="Century Gothic" w:hAnsi="Century Gothic" w:cs="Arial"/>
          <w:b/>
          <w:sz w:val="24"/>
          <w:szCs w:val="24"/>
        </w:rPr>
        <w:t xml:space="preserve"> de no haber objeción por </w:t>
      </w:r>
      <w:r w:rsidR="0024074E">
        <w:rPr>
          <w:rFonts w:ascii="Century Gothic" w:hAnsi="Century Gothic" w:cs="Arial"/>
          <w:b/>
          <w:sz w:val="24"/>
          <w:szCs w:val="24"/>
        </w:rPr>
        <w:t xml:space="preserve">una de las </w:t>
      </w:r>
      <w:r w:rsidR="00DF19C6" w:rsidRPr="007172E3">
        <w:rPr>
          <w:rFonts w:ascii="Century Gothic" w:hAnsi="Century Gothic" w:cs="Arial"/>
          <w:b/>
          <w:sz w:val="24"/>
          <w:szCs w:val="24"/>
        </w:rPr>
        <w:t>parte</w:t>
      </w:r>
      <w:r w:rsidR="0024074E">
        <w:rPr>
          <w:rFonts w:ascii="Century Gothic" w:hAnsi="Century Gothic" w:cs="Arial"/>
          <w:b/>
          <w:sz w:val="24"/>
          <w:szCs w:val="24"/>
        </w:rPr>
        <w:t xml:space="preserve">s, </w:t>
      </w:r>
      <w:r w:rsidR="00DF19C6" w:rsidRPr="007172E3">
        <w:rPr>
          <w:rFonts w:ascii="Century Gothic" w:hAnsi="Century Gothic" w:cs="Arial"/>
          <w:b/>
          <w:sz w:val="24"/>
          <w:szCs w:val="24"/>
        </w:rPr>
        <w:t>s</w:t>
      </w:r>
      <w:r w:rsidR="0024074E">
        <w:rPr>
          <w:rFonts w:ascii="Century Gothic" w:hAnsi="Century Gothic" w:cs="Arial"/>
          <w:b/>
          <w:sz w:val="24"/>
          <w:szCs w:val="24"/>
        </w:rPr>
        <w:t xml:space="preserve">u cumplimiento se podrá sustituir </w:t>
      </w:r>
      <w:r w:rsidR="00DF19C6" w:rsidRPr="007172E3">
        <w:rPr>
          <w:rFonts w:ascii="Century Gothic" w:hAnsi="Century Gothic" w:cs="Arial"/>
          <w:b/>
          <w:sz w:val="24"/>
          <w:szCs w:val="24"/>
        </w:rPr>
        <w:t xml:space="preserve">por un convenio, cuyo seguimiento estará a cargo de la Comisión. </w:t>
      </w:r>
    </w:p>
    <w:p w14:paraId="39DCA16C" w14:textId="6888A33B" w:rsidR="00DF19C6" w:rsidRDefault="00DF19C6" w:rsidP="00606EFA">
      <w:pPr>
        <w:spacing w:line="360" w:lineRule="auto"/>
        <w:jc w:val="both"/>
        <w:rPr>
          <w:rFonts w:ascii="Century Gothic" w:hAnsi="Century Gothic" w:cs="Arial"/>
          <w:b/>
          <w:sz w:val="24"/>
          <w:szCs w:val="24"/>
        </w:rPr>
      </w:pPr>
      <w:r w:rsidRPr="007172E3">
        <w:rPr>
          <w:rFonts w:ascii="Century Gothic" w:hAnsi="Century Gothic" w:cs="Arial"/>
          <w:b/>
          <w:sz w:val="24"/>
          <w:szCs w:val="24"/>
        </w:rPr>
        <w:t xml:space="preserve">En caso de incumplimiento del convenio, se procederá en términos de lo dispuesto en del </w:t>
      </w:r>
      <w:r w:rsidR="00774488" w:rsidRPr="007172E3">
        <w:rPr>
          <w:rFonts w:ascii="Century Gothic" w:hAnsi="Century Gothic" w:cs="Arial"/>
          <w:b/>
          <w:sz w:val="24"/>
          <w:szCs w:val="24"/>
        </w:rPr>
        <w:t>artículo</w:t>
      </w:r>
      <w:r w:rsidRPr="007172E3">
        <w:rPr>
          <w:rFonts w:ascii="Century Gothic" w:hAnsi="Century Gothic" w:cs="Arial"/>
          <w:b/>
          <w:sz w:val="24"/>
          <w:szCs w:val="24"/>
        </w:rPr>
        <w:t xml:space="preserve"> anterior, con independencia de hacer pública dicha circunstancia.</w:t>
      </w:r>
    </w:p>
    <w:p w14:paraId="5CEB0CD6" w14:textId="77777777" w:rsidR="00047205" w:rsidRPr="007172E3" w:rsidRDefault="00047205" w:rsidP="00A238AA">
      <w:pPr>
        <w:spacing w:line="240" w:lineRule="atLeast"/>
        <w:jc w:val="both"/>
        <w:rPr>
          <w:rFonts w:ascii="Century Gothic" w:hAnsi="Century Gothic" w:cs="Arial"/>
          <w:b/>
          <w:sz w:val="24"/>
          <w:szCs w:val="24"/>
        </w:rPr>
      </w:pPr>
    </w:p>
    <w:p w14:paraId="6EDBF11C" w14:textId="405857FE" w:rsidR="00E83CB5" w:rsidRDefault="00E83CB5" w:rsidP="00606EFA">
      <w:pPr>
        <w:spacing w:line="360" w:lineRule="auto"/>
        <w:jc w:val="both"/>
        <w:rPr>
          <w:rFonts w:ascii="Century Gothic" w:hAnsi="Century Gothic" w:cs="Arial"/>
          <w:bCs/>
          <w:sz w:val="24"/>
          <w:szCs w:val="24"/>
        </w:rPr>
      </w:pPr>
      <w:r w:rsidRPr="007172E3">
        <w:rPr>
          <w:rFonts w:ascii="Century Gothic" w:hAnsi="Century Gothic" w:cs="Arial"/>
          <w:b/>
          <w:bCs/>
          <w:sz w:val="24"/>
          <w:szCs w:val="24"/>
        </w:rPr>
        <w:t>ARTÍCULO 56.</w:t>
      </w:r>
      <w:r w:rsidRPr="007172E3">
        <w:rPr>
          <w:rFonts w:ascii="Century Gothic" w:hAnsi="Century Gothic" w:cs="Arial"/>
          <w:bCs/>
          <w:sz w:val="24"/>
          <w:szCs w:val="24"/>
        </w:rPr>
        <w:t xml:space="preserve"> Las autoridades y los servidores públicos serán responsables penal y administrativamente por los actos u omisiones en que incurran durante y con motivo de </w:t>
      </w:r>
      <w:r w:rsidRPr="007172E3">
        <w:rPr>
          <w:rFonts w:ascii="Century Gothic" w:hAnsi="Century Gothic" w:cs="Arial"/>
          <w:b/>
          <w:bCs/>
          <w:sz w:val="24"/>
          <w:szCs w:val="24"/>
        </w:rPr>
        <w:t xml:space="preserve">los procedimientos seguidos ante la Comisión Estatal de los Derechos Humanos, </w:t>
      </w:r>
      <w:r w:rsidR="000928FC" w:rsidRPr="007172E3">
        <w:rPr>
          <w:rFonts w:ascii="Century Gothic" w:hAnsi="Century Gothic" w:cs="Arial"/>
          <w:b/>
          <w:bCs/>
          <w:sz w:val="24"/>
          <w:szCs w:val="24"/>
        </w:rPr>
        <w:t>así</w:t>
      </w:r>
      <w:r w:rsidRPr="007172E3">
        <w:rPr>
          <w:rFonts w:ascii="Century Gothic" w:hAnsi="Century Gothic" w:cs="Arial"/>
          <w:b/>
          <w:bCs/>
          <w:sz w:val="24"/>
          <w:szCs w:val="24"/>
        </w:rPr>
        <w:t xml:space="preserve"> como </w:t>
      </w:r>
      <w:r w:rsidR="0011471E">
        <w:rPr>
          <w:rFonts w:ascii="Century Gothic" w:hAnsi="Century Gothic" w:cs="Arial"/>
          <w:b/>
          <w:bCs/>
          <w:sz w:val="24"/>
          <w:szCs w:val="24"/>
        </w:rPr>
        <w:t xml:space="preserve">del </w:t>
      </w:r>
      <w:r w:rsidRPr="007172E3">
        <w:rPr>
          <w:rFonts w:ascii="Century Gothic" w:hAnsi="Century Gothic" w:cs="Arial"/>
          <w:b/>
          <w:bCs/>
          <w:sz w:val="24"/>
          <w:szCs w:val="24"/>
        </w:rPr>
        <w:t xml:space="preserve">incumplimiento de las </w:t>
      </w:r>
      <w:r w:rsidR="0011471E">
        <w:rPr>
          <w:rFonts w:ascii="Century Gothic" w:hAnsi="Century Gothic" w:cs="Arial"/>
          <w:b/>
          <w:bCs/>
          <w:sz w:val="24"/>
          <w:szCs w:val="24"/>
        </w:rPr>
        <w:t>r</w:t>
      </w:r>
      <w:r w:rsidRPr="007172E3">
        <w:rPr>
          <w:rFonts w:ascii="Century Gothic" w:hAnsi="Century Gothic" w:cs="Arial"/>
          <w:b/>
          <w:bCs/>
          <w:sz w:val="24"/>
          <w:szCs w:val="24"/>
        </w:rPr>
        <w:t>ecomendaciones aceptadas</w:t>
      </w:r>
      <w:r w:rsidRPr="007172E3">
        <w:rPr>
          <w:rFonts w:ascii="Century Gothic" w:hAnsi="Century Gothic" w:cs="Arial"/>
          <w:bCs/>
          <w:sz w:val="24"/>
          <w:szCs w:val="24"/>
        </w:rPr>
        <w:t>, de acuerdo con las disposiciones constitucionales y legales aplicables.</w:t>
      </w:r>
    </w:p>
    <w:p w14:paraId="1834747B" w14:textId="77777777" w:rsidR="00047205" w:rsidRPr="007172E3" w:rsidRDefault="00047205" w:rsidP="00606EFA">
      <w:pPr>
        <w:spacing w:line="360" w:lineRule="auto"/>
        <w:jc w:val="both"/>
        <w:rPr>
          <w:rFonts w:ascii="Century Gothic" w:hAnsi="Century Gothic" w:cs="Arial"/>
          <w:bCs/>
          <w:sz w:val="24"/>
          <w:szCs w:val="24"/>
        </w:rPr>
      </w:pPr>
    </w:p>
    <w:p w14:paraId="01D6F965" w14:textId="164C3084" w:rsidR="005967A0" w:rsidRPr="007172E3" w:rsidRDefault="005967A0" w:rsidP="00606EFA">
      <w:pPr>
        <w:spacing w:line="360" w:lineRule="auto"/>
        <w:jc w:val="both"/>
        <w:rPr>
          <w:rFonts w:ascii="Century Gothic" w:hAnsi="Century Gothic"/>
          <w:sz w:val="24"/>
          <w:szCs w:val="24"/>
        </w:rPr>
      </w:pPr>
      <w:r w:rsidRPr="007172E3">
        <w:rPr>
          <w:rFonts w:ascii="Century Gothic" w:hAnsi="Century Gothic"/>
          <w:b/>
          <w:sz w:val="24"/>
          <w:szCs w:val="24"/>
        </w:rPr>
        <w:t>ARTÍCULO 57.</w:t>
      </w:r>
      <w:r w:rsidRPr="007172E3">
        <w:rPr>
          <w:rFonts w:ascii="Century Gothic" w:hAnsi="Century Gothic"/>
          <w:sz w:val="24"/>
          <w:szCs w:val="24"/>
        </w:rPr>
        <w:t xml:space="preserve"> </w:t>
      </w:r>
      <w:smartTag w:uri="urn:schemas-microsoft-com:office:smarttags" w:element="PersonName">
        <w:smartTagPr>
          <w:attr w:name="ProductID" w:val="la Comisi￳n Estatal"/>
        </w:smartTagPr>
        <w:r w:rsidRPr="007172E3">
          <w:rPr>
            <w:rFonts w:ascii="Century Gothic" w:hAnsi="Century Gothic"/>
            <w:sz w:val="24"/>
            <w:szCs w:val="24"/>
          </w:rPr>
          <w:t>La Comisión Estatal</w:t>
        </w:r>
      </w:smartTag>
      <w:r w:rsidRPr="007172E3">
        <w:rPr>
          <w:rFonts w:ascii="Century Gothic" w:hAnsi="Century Gothic"/>
          <w:sz w:val="24"/>
          <w:szCs w:val="24"/>
        </w:rPr>
        <w:t xml:space="preserve"> podrá rendir informe especial cuando persistan actitudes u omisiones que impliquen conductas evasivas o de entorpecimiento por parte de las autoridades y servidores públicos que deban intervenir o colaborar en sus investigaciones, no </w:t>
      </w:r>
      <w:r w:rsidR="00D22698" w:rsidRPr="007172E3">
        <w:rPr>
          <w:rFonts w:ascii="Century Gothic" w:hAnsi="Century Gothic"/>
          <w:sz w:val="24"/>
          <w:szCs w:val="24"/>
        </w:rPr>
        <w:t>obstante,</w:t>
      </w:r>
      <w:r w:rsidRPr="007172E3">
        <w:rPr>
          <w:rFonts w:ascii="Century Gothic" w:hAnsi="Century Gothic"/>
          <w:sz w:val="24"/>
          <w:szCs w:val="24"/>
        </w:rPr>
        <w:t xml:space="preserve"> los requerimientos que esta les hubiere formulado.</w:t>
      </w:r>
    </w:p>
    <w:p w14:paraId="061690D7" w14:textId="77777777" w:rsidR="005967A0" w:rsidRPr="007172E3" w:rsidRDefault="005967A0" w:rsidP="00606EFA">
      <w:pPr>
        <w:spacing w:line="360" w:lineRule="auto"/>
        <w:jc w:val="both"/>
        <w:rPr>
          <w:rFonts w:ascii="Century Gothic" w:hAnsi="Century Gothic"/>
          <w:sz w:val="24"/>
          <w:szCs w:val="24"/>
        </w:rPr>
      </w:pPr>
      <w:r w:rsidRPr="007172E3">
        <w:rPr>
          <w:rFonts w:ascii="Century Gothic" w:hAnsi="Century Gothic"/>
          <w:sz w:val="24"/>
          <w:szCs w:val="24"/>
        </w:rPr>
        <w:t>La Comisión Estatal denunciará ante los órganos competentes los delitos o faltas que, independientemente de dichas conductas o actitudes, hubiesen cometido las autoridades o servidores públicos de que se trate.</w:t>
      </w:r>
    </w:p>
    <w:p w14:paraId="05DC0F1D" w14:textId="427F99EA" w:rsidR="005967A0" w:rsidRPr="007172E3" w:rsidRDefault="005967A0" w:rsidP="00606EFA">
      <w:pPr>
        <w:spacing w:line="360" w:lineRule="auto"/>
        <w:jc w:val="both"/>
        <w:rPr>
          <w:rFonts w:ascii="Century Gothic" w:hAnsi="Century Gothic"/>
          <w:b/>
          <w:sz w:val="24"/>
          <w:szCs w:val="24"/>
        </w:rPr>
      </w:pPr>
      <w:r w:rsidRPr="007172E3">
        <w:rPr>
          <w:rFonts w:ascii="Century Gothic" w:hAnsi="Century Gothic"/>
          <w:b/>
          <w:sz w:val="24"/>
          <w:szCs w:val="24"/>
        </w:rPr>
        <w:t>La misma obligación de oficio o a petición de parte tendrá, en los casos de recomendaciones aceptadas y no cumplidas, con independencia del derecho de las víctimas para proceder legalmente.</w:t>
      </w:r>
    </w:p>
    <w:p w14:paraId="409E9C31" w14:textId="2F6557EB" w:rsidR="008A68BE" w:rsidRDefault="008A68BE" w:rsidP="00606EFA">
      <w:pPr>
        <w:spacing w:line="360" w:lineRule="auto"/>
        <w:jc w:val="both"/>
        <w:rPr>
          <w:rFonts w:ascii="Century Gothic" w:hAnsi="Century Gothic"/>
          <w:sz w:val="24"/>
          <w:szCs w:val="24"/>
        </w:rPr>
      </w:pPr>
      <w:r w:rsidRPr="007172E3">
        <w:rPr>
          <w:rFonts w:ascii="Century Gothic" w:hAnsi="Century Gothic"/>
          <w:sz w:val="24"/>
          <w:szCs w:val="24"/>
        </w:rPr>
        <w:t>Respecto a los particulares que durante los procedimientos de la Comisión Estatal incurran en faltas o en delitos, la misma lo hará del conocimiento de las autoridades competentes para que sean sancionados de acuerdo con las leyes de la materia.</w:t>
      </w:r>
    </w:p>
    <w:p w14:paraId="5DEAA5EA" w14:textId="77777777" w:rsidR="00047205" w:rsidRPr="007172E3" w:rsidRDefault="00047205" w:rsidP="00606EFA">
      <w:pPr>
        <w:spacing w:line="360" w:lineRule="auto"/>
        <w:jc w:val="both"/>
        <w:rPr>
          <w:rFonts w:ascii="Century Gothic" w:hAnsi="Century Gothic"/>
          <w:sz w:val="24"/>
          <w:szCs w:val="24"/>
        </w:rPr>
      </w:pPr>
    </w:p>
    <w:p w14:paraId="2FA603F1" w14:textId="0DEBF028" w:rsidR="00AB04D0" w:rsidRDefault="00F06CEC" w:rsidP="00F06CEC">
      <w:pPr>
        <w:widowControl w:val="0"/>
        <w:autoSpaceDE w:val="0"/>
        <w:autoSpaceDN w:val="0"/>
        <w:adjustRightInd w:val="0"/>
        <w:ind w:left="1134"/>
        <w:rPr>
          <w:rFonts w:ascii="Century Gothic" w:hAnsi="Century Gothic" w:cs="Arial"/>
          <w:b/>
          <w:bCs/>
          <w:sz w:val="24"/>
          <w:szCs w:val="24"/>
          <w:lang w:val="es-ES"/>
        </w:rPr>
      </w:pPr>
      <w:r w:rsidRPr="007172E3">
        <w:rPr>
          <w:rFonts w:ascii="Century Gothic" w:hAnsi="Century Gothic" w:cs="Arial"/>
          <w:b/>
          <w:bCs/>
          <w:sz w:val="24"/>
          <w:szCs w:val="24"/>
          <w:lang w:val="es-ES"/>
        </w:rPr>
        <w:t xml:space="preserve">                                  </w:t>
      </w:r>
      <w:r w:rsidR="00EB34C5" w:rsidRPr="007172E3">
        <w:rPr>
          <w:rFonts w:ascii="Century Gothic" w:hAnsi="Century Gothic" w:cs="Arial"/>
          <w:b/>
          <w:bCs/>
          <w:sz w:val="24"/>
          <w:szCs w:val="24"/>
          <w:lang w:val="es-ES"/>
        </w:rPr>
        <w:t>T R A N S I T O R I O S:</w:t>
      </w:r>
    </w:p>
    <w:p w14:paraId="2F68E275" w14:textId="77777777" w:rsidR="00047205" w:rsidRPr="007172E3" w:rsidRDefault="00047205" w:rsidP="00F06CEC">
      <w:pPr>
        <w:widowControl w:val="0"/>
        <w:autoSpaceDE w:val="0"/>
        <w:autoSpaceDN w:val="0"/>
        <w:adjustRightInd w:val="0"/>
        <w:ind w:left="1134"/>
        <w:rPr>
          <w:rFonts w:ascii="Century Gothic" w:hAnsi="Century Gothic" w:cs="Arial"/>
          <w:b/>
          <w:bCs/>
          <w:sz w:val="24"/>
          <w:szCs w:val="24"/>
          <w:lang w:val="es-ES"/>
        </w:rPr>
      </w:pPr>
    </w:p>
    <w:p w14:paraId="0FEACF06" w14:textId="43223166" w:rsidR="00EB34C5" w:rsidRPr="007172E3" w:rsidRDefault="00EB34C5" w:rsidP="00047205">
      <w:pPr>
        <w:widowControl w:val="0"/>
        <w:autoSpaceDE w:val="0"/>
        <w:autoSpaceDN w:val="0"/>
        <w:adjustRightInd w:val="0"/>
        <w:spacing w:line="360" w:lineRule="auto"/>
        <w:jc w:val="both"/>
        <w:rPr>
          <w:rFonts w:ascii="Century Gothic" w:hAnsi="Century Gothic" w:cs="Arial"/>
          <w:sz w:val="24"/>
          <w:szCs w:val="24"/>
          <w:lang w:val="es-ES"/>
        </w:rPr>
      </w:pPr>
      <w:r w:rsidRPr="007172E3">
        <w:rPr>
          <w:rFonts w:ascii="Century Gothic" w:hAnsi="Century Gothic" w:cs="Arial"/>
          <w:b/>
          <w:bCs/>
          <w:sz w:val="24"/>
          <w:szCs w:val="24"/>
          <w:lang w:val="es-ES"/>
        </w:rPr>
        <w:t xml:space="preserve">ARTÍCULO PRIMERO. </w:t>
      </w:r>
      <w:r w:rsidRPr="007172E3">
        <w:rPr>
          <w:rFonts w:ascii="Century Gothic" w:hAnsi="Century Gothic" w:cs="Arial"/>
          <w:sz w:val="24"/>
          <w:szCs w:val="24"/>
          <w:lang w:val="es-ES"/>
        </w:rPr>
        <w:t xml:space="preserve">El presente Decreto entrará en vigor al día siguiente </w:t>
      </w:r>
      <w:r w:rsidR="00602AB7" w:rsidRPr="007172E3">
        <w:rPr>
          <w:rFonts w:ascii="Century Gothic" w:hAnsi="Century Gothic" w:cs="Arial"/>
          <w:sz w:val="24"/>
          <w:szCs w:val="24"/>
          <w:lang w:val="es-ES"/>
        </w:rPr>
        <w:t>de su publicación en el Periódico Oficial del Estado.</w:t>
      </w:r>
    </w:p>
    <w:p w14:paraId="77FFC76A" w14:textId="77777777" w:rsidR="00047205" w:rsidRDefault="00047205" w:rsidP="00047205">
      <w:pPr>
        <w:widowControl w:val="0"/>
        <w:autoSpaceDE w:val="0"/>
        <w:autoSpaceDN w:val="0"/>
        <w:adjustRightInd w:val="0"/>
        <w:spacing w:line="360" w:lineRule="auto"/>
        <w:jc w:val="both"/>
        <w:rPr>
          <w:rFonts w:ascii="Century Gothic" w:hAnsi="Century Gothic" w:cs="Arial"/>
          <w:b/>
          <w:bCs/>
          <w:sz w:val="24"/>
          <w:szCs w:val="24"/>
          <w:lang w:val="es-ES"/>
        </w:rPr>
      </w:pPr>
    </w:p>
    <w:p w14:paraId="1DDFC443" w14:textId="50B2D770" w:rsidR="00602AB7" w:rsidRPr="007172E3" w:rsidRDefault="00602AB7" w:rsidP="00047205">
      <w:pPr>
        <w:widowControl w:val="0"/>
        <w:autoSpaceDE w:val="0"/>
        <w:autoSpaceDN w:val="0"/>
        <w:adjustRightInd w:val="0"/>
        <w:spacing w:line="360" w:lineRule="auto"/>
        <w:jc w:val="both"/>
        <w:rPr>
          <w:rFonts w:ascii="Century Gothic" w:hAnsi="Century Gothic" w:cs="Arial"/>
          <w:sz w:val="24"/>
          <w:szCs w:val="24"/>
          <w:lang w:val="es-ES"/>
        </w:rPr>
      </w:pPr>
      <w:r w:rsidRPr="007172E3">
        <w:rPr>
          <w:rFonts w:ascii="Century Gothic" w:hAnsi="Century Gothic" w:cs="Arial"/>
          <w:b/>
          <w:bCs/>
          <w:sz w:val="24"/>
          <w:szCs w:val="24"/>
          <w:lang w:val="es-ES"/>
        </w:rPr>
        <w:t xml:space="preserve">ARTÍCULO SEGUNDO. </w:t>
      </w:r>
      <w:r w:rsidRPr="007172E3">
        <w:rPr>
          <w:rFonts w:ascii="Century Gothic" w:hAnsi="Century Gothic" w:cs="Arial"/>
          <w:sz w:val="24"/>
          <w:szCs w:val="24"/>
          <w:lang w:val="es-ES"/>
        </w:rPr>
        <w:t>Se derogan todas las disposiciones que contravengan lo dispuesto en el presente Decreto.</w:t>
      </w:r>
    </w:p>
    <w:p w14:paraId="2EF68E5C" w14:textId="77777777" w:rsidR="00720C0D" w:rsidRDefault="00720C0D" w:rsidP="00047205">
      <w:pPr>
        <w:spacing w:after="0" w:line="360" w:lineRule="auto"/>
        <w:jc w:val="both"/>
        <w:rPr>
          <w:rFonts w:ascii="Century Gothic" w:eastAsia="Century Gothic" w:hAnsi="Century Gothic" w:cs="Century Gothic"/>
          <w:b/>
          <w:sz w:val="24"/>
          <w:szCs w:val="24"/>
          <w:lang w:eastAsia="es-MX"/>
        </w:rPr>
      </w:pPr>
    </w:p>
    <w:p w14:paraId="5B797C4F" w14:textId="503F2772" w:rsidR="00602AB7" w:rsidRDefault="00602AB7" w:rsidP="00047205">
      <w:pPr>
        <w:spacing w:after="0" w:line="360" w:lineRule="auto"/>
        <w:jc w:val="both"/>
        <w:rPr>
          <w:rFonts w:ascii="Century Gothic" w:eastAsia="Century Gothic" w:hAnsi="Century Gothic" w:cs="Century Gothic"/>
          <w:bCs/>
          <w:sz w:val="24"/>
          <w:szCs w:val="24"/>
          <w:lang w:eastAsia="es-MX"/>
        </w:rPr>
      </w:pPr>
      <w:r w:rsidRPr="007172E3">
        <w:rPr>
          <w:rFonts w:ascii="Century Gothic" w:eastAsia="Century Gothic" w:hAnsi="Century Gothic" w:cs="Century Gothic"/>
          <w:b/>
          <w:sz w:val="24"/>
          <w:szCs w:val="24"/>
          <w:lang w:eastAsia="es-MX"/>
        </w:rPr>
        <w:t xml:space="preserve">ECONÓMICO. </w:t>
      </w:r>
      <w:r w:rsidRPr="007172E3">
        <w:rPr>
          <w:rFonts w:ascii="Century Gothic" w:eastAsia="Century Gothic" w:hAnsi="Century Gothic" w:cs="Century Gothic"/>
          <w:bCs/>
          <w:sz w:val="24"/>
          <w:szCs w:val="24"/>
          <w:lang w:eastAsia="es-MX"/>
        </w:rPr>
        <w:t xml:space="preserve">Aprobado que sea túrnese a la Secretaría de Asuntos Legislativos y Jurídicos para que elabore la Minuta de Decreto en los términos que deba publicarse. </w:t>
      </w:r>
    </w:p>
    <w:p w14:paraId="21D931EF" w14:textId="2A9224A5" w:rsidR="00047205" w:rsidRDefault="00047205" w:rsidP="00047205">
      <w:pPr>
        <w:spacing w:after="0" w:line="360" w:lineRule="auto"/>
        <w:jc w:val="both"/>
        <w:rPr>
          <w:rFonts w:ascii="Century Gothic" w:eastAsia="Century Gothic" w:hAnsi="Century Gothic" w:cs="Century Gothic"/>
          <w:bCs/>
          <w:sz w:val="24"/>
          <w:szCs w:val="24"/>
          <w:lang w:eastAsia="es-MX"/>
        </w:rPr>
      </w:pPr>
    </w:p>
    <w:p w14:paraId="4394A096" w14:textId="77777777" w:rsidR="00047205" w:rsidRPr="007172E3" w:rsidRDefault="00047205" w:rsidP="00047205">
      <w:pPr>
        <w:spacing w:after="0" w:line="360" w:lineRule="auto"/>
        <w:jc w:val="both"/>
        <w:rPr>
          <w:rFonts w:ascii="Century Gothic" w:eastAsia="Century Gothic" w:hAnsi="Century Gothic" w:cs="Century Gothic"/>
          <w:bCs/>
          <w:sz w:val="24"/>
          <w:szCs w:val="24"/>
          <w:lang w:eastAsia="es-MX"/>
        </w:rPr>
      </w:pPr>
    </w:p>
    <w:p w14:paraId="28B3BD3C" w14:textId="0F811A1E" w:rsidR="00340E51" w:rsidRPr="007172E3" w:rsidRDefault="00340E51" w:rsidP="00047205">
      <w:pPr>
        <w:spacing w:after="0" w:line="360" w:lineRule="auto"/>
        <w:jc w:val="both"/>
        <w:rPr>
          <w:rFonts w:ascii="Century Gothic" w:eastAsia="Century Gothic" w:hAnsi="Century Gothic" w:cs="Century Gothic"/>
          <w:sz w:val="24"/>
          <w:szCs w:val="24"/>
          <w:lang w:eastAsia="es-MX"/>
        </w:rPr>
      </w:pPr>
      <w:r w:rsidRPr="007172E3">
        <w:rPr>
          <w:rFonts w:ascii="Century Gothic" w:eastAsia="Century Gothic" w:hAnsi="Century Gothic" w:cs="Century Gothic"/>
          <w:b/>
          <w:sz w:val="24"/>
          <w:szCs w:val="24"/>
          <w:lang w:eastAsia="es-MX"/>
        </w:rPr>
        <w:t>D a d o</w:t>
      </w:r>
      <w:r w:rsidRPr="007172E3">
        <w:rPr>
          <w:rFonts w:ascii="Century Gothic" w:eastAsia="Century Gothic" w:hAnsi="Century Gothic" w:cs="Century Gothic"/>
          <w:sz w:val="24"/>
          <w:szCs w:val="24"/>
          <w:lang w:eastAsia="es-MX"/>
        </w:rPr>
        <w:t xml:space="preserve"> en la sede del Poder Legislativo, en la ciudad de Chihuahua, Chih., a los </w:t>
      </w:r>
      <w:r w:rsidR="00BA39F5" w:rsidRPr="007172E3">
        <w:rPr>
          <w:rFonts w:ascii="Century Gothic" w:eastAsia="Century Gothic" w:hAnsi="Century Gothic" w:cs="Century Gothic"/>
          <w:sz w:val="24"/>
          <w:szCs w:val="24"/>
          <w:lang w:eastAsia="es-MX"/>
        </w:rPr>
        <w:t>14</w:t>
      </w:r>
      <w:r w:rsidRPr="007172E3">
        <w:rPr>
          <w:rFonts w:ascii="Century Gothic" w:eastAsia="Century Gothic" w:hAnsi="Century Gothic" w:cs="Century Gothic"/>
          <w:sz w:val="24"/>
          <w:szCs w:val="24"/>
          <w:lang w:eastAsia="es-MX"/>
        </w:rPr>
        <w:t xml:space="preserve"> días del mes de </w:t>
      </w:r>
      <w:r w:rsidR="00602AB7" w:rsidRPr="007172E3">
        <w:rPr>
          <w:rFonts w:ascii="Century Gothic" w:eastAsia="Century Gothic" w:hAnsi="Century Gothic" w:cs="Century Gothic"/>
          <w:sz w:val="24"/>
          <w:szCs w:val="24"/>
          <w:lang w:eastAsia="es-MX"/>
        </w:rPr>
        <w:t xml:space="preserve">octubre </w:t>
      </w:r>
      <w:r w:rsidRPr="007172E3">
        <w:rPr>
          <w:rFonts w:ascii="Century Gothic" w:eastAsia="Century Gothic" w:hAnsi="Century Gothic" w:cs="Century Gothic"/>
          <w:sz w:val="24"/>
          <w:szCs w:val="24"/>
          <w:lang w:eastAsia="es-MX"/>
        </w:rPr>
        <w:t xml:space="preserve">del año dos mil veintiuno. </w:t>
      </w:r>
    </w:p>
    <w:p w14:paraId="126F637E" w14:textId="37E181BF" w:rsidR="00340E51" w:rsidRDefault="00340E51" w:rsidP="00340E51">
      <w:pPr>
        <w:spacing w:after="0" w:line="240" w:lineRule="auto"/>
        <w:jc w:val="center"/>
        <w:rPr>
          <w:rFonts w:ascii="Century Gothic" w:hAnsi="Century Gothic"/>
          <w:noProof/>
          <w:sz w:val="24"/>
          <w:szCs w:val="24"/>
          <w:lang w:eastAsia="es-MX"/>
        </w:rPr>
      </w:pPr>
    </w:p>
    <w:p w14:paraId="613B3B66" w14:textId="77777777" w:rsidR="00047205" w:rsidRPr="007172E3" w:rsidRDefault="00047205" w:rsidP="00340E51">
      <w:pPr>
        <w:spacing w:after="0" w:line="240" w:lineRule="auto"/>
        <w:jc w:val="center"/>
        <w:rPr>
          <w:rFonts w:ascii="Century Gothic" w:hAnsi="Century Gothic"/>
          <w:noProof/>
          <w:sz w:val="24"/>
          <w:szCs w:val="24"/>
          <w:lang w:eastAsia="es-MX"/>
        </w:rPr>
      </w:pPr>
    </w:p>
    <w:p w14:paraId="38F6FC63" w14:textId="77777777" w:rsidR="00340E51" w:rsidRPr="007172E3" w:rsidRDefault="00340E51" w:rsidP="00340E51">
      <w:pPr>
        <w:jc w:val="center"/>
        <w:rPr>
          <w:rFonts w:ascii="Century Gothic" w:hAnsi="Century Gothic" w:cstheme="minorHAnsi"/>
          <w:b/>
          <w:sz w:val="24"/>
          <w:szCs w:val="24"/>
        </w:rPr>
      </w:pPr>
      <w:r w:rsidRPr="007172E3">
        <w:rPr>
          <w:rFonts w:ascii="Century Gothic" w:hAnsi="Century Gothic" w:cstheme="minorHAnsi"/>
          <w:b/>
          <w:sz w:val="24"/>
          <w:szCs w:val="24"/>
        </w:rPr>
        <w:t>A T E N T A M E N T E</w:t>
      </w:r>
    </w:p>
    <w:p w14:paraId="1F741574" w14:textId="713F44BC" w:rsidR="00340E51" w:rsidRPr="007172E3" w:rsidRDefault="00340E51" w:rsidP="00E07B6D">
      <w:pPr>
        <w:spacing w:line="240" w:lineRule="auto"/>
        <w:contextualSpacing/>
        <w:jc w:val="center"/>
        <w:rPr>
          <w:rFonts w:ascii="Century Gothic" w:hAnsi="Century Gothic" w:cs="Arial"/>
          <w:b/>
          <w:sz w:val="24"/>
          <w:szCs w:val="24"/>
          <w:shd w:val="clear" w:color="auto" w:fill="FFFFFF"/>
        </w:rPr>
      </w:pPr>
    </w:p>
    <w:p w14:paraId="0003187A" w14:textId="77777777" w:rsidR="00340E51" w:rsidRPr="007172E3" w:rsidRDefault="00340E51" w:rsidP="00340E51">
      <w:pPr>
        <w:jc w:val="center"/>
        <w:rPr>
          <w:rFonts w:ascii="Century Gothic" w:eastAsia="Arial Unicode MS" w:hAnsi="Century Gothic" w:cs="Arial"/>
          <w:b/>
          <w:sz w:val="24"/>
          <w:szCs w:val="24"/>
        </w:rPr>
      </w:pPr>
      <w:r w:rsidRPr="007172E3">
        <w:rPr>
          <w:rFonts w:ascii="Century Gothic" w:hAnsi="Century Gothic" w:cs="Arial"/>
          <w:b/>
          <w:sz w:val="24"/>
          <w:szCs w:val="24"/>
        </w:rPr>
        <w:t>DIP.</w:t>
      </w:r>
      <w:r w:rsidRPr="007172E3">
        <w:rPr>
          <w:rFonts w:ascii="Century Gothic" w:eastAsia="Times New Roman" w:hAnsi="Century Gothic" w:cstheme="minorHAnsi"/>
          <w:b/>
          <w:sz w:val="24"/>
          <w:szCs w:val="24"/>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40E51" w:rsidRPr="007172E3" w14:paraId="29081AF1" w14:textId="77777777" w:rsidTr="000802A0">
        <w:trPr>
          <w:trHeight w:val="1984"/>
        </w:trPr>
        <w:tc>
          <w:tcPr>
            <w:tcW w:w="4414" w:type="dxa"/>
            <w:vAlign w:val="bottom"/>
          </w:tcPr>
          <w:p w14:paraId="11CEA3FD"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EDIN CUAHUTÉMOC ESTRADA SOTELO</w:t>
            </w:r>
          </w:p>
        </w:tc>
        <w:tc>
          <w:tcPr>
            <w:tcW w:w="4414" w:type="dxa"/>
            <w:vAlign w:val="bottom"/>
          </w:tcPr>
          <w:p w14:paraId="3F75E612"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LETICIA ORTEGA                         MÁYNEZ</w:t>
            </w:r>
          </w:p>
        </w:tc>
      </w:tr>
      <w:tr w:rsidR="00340E51" w:rsidRPr="007172E3" w14:paraId="6A8B5641" w14:textId="77777777" w:rsidTr="000802A0">
        <w:trPr>
          <w:trHeight w:val="1984"/>
        </w:trPr>
        <w:tc>
          <w:tcPr>
            <w:tcW w:w="4414" w:type="dxa"/>
            <w:vAlign w:val="bottom"/>
          </w:tcPr>
          <w:p w14:paraId="36FE5BFB"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 xml:space="preserve">DIP. </w:t>
            </w:r>
            <w:r w:rsidRPr="007172E3">
              <w:rPr>
                <w:rFonts w:ascii="Century Gothic" w:hAnsi="Century Gothic" w:cstheme="minorHAnsi"/>
                <w:b/>
                <w:bCs/>
                <w:sz w:val="24"/>
                <w:szCs w:val="24"/>
              </w:rPr>
              <w:t>ÓSCAR DANIEL AVITIA ARELLANES</w:t>
            </w:r>
            <w:r w:rsidRPr="007172E3">
              <w:rPr>
                <w:rFonts w:ascii="Century Gothic" w:hAnsi="Century Gothic" w:cs="Arial"/>
                <w:b/>
                <w:bCs/>
                <w:sz w:val="24"/>
                <w:szCs w:val="24"/>
              </w:rPr>
              <w:t xml:space="preserve"> </w:t>
            </w:r>
          </w:p>
        </w:tc>
        <w:tc>
          <w:tcPr>
            <w:tcW w:w="4414" w:type="dxa"/>
            <w:vAlign w:val="bottom"/>
          </w:tcPr>
          <w:p w14:paraId="571B6A26" w14:textId="77777777" w:rsidR="00340E51" w:rsidRPr="007172E3" w:rsidRDefault="00340E51" w:rsidP="000802A0">
            <w:pPr>
              <w:jc w:val="center"/>
              <w:rPr>
                <w:rFonts w:ascii="Century Gothic" w:hAnsi="Century Gothic" w:cstheme="minorHAnsi"/>
                <w:b/>
                <w:bCs/>
                <w:sz w:val="24"/>
                <w:szCs w:val="24"/>
              </w:rPr>
            </w:pPr>
            <w:r w:rsidRPr="007172E3">
              <w:rPr>
                <w:rFonts w:ascii="Century Gothic" w:hAnsi="Century Gothic" w:cs="Arial"/>
                <w:b/>
                <w:bCs/>
                <w:sz w:val="24"/>
                <w:szCs w:val="24"/>
              </w:rPr>
              <w:t>DIP.</w:t>
            </w:r>
            <w:bookmarkStart w:id="2" w:name="_Hlk83371069"/>
            <w:r w:rsidRPr="007172E3">
              <w:rPr>
                <w:rFonts w:ascii="Century Gothic" w:hAnsi="Century Gothic" w:cs="Arial"/>
                <w:b/>
                <w:bCs/>
                <w:sz w:val="24"/>
                <w:szCs w:val="24"/>
              </w:rPr>
              <w:t xml:space="preserve"> </w:t>
            </w:r>
            <w:bookmarkEnd w:id="2"/>
            <w:r w:rsidRPr="007172E3">
              <w:rPr>
                <w:rFonts w:ascii="Century Gothic" w:hAnsi="Century Gothic" w:cstheme="minorHAnsi"/>
                <w:b/>
                <w:bCs/>
                <w:sz w:val="24"/>
                <w:szCs w:val="24"/>
              </w:rPr>
              <w:t>ROSANA DÍAZ</w:t>
            </w:r>
          </w:p>
          <w:p w14:paraId="51C415F6"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theme="minorHAnsi"/>
                <w:b/>
                <w:bCs/>
                <w:sz w:val="24"/>
                <w:szCs w:val="24"/>
              </w:rPr>
              <w:t>REYES</w:t>
            </w:r>
          </w:p>
        </w:tc>
      </w:tr>
      <w:tr w:rsidR="00340E51" w:rsidRPr="007172E3" w14:paraId="21BE3771" w14:textId="77777777" w:rsidTr="000802A0">
        <w:trPr>
          <w:trHeight w:val="1984"/>
        </w:trPr>
        <w:tc>
          <w:tcPr>
            <w:tcW w:w="4414" w:type="dxa"/>
            <w:vAlign w:val="bottom"/>
          </w:tcPr>
          <w:p w14:paraId="7E78FE49" w14:textId="77777777" w:rsidR="00340E51" w:rsidRPr="007172E3" w:rsidRDefault="00340E51" w:rsidP="000802A0">
            <w:pPr>
              <w:jc w:val="center"/>
              <w:rPr>
                <w:rFonts w:ascii="Century Gothic" w:hAnsi="Century Gothic" w:cs="Arial"/>
                <w:b/>
                <w:bCs/>
                <w:sz w:val="24"/>
                <w:szCs w:val="24"/>
              </w:rPr>
            </w:pPr>
            <w:r w:rsidRPr="007172E3">
              <w:rPr>
                <w:rFonts w:ascii="Century Gothic" w:eastAsia="Times New Roman" w:hAnsi="Century Gothic" w:cstheme="minorHAnsi"/>
                <w:b/>
                <w:sz w:val="24"/>
                <w:szCs w:val="24"/>
              </w:rPr>
              <w:t>DIP. MAGDALENA RENTERÍA PÉREZ</w:t>
            </w:r>
          </w:p>
        </w:tc>
        <w:tc>
          <w:tcPr>
            <w:tcW w:w="4414" w:type="dxa"/>
            <w:vAlign w:val="bottom"/>
          </w:tcPr>
          <w:p w14:paraId="02C02E55"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MARIA ANTONIETA PÉREZ REYES</w:t>
            </w:r>
          </w:p>
        </w:tc>
      </w:tr>
      <w:tr w:rsidR="00340E51" w:rsidRPr="001265FF" w14:paraId="6145F9E7" w14:textId="77777777" w:rsidTr="000802A0">
        <w:trPr>
          <w:trHeight w:val="1984"/>
        </w:trPr>
        <w:tc>
          <w:tcPr>
            <w:tcW w:w="4414" w:type="dxa"/>
            <w:vAlign w:val="bottom"/>
          </w:tcPr>
          <w:p w14:paraId="1961A540"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ADRIANA TERRAZAS PORRAS</w:t>
            </w:r>
          </w:p>
        </w:tc>
        <w:tc>
          <w:tcPr>
            <w:tcW w:w="4414" w:type="dxa"/>
            <w:vAlign w:val="bottom"/>
          </w:tcPr>
          <w:p w14:paraId="520D3F65" w14:textId="77777777" w:rsidR="00340E51" w:rsidRPr="001265FF"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BENJAMÍN CARRERA CHÁVEZ</w:t>
            </w:r>
          </w:p>
        </w:tc>
      </w:tr>
      <w:tr w:rsidR="00340E51" w:rsidRPr="00177065" w14:paraId="3977A69E" w14:textId="77777777" w:rsidTr="000802A0">
        <w:trPr>
          <w:trHeight w:val="1984"/>
        </w:trPr>
        <w:tc>
          <w:tcPr>
            <w:tcW w:w="4414" w:type="dxa"/>
            <w:vAlign w:val="bottom"/>
          </w:tcPr>
          <w:p w14:paraId="5B02102B" w14:textId="77777777" w:rsidR="00340E51" w:rsidRPr="00177065" w:rsidRDefault="00340E51" w:rsidP="000802A0">
            <w:pPr>
              <w:jc w:val="center"/>
              <w:rPr>
                <w:rFonts w:ascii="Century Gothic" w:hAnsi="Century Gothic" w:cs="Arial"/>
                <w:b/>
                <w:bCs/>
                <w:sz w:val="24"/>
                <w:szCs w:val="24"/>
              </w:rPr>
            </w:pPr>
            <w:r w:rsidRPr="001265FF">
              <w:rPr>
                <w:rFonts w:ascii="Century Gothic" w:hAnsi="Century Gothic" w:cs="Arial"/>
                <w:b/>
                <w:bCs/>
                <w:sz w:val="24"/>
                <w:szCs w:val="24"/>
              </w:rPr>
              <w:t>DIP. DAVID OSCAR CASTREJÓN RIVAS</w:t>
            </w:r>
          </w:p>
        </w:tc>
        <w:tc>
          <w:tcPr>
            <w:tcW w:w="4414" w:type="dxa"/>
          </w:tcPr>
          <w:p w14:paraId="793320A1" w14:textId="77777777" w:rsidR="00340E51" w:rsidRPr="00177065" w:rsidRDefault="00340E51" w:rsidP="000802A0">
            <w:pPr>
              <w:jc w:val="center"/>
              <w:rPr>
                <w:rFonts w:ascii="Century Gothic" w:hAnsi="Century Gothic" w:cs="Arial"/>
                <w:sz w:val="24"/>
                <w:szCs w:val="24"/>
              </w:rPr>
            </w:pPr>
          </w:p>
        </w:tc>
      </w:tr>
    </w:tbl>
    <w:p w14:paraId="2B3C055E" w14:textId="625E6EDD" w:rsidR="00700A02" w:rsidRPr="000928FC" w:rsidRDefault="00700A02" w:rsidP="000928FC">
      <w:pPr>
        <w:spacing w:after="0" w:line="240" w:lineRule="auto"/>
        <w:rPr>
          <w:rFonts w:ascii="Century Gothic" w:hAnsi="Century Gothic"/>
          <w:b/>
          <w:bCs/>
          <w:sz w:val="24"/>
          <w:szCs w:val="24"/>
        </w:rPr>
      </w:pPr>
    </w:p>
    <w:p w14:paraId="6E43F2BB" w14:textId="77777777" w:rsidR="00700A02" w:rsidRDefault="00700A02" w:rsidP="00340E51">
      <w:pPr>
        <w:spacing w:after="0" w:line="240" w:lineRule="auto"/>
        <w:jc w:val="center"/>
        <w:rPr>
          <w:rFonts w:ascii="Century Gothic" w:hAnsi="Century Gothic"/>
          <w:b/>
          <w:bCs/>
          <w:lang w:val="es-ES_tradnl"/>
        </w:rPr>
      </w:pPr>
    </w:p>
    <w:sectPr w:rsidR="00700A02" w:rsidSect="001B2BEF">
      <w:headerReference w:type="default" r:id="rId8"/>
      <w:footerReference w:type="even" r:id="rId9"/>
      <w:footerReference w:type="default" r:id="rId1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6F90A" w14:textId="77777777" w:rsidR="0022506F" w:rsidRDefault="0022506F" w:rsidP="0015602E">
      <w:pPr>
        <w:spacing w:after="0" w:line="240" w:lineRule="auto"/>
      </w:pPr>
      <w:r>
        <w:separator/>
      </w:r>
    </w:p>
  </w:endnote>
  <w:endnote w:type="continuationSeparator" w:id="0">
    <w:p w14:paraId="5D51707B" w14:textId="77777777" w:rsidR="0022506F" w:rsidRDefault="0022506F"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78F3790A" w:rsidR="00FC57B3" w:rsidRDefault="00FC57B3">
        <w:pPr>
          <w:pStyle w:val="Piedepgina"/>
          <w:jc w:val="right"/>
        </w:pPr>
        <w:r>
          <w:fldChar w:fldCharType="begin"/>
        </w:r>
        <w:r>
          <w:instrText>PAGE   \* MERGEFORMAT</w:instrText>
        </w:r>
        <w:r>
          <w:fldChar w:fldCharType="separate"/>
        </w:r>
        <w:r w:rsidR="001201BD" w:rsidRPr="001201BD">
          <w:rPr>
            <w:noProof/>
            <w:lang w:val="es-ES"/>
          </w:rPr>
          <w:t>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3BAD0" w14:textId="77777777" w:rsidR="0022506F" w:rsidRDefault="0022506F" w:rsidP="0015602E">
      <w:pPr>
        <w:spacing w:after="0" w:line="240" w:lineRule="auto"/>
      </w:pPr>
      <w:r>
        <w:separator/>
      </w:r>
    </w:p>
  </w:footnote>
  <w:footnote w:type="continuationSeparator" w:id="0">
    <w:p w14:paraId="7F365317" w14:textId="77777777" w:rsidR="0022506F" w:rsidRDefault="0022506F"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C5F3" w14:textId="09A00B24" w:rsidR="00A468D7" w:rsidRPr="00A468D7" w:rsidRDefault="00A468D7" w:rsidP="00A468D7">
    <w:pPr>
      <w:jc w:val="right"/>
      <w:rPr>
        <w:rFonts w:ascii="Arial" w:hAnsi="Arial" w:cs="Arial"/>
        <w:b/>
        <w:bCs/>
        <w:i/>
        <w:iCs/>
        <w:color w:val="000000"/>
        <w:sz w:val="18"/>
        <w:szCs w:val="18"/>
      </w:rPr>
    </w:pPr>
    <w:r>
      <w:rPr>
        <w:sz w:val="24"/>
        <w:szCs w:val="24"/>
      </w:rPr>
      <w:tab/>
    </w:r>
    <w:r>
      <w:rPr>
        <w:sz w:val="24"/>
        <w:szCs w:val="24"/>
      </w:rPr>
      <w:tab/>
    </w:r>
    <w:r w:rsidRPr="00A468D7">
      <w:rPr>
        <w:rFonts w:ascii="Arial" w:hAnsi="Arial" w:cs="Arial"/>
        <w:b/>
        <w:bCs/>
        <w:i/>
        <w:iCs/>
        <w:color w:val="000000"/>
        <w:sz w:val="18"/>
        <w:szCs w:val="18"/>
      </w:rPr>
      <w:t>2021, Año del Bicentenario de la Consumación de la Independencia de México”</w:t>
    </w:r>
  </w:p>
  <w:p w14:paraId="4D2FC19E" w14:textId="3515CEDB" w:rsidR="00A468D7" w:rsidRPr="00A468D7" w:rsidRDefault="006D2255" w:rsidP="00A468D7">
    <w:pPr>
      <w:jc w:val="right"/>
      <w:rPr>
        <w:rFonts w:ascii="Arial" w:hAnsi="Arial" w:cs="Arial"/>
        <w:b/>
        <w:bCs/>
        <w:i/>
        <w:iCs/>
        <w:color w:val="000000"/>
        <w:sz w:val="18"/>
        <w:szCs w:val="18"/>
      </w:rPr>
    </w:pPr>
    <w:r>
      <w:rPr>
        <w:noProof/>
        <w:lang w:eastAsia="es-MX"/>
      </w:rPr>
      <mc:AlternateContent>
        <mc:Choice Requires="wps">
          <w:drawing>
            <wp:anchor distT="0" distB="0" distL="114300" distR="114300" simplePos="0" relativeHeight="251664384" behindDoc="0" locked="0" layoutInCell="1" allowOverlap="1" wp14:anchorId="67E21D47" wp14:editId="010E5128">
              <wp:simplePos x="0" y="0"/>
              <wp:positionH relativeFrom="page">
                <wp:align>right</wp:align>
              </wp:positionH>
              <wp:positionV relativeFrom="paragraph">
                <wp:posOffset>173990</wp:posOffset>
              </wp:positionV>
              <wp:extent cx="5704840" cy="45719"/>
              <wp:effectExtent l="0" t="0" r="10160" b="12065"/>
              <wp:wrapNone/>
              <wp:docPr id="19" name="Rectangle 19"/>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85384A" id="Rectangle 19" o:spid="_x0000_s1026" style="position:absolute;margin-left:398pt;margin-top:13.7pt;width:449.2pt;height:3.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" fillcolor="#622423 [1605]" strokecolor="#622423 [1605]" strokeweight="2pt">
              <w10:wrap anchorx="page"/>
            </v:rect>
          </w:pict>
        </mc:Fallback>
      </mc:AlternateContent>
    </w:r>
    <w:r>
      <w:rPr>
        <w:noProof/>
        <w:lang w:eastAsia="es-MX"/>
      </w:rPr>
      <mc:AlternateContent>
        <mc:Choice Requires="wps">
          <w:drawing>
            <wp:anchor distT="0" distB="0" distL="114300" distR="114300" simplePos="0" relativeHeight="251666432" behindDoc="0" locked="0" layoutInCell="1" allowOverlap="1" wp14:anchorId="5DEA3C74" wp14:editId="2A71C2BF">
              <wp:simplePos x="0" y="0"/>
              <wp:positionH relativeFrom="page">
                <wp:align>right</wp:align>
              </wp:positionH>
              <wp:positionV relativeFrom="paragraph">
                <wp:posOffset>259715</wp:posOffset>
              </wp:positionV>
              <wp:extent cx="5705475" cy="45719"/>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8F3685" id="Rectangle 20" o:spid="_x0000_s1026" style="position:absolute;margin-left:398.05pt;margin-top:20.45pt;width:449.25pt;height:3.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" fillcolor="#ddd8c2 [2894]" strokecolor="#ddd8c2 [2894]" strokeweight="2pt">
              <w10:wrap anchorx="page"/>
            </v:rect>
          </w:pict>
        </mc:Fallback>
      </mc:AlternateContent>
    </w:r>
    <w:r w:rsidRPr="00A468D7">
      <w:rPr>
        <w:rFonts w:ascii="Arial" w:hAnsi="Arial" w:cs="Arial"/>
        <w:b/>
        <w:bCs/>
        <w:i/>
        <w:iCs/>
        <w:color w:val="000000"/>
        <w:sz w:val="18"/>
        <w:szCs w:val="18"/>
      </w:rPr>
      <w:t>” Año</w:t>
    </w:r>
    <w:r w:rsidR="00A468D7" w:rsidRPr="00A468D7">
      <w:rPr>
        <w:rFonts w:ascii="Arial" w:hAnsi="Arial" w:cs="Arial"/>
        <w:b/>
        <w:bCs/>
        <w:i/>
        <w:iCs/>
        <w:color w:val="000000"/>
        <w:sz w:val="18"/>
        <w:szCs w:val="18"/>
      </w:rPr>
      <w:t xml:space="preserve"> de las Culturas del Norte"</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286"/>
    <w:multiLevelType w:val="hybridMultilevel"/>
    <w:tmpl w:val="0862DD1C"/>
    <w:lvl w:ilvl="0" w:tplc="F3E2F0E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3179C6"/>
    <w:multiLevelType w:val="hybridMultilevel"/>
    <w:tmpl w:val="2668B94A"/>
    <w:lvl w:ilvl="0" w:tplc="BCD81CFE">
      <w:start w:val="44"/>
      <w:numFmt w:val="decimal"/>
      <w:lvlText w:val="%1."/>
      <w:lvlJc w:val="left"/>
      <w:pPr>
        <w:ind w:left="765" w:hanging="405"/>
      </w:pPr>
      <w:rPr>
        <w:rFonts w:ascii="Arial" w:hAnsi="Arial" w:cs="Arial" w:hint="default"/>
        <w:b w:val="0"/>
        <w:i w:val="0"/>
        <w:sz w:val="30"/>
        <w:szCs w:val="3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658C0"/>
    <w:multiLevelType w:val="multilevel"/>
    <w:tmpl w:val="06C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F2535"/>
    <w:multiLevelType w:val="hybridMultilevel"/>
    <w:tmpl w:val="2A1CD706"/>
    <w:lvl w:ilvl="0" w:tplc="AC84C600">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E5852"/>
    <w:multiLevelType w:val="multilevel"/>
    <w:tmpl w:val="311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7" w15:restartNumberingAfterBreak="0">
    <w:nsid w:val="135D1987"/>
    <w:multiLevelType w:val="multilevel"/>
    <w:tmpl w:val="126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759E1"/>
    <w:multiLevelType w:val="multilevel"/>
    <w:tmpl w:val="A6F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672B4"/>
    <w:multiLevelType w:val="multilevel"/>
    <w:tmpl w:val="ED707534"/>
    <w:lvl w:ilvl="0">
      <w:start w:val="1"/>
      <w:numFmt w:val="decimal"/>
      <w:lvlText w:val="%1."/>
      <w:lvlJc w:val="left"/>
      <w:pPr>
        <w:ind w:left="0" w:firstLine="0"/>
      </w:pPr>
      <w:rPr>
        <w:rFonts w:ascii="Arial" w:hAnsi="Arial" w:cs="Arial" w:hint="default"/>
        <w:b w:val="0"/>
        <w:i w:val="0"/>
        <w:color w:val="auto"/>
        <w:sz w:val="30"/>
        <w:szCs w:val="30"/>
        <w:lang w:val="es-MX"/>
      </w:rPr>
    </w:lvl>
    <w:lvl w:ilvl="1">
      <w:start w:val="1"/>
      <w:numFmt w:val="decimal"/>
      <w:isLgl/>
      <w:lvlText w:val="%1.%2"/>
      <w:lvlJc w:val="left"/>
      <w:pPr>
        <w:ind w:left="862" w:hanging="720"/>
      </w:pPr>
      <w:rPr>
        <w:rFonts w:cs="Times New Roman" w:hint="default"/>
        <w:spacing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19866A99"/>
    <w:multiLevelType w:val="multilevel"/>
    <w:tmpl w:val="922A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13" w15:restartNumberingAfterBreak="0">
    <w:nsid w:val="1AEC7F97"/>
    <w:multiLevelType w:val="multilevel"/>
    <w:tmpl w:val="291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8655A7"/>
    <w:multiLevelType w:val="multilevel"/>
    <w:tmpl w:val="7CE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77E7B"/>
    <w:multiLevelType w:val="multilevel"/>
    <w:tmpl w:val="FF1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B14D86"/>
    <w:multiLevelType w:val="multilevel"/>
    <w:tmpl w:val="C0F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028DA"/>
    <w:multiLevelType w:val="multilevel"/>
    <w:tmpl w:val="D1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E539F1"/>
    <w:multiLevelType w:val="hybridMultilevel"/>
    <w:tmpl w:val="3D8809A4"/>
    <w:lvl w:ilvl="0" w:tplc="28D0051E">
      <w:start w:val="1"/>
      <w:numFmt w:val="upperRoman"/>
      <w:lvlText w:val="%1."/>
      <w:lvlJc w:val="left"/>
      <w:pPr>
        <w:ind w:left="37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8922880A">
      <w:start w:val="1"/>
      <w:numFmt w:val="lowerLetter"/>
      <w:lvlText w:val="%2"/>
      <w:lvlJc w:val="left"/>
      <w:pPr>
        <w:ind w:left="10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735AA9A2">
      <w:start w:val="1"/>
      <w:numFmt w:val="lowerRoman"/>
      <w:lvlText w:val="%3"/>
      <w:lvlJc w:val="left"/>
      <w:pPr>
        <w:ind w:left="18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2D1013E6">
      <w:start w:val="1"/>
      <w:numFmt w:val="decimal"/>
      <w:lvlText w:val="%4"/>
      <w:lvlJc w:val="left"/>
      <w:pPr>
        <w:ind w:left="25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C0864A58">
      <w:start w:val="1"/>
      <w:numFmt w:val="lowerLetter"/>
      <w:lvlText w:val="%5"/>
      <w:lvlJc w:val="left"/>
      <w:pPr>
        <w:ind w:left="32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88D6E626">
      <w:start w:val="1"/>
      <w:numFmt w:val="lowerRoman"/>
      <w:lvlText w:val="%6"/>
      <w:lvlJc w:val="left"/>
      <w:pPr>
        <w:ind w:left="39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FD4E2976">
      <w:start w:val="1"/>
      <w:numFmt w:val="decimal"/>
      <w:lvlText w:val="%7"/>
      <w:lvlJc w:val="left"/>
      <w:pPr>
        <w:ind w:left="46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15CCA3C4">
      <w:start w:val="1"/>
      <w:numFmt w:val="lowerLetter"/>
      <w:lvlText w:val="%8"/>
      <w:lvlJc w:val="left"/>
      <w:pPr>
        <w:ind w:left="54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0888A98E">
      <w:start w:val="1"/>
      <w:numFmt w:val="lowerRoman"/>
      <w:lvlText w:val="%9"/>
      <w:lvlJc w:val="left"/>
      <w:pPr>
        <w:ind w:left="61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EA7ABE"/>
    <w:multiLevelType w:val="multilevel"/>
    <w:tmpl w:val="241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E75A8B"/>
    <w:multiLevelType w:val="multilevel"/>
    <w:tmpl w:val="A42A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016DF"/>
    <w:multiLevelType w:val="multilevel"/>
    <w:tmpl w:val="21F8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9" w15:restartNumberingAfterBreak="0">
    <w:nsid w:val="475603B5"/>
    <w:multiLevelType w:val="multilevel"/>
    <w:tmpl w:val="DCE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46D48"/>
    <w:multiLevelType w:val="multilevel"/>
    <w:tmpl w:val="863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94041"/>
    <w:multiLevelType w:val="multilevel"/>
    <w:tmpl w:val="9A8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D24DA"/>
    <w:multiLevelType w:val="multilevel"/>
    <w:tmpl w:val="E07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9B2881"/>
    <w:multiLevelType w:val="multilevel"/>
    <w:tmpl w:val="170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7E21FB"/>
    <w:multiLevelType w:val="multilevel"/>
    <w:tmpl w:val="955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932FDB"/>
    <w:multiLevelType w:val="multilevel"/>
    <w:tmpl w:val="602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8F6601"/>
    <w:multiLevelType w:val="hybridMultilevel"/>
    <w:tmpl w:val="470E68F4"/>
    <w:lvl w:ilvl="0" w:tplc="D27696E4">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EA80DCB"/>
    <w:multiLevelType w:val="multilevel"/>
    <w:tmpl w:val="AB7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C21EDB"/>
    <w:multiLevelType w:val="multilevel"/>
    <w:tmpl w:val="E12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A02E80"/>
    <w:multiLevelType w:val="multilevel"/>
    <w:tmpl w:val="55A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2D6094"/>
    <w:multiLevelType w:val="multilevel"/>
    <w:tmpl w:val="ABE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D73672"/>
    <w:multiLevelType w:val="multilevel"/>
    <w:tmpl w:val="C1F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2C3B12"/>
    <w:multiLevelType w:val="multilevel"/>
    <w:tmpl w:val="D48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1A55CD"/>
    <w:multiLevelType w:val="multilevel"/>
    <w:tmpl w:val="A2A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0"/>
  </w:num>
  <w:num w:numId="3">
    <w:abstractNumId w:val="35"/>
  </w:num>
  <w:num w:numId="4">
    <w:abstractNumId w:val="14"/>
  </w:num>
  <w:num w:numId="5">
    <w:abstractNumId w:val="38"/>
  </w:num>
  <w:num w:numId="6">
    <w:abstractNumId w:val="24"/>
  </w:num>
  <w:num w:numId="7">
    <w:abstractNumId w:val="22"/>
  </w:num>
  <w:num w:numId="8">
    <w:abstractNumId w:val="28"/>
  </w:num>
  <w:num w:numId="9">
    <w:abstractNumId w:val="47"/>
  </w:num>
  <w:num w:numId="10">
    <w:abstractNumId w:val="12"/>
  </w:num>
  <w:num w:numId="11">
    <w:abstractNumId w:val="6"/>
  </w:num>
  <w:num w:numId="12">
    <w:abstractNumId w:val="37"/>
  </w:num>
  <w:num w:numId="13">
    <w:abstractNumId w:val="23"/>
  </w:num>
  <w:num w:numId="14">
    <w:abstractNumId w:val="17"/>
  </w:num>
  <w:num w:numId="1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0"/>
  </w:num>
  <w:num w:numId="43">
    <w:abstractNumId w:val="4"/>
  </w:num>
  <w:num w:numId="44">
    <w:abstractNumId w:val="2"/>
  </w:num>
  <w:num w:numId="45">
    <w:abstractNumId w:val="1"/>
  </w:num>
  <w:num w:numId="46">
    <w:abstractNumId w:val="0"/>
  </w:num>
  <w:num w:numId="47">
    <w:abstractNumId w:val="3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509"/>
    <w:rsid w:val="00010A10"/>
    <w:rsid w:val="000133C0"/>
    <w:rsid w:val="000146CE"/>
    <w:rsid w:val="00016D0E"/>
    <w:rsid w:val="00025F4D"/>
    <w:rsid w:val="000263BC"/>
    <w:rsid w:val="00032A3B"/>
    <w:rsid w:val="000365AE"/>
    <w:rsid w:val="0004145D"/>
    <w:rsid w:val="00043EC1"/>
    <w:rsid w:val="0004429B"/>
    <w:rsid w:val="000444A9"/>
    <w:rsid w:val="00044798"/>
    <w:rsid w:val="00047205"/>
    <w:rsid w:val="0005173E"/>
    <w:rsid w:val="0005340A"/>
    <w:rsid w:val="00055FBE"/>
    <w:rsid w:val="00061FAC"/>
    <w:rsid w:val="0006625E"/>
    <w:rsid w:val="00073D7F"/>
    <w:rsid w:val="0007415C"/>
    <w:rsid w:val="00074BD0"/>
    <w:rsid w:val="000773CB"/>
    <w:rsid w:val="00080800"/>
    <w:rsid w:val="00083397"/>
    <w:rsid w:val="000840C1"/>
    <w:rsid w:val="00084D51"/>
    <w:rsid w:val="000850CA"/>
    <w:rsid w:val="00085C6C"/>
    <w:rsid w:val="000864BA"/>
    <w:rsid w:val="00086AF8"/>
    <w:rsid w:val="00087936"/>
    <w:rsid w:val="000928FC"/>
    <w:rsid w:val="000B0027"/>
    <w:rsid w:val="000B01CB"/>
    <w:rsid w:val="000B04A6"/>
    <w:rsid w:val="000B4C14"/>
    <w:rsid w:val="000B568D"/>
    <w:rsid w:val="000B5CAB"/>
    <w:rsid w:val="000C140D"/>
    <w:rsid w:val="000C1695"/>
    <w:rsid w:val="000C1FDA"/>
    <w:rsid w:val="000C333D"/>
    <w:rsid w:val="000C7C59"/>
    <w:rsid w:val="000D0951"/>
    <w:rsid w:val="000D2283"/>
    <w:rsid w:val="000D25D8"/>
    <w:rsid w:val="000D4405"/>
    <w:rsid w:val="000D5B4A"/>
    <w:rsid w:val="000E00A9"/>
    <w:rsid w:val="000E322F"/>
    <w:rsid w:val="000E3932"/>
    <w:rsid w:val="000E77BB"/>
    <w:rsid w:val="000F1F06"/>
    <w:rsid w:val="000F5EF7"/>
    <w:rsid w:val="000F5F8F"/>
    <w:rsid w:val="001013CB"/>
    <w:rsid w:val="00102978"/>
    <w:rsid w:val="0011471E"/>
    <w:rsid w:val="001201BD"/>
    <w:rsid w:val="00120E72"/>
    <w:rsid w:val="00122D59"/>
    <w:rsid w:val="001265FF"/>
    <w:rsid w:val="00126F9F"/>
    <w:rsid w:val="00133160"/>
    <w:rsid w:val="00136A9E"/>
    <w:rsid w:val="00140362"/>
    <w:rsid w:val="00141C3F"/>
    <w:rsid w:val="00144ADB"/>
    <w:rsid w:val="00145F79"/>
    <w:rsid w:val="00151B0A"/>
    <w:rsid w:val="00153046"/>
    <w:rsid w:val="00153277"/>
    <w:rsid w:val="001533C9"/>
    <w:rsid w:val="00153FB3"/>
    <w:rsid w:val="0015602E"/>
    <w:rsid w:val="0016345E"/>
    <w:rsid w:val="0017199B"/>
    <w:rsid w:val="00172A81"/>
    <w:rsid w:val="00182148"/>
    <w:rsid w:val="00182990"/>
    <w:rsid w:val="00186017"/>
    <w:rsid w:val="001927F5"/>
    <w:rsid w:val="001A28AA"/>
    <w:rsid w:val="001A2A19"/>
    <w:rsid w:val="001A51EB"/>
    <w:rsid w:val="001A7FD0"/>
    <w:rsid w:val="001B0824"/>
    <w:rsid w:val="001B2BEF"/>
    <w:rsid w:val="001C064C"/>
    <w:rsid w:val="001C4C2B"/>
    <w:rsid w:val="001C59B6"/>
    <w:rsid w:val="001D0443"/>
    <w:rsid w:val="001D6F45"/>
    <w:rsid w:val="001E23C3"/>
    <w:rsid w:val="001E32D9"/>
    <w:rsid w:val="001E6EF2"/>
    <w:rsid w:val="001E7D29"/>
    <w:rsid w:val="001F01BC"/>
    <w:rsid w:val="001F2AD9"/>
    <w:rsid w:val="001F41B2"/>
    <w:rsid w:val="001F4884"/>
    <w:rsid w:val="00203B2B"/>
    <w:rsid w:val="002125D9"/>
    <w:rsid w:val="00212887"/>
    <w:rsid w:val="002135A3"/>
    <w:rsid w:val="00213D1C"/>
    <w:rsid w:val="00214AA3"/>
    <w:rsid w:val="002159B8"/>
    <w:rsid w:val="00215EBF"/>
    <w:rsid w:val="00221DC8"/>
    <w:rsid w:val="00222B97"/>
    <w:rsid w:val="0022375E"/>
    <w:rsid w:val="0022506F"/>
    <w:rsid w:val="002260D8"/>
    <w:rsid w:val="002274F6"/>
    <w:rsid w:val="002333B9"/>
    <w:rsid w:val="00233DE3"/>
    <w:rsid w:val="002347BF"/>
    <w:rsid w:val="00236CE5"/>
    <w:rsid w:val="0024074E"/>
    <w:rsid w:val="002410FB"/>
    <w:rsid w:val="002448F5"/>
    <w:rsid w:val="00244CCF"/>
    <w:rsid w:val="00246E89"/>
    <w:rsid w:val="0025165A"/>
    <w:rsid w:val="002521E2"/>
    <w:rsid w:val="00252AF8"/>
    <w:rsid w:val="00257B69"/>
    <w:rsid w:val="00257FB3"/>
    <w:rsid w:val="002618F7"/>
    <w:rsid w:val="00263818"/>
    <w:rsid w:val="0026388B"/>
    <w:rsid w:val="0028158F"/>
    <w:rsid w:val="0028200C"/>
    <w:rsid w:val="00283B36"/>
    <w:rsid w:val="00286E90"/>
    <w:rsid w:val="00290311"/>
    <w:rsid w:val="00296BCD"/>
    <w:rsid w:val="002A1B8D"/>
    <w:rsid w:val="002A2822"/>
    <w:rsid w:val="002A5F09"/>
    <w:rsid w:val="002A6565"/>
    <w:rsid w:val="002B07F2"/>
    <w:rsid w:val="002B0D63"/>
    <w:rsid w:val="002B19C0"/>
    <w:rsid w:val="002C1DC1"/>
    <w:rsid w:val="002C3068"/>
    <w:rsid w:val="002C4083"/>
    <w:rsid w:val="002C60D1"/>
    <w:rsid w:val="002C6AA3"/>
    <w:rsid w:val="002D0B72"/>
    <w:rsid w:val="002D25BF"/>
    <w:rsid w:val="002D3F6B"/>
    <w:rsid w:val="002D6863"/>
    <w:rsid w:val="002D7316"/>
    <w:rsid w:val="002D7DA4"/>
    <w:rsid w:val="002E104A"/>
    <w:rsid w:val="002E1306"/>
    <w:rsid w:val="002E1AED"/>
    <w:rsid w:val="002F03F0"/>
    <w:rsid w:val="002F4641"/>
    <w:rsid w:val="002F54B5"/>
    <w:rsid w:val="003032DF"/>
    <w:rsid w:val="00303FBB"/>
    <w:rsid w:val="00305CC8"/>
    <w:rsid w:val="00307A44"/>
    <w:rsid w:val="00314792"/>
    <w:rsid w:val="00314DF4"/>
    <w:rsid w:val="00315901"/>
    <w:rsid w:val="003206EA"/>
    <w:rsid w:val="003209F8"/>
    <w:rsid w:val="0032729F"/>
    <w:rsid w:val="00332461"/>
    <w:rsid w:val="00334559"/>
    <w:rsid w:val="00335950"/>
    <w:rsid w:val="00340E51"/>
    <w:rsid w:val="003428AA"/>
    <w:rsid w:val="00342C53"/>
    <w:rsid w:val="00343E75"/>
    <w:rsid w:val="00345AF4"/>
    <w:rsid w:val="00346C62"/>
    <w:rsid w:val="00353D2C"/>
    <w:rsid w:val="00354248"/>
    <w:rsid w:val="00356007"/>
    <w:rsid w:val="003572BE"/>
    <w:rsid w:val="003608DE"/>
    <w:rsid w:val="0036235E"/>
    <w:rsid w:val="00371AB3"/>
    <w:rsid w:val="00371C78"/>
    <w:rsid w:val="00372622"/>
    <w:rsid w:val="00374076"/>
    <w:rsid w:val="0037670F"/>
    <w:rsid w:val="00381869"/>
    <w:rsid w:val="003832E4"/>
    <w:rsid w:val="00384C40"/>
    <w:rsid w:val="0038521C"/>
    <w:rsid w:val="003864FD"/>
    <w:rsid w:val="00391B8D"/>
    <w:rsid w:val="0039294D"/>
    <w:rsid w:val="00394592"/>
    <w:rsid w:val="00395E30"/>
    <w:rsid w:val="00396E19"/>
    <w:rsid w:val="003A09BD"/>
    <w:rsid w:val="003A3220"/>
    <w:rsid w:val="003A445C"/>
    <w:rsid w:val="003A6030"/>
    <w:rsid w:val="003A6CFB"/>
    <w:rsid w:val="003A7A47"/>
    <w:rsid w:val="003C3F8C"/>
    <w:rsid w:val="003C503B"/>
    <w:rsid w:val="003C7A21"/>
    <w:rsid w:val="003D10C7"/>
    <w:rsid w:val="003D2624"/>
    <w:rsid w:val="003D3887"/>
    <w:rsid w:val="003D4682"/>
    <w:rsid w:val="003D65F4"/>
    <w:rsid w:val="003E0ED9"/>
    <w:rsid w:val="003E1453"/>
    <w:rsid w:val="003F7783"/>
    <w:rsid w:val="004002B8"/>
    <w:rsid w:val="00400EA3"/>
    <w:rsid w:val="004011BA"/>
    <w:rsid w:val="00410E49"/>
    <w:rsid w:val="004117C8"/>
    <w:rsid w:val="00413277"/>
    <w:rsid w:val="00413A67"/>
    <w:rsid w:val="00413A95"/>
    <w:rsid w:val="00413F0F"/>
    <w:rsid w:val="00416FA6"/>
    <w:rsid w:val="004221C9"/>
    <w:rsid w:val="0042240F"/>
    <w:rsid w:val="00423623"/>
    <w:rsid w:val="004243F5"/>
    <w:rsid w:val="00433078"/>
    <w:rsid w:val="00434B99"/>
    <w:rsid w:val="0043535A"/>
    <w:rsid w:val="004403C9"/>
    <w:rsid w:val="00440C44"/>
    <w:rsid w:val="00443D56"/>
    <w:rsid w:val="0045160B"/>
    <w:rsid w:val="004560CC"/>
    <w:rsid w:val="00457DCE"/>
    <w:rsid w:val="0046154E"/>
    <w:rsid w:val="00461EDE"/>
    <w:rsid w:val="00464275"/>
    <w:rsid w:val="004666A4"/>
    <w:rsid w:val="0046673C"/>
    <w:rsid w:val="00467579"/>
    <w:rsid w:val="00471A8A"/>
    <w:rsid w:val="00474339"/>
    <w:rsid w:val="00475D5C"/>
    <w:rsid w:val="00476706"/>
    <w:rsid w:val="0048128D"/>
    <w:rsid w:val="00485B4D"/>
    <w:rsid w:val="00490E70"/>
    <w:rsid w:val="004918D5"/>
    <w:rsid w:val="00495161"/>
    <w:rsid w:val="004A0039"/>
    <w:rsid w:val="004A1178"/>
    <w:rsid w:val="004A19C6"/>
    <w:rsid w:val="004A5416"/>
    <w:rsid w:val="004A74BF"/>
    <w:rsid w:val="004B05F5"/>
    <w:rsid w:val="004B2B4D"/>
    <w:rsid w:val="004B3D8F"/>
    <w:rsid w:val="004B48F5"/>
    <w:rsid w:val="004B57D0"/>
    <w:rsid w:val="004B5833"/>
    <w:rsid w:val="004C245A"/>
    <w:rsid w:val="004C3944"/>
    <w:rsid w:val="004C5A91"/>
    <w:rsid w:val="004C7F58"/>
    <w:rsid w:val="004D0FB0"/>
    <w:rsid w:val="004D2A99"/>
    <w:rsid w:val="004D2DB9"/>
    <w:rsid w:val="004D5CD2"/>
    <w:rsid w:val="004D627F"/>
    <w:rsid w:val="004D7387"/>
    <w:rsid w:val="004E0C5C"/>
    <w:rsid w:val="004E13B4"/>
    <w:rsid w:val="004E4E9C"/>
    <w:rsid w:val="004E6F57"/>
    <w:rsid w:val="004E7C95"/>
    <w:rsid w:val="004F10C0"/>
    <w:rsid w:val="004F13DF"/>
    <w:rsid w:val="004F74EE"/>
    <w:rsid w:val="004F75FC"/>
    <w:rsid w:val="00502169"/>
    <w:rsid w:val="00504F86"/>
    <w:rsid w:val="005065AE"/>
    <w:rsid w:val="0050798B"/>
    <w:rsid w:val="00512910"/>
    <w:rsid w:val="00514E0E"/>
    <w:rsid w:val="00515C25"/>
    <w:rsid w:val="00515F40"/>
    <w:rsid w:val="005163D5"/>
    <w:rsid w:val="005209F7"/>
    <w:rsid w:val="005309DF"/>
    <w:rsid w:val="00530BEC"/>
    <w:rsid w:val="005319E8"/>
    <w:rsid w:val="005320B7"/>
    <w:rsid w:val="00532E24"/>
    <w:rsid w:val="00532F9A"/>
    <w:rsid w:val="0053436C"/>
    <w:rsid w:val="00540D6A"/>
    <w:rsid w:val="0054204A"/>
    <w:rsid w:val="00543415"/>
    <w:rsid w:val="0054348A"/>
    <w:rsid w:val="0054632F"/>
    <w:rsid w:val="00553C46"/>
    <w:rsid w:val="00557698"/>
    <w:rsid w:val="005609D3"/>
    <w:rsid w:val="00560E22"/>
    <w:rsid w:val="00564013"/>
    <w:rsid w:val="005644D1"/>
    <w:rsid w:val="00564C7A"/>
    <w:rsid w:val="00564DC0"/>
    <w:rsid w:val="0056552A"/>
    <w:rsid w:val="00570C90"/>
    <w:rsid w:val="00570CBE"/>
    <w:rsid w:val="00574105"/>
    <w:rsid w:val="005760A2"/>
    <w:rsid w:val="00581544"/>
    <w:rsid w:val="0058584F"/>
    <w:rsid w:val="00585927"/>
    <w:rsid w:val="005967A0"/>
    <w:rsid w:val="00597F43"/>
    <w:rsid w:val="005A052A"/>
    <w:rsid w:val="005A2329"/>
    <w:rsid w:val="005A3AD5"/>
    <w:rsid w:val="005A5AC1"/>
    <w:rsid w:val="005A5CB1"/>
    <w:rsid w:val="005A70D6"/>
    <w:rsid w:val="005B1340"/>
    <w:rsid w:val="005B5307"/>
    <w:rsid w:val="005B7043"/>
    <w:rsid w:val="005C1383"/>
    <w:rsid w:val="005C1ACA"/>
    <w:rsid w:val="005C2B1C"/>
    <w:rsid w:val="005C5E86"/>
    <w:rsid w:val="005C6591"/>
    <w:rsid w:val="005C7A39"/>
    <w:rsid w:val="005D167C"/>
    <w:rsid w:val="005D3B35"/>
    <w:rsid w:val="005D3D16"/>
    <w:rsid w:val="005D735B"/>
    <w:rsid w:val="005E05CE"/>
    <w:rsid w:val="005E4374"/>
    <w:rsid w:val="005E6184"/>
    <w:rsid w:val="005E69F7"/>
    <w:rsid w:val="005F44EE"/>
    <w:rsid w:val="005F74A6"/>
    <w:rsid w:val="00601801"/>
    <w:rsid w:val="00602AB7"/>
    <w:rsid w:val="00604887"/>
    <w:rsid w:val="00604A0D"/>
    <w:rsid w:val="00606EFA"/>
    <w:rsid w:val="006217AF"/>
    <w:rsid w:val="006258E6"/>
    <w:rsid w:val="00626F7B"/>
    <w:rsid w:val="006305A7"/>
    <w:rsid w:val="0063260F"/>
    <w:rsid w:val="006326D8"/>
    <w:rsid w:val="00632780"/>
    <w:rsid w:val="00635C51"/>
    <w:rsid w:val="00635D79"/>
    <w:rsid w:val="00642942"/>
    <w:rsid w:val="00642D40"/>
    <w:rsid w:val="00644699"/>
    <w:rsid w:val="006462EA"/>
    <w:rsid w:val="00646803"/>
    <w:rsid w:val="00650A12"/>
    <w:rsid w:val="006522E3"/>
    <w:rsid w:val="006543A0"/>
    <w:rsid w:val="00656648"/>
    <w:rsid w:val="00660A6D"/>
    <w:rsid w:val="00665E2F"/>
    <w:rsid w:val="00667485"/>
    <w:rsid w:val="0067119D"/>
    <w:rsid w:val="00671F94"/>
    <w:rsid w:val="00672A1D"/>
    <w:rsid w:val="006822F1"/>
    <w:rsid w:val="00690ECA"/>
    <w:rsid w:val="0069374B"/>
    <w:rsid w:val="006951C5"/>
    <w:rsid w:val="006A1096"/>
    <w:rsid w:val="006A148B"/>
    <w:rsid w:val="006A635E"/>
    <w:rsid w:val="006A659A"/>
    <w:rsid w:val="006B06AE"/>
    <w:rsid w:val="006B0A20"/>
    <w:rsid w:val="006B25CD"/>
    <w:rsid w:val="006B2B44"/>
    <w:rsid w:val="006B4965"/>
    <w:rsid w:val="006C090F"/>
    <w:rsid w:val="006C28F2"/>
    <w:rsid w:val="006C5A67"/>
    <w:rsid w:val="006C77BF"/>
    <w:rsid w:val="006D2255"/>
    <w:rsid w:val="006D6F09"/>
    <w:rsid w:val="006D7922"/>
    <w:rsid w:val="006E01AD"/>
    <w:rsid w:val="006E481F"/>
    <w:rsid w:val="006E7891"/>
    <w:rsid w:val="006F5279"/>
    <w:rsid w:val="006F6028"/>
    <w:rsid w:val="006F79BB"/>
    <w:rsid w:val="00700A02"/>
    <w:rsid w:val="00701077"/>
    <w:rsid w:val="007025F5"/>
    <w:rsid w:val="00703968"/>
    <w:rsid w:val="00704822"/>
    <w:rsid w:val="00707789"/>
    <w:rsid w:val="007125DE"/>
    <w:rsid w:val="00712793"/>
    <w:rsid w:val="00714E0E"/>
    <w:rsid w:val="007172E3"/>
    <w:rsid w:val="00720C0D"/>
    <w:rsid w:val="00723E5E"/>
    <w:rsid w:val="00725661"/>
    <w:rsid w:val="00726ED5"/>
    <w:rsid w:val="00734437"/>
    <w:rsid w:val="0073500A"/>
    <w:rsid w:val="0073535D"/>
    <w:rsid w:val="007354A3"/>
    <w:rsid w:val="0074431B"/>
    <w:rsid w:val="007447E1"/>
    <w:rsid w:val="00746125"/>
    <w:rsid w:val="007467EE"/>
    <w:rsid w:val="0074683E"/>
    <w:rsid w:val="00746DA2"/>
    <w:rsid w:val="00750656"/>
    <w:rsid w:val="00752042"/>
    <w:rsid w:val="0075224E"/>
    <w:rsid w:val="0075258A"/>
    <w:rsid w:val="00752B8B"/>
    <w:rsid w:val="00752BD0"/>
    <w:rsid w:val="007576DE"/>
    <w:rsid w:val="00765513"/>
    <w:rsid w:val="00767392"/>
    <w:rsid w:val="00772238"/>
    <w:rsid w:val="00774488"/>
    <w:rsid w:val="00774C6E"/>
    <w:rsid w:val="00781554"/>
    <w:rsid w:val="007828EE"/>
    <w:rsid w:val="007829BC"/>
    <w:rsid w:val="007919B0"/>
    <w:rsid w:val="00791B31"/>
    <w:rsid w:val="00791CC2"/>
    <w:rsid w:val="00792A6C"/>
    <w:rsid w:val="00793F5C"/>
    <w:rsid w:val="00796764"/>
    <w:rsid w:val="007A4247"/>
    <w:rsid w:val="007A4A42"/>
    <w:rsid w:val="007A7C17"/>
    <w:rsid w:val="007B19D4"/>
    <w:rsid w:val="007B64BF"/>
    <w:rsid w:val="007B7DFC"/>
    <w:rsid w:val="007C486E"/>
    <w:rsid w:val="007C493A"/>
    <w:rsid w:val="007C6A17"/>
    <w:rsid w:val="007D554F"/>
    <w:rsid w:val="007E0D4D"/>
    <w:rsid w:val="007E2E63"/>
    <w:rsid w:val="007E7E87"/>
    <w:rsid w:val="007F014E"/>
    <w:rsid w:val="007F0DD7"/>
    <w:rsid w:val="007F2658"/>
    <w:rsid w:val="007F4B97"/>
    <w:rsid w:val="007F55D9"/>
    <w:rsid w:val="007F73A7"/>
    <w:rsid w:val="007F7CAA"/>
    <w:rsid w:val="008007E0"/>
    <w:rsid w:val="008047C7"/>
    <w:rsid w:val="00804809"/>
    <w:rsid w:val="008078BE"/>
    <w:rsid w:val="00811511"/>
    <w:rsid w:val="00811953"/>
    <w:rsid w:val="00814756"/>
    <w:rsid w:val="0081628B"/>
    <w:rsid w:val="0081756E"/>
    <w:rsid w:val="00821CBF"/>
    <w:rsid w:val="008227F0"/>
    <w:rsid w:val="00824814"/>
    <w:rsid w:val="00826758"/>
    <w:rsid w:val="0082694E"/>
    <w:rsid w:val="00826D88"/>
    <w:rsid w:val="008304A3"/>
    <w:rsid w:val="00831AEB"/>
    <w:rsid w:val="0083363D"/>
    <w:rsid w:val="00843EE4"/>
    <w:rsid w:val="0085546D"/>
    <w:rsid w:val="0086295C"/>
    <w:rsid w:val="00862A0C"/>
    <w:rsid w:val="00863709"/>
    <w:rsid w:val="00864F91"/>
    <w:rsid w:val="00870CA5"/>
    <w:rsid w:val="00871BC3"/>
    <w:rsid w:val="00872BDB"/>
    <w:rsid w:val="008735A3"/>
    <w:rsid w:val="00873A65"/>
    <w:rsid w:val="008744FA"/>
    <w:rsid w:val="008746A7"/>
    <w:rsid w:val="008761A8"/>
    <w:rsid w:val="00882609"/>
    <w:rsid w:val="00887209"/>
    <w:rsid w:val="0089264C"/>
    <w:rsid w:val="00893257"/>
    <w:rsid w:val="00893AF8"/>
    <w:rsid w:val="00893B65"/>
    <w:rsid w:val="008949BA"/>
    <w:rsid w:val="00896ACC"/>
    <w:rsid w:val="008976C7"/>
    <w:rsid w:val="008A62BF"/>
    <w:rsid w:val="008A68BE"/>
    <w:rsid w:val="008A7A32"/>
    <w:rsid w:val="008B17A5"/>
    <w:rsid w:val="008B3E9D"/>
    <w:rsid w:val="008B5989"/>
    <w:rsid w:val="008B5F54"/>
    <w:rsid w:val="008D3A2F"/>
    <w:rsid w:val="008E1509"/>
    <w:rsid w:val="008E41A0"/>
    <w:rsid w:val="008E56FA"/>
    <w:rsid w:val="008E7680"/>
    <w:rsid w:val="008F0B57"/>
    <w:rsid w:val="008F0ED3"/>
    <w:rsid w:val="008F359B"/>
    <w:rsid w:val="008F6239"/>
    <w:rsid w:val="008F6A48"/>
    <w:rsid w:val="00900048"/>
    <w:rsid w:val="00900C90"/>
    <w:rsid w:val="00901EAF"/>
    <w:rsid w:val="00906C58"/>
    <w:rsid w:val="009112C9"/>
    <w:rsid w:val="00912763"/>
    <w:rsid w:val="0092078E"/>
    <w:rsid w:val="00923155"/>
    <w:rsid w:val="0092358E"/>
    <w:rsid w:val="00923DBA"/>
    <w:rsid w:val="00924931"/>
    <w:rsid w:val="00924B1E"/>
    <w:rsid w:val="00934637"/>
    <w:rsid w:val="00934A35"/>
    <w:rsid w:val="00934A76"/>
    <w:rsid w:val="00935454"/>
    <w:rsid w:val="00940EA4"/>
    <w:rsid w:val="00943004"/>
    <w:rsid w:val="00946CF6"/>
    <w:rsid w:val="00950818"/>
    <w:rsid w:val="009567BD"/>
    <w:rsid w:val="009601CB"/>
    <w:rsid w:val="009601FA"/>
    <w:rsid w:val="00960F4B"/>
    <w:rsid w:val="00970BAE"/>
    <w:rsid w:val="00971AC8"/>
    <w:rsid w:val="00972C39"/>
    <w:rsid w:val="00976FBD"/>
    <w:rsid w:val="00980795"/>
    <w:rsid w:val="00982337"/>
    <w:rsid w:val="00985E48"/>
    <w:rsid w:val="00987426"/>
    <w:rsid w:val="00992355"/>
    <w:rsid w:val="0099367D"/>
    <w:rsid w:val="009943E7"/>
    <w:rsid w:val="00995FBB"/>
    <w:rsid w:val="00996A28"/>
    <w:rsid w:val="00997A8D"/>
    <w:rsid w:val="009A08DE"/>
    <w:rsid w:val="009A6CAD"/>
    <w:rsid w:val="009B3407"/>
    <w:rsid w:val="009B3FDB"/>
    <w:rsid w:val="009B6B3D"/>
    <w:rsid w:val="009B7348"/>
    <w:rsid w:val="009C0465"/>
    <w:rsid w:val="009C070D"/>
    <w:rsid w:val="009C1000"/>
    <w:rsid w:val="009C16D5"/>
    <w:rsid w:val="009C211E"/>
    <w:rsid w:val="009D22F1"/>
    <w:rsid w:val="009D60A8"/>
    <w:rsid w:val="009D7204"/>
    <w:rsid w:val="009E0EE3"/>
    <w:rsid w:val="009E0F58"/>
    <w:rsid w:val="009E15B1"/>
    <w:rsid w:val="009F0392"/>
    <w:rsid w:val="009F2022"/>
    <w:rsid w:val="009F417D"/>
    <w:rsid w:val="009F6EB4"/>
    <w:rsid w:val="009F7073"/>
    <w:rsid w:val="00A00C09"/>
    <w:rsid w:val="00A01488"/>
    <w:rsid w:val="00A04D4E"/>
    <w:rsid w:val="00A05123"/>
    <w:rsid w:val="00A05BAC"/>
    <w:rsid w:val="00A07B06"/>
    <w:rsid w:val="00A124E2"/>
    <w:rsid w:val="00A133B0"/>
    <w:rsid w:val="00A14C49"/>
    <w:rsid w:val="00A15AA6"/>
    <w:rsid w:val="00A238AA"/>
    <w:rsid w:val="00A264CA"/>
    <w:rsid w:val="00A27BDA"/>
    <w:rsid w:val="00A3310F"/>
    <w:rsid w:val="00A34A5A"/>
    <w:rsid w:val="00A350DB"/>
    <w:rsid w:val="00A35196"/>
    <w:rsid w:val="00A41972"/>
    <w:rsid w:val="00A43F8A"/>
    <w:rsid w:val="00A4432C"/>
    <w:rsid w:val="00A468D7"/>
    <w:rsid w:val="00A5088D"/>
    <w:rsid w:val="00A5137A"/>
    <w:rsid w:val="00A5356F"/>
    <w:rsid w:val="00A613CC"/>
    <w:rsid w:val="00A63AC9"/>
    <w:rsid w:val="00A63B53"/>
    <w:rsid w:val="00A64EFF"/>
    <w:rsid w:val="00A67EC5"/>
    <w:rsid w:val="00A67F46"/>
    <w:rsid w:val="00A705FC"/>
    <w:rsid w:val="00A706D8"/>
    <w:rsid w:val="00A73210"/>
    <w:rsid w:val="00A77412"/>
    <w:rsid w:val="00A85D30"/>
    <w:rsid w:val="00A91C6F"/>
    <w:rsid w:val="00A944DF"/>
    <w:rsid w:val="00A94C9A"/>
    <w:rsid w:val="00A95EC6"/>
    <w:rsid w:val="00AA00FE"/>
    <w:rsid w:val="00AB04D0"/>
    <w:rsid w:val="00AB174E"/>
    <w:rsid w:val="00AB4231"/>
    <w:rsid w:val="00AC0F27"/>
    <w:rsid w:val="00AC28A5"/>
    <w:rsid w:val="00AC577C"/>
    <w:rsid w:val="00AC659B"/>
    <w:rsid w:val="00AC71EF"/>
    <w:rsid w:val="00AC7603"/>
    <w:rsid w:val="00AD0EFB"/>
    <w:rsid w:val="00AD46D1"/>
    <w:rsid w:val="00AD4C62"/>
    <w:rsid w:val="00AD5BA5"/>
    <w:rsid w:val="00AD6FBC"/>
    <w:rsid w:val="00AE2547"/>
    <w:rsid w:val="00AE529E"/>
    <w:rsid w:val="00AE5472"/>
    <w:rsid w:val="00AE7BB7"/>
    <w:rsid w:val="00AF2179"/>
    <w:rsid w:val="00AF3A89"/>
    <w:rsid w:val="00AF6589"/>
    <w:rsid w:val="00AF6C1D"/>
    <w:rsid w:val="00B04C28"/>
    <w:rsid w:val="00B0527B"/>
    <w:rsid w:val="00B115D9"/>
    <w:rsid w:val="00B1354F"/>
    <w:rsid w:val="00B164CA"/>
    <w:rsid w:val="00B2382E"/>
    <w:rsid w:val="00B25023"/>
    <w:rsid w:val="00B27093"/>
    <w:rsid w:val="00B32DCB"/>
    <w:rsid w:val="00B35AEA"/>
    <w:rsid w:val="00B424BF"/>
    <w:rsid w:val="00B45C59"/>
    <w:rsid w:val="00B45F9E"/>
    <w:rsid w:val="00B47297"/>
    <w:rsid w:val="00B5061B"/>
    <w:rsid w:val="00B506AA"/>
    <w:rsid w:val="00B509E4"/>
    <w:rsid w:val="00B527AE"/>
    <w:rsid w:val="00B52AC2"/>
    <w:rsid w:val="00B57651"/>
    <w:rsid w:val="00B609AC"/>
    <w:rsid w:val="00B610D2"/>
    <w:rsid w:val="00B636D5"/>
    <w:rsid w:val="00B63A91"/>
    <w:rsid w:val="00B654B4"/>
    <w:rsid w:val="00B679AE"/>
    <w:rsid w:val="00B7596E"/>
    <w:rsid w:val="00B77354"/>
    <w:rsid w:val="00B91A67"/>
    <w:rsid w:val="00B9351E"/>
    <w:rsid w:val="00BA03A4"/>
    <w:rsid w:val="00BA39F5"/>
    <w:rsid w:val="00BB1B70"/>
    <w:rsid w:val="00BB7251"/>
    <w:rsid w:val="00BC05D7"/>
    <w:rsid w:val="00BC48BD"/>
    <w:rsid w:val="00BC685B"/>
    <w:rsid w:val="00BC7A4A"/>
    <w:rsid w:val="00BD4B7B"/>
    <w:rsid w:val="00BE0013"/>
    <w:rsid w:val="00BE2906"/>
    <w:rsid w:val="00BE626B"/>
    <w:rsid w:val="00BE721A"/>
    <w:rsid w:val="00BF09B5"/>
    <w:rsid w:val="00BF1D2A"/>
    <w:rsid w:val="00BF451D"/>
    <w:rsid w:val="00BF492E"/>
    <w:rsid w:val="00BF4AC9"/>
    <w:rsid w:val="00C00342"/>
    <w:rsid w:val="00C01AE2"/>
    <w:rsid w:val="00C02BF7"/>
    <w:rsid w:val="00C04DCB"/>
    <w:rsid w:val="00C0686D"/>
    <w:rsid w:val="00C06B3B"/>
    <w:rsid w:val="00C07128"/>
    <w:rsid w:val="00C14023"/>
    <w:rsid w:val="00C16340"/>
    <w:rsid w:val="00C1770D"/>
    <w:rsid w:val="00C17CB7"/>
    <w:rsid w:val="00C21BA1"/>
    <w:rsid w:val="00C26657"/>
    <w:rsid w:val="00C32B76"/>
    <w:rsid w:val="00C3714B"/>
    <w:rsid w:val="00C42E9C"/>
    <w:rsid w:val="00C43286"/>
    <w:rsid w:val="00C4783E"/>
    <w:rsid w:val="00C52CAA"/>
    <w:rsid w:val="00C5364E"/>
    <w:rsid w:val="00C54086"/>
    <w:rsid w:val="00C6088C"/>
    <w:rsid w:val="00C705B4"/>
    <w:rsid w:val="00C71026"/>
    <w:rsid w:val="00C74048"/>
    <w:rsid w:val="00C77443"/>
    <w:rsid w:val="00C80C3A"/>
    <w:rsid w:val="00C80CCD"/>
    <w:rsid w:val="00C80F8E"/>
    <w:rsid w:val="00C83F1F"/>
    <w:rsid w:val="00C863DE"/>
    <w:rsid w:val="00C870C8"/>
    <w:rsid w:val="00C87ABD"/>
    <w:rsid w:val="00C901A7"/>
    <w:rsid w:val="00C953FE"/>
    <w:rsid w:val="00CA40E3"/>
    <w:rsid w:val="00CA4263"/>
    <w:rsid w:val="00CB04A8"/>
    <w:rsid w:val="00CB1245"/>
    <w:rsid w:val="00CB3CE8"/>
    <w:rsid w:val="00CB7391"/>
    <w:rsid w:val="00CC12D0"/>
    <w:rsid w:val="00CC2286"/>
    <w:rsid w:val="00CC30F2"/>
    <w:rsid w:val="00CC3D2A"/>
    <w:rsid w:val="00CC44C5"/>
    <w:rsid w:val="00CD02CF"/>
    <w:rsid w:val="00CD0C43"/>
    <w:rsid w:val="00CE1BE1"/>
    <w:rsid w:val="00CE4F71"/>
    <w:rsid w:val="00CE5DD1"/>
    <w:rsid w:val="00CF57C0"/>
    <w:rsid w:val="00D00AB9"/>
    <w:rsid w:val="00D016F0"/>
    <w:rsid w:val="00D0192B"/>
    <w:rsid w:val="00D01B2E"/>
    <w:rsid w:val="00D03EEB"/>
    <w:rsid w:val="00D050E6"/>
    <w:rsid w:val="00D056FE"/>
    <w:rsid w:val="00D1027B"/>
    <w:rsid w:val="00D106F5"/>
    <w:rsid w:val="00D1301D"/>
    <w:rsid w:val="00D16E04"/>
    <w:rsid w:val="00D179C0"/>
    <w:rsid w:val="00D22698"/>
    <w:rsid w:val="00D24BD7"/>
    <w:rsid w:val="00D25E5E"/>
    <w:rsid w:val="00D30747"/>
    <w:rsid w:val="00D32BC1"/>
    <w:rsid w:val="00D33292"/>
    <w:rsid w:val="00D367BE"/>
    <w:rsid w:val="00D404B7"/>
    <w:rsid w:val="00D410EC"/>
    <w:rsid w:val="00D425BE"/>
    <w:rsid w:val="00D42EE6"/>
    <w:rsid w:val="00D431F5"/>
    <w:rsid w:val="00D43399"/>
    <w:rsid w:val="00D51A02"/>
    <w:rsid w:val="00D52BF6"/>
    <w:rsid w:val="00D538C7"/>
    <w:rsid w:val="00D71E34"/>
    <w:rsid w:val="00D72308"/>
    <w:rsid w:val="00D72C2D"/>
    <w:rsid w:val="00D74B07"/>
    <w:rsid w:val="00D75972"/>
    <w:rsid w:val="00D80EA5"/>
    <w:rsid w:val="00D817EB"/>
    <w:rsid w:val="00D81F4E"/>
    <w:rsid w:val="00D8278F"/>
    <w:rsid w:val="00D8339D"/>
    <w:rsid w:val="00D836A9"/>
    <w:rsid w:val="00D836CD"/>
    <w:rsid w:val="00D94AD2"/>
    <w:rsid w:val="00DA1872"/>
    <w:rsid w:val="00DA55EC"/>
    <w:rsid w:val="00DB420D"/>
    <w:rsid w:val="00DB4CBE"/>
    <w:rsid w:val="00DC21D3"/>
    <w:rsid w:val="00DC2AF2"/>
    <w:rsid w:val="00DC559C"/>
    <w:rsid w:val="00DD04A6"/>
    <w:rsid w:val="00DD135F"/>
    <w:rsid w:val="00DD26F9"/>
    <w:rsid w:val="00DD2AAF"/>
    <w:rsid w:val="00DD3886"/>
    <w:rsid w:val="00DD6A36"/>
    <w:rsid w:val="00DD7F70"/>
    <w:rsid w:val="00DE05F6"/>
    <w:rsid w:val="00DE65BF"/>
    <w:rsid w:val="00DF19C6"/>
    <w:rsid w:val="00DF30FE"/>
    <w:rsid w:val="00DF42AC"/>
    <w:rsid w:val="00DF44E3"/>
    <w:rsid w:val="00E0137B"/>
    <w:rsid w:val="00E0196A"/>
    <w:rsid w:val="00E02677"/>
    <w:rsid w:val="00E06BE6"/>
    <w:rsid w:val="00E07B6D"/>
    <w:rsid w:val="00E102BD"/>
    <w:rsid w:val="00E172A9"/>
    <w:rsid w:val="00E1795D"/>
    <w:rsid w:val="00E17F76"/>
    <w:rsid w:val="00E228A6"/>
    <w:rsid w:val="00E23123"/>
    <w:rsid w:val="00E2643B"/>
    <w:rsid w:val="00E27FE9"/>
    <w:rsid w:val="00E312F5"/>
    <w:rsid w:val="00E334EB"/>
    <w:rsid w:val="00E4367E"/>
    <w:rsid w:val="00E50333"/>
    <w:rsid w:val="00E51190"/>
    <w:rsid w:val="00E51CB0"/>
    <w:rsid w:val="00E53910"/>
    <w:rsid w:val="00E55323"/>
    <w:rsid w:val="00E55F8E"/>
    <w:rsid w:val="00E568B4"/>
    <w:rsid w:val="00E570BA"/>
    <w:rsid w:val="00E57363"/>
    <w:rsid w:val="00E609EA"/>
    <w:rsid w:val="00E6405B"/>
    <w:rsid w:val="00E641B3"/>
    <w:rsid w:val="00E64675"/>
    <w:rsid w:val="00E649A5"/>
    <w:rsid w:val="00E6570D"/>
    <w:rsid w:val="00E65D6F"/>
    <w:rsid w:val="00E71DA9"/>
    <w:rsid w:val="00E727DD"/>
    <w:rsid w:val="00E73028"/>
    <w:rsid w:val="00E73D69"/>
    <w:rsid w:val="00E74966"/>
    <w:rsid w:val="00E75421"/>
    <w:rsid w:val="00E80C3D"/>
    <w:rsid w:val="00E82523"/>
    <w:rsid w:val="00E8386A"/>
    <w:rsid w:val="00E83CB5"/>
    <w:rsid w:val="00E86497"/>
    <w:rsid w:val="00E900C6"/>
    <w:rsid w:val="00E915AA"/>
    <w:rsid w:val="00E936F4"/>
    <w:rsid w:val="00E97312"/>
    <w:rsid w:val="00EA319C"/>
    <w:rsid w:val="00EA3A63"/>
    <w:rsid w:val="00EA7C5A"/>
    <w:rsid w:val="00EB246C"/>
    <w:rsid w:val="00EB34C5"/>
    <w:rsid w:val="00EB43E0"/>
    <w:rsid w:val="00EB4CAA"/>
    <w:rsid w:val="00EB598E"/>
    <w:rsid w:val="00EB71E6"/>
    <w:rsid w:val="00EC053B"/>
    <w:rsid w:val="00ED0C2A"/>
    <w:rsid w:val="00ED2DE6"/>
    <w:rsid w:val="00ED6232"/>
    <w:rsid w:val="00EE0BFF"/>
    <w:rsid w:val="00EE0CAA"/>
    <w:rsid w:val="00EE1710"/>
    <w:rsid w:val="00EE380A"/>
    <w:rsid w:val="00EF0A10"/>
    <w:rsid w:val="00EF56F8"/>
    <w:rsid w:val="00F00372"/>
    <w:rsid w:val="00F06CEC"/>
    <w:rsid w:val="00F10C05"/>
    <w:rsid w:val="00F12422"/>
    <w:rsid w:val="00F14693"/>
    <w:rsid w:val="00F15523"/>
    <w:rsid w:val="00F1742A"/>
    <w:rsid w:val="00F17AFD"/>
    <w:rsid w:val="00F21568"/>
    <w:rsid w:val="00F240CB"/>
    <w:rsid w:val="00F25323"/>
    <w:rsid w:val="00F260CC"/>
    <w:rsid w:val="00F26FC8"/>
    <w:rsid w:val="00F31AA8"/>
    <w:rsid w:val="00F3203B"/>
    <w:rsid w:val="00F36CA6"/>
    <w:rsid w:val="00F36E9D"/>
    <w:rsid w:val="00F37096"/>
    <w:rsid w:val="00F43501"/>
    <w:rsid w:val="00F44766"/>
    <w:rsid w:val="00F464A1"/>
    <w:rsid w:val="00F46C96"/>
    <w:rsid w:val="00F47471"/>
    <w:rsid w:val="00F47F20"/>
    <w:rsid w:val="00F51B7E"/>
    <w:rsid w:val="00F57474"/>
    <w:rsid w:val="00F57C9C"/>
    <w:rsid w:val="00F61702"/>
    <w:rsid w:val="00F629D7"/>
    <w:rsid w:val="00F63243"/>
    <w:rsid w:val="00F6442B"/>
    <w:rsid w:val="00F709CB"/>
    <w:rsid w:val="00F71B1E"/>
    <w:rsid w:val="00F7234C"/>
    <w:rsid w:val="00F723A0"/>
    <w:rsid w:val="00F72988"/>
    <w:rsid w:val="00F73C8D"/>
    <w:rsid w:val="00F73EB5"/>
    <w:rsid w:val="00F85053"/>
    <w:rsid w:val="00F900C5"/>
    <w:rsid w:val="00F93842"/>
    <w:rsid w:val="00F943F4"/>
    <w:rsid w:val="00F945C9"/>
    <w:rsid w:val="00F95E59"/>
    <w:rsid w:val="00FA02EA"/>
    <w:rsid w:val="00FA3694"/>
    <w:rsid w:val="00FA5764"/>
    <w:rsid w:val="00FC143F"/>
    <w:rsid w:val="00FC24E8"/>
    <w:rsid w:val="00FC57B3"/>
    <w:rsid w:val="00FC73BC"/>
    <w:rsid w:val="00FD1EBC"/>
    <w:rsid w:val="00FD2742"/>
    <w:rsid w:val="00FD5041"/>
    <w:rsid w:val="00FD5F99"/>
    <w:rsid w:val="00FD6575"/>
    <w:rsid w:val="00FE5023"/>
    <w:rsid w:val="00FE74C7"/>
    <w:rsid w:val="00FE787D"/>
    <w:rsid w:val="00FE7917"/>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50134D1"/>
  <w15:docId w15:val="{FB0271B6-C42B-4223-8925-87444CF8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4C20-EC67-492A-BEFD-207E852C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2978</Words>
  <Characters>16381</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Sonia Pérez Chacón</cp:lastModifiedBy>
  <cp:revision>2</cp:revision>
  <cp:lastPrinted>2021-10-12T18:39:00Z</cp:lastPrinted>
  <dcterms:created xsi:type="dcterms:W3CDTF">2021-10-13T17:10:00Z</dcterms:created>
  <dcterms:modified xsi:type="dcterms:W3CDTF">2021-10-13T17:10:00Z</dcterms:modified>
</cp:coreProperties>
</file>