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7B" w:rsidRDefault="000F4555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H. CONGRESO DEL ESTADO DE CHIHUAHUA.</w:t>
      </w:r>
    </w:p>
    <w:p w:rsidR="00134B7B" w:rsidRDefault="000F4555">
      <w:pPr>
        <w:jc w:val="both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 R E S E N T E. </w:t>
      </w:r>
    </w:p>
    <w:p w:rsidR="00134B7B" w:rsidRDefault="00134B7B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Quienes suscriben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Quienes suscriben,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Benjamín Carrera Chávez,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Edin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Cuauhtémoc Estrada Sotelo, Leticia Ortega Máynez, Oscar Daniel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Avitia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Arellanes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, Rosana Díaz Reyes, Gustavo de la Rosa </w:t>
      </w:r>
      <w:proofErr w:type="spellStart"/>
      <w:r>
        <w:rPr>
          <w:rFonts w:ascii="Century Gothic" w:eastAsia="Century Gothic" w:hAnsi="Century Gothic" w:cs="Century Gothic"/>
          <w:b/>
          <w:sz w:val="24"/>
          <w:szCs w:val="24"/>
        </w:rPr>
        <w:t>Hickerson</w:t>
      </w:r>
      <w:proofErr w:type="spellEnd"/>
      <w:r>
        <w:rPr>
          <w:rFonts w:ascii="Century Gothic" w:eastAsia="Century Gothic" w:hAnsi="Century Gothic" w:cs="Century Gothic"/>
          <w:b/>
          <w:sz w:val="24"/>
          <w:szCs w:val="24"/>
        </w:rPr>
        <w:t>, Magdalena Rentería Pérez, María Antonieta Pérez Reyes, David Oscar Castrejón Rivas y Adriana Terrazas Porras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en nuestro carácter de Diputados de la Sexagésima Séptima Legislatura y como integrantes del </w:t>
      </w:r>
      <w:r>
        <w:rPr>
          <w:rFonts w:ascii="Century Gothic" w:eastAsia="Century Gothic" w:hAnsi="Century Gothic" w:cs="Century Gothic"/>
          <w:b/>
          <w:sz w:val="24"/>
          <w:szCs w:val="24"/>
        </w:rPr>
        <w:t>Grupo Parlamentario de MORENA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A,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con fundamento en lo dispuesto en los artículos 68 fracción Primera, de la Constitución Política del Estado de Chihuahua; 167 fracción Primera y 174, de la Ley Orgánica del Poder Legislativo; así como los numerales 75 y 76 del Reglamento Interior de Prácticas Parlamentarias del Poder Legislativo, todos ordenamientos del Estado de Chihuahua, acudimos ante esta Honorable Asamblea Legislativa, a fin de presentar el presente proyecto con carácter de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Decreto, por medio de la cual se crea la Mesa Técnica en materia de bienestar animal,  </w:t>
      </w:r>
      <w:r>
        <w:rPr>
          <w:rFonts w:ascii="Century Gothic" w:eastAsia="Century Gothic" w:hAnsi="Century Gothic" w:cs="Century Gothic"/>
          <w:sz w:val="24"/>
          <w:szCs w:val="24"/>
        </w:rPr>
        <w:t>la cual tendrá como objetivo la redacción de propuestas para la instrumentación de una legislación estatal en la materia.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  <w:u w:val="single"/>
        </w:rPr>
        <w:t xml:space="preserve"> 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  <w:u w:val="single"/>
        </w:rPr>
      </w:pPr>
      <w:bookmarkStart w:id="0" w:name="_GoBack"/>
      <w:bookmarkEnd w:id="0"/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 anterior con sustento en la siguiente:</w:t>
      </w:r>
    </w:p>
    <w:p w:rsidR="00134B7B" w:rsidRDefault="00134B7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0F4555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EXPOSICIÓN DE MOTIVOS:</w:t>
      </w:r>
    </w:p>
    <w:p w:rsidR="00134B7B" w:rsidRDefault="00134B7B">
      <w:pPr>
        <w:jc w:val="center"/>
        <w:rPr>
          <w:rFonts w:ascii="Century Gothic" w:eastAsia="Century Gothic" w:hAnsi="Century Gothic" w:cs="Century Gothic"/>
          <w:b/>
          <w:i/>
          <w:sz w:val="24"/>
          <w:szCs w:val="24"/>
        </w:rPr>
      </w:pPr>
    </w:p>
    <w:p w:rsidR="00134B7B" w:rsidRDefault="00134B7B">
      <w:pPr>
        <w:spacing w:line="360" w:lineRule="auto"/>
        <w:jc w:val="center"/>
        <w:rPr>
          <w:rFonts w:ascii="Century Gothic" w:eastAsia="Century Gothic" w:hAnsi="Century Gothic" w:cs="Century Gothic"/>
          <w:i/>
          <w:sz w:val="24"/>
          <w:szCs w:val="24"/>
        </w:rPr>
      </w:pPr>
    </w:p>
    <w:p w:rsidR="00134B7B" w:rsidRDefault="000F4555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El concepto de bienestar animal incluye tres elementos: el funcionamiento adecuado del organismo (lo que entre otras cosas supone que los animales estén sanos y bien alimentados), el estado emocional del animal </w:t>
      </w:r>
      <w:r>
        <w:rPr>
          <w:rFonts w:ascii="Century Gothic" w:eastAsia="Century Gothic" w:hAnsi="Century Gothic" w:cs="Century Gothic"/>
          <w:i/>
          <w:sz w:val="24"/>
          <w:szCs w:val="24"/>
        </w:rPr>
        <w:lastRenderedPageBreak/>
        <w:t>(incluyendo la ausencia de emociones negativas tales como el dolor y el miedo crónico) y la posibilidad de expresar algunas conductas normales propias de la especie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Fraser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et al., 1997)</w:t>
      </w: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Century Gothic" w:eastAsia="Century Gothic" w:hAnsi="Century Gothic" w:cs="Century Gothic"/>
          <w:color w:val="000000"/>
          <w:sz w:val="16"/>
          <w:szCs w:val="16"/>
          <w:vertAlign w:val="superscript"/>
        </w:rPr>
      </w:pP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sz w:val="16"/>
          <w:szCs w:val="16"/>
          <w:vertAlign w:val="superscript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 principio que menciona Roger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Brambel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que es conocido como las 5 libertades, establece que el bienestar animal se garantiza cuando se cumplen los siguientes requisitos: 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0F4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El animal no sufre sed, hambre ni malnutrición, porque tiene acceso a agua de bebida y se le suministra una dieta adecuada a sus necesidades. </w:t>
      </w:r>
    </w:p>
    <w:p w:rsidR="00134B7B" w:rsidRDefault="000F4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animal no sufre estrés físico ni térmico, porque se le proporciona un ambiente adecuado, incluyendo refugio frente a las inclemencias climáticas y un área de descanso cómoda. </w:t>
      </w:r>
    </w:p>
    <w:p w:rsidR="00134B7B" w:rsidRDefault="000F4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animal no sufre dolor, lesiones ni enfermedades, gracias a una prevención adecuada y/o a un diagnóstico y tratamiento rápidos. </w:t>
      </w:r>
    </w:p>
    <w:p w:rsidR="00134B7B" w:rsidRDefault="000F4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animal es capaz de mostrar la mayoría de sus patrones normales de conducta, porque se le proporciona el espacio necesario y las instalaciones adecuadas, y se aloja en compañía de otros individuos de su especie. </w:t>
      </w:r>
    </w:p>
    <w:p w:rsidR="00134B7B" w:rsidRDefault="000F45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El animal no experimenta miedo ni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distrés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porque se garantizan las condiciones necesarias para evitar el sufrimiento mental.</w:t>
      </w: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 el Estado de Chihuahua, la Ley de Bienestar Animal fue publicada en el Periódico Oficial del Estado No. 92, el 17 de noviembre de 2010, y es desde entonces que ha tenido reformas en 21 de sus artículos; sin embargo, los derechos de los animales están en constante evolución, y considerando que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el bienestar animal maneja un enfoque multidimensional, y además si tenemos en cuenta que hace ya 11 años esta Ley fue publicada y que el maltrato es uno de los problemas constantes en nuestra sociedad; concluyo que  la situación  requiere de atención inmediata.</w:t>
      </w: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Aunque ya se han logrado grandes avances en la materia, es necesario garantizar el pleno bienestar de los animales y el cumplimiento de sus derechos como ser sintiente, dado que  la evolución del ser humano implica la creación de conciencia y de valores para considerar a un ser vivo como ser capaz de sentir placer y dolor.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sufrimiento de un animal constituye un problema para alcanzar el bienestar, además está definición involucra multiplicidad de aspectos a tener en cuenta (como ya se mencionó), es necesario, que para llegar a resultados significativos se logre un acuerdo tripartita</w:t>
      </w:r>
      <w:r>
        <w:rPr>
          <w:rFonts w:ascii="Century Gothic" w:eastAsia="Century Gothic" w:hAnsi="Century Gothic" w:cs="Century Gothic"/>
          <w:color w:val="333333"/>
          <w:sz w:val="24"/>
          <w:szCs w:val="24"/>
          <w:shd w:val="clear" w:color="auto" w:fill="FCFCFC"/>
        </w:rPr>
        <w:t>, entre gobierno, instituciones y asociaciones civiles, pues considero que este es uno de  los medios más efectivos para avanzar en  temas importantes de discusión, aún más que las acciones individuales.</w:t>
      </w:r>
    </w:p>
    <w:p w:rsidR="00134B7B" w:rsidRDefault="00134B7B">
      <w:pPr>
        <w:spacing w:line="360" w:lineRule="auto"/>
        <w:rPr>
          <w:rFonts w:ascii="Century Gothic" w:eastAsia="Century Gothic" w:hAnsi="Century Gothic" w:cs="Century Gothic"/>
          <w:sz w:val="24"/>
          <w:szCs w:val="24"/>
          <w:vertAlign w:val="superscript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Por estas razones reflexiono necesario la instalación de una mesa técnica que incluya tanto a asociaciones y expertos en la materia como a los tres niveles de gobierno, a fin de analizar la Ley vigente de Bienestar Animal para el Estado de Chihuahua en conjunto, y establecer una nueva que aborde aquellos puntos que aún  no están contemplados y que requieran de actualización.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La intención es la de crear una mesa técnica por medio de decreto en la cual, el tema de bienestar animal sea abordado formal y directamente con aquellos interesados, haciendo especial énfasis el dialogo en materia de regulación de albergues y tracción animal.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Es por lo anteriormente expuesto que sometemos a consideración del Pleno el presente proyecto con carácter de:</w:t>
      </w:r>
    </w:p>
    <w:p w:rsidR="00134B7B" w:rsidRDefault="00134B7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134B7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0F4555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DECRETO</w:t>
      </w:r>
    </w:p>
    <w:p w:rsidR="00134B7B" w:rsidRDefault="00134B7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PRIMERO.- </w:t>
      </w:r>
      <w:r>
        <w:rPr>
          <w:rFonts w:ascii="Century Gothic" w:eastAsia="Century Gothic" w:hAnsi="Century Gothic" w:cs="Century Gothic"/>
          <w:sz w:val="24"/>
          <w:szCs w:val="24"/>
        </w:rPr>
        <w:t>Se crea una Mesa Técnica en materia de bienestar animal la cual tendrá como objetivo la redacción de propuestas para la instrumentación de una legislación estatal en la materia.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ARTÍCULO SEGUNDO.-</w:t>
      </w:r>
      <w:r>
        <w:rPr>
          <w:rFonts w:ascii="Century Gothic" w:eastAsia="Century Gothic" w:hAnsi="Century Gothic" w:cs="Century Gothic"/>
          <w:sz w:val="24"/>
          <w:szCs w:val="24"/>
        </w:rPr>
        <w:t>La Mesa Técnica en materia de bienestar animal estará integrada de manera enunciativa más no limitativa por las siguientes representaciones: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0F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Secretaria técnica de la Comisión </w:t>
      </w:r>
      <w:r>
        <w:rPr>
          <w:rFonts w:ascii="Century Gothic" w:eastAsia="Century Gothic" w:hAnsi="Century Gothic" w:cs="Century Gothic"/>
          <w:sz w:val="24"/>
          <w:szCs w:val="24"/>
        </w:rPr>
        <w:t>Legislativa a la que se turne la presente propuesta.</w:t>
      </w:r>
    </w:p>
    <w:p w:rsidR="00134B7B" w:rsidRDefault="000F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Asesor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cada uno de los grupos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parlamentarios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y representaciones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políticas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del H. Congreso del Estado.</w:t>
      </w:r>
    </w:p>
    <w:p w:rsidR="00134B7B" w:rsidRDefault="000F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Representantes del Poder Ejecutivo Estatal y Federal que trabajen temas </w:t>
      </w:r>
      <w:r>
        <w:rPr>
          <w:rFonts w:ascii="Century Gothic" w:eastAsia="Century Gothic" w:hAnsi="Century Gothic" w:cs="Century Gothic"/>
          <w:sz w:val="24"/>
          <w:szCs w:val="24"/>
        </w:rPr>
        <w:t>relacionados con la materia de la presente propuesta.</w:t>
      </w:r>
    </w:p>
    <w:p w:rsidR="00134B7B" w:rsidRDefault="000F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Representantes de colegios de profesionistas, instituciones de educación superior y centros de investigación públicos, sociales y privados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134B7B" w:rsidRDefault="000F45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Representantes de asociaciones civiles con interés y experiencia en la materia.</w:t>
      </w: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134B7B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134B7B" w:rsidRDefault="000F4555">
      <w:pPr>
        <w:spacing w:line="360" w:lineRule="auto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ARTÍCULO TERCERO.- </w:t>
      </w:r>
      <w:r>
        <w:rPr>
          <w:rFonts w:ascii="Century Gothic" w:eastAsia="Century Gothic" w:hAnsi="Century Gothic" w:cs="Century Gothic"/>
          <w:sz w:val="24"/>
          <w:szCs w:val="24"/>
        </w:rPr>
        <w:t>Las sesiones y los documentos generados por la Mesa Técnica en materia de bienestar animal, serán públicos, de conformidad con lo establecido por la Ley de Transparencia y Acceso a la Información Pública.</w:t>
      </w:r>
    </w:p>
    <w:p w:rsidR="00134B7B" w:rsidRDefault="00134B7B">
      <w:pPr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:rsidR="00134B7B" w:rsidRDefault="000F45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T R A N S I T O R I O S:</w:t>
      </w: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34B7B" w:rsidRDefault="000F45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ARTÍCULO </w:t>
      </w:r>
      <w:r>
        <w:rPr>
          <w:rFonts w:ascii="Century Gothic" w:eastAsia="Century Gothic" w:hAnsi="Century Gothic" w:cs="Century Gothic"/>
          <w:b/>
          <w:sz w:val="28"/>
          <w:szCs w:val="28"/>
        </w:rPr>
        <w:t>ÚNICO.</w:t>
      </w: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 xml:space="preserve"> 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El presente Decreto entrará en vigor al día siguiente de su publicación en el Periódico Oficial del Estado.</w:t>
      </w: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</w:rPr>
      </w:pPr>
    </w:p>
    <w:p w:rsidR="00134B7B" w:rsidRDefault="000F45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ECONÓMICO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. -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Aprobado que sea</w:t>
      </w:r>
      <w:r>
        <w:rPr>
          <w:rFonts w:ascii="Century Gothic" w:eastAsia="Century Gothic" w:hAnsi="Century Gothic" w:cs="Century Gothic"/>
          <w:sz w:val="24"/>
          <w:szCs w:val="24"/>
        </w:rPr>
        <w:t>, túrnese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la Secretaría de Asuntos Legislativos y Jurídicos para que elabore la minuta de Decreto en los términos </w:t>
      </w:r>
      <w:r>
        <w:rPr>
          <w:rFonts w:ascii="Century Gothic" w:eastAsia="Century Gothic" w:hAnsi="Century Gothic" w:cs="Century Gothic"/>
          <w:sz w:val="24"/>
          <w:szCs w:val="24"/>
        </w:rPr>
        <w:t>correspondientes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134B7B" w:rsidRDefault="000F45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D A D O</w:t>
      </w:r>
      <w:r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en el salón de sesiones del Poder Legislativo a los 13 días del mes de octubre del año dos mil veintiuno.</w:t>
      </w:r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  <w:bookmarkStart w:id="2" w:name="_30j0zll" w:colFirst="0" w:colLast="0"/>
      <w:bookmarkEnd w:id="2"/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134B7B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134B7B" w:rsidRDefault="000F4555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A T E N T A M E N T E, </w:t>
      </w: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white"/>
        </w:rPr>
      </w:pP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white"/>
        </w:rPr>
      </w:pPr>
    </w:p>
    <w:p w:rsidR="00134B7B" w:rsidRDefault="00134B7B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entury Gothic" w:eastAsia="Century Gothic" w:hAnsi="Century Gothic" w:cs="Century Gothic"/>
          <w:b/>
          <w:color w:val="000000"/>
          <w:sz w:val="28"/>
          <w:szCs w:val="28"/>
          <w:highlight w:val="white"/>
        </w:rPr>
      </w:pPr>
    </w:p>
    <w:tbl>
      <w:tblPr>
        <w:tblStyle w:val="a"/>
        <w:tblW w:w="88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134B7B">
        <w:tc>
          <w:tcPr>
            <w:tcW w:w="4414" w:type="dxa"/>
          </w:tcPr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BENJAMÍN CARRERA CHÁVEZ</w:t>
            </w:r>
          </w:p>
        </w:tc>
        <w:tc>
          <w:tcPr>
            <w:tcW w:w="4414" w:type="dxa"/>
          </w:tcPr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EDIN CUAUHTÉMOC ESTRADA SOTELO</w:t>
            </w:r>
          </w:p>
        </w:tc>
      </w:tr>
      <w:tr w:rsidR="00134B7B"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LETICIA ORTEGA MÁYNEZ</w:t>
            </w:r>
          </w:p>
        </w:tc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OSCAR DANIEL AVITIA ARELLANES</w:t>
            </w:r>
          </w:p>
        </w:tc>
      </w:tr>
      <w:tr w:rsidR="00134B7B"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ROSANA DÍAZ REYES</w:t>
            </w:r>
          </w:p>
        </w:tc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GUSTAVO DE LA ROSA HICKERSON</w:t>
            </w:r>
          </w:p>
        </w:tc>
      </w:tr>
      <w:tr w:rsidR="00134B7B"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MARÍA ANTONIETA PÉREZ REYES</w:t>
            </w:r>
          </w:p>
        </w:tc>
      </w:tr>
      <w:tr w:rsidR="00134B7B"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DAVID OSCAR CASTREJÓN RIVAS</w:t>
            </w:r>
          </w:p>
        </w:tc>
        <w:tc>
          <w:tcPr>
            <w:tcW w:w="4414" w:type="dxa"/>
          </w:tcPr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134B7B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134B7B" w:rsidRDefault="000F4555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DIP. ADRIANA TERRAZAS PORRAS</w:t>
            </w:r>
          </w:p>
        </w:tc>
      </w:tr>
    </w:tbl>
    <w:p w:rsidR="00134B7B" w:rsidRDefault="00134B7B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</w:p>
    <w:sectPr w:rsidR="00134B7B">
      <w:headerReference w:type="default" r:id="rId7"/>
      <w:footerReference w:type="default" r:id="rId8"/>
      <w:pgSz w:w="12240" w:h="15840"/>
      <w:pgMar w:top="2552" w:right="1701" w:bottom="1418" w:left="1701" w:header="426" w:footer="3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55" w:rsidRDefault="000F4555">
      <w:r>
        <w:separator/>
      </w:r>
    </w:p>
  </w:endnote>
  <w:endnote w:type="continuationSeparator" w:id="0">
    <w:p w:rsidR="000F4555" w:rsidRDefault="000F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yon Script">
    <w:panose1 w:val="020105010801010D0002"/>
    <w:charset w:val="00"/>
    <w:family w:val="auto"/>
    <w:pitch w:val="variable"/>
    <w:sig w:usb0="A00000AF" w:usb1="00000002" w:usb2="00000000" w:usb3="00000000" w:csb0="00000111" w:csb1="00000000"/>
  </w:font>
  <w:font w:name="Bahnschrift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7B" w:rsidRDefault="00134B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55" w:rsidRDefault="000F4555">
      <w:r>
        <w:separator/>
      </w:r>
    </w:p>
  </w:footnote>
  <w:footnote w:type="continuationSeparator" w:id="0">
    <w:p w:rsidR="000F4555" w:rsidRDefault="000F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7B" w:rsidRDefault="000F45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Pinyon Script" w:eastAsia="Pinyon Script" w:hAnsi="Pinyon Script" w:cs="Pinyon Script"/>
        <w:b/>
        <w:i/>
        <w:color w:val="000000"/>
        <w:sz w:val="22"/>
        <w:szCs w:val="22"/>
      </w:rPr>
    </w:pPr>
    <w:r>
      <w:rPr>
        <w:rFonts w:ascii="Pinyon Script" w:eastAsia="Pinyon Script" w:hAnsi="Pinyon Script" w:cs="Pinyon Script"/>
        <w:b/>
        <w:i/>
        <w:color w:val="000000"/>
        <w:sz w:val="22"/>
        <w:szCs w:val="22"/>
      </w:rPr>
      <w:t xml:space="preserve">“2021, Año del Bicentenario de la Consumación de la Independencia de México” </w:t>
    </w:r>
  </w:p>
  <w:p w:rsidR="00134B7B" w:rsidRDefault="000F45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Pinyon Script" w:eastAsia="Pinyon Script" w:hAnsi="Pinyon Script" w:cs="Pinyon Script"/>
        <w:b/>
        <w:i/>
        <w:color w:val="000000"/>
        <w:sz w:val="22"/>
        <w:szCs w:val="22"/>
      </w:rPr>
    </w:pPr>
    <w:r>
      <w:rPr>
        <w:rFonts w:ascii="Pinyon Script" w:eastAsia="Pinyon Script" w:hAnsi="Pinyon Script" w:cs="Pinyon Script"/>
        <w:b/>
        <w:i/>
        <w:color w:val="000000"/>
        <w:sz w:val="22"/>
        <w:szCs w:val="22"/>
      </w:rPr>
      <w:t>“2021, Año de las Culturas del Norte”</w:t>
    </w:r>
  </w:p>
  <w:p w:rsidR="00134B7B" w:rsidRDefault="00134B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  <w:p w:rsidR="00134B7B" w:rsidRDefault="00134B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</w:p>
  <w:p w:rsidR="00134B7B" w:rsidRDefault="000F455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Bahnschrift" w:eastAsia="Bahnschrift" w:hAnsi="Bahnschrift" w:cs="Bahnschrift"/>
        <w:color w:val="000000"/>
        <w:sz w:val="24"/>
        <w:szCs w:val="24"/>
      </w:rPr>
    </w:pPr>
    <w:r>
      <w:rPr>
        <w:rFonts w:ascii="Bahnschrift" w:eastAsia="Bahnschrift" w:hAnsi="Bahnschrift" w:cs="Bahnschrift"/>
        <w:color w:val="000000"/>
        <w:sz w:val="24"/>
        <w:szCs w:val="24"/>
      </w:rPr>
      <w:t>Grupo Parlamentario de MORENA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6E9D"/>
    <w:multiLevelType w:val="multilevel"/>
    <w:tmpl w:val="7C8229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A79E7"/>
    <w:multiLevelType w:val="multilevel"/>
    <w:tmpl w:val="C82253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7B"/>
    <w:rsid w:val="000F4555"/>
    <w:rsid w:val="00134B7B"/>
    <w:rsid w:val="004E0833"/>
    <w:rsid w:val="005D740B"/>
    <w:rsid w:val="00C8437B"/>
    <w:rsid w:val="00E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D8AD7-992A-47E8-9BF0-00BA772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Rivas Esparza</dc:creator>
  <cp:lastModifiedBy>Sonia Pérez Chacón</cp:lastModifiedBy>
  <cp:revision>3</cp:revision>
  <dcterms:created xsi:type="dcterms:W3CDTF">2021-10-11T19:56:00Z</dcterms:created>
  <dcterms:modified xsi:type="dcterms:W3CDTF">2021-10-11T19:57:00Z</dcterms:modified>
</cp:coreProperties>
</file>