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7446B" w14:textId="77777777" w:rsidR="00340E51" w:rsidRPr="00340E51" w:rsidRDefault="00340E51" w:rsidP="00340E51">
      <w:pPr>
        <w:spacing w:after="0" w:line="360" w:lineRule="auto"/>
        <w:jc w:val="both"/>
        <w:rPr>
          <w:rFonts w:ascii="Century Gothic" w:hAnsi="Century Gothic" w:cs="Arial"/>
          <w:b/>
          <w:color w:val="000000"/>
          <w:sz w:val="24"/>
          <w:szCs w:val="24"/>
          <w:lang w:val="es-ES_tradnl"/>
        </w:rPr>
      </w:pPr>
      <w:r w:rsidRPr="00340E51">
        <w:rPr>
          <w:rFonts w:ascii="Century Gothic" w:hAnsi="Century Gothic" w:cs="Arial"/>
          <w:b/>
          <w:color w:val="000000"/>
          <w:sz w:val="24"/>
          <w:szCs w:val="24"/>
          <w:lang w:val="es-ES_tradnl"/>
        </w:rPr>
        <w:t>H. CONGRESO DEL ESTADO DE CHIHUAHUA</w:t>
      </w:r>
    </w:p>
    <w:p w14:paraId="7D589189" w14:textId="77777777" w:rsidR="00340E51" w:rsidRPr="00340E51" w:rsidRDefault="00340E51" w:rsidP="00340E51">
      <w:pPr>
        <w:spacing w:after="0" w:line="360" w:lineRule="auto"/>
        <w:jc w:val="both"/>
        <w:rPr>
          <w:rFonts w:ascii="Century Gothic" w:hAnsi="Century Gothic" w:cs="Arial"/>
          <w:bCs/>
          <w:color w:val="000000"/>
          <w:sz w:val="24"/>
          <w:szCs w:val="24"/>
          <w:lang w:val="es-ES_tradnl"/>
        </w:rPr>
      </w:pPr>
      <w:r w:rsidRPr="00340E51">
        <w:rPr>
          <w:rFonts w:ascii="Century Gothic" w:hAnsi="Century Gothic" w:cs="Arial"/>
          <w:b/>
          <w:color w:val="000000"/>
          <w:sz w:val="24"/>
          <w:szCs w:val="24"/>
          <w:lang w:val="es-ES_tradnl"/>
        </w:rPr>
        <w:t>P R E S E N T E.</w:t>
      </w:r>
      <w:r w:rsidRPr="00340E51">
        <w:rPr>
          <w:rFonts w:ascii="Century Gothic" w:hAnsi="Century Gothic" w:cs="Arial"/>
          <w:bCs/>
          <w:color w:val="000000"/>
          <w:sz w:val="24"/>
          <w:szCs w:val="24"/>
          <w:lang w:val="es-ES_tradnl"/>
        </w:rPr>
        <w:t xml:space="preserve">-  </w:t>
      </w:r>
    </w:p>
    <w:p w14:paraId="49D43EB6" w14:textId="77777777" w:rsidR="00340E51" w:rsidRPr="00340E51" w:rsidRDefault="00340E51" w:rsidP="00340E51">
      <w:pPr>
        <w:spacing w:after="120" w:line="360" w:lineRule="auto"/>
        <w:jc w:val="both"/>
        <w:rPr>
          <w:rFonts w:ascii="Century Gothic" w:hAnsi="Century Gothic"/>
          <w:sz w:val="24"/>
          <w:szCs w:val="24"/>
        </w:rPr>
      </w:pPr>
    </w:p>
    <w:p w14:paraId="6B1DFE56" w14:textId="09B2370F" w:rsidR="00DD3886" w:rsidRPr="00340E51" w:rsidRDefault="00340E51" w:rsidP="00340E51">
      <w:pPr>
        <w:pStyle w:val="Prrafodelista"/>
        <w:spacing w:line="360" w:lineRule="auto"/>
        <w:ind w:left="0"/>
        <w:jc w:val="both"/>
        <w:rPr>
          <w:rFonts w:ascii="Century Gothic" w:hAnsi="Century Gothic" w:cs="Arial"/>
          <w:b/>
          <w:i/>
          <w:sz w:val="24"/>
          <w:szCs w:val="24"/>
        </w:rPr>
      </w:pPr>
      <w:r w:rsidRPr="00340E51">
        <w:rPr>
          <w:rFonts w:ascii="Century Gothic" w:hAnsi="Century Gothic"/>
          <w:sz w:val="24"/>
          <w:szCs w:val="24"/>
        </w:rPr>
        <w:t>Los que suscriben,</w:t>
      </w:r>
      <w:r w:rsidRPr="00340E51">
        <w:rPr>
          <w:rFonts w:ascii="Century Gothic" w:hAnsi="Century Gothic" w:cstheme="minorHAnsi"/>
          <w:b/>
          <w:bCs/>
          <w:sz w:val="24"/>
          <w:szCs w:val="24"/>
        </w:rPr>
        <w:t xml:space="preserve"> GUSTAVO DE LA ROSA HICKERSON, EDIN CUAUHTÉMOC ESTRADA SOTELO, LETICIA ORTEGA MÁYNEZ, ÓSCAR DANIEL AVITIA ARELLANES, ROSANA DÍAZ REYES, MAGDALENA RENTERÍA PÉREZ, MARÍA ANTONIETA PÉREZ REYES, ADRIANA TERRAZAS PORRAS, BENJAMÍN CARRERA CHÁVEZ y DAVID OSCAR CASTREJÓN RIVAS,</w:t>
      </w:r>
      <w:r w:rsidRPr="00340E51">
        <w:rPr>
          <w:rFonts w:ascii="Century Gothic" w:hAnsi="Century Gothic"/>
          <w:b/>
          <w:sz w:val="24"/>
          <w:szCs w:val="24"/>
          <w:lang w:val="es-ES_tradnl"/>
        </w:rPr>
        <w:t xml:space="preserve"> </w:t>
      </w:r>
      <w:r w:rsidRPr="00340E51">
        <w:rPr>
          <w:rFonts w:ascii="Century Gothic" w:hAnsi="Century Gothic"/>
          <w:bCs/>
          <w:sz w:val="24"/>
          <w:szCs w:val="24"/>
          <w:lang w:val="es-ES_tradnl"/>
        </w:rPr>
        <w:t xml:space="preserve">integrantes del Grupo Parlamentario de </w:t>
      </w:r>
      <w:r w:rsidRPr="00340E51">
        <w:rPr>
          <w:rFonts w:ascii="Century Gothic" w:hAnsi="Century Gothic"/>
          <w:b/>
          <w:bCs/>
          <w:sz w:val="24"/>
          <w:szCs w:val="24"/>
          <w:lang w:val="es-ES_tradnl"/>
        </w:rPr>
        <w:t>MORENA</w:t>
      </w:r>
      <w:r w:rsidR="00A77412" w:rsidRPr="00340E51">
        <w:rPr>
          <w:rFonts w:ascii="Century Gothic" w:hAnsi="Century Gothic"/>
          <w:sz w:val="24"/>
          <w:szCs w:val="24"/>
        </w:rPr>
        <w:t xml:space="preserve">, </w:t>
      </w:r>
      <w:r w:rsidR="00464275" w:rsidRPr="00340E51">
        <w:rPr>
          <w:rFonts w:ascii="Century Gothic" w:eastAsia="Arial" w:hAnsi="Century Gothic" w:cs="Arial"/>
          <w:sz w:val="24"/>
          <w:szCs w:val="24"/>
        </w:rPr>
        <w:t>con fundamento en lo previsto por</w:t>
      </w:r>
      <w:r w:rsidR="00343E75">
        <w:rPr>
          <w:rFonts w:ascii="Century Gothic" w:eastAsia="Arial" w:hAnsi="Century Gothic" w:cs="Arial"/>
          <w:sz w:val="24"/>
          <w:szCs w:val="24"/>
        </w:rPr>
        <w:t xml:space="preserve"> el</w:t>
      </w:r>
      <w:r w:rsidR="00464275" w:rsidRPr="00340E51">
        <w:rPr>
          <w:rFonts w:ascii="Century Gothic" w:eastAsia="Arial" w:hAnsi="Century Gothic" w:cs="Arial"/>
          <w:sz w:val="24"/>
          <w:szCs w:val="24"/>
        </w:rPr>
        <w:t xml:space="preserve"> artículo</w:t>
      </w:r>
      <w:r w:rsidR="00896ACC">
        <w:rPr>
          <w:rFonts w:ascii="Century Gothic" w:eastAsia="Arial" w:hAnsi="Century Gothic" w:cs="Arial"/>
          <w:sz w:val="24"/>
          <w:szCs w:val="24"/>
        </w:rPr>
        <w:t xml:space="preserve"> 6</w:t>
      </w:r>
      <w:r w:rsidR="00343E75">
        <w:rPr>
          <w:rFonts w:ascii="Century Gothic" w:eastAsia="Arial" w:hAnsi="Century Gothic" w:cs="Arial"/>
          <w:sz w:val="24"/>
          <w:szCs w:val="24"/>
        </w:rPr>
        <w:t>8</w:t>
      </w:r>
      <w:r w:rsidR="00896ACC">
        <w:rPr>
          <w:rFonts w:ascii="Century Gothic" w:eastAsia="Arial" w:hAnsi="Century Gothic" w:cs="Arial"/>
          <w:sz w:val="24"/>
          <w:szCs w:val="24"/>
        </w:rPr>
        <w:t xml:space="preserve"> fracciones I </w:t>
      </w:r>
      <w:r w:rsidR="00464275" w:rsidRPr="00340E51">
        <w:rPr>
          <w:rFonts w:ascii="Century Gothic" w:eastAsia="Arial" w:hAnsi="Century Gothic" w:cs="Arial"/>
          <w:sz w:val="24"/>
          <w:szCs w:val="24"/>
        </w:rPr>
        <w:t>y demás relativos de la Constitución Política</w:t>
      </w:r>
      <w:r w:rsidR="00896ACC">
        <w:rPr>
          <w:rFonts w:ascii="Century Gothic" w:eastAsia="Arial" w:hAnsi="Century Gothic" w:cs="Arial"/>
          <w:sz w:val="24"/>
          <w:szCs w:val="24"/>
        </w:rPr>
        <w:t xml:space="preserve"> </w:t>
      </w:r>
      <w:r w:rsidR="00464275" w:rsidRPr="00340E51">
        <w:rPr>
          <w:rFonts w:ascii="Century Gothic" w:eastAsia="Arial" w:hAnsi="Century Gothic" w:cs="Arial"/>
          <w:sz w:val="24"/>
          <w:szCs w:val="24"/>
        </w:rPr>
        <w:t>del Estado de Chihuahua, así como</w:t>
      </w:r>
      <w:r w:rsidR="00343E75">
        <w:rPr>
          <w:rFonts w:ascii="Century Gothic" w:eastAsia="Arial" w:hAnsi="Century Gothic" w:cs="Arial"/>
          <w:sz w:val="24"/>
          <w:szCs w:val="24"/>
        </w:rPr>
        <w:t xml:space="preserve"> los artículos </w:t>
      </w:r>
      <w:r w:rsidR="00464275" w:rsidRPr="00340E51">
        <w:rPr>
          <w:rFonts w:ascii="Century Gothic" w:eastAsia="Verdana" w:hAnsi="Century Gothic" w:cs="Arial"/>
          <w:sz w:val="24"/>
          <w:szCs w:val="24"/>
        </w:rPr>
        <w:t>16</w:t>
      </w:r>
      <w:r w:rsidR="00896ACC">
        <w:rPr>
          <w:rFonts w:ascii="Century Gothic" w:eastAsia="Verdana" w:hAnsi="Century Gothic" w:cs="Arial"/>
          <w:sz w:val="24"/>
          <w:szCs w:val="24"/>
        </w:rPr>
        <w:t>7 fracción I</w:t>
      </w:r>
      <w:r w:rsidR="00371C78">
        <w:rPr>
          <w:rFonts w:ascii="Century Gothic" w:eastAsia="Verdana" w:hAnsi="Century Gothic" w:cs="Arial"/>
          <w:sz w:val="24"/>
          <w:szCs w:val="24"/>
        </w:rPr>
        <w:t xml:space="preserve">, </w:t>
      </w:r>
      <w:r w:rsidR="00464275" w:rsidRPr="00340E51">
        <w:rPr>
          <w:rFonts w:ascii="Century Gothic" w:eastAsia="Verdana" w:hAnsi="Century Gothic" w:cs="Arial"/>
          <w:sz w:val="24"/>
          <w:szCs w:val="24"/>
        </w:rPr>
        <w:t xml:space="preserve">de </w:t>
      </w:r>
      <w:r w:rsidR="00464275" w:rsidRPr="00340E51">
        <w:rPr>
          <w:rFonts w:ascii="Century Gothic" w:eastAsia="Arial" w:hAnsi="Century Gothic" w:cs="Arial"/>
          <w:sz w:val="24"/>
          <w:szCs w:val="24"/>
        </w:rPr>
        <w:t xml:space="preserve">la Ley Orgánica del Poder Legislativo del Estado de Chihuahua, </w:t>
      </w:r>
      <w:r w:rsidR="00862A0C">
        <w:rPr>
          <w:rFonts w:ascii="Century Gothic" w:eastAsia="Arial" w:hAnsi="Century Gothic" w:cs="Arial"/>
          <w:sz w:val="24"/>
          <w:szCs w:val="24"/>
        </w:rPr>
        <w:t xml:space="preserve">75, </w:t>
      </w:r>
      <w:r w:rsidR="00126F9F">
        <w:rPr>
          <w:rFonts w:ascii="Century Gothic" w:eastAsia="Arial" w:hAnsi="Century Gothic" w:cs="Arial"/>
          <w:sz w:val="24"/>
          <w:szCs w:val="24"/>
        </w:rPr>
        <w:t>7</w:t>
      </w:r>
      <w:r w:rsidR="00862A0C">
        <w:rPr>
          <w:rFonts w:ascii="Century Gothic" w:eastAsia="Arial" w:hAnsi="Century Gothic" w:cs="Arial"/>
          <w:sz w:val="24"/>
          <w:szCs w:val="24"/>
        </w:rPr>
        <w:t>6</w:t>
      </w:r>
      <w:r w:rsidR="00126F9F">
        <w:rPr>
          <w:rFonts w:ascii="Century Gothic" w:eastAsia="Arial" w:hAnsi="Century Gothic" w:cs="Arial"/>
          <w:sz w:val="24"/>
          <w:szCs w:val="24"/>
        </w:rPr>
        <w:t xml:space="preserve"> y</w:t>
      </w:r>
      <w:r w:rsidR="00862A0C">
        <w:rPr>
          <w:rFonts w:ascii="Century Gothic" w:eastAsia="Arial" w:hAnsi="Century Gothic" w:cs="Arial"/>
          <w:sz w:val="24"/>
          <w:szCs w:val="24"/>
        </w:rPr>
        <w:t xml:space="preserve"> 77 fracción I</w:t>
      </w:r>
      <w:r w:rsidR="00946CF6">
        <w:rPr>
          <w:rFonts w:ascii="Century Gothic" w:eastAsia="Arial" w:hAnsi="Century Gothic" w:cs="Arial"/>
          <w:sz w:val="24"/>
          <w:szCs w:val="24"/>
        </w:rPr>
        <w:t>,</w:t>
      </w:r>
      <w:r w:rsidR="00862A0C">
        <w:rPr>
          <w:rFonts w:ascii="Century Gothic" w:eastAsia="Arial" w:hAnsi="Century Gothic" w:cs="Arial"/>
          <w:sz w:val="24"/>
          <w:szCs w:val="24"/>
        </w:rPr>
        <w:t xml:space="preserve"> </w:t>
      </w:r>
      <w:r w:rsidR="00464275" w:rsidRPr="00340E51">
        <w:rPr>
          <w:rFonts w:ascii="Century Gothic" w:eastAsia="Arial" w:hAnsi="Century Gothic" w:cs="Arial"/>
          <w:sz w:val="24"/>
          <w:szCs w:val="24"/>
        </w:rPr>
        <w:t xml:space="preserve">del Reglamento Interior y de Prácticas Parlamentarias del Poder Legislativo, </w:t>
      </w:r>
      <w:r w:rsidR="007C493A" w:rsidRPr="00340E51">
        <w:rPr>
          <w:rFonts w:ascii="Century Gothic" w:eastAsia="Arial" w:hAnsi="Century Gothic" w:cs="Arial"/>
          <w:sz w:val="24"/>
          <w:szCs w:val="24"/>
        </w:rPr>
        <w:t>compare</w:t>
      </w:r>
      <w:r w:rsidR="006F5279">
        <w:rPr>
          <w:rFonts w:ascii="Century Gothic" w:eastAsia="Arial" w:hAnsi="Century Gothic" w:cs="Arial"/>
          <w:sz w:val="24"/>
          <w:szCs w:val="24"/>
        </w:rPr>
        <w:t xml:space="preserve">cemos </w:t>
      </w:r>
      <w:r w:rsidR="007C493A" w:rsidRPr="00340E51">
        <w:rPr>
          <w:rFonts w:ascii="Century Gothic" w:eastAsia="Arial" w:hAnsi="Century Gothic" w:cs="Arial"/>
          <w:sz w:val="24"/>
          <w:szCs w:val="24"/>
        </w:rPr>
        <w:t>a</w:t>
      </w:r>
      <w:r w:rsidR="00464275" w:rsidRPr="00340E51">
        <w:rPr>
          <w:rFonts w:ascii="Century Gothic" w:eastAsia="Arial" w:hAnsi="Century Gothic" w:cs="Arial"/>
          <w:sz w:val="24"/>
          <w:szCs w:val="24"/>
        </w:rPr>
        <w:t xml:space="preserve">nte esta soberanía </w:t>
      </w:r>
      <w:r w:rsidR="007C493A" w:rsidRPr="00340E51">
        <w:rPr>
          <w:rFonts w:ascii="Century Gothic" w:eastAsia="Arial" w:hAnsi="Century Gothic" w:cs="Arial"/>
          <w:sz w:val="24"/>
          <w:szCs w:val="24"/>
        </w:rPr>
        <w:t xml:space="preserve"> para presentar </w:t>
      </w:r>
      <w:r w:rsidR="007C493A" w:rsidRPr="00E8386A">
        <w:rPr>
          <w:rFonts w:ascii="Century Gothic" w:hAnsi="Century Gothic" w:cs="Arial"/>
          <w:b/>
          <w:i/>
          <w:sz w:val="24"/>
          <w:szCs w:val="24"/>
        </w:rPr>
        <w:t>Iniciativa</w:t>
      </w:r>
      <w:r w:rsidR="00862A0C" w:rsidRPr="00E8386A">
        <w:rPr>
          <w:rFonts w:ascii="Century Gothic" w:hAnsi="Century Gothic" w:cs="Arial"/>
          <w:b/>
          <w:i/>
          <w:sz w:val="24"/>
          <w:szCs w:val="24"/>
        </w:rPr>
        <w:t xml:space="preserve"> con carácter de decreto</w:t>
      </w:r>
      <w:r w:rsidR="007C493A" w:rsidRPr="00E8386A">
        <w:rPr>
          <w:rFonts w:ascii="Century Gothic" w:hAnsi="Century Gothic" w:cs="Arial"/>
          <w:b/>
          <w:i/>
          <w:sz w:val="24"/>
          <w:szCs w:val="24"/>
        </w:rPr>
        <w:t xml:space="preserve"> </w:t>
      </w:r>
      <w:r w:rsidR="00DD3886" w:rsidRPr="00E8386A">
        <w:rPr>
          <w:rFonts w:ascii="Century Gothic" w:hAnsi="Century Gothic" w:cs="Arial"/>
          <w:b/>
          <w:i/>
          <w:sz w:val="24"/>
          <w:szCs w:val="24"/>
        </w:rPr>
        <w:t xml:space="preserve">a efecto de incorporar lenguaje incluyente mediante reforma </w:t>
      </w:r>
      <w:r w:rsidR="00E8386A" w:rsidRPr="00E8386A">
        <w:rPr>
          <w:rFonts w:ascii="Century Gothic" w:hAnsi="Century Gothic" w:cs="Arial"/>
          <w:b/>
          <w:sz w:val="24"/>
          <w:szCs w:val="24"/>
        </w:rPr>
        <w:t>a lo</w:t>
      </w:r>
      <w:r w:rsidR="00E8386A">
        <w:rPr>
          <w:rFonts w:ascii="Century Gothic" w:hAnsi="Century Gothic" w:cs="Arial"/>
          <w:b/>
          <w:sz w:val="24"/>
          <w:szCs w:val="24"/>
        </w:rPr>
        <w:t>s</w:t>
      </w:r>
      <w:r w:rsidR="00E8386A" w:rsidRPr="00E8386A">
        <w:rPr>
          <w:rFonts w:ascii="Century Gothic" w:hAnsi="Century Gothic" w:cs="Arial"/>
          <w:b/>
          <w:sz w:val="24"/>
          <w:szCs w:val="24"/>
        </w:rPr>
        <w:t xml:space="preserve"> artículos 45 fracción I y II, 47 fracción II, 67 párrafo primero, segundo y tercer</w:t>
      </w:r>
      <w:r w:rsidR="00E8386A">
        <w:rPr>
          <w:rFonts w:ascii="Century Gothic" w:hAnsi="Century Gothic" w:cs="Arial"/>
          <w:b/>
          <w:sz w:val="24"/>
          <w:szCs w:val="24"/>
        </w:rPr>
        <w:t>o</w:t>
      </w:r>
      <w:r w:rsidR="00E8386A" w:rsidRPr="00E8386A">
        <w:rPr>
          <w:rFonts w:ascii="Century Gothic" w:hAnsi="Century Gothic" w:cs="Arial"/>
          <w:b/>
          <w:sz w:val="24"/>
          <w:szCs w:val="24"/>
        </w:rPr>
        <w:t xml:space="preserve">, 69 fracción I, III, IV y párrafo tercero, </w:t>
      </w:r>
      <w:r w:rsidR="00DD3886" w:rsidRPr="00340E51">
        <w:rPr>
          <w:rFonts w:ascii="Century Gothic" w:hAnsi="Century Gothic" w:cs="Arial"/>
          <w:b/>
          <w:i/>
          <w:sz w:val="24"/>
          <w:szCs w:val="24"/>
        </w:rPr>
        <w:t xml:space="preserve">de la Ley del Instituto </w:t>
      </w:r>
      <w:r w:rsidR="001B2BEF">
        <w:rPr>
          <w:rFonts w:ascii="Century Gothic" w:hAnsi="Century Gothic" w:cs="Arial"/>
          <w:b/>
          <w:i/>
          <w:sz w:val="24"/>
          <w:szCs w:val="24"/>
        </w:rPr>
        <w:t xml:space="preserve">Municipal de </w:t>
      </w:r>
      <w:r w:rsidR="00DD3886" w:rsidRPr="00340E51">
        <w:rPr>
          <w:rFonts w:ascii="Century Gothic" w:hAnsi="Century Gothic" w:cs="Arial"/>
          <w:b/>
          <w:i/>
          <w:sz w:val="24"/>
          <w:szCs w:val="24"/>
        </w:rPr>
        <w:t xml:space="preserve">Pensiones, </w:t>
      </w:r>
      <w:r w:rsidR="00DD3886" w:rsidRPr="00340E51">
        <w:rPr>
          <w:rFonts w:ascii="Century Gothic" w:hAnsi="Century Gothic" w:cs="Arial"/>
          <w:i/>
          <w:sz w:val="24"/>
          <w:szCs w:val="24"/>
        </w:rPr>
        <w:t>de conformidad con la siguiente</w:t>
      </w:r>
    </w:p>
    <w:p w14:paraId="16C8E64F" w14:textId="77777777" w:rsidR="00CB04A8" w:rsidRDefault="00CB04A8"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bookmarkStart w:id="0" w:name="_GoBack"/>
      <w:bookmarkEnd w:id="0"/>
    </w:p>
    <w:p w14:paraId="49B0AFCE" w14:textId="4F1C9690" w:rsidR="005760A2" w:rsidRDefault="005760A2"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r w:rsidRPr="00340E51">
        <w:rPr>
          <w:rFonts w:ascii="Century Gothic" w:eastAsia="Century Gothic" w:hAnsi="Century Gothic" w:cs="Century Gothic"/>
          <w:b/>
          <w:color w:val="000000"/>
          <w:sz w:val="24"/>
          <w:szCs w:val="24"/>
        </w:rPr>
        <w:t xml:space="preserve">EXPOSICIÓN DE MOTIVOS: </w:t>
      </w:r>
    </w:p>
    <w:p w14:paraId="14C80553" w14:textId="77777777" w:rsidR="00862A0C" w:rsidRPr="00340E51" w:rsidRDefault="00862A0C" w:rsidP="00BC7A4A">
      <w:pPr>
        <w:pStyle w:val="Normal1"/>
        <w:pBdr>
          <w:top w:val="nil"/>
          <w:left w:val="nil"/>
          <w:bottom w:val="nil"/>
          <w:right w:val="nil"/>
          <w:between w:val="nil"/>
        </w:pBdr>
        <w:spacing w:after="120" w:line="360" w:lineRule="auto"/>
        <w:jc w:val="center"/>
        <w:rPr>
          <w:rFonts w:ascii="Century Gothic" w:eastAsia="Century Gothic" w:hAnsi="Century Gothic" w:cs="Century Gothic"/>
          <w:b/>
          <w:color w:val="000000"/>
          <w:sz w:val="24"/>
          <w:szCs w:val="24"/>
        </w:rPr>
      </w:pPr>
    </w:p>
    <w:p w14:paraId="00D1C925" w14:textId="5D91B2F8" w:rsidR="00C953FE" w:rsidRPr="00340E51" w:rsidRDefault="0058584F" w:rsidP="00A05123">
      <w:pPr>
        <w:pStyle w:val="Prrafodelista"/>
        <w:spacing w:line="360" w:lineRule="auto"/>
        <w:ind w:left="0"/>
        <w:jc w:val="both"/>
        <w:rPr>
          <w:rFonts w:ascii="Century Gothic" w:hAnsi="Century Gothic" w:cs="Arial"/>
          <w:sz w:val="24"/>
          <w:szCs w:val="24"/>
        </w:rPr>
      </w:pPr>
      <w:r w:rsidRPr="00340E51">
        <w:rPr>
          <w:rFonts w:ascii="Century Gothic" w:hAnsi="Century Gothic" w:cs="Arial"/>
          <w:sz w:val="24"/>
          <w:szCs w:val="24"/>
        </w:rPr>
        <w:t>E</w:t>
      </w:r>
      <w:r w:rsidR="00413277" w:rsidRPr="00340E51">
        <w:rPr>
          <w:rFonts w:ascii="Century Gothic" w:hAnsi="Century Gothic" w:cs="Arial"/>
          <w:sz w:val="24"/>
          <w:szCs w:val="24"/>
        </w:rPr>
        <w:t>n fecha 19 de marzo del 2019, el pleno de la Suprema Corte de Justicia de la Nación</w:t>
      </w:r>
      <w:r w:rsidR="00CC12D0" w:rsidRPr="00340E51">
        <w:rPr>
          <w:rFonts w:ascii="Century Gothic" w:hAnsi="Century Gothic" w:cs="Arial"/>
          <w:sz w:val="24"/>
          <w:szCs w:val="24"/>
        </w:rPr>
        <w:t xml:space="preserve"> (</w:t>
      </w:r>
      <w:r w:rsidR="00CC12D0" w:rsidRPr="00340E51">
        <w:rPr>
          <w:rFonts w:ascii="Century Gothic" w:hAnsi="Century Gothic" w:cs="Arial"/>
          <w:b/>
          <w:sz w:val="24"/>
          <w:szCs w:val="24"/>
        </w:rPr>
        <w:t>SCJN</w:t>
      </w:r>
      <w:r w:rsidR="00CC12D0" w:rsidRPr="00340E51">
        <w:rPr>
          <w:rFonts w:ascii="Century Gothic" w:hAnsi="Century Gothic" w:cs="Arial"/>
          <w:sz w:val="24"/>
          <w:szCs w:val="24"/>
        </w:rPr>
        <w:t xml:space="preserve"> en adelante)</w:t>
      </w:r>
      <w:r w:rsidR="00413277" w:rsidRPr="00340E51">
        <w:rPr>
          <w:rFonts w:ascii="Century Gothic" w:hAnsi="Century Gothic" w:cs="Arial"/>
          <w:sz w:val="24"/>
          <w:szCs w:val="24"/>
        </w:rPr>
        <w:t xml:space="preserve">, resolvió por unanimidad la acción de </w:t>
      </w:r>
      <w:r w:rsidR="005B1340" w:rsidRPr="00340E51">
        <w:rPr>
          <w:rFonts w:ascii="Century Gothic" w:hAnsi="Century Gothic" w:cs="Arial"/>
          <w:sz w:val="24"/>
          <w:szCs w:val="24"/>
        </w:rPr>
        <w:t>inconstitucionalidad 4</w:t>
      </w:r>
      <w:r w:rsidR="00413277" w:rsidRPr="00340E51">
        <w:rPr>
          <w:rFonts w:ascii="Century Gothic" w:hAnsi="Century Gothic" w:cs="Arial"/>
          <w:sz w:val="24"/>
          <w:szCs w:val="24"/>
        </w:rPr>
        <w:t xml:space="preserve">/2016 promovida por la Comisión Nacional de Derechos Humanos, </w:t>
      </w:r>
      <w:r w:rsidR="00E55F8E" w:rsidRPr="00340E51">
        <w:rPr>
          <w:rFonts w:ascii="Century Gothic" w:hAnsi="Century Gothic" w:cs="Arial"/>
          <w:sz w:val="24"/>
          <w:szCs w:val="24"/>
        </w:rPr>
        <w:t xml:space="preserve">mediante la cual  </w:t>
      </w:r>
      <w:r w:rsidR="00704822" w:rsidRPr="00340E51">
        <w:rPr>
          <w:rFonts w:ascii="Century Gothic" w:hAnsi="Century Gothic" w:cs="Arial"/>
          <w:sz w:val="24"/>
          <w:szCs w:val="24"/>
        </w:rPr>
        <w:t>demando la invalidez de los artículos 45, 47</w:t>
      </w:r>
      <w:r w:rsidR="0075258A">
        <w:rPr>
          <w:rFonts w:ascii="Century Gothic" w:hAnsi="Century Gothic" w:cs="Arial"/>
          <w:sz w:val="24"/>
          <w:szCs w:val="24"/>
        </w:rPr>
        <w:t xml:space="preserve"> y</w:t>
      </w:r>
      <w:r w:rsidR="00704822" w:rsidRPr="00340E51">
        <w:rPr>
          <w:rFonts w:ascii="Century Gothic" w:hAnsi="Century Gothic" w:cs="Arial"/>
          <w:sz w:val="24"/>
          <w:szCs w:val="24"/>
        </w:rPr>
        <w:t xml:space="preserve"> 69 de la Ley del Instituto Municipal de Pensiones, </w:t>
      </w:r>
      <w:r w:rsidR="00CC12D0" w:rsidRPr="00340E51">
        <w:rPr>
          <w:rFonts w:ascii="Century Gothic" w:hAnsi="Century Gothic" w:cs="Arial"/>
          <w:sz w:val="24"/>
          <w:szCs w:val="24"/>
        </w:rPr>
        <w:t xml:space="preserve">misma que fue </w:t>
      </w:r>
      <w:r w:rsidR="00CC12D0" w:rsidRPr="00340E51">
        <w:rPr>
          <w:rFonts w:ascii="Century Gothic" w:hAnsi="Century Gothic" w:cs="Arial"/>
          <w:sz w:val="24"/>
          <w:szCs w:val="24"/>
        </w:rPr>
        <w:lastRenderedPageBreak/>
        <w:t>p</w:t>
      </w:r>
      <w:r w:rsidR="00704822" w:rsidRPr="00340E51">
        <w:rPr>
          <w:rFonts w:ascii="Century Gothic" w:hAnsi="Century Gothic" w:cs="Arial"/>
          <w:sz w:val="24"/>
          <w:szCs w:val="24"/>
        </w:rPr>
        <w:t>ublicada mediante el decreto número 1137/2015 IP.O en el Periódico Oficial del Estado de Chihuahua, el veintiséis de diciembre de dos mil quince</w:t>
      </w:r>
      <w:r w:rsidR="00073D7F" w:rsidRPr="00340E51">
        <w:rPr>
          <w:rFonts w:ascii="Century Gothic" w:hAnsi="Century Gothic" w:cs="Arial"/>
          <w:sz w:val="24"/>
          <w:szCs w:val="24"/>
        </w:rPr>
        <w:t xml:space="preserve">; </w:t>
      </w:r>
      <w:r w:rsidR="00CC12D0" w:rsidRPr="00340E51">
        <w:rPr>
          <w:rFonts w:ascii="Century Gothic" w:hAnsi="Century Gothic" w:cs="Arial"/>
          <w:sz w:val="24"/>
          <w:szCs w:val="24"/>
        </w:rPr>
        <w:t xml:space="preserve">La SCJN </w:t>
      </w:r>
      <w:r w:rsidR="00E55323" w:rsidRPr="00340E51">
        <w:rPr>
          <w:rFonts w:ascii="Century Gothic" w:hAnsi="Century Gothic" w:cs="Arial"/>
          <w:sz w:val="24"/>
          <w:szCs w:val="24"/>
        </w:rPr>
        <w:t xml:space="preserve">argumento que </w:t>
      </w:r>
      <w:r w:rsidR="00073D7F" w:rsidRPr="00340E51">
        <w:rPr>
          <w:rFonts w:ascii="Century Gothic" w:hAnsi="Century Gothic" w:cs="Arial"/>
          <w:sz w:val="24"/>
          <w:szCs w:val="24"/>
        </w:rPr>
        <w:t xml:space="preserve">estos preceptos </w:t>
      </w:r>
      <w:r w:rsidR="00E55323" w:rsidRPr="00340E51">
        <w:rPr>
          <w:rFonts w:ascii="Century Gothic" w:hAnsi="Century Gothic" w:cs="Arial"/>
          <w:sz w:val="24"/>
          <w:szCs w:val="24"/>
        </w:rPr>
        <w:t>eran violatorios del derecho a la igualdad y no discriminación, toda vez que los citados artículos establecían una discriminación en razón de género, en tanto que limitaban el derecho de los cónyuges varones del derecho de gozar de pensión de viudez</w:t>
      </w:r>
      <w:r w:rsidR="00073D7F" w:rsidRPr="00340E51">
        <w:rPr>
          <w:rFonts w:ascii="Century Gothic" w:hAnsi="Century Gothic" w:cs="Arial"/>
          <w:sz w:val="24"/>
          <w:szCs w:val="24"/>
        </w:rPr>
        <w:t xml:space="preserve">, al considerar como </w:t>
      </w:r>
      <w:r w:rsidR="00E55323" w:rsidRPr="00340E51">
        <w:rPr>
          <w:rFonts w:ascii="Century Gothic" w:hAnsi="Century Gothic" w:cs="Arial"/>
          <w:sz w:val="24"/>
          <w:szCs w:val="24"/>
        </w:rPr>
        <w:t>derechohabiente de servicios médicos</w:t>
      </w:r>
      <w:r w:rsidR="00073D7F" w:rsidRPr="00340E51">
        <w:rPr>
          <w:rFonts w:ascii="Century Gothic" w:hAnsi="Century Gothic" w:cs="Arial"/>
          <w:sz w:val="24"/>
          <w:szCs w:val="24"/>
        </w:rPr>
        <w:t>,</w:t>
      </w:r>
      <w:r w:rsidR="00E55323" w:rsidRPr="00340E51">
        <w:rPr>
          <w:rFonts w:ascii="Century Gothic" w:hAnsi="Century Gothic" w:cs="Arial"/>
          <w:sz w:val="24"/>
          <w:szCs w:val="24"/>
        </w:rPr>
        <w:t xml:space="preserve"> al cónyuge </w:t>
      </w:r>
      <w:r w:rsidR="00FD1EBC" w:rsidRPr="00340E51">
        <w:rPr>
          <w:rFonts w:ascii="Century Gothic" w:hAnsi="Century Gothic" w:cs="Arial"/>
          <w:sz w:val="24"/>
          <w:szCs w:val="24"/>
        </w:rPr>
        <w:t xml:space="preserve">varón </w:t>
      </w:r>
      <w:r w:rsidR="00E55323" w:rsidRPr="00340E51">
        <w:rPr>
          <w:rFonts w:ascii="Century Gothic" w:hAnsi="Century Gothic" w:cs="Arial"/>
          <w:sz w:val="24"/>
          <w:szCs w:val="24"/>
        </w:rPr>
        <w:t xml:space="preserve">únicamente en los casos </w:t>
      </w:r>
      <w:r w:rsidR="00CC12D0" w:rsidRPr="00340E51">
        <w:rPr>
          <w:rFonts w:ascii="Century Gothic" w:hAnsi="Century Gothic" w:cs="Arial"/>
          <w:sz w:val="24"/>
          <w:szCs w:val="24"/>
        </w:rPr>
        <w:t xml:space="preserve">en que </w:t>
      </w:r>
      <w:r w:rsidR="00E55323" w:rsidRPr="00340E51">
        <w:rPr>
          <w:rFonts w:ascii="Century Gothic" w:hAnsi="Century Gothic" w:cs="Arial"/>
          <w:sz w:val="24"/>
          <w:szCs w:val="24"/>
        </w:rPr>
        <w:t xml:space="preserve">se encuentre incapacitado totalmente, </w:t>
      </w:r>
      <w:r w:rsidR="00073D7F" w:rsidRPr="00340E51">
        <w:rPr>
          <w:rFonts w:ascii="Century Gothic" w:hAnsi="Century Gothic" w:cs="Arial"/>
          <w:sz w:val="24"/>
          <w:szCs w:val="24"/>
        </w:rPr>
        <w:t xml:space="preserve">por lo que determinó </w:t>
      </w:r>
      <w:r w:rsidR="00E55323" w:rsidRPr="00340E51">
        <w:rPr>
          <w:rFonts w:ascii="Century Gothic" w:hAnsi="Century Gothic" w:cs="Arial"/>
          <w:sz w:val="24"/>
          <w:szCs w:val="24"/>
        </w:rPr>
        <w:t xml:space="preserve">que </w:t>
      </w:r>
      <w:r w:rsidR="00073D7F" w:rsidRPr="00340E51">
        <w:rPr>
          <w:rFonts w:ascii="Century Gothic" w:hAnsi="Century Gothic" w:cs="Arial"/>
          <w:sz w:val="24"/>
          <w:szCs w:val="24"/>
        </w:rPr>
        <w:t xml:space="preserve">eran </w:t>
      </w:r>
      <w:r w:rsidR="00E55323" w:rsidRPr="00340E51">
        <w:rPr>
          <w:rFonts w:ascii="Century Gothic" w:hAnsi="Century Gothic" w:cs="Arial"/>
          <w:sz w:val="24"/>
          <w:szCs w:val="24"/>
        </w:rPr>
        <w:t>contrarios a los artículos 1, 4 y 123, apartado B, fracción XI, de la Constitución Política de los Estados Unidos Mexicanos</w:t>
      </w:r>
      <w:r w:rsidR="00A05123" w:rsidRPr="00340E51">
        <w:rPr>
          <w:rFonts w:ascii="Century Gothic" w:hAnsi="Century Gothic" w:cs="Arial"/>
          <w:sz w:val="24"/>
          <w:szCs w:val="24"/>
        </w:rPr>
        <w:t>. Ar</w:t>
      </w:r>
      <w:r w:rsidR="00C953FE" w:rsidRPr="00340E51">
        <w:rPr>
          <w:rFonts w:ascii="Century Gothic" w:hAnsi="Century Gothic" w:cs="Arial"/>
          <w:sz w:val="24"/>
          <w:szCs w:val="24"/>
        </w:rPr>
        <w:t xml:space="preserve">tículos impugnados </w:t>
      </w:r>
      <w:r w:rsidR="00C953FE" w:rsidRPr="00340E51">
        <w:rPr>
          <w:rFonts w:ascii="Century Gothic" w:hAnsi="Century Gothic" w:cs="Arial"/>
          <w:sz w:val="24"/>
          <w:szCs w:val="24"/>
          <w:u w:val="single"/>
        </w:rPr>
        <w:t>cuyo texto</w:t>
      </w:r>
      <w:r w:rsidR="00C953FE" w:rsidRPr="0075258A">
        <w:rPr>
          <w:rFonts w:ascii="Century Gothic" w:hAnsi="Century Gothic" w:cs="Arial"/>
          <w:bCs/>
          <w:sz w:val="24"/>
          <w:szCs w:val="24"/>
          <w:u w:val="single"/>
        </w:rPr>
        <w:t xml:space="preserve"> era</w:t>
      </w:r>
      <w:r w:rsidR="00C953FE" w:rsidRPr="0075258A">
        <w:rPr>
          <w:rFonts w:ascii="Century Gothic" w:hAnsi="Century Gothic" w:cs="Arial"/>
          <w:bCs/>
          <w:sz w:val="24"/>
          <w:szCs w:val="24"/>
        </w:rPr>
        <w:t xml:space="preserve"> </w:t>
      </w:r>
      <w:r w:rsidR="00C953FE" w:rsidRPr="00340E51">
        <w:rPr>
          <w:rFonts w:ascii="Century Gothic" w:hAnsi="Century Gothic" w:cs="Arial"/>
          <w:sz w:val="24"/>
          <w:szCs w:val="24"/>
        </w:rPr>
        <w:t>el siguiente:</w:t>
      </w:r>
    </w:p>
    <w:p w14:paraId="286C7B28" w14:textId="77777777" w:rsidR="006E481F" w:rsidRDefault="006E481F" w:rsidP="00A05123">
      <w:pPr>
        <w:pStyle w:val="corte4fondo"/>
        <w:spacing w:line="240" w:lineRule="auto"/>
        <w:ind w:right="618" w:firstLine="0"/>
        <w:rPr>
          <w:rFonts w:ascii="Century Gothic" w:hAnsi="Century Gothic" w:cs="Arial"/>
          <w:b/>
          <w:i/>
          <w:sz w:val="22"/>
          <w:szCs w:val="22"/>
        </w:rPr>
      </w:pPr>
    </w:p>
    <w:p w14:paraId="08C5AFD6" w14:textId="53FCE866"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b/>
          <w:i/>
          <w:sz w:val="22"/>
          <w:szCs w:val="22"/>
        </w:rPr>
        <w:t>“Artículo 45.</w:t>
      </w:r>
      <w:r w:rsidRPr="006E481F">
        <w:rPr>
          <w:rFonts w:ascii="Century Gothic" w:hAnsi="Century Gothic" w:cs="Arial"/>
          <w:i/>
          <w:sz w:val="22"/>
          <w:szCs w:val="22"/>
        </w:rPr>
        <w:t xml:space="preserve"> Son beneficiarios para efectos de esta prestación:</w:t>
      </w:r>
    </w:p>
    <w:p w14:paraId="234CB6F4" w14:textId="04D7A170" w:rsidR="003C3F8C"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t>I. La cónyuge supérstite y los hijos menores de 18 años o incapaces.</w:t>
      </w:r>
      <w:r w:rsidR="007B19D4" w:rsidRPr="006E481F">
        <w:rPr>
          <w:rFonts w:ascii="Century Gothic" w:hAnsi="Century Gothic" w:cs="Arial"/>
          <w:i/>
          <w:sz w:val="22"/>
          <w:szCs w:val="22"/>
        </w:rPr>
        <w:t xml:space="preserve"> </w:t>
      </w:r>
    </w:p>
    <w:p w14:paraId="08AD5AD6" w14:textId="1F9FBF6D" w:rsidR="00C953FE" w:rsidRPr="006E481F" w:rsidRDefault="00C953FE" w:rsidP="00A05123">
      <w:pPr>
        <w:pStyle w:val="corte4fondo"/>
        <w:spacing w:line="240" w:lineRule="auto"/>
        <w:ind w:right="618" w:firstLine="0"/>
        <w:rPr>
          <w:rFonts w:ascii="Century Gothic" w:hAnsi="Century Gothic" w:cs="Arial"/>
          <w:b/>
          <w:i/>
          <w:sz w:val="22"/>
          <w:szCs w:val="22"/>
        </w:rPr>
      </w:pPr>
      <w:r w:rsidRPr="006E481F">
        <w:rPr>
          <w:rFonts w:ascii="Century Gothic" w:hAnsi="Century Gothic" w:cs="Arial"/>
          <w:i/>
          <w:sz w:val="22"/>
          <w:szCs w:val="22"/>
        </w:rPr>
        <w:t xml:space="preserve">La misma pensión le corresponderá al viudo </w:t>
      </w:r>
      <w:r w:rsidRPr="006E481F">
        <w:rPr>
          <w:rFonts w:ascii="Century Gothic" w:hAnsi="Century Gothic" w:cs="Arial"/>
          <w:b/>
          <w:i/>
          <w:sz w:val="22"/>
          <w:szCs w:val="22"/>
        </w:rPr>
        <w:t>que estuviese totalmente incapacitado.</w:t>
      </w:r>
    </w:p>
    <w:p w14:paraId="11D988DF" w14:textId="77777777"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t>II. A falta de esposa, la concubina, cuando reúna los requisitos que señala la legislación civil”.</w:t>
      </w:r>
    </w:p>
    <w:p w14:paraId="72AC39D1" w14:textId="77777777" w:rsidR="007B19D4" w:rsidRPr="006E481F" w:rsidRDefault="007B19D4" w:rsidP="00A05123">
      <w:pPr>
        <w:pStyle w:val="corte4fondo"/>
        <w:spacing w:line="240" w:lineRule="auto"/>
        <w:ind w:right="618" w:firstLine="0"/>
        <w:rPr>
          <w:rFonts w:ascii="Century Gothic" w:hAnsi="Century Gothic" w:cs="Arial"/>
          <w:i/>
          <w:sz w:val="22"/>
          <w:szCs w:val="22"/>
        </w:rPr>
      </w:pPr>
    </w:p>
    <w:p w14:paraId="69CFEC56" w14:textId="77777777"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b/>
          <w:i/>
          <w:sz w:val="22"/>
          <w:szCs w:val="22"/>
        </w:rPr>
        <w:t xml:space="preserve">“Artículo 47. </w:t>
      </w:r>
      <w:r w:rsidRPr="006E481F">
        <w:rPr>
          <w:rFonts w:ascii="Century Gothic" w:hAnsi="Century Gothic" w:cs="Arial"/>
          <w:i/>
          <w:sz w:val="22"/>
          <w:szCs w:val="22"/>
        </w:rPr>
        <w:t>El derecho a recibir la pensión por viudez y orfandad se pierde:</w:t>
      </w:r>
    </w:p>
    <w:p w14:paraId="73383B27" w14:textId="77777777"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t>I. Cuando los hijos cumplen dieciocho años o cese la incapacidad.</w:t>
      </w:r>
    </w:p>
    <w:p w14:paraId="3DB00E23" w14:textId="77777777"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t>II. Cuando la cónyuge supérstite, o concubina en su caso, contraiga matrimonio, viva en concubinato o por cualquier causa esté en posibilidad de proveer a su subsistencia.</w:t>
      </w:r>
    </w:p>
    <w:p w14:paraId="7B7133C8" w14:textId="77777777"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t xml:space="preserve">III. </w:t>
      </w:r>
      <w:r w:rsidRPr="006E481F">
        <w:rPr>
          <w:rFonts w:ascii="Century Gothic" w:hAnsi="Century Gothic" w:cs="Arial"/>
          <w:b/>
          <w:i/>
          <w:sz w:val="22"/>
          <w:szCs w:val="22"/>
        </w:rPr>
        <w:t>Cuando desaparezca la incapacidad del viudo</w:t>
      </w:r>
      <w:r w:rsidRPr="006E481F">
        <w:rPr>
          <w:rFonts w:ascii="Century Gothic" w:hAnsi="Century Gothic" w:cs="Arial"/>
          <w:i/>
          <w:sz w:val="22"/>
          <w:szCs w:val="22"/>
        </w:rPr>
        <w:t>, huérfano o por cualquier causa esté en posibilidad de proveer a su subsistencia”.</w:t>
      </w:r>
    </w:p>
    <w:p w14:paraId="40DC7631" w14:textId="77777777" w:rsidR="00C953FE" w:rsidRPr="006E481F" w:rsidRDefault="00C953FE" w:rsidP="00A05123">
      <w:pPr>
        <w:pStyle w:val="corte4fondo"/>
        <w:spacing w:line="240" w:lineRule="auto"/>
        <w:ind w:right="618" w:firstLine="0"/>
        <w:rPr>
          <w:rFonts w:ascii="Century Gothic" w:hAnsi="Century Gothic" w:cs="Arial"/>
          <w:i/>
          <w:sz w:val="22"/>
          <w:szCs w:val="22"/>
        </w:rPr>
      </w:pPr>
    </w:p>
    <w:p w14:paraId="3F061008" w14:textId="0C5825B1" w:rsidR="00C953FE" w:rsidRPr="006E481F" w:rsidRDefault="00233DE3"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b/>
          <w:i/>
          <w:sz w:val="22"/>
          <w:szCs w:val="22"/>
        </w:rPr>
        <w:t>“</w:t>
      </w:r>
      <w:r w:rsidR="00C953FE" w:rsidRPr="006E481F">
        <w:rPr>
          <w:rFonts w:ascii="Century Gothic" w:hAnsi="Century Gothic" w:cs="Arial"/>
          <w:b/>
          <w:i/>
          <w:sz w:val="22"/>
          <w:szCs w:val="22"/>
        </w:rPr>
        <w:t>Artículo 69.</w:t>
      </w:r>
      <w:r w:rsidR="00C953FE" w:rsidRPr="006E481F">
        <w:rPr>
          <w:rFonts w:ascii="Century Gothic" w:hAnsi="Century Gothic" w:cs="Arial"/>
          <w:i/>
          <w:sz w:val="22"/>
          <w:szCs w:val="22"/>
        </w:rPr>
        <w:t xml:space="preserve"> Son beneficiarios de los derechohabientes para efectos de la prestación de los servicios médicos:</w:t>
      </w:r>
    </w:p>
    <w:p w14:paraId="697EE9FD" w14:textId="77777777"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t>I. La cónyuge o, a falta de esta, la concubina que acredite tal carácter en los términos de la legislación civil. Si el trabajador tiene varias concubinas, ninguna de ellas tendrá derecho al servicio.</w:t>
      </w:r>
    </w:p>
    <w:p w14:paraId="67696F0D" w14:textId="77777777" w:rsidR="00C953FE" w:rsidRPr="006E481F" w:rsidRDefault="00C953FE" w:rsidP="00A05123">
      <w:pPr>
        <w:pStyle w:val="corte4fondo"/>
        <w:spacing w:line="240" w:lineRule="auto"/>
        <w:ind w:right="618" w:firstLine="0"/>
        <w:rPr>
          <w:rFonts w:ascii="Century Gothic" w:hAnsi="Century Gothic" w:cs="Arial"/>
          <w:b/>
          <w:i/>
          <w:sz w:val="22"/>
          <w:szCs w:val="22"/>
        </w:rPr>
      </w:pPr>
      <w:r w:rsidRPr="006E481F">
        <w:rPr>
          <w:rFonts w:ascii="Century Gothic" w:hAnsi="Century Gothic" w:cs="Arial"/>
          <w:b/>
          <w:i/>
          <w:sz w:val="22"/>
          <w:szCs w:val="22"/>
        </w:rPr>
        <w:t>Del mismo derecho gozará el esposo de la trabajadora</w:t>
      </w:r>
      <w:r w:rsidRPr="006E481F">
        <w:rPr>
          <w:rFonts w:ascii="Century Gothic" w:hAnsi="Century Gothic" w:cs="Arial"/>
          <w:i/>
          <w:sz w:val="22"/>
          <w:szCs w:val="22"/>
        </w:rPr>
        <w:t xml:space="preserve"> o, a falta de este, el concubinario, </w:t>
      </w:r>
      <w:r w:rsidRPr="006E481F">
        <w:rPr>
          <w:rFonts w:ascii="Century Gothic" w:hAnsi="Century Gothic" w:cs="Arial"/>
          <w:b/>
          <w:i/>
          <w:sz w:val="22"/>
          <w:szCs w:val="22"/>
        </w:rPr>
        <w:t>siempre y cuando este se encuentre incapacitado física o mentalmente, y no pueda trabajar para obtener su subsistencia u otro servicio médico y viva en el hogar de esta.</w:t>
      </w:r>
    </w:p>
    <w:p w14:paraId="00317330" w14:textId="2CAAB412" w:rsidR="00C953FE" w:rsidRPr="006E481F" w:rsidRDefault="00C953FE" w:rsidP="00A05123">
      <w:pPr>
        <w:pStyle w:val="corte4fondo"/>
        <w:spacing w:line="240" w:lineRule="auto"/>
        <w:ind w:right="618" w:firstLine="0"/>
        <w:rPr>
          <w:rFonts w:ascii="Century Gothic" w:hAnsi="Century Gothic" w:cs="Arial"/>
          <w:i/>
          <w:sz w:val="22"/>
          <w:szCs w:val="22"/>
        </w:rPr>
      </w:pPr>
      <w:r w:rsidRPr="006E481F">
        <w:rPr>
          <w:rFonts w:ascii="Century Gothic" w:hAnsi="Century Gothic" w:cs="Arial"/>
          <w:i/>
          <w:sz w:val="22"/>
          <w:szCs w:val="22"/>
        </w:rPr>
        <w:lastRenderedPageBreak/>
        <w:t>En el caso de los concubinarios es necesario que se haya hecho vida marital durante los cinco años anteriores a la enfermedad, o con el que haya procreado hijos, siempre que ambos permanezcan libres de matrimonio. Si la trabajadora tiene varios concubinarios ninguno de ellos tendrá derecho al servicio. (…)”.</w:t>
      </w:r>
    </w:p>
    <w:p w14:paraId="2BCAD5EE" w14:textId="77777777" w:rsidR="00233DE3" w:rsidRPr="006E481F" w:rsidRDefault="00233DE3" w:rsidP="00A05123">
      <w:pPr>
        <w:pStyle w:val="corte4fondo"/>
        <w:spacing w:line="240" w:lineRule="auto"/>
        <w:ind w:right="618" w:firstLine="0"/>
        <w:rPr>
          <w:rFonts w:ascii="Century Gothic" w:hAnsi="Century Gothic" w:cs="Arial"/>
          <w:i/>
          <w:sz w:val="22"/>
          <w:szCs w:val="22"/>
        </w:rPr>
      </w:pPr>
    </w:p>
    <w:p w14:paraId="516A4DF3" w14:textId="77777777" w:rsidR="006E481F" w:rsidRDefault="006E481F" w:rsidP="009C070D">
      <w:pPr>
        <w:pStyle w:val="Prrafodelista"/>
        <w:spacing w:line="360" w:lineRule="auto"/>
        <w:ind w:left="0"/>
        <w:jc w:val="both"/>
        <w:rPr>
          <w:rFonts w:ascii="Century Gothic" w:hAnsi="Century Gothic" w:cs="Arial"/>
          <w:sz w:val="24"/>
          <w:szCs w:val="24"/>
        </w:rPr>
      </w:pPr>
    </w:p>
    <w:p w14:paraId="4F3C9640" w14:textId="64BD68CC" w:rsidR="002C4083" w:rsidRDefault="002C4083" w:rsidP="009C070D">
      <w:pPr>
        <w:pStyle w:val="Prrafodelista"/>
        <w:spacing w:line="360" w:lineRule="auto"/>
        <w:ind w:left="0"/>
        <w:jc w:val="both"/>
        <w:rPr>
          <w:rFonts w:ascii="Century Gothic" w:hAnsi="Century Gothic" w:cs="Arial"/>
          <w:sz w:val="24"/>
          <w:szCs w:val="24"/>
        </w:rPr>
      </w:pPr>
      <w:r w:rsidRPr="00340E51">
        <w:rPr>
          <w:rFonts w:ascii="Century Gothic" w:hAnsi="Century Gothic" w:cs="Arial"/>
          <w:sz w:val="24"/>
          <w:szCs w:val="24"/>
        </w:rPr>
        <w:t xml:space="preserve">Finalmente, la </w:t>
      </w:r>
      <w:r w:rsidRPr="00340E51">
        <w:rPr>
          <w:rFonts w:ascii="Century Gothic" w:hAnsi="Century Gothic" w:cs="Arial"/>
          <w:b/>
          <w:sz w:val="24"/>
          <w:szCs w:val="24"/>
        </w:rPr>
        <w:t>S</w:t>
      </w:r>
      <w:r w:rsidR="0017199B" w:rsidRPr="00340E51">
        <w:rPr>
          <w:rFonts w:ascii="Century Gothic" w:hAnsi="Century Gothic" w:cs="Arial"/>
          <w:b/>
          <w:sz w:val="24"/>
          <w:szCs w:val="24"/>
        </w:rPr>
        <w:t>CJN</w:t>
      </w:r>
      <w:r w:rsidRPr="00340E51">
        <w:rPr>
          <w:rFonts w:ascii="Century Gothic" w:hAnsi="Century Gothic" w:cs="Arial"/>
          <w:sz w:val="24"/>
          <w:szCs w:val="24"/>
        </w:rPr>
        <w:t xml:space="preserve">, determino que era procedente la acción de inconstitucionalidad en comento, </w:t>
      </w:r>
      <w:r w:rsidR="00BC685B" w:rsidRPr="00340E51">
        <w:rPr>
          <w:rFonts w:ascii="Century Gothic" w:hAnsi="Century Gothic" w:cs="Arial"/>
          <w:sz w:val="24"/>
          <w:szCs w:val="24"/>
        </w:rPr>
        <w:t xml:space="preserve">por lo que en </w:t>
      </w:r>
      <w:r w:rsidR="00BC685B" w:rsidRPr="00340E51">
        <w:rPr>
          <w:rFonts w:ascii="Century Gothic" w:eastAsia="Calibri" w:hAnsi="Century Gothic" w:cs="Arial"/>
          <w:b/>
          <w:sz w:val="24"/>
          <w:szCs w:val="24"/>
        </w:rPr>
        <w:t xml:space="preserve">fecha 19 de marzo de 2019 </w:t>
      </w:r>
      <w:r w:rsidR="0017199B" w:rsidRPr="00340E51">
        <w:rPr>
          <w:rFonts w:ascii="Century Gothic" w:eastAsia="Calibri" w:hAnsi="Century Gothic" w:cs="Arial"/>
          <w:sz w:val="24"/>
          <w:szCs w:val="24"/>
        </w:rPr>
        <w:t xml:space="preserve">ordeno el que </w:t>
      </w:r>
      <w:r w:rsidR="00BC685B" w:rsidRPr="00340E51">
        <w:rPr>
          <w:rFonts w:ascii="Century Gothic" w:eastAsia="Calibri" w:hAnsi="Century Gothic" w:cs="Arial"/>
          <w:sz w:val="24"/>
          <w:szCs w:val="24"/>
        </w:rPr>
        <w:t>se modificaron</w:t>
      </w:r>
      <w:r w:rsidR="00BC685B" w:rsidRPr="00340E51">
        <w:rPr>
          <w:rFonts w:ascii="Century Gothic" w:eastAsia="Calibri" w:hAnsi="Century Gothic" w:cs="Arial"/>
          <w:b/>
          <w:sz w:val="24"/>
          <w:szCs w:val="24"/>
        </w:rPr>
        <w:t xml:space="preserve"> </w:t>
      </w:r>
      <w:r w:rsidRPr="00340E51">
        <w:rPr>
          <w:rFonts w:ascii="Century Gothic" w:hAnsi="Century Gothic" w:cs="Arial"/>
          <w:sz w:val="24"/>
          <w:szCs w:val="24"/>
        </w:rPr>
        <w:t xml:space="preserve">los citados </w:t>
      </w:r>
      <w:r w:rsidR="00DD04A6" w:rsidRPr="00340E51">
        <w:rPr>
          <w:rFonts w:ascii="Century Gothic" w:hAnsi="Century Gothic" w:cs="Arial"/>
          <w:sz w:val="24"/>
          <w:szCs w:val="24"/>
        </w:rPr>
        <w:t>artículos</w:t>
      </w:r>
      <w:r w:rsidRPr="00340E51">
        <w:rPr>
          <w:rFonts w:ascii="Century Gothic" w:hAnsi="Century Gothic" w:cs="Arial"/>
          <w:sz w:val="24"/>
          <w:szCs w:val="24"/>
        </w:rPr>
        <w:t xml:space="preserve"> </w:t>
      </w:r>
      <w:r w:rsidR="0017199B" w:rsidRPr="00340E51">
        <w:rPr>
          <w:rFonts w:ascii="Century Gothic" w:hAnsi="Century Gothic" w:cs="Arial"/>
          <w:sz w:val="24"/>
          <w:szCs w:val="24"/>
        </w:rPr>
        <w:t>impugnados,</w:t>
      </w:r>
      <w:r w:rsidR="00BC685B" w:rsidRPr="00340E51">
        <w:rPr>
          <w:rFonts w:ascii="Century Gothic" w:hAnsi="Century Gothic" w:cs="Arial"/>
          <w:sz w:val="24"/>
          <w:szCs w:val="24"/>
        </w:rPr>
        <w:t xml:space="preserve"> quedando como </w:t>
      </w:r>
      <w:r w:rsidRPr="00340E51">
        <w:rPr>
          <w:rFonts w:ascii="Century Gothic" w:hAnsi="Century Gothic" w:cs="Arial"/>
          <w:sz w:val="24"/>
          <w:szCs w:val="24"/>
          <w:u w:val="single"/>
        </w:rPr>
        <w:t xml:space="preserve">actualmente </w:t>
      </w:r>
      <w:r w:rsidRPr="00340E51">
        <w:rPr>
          <w:rFonts w:ascii="Century Gothic" w:hAnsi="Century Gothic" w:cs="Arial"/>
          <w:sz w:val="24"/>
          <w:szCs w:val="24"/>
        </w:rPr>
        <w:t>se encuentra</w:t>
      </w:r>
      <w:r w:rsidR="00BC685B" w:rsidRPr="00340E51">
        <w:rPr>
          <w:rFonts w:ascii="Century Gothic" w:hAnsi="Century Gothic" w:cs="Arial"/>
          <w:sz w:val="24"/>
          <w:szCs w:val="24"/>
        </w:rPr>
        <w:t>n</w:t>
      </w:r>
      <w:r w:rsidRPr="00340E51">
        <w:rPr>
          <w:rFonts w:ascii="Century Gothic" w:hAnsi="Century Gothic" w:cs="Arial"/>
          <w:sz w:val="24"/>
          <w:szCs w:val="24"/>
        </w:rPr>
        <w:t xml:space="preserve"> y que se </w:t>
      </w:r>
      <w:r w:rsidR="009C1000" w:rsidRPr="00340E51">
        <w:rPr>
          <w:rFonts w:ascii="Century Gothic" w:hAnsi="Century Gothic" w:cs="Arial"/>
          <w:sz w:val="24"/>
          <w:szCs w:val="24"/>
        </w:rPr>
        <w:t>trascriben:</w:t>
      </w:r>
    </w:p>
    <w:p w14:paraId="526E9A61" w14:textId="77777777" w:rsidR="00BE626B" w:rsidRPr="00340E51" w:rsidRDefault="00BE626B" w:rsidP="00BE626B">
      <w:pPr>
        <w:pStyle w:val="Prrafodelista"/>
        <w:spacing w:line="240" w:lineRule="atLeast"/>
        <w:ind w:left="0"/>
        <w:jc w:val="both"/>
        <w:rPr>
          <w:rFonts w:ascii="Century Gothic" w:hAnsi="Century Gothic" w:cs="Arial"/>
          <w:sz w:val="24"/>
          <w:szCs w:val="24"/>
        </w:rPr>
      </w:pPr>
    </w:p>
    <w:p w14:paraId="0049AE85" w14:textId="5F9B3181"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b/>
          <w:i/>
          <w:sz w:val="22"/>
          <w:szCs w:val="22"/>
        </w:rPr>
        <w:t>“Artículo 45.</w:t>
      </w:r>
      <w:r w:rsidRPr="008F0ED3">
        <w:rPr>
          <w:rFonts w:ascii="Century Gothic" w:hAnsi="Century Gothic" w:cs="Arial"/>
          <w:i/>
          <w:sz w:val="22"/>
          <w:szCs w:val="22"/>
        </w:rPr>
        <w:t xml:space="preserve"> Son beneficiarios para efectos de esta prestación:</w:t>
      </w:r>
    </w:p>
    <w:p w14:paraId="25B8CB0E"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bCs/>
          <w:i/>
          <w:sz w:val="22"/>
          <w:szCs w:val="22"/>
        </w:rPr>
        <w:t>I.</w:t>
      </w:r>
      <w:r w:rsidRPr="008F0ED3">
        <w:rPr>
          <w:rFonts w:ascii="Century Gothic" w:hAnsi="Century Gothic" w:cs="Arial"/>
          <w:b/>
          <w:i/>
          <w:sz w:val="22"/>
          <w:szCs w:val="22"/>
        </w:rPr>
        <w:t xml:space="preserve"> La cónyuge supérstite</w:t>
      </w:r>
      <w:r w:rsidRPr="008F0ED3">
        <w:rPr>
          <w:rFonts w:ascii="Century Gothic" w:hAnsi="Century Gothic" w:cs="Arial"/>
          <w:i/>
          <w:sz w:val="22"/>
          <w:szCs w:val="22"/>
        </w:rPr>
        <w:t xml:space="preserve"> y los hijos menores de 18 años o incapaces.</w:t>
      </w:r>
    </w:p>
    <w:p w14:paraId="3D52AE68" w14:textId="6C1DEACB"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La misma pensión le corresponderá al viudo.</w:t>
      </w:r>
    </w:p>
    <w:p w14:paraId="27F9973C"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 xml:space="preserve">II. A falta de esposa, la </w:t>
      </w:r>
      <w:r w:rsidRPr="008F0ED3">
        <w:rPr>
          <w:rFonts w:ascii="Century Gothic" w:hAnsi="Century Gothic" w:cs="Arial"/>
          <w:b/>
          <w:i/>
          <w:sz w:val="22"/>
          <w:szCs w:val="22"/>
        </w:rPr>
        <w:t>concubina,</w:t>
      </w:r>
      <w:r w:rsidRPr="008F0ED3">
        <w:rPr>
          <w:rFonts w:ascii="Century Gothic" w:hAnsi="Century Gothic" w:cs="Arial"/>
          <w:i/>
          <w:sz w:val="22"/>
          <w:szCs w:val="22"/>
        </w:rPr>
        <w:t xml:space="preserve"> cuando reúna los requisitos que señala la legislación civil.”</w:t>
      </w:r>
    </w:p>
    <w:p w14:paraId="128286B4" w14:textId="77777777" w:rsidR="00374076" w:rsidRPr="008F0ED3" w:rsidRDefault="00374076" w:rsidP="009C070D">
      <w:pPr>
        <w:pStyle w:val="corte4fondo"/>
        <w:spacing w:line="240" w:lineRule="auto"/>
        <w:ind w:right="618" w:firstLine="0"/>
        <w:rPr>
          <w:rFonts w:ascii="Century Gothic" w:hAnsi="Century Gothic" w:cs="Arial"/>
          <w:b/>
          <w:i/>
          <w:sz w:val="22"/>
          <w:szCs w:val="22"/>
        </w:rPr>
      </w:pPr>
    </w:p>
    <w:p w14:paraId="79058378" w14:textId="3C51FF45"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b/>
          <w:i/>
          <w:sz w:val="22"/>
          <w:szCs w:val="22"/>
        </w:rPr>
        <w:t xml:space="preserve">“Artículo 47. </w:t>
      </w:r>
      <w:r w:rsidRPr="008F0ED3">
        <w:rPr>
          <w:rFonts w:ascii="Century Gothic" w:hAnsi="Century Gothic" w:cs="Arial"/>
          <w:i/>
          <w:sz w:val="22"/>
          <w:szCs w:val="22"/>
        </w:rPr>
        <w:t xml:space="preserve">El derecho a recibir la pensión por viudez y orfandad se </w:t>
      </w:r>
      <w:r w:rsidR="00374076" w:rsidRPr="008F0ED3">
        <w:rPr>
          <w:rFonts w:ascii="Century Gothic" w:hAnsi="Century Gothic" w:cs="Arial"/>
          <w:i/>
          <w:sz w:val="22"/>
          <w:szCs w:val="22"/>
        </w:rPr>
        <w:t>p</w:t>
      </w:r>
      <w:r w:rsidRPr="008F0ED3">
        <w:rPr>
          <w:rFonts w:ascii="Century Gothic" w:hAnsi="Century Gothic" w:cs="Arial"/>
          <w:i/>
          <w:sz w:val="22"/>
          <w:szCs w:val="22"/>
        </w:rPr>
        <w:t>ierde:</w:t>
      </w:r>
    </w:p>
    <w:p w14:paraId="63918AA1"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I. Cuando los hijos cumplen dieciocho años o cese la incapacidad.</w:t>
      </w:r>
    </w:p>
    <w:p w14:paraId="61801C07"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II. Cuando la cónyuge supérstite, o concubina en su caso, contraiga matrimonio, viva en concubinato o por cualquier causa esté en posibilidad de proveer a su subsistencia.</w:t>
      </w:r>
    </w:p>
    <w:p w14:paraId="0AC014B5"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III. Cuando desaparezca la incapacidad del huérfano o por cualquier causa esté en posibilidad de proveer a su subsistencia.”</w:t>
      </w:r>
    </w:p>
    <w:p w14:paraId="05E72745" w14:textId="77777777" w:rsidR="009C070D" w:rsidRPr="008F0ED3" w:rsidRDefault="009C070D" w:rsidP="009C070D">
      <w:pPr>
        <w:pStyle w:val="corte4fondo"/>
        <w:spacing w:line="240" w:lineRule="auto"/>
        <w:ind w:right="618" w:firstLine="0"/>
        <w:rPr>
          <w:rFonts w:ascii="Century Gothic" w:hAnsi="Century Gothic" w:cs="Arial"/>
          <w:i/>
          <w:sz w:val="22"/>
          <w:szCs w:val="22"/>
        </w:rPr>
      </w:pPr>
    </w:p>
    <w:p w14:paraId="0FDA286F"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b/>
          <w:i/>
          <w:sz w:val="22"/>
          <w:szCs w:val="22"/>
        </w:rPr>
        <w:t>“Artículo 69.</w:t>
      </w:r>
      <w:r w:rsidRPr="008F0ED3">
        <w:rPr>
          <w:rFonts w:ascii="Century Gothic" w:hAnsi="Century Gothic" w:cs="Arial"/>
          <w:i/>
          <w:sz w:val="22"/>
          <w:szCs w:val="22"/>
        </w:rPr>
        <w:t xml:space="preserve"> Son beneficiarios de los derechohabientes para efectos de la prestación de los servicios médicos:</w:t>
      </w:r>
    </w:p>
    <w:p w14:paraId="3F4DDDCD"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I. La cónyuge o, a falta de esta, la concubina que acredite tal carácter en los términos de la legislación civil. Si el trabajador tiene varias concubinas, ninguna de ellas tendrá derecho al servicio.</w:t>
      </w:r>
    </w:p>
    <w:p w14:paraId="2942D325" w14:textId="77777777" w:rsidR="009C070D" w:rsidRPr="008F0ED3" w:rsidRDefault="009C070D" w:rsidP="009C070D">
      <w:pPr>
        <w:pStyle w:val="corte4fondo"/>
        <w:spacing w:line="240" w:lineRule="auto"/>
        <w:ind w:right="618" w:firstLine="0"/>
        <w:rPr>
          <w:rFonts w:ascii="Century Gothic" w:hAnsi="Century Gothic" w:cs="Arial"/>
          <w:b/>
          <w:i/>
          <w:sz w:val="22"/>
          <w:szCs w:val="22"/>
        </w:rPr>
      </w:pPr>
      <w:r w:rsidRPr="008F0ED3">
        <w:rPr>
          <w:rFonts w:ascii="Century Gothic" w:hAnsi="Century Gothic" w:cs="Arial"/>
          <w:b/>
          <w:i/>
          <w:sz w:val="22"/>
          <w:szCs w:val="22"/>
        </w:rPr>
        <w:t>Del mismo derecho gozará el esposo de la trabajadora o, a falta de este, el concubinario.</w:t>
      </w:r>
    </w:p>
    <w:p w14:paraId="03AB0BD6" w14:textId="77777777" w:rsidR="009C070D" w:rsidRPr="008F0ED3" w:rsidRDefault="009C070D" w:rsidP="009C070D">
      <w:pPr>
        <w:pStyle w:val="corte4fondo"/>
        <w:spacing w:line="240" w:lineRule="auto"/>
        <w:ind w:right="618" w:firstLine="0"/>
        <w:rPr>
          <w:rFonts w:ascii="Century Gothic" w:hAnsi="Century Gothic" w:cs="Arial"/>
          <w:i/>
          <w:sz w:val="22"/>
          <w:szCs w:val="22"/>
        </w:rPr>
      </w:pPr>
      <w:r w:rsidRPr="008F0ED3">
        <w:rPr>
          <w:rFonts w:ascii="Century Gothic" w:hAnsi="Century Gothic" w:cs="Arial"/>
          <w:i/>
          <w:sz w:val="22"/>
          <w:szCs w:val="22"/>
        </w:rPr>
        <w:t>En el caso de los concubinarios es necesario que se haya hecho vida marital durante los cinco años anteriores a la enfermedad, o con el que haya procreado hijos, siempre que ambos permanezcan libres de matrimonio. Si la trabajadora tiene varios concubinarios ninguno de ellos tendrá derecho al servicio. (…)”</w:t>
      </w:r>
    </w:p>
    <w:p w14:paraId="08D4C7AD" w14:textId="6006B60A" w:rsidR="009C1000" w:rsidRPr="00340E51" w:rsidRDefault="009C1000" w:rsidP="009C070D">
      <w:pPr>
        <w:pStyle w:val="Prrafodelista"/>
        <w:spacing w:line="360" w:lineRule="auto"/>
        <w:ind w:left="0"/>
        <w:jc w:val="both"/>
        <w:rPr>
          <w:rFonts w:ascii="Century Gothic" w:hAnsi="Century Gothic" w:cs="Arial"/>
          <w:sz w:val="24"/>
          <w:szCs w:val="24"/>
        </w:rPr>
      </w:pPr>
    </w:p>
    <w:p w14:paraId="375CE818" w14:textId="76C45A50" w:rsidR="00BE721A" w:rsidRPr="00340E51" w:rsidRDefault="00A05123" w:rsidP="00972C39">
      <w:pPr>
        <w:pStyle w:val="Prrafodelista"/>
        <w:spacing w:line="360" w:lineRule="auto"/>
        <w:ind w:left="0"/>
        <w:jc w:val="both"/>
        <w:rPr>
          <w:rFonts w:ascii="Century Gothic" w:hAnsi="Century Gothic"/>
          <w:color w:val="212529"/>
          <w:sz w:val="24"/>
          <w:szCs w:val="24"/>
          <w:shd w:val="clear" w:color="auto" w:fill="FFFFFF"/>
        </w:rPr>
      </w:pPr>
      <w:r w:rsidRPr="00340E51">
        <w:rPr>
          <w:rFonts w:ascii="Century Gothic" w:hAnsi="Century Gothic" w:cs="Arial"/>
          <w:sz w:val="24"/>
          <w:szCs w:val="24"/>
        </w:rPr>
        <w:lastRenderedPageBreak/>
        <w:t>S</w:t>
      </w:r>
      <w:r w:rsidR="00FE5023" w:rsidRPr="00340E51">
        <w:rPr>
          <w:rFonts w:ascii="Century Gothic" w:hAnsi="Century Gothic" w:cs="Arial"/>
          <w:sz w:val="24"/>
          <w:szCs w:val="24"/>
        </w:rPr>
        <w:t xml:space="preserve">i bien en cierto que </w:t>
      </w:r>
      <w:r w:rsidR="00BF1D2A" w:rsidRPr="00340E51">
        <w:rPr>
          <w:rFonts w:ascii="Century Gothic" w:hAnsi="Century Gothic" w:cs="Arial"/>
          <w:sz w:val="24"/>
          <w:szCs w:val="24"/>
        </w:rPr>
        <w:t>la acción de inconstitucionalidad 4/2016 resolvió en gran parte  la violación a la igualdad y no discriminación que  contenía las</w:t>
      </w:r>
      <w:r w:rsidRPr="00340E51">
        <w:rPr>
          <w:rFonts w:ascii="Century Gothic" w:hAnsi="Century Gothic" w:cs="Arial"/>
          <w:sz w:val="24"/>
          <w:szCs w:val="24"/>
        </w:rPr>
        <w:t xml:space="preserve"> normas </w:t>
      </w:r>
      <w:r w:rsidR="00BF1D2A" w:rsidRPr="00340E51">
        <w:rPr>
          <w:rFonts w:ascii="Century Gothic" w:hAnsi="Century Gothic" w:cs="Arial"/>
          <w:sz w:val="24"/>
          <w:szCs w:val="24"/>
        </w:rPr>
        <w:t>declaradas invalida</w:t>
      </w:r>
      <w:r w:rsidRPr="00340E51">
        <w:rPr>
          <w:rFonts w:ascii="Century Gothic" w:hAnsi="Century Gothic" w:cs="Arial"/>
          <w:sz w:val="24"/>
          <w:szCs w:val="24"/>
        </w:rPr>
        <w:t>s</w:t>
      </w:r>
      <w:r w:rsidR="00BF1D2A" w:rsidRPr="00340E51">
        <w:rPr>
          <w:rFonts w:ascii="Century Gothic" w:hAnsi="Century Gothic" w:cs="Arial"/>
          <w:sz w:val="24"/>
          <w:szCs w:val="24"/>
        </w:rPr>
        <w:t xml:space="preserve">,  también lo es que </w:t>
      </w:r>
      <w:r w:rsidRPr="00340E51">
        <w:rPr>
          <w:rFonts w:ascii="Century Gothic" w:hAnsi="Century Gothic" w:cs="Arial"/>
          <w:sz w:val="24"/>
          <w:szCs w:val="24"/>
        </w:rPr>
        <w:t xml:space="preserve">con dicha declaración </w:t>
      </w:r>
      <w:r w:rsidR="00632780" w:rsidRPr="00340E51">
        <w:rPr>
          <w:rFonts w:ascii="Century Gothic" w:hAnsi="Century Gothic" w:cs="Arial"/>
          <w:sz w:val="24"/>
          <w:szCs w:val="24"/>
        </w:rPr>
        <w:t xml:space="preserve"> de invalidez </w:t>
      </w:r>
      <w:r w:rsidRPr="00340E51">
        <w:rPr>
          <w:rFonts w:ascii="Century Gothic" w:hAnsi="Century Gothic" w:cs="Arial"/>
          <w:sz w:val="24"/>
          <w:szCs w:val="24"/>
        </w:rPr>
        <w:t xml:space="preserve">no se resolvió en su totalidad esta </w:t>
      </w:r>
      <w:r w:rsidR="00632780" w:rsidRPr="00340E51">
        <w:rPr>
          <w:rFonts w:ascii="Century Gothic" w:hAnsi="Century Gothic" w:cs="Arial"/>
          <w:sz w:val="24"/>
          <w:szCs w:val="24"/>
        </w:rPr>
        <w:t>violación, toda vez</w:t>
      </w:r>
      <w:r w:rsidR="00DB420D" w:rsidRPr="00340E51">
        <w:rPr>
          <w:rFonts w:ascii="Century Gothic" w:hAnsi="Century Gothic" w:cs="Arial"/>
          <w:sz w:val="24"/>
          <w:szCs w:val="24"/>
        </w:rPr>
        <w:t>,</w:t>
      </w:r>
      <w:r w:rsidR="00632780" w:rsidRPr="00340E51">
        <w:rPr>
          <w:rFonts w:ascii="Century Gothic" w:hAnsi="Century Gothic" w:cs="Arial"/>
          <w:sz w:val="24"/>
          <w:szCs w:val="24"/>
        </w:rPr>
        <w:t xml:space="preserve"> que </w:t>
      </w:r>
      <w:r w:rsidR="00BF1D2A" w:rsidRPr="00340E51">
        <w:rPr>
          <w:rFonts w:ascii="Century Gothic" w:hAnsi="Century Gothic" w:cs="Arial"/>
          <w:sz w:val="24"/>
          <w:szCs w:val="24"/>
        </w:rPr>
        <w:t>aun con la forma en qued</w:t>
      </w:r>
      <w:r w:rsidR="00632780" w:rsidRPr="00340E51">
        <w:rPr>
          <w:rFonts w:ascii="Century Gothic" w:hAnsi="Century Gothic" w:cs="Arial"/>
          <w:sz w:val="24"/>
          <w:szCs w:val="24"/>
        </w:rPr>
        <w:t xml:space="preserve">aron </w:t>
      </w:r>
      <w:r w:rsidR="00BF1D2A" w:rsidRPr="00340E51">
        <w:rPr>
          <w:rFonts w:ascii="Century Gothic" w:hAnsi="Century Gothic" w:cs="Arial"/>
          <w:sz w:val="24"/>
          <w:szCs w:val="24"/>
        </w:rPr>
        <w:t>redactada</w:t>
      </w:r>
      <w:r w:rsidR="00632780" w:rsidRPr="00340E51">
        <w:rPr>
          <w:rFonts w:ascii="Century Gothic" w:hAnsi="Century Gothic" w:cs="Arial"/>
          <w:sz w:val="24"/>
          <w:szCs w:val="24"/>
        </w:rPr>
        <w:t>s</w:t>
      </w:r>
      <w:r w:rsidR="00BF1D2A" w:rsidRPr="00340E51">
        <w:rPr>
          <w:rFonts w:ascii="Century Gothic" w:hAnsi="Century Gothic" w:cs="Arial"/>
          <w:sz w:val="24"/>
          <w:szCs w:val="24"/>
        </w:rPr>
        <w:t xml:space="preserve"> las citadas normas</w:t>
      </w:r>
      <w:r w:rsidR="00632780" w:rsidRPr="00340E51">
        <w:rPr>
          <w:rFonts w:ascii="Century Gothic" w:hAnsi="Century Gothic" w:cs="Arial"/>
          <w:sz w:val="24"/>
          <w:szCs w:val="24"/>
        </w:rPr>
        <w:t xml:space="preserve">, continúan </w:t>
      </w:r>
      <w:r w:rsidR="00BF1D2A" w:rsidRPr="00340E51">
        <w:rPr>
          <w:rFonts w:ascii="Century Gothic" w:hAnsi="Century Gothic" w:cs="Arial"/>
          <w:sz w:val="24"/>
          <w:szCs w:val="24"/>
        </w:rPr>
        <w:t xml:space="preserve">siendo normas </w:t>
      </w:r>
      <w:r w:rsidR="00632780" w:rsidRPr="00340E51">
        <w:rPr>
          <w:rFonts w:ascii="Century Gothic" w:hAnsi="Century Gothic" w:cs="Arial"/>
          <w:sz w:val="24"/>
          <w:szCs w:val="24"/>
        </w:rPr>
        <w:t xml:space="preserve">jurídicas </w:t>
      </w:r>
      <w:r w:rsidR="00BF1D2A" w:rsidRPr="00340E51">
        <w:rPr>
          <w:rFonts w:ascii="Century Gothic" w:hAnsi="Century Gothic" w:cs="Arial"/>
          <w:sz w:val="24"/>
          <w:szCs w:val="24"/>
        </w:rPr>
        <w:t>neutras</w:t>
      </w:r>
      <w:r w:rsidR="00632780" w:rsidRPr="00340E51">
        <w:rPr>
          <w:rFonts w:ascii="Century Gothic" w:hAnsi="Century Gothic" w:cs="Arial"/>
          <w:sz w:val="24"/>
          <w:szCs w:val="24"/>
        </w:rPr>
        <w:t xml:space="preserve"> </w:t>
      </w:r>
      <w:r w:rsidR="00BE721A" w:rsidRPr="00340E51">
        <w:rPr>
          <w:rFonts w:ascii="Century Gothic" w:hAnsi="Century Gothic" w:cs="Arial"/>
          <w:sz w:val="24"/>
          <w:szCs w:val="24"/>
        </w:rPr>
        <w:t>con contenido discriminatorio indirecto o por resultados</w:t>
      </w:r>
      <w:r w:rsidR="004A0039" w:rsidRPr="00340E51">
        <w:rPr>
          <w:rFonts w:ascii="Century Gothic" w:hAnsi="Century Gothic" w:cs="Arial"/>
          <w:sz w:val="24"/>
          <w:szCs w:val="24"/>
        </w:rPr>
        <w:t xml:space="preserve">, ya </w:t>
      </w:r>
      <w:r w:rsidR="00BE721A" w:rsidRPr="00340E51">
        <w:rPr>
          <w:rFonts w:ascii="Century Gothic" w:hAnsi="Century Gothic" w:cs="Arial"/>
          <w:sz w:val="24"/>
          <w:szCs w:val="24"/>
        </w:rPr>
        <w:t xml:space="preserve">que </w:t>
      </w:r>
      <w:r w:rsidR="00BE721A" w:rsidRPr="00340E51">
        <w:rPr>
          <w:rFonts w:ascii="Century Gothic" w:hAnsi="Century Gothic"/>
          <w:color w:val="212529"/>
          <w:sz w:val="24"/>
          <w:szCs w:val="24"/>
          <w:shd w:val="clear" w:color="auto" w:fill="FFFFFF"/>
        </w:rPr>
        <w:t xml:space="preserve">regula directamente la conducta de un grupo en situación de vulnerabilidad, pero, por sus efectos de aplicación también les genera un daño de discriminación para </w:t>
      </w:r>
      <w:r w:rsidR="00DB420D" w:rsidRPr="00340E51">
        <w:rPr>
          <w:rFonts w:ascii="Century Gothic" w:hAnsi="Century Gothic"/>
          <w:color w:val="212529"/>
          <w:sz w:val="24"/>
          <w:szCs w:val="24"/>
          <w:shd w:val="clear" w:color="auto" w:fill="FFFFFF"/>
        </w:rPr>
        <w:t xml:space="preserve">otro </w:t>
      </w:r>
      <w:r w:rsidR="00BE721A" w:rsidRPr="00340E51">
        <w:rPr>
          <w:rFonts w:ascii="Century Gothic" w:hAnsi="Century Gothic"/>
          <w:color w:val="212529"/>
          <w:sz w:val="24"/>
          <w:szCs w:val="24"/>
          <w:shd w:val="clear" w:color="auto" w:fill="FFFFFF"/>
        </w:rPr>
        <w:t>grupo de personas, esto es contiene discriminación por resultado a un determinado grupo de personas.</w:t>
      </w:r>
    </w:p>
    <w:p w14:paraId="091C5966" w14:textId="77777777" w:rsidR="0005340A" w:rsidRDefault="0005340A" w:rsidP="0005340A">
      <w:pPr>
        <w:autoSpaceDE w:val="0"/>
        <w:autoSpaceDN w:val="0"/>
        <w:adjustRightInd w:val="0"/>
        <w:spacing w:line="240" w:lineRule="auto"/>
        <w:jc w:val="both"/>
        <w:rPr>
          <w:rFonts w:ascii="Century Gothic" w:hAnsi="Century Gothic"/>
          <w:color w:val="212529"/>
          <w:sz w:val="24"/>
          <w:szCs w:val="24"/>
          <w:shd w:val="clear" w:color="auto" w:fill="FFFFFF"/>
        </w:rPr>
      </w:pPr>
    </w:p>
    <w:p w14:paraId="6F4925A2" w14:textId="444D0384" w:rsidR="00CC2286" w:rsidRDefault="004A0039" w:rsidP="00CC2286">
      <w:pPr>
        <w:autoSpaceDE w:val="0"/>
        <w:autoSpaceDN w:val="0"/>
        <w:adjustRightInd w:val="0"/>
        <w:spacing w:line="360" w:lineRule="auto"/>
        <w:jc w:val="both"/>
        <w:rPr>
          <w:rFonts w:ascii="Century Gothic" w:hAnsi="Century Gothic" w:cs="Arial"/>
          <w:sz w:val="24"/>
          <w:szCs w:val="24"/>
        </w:rPr>
      </w:pPr>
      <w:r w:rsidRPr="00340E51">
        <w:rPr>
          <w:rFonts w:ascii="Century Gothic" w:hAnsi="Century Gothic"/>
          <w:color w:val="212529"/>
          <w:sz w:val="24"/>
          <w:szCs w:val="24"/>
          <w:shd w:val="clear" w:color="auto" w:fill="FFFFFF"/>
        </w:rPr>
        <w:t xml:space="preserve">Tal y como lo determino la </w:t>
      </w:r>
      <w:r w:rsidRPr="00340E51">
        <w:rPr>
          <w:rFonts w:ascii="Century Gothic" w:hAnsi="Century Gothic"/>
          <w:b/>
          <w:color w:val="212529"/>
          <w:sz w:val="24"/>
          <w:szCs w:val="24"/>
          <w:shd w:val="clear" w:color="auto" w:fill="FFFFFF"/>
        </w:rPr>
        <w:t>SCJN</w:t>
      </w:r>
      <w:r w:rsidRPr="00340E51">
        <w:rPr>
          <w:rFonts w:ascii="Century Gothic" w:hAnsi="Century Gothic"/>
          <w:color w:val="212529"/>
          <w:sz w:val="24"/>
          <w:szCs w:val="24"/>
          <w:shd w:val="clear" w:color="auto" w:fill="FFFFFF"/>
        </w:rPr>
        <w:t xml:space="preserve"> en </w:t>
      </w:r>
      <w:r w:rsidR="00CC2286" w:rsidRPr="00340E51">
        <w:rPr>
          <w:rFonts w:ascii="Century Gothic" w:hAnsi="Century Gothic" w:cs="Arial"/>
          <w:iCs/>
          <w:sz w:val="24"/>
          <w:szCs w:val="24"/>
          <w:lang w:eastAsia="es-MX"/>
        </w:rPr>
        <w:t xml:space="preserve">la </w:t>
      </w:r>
      <w:r w:rsidR="00CC2286" w:rsidRPr="00340E51">
        <w:rPr>
          <w:rFonts w:ascii="Century Gothic" w:hAnsi="Century Gothic" w:cs="Arial"/>
          <w:sz w:val="24"/>
          <w:szCs w:val="24"/>
        </w:rPr>
        <w:t>Acción de inconstitucionalidad 8/2014</w:t>
      </w:r>
      <w:r w:rsidR="0005340A">
        <w:rPr>
          <w:rFonts w:ascii="Century Gothic" w:hAnsi="Century Gothic" w:cs="Arial"/>
          <w:sz w:val="24"/>
          <w:szCs w:val="24"/>
        </w:rPr>
        <w:t>, pr</w:t>
      </w:r>
      <w:r w:rsidR="00CC2286" w:rsidRPr="00340E51">
        <w:rPr>
          <w:rFonts w:ascii="Century Gothic" w:hAnsi="Century Gothic" w:cs="Arial"/>
          <w:sz w:val="24"/>
          <w:szCs w:val="24"/>
        </w:rPr>
        <w:t>omovida por la Comisión de Derechos Humanos del Estado de Campeche</w:t>
      </w:r>
      <w:r w:rsidR="0005340A">
        <w:rPr>
          <w:rFonts w:ascii="Century Gothic" w:hAnsi="Century Gothic" w:cs="Arial"/>
          <w:sz w:val="24"/>
          <w:szCs w:val="24"/>
        </w:rPr>
        <w:t>, el</w:t>
      </w:r>
      <w:r w:rsidR="00CC2286" w:rsidRPr="00340E51">
        <w:rPr>
          <w:rFonts w:ascii="Century Gothic" w:hAnsi="Century Gothic" w:cs="Arial"/>
          <w:sz w:val="24"/>
          <w:szCs w:val="24"/>
        </w:rPr>
        <w:t xml:space="preserve"> 11 de agosto de 2015, en la que el alto tribunal estableció en la tesis localizable lo siguiente: </w:t>
      </w:r>
    </w:p>
    <w:p w14:paraId="598CB186" w14:textId="77777777" w:rsidR="0005340A" w:rsidRPr="00340E51" w:rsidRDefault="0005340A" w:rsidP="0005340A">
      <w:pPr>
        <w:autoSpaceDE w:val="0"/>
        <w:autoSpaceDN w:val="0"/>
        <w:adjustRightInd w:val="0"/>
        <w:spacing w:line="240" w:lineRule="atLeast"/>
        <w:jc w:val="both"/>
        <w:rPr>
          <w:rFonts w:ascii="Century Gothic" w:hAnsi="Century Gothic" w:cs="Arial"/>
          <w:sz w:val="24"/>
          <w:szCs w:val="24"/>
        </w:rPr>
      </w:pPr>
    </w:p>
    <w:p w14:paraId="7BB4C4E6" w14:textId="77777777" w:rsidR="00CC2286" w:rsidRPr="00342C53" w:rsidRDefault="00CC2286" w:rsidP="00CC2286">
      <w:pPr>
        <w:autoSpaceDE w:val="0"/>
        <w:autoSpaceDN w:val="0"/>
        <w:adjustRightInd w:val="0"/>
        <w:rPr>
          <w:rFonts w:ascii="Century Gothic" w:hAnsi="Century Gothic" w:cs="Arial"/>
          <w:b/>
          <w:i/>
        </w:rPr>
      </w:pPr>
      <w:r w:rsidRPr="00342C53">
        <w:rPr>
          <w:rFonts w:ascii="Century Gothic" w:hAnsi="Century Gothic" w:cs="Arial"/>
          <w:b/>
          <w:i/>
        </w:rPr>
        <w:t>DISCRIMINACIÓN POR OBJETO Y POR RESULTADO. SU DIFERENCIA.</w:t>
      </w:r>
    </w:p>
    <w:p w14:paraId="58102AAB" w14:textId="5292C303" w:rsidR="00CC2286" w:rsidRPr="00342C53" w:rsidRDefault="00CC2286" w:rsidP="00CC2286">
      <w:pPr>
        <w:autoSpaceDE w:val="0"/>
        <w:autoSpaceDN w:val="0"/>
        <w:adjustRightInd w:val="0"/>
        <w:jc w:val="both"/>
        <w:rPr>
          <w:rFonts w:ascii="Century Gothic" w:hAnsi="Century Gothic" w:cs="Arial"/>
          <w:i/>
        </w:rPr>
      </w:pPr>
      <w:r w:rsidRPr="00342C53">
        <w:rPr>
          <w:rFonts w:ascii="Century Gothic" w:hAnsi="Century Gothic" w:cs="Arial"/>
          <w:i/>
        </w:rPr>
        <w:t xml:space="preserve">El parámetro de regularidad constitucional del derecho a la igualdad y a la no discriminación reconoce que esta última ocurre no sólo cuando las normas y prácticas invocan explícitamente un factor prohibido de discriminación -categoría sospechosa-. Esta invocación evidente como causa motivadora de la distinción, exclusión, restricción o preferencia arbitraria e injusta corresponde con la idea de discriminación por objeto o discriminación directa; </w:t>
      </w:r>
      <w:r w:rsidRPr="00342C53">
        <w:rPr>
          <w:rFonts w:ascii="Century Gothic" w:hAnsi="Century Gothic" w:cs="Arial"/>
          <w:b/>
          <w:i/>
          <w:u w:val="single"/>
        </w:rPr>
        <w:t>no obstante, la discriminación por resultado o indirecta puede ocurrir cuando las normas y prácticas son aparentemente neutras, pero el resultado de su contenido o aplicación constituye un impacto desproporcionado en personas o grupos en situación de desventaja histórica justo en razón de esa desventaja, sin que exista para ello una justificación objetiva y razonable</w:t>
      </w:r>
      <w:r w:rsidRPr="00342C53">
        <w:rPr>
          <w:rFonts w:ascii="Century Gothic" w:hAnsi="Century Gothic" w:cs="Arial"/>
          <w:i/>
          <w:u w:val="single"/>
        </w:rPr>
        <w:t>.</w:t>
      </w:r>
      <w:r w:rsidRPr="00342C53">
        <w:rPr>
          <w:rFonts w:ascii="Century Gothic" w:hAnsi="Century Gothic" w:cs="Arial"/>
          <w:i/>
        </w:rPr>
        <w:t xml:space="preserve"> Así, la discriminación no sólo se puede resentir cuando la norma regula directamente la conducta de un grupo en situación de vulnerabilidad, </w:t>
      </w:r>
      <w:r w:rsidRPr="00342C53">
        <w:rPr>
          <w:rFonts w:ascii="Century Gothic" w:hAnsi="Century Gothic" w:cs="Arial"/>
          <w:b/>
          <w:i/>
          <w:u w:val="single"/>
        </w:rPr>
        <w:t>sino también cuando los efectos de su aplicación les genera un daño de discriminación. Esto significa que una ley que, en principio, parezca neutra, podría tener efectos discriminatorios para cierto grupo de personas.</w:t>
      </w:r>
      <w:r w:rsidRPr="00342C53">
        <w:rPr>
          <w:rFonts w:ascii="Century Gothic" w:hAnsi="Century Gothic" w:cs="Arial"/>
          <w:i/>
        </w:rPr>
        <w:t xml:space="preserve"> La determinación de la discriminación por resultado requiere de un estudio sobre la existencia de la discriminación estructural, y de cómo ésta sustenta la producción e interpretación normativa.</w:t>
      </w:r>
    </w:p>
    <w:p w14:paraId="63503516" w14:textId="77777777" w:rsidR="0005340A" w:rsidRPr="00342C53" w:rsidRDefault="0005340A" w:rsidP="00CC2286">
      <w:pPr>
        <w:autoSpaceDE w:val="0"/>
        <w:autoSpaceDN w:val="0"/>
        <w:adjustRightInd w:val="0"/>
        <w:jc w:val="both"/>
        <w:rPr>
          <w:rFonts w:ascii="Century Gothic" w:hAnsi="Century Gothic" w:cs="Arial"/>
          <w:i/>
        </w:rPr>
      </w:pPr>
    </w:p>
    <w:p w14:paraId="7F41CE2A" w14:textId="17117585" w:rsidR="00CC2286" w:rsidRPr="00340E51" w:rsidRDefault="004403C9" w:rsidP="004403C9">
      <w:pPr>
        <w:autoSpaceDE w:val="0"/>
        <w:autoSpaceDN w:val="0"/>
        <w:adjustRightInd w:val="0"/>
        <w:spacing w:line="360" w:lineRule="auto"/>
        <w:jc w:val="both"/>
        <w:rPr>
          <w:rFonts w:ascii="Century Gothic" w:hAnsi="Century Gothic" w:cs="Arial"/>
          <w:sz w:val="24"/>
          <w:szCs w:val="24"/>
        </w:rPr>
      </w:pPr>
      <w:r w:rsidRPr="00340E51">
        <w:rPr>
          <w:rFonts w:ascii="Century Gothic" w:hAnsi="Century Gothic" w:cs="Arial"/>
          <w:sz w:val="24"/>
          <w:szCs w:val="24"/>
        </w:rPr>
        <w:t xml:space="preserve">Así también, como lo argumentó y fundo la Segunda Sala de la </w:t>
      </w:r>
      <w:r w:rsidRPr="00340E51">
        <w:rPr>
          <w:rFonts w:ascii="Century Gothic" w:hAnsi="Century Gothic" w:cs="Arial"/>
          <w:b/>
          <w:sz w:val="24"/>
          <w:szCs w:val="24"/>
        </w:rPr>
        <w:t>SCJN</w:t>
      </w:r>
      <w:r w:rsidRPr="00340E51">
        <w:rPr>
          <w:rFonts w:ascii="Century Gothic" w:hAnsi="Century Gothic" w:cs="Arial"/>
          <w:sz w:val="24"/>
          <w:szCs w:val="24"/>
        </w:rPr>
        <w:t xml:space="preserve"> en el amparo en revisión 710/2016 y el Primer Tribunal Colegiado en Materias Penal y Administrativo del Decimoséptimo Circuito en el amparo en revisión administrativo 151/2018.</w:t>
      </w:r>
    </w:p>
    <w:p w14:paraId="091C47CC" w14:textId="178E1062" w:rsidR="00BE721A" w:rsidRPr="00340E51" w:rsidRDefault="00BE721A" w:rsidP="004403C9">
      <w:pPr>
        <w:pStyle w:val="Prrafodelista"/>
        <w:spacing w:line="360" w:lineRule="auto"/>
        <w:ind w:left="0"/>
        <w:jc w:val="both"/>
        <w:rPr>
          <w:rFonts w:ascii="Century Gothic" w:hAnsi="Century Gothic"/>
          <w:color w:val="212529"/>
          <w:sz w:val="24"/>
          <w:szCs w:val="24"/>
          <w:shd w:val="clear" w:color="auto" w:fill="FFFFFF"/>
        </w:rPr>
      </w:pPr>
    </w:p>
    <w:p w14:paraId="1B207EA7" w14:textId="7053798C" w:rsidR="00750656" w:rsidRPr="00340E51" w:rsidRDefault="00972C39" w:rsidP="001F4884">
      <w:pPr>
        <w:pStyle w:val="Prrafodelista"/>
        <w:spacing w:line="360" w:lineRule="auto"/>
        <w:ind w:left="0"/>
        <w:jc w:val="both"/>
        <w:rPr>
          <w:rFonts w:ascii="Century Gothic" w:hAnsi="Century Gothic" w:cs="Arial"/>
          <w:sz w:val="24"/>
          <w:szCs w:val="24"/>
        </w:rPr>
      </w:pPr>
      <w:r w:rsidRPr="00340E51">
        <w:rPr>
          <w:rFonts w:ascii="Century Gothic" w:hAnsi="Century Gothic" w:cs="Arial"/>
          <w:sz w:val="24"/>
          <w:szCs w:val="24"/>
        </w:rPr>
        <w:t>En efecto</w:t>
      </w:r>
      <w:r w:rsidR="002159B8" w:rsidRPr="00340E51">
        <w:rPr>
          <w:rFonts w:ascii="Century Gothic" w:hAnsi="Century Gothic" w:cs="Arial"/>
          <w:sz w:val="24"/>
          <w:szCs w:val="24"/>
        </w:rPr>
        <w:t>,</w:t>
      </w:r>
      <w:r w:rsidRPr="00340E51">
        <w:rPr>
          <w:rFonts w:ascii="Century Gothic" w:hAnsi="Century Gothic" w:cs="Arial"/>
          <w:sz w:val="24"/>
          <w:szCs w:val="24"/>
        </w:rPr>
        <w:t xml:space="preserve"> tal y como quedaron redactados los </w:t>
      </w:r>
      <w:r w:rsidR="00D431F5" w:rsidRPr="00340E51">
        <w:rPr>
          <w:rFonts w:ascii="Century Gothic" w:hAnsi="Century Gothic" w:cs="Arial"/>
          <w:sz w:val="24"/>
          <w:szCs w:val="24"/>
        </w:rPr>
        <w:t xml:space="preserve"> artículos 45, 47</w:t>
      </w:r>
      <w:r w:rsidR="00342C53">
        <w:rPr>
          <w:rFonts w:ascii="Century Gothic" w:hAnsi="Century Gothic" w:cs="Arial"/>
          <w:sz w:val="24"/>
          <w:szCs w:val="24"/>
        </w:rPr>
        <w:t xml:space="preserve"> y</w:t>
      </w:r>
      <w:r w:rsidR="00D431F5" w:rsidRPr="00340E51">
        <w:rPr>
          <w:rFonts w:ascii="Century Gothic" w:hAnsi="Century Gothic" w:cs="Arial"/>
          <w:sz w:val="24"/>
          <w:szCs w:val="24"/>
        </w:rPr>
        <w:t xml:space="preserve"> 69</w:t>
      </w:r>
      <w:r w:rsidR="0075258A">
        <w:rPr>
          <w:rFonts w:ascii="Century Gothic" w:hAnsi="Century Gothic" w:cs="Arial"/>
          <w:sz w:val="24"/>
          <w:szCs w:val="24"/>
        </w:rPr>
        <w:t>,</w:t>
      </w:r>
      <w:r w:rsidR="00D431F5" w:rsidRPr="00340E51">
        <w:rPr>
          <w:rFonts w:ascii="Century Gothic" w:hAnsi="Century Gothic" w:cs="Arial"/>
          <w:sz w:val="24"/>
          <w:szCs w:val="24"/>
        </w:rPr>
        <w:t xml:space="preserve"> de la Ley del Instituto Municipal de Pensiones,</w:t>
      </w:r>
      <w:r w:rsidRPr="00340E51">
        <w:rPr>
          <w:rFonts w:ascii="Century Gothic" w:hAnsi="Century Gothic" w:cs="Arial"/>
          <w:sz w:val="24"/>
          <w:szCs w:val="24"/>
        </w:rPr>
        <w:t xml:space="preserve"> </w:t>
      </w:r>
      <w:r w:rsidR="00A95EC6">
        <w:rPr>
          <w:rFonts w:ascii="Century Gothic" w:hAnsi="Century Gothic" w:cs="Arial"/>
          <w:sz w:val="24"/>
          <w:szCs w:val="24"/>
        </w:rPr>
        <w:t>a</w:t>
      </w:r>
      <w:r w:rsidR="00A95EC6" w:rsidRPr="00340E51">
        <w:rPr>
          <w:rFonts w:ascii="Century Gothic" w:hAnsi="Century Gothic" w:cs="Arial"/>
          <w:sz w:val="24"/>
          <w:szCs w:val="24"/>
        </w:rPr>
        <w:t>ún</w:t>
      </w:r>
      <w:r w:rsidRPr="00340E51">
        <w:rPr>
          <w:rFonts w:ascii="Century Gothic" w:hAnsi="Century Gothic" w:cs="Arial"/>
          <w:sz w:val="24"/>
          <w:szCs w:val="24"/>
        </w:rPr>
        <w:t xml:space="preserve"> siguen siendo discriminatorios a pesar de la procedencia de la acción de inconstitucionalidad 4/2016, ya que en los mismos, se advierte una marcada dualidad entre el varón y la mujer; </w:t>
      </w:r>
      <w:r w:rsidR="002159B8" w:rsidRPr="00340E51">
        <w:rPr>
          <w:rFonts w:ascii="Century Gothic" w:hAnsi="Century Gothic" w:cs="Arial"/>
          <w:sz w:val="24"/>
          <w:szCs w:val="24"/>
        </w:rPr>
        <w:t>que impide l</w:t>
      </w:r>
      <w:r w:rsidRPr="00340E51">
        <w:rPr>
          <w:rFonts w:ascii="Century Gothic" w:hAnsi="Century Gothic" w:cs="Arial"/>
          <w:b/>
          <w:sz w:val="24"/>
          <w:szCs w:val="24"/>
        </w:rPr>
        <w:t>a posibilidad para acceder a dichos derechos a los cónyuges del mismo sexo</w:t>
      </w:r>
      <w:r w:rsidRPr="00340E51">
        <w:rPr>
          <w:rFonts w:ascii="Century Gothic" w:hAnsi="Century Gothic" w:cs="Arial"/>
          <w:sz w:val="24"/>
          <w:szCs w:val="24"/>
        </w:rPr>
        <w:t>, sin que de los citados preceptos, se desprenda argumento, razón o fundamento que justifique el motivo por el que se excluyen de los derechos que amparan a los matrimonios homoparentales o personas del mismo sexo</w:t>
      </w:r>
      <w:r w:rsidR="007E2E63" w:rsidRPr="00340E51">
        <w:rPr>
          <w:rFonts w:ascii="Century Gothic" w:hAnsi="Century Gothic" w:cs="Arial"/>
          <w:sz w:val="24"/>
          <w:szCs w:val="24"/>
        </w:rPr>
        <w:t xml:space="preserve"> en la citada</w:t>
      </w:r>
      <w:r w:rsidR="007E2E63" w:rsidRPr="00340E51">
        <w:rPr>
          <w:rFonts w:ascii="Century Gothic" w:hAnsi="Century Gothic" w:cs="Arial"/>
          <w:b/>
          <w:i/>
          <w:sz w:val="24"/>
          <w:szCs w:val="24"/>
        </w:rPr>
        <w:t xml:space="preserve"> </w:t>
      </w:r>
      <w:r w:rsidR="007E2E63" w:rsidRPr="00340E51">
        <w:rPr>
          <w:rFonts w:ascii="Century Gothic" w:hAnsi="Century Gothic" w:cs="Arial"/>
          <w:sz w:val="24"/>
          <w:szCs w:val="24"/>
        </w:rPr>
        <w:t>Ley del Instituto de Pensiones Municipales, l</w:t>
      </w:r>
      <w:r w:rsidRPr="00340E51">
        <w:rPr>
          <w:rFonts w:ascii="Century Gothic" w:hAnsi="Century Gothic" w:cs="Arial"/>
          <w:sz w:val="24"/>
          <w:szCs w:val="24"/>
        </w:rPr>
        <w:t xml:space="preserve">o anterior, no obstante de encontrase legalmente reconocidos en diversas legislaciones del país los matrimonios de personas </w:t>
      </w:r>
      <w:r w:rsidRPr="00D94AD2">
        <w:rPr>
          <w:rFonts w:ascii="Century Gothic" w:hAnsi="Century Gothic" w:cs="Arial"/>
          <w:sz w:val="24"/>
          <w:szCs w:val="24"/>
        </w:rPr>
        <w:t>del mismo sexo</w:t>
      </w:r>
      <w:r w:rsidR="00750656" w:rsidRPr="00D94AD2">
        <w:rPr>
          <w:rFonts w:ascii="Century Gothic" w:hAnsi="Century Gothic" w:cs="Arial"/>
          <w:sz w:val="24"/>
          <w:szCs w:val="24"/>
        </w:rPr>
        <w:t>.</w:t>
      </w:r>
    </w:p>
    <w:p w14:paraId="059477FA" w14:textId="77777777" w:rsidR="00750656" w:rsidRPr="00340E51" w:rsidRDefault="00750656" w:rsidP="001F4884">
      <w:pPr>
        <w:pStyle w:val="Prrafodelista"/>
        <w:spacing w:line="360" w:lineRule="auto"/>
        <w:ind w:left="0"/>
        <w:jc w:val="both"/>
        <w:rPr>
          <w:rFonts w:ascii="Century Gothic" w:hAnsi="Century Gothic" w:cs="Arial"/>
          <w:sz w:val="24"/>
          <w:szCs w:val="24"/>
        </w:rPr>
      </w:pPr>
    </w:p>
    <w:p w14:paraId="7D53332C" w14:textId="54C69348" w:rsidR="007E2E63" w:rsidRPr="00340E51" w:rsidRDefault="007E2E63" w:rsidP="006258E6">
      <w:pPr>
        <w:pStyle w:val="Prrafodelista"/>
        <w:spacing w:line="360" w:lineRule="auto"/>
        <w:ind w:left="0"/>
        <w:jc w:val="both"/>
        <w:rPr>
          <w:rFonts w:ascii="Century Gothic" w:hAnsi="Century Gothic" w:cs="Arial"/>
          <w:sz w:val="24"/>
          <w:szCs w:val="24"/>
        </w:rPr>
      </w:pPr>
      <w:r w:rsidRPr="00340E51">
        <w:rPr>
          <w:rFonts w:ascii="Century Gothic" w:hAnsi="Century Gothic" w:cs="Arial"/>
          <w:sz w:val="24"/>
          <w:szCs w:val="24"/>
        </w:rPr>
        <w:t xml:space="preserve">Es </w:t>
      </w:r>
      <w:r w:rsidR="00750656" w:rsidRPr="00340E51">
        <w:rPr>
          <w:rFonts w:ascii="Century Gothic" w:hAnsi="Century Gothic" w:cs="Arial"/>
          <w:sz w:val="24"/>
          <w:szCs w:val="24"/>
        </w:rPr>
        <w:t xml:space="preserve">cierto que en el estado de </w:t>
      </w:r>
      <w:r w:rsidR="008A62BF">
        <w:rPr>
          <w:rFonts w:ascii="Century Gothic" w:hAnsi="Century Gothic" w:cs="Arial"/>
          <w:sz w:val="24"/>
          <w:szCs w:val="24"/>
        </w:rPr>
        <w:t>C</w:t>
      </w:r>
      <w:r w:rsidR="00750656" w:rsidRPr="00340E51">
        <w:rPr>
          <w:rFonts w:ascii="Century Gothic" w:hAnsi="Century Gothic" w:cs="Arial"/>
          <w:sz w:val="24"/>
          <w:szCs w:val="24"/>
        </w:rPr>
        <w:t>hihuahua</w:t>
      </w:r>
      <w:r w:rsidRPr="00340E51">
        <w:rPr>
          <w:rFonts w:ascii="Century Gothic" w:hAnsi="Century Gothic" w:cs="Arial"/>
          <w:sz w:val="24"/>
          <w:szCs w:val="24"/>
        </w:rPr>
        <w:t xml:space="preserve"> civilmente </w:t>
      </w:r>
      <w:r w:rsidR="00750656" w:rsidRPr="00340E51">
        <w:rPr>
          <w:rFonts w:ascii="Century Gothic" w:hAnsi="Century Gothic" w:cs="Arial"/>
          <w:sz w:val="24"/>
          <w:szCs w:val="24"/>
        </w:rPr>
        <w:t xml:space="preserve">no se encuentran </w:t>
      </w:r>
      <w:r w:rsidRPr="00340E51">
        <w:rPr>
          <w:rFonts w:ascii="Century Gothic" w:hAnsi="Century Gothic" w:cs="Arial"/>
          <w:sz w:val="24"/>
          <w:szCs w:val="24"/>
        </w:rPr>
        <w:t xml:space="preserve">autorizadas las uniones en </w:t>
      </w:r>
      <w:r w:rsidR="00750656" w:rsidRPr="00340E51">
        <w:rPr>
          <w:rFonts w:ascii="Century Gothic" w:hAnsi="Century Gothic" w:cs="Arial"/>
          <w:sz w:val="24"/>
          <w:szCs w:val="24"/>
        </w:rPr>
        <w:t>matrimonio</w:t>
      </w:r>
      <w:r w:rsidRPr="00340E51">
        <w:rPr>
          <w:rFonts w:ascii="Century Gothic" w:hAnsi="Century Gothic" w:cs="Arial"/>
          <w:sz w:val="24"/>
          <w:szCs w:val="24"/>
        </w:rPr>
        <w:t xml:space="preserve"> o concubinato </w:t>
      </w:r>
      <w:r w:rsidR="00750656" w:rsidRPr="00340E51">
        <w:rPr>
          <w:rFonts w:ascii="Century Gothic" w:hAnsi="Century Gothic" w:cs="Arial"/>
          <w:sz w:val="24"/>
          <w:szCs w:val="24"/>
        </w:rPr>
        <w:t xml:space="preserve">entre personas del mismo sexo, y que los que se han celebrado ha sido </w:t>
      </w:r>
      <w:r w:rsidRPr="00340E51">
        <w:rPr>
          <w:rFonts w:ascii="Century Gothic" w:hAnsi="Century Gothic" w:cs="Arial"/>
          <w:sz w:val="24"/>
          <w:szCs w:val="24"/>
        </w:rPr>
        <w:t xml:space="preserve">derivado de una </w:t>
      </w:r>
      <w:r w:rsidR="00750656" w:rsidRPr="00340E51">
        <w:rPr>
          <w:rFonts w:ascii="Century Gothic" w:hAnsi="Century Gothic" w:cs="Arial"/>
          <w:sz w:val="24"/>
          <w:szCs w:val="24"/>
        </w:rPr>
        <w:t xml:space="preserve"> orden </w:t>
      </w:r>
      <w:r w:rsidRPr="00340E51">
        <w:rPr>
          <w:rFonts w:ascii="Century Gothic" w:hAnsi="Century Gothic" w:cs="Arial"/>
          <w:sz w:val="24"/>
          <w:szCs w:val="24"/>
        </w:rPr>
        <w:t xml:space="preserve">por sentencia firme de la autoridad </w:t>
      </w:r>
      <w:r w:rsidR="00F17AFD" w:rsidRPr="00340E51">
        <w:rPr>
          <w:rFonts w:ascii="Century Gothic" w:hAnsi="Century Gothic" w:cs="Arial"/>
          <w:sz w:val="24"/>
          <w:szCs w:val="24"/>
        </w:rPr>
        <w:t xml:space="preserve">judicial </w:t>
      </w:r>
      <w:r w:rsidRPr="00340E51">
        <w:rPr>
          <w:rFonts w:ascii="Century Gothic" w:hAnsi="Century Gothic" w:cs="Arial"/>
          <w:sz w:val="24"/>
          <w:szCs w:val="24"/>
        </w:rPr>
        <w:t>federal vía juicio de amparo; Pero también es cierto,</w:t>
      </w:r>
      <w:r w:rsidR="00750656" w:rsidRPr="00340E51">
        <w:rPr>
          <w:rFonts w:ascii="Century Gothic" w:hAnsi="Century Gothic" w:cs="Arial"/>
          <w:sz w:val="24"/>
          <w:szCs w:val="24"/>
        </w:rPr>
        <w:t xml:space="preserve"> que </w:t>
      </w:r>
      <w:r w:rsidR="00EB598E" w:rsidRPr="00340E51">
        <w:rPr>
          <w:rFonts w:ascii="Century Gothic" w:hAnsi="Century Gothic" w:cs="Arial"/>
          <w:sz w:val="24"/>
          <w:szCs w:val="24"/>
        </w:rPr>
        <w:t xml:space="preserve">los matrimonios homoparentales o </w:t>
      </w:r>
      <w:r w:rsidRPr="00340E51">
        <w:rPr>
          <w:rFonts w:ascii="Century Gothic" w:hAnsi="Century Gothic" w:cs="Arial"/>
          <w:sz w:val="24"/>
          <w:szCs w:val="24"/>
        </w:rPr>
        <w:t xml:space="preserve">entre </w:t>
      </w:r>
      <w:r w:rsidR="00EB598E" w:rsidRPr="00340E51">
        <w:rPr>
          <w:rFonts w:ascii="Century Gothic" w:hAnsi="Century Gothic" w:cs="Arial"/>
          <w:sz w:val="24"/>
          <w:szCs w:val="24"/>
        </w:rPr>
        <w:t xml:space="preserve">personas del mismo sexo, </w:t>
      </w:r>
      <w:r w:rsidR="00750656" w:rsidRPr="00340E51">
        <w:rPr>
          <w:rFonts w:ascii="Century Gothic" w:hAnsi="Century Gothic" w:cs="Arial"/>
          <w:sz w:val="24"/>
          <w:szCs w:val="24"/>
        </w:rPr>
        <w:t>legalmente se encuentran reconocidos en diversas legislaciones del país, contando para tal efecto</w:t>
      </w:r>
      <w:r w:rsidR="00EB598E" w:rsidRPr="00340E51">
        <w:rPr>
          <w:rFonts w:ascii="Century Gothic" w:hAnsi="Century Gothic" w:cs="Arial"/>
          <w:sz w:val="24"/>
          <w:szCs w:val="24"/>
        </w:rPr>
        <w:t>,</w:t>
      </w:r>
      <w:r w:rsidR="00750656" w:rsidRPr="00340E51">
        <w:rPr>
          <w:rFonts w:ascii="Century Gothic" w:hAnsi="Century Gothic" w:cs="Arial"/>
          <w:sz w:val="24"/>
          <w:szCs w:val="24"/>
        </w:rPr>
        <w:t xml:space="preserve"> con el acta de matrimonio que los </w:t>
      </w:r>
      <w:r w:rsidR="00EB598E" w:rsidRPr="00340E51">
        <w:rPr>
          <w:rFonts w:ascii="Century Gothic" w:hAnsi="Century Gothic" w:cs="Arial"/>
          <w:sz w:val="24"/>
          <w:szCs w:val="24"/>
        </w:rPr>
        <w:t>acredita</w:t>
      </w:r>
      <w:r w:rsidR="00750656" w:rsidRPr="00340E51">
        <w:rPr>
          <w:rFonts w:ascii="Century Gothic" w:hAnsi="Century Gothic" w:cs="Arial"/>
          <w:sz w:val="24"/>
          <w:szCs w:val="24"/>
        </w:rPr>
        <w:t xml:space="preserve"> </w:t>
      </w:r>
      <w:r w:rsidRPr="00340E51">
        <w:rPr>
          <w:rFonts w:ascii="Century Gothic" w:hAnsi="Century Gothic" w:cs="Arial"/>
          <w:sz w:val="24"/>
          <w:szCs w:val="24"/>
        </w:rPr>
        <w:t xml:space="preserve">y </w:t>
      </w:r>
      <w:r w:rsidR="00EB598E" w:rsidRPr="00340E51">
        <w:rPr>
          <w:rFonts w:ascii="Century Gothic" w:hAnsi="Century Gothic" w:cs="Arial"/>
          <w:sz w:val="24"/>
          <w:szCs w:val="24"/>
        </w:rPr>
        <w:t xml:space="preserve">los legitima como cónyuges, ya que </w:t>
      </w:r>
      <w:r w:rsidR="005D3B35" w:rsidRPr="00340E51">
        <w:rPr>
          <w:rFonts w:ascii="Century Gothic" w:hAnsi="Century Gothic" w:cs="Arial"/>
          <w:sz w:val="24"/>
          <w:szCs w:val="24"/>
        </w:rPr>
        <w:t>conforme al sistema federal, las entidades federativas son</w:t>
      </w:r>
      <w:r w:rsidR="000B0027" w:rsidRPr="00340E51">
        <w:rPr>
          <w:rFonts w:ascii="Century Gothic" w:hAnsi="Century Gothic"/>
          <w:sz w:val="24"/>
          <w:szCs w:val="24"/>
        </w:rPr>
        <w:t xml:space="preserve"> </w:t>
      </w:r>
      <w:r w:rsidR="000B0027" w:rsidRPr="00340E51">
        <w:rPr>
          <w:rFonts w:ascii="Century Gothic" w:hAnsi="Century Gothic" w:cs="Arial"/>
          <w:sz w:val="24"/>
          <w:szCs w:val="24"/>
        </w:rPr>
        <w:t>libres y soberanas en todo lo concerniente a su régimen interior, aunque gozan de una independencia limitada en tanto deben respetar en todo momento el Pacto Federal; por tanto, el hecho de que en una entidad se regule de determinada manera una institución civil, no significa que las demás deban hacerlo en forma idéntica o similar, como tampoco que se limite o restrinja la facultad de una entidad para legislar en sentido diverso a las restantes</w:t>
      </w:r>
      <w:r w:rsidR="00EB598E" w:rsidRPr="00340E51">
        <w:rPr>
          <w:rFonts w:ascii="Century Gothic" w:hAnsi="Century Gothic" w:cs="Arial"/>
          <w:sz w:val="24"/>
          <w:szCs w:val="24"/>
        </w:rPr>
        <w:t xml:space="preserve">, </w:t>
      </w:r>
      <w:r w:rsidR="000B0027" w:rsidRPr="00340E51">
        <w:rPr>
          <w:rFonts w:ascii="Century Gothic" w:hAnsi="Century Gothic" w:cs="Arial"/>
          <w:sz w:val="24"/>
          <w:szCs w:val="24"/>
        </w:rPr>
        <w:t xml:space="preserve">en virtud de que cada entidad legisla para su propio ámbito territorial, </w:t>
      </w:r>
      <w:r w:rsidR="00EB598E" w:rsidRPr="00340E51">
        <w:rPr>
          <w:rFonts w:ascii="Century Gothic" w:hAnsi="Century Gothic" w:cs="Arial"/>
          <w:sz w:val="24"/>
          <w:szCs w:val="24"/>
        </w:rPr>
        <w:t xml:space="preserve">pero </w:t>
      </w:r>
      <w:r w:rsidR="000B0027" w:rsidRPr="00340E51">
        <w:rPr>
          <w:rFonts w:ascii="Century Gothic" w:hAnsi="Century Gothic" w:cs="Arial"/>
          <w:sz w:val="24"/>
          <w:szCs w:val="24"/>
        </w:rPr>
        <w:t xml:space="preserve">también </w:t>
      </w:r>
      <w:r w:rsidRPr="00340E51">
        <w:rPr>
          <w:rFonts w:ascii="Century Gothic" w:hAnsi="Century Gothic" w:cs="Arial"/>
          <w:sz w:val="24"/>
          <w:szCs w:val="24"/>
        </w:rPr>
        <w:t xml:space="preserve">cierto </w:t>
      </w:r>
      <w:r w:rsidR="000B0027" w:rsidRPr="00340E51">
        <w:rPr>
          <w:rFonts w:ascii="Century Gothic" w:hAnsi="Century Gothic" w:cs="Arial"/>
          <w:sz w:val="24"/>
          <w:szCs w:val="24"/>
        </w:rPr>
        <w:t>es</w:t>
      </w:r>
      <w:r w:rsidR="00EB598E" w:rsidRPr="00340E51">
        <w:rPr>
          <w:rFonts w:ascii="Century Gothic" w:hAnsi="Century Gothic" w:cs="Arial"/>
          <w:sz w:val="24"/>
          <w:szCs w:val="24"/>
        </w:rPr>
        <w:t>,</w:t>
      </w:r>
      <w:r w:rsidR="000B0027" w:rsidRPr="00340E51">
        <w:rPr>
          <w:rFonts w:ascii="Century Gothic" w:hAnsi="Century Gothic" w:cs="Arial"/>
          <w:sz w:val="24"/>
          <w:szCs w:val="24"/>
        </w:rPr>
        <w:t xml:space="preserve"> que la regla contenida en la fracción IV del artículo 121 de la Constitución Política de los Estados Unidos Mexicanos, referente a que los actos del estado civil que se encuentran ajustados a las leyes de un Estado tendrán validez en los otros, </w:t>
      </w:r>
      <w:r w:rsidR="00EB598E" w:rsidRPr="00340E51">
        <w:rPr>
          <w:rFonts w:ascii="Century Gothic" w:hAnsi="Century Gothic" w:cs="Arial"/>
          <w:sz w:val="24"/>
          <w:szCs w:val="24"/>
        </w:rPr>
        <w:t xml:space="preserve">lo que </w:t>
      </w:r>
      <w:r w:rsidR="000B0027" w:rsidRPr="00340E51">
        <w:rPr>
          <w:rFonts w:ascii="Century Gothic" w:hAnsi="Century Gothic" w:cs="Arial"/>
          <w:sz w:val="24"/>
          <w:szCs w:val="24"/>
        </w:rPr>
        <w:t>implica el reconocimiento pleno de que todo acto del estado civil que se lleve a cabo cumpliendo con las formalidades contenidas en la ley de una entidad, será válido en las demás, aun cuando no guarde correspondencia con su propia legislación. En tal sentido, es el propio artículo 121 constitucional el que, en aras de salvaguardar el federalismo y la seguridad jurídica de los gobernados, prevé el deber constitucional para los demás Estados de otorgar dicho reconocimiento.</w:t>
      </w:r>
      <w:r w:rsidR="00C32B76" w:rsidRPr="00340E51">
        <w:rPr>
          <w:rFonts w:ascii="Century Gothic" w:hAnsi="Century Gothic" w:cs="Arial"/>
          <w:sz w:val="24"/>
          <w:szCs w:val="24"/>
        </w:rPr>
        <w:t xml:space="preserve"> </w:t>
      </w:r>
    </w:p>
    <w:p w14:paraId="48D76A7B" w14:textId="77777777" w:rsidR="00D75972" w:rsidRPr="00340E51" w:rsidRDefault="00D75972" w:rsidP="006258E6">
      <w:pPr>
        <w:pStyle w:val="Prrafodelista"/>
        <w:spacing w:line="360" w:lineRule="auto"/>
        <w:ind w:left="0"/>
        <w:jc w:val="both"/>
        <w:rPr>
          <w:rFonts w:ascii="Century Gothic" w:hAnsi="Century Gothic" w:cs="Arial"/>
          <w:sz w:val="24"/>
          <w:szCs w:val="24"/>
        </w:rPr>
      </w:pPr>
    </w:p>
    <w:p w14:paraId="4072BA4C" w14:textId="5698DFC2" w:rsidR="00413277" w:rsidRDefault="000B0027" w:rsidP="006258E6">
      <w:pPr>
        <w:pStyle w:val="Prrafodelista"/>
        <w:spacing w:line="360" w:lineRule="auto"/>
        <w:ind w:left="0"/>
        <w:jc w:val="both"/>
        <w:rPr>
          <w:rFonts w:ascii="Century Gothic" w:hAnsi="Century Gothic" w:cs="Arial"/>
          <w:sz w:val="24"/>
          <w:szCs w:val="24"/>
        </w:rPr>
      </w:pPr>
      <w:r w:rsidRPr="00340E51">
        <w:rPr>
          <w:rFonts w:ascii="Century Gothic" w:hAnsi="Century Gothic" w:cs="Arial"/>
          <w:sz w:val="24"/>
          <w:szCs w:val="24"/>
        </w:rPr>
        <w:t xml:space="preserve">Por consiguiente, la disposición secundaria analizada, al estipular una regulación de beneficios o servicios de seguridad social exclusivamente para las relaciones entre el varón y la mujer, más no para </w:t>
      </w:r>
      <w:r w:rsidR="00EB598E" w:rsidRPr="00340E51">
        <w:rPr>
          <w:rFonts w:ascii="Century Gothic" w:hAnsi="Century Gothic" w:cs="Arial"/>
          <w:sz w:val="24"/>
          <w:szCs w:val="24"/>
        </w:rPr>
        <w:t xml:space="preserve">parejas de cónyuges </w:t>
      </w:r>
      <w:r w:rsidRPr="00340E51">
        <w:rPr>
          <w:rFonts w:ascii="Century Gothic" w:hAnsi="Century Gothic" w:cs="Arial"/>
          <w:sz w:val="24"/>
          <w:szCs w:val="24"/>
        </w:rPr>
        <w:t>integradas por personas del mismo sexo, vulnera los derechos humanos de igualdad jurídica y de no discriminación contenidos en los artículos 1º</w:t>
      </w:r>
      <w:r w:rsidR="00752BD0" w:rsidRPr="00340E51">
        <w:rPr>
          <w:rFonts w:ascii="Century Gothic" w:hAnsi="Century Gothic" w:cs="Arial"/>
          <w:sz w:val="24"/>
          <w:szCs w:val="24"/>
        </w:rPr>
        <w:t>.</w:t>
      </w:r>
      <w:r w:rsidRPr="00340E51">
        <w:rPr>
          <w:rFonts w:ascii="Century Gothic" w:hAnsi="Century Gothic" w:cs="Arial"/>
          <w:sz w:val="24"/>
          <w:szCs w:val="24"/>
        </w:rPr>
        <w:t xml:space="preserve"> y 4º. de la Constitución Política de los Estados Unidos Mexicanos; </w:t>
      </w:r>
      <w:r w:rsidR="00752BD0" w:rsidRPr="00340E51">
        <w:rPr>
          <w:rFonts w:ascii="Century Gothic" w:hAnsi="Century Gothic" w:cs="Arial"/>
          <w:sz w:val="24"/>
          <w:szCs w:val="24"/>
        </w:rPr>
        <w:t xml:space="preserve">ya que </w:t>
      </w:r>
      <w:r w:rsidRPr="00340E51">
        <w:rPr>
          <w:rFonts w:ascii="Century Gothic" w:hAnsi="Century Gothic" w:cs="Arial"/>
          <w:sz w:val="24"/>
          <w:szCs w:val="24"/>
        </w:rPr>
        <w:t>negarle a una pareja homosexual los beneficios tangibles e intangibles que les corresponde a través del matrimonio o concubinato, implica indefectiblemente otorgarles un</w:t>
      </w:r>
      <w:r w:rsidR="00E228A6" w:rsidRPr="00340E51">
        <w:rPr>
          <w:rFonts w:ascii="Century Gothic" w:hAnsi="Century Gothic"/>
          <w:sz w:val="24"/>
          <w:szCs w:val="24"/>
        </w:rPr>
        <w:t xml:space="preserve"> </w:t>
      </w:r>
      <w:r w:rsidR="00E228A6" w:rsidRPr="00340E51">
        <w:rPr>
          <w:rFonts w:ascii="Century Gothic" w:hAnsi="Century Gothic" w:cs="Arial"/>
          <w:sz w:val="24"/>
          <w:szCs w:val="24"/>
        </w:rPr>
        <w:t xml:space="preserve">trato discriminatorio, porque no obstante estar reconocido legalmente el matrimonio </w:t>
      </w:r>
      <w:r w:rsidR="00752BD0" w:rsidRPr="00340E51">
        <w:rPr>
          <w:rFonts w:ascii="Century Gothic" w:hAnsi="Century Gothic" w:cs="Arial"/>
          <w:sz w:val="24"/>
          <w:szCs w:val="24"/>
        </w:rPr>
        <w:t xml:space="preserve">homoparental  </w:t>
      </w:r>
      <w:r w:rsidR="00E228A6" w:rsidRPr="00340E51">
        <w:rPr>
          <w:rFonts w:ascii="Century Gothic" w:hAnsi="Century Gothic" w:cs="Arial"/>
          <w:sz w:val="24"/>
          <w:szCs w:val="24"/>
        </w:rPr>
        <w:t>en igualdad de circunstancias que un matrimonio heterosexual, al integra</w:t>
      </w:r>
      <w:r w:rsidR="00752BD0" w:rsidRPr="00340E51">
        <w:rPr>
          <w:rFonts w:ascii="Century Gothic" w:hAnsi="Century Gothic" w:cs="Arial"/>
          <w:sz w:val="24"/>
          <w:szCs w:val="24"/>
        </w:rPr>
        <w:t>r</w:t>
      </w:r>
      <w:r w:rsidR="00E228A6" w:rsidRPr="00340E51">
        <w:rPr>
          <w:rFonts w:ascii="Century Gothic" w:hAnsi="Century Gothic" w:cs="Arial"/>
          <w:sz w:val="24"/>
          <w:szCs w:val="24"/>
        </w:rPr>
        <w:t xml:space="preserve"> de igual forma una familia, innegablemente deben ser tratadas de la misma manera, sin discriminarlas en relación a los restantes sujetos que prevé</w:t>
      </w:r>
      <w:r w:rsidR="00752BD0" w:rsidRPr="00340E51">
        <w:rPr>
          <w:rFonts w:ascii="Century Gothic" w:hAnsi="Century Gothic" w:cs="Arial"/>
          <w:sz w:val="24"/>
          <w:szCs w:val="24"/>
        </w:rPr>
        <w:t xml:space="preserve">n los </w:t>
      </w:r>
      <w:r w:rsidR="00E228A6" w:rsidRPr="00340E51">
        <w:rPr>
          <w:rFonts w:ascii="Century Gothic" w:hAnsi="Century Gothic" w:cs="Arial"/>
          <w:sz w:val="24"/>
          <w:szCs w:val="24"/>
        </w:rPr>
        <w:t>citado</w:t>
      </w:r>
      <w:r w:rsidR="00752BD0" w:rsidRPr="00340E51">
        <w:rPr>
          <w:rFonts w:ascii="Century Gothic" w:hAnsi="Century Gothic" w:cs="Arial"/>
          <w:sz w:val="24"/>
          <w:szCs w:val="24"/>
        </w:rPr>
        <w:t>s</w:t>
      </w:r>
      <w:r w:rsidR="00E228A6" w:rsidRPr="00340E51">
        <w:rPr>
          <w:rFonts w:ascii="Century Gothic" w:hAnsi="Century Gothic" w:cs="Arial"/>
          <w:sz w:val="24"/>
          <w:szCs w:val="24"/>
        </w:rPr>
        <w:t xml:space="preserve"> numeral</w:t>
      </w:r>
      <w:r w:rsidR="00752BD0" w:rsidRPr="00340E51">
        <w:rPr>
          <w:rFonts w:ascii="Century Gothic" w:hAnsi="Century Gothic" w:cs="Arial"/>
          <w:sz w:val="24"/>
          <w:szCs w:val="24"/>
        </w:rPr>
        <w:t xml:space="preserve">es </w:t>
      </w:r>
      <w:r w:rsidR="00E228A6" w:rsidRPr="00340E51">
        <w:rPr>
          <w:rFonts w:ascii="Century Gothic" w:hAnsi="Century Gothic" w:cs="Arial"/>
          <w:sz w:val="24"/>
          <w:szCs w:val="24"/>
        </w:rPr>
        <w:t xml:space="preserve"> (varón con mujer), por el simple hecho de ser una sociedad conyugal compuesta por miembros del mismo sexo,</w:t>
      </w:r>
      <w:r w:rsidR="000E322F" w:rsidRPr="00340E51">
        <w:rPr>
          <w:rFonts w:ascii="Century Gothic" w:hAnsi="Century Gothic" w:cs="Arial"/>
          <w:sz w:val="24"/>
          <w:szCs w:val="24"/>
        </w:rPr>
        <w:t xml:space="preserve"> criterio este ya muy definido  por la SCJN, como a continuación se ilustra.</w:t>
      </w:r>
    </w:p>
    <w:p w14:paraId="41CCFAB4" w14:textId="77777777" w:rsidR="00A95EC6" w:rsidRPr="00340E51" w:rsidRDefault="00A95EC6" w:rsidP="006258E6">
      <w:pPr>
        <w:pStyle w:val="Prrafodelista"/>
        <w:spacing w:line="360" w:lineRule="auto"/>
        <w:ind w:left="0"/>
        <w:jc w:val="both"/>
        <w:rPr>
          <w:rFonts w:ascii="Century Gothic" w:hAnsi="Century Gothic" w:cs="Arial"/>
          <w:sz w:val="24"/>
          <w:szCs w:val="24"/>
        </w:rPr>
      </w:pPr>
    </w:p>
    <w:p w14:paraId="6DDA4329" w14:textId="77777777" w:rsidR="000B04A6" w:rsidRPr="00DD7F70" w:rsidRDefault="000B04A6" w:rsidP="000B04A6">
      <w:pPr>
        <w:spacing w:after="0" w:line="240" w:lineRule="auto"/>
        <w:jc w:val="both"/>
        <w:rPr>
          <w:rFonts w:ascii="Century Gothic" w:hAnsi="Century Gothic"/>
          <w:b/>
          <w:i/>
        </w:rPr>
      </w:pPr>
      <w:r w:rsidRPr="00DD7F70">
        <w:rPr>
          <w:rFonts w:ascii="Century Gothic" w:hAnsi="Century Gothic"/>
          <w:b/>
          <w:i/>
          <w:caps/>
        </w:rPr>
        <w:t>Jurisprudencia</w:t>
      </w:r>
      <w:r w:rsidRPr="00DD7F70">
        <w:rPr>
          <w:rFonts w:ascii="Century Gothic" w:hAnsi="Century Gothic"/>
          <w:i/>
        </w:rPr>
        <w:t xml:space="preserve"> sustentada por el Pleno de la Suprema Corte de Justicia de la Nación, consultable en la página 875, del Semanario Judicial de la Federación y su Gaceta, de la Décima Época, Tomo XXXIV, de agosto de dos mil once, de epígrafe y texto siguientes: </w:t>
      </w:r>
      <w:r w:rsidRPr="00DD7F70">
        <w:rPr>
          <w:rFonts w:ascii="Century Gothic" w:hAnsi="Century Gothic"/>
          <w:b/>
          <w:i/>
        </w:rPr>
        <w:t>“MATRIMONIO ENTRE PERSONAS DEL MISMO SEXO EN EL DISTRITO FEDERAL. TIENE VALIDEZ EN OTRAS ENTIDADES FEDERATIVAS CONFORME AL ARTÍCULO 121 DE LA CONSTITUCIÓN GENERAL DE LA REPÚBLICA (ARTÍCULO 146 DEL CÓDIGO CIVIL PARA EL DISTRITO FEDERAL, REFORMADO MEDIANTE DECRETO PUBLICADO EN LA GACETA OFICIAL DE LA ENTIDAD EL 29 DE DICIEMBRE DE 2009).</w:t>
      </w:r>
    </w:p>
    <w:p w14:paraId="694F6983" w14:textId="77777777" w:rsidR="000B04A6" w:rsidRPr="00DD7F70" w:rsidRDefault="000B04A6" w:rsidP="000B04A6">
      <w:pPr>
        <w:spacing w:after="0" w:line="240" w:lineRule="auto"/>
        <w:jc w:val="both"/>
        <w:rPr>
          <w:rFonts w:ascii="Century Gothic" w:hAnsi="Century Gothic"/>
          <w:b/>
          <w:i/>
        </w:rPr>
      </w:pPr>
    </w:p>
    <w:p w14:paraId="268FBCE7" w14:textId="77777777" w:rsidR="000B04A6" w:rsidRPr="00DD7F70" w:rsidRDefault="000B04A6" w:rsidP="000B04A6">
      <w:pPr>
        <w:spacing w:after="0" w:line="240" w:lineRule="auto"/>
        <w:jc w:val="both"/>
        <w:rPr>
          <w:rFonts w:ascii="Century Gothic" w:hAnsi="Century Gothic"/>
          <w:b/>
          <w:i/>
        </w:rPr>
      </w:pPr>
      <w:r w:rsidRPr="00DD7F70">
        <w:rPr>
          <w:rFonts w:ascii="Century Gothic" w:hAnsi="Century Gothic"/>
          <w:b/>
          <w:i/>
          <w:caps/>
        </w:rPr>
        <w:t>jurisprudencia</w:t>
      </w:r>
      <w:r w:rsidRPr="00DD7F70">
        <w:rPr>
          <w:rFonts w:ascii="Century Gothic" w:hAnsi="Century Gothic"/>
          <w:i/>
        </w:rPr>
        <w:t xml:space="preserve"> visible en la página 596, de la Gaceta del Semanario Judicial de la Federación, de la Décima Época, Primera Sala, Libro 11, de octubre de 2014, que dice: </w:t>
      </w:r>
      <w:r w:rsidRPr="00DD7F70">
        <w:rPr>
          <w:rFonts w:ascii="Century Gothic" w:hAnsi="Century Gothic"/>
          <w:b/>
          <w:i/>
        </w:rPr>
        <w:t>“CONCUBINATO. LOS BENEFICIOS TANGIBLES E INTANGIBLES QUE SON ACCESIBLES A LOS CONCUBINOS HETEROSEXUALES DEBEN RECONOCERSE A LAS PAREJAS HOMOSEXUALES.</w:t>
      </w:r>
    </w:p>
    <w:p w14:paraId="734EBC7C" w14:textId="77777777" w:rsidR="000B04A6" w:rsidRPr="00DD7F70" w:rsidRDefault="000B04A6" w:rsidP="000B04A6">
      <w:pPr>
        <w:spacing w:after="0" w:line="240" w:lineRule="auto"/>
        <w:jc w:val="both"/>
        <w:rPr>
          <w:rFonts w:ascii="Century Gothic" w:hAnsi="Century Gothic"/>
          <w:b/>
          <w:i/>
        </w:rPr>
      </w:pPr>
    </w:p>
    <w:p w14:paraId="2EA1E7B2" w14:textId="77777777" w:rsidR="000B04A6" w:rsidRPr="00DD7F70" w:rsidRDefault="000B04A6" w:rsidP="000B04A6">
      <w:pPr>
        <w:spacing w:after="0" w:line="240" w:lineRule="auto"/>
        <w:jc w:val="both"/>
        <w:rPr>
          <w:rFonts w:ascii="Century Gothic" w:hAnsi="Century Gothic"/>
          <w:b/>
          <w:i/>
        </w:rPr>
      </w:pPr>
      <w:r w:rsidRPr="00DD7F70">
        <w:rPr>
          <w:rFonts w:ascii="Century Gothic" w:hAnsi="Century Gothic"/>
          <w:b/>
          <w:i/>
          <w:caps/>
        </w:rPr>
        <w:t>tesis</w:t>
      </w:r>
      <w:r w:rsidRPr="00DD7F70">
        <w:rPr>
          <w:rFonts w:ascii="Century Gothic" w:hAnsi="Century Gothic"/>
          <w:i/>
        </w:rPr>
        <w:t xml:space="preserve"> sustentada por la Primera Sala del Alto Tribunal, publicada en la página 962, del Semanario Judicial de la Federación, de la Décima Época, Libro XIX, de abril de 2013, de rubro y texto: </w:t>
      </w:r>
      <w:r w:rsidRPr="00DD7F70">
        <w:rPr>
          <w:rFonts w:ascii="Century Gothic" w:hAnsi="Century Gothic"/>
          <w:b/>
          <w:i/>
        </w:rPr>
        <w:t>“MATRIMONIO ENTRE PERSONAS DEL MISMO SEXO. EL ARTÍCULO 143 DEL CÓDIGO CIVIL DEL ESTADO DE OAXACA CONTIENE UNA DOBLE DISCRIMINACIÓN, AL PRIVAR A LAS PAREJAS HOMOSEXUALES DE LOS BENEFICIOS MATERIALES Y EXPRESIVOS QUE SE OBTIENEN CON DICHA INSTITUCIÓN.</w:t>
      </w:r>
    </w:p>
    <w:p w14:paraId="14425AE1" w14:textId="77777777" w:rsidR="000B04A6" w:rsidRPr="00DD7F70" w:rsidRDefault="000B04A6" w:rsidP="000B04A6">
      <w:pPr>
        <w:spacing w:after="0" w:line="240" w:lineRule="auto"/>
        <w:jc w:val="both"/>
        <w:rPr>
          <w:rFonts w:ascii="Century Gothic" w:hAnsi="Century Gothic"/>
          <w:b/>
          <w:i/>
        </w:rPr>
      </w:pPr>
    </w:p>
    <w:p w14:paraId="50A51A97" w14:textId="77777777" w:rsidR="000B04A6" w:rsidRPr="00DD7F70" w:rsidRDefault="000B04A6" w:rsidP="000B04A6">
      <w:pPr>
        <w:spacing w:after="0" w:line="240" w:lineRule="auto"/>
        <w:jc w:val="both"/>
        <w:rPr>
          <w:rFonts w:ascii="Century Gothic" w:hAnsi="Century Gothic"/>
          <w:b/>
          <w:i/>
        </w:rPr>
      </w:pPr>
      <w:r w:rsidRPr="00DD7F70">
        <w:rPr>
          <w:rFonts w:ascii="Century Gothic" w:hAnsi="Century Gothic"/>
          <w:b/>
          <w:i/>
          <w:caps/>
        </w:rPr>
        <w:t>tesis</w:t>
      </w:r>
      <w:r w:rsidRPr="00DD7F70">
        <w:rPr>
          <w:rFonts w:ascii="Century Gothic" w:hAnsi="Century Gothic"/>
          <w:i/>
        </w:rPr>
        <w:t xml:space="preserve"> sustentada por el Tercer Tribunal Colegiado en Materia de Trabajo del Primer Circuito, consultable en la Gaceta del Semanario Judicial de la Federación, de la</w:t>
      </w:r>
      <w:r w:rsidRPr="00F1742A">
        <w:rPr>
          <w:rFonts w:ascii="Century Gothic" w:hAnsi="Century Gothic"/>
        </w:rPr>
        <w:t xml:space="preserve"> </w:t>
      </w:r>
      <w:r w:rsidRPr="00DD7F70">
        <w:rPr>
          <w:rFonts w:ascii="Century Gothic" w:hAnsi="Century Gothic"/>
          <w:i/>
        </w:rPr>
        <w:t xml:space="preserve">Décima Época, Libro 6, Tomo III, de mayo de 2014, del tenor siguiente: </w:t>
      </w:r>
      <w:r w:rsidRPr="00DD7F70">
        <w:rPr>
          <w:rFonts w:ascii="Century Gothic" w:hAnsi="Century Gothic"/>
          <w:b/>
          <w:i/>
        </w:rPr>
        <w:t>“SEGURIDAD SOCIAL. TIENEN LA CALIDAD DE DERECHOHABIENTES DEL INSTITUTO DE SEGURIDAD Y SERVICIOS SOCIALES DE LOS TRABAJADORES DEL ESTADO EL CÓNYUGE DEL TRABAJADOR O TRABAJADORA ASEGURADOS, AUN CUANDO SE TRATE DE MATRIMONIOS ENTRE PERSONAS DEL MISMO SEXO (INTERPRETACIÓN CONFORME DE LOS ARTÍCULOS 6, 39, 40, 41, 131 Y 135 DE LA LEY DEL ISSSTE).</w:t>
      </w:r>
    </w:p>
    <w:p w14:paraId="78BA5041" w14:textId="77777777" w:rsidR="000B04A6" w:rsidRPr="00DD7F70" w:rsidRDefault="000B04A6" w:rsidP="000B04A6">
      <w:pPr>
        <w:pStyle w:val="Textonotapie"/>
        <w:jc w:val="both"/>
        <w:rPr>
          <w:rFonts w:ascii="Century Gothic" w:hAnsi="Century Gothic" w:cs="Arial"/>
          <w:b/>
          <w:i/>
          <w:caps/>
          <w:sz w:val="22"/>
          <w:szCs w:val="22"/>
        </w:rPr>
      </w:pPr>
    </w:p>
    <w:p w14:paraId="616C4D35" w14:textId="0F41F8E8" w:rsidR="000B04A6" w:rsidRPr="00DD7F70" w:rsidRDefault="000B04A6" w:rsidP="000B04A6">
      <w:pPr>
        <w:pStyle w:val="Textonotapie"/>
        <w:jc w:val="both"/>
        <w:rPr>
          <w:rFonts w:ascii="Century Gothic" w:hAnsi="Century Gothic" w:cs="Arial"/>
          <w:b/>
          <w:i/>
          <w:sz w:val="22"/>
          <w:szCs w:val="22"/>
        </w:rPr>
      </w:pPr>
      <w:r w:rsidRPr="00DD7F70">
        <w:rPr>
          <w:rFonts w:ascii="Century Gothic" w:hAnsi="Century Gothic" w:cs="Arial"/>
          <w:b/>
          <w:i/>
          <w:caps/>
          <w:sz w:val="22"/>
          <w:szCs w:val="22"/>
        </w:rPr>
        <w:t>jurisprudencia</w:t>
      </w:r>
      <w:r w:rsidRPr="00DD7F70">
        <w:rPr>
          <w:rFonts w:ascii="Century Gothic" w:hAnsi="Century Gothic" w:cs="Arial"/>
          <w:i/>
          <w:sz w:val="22"/>
          <w:szCs w:val="22"/>
        </w:rPr>
        <w:t xml:space="preserve"> 1a./J. 46/2015 (10a.); Décima Época; Registro IUS 2009922; Primera Sala; Libro 22; </w:t>
      </w:r>
      <w:r w:rsidR="00811511" w:rsidRPr="00DD7F70">
        <w:rPr>
          <w:rFonts w:ascii="Century Gothic" w:hAnsi="Century Gothic" w:cs="Arial"/>
          <w:i/>
          <w:sz w:val="22"/>
          <w:szCs w:val="22"/>
        </w:rPr>
        <w:t>septiembre</w:t>
      </w:r>
      <w:r w:rsidRPr="00DD7F70">
        <w:rPr>
          <w:rFonts w:ascii="Century Gothic" w:hAnsi="Century Gothic" w:cs="Arial"/>
          <w:i/>
          <w:sz w:val="22"/>
          <w:szCs w:val="22"/>
        </w:rPr>
        <w:t xml:space="preserve"> de 2015, Tomo I; Pág. 253; Materia Constitucional, Civil).  </w:t>
      </w:r>
      <w:r w:rsidRPr="00DD7F70">
        <w:rPr>
          <w:rFonts w:ascii="Century Gothic" w:hAnsi="Century Gothic" w:cs="Arial"/>
          <w:b/>
          <w:i/>
          <w:sz w:val="22"/>
          <w:szCs w:val="22"/>
        </w:rPr>
        <w:t xml:space="preserve">“MATRIMONIO ENTRE PERSONAS DEL MISMO SEXO. NO EXISTE RAZÓN DE ÍNDOLE CONSTITUCIONAL PARA NO RECONOCERLO” </w:t>
      </w:r>
    </w:p>
    <w:p w14:paraId="12DAE79D" w14:textId="77777777" w:rsidR="000B04A6" w:rsidRPr="00DD7F70" w:rsidRDefault="000B04A6" w:rsidP="000B04A6">
      <w:pPr>
        <w:pStyle w:val="Textonotapie"/>
        <w:jc w:val="both"/>
        <w:rPr>
          <w:rFonts w:ascii="Century Gothic" w:hAnsi="Century Gothic" w:cs="Arial"/>
          <w:i/>
          <w:sz w:val="22"/>
          <w:szCs w:val="22"/>
        </w:rPr>
      </w:pPr>
    </w:p>
    <w:p w14:paraId="1AA64BE5" w14:textId="477C80EC" w:rsidR="000B04A6" w:rsidRPr="00DD7F70" w:rsidRDefault="00811511" w:rsidP="000B04A6">
      <w:pPr>
        <w:pStyle w:val="Textonotapie"/>
        <w:jc w:val="both"/>
        <w:rPr>
          <w:rFonts w:ascii="Century Gothic" w:hAnsi="Century Gothic" w:cs="Arial"/>
          <w:b/>
          <w:i/>
          <w:sz w:val="22"/>
          <w:szCs w:val="22"/>
        </w:rPr>
      </w:pPr>
      <w:r w:rsidRPr="00DD7F70">
        <w:rPr>
          <w:rFonts w:ascii="Century Gothic" w:hAnsi="Century Gothic" w:cs="Arial"/>
          <w:b/>
          <w:i/>
          <w:caps/>
          <w:sz w:val="22"/>
          <w:szCs w:val="22"/>
        </w:rPr>
        <w:t>TESIS: -</w:t>
      </w:r>
      <w:r w:rsidR="000B04A6" w:rsidRPr="00DD7F70">
        <w:rPr>
          <w:rFonts w:ascii="Century Gothic" w:hAnsi="Century Gothic" w:cs="Arial"/>
          <w:i/>
          <w:sz w:val="22"/>
          <w:szCs w:val="22"/>
        </w:rPr>
        <w:t xml:space="preserve"> P. XXI/2011; Novena Época; 161267; Pleno; Tomo XXXIV, </w:t>
      </w:r>
      <w:r w:rsidRPr="00DD7F70">
        <w:rPr>
          <w:rFonts w:ascii="Century Gothic" w:hAnsi="Century Gothic" w:cs="Arial"/>
          <w:i/>
          <w:sz w:val="22"/>
          <w:szCs w:val="22"/>
        </w:rPr>
        <w:t>agosto</w:t>
      </w:r>
      <w:r w:rsidR="000B04A6" w:rsidRPr="00DD7F70">
        <w:rPr>
          <w:rFonts w:ascii="Century Gothic" w:hAnsi="Century Gothic" w:cs="Arial"/>
          <w:i/>
          <w:sz w:val="22"/>
          <w:szCs w:val="22"/>
        </w:rPr>
        <w:t xml:space="preserve"> de 2011; Pág. 878; Tesis Aislada (Constitucional) </w:t>
      </w:r>
      <w:r w:rsidR="000B04A6" w:rsidRPr="00DD7F70">
        <w:rPr>
          <w:rFonts w:ascii="Century Gothic" w:hAnsi="Century Gothic" w:cs="Arial"/>
          <w:b/>
          <w:i/>
          <w:sz w:val="22"/>
          <w:szCs w:val="22"/>
        </w:rPr>
        <w:t>“MATRIMONIO. LA CONSTITUCIÓN POLÍTICA DE LOS ESTADOS UNIDOS MEXICANOS NO ALUDE A DICHA INSTITUCIÓN CIVIL NI REFIERE UN TIPO ESPECÍFICO DE FAMILIA, CON BASE EN EL CUAL PUEDA AFIRMARSE QUE ÉSTA SE CONSTITUYE EXCLUSIVAMENTE POR EL MATRIMONIO ENTRE UN HOMBRE Y UNA MUJER”.</w:t>
      </w:r>
    </w:p>
    <w:p w14:paraId="13FB9ED7" w14:textId="77777777" w:rsidR="0037670F" w:rsidRDefault="0037670F" w:rsidP="00972C39">
      <w:pPr>
        <w:pStyle w:val="Prrafodelista"/>
        <w:spacing w:line="360" w:lineRule="auto"/>
        <w:ind w:left="0"/>
        <w:jc w:val="both"/>
        <w:rPr>
          <w:rFonts w:ascii="Century Gothic" w:hAnsi="Century Gothic" w:cs="Arial"/>
          <w:sz w:val="24"/>
          <w:szCs w:val="24"/>
        </w:rPr>
      </w:pPr>
    </w:p>
    <w:p w14:paraId="00161E69" w14:textId="6CE122A9" w:rsidR="00585927" w:rsidRPr="00340E51" w:rsidRDefault="006258E6" w:rsidP="00972C39">
      <w:pPr>
        <w:pStyle w:val="Prrafodelista"/>
        <w:spacing w:line="360" w:lineRule="auto"/>
        <w:ind w:left="0"/>
        <w:jc w:val="both"/>
        <w:rPr>
          <w:rFonts w:ascii="Century Gothic" w:hAnsi="Century Gothic" w:cs="Arial"/>
          <w:sz w:val="24"/>
          <w:szCs w:val="24"/>
        </w:rPr>
      </w:pPr>
      <w:r w:rsidRPr="00340E51">
        <w:rPr>
          <w:rFonts w:ascii="Century Gothic" w:hAnsi="Century Gothic" w:cs="Arial"/>
          <w:sz w:val="24"/>
          <w:szCs w:val="24"/>
        </w:rPr>
        <w:t>Así, negar a las parejas homosexuales los beneficios tangibles e intangibles que son accesibles a las personas</w:t>
      </w:r>
      <w:r w:rsidRPr="00340E51">
        <w:rPr>
          <w:rFonts w:ascii="Century Gothic" w:hAnsi="Century Gothic"/>
          <w:sz w:val="24"/>
          <w:szCs w:val="24"/>
        </w:rPr>
        <w:t xml:space="preserve"> </w:t>
      </w:r>
      <w:r w:rsidRPr="00340E51">
        <w:rPr>
          <w:rFonts w:ascii="Century Gothic" w:hAnsi="Century Gothic" w:cs="Arial"/>
          <w:sz w:val="24"/>
          <w:szCs w:val="24"/>
        </w:rPr>
        <w:t>heterosexuales a través de</w:t>
      </w:r>
      <w:r w:rsidR="00585927" w:rsidRPr="00340E51">
        <w:rPr>
          <w:rFonts w:ascii="Century Gothic" w:hAnsi="Century Gothic" w:cs="Arial"/>
          <w:sz w:val="24"/>
          <w:szCs w:val="24"/>
        </w:rPr>
        <w:t xml:space="preserve"> instituciones civiles como el matrimonio o concubinato hombre-mujer, </w:t>
      </w:r>
      <w:r w:rsidRPr="00340E51">
        <w:rPr>
          <w:rFonts w:ascii="Century Gothic" w:hAnsi="Century Gothic" w:cs="Arial"/>
          <w:sz w:val="24"/>
          <w:szCs w:val="24"/>
        </w:rPr>
        <w:t xml:space="preserve">implica tratarlas como si fueran "ciudadanos de segunda clase", porque no existe justificación racional alguna para no reconocerles los derechos fundamentales que les corresponden como individuos y, simultáneamente, un conjunto incompleto de derechos cuando se conducen siguiendo su orientación sexual y se vinculan en relaciones estables de pareja; además, la exclusión de las parejas del mismo sexo de la figura de </w:t>
      </w:r>
      <w:r w:rsidR="00585927" w:rsidRPr="00340E51">
        <w:rPr>
          <w:rFonts w:ascii="Century Gothic" w:hAnsi="Century Gothic" w:cs="Arial"/>
          <w:sz w:val="24"/>
          <w:szCs w:val="24"/>
        </w:rPr>
        <w:t xml:space="preserve">matrimonio o </w:t>
      </w:r>
      <w:r w:rsidRPr="00340E51">
        <w:rPr>
          <w:rFonts w:ascii="Century Gothic" w:hAnsi="Century Gothic" w:cs="Arial"/>
          <w:sz w:val="24"/>
          <w:szCs w:val="24"/>
        </w:rPr>
        <w:t xml:space="preserve">concubinato </w:t>
      </w:r>
      <w:r w:rsidR="00585927" w:rsidRPr="00340E51">
        <w:rPr>
          <w:rFonts w:ascii="Century Gothic" w:hAnsi="Century Gothic" w:cs="Arial"/>
          <w:sz w:val="24"/>
          <w:szCs w:val="24"/>
        </w:rPr>
        <w:t xml:space="preserve">hombre-mujer, </w:t>
      </w:r>
      <w:r w:rsidRPr="00340E51">
        <w:rPr>
          <w:rFonts w:ascii="Century Gothic" w:hAnsi="Century Gothic" w:cs="Arial"/>
          <w:sz w:val="24"/>
          <w:szCs w:val="24"/>
        </w:rPr>
        <w:t>perpetúa la noción de que son menos merecedoras de reconocimiento que las heterosexuales, con lo que se ofende su dignidad como personas y su integridad</w:t>
      </w:r>
      <w:r w:rsidR="00585927" w:rsidRPr="00340E51">
        <w:rPr>
          <w:rFonts w:ascii="Century Gothic" w:hAnsi="Century Gothic" w:cs="Arial"/>
          <w:sz w:val="24"/>
          <w:szCs w:val="24"/>
        </w:rPr>
        <w:t>.</w:t>
      </w:r>
    </w:p>
    <w:p w14:paraId="7428E9ED" w14:textId="77777777" w:rsidR="00585927" w:rsidRPr="00340E51" w:rsidRDefault="00585927" w:rsidP="0037670F">
      <w:pPr>
        <w:pStyle w:val="Prrafodelista"/>
        <w:spacing w:line="240" w:lineRule="atLeast"/>
        <w:ind w:left="0"/>
        <w:jc w:val="both"/>
        <w:rPr>
          <w:rFonts w:ascii="Century Gothic" w:hAnsi="Century Gothic" w:cs="Arial"/>
          <w:sz w:val="24"/>
          <w:szCs w:val="24"/>
        </w:rPr>
      </w:pPr>
    </w:p>
    <w:p w14:paraId="0A9C5183" w14:textId="443961A3" w:rsidR="00E71DA9" w:rsidRPr="00340E51" w:rsidRDefault="00E71DA9" w:rsidP="00E71DA9">
      <w:pPr>
        <w:spacing w:after="0" w:line="360" w:lineRule="auto"/>
        <w:jc w:val="both"/>
        <w:rPr>
          <w:rFonts w:ascii="Century Gothic" w:hAnsi="Century Gothic" w:cs="Arial"/>
          <w:sz w:val="24"/>
          <w:szCs w:val="24"/>
        </w:rPr>
      </w:pPr>
      <w:r w:rsidRPr="00340E51">
        <w:rPr>
          <w:rFonts w:ascii="Century Gothic" w:hAnsi="Century Gothic" w:cs="Arial"/>
          <w:sz w:val="24"/>
          <w:szCs w:val="24"/>
        </w:rPr>
        <w:t xml:space="preserve">De tal manera que, en un Estado constitucional de Derecho como el nuestro y conforme lo exige el artículo 1° constitucional, los poderes públicos están llamados a actuar, en todo momento, en defensa y protección de los derechos humanos, de manera que los órganos o autoridades que ejercen una función materialmente legislativa o normativa están obligados no sólo a usar términos o fórmulas que aparenten neutralidad, sino que deben llevar a cabo un ejercicio reflexivo, consciente, informado y prudente que tenga como resultado la redacción de un texto normativo que, sin lugar a dudas </w:t>
      </w:r>
      <w:r w:rsidR="00D74B07">
        <w:rPr>
          <w:rFonts w:ascii="Century Gothic" w:hAnsi="Century Gothic" w:cs="Arial"/>
          <w:sz w:val="24"/>
          <w:szCs w:val="24"/>
        </w:rPr>
        <w:t xml:space="preserve">e </w:t>
      </w:r>
      <w:r w:rsidRPr="00340E51">
        <w:rPr>
          <w:rFonts w:ascii="Century Gothic" w:hAnsi="Century Gothic" w:cs="Arial"/>
          <w:sz w:val="24"/>
          <w:szCs w:val="24"/>
        </w:rPr>
        <w:t>interpretaciones, sea incluyente en su manifestación y proscriba cualquiera asomo de discriminación en su lectura y aplicación.</w:t>
      </w:r>
    </w:p>
    <w:p w14:paraId="14B12118" w14:textId="77777777" w:rsidR="00C01AE2" w:rsidRPr="00340E51" w:rsidRDefault="00C01AE2" w:rsidP="00B47297">
      <w:pPr>
        <w:spacing w:after="0" w:line="360" w:lineRule="auto"/>
        <w:jc w:val="both"/>
        <w:rPr>
          <w:rFonts w:ascii="Century Gothic" w:hAnsi="Century Gothic" w:cs="Arial"/>
          <w:sz w:val="24"/>
          <w:szCs w:val="24"/>
        </w:rPr>
      </w:pPr>
    </w:p>
    <w:p w14:paraId="185B2CE0" w14:textId="11BE1920" w:rsidR="00490E70" w:rsidRPr="00340E51" w:rsidRDefault="00B47297" w:rsidP="00B47297">
      <w:pPr>
        <w:spacing w:after="0" w:line="360" w:lineRule="auto"/>
        <w:jc w:val="both"/>
        <w:rPr>
          <w:rFonts w:ascii="Century Gothic" w:hAnsi="Century Gothic" w:cs="Arial"/>
          <w:sz w:val="24"/>
          <w:szCs w:val="24"/>
        </w:rPr>
      </w:pPr>
      <w:r w:rsidRPr="00340E51">
        <w:rPr>
          <w:rFonts w:ascii="Century Gothic" w:hAnsi="Century Gothic" w:cs="Arial"/>
          <w:sz w:val="24"/>
          <w:szCs w:val="24"/>
        </w:rPr>
        <w:t>El cumplimiento de ese deber de cuidado en la terminología empleada tiene un doble efecto en el sistema jurídico: por una parte, al velar por la utilización de las palabras más apropiadas en la creación de una norma, se materializa y reconoce el principio de igualdad y no discriminación; por otra, se genera seguridad jurídica a los gobernados, ya que el margen de interpretación de una norma determinada por parte de la autoridad a quien corresponde su aplicación,  se reduce mediante el uso de la terminología adecuada, con lo cual se evitan intelecciones que conduzcan a discriminar a ciertos sujetos</w:t>
      </w:r>
      <w:r w:rsidR="00490E70" w:rsidRPr="00340E51">
        <w:rPr>
          <w:rFonts w:ascii="Century Gothic" w:hAnsi="Century Gothic" w:cs="Arial"/>
          <w:sz w:val="24"/>
          <w:szCs w:val="24"/>
        </w:rPr>
        <w:t>, toda vez que el estado, debe contribuir a proporcionar a los ciudadanos “piso común”  de bienestar material que les permita llevar a cabo los planes de vida que elijan.</w:t>
      </w:r>
    </w:p>
    <w:p w14:paraId="339C231F" w14:textId="77777777" w:rsidR="00504F86" w:rsidRDefault="00504F86" w:rsidP="002618F7">
      <w:pPr>
        <w:pStyle w:val="NormalWeb"/>
        <w:shd w:val="clear" w:color="auto" w:fill="FDFDFD"/>
        <w:spacing w:before="0" w:beforeAutospacing="0" w:after="0" w:afterAutospacing="0" w:line="360" w:lineRule="auto"/>
        <w:jc w:val="both"/>
        <w:rPr>
          <w:rFonts w:ascii="Century Gothic" w:hAnsi="Century Gothic" w:cs="Arial"/>
        </w:rPr>
      </w:pPr>
    </w:p>
    <w:p w14:paraId="03B28983" w14:textId="77777777" w:rsidR="00126F9F" w:rsidRDefault="002618F7" w:rsidP="002618F7">
      <w:pPr>
        <w:pStyle w:val="NormalWeb"/>
        <w:shd w:val="clear" w:color="auto" w:fill="FDFDFD"/>
        <w:spacing w:before="0" w:beforeAutospacing="0" w:after="0" w:afterAutospacing="0" w:line="360" w:lineRule="auto"/>
        <w:jc w:val="both"/>
        <w:rPr>
          <w:rFonts w:ascii="Century Gothic" w:hAnsi="Century Gothic" w:cs="Arial"/>
        </w:rPr>
      </w:pPr>
      <w:r w:rsidRPr="00340E51">
        <w:rPr>
          <w:rFonts w:ascii="Century Gothic" w:hAnsi="Century Gothic" w:cs="Arial"/>
        </w:rPr>
        <w:t>En este contexto jurídico, si se considera que una norma es discriminatoria, la interpretación conforme no repara el trato diferenciado generado, pues lo pretendido por las personas discriminadas es la cesación de la constante afectación generada y la inclusión expresa en el régimen jurídico en cuestión; en otras palabras, no se trata sólo de acceder a las prestaciones de seguridad social, sino suprimir el estado de discriminación generada por el mensaje transmitido por la norma, toda vez que realizar una interpretación conforme implicaría que se ignore o desconozca que el legislador incumplió con la obligación positiva de configurar los textos legales evitando cualquier forma de discriminación, ya sea en su lectura o en su aplicación y, que permita la subsistencia de un texto normativo que es a todas luces discriminatorio</w:t>
      </w:r>
      <w:r w:rsidR="00126F9F">
        <w:rPr>
          <w:rFonts w:ascii="Century Gothic" w:hAnsi="Century Gothic" w:cs="Arial"/>
        </w:rPr>
        <w:t>.</w:t>
      </w:r>
    </w:p>
    <w:p w14:paraId="2ECA7AD7" w14:textId="77777777" w:rsidR="00126F9F" w:rsidRDefault="00126F9F" w:rsidP="002618F7">
      <w:pPr>
        <w:pStyle w:val="NormalWeb"/>
        <w:shd w:val="clear" w:color="auto" w:fill="FDFDFD"/>
        <w:spacing w:before="0" w:beforeAutospacing="0" w:after="0" w:afterAutospacing="0" w:line="360" w:lineRule="auto"/>
        <w:jc w:val="both"/>
        <w:rPr>
          <w:rFonts w:ascii="Century Gothic" w:hAnsi="Century Gothic" w:cs="Arial"/>
        </w:rPr>
      </w:pPr>
    </w:p>
    <w:p w14:paraId="79758ED0" w14:textId="1A7C0187" w:rsidR="002618F7" w:rsidRPr="00340E51" w:rsidRDefault="00126F9F" w:rsidP="002618F7">
      <w:pPr>
        <w:pStyle w:val="NormalWeb"/>
        <w:shd w:val="clear" w:color="auto" w:fill="FDFDFD"/>
        <w:spacing w:before="0" w:beforeAutospacing="0" w:after="0" w:afterAutospacing="0" w:line="360" w:lineRule="auto"/>
        <w:jc w:val="both"/>
        <w:rPr>
          <w:rFonts w:ascii="Century Gothic" w:hAnsi="Century Gothic" w:cstheme="minorHAnsi"/>
        </w:rPr>
      </w:pPr>
      <w:r>
        <w:rPr>
          <w:rFonts w:ascii="Century Gothic" w:hAnsi="Century Gothic" w:cs="Arial"/>
        </w:rPr>
        <w:t>Por lo anteriormente expuesto</w:t>
      </w:r>
      <w:r w:rsidR="000773CB">
        <w:rPr>
          <w:rFonts w:ascii="Century Gothic" w:hAnsi="Century Gothic" w:cs="Arial"/>
        </w:rPr>
        <w:t xml:space="preserve"> y</w:t>
      </w:r>
      <w:r w:rsidR="00371C78">
        <w:rPr>
          <w:rFonts w:ascii="Century Gothic" w:hAnsi="Century Gothic" w:cs="Arial"/>
        </w:rPr>
        <w:t xml:space="preserve"> </w:t>
      </w:r>
      <w:r w:rsidR="00532F9A">
        <w:rPr>
          <w:rFonts w:ascii="Century Gothic" w:hAnsi="Century Gothic" w:cs="Arial"/>
        </w:rPr>
        <w:t xml:space="preserve">fundado, </w:t>
      </w:r>
      <w:r w:rsidR="00725661">
        <w:rPr>
          <w:rFonts w:ascii="Century Gothic" w:hAnsi="Century Gothic" w:cs="Arial"/>
        </w:rPr>
        <w:t>someto a consideración de esta Honorable Asamblea</w:t>
      </w:r>
      <w:r w:rsidR="00371C78">
        <w:rPr>
          <w:rFonts w:ascii="Century Gothic" w:hAnsi="Century Gothic" w:cs="Arial"/>
        </w:rPr>
        <w:t>,</w:t>
      </w:r>
      <w:r w:rsidR="00725661">
        <w:rPr>
          <w:rFonts w:ascii="Century Gothic" w:hAnsi="Century Gothic" w:cs="Arial"/>
        </w:rPr>
        <w:t xml:space="preserve"> el siguiente </w:t>
      </w:r>
      <w:r w:rsidR="002618F7" w:rsidRPr="00340E51">
        <w:rPr>
          <w:rFonts w:ascii="Century Gothic" w:hAnsi="Century Gothic" w:cstheme="minorHAnsi"/>
        </w:rPr>
        <w:t>proyecto de</w:t>
      </w:r>
    </w:p>
    <w:p w14:paraId="2DF4BBEC" w14:textId="77777777" w:rsidR="002618F7" w:rsidRPr="00340E51" w:rsidRDefault="002618F7" w:rsidP="002618F7">
      <w:pPr>
        <w:pStyle w:val="NormalWeb"/>
        <w:shd w:val="clear" w:color="auto" w:fill="FDFDFD"/>
        <w:spacing w:before="0" w:beforeAutospacing="0" w:after="0" w:afterAutospacing="0" w:line="360" w:lineRule="auto"/>
        <w:jc w:val="both"/>
        <w:rPr>
          <w:rFonts w:ascii="Century Gothic" w:hAnsi="Century Gothic" w:cstheme="minorHAnsi"/>
        </w:rPr>
      </w:pPr>
    </w:p>
    <w:p w14:paraId="20DA180A" w14:textId="35A0EEDB" w:rsidR="002618F7" w:rsidRDefault="002618F7" w:rsidP="002618F7">
      <w:pPr>
        <w:jc w:val="center"/>
        <w:rPr>
          <w:rFonts w:ascii="Century Gothic" w:hAnsi="Century Gothic" w:cs="Arial"/>
          <w:b/>
          <w:sz w:val="24"/>
          <w:szCs w:val="24"/>
          <w:shd w:val="clear" w:color="auto" w:fill="FFFFFF"/>
        </w:rPr>
      </w:pPr>
      <w:r w:rsidRPr="00340E51">
        <w:rPr>
          <w:rFonts w:ascii="Century Gothic" w:hAnsi="Century Gothic" w:cs="Arial"/>
          <w:b/>
          <w:sz w:val="24"/>
          <w:szCs w:val="24"/>
          <w:shd w:val="clear" w:color="auto" w:fill="FFFFFF"/>
        </w:rPr>
        <w:t>D E C R E T O:</w:t>
      </w:r>
    </w:p>
    <w:p w14:paraId="79F80A51" w14:textId="77777777" w:rsidR="00EB34C5" w:rsidRPr="00340E51" w:rsidRDefault="00EB34C5" w:rsidP="002618F7">
      <w:pPr>
        <w:jc w:val="center"/>
        <w:rPr>
          <w:rFonts w:ascii="Century Gothic" w:hAnsi="Century Gothic" w:cs="Arial"/>
          <w:b/>
          <w:sz w:val="24"/>
          <w:szCs w:val="24"/>
          <w:shd w:val="clear" w:color="auto" w:fill="FFFFFF"/>
        </w:rPr>
      </w:pPr>
    </w:p>
    <w:p w14:paraId="1F225A78" w14:textId="14F6F69F" w:rsidR="00490E70" w:rsidRPr="00340E51" w:rsidRDefault="00811511" w:rsidP="00B47297">
      <w:pPr>
        <w:spacing w:after="0" w:line="360" w:lineRule="auto"/>
        <w:jc w:val="both"/>
        <w:rPr>
          <w:rFonts w:ascii="Century Gothic" w:hAnsi="Century Gothic" w:cs="Arial"/>
          <w:sz w:val="24"/>
          <w:szCs w:val="24"/>
        </w:rPr>
      </w:pPr>
      <w:r w:rsidRPr="00B9351E">
        <w:rPr>
          <w:rFonts w:ascii="Century Gothic" w:hAnsi="Century Gothic" w:cs="Arial"/>
          <w:b/>
          <w:bCs/>
          <w:sz w:val="24"/>
          <w:szCs w:val="24"/>
        </w:rPr>
        <w:t>ÚNICO. -</w:t>
      </w:r>
      <w:r w:rsidR="00B9351E" w:rsidRPr="00B9351E">
        <w:rPr>
          <w:rFonts w:ascii="Century Gothic" w:hAnsi="Century Gothic" w:cs="Arial"/>
          <w:b/>
          <w:bCs/>
          <w:sz w:val="24"/>
          <w:szCs w:val="24"/>
        </w:rPr>
        <w:t xml:space="preserve"> </w:t>
      </w:r>
      <w:r w:rsidR="00B9351E">
        <w:rPr>
          <w:rFonts w:ascii="Century Gothic" w:hAnsi="Century Gothic" w:cs="Arial"/>
          <w:sz w:val="24"/>
          <w:szCs w:val="24"/>
        </w:rPr>
        <w:t>Le Sexagésima Séptima Legislatura del Estado libre y Soberano de Chihuahua,</w:t>
      </w:r>
      <w:bookmarkStart w:id="1" w:name="_Hlk84412155"/>
      <w:r w:rsidR="00B9351E">
        <w:rPr>
          <w:rFonts w:ascii="Century Gothic" w:hAnsi="Century Gothic" w:cs="Arial"/>
          <w:sz w:val="24"/>
          <w:szCs w:val="24"/>
        </w:rPr>
        <w:t xml:space="preserve"> reforma los artículos 45</w:t>
      </w:r>
      <w:r w:rsidR="005644D1">
        <w:rPr>
          <w:rFonts w:ascii="Century Gothic" w:hAnsi="Century Gothic" w:cs="Arial"/>
          <w:sz w:val="24"/>
          <w:szCs w:val="24"/>
        </w:rPr>
        <w:t xml:space="preserve"> fracción I y II</w:t>
      </w:r>
      <w:r w:rsidR="00A14C49">
        <w:rPr>
          <w:rFonts w:ascii="Century Gothic" w:hAnsi="Century Gothic" w:cs="Arial"/>
          <w:sz w:val="24"/>
          <w:szCs w:val="24"/>
        </w:rPr>
        <w:t>, 47</w:t>
      </w:r>
      <w:r w:rsidR="005644D1">
        <w:rPr>
          <w:rFonts w:ascii="Century Gothic" w:hAnsi="Century Gothic" w:cs="Arial"/>
          <w:sz w:val="24"/>
          <w:szCs w:val="24"/>
        </w:rPr>
        <w:t xml:space="preserve"> fracci</w:t>
      </w:r>
      <w:r w:rsidR="00B115D9">
        <w:rPr>
          <w:rFonts w:ascii="Century Gothic" w:hAnsi="Century Gothic" w:cs="Arial"/>
          <w:sz w:val="24"/>
          <w:szCs w:val="24"/>
        </w:rPr>
        <w:t>ón II</w:t>
      </w:r>
      <w:r w:rsidR="00A14C49">
        <w:rPr>
          <w:rFonts w:ascii="Century Gothic" w:hAnsi="Century Gothic" w:cs="Arial"/>
          <w:sz w:val="24"/>
          <w:szCs w:val="24"/>
        </w:rPr>
        <w:t>, 67</w:t>
      </w:r>
      <w:r w:rsidR="00044798">
        <w:rPr>
          <w:rFonts w:ascii="Century Gothic" w:hAnsi="Century Gothic" w:cs="Arial"/>
          <w:sz w:val="24"/>
          <w:szCs w:val="24"/>
        </w:rPr>
        <w:t xml:space="preserve"> </w:t>
      </w:r>
      <w:r w:rsidR="00E8386A">
        <w:rPr>
          <w:rFonts w:ascii="Century Gothic" w:hAnsi="Century Gothic" w:cs="Arial"/>
          <w:sz w:val="24"/>
          <w:szCs w:val="24"/>
        </w:rPr>
        <w:t xml:space="preserve">párrafo </w:t>
      </w:r>
      <w:r w:rsidR="00044798">
        <w:rPr>
          <w:rFonts w:ascii="Century Gothic" w:hAnsi="Century Gothic" w:cs="Arial"/>
          <w:sz w:val="24"/>
          <w:szCs w:val="24"/>
        </w:rPr>
        <w:t>primero, segundo y tercer</w:t>
      </w:r>
      <w:r w:rsidR="00E8386A">
        <w:rPr>
          <w:rFonts w:ascii="Century Gothic" w:hAnsi="Century Gothic" w:cs="Arial"/>
          <w:sz w:val="24"/>
          <w:szCs w:val="24"/>
        </w:rPr>
        <w:t>o</w:t>
      </w:r>
      <w:r w:rsidR="00044798">
        <w:rPr>
          <w:rFonts w:ascii="Century Gothic" w:hAnsi="Century Gothic" w:cs="Arial"/>
          <w:sz w:val="24"/>
          <w:szCs w:val="24"/>
        </w:rPr>
        <w:t xml:space="preserve">, </w:t>
      </w:r>
      <w:r>
        <w:rPr>
          <w:rFonts w:ascii="Century Gothic" w:hAnsi="Century Gothic" w:cs="Arial"/>
          <w:sz w:val="24"/>
          <w:szCs w:val="24"/>
        </w:rPr>
        <w:t>69</w:t>
      </w:r>
      <w:r w:rsidR="00044798">
        <w:rPr>
          <w:rFonts w:ascii="Century Gothic" w:hAnsi="Century Gothic" w:cs="Arial"/>
          <w:sz w:val="24"/>
          <w:szCs w:val="24"/>
        </w:rPr>
        <w:t xml:space="preserve"> fracción I, III, IV</w:t>
      </w:r>
      <w:r w:rsidR="0028158F">
        <w:rPr>
          <w:rFonts w:ascii="Century Gothic" w:hAnsi="Century Gothic" w:cs="Arial"/>
          <w:sz w:val="24"/>
          <w:szCs w:val="24"/>
        </w:rPr>
        <w:t xml:space="preserve"> y </w:t>
      </w:r>
      <w:r w:rsidR="00E8386A">
        <w:rPr>
          <w:rFonts w:ascii="Century Gothic" w:hAnsi="Century Gothic" w:cs="Arial"/>
          <w:sz w:val="24"/>
          <w:szCs w:val="24"/>
        </w:rPr>
        <w:t xml:space="preserve">párrafo </w:t>
      </w:r>
      <w:r w:rsidR="0028158F">
        <w:rPr>
          <w:rFonts w:ascii="Century Gothic" w:hAnsi="Century Gothic" w:cs="Arial"/>
          <w:sz w:val="24"/>
          <w:szCs w:val="24"/>
        </w:rPr>
        <w:t xml:space="preserve">tercero, </w:t>
      </w:r>
      <w:r w:rsidR="00B9351E">
        <w:rPr>
          <w:rFonts w:ascii="Century Gothic" w:hAnsi="Century Gothic" w:cs="Arial"/>
          <w:sz w:val="24"/>
          <w:szCs w:val="24"/>
        </w:rPr>
        <w:t>de la Ley del Instituto Municipal de Pensiones</w:t>
      </w:r>
      <w:bookmarkEnd w:id="1"/>
      <w:r w:rsidR="00B9351E">
        <w:rPr>
          <w:rFonts w:ascii="Century Gothic" w:hAnsi="Century Gothic" w:cs="Arial"/>
          <w:sz w:val="24"/>
          <w:szCs w:val="24"/>
        </w:rPr>
        <w:t>, para quedar redactados de</w:t>
      </w:r>
      <w:r w:rsidR="00B45F9E">
        <w:rPr>
          <w:rFonts w:ascii="Century Gothic" w:hAnsi="Century Gothic" w:cs="Arial"/>
          <w:sz w:val="24"/>
          <w:szCs w:val="24"/>
        </w:rPr>
        <w:t xml:space="preserve"> </w:t>
      </w:r>
      <w:r w:rsidR="00B9351E">
        <w:rPr>
          <w:rFonts w:ascii="Century Gothic" w:hAnsi="Century Gothic" w:cs="Arial"/>
          <w:sz w:val="24"/>
          <w:szCs w:val="24"/>
        </w:rPr>
        <w:t>la siguiente manera:</w:t>
      </w:r>
    </w:p>
    <w:p w14:paraId="5C4247D4" w14:textId="247D9407" w:rsidR="00B47297" w:rsidRPr="00340E51" w:rsidRDefault="00B47297" w:rsidP="00B47297">
      <w:pPr>
        <w:spacing w:after="0" w:line="360" w:lineRule="auto"/>
        <w:jc w:val="both"/>
        <w:rPr>
          <w:rFonts w:ascii="Century Gothic" w:hAnsi="Century Gothic" w:cs="Arial"/>
          <w:sz w:val="24"/>
          <w:szCs w:val="24"/>
        </w:rPr>
      </w:pPr>
      <w:r w:rsidRPr="00340E51">
        <w:rPr>
          <w:rFonts w:ascii="Century Gothic" w:hAnsi="Century Gothic" w:cs="Arial"/>
          <w:sz w:val="24"/>
          <w:szCs w:val="24"/>
        </w:rPr>
        <w:t xml:space="preserve"> </w:t>
      </w:r>
    </w:p>
    <w:p w14:paraId="76E64B89" w14:textId="77777777" w:rsidR="0053436C" w:rsidRPr="00340E51" w:rsidRDefault="0053436C" w:rsidP="0053436C">
      <w:pPr>
        <w:jc w:val="both"/>
        <w:rPr>
          <w:rFonts w:ascii="Century Gothic" w:hAnsi="Century Gothic" w:cs="Arial"/>
          <w:sz w:val="24"/>
          <w:szCs w:val="24"/>
        </w:rPr>
      </w:pPr>
      <w:r w:rsidRPr="00340E51">
        <w:rPr>
          <w:rFonts w:ascii="Century Gothic" w:hAnsi="Century Gothic" w:cs="Arial"/>
          <w:b/>
          <w:sz w:val="24"/>
          <w:szCs w:val="24"/>
        </w:rPr>
        <w:t xml:space="preserve">ARTÍCULO 45. </w:t>
      </w:r>
      <w:r w:rsidRPr="00340E51">
        <w:rPr>
          <w:rFonts w:ascii="Century Gothic" w:hAnsi="Century Gothic" w:cs="Arial"/>
          <w:sz w:val="24"/>
          <w:szCs w:val="24"/>
        </w:rPr>
        <w:t>Son beneficiarios para efectos de esta prestación:</w:t>
      </w:r>
    </w:p>
    <w:p w14:paraId="1E55BF70" w14:textId="2FBBBEFC" w:rsidR="00811511" w:rsidRDefault="0053436C" w:rsidP="00657A3D">
      <w:pPr>
        <w:numPr>
          <w:ilvl w:val="0"/>
          <w:numId w:val="43"/>
        </w:numPr>
        <w:spacing w:after="0" w:line="240" w:lineRule="auto"/>
        <w:ind w:left="1134" w:hanging="567"/>
        <w:contextualSpacing/>
        <w:jc w:val="both"/>
        <w:rPr>
          <w:rFonts w:ascii="Century Gothic" w:hAnsi="Century Gothic" w:cs="Arial"/>
          <w:sz w:val="24"/>
          <w:szCs w:val="24"/>
        </w:rPr>
      </w:pPr>
      <w:r w:rsidRPr="00B45F9E">
        <w:rPr>
          <w:rFonts w:ascii="Century Gothic" w:eastAsia="Calibri" w:hAnsi="Century Gothic" w:cs="Arial"/>
          <w:b/>
          <w:sz w:val="24"/>
          <w:szCs w:val="24"/>
        </w:rPr>
        <w:t xml:space="preserve">Quien acredite ser </w:t>
      </w:r>
      <w:r w:rsidRPr="00B45F9E">
        <w:rPr>
          <w:rFonts w:ascii="Century Gothic" w:hAnsi="Century Gothic" w:cs="Arial"/>
          <w:b/>
          <w:sz w:val="24"/>
          <w:szCs w:val="24"/>
        </w:rPr>
        <w:t>cónyuge supérstite</w:t>
      </w:r>
      <w:r w:rsidRPr="00B45F9E">
        <w:rPr>
          <w:rFonts w:ascii="Century Gothic" w:hAnsi="Century Gothic" w:cs="Arial"/>
          <w:sz w:val="24"/>
          <w:szCs w:val="24"/>
        </w:rPr>
        <w:t xml:space="preserve"> y los hijos menores de 18 años o incapaces. </w:t>
      </w:r>
    </w:p>
    <w:p w14:paraId="509A9094" w14:textId="77777777" w:rsidR="00B45F9E" w:rsidRPr="00B45F9E" w:rsidRDefault="00B45F9E" w:rsidP="00B45F9E">
      <w:pPr>
        <w:spacing w:after="0" w:line="240" w:lineRule="auto"/>
        <w:ind w:left="1134"/>
        <w:contextualSpacing/>
        <w:jc w:val="both"/>
        <w:rPr>
          <w:rFonts w:ascii="Century Gothic" w:hAnsi="Century Gothic" w:cs="Arial"/>
          <w:sz w:val="24"/>
          <w:szCs w:val="24"/>
        </w:rPr>
      </w:pPr>
    </w:p>
    <w:p w14:paraId="0B88F379" w14:textId="7DDEB1ED" w:rsidR="0053436C" w:rsidRPr="00811511" w:rsidRDefault="0053436C" w:rsidP="00182148">
      <w:pPr>
        <w:numPr>
          <w:ilvl w:val="0"/>
          <w:numId w:val="43"/>
        </w:numPr>
        <w:spacing w:after="0" w:line="240" w:lineRule="auto"/>
        <w:ind w:left="1134" w:hanging="567"/>
        <w:contextualSpacing/>
        <w:jc w:val="both"/>
        <w:rPr>
          <w:rFonts w:ascii="Century Gothic" w:hAnsi="Century Gothic" w:cs="Arial"/>
          <w:sz w:val="24"/>
          <w:szCs w:val="24"/>
        </w:rPr>
      </w:pPr>
      <w:r w:rsidRPr="00182148">
        <w:rPr>
          <w:rFonts w:ascii="Century Gothic" w:eastAsia="Calibri" w:hAnsi="Century Gothic" w:cs="Arial"/>
          <w:sz w:val="24"/>
          <w:szCs w:val="24"/>
        </w:rPr>
        <w:t xml:space="preserve">A falta de </w:t>
      </w:r>
      <w:r w:rsidRPr="00811511">
        <w:rPr>
          <w:rFonts w:ascii="Century Gothic" w:eastAsia="Calibri" w:hAnsi="Century Gothic" w:cs="Arial"/>
          <w:b/>
          <w:sz w:val="24"/>
          <w:szCs w:val="24"/>
        </w:rPr>
        <w:t>cónyuge</w:t>
      </w:r>
      <w:r w:rsidRPr="00811511">
        <w:rPr>
          <w:rFonts w:ascii="Century Gothic" w:eastAsia="Calibri" w:hAnsi="Century Gothic" w:cs="Arial"/>
          <w:sz w:val="24"/>
          <w:szCs w:val="24"/>
        </w:rPr>
        <w:t xml:space="preserve">, </w:t>
      </w:r>
      <w:r w:rsidRPr="00811511">
        <w:rPr>
          <w:rFonts w:ascii="Century Gothic" w:eastAsia="Calibri" w:hAnsi="Century Gothic" w:cs="Arial"/>
          <w:b/>
          <w:sz w:val="24"/>
          <w:szCs w:val="24"/>
        </w:rPr>
        <w:t xml:space="preserve">quien acredite una relación de concubinato en los términos de la legislación civil. </w:t>
      </w:r>
    </w:p>
    <w:p w14:paraId="6BB0DA99" w14:textId="77777777" w:rsidR="004918D5" w:rsidRDefault="004918D5" w:rsidP="00AB04D0">
      <w:pPr>
        <w:jc w:val="both"/>
        <w:rPr>
          <w:rFonts w:ascii="Century Gothic" w:hAnsi="Century Gothic" w:cs="Arial"/>
          <w:b/>
          <w:sz w:val="24"/>
          <w:szCs w:val="24"/>
        </w:rPr>
      </w:pPr>
    </w:p>
    <w:p w14:paraId="77BD3D15" w14:textId="77777777" w:rsidR="00D32BC1" w:rsidRPr="006C28F2" w:rsidRDefault="00D32BC1" w:rsidP="00D32BC1">
      <w:pPr>
        <w:jc w:val="both"/>
        <w:rPr>
          <w:rFonts w:ascii="Century Gothic" w:eastAsia="Calibri" w:hAnsi="Century Gothic" w:cs="Arial"/>
          <w:sz w:val="24"/>
          <w:szCs w:val="24"/>
        </w:rPr>
      </w:pPr>
      <w:r w:rsidRPr="006C28F2">
        <w:rPr>
          <w:rFonts w:ascii="Century Gothic" w:eastAsia="Calibri" w:hAnsi="Century Gothic" w:cs="Arial"/>
          <w:b/>
          <w:sz w:val="24"/>
          <w:szCs w:val="24"/>
        </w:rPr>
        <w:t xml:space="preserve">ARTÍCULO 47. </w:t>
      </w:r>
      <w:r w:rsidRPr="006C28F2">
        <w:rPr>
          <w:rFonts w:ascii="Century Gothic" w:eastAsia="Calibri" w:hAnsi="Century Gothic" w:cs="Arial"/>
          <w:sz w:val="24"/>
          <w:szCs w:val="24"/>
        </w:rPr>
        <w:t>El derecho a recibir la pensión por viudez y orfandad se pierde:</w:t>
      </w:r>
    </w:p>
    <w:p w14:paraId="108DE57E" w14:textId="61BA7D23" w:rsidR="00D32BC1" w:rsidRPr="006C28F2" w:rsidRDefault="00D32BC1" w:rsidP="00D32BC1">
      <w:pPr>
        <w:numPr>
          <w:ilvl w:val="0"/>
          <w:numId w:val="46"/>
        </w:numPr>
        <w:spacing w:after="0" w:line="240" w:lineRule="auto"/>
        <w:ind w:left="1134" w:hanging="567"/>
        <w:contextualSpacing/>
        <w:jc w:val="both"/>
        <w:rPr>
          <w:rFonts w:ascii="Century Gothic" w:eastAsia="Calibri" w:hAnsi="Century Gothic" w:cs="Arial"/>
          <w:b/>
          <w:sz w:val="24"/>
          <w:szCs w:val="24"/>
        </w:rPr>
      </w:pPr>
      <w:r w:rsidRPr="006C28F2">
        <w:rPr>
          <w:rFonts w:ascii="Century Gothic" w:eastAsia="Calibri" w:hAnsi="Century Gothic" w:cs="Arial"/>
          <w:sz w:val="24"/>
          <w:szCs w:val="24"/>
        </w:rPr>
        <w:t xml:space="preserve"> …………………….</w:t>
      </w:r>
    </w:p>
    <w:p w14:paraId="2EA9D683" w14:textId="77777777" w:rsidR="00D32BC1" w:rsidRPr="006C28F2" w:rsidRDefault="00D32BC1" w:rsidP="00D32BC1">
      <w:pPr>
        <w:ind w:left="1134" w:hanging="567"/>
        <w:contextualSpacing/>
        <w:jc w:val="both"/>
        <w:rPr>
          <w:rFonts w:ascii="Century Gothic" w:eastAsia="Calibri" w:hAnsi="Century Gothic" w:cs="Arial"/>
          <w:b/>
          <w:sz w:val="24"/>
          <w:szCs w:val="24"/>
        </w:rPr>
      </w:pPr>
    </w:p>
    <w:p w14:paraId="44971ADC" w14:textId="36871580" w:rsidR="00D32BC1" w:rsidRPr="006C28F2" w:rsidRDefault="00D32BC1" w:rsidP="00D32BC1">
      <w:pPr>
        <w:numPr>
          <w:ilvl w:val="0"/>
          <w:numId w:val="46"/>
        </w:numPr>
        <w:spacing w:after="0" w:line="240" w:lineRule="auto"/>
        <w:ind w:left="1134" w:hanging="567"/>
        <w:contextualSpacing/>
        <w:jc w:val="both"/>
        <w:rPr>
          <w:rFonts w:ascii="Century Gothic" w:eastAsia="Calibri" w:hAnsi="Century Gothic" w:cs="Arial"/>
          <w:b/>
          <w:sz w:val="24"/>
          <w:szCs w:val="24"/>
        </w:rPr>
      </w:pPr>
      <w:r w:rsidRPr="006C28F2">
        <w:rPr>
          <w:rFonts w:ascii="Century Gothic" w:eastAsia="Calibri" w:hAnsi="Century Gothic" w:cs="Arial"/>
          <w:b/>
          <w:sz w:val="24"/>
          <w:szCs w:val="24"/>
        </w:rPr>
        <w:t>Quien sea</w:t>
      </w:r>
      <w:r w:rsidRPr="006C28F2">
        <w:rPr>
          <w:rFonts w:ascii="Century Gothic" w:eastAsia="Calibri" w:hAnsi="Century Gothic" w:cs="Arial"/>
          <w:sz w:val="24"/>
          <w:szCs w:val="24"/>
        </w:rPr>
        <w:t xml:space="preserve"> cónyuge supérstite o </w:t>
      </w:r>
      <w:r w:rsidRPr="006C28F2">
        <w:rPr>
          <w:rFonts w:ascii="Century Gothic" w:eastAsia="Calibri" w:hAnsi="Century Gothic" w:cs="Arial"/>
          <w:b/>
          <w:sz w:val="24"/>
          <w:szCs w:val="24"/>
        </w:rPr>
        <w:t>tenga una relación de concubinato</w:t>
      </w:r>
      <w:r w:rsidRPr="006C28F2">
        <w:rPr>
          <w:rFonts w:ascii="Century Gothic" w:eastAsia="Calibri" w:hAnsi="Century Gothic" w:cs="Arial"/>
          <w:sz w:val="24"/>
          <w:szCs w:val="24"/>
        </w:rPr>
        <w:t xml:space="preserve"> en su caso, contraiga matrimonio, viva en concubinato o por cualquier causa esté en posibilidad de proveer a su subsistencia.</w:t>
      </w:r>
    </w:p>
    <w:p w14:paraId="73EE3765" w14:textId="77777777" w:rsidR="00D32BC1" w:rsidRPr="006C28F2" w:rsidRDefault="00D32BC1" w:rsidP="00D32BC1">
      <w:pPr>
        <w:ind w:left="1134" w:hanging="567"/>
        <w:contextualSpacing/>
        <w:jc w:val="both"/>
        <w:rPr>
          <w:rFonts w:ascii="Century Gothic" w:eastAsia="Calibri" w:hAnsi="Century Gothic" w:cs="Arial"/>
          <w:b/>
          <w:sz w:val="24"/>
          <w:szCs w:val="24"/>
        </w:rPr>
      </w:pPr>
    </w:p>
    <w:p w14:paraId="14D016DA" w14:textId="07A0BB3D" w:rsidR="00D32BC1" w:rsidRPr="006C28F2" w:rsidRDefault="00044798" w:rsidP="00D32BC1">
      <w:pPr>
        <w:numPr>
          <w:ilvl w:val="0"/>
          <w:numId w:val="46"/>
        </w:numPr>
        <w:spacing w:after="0" w:line="240" w:lineRule="auto"/>
        <w:ind w:left="1134" w:hanging="567"/>
        <w:contextualSpacing/>
        <w:jc w:val="both"/>
        <w:rPr>
          <w:rFonts w:ascii="Century Gothic" w:eastAsia="Calibri" w:hAnsi="Century Gothic" w:cs="Arial"/>
          <w:b/>
          <w:sz w:val="24"/>
          <w:szCs w:val="24"/>
        </w:rPr>
      </w:pPr>
      <w:r>
        <w:rPr>
          <w:rFonts w:ascii="Century Gothic" w:eastAsia="Calibri" w:hAnsi="Century Gothic" w:cs="Arial"/>
          <w:sz w:val="24"/>
          <w:szCs w:val="24"/>
        </w:rPr>
        <w:t>………………</w:t>
      </w:r>
    </w:p>
    <w:p w14:paraId="67F3A4E6" w14:textId="77777777" w:rsidR="004918D5" w:rsidRPr="006C28F2" w:rsidRDefault="004918D5" w:rsidP="00AB04D0">
      <w:pPr>
        <w:jc w:val="both"/>
        <w:rPr>
          <w:rFonts w:ascii="Century Gothic" w:hAnsi="Century Gothic" w:cs="Arial"/>
          <w:b/>
          <w:sz w:val="24"/>
          <w:szCs w:val="24"/>
        </w:rPr>
      </w:pPr>
    </w:p>
    <w:p w14:paraId="6F5C806D" w14:textId="621A53E5" w:rsidR="00476706" w:rsidRPr="008078BE" w:rsidRDefault="00476706" w:rsidP="00476706">
      <w:pPr>
        <w:jc w:val="both"/>
        <w:rPr>
          <w:rFonts w:ascii="Century Gothic" w:eastAsia="Calibri" w:hAnsi="Century Gothic" w:cs="Arial"/>
          <w:sz w:val="24"/>
          <w:szCs w:val="24"/>
        </w:rPr>
      </w:pPr>
      <w:r w:rsidRPr="008078BE">
        <w:rPr>
          <w:rFonts w:ascii="Century Gothic" w:eastAsia="Calibri" w:hAnsi="Century Gothic" w:cs="Arial"/>
          <w:b/>
          <w:sz w:val="24"/>
          <w:szCs w:val="24"/>
        </w:rPr>
        <w:t>ARTÍCULO 67.</w:t>
      </w:r>
      <w:r w:rsidRPr="008078BE">
        <w:rPr>
          <w:rFonts w:ascii="Century Gothic" w:eastAsia="Calibri" w:hAnsi="Century Gothic" w:cs="Arial"/>
          <w:sz w:val="24"/>
          <w:szCs w:val="24"/>
        </w:rPr>
        <w:t xml:space="preserve"> </w:t>
      </w:r>
      <w:r w:rsidRPr="008078BE">
        <w:rPr>
          <w:rFonts w:ascii="Century Gothic" w:eastAsia="Calibri" w:hAnsi="Century Gothic" w:cs="Arial"/>
          <w:b/>
          <w:sz w:val="24"/>
          <w:szCs w:val="24"/>
        </w:rPr>
        <w:t>Todo derechohabiente, cónyuge,</w:t>
      </w:r>
      <w:r w:rsidRPr="008078BE">
        <w:rPr>
          <w:rFonts w:ascii="Century Gothic" w:eastAsia="Calibri" w:hAnsi="Century Gothic" w:cs="Arial"/>
          <w:sz w:val="24"/>
          <w:szCs w:val="24"/>
        </w:rPr>
        <w:t xml:space="preserve"> o en su caso, quien </w:t>
      </w:r>
      <w:r w:rsidRPr="008078BE">
        <w:rPr>
          <w:rFonts w:ascii="Century Gothic" w:eastAsia="Calibri" w:hAnsi="Century Gothic" w:cs="Arial"/>
          <w:b/>
          <w:sz w:val="24"/>
          <w:szCs w:val="24"/>
        </w:rPr>
        <w:t>tenga una relación de concubinato</w:t>
      </w:r>
      <w:r w:rsidRPr="008078BE">
        <w:rPr>
          <w:rFonts w:ascii="Century Gothic" w:eastAsia="Calibri" w:hAnsi="Century Gothic" w:cs="Arial"/>
          <w:sz w:val="24"/>
          <w:szCs w:val="24"/>
        </w:rPr>
        <w:t xml:space="preserve"> con el trabajador, pensionado o jubilado, tendrán derecho a las siguientes prestaciones:</w:t>
      </w:r>
    </w:p>
    <w:p w14:paraId="071F476B" w14:textId="649C283F" w:rsidR="00476706" w:rsidRDefault="00044798" w:rsidP="00476706">
      <w:pPr>
        <w:numPr>
          <w:ilvl w:val="0"/>
          <w:numId w:val="47"/>
        </w:numPr>
        <w:spacing w:after="0" w:line="240" w:lineRule="auto"/>
        <w:ind w:left="1134" w:hanging="567"/>
        <w:contextualSpacing/>
        <w:jc w:val="both"/>
        <w:rPr>
          <w:rFonts w:ascii="Century Gothic" w:eastAsia="Calibri" w:hAnsi="Century Gothic" w:cs="Arial"/>
          <w:sz w:val="24"/>
          <w:szCs w:val="24"/>
        </w:rPr>
      </w:pPr>
      <w:r>
        <w:rPr>
          <w:rFonts w:ascii="Century Gothic" w:eastAsia="Calibri" w:hAnsi="Century Gothic" w:cs="Arial"/>
          <w:sz w:val="24"/>
          <w:szCs w:val="24"/>
        </w:rPr>
        <w:t>……………….</w:t>
      </w:r>
    </w:p>
    <w:p w14:paraId="5E806264" w14:textId="77777777" w:rsidR="005644D1" w:rsidRPr="008078BE" w:rsidRDefault="005644D1" w:rsidP="005644D1">
      <w:pPr>
        <w:spacing w:after="0" w:line="240" w:lineRule="auto"/>
        <w:ind w:left="1134"/>
        <w:contextualSpacing/>
        <w:jc w:val="both"/>
        <w:rPr>
          <w:rFonts w:ascii="Century Gothic" w:eastAsia="Calibri" w:hAnsi="Century Gothic" w:cs="Arial"/>
          <w:sz w:val="24"/>
          <w:szCs w:val="24"/>
        </w:rPr>
      </w:pPr>
    </w:p>
    <w:p w14:paraId="4DE43FD3" w14:textId="6EDBFE9C" w:rsidR="00476706" w:rsidRDefault="00044798" w:rsidP="00A96975">
      <w:pPr>
        <w:numPr>
          <w:ilvl w:val="0"/>
          <w:numId w:val="47"/>
        </w:numPr>
        <w:spacing w:after="0" w:line="240" w:lineRule="auto"/>
        <w:ind w:left="1134" w:hanging="567"/>
        <w:contextualSpacing/>
        <w:jc w:val="both"/>
        <w:rPr>
          <w:rFonts w:ascii="Century Gothic" w:eastAsia="Calibri" w:hAnsi="Century Gothic" w:cs="Arial"/>
          <w:sz w:val="24"/>
          <w:szCs w:val="24"/>
        </w:rPr>
      </w:pPr>
      <w:r w:rsidRPr="00044798">
        <w:rPr>
          <w:rFonts w:ascii="Century Gothic" w:eastAsia="Calibri" w:hAnsi="Century Gothic" w:cs="Arial"/>
          <w:sz w:val="24"/>
          <w:szCs w:val="24"/>
        </w:rPr>
        <w:t>………………</w:t>
      </w:r>
    </w:p>
    <w:p w14:paraId="08C392B9" w14:textId="39CFEA3B" w:rsidR="00044798" w:rsidRDefault="00044798" w:rsidP="0028158F">
      <w:pPr>
        <w:spacing w:after="0" w:line="240" w:lineRule="auto"/>
        <w:contextualSpacing/>
        <w:jc w:val="both"/>
        <w:rPr>
          <w:rFonts w:ascii="Century Gothic" w:eastAsia="Calibri" w:hAnsi="Century Gothic" w:cs="Arial"/>
          <w:sz w:val="24"/>
          <w:szCs w:val="24"/>
        </w:rPr>
      </w:pPr>
    </w:p>
    <w:p w14:paraId="56352A77" w14:textId="77777777" w:rsidR="00044798" w:rsidRPr="00044798" w:rsidRDefault="00044798" w:rsidP="00044798">
      <w:pPr>
        <w:spacing w:after="0" w:line="240" w:lineRule="auto"/>
        <w:contextualSpacing/>
        <w:jc w:val="both"/>
        <w:rPr>
          <w:rFonts w:ascii="Century Gothic" w:eastAsia="Calibri" w:hAnsi="Century Gothic" w:cs="Arial"/>
          <w:sz w:val="24"/>
          <w:szCs w:val="24"/>
        </w:rPr>
      </w:pPr>
    </w:p>
    <w:p w14:paraId="48714D8E" w14:textId="74E03658" w:rsidR="00476706" w:rsidRPr="008078BE" w:rsidRDefault="00476706" w:rsidP="00476706">
      <w:pPr>
        <w:widowControl w:val="0"/>
        <w:autoSpaceDE w:val="0"/>
        <w:autoSpaceDN w:val="0"/>
        <w:adjustRightInd w:val="0"/>
        <w:jc w:val="both"/>
        <w:rPr>
          <w:rFonts w:ascii="Century Gothic" w:eastAsia="Calibri" w:hAnsi="Century Gothic" w:cs="Arial"/>
          <w:sz w:val="24"/>
          <w:szCs w:val="24"/>
        </w:rPr>
      </w:pPr>
      <w:r w:rsidRPr="008078BE">
        <w:rPr>
          <w:rFonts w:ascii="Century Gothic" w:eastAsia="Calibri" w:hAnsi="Century Gothic" w:cs="Arial"/>
          <w:sz w:val="24"/>
          <w:szCs w:val="24"/>
        </w:rPr>
        <w:t xml:space="preserve">Si el trabajador, pensionado o jubilado </w:t>
      </w:r>
      <w:r w:rsidRPr="008078BE">
        <w:rPr>
          <w:rFonts w:ascii="Century Gothic" w:eastAsia="Calibri" w:hAnsi="Century Gothic" w:cs="Arial"/>
          <w:b/>
          <w:sz w:val="24"/>
          <w:szCs w:val="24"/>
        </w:rPr>
        <w:t>tiene varias relaciones de concubinato</w:t>
      </w:r>
      <w:r w:rsidRPr="008078BE">
        <w:rPr>
          <w:rFonts w:ascii="Century Gothic" w:eastAsia="Calibri" w:hAnsi="Century Gothic" w:cs="Arial"/>
          <w:sz w:val="24"/>
          <w:szCs w:val="24"/>
        </w:rPr>
        <w:t xml:space="preserve">, </w:t>
      </w:r>
      <w:r w:rsidRPr="008078BE">
        <w:rPr>
          <w:rFonts w:ascii="Century Gothic" w:eastAsia="Calibri" w:hAnsi="Century Gothic" w:cs="Arial"/>
          <w:b/>
          <w:sz w:val="24"/>
          <w:szCs w:val="24"/>
        </w:rPr>
        <w:t>en este caso nadie</w:t>
      </w:r>
      <w:r w:rsidRPr="008078BE">
        <w:rPr>
          <w:rFonts w:ascii="Century Gothic" w:eastAsia="Calibri" w:hAnsi="Century Gothic" w:cs="Arial"/>
          <w:sz w:val="24"/>
          <w:szCs w:val="24"/>
        </w:rPr>
        <w:t xml:space="preserve"> tendrá derecho a las mencionadas prestaciones. </w:t>
      </w:r>
    </w:p>
    <w:p w14:paraId="013A7925" w14:textId="78AC98B2" w:rsidR="00476706" w:rsidRPr="008078BE" w:rsidRDefault="00476706" w:rsidP="00476706">
      <w:pPr>
        <w:widowControl w:val="0"/>
        <w:autoSpaceDE w:val="0"/>
        <w:autoSpaceDN w:val="0"/>
        <w:adjustRightInd w:val="0"/>
        <w:jc w:val="both"/>
        <w:rPr>
          <w:rFonts w:ascii="Century Gothic" w:eastAsia="Calibri" w:hAnsi="Century Gothic" w:cs="Arial"/>
          <w:sz w:val="24"/>
          <w:szCs w:val="24"/>
        </w:rPr>
      </w:pPr>
      <w:r w:rsidRPr="008078BE">
        <w:rPr>
          <w:rFonts w:ascii="Century Gothic" w:hAnsi="Century Gothic" w:cs="Arial"/>
          <w:sz w:val="24"/>
          <w:szCs w:val="24"/>
        </w:rPr>
        <w:t xml:space="preserve">También tendrán derecho a las prestaciones descritas en las fracciones I y II del presente artículo, </w:t>
      </w:r>
      <w:r w:rsidR="00AC659B" w:rsidRPr="008078BE">
        <w:rPr>
          <w:rFonts w:ascii="Century Gothic" w:hAnsi="Century Gothic" w:cs="Arial"/>
          <w:b/>
          <w:sz w:val="24"/>
          <w:szCs w:val="24"/>
        </w:rPr>
        <w:t>los descendientes directos</w:t>
      </w:r>
      <w:r w:rsidRPr="008078BE">
        <w:rPr>
          <w:rFonts w:ascii="Century Gothic" w:hAnsi="Century Gothic" w:cs="Arial"/>
          <w:sz w:val="24"/>
          <w:szCs w:val="24"/>
        </w:rPr>
        <w:t xml:space="preserve"> del trabajador, pensionado o </w:t>
      </w:r>
      <w:r w:rsidR="00AC659B" w:rsidRPr="008078BE">
        <w:rPr>
          <w:rFonts w:ascii="Century Gothic" w:hAnsi="Century Gothic" w:cs="Arial"/>
          <w:sz w:val="24"/>
          <w:szCs w:val="24"/>
        </w:rPr>
        <w:t>jubilado que</w:t>
      </w:r>
      <w:r w:rsidRPr="008078BE">
        <w:rPr>
          <w:rFonts w:ascii="Century Gothic" w:hAnsi="Century Gothic" w:cs="Arial"/>
          <w:sz w:val="24"/>
          <w:szCs w:val="24"/>
        </w:rPr>
        <w:t xml:space="preserve"> tengan edad de hasta 18 años, que d</w:t>
      </w:r>
      <w:r w:rsidRPr="008078BE">
        <w:rPr>
          <w:rFonts w:ascii="Century Gothic" w:eastAsia="Calibri" w:hAnsi="Century Gothic" w:cs="Arial"/>
          <w:sz w:val="24"/>
          <w:szCs w:val="24"/>
        </w:rPr>
        <w:t xml:space="preserve">ependan económicamente del derechohabiente, vivan en el hogar de este y </w:t>
      </w:r>
      <w:r w:rsidRPr="008078BE">
        <w:rPr>
          <w:rFonts w:ascii="Century Gothic" w:eastAsia="Calibri" w:hAnsi="Century Gothic" w:cs="Arial"/>
          <w:b/>
          <w:sz w:val="24"/>
          <w:szCs w:val="24"/>
        </w:rPr>
        <w:t xml:space="preserve">se encuentren </w:t>
      </w:r>
      <w:r w:rsidR="00AC659B" w:rsidRPr="008078BE">
        <w:rPr>
          <w:rFonts w:ascii="Century Gothic" w:eastAsia="Calibri" w:hAnsi="Century Gothic" w:cs="Arial"/>
          <w:b/>
          <w:sz w:val="24"/>
          <w:szCs w:val="24"/>
        </w:rPr>
        <w:t>en soltería.</w:t>
      </w:r>
    </w:p>
    <w:p w14:paraId="045662D7" w14:textId="77777777" w:rsidR="00B115D9" w:rsidRDefault="00B115D9" w:rsidP="00AB04D0">
      <w:pPr>
        <w:jc w:val="both"/>
        <w:rPr>
          <w:rFonts w:ascii="Century Gothic" w:hAnsi="Century Gothic" w:cs="Arial"/>
          <w:b/>
          <w:sz w:val="24"/>
          <w:szCs w:val="24"/>
        </w:rPr>
      </w:pPr>
    </w:p>
    <w:p w14:paraId="17E456A9" w14:textId="3BE6123C" w:rsidR="00AB04D0" w:rsidRPr="00340E51" w:rsidRDefault="00B115D9" w:rsidP="00AB04D0">
      <w:pPr>
        <w:jc w:val="both"/>
        <w:rPr>
          <w:rFonts w:ascii="Century Gothic" w:hAnsi="Century Gothic" w:cs="Arial"/>
          <w:sz w:val="24"/>
          <w:szCs w:val="24"/>
        </w:rPr>
      </w:pPr>
      <w:r>
        <w:rPr>
          <w:rFonts w:ascii="Century Gothic" w:hAnsi="Century Gothic" w:cs="Arial"/>
          <w:b/>
          <w:sz w:val="24"/>
          <w:szCs w:val="24"/>
        </w:rPr>
        <w:t>A</w:t>
      </w:r>
      <w:r w:rsidR="00AB04D0" w:rsidRPr="00340E51">
        <w:rPr>
          <w:rFonts w:ascii="Century Gothic" w:hAnsi="Century Gothic" w:cs="Arial"/>
          <w:b/>
          <w:sz w:val="24"/>
          <w:szCs w:val="24"/>
        </w:rPr>
        <w:t>RTÍCULO 69.</w:t>
      </w:r>
      <w:r w:rsidR="00AB04D0" w:rsidRPr="00340E51">
        <w:rPr>
          <w:rFonts w:ascii="Century Gothic" w:hAnsi="Century Gothic" w:cs="Arial"/>
          <w:sz w:val="24"/>
          <w:szCs w:val="24"/>
        </w:rPr>
        <w:t xml:space="preserve"> Son beneficiarios de los derechohabientes para efectos de la prestación de los servicios médicos:</w:t>
      </w:r>
    </w:p>
    <w:p w14:paraId="69B13E47" w14:textId="43D40821" w:rsidR="00AB04D0" w:rsidRPr="00581544" w:rsidRDefault="00AB04D0" w:rsidP="007A77CA">
      <w:pPr>
        <w:numPr>
          <w:ilvl w:val="0"/>
          <w:numId w:val="44"/>
        </w:numPr>
        <w:spacing w:after="0" w:line="240" w:lineRule="auto"/>
        <w:ind w:left="1134" w:hanging="567"/>
        <w:contextualSpacing/>
        <w:jc w:val="both"/>
        <w:rPr>
          <w:rFonts w:ascii="Century Gothic" w:eastAsia="Calibri" w:hAnsi="Century Gothic" w:cs="Arial"/>
          <w:sz w:val="24"/>
          <w:szCs w:val="24"/>
        </w:rPr>
      </w:pPr>
      <w:r w:rsidRPr="00044798">
        <w:rPr>
          <w:rFonts w:ascii="Century Gothic" w:eastAsia="Calibri" w:hAnsi="Century Gothic" w:cs="Arial"/>
          <w:b/>
          <w:sz w:val="24"/>
          <w:szCs w:val="24"/>
        </w:rPr>
        <w:t>Quien acr</w:t>
      </w:r>
      <w:r w:rsidR="00EB34C5" w:rsidRPr="00044798">
        <w:rPr>
          <w:rFonts w:ascii="Century Gothic" w:eastAsia="Calibri" w:hAnsi="Century Gothic" w:cs="Arial"/>
          <w:b/>
          <w:sz w:val="24"/>
          <w:szCs w:val="24"/>
        </w:rPr>
        <w:t>e</w:t>
      </w:r>
      <w:r w:rsidRPr="00044798">
        <w:rPr>
          <w:rFonts w:ascii="Century Gothic" w:eastAsia="Calibri" w:hAnsi="Century Gothic" w:cs="Arial"/>
          <w:b/>
          <w:sz w:val="24"/>
          <w:szCs w:val="24"/>
        </w:rPr>
        <w:t>dite ser cónyuge</w:t>
      </w:r>
      <w:r w:rsidR="00581544" w:rsidRPr="00044798">
        <w:rPr>
          <w:rFonts w:ascii="Century Gothic" w:eastAsia="Calibri" w:hAnsi="Century Gothic" w:cs="Arial"/>
          <w:b/>
          <w:sz w:val="24"/>
          <w:szCs w:val="24"/>
        </w:rPr>
        <w:t xml:space="preserve">. </w:t>
      </w:r>
      <w:r w:rsidRPr="00044798">
        <w:rPr>
          <w:rFonts w:ascii="Century Gothic" w:eastAsia="Calibri" w:hAnsi="Century Gothic" w:cs="Arial"/>
          <w:sz w:val="24"/>
          <w:szCs w:val="24"/>
        </w:rPr>
        <w:t xml:space="preserve">A falta de cónyuge </w:t>
      </w:r>
      <w:r w:rsidRPr="00044798">
        <w:rPr>
          <w:rFonts w:ascii="Century Gothic" w:eastAsia="Calibri" w:hAnsi="Century Gothic" w:cs="Arial"/>
          <w:b/>
          <w:sz w:val="24"/>
          <w:szCs w:val="24"/>
        </w:rPr>
        <w:t xml:space="preserve">quien acredite una relación de concubinato en los términos de la legislación civil. </w:t>
      </w:r>
      <w:r w:rsidRPr="00044798">
        <w:rPr>
          <w:rFonts w:ascii="Century Gothic" w:eastAsia="Calibri" w:hAnsi="Century Gothic" w:cs="Arial"/>
          <w:b/>
          <w:sz w:val="24"/>
          <w:szCs w:val="24"/>
          <w:lang w:val="es-ES"/>
        </w:rPr>
        <w:t>Si el trabajador o trabaja</w:t>
      </w:r>
      <w:r w:rsidR="00F73C8D" w:rsidRPr="00044798">
        <w:rPr>
          <w:rFonts w:ascii="Century Gothic" w:eastAsia="Calibri" w:hAnsi="Century Gothic" w:cs="Arial"/>
          <w:b/>
          <w:sz w:val="24"/>
          <w:szCs w:val="24"/>
          <w:lang w:val="es-ES"/>
        </w:rPr>
        <w:t>d</w:t>
      </w:r>
      <w:r w:rsidRPr="00044798">
        <w:rPr>
          <w:rFonts w:ascii="Century Gothic" w:eastAsia="Calibri" w:hAnsi="Century Gothic" w:cs="Arial"/>
          <w:b/>
          <w:sz w:val="24"/>
          <w:szCs w:val="24"/>
          <w:lang w:val="es-ES"/>
        </w:rPr>
        <w:t>ora tiene relaciones de concubinato con</w:t>
      </w:r>
      <w:r w:rsidRPr="00581544">
        <w:rPr>
          <w:rFonts w:ascii="Century Gothic" w:eastAsia="Calibri" w:hAnsi="Century Gothic" w:cs="Arial"/>
          <w:b/>
          <w:sz w:val="24"/>
          <w:szCs w:val="24"/>
          <w:lang w:val="es-ES"/>
        </w:rPr>
        <w:t xml:space="preserve"> varias personas, ninguna de ellas tendrá derecho al servicio</w:t>
      </w:r>
      <w:r w:rsidRPr="00581544">
        <w:rPr>
          <w:rFonts w:ascii="Century Gothic" w:eastAsia="Calibri" w:hAnsi="Century Gothic" w:cs="Arial"/>
          <w:sz w:val="24"/>
          <w:szCs w:val="24"/>
          <w:lang w:val="es-ES"/>
        </w:rPr>
        <w:t>.</w:t>
      </w:r>
    </w:p>
    <w:p w14:paraId="4FAF237A" w14:textId="77777777" w:rsidR="00AB04D0" w:rsidRPr="00340E51" w:rsidRDefault="00AB04D0" w:rsidP="00AB04D0">
      <w:pPr>
        <w:ind w:left="1134" w:hanging="567"/>
        <w:contextualSpacing/>
        <w:jc w:val="both"/>
        <w:rPr>
          <w:rFonts w:ascii="Century Gothic" w:hAnsi="Century Gothic" w:cs="Arial"/>
          <w:sz w:val="24"/>
          <w:szCs w:val="24"/>
        </w:rPr>
      </w:pPr>
    </w:p>
    <w:p w14:paraId="0EB0CC9B" w14:textId="2075247C" w:rsidR="00AB04D0" w:rsidRPr="00340E51" w:rsidRDefault="00AB04D0" w:rsidP="00B9351E">
      <w:pPr>
        <w:widowControl w:val="0"/>
        <w:autoSpaceDE w:val="0"/>
        <w:autoSpaceDN w:val="0"/>
        <w:adjustRightInd w:val="0"/>
        <w:ind w:left="1134" w:hanging="567"/>
        <w:jc w:val="both"/>
        <w:rPr>
          <w:rFonts w:ascii="Century Gothic" w:hAnsi="Century Gothic" w:cs="Arial"/>
          <w:sz w:val="24"/>
          <w:szCs w:val="24"/>
          <w:lang w:val="es-ES"/>
        </w:rPr>
      </w:pPr>
      <w:r w:rsidRPr="00340E51">
        <w:rPr>
          <w:rFonts w:ascii="Century Gothic" w:hAnsi="Century Gothic" w:cs="Arial"/>
          <w:sz w:val="24"/>
          <w:szCs w:val="24"/>
          <w:lang w:val="es-ES"/>
        </w:rPr>
        <w:t xml:space="preserve"> </w:t>
      </w:r>
      <w:r w:rsidRPr="00340E51">
        <w:rPr>
          <w:rFonts w:ascii="Century Gothic" w:hAnsi="Century Gothic" w:cs="Arial"/>
          <w:sz w:val="24"/>
          <w:szCs w:val="24"/>
          <w:lang w:val="es-ES"/>
        </w:rPr>
        <w:tab/>
      </w:r>
      <w:r w:rsidRPr="00B77354">
        <w:rPr>
          <w:rFonts w:ascii="Century Gothic" w:hAnsi="Century Gothic" w:cs="Arial"/>
          <w:b/>
          <w:sz w:val="24"/>
          <w:szCs w:val="24"/>
          <w:lang w:val="es-ES"/>
        </w:rPr>
        <w:t xml:space="preserve">En el caso de </w:t>
      </w:r>
      <w:r w:rsidRPr="00B77354">
        <w:rPr>
          <w:rFonts w:ascii="Century Gothic" w:eastAsia="Calibri" w:hAnsi="Century Gothic" w:cs="Arial"/>
          <w:b/>
          <w:sz w:val="24"/>
          <w:szCs w:val="24"/>
          <w:lang w:val="es-ES"/>
        </w:rPr>
        <w:t>relaciones de concubinato</w:t>
      </w:r>
      <w:r w:rsidRPr="00B77354">
        <w:rPr>
          <w:rFonts w:ascii="Century Gothic" w:hAnsi="Century Gothic" w:cs="Arial"/>
          <w:sz w:val="24"/>
          <w:szCs w:val="24"/>
          <w:lang w:val="es-ES"/>
        </w:rPr>
        <w:t xml:space="preserve"> es necesario que se haya hecho vida marital durante los cinco años anteriores a la enfermedad, o con el que haya procreado hijos, siempre que ambos permanezcan libres de matrimonio. Si la trabajadora </w:t>
      </w:r>
      <w:r w:rsidRPr="00B77354">
        <w:rPr>
          <w:rFonts w:ascii="Century Gothic" w:eastAsia="Calibri" w:hAnsi="Century Gothic" w:cs="Arial"/>
          <w:sz w:val="24"/>
          <w:szCs w:val="24"/>
          <w:lang w:val="es-ES"/>
        </w:rPr>
        <w:t xml:space="preserve">o trabajador </w:t>
      </w:r>
      <w:r w:rsidRPr="00B77354">
        <w:rPr>
          <w:rFonts w:ascii="Century Gothic" w:hAnsi="Century Gothic" w:cs="Arial"/>
          <w:sz w:val="24"/>
          <w:szCs w:val="24"/>
          <w:lang w:val="es-ES"/>
        </w:rPr>
        <w:t>tiene varios concubinarios ninguno de ellos tendrá derecho al servicio.</w:t>
      </w:r>
      <w:r w:rsidRPr="00340E51">
        <w:rPr>
          <w:rFonts w:ascii="Century Gothic" w:hAnsi="Century Gothic" w:cs="Arial"/>
          <w:sz w:val="24"/>
          <w:szCs w:val="24"/>
          <w:lang w:val="es-ES"/>
        </w:rPr>
        <w:t xml:space="preserve"> </w:t>
      </w:r>
    </w:p>
    <w:p w14:paraId="492EBFB5" w14:textId="5298BD30" w:rsidR="00997A8D" w:rsidRPr="00A14C49" w:rsidRDefault="00997A8D" w:rsidP="00997A8D">
      <w:pPr>
        <w:numPr>
          <w:ilvl w:val="0"/>
          <w:numId w:val="44"/>
        </w:numPr>
        <w:spacing w:after="0" w:line="240" w:lineRule="auto"/>
        <w:ind w:left="1134" w:hanging="567"/>
        <w:contextualSpacing/>
        <w:jc w:val="both"/>
        <w:rPr>
          <w:rFonts w:ascii="Century Gothic" w:eastAsia="Calibri" w:hAnsi="Century Gothic" w:cs="Arial"/>
          <w:sz w:val="24"/>
          <w:szCs w:val="24"/>
        </w:rPr>
      </w:pPr>
      <w:r w:rsidRPr="00A14C49">
        <w:rPr>
          <w:rFonts w:ascii="Century Gothic" w:eastAsia="Calibri" w:hAnsi="Century Gothic" w:cs="Arial"/>
          <w:sz w:val="24"/>
          <w:szCs w:val="24"/>
        </w:rPr>
        <w:t>. . . . . . . . . . . . . . . . . .</w:t>
      </w:r>
    </w:p>
    <w:p w14:paraId="217D4D4F" w14:textId="77777777" w:rsidR="00997A8D" w:rsidRPr="00A14C49" w:rsidRDefault="00997A8D" w:rsidP="00997A8D">
      <w:pPr>
        <w:ind w:left="1134" w:hanging="567"/>
        <w:jc w:val="both"/>
        <w:rPr>
          <w:rFonts w:ascii="Century Gothic" w:eastAsia="Calibri" w:hAnsi="Century Gothic" w:cs="Arial"/>
          <w:sz w:val="24"/>
          <w:szCs w:val="24"/>
        </w:rPr>
      </w:pPr>
    </w:p>
    <w:p w14:paraId="5F0B9F46" w14:textId="5A07A817" w:rsidR="00997A8D" w:rsidRPr="00A14C49" w:rsidRDefault="00997A8D" w:rsidP="00997A8D">
      <w:pPr>
        <w:numPr>
          <w:ilvl w:val="0"/>
          <w:numId w:val="44"/>
        </w:numPr>
        <w:spacing w:after="0" w:line="240" w:lineRule="auto"/>
        <w:ind w:left="1134" w:hanging="567"/>
        <w:contextualSpacing/>
        <w:jc w:val="both"/>
        <w:rPr>
          <w:rFonts w:ascii="Century Gothic" w:eastAsia="Calibri" w:hAnsi="Century Gothic" w:cs="Arial"/>
          <w:sz w:val="24"/>
          <w:szCs w:val="24"/>
        </w:rPr>
      </w:pPr>
      <w:r w:rsidRPr="00A14C49">
        <w:rPr>
          <w:rFonts w:ascii="Century Gothic" w:eastAsia="Calibri" w:hAnsi="Century Gothic" w:cs="Arial"/>
          <w:sz w:val="24"/>
          <w:szCs w:val="24"/>
        </w:rPr>
        <w:t xml:space="preserve">Los hijos </w:t>
      </w:r>
      <w:r w:rsidRPr="00A14C49">
        <w:rPr>
          <w:rFonts w:ascii="Century Gothic" w:eastAsia="Calibri" w:hAnsi="Century Gothic" w:cs="Arial"/>
          <w:b/>
          <w:sz w:val="24"/>
          <w:szCs w:val="24"/>
        </w:rPr>
        <w:t>en soltería</w:t>
      </w:r>
      <w:r w:rsidRPr="00A14C49">
        <w:rPr>
          <w:rFonts w:ascii="Century Gothic" w:eastAsia="Calibri" w:hAnsi="Century Gothic" w:cs="Arial"/>
          <w:sz w:val="24"/>
          <w:szCs w:val="24"/>
        </w:rPr>
        <w:t xml:space="preserve"> menores de dieciocho años que no perciban ingresos propios. Los hijos mayores de dieciocho años </w:t>
      </w:r>
      <w:r w:rsidRPr="00A14C49">
        <w:rPr>
          <w:rFonts w:ascii="Century Gothic" w:eastAsia="Calibri" w:hAnsi="Century Gothic" w:cs="Arial"/>
          <w:b/>
          <w:sz w:val="24"/>
          <w:szCs w:val="24"/>
        </w:rPr>
        <w:t>con incapacidad</w:t>
      </w:r>
      <w:r w:rsidRPr="00A14C49">
        <w:rPr>
          <w:rFonts w:ascii="Century Gothic" w:eastAsia="Calibri" w:hAnsi="Century Gothic" w:cs="Arial"/>
          <w:sz w:val="24"/>
          <w:szCs w:val="24"/>
        </w:rPr>
        <w:t xml:space="preserve"> física o mental</w:t>
      </w:r>
      <w:r w:rsidR="00581544">
        <w:rPr>
          <w:rFonts w:ascii="Century Gothic" w:eastAsia="Calibri" w:hAnsi="Century Gothic" w:cs="Arial"/>
          <w:sz w:val="24"/>
          <w:szCs w:val="24"/>
        </w:rPr>
        <w:t>m</w:t>
      </w:r>
      <w:r w:rsidRPr="00A14C49">
        <w:rPr>
          <w:rFonts w:ascii="Century Gothic" w:eastAsia="Calibri" w:hAnsi="Century Gothic" w:cs="Arial"/>
          <w:sz w:val="24"/>
          <w:szCs w:val="24"/>
        </w:rPr>
        <w:t xml:space="preserve">ente, que no puedan trabajar para obtener su subsistencia, lo que se comprobará mediante certificado médico expedido por el Instituto y por los medios legales procedentes. </w:t>
      </w:r>
    </w:p>
    <w:p w14:paraId="6297FE70" w14:textId="77777777" w:rsidR="00F06CEC" w:rsidRPr="00F06CEC" w:rsidRDefault="00F06CEC" w:rsidP="00F06CEC">
      <w:pPr>
        <w:spacing w:after="0" w:line="240" w:lineRule="auto"/>
        <w:ind w:left="1134"/>
        <w:contextualSpacing/>
        <w:jc w:val="both"/>
        <w:rPr>
          <w:rFonts w:ascii="Century Gothic" w:eastAsia="Calibri" w:hAnsi="Century Gothic" w:cs="Arial"/>
          <w:sz w:val="24"/>
          <w:szCs w:val="24"/>
        </w:rPr>
      </w:pPr>
    </w:p>
    <w:p w14:paraId="3E6EE134" w14:textId="4F08AAE1" w:rsidR="00997A8D" w:rsidRDefault="00997A8D" w:rsidP="00997A8D">
      <w:pPr>
        <w:numPr>
          <w:ilvl w:val="0"/>
          <w:numId w:val="44"/>
        </w:numPr>
        <w:spacing w:after="0" w:line="240" w:lineRule="auto"/>
        <w:ind w:left="1134" w:hanging="567"/>
        <w:contextualSpacing/>
        <w:jc w:val="both"/>
        <w:rPr>
          <w:rFonts w:ascii="Century Gothic" w:eastAsia="Calibri" w:hAnsi="Century Gothic" w:cs="Arial"/>
          <w:sz w:val="24"/>
          <w:szCs w:val="24"/>
        </w:rPr>
      </w:pPr>
      <w:r w:rsidRPr="009B6B3D">
        <w:rPr>
          <w:rFonts w:ascii="Century Gothic" w:eastAsia="Calibri" w:hAnsi="Century Gothic" w:cs="Arial"/>
          <w:b/>
          <w:sz w:val="24"/>
          <w:szCs w:val="24"/>
        </w:rPr>
        <w:t xml:space="preserve">Los </w:t>
      </w:r>
      <w:r w:rsidR="009B6B3D" w:rsidRPr="009B6B3D">
        <w:rPr>
          <w:rFonts w:ascii="Century Gothic" w:eastAsia="Calibri" w:hAnsi="Century Gothic" w:cs="Arial"/>
          <w:b/>
          <w:sz w:val="24"/>
          <w:szCs w:val="24"/>
        </w:rPr>
        <w:t>descendientes</w:t>
      </w:r>
      <w:r w:rsidRPr="00A14C49">
        <w:rPr>
          <w:rFonts w:ascii="Century Gothic" w:eastAsia="Calibri" w:hAnsi="Century Gothic" w:cs="Arial"/>
          <w:sz w:val="24"/>
          <w:szCs w:val="24"/>
        </w:rPr>
        <w:t xml:space="preserve"> </w:t>
      </w:r>
      <w:r w:rsidRPr="00A14C49">
        <w:rPr>
          <w:rFonts w:ascii="Century Gothic" w:eastAsia="Calibri" w:hAnsi="Century Gothic" w:cs="Arial"/>
          <w:b/>
          <w:sz w:val="24"/>
          <w:szCs w:val="24"/>
        </w:rPr>
        <w:t>en soltería</w:t>
      </w:r>
      <w:r w:rsidRPr="00A14C49">
        <w:rPr>
          <w:rFonts w:ascii="Century Gothic" w:eastAsia="Calibri" w:hAnsi="Century Gothic" w:cs="Arial"/>
          <w:sz w:val="24"/>
          <w:szCs w:val="24"/>
        </w:rPr>
        <w:t xml:space="preserve"> mayores de dieciocho años hasta la edad de los veinticuatro años, previa comprobación de que están realizando estudios de hasta de nivel medio superior o superior en planteles del sistema educativo nacional, y que no tengan un trabajo.</w:t>
      </w:r>
    </w:p>
    <w:p w14:paraId="1A9051EE" w14:textId="77777777" w:rsidR="00044798" w:rsidRPr="00A14C49" w:rsidRDefault="00044798" w:rsidP="00044798">
      <w:pPr>
        <w:spacing w:after="0" w:line="240" w:lineRule="auto"/>
        <w:contextualSpacing/>
        <w:jc w:val="both"/>
        <w:rPr>
          <w:rFonts w:ascii="Century Gothic" w:eastAsia="Calibri" w:hAnsi="Century Gothic" w:cs="Arial"/>
          <w:sz w:val="24"/>
          <w:szCs w:val="24"/>
        </w:rPr>
      </w:pPr>
    </w:p>
    <w:p w14:paraId="3EC26F84" w14:textId="684504C6" w:rsidR="00997A8D" w:rsidRPr="00A14C49" w:rsidRDefault="00044798" w:rsidP="00997A8D">
      <w:pPr>
        <w:jc w:val="both"/>
        <w:rPr>
          <w:rFonts w:ascii="Century Gothic" w:eastAsia="Calibri" w:hAnsi="Century Gothic" w:cs="Arial"/>
          <w:sz w:val="24"/>
          <w:szCs w:val="24"/>
        </w:rPr>
      </w:pPr>
      <w:r>
        <w:rPr>
          <w:rFonts w:ascii="Century Gothic" w:eastAsia="Calibri" w:hAnsi="Century Gothic" w:cs="Arial"/>
          <w:sz w:val="24"/>
          <w:szCs w:val="24"/>
        </w:rPr>
        <w:t>……..</w:t>
      </w:r>
    </w:p>
    <w:p w14:paraId="1C4DE190" w14:textId="1ECB0300" w:rsidR="00997A8D" w:rsidRDefault="00997A8D" w:rsidP="00997A8D">
      <w:pPr>
        <w:jc w:val="both"/>
        <w:rPr>
          <w:rFonts w:ascii="Century Gothic" w:eastAsia="Calibri" w:hAnsi="Century Gothic" w:cs="Arial"/>
          <w:sz w:val="24"/>
          <w:szCs w:val="24"/>
        </w:rPr>
      </w:pPr>
      <w:r w:rsidRPr="00A14C49">
        <w:rPr>
          <w:rFonts w:ascii="Century Gothic" w:eastAsia="Calibri" w:hAnsi="Century Gothic" w:cs="Arial"/>
          <w:sz w:val="24"/>
          <w:szCs w:val="24"/>
        </w:rPr>
        <w:t xml:space="preserve">Los padres, cónyuge, o </w:t>
      </w:r>
      <w:r w:rsidRPr="00A14C49">
        <w:rPr>
          <w:rFonts w:ascii="Century Gothic" w:eastAsia="Calibri" w:hAnsi="Century Gothic" w:cs="Arial"/>
          <w:b/>
          <w:sz w:val="24"/>
          <w:szCs w:val="24"/>
        </w:rPr>
        <w:t xml:space="preserve">quien acredite una relación de concubinato, </w:t>
      </w:r>
      <w:r w:rsidRPr="00A14C49">
        <w:rPr>
          <w:rFonts w:ascii="Century Gothic" w:eastAsia="Calibri" w:hAnsi="Century Gothic" w:cs="Arial"/>
          <w:sz w:val="24"/>
          <w:szCs w:val="24"/>
        </w:rPr>
        <w:t>no tendrán derecho al servicio médico cuando, en los términos de las disposiciones legales que rigen a otras instituciones de seguridad social, tengan derecho como asegurados o beneficiarios al servicio médico que presten dichas Instituciones.</w:t>
      </w:r>
    </w:p>
    <w:p w14:paraId="6D3ED62A" w14:textId="3F91A3D4" w:rsidR="00044798" w:rsidRPr="00AD35DE" w:rsidRDefault="00044798" w:rsidP="00997A8D">
      <w:pPr>
        <w:jc w:val="both"/>
        <w:rPr>
          <w:rFonts w:ascii="Century Gothic" w:eastAsia="Calibri" w:hAnsi="Century Gothic" w:cs="Arial"/>
          <w:sz w:val="24"/>
          <w:szCs w:val="24"/>
          <w:lang w:val="en-US"/>
        </w:rPr>
      </w:pPr>
      <w:r w:rsidRPr="00AD35DE">
        <w:rPr>
          <w:rFonts w:ascii="Century Gothic" w:eastAsia="Calibri" w:hAnsi="Century Gothic" w:cs="Arial"/>
          <w:sz w:val="24"/>
          <w:szCs w:val="24"/>
          <w:lang w:val="en-US"/>
        </w:rPr>
        <w:t>…….</w:t>
      </w:r>
    </w:p>
    <w:p w14:paraId="02A1E8DD" w14:textId="51EF57FB" w:rsidR="00997A8D" w:rsidRPr="00AD35DE" w:rsidRDefault="00997A8D" w:rsidP="00EB34C5">
      <w:pPr>
        <w:widowControl w:val="0"/>
        <w:autoSpaceDE w:val="0"/>
        <w:autoSpaceDN w:val="0"/>
        <w:adjustRightInd w:val="0"/>
        <w:ind w:left="1134"/>
        <w:jc w:val="center"/>
        <w:rPr>
          <w:rFonts w:ascii="Century Gothic" w:hAnsi="Century Gothic" w:cs="Arial"/>
          <w:b/>
          <w:bCs/>
          <w:sz w:val="24"/>
          <w:szCs w:val="24"/>
          <w:lang w:val="en-US"/>
        </w:rPr>
      </w:pPr>
    </w:p>
    <w:p w14:paraId="2FA603F1" w14:textId="3DFD3415" w:rsidR="00AB04D0" w:rsidRPr="00AD35DE" w:rsidRDefault="00F06CEC" w:rsidP="00F06CEC">
      <w:pPr>
        <w:widowControl w:val="0"/>
        <w:autoSpaceDE w:val="0"/>
        <w:autoSpaceDN w:val="0"/>
        <w:adjustRightInd w:val="0"/>
        <w:ind w:left="1134"/>
        <w:rPr>
          <w:rFonts w:ascii="Century Gothic" w:hAnsi="Century Gothic" w:cs="Arial"/>
          <w:b/>
          <w:bCs/>
          <w:sz w:val="24"/>
          <w:szCs w:val="24"/>
          <w:lang w:val="en-US"/>
        </w:rPr>
      </w:pPr>
      <w:r w:rsidRPr="00AD35DE">
        <w:rPr>
          <w:rFonts w:ascii="Century Gothic" w:hAnsi="Century Gothic" w:cs="Arial"/>
          <w:b/>
          <w:bCs/>
          <w:sz w:val="24"/>
          <w:szCs w:val="24"/>
          <w:lang w:val="en-US"/>
        </w:rPr>
        <w:t xml:space="preserve">                                  </w:t>
      </w:r>
      <w:r w:rsidR="00EB34C5" w:rsidRPr="00AD35DE">
        <w:rPr>
          <w:rFonts w:ascii="Century Gothic" w:hAnsi="Century Gothic" w:cs="Arial"/>
          <w:b/>
          <w:bCs/>
          <w:sz w:val="24"/>
          <w:szCs w:val="24"/>
          <w:lang w:val="en-US"/>
        </w:rPr>
        <w:t>T R A N S I T O R I O S:</w:t>
      </w:r>
    </w:p>
    <w:p w14:paraId="67C40B0E" w14:textId="77777777" w:rsidR="00EB34C5" w:rsidRPr="00AD35DE" w:rsidRDefault="00EB34C5" w:rsidP="00EB34C5">
      <w:pPr>
        <w:widowControl w:val="0"/>
        <w:autoSpaceDE w:val="0"/>
        <w:autoSpaceDN w:val="0"/>
        <w:adjustRightInd w:val="0"/>
        <w:ind w:left="1134"/>
        <w:jc w:val="center"/>
        <w:rPr>
          <w:rFonts w:ascii="Century Gothic" w:hAnsi="Century Gothic" w:cs="Arial"/>
          <w:b/>
          <w:bCs/>
          <w:sz w:val="24"/>
          <w:szCs w:val="24"/>
          <w:lang w:val="en-US"/>
        </w:rPr>
      </w:pPr>
    </w:p>
    <w:p w14:paraId="0FEACF06" w14:textId="43223166" w:rsidR="00EB34C5" w:rsidRDefault="00EB34C5" w:rsidP="00EB34C5">
      <w:pPr>
        <w:widowControl w:val="0"/>
        <w:autoSpaceDE w:val="0"/>
        <w:autoSpaceDN w:val="0"/>
        <w:adjustRightInd w:val="0"/>
        <w:jc w:val="both"/>
        <w:rPr>
          <w:rFonts w:ascii="Century Gothic" w:hAnsi="Century Gothic" w:cs="Arial"/>
          <w:sz w:val="24"/>
          <w:szCs w:val="24"/>
          <w:lang w:val="es-ES"/>
        </w:rPr>
      </w:pPr>
      <w:r>
        <w:rPr>
          <w:rFonts w:ascii="Century Gothic" w:hAnsi="Century Gothic" w:cs="Arial"/>
          <w:b/>
          <w:bCs/>
          <w:sz w:val="24"/>
          <w:szCs w:val="24"/>
          <w:lang w:val="es-ES"/>
        </w:rPr>
        <w:t xml:space="preserve">ARTÍCULO PRIMERO. </w:t>
      </w:r>
      <w:r w:rsidRPr="00EB34C5">
        <w:rPr>
          <w:rFonts w:ascii="Century Gothic" w:hAnsi="Century Gothic" w:cs="Arial"/>
          <w:sz w:val="24"/>
          <w:szCs w:val="24"/>
          <w:lang w:val="es-ES"/>
        </w:rPr>
        <w:t>E</w:t>
      </w:r>
      <w:r>
        <w:rPr>
          <w:rFonts w:ascii="Century Gothic" w:hAnsi="Century Gothic" w:cs="Arial"/>
          <w:sz w:val="24"/>
          <w:szCs w:val="24"/>
          <w:lang w:val="es-ES"/>
        </w:rPr>
        <w:t xml:space="preserve">l presente Decreto entrará en vigor al día siguiente </w:t>
      </w:r>
      <w:r w:rsidR="00602AB7">
        <w:rPr>
          <w:rFonts w:ascii="Century Gothic" w:hAnsi="Century Gothic" w:cs="Arial"/>
          <w:sz w:val="24"/>
          <w:szCs w:val="24"/>
          <w:lang w:val="es-ES"/>
        </w:rPr>
        <w:t>de su publicación en el Periódico Oficial del Estado.</w:t>
      </w:r>
    </w:p>
    <w:p w14:paraId="11CDFF42" w14:textId="26C63B5A" w:rsidR="00602AB7" w:rsidRDefault="00602AB7" w:rsidP="00EB34C5">
      <w:pPr>
        <w:widowControl w:val="0"/>
        <w:autoSpaceDE w:val="0"/>
        <w:autoSpaceDN w:val="0"/>
        <w:adjustRightInd w:val="0"/>
        <w:jc w:val="both"/>
        <w:rPr>
          <w:rFonts w:ascii="Century Gothic" w:hAnsi="Century Gothic" w:cs="Arial"/>
          <w:sz w:val="24"/>
          <w:szCs w:val="24"/>
          <w:lang w:val="es-ES"/>
        </w:rPr>
      </w:pPr>
    </w:p>
    <w:p w14:paraId="1DDFC443" w14:textId="1182BEF5" w:rsidR="00602AB7" w:rsidRPr="00602AB7" w:rsidRDefault="00602AB7" w:rsidP="00EB34C5">
      <w:pPr>
        <w:widowControl w:val="0"/>
        <w:autoSpaceDE w:val="0"/>
        <w:autoSpaceDN w:val="0"/>
        <w:adjustRightInd w:val="0"/>
        <w:jc w:val="both"/>
        <w:rPr>
          <w:rFonts w:ascii="Century Gothic" w:hAnsi="Century Gothic" w:cs="Arial"/>
          <w:sz w:val="24"/>
          <w:szCs w:val="24"/>
          <w:lang w:val="es-ES"/>
        </w:rPr>
      </w:pPr>
      <w:r w:rsidRPr="00602AB7">
        <w:rPr>
          <w:rFonts w:ascii="Century Gothic" w:hAnsi="Century Gothic" w:cs="Arial"/>
          <w:b/>
          <w:bCs/>
          <w:sz w:val="24"/>
          <w:szCs w:val="24"/>
          <w:lang w:val="es-ES"/>
        </w:rPr>
        <w:t xml:space="preserve">ARTÍCULO SEGUNDO. </w:t>
      </w:r>
      <w:r>
        <w:rPr>
          <w:rFonts w:ascii="Century Gothic" w:hAnsi="Century Gothic" w:cs="Arial"/>
          <w:sz w:val="24"/>
          <w:szCs w:val="24"/>
          <w:lang w:val="es-ES"/>
        </w:rPr>
        <w:t>Se derogan todas las disposiciones que contravengan lo dispuesto en el presente Decreto.</w:t>
      </w:r>
    </w:p>
    <w:p w14:paraId="47EB4B47" w14:textId="5FE47C18" w:rsidR="00340E51" w:rsidRDefault="00340E51" w:rsidP="00340E51">
      <w:pPr>
        <w:spacing w:after="0" w:line="360" w:lineRule="auto"/>
        <w:jc w:val="both"/>
        <w:rPr>
          <w:rFonts w:ascii="Century Gothic" w:eastAsia="Century Gothic" w:hAnsi="Century Gothic" w:cs="Century Gothic"/>
          <w:b/>
          <w:sz w:val="24"/>
          <w:szCs w:val="24"/>
          <w:lang w:eastAsia="es-MX"/>
        </w:rPr>
      </w:pPr>
    </w:p>
    <w:p w14:paraId="5B797C4F" w14:textId="22693060" w:rsidR="00602AB7" w:rsidRDefault="00602AB7" w:rsidP="00340E51">
      <w:pPr>
        <w:spacing w:after="0" w:line="360" w:lineRule="auto"/>
        <w:jc w:val="both"/>
        <w:rPr>
          <w:rFonts w:ascii="Century Gothic" w:eastAsia="Century Gothic" w:hAnsi="Century Gothic" w:cs="Century Gothic"/>
          <w:bCs/>
          <w:sz w:val="24"/>
          <w:szCs w:val="24"/>
          <w:lang w:eastAsia="es-MX"/>
        </w:rPr>
      </w:pPr>
      <w:r>
        <w:rPr>
          <w:rFonts w:ascii="Century Gothic" w:eastAsia="Century Gothic" w:hAnsi="Century Gothic" w:cs="Century Gothic"/>
          <w:b/>
          <w:sz w:val="24"/>
          <w:szCs w:val="24"/>
          <w:lang w:eastAsia="es-MX"/>
        </w:rPr>
        <w:t xml:space="preserve">ECONÓMICO. </w:t>
      </w:r>
      <w:r>
        <w:rPr>
          <w:rFonts w:ascii="Century Gothic" w:eastAsia="Century Gothic" w:hAnsi="Century Gothic" w:cs="Century Gothic"/>
          <w:bCs/>
          <w:sz w:val="24"/>
          <w:szCs w:val="24"/>
          <w:lang w:eastAsia="es-MX"/>
        </w:rPr>
        <w:t xml:space="preserve">Aprobado que sea túrnese a la Secretaría de Asuntos Legislativos y Jurídicos para que elabore la Minuta de Decreto en los términos que deba publicarse. </w:t>
      </w:r>
    </w:p>
    <w:p w14:paraId="6B5FB1F3" w14:textId="38719ABB" w:rsidR="00602AB7" w:rsidRDefault="00602AB7" w:rsidP="00340E51">
      <w:pPr>
        <w:spacing w:after="0" w:line="360" w:lineRule="auto"/>
        <w:jc w:val="both"/>
        <w:rPr>
          <w:rFonts w:ascii="Century Gothic" w:eastAsia="Century Gothic" w:hAnsi="Century Gothic" w:cs="Century Gothic"/>
          <w:bCs/>
          <w:sz w:val="24"/>
          <w:szCs w:val="24"/>
          <w:lang w:eastAsia="es-MX"/>
        </w:rPr>
      </w:pPr>
    </w:p>
    <w:p w14:paraId="28B3BD3C" w14:textId="4278B41A" w:rsidR="00340E51" w:rsidRPr="00133160" w:rsidRDefault="00340E51" w:rsidP="00340E51">
      <w:pPr>
        <w:spacing w:after="0" w:line="360" w:lineRule="auto"/>
        <w:jc w:val="both"/>
        <w:rPr>
          <w:rFonts w:ascii="Century Gothic" w:eastAsia="Century Gothic" w:hAnsi="Century Gothic" w:cs="Century Gothic"/>
          <w:sz w:val="24"/>
          <w:szCs w:val="24"/>
          <w:lang w:eastAsia="es-MX"/>
        </w:rPr>
      </w:pPr>
      <w:r w:rsidRPr="00133160">
        <w:rPr>
          <w:rFonts w:ascii="Century Gothic" w:eastAsia="Century Gothic" w:hAnsi="Century Gothic" w:cs="Century Gothic"/>
          <w:b/>
          <w:sz w:val="24"/>
          <w:szCs w:val="24"/>
          <w:lang w:eastAsia="es-MX"/>
        </w:rPr>
        <w:t>D a d o</w:t>
      </w:r>
      <w:r w:rsidRPr="00133160">
        <w:rPr>
          <w:rFonts w:ascii="Century Gothic" w:eastAsia="Century Gothic" w:hAnsi="Century Gothic" w:cs="Century Gothic"/>
          <w:sz w:val="24"/>
          <w:szCs w:val="24"/>
          <w:lang w:eastAsia="es-MX"/>
        </w:rPr>
        <w:t xml:space="preserve"> en la </w:t>
      </w:r>
      <w:r>
        <w:rPr>
          <w:rFonts w:ascii="Century Gothic" w:eastAsia="Century Gothic" w:hAnsi="Century Gothic" w:cs="Century Gothic"/>
          <w:sz w:val="24"/>
          <w:szCs w:val="24"/>
          <w:lang w:eastAsia="es-MX"/>
        </w:rPr>
        <w:t xml:space="preserve">sede del Poder Legislativo, en la </w:t>
      </w:r>
      <w:r w:rsidRPr="00133160">
        <w:rPr>
          <w:rFonts w:ascii="Century Gothic" w:eastAsia="Century Gothic" w:hAnsi="Century Gothic" w:cs="Century Gothic"/>
          <w:sz w:val="24"/>
          <w:szCs w:val="24"/>
          <w:lang w:eastAsia="es-MX"/>
        </w:rPr>
        <w:t xml:space="preserve">ciudad de </w:t>
      </w:r>
      <w:r>
        <w:rPr>
          <w:rFonts w:ascii="Century Gothic" w:eastAsia="Century Gothic" w:hAnsi="Century Gothic" w:cs="Century Gothic"/>
          <w:sz w:val="24"/>
          <w:szCs w:val="24"/>
          <w:lang w:eastAsia="es-MX"/>
        </w:rPr>
        <w:t>C</w:t>
      </w:r>
      <w:r w:rsidRPr="00133160">
        <w:rPr>
          <w:rFonts w:ascii="Century Gothic" w:eastAsia="Century Gothic" w:hAnsi="Century Gothic" w:cs="Century Gothic"/>
          <w:sz w:val="24"/>
          <w:szCs w:val="24"/>
          <w:lang w:eastAsia="es-MX"/>
        </w:rPr>
        <w:t xml:space="preserve">hihuahua, </w:t>
      </w:r>
      <w:r>
        <w:rPr>
          <w:rFonts w:ascii="Century Gothic" w:eastAsia="Century Gothic" w:hAnsi="Century Gothic" w:cs="Century Gothic"/>
          <w:sz w:val="24"/>
          <w:szCs w:val="24"/>
          <w:lang w:eastAsia="es-MX"/>
        </w:rPr>
        <w:t>C</w:t>
      </w:r>
      <w:r w:rsidRPr="00133160">
        <w:rPr>
          <w:rFonts w:ascii="Century Gothic" w:eastAsia="Century Gothic" w:hAnsi="Century Gothic" w:cs="Century Gothic"/>
          <w:sz w:val="24"/>
          <w:szCs w:val="24"/>
          <w:lang w:eastAsia="es-MX"/>
        </w:rPr>
        <w:t>hih., a los</w:t>
      </w:r>
      <w:r>
        <w:rPr>
          <w:rFonts w:ascii="Century Gothic" w:eastAsia="Century Gothic" w:hAnsi="Century Gothic" w:cs="Century Gothic"/>
          <w:sz w:val="24"/>
          <w:szCs w:val="24"/>
          <w:lang w:eastAsia="es-MX"/>
        </w:rPr>
        <w:t xml:space="preserve"> siente d</w:t>
      </w:r>
      <w:r w:rsidRPr="00133160">
        <w:rPr>
          <w:rFonts w:ascii="Century Gothic" w:eastAsia="Century Gothic" w:hAnsi="Century Gothic" w:cs="Century Gothic"/>
          <w:sz w:val="24"/>
          <w:szCs w:val="24"/>
          <w:lang w:eastAsia="es-MX"/>
        </w:rPr>
        <w:t xml:space="preserve">ías del mes de </w:t>
      </w:r>
      <w:r w:rsidR="00602AB7">
        <w:rPr>
          <w:rFonts w:ascii="Century Gothic" w:eastAsia="Century Gothic" w:hAnsi="Century Gothic" w:cs="Century Gothic"/>
          <w:sz w:val="24"/>
          <w:szCs w:val="24"/>
          <w:lang w:eastAsia="es-MX"/>
        </w:rPr>
        <w:t xml:space="preserve">octubre </w:t>
      </w:r>
      <w:r w:rsidRPr="00133160">
        <w:rPr>
          <w:rFonts w:ascii="Century Gothic" w:eastAsia="Century Gothic" w:hAnsi="Century Gothic" w:cs="Century Gothic"/>
          <w:sz w:val="24"/>
          <w:szCs w:val="24"/>
          <w:lang w:eastAsia="es-MX"/>
        </w:rPr>
        <w:t>de</w:t>
      </w:r>
      <w:r>
        <w:rPr>
          <w:rFonts w:ascii="Century Gothic" w:eastAsia="Century Gothic" w:hAnsi="Century Gothic" w:cs="Century Gothic"/>
          <w:sz w:val="24"/>
          <w:szCs w:val="24"/>
          <w:lang w:eastAsia="es-MX"/>
        </w:rPr>
        <w:t xml:space="preserve">l año </w:t>
      </w:r>
      <w:r w:rsidRPr="00133160">
        <w:rPr>
          <w:rFonts w:ascii="Century Gothic" w:eastAsia="Century Gothic" w:hAnsi="Century Gothic" w:cs="Century Gothic"/>
          <w:sz w:val="24"/>
          <w:szCs w:val="24"/>
          <w:lang w:eastAsia="es-MX"/>
        </w:rPr>
        <w:t xml:space="preserve">dos mil veintiuno. </w:t>
      </w:r>
    </w:p>
    <w:p w14:paraId="126F637E" w14:textId="77777777" w:rsidR="00340E51" w:rsidRDefault="00340E51" w:rsidP="00340E51">
      <w:pPr>
        <w:spacing w:after="0" w:line="240" w:lineRule="auto"/>
        <w:jc w:val="center"/>
        <w:rPr>
          <w:rFonts w:ascii="Century Gothic" w:hAnsi="Century Gothic"/>
          <w:noProof/>
          <w:sz w:val="24"/>
          <w:szCs w:val="24"/>
          <w:lang w:eastAsia="es-MX"/>
        </w:rPr>
      </w:pPr>
    </w:p>
    <w:p w14:paraId="56489132" w14:textId="77777777" w:rsidR="00340E51" w:rsidRPr="00177065" w:rsidRDefault="00340E51" w:rsidP="00340E51">
      <w:pPr>
        <w:spacing w:after="0" w:line="240" w:lineRule="auto"/>
        <w:jc w:val="center"/>
        <w:rPr>
          <w:rFonts w:ascii="Century Gothic" w:hAnsi="Century Gothic"/>
          <w:noProof/>
          <w:sz w:val="24"/>
          <w:szCs w:val="24"/>
          <w:lang w:eastAsia="es-MX"/>
        </w:rPr>
      </w:pPr>
    </w:p>
    <w:p w14:paraId="38F6FC63" w14:textId="77777777" w:rsidR="00340E51" w:rsidRPr="00177065" w:rsidRDefault="00340E51" w:rsidP="00340E51">
      <w:pPr>
        <w:jc w:val="center"/>
        <w:rPr>
          <w:rFonts w:ascii="Century Gothic" w:hAnsi="Century Gothic" w:cstheme="minorHAnsi"/>
          <w:b/>
          <w:sz w:val="24"/>
          <w:szCs w:val="24"/>
        </w:rPr>
      </w:pPr>
      <w:r w:rsidRPr="00177065">
        <w:rPr>
          <w:rFonts w:ascii="Century Gothic" w:hAnsi="Century Gothic" w:cstheme="minorHAnsi"/>
          <w:b/>
          <w:sz w:val="24"/>
          <w:szCs w:val="24"/>
        </w:rPr>
        <w:t>A T E N T A M E N T E</w:t>
      </w:r>
    </w:p>
    <w:p w14:paraId="1F741574" w14:textId="7134B38E" w:rsidR="00340E51" w:rsidRPr="00177065" w:rsidRDefault="00340E51" w:rsidP="00E07B6D">
      <w:pPr>
        <w:spacing w:line="240" w:lineRule="auto"/>
        <w:contextualSpacing/>
        <w:jc w:val="center"/>
        <w:rPr>
          <w:rFonts w:ascii="Century Gothic" w:hAnsi="Century Gothic" w:cs="Arial"/>
          <w:b/>
          <w:sz w:val="24"/>
          <w:szCs w:val="24"/>
          <w:shd w:val="clear" w:color="auto" w:fill="FFFFFF"/>
        </w:rPr>
      </w:pPr>
    </w:p>
    <w:p w14:paraId="0003187A" w14:textId="77777777" w:rsidR="00340E51" w:rsidRPr="00177065" w:rsidRDefault="00340E51" w:rsidP="00340E51">
      <w:pPr>
        <w:jc w:val="center"/>
        <w:rPr>
          <w:rFonts w:ascii="Century Gothic" w:eastAsia="Arial Unicode MS" w:hAnsi="Century Gothic" w:cs="Arial"/>
          <w:b/>
          <w:sz w:val="24"/>
          <w:szCs w:val="24"/>
        </w:rPr>
      </w:pPr>
      <w:r w:rsidRPr="00177065">
        <w:rPr>
          <w:rFonts w:ascii="Century Gothic" w:hAnsi="Century Gothic" w:cs="Arial"/>
          <w:b/>
          <w:sz w:val="24"/>
          <w:szCs w:val="24"/>
        </w:rPr>
        <w:t>DIP.</w:t>
      </w:r>
      <w:r w:rsidRPr="00177065">
        <w:rPr>
          <w:rFonts w:ascii="Century Gothic" w:eastAsia="Times New Roman" w:hAnsi="Century Gothic" w:cstheme="minorHAnsi"/>
          <w:b/>
          <w:sz w:val="24"/>
          <w:szCs w:val="24"/>
        </w:rPr>
        <w:t xml:space="preserve"> GUSTAVO DE LA ROSA HICKERSON</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40E51" w:rsidRPr="00177065" w14:paraId="29081AF1" w14:textId="77777777" w:rsidTr="000802A0">
        <w:trPr>
          <w:trHeight w:val="1984"/>
        </w:trPr>
        <w:tc>
          <w:tcPr>
            <w:tcW w:w="4414" w:type="dxa"/>
            <w:vAlign w:val="bottom"/>
          </w:tcPr>
          <w:p w14:paraId="11CEA3FD"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DIP. EDIN CUAHUTÉMOC ESTRADA SOTELO</w:t>
            </w:r>
          </w:p>
        </w:tc>
        <w:tc>
          <w:tcPr>
            <w:tcW w:w="4414" w:type="dxa"/>
            <w:vAlign w:val="bottom"/>
          </w:tcPr>
          <w:p w14:paraId="3F75E612"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DIP. LETICIA ORTEGA                         MÁYNEZ</w:t>
            </w:r>
          </w:p>
        </w:tc>
      </w:tr>
      <w:tr w:rsidR="00340E51" w:rsidRPr="00177065" w14:paraId="6A8B5641" w14:textId="77777777" w:rsidTr="000802A0">
        <w:trPr>
          <w:trHeight w:val="1984"/>
        </w:trPr>
        <w:tc>
          <w:tcPr>
            <w:tcW w:w="4414" w:type="dxa"/>
            <w:vAlign w:val="bottom"/>
          </w:tcPr>
          <w:p w14:paraId="36FE5BFB"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 xml:space="preserve">DIP. </w:t>
            </w:r>
            <w:r w:rsidRPr="00177065">
              <w:rPr>
                <w:rFonts w:ascii="Century Gothic" w:hAnsi="Century Gothic" w:cstheme="minorHAnsi"/>
                <w:b/>
                <w:bCs/>
                <w:sz w:val="24"/>
                <w:szCs w:val="24"/>
              </w:rPr>
              <w:t>ÓSCAR DANIEL AVITIA ARELLANES</w:t>
            </w:r>
            <w:r w:rsidRPr="00177065">
              <w:rPr>
                <w:rFonts w:ascii="Century Gothic" w:hAnsi="Century Gothic" w:cs="Arial"/>
                <w:b/>
                <w:bCs/>
                <w:sz w:val="24"/>
                <w:szCs w:val="24"/>
              </w:rPr>
              <w:t xml:space="preserve"> </w:t>
            </w:r>
          </w:p>
        </w:tc>
        <w:tc>
          <w:tcPr>
            <w:tcW w:w="4414" w:type="dxa"/>
            <w:vAlign w:val="bottom"/>
          </w:tcPr>
          <w:p w14:paraId="571B6A26" w14:textId="77777777" w:rsidR="00340E51" w:rsidRPr="00177065" w:rsidRDefault="00340E51" w:rsidP="000802A0">
            <w:pPr>
              <w:jc w:val="center"/>
              <w:rPr>
                <w:rFonts w:ascii="Century Gothic" w:hAnsi="Century Gothic" w:cstheme="minorHAnsi"/>
                <w:b/>
                <w:bCs/>
                <w:sz w:val="24"/>
                <w:szCs w:val="24"/>
              </w:rPr>
            </w:pPr>
            <w:r w:rsidRPr="00177065">
              <w:rPr>
                <w:rFonts w:ascii="Century Gothic" w:hAnsi="Century Gothic" w:cs="Arial"/>
                <w:b/>
                <w:bCs/>
                <w:sz w:val="24"/>
                <w:szCs w:val="24"/>
              </w:rPr>
              <w:t>DIP.</w:t>
            </w:r>
            <w:bookmarkStart w:id="2" w:name="_Hlk83371069"/>
            <w:r w:rsidRPr="00177065">
              <w:rPr>
                <w:rFonts w:ascii="Century Gothic" w:hAnsi="Century Gothic" w:cs="Arial"/>
                <w:b/>
                <w:bCs/>
                <w:sz w:val="24"/>
                <w:szCs w:val="24"/>
              </w:rPr>
              <w:t xml:space="preserve"> </w:t>
            </w:r>
            <w:bookmarkEnd w:id="2"/>
            <w:r w:rsidRPr="00177065">
              <w:rPr>
                <w:rFonts w:ascii="Century Gothic" w:hAnsi="Century Gothic" w:cstheme="minorHAnsi"/>
                <w:b/>
                <w:bCs/>
                <w:sz w:val="24"/>
                <w:szCs w:val="24"/>
              </w:rPr>
              <w:t>ROSANA DÍAZ</w:t>
            </w:r>
          </w:p>
          <w:p w14:paraId="51C415F6"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theme="minorHAnsi"/>
                <w:b/>
                <w:bCs/>
                <w:sz w:val="24"/>
                <w:szCs w:val="24"/>
              </w:rPr>
              <w:t>REYES</w:t>
            </w:r>
          </w:p>
        </w:tc>
      </w:tr>
      <w:tr w:rsidR="00340E51" w:rsidRPr="00177065" w14:paraId="21BE3771" w14:textId="77777777" w:rsidTr="000802A0">
        <w:trPr>
          <w:trHeight w:val="1984"/>
        </w:trPr>
        <w:tc>
          <w:tcPr>
            <w:tcW w:w="4414" w:type="dxa"/>
            <w:vAlign w:val="bottom"/>
          </w:tcPr>
          <w:p w14:paraId="7E78FE49" w14:textId="77777777" w:rsidR="00340E51" w:rsidRPr="00177065" w:rsidRDefault="00340E51" w:rsidP="000802A0">
            <w:pPr>
              <w:jc w:val="center"/>
              <w:rPr>
                <w:rFonts w:ascii="Century Gothic" w:hAnsi="Century Gothic" w:cs="Arial"/>
                <w:b/>
                <w:bCs/>
                <w:sz w:val="24"/>
                <w:szCs w:val="24"/>
              </w:rPr>
            </w:pPr>
            <w:r w:rsidRPr="00177065">
              <w:rPr>
                <w:rFonts w:ascii="Century Gothic" w:eastAsia="Times New Roman" w:hAnsi="Century Gothic" w:cstheme="minorHAnsi"/>
                <w:b/>
                <w:sz w:val="24"/>
                <w:szCs w:val="24"/>
              </w:rPr>
              <w:t>DIP. MAGDALENA RENTERÍA PÉREZ</w:t>
            </w:r>
          </w:p>
        </w:tc>
        <w:tc>
          <w:tcPr>
            <w:tcW w:w="4414" w:type="dxa"/>
            <w:vAlign w:val="bottom"/>
          </w:tcPr>
          <w:p w14:paraId="02C02E55"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DIP. MARIA ANTONIETA PÉREZ REYES</w:t>
            </w:r>
          </w:p>
        </w:tc>
      </w:tr>
      <w:tr w:rsidR="00340E51" w:rsidRPr="00177065" w14:paraId="6145F9E7" w14:textId="77777777" w:rsidTr="000802A0">
        <w:trPr>
          <w:trHeight w:val="1984"/>
        </w:trPr>
        <w:tc>
          <w:tcPr>
            <w:tcW w:w="4414" w:type="dxa"/>
            <w:vAlign w:val="bottom"/>
          </w:tcPr>
          <w:p w14:paraId="1961A540"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DIP. ADRIANA TERRAZAS PORRAS</w:t>
            </w:r>
          </w:p>
        </w:tc>
        <w:tc>
          <w:tcPr>
            <w:tcW w:w="4414" w:type="dxa"/>
            <w:vAlign w:val="bottom"/>
          </w:tcPr>
          <w:p w14:paraId="520D3F65"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DIP. BENJAMÍN CARRERA CHÁVEZ</w:t>
            </w:r>
          </w:p>
        </w:tc>
      </w:tr>
      <w:tr w:rsidR="00340E51" w:rsidRPr="00177065" w14:paraId="3977A69E" w14:textId="77777777" w:rsidTr="000802A0">
        <w:trPr>
          <w:trHeight w:val="1984"/>
        </w:trPr>
        <w:tc>
          <w:tcPr>
            <w:tcW w:w="4414" w:type="dxa"/>
            <w:vAlign w:val="bottom"/>
          </w:tcPr>
          <w:p w14:paraId="5B02102B" w14:textId="77777777" w:rsidR="00340E51" w:rsidRPr="00177065" w:rsidRDefault="00340E51" w:rsidP="000802A0">
            <w:pPr>
              <w:jc w:val="center"/>
              <w:rPr>
                <w:rFonts w:ascii="Century Gothic" w:hAnsi="Century Gothic" w:cs="Arial"/>
                <w:b/>
                <w:bCs/>
                <w:sz w:val="24"/>
                <w:szCs w:val="24"/>
              </w:rPr>
            </w:pPr>
            <w:r w:rsidRPr="00177065">
              <w:rPr>
                <w:rFonts w:ascii="Century Gothic" w:hAnsi="Century Gothic" w:cs="Arial"/>
                <w:b/>
                <w:bCs/>
                <w:sz w:val="24"/>
                <w:szCs w:val="24"/>
              </w:rPr>
              <w:t>DIP. DAVID OSCAR CASTREJÓN RIVAS</w:t>
            </w:r>
          </w:p>
        </w:tc>
        <w:tc>
          <w:tcPr>
            <w:tcW w:w="4414" w:type="dxa"/>
          </w:tcPr>
          <w:p w14:paraId="793320A1" w14:textId="77777777" w:rsidR="00340E51" w:rsidRPr="00177065" w:rsidRDefault="00340E51" w:rsidP="000802A0">
            <w:pPr>
              <w:jc w:val="center"/>
              <w:rPr>
                <w:rFonts w:ascii="Century Gothic" w:hAnsi="Century Gothic" w:cs="Arial"/>
                <w:sz w:val="24"/>
                <w:szCs w:val="24"/>
              </w:rPr>
            </w:pPr>
          </w:p>
        </w:tc>
      </w:tr>
    </w:tbl>
    <w:p w14:paraId="3E3FC50E" w14:textId="77777777" w:rsidR="00340E51" w:rsidRPr="00177065" w:rsidRDefault="00340E51" w:rsidP="00340E51">
      <w:pPr>
        <w:spacing w:after="0" w:line="240" w:lineRule="auto"/>
        <w:jc w:val="center"/>
        <w:rPr>
          <w:rFonts w:ascii="Century Gothic" w:hAnsi="Century Gothic"/>
          <w:noProof/>
          <w:sz w:val="24"/>
          <w:szCs w:val="24"/>
          <w:lang w:eastAsia="es-MX"/>
        </w:rPr>
      </w:pPr>
    </w:p>
    <w:p w14:paraId="2F7772C5" w14:textId="77777777" w:rsidR="00340E51" w:rsidRPr="00177065" w:rsidRDefault="00340E51" w:rsidP="00340E51">
      <w:pPr>
        <w:spacing w:after="0" w:line="240" w:lineRule="auto"/>
        <w:jc w:val="center"/>
        <w:rPr>
          <w:rFonts w:ascii="Century Gothic" w:hAnsi="Century Gothic"/>
          <w:b/>
          <w:bCs/>
          <w:sz w:val="24"/>
          <w:szCs w:val="24"/>
        </w:rPr>
      </w:pPr>
      <w:r w:rsidRPr="00177065">
        <w:rPr>
          <w:rFonts w:ascii="Century Gothic" w:hAnsi="Century Gothic"/>
          <w:b/>
          <w:bCs/>
          <w:sz w:val="24"/>
          <w:szCs w:val="24"/>
          <w:lang w:val="es-ES_tradnl"/>
        </w:rPr>
        <w:t xml:space="preserve"> </w:t>
      </w:r>
    </w:p>
    <w:p w14:paraId="147AAA63" w14:textId="77777777" w:rsidR="00340E51" w:rsidRPr="00CA40E3" w:rsidRDefault="00340E51" w:rsidP="00340E51">
      <w:pPr>
        <w:spacing w:after="0" w:line="240" w:lineRule="auto"/>
        <w:jc w:val="center"/>
        <w:rPr>
          <w:rFonts w:ascii="Century Gothic" w:hAnsi="Century Gothic"/>
          <w:b/>
          <w:bCs/>
          <w:sz w:val="24"/>
          <w:szCs w:val="24"/>
        </w:rPr>
      </w:pPr>
      <w:r>
        <w:rPr>
          <w:rFonts w:ascii="Century Gothic" w:hAnsi="Century Gothic"/>
          <w:b/>
          <w:bCs/>
          <w:lang w:val="es-ES_tradnl"/>
        </w:rPr>
        <w:t xml:space="preserve"> </w:t>
      </w:r>
    </w:p>
    <w:p w14:paraId="2C830DFD" w14:textId="77777777" w:rsidR="00340E51" w:rsidRDefault="00340E51" w:rsidP="00AE529E">
      <w:pPr>
        <w:spacing w:after="0" w:line="240" w:lineRule="auto"/>
        <w:jc w:val="both"/>
        <w:rPr>
          <w:rFonts w:ascii="Century Gothic" w:hAnsi="Century Gothic"/>
          <w:b/>
          <w:bCs/>
          <w:lang w:val="es-ES_tradnl"/>
        </w:rPr>
      </w:pPr>
    </w:p>
    <w:sectPr w:rsidR="00340E51" w:rsidSect="001B2BEF">
      <w:headerReference w:type="default" r:id="rId8"/>
      <w:footerReference w:type="even" r:id="rId9"/>
      <w:footerReference w:type="default" r:id="rId10"/>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C1696" w14:textId="77777777" w:rsidR="000701F1" w:rsidRDefault="000701F1" w:rsidP="0015602E">
      <w:pPr>
        <w:spacing w:after="0" w:line="240" w:lineRule="auto"/>
      </w:pPr>
      <w:r>
        <w:separator/>
      </w:r>
    </w:p>
  </w:endnote>
  <w:endnote w:type="continuationSeparator" w:id="0">
    <w:p w14:paraId="592620A0" w14:textId="77777777" w:rsidR="000701F1" w:rsidRDefault="000701F1" w:rsidP="0015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11D4" w14:textId="77777777" w:rsidR="00384C40" w:rsidRDefault="00384C40" w:rsidP="00DF30F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2102"/>
      <w:docPartObj>
        <w:docPartGallery w:val="Page Numbers (Bottom of Page)"/>
        <w:docPartUnique/>
      </w:docPartObj>
    </w:sdtPr>
    <w:sdtEndPr/>
    <w:sdtContent>
      <w:p w14:paraId="51A7CD22" w14:textId="101DF560" w:rsidR="00FC57B3" w:rsidRDefault="00FC57B3">
        <w:pPr>
          <w:pStyle w:val="Piedepgina"/>
          <w:jc w:val="right"/>
        </w:pPr>
        <w:r>
          <w:fldChar w:fldCharType="begin"/>
        </w:r>
        <w:r>
          <w:instrText>PAGE   \* MERGEFORMAT</w:instrText>
        </w:r>
        <w:r>
          <w:fldChar w:fldCharType="separate"/>
        </w:r>
        <w:r w:rsidR="00AD35DE" w:rsidRPr="00AD35DE">
          <w:rPr>
            <w:noProof/>
            <w:lang w:val="es-ES"/>
          </w:rPr>
          <w:t>2</w:t>
        </w:r>
        <w:r>
          <w:fldChar w:fldCharType="end"/>
        </w:r>
      </w:p>
    </w:sdtContent>
  </w:sdt>
  <w:p w14:paraId="25DEE2EC" w14:textId="07A14A30" w:rsidR="00384C40" w:rsidRDefault="00384C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48C89" w14:textId="77777777" w:rsidR="000701F1" w:rsidRDefault="000701F1" w:rsidP="0015602E">
      <w:pPr>
        <w:spacing w:after="0" w:line="240" w:lineRule="auto"/>
      </w:pPr>
      <w:r>
        <w:separator/>
      </w:r>
    </w:p>
  </w:footnote>
  <w:footnote w:type="continuationSeparator" w:id="0">
    <w:p w14:paraId="10D7C00F" w14:textId="77777777" w:rsidR="000701F1" w:rsidRDefault="000701F1" w:rsidP="00156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C5F3" w14:textId="09A00B24" w:rsidR="00A468D7" w:rsidRPr="00A468D7" w:rsidRDefault="00A468D7" w:rsidP="00A468D7">
    <w:pPr>
      <w:jc w:val="right"/>
      <w:rPr>
        <w:rFonts w:ascii="Arial" w:hAnsi="Arial" w:cs="Arial"/>
        <w:b/>
        <w:bCs/>
        <w:i/>
        <w:iCs/>
        <w:color w:val="000000"/>
        <w:sz w:val="18"/>
        <w:szCs w:val="18"/>
      </w:rPr>
    </w:pPr>
    <w:r>
      <w:rPr>
        <w:sz w:val="24"/>
        <w:szCs w:val="24"/>
      </w:rPr>
      <w:tab/>
    </w:r>
    <w:r>
      <w:rPr>
        <w:sz w:val="24"/>
        <w:szCs w:val="24"/>
      </w:rPr>
      <w:tab/>
    </w:r>
    <w:r w:rsidRPr="00A468D7">
      <w:rPr>
        <w:rFonts w:ascii="Arial" w:hAnsi="Arial" w:cs="Arial"/>
        <w:b/>
        <w:bCs/>
        <w:i/>
        <w:iCs/>
        <w:color w:val="000000"/>
        <w:sz w:val="18"/>
        <w:szCs w:val="18"/>
      </w:rPr>
      <w:t>2021, Año del Bicentenario de la Consumación de la Independencia de México”</w:t>
    </w:r>
  </w:p>
  <w:p w14:paraId="4D2FC19E" w14:textId="3515CEDB" w:rsidR="00A468D7" w:rsidRPr="00A468D7" w:rsidRDefault="006D2255" w:rsidP="00A468D7">
    <w:pPr>
      <w:jc w:val="right"/>
      <w:rPr>
        <w:rFonts w:ascii="Arial" w:hAnsi="Arial" w:cs="Arial"/>
        <w:b/>
        <w:bCs/>
        <w:i/>
        <w:iCs/>
        <w:color w:val="000000"/>
        <w:sz w:val="18"/>
        <w:szCs w:val="18"/>
      </w:rPr>
    </w:pPr>
    <w:r>
      <w:rPr>
        <w:noProof/>
        <w:lang w:eastAsia="es-MX"/>
      </w:rPr>
      <mc:AlternateContent>
        <mc:Choice Requires="wps">
          <w:drawing>
            <wp:anchor distT="0" distB="0" distL="114300" distR="114300" simplePos="0" relativeHeight="251664384" behindDoc="0" locked="0" layoutInCell="1" allowOverlap="1" wp14:anchorId="67E21D47" wp14:editId="010E5128">
              <wp:simplePos x="0" y="0"/>
              <wp:positionH relativeFrom="page">
                <wp:align>right</wp:align>
              </wp:positionH>
              <wp:positionV relativeFrom="paragraph">
                <wp:posOffset>173990</wp:posOffset>
              </wp:positionV>
              <wp:extent cx="5704840" cy="45719"/>
              <wp:effectExtent l="0" t="0" r="10160" b="12065"/>
              <wp:wrapNone/>
              <wp:docPr id="19" name="Rectangle 19"/>
              <wp:cNvGraphicFramePr/>
              <a:graphic xmlns:a="http://schemas.openxmlformats.org/drawingml/2006/main">
                <a:graphicData uri="http://schemas.microsoft.com/office/word/2010/wordprocessingShape">
                  <wps:wsp>
                    <wps:cNvSpPr/>
                    <wps:spPr>
                      <a:xfrm>
                        <a:off x="0" y="0"/>
                        <a:ext cx="5704840" cy="45719"/>
                      </a:xfrm>
                      <a:prstGeom prst="rect">
                        <a:avLst/>
                      </a:prstGeom>
                      <a:solidFill>
                        <a:schemeClr val="accent2">
                          <a:lumMod val="5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BE34E9" id="Rectangle 19" o:spid="_x0000_s1026" style="position:absolute;margin-left:398pt;margin-top:13.7pt;width:449.2pt;height:3.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" fillcolor="#622423 [1605]" strokecolor="#622423 [1605]" strokeweight="2pt">
              <w10:wrap anchorx="page"/>
            </v:rect>
          </w:pict>
        </mc:Fallback>
      </mc:AlternateContent>
    </w:r>
    <w:r>
      <w:rPr>
        <w:noProof/>
        <w:lang w:eastAsia="es-MX"/>
      </w:rPr>
      <mc:AlternateContent>
        <mc:Choice Requires="wps">
          <w:drawing>
            <wp:anchor distT="0" distB="0" distL="114300" distR="114300" simplePos="0" relativeHeight="251666432" behindDoc="0" locked="0" layoutInCell="1" allowOverlap="1" wp14:anchorId="5DEA3C74" wp14:editId="2A71C2BF">
              <wp:simplePos x="0" y="0"/>
              <wp:positionH relativeFrom="page">
                <wp:align>right</wp:align>
              </wp:positionH>
              <wp:positionV relativeFrom="paragraph">
                <wp:posOffset>259715</wp:posOffset>
              </wp:positionV>
              <wp:extent cx="5705475" cy="45719"/>
              <wp:effectExtent l="0" t="0" r="28575" b="12065"/>
              <wp:wrapNone/>
              <wp:docPr id="20" name="Rectangle 20"/>
              <wp:cNvGraphicFramePr/>
              <a:graphic xmlns:a="http://schemas.openxmlformats.org/drawingml/2006/main">
                <a:graphicData uri="http://schemas.microsoft.com/office/word/2010/wordprocessingShape">
                  <wps:wsp>
                    <wps:cNvSpPr/>
                    <wps:spPr>
                      <a:xfrm>
                        <a:off x="0" y="0"/>
                        <a:ext cx="5705475" cy="45719"/>
                      </a:xfrm>
                      <a:prstGeom prst="rect">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033ED7" id="Rectangle 20" o:spid="_x0000_s1026" style="position:absolute;margin-left:398.05pt;margin-top:20.45pt;width:449.25pt;height:3.6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" fillcolor="#ddd8c2 [2894]" strokecolor="#ddd8c2 [2894]" strokeweight="2pt">
              <w10:wrap anchorx="page"/>
            </v:rect>
          </w:pict>
        </mc:Fallback>
      </mc:AlternateContent>
    </w:r>
    <w:r w:rsidRPr="00A468D7">
      <w:rPr>
        <w:rFonts w:ascii="Arial" w:hAnsi="Arial" w:cs="Arial"/>
        <w:b/>
        <w:bCs/>
        <w:i/>
        <w:iCs/>
        <w:color w:val="000000"/>
        <w:sz w:val="18"/>
        <w:szCs w:val="18"/>
      </w:rPr>
      <w:t>” Año</w:t>
    </w:r>
    <w:r w:rsidR="00A468D7" w:rsidRPr="00A468D7">
      <w:rPr>
        <w:rFonts w:ascii="Arial" w:hAnsi="Arial" w:cs="Arial"/>
        <w:b/>
        <w:bCs/>
        <w:i/>
        <w:iCs/>
        <w:color w:val="000000"/>
        <w:sz w:val="18"/>
        <w:szCs w:val="18"/>
      </w:rPr>
      <w:t xml:space="preserve"> de las Culturas del Norte"</w:t>
    </w:r>
  </w:p>
  <w:p w14:paraId="13FCE50E" w14:textId="68ED6241" w:rsidR="00384C40" w:rsidRDefault="00384C40" w:rsidP="00A468D7">
    <w:pPr>
      <w:pStyle w:val="Piedep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286"/>
    <w:multiLevelType w:val="hybridMultilevel"/>
    <w:tmpl w:val="0862DD1C"/>
    <w:lvl w:ilvl="0" w:tplc="F3E2F0E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3179C6"/>
    <w:multiLevelType w:val="hybridMultilevel"/>
    <w:tmpl w:val="2668B94A"/>
    <w:lvl w:ilvl="0" w:tplc="BCD81CFE">
      <w:start w:val="44"/>
      <w:numFmt w:val="decimal"/>
      <w:lvlText w:val="%1."/>
      <w:lvlJc w:val="left"/>
      <w:pPr>
        <w:ind w:left="765" w:hanging="405"/>
      </w:pPr>
      <w:rPr>
        <w:rFonts w:ascii="Arial" w:hAnsi="Arial" w:cs="Arial" w:hint="default"/>
        <w:b w:val="0"/>
        <w:i w:val="0"/>
        <w:sz w:val="30"/>
        <w:szCs w:val="3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70DF1"/>
    <w:multiLevelType w:val="hybridMultilevel"/>
    <w:tmpl w:val="165E7E1C"/>
    <w:lvl w:ilvl="0" w:tplc="73F631CA">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658C0"/>
    <w:multiLevelType w:val="multilevel"/>
    <w:tmpl w:val="06C6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F2535"/>
    <w:multiLevelType w:val="hybridMultilevel"/>
    <w:tmpl w:val="2A1CD706"/>
    <w:lvl w:ilvl="0" w:tplc="AC84C600">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E5852"/>
    <w:multiLevelType w:val="multilevel"/>
    <w:tmpl w:val="311A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221D4"/>
    <w:multiLevelType w:val="hybridMultilevel"/>
    <w:tmpl w:val="7E223C2E"/>
    <w:lvl w:ilvl="0" w:tplc="6156A884">
      <w:start w:val="1"/>
      <w:numFmt w:val="upperRoman"/>
      <w:lvlText w:val="%1."/>
      <w:lvlJc w:val="left"/>
      <w:pPr>
        <w:ind w:left="1490" w:hanging="720"/>
      </w:pPr>
      <w:rPr>
        <w:rFonts w:hint="default"/>
      </w:rPr>
    </w:lvl>
    <w:lvl w:ilvl="1" w:tplc="080A0019" w:tentative="1">
      <w:start w:val="1"/>
      <w:numFmt w:val="lowerLetter"/>
      <w:lvlText w:val="%2."/>
      <w:lvlJc w:val="left"/>
      <w:pPr>
        <w:ind w:left="1850" w:hanging="360"/>
      </w:pPr>
    </w:lvl>
    <w:lvl w:ilvl="2" w:tplc="080A001B" w:tentative="1">
      <w:start w:val="1"/>
      <w:numFmt w:val="lowerRoman"/>
      <w:lvlText w:val="%3."/>
      <w:lvlJc w:val="right"/>
      <w:pPr>
        <w:ind w:left="2570" w:hanging="180"/>
      </w:pPr>
    </w:lvl>
    <w:lvl w:ilvl="3" w:tplc="080A000F" w:tentative="1">
      <w:start w:val="1"/>
      <w:numFmt w:val="decimal"/>
      <w:lvlText w:val="%4."/>
      <w:lvlJc w:val="left"/>
      <w:pPr>
        <w:ind w:left="3290" w:hanging="360"/>
      </w:pPr>
    </w:lvl>
    <w:lvl w:ilvl="4" w:tplc="080A0019" w:tentative="1">
      <w:start w:val="1"/>
      <w:numFmt w:val="lowerLetter"/>
      <w:lvlText w:val="%5."/>
      <w:lvlJc w:val="left"/>
      <w:pPr>
        <w:ind w:left="4010" w:hanging="360"/>
      </w:pPr>
    </w:lvl>
    <w:lvl w:ilvl="5" w:tplc="080A001B" w:tentative="1">
      <w:start w:val="1"/>
      <w:numFmt w:val="lowerRoman"/>
      <w:lvlText w:val="%6."/>
      <w:lvlJc w:val="right"/>
      <w:pPr>
        <w:ind w:left="4730" w:hanging="180"/>
      </w:pPr>
    </w:lvl>
    <w:lvl w:ilvl="6" w:tplc="080A000F" w:tentative="1">
      <w:start w:val="1"/>
      <w:numFmt w:val="decimal"/>
      <w:lvlText w:val="%7."/>
      <w:lvlJc w:val="left"/>
      <w:pPr>
        <w:ind w:left="5450" w:hanging="360"/>
      </w:pPr>
    </w:lvl>
    <w:lvl w:ilvl="7" w:tplc="080A0019" w:tentative="1">
      <w:start w:val="1"/>
      <w:numFmt w:val="lowerLetter"/>
      <w:lvlText w:val="%8."/>
      <w:lvlJc w:val="left"/>
      <w:pPr>
        <w:ind w:left="6170" w:hanging="360"/>
      </w:pPr>
    </w:lvl>
    <w:lvl w:ilvl="8" w:tplc="080A001B" w:tentative="1">
      <w:start w:val="1"/>
      <w:numFmt w:val="lowerRoman"/>
      <w:lvlText w:val="%9."/>
      <w:lvlJc w:val="right"/>
      <w:pPr>
        <w:ind w:left="6890" w:hanging="180"/>
      </w:pPr>
    </w:lvl>
  </w:abstractNum>
  <w:abstractNum w:abstractNumId="7" w15:restartNumberingAfterBreak="0">
    <w:nsid w:val="135D1987"/>
    <w:multiLevelType w:val="multilevel"/>
    <w:tmpl w:val="1262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759E1"/>
    <w:multiLevelType w:val="multilevel"/>
    <w:tmpl w:val="A6F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E2C14"/>
    <w:multiLevelType w:val="multilevel"/>
    <w:tmpl w:val="087E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7672B4"/>
    <w:multiLevelType w:val="multilevel"/>
    <w:tmpl w:val="ED707534"/>
    <w:lvl w:ilvl="0">
      <w:start w:val="1"/>
      <w:numFmt w:val="decimal"/>
      <w:lvlText w:val="%1."/>
      <w:lvlJc w:val="left"/>
      <w:pPr>
        <w:ind w:left="0" w:firstLine="0"/>
      </w:pPr>
      <w:rPr>
        <w:rFonts w:ascii="Arial" w:hAnsi="Arial" w:cs="Arial" w:hint="default"/>
        <w:b w:val="0"/>
        <w:i w:val="0"/>
        <w:color w:val="auto"/>
        <w:sz w:val="30"/>
        <w:szCs w:val="30"/>
        <w:lang w:val="es-MX"/>
      </w:rPr>
    </w:lvl>
    <w:lvl w:ilvl="1">
      <w:start w:val="1"/>
      <w:numFmt w:val="decimal"/>
      <w:isLgl/>
      <w:lvlText w:val="%1.%2"/>
      <w:lvlJc w:val="left"/>
      <w:pPr>
        <w:ind w:left="862" w:hanging="720"/>
      </w:pPr>
      <w:rPr>
        <w:rFonts w:cs="Times New Roman" w:hint="default"/>
        <w:spacing w:val="-2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1" w15:restartNumberingAfterBreak="0">
    <w:nsid w:val="19866A99"/>
    <w:multiLevelType w:val="multilevel"/>
    <w:tmpl w:val="922A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36B13"/>
    <w:multiLevelType w:val="hybridMultilevel"/>
    <w:tmpl w:val="AFA499C4"/>
    <w:lvl w:ilvl="0" w:tplc="C2B675D4">
      <w:start w:val="1"/>
      <w:numFmt w:val="upp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13" w15:restartNumberingAfterBreak="0">
    <w:nsid w:val="1AEC7F97"/>
    <w:multiLevelType w:val="multilevel"/>
    <w:tmpl w:val="291C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6524B"/>
    <w:multiLevelType w:val="hybridMultilevel"/>
    <w:tmpl w:val="5F165E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8655A7"/>
    <w:multiLevelType w:val="multilevel"/>
    <w:tmpl w:val="7CE8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77E7B"/>
    <w:multiLevelType w:val="multilevel"/>
    <w:tmpl w:val="FF12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61BF5"/>
    <w:multiLevelType w:val="hybridMultilevel"/>
    <w:tmpl w:val="5510B6E8"/>
    <w:lvl w:ilvl="0" w:tplc="AB6A6F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B14D86"/>
    <w:multiLevelType w:val="multilevel"/>
    <w:tmpl w:val="C0F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028DA"/>
    <w:multiLevelType w:val="multilevel"/>
    <w:tmpl w:val="D1D8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3774A"/>
    <w:multiLevelType w:val="hybridMultilevel"/>
    <w:tmpl w:val="68E8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F564D2"/>
    <w:multiLevelType w:val="hybridMultilevel"/>
    <w:tmpl w:val="EB78DD96"/>
    <w:lvl w:ilvl="0" w:tplc="F33A8A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A5F084D"/>
    <w:multiLevelType w:val="hybridMultilevel"/>
    <w:tmpl w:val="DFA2EC28"/>
    <w:lvl w:ilvl="0" w:tplc="39C4884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BA6FB9"/>
    <w:multiLevelType w:val="hybridMultilevel"/>
    <w:tmpl w:val="043E264A"/>
    <w:lvl w:ilvl="0" w:tplc="F61C3D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EA7ABE"/>
    <w:multiLevelType w:val="multilevel"/>
    <w:tmpl w:val="241C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75A8B"/>
    <w:multiLevelType w:val="multilevel"/>
    <w:tmpl w:val="A42A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016DF"/>
    <w:multiLevelType w:val="multilevel"/>
    <w:tmpl w:val="21F8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72DCC"/>
    <w:multiLevelType w:val="hybridMultilevel"/>
    <w:tmpl w:val="618CC8EC"/>
    <w:lvl w:ilvl="0" w:tplc="C6BCD704">
      <w:start w:val="1"/>
      <w:numFmt w:val="upperRoman"/>
      <w:lvlText w:val="%1."/>
      <w:lvlJc w:val="left"/>
      <w:pPr>
        <w:ind w:left="288" w:hanging="720"/>
      </w:pPr>
      <w:rPr>
        <w:rFonts w:hint="default"/>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28" w15:restartNumberingAfterBreak="0">
    <w:nsid w:val="475603B5"/>
    <w:multiLevelType w:val="multilevel"/>
    <w:tmpl w:val="DCE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46D48"/>
    <w:multiLevelType w:val="multilevel"/>
    <w:tmpl w:val="8636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394041"/>
    <w:multiLevelType w:val="multilevel"/>
    <w:tmpl w:val="9A8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2D24DA"/>
    <w:multiLevelType w:val="multilevel"/>
    <w:tmpl w:val="E07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B2881"/>
    <w:multiLevelType w:val="multilevel"/>
    <w:tmpl w:val="1706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7E21FB"/>
    <w:multiLevelType w:val="multilevel"/>
    <w:tmpl w:val="955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8E7A8B"/>
    <w:multiLevelType w:val="hybridMultilevel"/>
    <w:tmpl w:val="4C1AE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932FDB"/>
    <w:multiLevelType w:val="multilevel"/>
    <w:tmpl w:val="602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5E2E6F"/>
    <w:multiLevelType w:val="hybridMultilevel"/>
    <w:tmpl w:val="4A7CDA86"/>
    <w:lvl w:ilvl="0" w:tplc="4D82C7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9B01D6"/>
    <w:multiLevelType w:val="hybridMultilevel"/>
    <w:tmpl w:val="F91427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8F6601"/>
    <w:multiLevelType w:val="hybridMultilevel"/>
    <w:tmpl w:val="470E68F4"/>
    <w:lvl w:ilvl="0" w:tplc="D27696E4">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A80DCB"/>
    <w:multiLevelType w:val="multilevel"/>
    <w:tmpl w:val="AB72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C21EDB"/>
    <w:multiLevelType w:val="multilevel"/>
    <w:tmpl w:val="E128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A02E80"/>
    <w:multiLevelType w:val="multilevel"/>
    <w:tmpl w:val="55A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2D6094"/>
    <w:multiLevelType w:val="multilevel"/>
    <w:tmpl w:val="ABEA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73672"/>
    <w:multiLevelType w:val="multilevel"/>
    <w:tmpl w:val="C1FA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2C3B12"/>
    <w:multiLevelType w:val="multilevel"/>
    <w:tmpl w:val="D48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1A55CD"/>
    <w:multiLevelType w:val="multilevel"/>
    <w:tmpl w:val="A2A8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470AB"/>
    <w:multiLevelType w:val="hybridMultilevel"/>
    <w:tmpl w:val="B6067492"/>
    <w:lvl w:ilvl="0" w:tplc="E6446DAA">
      <w:start w:val="1"/>
      <w:numFmt w:val="upperRoman"/>
      <w:lvlText w:val="%1."/>
      <w:lvlJc w:val="left"/>
      <w:pPr>
        <w:ind w:left="1080" w:hanging="720"/>
      </w:pPr>
      <w:rPr>
        <w:rFonts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0"/>
  </w:num>
  <w:num w:numId="3">
    <w:abstractNumId w:val="34"/>
  </w:num>
  <w:num w:numId="4">
    <w:abstractNumId w:val="14"/>
  </w:num>
  <w:num w:numId="5">
    <w:abstractNumId w:val="37"/>
  </w:num>
  <w:num w:numId="6">
    <w:abstractNumId w:val="23"/>
  </w:num>
  <w:num w:numId="7">
    <w:abstractNumId w:val="21"/>
  </w:num>
  <w:num w:numId="8">
    <w:abstractNumId w:val="27"/>
  </w:num>
  <w:num w:numId="9">
    <w:abstractNumId w:val="46"/>
  </w:num>
  <w:num w:numId="10">
    <w:abstractNumId w:val="12"/>
  </w:num>
  <w:num w:numId="11">
    <w:abstractNumId w:val="6"/>
  </w:num>
  <w:num w:numId="12">
    <w:abstractNumId w:val="36"/>
  </w:num>
  <w:num w:numId="13">
    <w:abstractNumId w:val="22"/>
  </w:num>
  <w:num w:numId="14">
    <w:abstractNumId w:val="17"/>
  </w:num>
  <w:num w:numId="15">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10"/>
  </w:num>
  <w:num w:numId="43">
    <w:abstractNumId w:val="4"/>
  </w:num>
  <w:num w:numId="44">
    <w:abstractNumId w:val="2"/>
  </w:num>
  <w:num w:numId="45">
    <w:abstractNumId w:val="1"/>
  </w:num>
  <w:num w:numId="46">
    <w:abstractNumId w:val="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1C"/>
    <w:rsid w:val="00002509"/>
    <w:rsid w:val="00010A10"/>
    <w:rsid w:val="000133C0"/>
    <w:rsid w:val="00016D0E"/>
    <w:rsid w:val="00025F4D"/>
    <w:rsid w:val="00032A3B"/>
    <w:rsid w:val="000365AE"/>
    <w:rsid w:val="0004145D"/>
    <w:rsid w:val="00043EC1"/>
    <w:rsid w:val="000444A9"/>
    <w:rsid w:val="00044798"/>
    <w:rsid w:val="0005173E"/>
    <w:rsid w:val="0005340A"/>
    <w:rsid w:val="00055FBE"/>
    <w:rsid w:val="00061FAC"/>
    <w:rsid w:val="000701F1"/>
    <w:rsid w:val="00073D7F"/>
    <w:rsid w:val="0007415C"/>
    <w:rsid w:val="000773CB"/>
    <w:rsid w:val="00080800"/>
    <w:rsid w:val="00083397"/>
    <w:rsid w:val="000840C1"/>
    <w:rsid w:val="000850CA"/>
    <w:rsid w:val="00085C6C"/>
    <w:rsid w:val="000864BA"/>
    <w:rsid w:val="00086AF8"/>
    <w:rsid w:val="00087936"/>
    <w:rsid w:val="000B0027"/>
    <w:rsid w:val="000B01CB"/>
    <w:rsid w:val="000B04A6"/>
    <w:rsid w:val="000B4C14"/>
    <w:rsid w:val="000B568D"/>
    <w:rsid w:val="000B5CAB"/>
    <w:rsid w:val="000C140D"/>
    <w:rsid w:val="000C1695"/>
    <w:rsid w:val="000C1FDA"/>
    <w:rsid w:val="000C333D"/>
    <w:rsid w:val="000C7C59"/>
    <w:rsid w:val="000D0951"/>
    <w:rsid w:val="000D2283"/>
    <w:rsid w:val="000D25D8"/>
    <w:rsid w:val="000D4405"/>
    <w:rsid w:val="000E00A9"/>
    <w:rsid w:val="000E322F"/>
    <w:rsid w:val="000F1F06"/>
    <w:rsid w:val="000F5EF7"/>
    <w:rsid w:val="000F5F8F"/>
    <w:rsid w:val="00102978"/>
    <w:rsid w:val="00120E72"/>
    <w:rsid w:val="00126F9F"/>
    <w:rsid w:val="00133160"/>
    <w:rsid w:val="00136A9E"/>
    <w:rsid w:val="00140362"/>
    <w:rsid w:val="00141C3F"/>
    <w:rsid w:val="00144ADB"/>
    <w:rsid w:val="00153046"/>
    <w:rsid w:val="00153277"/>
    <w:rsid w:val="001533C9"/>
    <w:rsid w:val="0015602E"/>
    <w:rsid w:val="0017199B"/>
    <w:rsid w:val="00182148"/>
    <w:rsid w:val="00182990"/>
    <w:rsid w:val="00186017"/>
    <w:rsid w:val="001927F5"/>
    <w:rsid w:val="001A28AA"/>
    <w:rsid w:val="001A51EB"/>
    <w:rsid w:val="001A7FD0"/>
    <w:rsid w:val="001B2BEF"/>
    <w:rsid w:val="001C4C2B"/>
    <w:rsid w:val="001C59B6"/>
    <w:rsid w:val="001D0443"/>
    <w:rsid w:val="001D6F45"/>
    <w:rsid w:val="001E32D9"/>
    <w:rsid w:val="001E6EF2"/>
    <w:rsid w:val="001E7D29"/>
    <w:rsid w:val="001F01BC"/>
    <w:rsid w:val="001F2AD9"/>
    <w:rsid w:val="001F41B2"/>
    <w:rsid w:val="001F4884"/>
    <w:rsid w:val="00203B2B"/>
    <w:rsid w:val="002125D9"/>
    <w:rsid w:val="00212887"/>
    <w:rsid w:val="002135A3"/>
    <w:rsid w:val="00213D1C"/>
    <w:rsid w:val="00214AA3"/>
    <w:rsid w:val="002159B8"/>
    <w:rsid w:val="00215EBF"/>
    <w:rsid w:val="00221DC8"/>
    <w:rsid w:val="00222B97"/>
    <w:rsid w:val="0022375E"/>
    <w:rsid w:val="002260D8"/>
    <w:rsid w:val="002274F6"/>
    <w:rsid w:val="002333B9"/>
    <w:rsid w:val="00233DE3"/>
    <w:rsid w:val="00236CE5"/>
    <w:rsid w:val="002448F5"/>
    <w:rsid w:val="00244CCF"/>
    <w:rsid w:val="00246E89"/>
    <w:rsid w:val="0025165A"/>
    <w:rsid w:val="00252AF8"/>
    <w:rsid w:val="00257B69"/>
    <w:rsid w:val="00257FB3"/>
    <w:rsid w:val="002618F7"/>
    <w:rsid w:val="00263818"/>
    <w:rsid w:val="0026388B"/>
    <w:rsid w:val="0028158F"/>
    <w:rsid w:val="0028200C"/>
    <w:rsid w:val="00283B36"/>
    <w:rsid w:val="00286E90"/>
    <w:rsid w:val="00290311"/>
    <w:rsid w:val="00296BCD"/>
    <w:rsid w:val="002A1B8D"/>
    <w:rsid w:val="002A2822"/>
    <w:rsid w:val="002A5F09"/>
    <w:rsid w:val="002A6565"/>
    <w:rsid w:val="002B07F2"/>
    <w:rsid w:val="002B19C0"/>
    <w:rsid w:val="002C1DC1"/>
    <w:rsid w:val="002C3068"/>
    <w:rsid w:val="002C4083"/>
    <w:rsid w:val="002C60D1"/>
    <w:rsid w:val="002D0B72"/>
    <w:rsid w:val="002D25BF"/>
    <w:rsid w:val="002D3F6B"/>
    <w:rsid w:val="002E104A"/>
    <w:rsid w:val="002E1306"/>
    <w:rsid w:val="002E1AED"/>
    <w:rsid w:val="002F03F0"/>
    <w:rsid w:val="002F4641"/>
    <w:rsid w:val="002F54B5"/>
    <w:rsid w:val="003032DF"/>
    <w:rsid w:val="00303FBB"/>
    <w:rsid w:val="00305CC8"/>
    <w:rsid w:val="00314DF4"/>
    <w:rsid w:val="00315901"/>
    <w:rsid w:val="003209F8"/>
    <w:rsid w:val="0032729F"/>
    <w:rsid w:val="00332461"/>
    <w:rsid w:val="00334559"/>
    <w:rsid w:val="00335950"/>
    <w:rsid w:val="00340E51"/>
    <w:rsid w:val="003428AA"/>
    <w:rsid w:val="00342C53"/>
    <w:rsid w:val="00343E75"/>
    <w:rsid w:val="00345AF4"/>
    <w:rsid w:val="00346C62"/>
    <w:rsid w:val="00354248"/>
    <w:rsid w:val="00356007"/>
    <w:rsid w:val="003572BE"/>
    <w:rsid w:val="00371AB3"/>
    <w:rsid w:val="00371C78"/>
    <w:rsid w:val="00374076"/>
    <w:rsid w:val="0037670F"/>
    <w:rsid w:val="00381869"/>
    <w:rsid w:val="003832E4"/>
    <w:rsid w:val="00384C40"/>
    <w:rsid w:val="0038521C"/>
    <w:rsid w:val="003864FD"/>
    <w:rsid w:val="00391B8D"/>
    <w:rsid w:val="0039294D"/>
    <w:rsid w:val="00394592"/>
    <w:rsid w:val="00395E30"/>
    <w:rsid w:val="00396E19"/>
    <w:rsid w:val="003A09BD"/>
    <w:rsid w:val="003A6030"/>
    <w:rsid w:val="003A6CFB"/>
    <w:rsid w:val="003A7A47"/>
    <w:rsid w:val="003C3F8C"/>
    <w:rsid w:val="003C503B"/>
    <w:rsid w:val="003C7A21"/>
    <w:rsid w:val="003D10C7"/>
    <w:rsid w:val="003D2624"/>
    <w:rsid w:val="003D3887"/>
    <w:rsid w:val="003D4682"/>
    <w:rsid w:val="003D65F4"/>
    <w:rsid w:val="003E0ED9"/>
    <w:rsid w:val="003E1453"/>
    <w:rsid w:val="003F7783"/>
    <w:rsid w:val="004002B8"/>
    <w:rsid w:val="004011BA"/>
    <w:rsid w:val="00410E49"/>
    <w:rsid w:val="004117C8"/>
    <w:rsid w:val="00413277"/>
    <w:rsid w:val="00413A95"/>
    <w:rsid w:val="00413F0F"/>
    <w:rsid w:val="00416FA6"/>
    <w:rsid w:val="004221C9"/>
    <w:rsid w:val="0042240F"/>
    <w:rsid w:val="00423623"/>
    <w:rsid w:val="004243F5"/>
    <w:rsid w:val="00433078"/>
    <w:rsid w:val="00434B99"/>
    <w:rsid w:val="0043535A"/>
    <w:rsid w:val="004403C9"/>
    <w:rsid w:val="00440C44"/>
    <w:rsid w:val="00443D56"/>
    <w:rsid w:val="0045160B"/>
    <w:rsid w:val="004560CC"/>
    <w:rsid w:val="00457DCE"/>
    <w:rsid w:val="00461EDE"/>
    <w:rsid w:val="00464275"/>
    <w:rsid w:val="004666A4"/>
    <w:rsid w:val="0046673C"/>
    <w:rsid w:val="00467579"/>
    <w:rsid w:val="00471A8A"/>
    <w:rsid w:val="00474339"/>
    <w:rsid w:val="00475D5C"/>
    <w:rsid w:val="00476706"/>
    <w:rsid w:val="00490E70"/>
    <w:rsid w:val="004918D5"/>
    <w:rsid w:val="00495161"/>
    <w:rsid w:val="004A0039"/>
    <w:rsid w:val="004A19C6"/>
    <w:rsid w:val="004A5416"/>
    <w:rsid w:val="004A74BF"/>
    <w:rsid w:val="004B2B4D"/>
    <w:rsid w:val="004B3D8F"/>
    <w:rsid w:val="004B48F5"/>
    <w:rsid w:val="004B57D0"/>
    <w:rsid w:val="004B5833"/>
    <w:rsid w:val="004C245A"/>
    <w:rsid w:val="004C3944"/>
    <w:rsid w:val="004C7F58"/>
    <w:rsid w:val="004D2A99"/>
    <w:rsid w:val="004D2DB9"/>
    <w:rsid w:val="004D5CD2"/>
    <w:rsid w:val="004D627F"/>
    <w:rsid w:val="004D7387"/>
    <w:rsid w:val="004E0C5C"/>
    <w:rsid w:val="004E13B4"/>
    <w:rsid w:val="004E4E9C"/>
    <w:rsid w:val="004E6F57"/>
    <w:rsid w:val="004E7C95"/>
    <w:rsid w:val="004F10C0"/>
    <w:rsid w:val="004F13DF"/>
    <w:rsid w:val="004F75FC"/>
    <w:rsid w:val="00502169"/>
    <w:rsid w:val="00504F86"/>
    <w:rsid w:val="005065AE"/>
    <w:rsid w:val="0050798B"/>
    <w:rsid w:val="00512910"/>
    <w:rsid w:val="00514E0E"/>
    <w:rsid w:val="00515C25"/>
    <w:rsid w:val="005163D5"/>
    <w:rsid w:val="005209F7"/>
    <w:rsid w:val="005309DF"/>
    <w:rsid w:val="00530BEC"/>
    <w:rsid w:val="005319E8"/>
    <w:rsid w:val="005320B7"/>
    <w:rsid w:val="00532E24"/>
    <w:rsid w:val="00532F9A"/>
    <w:rsid w:val="0053436C"/>
    <w:rsid w:val="00540D6A"/>
    <w:rsid w:val="0054204A"/>
    <w:rsid w:val="00543415"/>
    <w:rsid w:val="0054348A"/>
    <w:rsid w:val="0054632F"/>
    <w:rsid w:val="00553C46"/>
    <w:rsid w:val="00557698"/>
    <w:rsid w:val="005609D3"/>
    <w:rsid w:val="005644D1"/>
    <w:rsid w:val="00564C7A"/>
    <w:rsid w:val="00564DC0"/>
    <w:rsid w:val="0056552A"/>
    <w:rsid w:val="00570C90"/>
    <w:rsid w:val="00570CBE"/>
    <w:rsid w:val="00574105"/>
    <w:rsid w:val="005760A2"/>
    <w:rsid w:val="00581544"/>
    <w:rsid w:val="0058584F"/>
    <w:rsid w:val="00585927"/>
    <w:rsid w:val="00597F43"/>
    <w:rsid w:val="005A052A"/>
    <w:rsid w:val="005A2329"/>
    <w:rsid w:val="005A3AD5"/>
    <w:rsid w:val="005A5CB1"/>
    <w:rsid w:val="005A70D6"/>
    <w:rsid w:val="005B1340"/>
    <w:rsid w:val="005B7043"/>
    <w:rsid w:val="005C1383"/>
    <w:rsid w:val="005C1ACA"/>
    <w:rsid w:val="005C2B1C"/>
    <w:rsid w:val="005C5E86"/>
    <w:rsid w:val="005C7A39"/>
    <w:rsid w:val="005D167C"/>
    <w:rsid w:val="005D3B35"/>
    <w:rsid w:val="005D3D16"/>
    <w:rsid w:val="005D735B"/>
    <w:rsid w:val="005E05CE"/>
    <w:rsid w:val="005E4374"/>
    <w:rsid w:val="005E6184"/>
    <w:rsid w:val="005E69F7"/>
    <w:rsid w:val="005F44EE"/>
    <w:rsid w:val="005F74A6"/>
    <w:rsid w:val="00601801"/>
    <w:rsid w:val="00602AB7"/>
    <w:rsid w:val="00604887"/>
    <w:rsid w:val="00604A0D"/>
    <w:rsid w:val="006217AF"/>
    <w:rsid w:val="006258E6"/>
    <w:rsid w:val="00626F7B"/>
    <w:rsid w:val="006326D8"/>
    <w:rsid w:val="00632780"/>
    <w:rsid w:val="00635C51"/>
    <w:rsid w:val="00635D79"/>
    <w:rsid w:val="00642942"/>
    <w:rsid w:val="00642D40"/>
    <w:rsid w:val="00644699"/>
    <w:rsid w:val="006462EA"/>
    <w:rsid w:val="00650A12"/>
    <w:rsid w:val="006522E3"/>
    <w:rsid w:val="006543A0"/>
    <w:rsid w:val="00656648"/>
    <w:rsid w:val="00665E2F"/>
    <w:rsid w:val="00667485"/>
    <w:rsid w:val="0067119D"/>
    <w:rsid w:val="00671F94"/>
    <w:rsid w:val="006822F1"/>
    <w:rsid w:val="00690ECA"/>
    <w:rsid w:val="006951C5"/>
    <w:rsid w:val="006A148B"/>
    <w:rsid w:val="006A4A7B"/>
    <w:rsid w:val="006A635E"/>
    <w:rsid w:val="006A659A"/>
    <w:rsid w:val="006B06AE"/>
    <w:rsid w:val="006B0A20"/>
    <w:rsid w:val="006B25CD"/>
    <w:rsid w:val="006B4965"/>
    <w:rsid w:val="006C090F"/>
    <w:rsid w:val="006C28F2"/>
    <w:rsid w:val="006C5A67"/>
    <w:rsid w:val="006D2255"/>
    <w:rsid w:val="006D6F09"/>
    <w:rsid w:val="006E01AD"/>
    <w:rsid w:val="006E481F"/>
    <w:rsid w:val="006F5279"/>
    <w:rsid w:val="006F6028"/>
    <w:rsid w:val="00701077"/>
    <w:rsid w:val="00703968"/>
    <w:rsid w:val="00704822"/>
    <w:rsid w:val="00707789"/>
    <w:rsid w:val="007125DE"/>
    <w:rsid w:val="00712793"/>
    <w:rsid w:val="00714E0E"/>
    <w:rsid w:val="00723E5E"/>
    <w:rsid w:val="00725661"/>
    <w:rsid w:val="00726ED5"/>
    <w:rsid w:val="00734437"/>
    <w:rsid w:val="0073500A"/>
    <w:rsid w:val="0073535D"/>
    <w:rsid w:val="007354A3"/>
    <w:rsid w:val="0074431B"/>
    <w:rsid w:val="007447E1"/>
    <w:rsid w:val="00746125"/>
    <w:rsid w:val="007467EE"/>
    <w:rsid w:val="0074683E"/>
    <w:rsid w:val="00746DA2"/>
    <w:rsid w:val="00750656"/>
    <w:rsid w:val="00752042"/>
    <w:rsid w:val="0075258A"/>
    <w:rsid w:val="00752B8B"/>
    <w:rsid w:val="00752BD0"/>
    <w:rsid w:val="007576DE"/>
    <w:rsid w:val="00765513"/>
    <w:rsid w:val="00767392"/>
    <w:rsid w:val="00772238"/>
    <w:rsid w:val="00781554"/>
    <w:rsid w:val="007828EE"/>
    <w:rsid w:val="007829BC"/>
    <w:rsid w:val="007919B0"/>
    <w:rsid w:val="00791B31"/>
    <w:rsid w:val="00791CC2"/>
    <w:rsid w:val="00792A6C"/>
    <w:rsid w:val="00796764"/>
    <w:rsid w:val="007A4247"/>
    <w:rsid w:val="007A7C17"/>
    <w:rsid w:val="007B19D4"/>
    <w:rsid w:val="007B7DFC"/>
    <w:rsid w:val="007C486E"/>
    <w:rsid w:val="007C493A"/>
    <w:rsid w:val="007D554F"/>
    <w:rsid w:val="007E0D4D"/>
    <w:rsid w:val="007E2E63"/>
    <w:rsid w:val="007F014E"/>
    <w:rsid w:val="007F2658"/>
    <w:rsid w:val="007F55D9"/>
    <w:rsid w:val="007F73A7"/>
    <w:rsid w:val="007F7CAA"/>
    <w:rsid w:val="008007E0"/>
    <w:rsid w:val="008047C7"/>
    <w:rsid w:val="00804809"/>
    <w:rsid w:val="008078BE"/>
    <w:rsid w:val="00811511"/>
    <w:rsid w:val="00814756"/>
    <w:rsid w:val="0081628B"/>
    <w:rsid w:val="0081756E"/>
    <w:rsid w:val="008227F0"/>
    <w:rsid w:val="00826758"/>
    <w:rsid w:val="0082694E"/>
    <w:rsid w:val="008304A3"/>
    <w:rsid w:val="00831AEB"/>
    <w:rsid w:val="0085546D"/>
    <w:rsid w:val="0086295C"/>
    <w:rsid w:val="00862A0C"/>
    <w:rsid w:val="00863709"/>
    <w:rsid w:val="00864F91"/>
    <w:rsid w:val="00870CA5"/>
    <w:rsid w:val="00871BC3"/>
    <w:rsid w:val="008735A3"/>
    <w:rsid w:val="00873A65"/>
    <w:rsid w:val="008744FA"/>
    <w:rsid w:val="008746A7"/>
    <w:rsid w:val="008761A8"/>
    <w:rsid w:val="00887209"/>
    <w:rsid w:val="0089264C"/>
    <w:rsid w:val="00893257"/>
    <w:rsid w:val="00893AF8"/>
    <w:rsid w:val="00893B65"/>
    <w:rsid w:val="008949BA"/>
    <w:rsid w:val="00896ACC"/>
    <w:rsid w:val="008A62BF"/>
    <w:rsid w:val="008A7A32"/>
    <w:rsid w:val="008B17A5"/>
    <w:rsid w:val="008B3E9D"/>
    <w:rsid w:val="008B5989"/>
    <w:rsid w:val="008B5F54"/>
    <w:rsid w:val="008D3A2F"/>
    <w:rsid w:val="008E56FA"/>
    <w:rsid w:val="008E7680"/>
    <w:rsid w:val="008F0B57"/>
    <w:rsid w:val="008F0ED3"/>
    <w:rsid w:val="008F6239"/>
    <w:rsid w:val="008F6A48"/>
    <w:rsid w:val="00900C90"/>
    <w:rsid w:val="00901EAF"/>
    <w:rsid w:val="00906C58"/>
    <w:rsid w:val="009112C9"/>
    <w:rsid w:val="00912763"/>
    <w:rsid w:val="0092078E"/>
    <w:rsid w:val="0092358E"/>
    <w:rsid w:val="00923DBA"/>
    <w:rsid w:val="00924931"/>
    <w:rsid w:val="00924B1E"/>
    <w:rsid w:val="00934637"/>
    <w:rsid w:val="00934A76"/>
    <w:rsid w:val="00940EA4"/>
    <w:rsid w:val="00943004"/>
    <w:rsid w:val="00946CF6"/>
    <w:rsid w:val="00950818"/>
    <w:rsid w:val="009567BD"/>
    <w:rsid w:val="00971AC8"/>
    <w:rsid w:val="00972C39"/>
    <w:rsid w:val="00976FBD"/>
    <w:rsid w:val="00982337"/>
    <w:rsid w:val="00985E48"/>
    <w:rsid w:val="00987426"/>
    <w:rsid w:val="00992355"/>
    <w:rsid w:val="0099367D"/>
    <w:rsid w:val="009943E7"/>
    <w:rsid w:val="00995FBB"/>
    <w:rsid w:val="00996A28"/>
    <w:rsid w:val="00997A8D"/>
    <w:rsid w:val="009B3407"/>
    <w:rsid w:val="009B6B3D"/>
    <w:rsid w:val="009B7348"/>
    <w:rsid w:val="009C070D"/>
    <w:rsid w:val="009C1000"/>
    <w:rsid w:val="009C16D5"/>
    <w:rsid w:val="009D7204"/>
    <w:rsid w:val="009E0EE3"/>
    <w:rsid w:val="009E0F58"/>
    <w:rsid w:val="009E15B1"/>
    <w:rsid w:val="009F0392"/>
    <w:rsid w:val="009F2022"/>
    <w:rsid w:val="009F417D"/>
    <w:rsid w:val="009F6EB4"/>
    <w:rsid w:val="009F7073"/>
    <w:rsid w:val="00A00C09"/>
    <w:rsid w:val="00A01488"/>
    <w:rsid w:val="00A04D4E"/>
    <w:rsid w:val="00A05123"/>
    <w:rsid w:val="00A05BAC"/>
    <w:rsid w:val="00A124E2"/>
    <w:rsid w:val="00A14C49"/>
    <w:rsid w:val="00A15AA6"/>
    <w:rsid w:val="00A264CA"/>
    <w:rsid w:val="00A27BDA"/>
    <w:rsid w:val="00A3310F"/>
    <w:rsid w:val="00A34A5A"/>
    <w:rsid w:val="00A35196"/>
    <w:rsid w:val="00A43F8A"/>
    <w:rsid w:val="00A4432C"/>
    <w:rsid w:val="00A468D7"/>
    <w:rsid w:val="00A5137A"/>
    <w:rsid w:val="00A5356F"/>
    <w:rsid w:val="00A613CC"/>
    <w:rsid w:val="00A67F46"/>
    <w:rsid w:val="00A705FC"/>
    <w:rsid w:val="00A706D8"/>
    <w:rsid w:val="00A73210"/>
    <w:rsid w:val="00A77412"/>
    <w:rsid w:val="00A85D30"/>
    <w:rsid w:val="00A91C6F"/>
    <w:rsid w:val="00A944DF"/>
    <w:rsid w:val="00A94C9A"/>
    <w:rsid w:val="00A95EC6"/>
    <w:rsid w:val="00AA00FE"/>
    <w:rsid w:val="00AB04D0"/>
    <w:rsid w:val="00AB174E"/>
    <w:rsid w:val="00AB4231"/>
    <w:rsid w:val="00AC0F27"/>
    <w:rsid w:val="00AC28A5"/>
    <w:rsid w:val="00AC577C"/>
    <w:rsid w:val="00AC659B"/>
    <w:rsid w:val="00AC71EF"/>
    <w:rsid w:val="00AC7603"/>
    <w:rsid w:val="00AD0EFB"/>
    <w:rsid w:val="00AD35DE"/>
    <w:rsid w:val="00AD46D1"/>
    <w:rsid w:val="00AD4C62"/>
    <w:rsid w:val="00AD6FBC"/>
    <w:rsid w:val="00AE2547"/>
    <w:rsid w:val="00AE529E"/>
    <w:rsid w:val="00AE5472"/>
    <w:rsid w:val="00AF6C1D"/>
    <w:rsid w:val="00B04C28"/>
    <w:rsid w:val="00B0527B"/>
    <w:rsid w:val="00B115D9"/>
    <w:rsid w:val="00B164CA"/>
    <w:rsid w:val="00B2382E"/>
    <w:rsid w:val="00B27093"/>
    <w:rsid w:val="00B32DCB"/>
    <w:rsid w:val="00B35AEA"/>
    <w:rsid w:val="00B45C59"/>
    <w:rsid w:val="00B45F9E"/>
    <w:rsid w:val="00B47297"/>
    <w:rsid w:val="00B5061B"/>
    <w:rsid w:val="00B506AA"/>
    <w:rsid w:val="00B509E4"/>
    <w:rsid w:val="00B52AC2"/>
    <w:rsid w:val="00B610D2"/>
    <w:rsid w:val="00B63A91"/>
    <w:rsid w:val="00B77354"/>
    <w:rsid w:val="00B91A67"/>
    <w:rsid w:val="00B9351E"/>
    <w:rsid w:val="00BA03A4"/>
    <w:rsid w:val="00BB7251"/>
    <w:rsid w:val="00BC05D7"/>
    <w:rsid w:val="00BC48BD"/>
    <w:rsid w:val="00BC685B"/>
    <w:rsid w:val="00BC7A4A"/>
    <w:rsid w:val="00BD4B7B"/>
    <w:rsid w:val="00BE2906"/>
    <w:rsid w:val="00BE626B"/>
    <w:rsid w:val="00BE721A"/>
    <w:rsid w:val="00BF1D2A"/>
    <w:rsid w:val="00BF492E"/>
    <w:rsid w:val="00BF4AC9"/>
    <w:rsid w:val="00C01AE2"/>
    <w:rsid w:val="00C02BF7"/>
    <w:rsid w:val="00C04DCB"/>
    <w:rsid w:val="00C06B3B"/>
    <w:rsid w:val="00C07128"/>
    <w:rsid w:val="00C14023"/>
    <w:rsid w:val="00C16340"/>
    <w:rsid w:val="00C1770D"/>
    <w:rsid w:val="00C17CB7"/>
    <w:rsid w:val="00C21BA1"/>
    <w:rsid w:val="00C32B76"/>
    <w:rsid w:val="00C3714B"/>
    <w:rsid w:val="00C42E9C"/>
    <w:rsid w:val="00C43286"/>
    <w:rsid w:val="00C52CAA"/>
    <w:rsid w:val="00C5364E"/>
    <w:rsid w:val="00C54086"/>
    <w:rsid w:val="00C6088C"/>
    <w:rsid w:val="00C705B4"/>
    <w:rsid w:val="00C71026"/>
    <w:rsid w:val="00C74048"/>
    <w:rsid w:val="00C80C3A"/>
    <w:rsid w:val="00C80CCD"/>
    <w:rsid w:val="00C83F1F"/>
    <w:rsid w:val="00C863DE"/>
    <w:rsid w:val="00C901A7"/>
    <w:rsid w:val="00C953FE"/>
    <w:rsid w:val="00CA40E3"/>
    <w:rsid w:val="00CB04A8"/>
    <w:rsid w:val="00CB1245"/>
    <w:rsid w:val="00CB3CE8"/>
    <w:rsid w:val="00CB7391"/>
    <w:rsid w:val="00CC12D0"/>
    <w:rsid w:val="00CC2286"/>
    <w:rsid w:val="00CC30F2"/>
    <w:rsid w:val="00CC3D2A"/>
    <w:rsid w:val="00CD02CF"/>
    <w:rsid w:val="00CD0C43"/>
    <w:rsid w:val="00CE5DD1"/>
    <w:rsid w:val="00CF57C0"/>
    <w:rsid w:val="00D016F0"/>
    <w:rsid w:val="00D01B2E"/>
    <w:rsid w:val="00D03EEB"/>
    <w:rsid w:val="00D050E6"/>
    <w:rsid w:val="00D106F5"/>
    <w:rsid w:val="00D1301D"/>
    <w:rsid w:val="00D16E04"/>
    <w:rsid w:val="00D179C0"/>
    <w:rsid w:val="00D24BD7"/>
    <w:rsid w:val="00D25E5E"/>
    <w:rsid w:val="00D32BC1"/>
    <w:rsid w:val="00D33292"/>
    <w:rsid w:val="00D367BE"/>
    <w:rsid w:val="00D404B7"/>
    <w:rsid w:val="00D410EC"/>
    <w:rsid w:val="00D42EE6"/>
    <w:rsid w:val="00D431F5"/>
    <w:rsid w:val="00D43399"/>
    <w:rsid w:val="00D51A02"/>
    <w:rsid w:val="00D52BF6"/>
    <w:rsid w:val="00D538C7"/>
    <w:rsid w:val="00D71E34"/>
    <w:rsid w:val="00D72308"/>
    <w:rsid w:val="00D72C2D"/>
    <w:rsid w:val="00D74B07"/>
    <w:rsid w:val="00D75972"/>
    <w:rsid w:val="00D80EA5"/>
    <w:rsid w:val="00D817EB"/>
    <w:rsid w:val="00D81F4E"/>
    <w:rsid w:val="00D8278F"/>
    <w:rsid w:val="00D8339D"/>
    <w:rsid w:val="00D836A9"/>
    <w:rsid w:val="00D836CD"/>
    <w:rsid w:val="00D94AD2"/>
    <w:rsid w:val="00DA1872"/>
    <w:rsid w:val="00DA55EC"/>
    <w:rsid w:val="00DB420D"/>
    <w:rsid w:val="00DC21D3"/>
    <w:rsid w:val="00DD04A6"/>
    <w:rsid w:val="00DD135F"/>
    <w:rsid w:val="00DD26F9"/>
    <w:rsid w:val="00DD2AAF"/>
    <w:rsid w:val="00DD3886"/>
    <w:rsid w:val="00DD6A36"/>
    <w:rsid w:val="00DD7F70"/>
    <w:rsid w:val="00DE65BF"/>
    <w:rsid w:val="00DF30FE"/>
    <w:rsid w:val="00DF42AC"/>
    <w:rsid w:val="00DF44E3"/>
    <w:rsid w:val="00E0137B"/>
    <w:rsid w:val="00E0196A"/>
    <w:rsid w:val="00E02677"/>
    <w:rsid w:val="00E06BE6"/>
    <w:rsid w:val="00E07B6D"/>
    <w:rsid w:val="00E102BD"/>
    <w:rsid w:val="00E172A9"/>
    <w:rsid w:val="00E1795D"/>
    <w:rsid w:val="00E228A6"/>
    <w:rsid w:val="00E23123"/>
    <w:rsid w:val="00E2643B"/>
    <w:rsid w:val="00E27FE9"/>
    <w:rsid w:val="00E312F5"/>
    <w:rsid w:val="00E51190"/>
    <w:rsid w:val="00E51CB0"/>
    <w:rsid w:val="00E53910"/>
    <w:rsid w:val="00E55323"/>
    <w:rsid w:val="00E55F8E"/>
    <w:rsid w:val="00E568B4"/>
    <w:rsid w:val="00E570BA"/>
    <w:rsid w:val="00E609EA"/>
    <w:rsid w:val="00E641B3"/>
    <w:rsid w:val="00E64675"/>
    <w:rsid w:val="00E649A5"/>
    <w:rsid w:val="00E6570D"/>
    <w:rsid w:val="00E65D6F"/>
    <w:rsid w:val="00E71DA9"/>
    <w:rsid w:val="00E73028"/>
    <w:rsid w:val="00E73D69"/>
    <w:rsid w:val="00E74966"/>
    <w:rsid w:val="00E75421"/>
    <w:rsid w:val="00E80C3D"/>
    <w:rsid w:val="00E82523"/>
    <w:rsid w:val="00E8386A"/>
    <w:rsid w:val="00E86497"/>
    <w:rsid w:val="00E900C6"/>
    <w:rsid w:val="00E915AA"/>
    <w:rsid w:val="00E936F4"/>
    <w:rsid w:val="00EA319C"/>
    <w:rsid w:val="00EA3A63"/>
    <w:rsid w:val="00EA7C5A"/>
    <w:rsid w:val="00EB246C"/>
    <w:rsid w:val="00EB34C5"/>
    <w:rsid w:val="00EB43E0"/>
    <w:rsid w:val="00EB4CAA"/>
    <w:rsid w:val="00EB598E"/>
    <w:rsid w:val="00EB71E6"/>
    <w:rsid w:val="00EC053B"/>
    <w:rsid w:val="00ED0C2A"/>
    <w:rsid w:val="00ED2DE6"/>
    <w:rsid w:val="00ED6232"/>
    <w:rsid w:val="00EE0BFF"/>
    <w:rsid w:val="00EE0CAA"/>
    <w:rsid w:val="00EE1710"/>
    <w:rsid w:val="00EE380A"/>
    <w:rsid w:val="00EF0A10"/>
    <w:rsid w:val="00F00372"/>
    <w:rsid w:val="00F06CEC"/>
    <w:rsid w:val="00F10C05"/>
    <w:rsid w:val="00F12422"/>
    <w:rsid w:val="00F14693"/>
    <w:rsid w:val="00F15523"/>
    <w:rsid w:val="00F1742A"/>
    <w:rsid w:val="00F17AFD"/>
    <w:rsid w:val="00F21568"/>
    <w:rsid w:val="00F240CB"/>
    <w:rsid w:val="00F25323"/>
    <w:rsid w:val="00F260CC"/>
    <w:rsid w:val="00F26FC8"/>
    <w:rsid w:val="00F31AA8"/>
    <w:rsid w:val="00F36E9D"/>
    <w:rsid w:val="00F43501"/>
    <w:rsid w:val="00F44766"/>
    <w:rsid w:val="00F46C96"/>
    <w:rsid w:val="00F47471"/>
    <w:rsid w:val="00F47F20"/>
    <w:rsid w:val="00F51B7E"/>
    <w:rsid w:val="00F57C9C"/>
    <w:rsid w:val="00F61702"/>
    <w:rsid w:val="00F629D7"/>
    <w:rsid w:val="00F709CB"/>
    <w:rsid w:val="00F71B1E"/>
    <w:rsid w:val="00F7234C"/>
    <w:rsid w:val="00F72988"/>
    <w:rsid w:val="00F73C8D"/>
    <w:rsid w:val="00F73EB5"/>
    <w:rsid w:val="00F943F4"/>
    <w:rsid w:val="00F945C9"/>
    <w:rsid w:val="00FA02EA"/>
    <w:rsid w:val="00FA3694"/>
    <w:rsid w:val="00FC143F"/>
    <w:rsid w:val="00FC57B3"/>
    <w:rsid w:val="00FC73BC"/>
    <w:rsid w:val="00FD1EBC"/>
    <w:rsid w:val="00FD2742"/>
    <w:rsid w:val="00FD5041"/>
    <w:rsid w:val="00FD5F99"/>
    <w:rsid w:val="00FD6575"/>
    <w:rsid w:val="00FE5023"/>
    <w:rsid w:val="00FE74C7"/>
    <w:rsid w:val="00FE787D"/>
    <w:rsid w:val="00FE7917"/>
    <w:rsid w:val="00FF6F28"/>
    <w:rsid w:val="00FF7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134D1"/>
  <w15:docId w15:val="{86D6DFBF-FD67-425E-BE54-32DF0FF8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C90"/>
  </w:style>
  <w:style w:type="paragraph" w:styleId="Ttulo1">
    <w:name w:val="heading 1"/>
    <w:basedOn w:val="Normal"/>
    <w:next w:val="Normal"/>
    <w:link w:val="Ttulo1Car"/>
    <w:uiPriority w:val="9"/>
    <w:qFormat/>
    <w:rsid w:val="00EF0A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C02B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521C"/>
    <w:pPr>
      <w:spacing w:after="0" w:line="240" w:lineRule="auto"/>
    </w:pPr>
  </w:style>
  <w:style w:type="character" w:customStyle="1" w:styleId="Ttulo3Car">
    <w:name w:val="Título 3 Car"/>
    <w:basedOn w:val="Fuentedeprrafopredeter"/>
    <w:link w:val="Ttulo3"/>
    <w:uiPriority w:val="9"/>
    <w:rsid w:val="00C02BF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C02BF7"/>
    <w:rPr>
      <w:color w:val="0000FF"/>
      <w:u w:val="single"/>
    </w:rPr>
  </w:style>
  <w:style w:type="character" w:styleId="CitaHTML">
    <w:name w:val="HTML Cite"/>
    <w:basedOn w:val="Fuentedeprrafopredeter"/>
    <w:uiPriority w:val="99"/>
    <w:semiHidden/>
    <w:unhideWhenUsed/>
    <w:rsid w:val="00C02BF7"/>
    <w:rPr>
      <w:i/>
      <w:iCs/>
    </w:rPr>
  </w:style>
  <w:style w:type="character" w:customStyle="1" w:styleId="st">
    <w:name w:val="st"/>
    <w:basedOn w:val="Fuentedeprrafopredeter"/>
    <w:rsid w:val="00C02BF7"/>
  </w:style>
  <w:style w:type="character" w:styleId="nfasis">
    <w:name w:val="Emphasis"/>
    <w:basedOn w:val="Fuentedeprrafopredeter"/>
    <w:uiPriority w:val="20"/>
    <w:qFormat/>
    <w:rsid w:val="00C02BF7"/>
    <w:rPr>
      <w:i/>
      <w:iCs/>
    </w:rPr>
  </w:style>
  <w:style w:type="paragraph" w:styleId="Encabezado">
    <w:name w:val="header"/>
    <w:basedOn w:val="Normal"/>
    <w:link w:val="EncabezadoCar"/>
    <w:uiPriority w:val="99"/>
    <w:unhideWhenUsed/>
    <w:rsid w:val="001560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02E"/>
  </w:style>
  <w:style w:type="paragraph" w:styleId="Piedepgina">
    <w:name w:val="footer"/>
    <w:basedOn w:val="Normal"/>
    <w:link w:val="PiedepginaCar"/>
    <w:uiPriority w:val="99"/>
    <w:unhideWhenUsed/>
    <w:rsid w:val="001560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02E"/>
  </w:style>
  <w:style w:type="paragraph" w:customStyle="1" w:styleId="a">
    <w:basedOn w:val="Normal"/>
    <w:next w:val="Puesto"/>
    <w:link w:val="TtuloCar"/>
    <w:qFormat/>
    <w:rsid w:val="00A05BAC"/>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link w:val="a"/>
    <w:rsid w:val="00A05BAC"/>
    <w:rPr>
      <w:rFonts w:ascii="Arial" w:eastAsia="Times New Roman" w:hAnsi="Arial" w:cs="Times New Roman"/>
      <w:b/>
      <w:sz w:val="24"/>
      <w:szCs w:val="20"/>
      <w:lang w:val="es-ES" w:eastAsia="es-ES"/>
    </w:rPr>
  </w:style>
  <w:style w:type="paragraph" w:styleId="Puesto">
    <w:name w:val="Title"/>
    <w:basedOn w:val="Normal"/>
    <w:next w:val="Normal"/>
    <w:link w:val="PuestoCar"/>
    <w:uiPriority w:val="10"/>
    <w:qFormat/>
    <w:rsid w:val="00A05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05BAC"/>
    <w:rPr>
      <w:rFonts w:asciiTheme="majorHAnsi" w:eastAsiaTheme="majorEastAsia" w:hAnsiTheme="majorHAnsi" w:cstheme="majorBidi"/>
      <w:spacing w:val="-10"/>
      <w:kern w:val="28"/>
      <w:sz w:val="56"/>
      <w:szCs w:val="56"/>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746125"/>
    <w:pPr>
      <w:ind w:left="720"/>
      <w:contextualSpacing/>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612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 Car1,FA Fußnotentext Car1,FA Fu?notentext Car1,Ca Car,Car Car"/>
    <w:basedOn w:val="Fuentedeprrafopredeter"/>
    <w:link w:val="Textonotapie"/>
    <w:uiPriority w:val="99"/>
    <w:rsid w:val="0074612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uiPriority w:val="99"/>
    <w:unhideWhenUsed/>
    <w:qFormat/>
    <w:rsid w:val="00746125"/>
    <w:rPr>
      <w:vertAlign w:val="superscript"/>
    </w:rPr>
  </w:style>
  <w:style w:type="paragraph" w:customStyle="1" w:styleId="Body">
    <w:name w:val="Body"/>
    <w:rsid w:val="00C74048"/>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s-MX"/>
    </w:rPr>
  </w:style>
  <w:style w:type="character" w:styleId="Textoennegrita">
    <w:name w:val="Strong"/>
    <w:basedOn w:val="Fuentedeprrafopredeter"/>
    <w:uiPriority w:val="22"/>
    <w:qFormat/>
    <w:rsid w:val="00C74048"/>
    <w:rPr>
      <w:b/>
      <w:bCs/>
    </w:rPr>
  </w:style>
  <w:style w:type="character" w:customStyle="1" w:styleId="Ttulo1Car">
    <w:name w:val="Título 1 Car"/>
    <w:basedOn w:val="Fuentedeprrafopredeter"/>
    <w:link w:val="Ttulo1"/>
    <w:uiPriority w:val="9"/>
    <w:rsid w:val="00EF0A10"/>
    <w:rPr>
      <w:rFonts w:asciiTheme="majorHAnsi" w:eastAsiaTheme="majorEastAsia" w:hAnsiTheme="majorHAnsi" w:cstheme="majorBidi"/>
      <w:color w:val="365F91" w:themeColor="accent1" w:themeShade="BF"/>
      <w:sz w:val="32"/>
      <w:szCs w:val="32"/>
    </w:rPr>
  </w:style>
  <w:style w:type="paragraph" w:styleId="Textodeglobo">
    <w:name w:val="Balloon Text"/>
    <w:basedOn w:val="Normal"/>
    <w:link w:val="TextodegloboCar"/>
    <w:uiPriority w:val="99"/>
    <w:semiHidden/>
    <w:unhideWhenUsed/>
    <w:rsid w:val="007039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3968"/>
    <w:rPr>
      <w:rFonts w:ascii="Tahoma" w:hAnsi="Tahoma" w:cs="Tahoma"/>
      <w:sz w:val="16"/>
      <w:szCs w:val="16"/>
    </w:rPr>
  </w:style>
  <w:style w:type="paragraph" w:customStyle="1" w:styleId="Default">
    <w:name w:val="Default"/>
    <w:rsid w:val="00AB4231"/>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rsid w:val="00635C51"/>
    <w:pPr>
      <w:spacing w:after="160" w:line="259" w:lineRule="auto"/>
    </w:pPr>
    <w:rPr>
      <w:rFonts w:ascii="Soberana Sans" w:eastAsia="Soberana Sans" w:hAnsi="Soberana Sans" w:cs="Soberana Sans"/>
      <w:lang w:eastAsia="es-MX"/>
    </w:rPr>
  </w:style>
  <w:style w:type="table" w:customStyle="1" w:styleId="Tablanormal51">
    <w:name w:val="Tabla normal 51"/>
    <w:basedOn w:val="Tablanormal"/>
    <w:uiPriority w:val="45"/>
    <w:rsid w:val="00BC48BD"/>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
    <w:name w:val="Texto"/>
    <w:basedOn w:val="Normal"/>
    <w:rsid w:val="00C80CCD"/>
    <w:pPr>
      <w:spacing w:after="101" w:line="216" w:lineRule="exact"/>
      <w:ind w:firstLine="288"/>
      <w:jc w:val="both"/>
    </w:pPr>
    <w:rPr>
      <w:rFonts w:ascii="Arial" w:eastAsia="Times New Roman" w:hAnsi="Arial" w:cs="Arial"/>
      <w:sz w:val="18"/>
      <w:szCs w:val="18"/>
      <w:lang w:eastAsia="es-ES"/>
    </w:rPr>
  </w:style>
  <w:style w:type="table" w:styleId="Tablaconcuadrcula">
    <w:name w:val="Table Grid"/>
    <w:basedOn w:val="Tablanormal"/>
    <w:uiPriority w:val="59"/>
    <w:unhideWhenUsed/>
    <w:rsid w:val="00153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58584F"/>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FA Fuﬂnotentext Car"/>
    <w:locked/>
    <w:rsid w:val="0058584F"/>
    <w:rPr>
      <w:rFonts w:ascii="Arial" w:hAnsi="Arial"/>
      <w:lang w:val="es-ES_tradnl"/>
    </w:rPr>
  </w:style>
  <w:style w:type="paragraph" w:customStyle="1" w:styleId="CORTE2PONENTE">
    <w:name w:val="CORTE2 PONENTE"/>
    <w:basedOn w:val="Normal"/>
    <w:rsid w:val="0058584F"/>
    <w:pPr>
      <w:spacing w:after="0" w:line="240" w:lineRule="auto"/>
    </w:pPr>
    <w:rPr>
      <w:rFonts w:ascii="Arial" w:eastAsia="Times New Roman" w:hAnsi="Arial" w:cs="Times New Roman"/>
      <w:b/>
      <w:sz w:val="30"/>
      <w:szCs w:val="30"/>
      <w:lang w:eastAsia="es-ES"/>
    </w:rPr>
  </w:style>
  <w:style w:type="paragraph" w:customStyle="1" w:styleId="corte4fondo">
    <w:name w:val="corte4 fondo"/>
    <w:basedOn w:val="Normal"/>
    <w:link w:val="corte4fondoCar2"/>
    <w:qFormat/>
    <w:rsid w:val="00C953F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2">
    <w:name w:val="corte4 fondo Car2"/>
    <w:link w:val="corte4fondo"/>
    <w:rsid w:val="00C953FE"/>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2618F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39"/>
    <w:unhideWhenUsed/>
    <w:rsid w:val="0034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76655">
      <w:bodyDiv w:val="1"/>
      <w:marLeft w:val="0"/>
      <w:marRight w:val="0"/>
      <w:marTop w:val="0"/>
      <w:marBottom w:val="0"/>
      <w:divBdr>
        <w:top w:val="none" w:sz="0" w:space="0" w:color="auto"/>
        <w:left w:val="none" w:sz="0" w:space="0" w:color="auto"/>
        <w:bottom w:val="none" w:sz="0" w:space="0" w:color="auto"/>
        <w:right w:val="none" w:sz="0" w:space="0" w:color="auto"/>
      </w:divBdr>
    </w:div>
    <w:div w:id="564074804">
      <w:bodyDiv w:val="1"/>
      <w:marLeft w:val="0"/>
      <w:marRight w:val="0"/>
      <w:marTop w:val="0"/>
      <w:marBottom w:val="0"/>
      <w:divBdr>
        <w:top w:val="none" w:sz="0" w:space="0" w:color="auto"/>
        <w:left w:val="none" w:sz="0" w:space="0" w:color="auto"/>
        <w:bottom w:val="none" w:sz="0" w:space="0" w:color="auto"/>
        <w:right w:val="none" w:sz="0" w:space="0" w:color="auto"/>
      </w:divBdr>
      <w:divsChild>
        <w:div w:id="307322029">
          <w:marLeft w:val="0"/>
          <w:marRight w:val="0"/>
          <w:marTop w:val="0"/>
          <w:marBottom w:val="40"/>
          <w:divBdr>
            <w:top w:val="none" w:sz="0" w:space="0" w:color="auto"/>
            <w:left w:val="none" w:sz="0" w:space="0" w:color="auto"/>
            <w:bottom w:val="none" w:sz="0" w:space="0" w:color="auto"/>
            <w:right w:val="none" w:sz="0" w:space="0" w:color="auto"/>
          </w:divBdr>
        </w:div>
        <w:div w:id="198053279">
          <w:marLeft w:val="720"/>
          <w:marRight w:val="0"/>
          <w:marTop w:val="0"/>
          <w:marBottom w:val="40"/>
          <w:divBdr>
            <w:top w:val="none" w:sz="0" w:space="0" w:color="auto"/>
            <w:left w:val="none" w:sz="0" w:space="0" w:color="auto"/>
            <w:bottom w:val="none" w:sz="0" w:space="0" w:color="auto"/>
            <w:right w:val="none" w:sz="0" w:space="0" w:color="auto"/>
          </w:divBdr>
        </w:div>
      </w:divsChild>
    </w:div>
    <w:div w:id="966857762">
      <w:bodyDiv w:val="1"/>
      <w:marLeft w:val="0"/>
      <w:marRight w:val="0"/>
      <w:marTop w:val="0"/>
      <w:marBottom w:val="0"/>
      <w:divBdr>
        <w:top w:val="none" w:sz="0" w:space="0" w:color="auto"/>
        <w:left w:val="none" w:sz="0" w:space="0" w:color="auto"/>
        <w:bottom w:val="none" w:sz="0" w:space="0" w:color="auto"/>
        <w:right w:val="none" w:sz="0" w:space="0" w:color="auto"/>
      </w:divBdr>
    </w:div>
    <w:div w:id="1265651735">
      <w:bodyDiv w:val="1"/>
      <w:marLeft w:val="0"/>
      <w:marRight w:val="0"/>
      <w:marTop w:val="0"/>
      <w:marBottom w:val="0"/>
      <w:divBdr>
        <w:top w:val="none" w:sz="0" w:space="0" w:color="auto"/>
        <w:left w:val="none" w:sz="0" w:space="0" w:color="auto"/>
        <w:bottom w:val="none" w:sz="0" w:space="0" w:color="auto"/>
        <w:right w:val="none" w:sz="0" w:space="0" w:color="auto"/>
      </w:divBdr>
    </w:div>
    <w:div w:id="1323197404">
      <w:bodyDiv w:val="1"/>
      <w:marLeft w:val="0"/>
      <w:marRight w:val="0"/>
      <w:marTop w:val="0"/>
      <w:marBottom w:val="0"/>
      <w:divBdr>
        <w:top w:val="none" w:sz="0" w:space="0" w:color="auto"/>
        <w:left w:val="none" w:sz="0" w:space="0" w:color="auto"/>
        <w:bottom w:val="none" w:sz="0" w:space="0" w:color="auto"/>
        <w:right w:val="none" w:sz="0" w:space="0" w:color="auto"/>
      </w:divBdr>
    </w:div>
    <w:div w:id="1440175537">
      <w:bodyDiv w:val="1"/>
      <w:marLeft w:val="0"/>
      <w:marRight w:val="0"/>
      <w:marTop w:val="0"/>
      <w:marBottom w:val="0"/>
      <w:divBdr>
        <w:top w:val="none" w:sz="0" w:space="0" w:color="auto"/>
        <w:left w:val="none" w:sz="0" w:space="0" w:color="auto"/>
        <w:bottom w:val="none" w:sz="0" w:space="0" w:color="auto"/>
        <w:right w:val="none" w:sz="0" w:space="0" w:color="auto"/>
      </w:divBdr>
    </w:div>
    <w:div w:id="1598096166">
      <w:bodyDiv w:val="1"/>
      <w:marLeft w:val="0"/>
      <w:marRight w:val="0"/>
      <w:marTop w:val="0"/>
      <w:marBottom w:val="0"/>
      <w:divBdr>
        <w:top w:val="none" w:sz="0" w:space="0" w:color="auto"/>
        <w:left w:val="none" w:sz="0" w:space="0" w:color="auto"/>
        <w:bottom w:val="none" w:sz="0" w:space="0" w:color="auto"/>
        <w:right w:val="none" w:sz="0" w:space="0" w:color="auto"/>
      </w:divBdr>
      <w:divsChild>
        <w:div w:id="391929630">
          <w:marLeft w:val="0"/>
          <w:marRight w:val="0"/>
          <w:marTop w:val="0"/>
          <w:marBottom w:val="0"/>
          <w:divBdr>
            <w:top w:val="none" w:sz="0" w:space="0" w:color="auto"/>
            <w:left w:val="none" w:sz="0" w:space="0" w:color="auto"/>
            <w:bottom w:val="none" w:sz="0" w:space="0" w:color="auto"/>
            <w:right w:val="none" w:sz="0" w:space="0" w:color="auto"/>
          </w:divBdr>
        </w:div>
        <w:div w:id="1791127078">
          <w:marLeft w:val="0"/>
          <w:marRight w:val="0"/>
          <w:marTop w:val="0"/>
          <w:marBottom w:val="0"/>
          <w:divBdr>
            <w:top w:val="none" w:sz="0" w:space="0" w:color="auto"/>
            <w:left w:val="none" w:sz="0" w:space="0" w:color="auto"/>
            <w:bottom w:val="none" w:sz="0" w:space="0" w:color="auto"/>
            <w:right w:val="none" w:sz="0" w:space="0" w:color="auto"/>
          </w:divBdr>
        </w:div>
        <w:div w:id="1841584080">
          <w:marLeft w:val="0"/>
          <w:marRight w:val="0"/>
          <w:marTop w:val="0"/>
          <w:marBottom w:val="0"/>
          <w:divBdr>
            <w:top w:val="none" w:sz="0" w:space="0" w:color="auto"/>
            <w:left w:val="none" w:sz="0" w:space="0" w:color="auto"/>
            <w:bottom w:val="none" w:sz="0" w:space="0" w:color="auto"/>
            <w:right w:val="none" w:sz="0" w:space="0" w:color="auto"/>
          </w:divBdr>
          <w:divsChild>
            <w:div w:id="824588451">
              <w:marLeft w:val="0"/>
              <w:marRight w:val="0"/>
              <w:marTop w:val="0"/>
              <w:marBottom w:val="0"/>
              <w:divBdr>
                <w:top w:val="none" w:sz="0" w:space="0" w:color="auto"/>
                <w:left w:val="none" w:sz="0" w:space="0" w:color="auto"/>
                <w:bottom w:val="none" w:sz="0" w:space="0" w:color="auto"/>
                <w:right w:val="none" w:sz="0" w:space="0" w:color="auto"/>
              </w:divBdr>
              <w:divsChild>
                <w:div w:id="1553544604">
                  <w:marLeft w:val="45"/>
                  <w:marRight w:val="45"/>
                  <w:marTop w:val="15"/>
                  <w:marBottom w:val="0"/>
                  <w:divBdr>
                    <w:top w:val="none" w:sz="0" w:space="0" w:color="auto"/>
                    <w:left w:val="none" w:sz="0" w:space="0" w:color="auto"/>
                    <w:bottom w:val="none" w:sz="0" w:space="0" w:color="auto"/>
                    <w:right w:val="none" w:sz="0" w:space="0" w:color="auto"/>
                  </w:divBdr>
                  <w:divsChild>
                    <w:div w:id="1487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C65C-99AA-4A93-9C6A-F49836A9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3405</Words>
  <Characters>18732</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RevolucionUnattended</Company>
  <LinksUpToDate>false</LinksUpToDate>
  <CharactersWithSpaces>22093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Sonia Pérez Chacón</cp:lastModifiedBy>
  <cp:revision>2</cp:revision>
  <cp:lastPrinted>2021-09-20T15:13:00Z</cp:lastPrinted>
  <dcterms:created xsi:type="dcterms:W3CDTF">2021-10-06T18:20:00Z</dcterms:created>
  <dcterms:modified xsi:type="dcterms:W3CDTF">2021-10-06T18:20:00Z</dcterms:modified>
</cp:coreProperties>
</file>