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A0B04" w:rsidRDefault="00E73285">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H. CONGRESO DEL ESTADO DE CHIHUAHUA.</w:t>
      </w:r>
    </w:p>
    <w:p w14:paraId="00000002" w14:textId="77777777" w:rsidR="00DA0B04" w:rsidRDefault="00E73285">
      <w:pPr>
        <w:jc w:val="both"/>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P R E S E N T E. </w:t>
      </w:r>
    </w:p>
    <w:p w14:paraId="00000003" w14:textId="77777777" w:rsidR="00DA0B04" w:rsidRDefault="00DA0B04">
      <w:pPr>
        <w:jc w:val="both"/>
        <w:rPr>
          <w:rFonts w:ascii="Century Gothic" w:eastAsia="Century Gothic" w:hAnsi="Century Gothic" w:cs="Century Gothic"/>
          <w:b/>
          <w:sz w:val="24"/>
          <w:szCs w:val="24"/>
        </w:rPr>
      </w:pPr>
    </w:p>
    <w:p w14:paraId="00000004" w14:textId="1C44C73B" w:rsidR="00DA0B04" w:rsidRDefault="004A32F3">
      <w:pPr>
        <w:spacing w:line="360" w:lineRule="auto"/>
        <w:jc w:val="both"/>
        <w:rPr>
          <w:rFonts w:ascii="Century Gothic" w:eastAsia="Century Gothic" w:hAnsi="Century Gothic" w:cs="Century Gothic"/>
          <w:b/>
          <w:color w:val="000000"/>
          <w:sz w:val="24"/>
          <w:szCs w:val="24"/>
          <w:u w:val="single"/>
        </w:rPr>
      </w:pPr>
      <w:r>
        <w:rPr>
          <w:rFonts w:ascii="Century Gothic" w:hAnsi="Century Gothic" w:cs="Arial"/>
          <w:sz w:val="24"/>
          <w:szCs w:val="24"/>
          <w:lang w:val="es-ES_tradnl"/>
        </w:rPr>
        <w:t>Quienes suscriben,</w:t>
      </w:r>
      <w:r w:rsidRPr="00ED3A6D">
        <w:rPr>
          <w:rFonts w:ascii="Century Gothic" w:hAnsi="Century Gothic" w:cs="Arial"/>
          <w:sz w:val="24"/>
          <w:szCs w:val="24"/>
          <w:lang w:val="es-ES_tradnl"/>
        </w:rPr>
        <w:t xml:space="preserve"> </w:t>
      </w:r>
      <w:r w:rsidRPr="00ED7B16">
        <w:rPr>
          <w:rFonts w:ascii="Century Gothic" w:hAnsi="Century Gothic" w:cs="Arial"/>
          <w:b/>
          <w:sz w:val="24"/>
          <w:szCs w:val="24"/>
          <w:lang w:val="es-ES_tradnl"/>
        </w:rPr>
        <w:t>Benjamín Carrera Chávez, Edin Cuauhtémoc Estrada Sotelo, Leticia Ortega Máynez, Oscar Daniel Avitia Arellanes, Rosana Díaz Reyes, Gustavo de la Rosa Hickerson, Magdalena Rentería Pérez, María Antonieta Pérez Reyes, David Oscar Castrejón Rivas y Adriana Terrazas Porras</w:t>
      </w:r>
      <w:r>
        <w:rPr>
          <w:rFonts w:ascii="Century Gothic" w:hAnsi="Century Gothic" w:cs="Arial"/>
          <w:sz w:val="24"/>
          <w:szCs w:val="24"/>
          <w:lang w:val="es-ES_tradnl"/>
        </w:rPr>
        <w:t>,</w:t>
      </w:r>
      <w:r w:rsidRPr="00ED3A6D">
        <w:rPr>
          <w:rFonts w:ascii="Century Gothic" w:hAnsi="Century Gothic" w:cs="Arial"/>
          <w:sz w:val="24"/>
          <w:szCs w:val="24"/>
          <w:lang w:val="es-ES_tradnl"/>
        </w:rPr>
        <w:t xml:space="preserve"> en </w:t>
      </w:r>
      <w:r>
        <w:rPr>
          <w:rFonts w:ascii="Century Gothic" w:hAnsi="Century Gothic" w:cs="Arial"/>
          <w:sz w:val="24"/>
          <w:szCs w:val="24"/>
          <w:lang w:val="es-ES_tradnl"/>
        </w:rPr>
        <w:t xml:space="preserve">nuestro </w:t>
      </w:r>
      <w:r w:rsidRPr="00243589">
        <w:rPr>
          <w:rFonts w:ascii="Century Gothic" w:hAnsi="Century Gothic" w:cs="Arial"/>
          <w:sz w:val="24"/>
          <w:szCs w:val="24"/>
          <w:lang w:val="es-ES_tradnl"/>
        </w:rPr>
        <w:t>carácter de Diputado</w:t>
      </w:r>
      <w:r>
        <w:rPr>
          <w:rFonts w:ascii="Century Gothic" w:hAnsi="Century Gothic" w:cs="Arial"/>
          <w:sz w:val="24"/>
          <w:szCs w:val="24"/>
          <w:lang w:val="es-ES_tradnl"/>
        </w:rPr>
        <w:t>s</w:t>
      </w:r>
      <w:r w:rsidRPr="00243589">
        <w:rPr>
          <w:rFonts w:ascii="Century Gothic" w:hAnsi="Century Gothic" w:cs="Arial"/>
          <w:sz w:val="24"/>
          <w:szCs w:val="24"/>
          <w:lang w:val="es-ES_tradnl"/>
        </w:rPr>
        <w:t xml:space="preserve"> </w:t>
      </w:r>
      <w:r>
        <w:rPr>
          <w:rFonts w:ascii="Century Gothic" w:hAnsi="Century Gothic" w:cs="Arial"/>
          <w:sz w:val="24"/>
          <w:szCs w:val="24"/>
          <w:lang w:val="es-ES_tradnl"/>
        </w:rPr>
        <w:t xml:space="preserve">de </w:t>
      </w:r>
      <w:r w:rsidRPr="00243589">
        <w:rPr>
          <w:rFonts w:ascii="Century Gothic" w:hAnsi="Century Gothic" w:cs="Arial"/>
          <w:sz w:val="24"/>
          <w:szCs w:val="24"/>
          <w:lang w:val="es-ES_tradnl"/>
        </w:rPr>
        <w:t xml:space="preserve">la Sexagésima </w:t>
      </w:r>
      <w:r>
        <w:rPr>
          <w:rFonts w:ascii="Century Gothic" w:hAnsi="Century Gothic" w:cs="Arial"/>
          <w:sz w:val="24"/>
          <w:szCs w:val="24"/>
          <w:lang w:val="es-ES_tradnl"/>
        </w:rPr>
        <w:t>Séptima</w:t>
      </w:r>
      <w:r w:rsidRPr="00243589">
        <w:rPr>
          <w:rFonts w:ascii="Century Gothic" w:hAnsi="Century Gothic" w:cs="Arial"/>
          <w:sz w:val="24"/>
          <w:szCs w:val="24"/>
          <w:lang w:val="es-ES_tradnl"/>
        </w:rPr>
        <w:t xml:space="preserve"> Legislatura y como integrante</w:t>
      </w:r>
      <w:r>
        <w:rPr>
          <w:rFonts w:ascii="Century Gothic" w:hAnsi="Century Gothic" w:cs="Arial"/>
          <w:sz w:val="24"/>
          <w:szCs w:val="24"/>
          <w:lang w:val="es-ES_tradnl"/>
        </w:rPr>
        <w:t>s</w:t>
      </w:r>
      <w:r w:rsidRPr="00243589">
        <w:rPr>
          <w:rFonts w:ascii="Century Gothic" w:hAnsi="Century Gothic" w:cs="Arial"/>
          <w:sz w:val="24"/>
          <w:szCs w:val="24"/>
          <w:lang w:val="es-ES_tradnl"/>
        </w:rPr>
        <w:t xml:space="preserve"> del </w:t>
      </w:r>
      <w:r w:rsidRPr="00ED7B16">
        <w:rPr>
          <w:rFonts w:ascii="Century Gothic" w:hAnsi="Century Gothic" w:cs="Arial"/>
          <w:b/>
          <w:sz w:val="24"/>
          <w:szCs w:val="24"/>
          <w:lang w:val="es-ES_tradnl"/>
        </w:rPr>
        <w:t>Grupo Parlamentario de MORENA</w:t>
      </w:r>
      <w:r>
        <w:rPr>
          <w:rFonts w:ascii="Century Gothic" w:hAnsi="Century Gothic" w:cs="Arial"/>
          <w:sz w:val="24"/>
          <w:szCs w:val="24"/>
          <w:lang w:val="es-ES_tradnl"/>
        </w:rPr>
        <w:t>, acudimos</w:t>
      </w:r>
      <w:r w:rsidRPr="00243589">
        <w:rPr>
          <w:rFonts w:ascii="Century Gothic" w:hAnsi="Century Gothic" w:cs="Arial"/>
          <w:sz w:val="24"/>
          <w:szCs w:val="24"/>
          <w:lang w:val="es-ES_tradnl"/>
        </w:rPr>
        <w:t xml:space="preserve"> ante esta Honorable Representación Popular, en uso de las atribuciones conferidas por lo dispuesto </w:t>
      </w:r>
      <w:r>
        <w:rPr>
          <w:rFonts w:ascii="Century Gothic" w:hAnsi="Century Gothic" w:cs="Arial"/>
          <w:sz w:val="24"/>
          <w:szCs w:val="24"/>
          <w:lang w:val="es-ES_tradnl"/>
        </w:rPr>
        <w:t xml:space="preserve">en el artículo 64 </w:t>
      </w:r>
      <w:r w:rsidRPr="00243589">
        <w:rPr>
          <w:rFonts w:ascii="Century Gothic" w:hAnsi="Century Gothic" w:cs="Arial"/>
          <w:sz w:val="24"/>
          <w:szCs w:val="24"/>
          <w:lang w:val="es-ES_tradnl"/>
        </w:rPr>
        <w:t>de la Constitución Política del Esta</w:t>
      </w:r>
      <w:r>
        <w:rPr>
          <w:rFonts w:ascii="Century Gothic" w:hAnsi="Century Gothic" w:cs="Arial"/>
          <w:sz w:val="24"/>
          <w:szCs w:val="24"/>
          <w:lang w:val="es-ES_tradnl"/>
        </w:rPr>
        <w:t>do de Chihuahua, así como el 168 y 169</w:t>
      </w:r>
      <w:r w:rsidRPr="00243589">
        <w:rPr>
          <w:rFonts w:ascii="Century Gothic" w:hAnsi="Century Gothic" w:cs="Arial"/>
          <w:sz w:val="24"/>
          <w:szCs w:val="24"/>
          <w:lang w:val="es-ES_tradnl"/>
        </w:rPr>
        <w:t xml:space="preserve"> de la Ley Orgánica,</w:t>
      </w:r>
      <w:r>
        <w:rPr>
          <w:rFonts w:ascii="Century Gothic" w:hAnsi="Century Gothic" w:cs="Arial"/>
          <w:sz w:val="24"/>
          <w:szCs w:val="24"/>
          <w:lang w:val="es-ES_tradnl"/>
        </w:rPr>
        <w:t xml:space="preserve"> </w:t>
      </w:r>
      <w:r>
        <w:rPr>
          <w:rFonts w:ascii="Century Gothic" w:hAnsi="Century Gothic" w:cs="Arial"/>
          <w:sz w:val="24"/>
          <w:szCs w:val="24"/>
        </w:rPr>
        <w:t>y</w:t>
      </w:r>
      <w:r w:rsidRPr="00243589">
        <w:rPr>
          <w:rFonts w:ascii="Century Gothic" w:hAnsi="Century Gothic" w:cs="Arial"/>
          <w:sz w:val="24"/>
          <w:szCs w:val="24"/>
        </w:rPr>
        <w:t xml:space="preserve"> los artículos 13 fracc</w:t>
      </w:r>
      <w:r>
        <w:rPr>
          <w:rFonts w:ascii="Century Gothic" w:hAnsi="Century Gothic" w:cs="Arial"/>
          <w:sz w:val="24"/>
          <w:szCs w:val="24"/>
        </w:rPr>
        <w:t xml:space="preserve">ión IV, 75, 76 y 77 fracción I </w:t>
      </w:r>
      <w:r w:rsidRPr="00243589">
        <w:rPr>
          <w:rFonts w:ascii="Century Gothic" w:hAnsi="Century Gothic" w:cs="Arial"/>
          <w:sz w:val="24"/>
          <w:szCs w:val="24"/>
        </w:rPr>
        <w:t xml:space="preserve"> del  Reglamento Interior y de Prácticas Parlamentarias </w:t>
      </w:r>
      <w:r>
        <w:rPr>
          <w:rFonts w:ascii="Century Gothic" w:hAnsi="Century Gothic" w:cs="Arial"/>
          <w:sz w:val="24"/>
          <w:szCs w:val="24"/>
        </w:rPr>
        <w:t xml:space="preserve">ambos ordenamientos </w:t>
      </w:r>
      <w:r w:rsidRPr="00243589">
        <w:rPr>
          <w:rFonts w:ascii="Century Gothic" w:hAnsi="Century Gothic" w:cs="Arial"/>
          <w:sz w:val="24"/>
          <w:szCs w:val="24"/>
          <w:lang w:val="es-ES_tradnl"/>
        </w:rPr>
        <w:t>del Poder Legislativo del Estado de Chihuahua</w:t>
      </w:r>
      <w:r>
        <w:rPr>
          <w:rFonts w:ascii="Century Gothic" w:hAnsi="Century Gothic" w:cs="Arial"/>
          <w:sz w:val="24"/>
          <w:szCs w:val="24"/>
        </w:rPr>
        <w:t>,</w:t>
      </w:r>
      <w:r w:rsidRPr="00243589">
        <w:rPr>
          <w:rFonts w:ascii="Century Gothic" w:hAnsi="Century Gothic" w:cs="Arial"/>
          <w:sz w:val="24"/>
          <w:szCs w:val="24"/>
          <w:lang w:val="es-ES_tradnl"/>
        </w:rPr>
        <w:t xml:space="preserve"> a fin de someter a su consideración el siguiente </w:t>
      </w:r>
      <w:r>
        <w:rPr>
          <w:rFonts w:ascii="Century Gothic" w:hAnsi="Century Gothic" w:cs="Arial"/>
          <w:sz w:val="24"/>
          <w:szCs w:val="24"/>
          <w:lang w:val="es-ES_tradnl"/>
        </w:rPr>
        <w:t xml:space="preserve">proyecto con carácter de </w:t>
      </w:r>
      <w:r w:rsidR="00E73285" w:rsidRPr="00143D86">
        <w:rPr>
          <w:rFonts w:ascii="Century Gothic" w:eastAsia="Century Gothic" w:hAnsi="Century Gothic" w:cs="Century Gothic"/>
          <w:b/>
          <w:color w:val="000000"/>
          <w:sz w:val="24"/>
          <w:szCs w:val="24"/>
        </w:rPr>
        <w:t xml:space="preserve">Decreto, por medio de la cual se crea la Mesa Técnica en materia de Fomento, Regulación y Fortalecimiento de la Proveeduría,  </w:t>
      </w:r>
      <w:r w:rsidR="00E73285">
        <w:rPr>
          <w:rFonts w:ascii="Century Gothic" w:eastAsia="Century Gothic" w:hAnsi="Century Gothic" w:cs="Century Gothic"/>
          <w:sz w:val="24"/>
          <w:szCs w:val="24"/>
        </w:rPr>
        <w:t>la cual tendrá como objetivo la redacción de propuestas para la instrumentación de una legislación estatal en la materia.</w:t>
      </w:r>
      <w:r w:rsidR="00E73285">
        <w:rPr>
          <w:rFonts w:ascii="Century Gothic" w:eastAsia="Century Gothic" w:hAnsi="Century Gothic" w:cs="Century Gothic"/>
          <w:b/>
          <w:color w:val="000000"/>
          <w:sz w:val="24"/>
          <w:szCs w:val="24"/>
          <w:u w:val="single"/>
        </w:rPr>
        <w:t xml:space="preserve"> </w:t>
      </w:r>
    </w:p>
    <w:p w14:paraId="00000005" w14:textId="77777777" w:rsidR="00DA0B04" w:rsidRDefault="00DA0B04">
      <w:pPr>
        <w:spacing w:line="360" w:lineRule="auto"/>
        <w:jc w:val="both"/>
        <w:rPr>
          <w:rFonts w:ascii="Century Gothic" w:eastAsia="Century Gothic" w:hAnsi="Century Gothic" w:cs="Century Gothic"/>
          <w:b/>
          <w:sz w:val="24"/>
          <w:szCs w:val="24"/>
          <w:u w:val="single"/>
        </w:rPr>
      </w:pPr>
    </w:p>
    <w:p w14:paraId="00000006"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w:t>
      </w:r>
      <w:r>
        <w:rPr>
          <w:rFonts w:ascii="Century Gothic" w:eastAsia="Century Gothic" w:hAnsi="Century Gothic" w:cs="Century Gothic"/>
          <w:color w:val="000000"/>
          <w:sz w:val="24"/>
          <w:szCs w:val="24"/>
        </w:rPr>
        <w:t>o anterior con sustento en la siguiente:</w:t>
      </w:r>
    </w:p>
    <w:p w14:paraId="00000007" w14:textId="77777777" w:rsidR="00DA0B04" w:rsidRDefault="00DA0B04">
      <w:pPr>
        <w:jc w:val="both"/>
        <w:rPr>
          <w:rFonts w:ascii="Century Gothic" w:eastAsia="Century Gothic" w:hAnsi="Century Gothic" w:cs="Century Gothic"/>
          <w:sz w:val="24"/>
          <w:szCs w:val="24"/>
        </w:rPr>
      </w:pPr>
    </w:p>
    <w:p w14:paraId="00000008" w14:textId="77777777" w:rsidR="00DA0B04" w:rsidRDefault="00E7328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EXPOSICIÓN DE MOTIVOS:</w:t>
      </w:r>
    </w:p>
    <w:p w14:paraId="00000009" w14:textId="77777777" w:rsidR="00DA0B04" w:rsidRDefault="00DA0B04">
      <w:pPr>
        <w:jc w:val="center"/>
        <w:rPr>
          <w:rFonts w:ascii="Century Gothic" w:eastAsia="Century Gothic" w:hAnsi="Century Gothic" w:cs="Century Gothic"/>
          <w:b/>
          <w:sz w:val="28"/>
          <w:szCs w:val="28"/>
        </w:rPr>
      </w:pPr>
    </w:p>
    <w:p w14:paraId="0000000A"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ya conocidas y mayormente sufridas condiciones económicas actuales requieren de la implementación de políticas y mecanismos que impulsen el </w:t>
      </w:r>
      <w:r>
        <w:rPr>
          <w:rFonts w:ascii="Century Gothic" w:eastAsia="Century Gothic" w:hAnsi="Century Gothic" w:cs="Century Gothic"/>
          <w:sz w:val="24"/>
          <w:szCs w:val="24"/>
        </w:rPr>
        <w:lastRenderedPageBreak/>
        <w:t xml:space="preserve">desarrollo de la economía local favoreciendo la productividad y competitividad permitiendo aclarar y  mejorar el panorama. </w:t>
      </w:r>
    </w:p>
    <w:p w14:paraId="0000000B" w14:textId="77777777" w:rsidR="00DA0B04" w:rsidRDefault="00DA0B04">
      <w:pPr>
        <w:spacing w:line="360" w:lineRule="auto"/>
        <w:jc w:val="both"/>
        <w:rPr>
          <w:rFonts w:ascii="Century Gothic" w:eastAsia="Century Gothic" w:hAnsi="Century Gothic" w:cs="Century Gothic"/>
          <w:sz w:val="24"/>
          <w:szCs w:val="24"/>
        </w:rPr>
      </w:pPr>
    </w:p>
    <w:p w14:paraId="0000000C"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tal virtud, con el fin de que, la mejora económica no se vuelva tan solo una buena intención, se requiere impulsar la estructura comercial y empresarial a nivel local explotando el potencial aprovechando las condiciones actuales.</w:t>
      </w:r>
    </w:p>
    <w:p w14:paraId="0000000D" w14:textId="77777777" w:rsidR="00DA0B04" w:rsidRDefault="00DA0B04">
      <w:pPr>
        <w:spacing w:line="360" w:lineRule="auto"/>
        <w:jc w:val="both"/>
        <w:rPr>
          <w:rFonts w:ascii="Century Gothic" w:eastAsia="Century Gothic" w:hAnsi="Century Gothic" w:cs="Century Gothic"/>
          <w:sz w:val="24"/>
          <w:szCs w:val="24"/>
        </w:rPr>
      </w:pPr>
    </w:p>
    <w:p w14:paraId="0000000E"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Aquellos países que quieren pasar de ser maquiladores de ideas de compañías extranjeras, a economías desarrolladas, basan su crecimiento no en la explotación de recursos naturales sino en el desarrollo de sus propias ideas creativas llevadas al mercado. Su estrategia a mediano y largo plazo, se sustenta en darle un mayor valor agregado a los productos o servicios que ofrecen al mercado. Tal es el caso de China, nación que ha permitido la operación de grandes empresas transnacionales a la vez que aprenden y desarrollan las suyas. China no sólo ha elevado el porcentaje de proveeduría doméstica a las cadenas de exportación, también ha podido desarrollar empresas que ahora compiten a escala global como Lenovo o Huawei.</w:t>
      </w:r>
    </w:p>
    <w:p w14:paraId="0000000F" w14:textId="77777777" w:rsidR="00DA0B04" w:rsidRPr="00143D86" w:rsidRDefault="00DA0B04">
      <w:pPr>
        <w:spacing w:line="360" w:lineRule="auto"/>
        <w:jc w:val="both"/>
        <w:rPr>
          <w:rFonts w:ascii="Century Gothic" w:eastAsia="Century Gothic" w:hAnsi="Century Gothic" w:cs="Century Gothic"/>
          <w:sz w:val="24"/>
          <w:szCs w:val="24"/>
        </w:rPr>
      </w:pPr>
    </w:p>
    <w:p w14:paraId="00000010"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Ahora bien, de acuerdo con cifras al mes de junio </w:t>
      </w:r>
      <w:r w:rsidRPr="00143D86">
        <w:rPr>
          <w:rFonts w:ascii="Century Gothic" w:eastAsia="Century Gothic" w:hAnsi="Century Gothic" w:cs="Century Gothic"/>
          <w:color w:val="000000"/>
          <w:sz w:val="24"/>
          <w:szCs w:val="24"/>
        </w:rPr>
        <w:t xml:space="preserve">de 2021, la industria maquiladora </w:t>
      </w:r>
      <w:r w:rsidRPr="00143D86">
        <w:rPr>
          <w:rFonts w:ascii="Century Gothic" w:eastAsia="Century Gothic" w:hAnsi="Century Gothic" w:cs="Century Gothic"/>
          <w:sz w:val="24"/>
          <w:szCs w:val="24"/>
        </w:rPr>
        <w:t>genera el 62% de</w:t>
      </w:r>
      <w:r w:rsidRPr="00143D86">
        <w:rPr>
          <w:rFonts w:ascii="Century Gothic" w:eastAsia="Century Gothic" w:hAnsi="Century Gothic" w:cs="Century Gothic"/>
          <w:color w:val="000000"/>
          <w:sz w:val="24"/>
          <w:szCs w:val="24"/>
        </w:rPr>
        <w:t xml:space="preserve"> empleos</w:t>
      </w:r>
      <w:r w:rsidRPr="00143D86">
        <w:rPr>
          <w:rFonts w:ascii="Century Gothic" w:eastAsia="Century Gothic" w:hAnsi="Century Gothic" w:cs="Century Gothic"/>
          <w:sz w:val="24"/>
          <w:szCs w:val="24"/>
        </w:rPr>
        <w:t xml:space="preserve"> en</w:t>
      </w:r>
      <w:r w:rsidRPr="00143D86">
        <w:rPr>
          <w:rFonts w:ascii="Century Gothic" w:eastAsia="Century Gothic" w:hAnsi="Century Gothic" w:cs="Century Gothic"/>
          <w:color w:val="000000"/>
          <w:sz w:val="24"/>
          <w:szCs w:val="24"/>
        </w:rPr>
        <w:t xml:space="preserve"> Ciudad Juárez </w:t>
      </w:r>
      <w:r w:rsidRPr="00143D86">
        <w:rPr>
          <w:rFonts w:ascii="Century Gothic" w:eastAsia="Century Gothic" w:hAnsi="Century Gothic" w:cs="Century Gothic"/>
          <w:sz w:val="24"/>
          <w:szCs w:val="24"/>
        </w:rPr>
        <w:t xml:space="preserve"> y </w:t>
      </w:r>
      <w:r w:rsidRPr="00143D86">
        <w:rPr>
          <w:rFonts w:ascii="Century Gothic" w:eastAsia="Century Gothic" w:hAnsi="Century Gothic" w:cs="Century Gothic"/>
          <w:color w:val="000000"/>
          <w:sz w:val="24"/>
          <w:szCs w:val="24"/>
        </w:rPr>
        <w:t xml:space="preserve">43% de los empleos en </w:t>
      </w:r>
      <w:r w:rsidRPr="00143D86">
        <w:rPr>
          <w:rFonts w:ascii="Century Gothic" w:eastAsia="Century Gothic" w:hAnsi="Century Gothic" w:cs="Century Gothic"/>
          <w:sz w:val="24"/>
          <w:szCs w:val="24"/>
        </w:rPr>
        <w:t xml:space="preserve">todo </w:t>
      </w:r>
      <w:r w:rsidRPr="00143D86">
        <w:rPr>
          <w:rFonts w:ascii="Century Gothic" w:eastAsia="Century Gothic" w:hAnsi="Century Gothic" w:cs="Century Gothic"/>
          <w:color w:val="000000"/>
          <w:sz w:val="24"/>
          <w:szCs w:val="24"/>
        </w:rPr>
        <w:t>el estado; lamentablemente, a pesar de representar una actividad altamente rentable, del tot</w:t>
      </w:r>
      <w:r w:rsidRPr="00143D86">
        <w:rPr>
          <w:rFonts w:ascii="Century Gothic" w:eastAsia="Century Gothic" w:hAnsi="Century Gothic" w:cs="Century Gothic"/>
          <w:sz w:val="24"/>
          <w:szCs w:val="24"/>
        </w:rPr>
        <w:t xml:space="preserve">al de los insumos necesarios </w:t>
      </w:r>
      <w:r w:rsidRPr="00143D86">
        <w:rPr>
          <w:rFonts w:ascii="Century Gothic" w:eastAsia="Century Gothic" w:hAnsi="Century Gothic" w:cs="Century Gothic"/>
          <w:color w:val="000000"/>
          <w:sz w:val="24"/>
          <w:szCs w:val="24"/>
        </w:rPr>
        <w:t xml:space="preserve">tan solo el 2% </w:t>
      </w:r>
      <w:r w:rsidRPr="00143D86">
        <w:rPr>
          <w:rFonts w:ascii="Century Gothic" w:eastAsia="Century Gothic" w:hAnsi="Century Gothic" w:cs="Century Gothic"/>
          <w:sz w:val="24"/>
          <w:szCs w:val="24"/>
        </w:rPr>
        <w:t xml:space="preserve">son de origen nacional y/o local mientras que el resto se importa.  </w:t>
      </w:r>
      <w:r w:rsidRPr="00143D86">
        <w:rPr>
          <w:rFonts w:ascii="Century Gothic" w:eastAsia="Century Gothic" w:hAnsi="Century Gothic" w:cs="Century Gothic"/>
          <w:color w:val="000000"/>
          <w:sz w:val="24"/>
          <w:szCs w:val="24"/>
        </w:rPr>
        <w:t xml:space="preserve">La </w:t>
      </w:r>
      <w:r w:rsidRPr="00143D86">
        <w:rPr>
          <w:rFonts w:ascii="Century Gothic" w:eastAsia="Century Gothic" w:hAnsi="Century Gothic" w:cs="Century Gothic"/>
          <w:color w:val="000000"/>
          <w:sz w:val="24"/>
          <w:szCs w:val="24"/>
        </w:rPr>
        <w:lastRenderedPageBreak/>
        <w:t>cantidad de insumos que se consumen en la industria maquiladora supera por mucho al gasto en presupuesto estatal del año 2021.</w:t>
      </w:r>
    </w:p>
    <w:p w14:paraId="00000011" w14:textId="77777777" w:rsidR="00DA0B04" w:rsidRPr="00143D86" w:rsidRDefault="00DA0B04">
      <w:pPr>
        <w:spacing w:line="360" w:lineRule="auto"/>
        <w:jc w:val="both"/>
        <w:rPr>
          <w:rFonts w:ascii="Century Gothic" w:eastAsia="Century Gothic" w:hAnsi="Century Gothic" w:cs="Century Gothic"/>
          <w:sz w:val="24"/>
          <w:szCs w:val="24"/>
        </w:rPr>
      </w:pPr>
    </w:p>
    <w:p w14:paraId="00000012" w14:textId="77777777" w:rsidR="00DA0B04" w:rsidRPr="00143D86" w:rsidRDefault="00E73285">
      <w:pPr>
        <w:spacing w:line="360" w:lineRule="auto"/>
        <w:jc w:val="both"/>
        <w:rPr>
          <w:rFonts w:ascii="Century Gothic" w:eastAsia="Century Gothic" w:hAnsi="Century Gothic" w:cs="Century Gothic"/>
          <w:color w:val="000000"/>
          <w:sz w:val="24"/>
          <w:szCs w:val="24"/>
        </w:rPr>
      </w:pPr>
      <w:r w:rsidRPr="00143D86">
        <w:rPr>
          <w:rFonts w:ascii="Century Gothic" w:eastAsia="Century Gothic" w:hAnsi="Century Gothic" w:cs="Century Gothic"/>
          <w:color w:val="000000"/>
          <w:sz w:val="24"/>
          <w:szCs w:val="24"/>
        </w:rPr>
        <w:t>Como parte de los indicadores, encontramos que el 37% de las personas empleadas se encuentran en las microempresas, mientras que las grandes empresas  brindan el 33% de los empleos. Por otra parte, el sector de servicios es el que más aporta al Producto Interno Bruto con una contribución del 38% mientras que el sector manufacturero le aporta al PIB un 26%</w:t>
      </w:r>
    </w:p>
    <w:p w14:paraId="00000013" w14:textId="77777777" w:rsidR="00DA0B04" w:rsidRPr="00143D86" w:rsidRDefault="00DA0B04">
      <w:pPr>
        <w:spacing w:line="360" w:lineRule="auto"/>
        <w:jc w:val="both"/>
        <w:rPr>
          <w:rFonts w:ascii="Century Gothic" w:eastAsia="Century Gothic" w:hAnsi="Century Gothic" w:cs="Century Gothic"/>
          <w:sz w:val="24"/>
          <w:szCs w:val="24"/>
        </w:rPr>
      </w:pPr>
    </w:p>
    <w:p w14:paraId="00000014"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En este sentido, la proveeduría  entendida como la actividad mediante la cual una persona ya sea física o moral suministra insumos a la cadena productiva de un bien o servicio, es un aspecto que requiere de impulso, fortalecimiento y la debida regulación con el fin de incrementar los flujos económicos, propiciar la creación de empleos y generar condiciones de estabilidad financiera a través de su debida regulación.</w:t>
      </w:r>
    </w:p>
    <w:p w14:paraId="00000015" w14:textId="77777777" w:rsidR="00DA0B04" w:rsidRPr="00143D86" w:rsidRDefault="00DA0B04">
      <w:pPr>
        <w:spacing w:line="360" w:lineRule="auto"/>
        <w:jc w:val="both"/>
        <w:rPr>
          <w:rFonts w:ascii="Century Gothic" w:eastAsia="Century Gothic" w:hAnsi="Century Gothic" w:cs="Century Gothic"/>
          <w:sz w:val="24"/>
          <w:szCs w:val="24"/>
        </w:rPr>
      </w:pPr>
    </w:p>
    <w:p w14:paraId="00000016"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En Baja California y Sonora,  son estados en los que  se cuenta actualmente con una Ley de Proveeduría que los coloca en una mejor posición para la inversión y por consiguiente, el desarrollo económico.</w:t>
      </w:r>
    </w:p>
    <w:p w14:paraId="00000017" w14:textId="77777777" w:rsidR="00DA0B04" w:rsidRPr="00143D86" w:rsidRDefault="00DA0B04">
      <w:pPr>
        <w:spacing w:line="360" w:lineRule="auto"/>
        <w:jc w:val="both"/>
        <w:rPr>
          <w:rFonts w:ascii="Century Gothic" w:eastAsia="Century Gothic" w:hAnsi="Century Gothic" w:cs="Century Gothic"/>
          <w:sz w:val="24"/>
          <w:szCs w:val="24"/>
        </w:rPr>
      </w:pPr>
    </w:p>
    <w:p w14:paraId="00000018"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Actualmente, se estima que tan solo alrededor de un 2% de los insumos de la industria maquiladora de Ciudad Juárez son comprados a empresas nacionales y/o locales; en la ciudad de Chihuahua, las maquiladoras compran un 9% de sus insumos a proveedores nacionales o locales, cifras que quedan muy abajo de ciudades como  México y León, en donde </w:t>
      </w:r>
      <w:r w:rsidRPr="00143D86">
        <w:rPr>
          <w:rFonts w:ascii="Century Gothic" w:eastAsia="Century Gothic" w:hAnsi="Century Gothic" w:cs="Century Gothic"/>
          <w:sz w:val="24"/>
          <w:szCs w:val="24"/>
        </w:rPr>
        <w:lastRenderedPageBreak/>
        <w:t>localmente se  venden más del 60% de los insumos a la industria, generando una importante derrama económica. En la ciudad de Querétaro, donde se compra el 31% de los insumos a proveedores locales, la cifra anual derivada de esta actividad se traduce la derrama de  más de 43 mil millones de pesos</w:t>
      </w:r>
    </w:p>
    <w:p w14:paraId="00000019" w14:textId="77777777" w:rsidR="00DA0B04" w:rsidRPr="00143D86" w:rsidRDefault="00DA0B04">
      <w:pPr>
        <w:spacing w:line="360" w:lineRule="auto"/>
        <w:jc w:val="both"/>
        <w:rPr>
          <w:rFonts w:ascii="Century Gothic" w:eastAsia="Century Gothic" w:hAnsi="Century Gothic" w:cs="Century Gothic"/>
          <w:sz w:val="24"/>
          <w:szCs w:val="24"/>
        </w:rPr>
      </w:pPr>
    </w:p>
    <w:p w14:paraId="0000001A"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En tal virtud, si estimamos de manera muy conservadora que a través de la regulación de la proveeduría, el porcentaje de compras a proveedores locales se duplicara, se generarían mayores empleos además de que se diversificarían y dignificarían, sin dejar de lado la necesaria derrama económica que esto implica.</w:t>
      </w:r>
    </w:p>
    <w:p w14:paraId="0000001B" w14:textId="77777777" w:rsidR="00DA0B04" w:rsidRPr="00143D86" w:rsidRDefault="00DA0B04">
      <w:pPr>
        <w:spacing w:line="360" w:lineRule="auto"/>
        <w:jc w:val="both"/>
        <w:rPr>
          <w:rFonts w:ascii="Century Gothic" w:eastAsia="Century Gothic" w:hAnsi="Century Gothic" w:cs="Century Gothic"/>
          <w:sz w:val="24"/>
          <w:szCs w:val="24"/>
        </w:rPr>
      </w:pPr>
    </w:p>
    <w:p w14:paraId="0000001C"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Lo anterior no se limita únicamente a que los empleos puedan ser  mejor pagados sino que el emprendimiento sería una alternativa alcanzable para aquellas personas que tienen la experiencia en el ramo, pudiendo entonces convertirse en proveedores no solamente para la industria maquiladora, sino para el sector gubernamental.</w:t>
      </w:r>
    </w:p>
    <w:p w14:paraId="0000001D" w14:textId="77777777" w:rsidR="00DA0B04" w:rsidRPr="00143D86" w:rsidRDefault="00DA0B04">
      <w:pPr>
        <w:spacing w:line="360" w:lineRule="auto"/>
        <w:jc w:val="both"/>
        <w:rPr>
          <w:rFonts w:ascii="Century Gothic" w:eastAsia="Century Gothic" w:hAnsi="Century Gothic" w:cs="Century Gothic"/>
          <w:sz w:val="24"/>
          <w:szCs w:val="24"/>
        </w:rPr>
      </w:pPr>
    </w:p>
    <w:p w14:paraId="0000001E"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Recordemos que durante la mayor parte de la pasada administración en el periodo comprendido entre 2016 y 2020, únicamente se instalaron 12 maquiladoras en todo el estado, de entre ellas 5 se establecieron en Ciudad Juárez.</w:t>
      </w:r>
    </w:p>
    <w:p w14:paraId="0000001F" w14:textId="77777777" w:rsidR="00DA0B04" w:rsidRPr="00143D86" w:rsidRDefault="00DA0B04">
      <w:pPr>
        <w:spacing w:line="360" w:lineRule="auto"/>
        <w:jc w:val="both"/>
        <w:rPr>
          <w:rFonts w:ascii="Century Gothic" w:eastAsia="Century Gothic" w:hAnsi="Century Gothic" w:cs="Century Gothic"/>
          <w:sz w:val="24"/>
          <w:szCs w:val="24"/>
        </w:rPr>
      </w:pPr>
    </w:p>
    <w:p w14:paraId="00000020" w14:textId="77777777" w:rsidR="00DA0B04" w:rsidRPr="00143D86" w:rsidRDefault="00E73285">
      <w:pPr>
        <w:spacing w:line="360" w:lineRule="auto"/>
        <w:jc w:val="both"/>
        <w:rPr>
          <w:rFonts w:ascii="Century Gothic" w:eastAsia="Century Gothic" w:hAnsi="Century Gothic" w:cs="Century Gothic"/>
          <w:color w:val="212529"/>
          <w:sz w:val="24"/>
          <w:szCs w:val="24"/>
          <w:highlight w:val="white"/>
        </w:rPr>
      </w:pPr>
      <w:r w:rsidRPr="00143D86">
        <w:rPr>
          <w:rFonts w:ascii="Century Gothic" w:eastAsia="Century Gothic" w:hAnsi="Century Gothic" w:cs="Century Gothic"/>
          <w:color w:val="212529"/>
          <w:sz w:val="24"/>
          <w:szCs w:val="24"/>
          <w:highlight w:val="white"/>
        </w:rPr>
        <w:t xml:space="preserve">Debemos resaltar que para varias empresas transnacionales, es de gran importancia contar con el apoyo de proveedores con sede en México, que </w:t>
      </w:r>
      <w:r w:rsidRPr="00143D86">
        <w:rPr>
          <w:rFonts w:ascii="Century Gothic" w:eastAsia="Century Gothic" w:hAnsi="Century Gothic" w:cs="Century Gothic"/>
          <w:color w:val="212529"/>
          <w:sz w:val="24"/>
          <w:szCs w:val="24"/>
          <w:highlight w:val="white"/>
        </w:rPr>
        <w:lastRenderedPageBreak/>
        <w:t xml:space="preserve">les permitan disminuir costos logísticos, inventario y que ofrezcan pronta entrega de material. </w:t>
      </w:r>
    </w:p>
    <w:p w14:paraId="00000021" w14:textId="77777777" w:rsidR="00DA0B04" w:rsidRPr="00143D86" w:rsidRDefault="00DA0B04">
      <w:pPr>
        <w:spacing w:line="360" w:lineRule="auto"/>
        <w:jc w:val="both"/>
        <w:rPr>
          <w:rFonts w:ascii="Century Gothic" w:eastAsia="Century Gothic" w:hAnsi="Century Gothic" w:cs="Century Gothic"/>
          <w:color w:val="212529"/>
          <w:sz w:val="24"/>
          <w:szCs w:val="24"/>
          <w:highlight w:val="white"/>
        </w:rPr>
      </w:pPr>
    </w:p>
    <w:p w14:paraId="00000022"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Ahondando en el tema  de la regulación de la proveeduría, la intención principal es apoyar, fomentar y mantener las actividades de los particulares en el estado con miras a la  implementación de las políticas públicas en materia de desarrollo empresarial.  La profesionalización de la proveeduría es además una herramienta que genera confianza entre los consumidores además de facilitar el crecimiento del mercado promoviendo el desarrollo de tecnologías, lo cual es sin duda benéfico para la economía.</w:t>
      </w:r>
    </w:p>
    <w:p w14:paraId="00000023" w14:textId="77777777" w:rsidR="00DA0B04" w:rsidRPr="00143D86" w:rsidRDefault="00DA0B04">
      <w:pPr>
        <w:spacing w:line="360" w:lineRule="auto"/>
        <w:jc w:val="both"/>
        <w:rPr>
          <w:rFonts w:ascii="Century Gothic" w:eastAsia="Century Gothic" w:hAnsi="Century Gothic" w:cs="Century Gothic"/>
          <w:sz w:val="24"/>
          <w:szCs w:val="24"/>
        </w:rPr>
      </w:pPr>
    </w:p>
    <w:p w14:paraId="00000024"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Se estima que la correcta regulación y la implementación de mecanismos que estimulen la proveeduría local, representan una oportunidad millonaria dada la importante inversión que tan solo la industria maquiladora realiza: para el pasado 2020, el monto que las maquiladoras establecidas en el estado destinaron para compra de insumos fue de más de 892 mil millones de pesos, de los cuales alrededor de 792 mil millones fueron destinados para compra de insumos por maquiladoras de Ciudad Juárez. </w:t>
      </w:r>
    </w:p>
    <w:p w14:paraId="00000025" w14:textId="77777777" w:rsidR="00DA0B04" w:rsidRPr="00143D86" w:rsidRDefault="00DA0B04">
      <w:pPr>
        <w:spacing w:line="360" w:lineRule="auto"/>
        <w:jc w:val="both"/>
        <w:rPr>
          <w:rFonts w:ascii="Century Gothic" w:eastAsia="Century Gothic" w:hAnsi="Century Gothic" w:cs="Century Gothic"/>
          <w:sz w:val="24"/>
          <w:szCs w:val="24"/>
        </w:rPr>
      </w:pPr>
    </w:p>
    <w:p w14:paraId="00000026" w14:textId="159BDF81"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Ahora bien, es necesario puntualizar  que, esta propuesta deriva de diversas peticiones que han hecho a un servidor diversos organismos empresariales, en busca de un espacio que les permita participar en la elaboración de los lineamientos </w:t>
      </w:r>
      <w:r w:rsidR="004A32F3">
        <w:rPr>
          <w:rFonts w:ascii="Century Gothic" w:eastAsia="Century Gothic" w:hAnsi="Century Gothic" w:cs="Century Gothic"/>
          <w:sz w:val="24"/>
          <w:szCs w:val="24"/>
        </w:rPr>
        <w:t xml:space="preserve">que </w:t>
      </w:r>
      <w:r w:rsidRPr="00143D86">
        <w:rPr>
          <w:rFonts w:ascii="Century Gothic" w:eastAsia="Century Gothic" w:hAnsi="Century Gothic" w:cs="Century Gothic"/>
          <w:sz w:val="24"/>
          <w:szCs w:val="24"/>
        </w:rPr>
        <w:t>detonen el desarrollo económico de la región.</w:t>
      </w:r>
    </w:p>
    <w:p w14:paraId="00000027" w14:textId="77777777" w:rsidR="00DA0B04" w:rsidRPr="00143D86" w:rsidRDefault="00DA0B04">
      <w:pPr>
        <w:spacing w:line="360" w:lineRule="auto"/>
        <w:jc w:val="both"/>
        <w:rPr>
          <w:rFonts w:ascii="Century Gothic" w:eastAsia="Century Gothic" w:hAnsi="Century Gothic" w:cs="Century Gothic"/>
          <w:sz w:val="24"/>
          <w:szCs w:val="24"/>
        </w:rPr>
      </w:pPr>
    </w:p>
    <w:p w14:paraId="00000028"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lastRenderedPageBreak/>
        <w:t>Como ya lo hemos externado en esta tribuna, las condiciones económicas actuales nos obligan a buscar nuevas estrategias que permitan construir acuerdos y documentos con alto nivel de especialidad, en el menor tiempo posible, por lo que, partiendo de este punto, es necesario aprovechar los mecanismos ya existentes en la experiencia legislativa, que han demostrado su utilidad para enfrentar dicho reto.</w:t>
      </w:r>
    </w:p>
    <w:p w14:paraId="00000029" w14:textId="77777777" w:rsidR="00DA0B04" w:rsidRPr="00143D86" w:rsidRDefault="00DA0B04">
      <w:pPr>
        <w:spacing w:line="360" w:lineRule="auto"/>
        <w:jc w:val="both"/>
        <w:rPr>
          <w:rFonts w:ascii="Century Gothic" w:eastAsia="Century Gothic" w:hAnsi="Century Gothic" w:cs="Century Gothic"/>
          <w:sz w:val="24"/>
          <w:szCs w:val="24"/>
        </w:rPr>
      </w:pPr>
    </w:p>
    <w:p w14:paraId="0000002A"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Generalmente, en nuestra actividad parlamentaria, las mesas técnicas creadas por acuerdo de comisión se han instalado para analizar los documentos ya presentados para su dictamen, a fin de realizar un estudio preciso de las implicaciones jurídicas de las iniciativas; no obstante, existen antecedentes de otro tipo de mesas técnicas, creadas vía decreto por medio de las cuales se analiza el contenido de las propuestas relacionadas directa o indirectamente con la materia de interés y llegar a un consenso respecto a la legislación base</w:t>
      </w:r>
    </w:p>
    <w:p w14:paraId="0000002B" w14:textId="77777777" w:rsidR="00DA0B04" w:rsidRPr="00143D86" w:rsidRDefault="00DA0B04">
      <w:pPr>
        <w:spacing w:line="360" w:lineRule="auto"/>
        <w:jc w:val="both"/>
        <w:rPr>
          <w:rFonts w:ascii="Century Gothic" w:eastAsia="Century Gothic" w:hAnsi="Century Gothic" w:cs="Century Gothic"/>
          <w:sz w:val="24"/>
          <w:szCs w:val="24"/>
        </w:rPr>
      </w:pPr>
    </w:p>
    <w:p w14:paraId="0000002C"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Es por ello que la presente propuesta versa sobre la creación de una mesa técnica con miras a generar un proyecto sea realmente integral, incluyente y congruente, teniendo así la oportunidad de brindar a la sociedad chihuahuense un producto que les sea útil. Con el fin de asegurar un trabajo plural, se sugiere que la mesa técnica esté integrada con representantes de los sectores privados, públicos en los tres niveles, así como de la academia.</w:t>
      </w:r>
    </w:p>
    <w:p w14:paraId="0000002D" w14:textId="77777777" w:rsidR="00DA0B04" w:rsidRPr="00143D86" w:rsidRDefault="00DA0B04">
      <w:pPr>
        <w:spacing w:line="360" w:lineRule="auto"/>
        <w:jc w:val="both"/>
        <w:rPr>
          <w:rFonts w:ascii="Century Gothic" w:eastAsia="Century Gothic" w:hAnsi="Century Gothic" w:cs="Century Gothic"/>
          <w:sz w:val="24"/>
          <w:szCs w:val="24"/>
        </w:rPr>
      </w:pPr>
    </w:p>
    <w:p w14:paraId="0000002E" w14:textId="77777777" w:rsidR="00DA0B04" w:rsidRPr="00143D86" w:rsidRDefault="00E73285">
      <w:pPr>
        <w:spacing w:line="360" w:lineRule="auto"/>
        <w:jc w:val="both"/>
        <w:rPr>
          <w:rFonts w:ascii="Century Gothic" w:eastAsia="Century Gothic" w:hAnsi="Century Gothic" w:cs="Century Gothic"/>
          <w:sz w:val="24"/>
          <w:szCs w:val="24"/>
        </w:rPr>
      </w:pPr>
      <w:r w:rsidRPr="00143D86">
        <w:rPr>
          <w:rFonts w:ascii="Century Gothic" w:eastAsia="Century Gothic" w:hAnsi="Century Gothic" w:cs="Century Gothic"/>
          <w:sz w:val="24"/>
          <w:szCs w:val="24"/>
        </w:rPr>
        <w:t xml:space="preserve">Aunado a lo anterior, con el  fin de que  el fomento y la posible regulación local en materia de proveeduría sea una de las más completas, actuales, </w:t>
      </w:r>
      <w:r w:rsidRPr="00143D86">
        <w:rPr>
          <w:rFonts w:ascii="Century Gothic" w:eastAsia="Century Gothic" w:hAnsi="Century Gothic" w:cs="Century Gothic"/>
          <w:sz w:val="24"/>
          <w:szCs w:val="24"/>
        </w:rPr>
        <w:lastRenderedPageBreak/>
        <w:t xml:space="preserve">así como que se asegure la integralidad e interdependencia de sus ordenamientos de políticas públicas,  hacemos hincapié en la intención es formalizar una mesa técnica que funja como consultora en la integración, análisis y  redacción  de propuestas trabajando además de manera conjunta para la elaboración de un diagnóstico del mercado de la proveeduría con la participación de entes públicos y privados que sea el punto de partida para la posible instrumentación de una Ley de Proveeduría. </w:t>
      </w:r>
    </w:p>
    <w:p w14:paraId="0000002F" w14:textId="77777777" w:rsidR="00DA0B04" w:rsidRDefault="00DA0B04">
      <w:pPr>
        <w:spacing w:line="360" w:lineRule="auto"/>
        <w:jc w:val="both"/>
        <w:rPr>
          <w:rFonts w:ascii="Century Gothic" w:eastAsia="Century Gothic" w:hAnsi="Century Gothic" w:cs="Century Gothic"/>
          <w:sz w:val="24"/>
          <w:szCs w:val="24"/>
        </w:rPr>
      </w:pPr>
    </w:p>
    <w:p w14:paraId="00000030"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por lo anteriormente expuesto que sometemos a consideración del Pleno el presente proyecto con carácter de:</w:t>
      </w:r>
    </w:p>
    <w:p w14:paraId="00000031" w14:textId="77777777" w:rsidR="00DA0B04" w:rsidRDefault="00DA0B04">
      <w:pPr>
        <w:spacing w:line="360" w:lineRule="auto"/>
        <w:jc w:val="center"/>
        <w:rPr>
          <w:rFonts w:ascii="Century Gothic" w:eastAsia="Century Gothic" w:hAnsi="Century Gothic" w:cs="Century Gothic"/>
          <w:b/>
          <w:sz w:val="24"/>
          <w:szCs w:val="24"/>
        </w:rPr>
      </w:pPr>
    </w:p>
    <w:p w14:paraId="00000032" w14:textId="77777777" w:rsidR="00DA0B04" w:rsidRDefault="00E73285">
      <w:pPr>
        <w:spacing w:line="36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DECRETO</w:t>
      </w:r>
    </w:p>
    <w:p w14:paraId="00000033" w14:textId="77777777" w:rsidR="00DA0B04" w:rsidRDefault="00DA0B04">
      <w:pPr>
        <w:spacing w:line="360" w:lineRule="auto"/>
        <w:jc w:val="center"/>
        <w:rPr>
          <w:rFonts w:ascii="Century Gothic" w:eastAsia="Century Gothic" w:hAnsi="Century Gothic" w:cs="Century Gothic"/>
          <w:b/>
          <w:sz w:val="24"/>
          <w:szCs w:val="24"/>
        </w:rPr>
      </w:pPr>
    </w:p>
    <w:p w14:paraId="00000034"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PRIMERO.- </w:t>
      </w:r>
      <w:r>
        <w:rPr>
          <w:rFonts w:ascii="Century Gothic" w:eastAsia="Century Gothic" w:hAnsi="Century Gothic" w:cs="Century Gothic"/>
          <w:sz w:val="24"/>
          <w:szCs w:val="24"/>
        </w:rPr>
        <w:t xml:space="preserve">Se crea una </w:t>
      </w:r>
      <w:r w:rsidRPr="00143D86">
        <w:rPr>
          <w:rFonts w:ascii="Century Gothic" w:eastAsia="Century Gothic" w:hAnsi="Century Gothic" w:cs="Century Gothic"/>
          <w:sz w:val="24"/>
          <w:szCs w:val="24"/>
        </w:rPr>
        <w:t>Mesa Técnica en materia de Fomento, Regulación y Fortalecimiento de la Proveeduría l</w:t>
      </w:r>
      <w:r>
        <w:rPr>
          <w:rFonts w:ascii="Century Gothic" w:eastAsia="Century Gothic" w:hAnsi="Century Gothic" w:cs="Century Gothic"/>
          <w:sz w:val="24"/>
          <w:szCs w:val="24"/>
        </w:rPr>
        <w:t>a cual tendrá como objetivo la redacción de propuestas para la instrumentación de una legislación estatal en la materia.</w:t>
      </w:r>
    </w:p>
    <w:p w14:paraId="00000035" w14:textId="77777777" w:rsidR="00DA0B04" w:rsidRDefault="00DA0B04">
      <w:pPr>
        <w:spacing w:line="360" w:lineRule="auto"/>
        <w:jc w:val="both"/>
        <w:rPr>
          <w:rFonts w:ascii="Century Gothic" w:eastAsia="Century Gothic" w:hAnsi="Century Gothic" w:cs="Century Gothic"/>
          <w:sz w:val="24"/>
          <w:szCs w:val="24"/>
        </w:rPr>
      </w:pPr>
    </w:p>
    <w:p w14:paraId="00000036"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 anterior bajo los principios de convencionalidad, constitucionalidad, sustentabilidad, integralidad, interdisciplinariedad e imparcialidad.</w:t>
      </w:r>
    </w:p>
    <w:p w14:paraId="00000037" w14:textId="77777777" w:rsidR="00DA0B04" w:rsidRDefault="00DA0B04">
      <w:pPr>
        <w:spacing w:line="360" w:lineRule="auto"/>
        <w:jc w:val="both"/>
        <w:rPr>
          <w:rFonts w:ascii="Century Gothic" w:eastAsia="Century Gothic" w:hAnsi="Century Gothic" w:cs="Century Gothic"/>
          <w:b/>
          <w:sz w:val="24"/>
          <w:szCs w:val="24"/>
        </w:rPr>
      </w:pPr>
    </w:p>
    <w:p w14:paraId="00000038"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SEGUNDO.- </w:t>
      </w:r>
      <w:r w:rsidRPr="00143D86">
        <w:rPr>
          <w:rFonts w:ascii="Century Gothic" w:eastAsia="Century Gothic" w:hAnsi="Century Gothic" w:cs="Century Gothic"/>
          <w:sz w:val="24"/>
          <w:szCs w:val="24"/>
        </w:rPr>
        <w:t>Mesa Técnica en materia de Fomento, Regulación y Fortalecimiento de la Proveeduría,</w:t>
      </w:r>
      <w:r>
        <w:rPr>
          <w:rFonts w:ascii="Century Gothic" w:eastAsia="Century Gothic" w:hAnsi="Century Gothic" w:cs="Century Gothic"/>
          <w:sz w:val="24"/>
          <w:szCs w:val="24"/>
        </w:rPr>
        <w:t xml:space="preserve">  estará integrada de manera enunciativa más no limitativa por las siguientes representaciones:</w:t>
      </w:r>
    </w:p>
    <w:p w14:paraId="00000039" w14:textId="77777777" w:rsidR="00DA0B04" w:rsidRDefault="00DA0B04">
      <w:pPr>
        <w:spacing w:line="360" w:lineRule="auto"/>
        <w:jc w:val="both"/>
        <w:rPr>
          <w:rFonts w:ascii="Century Gothic" w:eastAsia="Century Gothic" w:hAnsi="Century Gothic" w:cs="Century Gothic"/>
          <w:sz w:val="24"/>
          <w:szCs w:val="24"/>
        </w:rPr>
      </w:pPr>
    </w:p>
    <w:p w14:paraId="0000003A" w14:textId="77777777" w:rsidR="00DA0B04" w:rsidRDefault="00E73285">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Secretaria técnica de la Comisión </w:t>
      </w:r>
      <w:r>
        <w:rPr>
          <w:rFonts w:ascii="Century Gothic" w:eastAsia="Century Gothic" w:hAnsi="Century Gothic" w:cs="Century Gothic"/>
          <w:sz w:val="24"/>
          <w:szCs w:val="24"/>
        </w:rPr>
        <w:t>Legislativa a la que se turne la presente propuesta.</w:t>
      </w:r>
    </w:p>
    <w:p w14:paraId="0000003B" w14:textId="77777777" w:rsidR="00DA0B04" w:rsidRDefault="00E73285">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Asesor</w:t>
      </w:r>
      <w:r>
        <w:rPr>
          <w:rFonts w:ascii="Century Gothic" w:eastAsia="Century Gothic" w:hAnsi="Century Gothic" w:cs="Century Gothic"/>
          <w:sz w:val="24"/>
          <w:szCs w:val="24"/>
        </w:rPr>
        <w:t>es</w:t>
      </w:r>
      <w:r>
        <w:rPr>
          <w:rFonts w:ascii="Century Gothic" w:eastAsia="Century Gothic" w:hAnsi="Century Gothic" w:cs="Century Gothic"/>
          <w:color w:val="000000"/>
          <w:sz w:val="24"/>
          <w:szCs w:val="24"/>
        </w:rPr>
        <w:t xml:space="preserve"> de cada uno de los grupos</w:t>
      </w:r>
      <w:r>
        <w:rPr>
          <w:rFonts w:ascii="Century Gothic" w:eastAsia="Century Gothic" w:hAnsi="Century Gothic" w:cs="Century Gothic"/>
          <w:sz w:val="24"/>
          <w:szCs w:val="24"/>
        </w:rPr>
        <w:t xml:space="preserve"> parlamentarios </w:t>
      </w:r>
      <w:r>
        <w:rPr>
          <w:rFonts w:ascii="Century Gothic" w:eastAsia="Century Gothic" w:hAnsi="Century Gothic" w:cs="Century Gothic"/>
          <w:color w:val="000000"/>
          <w:sz w:val="24"/>
          <w:szCs w:val="24"/>
        </w:rPr>
        <w:t xml:space="preserve">y representaciones </w:t>
      </w:r>
      <w:r>
        <w:rPr>
          <w:rFonts w:ascii="Century Gothic" w:eastAsia="Century Gothic" w:hAnsi="Century Gothic" w:cs="Century Gothic"/>
          <w:sz w:val="24"/>
          <w:szCs w:val="24"/>
        </w:rPr>
        <w:t xml:space="preserve">políticas </w:t>
      </w:r>
      <w:r>
        <w:rPr>
          <w:rFonts w:ascii="Century Gothic" w:eastAsia="Century Gothic" w:hAnsi="Century Gothic" w:cs="Century Gothic"/>
          <w:color w:val="000000"/>
          <w:sz w:val="24"/>
          <w:szCs w:val="24"/>
        </w:rPr>
        <w:t>del H. Congreso del Estado.</w:t>
      </w:r>
    </w:p>
    <w:p w14:paraId="0000003C" w14:textId="77777777" w:rsidR="00DA0B04" w:rsidRDefault="00E73285">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Representantes del Poder Ejecutivo Estatal y Federal que trabajen temas </w:t>
      </w:r>
      <w:r>
        <w:rPr>
          <w:rFonts w:ascii="Century Gothic" w:eastAsia="Century Gothic" w:hAnsi="Century Gothic" w:cs="Century Gothic"/>
          <w:sz w:val="24"/>
          <w:szCs w:val="24"/>
        </w:rPr>
        <w:t>relacionados con la materia de la presente propuesta.</w:t>
      </w:r>
    </w:p>
    <w:p w14:paraId="0000003D" w14:textId="77777777" w:rsidR="00DA0B04" w:rsidRDefault="00E73285">
      <w:pPr>
        <w:numPr>
          <w:ilvl w:val="0"/>
          <w:numId w:val="1"/>
        </w:num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Representantes de colegios de profesionistas, instituciones de educación superior y centros de investigación públicos, sociales y privados</w:t>
      </w:r>
      <w:r>
        <w:rPr>
          <w:rFonts w:ascii="Century Gothic" w:eastAsia="Century Gothic" w:hAnsi="Century Gothic" w:cs="Century Gothic"/>
          <w:sz w:val="24"/>
          <w:szCs w:val="24"/>
        </w:rPr>
        <w:t>.</w:t>
      </w:r>
    </w:p>
    <w:p w14:paraId="0000003E" w14:textId="77777777" w:rsidR="00DA0B04" w:rsidRDefault="00E73285">
      <w:pPr>
        <w:numPr>
          <w:ilvl w:val="0"/>
          <w:numId w:val="1"/>
        </w:numPr>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Representantes de cámaras empresariales y organizaciones de la sociedad civil con interés y experiencia en la materia.</w:t>
      </w:r>
    </w:p>
    <w:p w14:paraId="0000003F" w14:textId="77777777" w:rsidR="00DA0B04" w:rsidRDefault="00DA0B04">
      <w:pPr>
        <w:spacing w:line="360" w:lineRule="auto"/>
        <w:jc w:val="both"/>
        <w:rPr>
          <w:rFonts w:ascii="Century Gothic" w:eastAsia="Century Gothic" w:hAnsi="Century Gothic" w:cs="Century Gothic"/>
          <w:sz w:val="24"/>
          <w:szCs w:val="24"/>
        </w:rPr>
      </w:pPr>
    </w:p>
    <w:p w14:paraId="00000040" w14:textId="77777777" w:rsidR="00DA0B04" w:rsidRDefault="00E73285">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TERCERO.- </w:t>
      </w:r>
      <w:r>
        <w:rPr>
          <w:rFonts w:ascii="Century Gothic" w:eastAsia="Century Gothic" w:hAnsi="Century Gothic" w:cs="Century Gothic"/>
          <w:sz w:val="24"/>
          <w:szCs w:val="24"/>
        </w:rPr>
        <w:t xml:space="preserve">Las sesiones y los documentos generados por la </w:t>
      </w:r>
      <w:r w:rsidRPr="00143D86">
        <w:rPr>
          <w:rFonts w:ascii="Century Gothic" w:eastAsia="Century Gothic" w:hAnsi="Century Gothic" w:cs="Century Gothic"/>
          <w:sz w:val="24"/>
          <w:szCs w:val="24"/>
        </w:rPr>
        <w:t>Mesa Técnica en materia de Fomento, Regulación y Fortalecimiento de la Proveeduría,</w:t>
      </w:r>
      <w:r>
        <w:rPr>
          <w:rFonts w:ascii="Century Gothic" w:eastAsia="Century Gothic" w:hAnsi="Century Gothic" w:cs="Century Gothic"/>
          <w:sz w:val="24"/>
          <w:szCs w:val="24"/>
        </w:rPr>
        <w:t xml:space="preserve"> serán públicos, de conformidad con lo establecido por la Ley de Transparencia y Acceso a la Información Pública.</w:t>
      </w:r>
    </w:p>
    <w:p w14:paraId="00000046" w14:textId="77777777" w:rsidR="00DA0B04" w:rsidRDefault="00DA0B04">
      <w:pPr>
        <w:jc w:val="both"/>
        <w:rPr>
          <w:rFonts w:ascii="Century Gothic" w:eastAsia="Century Gothic" w:hAnsi="Century Gothic" w:cs="Century Gothic"/>
          <w:sz w:val="24"/>
          <w:szCs w:val="24"/>
        </w:rPr>
      </w:pPr>
      <w:bookmarkStart w:id="0" w:name="_GoBack"/>
      <w:bookmarkEnd w:id="0"/>
    </w:p>
    <w:p w14:paraId="00000047" w14:textId="77777777" w:rsidR="00DA0B04" w:rsidRDefault="00E73285">
      <w:pPr>
        <w:pBdr>
          <w:top w:val="nil"/>
          <w:left w:val="nil"/>
          <w:bottom w:val="nil"/>
          <w:right w:val="nil"/>
          <w:between w:val="nil"/>
        </w:pBdr>
        <w:jc w:val="center"/>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T R A N S I T O R I O S:</w:t>
      </w:r>
    </w:p>
    <w:p w14:paraId="00000048" w14:textId="77777777" w:rsidR="00DA0B04" w:rsidRDefault="00DA0B04">
      <w:pPr>
        <w:pBdr>
          <w:top w:val="nil"/>
          <w:left w:val="nil"/>
          <w:bottom w:val="nil"/>
          <w:right w:val="nil"/>
          <w:between w:val="nil"/>
        </w:pBdr>
        <w:jc w:val="both"/>
        <w:rPr>
          <w:rFonts w:ascii="Century Gothic" w:eastAsia="Century Gothic" w:hAnsi="Century Gothic" w:cs="Century Gothic"/>
          <w:color w:val="000000"/>
          <w:sz w:val="24"/>
          <w:szCs w:val="24"/>
        </w:rPr>
      </w:pPr>
    </w:p>
    <w:p w14:paraId="00000049" w14:textId="77777777" w:rsidR="00DA0B04" w:rsidRDefault="00DA0B04">
      <w:pPr>
        <w:pBdr>
          <w:top w:val="nil"/>
          <w:left w:val="nil"/>
          <w:bottom w:val="nil"/>
          <w:right w:val="nil"/>
          <w:between w:val="nil"/>
        </w:pBdr>
        <w:jc w:val="both"/>
        <w:rPr>
          <w:rFonts w:ascii="Century Gothic" w:eastAsia="Century Gothic" w:hAnsi="Century Gothic" w:cs="Century Gothic"/>
          <w:color w:val="000000"/>
          <w:sz w:val="24"/>
          <w:szCs w:val="24"/>
        </w:rPr>
      </w:pPr>
    </w:p>
    <w:p w14:paraId="0000004A" w14:textId="77777777" w:rsidR="00DA0B04" w:rsidRDefault="00E73285">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 xml:space="preserve">ARTÍCULO </w:t>
      </w:r>
      <w:r>
        <w:rPr>
          <w:rFonts w:ascii="Century Gothic" w:eastAsia="Century Gothic" w:hAnsi="Century Gothic" w:cs="Century Gothic"/>
          <w:b/>
          <w:sz w:val="28"/>
          <w:szCs w:val="28"/>
        </w:rPr>
        <w:t>ÚNICO.</w:t>
      </w:r>
      <w:r>
        <w:rPr>
          <w:rFonts w:ascii="Century Gothic" w:eastAsia="Century Gothic" w:hAnsi="Century Gothic" w:cs="Century Gothic"/>
          <w:b/>
          <w:color w:val="000000"/>
          <w:sz w:val="28"/>
          <w:szCs w:val="28"/>
        </w:rPr>
        <w:t xml:space="preserve">  </w:t>
      </w:r>
      <w:r>
        <w:rPr>
          <w:rFonts w:ascii="Century Gothic" w:eastAsia="Century Gothic" w:hAnsi="Century Gothic" w:cs="Century Gothic"/>
          <w:color w:val="000000"/>
          <w:sz w:val="24"/>
          <w:szCs w:val="24"/>
        </w:rPr>
        <w:t>El presente Decreto entrará en vigor al día siguiente de su publicación en el Periódico Oficial del Estado.</w:t>
      </w:r>
    </w:p>
    <w:p w14:paraId="0000004B" w14:textId="77777777" w:rsidR="00DA0B04" w:rsidRDefault="00DA0B04">
      <w:pPr>
        <w:pBdr>
          <w:top w:val="nil"/>
          <w:left w:val="nil"/>
          <w:bottom w:val="nil"/>
          <w:right w:val="nil"/>
          <w:between w:val="nil"/>
        </w:pBdr>
        <w:jc w:val="both"/>
        <w:rPr>
          <w:rFonts w:ascii="Century Gothic" w:eastAsia="Century Gothic" w:hAnsi="Century Gothic" w:cs="Century Gothic"/>
          <w:b/>
          <w:color w:val="000000"/>
          <w:sz w:val="24"/>
          <w:szCs w:val="24"/>
        </w:rPr>
      </w:pPr>
    </w:p>
    <w:p w14:paraId="0000004C" w14:textId="77777777" w:rsidR="00DA0B04" w:rsidRDefault="00DA0B04">
      <w:pPr>
        <w:pBdr>
          <w:top w:val="nil"/>
          <w:left w:val="nil"/>
          <w:bottom w:val="nil"/>
          <w:right w:val="nil"/>
          <w:between w:val="nil"/>
        </w:pBdr>
        <w:jc w:val="both"/>
        <w:rPr>
          <w:rFonts w:ascii="Century Gothic" w:eastAsia="Century Gothic" w:hAnsi="Century Gothic" w:cs="Century Gothic"/>
          <w:b/>
          <w:color w:val="000000"/>
          <w:sz w:val="28"/>
          <w:szCs w:val="28"/>
        </w:rPr>
      </w:pPr>
    </w:p>
    <w:p w14:paraId="08B9A2CB" w14:textId="77777777" w:rsidR="001F41F4" w:rsidRDefault="00E73285" w:rsidP="004A32F3">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t>ECONÓMICO</w:t>
      </w:r>
      <w:r>
        <w:rPr>
          <w:rFonts w:ascii="Century Gothic" w:eastAsia="Century Gothic" w:hAnsi="Century Gothic" w:cs="Century Gothic"/>
          <w:b/>
          <w:color w:val="000000"/>
          <w:sz w:val="24"/>
          <w:szCs w:val="24"/>
        </w:rPr>
        <w:t xml:space="preserve">. - </w:t>
      </w:r>
      <w:r>
        <w:rPr>
          <w:rFonts w:ascii="Century Gothic" w:eastAsia="Century Gothic" w:hAnsi="Century Gothic" w:cs="Century Gothic"/>
          <w:color w:val="000000"/>
          <w:sz w:val="24"/>
          <w:szCs w:val="24"/>
        </w:rPr>
        <w:t>Aprobado que sea</w:t>
      </w:r>
      <w:r>
        <w:rPr>
          <w:rFonts w:ascii="Century Gothic" w:eastAsia="Century Gothic" w:hAnsi="Century Gothic" w:cs="Century Gothic"/>
          <w:sz w:val="24"/>
          <w:szCs w:val="24"/>
        </w:rPr>
        <w:t xml:space="preserve">, </w:t>
      </w:r>
      <w:r w:rsidR="00143D86">
        <w:rPr>
          <w:rFonts w:ascii="Century Gothic" w:eastAsia="Century Gothic" w:hAnsi="Century Gothic" w:cs="Century Gothic"/>
          <w:sz w:val="24"/>
          <w:szCs w:val="24"/>
        </w:rPr>
        <w:t>túrnese</w:t>
      </w:r>
      <w:r>
        <w:rPr>
          <w:rFonts w:ascii="Century Gothic" w:eastAsia="Century Gothic" w:hAnsi="Century Gothic" w:cs="Century Gothic"/>
          <w:color w:val="000000"/>
          <w:sz w:val="24"/>
          <w:szCs w:val="24"/>
        </w:rPr>
        <w:t xml:space="preserve"> a la Secretaría de Asuntos Legislativos y Jurídicos para que elabore la minuta de Decreto en los términos </w:t>
      </w:r>
      <w:r>
        <w:rPr>
          <w:rFonts w:ascii="Century Gothic" w:eastAsia="Century Gothic" w:hAnsi="Century Gothic" w:cs="Century Gothic"/>
          <w:sz w:val="24"/>
          <w:szCs w:val="24"/>
        </w:rPr>
        <w:t>correspondientes</w:t>
      </w:r>
      <w:r>
        <w:rPr>
          <w:rFonts w:ascii="Century Gothic" w:eastAsia="Century Gothic" w:hAnsi="Century Gothic" w:cs="Century Gothic"/>
          <w:color w:val="000000"/>
          <w:sz w:val="24"/>
          <w:szCs w:val="24"/>
        </w:rPr>
        <w:t>.</w:t>
      </w:r>
    </w:p>
    <w:p w14:paraId="00000052" w14:textId="54A6E870" w:rsidR="00DA0B04" w:rsidRPr="004A32F3" w:rsidRDefault="00E73285" w:rsidP="004A32F3">
      <w:pPr>
        <w:pBdr>
          <w:top w:val="nil"/>
          <w:left w:val="nil"/>
          <w:bottom w:val="nil"/>
          <w:right w:val="nil"/>
          <w:between w:val="nil"/>
        </w:pBdr>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8"/>
          <w:szCs w:val="28"/>
        </w:rPr>
        <w:lastRenderedPageBreak/>
        <w:t>D A D O</w:t>
      </w:r>
      <w:r>
        <w:rPr>
          <w:rFonts w:ascii="Century Gothic" w:eastAsia="Century Gothic" w:hAnsi="Century Gothic" w:cs="Century Gothic"/>
          <w:color w:val="000000"/>
          <w:sz w:val="28"/>
          <w:szCs w:val="28"/>
        </w:rPr>
        <w:t xml:space="preserve"> </w:t>
      </w:r>
      <w:r>
        <w:rPr>
          <w:rFonts w:ascii="Century Gothic" w:eastAsia="Century Gothic" w:hAnsi="Century Gothic" w:cs="Century Gothic"/>
          <w:color w:val="000000"/>
          <w:sz w:val="24"/>
          <w:szCs w:val="24"/>
        </w:rPr>
        <w:t>en el salón de sesiones del Poder Legislativo a los 23 días del mes de septiembre del año dos mil veintiuno.</w:t>
      </w:r>
      <w:bookmarkStart w:id="1" w:name="_heading=h.gjdgxs" w:colFirst="0" w:colLast="0"/>
      <w:bookmarkEnd w:id="1"/>
    </w:p>
    <w:p w14:paraId="50B91BCD" w14:textId="77777777" w:rsidR="00AF7F9D" w:rsidRDefault="00AF7F9D">
      <w:pPr>
        <w:jc w:val="center"/>
        <w:rPr>
          <w:rFonts w:ascii="Century Gothic" w:eastAsia="Century Gothic" w:hAnsi="Century Gothic" w:cs="Century Gothic"/>
          <w:b/>
          <w:sz w:val="28"/>
          <w:szCs w:val="28"/>
        </w:rPr>
      </w:pPr>
    </w:p>
    <w:p w14:paraId="00000053" w14:textId="77777777" w:rsidR="00DA0B04" w:rsidRDefault="00E7328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 xml:space="preserve">A T E N T A M E N T E, </w:t>
      </w:r>
    </w:p>
    <w:p w14:paraId="00000054" w14:textId="77777777" w:rsidR="00DA0B04" w:rsidRDefault="00DA0B04">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00000055" w14:textId="77777777" w:rsidR="00DA0B04" w:rsidRDefault="00DA0B04">
      <w:pPr>
        <w:pBdr>
          <w:top w:val="nil"/>
          <w:left w:val="nil"/>
          <w:bottom w:val="nil"/>
          <w:right w:val="nil"/>
          <w:between w:val="nil"/>
        </w:pBdr>
        <w:rPr>
          <w:rFonts w:ascii="Century Gothic" w:eastAsia="Century Gothic" w:hAnsi="Century Gothic" w:cs="Century Gothic"/>
          <w:b/>
          <w:color w:val="000000"/>
          <w:sz w:val="28"/>
          <w:szCs w:val="28"/>
          <w:highlight w:val="white"/>
        </w:rPr>
      </w:pPr>
    </w:p>
    <w:p w14:paraId="00000056" w14:textId="77777777" w:rsidR="00DA0B04" w:rsidRDefault="00DA0B04">
      <w:pPr>
        <w:pBdr>
          <w:top w:val="nil"/>
          <w:left w:val="nil"/>
          <w:bottom w:val="nil"/>
          <w:right w:val="nil"/>
          <w:between w:val="nil"/>
        </w:pBdr>
        <w:spacing w:after="160"/>
        <w:rPr>
          <w:rFonts w:ascii="Century Gothic" w:eastAsia="Century Gothic" w:hAnsi="Century Gothic" w:cs="Century Gothic"/>
          <w:b/>
          <w:color w:val="000000"/>
          <w:sz w:val="28"/>
          <w:szCs w:val="28"/>
          <w:highlight w:val="whit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A32F3" w:rsidRPr="00ED7B16" w14:paraId="5FD71DE5" w14:textId="77777777" w:rsidTr="00AD3804">
        <w:tc>
          <w:tcPr>
            <w:tcW w:w="4414" w:type="dxa"/>
          </w:tcPr>
          <w:p w14:paraId="572F674D"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BENJAMÍN CARRERA CHÁVEZ</w:t>
            </w:r>
          </w:p>
        </w:tc>
        <w:tc>
          <w:tcPr>
            <w:tcW w:w="4414" w:type="dxa"/>
          </w:tcPr>
          <w:p w14:paraId="509ADB2D"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EDIN CUAUHTÉMOC ESTRADA SOTELO</w:t>
            </w:r>
          </w:p>
        </w:tc>
      </w:tr>
      <w:tr w:rsidR="004A32F3" w:rsidRPr="00ED7B16" w14:paraId="1E09EC2A" w14:textId="77777777" w:rsidTr="00AD3804">
        <w:tc>
          <w:tcPr>
            <w:tcW w:w="4414" w:type="dxa"/>
          </w:tcPr>
          <w:p w14:paraId="5AA2BE25" w14:textId="77777777" w:rsidR="004A32F3" w:rsidRPr="00ED7B16" w:rsidRDefault="004A32F3" w:rsidP="00AD3804">
            <w:pPr>
              <w:spacing w:line="276" w:lineRule="auto"/>
              <w:jc w:val="center"/>
              <w:rPr>
                <w:rFonts w:ascii="Century Gothic" w:hAnsi="Century Gothic" w:cs="Arial"/>
                <w:b/>
                <w:sz w:val="24"/>
                <w:szCs w:val="24"/>
              </w:rPr>
            </w:pPr>
          </w:p>
          <w:p w14:paraId="3065771F" w14:textId="77777777" w:rsidR="004A32F3" w:rsidRPr="00ED7B16" w:rsidRDefault="004A32F3" w:rsidP="00AD3804">
            <w:pPr>
              <w:spacing w:line="276" w:lineRule="auto"/>
              <w:jc w:val="center"/>
              <w:rPr>
                <w:rFonts w:ascii="Century Gothic" w:hAnsi="Century Gothic" w:cs="Arial"/>
                <w:b/>
                <w:sz w:val="24"/>
                <w:szCs w:val="24"/>
              </w:rPr>
            </w:pPr>
          </w:p>
          <w:p w14:paraId="3F97A665" w14:textId="77777777" w:rsidR="004A32F3" w:rsidRPr="00ED7B16" w:rsidRDefault="004A32F3" w:rsidP="00AD3804">
            <w:pPr>
              <w:spacing w:line="276" w:lineRule="auto"/>
              <w:jc w:val="center"/>
              <w:rPr>
                <w:rFonts w:ascii="Century Gothic" w:hAnsi="Century Gothic" w:cs="Arial"/>
                <w:b/>
                <w:sz w:val="24"/>
                <w:szCs w:val="24"/>
              </w:rPr>
            </w:pPr>
          </w:p>
          <w:p w14:paraId="37D74B21"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LETICIA ORTEGA MÁYNEZ</w:t>
            </w:r>
          </w:p>
        </w:tc>
        <w:tc>
          <w:tcPr>
            <w:tcW w:w="4414" w:type="dxa"/>
          </w:tcPr>
          <w:p w14:paraId="596A140B" w14:textId="77777777" w:rsidR="004A32F3" w:rsidRPr="00ED7B16" w:rsidRDefault="004A32F3" w:rsidP="00AD3804">
            <w:pPr>
              <w:spacing w:line="276" w:lineRule="auto"/>
              <w:jc w:val="center"/>
              <w:rPr>
                <w:rFonts w:ascii="Century Gothic" w:hAnsi="Century Gothic" w:cs="Arial"/>
                <w:b/>
                <w:sz w:val="24"/>
                <w:szCs w:val="24"/>
              </w:rPr>
            </w:pPr>
          </w:p>
          <w:p w14:paraId="558FC8C8" w14:textId="77777777" w:rsidR="004A32F3" w:rsidRPr="00ED7B16" w:rsidRDefault="004A32F3" w:rsidP="00AD3804">
            <w:pPr>
              <w:spacing w:line="276" w:lineRule="auto"/>
              <w:jc w:val="center"/>
              <w:rPr>
                <w:rFonts w:ascii="Century Gothic" w:hAnsi="Century Gothic" w:cs="Arial"/>
                <w:b/>
                <w:sz w:val="24"/>
                <w:szCs w:val="24"/>
              </w:rPr>
            </w:pPr>
          </w:p>
          <w:p w14:paraId="081671E2" w14:textId="77777777" w:rsidR="004A32F3" w:rsidRPr="00ED7B16" w:rsidRDefault="004A32F3" w:rsidP="00AD3804">
            <w:pPr>
              <w:spacing w:line="276" w:lineRule="auto"/>
              <w:jc w:val="center"/>
              <w:rPr>
                <w:rFonts w:ascii="Century Gothic" w:hAnsi="Century Gothic" w:cs="Arial"/>
                <w:b/>
                <w:sz w:val="24"/>
                <w:szCs w:val="24"/>
              </w:rPr>
            </w:pPr>
          </w:p>
          <w:p w14:paraId="601B9AAE"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OSCAR DANIEL AVITIA ARELLANES</w:t>
            </w:r>
          </w:p>
        </w:tc>
      </w:tr>
      <w:tr w:rsidR="004A32F3" w:rsidRPr="00ED7B16" w14:paraId="7CEFC8AE" w14:textId="77777777" w:rsidTr="00AD3804">
        <w:tc>
          <w:tcPr>
            <w:tcW w:w="4414" w:type="dxa"/>
          </w:tcPr>
          <w:p w14:paraId="7DB5D0C2" w14:textId="77777777" w:rsidR="004A32F3" w:rsidRPr="00ED7B16" w:rsidRDefault="004A32F3" w:rsidP="00AD3804">
            <w:pPr>
              <w:spacing w:line="276" w:lineRule="auto"/>
              <w:jc w:val="center"/>
              <w:rPr>
                <w:rFonts w:ascii="Century Gothic" w:hAnsi="Century Gothic" w:cs="Arial"/>
                <w:b/>
                <w:sz w:val="24"/>
                <w:szCs w:val="24"/>
              </w:rPr>
            </w:pPr>
          </w:p>
          <w:p w14:paraId="4316A9F2" w14:textId="77777777" w:rsidR="004A32F3" w:rsidRPr="00ED7B16" w:rsidRDefault="004A32F3" w:rsidP="00AD3804">
            <w:pPr>
              <w:spacing w:line="276" w:lineRule="auto"/>
              <w:jc w:val="center"/>
              <w:rPr>
                <w:rFonts w:ascii="Century Gothic" w:hAnsi="Century Gothic" w:cs="Arial"/>
                <w:b/>
                <w:sz w:val="24"/>
                <w:szCs w:val="24"/>
              </w:rPr>
            </w:pPr>
          </w:p>
          <w:p w14:paraId="57829256" w14:textId="77777777" w:rsidR="004A32F3" w:rsidRPr="00ED7B16" w:rsidRDefault="004A32F3" w:rsidP="00AD3804">
            <w:pPr>
              <w:spacing w:line="276" w:lineRule="auto"/>
              <w:jc w:val="center"/>
              <w:rPr>
                <w:rFonts w:ascii="Century Gothic" w:hAnsi="Century Gothic" w:cs="Arial"/>
                <w:b/>
                <w:sz w:val="24"/>
                <w:szCs w:val="24"/>
              </w:rPr>
            </w:pPr>
          </w:p>
          <w:p w14:paraId="4734DCE3"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ROSANA DÍAZ REYES</w:t>
            </w:r>
          </w:p>
        </w:tc>
        <w:tc>
          <w:tcPr>
            <w:tcW w:w="4414" w:type="dxa"/>
          </w:tcPr>
          <w:p w14:paraId="520ABCAB" w14:textId="77777777" w:rsidR="004A32F3" w:rsidRPr="00ED7B16" w:rsidRDefault="004A32F3" w:rsidP="00AD3804">
            <w:pPr>
              <w:spacing w:line="276" w:lineRule="auto"/>
              <w:jc w:val="center"/>
              <w:rPr>
                <w:rFonts w:ascii="Century Gothic" w:hAnsi="Century Gothic" w:cs="Arial"/>
                <w:b/>
                <w:sz w:val="24"/>
                <w:szCs w:val="24"/>
              </w:rPr>
            </w:pPr>
          </w:p>
          <w:p w14:paraId="00F4BB8D" w14:textId="77777777" w:rsidR="004A32F3" w:rsidRPr="00ED7B16" w:rsidRDefault="004A32F3" w:rsidP="00AD3804">
            <w:pPr>
              <w:spacing w:line="276" w:lineRule="auto"/>
              <w:jc w:val="center"/>
              <w:rPr>
                <w:rFonts w:ascii="Century Gothic" w:hAnsi="Century Gothic" w:cs="Arial"/>
                <w:b/>
                <w:sz w:val="24"/>
                <w:szCs w:val="24"/>
              </w:rPr>
            </w:pPr>
          </w:p>
          <w:p w14:paraId="47CBB204" w14:textId="77777777" w:rsidR="004A32F3" w:rsidRPr="00ED7B16" w:rsidRDefault="004A32F3" w:rsidP="00AD3804">
            <w:pPr>
              <w:spacing w:line="276" w:lineRule="auto"/>
              <w:jc w:val="center"/>
              <w:rPr>
                <w:rFonts w:ascii="Century Gothic" w:hAnsi="Century Gothic" w:cs="Arial"/>
                <w:b/>
                <w:sz w:val="24"/>
                <w:szCs w:val="24"/>
              </w:rPr>
            </w:pPr>
          </w:p>
          <w:p w14:paraId="6C791A38"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GUSTAVO DE LA ROSA HICKERSON</w:t>
            </w:r>
          </w:p>
        </w:tc>
      </w:tr>
      <w:tr w:rsidR="004A32F3" w:rsidRPr="00ED7B16" w14:paraId="5DA934DF" w14:textId="77777777" w:rsidTr="00AD3804">
        <w:tc>
          <w:tcPr>
            <w:tcW w:w="4414" w:type="dxa"/>
          </w:tcPr>
          <w:p w14:paraId="15F2C29C" w14:textId="77777777" w:rsidR="004A32F3" w:rsidRPr="00ED7B16" w:rsidRDefault="004A32F3" w:rsidP="00AD3804">
            <w:pPr>
              <w:spacing w:line="276" w:lineRule="auto"/>
              <w:jc w:val="center"/>
              <w:rPr>
                <w:rFonts w:ascii="Century Gothic" w:hAnsi="Century Gothic" w:cs="Arial"/>
                <w:b/>
                <w:sz w:val="24"/>
                <w:szCs w:val="24"/>
              </w:rPr>
            </w:pPr>
          </w:p>
          <w:p w14:paraId="1D2096D7" w14:textId="77777777" w:rsidR="004A32F3" w:rsidRPr="00ED7B16" w:rsidRDefault="004A32F3" w:rsidP="00AD3804">
            <w:pPr>
              <w:spacing w:line="276" w:lineRule="auto"/>
              <w:jc w:val="center"/>
              <w:rPr>
                <w:rFonts w:ascii="Century Gothic" w:hAnsi="Century Gothic" w:cs="Arial"/>
                <w:b/>
                <w:sz w:val="24"/>
                <w:szCs w:val="24"/>
              </w:rPr>
            </w:pPr>
          </w:p>
          <w:p w14:paraId="06478A7B" w14:textId="77777777" w:rsidR="004A32F3" w:rsidRPr="00ED7B16" w:rsidRDefault="004A32F3" w:rsidP="00AD3804">
            <w:pPr>
              <w:spacing w:line="276" w:lineRule="auto"/>
              <w:jc w:val="center"/>
              <w:rPr>
                <w:rFonts w:ascii="Century Gothic" w:hAnsi="Century Gothic" w:cs="Arial"/>
                <w:b/>
                <w:sz w:val="24"/>
                <w:szCs w:val="24"/>
              </w:rPr>
            </w:pPr>
          </w:p>
          <w:p w14:paraId="01983208"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MAGDALENA RENTERÍA PÉREZ</w:t>
            </w:r>
          </w:p>
        </w:tc>
        <w:tc>
          <w:tcPr>
            <w:tcW w:w="4414" w:type="dxa"/>
          </w:tcPr>
          <w:p w14:paraId="46C409DD" w14:textId="77777777" w:rsidR="004A32F3" w:rsidRPr="00ED7B16" w:rsidRDefault="004A32F3" w:rsidP="00AD3804">
            <w:pPr>
              <w:spacing w:line="276" w:lineRule="auto"/>
              <w:jc w:val="center"/>
              <w:rPr>
                <w:rFonts w:ascii="Century Gothic" w:hAnsi="Century Gothic" w:cs="Arial"/>
                <w:b/>
                <w:sz w:val="24"/>
                <w:szCs w:val="24"/>
              </w:rPr>
            </w:pPr>
          </w:p>
          <w:p w14:paraId="69BB3C86" w14:textId="77777777" w:rsidR="004A32F3" w:rsidRPr="00ED7B16" w:rsidRDefault="004A32F3" w:rsidP="00AD3804">
            <w:pPr>
              <w:spacing w:line="276" w:lineRule="auto"/>
              <w:jc w:val="center"/>
              <w:rPr>
                <w:rFonts w:ascii="Century Gothic" w:hAnsi="Century Gothic" w:cs="Arial"/>
                <w:b/>
                <w:sz w:val="24"/>
                <w:szCs w:val="24"/>
              </w:rPr>
            </w:pPr>
          </w:p>
          <w:p w14:paraId="4F0DD2CB" w14:textId="77777777" w:rsidR="004A32F3" w:rsidRPr="00ED7B16" w:rsidRDefault="004A32F3" w:rsidP="00AD3804">
            <w:pPr>
              <w:spacing w:line="276" w:lineRule="auto"/>
              <w:jc w:val="center"/>
              <w:rPr>
                <w:rFonts w:ascii="Century Gothic" w:hAnsi="Century Gothic" w:cs="Arial"/>
                <w:b/>
                <w:sz w:val="24"/>
                <w:szCs w:val="24"/>
              </w:rPr>
            </w:pPr>
          </w:p>
          <w:p w14:paraId="605CA816"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MARÍA ANTONIETA PÉREZ REYES</w:t>
            </w:r>
          </w:p>
        </w:tc>
      </w:tr>
      <w:tr w:rsidR="004A32F3" w:rsidRPr="00ED7B16" w14:paraId="59ED4DF5" w14:textId="77777777" w:rsidTr="00AD3804">
        <w:tc>
          <w:tcPr>
            <w:tcW w:w="4414" w:type="dxa"/>
          </w:tcPr>
          <w:p w14:paraId="3F5E49E5" w14:textId="77777777" w:rsidR="004A32F3" w:rsidRPr="00ED7B16" w:rsidRDefault="004A32F3" w:rsidP="00AD3804">
            <w:pPr>
              <w:spacing w:line="276" w:lineRule="auto"/>
              <w:jc w:val="center"/>
              <w:rPr>
                <w:rFonts w:ascii="Century Gothic" w:hAnsi="Century Gothic" w:cs="Arial"/>
                <w:b/>
                <w:sz w:val="24"/>
                <w:szCs w:val="24"/>
              </w:rPr>
            </w:pPr>
          </w:p>
          <w:p w14:paraId="1F45ABD6" w14:textId="77777777" w:rsidR="004A32F3" w:rsidRDefault="004A32F3" w:rsidP="00AD3804">
            <w:pPr>
              <w:spacing w:line="276" w:lineRule="auto"/>
              <w:jc w:val="center"/>
              <w:rPr>
                <w:rFonts w:ascii="Century Gothic" w:hAnsi="Century Gothic" w:cs="Arial"/>
                <w:b/>
                <w:sz w:val="24"/>
                <w:szCs w:val="24"/>
              </w:rPr>
            </w:pPr>
          </w:p>
          <w:p w14:paraId="4EDDFBD2" w14:textId="77777777" w:rsidR="004A32F3" w:rsidRDefault="004A32F3" w:rsidP="00AD3804">
            <w:pPr>
              <w:spacing w:line="276" w:lineRule="auto"/>
              <w:jc w:val="center"/>
              <w:rPr>
                <w:rFonts w:ascii="Century Gothic" w:hAnsi="Century Gothic" w:cs="Arial"/>
                <w:b/>
                <w:sz w:val="24"/>
                <w:szCs w:val="24"/>
              </w:rPr>
            </w:pPr>
          </w:p>
          <w:p w14:paraId="35128147" w14:textId="77777777" w:rsidR="004A32F3" w:rsidRPr="00ED7B16" w:rsidRDefault="004A32F3" w:rsidP="00AD3804">
            <w:pPr>
              <w:spacing w:line="276" w:lineRule="auto"/>
              <w:jc w:val="center"/>
              <w:rPr>
                <w:rFonts w:ascii="Century Gothic" w:hAnsi="Century Gothic" w:cs="Arial"/>
                <w:b/>
                <w:sz w:val="24"/>
                <w:szCs w:val="24"/>
              </w:rPr>
            </w:pPr>
          </w:p>
          <w:p w14:paraId="21F66067"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DAVID OSCAR CASTREJÓN RIVAS</w:t>
            </w:r>
          </w:p>
        </w:tc>
        <w:tc>
          <w:tcPr>
            <w:tcW w:w="4414" w:type="dxa"/>
          </w:tcPr>
          <w:p w14:paraId="03DD2092" w14:textId="77777777" w:rsidR="004A32F3" w:rsidRDefault="004A32F3" w:rsidP="00AD3804">
            <w:pPr>
              <w:spacing w:line="276" w:lineRule="auto"/>
              <w:jc w:val="center"/>
              <w:rPr>
                <w:rFonts w:ascii="Century Gothic" w:hAnsi="Century Gothic" w:cs="Arial"/>
                <w:b/>
                <w:sz w:val="24"/>
                <w:szCs w:val="24"/>
              </w:rPr>
            </w:pPr>
          </w:p>
          <w:p w14:paraId="553729A6" w14:textId="77777777" w:rsidR="004A32F3" w:rsidRDefault="004A32F3" w:rsidP="00AD3804">
            <w:pPr>
              <w:spacing w:line="276" w:lineRule="auto"/>
              <w:jc w:val="center"/>
              <w:rPr>
                <w:rFonts w:ascii="Century Gothic" w:hAnsi="Century Gothic" w:cs="Arial"/>
                <w:b/>
                <w:sz w:val="24"/>
                <w:szCs w:val="24"/>
              </w:rPr>
            </w:pPr>
          </w:p>
          <w:p w14:paraId="4045B061" w14:textId="77777777" w:rsidR="004A32F3" w:rsidRPr="00ED7B16" w:rsidRDefault="004A32F3" w:rsidP="00AD3804">
            <w:pPr>
              <w:spacing w:line="276" w:lineRule="auto"/>
              <w:jc w:val="center"/>
              <w:rPr>
                <w:rFonts w:ascii="Century Gothic" w:hAnsi="Century Gothic" w:cs="Arial"/>
                <w:b/>
                <w:sz w:val="24"/>
                <w:szCs w:val="24"/>
              </w:rPr>
            </w:pPr>
          </w:p>
          <w:p w14:paraId="4C8C425E" w14:textId="77777777" w:rsidR="004A32F3" w:rsidRPr="00ED7B16" w:rsidRDefault="004A32F3" w:rsidP="00AD3804">
            <w:pPr>
              <w:spacing w:line="276" w:lineRule="auto"/>
              <w:jc w:val="center"/>
              <w:rPr>
                <w:rFonts w:ascii="Century Gothic" w:hAnsi="Century Gothic" w:cs="Arial"/>
                <w:b/>
                <w:sz w:val="24"/>
                <w:szCs w:val="24"/>
              </w:rPr>
            </w:pPr>
          </w:p>
          <w:p w14:paraId="3BDAF4C7" w14:textId="77777777" w:rsidR="004A32F3" w:rsidRPr="00ED7B16" w:rsidRDefault="004A32F3" w:rsidP="00AD3804">
            <w:pPr>
              <w:spacing w:line="276" w:lineRule="auto"/>
              <w:jc w:val="center"/>
              <w:rPr>
                <w:rFonts w:ascii="Century Gothic" w:hAnsi="Century Gothic" w:cs="Arial"/>
                <w:b/>
                <w:sz w:val="24"/>
                <w:szCs w:val="24"/>
              </w:rPr>
            </w:pPr>
            <w:r w:rsidRPr="00ED7B16">
              <w:rPr>
                <w:rFonts w:ascii="Century Gothic" w:hAnsi="Century Gothic" w:cs="Arial"/>
                <w:b/>
                <w:sz w:val="24"/>
                <w:szCs w:val="24"/>
              </w:rPr>
              <w:t>DIP. ADRIANA TERRAZAS PORRAS</w:t>
            </w:r>
          </w:p>
        </w:tc>
      </w:tr>
    </w:tbl>
    <w:p w14:paraId="00000058" w14:textId="77777777" w:rsidR="00DA0B04" w:rsidRDefault="00DA0B04">
      <w:pPr>
        <w:rPr>
          <w:rFonts w:ascii="Century Gothic" w:eastAsia="Century Gothic" w:hAnsi="Century Gothic" w:cs="Century Gothic"/>
          <w:sz w:val="28"/>
          <w:szCs w:val="28"/>
        </w:rPr>
      </w:pPr>
    </w:p>
    <w:p w14:paraId="736E196B" w14:textId="19CD0BC2" w:rsidR="004A32F3" w:rsidRPr="004A32F3" w:rsidRDefault="004A32F3" w:rsidP="004A32F3">
      <w:pPr>
        <w:jc w:val="both"/>
        <w:rPr>
          <w:rFonts w:ascii="Century Gothic" w:eastAsia="Century Gothic" w:hAnsi="Century Gothic" w:cs="Century Gothic"/>
          <w:i/>
        </w:rPr>
      </w:pPr>
      <w:r w:rsidRPr="004A32F3">
        <w:rPr>
          <w:rFonts w:ascii="Century Gothic" w:eastAsia="Century Gothic" w:hAnsi="Century Gothic" w:cs="Century Gothic"/>
          <w:i/>
        </w:rPr>
        <w:t xml:space="preserve">La presente hoja de firmas corresponde al </w:t>
      </w:r>
      <w:r w:rsidRPr="004A32F3">
        <w:rPr>
          <w:rFonts w:ascii="Century Gothic" w:hAnsi="Century Gothic" w:cs="Arial"/>
          <w:i/>
          <w:lang w:val="es-ES_tradnl"/>
        </w:rPr>
        <w:t xml:space="preserve">proyecto con carácter de </w:t>
      </w:r>
      <w:r w:rsidRPr="004A32F3">
        <w:rPr>
          <w:rFonts w:ascii="Century Gothic" w:eastAsia="Century Gothic" w:hAnsi="Century Gothic" w:cs="Century Gothic"/>
          <w:i/>
          <w:color w:val="000000"/>
        </w:rPr>
        <w:t>Decreto, por medio de la cual se crea la Mesa Técnica en materia de Fomento, Regulación y Fo</w:t>
      </w:r>
      <w:r>
        <w:rPr>
          <w:rFonts w:ascii="Century Gothic" w:eastAsia="Century Gothic" w:hAnsi="Century Gothic" w:cs="Century Gothic"/>
          <w:i/>
          <w:color w:val="000000"/>
        </w:rPr>
        <w:t>rtalecimiento de la Proveeduría.</w:t>
      </w:r>
    </w:p>
    <w:sectPr w:rsidR="004A32F3" w:rsidRPr="004A32F3" w:rsidSect="00AF7F9D">
      <w:headerReference w:type="default" r:id="rId8"/>
      <w:footerReference w:type="default" r:id="rId9"/>
      <w:pgSz w:w="12240" w:h="15840"/>
      <w:pgMar w:top="3119" w:right="1701" w:bottom="1418" w:left="1701" w:header="425" w:footer="38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A4A9D" w14:textId="77777777" w:rsidR="00260CEC" w:rsidRDefault="00260CEC">
      <w:r>
        <w:separator/>
      </w:r>
    </w:p>
  </w:endnote>
  <w:endnote w:type="continuationSeparator" w:id="0">
    <w:p w14:paraId="3F75A7B5" w14:textId="77777777" w:rsidR="00260CEC" w:rsidRDefault="0026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inyon Script">
    <w:altName w:val="Times New Roman"/>
    <w:charset w:val="00"/>
    <w:family w:val="auto"/>
    <w:pitch w:val="default"/>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7777777" w:rsidR="00DA0B04" w:rsidRDefault="00E73285">
    <w:pPr>
      <w:pBdr>
        <w:top w:val="nil"/>
        <w:left w:val="nil"/>
        <w:bottom w:val="nil"/>
        <w:right w:val="nil"/>
        <w:between w:val="nil"/>
      </w:pBdr>
      <w:tabs>
        <w:tab w:val="center" w:pos="4419"/>
        <w:tab w:val="right" w:pos="8838"/>
      </w:tabs>
      <w:jc w:val="right"/>
      <w:rPr>
        <w:rFonts w:eastAsia="Times New Roman"/>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sidR="00D9563E">
      <w:rPr>
        <w:rFonts w:ascii="Century Gothic" w:eastAsia="Century Gothic" w:hAnsi="Century Gothic" w:cs="Century Gothic"/>
        <w:b/>
        <w:noProof/>
        <w:color w:val="525252"/>
        <w:sz w:val="16"/>
        <w:szCs w:val="16"/>
      </w:rPr>
      <w:t>9</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sidR="00D9563E">
      <w:rPr>
        <w:rFonts w:ascii="Century Gothic" w:eastAsia="Century Gothic" w:hAnsi="Century Gothic" w:cs="Century Gothic"/>
        <w:b/>
        <w:noProof/>
        <w:color w:val="525252"/>
        <w:sz w:val="16"/>
        <w:szCs w:val="16"/>
      </w:rPr>
      <w:t>9</w:t>
    </w:r>
    <w:r>
      <w:rPr>
        <w:rFonts w:ascii="Century Gothic" w:eastAsia="Century Gothic" w:hAnsi="Century Gothic" w:cs="Century Gothic"/>
        <w:b/>
        <w:color w:val="525252"/>
        <w:sz w:val="16"/>
        <w:szCs w:val="16"/>
      </w:rPr>
      <w:fldChar w:fldCharType="end"/>
    </w:r>
  </w:p>
  <w:p w14:paraId="00000060" w14:textId="77777777" w:rsidR="00DA0B04" w:rsidRDefault="00DA0B04">
    <w:pPr>
      <w:pBdr>
        <w:top w:val="nil"/>
        <w:left w:val="nil"/>
        <w:bottom w:val="nil"/>
        <w:right w:val="nil"/>
        <w:between w:val="nil"/>
      </w:pBdr>
      <w:tabs>
        <w:tab w:val="center" w:pos="4419"/>
        <w:tab w:val="right" w:pos="8838"/>
      </w:tabs>
      <w:rPr>
        <w:rFonts w:eastAsia="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F955B" w14:textId="77777777" w:rsidR="00260CEC" w:rsidRDefault="00260CEC">
      <w:r>
        <w:separator/>
      </w:r>
    </w:p>
  </w:footnote>
  <w:footnote w:type="continuationSeparator" w:id="0">
    <w:p w14:paraId="3033BE21" w14:textId="77777777" w:rsidR="00260CEC" w:rsidRDefault="0026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A" w14:textId="77777777" w:rsidR="00DA0B04" w:rsidRDefault="00E73285">
    <w:pPr>
      <w:pBdr>
        <w:top w:val="nil"/>
        <w:left w:val="nil"/>
        <w:bottom w:val="nil"/>
        <w:right w:val="nil"/>
        <w:between w:val="nil"/>
      </w:pBdr>
      <w:tabs>
        <w:tab w:val="center" w:pos="4419"/>
        <w:tab w:val="right" w:pos="8838"/>
      </w:tabs>
      <w:jc w:val="right"/>
      <w:rPr>
        <w:rFonts w:ascii="Pinyon Script" w:eastAsia="Pinyon Script" w:hAnsi="Pinyon Script" w:cs="Pinyon Script"/>
        <w:b/>
        <w:i/>
        <w:color w:val="000000"/>
        <w:sz w:val="22"/>
        <w:szCs w:val="22"/>
      </w:rPr>
    </w:pPr>
    <w:r>
      <w:rPr>
        <w:rFonts w:ascii="Pinyon Script" w:eastAsia="Pinyon Script" w:hAnsi="Pinyon Script" w:cs="Pinyon Script"/>
        <w:b/>
        <w:i/>
        <w:color w:val="000000"/>
        <w:sz w:val="22"/>
        <w:szCs w:val="22"/>
      </w:rPr>
      <w:t xml:space="preserve">“2021, Año del Bicentenario de la Consumación de la Independencia de México” </w:t>
    </w:r>
  </w:p>
  <w:p w14:paraId="0000005B" w14:textId="77777777" w:rsidR="00DA0B04" w:rsidRDefault="00E73285">
    <w:pPr>
      <w:pBdr>
        <w:top w:val="nil"/>
        <w:left w:val="nil"/>
        <w:bottom w:val="nil"/>
        <w:right w:val="nil"/>
        <w:between w:val="nil"/>
      </w:pBdr>
      <w:tabs>
        <w:tab w:val="center" w:pos="4419"/>
        <w:tab w:val="right" w:pos="8838"/>
      </w:tabs>
      <w:jc w:val="right"/>
      <w:rPr>
        <w:rFonts w:ascii="Pinyon Script" w:eastAsia="Pinyon Script" w:hAnsi="Pinyon Script" w:cs="Pinyon Script"/>
        <w:b/>
        <w:i/>
        <w:color w:val="000000"/>
        <w:sz w:val="22"/>
        <w:szCs w:val="22"/>
      </w:rPr>
    </w:pPr>
    <w:r>
      <w:rPr>
        <w:rFonts w:ascii="Pinyon Script" w:eastAsia="Pinyon Script" w:hAnsi="Pinyon Script" w:cs="Pinyon Script"/>
        <w:b/>
        <w:i/>
        <w:color w:val="000000"/>
        <w:sz w:val="22"/>
        <w:szCs w:val="22"/>
      </w:rPr>
      <w:t>“2021, Año de las Culturas del Norte”</w:t>
    </w:r>
  </w:p>
  <w:p w14:paraId="0000005C" w14:textId="77777777" w:rsidR="00DA0B04" w:rsidRDefault="00DA0B04">
    <w:pPr>
      <w:pBdr>
        <w:top w:val="nil"/>
        <w:left w:val="nil"/>
        <w:bottom w:val="nil"/>
        <w:right w:val="nil"/>
        <w:between w:val="nil"/>
      </w:pBdr>
      <w:tabs>
        <w:tab w:val="center" w:pos="4419"/>
        <w:tab w:val="right" w:pos="8838"/>
      </w:tabs>
      <w:rPr>
        <w:rFonts w:eastAsia="Times New Roman"/>
        <w:color w:val="000000"/>
        <w:sz w:val="24"/>
        <w:szCs w:val="24"/>
      </w:rPr>
    </w:pPr>
  </w:p>
  <w:p w14:paraId="0000005D" w14:textId="77777777" w:rsidR="00DA0B04" w:rsidRDefault="00DA0B04">
    <w:pPr>
      <w:pBdr>
        <w:top w:val="nil"/>
        <w:left w:val="nil"/>
        <w:bottom w:val="nil"/>
        <w:right w:val="nil"/>
        <w:between w:val="nil"/>
      </w:pBdr>
      <w:tabs>
        <w:tab w:val="center" w:pos="4419"/>
        <w:tab w:val="right" w:pos="8838"/>
      </w:tabs>
      <w:rPr>
        <w:rFonts w:eastAsia="Times New Roman"/>
        <w:color w:val="000000"/>
        <w:sz w:val="24"/>
        <w:szCs w:val="24"/>
      </w:rPr>
    </w:pPr>
  </w:p>
  <w:p w14:paraId="0000005E" w14:textId="77777777" w:rsidR="00DA0B04" w:rsidRDefault="00E73285">
    <w:pPr>
      <w:pBdr>
        <w:top w:val="nil"/>
        <w:left w:val="nil"/>
        <w:bottom w:val="nil"/>
        <w:right w:val="nil"/>
        <w:between w:val="nil"/>
      </w:pBdr>
      <w:tabs>
        <w:tab w:val="center" w:pos="4419"/>
        <w:tab w:val="right" w:pos="8838"/>
      </w:tabs>
      <w:jc w:val="right"/>
      <w:rPr>
        <w:rFonts w:ascii="Bahnschrift" w:eastAsia="Bahnschrift" w:hAnsi="Bahnschrift" w:cs="Bahnschrift"/>
        <w:color w:val="000000"/>
        <w:sz w:val="24"/>
        <w:szCs w:val="24"/>
      </w:rPr>
    </w:pPr>
    <w:r>
      <w:rPr>
        <w:rFonts w:ascii="Bahnschrift" w:eastAsia="Bahnschrift" w:hAnsi="Bahnschrift" w:cs="Bahnschrift"/>
        <w:color w:val="000000"/>
        <w:sz w:val="24"/>
        <w:szCs w:val="24"/>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21285"/>
    <w:multiLevelType w:val="multilevel"/>
    <w:tmpl w:val="51AEF9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04"/>
    <w:rsid w:val="00143D86"/>
    <w:rsid w:val="001F41F4"/>
    <w:rsid w:val="00260CEC"/>
    <w:rsid w:val="004A32F3"/>
    <w:rsid w:val="00AF7F9D"/>
    <w:rsid w:val="00D9563E"/>
    <w:rsid w:val="00DA0B04"/>
    <w:rsid w:val="00E732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D4F9D-71AD-47AE-A742-D551C361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rPr>
      <w:rFonts w:eastAsia="MS Mincho"/>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59"/>
    <w:rsid w:val="00C7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D2945"/>
    <w:rPr>
      <w:b/>
      <w:bCs/>
    </w:rPr>
  </w:style>
  <w:style w:type="character" w:customStyle="1" w:styleId="st">
    <w:name w:val="st"/>
    <w:basedOn w:val="Fuentedeprrafopredeter"/>
    <w:rsid w:val="00AD2945"/>
  </w:style>
  <w:style w:type="character" w:styleId="nfasis">
    <w:name w:val="Emphasis"/>
    <w:uiPriority w:val="20"/>
    <w:qFormat/>
    <w:rsid w:val="00AD2945"/>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4jleCh4aZXasMZELymOHQzExvg==">AMUW2mXpgndzyeUyBbNzNges7uywR2AA51rsNaNpch3xxfMnvYOMJAG/fluEFLZwJvgeFWFqWkdaBz5xPMTrSQTtc0I/4yYf3VIcDWZMJ2ZljmOaWYKwK0KHF8yX6lUBKrsJpWoDDS/P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1780</Words>
  <Characters>9793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Lopez Montes</dc:creator>
  <cp:lastModifiedBy>Laura Lorena González García</cp:lastModifiedBy>
  <cp:revision>3</cp:revision>
  <cp:lastPrinted>2021-09-23T16:59:00Z</cp:lastPrinted>
  <dcterms:created xsi:type="dcterms:W3CDTF">2021-09-22T22:12:00Z</dcterms:created>
  <dcterms:modified xsi:type="dcterms:W3CDTF">2021-09-23T17:31:00Z</dcterms:modified>
</cp:coreProperties>
</file>