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after="240" w:line="30" w:lineRule="atLeast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4248546</wp:posOffset>
                </wp:positionH>
                <wp:positionV relativeFrom="page">
                  <wp:posOffset>38501</wp:posOffset>
                </wp:positionV>
                <wp:extent cx="2324577" cy="6924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577" cy="692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34.5pt;margin-top:3.0pt;width:183.0pt;height:54.5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shape>
            </w:pict>
          </mc:Fallback>
        </mc:AlternateContent>
      </w:r>
    </w:p>
    <w:p w:rsidR="00C51FDC" w:rsidRDefault="00C51FDC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after="240" w:line="30" w:lineRule="atLeast"/>
        <w:jc w:val="both"/>
        <w:rPr>
          <w:rFonts w:ascii="Arial" w:hAnsi="Arial"/>
          <w:b/>
          <w:bCs/>
          <w:sz w:val="26"/>
          <w:szCs w:val="26"/>
        </w:rPr>
      </w:pPr>
    </w:p>
    <w:p w:rsidR="00C51FDC" w:rsidRDefault="00C51FDC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0" w:after="240" w:line="30" w:lineRule="atLeast"/>
        <w:jc w:val="both"/>
        <w:rPr>
          <w:rFonts w:ascii="Arial" w:hAnsi="Arial"/>
          <w:b/>
          <w:bCs/>
          <w:sz w:val="26"/>
          <w:szCs w:val="26"/>
        </w:rPr>
      </w:pPr>
    </w:p>
    <w:p w:rsidR="00C51FDC" w:rsidRDefault="00C51FDC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</w:pP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es-ES_tradnl"/>
        </w:rPr>
        <w:t>H. CONGRESO DEL ESTADO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PRESENTE.-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222222"/>
          <w:sz w:val="26"/>
          <w:szCs w:val="26"/>
          <w:shd w:val="clear" w:color="auto" w:fill="FFFFFF"/>
          <w:lang w:val="pt-PT"/>
        </w:rPr>
        <w:t>C. REN</w:t>
      </w:r>
      <w:r>
        <w:rPr>
          <w:rStyle w:val="Ninguno"/>
          <w:rFonts w:ascii="Arial" w:hAnsi="Arial"/>
          <w:b/>
          <w:bCs/>
          <w:color w:val="222222"/>
          <w:sz w:val="26"/>
          <w:szCs w:val="26"/>
          <w:shd w:val="clear" w:color="auto" w:fill="FFFFFF"/>
          <w:lang w:val="pt-PT"/>
        </w:rPr>
        <w:t xml:space="preserve">É </w:t>
      </w:r>
      <w:r>
        <w:rPr>
          <w:rStyle w:val="Ninguno"/>
          <w:rFonts w:ascii="Arial" w:hAnsi="Arial"/>
          <w:b/>
          <w:bCs/>
          <w:color w:val="222222"/>
          <w:sz w:val="26"/>
          <w:szCs w:val="26"/>
          <w:shd w:val="clear" w:color="auto" w:fill="FFFFFF"/>
          <w:lang w:val="de-DE"/>
        </w:rPr>
        <w:t>FR</w:t>
      </w:r>
      <w:r>
        <w:rPr>
          <w:rStyle w:val="Ninguno"/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Í</w:t>
      </w:r>
      <w:r>
        <w:rPr>
          <w:rStyle w:val="Ninguno"/>
          <w:rFonts w:ascii="Arial" w:hAnsi="Arial"/>
          <w:b/>
          <w:bCs/>
          <w:color w:val="222222"/>
          <w:sz w:val="26"/>
          <w:szCs w:val="26"/>
          <w:shd w:val="clear" w:color="auto" w:fill="FFFFFF"/>
          <w:lang w:val="de-DE"/>
        </w:rPr>
        <w:t>AS BENCOMO,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it-IT"/>
        </w:rPr>
        <w:t xml:space="preserve"> en mi car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á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cter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 de Diputado de la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Sexag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fr-FR"/>
        </w:rPr>
        <w:t>é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sima Sexta Legislatura del H. Congreso del Estado de Chihuahua y Representante Parlamentario de Nueva Alianza, con fundamento en los art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í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culos 68 de la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Constituci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de-DE"/>
        </w:rPr>
        <w:t>n Pol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í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tica del Estado, as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í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como 167,169, 170 y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dem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>á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s relativos y aplicables de la Ley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Org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>á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nica del Poder Legislativo, someto a consideraci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n de esta alta representaci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n Punto de Acuerdo para </w:t>
      </w:r>
      <w:bookmarkStart w:id="0" w:name="_GoBack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exhortar respetuosamente al Ejecutivo Federal a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trav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fr-FR"/>
        </w:rPr>
        <w:t>é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s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 de la Secretar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í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a de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Educaci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n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P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ú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blica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 y la Secretar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í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a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 de Salud a fin de que sean contemplados de forma prioritaria los Trabajadores de la Educaci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n para la aplicaci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n vacuna del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COVID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-19 antes de que se determine el regreso a clases presencial; asimismo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al Ejecutivo Estatal, a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trav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fr-FR"/>
        </w:rPr>
        <w:t>é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s de la Secretar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í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a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 de Educaci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n y Deporte y de la Secretaria de Salud para que realicen las gestiones necesarias ante las autoridades federales de salud para el mismo prop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sito</w:t>
      </w:r>
      <w:bookmarkEnd w:id="0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, al tenor de la siguiente: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b/>
          <w:bCs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pt-PT"/>
        </w:rPr>
        <w:t>EXPOSICI</w:t>
      </w:r>
      <w:proofErr w:type="spellStart"/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Ó</w:t>
      </w:r>
      <w:proofErr w:type="spellEnd"/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es-ES_tradnl"/>
        </w:rPr>
        <w:t>N DE MOTIVOS</w:t>
      </w:r>
    </w:p>
    <w:p w:rsidR="00C51FDC" w:rsidRDefault="00C51FDC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La Educaci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n, como en todos los sectores, ha tenido que adaptarse a la nueva normalidad que ha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tra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>í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do consigo la Pandemia del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COVID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-19, dejando de manera presencial las aulas en marzo de 2020, pero continuando con distintas estrategias para que la labor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escolar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continue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 vigente y las alumnas y alumnos de todos los niveles educativos sigan con sus estudios.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Aprende en Casa I fue la primera oportunidad en la que se tuvo que poner en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pr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>á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ctica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 la educaci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n virtual en el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pa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>í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s, aprendiendo y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adapt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>á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ndose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 a est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a nueva modalidad tanto alumnos como profesores y padres de familia, representando grandes retos, pero que finalmente lograr concluir el Ciclo Escolar 2019-2020.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Para el Ciclo 2020-2021, el trinomio de la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educaci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it-IT"/>
        </w:rPr>
        <w:t>n continu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realizando grandes esfuerzos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para que la preparaci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n de las ni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ñ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as, ni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ñ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os y j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venes no se detuviera. Para este regreso a clases, se ha planteado el Aprende en Casa III, donde se ha propuesto Centros de Aprendizaje Comunitario en los que se pretende que asistan voluntariamente profesore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s y alumnos durante el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sem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>á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foro amarillo y verde en algunos estados de la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rep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>ú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pt-PT"/>
        </w:rPr>
        <w:t>blica.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Arial" w:hAnsi="Arial" w:cs="Arial"/>
          <w:noProof/>
          <w:color w:val="222222"/>
          <w:sz w:val="26"/>
          <w:szCs w:val="26"/>
          <w:shd w:val="clear" w:color="auto" w:fill="FFFFFF"/>
        </w:rPr>
        <w:lastRenderedPageBreak/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4106306</wp:posOffset>
                </wp:positionH>
                <wp:positionV relativeFrom="page">
                  <wp:posOffset>0</wp:posOffset>
                </wp:positionV>
                <wp:extent cx="2324577" cy="6924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577" cy="692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23.3pt;margin-top:0.0pt;width:183.0pt;height:54.5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shape>
            </w:pict>
          </mc:Fallback>
        </mc:AlternateConten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:rsidR="00C51FDC" w:rsidRDefault="00C51FDC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C51FDC" w:rsidRDefault="00C51FDC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C51FDC" w:rsidRDefault="00C51FDC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C51FDC" w:rsidRDefault="00C51FDC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C51FDC" w:rsidRDefault="00C51FDC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Una vez m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á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s, frente a un gran reto que ha sido la educaci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n a distancia, en los distintos niveles educativos las maestras y los maestros han dado ejemplo y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testimonio de compromiso, asumiendo con gran entereza y vocaci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n la responsabilidad de ense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ñ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ar, sin embargo no podemos exponerles, ya que un alto porcentaje se encuentran en condiciones de riesgo al ser poblaci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n vulnerable, por ser mayores de 60 a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ñ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os, ten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er diversas comorbilidades o estar embarazadas, pero sobre todo por la necesidad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a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 de mantener una convivencia cercana con alumnos y padres.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Desde hace meses, desde la Tribuna del Congreso del Estado hemos solicitado que se garantice antes y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despu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fr-FR"/>
        </w:rPr>
        <w:t>é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s de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las jornadas laborales que todos los planteles sean desinfectados y cuenten con agua potable, jab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n y ventilaci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n suficiente de forma permanente,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adem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>á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s, que se entreguen insumos para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sanitizar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 a todas las escuelas. El Secretario de Educaci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n en nuestra En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tidad, ha confirmado que previo al regreso a clases, esto ser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á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una realidad.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La Secretar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í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a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 de Salud ha emitido un calendario de vacunaci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n teniendo en consideraci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n al personal de salud en la primera l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í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nea, adultos mayores y personas vulnerables, sin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embargo, no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est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>á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n contemplados las maestras y los maestros, y al momento de volver a clases presenciales ser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á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prioritario que reciban la vacuna de forma previa, lo que permitir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í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a salvaguardar el derecho a la salud de la comunidad escolar en general.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Es e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n virtud de lo anterior que promovemos la siguiente iniciativa con car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á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fr-FR"/>
        </w:rPr>
        <w:t>cter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fr-FR"/>
        </w:rPr>
        <w:t xml:space="preserve"> de: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Style w:val="Ninguno"/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es-ES_tradnl"/>
        </w:rPr>
        <w:t>PUNTO DE ACUERDO</w:t>
      </w: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 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 xml:space="preserve">PRIMERO-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it-IT"/>
        </w:rPr>
        <w:t>La Sexag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fr-FR"/>
        </w:rPr>
        <w:t>é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sima Sexta Legislatura del H. Congreso del Estado de Chihuahua exhorta respetuosamente al Ejecutivo Federal, a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trav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fr-FR"/>
        </w:rPr>
        <w:t>é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s de la Secretar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í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a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de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Educaci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n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</w:rPr>
        <w:t>P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ú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blica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 y de la Secretar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í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a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 de Salud, a fin de que sean contemplados de forma prioritaria los Trabajadores de la Educaci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n para que se les aplique la vacuna contra el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COVID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-19, antes del regreso a clases presencial.</w:t>
      </w:r>
    </w:p>
    <w:p w:rsidR="00C51FDC" w:rsidRDefault="00C51FDC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C51FDC" w:rsidRDefault="00C51FDC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C51FDC" w:rsidRDefault="00C51FDC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C51FDC" w:rsidRDefault="00C51FDC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C51FDC" w:rsidRDefault="00C51FDC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C51FDC" w:rsidRDefault="00C51FDC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C51FDC" w:rsidRDefault="00C51FDC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222222"/>
          <w:sz w:val="26"/>
          <w:szCs w:val="26"/>
          <w:shd w:val="clear" w:color="auto" w:fill="FFFFFF"/>
          <w:lang w:val="es-ES_tradnl"/>
        </w:rPr>
        <w:t xml:space="preserve">SEGUNDO.-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it-IT"/>
        </w:rPr>
        <w:t>La Sexag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fr-FR"/>
        </w:rPr>
        <w:t>é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sima Sexta Legislatura del H. Congreso del Estado de Chihuahua exhorta respetuosamente al Ejecutivo Estatal, a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trav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fr-FR"/>
        </w:rPr>
        <w:t>é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s de la Secretar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í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a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 de Educaci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n y Deporte y de la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Secretaria de Salud que realicen las gestiones necesarias ante las autoridades federales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de salud para que de forma prioritaria los Trabajadores de la Educaci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n sean considerados para que se les aplique la vacuna contra el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COVID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-19, antes del regreso a clases presencial.</w:t>
      </w:r>
    </w:p>
    <w:p w:rsidR="00C51FDC" w:rsidRDefault="00C51FDC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Style w:val="Ninguno"/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Con fundamento en el art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í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culo174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 de la Ley 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Org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</w:rPr>
        <w:t>á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nica del Poder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Legislativo, solicito a esta Presidencia, que someta a consideraci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n el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presente asunto, para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que sea votado en calidad de urgente resoluci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ó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n y remitido a la mayor brevedad a las instancias respectivas.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222222"/>
          <w:sz w:val="26"/>
          <w:szCs w:val="26"/>
          <w:shd w:val="clear" w:color="auto" w:fill="FFFFFF"/>
          <w:lang w:val="de-DE"/>
        </w:rPr>
        <w:t>ECON</w:t>
      </w:r>
      <w:proofErr w:type="spellStart"/>
      <w:r>
        <w:rPr>
          <w:rStyle w:val="Ninguno"/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Ó</w:t>
      </w:r>
      <w:r>
        <w:rPr>
          <w:rStyle w:val="Ninguno"/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MICO</w:t>
      </w:r>
      <w:proofErr w:type="spellEnd"/>
      <w:r>
        <w:rPr>
          <w:rStyle w:val="Ninguno"/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.-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 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Aprobado que sea, t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ú</w:t>
      </w:r>
      <w:proofErr w:type="spellStart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rnese</w:t>
      </w:r>
      <w:proofErr w:type="spellEnd"/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 a la 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Secretaria para los efectos de ley a que haya lugar.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DADO.-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 xml:space="preserve"> En la sede del poder legislativo a los 8 d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í</w:t>
      </w:r>
      <w:r>
        <w:rPr>
          <w:rFonts w:ascii="Arial" w:hAnsi="Arial"/>
          <w:color w:val="222222"/>
          <w:sz w:val="26"/>
          <w:szCs w:val="26"/>
          <w:shd w:val="clear" w:color="auto" w:fill="FFFFFF"/>
          <w:lang w:val="es-ES_tradnl"/>
        </w:rPr>
        <w:t>as del mes de Enero del 2021.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Style w:val="Ninguno"/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en-US"/>
        </w:rPr>
        <w:t>ATENTAMENTE</w:t>
      </w:r>
      <w:proofErr w:type="spellEnd"/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Style w:val="Ninguno"/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 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b/>
          <w:bCs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 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 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  <w:rPr>
          <w:rStyle w:val="Ninguno"/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 </w:t>
      </w:r>
    </w:p>
    <w:p w:rsidR="00C51FDC" w:rsidRDefault="00F219D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center"/>
      </w:pP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es-ES_tradnl"/>
        </w:rPr>
        <w:t xml:space="preserve">DIPUTADO </w:t>
      </w:r>
      <w:proofErr w:type="spellStart"/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es-ES_tradnl"/>
        </w:rPr>
        <w:t>REN</w:t>
      </w:r>
      <w:proofErr w:type="spellEnd"/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pt-PT"/>
        </w:rPr>
        <w:t xml:space="preserve">É </w:t>
      </w: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de-DE"/>
        </w:rPr>
        <w:t>FR</w:t>
      </w: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Í</w:t>
      </w: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  <w:lang w:val="de-DE"/>
        </w:rPr>
        <w:t>AS BENCOMO</w:t>
      </w:r>
      <w:r>
        <w:rPr>
          <w:rFonts w:ascii="Arial" w:hAnsi="Arial"/>
          <w:b/>
          <w:bCs/>
          <w:color w:val="222222"/>
          <w:sz w:val="26"/>
          <w:szCs w:val="26"/>
          <w:shd w:val="clear" w:color="auto" w:fill="FFFFFF"/>
        </w:rPr>
        <w:t> </w:t>
      </w:r>
      <w:r>
        <w:rPr>
          <w:rFonts w:ascii="Arial" w:eastAsia="Arial" w:hAnsi="Arial" w:cs="Arial"/>
          <w:b/>
          <w:bCs/>
          <w:noProof/>
          <w:color w:val="222222"/>
          <w:sz w:val="26"/>
          <w:szCs w:val="26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4168774</wp:posOffset>
                </wp:positionH>
                <wp:positionV relativeFrom="page">
                  <wp:posOffset>0</wp:posOffset>
                </wp:positionV>
                <wp:extent cx="2324577" cy="6924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577" cy="692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28.2pt;margin-top:0.0pt;width:183.0pt;height:54.5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shape>
            </w:pict>
          </mc:Fallback>
        </mc:AlternateContent>
      </w:r>
    </w:p>
    <w:sectPr w:rsidR="00C51FD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19D1">
      <w:r>
        <w:separator/>
      </w:r>
    </w:p>
  </w:endnote>
  <w:endnote w:type="continuationSeparator" w:id="0">
    <w:p w:rsidR="00000000" w:rsidRDefault="00F2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DC" w:rsidRDefault="00C51FDC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19D1">
      <w:r>
        <w:separator/>
      </w:r>
    </w:p>
  </w:footnote>
  <w:footnote w:type="continuationSeparator" w:id="0">
    <w:p w:rsidR="00000000" w:rsidRDefault="00F21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DC" w:rsidRDefault="00F219D1">
    <w:pPr>
      <w:pStyle w:val="Encabezado"/>
      <w:tabs>
        <w:tab w:val="clear" w:pos="8838"/>
        <w:tab w:val="right" w:pos="8818"/>
      </w:tabs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19251</wp:posOffset>
          </wp:positionH>
          <wp:positionV relativeFrom="page">
            <wp:posOffset>38501</wp:posOffset>
          </wp:positionV>
          <wp:extent cx="7720216" cy="9990867"/>
          <wp:effectExtent l="0" t="0" r="0" b="0"/>
          <wp:wrapNone/>
          <wp:docPr id="1073741825" name="officeArt object" descr="HojaMembretadaCarta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ojaMembretadaCarta-01.png" descr="HojaMembretadaCarta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216" cy="99908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DC"/>
    <w:rsid w:val="00C51FDC"/>
    <w:rsid w:val="00F2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215A7-D964-4DE9-BAB7-24ECEC4C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Bere-Rene</dc:creator>
  <cp:lastModifiedBy>Usuario de Windows</cp:lastModifiedBy>
  <cp:revision>2</cp:revision>
  <dcterms:created xsi:type="dcterms:W3CDTF">2021-01-07T18:20:00Z</dcterms:created>
  <dcterms:modified xsi:type="dcterms:W3CDTF">2021-01-07T18:20:00Z</dcterms:modified>
</cp:coreProperties>
</file>