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FED" w:rsidRPr="00745D0A" w:rsidRDefault="00596FED" w:rsidP="00745D0A">
      <w:pPr>
        <w:spacing w:line="276" w:lineRule="auto"/>
        <w:rPr>
          <w:rFonts w:ascii="Century Gothic" w:hAnsi="Century Gothic" w:cstheme="minorHAnsi"/>
          <w:b/>
          <w:sz w:val="24"/>
          <w:szCs w:val="24"/>
        </w:rPr>
      </w:pPr>
      <w:r w:rsidRPr="00745D0A">
        <w:rPr>
          <w:rFonts w:ascii="Century Gothic" w:hAnsi="Century Gothic" w:cstheme="minorHAnsi"/>
          <w:b/>
          <w:sz w:val="24"/>
          <w:szCs w:val="24"/>
        </w:rPr>
        <w:t xml:space="preserve">H. CONGRESO DEL ESTADO. </w:t>
      </w:r>
    </w:p>
    <w:p w:rsidR="00596FED" w:rsidRPr="00745D0A" w:rsidRDefault="00596FED" w:rsidP="00745D0A">
      <w:pPr>
        <w:spacing w:line="276" w:lineRule="auto"/>
        <w:rPr>
          <w:rFonts w:ascii="Century Gothic" w:hAnsi="Century Gothic" w:cstheme="minorHAnsi"/>
          <w:b/>
          <w:sz w:val="24"/>
          <w:szCs w:val="24"/>
        </w:rPr>
      </w:pPr>
      <w:r w:rsidRPr="00745D0A">
        <w:rPr>
          <w:rFonts w:ascii="Century Gothic" w:hAnsi="Century Gothic" w:cstheme="minorHAnsi"/>
          <w:b/>
          <w:sz w:val="24"/>
          <w:szCs w:val="24"/>
        </w:rPr>
        <w:t>PRESENTE.-</w:t>
      </w:r>
    </w:p>
    <w:p w:rsidR="00596FED" w:rsidRPr="00745D0A" w:rsidRDefault="00596FED" w:rsidP="00745D0A">
      <w:p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 xml:space="preserve">La Suscrita, </w:t>
      </w:r>
      <w:r w:rsidRPr="00745D0A">
        <w:rPr>
          <w:rFonts w:ascii="Century Gothic" w:hAnsi="Century Gothic" w:cstheme="minorHAnsi"/>
          <w:b/>
          <w:bCs/>
          <w:sz w:val="24"/>
          <w:szCs w:val="24"/>
        </w:rPr>
        <w:t>Carmen Rocío González Alonso</w:t>
      </w:r>
      <w:r w:rsidRPr="00745D0A">
        <w:rPr>
          <w:rFonts w:ascii="Century Gothic" w:hAnsi="Century Gothic" w:cstheme="minorHAnsi"/>
          <w:sz w:val="24"/>
          <w:szCs w:val="24"/>
        </w:rPr>
        <w:t xml:space="preserve"> en mi carácter de Diputada de la Sexagésima Sexta Legislatura del Honorable Congreso del Estado, en representación del Grupo Parlamentario del Partido Acción Nacional, con fundamento en lo dispuesto por los artículos 68, fracción I de la  Constitución Política del Estado, así como 167, fracción l, y demás relativos de la Ley Orgánica del Poder Legislativo, acudimos ante esta Honorable Representación Popular, a efecto de presentar  Iniciativa con Carácter de Punto de Acuerdo de Urgente Resolución a fin de exhortar</w:t>
      </w:r>
      <w:r w:rsidRPr="00745D0A">
        <w:rPr>
          <w:rFonts w:ascii="Century Gothic" w:hAnsi="Century Gothic" w:cs="Arial"/>
          <w:spacing w:val="1"/>
          <w:sz w:val="24"/>
          <w:szCs w:val="24"/>
        </w:rPr>
        <w:t xml:space="preserve"> </w:t>
      </w:r>
      <w:r w:rsidRPr="00745D0A">
        <w:rPr>
          <w:rFonts w:ascii="Century Gothic" w:hAnsi="Century Gothic" w:cs="Arial"/>
          <w:sz w:val="24"/>
          <w:szCs w:val="24"/>
        </w:rPr>
        <w:t>r</w:t>
      </w:r>
      <w:r w:rsidRPr="00745D0A">
        <w:rPr>
          <w:rFonts w:ascii="Century Gothic" w:hAnsi="Century Gothic" w:cs="Arial"/>
          <w:spacing w:val="-2"/>
          <w:sz w:val="24"/>
          <w:szCs w:val="24"/>
        </w:rPr>
        <w:t>e</w:t>
      </w:r>
      <w:r w:rsidRPr="00745D0A">
        <w:rPr>
          <w:rFonts w:ascii="Century Gothic" w:hAnsi="Century Gothic" w:cs="Arial"/>
          <w:sz w:val="24"/>
          <w:szCs w:val="24"/>
        </w:rPr>
        <w:t>s</w:t>
      </w:r>
      <w:r w:rsidRPr="00745D0A">
        <w:rPr>
          <w:rFonts w:ascii="Century Gothic" w:hAnsi="Century Gothic" w:cs="Arial"/>
          <w:spacing w:val="1"/>
          <w:sz w:val="24"/>
          <w:szCs w:val="24"/>
        </w:rPr>
        <w:t>pe</w:t>
      </w:r>
      <w:r w:rsidRPr="00745D0A">
        <w:rPr>
          <w:rFonts w:ascii="Century Gothic" w:hAnsi="Century Gothic" w:cs="Arial"/>
          <w:sz w:val="24"/>
          <w:szCs w:val="24"/>
        </w:rPr>
        <w:t>t</w:t>
      </w:r>
      <w:r w:rsidRPr="00745D0A">
        <w:rPr>
          <w:rFonts w:ascii="Century Gothic" w:hAnsi="Century Gothic" w:cs="Arial"/>
          <w:spacing w:val="-1"/>
          <w:sz w:val="24"/>
          <w:szCs w:val="24"/>
        </w:rPr>
        <w:t>u</w:t>
      </w:r>
      <w:r w:rsidRPr="00745D0A">
        <w:rPr>
          <w:rFonts w:ascii="Century Gothic" w:hAnsi="Century Gothic" w:cs="Arial"/>
          <w:spacing w:val="1"/>
          <w:sz w:val="24"/>
          <w:szCs w:val="24"/>
        </w:rPr>
        <w:t>o</w:t>
      </w:r>
      <w:r w:rsidRPr="00745D0A">
        <w:rPr>
          <w:rFonts w:ascii="Century Gothic" w:hAnsi="Century Gothic" w:cs="Arial"/>
          <w:sz w:val="24"/>
          <w:szCs w:val="24"/>
        </w:rPr>
        <w:t>s</w:t>
      </w:r>
      <w:r w:rsidRPr="00745D0A">
        <w:rPr>
          <w:rFonts w:ascii="Century Gothic" w:hAnsi="Century Gothic" w:cs="Arial"/>
          <w:spacing w:val="-1"/>
          <w:sz w:val="24"/>
          <w:szCs w:val="24"/>
        </w:rPr>
        <w:t>a</w:t>
      </w:r>
      <w:r w:rsidRPr="00745D0A">
        <w:rPr>
          <w:rFonts w:ascii="Century Gothic" w:hAnsi="Century Gothic" w:cs="Arial"/>
          <w:spacing w:val="1"/>
          <w:sz w:val="24"/>
          <w:szCs w:val="24"/>
        </w:rPr>
        <w:t>m</w:t>
      </w:r>
      <w:r w:rsidRPr="00745D0A">
        <w:rPr>
          <w:rFonts w:ascii="Century Gothic" w:hAnsi="Century Gothic" w:cs="Arial"/>
          <w:spacing w:val="-1"/>
          <w:sz w:val="24"/>
          <w:szCs w:val="24"/>
        </w:rPr>
        <w:t>e</w:t>
      </w:r>
      <w:r w:rsidRPr="00745D0A">
        <w:rPr>
          <w:rFonts w:ascii="Century Gothic" w:hAnsi="Century Gothic" w:cs="Arial"/>
          <w:spacing w:val="1"/>
          <w:sz w:val="24"/>
          <w:szCs w:val="24"/>
        </w:rPr>
        <w:t>n</w:t>
      </w:r>
      <w:r w:rsidRPr="00745D0A">
        <w:rPr>
          <w:rFonts w:ascii="Century Gothic" w:hAnsi="Century Gothic" w:cs="Arial"/>
          <w:sz w:val="24"/>
          <w:szCs w:val="24"/>
        </w:rPr>
        <w:t>te</w:t>
      </w:r>
      <w:r w:rsidRPr="00745D0A">
        <w:rPr>
          <w:rFonts w:ascii="Century Gothic" w:hAnsi="Century Gothic" w:cs="Arial"/>
          <w:spacing w:val="2"/>
          <w:sz w:val="24"/>
          <w:szCs w:val="24"/>
        </w:rPr>
        <w:t xml:space="preserve"> </w:t>
      </w:r>
      <w:r w:rsidRPr="00745D0A">
        <w:rPr>
          <w:rFonts w:ascii="Century Gothic" w:hAnsi="Century Gothic" w:cs="Arial"/>
          <w:spacing w:val="-1"/>
          <w:sz w:val="24"/>
          <w:szCs w:val="24"/>
        </w:rPr>
        <w:t xml:space="preserve">a quienes integran la Comisión de Presupuesto y Cuenta Pública de la Cámara de Diputados del Honorable Congreso de la Unión, </w:t>
      </w:r>
      <w:r w:rsidRPr="00745D0A">
        <w:rPr>
          <w:rFonts w:ascii="Century Gothic" w:hAnsi="Century Gothic" w:cstheme="minorHAnsi"/>
          <w:sz w:val="24"/>
          <w:szCs w:val="24"/>
        </w:rPr>
        <w:t xml:space="preserve">a fin de que dentro de los trabajos de análisis, discusión y posterior aprobación del Presupuesto de Egresos para la Federación 2021, </w:t>
      </w:r>
      <w:r w:rsidRPr="00745D0A">
        <w:rPr>
          <w:rFonts w:ascii="Century Gothic" w:hAnsi="Century Gothic" w:cs="Arial"/>
          <w:spacing w:val="-1"/>
          <w:sz w:val="24"/>
          <w:szCs w:val="24"/>
        </w:rPr>
        <w:t>realicen todas las acciones para reestructurar el proyecto de dicho  Presupuesto de Egresos a fin de que se garantice una asignación de mayores recursos a los etiquetados para el Estado de Chihuahua,</w:t>
      </w:r>
      <w:r w:rsidRPr="00745D0A">
        <w:rPr>
          <w:rFonts w:ascii="Century Gothic" w:hAnsi="Century Gothic" w:cstheme="minorHAnsi"/>
          <w:sz w:val="24"/>
          <w:szCs w:val="24"/>
        </w:rPr>
        <w:t xml:space="preserve"> así como a diversos programas prioritarios en materia de salud, empleo, infraestructura y turismo.</w:t>
      </w:r>
    </w:p>
    <w:p w:rsidR="00596FED" w:rsidRPr="00745D0A" w:rsidRDefault="00596FED" w:rsidP="00745D0A">
      <w:pPr>
        <w:tabs>
          <w:tab w:val="left" w:pos="5190"/>
        </w:tabs>
        <w:spacing w:line="276" w:lineRule="auto"/>
        <w:rPr>
          <w:rFonts w:ascii="Century Gothic" w:hAnsi="Century Gothic" w:cstheme="minorHAnsi"/>
          <w:sz w:val="24"/>
          <w:szCs w:val="24"/>
        </w:rPr>
      </w:pPr>
      <w:r w:rsidRPr="00745D0A">
        <w:rPr>
          <w:rFonts w:ascii="Century Gothic" w:hAnsi="Century Gothic" w:cstheme="minorHAnsi"/>
          <w:sz w:val="24"/>
          <w:szCs w:val="24"/>
        </w:rPr>
        <w:t>Lo anterior en base a la siguiente:</w:t>
      </w:r>
      <w:r w:rsidRPr="00745D0A">
        <w:rPr>
          <w:rFonts w:ascii="Century Gothic" w:hAnsi="Century Gothic" w:cstheme="minorHAnsi"/>
          <w:sz w:val="24"/>
          <w:szCs w:val="24"/>
        </w:rPr>
        <w:tab/>
      </w:r>
    </w:p>
    <w:p w:rsidR="00596FED" w:rsidRPr="00745D0A" w:rsidRDefault="00596FED" w:rsidP="00745D0A">
      <w:pPr>
        <w:spacing w:line="276" w:lineRule="auto"/>
        <w:jc w:val="center"/>
        <w:rPr>
          <w:rFonts w:ascii="Century Gothic" w:hAnsi="Century Gothic" w:cstheme="minorHAnsi"/>
          <w:sz w:val="24"/>
          <w:szCs w:val="24"/>
        </w:rPr>
      </w:pPr>
    </w:p>
    <w:p w:rsidR="00596FED" w:rsidRPr="00745D0A" w:rsidRDefault="00596FED" w:rsidP="00745D0A">
      <w:pPr>
        <w:spacing w:line="276" w:lineRule="auto"/>
        <w:jc w:val="center"/>
        <w:rPr>
          <w:rFonts w:ascii="Century Gothic" w:hAnsi="Century Gothic" w:cstheme="minorHAnsi"/>
          <w:b/>
          <w:sz w:val="24"/>
          <w:szCs w:val="24"/>
        </w:rPr>
      </w:pPr>
      <w:r w:rsidRPr="00745D0A">
        <w:rPr>
          <w:rFonts w:ascii="Century Gothic" w:hAnsi="Century Gothic" w:cstheme="minorHAnsi"/>
          <w:b/>
          <w:sz w:val="24"/>
          <w:szCs w:val="24"/>
        </w:rPr>
        <w:t>Exposición de Motivos.</w:t>
      </w:r>
    </w:p>
    <w:p w:rsidR="00596FED" w:rsidRPr="00745D0A" w:rsidRDefault="00596FED" w:rsidP="00745D0A">
      <w:pPr>
        <w:pStyle w:val="Prrafodelista"/>
        <w:numPr>
          <w:ilvl w:val="0"/>
          <w:numId w:val="1"/>
        </w:numPr>
        <w:spacing w:line="276" w:lineRule="auto"/>
        <w:jc w:val="both"/>
        <w:rPr>
          <w:rFonts w:ascii="Century Gothic" w:hAnsi="Century Gothic" w:cstheme="minorHAnsi"/>
          <w:bCs/>
          <w:sz w:val="24"/>
          <w:szCs w:val="24"/>
        </w:rPr>
      </w:pPr>
      <w:r w:rsidRPr="00745D0A">
        <w:rPr>
          <w:rFonts w:ascii="Century Gothic" w:hAnsi="Century Gothic" w:cstheme="minorHAnsi"/>
          <w:sz w:val="24"/>
          <w:szCs w:val="24"/>
          <w:shd w:val="clear" w:color="auto" w:fill="FFFFFF"/>
        </w:rPr>
        <w:t>El Proyecto de Presupuesto de Egresos de la Federación para el ejercicio fiscal 2021 es uno de los documentos de política pública más importantes de nuestro país, elaborado por medio de la Secretaría de Hacienda y Crédito Público. En él se describen la cantidad, la forma de distribución y el destino de los recursos públicos de los tres poderes (Ejecutivo, Legislativo y Judicial), de los organismos autónomos, así como las transferencias a los gobiernos estatales y municipales.</w:t>
      </w:r>
    </w:p>
    <w:p w:rsidR="00596FED" w:rsidRPr="00745D0A" w:rsidRDefault="00596FED" w:rsidP="00745D0A">
      <w:pPr>
        <w:pStyle w:val="Prrafodelista"/>
        <w:numPr>
          <w:ilvl w:val="0"/>
          <w:numId w:val="1"/>
        </w:numPr>
        <w:spacing w:line="276" w:lineRule="auto"/>
        <w:jc w:val="both"/>
        <w:rPr>
          <w:rFonts w:ascii="Century Gothic" w:hAnsi="Century Gothic" w:cstheme="minorHAnsi"/>
          <w:bCs/>
          <w:sz w:val="24"/>
          <w:szCs w:val="24"/>
        </w:rPr>
      </w:pPr>
      <w:r w:rsidRPr="00745D0A">
        <w:rPr>
          <w:rFonts w:ascii="Century Gothic" w:hAnsi="Century Gothic" w:cstheme="minorHAnsi"/>
          <w:sz w:val="24"/>
          <w:szCs w:val="24"/>
        </w:rPr>
        <w:t xml:space="preserve">El pasado 08 de Septiembre, el titular de la Secretaria de Hacienda y Crédito Público, el Maestro </w:t>
      </w:r>
      <w:r w:rsidRPr="00745D0A">
        <w:rPr>
          <w:rFonts w:ascii="Century Gothic" w:hAnsi="Century Gothic" w:cstheme="minorHAnsi"/>
          <w:sz w:val="24"/>
          <w:szCs w:val="24"/>
          <w:shd w:val="clear" w:color="auto" w:fill="FFFFFF"/>
        </w:rPr>
        <w:t>Arturo Herrera Gutiérrez</w:t>
      </w:r>
      <w:r w:rsidRPr="00745D0A">
        <w:rPr>
          <w:rFonts w:ascii="Century Gothic" w:hAnsi="Century Gothic" w:cstheme="minorHAnsi"/>
          <w:sz w:val="24"/>
          <w:szCs w:val="24"/>
        </w:rPr>
        <w:t xml:space="preserve"> hizo entrega al H. Congreso de la Unión el Paquete Económico 2021, conformado por los Criterios Generales de Política Económica, la Iniciativa de Ley de </w:t>
      </w:r>
      <w:r w:rsidRPr="00745D0A">
        <w:rPr>
          <w:rFonts w:ascii="Century Gothic" w:hAnsi="Century Gothic" w:cstheme="minorHAnsi"/>
          <w:sz w:val="24"/>
          <w:szCs w:val="24"/>
        </w:rPr>
        <w:lastRenderedPageBreak/>
        <w:t>Ingresos de la Federación y el Proyecto del Presupuesto de Egresos de la Federación.</w:t>
      </w:r>
    </w:p>
    <w:p w:rsidR="00596FED" w:rsidRPr="00745D0A" w:rsidRDefault="00596FED" w:rsidP="00745D0A">
      <w:pPr>
        <w:pStyle w:val="Prrafodelista"/>
        <w:numPr>
          <w:ilvl w:val="0"/>
          <w:numId w:val="1"/>
        </w:numPr>
        <w:spacing w:line="276" w:lineRule="auto"/>
        <w:jc w:val="both"/>
        <w:rPr>
          <w:rFonts w:ascii="Century Gothic" w:hAnsi="Century Gothic" w:cs="Arial"/>
          <w:sz w:val="24"/>
          <w:szCs w:val="24"/>
        </w:rPr>
      </w:pPr>
      <w:r w:rsidRPr="00745D0A">
        <w:rPr>
          <w:rFonts w:ascii="Century Gothic" w:hAnsi="Century Gothic" w:cs="Arial"/>
          <w:sz w:val="24"/>
          <w:szCs w:val="24"/>
        </w:rPr>
        <w:t>El</w:t>
      </w:r>
      <w:r w:rsidRPr="00745D0A">
        <w:rPr>
          <w:rStyle w:val="Textoennegrita"/>
          <w:rFonts w:ascii="Century Gothic" w:hAnsi="Century Gothic" w:cs="Arial"/>
          <w:sz w:val="24"/>
          <w:szCs w:val="24"/>
        </w:rPr>
        <w:t> Presupuesto de Egresos de la Federación 2021</w:t>
      </w:r>
      <w:r w:rsidRPr="00745D0A">
        <w:rPr>
          <w:rFonts w:ascii="Century Gothic" w:hAnsi="Century Gothic" w:cs="Arial"/>
          <w:sz w:val="24"/>
          <w:szCs w:val="24"/>
        </w:rPr>
        <w:t xml:space="preserve"> propone un gasto de </w:t>
      </w:r>
      <w:r w:rsidRPr="00745D0A">
        <w:rPr>
          <w:rFonts w:ascii="Century Gothic" w:hAnsi="Century Gothic" w:cs="Arial"/>
          <w:b/>
          <w:bCs/>
          <w:sz w:val="24"/>
          <w:szCs w:val="24"/>
        </w:rPr>
        <w:t>6 billones 257 mil millones de pesos</w:t>
      </w:r>
      <w:r w:rsidRPr="00745D0A">
        <w:rPr>
          <w:rFonts w:ascii="Century Gothic" w:hAnsi="Century Gothic" w:cs="Arial"/>
          <w:sz w:val="24"/>
          <w:szCs w:val="24"/>
        </w:rPr>
        <w:t xml:space="preserve">, luego de aprobarse este año 6 billones 70 mil millones de pesos. Esto significa un </w:t>
      </w:r>
      <w:r w:rsidRPr="00745D0A">
        <w:rPr>
          <w:rFonts w:ascii="Century Gothic" w:hAnsi="Century Gothic" w:cs="Arial"/>
          <w:b/>
          <w:bCs/>
          <w:sz w:val="24"/>
          <w:szCs w:val="24"/>
        </w:rPr>
        <w:t>aumento nominal</w:t>
      </w:r>
      <w:r w:rsidRPr="00745D0A">
        <w:rPr>
          <w:rFonts w:ascii="Century Gothic" w:hAnsi="Century Gothic" w:cs="Arial"/>
          <w:sz w:val="24"/>
          <w:szCs w:val="24"/>
        </w:rPr>
        <w:t xml:space="preserve"> de </w:t>
      </w:r>
      <w:r w:rsidRPr="00745D0A">
        <w:rPr>
          <w:rFonts w:ascii="Century Gothic" w:hAnsi="Century Gothic" w:cs="Arial"/>
          <w:b/>
          <w:bCs/>
          <w:sz w:val="24"/>
          <w:szCs w:val="24"/>
        </w:rPr>
        <w:t>3.1% o 187 mil millones de pesos durante</w:t>
      </w:r>
      <w:r w:rsidRPr="00745D0A">
        <w:rPr>
          <w:rFonts w:ascii="Century Gothic" w:hAnsi="Century Gothic" w:cs="Arial"/>
          <w:sz w:val="24"/>
          <w:szCs w:val="24"/>
        </w:rPr>
        <w:t xml:space="preserve"> 2021. Sin embargo, al descontar la inflación, representa una </w:t>
      </w:r>
      <w:r w:rsidRPr="00745D0A">
        <w:rPr>
          <w:rFonts w:ascii="Century Gothic" w:hAnsi="Century Gothic" w:cs="Arial"/>
          <w:b/>
          <w:bCs/>
          <w:sz w:val="24"/>
          <w:szCs w:val="24"/>
        </w:rPr>
        <w:t>disminución de 0.3%</w:t>
      </w:r>
      <w:r w:rsidRPr="00745D0A">
        <w:rPr>
          <w:rFonts w:ascii="Century Gothic" w:hAnsi="Century Gothic" w:cs="Arial"/>
          <w:sz w:val="24"/>
          <w:szCs w:val="24"/>
        </w:rPr>
        <w:t xml:space="preserve"> con respecto a 2020.</w:t>
      </w:r>
    </w:p>
    <w:tbl>
      <w:tblPr>
        <w:tblStyle w:val="Tablaconcuadrcula"/>
        <w:tblW w:w="9351" w:type="dxa"/>
        <w:tblLook w:val="04A0" w:firstRow="1" w:lastRow="0" w:firstColumn="1" w:lastColumn="0" w:noHBand="0" w:noVBand="1"/>
      </w:tblPr>
      <w:tblGrid>
        <w:gridCol w:w="4411"/>
        <w:gridCol w:w="4940"/>
      </w:tblGrid>
      <w:tr w:rsidR="00596FED" w:rsidRPr="00745D0A" w:rsidTr="00895BBD">
        <w:trPr>
          <w:trHeight w:val="256"/>
        </w:trPr>
        <w:tc>
          <w:tcPr>
            <w:tcW w:w="4411" w:type="dxa"/>
            <w:shd w:val="clear" w:color="auto" w:fill="000000" w:themeFill="text1"/>
          </w:tcPr>
          <w:p w:rsidR="00596FED" w:rsidRPr="00745D0A" w:rsidRDefault="00596FED" w:rsidP="00745D0A">
            <w:pPr>
              <w:pStyle w:val="Sinespaciado"/>
              <w:spacing w:line="276" w:lineRule="auto"/>
              <w:jc w:val="center"/>
              <w:rPr>
                <w:rFonts w:ascii="Century Gothic" w:hAnsi="Century Gothic" w:cs="Arial"/>
                <w:b/>
                <w:bCs/>
                <w:color w:val="FFFFFF" w:themeColor="background1"/>
                <w:sz w:val="24"/>
                <w:szCs w:val="24"/>
              </w:rPr>
            </w:pPr>
            <w:r w:rsidRPr="00745D0A">
              <w:rPr>
                <w:rFonts w:ascii="Century Gothic" w:hAnsi="Century Gothic" w:cs="Arial"/>
                <w:b/>
                <w:bCs/>
                <w:color w:val="FFFFFF" w:themeColor="background1"/>
                <w:sz w:val="24"/>
                <w:szCs w:val="24"/>
              </w:rPr>
              <w:t>EJERCICIO FISCAL DE 2020</w:t>
            </w:r>
          </w:p>
        </w:tc>
        <w:tc>
          <w:tcPr>
            <w:tcW w:w="4940" w:type="dxa"/>
            <w:shd w:val="clear" w:color="auto" w:fill="000000" w:themeFill="text1"/>
          </w:tcPr>
          <w:p w:rsidR="00596FED" w:rsidRPr="00745D0A" w:rsidRDefault="00596FED" w:rsidP="00745D0A">
            <w:pPr>
              <w:pStyle w:val="Sinespaciado"/>
              <w:spacing w:line="276" w:lineRule="auto"/>
              <w:jc w:val="center"/>
              <w:rPr>
                <w:rFonts w:ascii="Century Gothic" w:hAnsi="Century Gothic" w:cs="Arial"/>
                <w:b/>
                <w:bCs/>
                <w:color w:val="FFFFFF" w:themeColor="background1"/>
                <w:sz w:val="24"/>
                <w:szCs w:val="24"/>
              </w:rPr>
            </w:pPr>
            <w:r w:rsidRPr="00745D0A">
              <w:rPr>
                <w:rFonts w:ascii="Century Gothic" w:hAnsi="Century Gothic" w:cs="Arial"/>
                <w:b/>
                <w:bCs/>
                <w:color w:val="FFFFFF" w:themeColor="background1"/>
                <w:sz w:val="24"/>
                <w:szCs w:val="24"/>
              </w:rPr>
              <w:t>EJERCICIO FISCAL DE 2021</w:t>
            </w:r>
          </w:p>
        </w:tc>
      </w:tr>
      <w:tr w:rsidR="00596FED" w:rsidRPr="00745D0A" w:rsidTr="00895BBD">
        <w:trPr>
          <w:trHeight w:val="2202"/>
        </w:trPr>
        <w:tc>
          <w:tcPr>
            <w:tcW w:w="4411" w:type="dxa"/>
          </w:tcPr>
          <w:p w:rsidR="00596FED" w:rsidRPr="00745D0A" w:rsidRDefault="00596FED" w:rsidP="00745D0A">
            <w:pPr>
              <w:pStyle w:val="Sinespaciado"/>
              <w:spacing w:line="276" w:lineRule="auto"/>
              <w:rPr>
                <w:rFonts w:ascii="Century Gothic" w:hAnsi="Century Gothic" w:cs="Arial"/>
                <w:sz w:val="24"/>
                <w:szCs w:val="24"/>
              </w:rPr>
            </w:pPr>
            <w:r w:rsidRPr="00745D0A">
              <w:rPr>
                <w:rFonts w:ascii="Century Gothic" w:hAnsi="Century Gothic" w:cs="Arial"/>
                <w:sz w:val="24"/>
                <w:szCs w:val="24"/>
              </w:rPr>
              <w:t xml:space="preserve">Déficit presupuestario equivalente a 547.1 mil millones de pesos como resultado de ingresos presupuestarios estimados en 5,511.9 mil millones de pesos y un gasto neto pagado de </w:t>
            </w:r>
            <w:r w:rsidR="001A2F44" w:rsidRPr="00745D0A">
              <w:rPr>
                <w:rFonts w:ascii="Century Gothic" w:hAnsi="Century Gothic" w:cs="Arial"/>
                <w:b/>
                <w:bCs/>
                <w:sz w:val="24"/>
                <w:szCs w:val="24"/>
              </w:rPr>
              <w:t xml:space="preserve">6 billones </w:t>
            </w:r>
            <w:r w:rsidRPr="00745D0A">
              <w:rPr>
                <w:rFonts w:ascii="Century Gothic" w:hAnsi="Century Gothic" w:cs="Arial"/>
                <w:b/>
                <w:bCs/>
                <w:sz w:val="24"/>
                <w:szCs w:val="24"/>
              </w:rPr>
              <w:t>059 mil millones de pesos.</w:t>
            </w:r>
          </w:p>
          <w:p w:rsidR="00596FED" w:rsidRPr="00745D0A" w:rsidRDefault="00596FED" w:rsidP="00745D0A">
            <w:pPr>
              <w:pStyle w:val="Sinespaciado"/>
              <w:spacing w:line="276" w:lineRule="auto"/>
              <w:rPr>
                <w:rFonts w:ascii="Century Gothic" w:hAnsi="Century Gothic" w:cs="Arial"/>
                <w:sz w:val="24"/>
                <w:szCs w:val="24"/>
              </w:rPr>
            </w:pPr>
          </w:p>
        </w:tc>
        <w:tc>
          <w:tcPr>
            <w:tcW w:w="4940" w:type="dxa"/>
          </w:tcPr>
          <w:p w:rsidR="00596FED" w:rsidRPr="00745D0A" w:rsidRDefault="00596FED" w:rsidP="00745D0A">
            <w:pPr>
              <w:pStyle w:val="Sinespaciado"/>
              <w:spacing w:line="276" w:lineRule="auto"/>
              <w:rPr>
                <w:rFonts w:ascii="Century Gothic" w:hAnsi="Century Gothic" w:cs="Arial"/>
                <w:b/>
                <w:bCs/>
                <w:sz w:val="24"/>
                <w:szCs w:val="24"/>
              </w:rPr>
            </w:pPr>
            <w:r w:rsidRPr="00745D0A">
              <w:rPr>
                <w:rFonts w:ascii="Century Gothic" w:hAnsi="Century Gothic" w:cs="Arial"/>
                <w:sz w:val="24"/>
                <w:szCs w:val="24"/>
              </w:rPr>
              <w:t xml:space="preserve">Déficit presupuestario de 718.2 mil millones de pesos, equivalente a 2.9% del PIB, como resultado de ingresos presupuestarios estimados en 5,538.9 mil millones de pesos y un gasto neto pagado </w:t>
            </w:r>
            <w:r w:rsidR="001A2F44" w:rsidRPr="00745D0A">
              <w:rPr>
                <w:rFonts w:ascii="Century Gothic" w:hAnsi="Century Gothic" w:cs="Arial"/>
                <w:b/>
                <w:bCs/>
                <w:sz w:val="24"/>
                <w:szCs w:val="24"/>
              </w:rPr>
              <w:t xml:space="preserve">de 6 billones </w:t>
            </w:r>
            <w:r w:rsidRPr="00745D0A">
              <w:rPr>
                <w:rFonts w:ascii="Century Gothic" w:hAnsi="Century Gothic" w:cs="Arial"/>
                <w:b/>
                <w:bCs/>
                <w:sz w:val="24"/>
                <w:szCs w:val="24"/>
              </w:rPr>
              <w:t>257.1 mil millones de pesos.</w:t>
            </w:r>
          </w:p>
        </w:tc>
      </w:tr>
    </w:tbl>
    <w:p w:rsidR="00596FED" w:rsidRPr="00745D0A" w:rsidRDefault="00596FED" w:rsidP="00745D0A">
      <w:pPr>
        <w:pStyle w:val="Prrafodelista"/>
        <w:spacing w:line="276" w:lineRule="auto"/>
        <w:jc w:val="both"/>
        <w:rPr>
          <w:rFonts w:ascii="Century Gothic" w:hAnsi="Century Gothic" w:cstheme="minorHAnsi"/>
          <w:bCs/>
          <w:sz w:val="24"/>
          <w:szCs w:val="24"/>
        </w:rPr>
      </w:pPr>
    </w:p>
    <w:p w:rsidR="00596FED" w:rsidRPr="00745D0A" w:rsidRDefault="00596FED" w:rsidP="00745D0A">
      <w:pPr>
        <w:pStyle w:val="Prrafodelista"/>
        <w:numPr>
          <w:ilvl w:val="0"/>
          <w:numId w:val="1"/>
        </w:numPr>
        <w:spacing w:line="276" w:lineRule="auto"/>
        <w:jc w:val="both"/>
        <w:rPr>
          <w:rFonts w:ascii="Century Gothic" w:hAnsi="Century Gothic" w:cstheme="minorHAnsi"/>
          <w:bCs/>
          <w:sz w:val="24"/>
          <w:szCs w:val="24"/>
        </w:rPr>
      </w:pPr>
      <w:r w:rsidRPr="00745D0A">
        <w:rPr>
          <w:rFonts w:ascii="Century Gothic" w:hAnsi="Century Gothic" w:cstheme="minorHAnsi"/>
          <w:sz w:val="24"/>
          <w:szCs w:val="24"/>
        </w:rPr>
        <w:t>Al realizar un comparativo de las erogaciones propuestas para este próximo ejercicio fiscal con lo que se aprobó para este 2020, encontramos una serie de reducciones y recortes a diversas Secretarías, así como una considerable disminución a las partidas entregadas para los estados y municipios.</w:t>
      </w:r>
    </w:p>
    <w:p w:rsidR="00596FED" w:rsidRPr="00745D0A" w:rsidRDefault="00596FED" w:rsidP="00745D0A">
      <w:pPr>
        <w:pStyle w:val="Prrafodelista"/>
        <w:numPr>
          <w:ilvl w:val="0"/>
          <w:numId w:val="1"/>
        </w:numPr>
        <w:shd w:val="clear" w:color="auto" w:fill="FFFFFF"/>
        <w:spacing w:after="100" w:afterAutospacing="1" w:line="276" w:lineRule="auto"/>
        <w:jc w:val="both"/>
        <w:rPr>
          <w:rFonts w:ascii="Century Gothic" w:eastAsia="Times New Roman" w:hAnsi="Century Gothic" w:cstheme="minorHAnsi"/>
          <w:sz w:val="24"/>
          <w:szCs w:val="24"/>
          <w:lang w:eastAsia="es-MX"/>
        </w:rPr>
      </w:pPr>
      <w:r w:rsidRPr="00745D0A">
        <w:rPr>
          <w:rFonts w:ascii="Century Gothic" w:eastAsia="Times New Roman" w:hAnsi="Century Gothic" w:cstheme="minorHAnsi"/>
          <w:sz w:val="24"/>
          <w:szCs w:val="24"/>
          <w:lang w:eastAsia="es-MX"/>
        </w:rPr>
        <w:t xml:space="preserve">El Presupuesto 2021, propone una reducción en las participaciones a entidades y municipios, en los ramos 33 y 28. El ramo 33, el cual es dinero que envía el Gobierno Federal a los estados y ya está etiquetado mientras el ramo 28, es aquel dinero que no está etiquetado y se otorga a las entidades de acuerdo a su tamaño, aportación al PIB y recaudación. En ambos casos, se presenta una reducción significativa en el dinero entregado por parte de la Federación en ambos rubros. </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Arial"/>
        </w:rPr>
        <w:t xml:space="preserve">El Proyecto de Presupuesto de Egresos de la Federación 2021, de acuerdo con la Secretaría de Hacienda y Crédito Público, propone un total de </w:t>
      </w:r>
      <w:r w:rsidR="001A2F44" w:rsidRPr="00745D0A">
        <w:rPr>
          <w:rFonts w:ascii="Century Gothic" w:hAnsi="Century Gothic" w:cs="Arial"/>
          <w:b/>
          <w:bCs/>
        </w:rPr>
        <w:t xml:space="preserve">1 billón </w:t>
      </w:r>
      <w:r w:rsidRPr="00745D0A">
        <w:rPr>
          <w:rFonts w:ascii="Century Gothic" w:hAnsi="Century Gothic" w:cs="Arial"/>
          <w:b/>
          <w:bCs/>
        </w:rPr>
        <w:t>867,338.4 millones de pesos</w:t>
      </w:r>
      <w:r w:rsidRPr="00745D0A">
        <w:rPr>
          <w:rFonts w:ascii="Century Gothic" w:hAnsi="Century Gothic" w:cs="Arial"/>
        </w:rPr>
        <w:t xml:space="preserve"> para estados y municipios, frente a </w:t>
      </w:r>
      <w:r w:rsidRPr="00745D0A">
        <w:rPr>
          <w:rFonts w:ascii="Century Gothic" w:hAnsi="Century Gothic" w:cs="Arial"/>
          <w:b/>
          <w:bCs/>
        </w:rPr>
        <w:t>1</w:t>
      </w:r>
      <w:r w:rsidR="001A2F44" w:rsidRPr="00745D0A">
        <w:rPr>
          <w:rFonts w:ascii="Century Gothic" w:hAnsi="Century Gothic" w:cs="Arial"/>
          <w:b/>
          <w:bCs/>
        </w:rPr>
        <w:t xml:space="preserve"> billón</w:t>
      </w:r>
      <w:r w:rsidRPr="00745D0A">
        <w:rPr>
          <w:rFonts w:ascii="Century Gothic" w:hAnsi="Century Gothic" w:cs="Arial"/>
          <w:b/>
          <w:bCs/>
        </w:rPr>
        <w:t xml:space="preserve"> 975,859.8 millones de pesos</w:t>
      </w:r>
      <w:r w:rsidRPr="00745D0A">
        <w:rPr>
          <w:rFonts w:ascii="Century Gothic" w:hAnsi="Century Gothic" w:cs="Arial"/>
        </w:rPr>
        <w:t xml:space="preserve"> aprobados </w:t>
      </w:r>
      <w:r w:rsidRPr="00745D0A">
        <w:rPr>
          <w:rFonts w:ascii="Century Gothic" w:hAnsi="Century Gothic" w:cs="Arial"/>
        </w:rPr>
        <w:lastRenderedPageBreak/>
        <w:t xml:space="preserve">para este ejercicio fiscal, una diferencia de </w:t>
      </w:r>
      <w:r w:rsidRPr="00745D0A">
        <w:rPr>
          <w:rFonts w:ascii="Century Gothic" w:hAnsi="Century Gothic" w:cs="Arial"/>
          <w:b/>
          <w:bCs/>
        </w:rPr>
        <w:t>108,521 millones de pesos</w:t>
      </w:r>
      <w:r w:rsidRPr="00745D0A">
        <w:rPr>
          <w:rFonts w:ascii="Century Gothic" w:hAnsi="Century Gothic" w:cs="Arial"/>
        </w:rPr>
        <w:t xml:space="preserve"> (a precios del 2021), mientras en términos relativos significa una contracción anual de </w:t>
      </w:r>
      <w:r w:rsidRPr="00745D0A">
        <w:rPr>
          <w:rFonts w:ascii="Century Gothic" w:hAnsi="Century Gothic" w:cs="Arial"/>
          <w:b/>
          <w:bCs/>
        </w:rPr>
        <w:t>5.5%,</w:t>
      </w:r>
      <w:r w:rsidRPr="00745D0A">
        <w:rPr>
          <w:rFonts w:ascii="Century Gothic" w:hAnsi="Century Gothic" w:cs="Arial"/>
        </w:rPr>
        <w:t xml:space="preserve"> a precios del 2021 (variación real).</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Arial"/>
        </w:rPr>
        <w:t>La principal contracción se daría en las participaciones federales (</w:t>
      </w:r>
      <w:r w:rsidRPr="00745D0A">
        <w:rPr>
          <w:rFonts w:ascii="Century Gothic" w:hAnsi="Century Gothic" w:cs="Arial"/>
          <w:b/>
          <w:bCs/>
        </w:rPr>
        <w:t>Ramo 28</w:t>
      </w:r>
      <w:r w:rsidRPr="00745D0A">
        <w:rPr>
          <w:rFonts w:ascii="Century Gothic" w:hAnsi="Century Gothic" w:cs="Arial"/>
        </w:rPr>
        <w:t xml:space="preserve">), el rubro más importante en la trasferencia de recursos a estados y municipios. Para el 2021, el gobierno central estima entregar </w:t>
      </w:r>
      <w:r w:rsidRPr="00745D0A">
        <w:rPr>
          <w:rFonts w:ascii="Century Gothic" w:hAnsi="Century Gothic" w:cs="Arial"/>
          <w:b/>
          <w:bCs/>
        </w:rPr>
        <w:t>921,403 millones de pesos</w:t>
      </w:r>
      <w:r w:rsidRPr="00745D0A">
        <w:rPr>
          <w:rFonts w:ascii="Century Gothic" w:hAnsi="Century Gothic" w:cs="Arial"/>
        </w:rPr>
        <w:t xml:space="preserve"> de participaciones (</w:t>
      </w:r>
      <w:r w:rsidRPr="00745D0A">
        <w:rPr>
          <w:rFonts w:ascii="Century Gothic" w:hAnsi="Century Gothic" w:cs="Arial"/>
          <w:b/>
          <w:bCs/>
        </w:rPr>
        <w:t>49.3%</w:t>
      </w:r>
      <w:r w:rsidRPr="00745D0A">
        <w:rPr>
          <w:rFonts w:ascii="Century Gothic" w:hAnsi="Century Gothic" w:cs="Arial"/>
        </w:rPr>
        <w:t xml:space="preserve"> del total), que representaría para las administraciones locales recibir </w:t>
      </w:r>
      <w:r w:rsidRPr="00745D0A">
        <w:rPr>
          <w:rFonts w:ascii="Century Gothic" w:hAnsi="Century Gothic" w:cs="Arial"/>
          <w:b/>
          <w:bCs/>
        </w:rPr>
        <w:t>62,695 millones de pesos menos</w:t>
      </w:r>
      <w:r w:rsidRPr="00745D0A">
        <w:rPr>
          <w:rFonts w:ascii="Century Gothic" w:hAnsi="Century Gothic" w:cs="Arial"/>
        </w:rPr>
        <w:t xml:space="preserve">, en relación al presupuesto aprobado para el 2020 (decrecimiento de </w:t>
      </w:r>
      <w:r w:rsidRPr="00745D0A">
        <w:rPr>
          <w:rFonts w:ascii="Century Gothic" w:hAnsi="Century Gothic" w:cs="Arial"/>
          <w:b/>
          <w:bCs/>
        </w:rPr>
        <w:t>6.4%</w:t>
      </w:r>
      <w:r w:rsidRPr="00745D0A">
        <w:rPr>
          <w:rFonts w:ascii="Century Gothic" w:hAnsi="Century Gothic" w:cs="Arial"/>
        </w:rPr>
        <w:t xml:space="preserve"> real).</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s="Arial"/>
        </w:rPr>
      </w:pPr>
      <w:r w:rsidRPr="00745D0A">
        <w:rPr>
          <w:rFonts w:ascii="Century Gothic" w:hAnsi="Century Gothic" w:cs="Arial"/>
        </w:rPr>
        <w:t>Las aportaciones federales es el segundo ramo de mayor importancia en el gasto federalizado (</w:t>
      </w:r>
      <w:r w:rsidRPr="00745D0A">
        <w:rPr>
          <w:rFonts w:ascii="Century Gothic" w:hAnsi="Century Gothic" w:cs="Arial"/>
          <w:b/>
          <w:bCs/>
        </w:rPr>
        <w:t>44.8%</w:t>
      </w:r>
      <w:r w:rsidRPr="00745D0A">
        <w:rPr>
          <w:rFonts w:ascii="Century Gothic" w:hAnsi="Century Gothic" w:cs="Arial"/>
        </w:rPr>
        <w:t xml:space="preserve"> del total). En el PPEF 2021 se propone que estos recursos asciendan a </w:t>
      </w:r>
      <w:r w:rsidRPr="00745D0A">
        <w:rPr>
          <w:rFonts w:ascii="Century Gothic" w:hAnsi="Century Gothic" w:cs="Arial"/>
          <w:b/>
          <w:bCs/>
        </w:rPr>
        <w:t>836,097 millones de pesos</w:t>
      </w:r>
      <w:r w:rsidRPr="00745D0A">
        <w:rPr>
          <w:rFonts w:ascii="Century Gothic" w:hAnsi="Century Gothic" w:cs="Arial"/>
        </w:rPr>
        <w:t xml:space="preserve"> (</w:t>
      </w:r>
      <w:r w:rsidRPr="00745D0A">
        <w:rPr>
          <w:rFonts w:ascii="Century Gothic" w:hAnsi="Century Gothic" w:cs="Arial"/>
          <w:b/>
          <w:bCs/>
        </w:rPr>
        <w:t>incluye Ramo 25</w:t>
      </w:r>
      <w:r w:rsidRPr="00745D0A">
        <w:rPr>
          <w:rFonts w:ascii="Century Gothic" w:hAnsi="Century Gothic" w:cs="Arial"/>
        </w:rPr>
        <w:t xml:space="preserve">), que serían </w:t>
      </w:r>
      <w:r w:rsidRPr="00745D0A">
        <w:rPr>
          <w:rFonts w:ascii="Century Gothic" w:hAnsi="Century Gothic" w:cs="Arial"/>
          <w:b/>
          <w:bCs/>
        </w:rPr>
        <w:t>9,054 millones menos</w:t>
      </w:r>
      <w:r w:rsidRPr="00745D0A">
        <w:rPr>
          <w:rFonts w:ascii="Century Gothic" w:hAnsi="Century Gothic" w:cs="Arial"/>
        </w:rPr>
        <w:t xml:space="preserve"> respecto al presupuesto aprobado para este año (variación negativa real de </w:t>
      </w:r>
      <w:r w:rsidRPr="00745D0A">
        <w:rPr>
          <w:rFonts w:ascii="Century Gothic" w:hAnsi="Century Gothic" w:cs="Arial"/>
          <w:b/>
          <w:bCs/>
        </w:rPr>
        <w:t>1.1%</w:t>
      </w:r>
      <w:r w:rsidRPr="00745D0A">
        <w:rPr>
          <w:rFonts w:ascii="Century Gothic" w:hAnsi="Century Gothic" w:cs="Arial"/>
        </w:rPr>
        <w:t xml:space="preserve">).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s="Arial"/>
        </w:rPr>
      </w:pPr>
      <w:r w:rsidRPr="00745D0A">
        <w:rPr>
          <w:rFonts w:ascii="Century Gothic" w:hAnsi="Century Gothic" w:cs="Arial"/>
        </w:rPr>
        <w:t>Dentro de las aportaciones (</w:t>
      </w:r>
      <w:r w:rsidRPr="00745D0A">
        <w:rPr>
          <w:rFonts w:ascii="Century Gothic" w:hAnsi="Century Gothic" w:cs="Arial"/>
          <w:b/>
          <w:bCs/>
        </w:rPr>
        <w:t>Ramo 33</w:t>
      </w:r>
      <w:r w:rsidRPr="00745D0A">
        <w:rPr>
          <w:rFonts w:ascii="Century Gothic" w:hAnsi="Century Gothic" w:cs="Arial"/>
        </w:rPr>
        <w:t xml:space="preserve">), que van a destinos específicos como educación, salud, infraestructura social y seguridad pública, los fondos que disminuirían serían Servicios de Salud, Aportaciones Múltiples, Fortalecimiento de los Municipios y Fortalecimiento de las Entidades Federativas (cada uno con </w:t>
      </w:r>
      <w:r w:rsidRPr="00745D0A">
        <w:rPr>
          <w:rFonts w:ascii="Century Gothic" w:hAnsi="Century Gothic" w:cs="Arial"/>
          <w:b/>
          <w:bCs/>
        </w:rPr>
        <w:t>4.4%</w:t>
      </w:r>
      <w:r w:rsidRPr="00745D0A">
        <w:rPr>
          <w:rFonts w:ascii="Century Gothic" w:hAnsi="Century Gothic" w:cs="Arial"/>
        </w:rPr>
        <w:t xml:space="preserve">); el </w:t>
      </w:r>
      <w:r w:rsidRPr="00745D0A">
        <w:rPr>
          <w:rFonts w:ascii="Century Gothic" w:hAnsi="Century Gothic" w:cs="Arial"/>
          <w:b/>
          <w:bCs/>
        </w:rPr>
        <w:t>Ramo 25</w:t>
      </w:r>
      <w:r w:rsidRPr="00745D0A">
        <w:rPr>
          <w:rFonts w:ascii="Century Gothic" w:hAnsi="Century Gothic" w:cs="Arial"/>
        </w:rPr>
        <w:t xml:space="preserve"> (Sistemas de Educación Básica, Normal, Tecnológica y de Adultos) bajaría </w:t>
      </w:r>
      <w:r w:rsidRPr="00745D0A">
        <w:rPr>
          <w:rFonts w:ascii="Century Gothic" w:hAnsi="Century Gothic" w:cs="Arial"/>
          <w:b/>
          <w:bCs/>
        </w:rPr>
        <w:t>1.8%.</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Arial"/>
          <w:b/>
          <w:bCs/>
        </w:rPr>
        <w:t>Chihuahua</w:t>
      </w:r>
      <w:r w:rsidRPr="00745D0A">
        <w:rPr>
          <w:rFonts w:ascii="Century Gothic" w:hAnsi="Century Gothic" w:cs="Arial"/>
        </w:rPr>
        <w:t xml:space="preserve">, en términos de asignaciones del gasto con base en su destino geográfico, mediante su distribución por entidad federativa (Gasto Programable), sufrirá una disminución de </w:t>
      </w:r>
      <w:r w:rsidRPr="00745D0A">
        <w:rPr>
          <w:rFonts w:ascii="Century Gothic" w:hAnsi="Century Gothic" w:cs="Arial"/>
          <w:b/>
          <w:bCs/>
        </w:rPr>
        <w:t>3,144.4 millones de pesos</w:t>
      </w:r>
      <w:r w:rsidRPr="00745D0A">
        <w:rPr>
          <w:rFonts w:ascii="Century Gothic" w:hAnsi="Century Gothic" w:cs="Arial"/>
        </w:rPr>
        <w:t xml:space="preserve"> del presupuesto ejercido a la totalidad del gasto programable, donde en el 2020 se le fue asignado </w:t>
      </w:r>
      <w:r w:rsidRPr="00745D0A">
        <w:rPr>
          <w:rFonts w:ascii="Century Gothic" w:hAnsi="Century Gothic" w:cs="Arial"/>
          <w:b/>
          <w:bCs/>
        </w:rPr>
        <w:t>80,858.1 millones</w:t>
      </w:r>
      <w:r w:rsidRPr="00745D0A">
        <w:rPr>
          <w:rFonts w:ascii="Century Gothic" w:hAnsi="Century Gothic" w:cs="Arial"/>
        </w:rPr>
        <w:t xml:space="preserve">, mientras en el 2021 se propone una asignación de </w:t>
      </w:r>
      <w:r w:rsidRPr="00745D0A">
        <w:rPr>
          <w:rFonts w:ascii="Century Gothic" w:hAnsi="Century Gothic" w:cs="Arial"/>
          <w:b/>
          <w:bCs/>
        </w:rPr>
        <w:t>77,713.7 millones de pesos</w:t>
      </w:r>
      <w:r w:rsidRPr="00745D0A">
        <w:rPr>
          <w:rFonts w:ascii="Century Gothic" w:hAnsi="Century Gothic" w:cs="Arial"/>
        </w:rPr>
        <w:t xml:space="preserve">, una disminución del </w:t>
      </w:r>
      <w:r w:rsidRPr="00745D0A">
        <w:rPr>
          <w:rFonts w:ascii="Century Gothic" w:hAnsi="Century Gothic" w:cs="Arial"/>
          <w:b/>
          <w:bCs/>
        </w:rPr>
        <w:t>3.9%</w:t>
      </w:r>
      <w:r w:rsidRPr="00745D0A">
        <w:rPr>
          <w:rFonts w:ascii="Century Gothic" w:hAnsi="Century Gothic" w:cs="Arial"/>
        </w:rPr>
        <w:t xml:space="preserve"> en términos reales</w:t>
      </w:r>
      <w:r w:rsidRPr="00745D0A">
        <w:rPr>
          <w:rFonts w:ascii="Century Gothic" w:hAnsi="Century Gothic" w:cs="Arial"/>
          <w:color w:val="000000"/>
          <w:shd w:val="clear" w:color="auto" w:fill="FDFDFD"/>
        </w:rPr>
        <w:t>.</w:t>
      </w:r>
    </w:p>
    <w:p w:rsidR="001A2F44" w:rsidRPr="00745D0A" w:rsidRDefault="00596FED" w:rsidP="00745D0A">
      <w:pPr>
        <w:pStyle w:val="NormalWeb"/>
        <w:numPr>
          <w:ilvl w:val="0"/>
          <w:numId w:val="1"/>
        </w:numPr>
        <w:shd w:val="clear" w:color="auto" w:fill="FFFFFF"/>
        <w:spacing w:before="0" w:beforeAutospacing="0" w:after="0" w:afterAutospacing="0" w:line="276" w:lineRule="auto"/>
        <w:ind w:left="714" w:hanging="357"/>
        <w:jc w:val="both"/>
        <w:textAlignment w:val="baseline"/>
        <w:rPr>
          <w:rFonts w:ascii="Century Gothic" w:hAnsi="Century Gothic" w:cs="Arial"/>
        </w:rPr>
      </w:pPr>
      <w:r w:rsidRPr="00745D0A">
        <w:rPr>
          <w:rFonts w:ascii="Century Gothic" w:hAnsi="Century Gothic" w:cs="Arial"/>
          <w:bCs/>
        </w:rPr>
        <w:t xml:space="preserve">Lo anterior complica aún más la operación del Gobierno del Estado, obligándolo a funcionar con un posible </w:t>
      </w:r>
      <w:r w:rsidRPr="00745D0A">
        <w:rPr>
          <w:rFonts w:ascii="Century Gothic" w:hAnsi="Century Gothic" w:cs="Arial"/>
        </w:rPr>
        <w:t xml:space="preserve">déficit presupuestal de hasta </w:t>
      </w:r>
      <w:r w:rsidRPr="00745D0A">
        <w:rPr>
          <w:rFonts w:ascii="Century Gothic" w:hAnsi="Century Gothic" w:cs="Arial"/>
          <w:b/>
          <w:bCs/>
        </w:rPr>
        <w:t>10 mil millones de pesos</w:t>
      </w:r>
      <w:r w:rsidRPr="00745D0A">
        <w:rPr>
          <w:rFonts w:ascii="Century Gothic" w:hAnsi="Century Gothic" w:cs="Arial"/>
        </w:rPr>
        <w:t>, déficit que es causado no solo por los recortes federales, sino también por el faltante que se viene arrastrando desde años anteriores y las complicaciones económicas y financieras por el COVID 19, que impactó a todos los sectores productivos y hacendarios, a</w:t>
      </w:r>
      <w:r w:rsidRPr="00745D0A">
        <w:rPr>
          <w:rFonts w:ascii="Century Gothic" w:hAnsi="Century Gothic" w:cstheme="minorHAnsi"/>
        </w:rPr>
        <w:t xml:space="preserve">demás de los recortes presupuestales directos a los ingresos del Estado y sus municipios. Con el nuevo </w:t>
      </w:r>
      <w:r w:rsidRPr="00745D0A">
        <w:rPr>
          <w:rFonts w:ascii="Century Gothic" w:hAnsi="Century Gothic" w:cstheme="minorHAnsi"/>
        </w:rPr>
        <w:lastRenderedPageBreak/>
        <w:t xml:space="preserve">paquete fiscal se estima un recorte presupuestal, que </w:t>
      </w:r>
      <w:r w:rsidRPr="00745D0A">
        <w:rPr>
          <w:rFonts w:ascii="Century Gothic" w:hAnsi="Century Gothic" w:cs="Arial"/>
          <w:color w:val="000000"/>
          <w:shd w:val="clear" w:color="auto" w:fill="FDFDFD"/>
        </w:rPr>
        <w:t xml:space="preserve">sólo en participaciones federales asciende a </w:t>
      </w:r>
      <w:r w:rsidRPr="00745D0A">
        <w:rPr>
          <w:rFonts w:ascii="Century Gothic" w:hAnsi="Century Gothic" w:cs="Arial"/>
          <w:b/>
          <w:bCs/>
          <w:color w:val="000000"/>
          <w:shd w:val="clear" w:color="auto" w:fill="FDFDFD"/>
        </w:rPr>
        <w:t>4,600 millones</w:t>
      </w:r>
      <w:r w:rsidRPr="00745D0A">
        <w:rPr>
          <w:rFonts w:ascii="Century Gothic" w:hAnsi="Century Gothic" w:cstheme="minorHAnsi"/>
          <w:b/>
          <w:bCs/>
        </w:rPr>
        <w:t xml:space="preserve"> de pesos</w:t>
      </w:r>
      <w:r w:rsidRPr="00745D0A">
        <w:rPr>
          <w:rFonts w:ascii="Century Gothic" w:hAnsi="Century Gothic" w:cstheme="minorHAnsi"/>
        </w:rPr>
        <w:t xml:space="preserve"> para nuestro estado, derivado de la exclusión de diversos programas que beneficiaban a nuestra entidad, viéndose mayormente afectados los rubros de Turismo, Campo, Desarrollo de Infraestructura, donde al Estado se le asignaron 0 pesos en obra,  </w:t>
      </w:r>
      <w:r w:rsidRPr="00745D0A">
        <w:rPr>
          <w:rFonts w:ascii="Century Gothic" w:hAnsi="Century Gothic" w:cstheme="minorHAnsi"/>
          <w:b/>
        </w:rPr>
        <w:t>Salud</w:t>
      </w:r>
      <w:r w:rsidRPr="00745D0A">
        <w:rPr>
          <w:rFonts w:ascii="Century Gothic" w:hAnsi="Century Gothic" w:cstheme="minorHAnsi"/>
        </w:rPr>
        <w:t>, donde diversas Secretarias y Programas Federales</w:t>
      </w:r>
      <w:r w:rsidRPr="00745D0A">
        <w:rPr>
          <w:rFonts w:ascii="Century Gothic" w:hAnsi="Century Gothic" w:cstheme="minorHAnsi"/>
          <w:shd w:val="clear" w:color="auto" w:fill="FFFFFF"/>
        </w:rPr>
        <w:t>, sufrieron un recorte sobre los recursos que ejercían, eliminaron programas necesarios para el desarrollo de los ciudadanos o bien la totalidad del recurso asignado se ejercerá en los proyectos prioritarios y emblemáticos del gobierno.</w:t>
      </w:r>
    </w:p>
    <w:p w:rsidR="001A2F44"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theme="minorHAnsi"/>
        </w:rPr>
        <w:t xml:space="preserve">Ejemplo de lo anterior, tenemos a la Secretaría de Turismo, donde si bien, ganaría presupuesto, el cual ascendería a </w:t>
      </w:r>
      <w:r w:rsidRPr="00745D0A">
        <w:rPr>
          <w:rFonts w:ascii="Century Gothic" w:hAnsi="Century Gothic" w:cstheme="minorHAnsi"/>
          <w:b/>
          <w:bCs/>
        </w:rPr>
        <w:t>38.6 mil millones de pesos</w:t>
      </w:r>
      <w:r w:rsidRPr="00745D0A">
        <w:rPr>
          <w:rFonts w:ascii="Century Gothic" w:hAnsi="Century Gothic" w:cstheme="minorHAnsi"/>
        </w:rPr>
        <w:t xml:space="preserve"> durante 2021, casi siete veces más que los </w:t>
      </w:r>
      <w:r w:rsidRPr="00745D0A">
        <w:rPr>
          <w:rFonts w:ascii="Century Gothic" w:hAnsi="Century Gothic" w:cstheme="minorHAnsi"/>
          <w:b/>
          <w:bCs/>
        </w:rPr>
        <w:t>5.2 mil millones</w:t>
      </w:r>
      <w:r w:rsidRPr="00745D0A">
        <w:rPr>
          <w:rFonts w:ascii="Century Gothic" w:hAnsi="Century Gothic" w:cstheme="minorHAnsi"/>
        </w:rPr>
        <w:t xml:space="preserve"> aprobados para 2020, sin embargo, de los recursos estimados para la SECTUR en 2021, un 94 por ciento se destina a la implementación de acciones para continuar con la ejecución del proyecto Tren Maya, ejerciendo un prepuesto de aproximadamente </w:t>
      </w:r>
      <w:r w:rsidRPr="00745D0A">
        <w:rPr>
          <w:rFonts w:ascii="Century Gothic" w:hAnsi="Century Gothic" w:cstheme="minorHAnsi"/>
          <w:b/>
          <w:bCs/>
        </w:rPr>
        <w:t>36 mil 288 millones de pesos</w:t>
      </w:r>
      <w:r w:rsidRPr="00745D0A">
        <w:rPr>
          <w:rFonts w:ascii="Century Gothic" w:hAnsi="Century Gothic" w:cstheme="minorHAnsi"/>
        </w:rPr>
        <w:t xml:space="preserve">, el resto se destina a  la realización de programas con una asignación de aproximadamente </w:t>
      </w:r>
      <w:r w:rsidRPr="00745D0A">
        <w:rPr>
          <w:rFonts w:ascii="Century Gothic" w:hAnsi="Century Gothic" w:cstheme="minorHAnsi"/>
          <w:b/>
          <w:bCs/>
        </w:rPr>
        <w:t>2 mil 873 millones de pesos</w:t>
      </w:r>
      <w:r w:rsidRPr="00745D0A">
        <w:rPr>
          <w:rFonts w:ascii="Century Gothic" w:hAnsi="Century Gothic" w:cstheme="minorHAnsi"/>
        </w:rPr>
        <w:t>, entre los que destacan los siguientes Programas: Programa de Fomento y Promoción de la Inversión en el Sector Turístico (con 636.4 millones de pesos); el Programa de Calidad y Atención Integral al Turismo (231.5 millones de pesos), Programa Mantenimiento de Infraestructura, (795 millones de pesos) y una inversión de 173.6 millones de pesos para el Programa de Planeación y conducción de la política de turismo.</w:t>
      </w:r>
    </w:p>
    <w:p w:rsidR="001A2F44"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Arial"/>
        </w:rPr>
        <w:t>Con un</w:t>
      </w:r>
      <w:r w:rsidRPr="00745D0A">
        <w:rPr>
          <w:rFonts w:ascii="Century Gothic" w:hAnsi="Century Gothic"/>
          <w:shd w:val="clear" w:color="auto" w:fill="FFFFFF"/>
        </w:rPr>
        <w:t> </w:t>
      </w:r>
      <w:r w:rsidRPr="00745D0A">
        <w:rPr>
          <w:rStyle w:val="Textoennegrita"/>
          <w:rFonts w:ascii="Century Gothic" w:hAnsi="Century Gothic"/>
          <w:shd w:val="clear" w:color="auto" w:fill="FFFFFF"/>
        </w:rPr>
        <w:t>incremento estimado de 82 millones de pesos</w:t>
      </w:r>
      <w:r w:rsidRPr="00745D0A">
        <w:rPr>
          <w:rFonts w:ascii="Century Gothic" w:hAnsi="Century Gothic"/>
          <w:shd w:val="clear" w:color="auto" w:fill="FFFFFF"/>
        </w:rPr>
        <w:t> al presupuesto de Secretaria de Agricultura y Desarrollo Rural  (</w:t>
      </w:r>
      <w:r w:rsidRPr="00745D0A">
        <w:rPr>
          <w:rFonts w:ascii="Century Gothic" w:hAnsi="Century Gothic"/>
          <w:b/>
          <w:shd w:val="clear" w:color="auto" w:fill="FFFFFF"/>
        </w:rPr>
        <w:t>SADER</w:t>
      </w:r>
      <w:r w:rsidRPr="00745D0A">
        <w:rPr>
          <w:rFonts w:ascii="Century Gothic" w:hAnsi="Century Gothic"/>
          <w:shd w:val="clear" w:color="auto" w:fill="FFFFFF"/>
        </w:rPr>
        <w:t>), lo que le daría un total</w:t>
      </w:r>
      <w:r w:rsidRPr="00745D0A">
        <w:rPr>
          <w:rStyle w:val="Textoennegrita"/>
          <w:rFonts w:ascii="Century Gothic" w:hAnsi="Century Gothic"/>
          <w:shd w:val="clear" w:color="auto" w:fill="FFFFFF"/>
        </w:rPr>
        <w:t xml:space="preserve"> de 49 mil 291 millones de pesos</w:t>
      </w:r>
      <w:r w:rsidRPr="00745D0A">
        <w:rPr>
          <w:rFonts w:ascii="Century Gothic" w:hAnsi="Century Gothic"/>
          <w:shd w:val="clear" w:color="auto" w:fill="FFFFFF"/>
        </w:rPr>
        <w:t xml:space="preserve">, está contemplado en el Proyecto de Presupuesto de Egresos 2021, el Programa Especial Concurrente para el Desarrollo Rural Sustentable (PEC) por segundo año consecutivo presenta una reducción de </w:t>
      </w:r>
      <w:r w:rsidRPr="00745D0A">
        <w:rPr>
          <w:rFonts w:ascii="Century Gothic" w:hAnsi="Century Gothic"/>
          <w:b/>
          <w:bCs/>
          <w:shd w:val="clear" w:color="auto" w:fill="FFFFFF"/>
        </w:rPr>
        <w:t>1.5%</w:t>
      </w:r>
      <w:r w:rsidRPr="00745D0A">
        <w:rPr>
          <w:rFonts w:ascii="Century Gothic" w:hAnsi="Century Gothic"/>
          <w:shd w:val="clear" w:color="auto" w:fill="FFFFFF"/>
        </w:rPr>
        <w:t xml:space="preserve"> con respecto al presupuesto aprobado el año anterior, ya que se da prioridad a los programas sociales sobre el gasto para infraestructura.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s="Arial"/>
        </w:rPr>
      </w:pPr>
      <w:r w:rsidRPr="00745D0A">
        <w:rPr>
          <w:rFonts w:ascii="Century Gothic" w:hAnsi="Century Gothic"/>
          <w:shd w:val="clear" w:color="auto" w:fill="FFFFFF"/>
        </w:rPr>
        <w:t xml:space="preserve">El presupuesto del Programa Especial Concurrente (PEC) rural que propone el Ejecutivo para 2021 es de </w:t>
      </w:r>
      <w:r w:rsidRPr="00745D0A">
        <w:rPr>
          <w:rFonts w:ascii="Century Gothic" w:hAnsi="Century Gothic"/>
          <w:b/>
          <w:bCs/>
          <w:shd w:val="clear" w:color="auto" w:fill="FFFFFF"/>
        </w:rPr>
        <w:t>334</w:t>
      </w:r>
      <w:r w:rsidR="001A2F44" w:rsidRPr="00745D0A">
        <w:rPr>
          <w:rFonts w:ascii="Century Gothic" w:hAnsi="Century Gothic"/>
          <w:b/>
          <w:bCs/>
          <w:shd w:val="clear" w:color="auto" w:fill="FFFFFF"/>
        </w:rPr>
        <w:t xml:space="preserve"> mil </w:t>
      </w:r>
      <w:r w:rsidRPr="00745D0A">
        <w:rPr>
          <w:rFonts w:ascii="Century Gothic" w:hAnsi="Century Gothic"/>
          <w:b/>
          <w:bCs/>
          <w:shd w:val="clear" w:color="auto" w:fill="FFFFFF"/>
        </w:rPr>
        <w:t>875 millones de pesos</w:t>
      </w:r>
      <w:r w:rsidRPr="00745D0A">
        <w:rPr>
          <w:rFonts w:ascii="Century Gothic" w:hAnsi="Century Gothic"/>
          <w:shd w:val="clear" w:color="auto" w:fill="FFFFFF"/>
        </w:rPr>
        <w:t xml:space="preserve">, es decir, </w:t>
      </w:r>
      <w:r w:rsidRPr="00745D0A">
        <w:rPr>
          <w:rFonts w:ascii="Century Gothic" w:hAnsi="Century Gothic"/>
          <w:b/>
          <w:bCs/>
          <w:shd w:val="clear" w:color="auto" w:fill="FFFFFF"/>
        </w:rPr>
        <w:t>cinco mil millones de pesos</w:t>
      </w:r>
      <w:r w:rsidRPr="00745D0A">
        <w:rPr>
          <w:rFonts w:ascii="Century Gothic" w:hAnsi="Century Gothic"/>
          <w:shd w:val="clear" w:color="auto" w:fill="FFFFFF"/>
        </w:rPr>
        <w:t xml:space="preserve"> por abajo del presupuesto </w:t>
      </w:r>
      <w:r w:rsidRPr="00745D0A">
        <w:rPr>
          <w:rFonts w:ascii="Century Gothic" w:hAnsi="Century Gothic"/>
          <w:shd w:val="clear" w:color="auto" w:fill="FFFFFF"/>
        </w:rPr>
        <w:lastRenderedPageBreak/>
        <w:t xml:space="preserve">modificado en el segundo trimestre del presente año, que fue de </w:t>
      </w:r>
      <w:r w:rsidR="001A2F44" w:rsidRPr="00745D0A">
        <w:rPr>
          <w:rFonts w:ascii="Century Gothic" w:hAnsi="Century Gothic"/>
          <w:b/>
          <w:bCs/>
          <w:shd w:val="clear" w:color="auto" w:fill="FFFFFF"/>
        </w:rPr>
        <w:t xml:space="preserve">329 mil </w:t>
      </w:r>
      <w:r w:rsidRPr="00745D0A">
        <w:rPr>
          <w:rFonts w:ascii="Century Gothic" w:hAnsi="Century Gothic"/>
          <w:b/>
          <w:bCs/>
          <w:shd w:val="clear" w:color="auto" w:fill="FFFFFF"/>
        </w:rPr>
        <w:t>865 millones de pesos</w:t>
      </w:r>
      <w:r w:rsidRPr="00745D0A">
        <w:rPr>
          <w:rFonts w:ascii="Century Gothic" w:hAnsi="Century Gothic"/>
          <w:shd w:val="clear" w:color="auto" w:fill="FFFFFF"/>
        </w:rPr>
        <w:t xml:space="preserve">, recursos que serán aplicados a temas de apoyo social.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s="Arial"/>
        </w:rPr>
      </w:pPr>
      <w:r w:rsidRPr="00745D0A">
        <w:rPr>
          <w:rFonts w:ascii="Century Gothic" w:hAnsi="Century Gothic" w:cs="Arial"/>
        </w:rPr>
        <w:t xml:space="preserve">Se quedan sin presupuesto para el siguiente año y desaparecen de la SADER los programas Concurrencia con las Entidades de los Estados, el Sistema Nacional de Investigación Agrícola y, el Programa de Fomento Ganadero que maneja el Crédito Ganadero a la Palabra. Con respecto al presupuesto para el sector agropecuario, el PEC presenta nuevamente una reducción de </w:t>
      </w:r>
      <w:r w:rsidR="00304112" w:rsidRPr="00745D0A">
        <w:rPr>
          <w:rFonts w:ascii="Century Gothic" w:hAnsi="Century Gothic" w:cs="Arial"/>
          <w:b/>
          <w:bCs/>
        </w:rPr>
        <w:t xml:space="preserve">4 mil </w:t>
      </w:r>
      <w:r w:rsidRPr="00745D0A">
        <w:rPr>
          <w:rFonts w:ascii="Century Gothic" w:hAnsi="Century Gothic" w:cs="Arial"/>
          <w:b/>
          <w:bCs/>
        </w:rPr>
        <w:t>995.7 millones</w:t>
      </w:r>
      <w:r w:rsidRPr="00745D0A">
        <w:rPr>
          <w:rFonts w:ascii="Century Gothic" w:hAnsi="Century Gothic" w:cs="Arial"/>
        </w:rPr>
        <w:t xml:space="preserve"> menos en relación al 2020 y además, desaparecen los siguientes programas de apoyo al sector agropecuario y pesquero: el Programa de Financiamiento y Aseguramiento al Medio Rural y dentro del Programa de Fomento a la Inversión y Productividad, desaparecen: el Crédito Ganadero a la Palabra, Desarrollo Rural, Vinculación Productiva, Fomento a la Ganadería y Normalización de la calidad de Productos Pecuarios, así como el Programa de Fomento a la Economía Social (FONAES).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s="Arial"/>
        </w:rPr>
      </w:pPr>
      <w:r w:rsidRPr="00745D0A">
        <w:rPr>
          <w:rFonts w:ascii="Century Gothic" w:hAnsi="Century Gothic" w:cs="Arial"/>
        </w:rPr>
        <w:t>Dentro del Programa de Sustentabilidad de los Recursos Naturales, ya no estarán los programas de Desarrollo Rural y el Programa de Fomento a la Productividad Pesquera y Acuícola, aunado a que dentro del Programa de Atención a la Pobreza en el Medio Rural, desaparece el Programa de Atención a la Población Agraria (Infraestructura Rural) y dentro del Programa de Derecho a la Alimentación, Desaparece el Programa de Desarrollo Rural.</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s="Arial"/>
        </w:rPr>
        <w:t xml:space="preserve">En un sentido de irresponsabilidad y falta de empatía, el Proyecto del Presupuesto de Egresos, contempla una </w:t>
      </w:r>
      <w:r w:rsidRPr="00745D0A">
        <w:rPr>
          <w:rFonts w:ascii="Century Gothic" w:hAnsi="Century Gothic"/>
          <w:color w:val="111111"/>
          <w:shd w:val="clear" w:color="auto" w:fill="FFFFFF"/>
        </w:rPr>
        <w:t xml:space="preserve">reducción de </w:t>
      </w:r>
      <w:r w:rsidRPr="00745D0A">
        <w:rPr>
          <w:rFonts w:ascii="Century Gothic" w:hAnsi="Century Gothic"/>
          <w:b/>
          <w:bCs/>
          <w:color w:val="111111"/>
          <w:shd w:val="clear" w:color="auto" w:fill="FFFFFF"/>
        </w:rPr>
        <w:t>7 millones</w:t>
      </w:r>
      <w:r w:rsidRPr="00745D0A">
        <w:rPr>
          <w:rFonts w:ascii="Century Gothic" w:hAnsi="Century Gothic"/>
          <w:color w:val="111111"/>
          <w:shd w:val="clear" w:color="auto" w:fill="FFFFFF"/>
        </w:rPr>
        <w:t xml:space="preserve">, es decir, </w:t>
      </w:r>
      <w:r w:rsidRPr="00745D0A">
        <w:rPr>
          <w:rFonts w:ascii="Century Gothic" w:hAnsi="Century Gothic"/>
          <w:b/>
          <w:bCs/>
          <w:color w:val="111111"/>
          <w:shd w:val="clear" w:color="auto" w:fill="FFFFFF"/>
        </w:rPr>
        <w:t>0.3%</w:t>
      </w:r>
      <w:r w:rsidRPr="00745D0A">
        <w:rPr>
          <w:rFonts w:ascii="Century Gothic" w:hAnsi="Century Gothic"/>
          <w:color w:val="111111"/>
          <w:shd w:val="clear" w:color="auto" w:fill="FFFFFF"/>
        </w:rPr>
        <w:t xml:space="preserve"> en términos reales, si se compara con lo aprobado para este año, al programa de vacunación de la Secretaría de Salud tiene proyectado un presupuesto de </w:t>
      </w:r>
      <w:r w:rsidRPr="00745D0A">
        <w:rPr>
          <w:rFonts w:ascii="Century Gothic" w:hAnsi="Century Gothic"/>
          <w:b/>
          <w:bCs/>
          <w:color w:val="111111"/>
          <w:shd w:val="clear" w:color="auto" w:fill="FFFFFF"/>
        </w:rPr>
        <w:t>2,154 millones</w:t>
      </w:r>
      <w:r w:rsidRPr="00745D0A">
        <w:rPr>
          <w:rFonts w:ascii="Century Gothic" w:hAnsi="Century Gothic"/>
          <w:color w:val="111111"/>
          <w:shd w:val="clear" w:color="auto" w:fill="FFFFFF"/>
        </w:rPr>
        <w:t xml:space="preserve"> </w:t>
      </w:r>
      <w:r w:rsidRPr="00745D0A">
        <w:rPr>
          <w:rFonts w:ascii="Century Gothic" w:hAnsi="Century Gothic"/>
          <w:b/>
          <w:bCs/>
          <w:color w:val="111111"/>
          <w:shd w:val="clear" w:color="auto" w:fill="FFFFFF"/>
        </w:rPr>
        <w:t>de pesos</w:t>
      </w:r>
      <w:r w:rsidRPr="00745D0A">
        <w:rPr>
          <w:rFonts w:ascii="Century Gothic" w:hAnsi="Century Gothic"/>
          <w:color w:val="111111"/>
          <w:shd w:val="clear" w:color="auto" w:fill="FFFFFF"/>
        </w:rPr>
        <w:t xml:space="preserve"> en el PPEF 2021, situación preocupante ante el panorama que se avecina con la Pandemia del COVID 19.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olor w:val="111111"/>
          <w:shd w:val="clear" w:color="auto" w:fill="FFFFFF"/>
        </w:rPr>
      </w:pPr>
      <w:r w:rsidRPr="00745D0A">
        <w:rPr>
          <w:rFonts w:ascii="Century Gothic" w:hAnsi="Century Gothic"/>
          <w:color w:val="111111"/>
          <w:shd w:val="clear" w:color="auto" w:fill="FFFFFF"/>
        </w:rPr>
        <w:t xml:space="preserve">Si bien se espera un aumento real del </w:t>
      </w:r>
      <w:r w:rsidRPr="00745D0A">
        <w:rPr>
          <w:rFonts w:ascii="Century Gothic" w:hAnsi="Century Gothic"/>
          <w:b/>
          <w:bCs/>
          <w:color w:val="111111"/>
          <w:shd w:val="clear" w:color="auto" w:fill="FFFFFF"/>
        </w:rPr>
        <w:t>1.8%</w:t>
      </w:r>
      <w:r w:rsidRPr="00745D0A">
        <w:rPr>
          <w:rFonts w:ascii="Century Gothic" w:hAnsi="Century Gothic"/>
          <w:color w:val="111111"/>
          <w:shd w:val="clear" w:color="auto" w:fill="FFFFFF"/>
        </w:rPr>
        <w:t xml:space="preserve"> en el presupuesto destinado a Salud en comparación a lo que se aprobó este año, los recursos destinados a programas de prevención en </w:t>
      </w:r>
      <w:r w:rsidRPr="00745D0A">
        <w:rPr>
          <w:rFonts w:ascii="Century Gothic" w:hAnsi="Century Gothic"/>
          <w:b/>
          <w:bCs/>
          <w:color w:val="111111"/>
          <w:shd w:val="clear" w:color="auto" w:fill="FFFFFF"/>
        </w:rPr>
        <w:t>Secretaría de Salud, IMSS e ISSSTE</w:t>
      </w:r>
      <w:r w:rsidRPr="00745D0A">
        <w:rPr>
          <w:rFonts w:ascii="Century Gothic" w:hAnsi="Century Gothic"/>
          <w:color w:val="111111"/>
          <w:shd w:val="clear" w:color="auto" w:fill="FFFFFF"/>
        </w:rPr>
        <w:t xml:space="preserve"> sufrirán un recorte significativo, si se aprueba el PPEF sin cambios. </w:t>
      </w:r>
    </w:p>
    <w:p w:rsidR="00596FED" w:rsidRPr="00745D0A" w:rsidRDefault="00596FED" w:rsidP="00745D0A">
      <w:pPr>
        <w:pStyle w:val="NormalWeb"/>
        <w:shd w:val="clear" w:color="auto" w:fill="FFFFFF"/>
        <w:spacing w:before="0" w:beforeAutospacing="0" w:after="0" w:afterAutospacing="0" w:line="276" w:lineRule="auto"/>
        <w:ind w:left="720"/>
        <w:jc w:val="both"/>
        <w:textAlignment w:val="baseline"/>
        <w:rPr>
          <w:rFonts w:ascii="Century Gothic" w:hAnsi="Century Gothic"/>
          <w:color w:val="111111"/>
          <w:shd w:val="clear" w:color="auto" w:fill="FFFFFF"/>
        </w:rPr>
      </w:pPr>
      <w:r w:rsidRPr="00745D0A">
        <w:rPr>
          <w:rFonts w:ascii="Century Gothic" w:hAnsi="Century Gothic"/>
          <w:color w:val="111111"/>
          <w:shd w:val="clear" w:color="auto" w:fill="FFFFFF"/>
        </w:rPr>
        <w:lastRenderedPageBreak/>
        <w:t xml:space="preserve">Cuatro programas de prevención de la Secretaría de Salud disminuyen </w:t>
      </w:r>
      <w:r w:rsidRPr="00745D0A">
        <w:rPr>
          <w:rFonts w:ascii="Century Gothic" w:hAnsi="Century Gothic"/>
          <w:b/>
          <w:bCs/>
          <w:color w:val="111111"/>
          <w:shd w:val="clear" w:color="auto" w:fill="FFFFFF"/>
        </w:rPr>
        <w:t>36 millones de pesos</w:t>
      </w:r>
      <w:r w:rsidRPr="00745D0A">
        <w:rPr>
          <w:rFonts w:ascii="Century Gothic" w:hAnsi="Century Gothic"/>
          <w:color w:val="111111"/>
          <w:shd w:val="clear" w:color="auto" w:fill="FFFFFF"/>
        </w:rPr>
        <w:t xml:space="preserve"> respecto al aprobado en 2020; además los recortes para IMSS e ISSSTE del programa de prevención y control de enfermedades son de </w:t>
      </w:r>
      <w:r w:rsidRPr="00745D0A">
        <w:rPr>
          <w:rFonts w:ascii="Century Gothic" w:hAnsi="Century Gothic"/>
          <w:b/>
          <w:bCs/>
          <w:color w:val="111111"/>
          <w:shd w:val="clear" w:color="auto" w:fill="FFFFFF"/>
        </w:rPr>
        <w:t>46 millones y 461 millones</w:t>
      </w:r>
      <w:r w:rsidRPr="00745D0A">
        <w:rPr>
          <w:rFonts w:ascii="Century Gothic" w:hAnsi="Century Gothic"/>
          <w:color w:val="111111"/>
          <w:shd w:val="clear" w:color="auto" w:fill="FFFFFF"/>
        </w:rPr>
        <w:t xml:space="preserve">, respectivamente. </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olor w:val="111111"/>
          <w:shd w:val="clear" w:color="auto" w:fill="FFFFFF"/>
        </w:rPr>
        <w:t xml:space="preserve">Otro sector bastante castigado dentro del Presupuesto es el del magisterio el cual será uno de los sectores afectados por los recortes presupuestales del próximo año en materia educativa. Las escuelas normales del país que forman a los nuevos maestros recibirán </w:t>
      </w:r>
      <w:r w:rsidRPr="00745D0A">
        <w:rPr>
          <w:rFonts w:ascii="Century Gothic" w:hAnsi="Century Gothic"/>
          <w:b/>
          <w:bCs/>
          <w:color w:val="111111"/>
          <w:shd w:val="clear" w:color="auto" w:fill="FFFFFF"/>
        </w:rPr>
        <w:t>95%</w:t>
      </w:r>
      <w:r w:rsidRPr="00745D0A">
        <w:rPr>
          <w:rFonts w:ascii="Century Gothic" w:hAnsi="Century Gothic"/>
          <w:color w:val="111111"/>
          <w:shd w:val="clear" w:color="auto" w:fill="FFFFFF"/>
        </w:rPr>
        <w:t xml:space="preserve"> menos presupuesto, mientras que el programa de capacitación para los docentes en activo tendrá </w:t>
      </w:r>
      <w:r w:rsidRPr="00745D0A">
        <w:rPr>
          <w:rFonts w:ascii="Century Gothic" w:hAnsi="Century Gothic"/>
          <w:b/>
          <w:bCs/>
          <w:color w:val="111111"/>
          <w:shd w:val="clear" w:color="auto" w:fill="FFFFFF"/>
        </w:rPr>
        <w:t>45%</w:t>
      </w:r>
      <w:r w:rsidRPr="00745D0A">
        <w:rPr>
          <w:rFonts w:ascii="Century Gothic" w:hAnsi="Century Gothic"/>
          <w:color w:val="111111"/>
          <w:shd w:val="clear" w:color="auto" w:fill="FFFFFF"/>
        </w:rPr>
        <w:t xml:space="preserve"> menos recursos en términos reales. En el Proyecto de Presupuesto para 2021, la Secretaría de Hacienda prevé que la Dirección General de Educación Superior para Profesionales de la Educación (DGSPE), es decir, el presupuesto para las escuelas normales, sea de </w:t>
      </w:r>
      <w:r w:rsidRPr="00745D0A">
        <w:rPr>
          <w:rFonts w:ascii="Century Gothic" w:hAnsi="Century Gothic"/>
          <w:b/>
          <w:bCs/>
          <w:color w:val="111111"/>
          <w:shd w:val="clear" w:color="auto" w:fill="FFFFFF"/>
        </w:rPr>
        <w:t>20 millones 597 mil pesos</w:t>
      </w:r>
      <w:r w:rsidRPr="00745D0A">
        <w:rPr>
          <w:rFonts w:ascii="Century Gothic" w:hAnsi="Century Gothic"/>
          <w:color w:val="111111"/>
          <w:shd w:val="clear" w:color="auto" w:fill="FFFFFF"/>
        </w:rPr>
        <w:t xml:space="preserve">; mientras que en 2020 tuvo </w:t>
      </w:r>
      <w:r w:rsidRPr="00745D0A">
        <w:rPr>
          <w:rFonts w:ascii="Century Gothic" w:hAnsi="Century Gothic"/>
          <w:b/>
          <w:bCs/>
          <w:color w:val="111111"/>
          <w:shd w:val="clear" w:color="auto" w:fill="FFFFFF"/>
        </w:rPr>
        <w:t>461 millones 390 mil pesos</w:t>
      </w:r>
      <w:r w:rsidRPr="00745D0A">
        <w:rPr>
          <w:rFonts w:ascii="Century Gothic" w:hAnsi="Century Gothic"/>
          <w:color w:val="111111"/>
          <w:shd w:val="clear" w:color="auto" w:fill="FFFFFF"/>
        </w:rPr>
        <w:t xml:space="preserve">. Se trata del recorte más drástico en los últimos 16 años a este rubro, puesto que, a pesar de que ha tenido una caída permanente desde 2015 cuando tuvo un presupuesto de </w:t>
      </w:r>
      <w:r w:rsidRPr="00745D0A">
        <w:rPr>
          <w:rFonts w:ascii="Century Gothic" w:hAnsi="Century Gothic"/>
          <w:b/>
          <w:bCs/>
          <w:color w:val="111111"/>
          <w:shd w:val="clear" w:color="auto" w:fill="FFFFFF"/>
        </w:rPr>
        <w:t>1,195 millones de pesos</w:t>
      </w:r>
      <w:r w:rsidRPr="00745D0A">
        <w:rPr>
          <w:rFonts w:ascii="Century Gothic" w:hAnsi="Century Gothic"/>
          <w:color w:val="111111"/>
          <w:shd w:val="clear" w:color="auto" w:fill="FFFFFF"/>
        </w:rPr>
        <w:t xml:space="preserve">, es actualmente en la administración del presidente López Obrador, que se acentuó la disminución, pues de tener </w:t>
      </w:r>
      <w:r w:rsidRPr="00745D0A">
        <w:rPr>
          <w:rFonts w:ascii="Century Gothic" w:hAnsi="Century Gothic"/>
          <w:b/>
          <w:bCs/>
          <w:color w:val="111111"/>
          <w:shd w:val="clear" w:color="auto" w:fill="FFFFFF"/>
        </w:rPr>
        <w:t>783 millones de pesos</w:t>
      </w:r>
      <w:r w:rsidRPr="00745D0A">
        <w:rPr>
          <w:rFonts w:ascii="Century Gothic" w:hAnsi="Century Gothic"/>
          <w:color w:val="111111"/>
          <w:shd w:val="clear" w:color="auto" w:fill="FFFFFF"/>
        </w:rPr>
        <w:t xml:space="preserve"> en 2018, pasó a </w:t>
      </w:r>
      <w:r w:rsidRPr="00745D0A">
        <w:rPr>
          <w:rFonts w:ascii="Century Gothic" w:hAnsi="Century Gothic"/>
          <w:b/>
          <w:bCs/>
          <w:color w:val="111111"/>
          <w:shd w:val="clear" w:color="auto" w:fill="FFFFFF"/>
        </w:rPr>
        <w:t>447 millones de pesos en 2019</w:t>
      </w:r>
      <w:r w:rsidRPr="00745D0A">
        <w:rPr>
          <w:rFonts w:ascii="Century Gothic" w:hAnsi="Century Gothic"/>
          <w:color w:val="111111"/>
          <w:shd w:val="clear" w:color="auto" w:fill="FFFFFF"/>
        </w:rPr>
        <w:t xml:space="preserve">. El presupuesto proyectado para 2021 equivaldría a entregar </w:t>
      </w:r>
      <w:r w:rsidRPr="00745D0A">
        <w:rPr>
          <w:rFonts w:ascii="Century Gothic" w:hAnsi="Century Gothic"/>
          <w:b/>
          <w:bCs/>
          <w:color w:val="111111"/>
          <w:shd w:val="clear" w:color="auto" w:fill="FFFFFF"/>
        </w:rPr>
        <w:t>229 pesos</w:t>
      </w:r>
      <w:r w:rsidRPr="00745D0A">
        <w:rPr>
          <w:rFonts w:ascii="Century Gothic" w:hAnsi="Century Gothic"/>
          <w:color w:val="111111"/>
          <w:shd w:val="clear" w:color="auto" w:fill="FFFFFF"/>
        </w:rPr>
        <w:t xml:space="preserve"> anuales a cada alumno de una escuela normal.</w:t>
      </w:r>
    </w:p>
    <w:p w:rsidR="00596FED" w:rsidRPr="00745D0A" w:rsidRDefault="00596FED" w:rsidP="00745D0A">
      <w:pPr>
        <w:pStyle w:val="NormalWeb"/>
        <w:numPr>
          <w:ilvl w:val="0"/>
          <w:numId w:val="1"/>
        </w:numPr>
        <w:shd w:val="clear" w:color="auto" w:fill="FFFFFF"/>
        <w:spacing w:before="0" w:beforeAutospacing="0" w:after="0" w:afterAutospacing="0" w:line="276" w:lineRule="auto"/>
        <w:jc w:val="both"/>
        <w:textAlignment w:val="baseline"/>
        <w:rPr>
          <w:rFonts w:ascii="Century Gothic" w:hAnsi="Century Gothic" w:cs="Arial"/>
        </w:rPr>
      </w:pPr>
      <w:r w:rsidRPr="00745D0A">
        <w:rPr>
          <w:rFonts w:ascii="Century Gothic" w:hAnsi="Century Gothic"/>
          <w:color w:val="111111"/>
          <w:shd w:val="clear" w:color="auto" w:fill="FFFFFF"/>
        </w:rPr>
        <w:t xml:space="preserve">El destino de los fideicomisos aún es incierto dentro de este PPEF 2021, ya que, en días pasados se aprobó en lo general el proyecto de decreto dentro de la Comisión de Presupuesto y Cuenta Pública de la Cámara de Diputados, el cual pretende </w:t>
      </w:r>
      <w:r w:rsidRPr="00745D0A">
        <w:rPr>
          <w:rFonts w:ascii="Century Gothic" w:hAnsi="Century Gothic"/>
          <w:b/>
          <w:bCs/>
          <w:color w:val="111111"/>
          <w:shd w:val="clear" w:color="auto" w:fill="FFFFFF"/>
        </w:rPr>
        <w:t>desaparecer 109 fideicomisos</w:t>
      </w:r>
      <w:r w:rsidRPr="00745D0A">
        <w:rPr>
          <w:rFonts w:ascii="Century Gothic" w:hAnsi="Century Gothic"/>
          <w:color w:val="111111"/>
          <w:shd w:val="clear" w:color="auto" w:fill="FFFFFF"/>
        </w:rPr>
        <w:t xml:space="preserve"> los cuales dejarían disponibles en las arcas del Gobierno Federal alrededor de </w:t>
      </w:r>
      <w:r w:rsidRPr="00745D0A">
        <w:rPr>
          <w:rFonts w:ascii="Century Gothic" w:hAnsi="Century Gothic"/>
          <w:b/>
          <w:bCs/>
          <w:color w:val="111111"/>
          <w:shd w:val="clear" w:color="auto" w:fill="FFFFFF"/>
        </w:rPr>
        <w:t>68,478.1 millones de pesos</w:t>
      </w:r>
      <w:r w:rsidRPr="00745D0A">
        <w:rPr>
          <w:rFonts w:ascii="Century Gothic" w:hAnsi="Century Gothic"/>
          <w:color w:val="111111"/>
          <w:shd w:val="clear" w:color="auto" w:fill="FFFFFF"/>
        </w:rPr>
        <w:t xml:space="preserve">, lo cual representa el </w:t>
      </w:r>
      <w:r w:rsidRPr="00745D0A">
        <w:rPr>
          <w:rFonts w:ascii="Century Gothic" w:hAnsi="Century Gothic"/>
          <w:b/>
          <w:bCs/>
          <w:color w:val="111111"/>
          <w:shd w:val="clear" w:color="auto" w:fill="FFFFFF"/>
        </w:rPr>
        <w:t>1.09%</w:t>
      </w:r>
      <w:r w:rsidRPr="00745D0A">
        <w:rPr>
          <w:rFonts w:ascii="Century Gothic" w:hAnsi="Century Gothic"/>
          <w:color w:val="111111"/>
          <w:shd w:val="clear" w:color="auto" w:fill="FFFFFF"/>
        </w:rPr>
        <w:t xml:space="preserve"> del presupuesto total. De estos 109 Entes, el 59.6% son relacionados a fondos del  Consejo Nacional de Ciencia y Tecnologías (CONACyT); 23.9% son Centros Públicos de Investigación (CPIs) y 16.5% son diferentes tipos de fideicomisos como el Fondo Nacional de Desastres Naturales (FONDEN).</w:t>
      </w:r>
      <w:r w:rsidRPr="00745D0A">
        <w:rPr>
          <w:rFonts w:ascii="Century Gothic" w:hAnsi="Century Gothic" w:cs="Arial"/>
        </w:rPr>
        <w:t xml:space="preserve"> Al respecto resulta absolutamente falso, que el Gobierno Federal vaya a obtener 68 mil millones de pesos, </w:t>
      </w:r>
      <w:r w:rsidRPr="00745D0A">
        <w:rPr>
          <w:rFonts w:ascii="Century Gothic" w:hAnsi="Century Gothic" w:cs="Arial"/>
        </w:rPr>
        <w:lastRenderedPageBreak/>
        <w:t xml:space="preserve">por la desaparición de estos fideicomisos, debido a que buena parte de sus recursos se encuentran comprometidos para un fin específico, lo que implica que el gobierno deberá seguir ejerciendo dicho gasto. En el mejor de los casos es solamente un cambio de bolsa, No existe como tal ningún ahorro, en virtud de que el gasto ya se tiene comprometido. </w:t>
      </w:r>
    </w:p>
    <w:p w:rsidR="00596FED" w:rsidRPr="00745D0A" w:rsidRDefault="00596FED" w:rsidP="00745D0A">
      <w:pPr>
        <w:pStyle w:val="Prrafodelista"/>
        <w:numPr>
          <w:ilvl w:val="0"/>
          <w:numId w:val="1"/>
        </w:num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 xml:space="preserve">En contraste a los recortes presupuestales y castigos a las entidades federativas, a los municipios y programas, no podemos dejar de advertir que proyectos emblemáticos del Gobierno Federal, aún mantienen o incluso aumentaron su presupuesto. Como ejemplos tenemos que se invertirán este año </w:t>
      </w:r>
      <w:r w:rsidRPr="00745D0A">
        <w:rPr>
          <w:rFonts w:ascii="Century Gothic" w:hAnsi="Century Gothic" w:cstheme="minorHAnsi"/>
          <w:b/>
          <w:bCs/>
          <w:sz w:val="24"/>
          <w:szCs w:val="24"/>
        </w:rPr>
        <w:t>36,288 millones de pesos</w:t>
      </w:r>
      <w:r w:rsidRPr="00745D0A">
        <w:rPr>
          <w:rFonts w:ascii="Century Gothic" w:hAnsi="Century Gothic" w:cstheme="minorHAnsi"/>
          <w:sz w:val="24"/>
          <w:szCs w:val="24"/>
        </w:rPr>
        <w:t xml:space="preserve"> a la construcción del Tren Maya; </w:t>
      </w:r>
      <w:r w:rsidRPr="00745D0A">
        <w:rPr>
          <w:rFonts w:ascii="Century Gothic" w:hAnsi="Century Gothic" w:cstheme="minorHAnsi"/>
          <w:b/>
          <w:bCs/>
          <w:sz w:val="24"/>
          <w:szCs w:val="24"/>
        </w:rPr>
        <w:t>4,133 millones de pesos</w:t>
      </w:r>
      <w:r w:rsidRPr="00745D0A">
        <w:rPr>
          <w:rFonts w:ascii="Century Gothic" w:hAnsi="Century Gothic" w:cstheme="minorHAnsi"/>
          <w:sz w:val="24"/>
          <w:szCs w:val="24"/>
        </w:rPr>
        <w:t xml:space="preserve"> en el Corredor Interoceánico del Istmo de Tehuantepec; </w:t>
      </w:r>
      <w:r w:rsidRPr="00745D0A">
        <w:rPr>
          <w:rFonts w:ascii="Century Gothic" w:hAnsi="Century Gothic" w:cstheme="minorHAnsi"/>
          <w:b/>
          <w:bCs/>
          <w:sz w:val="24"/>
          <w:szCs w:val="24"/>
        </w:rPr>
        <w:t>21,315 millones</w:t>
      </w:r>
      <w:r w:rsidRPr="00745D0A">
        <w:rPr>
          <w:rFonts w:ascii="Century Gothic" w:hAnsi="Century Gothic" w:cstheme="minorHAnsi"/>
          <w:sz w:val="24"/>
          <w:szCs w:val="24"/>
        </w:rPr>
        <w:t xml:space="preserve"> al Aeropuerto Santa Lucía y </w:t>
      </w:r>
      <w:r w:rsidRPr="00745D0A">
        <w:rPr>
          <w:rFonts w:ascii="Century Gothic" w:hAnsi="Century Gothic" w:cstheme="minorHAnsi"/>
          <w:b/>
          <w:bCs/>
          <w:sz w:val="24"/>
          <w:szCs w:val="24"/>
        </w:rPr>
        <w:t>45,050 millones</w:t>
      </w:r>
      <w:r w:rsidRPr="00745D0A">
        <w:rPr>
          <w:rFonts w:ascii="Century Gothic" w:hAnsi="Century Gothic" w:cstheme="minorHAnsi"/>
          <w:sz w:val="24"/>
          <w:szCs w:val="24"/>
        </w:rPr>
        <w:t xml:space="preserve"> </w:t>
      </w:r>
      <w:r w:rsidRPr="00745D0A">
        <w:rPr>
          <w:rFonts w:ascii="Century Gothic" w:hAnsi="Century Gothic" w:cstheme="minorHAnsi"/>
          <w:b/>
          <w:bCs/>
          <w:sz w:val="24"/>
          <w:szCs w:val="24"/>
        </w:rPr>
        <w:t>de pesos</w:t>
      </w:r>
      <w:r w:rsidRPr="00745D0A">
        <w:rPr>
          <w:rFonts w:ascii="Century Gothic" w:hAnsi="Century Gothic" w:cstheme="minorHAnsi"/>
          <w:sz w:val="24"/>
          <w:szCs w:val="24"/>
        </w:rPr>
        <w:t xml:space="preserve"> a la Refinería de Dos Bocas, todos proyectos insignia del Ejecutivo Federal.</w:t>
      </w:r>
    </w:p>
    <w:p w:rsidR="00596FED" w:rsidRPr="00745D0A" w:rsidRDefault="00596FED" w:rsidP="00745D0A">
      <w:pPr>
        <w:pStyle w:val="Prrafodelista"/>
        <w:numPr>
          <w:ilvl w:val="0"/>
          <w:numId w:val="1"/>
        </w:num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 xml:space="preserve">Es muy alarmante ver estas cifras que exponen a todas luces lo egocéntrico que puede llegar a ser nuestro Presidente, ya que es más importante para él, terminar los proyectos que surgieron como un capricho suyo, más que como una necesidad real para los mexicanos. Estas cifras tendrían que abrirnos a todos los ojos para poder ver que </w:t>
      </w:r>
      <w:r w:rsidRPr="00745D0A">
        <w:rPr>
          <w:rFonts w:ascii="Century Gothic" w:hAnsi="Century Gothic" w:cstheme="minorHAnsi"/>
          <w:b/>
          <w:bCs/>
          <w:sz w:val="24"/>
          <w:szCs w:val="24"/>
        </w:rPr>
        <w:t>la salud, la educación, la cultura, ciencia, investigación, así como el campo</w:t>
      </w:r>
      <w:r w:rsidRPr="00745D0A">
        <w:rPr>
          <w:rFonts w:ascii="Century Gothic" w:hAnsi="Century Gothic" w:cstheme="minorHAnsi"/>
          <w:sz w:val="24"/>
          <w:szCs w:val="24"/>
        </w:rPr>
        <w:t xml:space="preserve">, por mencionar algunos ejemplos, </w:t>
      </w:r>
      <w:r w:rsidRPr="00745D0A">
        <w:rPr>
          <w:rFonts w:ascii="Century Gothic" w:hAnsi="Century Gothic" w:cstheme="minorHAnsi"/>
          <w:b/>
          <w:bCs/>
          <w:sz w:val="24"/>
          <w:szCs w:val="24"/>
        </w:rPr>
        <w:t>quedan en segundo plano</w:t>
      </w:r>
      <w:r w:rsidRPr="00745D0A">
        <w:rPr>
          <w:rFonts w:ascii="Century Gothic" w:hAnsi="Century Gothic" w:cstheme="minorHAnsi"/>
          <w:sz w:val="24"/>
          <w:szCs w:val="24"/>
        </w:rPr>
        <w:t>, dando prioridad a trenes que destruyen ecosistemas o aeropuertos que representan una doble inversión debido a que se cancelan proyectos ya avanzados para realizarlos. Y que podemos decir de los Municipios a los cuales se les deja prácticamente “que se las arreglen” por sus propios medios, esto gracias a las decisiones egoístas y autoritarias tomadas por el Ejecutivo Federal, teniendo una reducción tan significativa en los rubros dirigidos a estos Entes, que deberán funcionar y operar en su gran mayoría con la recaudación propia que puedan llegar a percibir.</w:t>
      </w:r>
    </w:p>
    <w:p w:rsidR="00596FED" w:rsidRPr="00745D0A" w:rsidRDefault="00596FED" w:rsidP="00745D0A">
      <w:pPr>
        <w:pStyle w:val="Prrafodelista"/>
        <w:numPr>
          <w:ilvl w:val="0"/>
          <w:numId w:val="1"/>
        </w:numPr>
        <w:spacing w:line="276" w:lineRule="auto"/>
        <w:jc w:val="both"/>
        <w:rPr>
          <w:rFonts w:ascii="Century Gothic" w:hAnsi="Century Gothic" w:cstheme="minorHAnsi"/>
          <w:sz w:val="24"/>
          <w:szCs w:val="24"/>
        </w:rPr>
      </w:pPr>
      <w:r w:rsidRPr="00745D0A">
        <w:rPr>
          <w:rFonts w:ascii="Century Gothic" w:hAnsi="Century Gothic" w:cstheme="minorHAnsi"/>
          <w:b/>
          <w:bCs/>
          <w:sz w:val="24"/>
          <w:szCs w:val="24"/>
        </w:rPr>
        <w:t>Chihuahua</w:t>
      </w:r>
      <w:r w:rsidRPr="00745D0A">
        <w:rPr>
          <w:rFonts w:ascii="Century Gothic" w:hAnsi="Century Gothic" w:cstheme="minorHAnsi"/>
          <w:sz w:val="24"/>
          <w:szCs w:val="24"/>
        </w:rPr>
        <w:t xml:space="preserve"> es uno de los estados más golpeados este próximo 2021. Ya nos quedamos sin apoyo federal para contener la ola de violencia que azota nuestra entidad, ahora también nos quedaremos sin obra pública, ya que de </w:t>
      </w:r>
      <w:r w:rsidRPr="00745D0A">
        <w:rPr>
          <w:rFonts w:ascii="Century Gothic" w:hAnsi="Century Gothic" w:cstheme="minorHAnsi"/>
          <w:b/>
          <w:bCs/>
          <w:sz w:val="24"/>
          <w:szCs w:val="24"/>
        </w:rPr>
        <w:t>1 sólo proyecto</w:t>
      </w:r>
      <w:r w:rsidRPr="00745D0A">
        <w:rPr>
          <w:rFonts w:ascii="Century Gothic" w:hAnsi="Century Gothic" w:cstheme="minorHAnsi"/>
          <w:sz w:val="24"/>
          <w:szCs w:val="24"/>
        </w:rPr>
        <w:t xml:space="preserve"> directo que se tuvo este año, pasaremos a tener </w:t>
      </w:r>
      <w:r w:rsidRPr="00745D0A">
        <w:rPr>
          <w:rFonts w:ascii="Century Gothic" w:hAnsi="Century Gothic" w:cstheme="minorHAnsi"/>
          <w:b/>
          <w:bCs/>
          <w:sz w:val="24"/>
          <w:szCs w:val="24"/>
        </w:rPr>
        <w:t>ninguno, ni directo, ni indirecto</w:t>
      </w:r>
      <w:r w:rsidRPr="00745D0A">
        <w:rPr>
          <w:rFonts w:ascii="Century Gothic" w:hAnsi="Century Gothic" w:cstheme="minorHAnsi"/>
          <w:sz w:val="24"/>
          <w:szCs w:val="24"/>
        </w:rPr>
        <w:t xml:space="preserve">. Esperemos que </w:t>
      </w:r>
      <w:r w:rsidRPr="00745D0A">
        <w:rPr>
          <w:rFonts w:ascii="Century Gothic" w:hAnsi="Century Gothic" w:cstheme="minorHAnsi"/>
          <w:sz w:val="24"/>
          <w:szCs w:val="24"/>
        </w:rPr>
        <w:lastRenderedPageBreak/>
        <w:t>para años posteriores no se le olvide al Presidente López Obrador, que los chihuahuenses también contamos, que Chihuahua también es México.</w:t>
      </w:r>
    </w:p>
    <w:p w:rsidR="00596FED" w:rsidRPr="00745D0A" w:rsidRDefault="00596FED" w:rsidP="00745D0A">
      <w:pPr>
        <w:pStyle w:val="Prrafodelista"/>
        <w:spacing w:line="276" w:lineRule="auto"/>
        <w:jc w:val="both"/>
        <w:rPr>
          <w:rFonts w:ascii="Century Gothic" w:hAnsi="Century Gothic" w:cstheme="minorHAnsi"/>
          <w:sz w:val="24"/>
          <w:szCs w:val="24"/>
        </w:rPr>
      </w:pPr>
      <w:r w:rsidRPr="00745D0A">
        <w:rPr>
          <w:rFonts w:ascii="Century Gothic" w:hAnsi="Century Gothic" w:cstheme="minorHAnsi"/>
          <w:sz w:val="24"/>
          <w:szCs w:val="24"/>
        </w:rPr>
        <w:t>Estas palabras podrán llegar a sonar un tanto fuertes según c</w:t>
      </w:r>
      <w:r w:rsidR="00745D0A" w:rsidRPr="00745D0A">
        <w:rPr>
          <w:rFonts w:ascii="Century Gothic" w:hAnsi="Century Gothic" w:cstheme="minorHAnsi"/>
          <w:sz w:val="24"/>
          <w:szCs w:val="24"/>
        </w:rPr>
        <w:t>iertas personas afines a la 4T y antes quisiera citar al Presidente en una pequeña parte de su discurso en Ciudad Juárez “ Ya basta de hipocresías, hay que llamar las cosas por su nombre, porque independientemente de las diferencias de la autoridad federal como Diputados del PAN y esta Legislatura, seguiremos apoyando a los chihuahuense”, aunque sabemos que este acuerdo como muchos otros serán ignorados y olvidados por el Gobierno Federal, sin embargo seguiremos señalando los atropellos, venganzas y represalias que ese gobierno realiza en contra de los chihuahuenses; porque</w:t>
      </w:r>
      <w:r w:rsidRPr="00745D0A">
        <w:rPr>
          <w:rFonts w:ascii="Century Gothic" w:hAnsi="Century Gothic" w:cstheme="minorHAnsi"/>
          <w:sz w:val="24"/>
          <w:szCs w:val="24"/>
        </w:rPr>
        <w:t xml:space="preserve"> déjenme decirles que no les alarmarían tanto si todo lo que se dice en esta iniciativa, fuera una mentira, pero lamentablemente no es así. El día de hoy vengo a hablarles con datos duros y sólidos, con información oficial que viene en el Proyecto de Presupuesto de Egresos de la Federación. Nada de esto es un invento, o calumnia hacia el Presidente de la República como han querido manejarlo algunos en asuntos anteriores, todo esto, tristemente es la verdad.</w:t>
      </w:r>
    </w:p>
    <w:p w:rsidR="00596FED" w:rsidRPr="00745D0A" w:rsidRDefault="00596FED" w:rsidP="00745D0A">
      <w:pPr>
        <w:pStyle w:val="Prrafodelista"/>
        <w:spacing w:line="276" w:lineRule="auto"/>
        <w:jc w:val="both"/>
        <w:rPr>
          <w:rFonts w:ascii="Century Gothic" w:hAnsi="Century Gothic" w:cstheme="minorHAnsi"/>
          <w:sz w:val="24"/>
          <w:szCs w:val="24"/>
        </w:rPr>
      </w:pPr>
      <w:r w:rsidRPr="00745D0A">
        <w:rPr>
          <w:rFonts w:ascii="Century Gothic" w:hAnsi="Century Gothic" w:cstheme="minorHAnsi"/>
          <w:sz w:val="24"/>
          <w:szCs w:val="24"/>
        </w:rPr>
        <w:t>Si analizamos con calma y sin apasionamientos encontraremos que sin duda la gran mayoría coincidimos con Rafael Álvarez Cordero, en una editorial publicada hace unos días en Excélsior: “Esta es una dictadura que desde la tribuna matutina lanza agresiones, denuestos y amenazas a diestra y siniestra, azuza el odio entre los mexicanos, estúpidamente reclama a España y al Vaticano por ofensas centenarias, enemista a los gobernadores, protege a los corruptos amigos y parientes cercanos y vive con los ojos en el pasado creyendo que todo México es Macuspana.</w:t>
      </w:r>
    </w:p>
    <w:p w:rsidR="00596FED" w:rsidRPr="00745D0A" w:rsidRDefault="00596FED" w:rsidP="00745D0A">
      <w:pPr>
        <w:pStyle w:val="Prrafodelista"/>
        <w:spacing w:line="276" w:lineRule="auto"/>
        <w:jc w:val="both"/>
        <w:rPr>
          <w:rFonts w:ascii="Century Gothic" w:hAnsi="Century Gothic" w:cstheme="minorHAnsi"/>
          <w:sz w:val="24"/>
          <w:szCs w:val="24"/>
        </w:rPr>
      </w:pPr>
      <w:r w:rsidRPr="00745D0A">
        <w:rPr>
          <w:rFonts w:ascii="Century Gothic" w:hAnsi="Century Gothic" w:cstheme="minorHAnsi"/>
          <w:sz w:val="24"/>
          <w:szCs w:val="24"/>
        </w:rPr>
        <w:t>Esta es una dictadura que ha rechazado una y otra vez a los empresarios y sigue dilapidando el dinero sin beneficio alguno, esta es una dictadura que en este año ha llevado a la pobreza extrema a más de 5 millones de mexicanos.</w:t>
      </w:r>
    </w:p>
    <w:p w:rsidR="00596FED" w:rsidRPr="00745D0A" w:rsidRDefault="00596FED" w:rsidP="00745D0A">
      <w:pPr>
        <w:pStyle w:val="Prrafodelista"/>
        <w:spacing w:line="276" w:lineRule="auto"/>
        <w:jc w:val="both"/>
        <w:rPr>
          <w:rFonts w:ascii="Century Gothic" w:hAnsi="Century Gothic" w:cstheme="minorHAnsi"/>
          <w:sz w:val="24"/>
          <w:szCs w:val="24"/>
        </w:rPr>
      </w:pPr>
      <w:r w:rsidRPr="00745D0A">
        <w:rPr>
          <w:rFonts w:ascii="Century Gothic" w:hAnsi="Century Gothic" w:cstheme="minorHAnsi"/>
          <w:sz w:val="24"/>
          <w:szCs w:val="24"/>
        </w:rPr>
        <w:t xml:space="preserve">Esto es una dictadura y la militarización del país lo confirma, hoy la </w:t>
      </w:r>
      <w:r w:rsidR="00745D0A" w:rsidRPr="00745D0A">
        <w:rPr>
          <w:rFonts w:ascii="Century Gothic" w:hAnsi="Century Gothic" w:cstheme="minorHAnsi"/>
          <w:sz w:val="24"/>
          <w:szCs w:val="24"/>
        </w:rPr>
        <w:t xml:space="preserve">Guardia Nacional </w:t>
      </w:r>
      <w:r w:rsidRPr="00745D0A">
        <w:rPr>
          <w:rFonts w:ascii="Century Gothic" w:hAnsi="Century Gothic" w:cstheme="minorHAnsi"/>
          <w:sz w:val="24"/>
          <w:szCs w:val="24"/>
        </w:rPr>
        <w:t xml:space="preserve">esta para agredir a los manifestantes que exigen justicia, reclaman sus derechos o denuncian los abusos, pero no </w:t>
      </w:r>
      <w:r w:rsidRPr="00745D0A">
        <w:rPr>
          <w:rFonts w:ascii="Century Gothic" w:hAnsi="Century Gothic" w:cstheme="minorHAnsi"/>
          <w:sz w:val="24"/>
          <w:szCs w:val="24"/>
        </w:rPr>
        <w:lastRenderedPageBreak/>
        <w:t>hacen nada frente a la ola incontenible de homicidios, secuestros, violaciones, extorsiones y demás. Esto es una dictadura en la que una sonrisa sarcástica es el único comentario frente a las incontenibles masacres cotidianas.”</w:t>
      </w:r>
    </w:p>
    <w:p w:rsidR="00596FED" w:rsidRPr="00745D0A" w:rsidRDefault="00596FED" w:rsidP="00745D0A">
      <w:pPr>
        <w:pStyle w:val="Prrafodelista"/>
        <w:numPr>
          <w:ilvl w:val="0"/>
          <w:numId w:val="1"/>
        </w:num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Como Grupo Parlamentario estamos en contra del castigo a las Entidades Federativas en el reparto del presupuesto, al recorte de los programas y dependencias que fomentan la inversión, la creación de empleos y velan por la salud de las y los mexicanos. La política económica actual, es un tan toxica que, con ésta, se priorizan obras y programas cuyo beneficio no es tangible a corto plazo.</w:t>
      </w:r>
    </w:p>
    <w:p w:rsidR="00596FED" w:rsidRPr="00745D0A" w:rsidRDefault="00596FED" w:rsidP="00745D0A">
      <w:pPr>
        <w:pStyle w:val="Prrafodelista"/>
        <w:spacing w:line="276" w:lineRule="auto"/>
        <w:jc w:val="both"/>
        <w:rPr>
          <w:rFonts w:ascii="Century Gothic" w:eastAsia="Calibri" w:hAnsi="Century Gothic" w:cstheme="minorHAnsi"/>
          <w:sz w:val="24"/>
          <w:szCs w:val="24"/>
        </w:rPr>
      </w:pPr>
      <w:r w:rsidRPr="00745D0A">
        <w:rPr>
          <w:rFonts w:ascii="Century Gothic" w:hAnsi="Century Gothic" w:cstheme="minorHAnsi"/>
          <w:sz w:val="24"/>
          <w:szCs w:val="24"/>
        </w:rPr>
        <w:t xml:space="preserve">La actual política de la Federación deja de lado al crecimiento interno de nuestro  Estado y sus municipios, además no </w:t>
      </w:r>
      <w:r w:rsidRPr="00745D0A">
        <w:rPr>
          <w:rFonts w:ascii="Century Gothic" w:hAnsi="Century Gothic" w:cstheme="minorHAnsi"/>
          <w:sz w:val="24"/>
          <w:szCs w:val="24"/>
          <w:shd w:val="clear" w:color="auto" w:fill="FFFFFF"/>
        </w:rPr>
        <w:t xml:space="preserve">permite combatir la pobreza ni las problemáticas actuales que aquejan al país, acrecentando la desigualdad, inseguridad, desempleo que de por sí, su gobierno ha incrementado, sin contar con los estragos que ha generado el SARS COV2 (COVID 19), </w:t>
      </w:r>
      <w:r w:rsidRPr="00745D0A">
        <w:rPr>
          <w:rFonts w:ascii="Century Gothic" w:hAnsi="Century Gothic" w:cstheme="minorHAnsi"/>
          <w:sz w:val="24"/>
          <w:szCs w:val="24"/>
        </w:rPr>
        <w:t>afectando de manera exponencial el crecimiento económico del país</w:t>
      </w:r>
      <w:r w:rsidRPr="00745D0A">
        <w:rPr>
          <w:rFonts w:ascii="Century Gothic" w:eastAsia="Calibri" w:hAnsi="Century Gothic" w:cstheme="minorHAnsi"/>
          <w:sz w:val="24"/>
          <w:szCs w:val="24"/>
        </w:rPr>
        <w:t>.</w:t>
      </w:r>
    </w:p>
    <w:p w:rsidR="00596FED" w:rsidRPr="00745D0A" w:rsidRDefault="00596FED" w:rsidP="00745D0A">
      <w:p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Por lo anteriormente expuesto y fundamentado, pongo a consideración de esta Honorable Asamblea Legislativa el siguiente proyecto de Urgente Resolución con carácter de:</w:t>
      </w:r>
    </w:p>
    <w:p w:rsidR="00596FED" w:rsidRPr="00745D0A" w:rsidRDefault="00596FED" w:rsidP="00745D0A">
      <w:pPr>
        <w:spacing w:line="276" w:lineRule="auto"/>
        <w:ind w:left="360"/>
        <w:jc w:val="center"/>
        <w:rPr>
          <w:rFonts w:ascii="Century Gothic" w:hAnsi="Century Gothic" w:cstheme="minorHAnsi"/>
          <w:sz w:val="24"/>
          <w:szCs w:val="24"/>
        </w:rPr>
      </w:pPr>
    </w:p>
    <w:p w:rsidR="00596FED" w:rsidRPr="00745D0A" w:rsidRDefault="00596FED" w:rsidP="00745D0A">
      <w:pPr>
        <w:spacing w:line="276" w:lineRule="auto"/>
        <w:ind w:left="360"/>
        <w:jc w:val="center"/>
        <w:rPr>
          <w:rFonts w:ascii="Century Gothic" w:hAnsi="Century Gothic" w:cstheme="minorHAnsi"/>
          <w:b/>
          <w:sz w:val="24"/>
          <w:szCs w:val="24"/>
        </w:rPr>
      </w:pPr>
      <w:r w:rsidRPr="00745D0A">
        <w:rPr>
          <w:rFonts w:ascii="Century Gothic" w:hAnsi="Century Gothic" w:cstheme="minorHAnsi"/>
          <w:b/>
          <w:sz w:val="24"/>
          <w:szCs w:val="24"/>
        </w:rPr>
        <w:t>ACUERDO</w:t>
      </w:r>
    </w:p>
    <w:p w:rsidR="00596FED" w:rsidRPr="00745D0A" w:rsidRDefault="00596FED" w:rsidP="00745D0A">
      <w:pPr>
        <w:spacing w:line="276" w:lineRule="auto"/>
        <w:jc w:val="both"/>
        <w:rPr>
          <w:rFonts w:ascii="Century Gothic" w:hAnsi="Century Gothic" w:cstheme="minorHAnsi"/>
          <w:sz w:val="24"/>
          <w:szCs w:val="24"/>
        </w:rPr>
      </w:pPr>
      <w:r w:rsidRPr="00745D0A">
        <w:rPr>
          <w:rFonts w:ascii="Century Gothic" w:hAnsi="Century Gothic" w:cstheme="minorHAnsi"/>
          <w:b/>
          <w:sz w:val="24"/>
          <w:szCs w:val="24"/>
        </w:rPr>
        <w:t>UNICO</w:t>
      </w:r>
      <w:r w:rsidRPr="00745D0A">
        <w:rPr>
          <w:rFonts w:ascii="Century Gothic" w:hAnsi="Century Gothic" w:cstheme="minorHAnsi"/>
          <w:sz w:val="24"/>
          <w:szCs w:val="24"/>
        </w:rPr>
        <w:t>. La Sexagésima Sexta Legislatura del Honorable Congreso del Estado de Chihuahua,  exhorta</w:t>
      </w:r>
      <w:r w:rsidRPr="00745D0A">
        <w:rPr>
          <w:rFonts w:ascii="Century Gothic" w:hAnsi="Century Gothic" w:cs="Arial"/>
          <w:spacing w:val="1"/>
          <w:sz w:val="24"/>
          <w:szCs w:val="24"/>
        </w:rPr>
        <w:t xml:space="preserve"> </w:t>
      </w:r>
      <w:r w:rsidRPr="00745D0A">
        <w:rPr>
          <w:rFonts w:ascii="Century Gothic" w:hAnsi="Century Gothic" w:cs="Arial"/>
          <w:sz w:val="24"/>
          <w:szCs w:val="24"/>
        </w:rPr>
        <w:t>r</w:t>
      </w:r>
      <w:r w:rsidRPr="00745D0A">
        <w:rPr>
          <w:rFonts w:ascii="Century Gothic" w:hAnsi="Century Gothic" w:cs="Arial"/>
          <w:spacing w:val="-2"/>
          <w:sz w:val="24"/>
          <w:szCs w:val="24"/>
        </w:rPr>
        <w:t>e</w:t>
      </w:r>
      <w:r w:rsidRPr="00745D0A">
        <w:rPr>
          <w:rFonts w:ascii="Century Gothic" w:hAnsi="Century Gothic" w:cs="Arial"/>
          <w:sz w:val="24"/>
          <w:szCs w:val="24"/>
        </w:rPr>
        <w:t>s</w:t>
      </w:r>
      <w:r w:rsidRPr="00745D0A">
        <w:rPr>
          <w:rFonts w:ascii="Century Gothic" w:hAnsi="Century Gothic" w:cs="Arial"/>
          <w:spacing w:val="1"/>
          <w:sz w:val="24"/>
          <w:szCs w:val="24"/>
        </w:rPr>
        <w:t>pe</w:t>
      </w:r>
      <w:r w:rsidRPr="00745D0A">
        <w:rPr>
          <w:rFonts w:ascii="Century Gothic" w:hAnsi="Century Gothic" w:cs="Arial"/>
          <w:sz w:val="24"/>
          <w:szCs w:val="24"/>
        </w:rPr>
        <w:t>t</w:t>
      </w:r>
      <w:r w:rsidRPr="00745D0A">
        <w:rPr>
          <w:rFonts w:ascii="Century Gothic" w:hAnsi="Century Gothic" w:cs="Arial"/>
          <w:spacing w:val="-1"/>
          <w:sz w:val="24"/>
          <w:szCs w:val="24"/>
        </w:rPr>
        <w:t>u</w:t>
      </w:r>
      <w:r w:rsidRPr="00745D0A">
        <w:rPr>
          <w:rFonts w:ascii="Century Gothic" w:hAnsi="Century Gothic" w:cs="Arial"/>
          <w:spacing w:val="1"/>
          <w:sz w:val="24"/>
          <w:szCs w:val="24"/>
        </w:rPr>
        <w:t>o</w:t>
      </w:r>
      <w:r w:rsidRPr="00745D0A">
        <w:rPr>
          <w:rFonts w:ascii="Century Gothic" w:hAnsi="Century Gothic" w:cs="Arial"/>
          <w:sz w:val="24"/>
          <w:szCs w:val="24"/>
        </w:rPr>
        <w:t>s</w:t>
      </w:r>
      <w:r w:rsidRPr="00745D0A">
        <w:rPr>
          <w:rFonts w:ascii="Century Gothic" w:hAnsi="Century Gothic" w:cs="Arial"/>
          <w:spacing w:val="-1"/>
          <w:sz w:val="24"/>
          <w:szCs w:val="24"/>
        </w:rPr>
        <w:t>a</w:t>
      </w:r>
      <w:r w:rsidRPr="00745D0A">
        <w:rPr>
          <w:rFonts w:ascii="Century Gothic" w:hAnsi="Century Gothic" w:cs="Arial"/>
          <w:spacing w:val="1"/>
          <w:sz w:val="24"/>
          <w:szCs w:val="24"/>
        </w:rPr>
        <w:t>m</w:t>
      </w:r>
      <w:r w:rsidRPr="00745D0A">
        <w:rPr>
          <w:rFonts w:ascii="Century Gothic" w:hAnsi="Century Gothic" w:cs="Arial"/>
          <w:spacing w:val="-1"/>
          <w:sz w:val="24"/>
          <w:szCs w:val="24"/>
        </w:rPr>
        <w:t>e</w:t>
      </w:r>
      <w:r w:rsidRPr="00745D0A">
        <w:rPr>
          <w:rFonts w:ascii="Century Gothic" w:hAnsi="Century Gothic" w:cs="Arial"/>
          <w:spacing w:val="1"/>
          <w:sz w:val="24"/>
          <w:szCs w:val="24"/>
        </w:rPr>
        <w:t>n</w:t>
      </w:r>
      <w:r w:rsidRPr="00745D0A">
        <w:rPr>
          <w:rFonts w:ascii="Century Gothic" w:hAnsi="Century Gothic" w:cs="Arial"/>
          <w:sz w:val="24"/>
          <w:szCs w:val="24"/>
        </w:rPr>
        <w:t>te</w:t>
      </w:r>
      <w:r w:rsidRPr="00745D0A">
        <w:rPr>
          <w:rFonts w:ascii="Century Gothic" w:hAnsi="Century Gothic" w:cs="Arial"/>
          <w:spacing w:val="2"/>
          <w:sz w:val="24"/>
          <w:szCs w:val="24"/>
        </w:rPr>
        <w:t xml:space="preserve"> </w:t>
      </w:r>
      <w:r w:rsidRPr="00745D0A">
        <w:rPr>
          <w:rFonts w:ascii="Century Gothic" w:hAnsi="Century Gothic" w:cs="Arial"/>
          <w:spacing w:val="-1"/>
          <w:sz w:val="24"/>
          <w:szCs w:val="24"/>
        </w:rPr>
        <w:t xml:space="preserve">a quienes integran la Comisión de Presupuesto y Cuenta Pública de la Cámara de Diputados del Honorable Congreso de la Unión, </w:t>
      </w:r>
      <w:r w:rsidRPr="00745D0A">
        <w:rPr>
          <w:rFonts w:ascii="Century Gothic" w:hAnsi="Century Gothic" w:cstheme="minorHAnsi"/>
          <w:sz w:val="24"/>
          <w:szCs w:val="24"/>
        </w:rPr>
        <w:t xml:space="preserve">a fin de que dentro de los trabajos de análisis, discusión y posterior aprobación del Presupuesto de Egresos para la Federación 2021, se </w:t>
      </w:r>
      <w:r w:rsidRPr="00745D0A">
        <w:rPr>
          <w:rFonts w:ascii="Century Gothic" w:hAnsi="Century Gothic" w:cs="Arial"/>
          <w:spacing w:val="-1"/>
          <w:sz w:val="24"/>
          <w:szCs w:val="24"/>
        </w:rPr>
        <w:t>realicen todas las acciones conducentes para reestructurar el proyecto de dicho  Presupuesto de Egresos a fin de que se garantice una asignación de mayores recursos a los etiquetados para el Estado de Chihuahua,</w:t>
      </w:r>
      <w:r w:rsidRPr="00745D0A">
        <w:rPr>
          <w:rFonts w:ascii="Century Gothic" w:hAnsi="Century Gothic" w:cstheme="minorHAnsi"/>
          <w:sz w:val="24"/>
          <w:szCs w:val="24"/>
        </w:rPr>
        <w:t xml:space="preserve"> así como a diversos programas prioritarios en materia de salud, empleo, infraestructura y turismo.</w:t>
      </w:r>
    </w:p>
    <w:p w:rsidR="00596FED" w:rsidRPr="00745D0A" w:rsidRDefault="00596FED" w:rsidP="00745D0A">
      <w:pPr>
        <w:spacing w:line="276" w:lineRule="auto"/>
        <w:rPr>
          <w:rFonts w:ascii="Century Gothic" w:hAnsi="Century Gothic" w:cstheme="minorHAnsi"/>
          <w:sz w:val="24"/>
          <w:szCs w:val="24"/>
        </w:rPr>
      </w:pPr>
      <w:r w:rsidRPr="00745D0A">
        <w:rPr>
          <w:rFonts w:ascii="Century Gothic" w:hAnsi="Century Gothic" w:cstheme="minorHAnsi"/>
          <w:b/>
          <w:sz w:val="24"/>
          <w:szCs w:val="24"/>
        </w:rPr>
        <w:lastRenderedPageBreak/>
        <w:t>Económico</w:t>
      </w:r>
      <w:r w:rsidRPr="00745D0A">
        <w:rPr>
          <w:rFonts w:ascii="Century Gothic" w:hAnsi="Century Gothic" w:cstheme="minorHAnsi"/>
          <w:sz w:val="24"/>
          <w:szCs w:val="24"/>
        </w:rPr>
        <w:t>. Aprobado que sea, túrnese a la Secretaría para que elabore la Minuta de Acuerdo correspondiente.</w:t>
      </w:r>
    </w:p>
    <w:p w:rsidR="00596FED" w:rsidRPr="00745D0A" w:rsidRDefault="00596FED" w:rsidP="00745D0A">
      <w:pPr>
        <w:spacing w:line="276" w:lineRule="auto"/>
        <w:jc w:val="both"/>
        <w:rPr>
          <w:rFonts w:ascii="Century Gothic" w:hAnsi="Century Gothic" w:cstheme="minorHAnsi"/>
          <w:sz w:val="24"/>
          <w:szCs w:val="24"/>
        </w:rPr>
      </w:pPr>
      <w:r w:rsidRPr="00745D0A">
        <w:rPr>
          <w:rFonts w:ascii="Century Gothic" w:hAnsi="Century Gothic" w:cstheme="minorHAnsi"/>
          <w:sz w:val="24"/>
          <w:szCs w:val="24"/>
        </w:rPr>
        <w:t>D A D O en el Pleno del Palacio del Poder Legislativo, en la ciudad de Chihuahua, Chih., a los 06 días del mes de Octubre de 2020.</w:t>
      </w:r>
    </w:p>
    <w:p w:rsidR="00596FED" w:rsidRPr="00745D0A" w:rsidRDefault="00596FED" w:rsidP="00745D0A">
      <w:pPr>
        <w:pStyle w:val="Prrafodelista"/>
        <w:spacing w:line="276" w:lineRule="auto"/>
        <w:rPr>
          <w:rFonts w:ascii="Century Gothic" w:hAnsi="Century Gothic" w:cstheme="minorHAnsi"/>
          <w:sz w:val="24"/>
          <w:szCs w:val="24"/>
        </w:rPr>
      </w:pPr>
    </w:p>
    <w:p w:rsidR="00596FED" w:rsidRPr="00745D0A" w:rsidRDefault="00596FED" w:rsidP="00745D0A">
      <w:pPr>
        <w:pStyle w:val="Prrafodelista"/>
        <w:spacing w:line="276" w:lineRule="auto"/>
        <w:rPr>
          <w:rFonts w:ascii="Century Gothic" w:hAnsi="Century Gothic" w:cstheme="minorHAnsi"/>
          <w:sz w:val="24"/>
          <w:szCs w:val="24"/>
        </w:rPr>
      </w:pPr>
    </w:p>
    <w:p w:rsidR="00596FED" w:rsidRPr="00745D0A" w:rsidRDefault="00596FED" w:rsidP="00745D0A">
      <w:pPr>
        <w:spacing w:line="276" w:lineRule="auto"/>
        <w:ind w:left="360"/>
        <w:jc w:val="center"/>
        <w:rPr>
          <w:rFonts w:ascii="Century Gothic" w:hAnsi="Century Gothic" w:cstheme="minorHAnsi"/>
          <w:b/>
          <w:sz w:val="24"/>
          <w:szCs w:val="24"/>
        </w:rPr>
      </w:pPr>
      <w:r w:rsidRPr="00745D0A">
        <w:rPr>
          <w:rFonts w:ascii="Century Gothic" w:hAnsi="Century Gothic" w:cstheme="minorHAnsi"/>
          <w:b/>
          <w:sz w:val="24"/>
          <w:szCs w:val="24"/>
        </w:rPr>
        <w:t>Atentamente.</w:t>
      </w:r>
    </w:p>
    <w:p w:rsidR="00596FED" w:rsidRPr="00745D0A" w:rsidRDefault="00596FED" w:rsidP="00745D0A">
      <w:pPr>
        <w:spacing w:line="276" w:lineRule="auto"/>
        <w:ind w:left="360"/>
        <w:jc w:val="center"/>
        <w:rPr>
          <w:rFonts w:ascii="Century Gothic" w:hAnsi="Century Gothic" w:cstheme="minorHAnsi"/>
          <w:b/>
          <w:sz w:val="24"/>
          <w:szCs w:val="24"/>
        </w:rPr>
      </w:pPr>
      <w:r w:rsidRPr="00745D0A">
        <w:rPr>
          <w:rFonts w:ascii="Century Gothic" w:hAnsi="Century Gothic" w:cstheme="minorHAnsi"/>
          <w:b/>
          <w:sz w:val="24"/>
          <w:szCs w:val="24"/>
        </w:rPr>
        <w:t xml:space="preserve">DIP. CARMEN ROCÍO GONZÁLEZ ALONSO </w:t>
      </w:r>
    </w:p>
    <w:p w:rsidR="00596FED" w:rsidRPr="00745D0A" w:rsidRDefault="00596FED" w:rsidP="00745D0A">
      <w:pPr>
        <w:spacing w:line="276" w:lineRule="auto"/>
        <w:ind w:left="360"/>
        <w:jc w:val="center"/>
        <w:rPr>
          <w:rFonts w:ascii="Century Gothic" w:hAnsi="Century Gothic" w:cstheme="minorHAnsi"/>
          <w:b/>
          <w:sz w:val="24"/>
          <w:szCs w:val="24"/>
        </w:rPr>
      </w:pPr>
    </w:p>
    <w:p w:rsidR="00596FED" w:rsidRPr="00745D0A" w:rsidRDefault="00596FED" w:rsidP="00745D0A">
      <w:pPr>
        <w:spacing w:line="276" w:lineRule="auto"/>
        <w:rPr>
          <w:rFonts w:ascii="Century Gothic" w:hAnsi="Century Gothic" w:cstheme="minorHAnsi"/>
          <w:sz w:val="24"/>
          <w:szCs w:val="24"/>
        </w:rPr>
      </w:pPr>
    </w:p>
    <w:p w:rsidR="00596FED" w:rsidRPr="00745D0A" w:rsidRDefault="00596FED" w:rsidP="00745D0A">
      <w:pPr>
        <w:spacing w:line="276" w:lineRule="auto"/>
        <w:jc w:val="both"/>
        <w:rPr>
          <w:rFonts w:ascii="Century Gothic" w:hAnsi="Century Gothic" w:cstheme="minorHAnsi"/>
          <w:sz w:val="24"/>
          <w:szCs w:val="24"/>
        </w:rPr>
      </w:pPr>
    </w:p>
    <w:p w:rsidR="00596FED" w:rsidRPr="00745D0A" w:rsidRDefault="00596FED" w:rsidP="00745D0A">
      <w:pPr>
        <w:spacing w:line="276" w:lineRule="auto"/>
        <w:rPr>
          <w:rFonts w:ascii="Century Gothic" w:hAnsi="Century Gothic" w:cs="Arial"/>
          <w:b/>
          <w:sz w:val="24"/>
          <w:szCs w:val="24"/>
          <w:lang w:val="es-ES_tradnl"/>
        </w:rPr>
      </w:pPr>
      <w:r w:rsidRPr="00745D0A">
        <w:rPr>
          <w:rFonts w:ascii="Century Gothic" w:hAnsi="Century Gothic" w:cs="Arial"/>
          <w:b/>
          <w:sz w:val="24"/>
          <w:szCs w:val="24"/>
          <w:lang w:val="es-ES_tradnl"/>
        </w:rPr>
        <w:t xml:space="preserve">  DIP. PATRICIA GLORIA                                      DIP. JESÚS VILLAREAL MACIAS</w:t>
      </w:r>
      <w:r w:rsidRPr="00745D0A">
        <w:rPr>
          <w:rFonts w:ascii="Century Gothic" w:hAnsi="Century Gothic" w:cs="Arial"/>
          <w:b/>
          <w:sz w:val="24"/>
          <w:szCs w:val="24"/>
          <w:lang w:val="es-ES_tradnl"/>
        </w:rPr>
        <w:br/>
        <w:t xml:space="preserve">     JURADO ALONSO            </w:t>
      </w: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r w:rsidRPr="00745D0A">
        <w:rPr>
          <w:rFonts w:ascii="Century Gothic" w:hAnsi="Century Gothic" w:cs="Arial"/>
          <w:b/>
          <w:sz w:val="24"/>
          <w:szCs w:val="24"/>
          <w:lang w:val="es-ES_tradnl"/>
        </w:rPr>
        <w:t>DIP. GEORGINA ALEJANDRA                           DIP.JORGE CARLOS SOTO PRIETO</w:t>
      </w:r>
      <w:r w:rsidRPr="00745D0A">
        <w:rPr>
          <w:rFonts w:ascii="Century Gothic" w:hAnsi="Century Gothic" w:cs="Arial"/>
          <w:b/>
          <w:sz w:val="24"/>
          <w:szCs w:val="24"/>
          <w:lang w:val="es-ES_tradnl"/>
        </w:rPr>
        <w:br/>
        <w:t xml:space="preserve">            BUJANDA RIOS</w:t>
      </w: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r w:rsidRPr="00745D0A">
        <w:rPr>
          <w:rFonts w:ascii="Century Gothic" w:hAnsi="Century Gothic" w:cs="Arial"/>
          <w:b/>
          <w:sz w:val="24"/>
          <w:szCs w:val="24"/>
          <w:lang w:val="es-ES_tradnl"/>
        </w:rPr>
        <w:t xml:space="preserve"> DIP. MIGUEL FRANCISCO                                              DIP.BLANCA AMELIA </w:t>
      </w:r>
      <w:r w:rsidRPr="00745D0A">
        <w:rPr>
          <w:rFonts w:ascii="Century Gothic" w:hAnsi="Century Gothic" w:cs="Arial"/>
          <w:b/>
          <w:sz w:val="24"/>
          <w:szCs w:val="24"/>
          <w:lang w:val="es-ES_tradnl"/>
        </w:rPr>
        <w:br/>
        <w:t xml:space="preserve">        LA TORRE SAENZ                                                       GÁMEZ GUTIÉRREZ</w:t>
      </w: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r w:rsidRPr="00745D0A">
        <w:rPr>
          <w:rFonts w:ascii="Century Gothic" w:hAnsi="Century Gothic" w:cs="Arial"/>
          <w:b/>
          <w:sz w:val="24"/>
          <w:szCs w:val="24"/>
          <w:lang w:val="es-ES_tradnl"/>
        </w:rPr>
        <w:t xml:space="preserve">        DIP. JESÚS ALBERTO                                       DIP. JESÚS MANUEL VÁZQUEZ </w:t>
      </w:r>
      <w:r w:rsidRPr="00745D0A">
        <w:rPr>
          <w:rFonts w:ascii="Century Gothic" w:hAnsi="Century Gothic" w:cs="Arial"/>
          <w:b/>
          <w:sz w:val="24"/>
          <w:szCs w:val="24"/>
          <w:lang w:val="es-ES_tradnl"/>
        </w:rPr>
        <w:br/>
        <w:t xml:space="preserve">     VALENCIANO GARCÍA                                                       MEDINA</w:t>
      </w: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745D0A" w:rsidRDefault="00745D0A" w:rsidP="00745D0A">
      <w:pPr>
        <w:spacing w:line="276" w:lineRule="auto"/>
        <w:rPr>
          <w:rFonts w:ascii="Century Gothic" w:hAnsi="Century Gothic" w:cs="Arial"/>
          <w:b/>
          <w:sz w:val="24"/>
          <w:szCs w:val="24"/>
          <w:lang w:val="es-ES_tradnl"/>
        </w:rPr>
      </w:pPr>
    </w:p>
    <w:p w:rsidR="00745D0A" w:rsidRDefault="00745D0A"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r w:rsidRPr="00745D0A">
        <w:rPr>
          <w:rFonts w:ascii="Century Gothic" w:hAnsi="Century Gothic" w:cs="Arial"/>
          <w:b/>
          <w:sz w:val="24"/>
          <w:szCs w:val="24"/>
          <w:lang w:val="es-ES_tradnl"/>
        </w:rPr>
        <w:t>DIP.FERNANDO ÁLVAREZ MONJE                 DIP. MARISELA TERRAZAS MUÑOZ</w:t>
      </w: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rPr>
          <w:rFonts w:ascii="Century Gothic" w:hAnsi="Century Gothic" w:cs="Arial"/>
          <w:b/>
          <w:sz w:val="24"/>
          <w:szCs w:val="24"/>
          <w:lang w:val="es-ES_tradnl"/>
        </w:rPr>
      </w:pPr>
    </w:p>
    <w:p w:rsidR="00596FED" w:rsidRPr="00745D0A" w:rsidRDefault="00596FED" w:rsidP="00745D0A">
      <w:pPr>
        <w:spacing w:line="276" w:lineRule="auto"/>
        <w:jc w:val="right"/>
        <w:rPr>
          <w:rFonts w:ascii="Century Gothic" w:hAnsi="Century Gothic" w:cs="Arial"/>
          <w:b/>
          <w:sz w:val="16"/>
          <w:szCs w:val="16"/>
          <w:lang w:val="es-ES_tradnl"/>
        </w:rPr>
        <w:sectPr w:rsidR="00596FED" w:rsidRPr="00745D0A" w:rsidSect="00B51558">
          <w:headerReference w:type="default" r:id="rId7"/>
          <w:footerReference w:type="default" r:id="rId8"/>
          <w:pgSz w:w="12240" w:h="15840"/>
          <w:pgMar w:top="2552" w:right="1701" w:bottom="1134" w:left="1701" w:header="284" w:footer="284" w:gutter="0"/>
          <w:cols w:space="708"/>
          <w:docGrid w:linePitch="360"/>
        </w:sectPr>
      </w:pPr>
      <w:r w:rsidRPr="00745D0A">
        <w:rPr>
          <w:rFonts w:ascii="Century Gothic" w:hAnsi="Century Gothic" w:cs="Arial"/>
          <w:b/>
          <w:sz w:val="16"/>
          <w:szCs w:val="16"/>
          <w:lang w:val="es-ES_tradnl"/>
        </w:rPr>
        <w:t xml:space="preserve">Firmas correspondientes a la Iniciativa con carácter de Acuerdo de Urgente Resolución a efecto de </w:t>
      </w:r>
      <w:r w:rsidRPr="00745D0A">
        <w:rPr>
          <w:rFonts w:ascii="Century Gothic" w:hAnsi="Century Gothic" w:cstheme="minorHAnsi"/>
          <w:b/>
          <w:sz w:val="16"/>
          <w:szCs w:val="16"/>
        </w:rPr>
        <w:t>exhorta</w:t>
      </w:r>
      <w:r w:rsidR="00BC0E13">
        <w:rPr>
          <w:rFonts w:ascii="Century Gothic" w:hAnsi="Century Gothic" w:cstheme="minorHAnsi"/>
          <w:b/>
          <w:sz w:val="16"/>
          <w:szCs w:val="16"/>
        </w:rPr>
        <w:t>r</w:t>
      </w:r>
      <w:bookmarkStart w:id="0" w:name="_GoBack"/>
      <w:bookmarkEnd w:id="0"/>
      <w:r w:rsidRPr="00745D0A">
        <w:rPr>
          <w:rFonts w:ascii="Century Gothic" w:hAnsi="Century Gothic" w:cs="Arial"/>
          <w:b/>
          <w:spacing w:val="1"/>
          <w:sz w:val="16"/>
          <w:szCs w:val="16"/>
        </w:rPr>
        <w:t xml:space="preserve"> </w:t>
      </w:r>
      <w:r w:rsidRPr="00745D0A">
        <w:rPr>
          <w:rFonts w:ascii="Century Gothic" w:hAnsi="Century Gothic" w:cs="Arial"/>
          <w:b/>
          <w:sz w:val="16"/>
          <w:szCs w:val="16"/>
        </w:rPr>
        <w:t>r</w:t>
      </w:r>
      <w:r w:rsidRPr="00745D0A">
        <w:rPr>
          <w:rFonts w:ascii="Century Gothic" w:hAnsi="Century Gothic" w:cs="Arial"/>
          <w:b/>
          <w:spacing w:val="-2"/>
          <w:sz w:val="16"/>
          <w:szCs w:val="16"/>
        </w:rPr>
        <w:t>e</w:t>
      </w:r>
      <w:r w:rsidRPr="00745D0A">
        <w:rPr>
          <w:rFonts w:ascii="Century Gothic" w:hAnsi="Century Gothic" w:cs="Arial"/>
          <w:b/>
          <w:sz w:val="16"/>
          <w:szCs w:val="16"/>
        </w:rPr>
        <w:t>s</w:t>
      </w:r>
      <w:r w:rsidRPr="00745D0A">
        <w:rPr>
          <w:rFonts w:ascii="Century Gothic" w:hAnsi="Century Gothic" w:cs="Arial"/>
          <w:b/>
          <w:spacing w:val="1"/>
          <w:sz w:val="16"/>
          <w:szCs w:val="16"/>
        </w:rPr>
        <w:t>pe</w:t>
      </w:r>
      <w:r w:rsidRPr="00745D0A">
        <w:rPr>
          <w:rFonts w:ascii="Century Gothic" w:hAnsi="Century Gothic" w:cs="Arial"/>
          <w:b/>
          <w:sz w:val="16"/>
          <w:szCs w:val="16"/>
        </w:rPr>
        <w:t>t</w:t>
      </w:r>
      <w:r w:rsidRPr="00745D0A">
        <w:rPr>
          <w:rFonts w:ascii="Century Gothic" w:hAnsi="Century Gothic" w:cs="Arial"/>
          <w:b/>
          <w:spacing w:val="-1"/>
          <w:sz w:val="16"/>
          <w:szCs w:val="16"/>
        </w:rPr>
        <w:t>u</w:t>
      </w:r>
      <w:r w:rsidRPr="00745D0A">
        <w:rPr>
          <w:rFonts w:ascii="Century Gothic" w:hAnsi="Century Gothic" w:cs="Arial"/>
          <w:b/>
          <w:spacing w:val="1"/>
          <w:sz w:val="16"/>
          <w:szCs w:val="16"/>
        </w:rPr>
        <w:t>o</w:t>
      </w:r>
      <w:r w:rsidRPr="00745D0A">
        <w:rPr>
          <w:rFonts w:ascii="Century Gothic" w:hAnsi="Century Gothic" w:cs="Arial"/>
          <w:b/>
          <w:sz w:val="16"/>
          <w:szCs w:val="16"/>
        </w:rPr>
        <w:t>s</w:t>
      </w:r>
      <w:r w:rsidRPr="00745D0A">
        <w:rPr>
          <w:rFonts w:ascii="Century Gothic" w:hAnsi="Century Gothic" w:cs="Arial"/>
          <w:b/>
          <w:spacing w:val="-1"/>
          <w:sz w:val="16"/>
          <w:szCs w:val="16"/>
        </w:rPr>
        <w:t>a</w:t>
      </w:r>
      <w:r w:rsidRPr="00745D0A">
        <w:rPr>
          <w:rFonts w:ascii="Century Gothic" w:hAnsi="Century Gothic" w:cs="Arial"/>
          <w:b/>
          <w:spacing w:val="1"/>
          <w:sz w:val="16"/>
          <w:szCs w:val="16"/>
        </w:rPr>
        <w:t>m</w:t>
      </w:r>
      <w:r w:rsidRPr="00745D0A">
        <w:rPr>
          <w:rFonts w:ascii="Century Gothic" w:hAnsi="Century Gothic" w:cs="Arial"/>
          <w:b/>
          <w:spacing w:val="-1"/>
          <w:sz w:val="16"/>
          <w:szCs w:val="16"/>
        </w:rPr>
        <w:t>e</w:t>
      </w:r>
      <w:r w:rsidRPr="00745D0A">
        <w:rPr>
          <w:rFonts w:ascii="Century Gothic" w:hAnsi="Century Gothic" w:cs="Arial"/>
          <w:b/>
          <w:spacing w:val="1"/>
          <w:sz w:val="16"/>
          <w:szCs w:val="16"/>
        </w:rPr>
        <w:t>n</w:t>
      </w:r>
      <w:r w:rsidRPr="00745D0A">
        <w:rPr>
          <w:rFonts w:ascii="Century Gothic" w:hAnsi="Century Gothic" w:cs="Arial"/>
          <w:b/>
          <w:sz w:val="16"/>
          <w:szCs w:val="16"/>
        </w:rPr>
        <w:t>te</w:t>
      </w:r>
      <w:r w:rsidRPr="00745D0A">
        <w:rPr>
          <w:rFonts w:ascii="Century Gothic" w:hAnsi="Century Gothic" w:cs="Arial"/>
          <w:b/>
          <w:spacing w:val="2"/>
          <w:sz w:val="16"/>
          <w:szCs w:val="16"/>
        </w:rPr>
        <w:t xml:space="preserve"> </w:t>
      </w:r>
      <w:r w:rsidRPr="00745D0A">
        <w:rPr>
          <w:rFonts w:ascii="Century Gothic" w:hAnsi="Century Gothic" w:cs="Arial"/>
          <w:b/>
          <w:spacing w:val="-1"/>
          <w:sz w:val="16"/>
          <w:szCs w:val="16"/>
        </w:rPr>
        <w:t xml:space="preserve">a quienes integran la Comisión de Presupuesto y Cuenta Pública de la Cámara de Diputados del Honorable Congreso de la Unión, </w:t>
      </w:r>
      <w:r w:rsidRPr="00745D0A">
        <w:rPr>
          <w:rFonts w:ascii="Century Gothic" w:hAnsi="Century Gothic" w:cstheme="minorHAnsi"/>
          <w:b/>
          <w:sz w:val="16"/>
          <w:szCs w:val="16"/>
        </w:rPr>
        <w:t xml:space="preserve">a fin de que dentro de los trabajos de análisis, discusión y posterior aprobación del Presupuesto de Egresos para la Federación 2021, se </w:t>
      </w:r>
      <w:r w:rsidRPr="00745D0A">
        <w:rPr>
          <w:rFonts w:ascii="Century Gothic" w:hAnsi="Century Gothic" w:cs="Arial"/>
          <w:b/>
          <w:spacing w:val="-1"/>
          <w:sz w:val="16"/>
          <w:szCs w:val="16"/>
        </w:rPr>
        <w:t>realicen todas las acciones conducentes para reestructurar el proyecto de dicho  Presupuesto de Egresos a fin de que se garantice una asignación de mayores recursos a los etiquetados para el Estado de Chihuahua</w:t>
      </w:r>
      <w:r w:rsidRPr="00745D0A">
        <w:rPr>
          <w:rFonts w:ascii="Century Gothic" w:hAnsi="Century Gothic" w:cstheme="minorHAnsi"/>
          <w:b/>
          <w:sz w:val="16"/>
          <w:szCs w:val="16"/>
        </w:rPr>
        <w:t xml:space="preserve"> y diversos ejes prioritarios.</w:t>
      </w:r>
    </w:p>
    <w:p w:rsidR="00596FED" w:rsidRPr="00745D0A" w:rsidRDefault="00596FED" w:rsidP="00745D0A">
      <w:pPr>
        <w:spacing w:line="276" w:lineRule="auto"/>
        <w:jc w:val="both"/>
        <w:rPr>
          <w:rFonts w:ascii="Century Gothic" w:hAnsi="Century Gothic" w:cstheme="minorHAnsi"/>
          <w:sz w:val="24"/>
          <w:szCs w:val="24"/>
        </w:rPr>
      </w:pPr>
    </w:p>
    <w:p w:rsidR="003F4864" w:rsidRPr="00745D0A" w:rsidRDefault="003F4864" w:rsidP="00745D0A">
      <w:pPr>
        <w:spacing w:line="276" w:lineRule="auto"/>
        <w:rPr>
          <w:rFonts w:ascii="Century Gothic" w:hAnsi="Century Gothic"/>
          <w:sz w:val="24"/>
          <w:szCs w:val="24"/>
        </w:rPr>
      </w:pPr>
    </w:p>
    <w:sectPr w:rsidR="003F4864" w:rsidRPr="00745D0A" w:rsidSect="003E022A">
      <w:headerReference w:type="default" r:id="rId9"/>
      <w:pgSz w:w="12240" w:h="15840"/>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A34" w:rsidRDefault="00C75A34">
      <w:pPr>
        <w:spacing w:after="0" w:line="240" w:lineRule="auto"/>
      </w:pPr>
      <w:r>
        <w:separator/>
      </w:r>
    </w:p>
  </w:endnote>
  <w:endnote w:type="continuationSeparator" w:id="0">
    <w:p w:rsidR="00C75A34" w:rsidRDefault="00C7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014327"/>
      <w:docPartObj>
        <w:docPartGallery w:val="Page Numbers (Bottom of Page)"/>
        <w:docPartUnique/>
      </w:docPartObj>
    </w:sdtPr>
    <w:sdtEndPr/>
    <w:sdtContent>
      <w:p w:rsidR="006B4C20" w:rsidRDefault="00596FED">
        <w:pPr>
          <w:pStyle w:val="Piedepgina"/>
          <w:jc w:val="right"/>
        </w:pPr>
        <w:r>
          <w:fldChar w:fldCharType="begin"/>
        </w:r>
        <w:r>
          <w:instrText>PAGE   \* MERGEFORMAT</w:instrText>
        </w:r>
        <w:r>
          <w:fldChar w:fldCharType="separate"/>
        </w:r>
        <w:r w:rsidR="00BC0E13">
          <w:rPr>
            <w:noProof/>
          </w:rPr>
          <w:t>12</w:t>
        </w:r>
        <w:r>
          <w:fldChar w:fldCharType="end"/>
        </w:r>
        <w:r>
          <w:t xml:space="preserve"> </w:t>
        </w:r>
      </w:p>
    </w:sdtContent>
  </w:sdt>
  <w:p w:rsidR="006B4C20" w:rsidRDefault="00C75A34">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A34" w:rsidRDefault="00C75A34">
      <w:pPr>
        <w:spacing w:after="0" w:line="240" w:lineRule="auto"/>
      </w:pPr>
      <w:r>
        <w:separator/>
      </w:r>
    </w:p>
  </w:footnote>
  <w:footnote w:type="continuationSeparator" w:id="0">
    <w:p w:rsidR="00C75A34" w:rsidRDefault="00C7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C20" w:rsidRPr="00D75C61" w:rsidRDefault="00596FED" w:rsidP="003520C6">
    <w:pPr>
      <w:pStyle w:val="Sinespaciado"/>
      <w:jc w:val="center"/>
      <w:rPr>
        <w:sz w:val="32"/>
      </w:rPr>
    </w:pPr>
    <w:r w:rsidRPr="00D75C61">
      <w:rPr>
        <w:sz w:val="28"/>
        <w:bdr w:val="none" w:sz="0" w:space="0" w:color="auto" w:frame="1"/>
      </w:rPr>
      <w:t>2020, Por un Nuevo Federalismo Fiscal, Justo y Equitativo”</w:t>
    </w:r>
  </w:p>
  <w:p w:rsidR="006B4C20" w:rsidRPr="00D75C61" w:rsidRDefault="00596FED" w:rsidP="003520C6">
    <w:pPr>
      <w:pStyle w:val="Sinespaciado"/>
      <w:jc w:val="center"/>
      <w:rPr>
        <w:sz w:val="32"/>
      </w:rPr>
    </w:pPr>
    <w:r w:rsidRPr="00D75C61">
      <w:rPr>
        <w:noProof/>
        <w:sz w:val="28"/>
        <w:bdr w:val="none" w:sz="0" w:space="0" w:color="auto" w:frame="1"/>
        <w:lang w:val="es-MX" w:eastAsia="es-MX"/>
      </w:rPr>
      <w:drawing>
        <wp:anchor distT="0" distB="0" distL="114300" distR="114300" simplePos="0" relativeHeight="251657216" behindDoc="1" locked="0" layoutInCell="1" allowOverlap="1" wp14:anchorId="320A47EE" wp14:editId="4F7648DB">
          <wp:simplePos x="0" y="0"/>
          <wp:positionH relativeFrom="column">
            <wp:posOffset>-422910</wp:posOffset>
          </wp:positionH>
          <wp:positionV relativeFrom="paragraph">
            <wp:posOffset>17780</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D75C61">
      <w:rPr>
        <w:sz w:val="28"/>
        <w:bdr w:val="none" w:sz="0" w:space="0" w:color="auto" w:frame="1"/>
      </w:rPr>
      <w:t>“2020, Año de la Sanidad Vegetal”</w:t>
    </w:r>
  </w:p>
  <w:p w:rsidR="006B4C20" w:rsidRPr="00C9457C" w:rsidRDefault="00C75A34" w:rsidP="00136CB7">
    <w:pPr>
      <w:pStyle w:val="Encabezado"/>
      <w:jc w:val="right"/>
      <w:rPr>
        <w:rFonts w:ascii="Century Gothic" w:hAnsi="Century Gothic"/>
        <w:b/>
        <w:i/>
        <w:i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22A" w:rsidRPr="00D75C61" w:rsidRDefault="00596FED" w:rsidP="003E022A">
    <w:pPr>
      <w:pStyle w:val="Sinespaciado"/>
      <w:jc w:val="center"/>
      <w:rPr>
        <w:sz w:val="32"/>
      </w:rPr>
    </w:pPr>
    <w:r w:rsidRPr="00D75C61">
      <w:rPr>
        <w:sz w:val="28"/>
        <w:bdr w:val="none" w:sz="0" w:space="0" w:color="auto" w:frame="1"/>
      </w:rPr>
      <w:t>2020, Por un Nuevo Federalismo Fiscal, Justo y Equitativo”</w:t>
    </w:r>
  </w:p>
  <w:p w:rsidR="003E022A" w:rsidRPr="00D75C61" w:rsidRDefault="00596FED" w:rsidP="003E022A">
    <w:pPr>
      <w:pStyle w:val="Sinespaciado"/>
      <w:jc w:val="center"/>
      <w:rPr>
        <w:sz w:val="32"/>
      </w:rPr>
    </w:pPr>
    <w:r w:rsidRPr="00D75C61">
      <w:rPr>
        <w:noProof/>
        <w:sz w:val="28"/>
        <w:bdr w:val="none" w:sz="0" w:space="0" w:color="auto" w:frame="1"/>
        <w:lang w:val="es-MX" w:eastAsia="es-MX"/>
      </w:rPr>
      <w:drawing>
        <wp:anchor distT="0" distB="0" distL="114300" distR="114300" simplePos="0" relativeHeight="251658240" behindDoc="1" locked="0" layoutInCell="1" allowOverlap="1" wp14:anchorId="711B7155" wp14:editId="44D7C97B">
          <wp:simplePos x="0" y="0"/>
          <wp:positionH relativeFrom="column">
            <wp:posOffset>-422910</wp:posOffset>
          </wp:positionH>
          <wp:positionV relativeFrom="paragraph">
            <wp:posOffset>17780</wp:posOffset>
          </wp:positionV>
          <wp:extent cx="1057275" cy="1085850"/>
          <wp:effectExtent l="19050" t="0" r="9525" b="0"/>
          <wp:wrapNone/>
          <wp:docPr id="7" name="Imagen 7"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D75C61">
      <w:rPr>
        <w:sz w:val="28"/>
        <w:bdr w:val="none" w:sz="0" w:space="0" w:color="auto" w:frame="1"/>
      </w:rPr>
      <w:t>“2020, Año de la Sanidad Vegetal”</w:t>
    </w:r>
  </w:p>
  <w:p w:rsidR="003E022A" w:rsidRPr="003E022A" w:rsidRDefault="00C75A34" w:rsidP="003E02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33006"/>
    <w:multiLevelType w:val="hybridMultilevel"/>
    <w:tmpl w:val="C06A40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A87A5C"/>
    <w:multiLevelType w:val="hybridMultilevel"/>
    <w:tmpl w:val="595481DA"/>
    <w:lvl w:ilvl="0" w:tplc="080A000F">
      <w:start w:val="1"/>
      <w:numFmt w:val="decimal"/>
      <w:lvlText w:val="%1."/>
      <w:lvlJc w:val="left"/>
      <w:pPr>
        <w:ind w:left="732" w:hanging="360"/>
      </w:pPr>
      <w:rPr>
        <w:rFonts w:hint="default"/>
      </w:rPr>
    </w:lvl>
    <w:lvl w:ilvl="1" w:tplc="080A0019" w:tentative="1">
      <w:start w:val="1"/>
      <w:numFmt w:val="lowerLetter"/>
      <w:lvlText w:val="%2."/>
      <w:lvlJc w:val="left"/>
      <w:pPr>
        <w:ind w:left="1452" w:hanging="360"/>
      </w:pPr>
    </w:lvl>
    <w:lvl w:ilvl="2" w:tplc="080A001B" w:tentative="1">
      <w:start w:val="1"/>
      <w:numFmt w:val="lowerRoman"/>
      <w:lvlText w:val="%3."/>
      <w:lvlJc w:val="right"/>
      <w:pPr>
        <w:ind w:left="2172" w:hanging="180"/>
      </w:pPr>
    </w:lvl>
    <w:lvl w:ilvl="3" w:tplc="080A000F" w:tentative="1">
      <w:start w:val="1"/>
      <w:numFmt w:val="decimal"/>
      <w:lvlText w:val="%4."/>
      <w:lvlJc w:val="left"/>
      <w:pPr>
        <w:ind w:left="2892" w:hanging="360"/>
      </w:pPr>
    </w:lvl>
    <w:lvl w:ilvl="4" w:tplc="080A0019" w:tentative="1">
      <w:start w:val="1"/>
      <w:numFmt w:val="lowerLetter"/>
      <w:lvlText w:val="%5."/>
      <w:lvlJc w:val="left"/>
      <w:pPr>
        <w:ind w:left="3612" w:hanging="360"/>
      </w:pPr>
    </w:lvl>
    <w:lvl w:ilvl="5" w:tplc="080A001B" w:tentative="1">
      <w:start w:val="1"/>
      <w:numFmt w:val="lowerRoman"/>
      <w:lvlText w:val="%6."/>
      <w:lvlJc w:val="right"/>
      <w:pPr>
        <w:ind w:left="4332" w:hanging="180"/>
      </w:pPr>
    </w:lvl>
    <w:lvl w:ilvl="6" w:tplc="080A000F" w:tentative="1">
      <w:start w:val="1"/>
      <w:numFmt w:val="decimal"/>
      <w:lvlText w:val="%7."/>
      <w:lvlJc w:val="left"/>
      <w:pPr>
        <w:ind w:left="5052" w:hanging="360"/>
      </w:pPr>
    </w:lvl>
    <w:lvl w:ilvl="7" w:tplc="080A0019" w:tentative="1">
      <w:start w:val="1"/>
      <w:numFmt w:val="lowerLetter"/>
      <w:lvlText w:val="%8."/>
      <w:lvlJc w:val="left"/>
      <w:pPr>
        <w:ind w:left="5772" w:hanging="360"/>
      </w:pPr>
    </w:lvl>
    <w:lvl w:ilvl="8" w:tplc="080A001B" w:tentative="1">
      <w:start w:val="1"/>
      <w:numFmt w:val="lowerRoman"/>
      <w:lvlText w:val="%9."/>
      <w:lvlJc w:val="right"/>
      <w:pPr>
        <w:ind w:left="649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FED"/>
    <w:rsid w:val="001A2F44"/>
    <w:rsid w:val="00304112"/>
    <w:rsid w:val="003F4864"/>
    <w:rsid w:val="00596FED"/>
    <w:rsid w:val="00745D0A"/>
    <w:rsid w:val="00B960BC"/>
    <w:rsid w:val="00BC0E13"/>
    <w:rsid w:val="00C75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1CB975-980E-48FD-96E9-C046AF96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F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96FED"/>
    <w:rPr>
      <w:b/>
      <w:bCs/>
    </w:rPr>
  </w:style>
  <w:style w:type="paragraph" w:styleId="Prrafodelista">
    <w:name w:val="List Paragraph"/>
    <w:basedOn w:val="Normal"/>
    <w:uiPriority w:val="34"/>
    <w:qFormat/>
    <w:rsid w:val="00596FED"/>
    <w:pPr>
      <w:ind w:left="720"/>
      <w:contextualSpacing/>
    </w:pPr>
  </w:style>
  <w:style w:type="paragraph" w:styleId="NormalWeb">
    <w:name w:val="Normal (Web)"/>
    <w:basedOn w:val="Normal"/>
    <w:uiPriority w:val="99"/>
    <w:unhideWhenUsed/>
    <w:rsid w:val="00596F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96F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6FED"/>
  </w:style>
  <w:style w:type="paragraph" w:styleId="Piedepgina">
    <w:name w:val="footer"/>
    <w:basedOn w:val="Normal"/>
    <w:link w:val="PiedepginaCar"/>
    <w:uiPriority w:val="99"/>
    <w:unhideWhenUsed/>
    <w:rsid w:val="00596F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6FED"/>
  </w:style>
  <w:style w:type="paragraph" w:styleId="Sinespaciado">
    <w:name w:val="No Spacing"/>
    <w:link w:val="SinespaciadoCar"/>
    <w:uiPriority w:val="1"/>
    <w:qFormat/>
    <w:rsid w:val="00596FED"/>
    <w:pPr>
      <w:spacing w:after="0" w:line="240" w:lineRule="auto"/>
      <w:jc w:val="both"/>
    </w:pPr>
    <w:rPr>
      <w:rFonts w:ascii="Calibri" w:eastAsia="Calibri" w:hAnsi="Calibri" w:cs="Times New Roman"/>
      <w:lang w:val="es-ES"/>
    </w:rPr>
  </w:style>
  <w:style w:type="character" w:customStyle="1" w:styleId="SinespaciadoCar">
    <w:name w:val="Sin espaciado Car"/>
    <w:link w:val="Sinespaciado"/>
    <w:uiPriority w:val="1"/>
    <w:rsid w:val="00596FED"/>
    <w:rPr>
      <w:rFonts w:ascii="Calibri" w:eastAsia="Calibri" w:hAnsi="Calibri" w:cs="Times New Roman"/>
      <w:lang w:val="es-ES"/>
    </w:rPr>
  </w:style>
  <w:style w:type="table" w:styleId="Tablaconcuadrcula">
    <w:name w:val="Table Grid"/>
    <w:basedOn w:val="Tablanormal"/>
    <w:uiPriority w:val="39"/>
    <w:rsid w:val="00596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96F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6F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3249</Words>
  <Characters>17872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Nallely Daniela Castañón Alonso</dc:creator>
  <cp:keywords/>
  <dc:description/>
  <cp:lastModifiedBy>Nallely Daniela Castañón Alonso</cp:lastModifiedBy>
  <cp:revision>4</cp:revision>
  <cp:lastPrinted>2020-10-06T17:53:00Z</cp:lastPrinted>
  <dcterms:created xsi:type="dcterms:W3CDTF">2020-10-06T16:12:00Z</dcterms:created>
  <dcterms:modified xsi:type="dcterms:W3CDTF">2020-10-06T19:04:00Z</dcterms:modified>
</cp:coreProperties>
</file>