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28" w:rsidRDefault="006F6028" w:rsidP="006F6028">
      <w:pPr>
        <w:spacing w:after="0" w:line="360" w:lineRule="auto"/>
        <w:jc w:val="both"/>
        <w:rPr>
          <w:rFonts w:ascii="Century Gothic" w:hAnsi="Century Gothic" w:cs="Arial"/>
          <w:b/>
          <w:sz w:val="24"/>
          <w:szCs w:val="24"/>
        </w:rPr>
      </w:pPr>
    </w:p>
    <w:p w:rsidR="000635A0" w:rsidRDefault="000635A0"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p>
    <w:p w:rsidR="006F6028" w:rsidRDefault="006F6028" w:rsidP="006F6028">
      <w:pPr>
        <w:spacing w:after="0" w:line="360" w:lineRule="auto"/>
        <w:jc w:val="both"/>
        <w:rPr>
          <w:rFonts w:ascii="Century Gothic" w:hAnsi="Century Gothic" w:cs="Arial"/>
          <w:sz w:val="24"/>
          <w:szCs w:val="24"/>
        </w:rPr>
      </w:pPr>
    </w:p>
    <w:p w:rsidR="00156DEC" w:rsidRPr="009A1014" w:rsidRDefault="006F6028" w:rsidP="009A1014">
      <w:pPr>
        <w:pStyle w:val="Body"/>
        <w:spacing w:line="360" w:lineRule="auto"/>
        <w:jc w:val="both"/>
        <w:rPr>
          <w:rFonts w:ascii="Century Gothic" w:hAnsi="Century Gothic"/>
          <w:sz w:val="24"/>
        </w:rPr>
      </w:pPr>
      <w:r w:rsidRPr="00C92B21">
        <w:rPr>
          <w:rFonts w:ascii="Century Gothic" w:hAnsi="Century Gothic" w:cs="Arial"/>
          <w:sz w:val="24"/>
          <w:szCs w:val="24"/>
          <w:lang w:val="es-ES_tradnl"/>
        </w:rPr>
        <w:t>Quien suscribe</w:t>
      </w:r>
      <w:r w:rsidRPr="00C92B21">
        <w:rPr>
          <w:rFonts w:ascii="Century Gothic" w:hAnsi="Century Gothic" w:cs="Arial"/>
          <w:b/>
          <w:sz w:val="24"/>
          <w:szCs w:val="24"/>
          <w:lang w:val="es-ES_tradnl"/>
        </w:rPr>
        <w:t>, GEORGINA ALEJANDRA BUJANDA RÍOS</w:t>
      </w:r>
      <w:r w:rsidRPr="00C92B21">
        <w:rPr>
          <w:rFonts w:ascii="Century Gothic" w:hAnsi="Century Gothic"/>
          <w:sz w:val="24"/>
          <w:szCs w:val="24"/>
        </w:rPr>
        <w:t>, en mi carácter de Diputada a la Sexagésima Sexta Legislatura del Co</w:t>
      </w:r>
      <w:r w:rsidR="00E976B9">
        <w:rPr>
          <w:rFonts w:ascii="Century Gothic" w:hAnsi="Century Gothic"/>
          <w:sz w:val="24"/>
          <w:szCs w:val="24"/>
        </w:rPr>
        <w:t>ngreso del Estado de Chihuahua,</w:t>
      </w:r>
      <w:r w:rsidRPr="00C92B21">
        <w:rPr>
          <w:rFonts w:ascii="Century Gothic" w:hAnsi="Century Gothic"/>
          <w:sz w:val="24"/>
          <w:szCs w:val="24"/>
        </w:rPr>
        <w:t xml:space="preserve"> integrante del Grupo Parlamenta</w:t>
      </w:r>
      <w:r w:rsidR="00E976B9">
        <w:rPr>
          <w:rFonts w:ascii="Century Gothic" w:hAnsi="Century Gothic"/>
          <w:sz w:val="24"/>
          <w:szCs w:val="24"/>
        </w:rPr>
        <w:t>rio del Partido Acción</w:t>
      </w:r>
      <w:r w:rsidR="0055034E">
        <w:rPr>
          <w:rFonts w:ascii="Century Gothic" w:hAnsi="Century Gothic"/>
          <w:sz w:val="24"/>
          <w:szCs w:val="24"/>
        </w:rPr>
        <w:t xml:space="preserve"> Nacional</w:t>
      </w:r>
      <w:r w:rsidR="00E976B9">
        <w:rPr>
          <w:rFonts w:ascii="Century Gothic" w:hAnsi="Century Gothic"/>
          <w:sz w:val="24"/>
          <w:szCs w:val="24"/>
        </w:rPr>
        <w:t>,</w:t>
      </w:r>
      <w:r w:rsidRPr="00C92B21">
        <w:rPr>
          <w:rFonts w:ascii="Century Gothic" w:hAnsi="Century Gothic"/>
          <w:sz w:val="24"/>
          <w:szCs w:val="24"/>
        </w:rPr>
        <w:t xml:space="preserve"> con fundamento en lo establecido por los artículos 169 y 174 fracción I, de la Ley Orgánica del Poder Legislativo del Estado de Chihuahua; acudo respetuosamente ante esta Honorable Asamblea a someter a consideración, iniciativa con carácter de </w:t>
      </w:r>
      <w:r w:rsidRPr="00C92B21">
        <w:rPr>
          <w:rFonts w:ascii="Century Gothic" w:hAnsi="Century Gothic"/>
          <w:b/>
          <w:sz w:val="24"/>
          <w:szCs w:val="24"/>
        </w:rPr>
        <w:t>Acuerdo</w:t>
      </w:r>
      <w:r w:rsidR="00AB3662">
        <w:rPr>
          <w:rFonts w:ascii="Century Gothic" w:hAnsi="Century Gothic"/>
          <w:b/>
          <w:sz w:val="24"/>
          <w:szCs w:val="24"/>
        </w:rPr>
        <w:t xml:space="preserve"> de Urgente Resolución</w:t>
      </w:r>
      <w:r w:rsidRPr="00C92B21">
        <w:rPr>
          <w:rFonts w:ascii="Century Gothic" w:hAnsi="Century Gothic"/>
          <w:sz w:val="24"/>
          <w:szCs w:val="24"/>
        </w:rPr>
        <w:t xml:space="preserve">, </w:t>
      </w:r>
      <w:r w:rsidR="00C91F04">
        <w:rPr>
          <w:rFonts w:ascii="Century Gothic" w:hAnsi="Century Gothic" w:cs="Arial"/>
          <w:sz w:val="24"/>
          <w:szCs w:val="24"/>
        </w:rPr>
        <w:t xml:space="preserve">a fin de exhortar </w:t>
      </w:r>
      <w:r w:rsidR="009A1014">
        <w:rPr>
          <w:rFonts w:ascii="Century Gothic" w:hAnsi="Century Gothic" w:cs="Arial"/>
          <w:sz w:val="24"/>
          <w:szCs w:val="24"/>
        </w:rPr>
        <w:t>al H. Congreso de la Unión</w:t>
      </w:r>
      <w:r w:rsidR="00373763">
        <w:rPr>
          <w:rFonts w:ascii="Century Gothic" w:hAnsi="Century Gothic"/>
          <w:sz w:val="24"/>
        </w:rPr>
        <w:t xml:space="preserve"> </w:t>
      </w:r>
      <w:r w:rsidR="009A1014">
        <w:rPr>
          <w:rFonts w:ascii="Century Gothic" w:hAnsi="Century Gothic" w:cs="Arial"/>
          <w:sz w:val="24"/>
          <w:szCs w:val="24"/>
        </w:rPr>
        <w:t xml:space="preserve">para que en el uso de sus atribuciones y facultades, </w:t>
      </w:r>
      <w:r w:rsidR="00856812">
        <w:rPr>
          <w:rFonts w:ascii="Century Gothic" w:hAnsi="Century Gothic" w:cs="Arial"/>
          <w:sz w:val="24"/>
          <w:szCs w:val="24"/>
        </w:rPr>
        <w:t xml:space="preserve">rectifique la decisión tomada en comisiones con el objetivo de que </w:t>
      </w:r>
      <w:r w:rsidR="009A1014">
        <w:rPr>
          <w:rFonts w:ascii="Century Gothic" w:hAnsi="Century Gothic" w:cs="Arial"/>
          <w:sz w:val="24"/>
          <w:szCs w:val="24"/>
        </w:rPr>
        <w:t>no desaparezcan fideicomisos de fondos destinados a ciencia y tecnología, medio ambiente, c</w:t>
      </w:r>
      <w:r w:rsidR="00856812">
        <w:rPr>
          <w:rFonts w:ascii="Century Gothic" w:hAnsi="Century Gothic" w:cs="Arial"/>
          <w:sz w:val="24"/>
          <w:szCs w:val="24"/>
        </w:rPr>
        <w:t>ultura, atención a víctimas y</w:t>
      </w:r>
      <w:r w:rsidR="009A1014">
        <w:rPr>
          <w:rFonts w:ascii="Century Gothic" w:hAnsi="Century Gothic" w:cs="Arial"/>
          <w:sz w:val="24"/>
          <w:szCs w:val="24"/>
        </w:rPr>
        <w:t xml:space="preserve"> seguridad Pública, </w:t>
      </w:r>
      <w:r w:rsidR="00856812">
        <w:rPr>
          <w:rFonts w:ascii="Century Gothic" w:hAnsi="Century Gothic" w:cs="Arial"/>
          <w:sz w:val="24"/>
          <w:szCs w:val="24"/>
        </w:rPr>
        <w:t>así mismo que se mantengan los recursos asignados a los mismos</w:t>
      </w:r>
      <w:r w:rsidR="00A96419">
        <w:rPr>
          <w:rFonts w:ascii="Century Gothic" w:eastAsia="Century Gothic" w:hAnsi="Century Gothic" w:cs="Century Gothic"/>
          <w:sz w:val="24"/>
          <w:szCs w:val="24"/>
        </w:rPr>
        <w:t>,</w:t>
      </w:r>
      <w:r w:rsidRPr="00C92B21">
        <w:rPr>
          <w:rFonts w:ascii="Century Gothic" w:hAnsi="Century Gothic" w:cs="Arial"/>
          <w:sz w:val="24"/>
          <w:szCs w:val="24"/>
        </w:rPr>
        <w:t xml:space="preserve"> al tenor de la siguiente:</w:t>
      </w:r>
    </w:p>
    <w:p w:rsidR="006F6028" w:rsidRPr="004A40D9" w:rsidRDefault="006F6028" w:rsidP="006F6028">
      <w:pPr>
        <w:spacing w:line="360" w:lineRule="auto"/>
        <w:jc w:val="both"/>
        <w:rPr>
          <w:rFonts w:ascii="Century Gothic" w:hAnsi="Century Gothic" w:cs="Arial"/>
          <w:sz w:val="24"/>
          <w:szCs w:val="24"/>
        </w:rPr>
      </w:pPr>
    </w:p>
    <w:p w:rsidR="006637E9" w:rsidRDefault="006F6028" w:rsidP="006637E9">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E50735" w:rsidRDefault="00E50735" w:rsidP="0055034E">
      <w:pPr>
        <w:spacing w:line="360" w:lineRule="auto"/>
        <w:jc w:val="both"/>
        <w:rPr>
          <w:rFonts w:ascii="Century Gothic" w:hAnsi="Century Gothic" w:cs="Arial"/>
          <w:sz w:val="24"/>
          <w:szCs w:val="24"/>
        </w:rPr>
      </w:pPr>
    </w:p>
    <w:p w:rsidR="006B2B54" w:rsidRDefault="006B2B54" w:rsidP="006B2B54">
      <w:pPr>
        <w:spacing w:line="360" w:lineRule="auto"/>
        <w:jc w:val="both"/>
        <w:rPr>
          <w:rFonts w:ascii="Century Gothic" w:hAnsi="Century Gothic" w:cs="Arial"/>
          <w:sz w:val="24"/>
          <w:szCs w:val="24"/>
        </w:rPr>
      </w:pPr>
      <w:r>
        <w:rPr>
          <w:rFonts w:ascii="Century Gothic" w:hAnsi="Century Gothic" w:cs="Arial"/>
          <w:sz w:val="24"/>
          <w:szCs w:val="24"/>
        </w:rPr>
        <w:t xml:space="preserve">Los Fideicomisos, son entidades auxiliares del Poder Ejecutivo Federal, creados con el propósito de impulsar las áreas prioritarias para el desarrollo de nuestro país, los cuales reciben recursos mediante el Presupuesto de Egresos de la Federación. Es decir, estas importantes entidades subsisten entre otros de recursos públicos, sin embargo a pesar de su gran </w:t>
      </w:r>
      <w:r>
        <w:rPr>
          <w:rFonts w:ascii="Century Gothic" w:hAnsi="Century Gothic" w:cs="Arial"/>
          <w:sz w:val="24"/>
          <w:szCs w:val="24"/>
        </w:rPr>
        <w:lastRenderedPageBreak/>
        <w:t>trascendencia, la Cámara de Diputados pretende eliminarlos del próximo presupuesto de egresos para el año 2021.</w:t>
      </w:r>
    </w:p>
    <w:p w:rsidR="00E50735" w:rsidRDefault="006B2B54" w:rsidP="0055034E">
      <w:pPr>
        <w:spacing w:line="360" w:lineRule="auto"/>
        <w:jc w:val="both"/>
        <w:rPr>
          <w:rFonts w:ascii="Century Gothic" w:hAnsi="Century Gothic" w:cs="Arial"/>
          <w:sz w:val="24"/>
          <w:szCs w:val="24"/>
        </w:rPr>
      </w:pPr>
      <w:r>
        <w:rPr>
          <w:rFonts w:ascii="Century Gothic" w:hAnsi="Century Gothic" w:cs="Arial"/>
          <w:sz w:val="24"/>
          <w:szCs w:val="24"/>
        </w:rPr>
        <w:t xml:space="preserve">El </w:t>
      </w:r>
      <w:r w:rsidR="00E50735">
        <w:rPr>
          <w:rFonts w:ascii="Century Gothic" w:hAnsi="Century Gothic" w:cs="Arial"/>
          <w:sz w:val="24"/>
          <w:szCs w:val="24"/>
        </w:rPr>
        <w:t xml:space="preserve">artículo </w:t>
      </w:r>
      <w:r w:rsidR="007B5DB4">
        <w:rPr>
          <w:rFonts w:ascii="Century Gothic" w:hAnsi="Century Gothic" w:cs="Arial"/>
          <w:sz w:val="24"/>
          <w:szCs w:val="24"/>
        </w:rPr>
        <w:t xml:space="preserve">47 de la Ley Orgánica de la Administración Pública Federal, </w:t>
      </w:r>
      <w:r w:rsidR="00856812">
        <w:rPr>
          <w:rFonts w:ascii="Century Gothic" w:hAnsi="Century Gothic" w:cs="Arial"/>
          <w:sz w:val="24"/>
          <w:szCs w:val="24"/>
        </w:rPr>
        <w:t xml:space="preserve">define </w:t>
      </w:r>
      <w:r>
        <w:rPr>
          <w:rFonts w:ascii="Century Gothic" w:hAnsi="Century Gothic" w:cs="Arial"/>
          <w:sz w:val="24"/>
          <w:szCs w:val="24"/>
        </w:rPr>
        <w:t xml:space="preserve">a los fideicomisos </w:t>
      </w:r>
      <w:r w:rsidR="007B5DB4">
        <w:rPr>
          <w:rFonts w:ascii="Century Gothic" w:hAnsi="Century Gothic" w:cs="Arial"/>
          <w:sz w:val="24"/>
          <w:szCs w:val="24"/>
        </w:rPr>
        <w:t xml:space="preserve"> como:</w:t>
      </w:r>
    </w:p>
    <w:p w:rsidR="00F20C56" w:rsidRDefault="007B5DB4" w:rsidP="0055034E">
      <w:pPr>
        <w:spacing w:line="360" w:lineRule="auto"/>
        <w:jc w:val="both"/>
        <w:rPr>
          <w:rFonts w:ascii="Century Gothic" w:hAnsi="Century Gothic" w:cs="Arial"/>
          <w:sz w:val="24"/>
          <w:szCs w:val="24"/>
        </w:rPr>
      </w:pPr>
      <w:r>
        <w:rPr>
          <w:rFonts w:ascii="Century Gothic" w:hAnsi="Century Gothic" w:cs="Arial"/>
          <w:sz w:val="24"/>
          <w:szCs w:val="24"/>
        </w:rPr>
        <w:t>“</w:t>
      </w:r>
      <w:r w:rsidR="00856812">
        <w:rPr>
          <w:rFonts w:ascii="Century Gothic" w:hAnsi="Century Gothic" w:cs="Arial"/>
          <w:i/>
          <w:sz w:val="24"/>
          <w:szCs w:val="24"/>
        </w:rPr>
        <w:t>…</w:t>
      </w:r>
      <w:r w:rsidRPr="007B5DB4">
        <w:rPr>
          <w:rFonts w:ascii="Century Gothic" w:hAnsi="Century Gothic" w:cs="Arial"/>
          <w:i/>
          <w:sz w:val="24"/>
          <w:szCs w:val="24"/>
        </w:rPr>
        <w:t xml:space="preserve"> aquellos que el gobierno federal o alguna de las demás entidades paraestatales constituyen, con el propósito de auxiliar al Ejecutivo Federal en las atribuciones del Estado para impulsar las áreas prioritarias del desarrollo, que cuenten con una estructura orgánica análoga a las otras entidades y que tengan comités técnicos</w:t>
      </w:r>
      <w:r>
        <w:rPr>
          <w:rFonts w:ascii="Century Gothic" w:hAnsi="Century Gothic" w:cs="Arial"/>
          <w:sz w:val="24"/>
          <w:szCs w:val="24"/>
        </w:rPr>
        <w:t>”</w:t>
      </w:r>
      <w:r w:rsidRPr="007B5DB4">
        <w:rPr>
          <w:rFonts w:ascii="Century Gothic" w:hAnsi="Century Gothic" w:cs="Arial"/>
          <w:sz w:val="24"/>
          <w:szCs w:val="24"/>
        </w:rPr>
        <w:t>.</w:t>
      </w:r>
    </w:p>
    <w:p w:rsidR="006B2B54" w:rsidRDefault="006B2B54" w:rsidP="006B2B54">
      <w:pPr>
        <w:spacing w:line="360" w:lineRule="auto"/>
        <w:jc w:val="both"/>
        <w:rPr>
          <w:rFonts w:ascii="Century Gothic" w:hAnsi="Century Gothic" w:cs="Arial"/>
          <w:sz w:val="24"/>
          <w:szCs w:val="24"/>
        </w:rPr>
      </w:pPr>
      <w:r>
        <w:rPr>
          <w:rFonts w:ascii="Century Gothic" w:hAnsi="Century Gothic" w:cs="Arial"/>
          <w:sz w:val="24"/>
          <w:szCs w:val="24"/>
        </w:rPr>
        <w:t>El día 29 de septiembre, la Comisión de Presupuesto y Cuenta Pública de la Cámara de Diputados del H. Congreso de la Unión aprobó el dictamen que plantea desaparecer 109 fondos y fideicomisos públicos.</w:t>
      </w:r>
    </w:p>
    <w:p w:rsidR="006B2B54" w:rsidRDefault="006B2B54" w:rsidP="006B2B54">
      <w:pPr>
        <w:spacing w:line="360" w:lineRule="auto"/>
        <w:jc w:val="both"/>
        <w:rPr>
          <w:rFonts w:ascii="Century Gothic" w:hAnsi="Century Gothic" w:cs="Arial"/>
          <w:sz w:val="24"/>
          <w:szCs w:val="24"/>
        </w:rPr>
      </w:pPr>
      <w:r>
        <w:rPr>
          <w:rFonts w:ascii="Century Gothic" w:hAnsi="Century Gothic" w:cs="Arial"/>
          <w:sz w:val="24"/>
          <w:szCs w:val="24"/>
        </w:rPr>
        <w:t xml:space="preserve">El citado dictamen prevé la desaparición del Fondo de Desastres Naturales (FONDEN), el Fideicomiso Fondo de Inversión y Estímulos al Cine (FIDECINE), el Fondo para el Deporte de Alto Rendimiento (FODEPAR), así como 3 fondos para proyectos científicos y tecnológicos en diversos centros de investigación. </w:t>
      </w:r>
    </w:p>
    <w:p w:rsidR="006B2B54" w:rsidRDefault="006B2B54" w:rsidP="006B2B54">
      <w:pPr>
        <w:spacing w:line="360" w:lineRule="auto"/>
        <w:jc w:val="both"/>
        <w:rPr>
          <w:rFonts w:ascii="Century Gothic" w:hAnsi="Century Gothic" w:cs="Arial"/>
          <w:sz w:val="24"/>
          <w:szCs w:val="24"/>
        </w:rPr>
      </w:pPr>
      <w:r>
        <w:rPr>
          <w:rFonts w:ascii="Century Gothic" w:hAnsi="Century Gothic" w:cs="Arial"/>
          <w:sz w:val="24"/>
          <w:szCs w:val="24"/>
        </w:rPr>
        <w:t xml:space="preserve">De igual forma, se considera la extinción del Fondo para la Protección de Personas Defensoras de Derechos Humanos y Periodistas, el Fondo de Apoyo Social para Ex braceros, el Fondo de Financiera Rural, entre otros. </w:t>
      </w:r>
    </w:p>
    <w:p w:rsidR="00F20C56" w:rsidRDefault="006B2B54" w:rsidP="0055034E">
      <w:pPr>
        <w:spacing w:line="360" w:lineRule="auto"/>
        <w:jc w:val="both"/>
        <w:rPr>
          <w:rFonts w:ascii="Century Gothic" w:hAnsi="Century Gothic" w:cs="Arial"/>
          <w:sz w:val="24"/>
          <w:szCs w:val="24"/>
        </w:rPr>
      </w:pPr>
      <w:r>
        <w:rPr>
          <w:rFonts w:ascii="Century Gothic" w:hAnsi="Century Gothic" w:cs="Arial"/>
          <w:sz w:val="24"/>
          <w:szCs w:val="24"/>
        </w:rPr>
        <w:t>Según</w:t>
      </w:r>
      <w:r w:rsidR="00F20C56">
        <w:rPr>
          <w:rFonts w:ascii="Century Gothic" w:hAnsi="Century Gothic" w:cs="Arial"/>
          <w:sz w:val="24"/>
          <w:szCs w:val="24"/>
        </w:rPr>
        <w:t xml:space="preserve"> declaraciones del Diputado Mario Delgado, este dictamen no pretende retirar los apoyo</w:t>
      </w:r>
      <w:r>
        <w:rPr>
          <w:rFonts w:ascii="Century Gothic" w:hAnsi="Century Gothic" w:cs="Arial"/>
          <w:sz w:val="24"/>
          <w:szCs w:val="24"/>
        </w:rPr>
        <w:t xml:space="preserve">s del gobierno, sino que habrá </w:t>
      </w:r>
      <w:r w:rsidR="00F20C56">
        <w:rPr>
          <w:rFonts w:ascii="Century Gothic" w:hAnsi="Century Gothic" w:cs="Arial"/>
          <w:sz w:val="24"/>
          <w:szCs w:val="24"/>
        </w:rPr>
        <w:t>una reorganización administrativa para quitar la figura de los fideicomisos y priorizar, en estos momentos, a las víctimas de la pandemia por COVID-19.</w:t>
      </w:r>
    </w:p>
    <w:p w:rsidR="00F20C56" w:rsidRDefault="00F20C56" w:rsidP="0055034E">
      <w:pPr>
        <w:spacing w:line="360" w:lineRule="auto"/>
        <w:jc w:val="both"/>
        <w:rPr>
          <w:rFonts w:ascii="Century Gothic" w:hAnsi="Century Gothic" w:cs="Arial"/>
          <w:sz w:val="24"/>
          <w:szCs w:val="24"/>
        </w:rPr>
      </w:pPr>
      <w:r>
        <w:rPr>
          <w:rFonts w:ascii="Century Gothic" w:hAnsi="Century Gothic" w:cs="Arial"/>
          <w:sz w:val="24"/>
          <w:szCs w:val="24"/>
        </w:rPr>
        <w:t xml:space="preserve">La crisis sanitaria ocasionada por el COVID-19, ha evidenciado las brechas de desigualdad y de violencia que aqueja a nuestro país, pero también ha </w:t>
      </w:r>
      <w:r w:rsidR="006B2B54">
        <w:rPr>
          <w:rFonts w:ascii="Century Gothic" w:hAnsi="Century Gothic" w:cs="Arial"/>
          <w:sz w:val="24"/>
          <w:szCs w:val="24"/>
        </w:rPr>
        <w:lastRenderedPageBreak/>
        <w:t>sacado a la luz,</w:t>
      </w:r>
      <w:r>
        <w:rPr>
          <w:rFonts w:ascii="Century Gothic" w:hAnsi="Century Gothic" w:cs="Arial"/>
          <w:sz w:val="24"/>
          <w:szCs w:val="24"/>
        </w:rPr>
        <w:t xml:space="preserve"> el papel tan importante que juega el conocimiento científico y humanístico para explicar, comprender y atender dichos males.</w:t>
      </w:r>
    </w:p>
    <w:p w:rsidR="00AC4495" w:rsidRDefault="00F20C56" w:rsidP="0055034E">
      <w:pPr>
        <w:spacing w:line="360" w:lineRule="auto"/>
        <w:jc w:val="both"/>
        <w:rPr>
          <w:rFonts w:ascii="Century Gothic" w:hAnsi="Century Gothic" w:cs="Arial"/>
          <w:sz w:val="24"/>
          <w:szCs w:val="24"/>
        </w:rPr>
      </w:pPr>
      <w:r>
        <w:rPr>
          <w:rFonts w:ascii="Century Gothic" w:hAnsi="Century Gothic" w:cs="Arial"/>
          <w:sz w:val="24"/>
          <w:szCs w:val="24"/>
        </w:rPr>
        <w:t>Es incuestionable, que se debe de priorizar la atención de los estrag</w:t>
      </w:r>
      <w:r w:rsidR="009D012C">
        <w:rPr>
          <w:rFonts w:ascii="Century Gothic" w:hAnsi="Century Gothic" w:cs="Arial"/>
          <w:sz w:val="24"/>
          <w:szCs w:val="24"/>
        </w:rPr>
        <w:t>os de la crisis de salud, pero también resulta importante invertir en educación, en genera</w:t>
      </w:r>
      <w:r w:rsidR="006B2B54">
        <w:rPr>
          <w:rFonts w:ascii="Century Gothic" w:hAnsi="Century Gothic" w:cs="Arial"/>
          <w:sz w:val="24"/>
          <w:szCs w:val="24"/>
        </w:rPr>
        <w:t>r</w:t>
      </w:r>
      <w:r w:rsidR="009D012C">
        <w:rPr>
          <w:rFonts w:ascii="Century Gothic" w:hAnsi="Century Gothic" w:cs="Arial"/>
          <w:sz w:val="24"/>
          <w:szCs w:val="24"/>
        </w:rPr>
        <w:t xml:space="preserve"> investigación científica, desarrollo de tecnología y cultura, se requiere fortale</w:t>
      </w:r>
      <w:r w:rsidR="006B2B54">
        <w:rPr>
          <w:rFonts w:ascii="Century Gothic" w:hAnsi="Century Gothic" w:cs="Arial"/>
          <w:sz w:val="24"/>
          <w:szCs w:val="24"/>
        </w:rPr>
        <w:t xml:space="preserve">cer </w:t>
      </w:r>
      <w:r w:rsidR="009D012C">
        <w:rPr>
          <w:rFonts w:ascii="Century Gothic" w:hAnsi="Century Gothic" w:cs="Arial"/>
          <w:sz w:val="24"/>
          <w:szCs w:val="24"/>
        </w:rPr>
        <w:t xml:space="preserve">estas actividades, no desaparecerlas. </w:t>
      </w:r>
      <w:r w:rsidR="00AC4495">
        <w:rPr>
          <w:rFonts w:ascii="Century Gothic" w:hAnsi="Century Gothic" w:cs="Arial"/>
          <w:sz w:val="24"/>
          <w:szCs w:val="24"/>
        </w:rPr>
        <w:t xml:space="preserve">No se debe frenar la preparación de nuevos científicos, ya que esto traerá como consecuencia que no se tengan analistas de la realidad nacional en el futuro. </w:t>
      </w:r>
    </w:p>
    <w:p w:rsidR="006B2B54" w:rsidRDefault="006B2B54" w:rsidP="0055034E">
      <w:pPr>
        <w:spacing w:line="360" w:lineRule="auto"/>
        <w:jc w:val="both"/>
        <w:rPr>
          <w:rFonts w:ascii="Century Gothic" w:hAnsi="Century Gothic" w:cs="Arial"/>
          <w:sz w:val="24"/>
          <w:szCs w:val="24"/>
        </w:rPr>
      </w:pPr>
      <w:r>
        <w:rPr>
          <w:rFonts w:ascii="Century Gothic" w:hAnsi="Century Gothic" w:cs="Arial"/>
          <w:sz w:val="24"/>
          <w:szCs w:val="24"/>
        </w:rPr>
        <w:t>Así mismo, cabe señalar, que es tan alarmante esta decisión que incluso el FORTASEG, sigue el mismo destino, ya que pretenden eliminar los recursos destinados  a</w:t>
      </w:r>
      <w:r w:rsidR="0055034E" w:rsidRPr="00D1509E">
        <w:rPr>
          <w:rFonts w:ascii="Century Gothic" w:hAnsi="Century Gothic" w:cs="Arial"/>
          <w:sz w:val="24"/>
          <w:szCs w:val="24"/>
        </w:rPr>
        <w:t xml:space="preserve"> la profesionalización, la capacitación, el correcto equipamiento y el fortalecimiento de la infraestructura de las Corpo</w:t>
      </w:r>
      <w:r>
        <w:rPr>
          <w:rFonts w:ascii="Century Gothic" w:hAnsi="Century Gothic" w:cs="Arial"/>
          <w:sz w:val="24"/>
          <w:szCs w:val="24"/>
        </w:rPr>
        <w:t xml:space="preserve">raciones Policiales Municipales, es decir, este Fondo busca dotar de más capacidades a los cuerpos de seguridad más cercanos a la ciudadanía, y ahora pretender eliminarlo sin justificación real alguna. </w:t>
      </w:r>
    </w:p>
    <w:p w:rsidR="0055034E" w:rsidRPr="00D1509E" w:rsidRDefault="006B2B54" w:rsidP="0055034E">
      <w:pPr>
        <w:spacing w:line="360" w:lineRule="auto"/>
        <w:jc w:val="both"/>
        <w:rPr>
          <w:rFonts w:ascii="Century Gothic" w:hAnsi="Century Gothic" w:cs="Arial"/>
          <w:sz w:val="24"/>
          <w:szCs w:val="24"/>
        </w:rPr>
      </w:pPr>
      <w:r>
        <w:rPr>
          <w:rFonts w:ascii="Century Gothic" w:hAnsi="Century Gothic" w:cs="Arial"/>
          <w:sz w:val="24"/>
          <w:szCs w:val="24"/>
        </w:rPr>
        <w:t>El FORTASEG, es tan trascendental ya que toma en cuenta</w:t>
      </w:r>
      <w:r w:rsidR="0055034E" w:rsidRPr="00D1509E">
        <w:rPr>
          <w:rFonts w:ascii="Century Gothic" w:hAnsi="Century Gothic" w:cs="Arial"/>
          <w:sz w:val="24"/>
          <w:szCs w:val="24"/>
        </w:rPr>
        <w:t xml:space="preserve"> la capacitación materias tan importantes como los derechos humanos, la equidad de género; y la prevención del delito con participación ciudadana, todo con una visión para aplicarse en todos los ámbitos gubernamentales.</w:t>
      </w:r>
      <w:r w:rsidRPr="006B2B54">
        <w:rPr>
          <w:rFonts w:ascii="Century Gothic" w:hAnsi="Century Gothic" w:cs="Arial"/>
          <w:sz w:val="24"/>
          <w:szCs w:val="24"/>
        </w:rPr>
        <w:t xml:space="preserve"> </w:t>
      </w:r>
      <w:r w:rsidRPr="00D1509E">
        <w:rPr>
          <w:rFonts w:ascii="Century Gothic" w:hAnsi="Century Gothic" w:cs="Arial"/>
          <w:sz w:val="24"/>
          <w:szCs w:val="24"/>
        </w:rPr>
        <w:t>Todo lo anterior, con el único objetivo de tener una policía ca</w:t>
      </w:r>
      <w:r>
        <w:rPr>
          <w:rFonts w:ascii="Century Gothic" w:hAnsi="Century Gothic" w:cs="Arial"/>
          <w:sz w:val="24"/>
          <w:szCs w:val="24"/>
        </w:rPr>
        <w:t xml:space="preserve">pacitada, próxima a la sociedad.  </w:t>
      </w:r>
    </w:p>
    <w:p w:rsidR="0055034E" w:rsidRPr="00C362F5" w:rsidRDefault="0055034E" w:rsidP="0055034E">
      <w:pPr>
        <w:spacing w:line="360" w:lineRule="auto"/>
        <w:jc w:val="both"/>
        <w:rPr>
          <w:rFonts w:ascii="Century Gothic" w:hAnsi="Century Gothic" w:cs="Arial"/>
          <w:sz w:val="24"/>
          <w:szCs w:val="24"/>
        </w:rPr>
      </w:pPr>
      <w:r w:rsidRPr="00C362F5">
        <w:rPr>
          <w:rFonts w:ascii="Century Gothic" w:hAnsi="Century Gothic" w:cs="Arial"/>
          <w:sz w:val="24"/>
          <w:szCs w:val="24"/>
        </w:rPr>
        <w:t>Muy lejos del objetivo de fortalecer y profesionalizar a las policías locales y municipales, el proyecto de Presupuesto de Egresos de la Federación para 2021 que presentó el gobierno federal a la Cámara de Diputados, propone eliminar casi 4 mil millones de pesos que se destinaban al fortalecimiento de la seguridad en los municipios más conflictivos del país y en vez de invertir esos recursos en las policías civiles y locales, destinará la mayor parte de esos recursos a incrementar en 3,300 millones de pesos el presupuesto de la militarizada Guardia Nacional.</w:t>
      </w:r>
    </w:p>
    <w:p w:rsidR="0055034E" w:rsidRPr="00C362F5" w:rsidRDefault="0055034E" w:rsidP="0055034E">
      <w:pPr>
        <w:spacing w:line="360" w:lineRule="auto"/>
        <w:jc w:val="both"/>
        <w:rPr>
          <w:rFonts w:ascii="Century Gothic" w:hAnsi="Century Gothic" w:cs="Arial"/>
          <w:sz w:val="24"/>
          <w:szCs w:val="24"/>
        </w:rPr>
      </w:pPr>
      <w:r w:rsidRPr="00C362F5">
        <w:rPr>
          <w:rFonts w:ascii="Century Gothic" w:hAnsi="Century Gothic" w:cs="Arial"/>
          <w:sz w:val="24"/>
          <w:szCs w:val="24"/>
        </w:rPr>
        <w:t>El origen de los fondos para seguridad públic</w:t>
      </w:r>
      <w:r w:rsidR="00F83D1E">
        <w:rPr>
          <w:rFonts w:ascii="Century Gothic" w:hAnsi="Century Gothic" w:cs="Arial"/>
          <w:sz w:val="24"/>
          <w:szCs w:val="24"/>
        </w:rPr>
        <w:t>a denominados Fortaseg</w:t>
      </w:r>
      <w:r w:rsidRPr="00C362F5">
        <w:rPr>
          <w:rFonts w:ascii="Century Gothic" w:hAnsi="Century Gothic" w:cs="Arial"/>
          <w:sz w:val="24"/>
          <w:szCs w:val="24"/>
        </w:rPr>
        <w:t xml:space="preserve"> y FASP era canalizar recursos suficientes a municipios y estados “para el fortalecimiento de sus policías, tanto en reclutamiento, equipamiento, tecnología, certificación y capacitación”; pero ahora en el presupuesto 2021 se decide quitarle fuerza a las corporaciones municipales o de mando único y darle más elementos a la Guardia Nacional, corporación a la que se le quiere dar todo el peso de la seguridad</w:t>
      </w:r>
      <w:r w:rsidR="00F83D1E">
        <w:rPr>
          <w:rFonts w:ascii="Century Gothic" w:hAnsi="Century Gothic" w:cs="Arial"/>
          <w:sz w:val="24"/>
          <w:szCs w:val="24"/>
        </w:rPr>
        <w:t xml:space="preserve"> pública, con el argumento de que y cito la parte del proyecto de egresos</w:t>
      </w:r>
      <w:r w:rsidRPr="00C362F5">
        <w:rPr>
          <w:rFonts w:ascii="Century Gothic" w:hAnsi="Century Gothic" w:cs="Arial"/>
          <w:sz w:val="24"/>
          <w:szCs w:val="24"/>
        </w:rPr>
        <w:t xml:space="preserve"> “será una corporación civil para prevenir, investigar y perseguir delitos del </w:t>
      </w:r>
      <w:r w:rsidR="00F83D1E" w:rsidRPr="00C362F5">
        <w:rPr>
          <w:rFonts w:ascii="Century Gothic" w:hAnsi="Century Gothic" w:cs="Arial"/>
          <w:sz w:val="24"/>
          <w:szCs w:val="24"/>
        </w:rPr>
        <w:t>fuero</w:t>
      </w:r>
      <w:r w:rsidRPr="00C362F5">
        <w:rPr>
          <w:rFonts w:ascii="Century Gothic" w:hAnsi="Century Gothic" w:cs="Arial"/>
          <w:sz w:val="24"/>
          <w:szCs w:val="24"/>
        </w:rPr>
        <w:t xml:space="preserve"> común”, </w:t>
      </w:r>
      <w:r w:rsidR="00F83D1E">
        <w:rPr>
          <w:rFonts w:ascii="Century Gothic" w:hAnsi="Century Gothic" w:cs="Arial"/>
          <w:sz w:val="24"/>
          <w:szCs w:val="24"/>
        </w:rPr>
        <w:t xml:space="preserve">que se corre el </w:t>
      </w:r>
      <w:r w:rsidRPr="00C362F5">
        <w:rPr>
          <w:rFonts w:ascii="Century Gothic" w:hAnsi="Century Gothic" w:cs="Arial"/>
          <w:sz w:val="24"/>
          <w:szCs w:val="24"/>
        </w:rPr>
        <w:t xml:space="preserve">riesgo de exceder </w:t>
      </w:r>
      <w:r w:rsidR="00F83D1E">
        <w:rPr>
          <w:rFonts w:ascii="Century Gothic" w:hAnsi="Century Gothic" w:cs="Arial"/>
          <w:sz w:val="24"/>
          <w:szCs w:val="24"/>
        </w:rPr>
        <w:t>las facultades de los órdenes de gobierno</w:t>
      </w:r>
      <w:r w:rsidRPr="00C362F5">
        <w:rPr>
          <w:rFonts w:ascii="Century Gothic" w:hAnsi="Century Gothic" w:cs="Arial"/>
          <w:sz w:val="24"/>
          <w:szCs w:val="24"/>
        </w:rPr>
        <w:t>, ya que tendría injerencia en asuntos propios de los estados o de las Fiscalías estatales o Federal.</w:t>
      </w:r>
    </w:p>
    <w:p w:rsidR="009A1014" w:rsidRDefault="00837694" w:rsidP="0055034E">
      <w:pPr>
        <w:spacing w:line="360" w:lineRule="auto"/>
        <w:jc w:val="both"/>
        <w:rPr>
          <w:rFonts w:ascii="Century Gothic" w:hAnsi="Century Gothic" w:cs="Arial"/>
          <w:sz w:val="24"/>
          <w:szCs w:val="24"/>
        </w:rPr>
      </w:pPr>
      <w:r>
        <w:rPr>
          <w:rFonts w:ascii="Century Gothic" w:hAnsi="Century Gothic" w:cs="Arial"/>
          <w:sz w:val="24"/>
          <w:szCs w:val="24"/>
        </w:rPr>
        <w:t>En este tenor de idea</w:t>
      </w:r>
      <w:r w:rsidR="0055034E" w:rsidRPr="00C362F5">
        <w:rPr>
          <w:rFonts w:ascii="Century Gothic" w:hAnsi="Century Gothic" w:cs="Arial"/>
          <w:sz w:val="24"/>
          <w:szCs w:val="24"/>
        </w:rPr>
        <w:t xml:space="preserve">, </w:t>
      </w:r>
      <w:r>
        <w:rPr>
          <w:rFonts w:ascii="Century Gothic" w:hAnsi="Century Gothic" w:cs="Arial"/>
          <w:sz w:val="24"/>
          <w:szCs w:val="24"/>
        </w:rPr>
        <w:t xml:space="preserve">con la eliminación de los fideicomisos, y de los fondos para la atención de víctimas de </w:t>
      </w:r>
      <w:r w:rsidR="0055034E" w:rsidRPr="00C362F5">
        <w:rPr>
          <w:rFonts w:ascii="Century Gothic" w:hAnsi="Century Gothic" w:cs="Arial"/>
          <w:sz w:val="24"/>
          <w:szCs w:val="24"/>
        </w:rPr>
        <w:t>en la visión de los estados, la cancelación y manipulación de esos fondos no sólo es un golpe a los municipios al reducirles su capacidad de hacer frente a la inseguridad, de no poder reclutar policías y capacitarlos</w:t>
      </w:r>
      <w:r w:rsidR="009A1014">
        <w:rPr>
          <w:rFonts w:ascii="Century Gothic" w:hAnsi="Century Gothic" w:cs="Arial"/>
          <w:sz w:val="24"/>
          <w:szCs w:val="24"/>
        </w:rPr>
        <w:t>.</w:t>
      </w:r>
    </w:p>
    <w:p w:rsidR="009A1014" w:rsidRDefault="007351F5" w:rsidP="0055034E">
      <w:pPr>
        <w:spacing w:line="360" w:lineRule="auto"/>
        <w:jc w:val="both"/>
        <w:rPr>
          <w:rFonts w:ascii="Century Gothic" w:hAnsi="Century Gothic" w:cs="Arial"/>
          <w:sz w:val="24"/>
          <w:szCs w:val="24"/>
        </w:rPr>
      </w:pPr>
      <w:r>
        <w:rPr>
          <w:rFonts w:ascii="Century Gothic" w:hAnsi="Century Gothic" w:cs="Arial"/>
          <w:sz w:val="24"/>
          <w:szCs w:val="24"/>
        </w:rPr>
        <w:t>El dictamen señala</w:t>
      </w:r>
      <w:r w:rsidR="009A1014">
        <w:rPr>
          <w:rFonts w:ascii="Century Gothic" w:hAnsi="Century Gothic" w:cs="Arial"/>
          <w:sz w:val="24"/>
          <w:szCs w:val="24"/>
        </w:rPr>
        <w:t xml:space="preserve"> que los recursos se concentraría</w:t>
      </w:r>
      <w:r>
        <w:rPr>
          <w:rFonts w:ascii="Century Gothic" w:hAnsi="Century Gothic" w:cs="Arial"/>
          <w:sz w:val="24"/>
          <w:szCs w:val="24"/>
        </w:rPr>
        <w:t>n</w:t>
      </w:r>
      <w:r w:rsidR="009A1014">
        <w:rPr>
          <w:rFonts w:ascii="Century Gothic" w:hAnsi="Century Gothic" w:cs="Arial"/>
          <w:sz w:val="24"/>
          <w:szCs w:val="24"/>
        </w:rPr>
        <w:t xml:space="preserve"> en la Tesorería de la Federación para posteriormente trasladarlos a la Secretaría de Salud, pero lo que se olvidaron de aclarar </w:t>
      </w:r>
      <w:r>
        <w:rPr>
          <w:rFonts w:ascii="Century Gothic" w:hAnsi="Century Gothic" w:cs="Arial"/>
          <w:sz w:val="24"/>
          <w:szCs w:val="24"/>
        </w:rPr>
        <w:t>cómo</w:t>
      </w:r>
      <w:r w:rsidR="009A1014">
        <w:rPr>
          <w:rFonts w:ascii="Century Gothic" w:hAnsi="Century Gothic" w:cs="Arial"/>
          <w:sz w:val="24"/>
          <w:szCs w:val="24"/>
        </w:rPr>
        <w:t xml:space="preserve"> es que se va a operar dicho recurso, y</w:t>
      </w:r>
      <w:r>
        <w:rPr>
          <w:rFonts w:ascii="Century Gothic" w:hAnsi="Century Gothic" w:cs="Arial"/>
          <w:sz w:val="24"/>
          <w:szCs w:val="24"/>
        </w:rPr>
        <w:t xml:space="preserve">a que no indica el monto final, </w:t>
      </w:r>
      <w:r w:rsidR="009A1014">
        <w:rPr>
          <w:rFonts w:ascii="Century Gothic" w:hAnsi="Century Gothic" w:cs="Arial"/>
          <w:sz w:val="24"/>
          <w:szCs w:val="24"/>
        </w:rPr>
        <w:t>ni</w:t>
      </w:r>
      <w:r>
        <w:rPr>
          <w:rFonts w:ascii="Century Gothic" w:hAnsi="Century Gothic" w:cs="Arial"/>
          <w:sz w:val="24"/>
          <w:szCs w:val="24"/>
        </w:rPr>
        <w:t xml:space="preserve"> tampoco el uso especifico que se</w:t>
      </w:r>
      <w:r w:rsidR="009A1014">
        <w:rPr>
          <w:rFonts w:ascii="Century Gothic" w:hAnsi="Century Gothic" w:cs="Arial"/>
          <w:sz w:val="24"/>
          <w:szCs w:val="24"/>
        </w:rPr>
        <w:t xml:space="preserve"> le dará al mismo monto de lo obtenido por la desaparición de los fideicomisos y fondos. </w:t>
      </w:r>
    </w:p>
    <w:p w:rsidR="007351F5" w:rsidRPr="00C362F5" w:rsidRDefault="009A1014" w:rsidP="0055034E">
      <w:pPr>
        <w:spacing w:line="360" w:lineRule="auto"/>
        <w:jc w:val="both"/>
        <w:rPr>
          <w:rFonts w:ascii="Century Gothic" w:hAnsi="Century Gothic" w:cs="Arial"/>
          <w:sz w:val="24"/>
          <w:szCs w:val="24"/>
        </w:rPr>
      </w:pPr>
      <w:r>
        <w:rPr>
          <w:rFonts w:ascii="Century Gothic" w:hAnsi="Century Gothic" w:cs="Arial"/>
          <w:sz w:val="24"/>
          <w:szCs w:val="24"/>
        </w:rPr>
        <w:t xml:space="preserve">Compañeras y compañeros, somos representantes populares y nuestra obligación es alzar la voz y no permitir </w:t>
      </w:r>
      <w:r w:rsidR="007351F5">
        <w:rPr>
          <w:rFonts w:ascii="Century Gothic" w:hAnsi="Century Gothic" w:cs="Arial"/>
          <w:sz w:val="24"/>
          <w:szCs w:val="24"/>
        </w:rPr>
        <w:t xml:space="preserve">ni ahora ni nunca, </w:t>
      </w:r>
      <w:r>
        <w:rPr>
          <w:rFonts w:ascii="Century Gothic" w:hAnsi="Century Gothic" w:cs="Arial"/>
          <w:sz w:val="24"/>
          <w:szCs w:val="24"/>
        </w:rPr>
        <w:t>que con de</w:t>
      </w:r>
      <w:r w:rsidR="007351F5">
        <w:rPr>
          <w:rFonts w:ascii="Century Gothic" w:hAnsi="Century Gothic" w:cs="Arial"/>
          <w:sz w:val="24"/>
          <w:szCs w:val="24"/>
        </w:rPr>
        <w:t>cisiones erráticas y autoritarias, se destruya e</w:t>
      </w:r>
      <w:r>
        <w:rPr>
          <w:rFonts w:ascii="Century Gothic" w:hAnsi="Century Gothic" w:cs="Arial"/>
          <w:sz w:val="24"/>
          <w:szCs w:val="24"/>
        </w:rPr>
        <w:t>l Estado</w:t>
      </w:r>
      <w:r w:rsidR="007351F5">
        <w:rPr>
          <w:rFonts w:ascii="Century Gothic" w:hAnsi="Century Gothic" w:cs="Arial"/>
          <w:sz w:val="24"/>
          <w:szCs w:val="24"/>
        </w:rPr>
        <w:t xml:space="preserve"> de derecho, e</w:t>
      </w:r>
      <w:r>
        <w:rPr>
          <w:rFonts w:ascii="Century Gothic" w:hAnsi="Century Gothic" w:cs="Arial"/>
          <w:sz w:val="24"/>
          <w:szCs w:val="24"/>
        </w:rPr>
        <w:t xml:space="preserve">l medio ambiente, </w:t>
      </w:r>
      <w:r w:rsidR="007351F5">
        <w:rPr>
          <w:rFonts w:ascii="Century Gothic" w:hAnsi="Century Gothic" w:cs="Arial"/>
          <w:sz w:val="24"/>
          <w:szCs w:val="24"/>
        </w:rPr>
        <w:t xml:space="preserve">se abandone a las víctimas, ni que </w:t>
      </w:r>
      <w:r>
        <w:rPr>
          <w:rFonts w:ascii="Century Gothic" w:hAnsi="Century Gothic" w:cs="Arial"/>
          <w:sz w:val="24"/>
          <w:szCs w:val="24"/>
        </w:rPr>
        <w:t>se deje de impulsar el conocimiento científico y</w:t>
      </w:r>
      <w:r w:rsidR="007351F5">
        <w:rPr>
          <w:rFonts w:ascii="Century Gothic" w:hAnsi="Century Gothic" w:cs="Arial"/>
          <w:sz w:val="24"/>
          <w:szCs w:val="24"/>
        </w:rPr>
        <w:t xml:space="preserve"> creación de nuevas tecnologías. No podemos</w:t>
      </w:r>
      <w:r>
        <w:rPr>
          <w:rFonts w:ascii="Century Gothic" w:hAnsi="Century Gothic" w:cs="Arial"/>
          <w:sz w:val="24"/>
          <w:szCs w:val="24"/>
        </w:rPr>
        <w:t xml:space="preserve"> </w:t>
      </w:r>
      <w:r w:rsidR="007351F5">
        <w:rPr>
          <w:rFonts w:ascii="Century Gothic" w:hAnsi="Century Gothic" w:cs="Arial"/>
          <w:sz w:val="24"/>
          <w:szCs w:val="24"/>
        </w:rPr>
        <w:t>empoderar al ejército, mientras que nuestros cuerpos de seguridad pública se debilitan</w:t>
      </w:r>
      <w:r>
        <w:rPr>
          <w:rFonts w:ascii="Century Gothic" w:hAnsi="Century Gothic" w:cs="Arial"/>
          <w:sz w:val="24"/>
          <w:szCs w:val="24"/>
        </w:rPr>
        <w:t xml:space="preserve">, y </w:t>
      </w:r>
      <w:r w:rsidR="007351F5">
        <w:rPr>
          <w:rFonts w:ascii="Century Gothic" w:hAnsi="Century Gothic" w:cs="Arial"/>
          <w:sz w:val="24"/>
          <w:szCs w:val="24"/>
        </w:rPr>
        <w:t>mucho menos podemos permitir que se repriman las</w:t>
      </w:r>
      <w:r>
        <w:rPr>
          <w:rFonts w:ascii="Century Gothic" w:hAnsi="Century Gothic" w:cs="Arial"/>
          <w:sz w:val="24"/>
          <w:szCs w:val="24"/>
        </w:rPr>
        <w:t xml:space="preserve"> protestas sociales. </w:t>
      </w:r>
    </w:p>
    <w:p w:rsidR="006637E9" w:rsidRPr="001E2D52" w:rsidRDefault="006F6028" w:rsidP="001E2D52">
      <w:pPr>
        <w:spacing w:line="360" w:lineRule="auto"/>
        <w:jc w:val="both"/>
        <w:rPr>
          <w:rFonts w:ascii="Century Gothic" w:hAnsi="Century Gothic"/>
          <w:sz w:val="24"/>
          <w:szCs w:val="24"/>
        </w:rPr>
      </w:pPr>
      <w:r>
        <w:rPr>
          <w:rFonts w:ascii="Century Gothic" w:hAnsi="Century Gothic"/>
          <w:sz w:val="24"/>
          <w:szCs w:val="24"/>
        </w:rPr>
        <w:t>P</w:t>
      </w:r>
      <w:r w:rsidRPr="00C92B21">
        <w:rPr>
          <w:rFonts w:ascii="Century Gothic" w:hAnsi="Century Gothic"/>
          <w:sz w:val="24"/>
          <w:szCs w:val="24"/>
        </w:rPr>
        <w:t>or</w:t>
      </w:r>
      <w:r>
        <w:rPr>
          <w:rFonts w:ascii="Century Gothic" w:hAnsi="Century Gothic"/>
          <w:sz w:val="24"/>
          <w:szCs w:val="24"/>
        </w:rPr>
        <w:t xml:space="preserve"> lo anteriormente expuesto, </w:t>
      </w:r>
      <w:r w:rsidRPr="00C92B21">
        <w:rPr>
          <w:rFonts w:ascii="Century Gothic" w:hAnsi="Century Gothic"/>
          <w:sz w:val="24"/>
          <w:szCs w:val="24"/>
        </w:rPr>
        <w:t>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6F6028" w:rsidRDefault="006F6028" w:rsidP="006F6028">
      <w:pPr>
        <w:spacing w:after="0" w:line="360" w:lineRule="auto"/>
        <w:jc w:val="center"/>
        <w:rPr>
          <w:rFonts w:ascii="Century Gothic" w:hAnsi="Century Gothic"/>
          <w:b/>
          <w:sz w:val="24"/>
          <w:szCs w:val="24"/>
        </w:rPr>
      </w:pPr>
      <w:r w:rsidRPr="00C92B21">
        <w:rPr>
          <w:rFonts w:ascii="Century Gothic" w:hAnsi="Century Gothic"/>
          <w:b/>
          <w:sz w:val="24"/>
          <w:szCs w:val="24"/>
        </w:rPr>
        <w:t>ACUERDO</w:t>
      </w:r>
    </w:p>
    <w:p w:rsidR="006F6028" w:rsidRPr="00C92B21" w:rsidRDefault="006F6028" w:rsidP="006F6028">
      <w:pPr>
        <w:spacing w:after="0" w:line="360" w:lineRule="auto"/>
        <w:jc w:val="center"/>
        <w:rPr>
          <w:rFonts w:ascii="Century Gothic" w:hAnsi="Century Gothic"/>
          <w:b/>
          <w:sz w:val="24"/>
          <w:szCs w:val="24"/>
        </w:rPr>
      </w:pPr>
    </w:p>
    <w:p w:rsidR="007351F5" w:rsidRDefault="006F6028" w:rsidP="00E976B9">
      <w:pPr>
        <w:pStyle w:val="Body"/>
        <w:spacing w:line="360" w:lineRule="auto"/>
        <w:jc w:val="both"/>
        <w:rPr>
          <w:rFonts w:ascii="Century Gothic" w:hAnsi="Century Gothic" w:cs="Arial"/>
          <w:sz w:val="24"/>
          <w:szCs w:val="24"/>
        </w:rPr>
      </w:pPr>
      <w:r w:rsidRPr="00C92B21">
        <w:rPr>
          <w:rFonts w:ascii="Century Gothic" w:hAnsi="Century Gothic" w:cs="Arial"/>
          <w:b/>
          <w:sz w:val="24"/>
          <w:szCs w:val="24"/>
        </w:rPr>
        <w:t xml:space="preserve">ÚNICO. </w:t>
      </w:r>
      <w:r w:rsidR="003F4AA7" w:rsidRPr="00C92B21">
        <w:rPr>
          <w:rFonts w:ascii="Century Gothic" w:hAnsi="Century Gothic"/>
          <w:sz w:val="24"/>
          <w:szCs w:val="24"/>
        </w:rPr>
        <w:t>La Sexagésima Sexta Legislatura del Estado de Chihu</w:t>
      </w:r>
      <w:r w:rsidR="003F4AA7">
        <w:rPr>
          <w:rFonts w:ascii="Century Gothic" w:hAnsi="Century Gothic"/>
          <w:sz w:val="24"/>
          <w:szCs w:val="24"/>
        </w:rPr>
        <w:t xml:space="preserve">ahua, exhorta respetuosamente </w:t>
      </w:r>
      <w:r w:rsidR="00837694">
        <w:rPr>
          <w:rFonts w:ascii="Century Gothic" w:hAnsi="Century Gothic" w:cs="Arial"/>
          <w:sz w:val="24"/>
          <w:szCs w:val="24"/>
        </w:rPr>
        <w:t>a</w:t>
      </w:r>
      <w:r w:rsidR="009A1014">
        <w:rPr>
          <w:rFonts w:ascii="Century Gothic" w:hAnsi="Century Gothic" w:cs="Arial"/>
          <w:sz w:val="24"/>
          <w:szCs w:val="24"/>
        </w:rPr>
        <w:t>l H. Congreso de la Unión</w:t>
      </w:r>
      <w:r w:rsidR="00837694">
        <w:rPr>
          <w:rFonts w:ascii="Century Gothic" w:hAnsi="Century Gothic" w:cs="Arial"/>
          <w:sz w:val="24"/>
          <w:szCs w:val="24"/>
        </w:rPr>
        <w:t xml:space="preserve">, </w:t>
      </w:r>
      <w:r w:rsidR="007351F5">
        <w:rPr>
          <w:rFonts w:ascii="Century Gothic" w:hAnsi="Century Gothic" w:cs="Arial"/>
          <w:sz w:val="24"/>
          <w:szCs w:val="24"/>
        </w:rPr>
        <w:t>para que en el uso de sus atribuciones y facultades, rectifique la decisión tomada en comisiones con el objetivo de que no desaparezcan fideicomisos de fondos destinados a ciencia y tecnología, medio ambiente, cultura, atención a víctimas y seguridad Pública</w:t>
      </w:r>
    </w:p>
    <w:p w:rsidR="006F6028" w:rsidRPr="00C92B21" w:rsidRDefault="006F6028" w:rsidP="00E976B9">
      <w:pPr>
        <w:pStyle w:val="Body"/>
        <w:spacing w:line="360" w:lineRule="auto"/>
        <w:jc w:val="both"/>
        <w:rPr>
          <w:rFonts w:ascii="Century Gothic" w:hAnsi="Century Gothic"/>
          <w:sz w:val="24"/>
          <w:szCs w:val="24"/>
        </w:rPr>
      </w:pPr>
      <w:r w:rsidRPr="00C92B21">
        <w:rPr>
          <w:rFonts w:ascii="Century Gothic" w:hAnsi="Century Gothic"/>
          <w:b/>
          <w:sz w:val="24"/>
          <w:szCs w:val="24"/>
        </w:rPr>
        <w:t>ECONÓMICO</w:t>
      </w:r>
      <w:r w:rsidRPr="00C92B21">
        <w:rPr>
          <w:rFonts w:ascii="Century Gothic" w:hAnsi="Century Gothic"/>
          <w:sz w:val="24"/>
          <w:szCs w:val="24"/>
        </w:rPr>
        <w:t>. Aprobado que sea, túrnese a la Secretaría, a fin de que se remita copia del acuerdo a las autoridades competentes, para los efectos a que haya lugar.</w:t>
      </w:r>
    </w:p>
    <w:p w:rsidR="006F6028" w:rsidRPr="00C92B21" w:rsidRDefault="006F6028" w:rsidP="006F6028">
      <w:pPr>
        <w:spacing w:after="0" w:line="360" w:lineRule="auto"/>
        <w:jc w:val="both"/>
        <w:rPr>
          <w:rFonts w:ascii="Century Gothic" w:hAnsi="Century Gothic"/>
          <w:sz w:val="24"/>
          <w:szCs w:val="24"/>
        </w:rPr>
      </w:pPr>
      <w:r w:rsidRPr="00C92B21">
        <w:rPr>
          <w:rFonts w:ascii="Century Gothic" w:hAnsi="Century Gothic"/>
          <w:b/>
          <w:sz w:val="24"/>
          <w:szCs w:val="24"/>
        </w:rPr>
        <w:t>D A D O</w:t>
      </w:r>
      <w:r w:rsidRPr="00C92B21">
        <w:rPr>
          <w:rFonts w:ascii="Century Gothic" w:hAnsi="Century Gothic"/>
          <w:sz w:val="24"/>
          <w:szCs w:val="24"/>
        </w:rPr>
        <w:t xml:space="preserve"> en la ci</w:t>
      </w:r>
      <w:r w:rsidR="000A7679">
        <w:rPr>
          <w:rFonts w:ascii="Century Gothic" w:hAnsi="Century Gothic"/>
          <w:sz w:val="24"/>
          <w:szCs w:val="24"/>
        </w:rPr>
        <w:t xml:space="preserve">udad de Chihuahua, Chih., al 1 </w:t>
      </w:r>
      <w:r w:rsidRPr="00C92B21">
        <w:rPr>
          <w:rFonts w:ascii="Century Gothic" w:hAnsi="Century Gothic"/>
          <w:sz w:val="24"/>
          <w:szCs w:val="24"/>
        </w:rPr>
        <w:t xml:space="preserve">del mes </w:t>
      </w:r>
      <w:r w:rsidR="00E976B9">
        <w:rPr>
          <w:rFonts w:ascii="Century Gothic" w:hAnsi="Century Gothic"/>
          <w:sz w:val="24"/>
          <w:szCs w:val="24"/>
        </w:rPr>
        <w:t xml:space="preserve">de </w:t>
      </w:r>
      <w:r w:rsidR="000A7679">
        <w:rPr>
          <w:rFonts w:ascii="Century Gothic" w:hAnsi="Century Gothic"/>
          <w:sz w:val="24"/>
          <w:szCs w:val="24"/>
        </w:rPr>
        <w:t>octubre</w:t>
      </w:r>
      <w:r w:rsidR="00E976B9">
        <w:rPr>
          <w:rFonts w:ascii="Century Gothic" w:hAnsi="Century Gothic"/>
          <w:sz w:val="24"/>
          <w:szCs w:val="24"/>
        </w:rPr>
        <w:t xml:space="preserve"> </w:t>
      </w:r>
      <w:r w:rsidRPr="00C92B21">
        <w:rPr>
          <w:rFonts w:ascii="Century Gothic" w:hAnsi="Century Gothic"/>
          <w:sz w:val="24"/>
          <w:szCs w:val="24"/>
        </w:rPr>
        <w:t xml:space="preserve">de dos mil veinte. </w:t>
      </w:r>
      <w:bookmarkStart w:id="0" w:name="_GoBack"/>
      <w:bookmarkEnd w:id="0"/>
    </w:p>
    <w:p w:rsidR="00C74048" w:rsidRDefault="00C74048" w:rsidP="00C74048">
      <w:pPr>
        <w:spacing w:after="0" w:line="360" w:lineRule="auto"/>
        <w:jc w:val="center"/>
        <w:rPr>
          <w:rFonts w:ascii="Century Gothic" w:hAnsi="Century Gothic"/>
          <w:b/>
          <w:sz w:val="24"/>
          <w:szCs w:val="24"/>
        </w:rPr>
      </w:pPr>
    </w:p>
    <w:p w:rsidR="0034653F" w:rsidRPr="0034653F" w:rsidRDefault="000635A0" w:rsidP="0034653F">
      <w:pPr>
        <w:spacing w:after="0" w:line="360" w:lineRule="auto"/>
        <w:jc w:val="center"/>
        <w:rPr>
          <w:rFonts w:ascii="Century Gothic" w:hAnsi="Century Gothic"/>
          <w:b/>
          <w:sz w:val="24"/>
          <w:szCs w:val="24"/>
        </w:rPr>
      </w:pPr>
      <w:r>
        <w:rPr>
          <w:rFonts w:ascii="Century Gothic" w:hAnsi="Century Gothic"/>
          <w:b/>
          <w:sz w:val="24"/>
          <w:szCs w:val="24"/>
        </w:rPr>
        <w:t>ATENTAMENTE</w:t>
      </w:r>
    </w:p>
    <w:p w:rsidR="0034653F" w:rsidRPr="006306EA" w:rsidRDefault="0034653F" w:rsidP="0034653F">
      <w:pPr>
        <w:spacing w:line="360" w:lineRule="auto"/>
        <w:jc w:val="center"/>
        <w:rPr>
          <w:rFonts w:ascii="Century Gothic" w:hAnsi="Century Gothic"/>
          <w:b/>
          <w:sz w:val="24"/>
        </w:rPr>
      </w:pPr>
    </w:p>
    <w:p w:rsidR="0034653F" w:rsidRDefault="002146C2" w:rsidP="0034653F">
      <w:pPr>
        <w:spacing w:line="360" w:lineRule="auto"/>
        <w:jc w:val="center"/>
        <w:rPr>
          <w:rFonts w:ascii="Century Gothic" w:hAnsi="Century Gothic"/>
          <w:b/>
          <w:sz w:val="24"/>
        </w:rPr>
      </w:pPr>
      <w:r>
        <w:rPr>
          <w:rFonts w:ascii="Century Gothic" w:hAnsi="Century Gothic"/>
          <w:b/>
          <w:noProof/>
          <w:sz w:val="24"/>
          <w:lang w:eastAsia="es-MX"/>
        </w:rPr>
        <mc:AlternateContent>
          <mc:Choice Requires="wps">
            <w:drawing>
              <wp:anchor distT="45720" distB="45720" distL="114300" distR="114300" simplePos="0" relativeHeight="251660288" behindDoc="0" locked="0" layoutInCell="1" allowOverlap="1">
                <wp:simplePos x="0" y="0"/>
                <wp:positionH relativeFrom="page">
                  <wp:posOffset>2266950</wp:posOffset>
                </wp:positionH>
                <wp:positionV relativeFrom="paragraph">
                  <wp:posOffset>328930</wp:posOffset>
                </wp:positionV>
                <wp:extent cx="3495675" cy="3429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5675"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B2B54" w:rsidRDefault="006B2B54" w:rsidP="00837694">
                            <w:pPr>
                              <w:spacing w:line="360" w:lineRule="auto"/>
                              <w:jc w:val="center"/>
                              <w:rPr>
                                <w:rFonts w:ascii="Century Gothic" w:hAnsi="Century Gothic"/>
                                <w:b/>
                                <w:sz w:val="24"/>
                              </w:rPr>
                            </w:pPr>
                            <w:r w:rsidRPr="006306EA">
                              <w:rPr>
                                <w:rFonts w:ascii="Century Gothic" w:hAnsi="Century Gothic"/>
                                <w:b/>
                                <w:sz w:val="24"/>
                              </w:rPr>
                              <w:t>DIP. GEORGINA ALEJANDRA BUJANDA RÍOS</w:t>
                            </w:r>
                          </w:p>
                          <w:p w:rsidR="006B2B54" w:rsidRDefault="006B2B54" w:rsidP="003465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178.5pt;margin-top:25.9pt;width:275.25pt;height:27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" filled="f" strokecolor="white">
                <v:path arrowok="t"/>
                <v:textbox>
                  <w:txbxContent>
                    <w:p w:rsidR="006B2B54" w:rsidRDefault="006B2B54" w:rsidP="00837694">
                      <w:pPr>
                        <w:spacing w:line="360" w:lineRule="auto"/>
                        <w:jc w:val="center"/>
                        <w:rPr>
                          <w:rFonts w:ascii="Century Gothic" w:hAnsi="Century Gothic"/>
                          <w:b/>
                          <w:sz w:val="24"/>
                        </w:rPr>
                      </w:pPr>
                      <w:r w:rsidRPr="006306EA">
                        <w:rPr>
                          <w:rFonts w:ascii="Century Gothic" w:hAnsi="Century Gothic"/>
                          <w:b/>
                          <w:sz w:val="24"/>
                        </w:rPr>
                        <w:t>DIP. GEORGINA ALEJANDRA BUJANDA RÍOS</w:t>
                      </w:r>
                    </w:p>
                    <w:p w:rsidR="006B2B54" w:rsidRDefault="006B2B54" w:rsidP="0034653F"/>
                  </w:txbxContent>
                </v:textbox>
                <w10:wrap type="square" anchorx="page"/>
              </v:shape>
            </w:pict>
          </mc:Fallback>
        </mc:AlternateContent>
      </w:r>
    </w:p>
    <w:p w:rsidR="002E1AED" w:rsidRPr="000635A0" w:rsidRDefault="002E1AED" w:rsidP="0034653F">
      <w:pPr>
        <w:spacing w:after="0" w:line="360" w:lineRule="auto"/>
        <w:jc w:val="center"/>
        <w:rPr>
          <w:rFonts w:ascii="Century Gothic" w:hAnsi="Century Gothic"/>
          <w:b/>
          <w:sz w:val="24"/>
          <w:szCs w:val="24"/>
        </w:rPr>
      </w:pPr>
    </w:p>
    <w:sectPr w:rsidR="002E1AED" w:rsidRPr="000635A0" w:rsidSect="00570C9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54" w:rsidRDefault="00310A54" w:rsidP="0015602E">
      <w:pPr>
        <w:spacing w:after="0" w:line="240" w:lineRule="auto"/>
      </w:pPr>
      <w:r>
        <w:separator/>
      </w:r>
    </w:p>
  </w:endnote>
  <w:endnote w:type="continuationSeparator" w:id="0">
    <w:p w:rsidR="00310A54" w:rsidRDefault="00310A54"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54" w:rsidRDefault="006B2B54"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54" w:rsidRPr="00DF30FE" w:rsidRDefault="006B2B54"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54" w:rsidRDefault="00310A54" w:rsidP="0015602E">
      <w:pPr>
        <w:spacing w:after="0" w:line="240" w:lineRule="auto"/>
      </w:pPr>
      <w:r>
        <w:separator/>
      </w:r>
    </w:p>
  </w:footnote>
  <w:footnote w:type="continuationSeparator" w:id="0">
    <w:p w:rsidR="00310A54" w:rsidRDefault="00310A54"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54" w:rsidRPr="00AB3662" w:rsidRDefault="00C11589" w:rsidP="006F6028">
    <w:pPr>
      <w:pStyle w:val="Piedepgina"/>
      <w:jc w:val="right"/>
      <w:rPr>
        <w:rFonts w:ascii="Century Gothic" w:hAnsi="Century Gothic"/>
        <w:sz w:val="24"/>
        <w:szCs w:val="24"/>
      </w:rPr>
    </w:pPr>
    <w:sdt>
      <w:sdtPr>
        <w:rPr>
          <w:sz w:val="24"/>
          <w:szCs w:val="24"/>
        </w:rPr>
        <w:id w:val="168854142"/>
        <w:docPartObj>
          <w:docPartGallery w:val="Page Numbers (Margins)"/>
          <w:docPartUnique/>
        </w:docPartObj>
      </w:sdtPr>
      <w:sdtEndPr/>
      <w:sdtContent>
        <w:r w:rsidR="002146C2">
          <w:rPr>
            <w:noProof/>
            <w:sz w:val="24"/>
            <w:szCs w:val="24"/>
            <w:lang w:eastAsia="es-MX"/>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rsidR="006B2B54" w:rsidRPr="006F6028" w:rsidRDefault="006B2B54">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C11589" w:rsidRPr="00C11589">
                                    <w:rPr>
                                      <w:rFonts w:asciiTheme="majorHAnsi" w:hAnsiTheme="majorHAnsi"/>
                                      <w:noProof/>
                                      <w:szCs w:val="44"/>
                                    </w:rPr>
                                    <w:t>6</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" o:allowincell="f" stroked="f">
                  <v:path arrowok="t"/>
                  <v:textbox>
                    <w:txbxContent>
                      <w:sdt>
                        <w:sdtPr>
                          <w:rPr>
                            <w:rFonts w:asciiTheme="majorHAnsi" w:hAnsiTheme="majorHAnsi"/>
                            <w:szCs w:val="44"/>
                            <w:lang w:val="es-ES"/>
                          </w:rPr>
                          <w:id w:val="216749887"/>
                          <w:docPartObj>
                            <w:docPartGallery w:val="Page Numbers (Margins)"/>
                            <w:docPartUnique/>
                          </w:docPartObj>
                        </w:sdtPr>
                        <w:sdtEndPr/>
                        <w:sdtContent>
                          <w:p w:rsidR="006B2B54" w:rsidRPr="006F6028" w:rsidRDefault="006B2B54">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C11589" w:rsidRPr="00C11589">
                              <w:rPr>
                                <w:rFonts w:asciiTheme="majorHAnsi" w:hAnsiTheme="majorHAnsi"/>
                                <w:noProof/>
                                <w:szCs w:val="44"/>
                              </w:rPr>
                              <w:t>6</w:t>
                            </w:r>
                            <w:r w:rsidRPr="006F6028">
                              <w:rPr>
                                <w:sz w:val="8"/>
                                <w:lang w:val="es-ES"/>
                              </w:rPr>
                              <w:fldChar w:fldCharType="end"/>
                            </w:r>
                          </w:p>
                        </w:sdtContent>
                      </w:sdt>
                    </w:txbxContent>
                  </v:textbox>
                  <w10:wrap anchorx="margin" anchory="page"/>
                </v:rect>
              </w:pict>
            </mc:Fallback>
          </mc:AlternateContent>
        </w:r>
      </w:sdtContent>
    </w:sdt>
    <w:r w:rsidR="006B2B54" w:rsidRPr="00AB3662">
      <w:rPr>
        <w:rFonts w:ascii="Century Gothic" w:hAnsi="Century Gothic"/>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887" cy="834887"/>
                  </a:xfrm>
                  <a:prstGeom prst="rect">
                    <a:avLst/>
                  </a:prstGeom>
                  <a:noFill/>
                  <a:ln>
                    <a:noFill/>
                  </a:ln>
                </pic:spPr>
              </pic:pic>
            </a:graphicData>
          </a:graphic>
        </wp:anchor>
      </w:drawing>
    </w:r>
    <w:r w:rsidR="006B2B54" w:rsidRPr="00AB3662">
      <w:rPr>
        <w:rFonts w:ascii="Century Gothic" w:hAnsi="Century Gothic"/>
        <w:sz w:val="24"/>
        <w:szCs w:val="24"/>
      </w:rPr>
      <w:t>“2020, por un nuevo federalismo fiscal, justo y equitativo”</w:t>
    </w:r>
  </w:p>
  <w:p w:rsidR="006B2B54" w:rsidRPr="00AB3662" w:rsidRDefault="006B2B54" w:rsidP="006F6028">
    <w:pPr>
      <w:pStyle w:val="Piedepgina"/>
      <w:jc w:val="right"/>
      <w:rPr>
        <w:rFonts w:ascii="Century Gothic" w:hAnsi="Century Gothic"/>
        <w:sz w:val="24"/>
        <w:szCs w:val="24"/>
      </w:rPr>
    </w:pPr>
    <w:r w:rsidRPr="00AB3662">
      <w:rPr>
        <w:rFonts w:ascii="Century Gothic" w:hAnsi="Century Gothic"/>
        <w:sz w:val="24"/>
        <w:szCs w:val="24"/>
      </w:rPr>
      <w:t>“2020, año de la sanidad vegetal</w:t>
    </w:r>
  </w:p>
  <w:p w:rsidR="006B2B54" w:rsidRPr="00AB3662" w:rsidRDefault="006B2B54" w:rsidP="00DF30FE">
    <w:pPr>
      <w:pStyle w:val="Encabezado"/>
      <w:tabs>
        <w:tab w:val="clear" w:pos="4419"/>
        <w:tab w:val="clear" w:pos="8838"/>
        <w:tab w:val="left" w:pos="6937"/>
      </w:tabs>
      <w:jc w:val="cent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C86"/>
    <w:rsid w:val="00010A10"/>
    <w:rsid w:val="0002169C"/>
    <w:rsid w:val="000365AE"/>
    <w:rsid w:val="00046335"/>
    <w:rsid w:val="00051765"/>
    <w:rsid w:val="000635A0"/>
    <w:rsid w:val="000674DD"/>
    <w:rsid w:val="00073BF7"/>
    <w:rsid w:val="000A3550"/>
    <w:rsid w:val="000A7679"/>
    <w:rsid w:val="000C1695"/>
    <w:rsid w:val="000D0725"/>
    <w:rsid w:val="000D6338"/>
    <w:rsid w:val="000E1ECD"/>
    <w:rsid w:val="00105274"/>
    <w:rsid w:val="0012436F"/>
    <w:rsid w:val="00136A9E"/>
    <w:rsid w:val="00153046"/>
    <w:rsid w:val="0015602E"/>
    <w:rsid w:val="00156DEC"/>
    <w:rsid w:val="001E2D52"/>
    <w:rsid w:val="001F3EE6"/>
    <w:rsid w:val="001F5543"/>
    <w:rsid w:val="0020296E"/>
    <w:rsid w:val="00213D1C"/>
    <w:rsid w:val="002146C2"/>
    <w:rsid w:val="002155FC"/>
    <w:rsid w:val="00216F84"/>
    <w:rsid w:val="00220E37"/>
    <w:rsid w:val="00222B97"/>
    <w:rsid w:val="002245E3"/>
    <w:rsid w:val="00234F1F"/>
    <w:rsid w:val="00252AF8"/>
    <w:rsid w:val="002831AD"/>
    <w:rsid w:val="00291B12"/>
    <w:rsid w:val="002A1B8D"/>
    <w:rsid w:val="002A6565"/>
    <w:rsid w:val="002B07F2"/>
    <w:rsid w:val="002B4CAC"/>
    <w:rsid w:val="002D0C3B"/>
    <w:rsid w:val="002D1721"/>
    <w:rsid w:val="002E1306"/>
    <w:rsid w:val="002E1611"/>
    <w:rsid w:val="002E1AED"/>
    <w:rsid w:val="00310A54"/>
    <w:rsid w:val="003132F2"/>
    <w:rsid w:val="00332461"/>
    <w:rsid w:val="0034653F"/>
    <w:rsid w:val="00373763"/>
    <w:rsid w:val="0038521C"/>
    <w:rsid w:val="003864FD"/>
    <w:rsid w:val="003A0D8C"/>
    <w:rsid w:val="003D2624"/>
    <w:rsid w:val="003D3887"/>
    <w:rsid w:val="003D7C74"/>
    <w:rsid w:val="003E6416"/>
    <w:rsid w:val="003F1E8B"/>
    <w:rsid w:val="003F2686"/>
    <w:rsid w:val="003F4AA7"/>
    <w:rsid w:val="00410E49"/>
    <w:rsid w:val="00431762"/>
    <w:rsid w:val="00433078"/>
    <w:rsid w:val="00434B99"/>
    <w:rsid w:val="004401F2"/>
    <w:rsid w:val="00442DE4"/>
    <w:rsid w:val="00473054"/>
    <w:rsid w:val="00491A14"/>
    <w:rsid w:val="004B3C60"/>
    <w:rsid w:val="004C5BAE"/>
    <w:rsid w:val="004E7C95"/>
    <w:rsid w:val="004F13DF"/>
    <w:rsid w:val="0050798B"/>
    <w:rsid w:val="005408DA"/>
    <w:rsid w:val="00543BB1"/>
    <w:rsid w:val="0055034E"/>
    <w:rsid w:val="00570C90"/>
    <w:rsid w:val="005A296D"/>
    <w:rsid w:val="005B040F"/>
    <w:rsid w:val="005C1383"/>
    <w:rsid w:val="005C7C2C"/>
    <w:rsid w:val="005D3D16"/>
    <w:rsid w:val="005E05CE"/>
    <w:rsid w:val="005E6184"/>
    <w:rsid w:val="005F09A9"/>
    <w:rsid w:val="005F44EE"/>
    <w:rsid w:val="005F74A6"/>
    <w:rsid w:val="00633C58"/>
    <w:rsid w:val="0064386F"/>
    <w:rsid w:val="006543A0"/>
    <w:rsid w:val="006637E9"/>
    <w:rsid w:val="00666375"/>
    <w:rsid w:val="00683A46"/>
    <w:rsid w:val="006B06AE"/>
    <w:rsid w:val="006B2B54"/>
    <w:rsid w:val="006C5A67"/>
    <w:rsid w:val="006E2862"/>
    <w:rsid w:val="006F4EDE"/>
    <w:rsid w:val="006F6028"/>
    <w:rsid w:val="006F740C"/>
    <w:rsid w:val="00724A21"/>
    <w:rsid w:val="00734437"/>
    <w:rsid w:val="007348A2"/>
    <w:rsid w:val="007351F5"/>
    <w:rsid w:val="00746125"/>
    <w:rsid w:val="00746DA2"/>
    <w:rsid w:val="007638DE"/>
    <w:rsid w:val="00764404"/>
    <w:rsid w:val="00770186"/>
    <w:rsid w:val="007722A8"/>
    <w:rsid w:val="0077651D"/>
    <w:rsid w:val="00781554"/>
    <w:rsid w:val="00786367"/>
    <w:rsid w:val="00791CC2"/>
    <w:rsid w:val="00792A6C"/>
    <w:rsid w:val="007B5DB4"/>
    <w:rsid w:val="007B7DFC"/>
    <w:rsid w:val="007E7968"/>
    <w:rsid w:val="007F7CAA"/>
    <w:rsid w:val="00804809"/>
    <w:rsid w:val="00807404"/>
    <w:rsid w:val="00814756"/>
    <w:rsid w:val="0081756E"/>
    <w:rsid w:val="0083368E"/>
    <w:rsid w:val="008354C9"/>
    <w:rsid w:val="00837694"/>
    <w:rsid w:val="00843910"/>
    <w:rsid w:val="00856812"/>
    <w:rsid w:val="00873A65"/>
    <w:rsid w:val="008869C6"/>
    <w:rsid w:val="0089264C"/>
    <w:rsid w:val="00893257"/>
    <w:rsid w:val="008B17A5"/>
    <w:rsid w:val="008B3E9D"/>
    <w:rsid w:val="008B6CA9"/>
    <w:rsid w:val="008C03A1"/>
    <w:rsid w:val="008C7F04"/>
    <w:rsid w:val="008D3A2F"/>
    <w:rsid w:val="008F6239"/>
    <w:rsid w:val="00911A86"/>
    <w:rsid w:val="009371FD"/>
    <w:rsid w:val="009567BD"/>
    <w:rsid w:val="00963954"/>
    <w:rsid w:val="00985C90"/>
    <w:rsid w:val="00993FEE"/>
    <w:rsid w:val="009A1014"/>
    <w:rsid w:val="009A6042"/>
    <w:rsid w:val="009A7BD5"/>
    <w:rsid w:val="009B3407"/>
    <w:rsid w:val="009D012C"/>
    <w:rsid w:val="009D3E92"/>
    <w:rsid w:val="009D7204"/>
    <w:rsid w:val="009D762F"/>
    <w:rsid w:val="009F7073"/>
    <w:rsid w:val="00A05BAC"/>
    <w:rsid w:val="00A42F69"/>
    <w:rsid w:val="00A613CC"/>
    <w:rsid w:val="00A77EFC"/>
    <w:rsid w:val="00A92212"/>
    <w:rsid w:val="00A96419"/>
    <w:rsid w:val="00AB3662"/>
    <w:rsid w:val="00AB6026"/>
    <w:rsid w:val="00AC4495"/>
    <w:rsid w:val="00AC4BD6"/>
    <w:rsid w:val="00AC577C"/>
    <w:rsid w:val="00AC7603"/>
    <w:rsid w:val="00AE2547"/>
    <w:rsid w:val="00AF0ACC"/>
    <w:rsid w:val="00B029F3"/>
    <w:rsid w:val="00B262CE"/>
    <w:rsid w:val="00B32DCB"/>
    <w:rsid w:val="00B40E0C"/>
    <w:rsid w:val="00B45C59"/>
    <w:rsid w:val="00B52AC2"/>
    <w:rsid w:val="00B63A91"/>
    <w:rsid w:val="00B67403"/>
    <w:rsid w:val="00BA0CF9"/>
    <w:rsid w:val="00BD0729"/>
    <w:rsid w:val="00C02898"/>
    <w:rsid w:val="00C02BF7"/>
    <w:rsid w:val="00C11589"/>
    <w:rsid w:val="00C14023"/>
    <w:rsid w:val="00C22492"/>
    <w:rsid w:val="00C51676"/>
    <w:rsid w:val="00C74048"/>
    <w:rsid w:val="00C83F1F"/>
    <w:rsid w:val="00C91F04"/>
    <w:rsid w:val="00CB3CE8"/>
    <w:rsid w:val="00CD0818"/>
    <w:rsid w:val="00CD0F2D"/>
    <w:rsid w:val="00CE3D44"/>
    <w:rsid w:val="00D01B2E"/>
    <w:rsid w:val="00D1404A"/>
    <w:rsid w:val="00D179C0"/>
    <w:rsid w:val="00D23C72"/>
    <w:rsid w:val="00D27388"/>
    <w:rsid w:val="00D33292"/>
    <w:rsid w:val="00D367BE"/>
    <w:rsid w:val="00D41224"/>
    <w:rsid w:val="00D43399"/>
    <w:rsid w:val="00D549C6"/>
    <w:rsid w:val="00D948D7"/>
    <w:rsid w:val="00DA6A4F"/>
    <w:rsid w:val="00DD6A36"/>
    <w:rsid w:val="00DE58F0"/>
    <w:rsid w:val="00DF30FE"/>
    <w:rsid w:val="00E0137B"/>
    <w:rsid w:val="00E06BE6"/>
    <w:rsid w:val="00E148E5"/>
    <w:rsid w:val="00E1627D"/>
    <w:rsid w:val="00E17F81"/>
    <w:rsid w:val="00E23123"/>
    <w:rsid w:val="00E2788A"/>
    <w:rsid w:val="00E41833"/>
    <w:rsid w:val="00E50735"/>
    <w:rsid w:val="00E55594"/>
    <w:rsid w:val="00E568B4"/>
    <w:rsid w:val="00E65D42"/>
    <w:rsid w:val="00E7239F"/>
    <w:rsid w:val="00E92B1C"/>
    <w:rsid w:val="00E976B9"/>
    <w:rsid w:val="00E97862"/>
    <w:rsid w:val="00EA515A"/>
    <w:rsid w:val="00EA64AB"/>
    <w:rsid w:val="00EE2516"/>
    <w:rsid w:val="00EF50CF"/>
    <w:rsid w:val="00F0072F"/>
    <w:rsid w:val="00F03973"/>
    <w:rsid w:val="00F15523"/>
    <w:rsid w:val="00F20C56"/>
    <w:rsid w:val="00F240CB"/>
    <w:rsid w:val="00F36E9D"/>
    <w:rsid w:val="00F52865"/>
    <w:rsid w:val="00F71B1E"/>
    <w:rsid w:val="00F83D1E"/>
    <w:rsid w:val="00FA56C2"/>
    <w:rsid w:val="00FF0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B78828-467C-624D-89EA-19B1A791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paragraph" w:styleId="NormalWeb">
    <w:name w:val="Normal (Web)"/>
    <w:basedOn w:val="Normal"/>
    <w:uiPriority w:val="99"/>
    <w:unhideWhenUsed/>
    <w:rsid w:val="007722A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D0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2333">
      <w:bodyDiv w:val="1"/>
      <w:marLeft w:val="0"/>
      <w:marRight w:val="0"/>
      <w:marTop w:val="0"/>
      <w:marBottom w:val="0"/>
      <w:divBdr>
        <w:top w:val="none" w:sz="0" w:space="0" w:color="auto"/>
        <w:left w:val="none" w:sz="0" w:space="0" w:color="auto"/>
        <w:bottom w:val="none" w:sz="0" w:space="0" w:color="auto"/>
        <w:right w:val="none" w:sz="0" w:space="0" w:color="auto"/>
      </w:divBdr>
    </w:div>
    <w:div w:id="434599423">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9">
          <w:marLeft w:val="0"/>
          <w:marRight w:val="0"/>
          <w:marTop w:val="0"/>
          <w:marBottom w:val="0"/>
          <w:divBdr>
            <w:top w:val="none" w:sz="0" w:space="0" w:color="auto"/>
            <w:left w:val="none" w:sz="0" w:space="0" w:color="auto"/>
            <w:bottom w:val="none" w:sz="0" w:space="0" w:color="auto"/>
            <w:right w:val="none" w:sz="0" w:space="0" w:color="auto"/>
          </w:divBdr>
        </w:div>
      </w:divsChild>
    </w:div>
    <w:div w:id="1110006663">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7EC0-29FF-4BBF-A417-116B9308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Usuario de Windows</cp:lastModifiedBy>
  <cp:revision>2</cp:revision>
  <cp:lastPrinted>2020-09-24T17:33:00Z</cp:lastPrinted>
  <dcterms:created xsi:type="dcterms:W3CDTF">2020-09-30T22:52:00Z</dcterms:created>
  <dcterms:modified xsi:type="dcterms:W3CDTF">2020-09-30T22:52:00Z</dcterms:modified>
</cp:coreProperties>
</file>