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ED" w:rsidRPr="001C7E4C" w:rsidRDefault="00260BED" w:rsidP="00E021AF">
      <w:pPr>
        <w:spacing w:after="0" w:line="336" w:lineRule="auto"/>
        <w:ind w:right="157"/>
        <w:jc w:val="both"/>
        <w:rPr>
          <w:rFonts w:ascii="Arial" w:hAnsi="Arial" w:cs="Arial"/>
          <w:b/>
          <w:sz w:val="25"/>
          <w:szCs w:val="25"/>
        </w:rPr>
      </w:pPr>
      <w:r w:rsidRPr="001C7E4C">
        <w:rPr>
          <w:rFonts w:ascii="Arial" w:hAnsi="Arial" w:cs="Arial"/>
          <w:b/>
          <w:noProof/>
          <w:sz w:val="25"/>
          <w:szCs w:val="25"/>
          <w:lang w:eastAsia="es-MX"/>
        </w:rPr>
        <w:drawing>
          <wp:anchor distT="0" distB="0" distL="114300" distR="114300" simplePos="0" relativeHeight="251659264" behindDoc="0" locked="0" layoutInCell="1" allowOverlap="1">
            <wp:simplePos x="0" y="0"/>
            <wp:positionH relativeFrom="column">
              <wp:posOffset>3666490</wp:posOffset>
            </wp:positionH>
            <wp:positionV relativeFrom="paragraph">
              <wp:posOffset>-610870</wp:posOffset>
            </wp:positionV>
            <wp:extent cx="1895475" cy="1447800"/>
            <wp:effectExtent l="0" t="0" r="9525"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95475" cy="1447800"/>
                    </a:xfrm>
                    <a:prstGeom prst="rect">
                      <a:avLst/>
                    </a:prstGeom>
                    <a:noFill/>
                    <a:ln w="9525">
                      <a:noFill/>
                      <a:miter lim="800000"/>
                      <a:headEnd/>
                      <a:tailEnd/>
                    </a:ln>
                  </pic:spPr>
                </pic:pic>
              </a:graphicData>
            </a:graphic>
          </wp:anchor>
        </w:drawing>
      </w:r>
    </w:p>
    <w:p w:rsidR="00926297" w:rsidRPr="001C7E4C" w:rsidRDefault="00926297" w:rsidP="00E021AF">
      <w:pPr>
        <w:spacing w:after="0" w:line="336" w:lineRule="auto"/>
        <w:ind w:right="157"/>
        <w:jc w:val="both"/>
        <w:rPr>
          <w:rFonts w:ascii="Arial" w:hAnsi="Arial" w:cs="Arial"/>
          <w:b/>
          <w:sz w:val="25"/>
          <w:szCs w:val="25"/>
        </w:rPr>
      </w:pPr>
      <w:r w:rsidRPr="001C7E4C">
        <w:rPr>
          <w:rFonts w:ascii="Arial" w:hAnsi="Arial" w:cs="Arial"/>
          <w:b/>
          <w:sz w:val="25"/>
          <w:szCs w:val="25"/>
        </w:rPr>
        <w:t xml:space="preserve">H. </w:t>
      </w:r>
      <w:r w:rsidR="001C7E4C">
        <w:rPr>
          <w:rFonts w:ascii="Arial" w:hAnsi="Arial" w:cs="Arial"/>
          <w:b/>
          <w:sz w:val="25"/>
          <w:szCs w:val="25"/>
        </w:rPr>
        <w:t xml:space="preserve">DIPUTACIÓN PERMANENTE. </w:t>
      </w:r>
    </w:p>
    <w:p w:rsidR="00926297" w:rsidRPr="001C7E4C" w:rsidRDefault="00926297" w:rsidP="00E021AF">
      <w:pPr>
        <w:spacing w:after="0" w:line="336" w:lineRule="auto"/>
        <w:ind w:right="157"/>
        <w:jc w:val="both"/>
        <w:rPr>
          <w:rFonts w:ascii="Arial" w:hAnsi="Arial" w:cs="Arial"/>
          <w:b/>
          <w:sz w:val="25"/>
          <w:szCs w:val="25"/>
        </w:rPr>
      </w:pPr>
      <w:r w:rsidRPr="001C7E4C">
        <w:rPr>
          <w:rFonts w:ascii="Arial" w:hAnsi="Arial" w:cs="Arial"/>
          <w:b/>
          <w:sz w:val="25"/>
          <w:szCs w:val="25"/>
        </w:rPr>
        <w:t>PRESENTE.</w:t>
      </w:r>
    </w:p>
    <w:p w:rsidR="00926297" w:rsidRPr="001C7E4C" w:rsidRDefault="004072EF" w:rsidP="00E021AF">
      <w:pPr>
        <w:tabs>
          <w:tab w:val="left" w:pos="3735"/>
        </w:tabs>
        <w:spacing w:after="0" w:line="336" w:lineRule="auto"/>
        <w:ind w:right="157"/>
        <w:jc w:val="both"/>
        <w:rPr>
          <w:rFonts w:ascii="Arial" w:hAnsi="Arial" w:cs="Arial"/>
          <w:sz w:val="25"/>
          <w:szCs w:val="25"/>
        </w:rPr>
      </w:pPr>
      <w:r w:rsidRPr="001C7E4C">
        <w:rPr>
          <w:rFonts w:ascii="Arial" w:hAnsi="Arial" w:cs="Arial"/>
          <w:sz w:val="25"/>
          <w:szCs w:val="25"/>
        </w:rPr>
        <w:tab/>
      </w:r>
    </w:p>
    <w:p w:rsidR="00926297" w:rsidRPr="001C7E4C" w:rsidRDefault="00DB3AEC" w:rsidP="00E021AF">
      <w:pPr>
        <w:spacing w:after="0" w:line="336" w:lineRule="auto"/>
        <w:ind w:right="157"/>
        <w:jc w:val="both"/>
        <w:rPr>
          <w:rFonts w:ascii="Arial" w:hAnsi="Arial" w:cs="Arial"/>
          <w:sz w:val="25"/>
          <w:szCs w:val="25"/>
        </w:rPr>
      </w:pPr>
      <w:r w:rsidRPr="001C7E4C">
        <w:rPr>
          <w:rFonts w:ascii="Arial" w:hAnsi="Arial" w:cs="Arial"/>
          <w:sz w:val="25"/>
          <w:szCs w:val="25"/>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00044BBF" w:rsidRPr="001C7E4C">
        <w:rPr>
          <w:rFonts w:ascii="Arial" w:hAnsi="Arial" w:cs="Arial"/>
          <w:b/>
          <w:sz w:val="25"/>
          <w:szCs w:val="25"/>
        </w:rPr>
        <w:t xml:space="preserve">carácter de Acuerdo </w:t>
      </w:r>
      <w:r w:rsidR="00B57E63" w:rsidRPr="001C7E4C">
        <w:rPr>
          <w:rFonts w:ascii="Arial" w:hAnsi="Arial" w:cs="Arial"/>
          <w:b/>
          <w:sz w:val="25"/>
          <w:szCs w:val="25"/>
        </w:rPr>
        <w:t>de urgente resolución,</w:t>
      </w:r>
      <w:r w:rsidR="00E0540B" w:rsidRPr="001C7E4C">
        <w:rPr>
          <w:rFonts w:ascii="Arial" w:hAnsi="Arial" w:cs="Arial"/>
          <w:b/>
          <w:sz w:val="25"/>
          <w:szCs w:val="25"/>
        </w:rPr>
        <w:t>a fin de exhortar a los 67 ayuntamientos del Estado, para que en coordinación con la Secretaría de la Función Pública del Estado, lleven a cabo el procedimiento correspondiente para la celebración de un convenio por medio del cual puedan cumplir con la obligación de la declaración patrimonial, antes de que venza el plazo correspondiente.</w:t>
      </w:r>
      <w:r w:rsidR="00926297" w:rsidRPr="001C7E4C">
        <w:rPr>
          <w:rFonts w:ascii="Arial" w:hAnsi="Arial" w:cs="Arial"/>
          <w:sz w:val="25"/>
          <w:szCs w:val="25"/>
        </w:rPr>
        <w:t>Lo anterior al tenor de la siguiente:</w:t>
      </w:r>
    </w:p>
    <w:p w:rsidR="009769C4" w:rsidRPr="001C7E4C" w:rsidRDefault="009769C4" w:rsidP="00E021AF">
      <w:pPr>
        <w:spacing w:after="0" w:line="336" w:lineRule="auto"/>
        <w:ind w:right="157"/>
        <w:jc w:val="both"/>
        <w:rPr>
          <w:rFonts w:ascii="Arial" w:hAnsi="Arial" w:cs="Arial"/>
          <w:sz w:val="25"/>
          <w:szCs w:val="25"/>
        </w:rPr>
      </w:pPr>
    </w:p>
    <w:p w:rsidR="00825648" w:rsidRPr="001C7E4C" w:rsidRDefault="00926297" w:rsidP="00E021AF">
      <w:pPr>
        <w:spacing w:after="0" w:line="336" w:lineRule="auto"/>
        <w:ind w:right="157"/>
        <w:jc w:val="center"/>
        <w:rPr>
          <w:rFonts w:ascii="Arial" w:hAnsi="Arial" w:cs="Arial"/>
          <w:b/>
          <w:sz w:val="25"/>
          <w:szCs w:val="25"/>
        </w:rPr>
      </w:pPr>
      <w:r w:rsidRPr="001C7E4C">
        <w:rPr>
          <w:rFonts w:ascii="Arial" w:hAnsi="Arial" w:cs="Arial"/>
          <w:b/>
          <w:sz w:val="25"/>
          <w:szCs w:val="25"/>
        </w:rPr>
        <w:t>EXPOSICIÓN DE MOTIVOS.</w:t>
      </w:r>
    </w:p>
    <w:p w:rsidR="00FF5987" w:rsidRPr="001C7E4C" w:rsidRDefault="00FF5987" w:rsidP="00E021AF">
      <w:pPr>
        <w:spacing w:after="0" w:line="336" w:lineRule="auto"/>
        <w:ind w:right="157"/>
        <w:jc w:val="both"/>
        <w:rPr>
          <w:rFonts w:ascii="Arial" w:hAnsi="Arial" w:cs="Arial"/>
          <w:b/>
          <w:sz w:val="25"/>
          <w:szCs w:val="25"/>
        </w:rPr>
      </w:pPr>
    </w:p>
    <w:p w:rsidR="00EC76AE" w:rsidRPr="001C7E4C" w:rsidRDefault="00B57E63" w:rsidP="00E021AF">
      <w:pPr>
        <w:spacing w:after="0" w:line="336" w:lineRule="auto"/>
        <w:ind w:right="157"/>
        <w:jc w:val="both"/>
        <w:rPr>
          <w:rFonts w:ascii="Arial" w:hAnsi="Arial" w:cs="Arial"/>
          <w:sz w:val="25"/>
          <w:szCs w:val="25"/>
        </w:rPr>
      </w:pPr>
      <w:r w:rsidRPr="001C7E4C">
        <w:rPr>
          <w:rFonts w:ascii="Arial" w:hAnsi="Arial" w:cs="Arial"/>
          <w:sz w:val="25"/>
          <w:szCs w:val="25"/>
        </w:rPr>
        <w:t>De acuerdo con lo que señala el último párrafo del artículo 108 Constitucional, así como a lo indicado en la fracción XXV, del artículo 3º, y artículos 32 y 46 de la Ley General de Responsabilidades Administrativas, están obligados a presentar las declaraciones de situación patrimonial y de intereses, ante las Secretarías o su respectivo Órgano Interno de Control, todas las personas servidoras públicas, es decir, todas aquellas que desempeñen un empleo cargo o comisión dentro de la Administración Pública ya sea en el orden municipal, estatal y federal, así como dentro de los poderes Legislativo, Judicial y Organismos Autónomos, para lo cual, cada uno de dichos entes cuenta con sus propios sistemas de recepción de declaraciones patrimoniales y de intereses.</w:t>
      </w:r>
    </w:p>
    <w:p w:rsidR="00B57E63" w:rsidRPr="001C7E4C" w:rsidRDefault="00B57E63" w:rsidP="00E021AF">
      <w:pPr>
        <w:spacing w:after="0" w:line="336" w:lineRule="auto"/>
        <w:ind w:right="157"/>
        <w:jc w:val="both"/>
        <w:rPr>
          <w:rFonts w:ascii="Arial" w:hAnsi="Arial" w:cs="Arial"/>
          <w:sz w:val="25"/>
          <w:szCs w:val="25"/>
        </w:rPr>
      </w:pPr>
      <w:r w:rsidRPr="001C7E4C">
        <w:rPr>
          <w:rFonts w:ascii="Arial" w:hAnsi="Arial" w:cs="Arial"/>
          <w:sz w:val="25"/>
          <w:szCs w:val="25"/>
        </w:rPr>
        <w:lastRenderedPageBreak/>
        <w:t>En el caso del Estado de Chihuahua, es la Secretaría de la Función Pública</w:t>
      </w:r>
      <w:r w:rsidR="00B2371A" w:rsidRPr="001C7E4C">
        <w:rPr>
          <w:rFonts w:ascii="Arial" w:hAnsi="Arial" w:cs="Arial"/>
          <w:sz w:val="25"/>
          <w:szCs w:val="25"/>
        </w:rPr>
        <w:t xml:space="preserve">, en base a lo establecido en el artículo 34 fracción VII de la Ley Orgánica del Poder Ejecutivo del Estado, quien tiene la responsabilidad y atribución de </w:t>
      </w:r>
      <w:r w:rsidR="00B2371A" w:rsidRPr="001C7E4C">
        <w:rPr>
          <w:rFonts w:ascii="Arial" w:hAnsi="Arial" w:cs="Arial"/>
          <w:b/>
          <w:bCs/>
          <w:sz w:val="25"/>
          <w:szCs w:val="25"/>
        </w:rPr>
        <w:t>recibir</w:t>
      </w:r>
      <w:r w:rsidR="00B2371A" w:rsidRPr="001C7E4C">
        <w:rPr>
          <w:rFonts w:ascii="Arial" w:hAnsi="Arial" w:cs="Arial"/>
          <w:sz w:val="25"/>
          <w:szCs w:val="25"/>
        </w:rPr>
        <w:t xml:space="preserve"> y registrar </w:t>
      </w:r>
      <w:r w:rsidR="00B2371A" w:rsidRPr="001C7E4C">
        <w:rPr>
          <w:rFonts w:ascii="Arial" w:hAnsi="Arial" w:cs="Arial"/>
          <w:b/>
          <w:bCs/>
          <w:sz w:val="25"/>
          <w:szCs w:val="25"/>
        </w:rPr>
        <w:t xml:space="preserve">las declaraciones patrimoniales </w:t>
      </w:r>
      <w:r w:rsidR="00B2371A" w:rsidRPr="001C7E4C">
        <w:rPr>
          <w:rFonts w:ascii="Arial" w:hAnsi="Arial" w:cs="Arial"/>
          <w:sz w:val="25"/>
          <w:szCs w:val="25"/>
        </w:rPr>
        <w:t xml:space="preserve">y de intereses </w:t>
      </w:r>
      <w:r w:rsidR="00B2371A" w:rsidRPr="001C7E4C">
        <w:rPr>
          <w:rFonts w:ascii="Arial" w:hAnsi="Arial" w:cs="Arial"/>
          <w:b/>
          <w:bCs/>
          <w:sz w:val="25"/>
          <w:szCs w:val="25"/>
        </w:rPr>
        <w:t xml:space="preserve">de las personas servidoras públicas que tengan esta obligación </w:t>
      </w:r>
      <w:r w:rsidR="00B2371A" w:rsidRPr="001C7E4C">
        <w:rPr>
          <w:rFonts w:ascii="Arial" w:hAnsi="Arial" w:cs="Arial"/>
          <w:sz w:val="25"/>
          <w:szCs w:val="25"/>
        </w:rPr>
        <w:t>conforme a la Ley General de Responsabilidades Administrativas, así como realizar el análisis de la evolución su patrimonio cuando así se determine, mediante las investigaciones que resulten pertinentes de acuerdo con las disposiciones aplicables.</w:t>
      </w:r>
    </w:p>
    <w:p w:rsidR="00B2371A" w:rsidRPr="001C7E4C" w:rsidRDefault="00B2371A" w:rsidP="00E021AF">
      <w:pPr>
        <w:spacing w:after="0" w:line="336" w:lineRule="auto"/>
        <w:ind w:right="157"/>
        <w:jc w:val="both"/>
        <w:rPr>
          <w:rFonts w:ascii="Arial" w:hAnsi="Arial" w:cs="Arial"/>
          <w:sz w:val="25"/>
          <w:szCs w:val="25"/>
        </w:rPr>
      </w:pPr>
    </w:p>
    <w:p w:rsidR="00B2371A" w:rsidRPr="001C7E4C" w:rsidRDefault="00B2371A" w:rsidP="00E021AF">
      <w:pPr>
        <w:spacing w:after="0" w:line="336" w:lineRule="auto"/>
        <w:ind w:right="157"/>
        <w:jc w:val="both"/>
        <w:rPr>
          <w:rFonts w:ascii="Arial" w:hAnsi="Arial" w:cs="Arial"/>
          <w:sz w:val="25"/>
          <w:szCs w:val="25"/>
        </w:rPr>
      </w:pPr>
      <w:r w:rsidRPr="001C7E4C">
        <w:rPr>
          <w:rFonts w:ascii="Arial" w:hAnsi="Arial" w:cs="Arial"/>
          <w:sz w:val="25"/>
          <w:szCs w:val="25"/>
        </w:rPr>
        <w:t xml:space="preserve">Lo anterior a través de medios electrónicos, empleándose medios de identificación electrónica, tal como se menciona en el artículo 34 de la Ley General, para lo cual la Secretaría de la Función Pública Estatal, cuenta con la plataforma de </w:t>
      </w:r>
      <w:proofErr w:type="spellStart"/>
      <w:r w:rsidRPr="001C7E4C">
        <w:rPr>
          <w:rFonts w:ascii="Arial" w:hAnsi="Arial" w:cs="Arial"/>
          <w:sz w:val="25"/>
          <w:szCs w:val="25"/>
        </w:rPr>
        <w:t>Declaranet</w:t>
      </w:r>
      <w:proofErr w:type="spellEnd"/>
      <w:r w:rsidRPr="001C7E4C">
        <w:rPr>
          <w:rFonts w:ascii="Arial" w:hAnsi="Arial" w:cs="Arial"/>
          <w:sz w:val="25"/>
          <w:szCs w:val="25"/>
        </w:rPr>
        <w:t xml:space="preserve"> plus, a través del sitio web declaranet.chihuahua.gob.mx, mediante el cual puede subirse directamente al sistema electrónico la información necesaria para cumplir con la responsabilidad de la declaración patrimonial.</w:t>
      </w:r>
    </w:p>
    <w:p w:rsidR="00B2371A" w:rsidRPr="001C7E4C" w:rsidRDefault="00B2371A" w:rsidP="00E021AF">
      <w:pPr>
        <w:spacing w:after="0" w:line="336" w:lineRule="auto"/>
        <w:ind w:right="157"/>
        <w:jc w:val="both"/>
        <w:rPr>
          <w:rFonts w:ascii="Arial" w:hAnsi="Arial" w:cs="Arial"/>
          <w:sz w:val="25"/>
          <w:szCs w:val="25"/>
        </w:rPr>
      </w:pPr>
    </w:p>
    <w:p w:rsidR="00B2371A" w:rsidRPr="001C7E4C" w:rsidRDefault="00B2371A" w:rsidP="00E021AF">
      <w:pPr>
        <w:spacing w:after="0" w:line="336" w:lineRule="auto"/>
        <w:ind w:right="157"/>
        <w:jc w:val="both"/>
        <w:rPr>
          <w:rFonts w:ascii="Arial" w:hAnsi="Arial" w:cs="Arial"/>
          <w:sz w:val="25"/>
          <w:szCs w:val="25"/>
        </w:rPr>
      </w:pPr>
      <w:r w:rsidRPr="001C7E4C">
        <w:rPr>
          <w:rFonts w:ascii="Arial" w:hAnsi="Arial" w:cs="Arial"/>
          <w:sz w:val="25"/>
          <w:szCs w:val="25"/>
        </w:rPr>
        <w:t xml:space="preserve">A fin de poder acceder a este portal, los municipios, deben realizar un convenio con la Secretaría a fin de que se les conceda la sublicencia, para lo cual, el único requisito para comenzar el trámite es que el Ayuntamiento envíe un oficio a la Secretaría, por medio del cual se solicite dicha gestión. </w:t>
      </w:r>
    </w:p>
    <w:p w:rsidR="00B2371A" w:rsidRPr="001C7E4C" w:rsidRDefault="00B2371A" w:rsidP="00E021AF">
      <w:pPr>
        <w:spacing w:after="0" w:line="336" w:lineRule="auto"/>
        <w:ind w:right="157"/>
        <w:jc w:val="both"/>
        <w:rPr>
          <w:rFonts w:ascii="Arial" w:hAnsi="Arial" w:cs="Arial"/>
          <w:sz w:val="25"/>
          <w:szCs w:val="25"/>
        </w:rPr>
      </w:pPr>
    </w:p>
    <w:p w:rsidR="00505BD0" w:rsidRDefault="00505BD0" w:rsidP="00505BD0">
      <w:pPr>
        <w:spacing w:after="0" w:line="336" w:lineRule="auto"/>
        <w:ind w:right="157"/>
        <w:jc w:val="both"/>
        <w:rPr>
          <w:rFonts w:ascii="Arial" w:hAnsi="Arial" w:cs="Arial"/>
          <w:sz w:val="25"/>
          <w:szCs w:val="25"/>
        </w:rPr>
      </w:pPr>
      <w:r w:rsidRPr="001C7E4C">
        <w:rPr>
          <w:rFonts w:ascii="Arial" w:hAnsi="Arial" w:cs="Arial"/>
          <w:sz w:val="25"/>
          <w:szCs w:val="25"/>
        </w:rPr>
        <w:t>Si bien en la Ley General de Responsabilidades Administrativas, se establece como plazo para presentar la declaración el mes de mayo, e</w:t>
      </w:r>
      <w:r w:rsidRPr="00505BD0">
        <w:rPr>
          <w:rFonts w:ascii="Arial" w:hAnsi="Arial" w:cs="Arial"/>
          <w:sz w:val="25"/>
          <w:szCs w:val="25"/>
        </w:rPr>
        <w:t xml:space="preserve">l día 02 de mayo de 2020, se publicó en el Periódico Oficial del </w:t>
      </w:r>
      <w:r w:rsidRPr="001C7E4C">
        <w:rPr>
          <w:rFonts w:ascii="Arial" w:hAnsi="Arial" w:cs="Arial"/>
          <w:sz w:val="25"/>
          <w:szCs w:val="25"/>
        </w:rPr>
        <w:t>E</w:t>
      </w:r>
      <w:r w:rsidRPr="00505BD0">
        <w:rPr>
          <w:rFonts w:ascii="Arial" w:hAnsi="Arial" w:cs="Arial"/>
          <w:sz w:val="25"/>
          <w:szCs w:val="25"/>
        </w:rPr>
        <w:t xml:space="preserve">stado de Chihuahua, </w:t>
      </w:r>
      <w:r w:rsidRPr="001C7E4C">
        <w:rPr>
          <w:rFonts w:ascii="Arial" w:hAnsi="Arial" w:cs="Arial"/>
          <w:sz w:val="25"/>
          <w:szCs w:val="25"/>
        </w:rPr>
        <w:t>un</w:t>
      </w:r>
      <w:r w:rsidRPr="00505BD0">
        <w:rPr>
          <w:rFonts w:ascii="Arial" w:hAnsi="Arial" w:cs="Arial"/>
          <w:sz w:val="25"/>
          <w:szCs w:val="25"/>
        </w:rPr>
        <w:t xml:space="preserve"> acuerdo expedido por la Secretaría de la Función Pública del Estado, mediante el cual </w:t>
      </w:r>
      <w:r w:rsidRPr="001C7E4C">
        <w:rPr>
          <w:rFonts w:ascii="Arial" w:hAnsi="Arial" w:cs="Arial"/>
          <w:sz w:val="25"/>
          <w:szCs w:val="25"/>
        </w:rPr>
        <w:t xml:space="preserve">se </w:t>
      </w:r>
      <w:r w:rsidRPr="00505BD0">
        <w:rPr>
          <w:rFonts w:ascii="Arial" w:hAnsi="Arial" w:cs="Arial"/>
          <w:sz w:val="25"/>
          <w:szCs w:val="25"/>
        </w:rPr>
        <w:t>acordó</w:t>
      </w:r>
      <w:r w:rsidRPr="001C7E4C">
        <w:rPr>
          <w:rFonts w:ascii="Arial" w:hAnsi="Arial" w:cs="Arial"/>
          <w:sz w:val="25"/>
          <w:szCs w:val="25"/>
        </w:rPr>
        <w:t>, ampliar el plazo para el día último del mes de julio, derivado de</w:t>
      </w:r>
      <w:r w:rsidRPr="00505BD0">
        <w:rPr>
          <w:rFonts w:ascii="Arial" w:hAnsi="Arial" w:cs="Arial"/>
          <w:sz w:val="25"/>
          <w:szCs w:val="25"/>
        </w:rPr>
        <w:t xml:space="preserve"> la emergencia sanitaria generada por el coronavirus.</w:t>
      </w:r>
    </w:p>
    <w:p w:rsidR="008B1334" w:rsidRPr="001C7E4C" w:rsidRDefault="008B1334" w:rsidP="00505BD0">
      <w:pPr>
        <w:spacing w:after="0" w:line="336" w:lineRule="auto"/>
        <w:ind w:right="157"/>
        <w:jc w:val="both"/>
        <w:rPr>
          <w:rFonts w:ascii="Arial" w:hAnsi="Arial" w:cs="Arial"/>
          <w:sz w:val="25"/>
          <w:szCs w:val="25"/>
        </w:rPr>
      </w:pPr>
    </w:p>
    <w:p w:rsidR="009769C4" w:rsidRPr="001C7E4C" w:rsidRDefault="00505BD0" w:rsidP="00505BD0">
      <w:pPr>
        <w:spacing w:after="0" w:line="336" w:lineRule="auto"/>
        <w:ind w:right="157"/>
        <w:jc w:val="both"/>
        <w:rPr>
          <w:rFonts w:ascii="Arial" w:hAnsi="Arial" w:cs="Arial"/>
          <w:sz w:val="25"/>
          <w:szCs w:val="25"/>
        </w:rPr>
      </w:pPr>
      <w:r w:rsidRPr="001C7E4C">
        <w:rPr>
          <w:rFonts w:ascii="Arial" w:hAnsi="Arial" w:cs="Arial"/>
          <w:sz w:val="25"/>
          <w:szCs w:val="25"/>
        </w:rPr>
        <w:lastRenderedPageBreak/>
        <w:t xml:space="preserve">Sin embargo, al no estar bien establecida la manera en que los municipios deben presentar sus declaraciones patrimoniales, así como la falta de información que los mismos han recibido, debido a los cambios existentes en la presentación de las mismas, no ha sido posible que cumplan con dicha obligación. </w:t>
      </w:r>
      <w:r w:rsidR="009769C4" w:rsidRPr="001C7E4C">
        <w:rPr>
          <w:rFonts w:ascii="Arial" w:hAnsi="Arial" w:cs="Arial"/>
          <w:sz w:val="25"/>
          <w:szCs w:val="25"/>
        </w:rPr>
        <w:t xml:space="preserve">Es importante mencionar que el Código Municipal, no ha sido actualizado en cuanto a las disposiciones legales que establecen el procedimiento y términos para el cumplimiento de la obligación de la declaración patrimonial, motivo por el cual, en próximos días estaré presentando iniciativa de decreto a fin de reformar dicho Código, ya que el tema que hoy nos ocupa es urgente que sea resuelto. </w:t>
      </w:r>
    </w:p>
    <w:p w:rsidR="009769C4" w:rsidRPr="001C7E4C" w:rsidRDefault="009769C4" w:rsidP="00505BD0">
      <w:pPr>
        <w:spacing w:after="0" w:line="336" w:lineRule="auto"/>
        <w:ind w:right="157"/>
        <w:jc w:val="both"/>
        <w:rPr>
          <w:rFonts w:ascii="Arial" w:hAnsi="Arial" w:cs="Arial"/>
          <w:sz w:val="25"/>
          <w:szCs w:val="25"/>
        </w:rPr>
      </w:pPr>
    </w:p>
    <w:p w:rsidR="009769C4" w:rsidRPr="001C7E4C" w:rsidRDefault="009769C4" w:rsidP="00505BD0">
      <w:pPr>
        <w:spacing w:after="0" w:line="336" w:lineRule="auto"/>
        <w:ind w:right="157"/>
        <w:jc w:val="both"/>
        <w:rPr>
          <w:rFonts w:ascii="Arial" w:hAnsi="Arial" w:cs="Arial"/>
          <w:sz w:val="25"/>
          <w:szCs w:val="25"/>
        </w:rPr>
      </w:pPr>
      <w:r w:rsidRPr="001C7E4C">
        <w:rPr>
          <w:rFonts w:ascii="Arial" w:hAnsi="Arial" w:cs="Arial"/>
          <w:sz w:val="25"/>
          <w:szCs w:val="25"/>
        </w:rPr>
        <w:t xml:space="preserve">Según lo estipulado en el artículo 34 fracción VI, corresponde a la Secretaría de la Función Pública, promover, en el ámbito de su competencia, la celebración de convenios o acuerdos de coordinación con los ayuntamientos, para impulsar la instrumentación y el fortalecimiento de los sistemas municipales de control de la gestión pública, proporcionándoles la asesoría y el apoyo técnico que en su caso requieran, particularmente por lo que respecta a los recursos concertados con los gobiernos federal y estatal. </w:t>
      </w:r>
    </w:p>
    <w:p w:rsidR="009769C4" w:rsidRPr="001C7E4C" w:rsidRDefault="009769C4" w:rsidP="00505BD0">
      <w:pPr>
        <w:spacing w:after="0" w:line="336" w:lineRule="auto"/>
        <w:ind w:right="157"/>
        <w:jc w:val="both"/>
        <w:rPr>
          <w:rFonts w:ascii="Arial" w:hAnsi="Arial" w:cs="Arial"/>
          <w:sz w:val="25"/>
          <w:szCs w:val="25"/>
        </w:rPr>
      </w:pPr>
    </w:p>
    <w:p w:rsidR="00505BD0" w:rsidRPr="001C7E4C" w:rsidRDefault="00505BD0" w:rsidP="00505BD0">
      <w:pPr>
        <w:spacing w:after="0" w:line="336" w:lineRule="auto"/>
        <w:ind w:right="157"/>
        <w:jc w:val="both"/>
        <w:rPr>
          <w:rFonts w:ascii="Arial" w:hAnsi="Arial" w:cs="Arial"/>
          <w:sz w:val="25"/>
          <w:szCs w:val="25"/>
        </w:rPr>
      </w:pPr>
      <w:r w:rsidRPr="001C7E4C">
        <w:rPr>
          <w:rFonts w:ascii="Arial" w:hAnsi="Arial" w:cs="Arial"/>
          <w:sz w:val="25"/>
          <w:szCs w:val="25"/>
        </w:rPr>
        <w:t xml:space="preserve">Es por este motivo, </w:t>
      </w:r>
      <w:r w:rsidR="008B1334">
        <w:rPr>
          <w:rFonts w:ascii="Arial" w:hAnsi="Arial" w:cs="Arial"/>
          <w:sz w:val="25"/>
          <w:szCs w:val="25"/>
        </w:rPr>
        <w:t xml:space="preserve">que </w:t>
      </w:r>
      <w:r w:rsidRPr="001C7E4C">
        <w:rPr>
          <w:rFonts w:ascii="Arial" w:hAnsi="Arial" w:cs="Arial"/>
          <w:sz w:val="25"/>
          <w:szCs w:val="25"/>
        </w:rPr>
        <w:t>un servidor en mi calidad de presidente de la Comisión de Desarrollo Municipal, y derivado de la platica efectuada con la Maestra Mónica Vargas, Titular de la Secretaria de la Función Pública, quien manifestó su compromiso y disponibilidad para orientar y gestionar los convenios de colaboración con los municipios para que puedan presentar sus declaraciones</w:t>
      </w:r>
      <w:r w:rsidR="00340304" w:rsidRPr="001C7E4C">
        <w:rPr>
          <w:rFonts w:ascii="Arial" w:hAnsi="Arial" w:cs="Arial"/>
          <w:sz w:val="25"/>
          <w:szCs w:val="25"/>
        </w:rPr>
        <w:t xml:space="preserve">; </w:t>
      </w:r>
      <w:r w:rsidR="008B1334">
        <w:rPr>
          <w:rFonts w:ascii="Arial" w:hAnsi="Arial" w:cs="Arial"/>
          <w:sz w:val="25"/>
          <w:szCs w:val="25"/>
        </w:rPr>
        <w:t xml:space="preserve">que </w:t>
      </w:r>
      <w:r w:rsidRPr="001C7E4C">
        <w:rPr>
          <w:rFonts w:ascii="Arial" w:hAnsi="Arial" w:cs="Arial"/>
          <w:sz w:val="25"/>
          <w:szCs w:val="25"/>
        </w:rPr>
        <w:t xml:space="preserve">el día de hoy presento iniciativa de urgente resolución, </w:t>
      </w:r>
      <w:r w:rsidR="008B1334">
        <w:rPr>
          <w:rFonts w:ascii="Arial" w:hAnsi="Arial" w:cs="Arial"/>
          <w:sz w:val="25"/>
          <w:szCs w:val="25"/>
        </w:rPr>
        <w:t>a fin de</w:t>
      </w:r>
      <w:bookmarkStart w:id="0" w:name="_Hlk45752761"/>
      <w:r w:rsidRPr="001C7E4C">
        <w:rPr>
          <w:rFonts w:ascii="Arial" w:hAnsi="Arial" w:cs="Arial"/>
          <w:sz w:val="25"/>
          <w:szCs w:val="25"/>
        </w:rPr>
        <w:t xml:space="preserve">exhortar a los 67 ayuntamientos del Estado, para que en coordinación con la Secretaría de la Función Pública, lleven a cabo el procedimiento correspondiente para que les sea otorgada la sublicencia, y que puedan cumplir con las obligaciones correspondientes, por medio del sistema </w:t>
      </w:r>
      <w:proofErr w:type="spellStart"/>
      <w:r w:rsidRPr="001C7E4C">
        <w:rPr>
          <w:rFonts w:ascii="Arial" w:hAnsi="Arial" w:cs="Arial"/>
          <w:sz w:val="25"/>
          <w:szCs w:val="25"/>
        </w:rPr>
        <w:t>Declaranet</w:t>
      </w:r>
      <w:proofErr w:type="spellEnd"/>
      <w:r w:rsidRPr="001C7E4C">
        <w:rPr>
          <w:rFonts w:ascii="Arial" w:hAnsi="Arial" w:cs="Arial"/>
          <w:sz w:val="25"/>
          <w:szCs w:val="25"/>
        </w:rPr>
        <w:t xml:space="preserve"> plus</w:t>
      </w:r>
      <w:r w:rsidR="009769C4" w:rsidRPr="001C7E4C">
        <w:rPr>
          <w:rFonts w:ascii="Arial" w:hAnsi="Arial" w:cs="Arial"/>
          <w:sz w:val="25"/>
          <w:szCs w:val="25"/>
        </w:rPr>
        <w:t>.</w:t>
      </w:r>
    </w:p>
    <w:bookmarkEnd w:id="0"/>
    <w:p w:rsidR="009769C4" w:rsidRPr="001C7E4C" w:rsidRDefault="009769C4" w:rsidP="00505BD0">
      <w:pPr>
        <w:spacing w:after="0" w:line="336" w:lineRule="auto"/>
        <w:ind w:right="157"/>
        <w:jc w:val="both"/>
        <w:rPr>
          <w:rFonts w:ascii="Arial" w:hAnsi="Arial" w:cs="Arial"/>
          <w:sz w:val="25"/>
          <w:szCs w:val="25"/>
        </w:rPr>
      </w:pPr>
    </w:p>
    <w:p w:rsidR="009769C4" w:rsidRPr="001C7E4C" w:rsidRDefault="009769C4" w:rsidP="00505BD0">
      <w:pPr>
        <w:spacing w:after="0" w:line="336" w:lineRule="auto"/>
        <w:ind w:right="157"/>
        <w:jc w:val="both"/>
        <w:rPr>
          <w:rFonts w:ascii="Arial" w:hAnsi="Arial" w:cs="Arial"/>
          <w:sz w:val="25"/>
          <w:szCs w:val="25"/>
        </w:rPr>
      </w:pPr>
      <w:r w:rsidRPr="001C7E4C">
        <w:rPr>
          <w:rFonts w:ascii="Arial" w:hAnsi="Arial" w:cs="Arial"/>
          <w:sz w:val="25"/>
          <w:szCs w:val="25"/>
        </w:rPr>
        <w:lastRenderedPageBreak/>
        <w:t xml:space="preserve">Así mismo, quisiera hacer del conocimiento de los ayuntamientos que existe el compromiso de la Secretaría de la Función Pública en auxiliarlos para que cumplan con la presentación de las declaraciones antes de que venza el plazo, para lo cual se les estará considerando dentro de fecha, a los ayuntamientos que una vez enviado el oficio para la celebración del convenio, hagan la presentación por escrito de la declaración ante su órgano de control interno municipal o sindicatura,en tanto se resuelve el trámite y puedan subir al sistema electrónico la declaración correspondiente. De igual modo se les proporcionará orientación y capacitación </w:t>
      </w:r>
      <w:bookmarkStart w:id="1" w:name="_Hlk45753197"/>
      <w:r w:rsidRPr="001C7E4C">
        <w:rPr>
          <w:rFonts w:ascii="Arial" w:hAnsi="Arial" w:cs="Arial"/>
          <w:sz w:val="25"/>
          <w:szCs w:val="25"/>
        </w:rPr>
        <w:t>para poder operar el sistema y para el llenado de los formatos</w:t>
      </w:r>
      <w:bookmarkEnd w:id="1"/>
      <w:r w:rsidRPr="001C7E4C">
        <w:rPr>
          <w:rFonts w:ascii="Arial" w:hAnsi="Arial" w:cs="Arial"/>
          <w:sz w:val="25"/>
          <w:szCs w:val="25"/>
        </w:rPr>
        <w:t>.</w:t>
      </w:r>
    </w:p>
    <w:p w:rsidR="009769C4" w:rsidRPr="001C7E4C" w:rsidRDefault="009769C4" w:rsidP="00505BD0">
      <w:pPr>
        <w:spacing w:after="0" w:line="336" w:lineRule="auto"/>
        <w:ind w:right="157"/>
        <w:jc w:val="both"/>
        <w:rPr>
          <w:rFonts w:ascii="Arial" w:hAnsi="Arial" w:cs="Arial"/>
          <w:sz w:val="25"/>
          <w:szCs w:val="25"/>
        </w:rPr>
      </w:pPr>
    </w:p>
    <w:p w:rsidR="009769C4" w:rsidRPr="001C7E4C" w:rsidRDefault="009769C4" w:rsidP="00505BD0">
      <w:pPr>
        <w:spacing w:after="0" w:line="336" w:lineRule="auto"/>
        <w:ind w:right="157"/>
        <w:jc w:val="both"/>
        <w:rPr>
          <w:rFonts w:ascii="Arial" w:hAnsi="Arial" w:cs="Arial"/>
          <w:sz w:val="25"/>
          <w:szCs w:val="25"/>
        </w:rPr>
      </w:pPr>
      <w:r w:rsidRPr="001C7E4C">
        <w:rPr>
          <w:rFonts w:ascii="Arial" w:hAnsi="Arial" w:cs="Arial"/>
          <w:sz w:val="25"/>
          <w:szCs w:val="25"/>
        </w:rPr>
        <w:t xml:space="preserve">Es importante mencionar que este trámite no tiene costo para los ayuntamientos, salvo las adecuaciones técnicas que cada municipio tenga que realizar para acceder al portal. </w:t>
      </w:r>
    </w:p>
    <w:p w:rsidR="00340304" w:rsidRPr="001C7E4C" w:rsidRDefault="00340304" w:rsidP="00505BD0">
      <w:pPr>
        <w:spacing w:after="0" w:line="336" w:lineRule="auto"/>
        <w:ind w:right="157"/>
        <w:jc w:val="both"/>
        <w:rPr>
          <w:rFonts w:ascii="Arial" w:hAnsi="Arial" w:cs="Arial"/>
          <w:sz w:val="25"/>
          <w:szCs w:val="25"/>
        </w:rPr>
      </w:pPr>
    </w:p>
    <w:p w:rsidR="00340304" w:rsidRPr="001C7E4C" w:rsidRDefault="00340304" w:rsidP="00505BD0">
      <w:pPr>
        <w:spacing w:after="0" w:line="336" w:lineRule="auto"/>
        <w:ind w:right="157"/>
        <w:jc w:val="both"/>
        <w:rPr>
          <w:rFonts w:ascii="Arial" w:hAnsi="Arial" w:cs="Arial"/>
          <w:sz w:val="25"/>
          <w:szCs w:val="25"/>
        </w:rPr>
      </w:pPr>
      <w:r w:rsidRPr="001C7E4C">
        <w:rPr>
          <w:rFonts w:ascii="Arial" w:hAnsi="Arial" w:cs="Arial"/>
          <w:sz w:val="25"/>
          <w:szCs w:val="25"/>
        </w:rPr>
        <w:t xml:space="preserve">En virtud de que el plazo ya esta por vencerse, es urgente que se remita el presente exhorto a los 67 ayuntamientos y que los mismos comiencen el trámite que corresponda, ya que, según información proporcionada por la Secretaría, a la fecha no existe convenio con ningún municipio. </w:t>
      </w:r>
    </w:p>
    <w:p w:rsidR="00B2371A" w:rsidRPr="001C7E4C" w:rsidRDefault="00B2371A" w:rsidP="00E021AF">
      <w:pPr>
        <w:spacing w:after="0" w:line="336" w:lineRule="auto"/>
        <w:ind w:right="157"/>
        <w:jc w:val="both"/>
        <w:rPr>
          <w:rFonts w:ascii="Arial" w:hAnsi="Arial" w:cs="Arial"/>
          <w:sz w:val="25"/>
          <w:szCs w:val="25"/>
        </w:rPr>
      </w:pPr>
    </w:p>
    <w:p w:rsidR="00956D6C" w:rsidRPr="001C7E4C" w:rsidRDefault="00E76C84" w:rsidP="00E021AF">
      <w:pPr>
        <w:spacing w:after="0" w:line="336" w:lineRule="auto"/>
        <w:ind w:right="157"/>
        <w:jc w:val="both"/>
        <w:rPr>
          <w:rFonts w:ascii="Arial" w:hAnsi="Arial" w:cs="Arial"/>
          <w:sz w:val="25"/>
          <w:szCs w:val="25"/>
        </w:rPr>
      </w:pPr>
      <w:r w:rsidRPr="001C7E4C">
        <w:rPr>
          <w:rFonts w:ascii="Arial" w:hAnsi="Arial" w:cs="Arial"/>
          <w:sz w:val="25"/>
          <w:szCs w:val="25"/>
        </w:rPr>
        <w:t xml:space="preserve">Por lo anteriormente expuesto, sometemos </w:t>
      </w:r>
      <w:r w:rsidR="008B1334">
        <w:rPr>
          <w:rFonts w:ascii="Arial" w:hAnsi="Arial" w:cs="Arial"/>
          <w:sz w:val="25"/>
          <w:szCs w:val="25"/>
        </w:rPr>
        <w:t xml:space="preserve">con carácter de urgente resolución, </w:t>
      </w:r>
      <w:r w:rsidRPr="001C7E4C">
        <w:rPr>
          <w:rFonts w:ascii="Arial" w:hAnsi="Arial" w:cs="Arial"/>
          <w:sz w:val="25"/>
          <w:szCs w:val="25"/>
        </w:rPr>
        <w:t>a la consideración de esta soberanía el siguiente proyecto de:</w:t>
      </w:r>
    </w:p>
    <w:p w:rsidR="008B1334" w:rsidRDefault="008B1334" w:rsidP="00E021AF">
      <w:pPr>
        <w:spacing w:after="0" w:line="336" w:lineRule="auto"/>
        <w:ind w:right="157"/>
        <w:jc w:val="center"/>
        <w:rPr>
          <w:rFonts w:ascii="Arial" w:hAnsi="Arial" w:cs="Arial"/>
          <w:b/>
          <w:bCs/>
          <w:sz w:val="25"/>
          <w:szCs w:val="25"/>
        </w:rPr>
      </w:pPr>
    </w:p>
    <w:p w:rsidR="000A2561" w:rsidRPr="001C7E4C" w:rsidRDefault="00EC76AE" w:rsidP="00E021AF">
      <w:pPr>
        <w:spacing w:after="0" w:line="336" w:lineRule="auto"/>
        <w:ind w:right="157"/>
        <w:jc w:val="center"/>
        <w:rPr>
          <w:rFonts w:ascii="Arial" w:hAnsi="Arial" w:cs="Arial"/>
          <w:b/>
          <w:bCs/>
          <w:sz w:val="25"/>
          <w:szCs w:val="25"/>
        </w:rPr>
      </w:pPr>
      <w:r w:rsidRPr="001C7E4C">
        <w:rPr>
          <w:rFonts w:ascii="Arial" w:hAnsi="Arial" w:cs="Arial"/>
          <w:b/>
          <w:bCs/>
          <w:sz w:val="25"/>
          <w:szCs w:val="25"/>
        </w:rPr>
        <w:t>ACUERDO.</w:t>
      </w:r>
    </w:p>
    <w:p w:rsidR="00FF5987" w:rsidRPr="001C7E4C" w:rsidRDefault="00FF5987" w:rsidP="00E021AF">
      <w:pPr>
        <w:spacing w:after="0" w:line="336" w:lineRule="auto"/>
        <w:ind w:right="157"/>
        <w:jc w:val="center"/>
        <w:rPr>
          <w:rFonts w:ascii="Arial" w:hAnsi="Arial" w:cs="Arial"/>
          <w:b/>
          <w:bCs/>
          <w:sz w:val="25"/>
          <w:szCs w:val="25"/>
        </w:rPr>
      </w:pPr>
    </w:p>
    <w:p w:rsidR="000250F3" w:rsidRPr="001C7E4C" w:rsidRDefault="00EC76AE" w:rsidP="00E021AF">
      <w:pPr>
        <w:spacing w:after="0" w:line="336" w:lineRule="auto"/>
        <w:ind w:right="157"/>
        <w:jc w:val="both"/>
        <w:rPr>
          <w:rFonts w:ascii="Arial" w:hAnsi="Arial" w:cs="Arial"/>
          <w:b/>
          <w:bCs/>
          <w:sz w:val="25"/>
          <w:szCs w:val="25"/>
        </w:rPr>
      </w:pPr>
      <w:r w:rsidRPr="001C7E4C">
        <w:rPr>
          <w:rFonts w:ascii="Arial" w:hAnsi="Arial" w:cs="Arial"/>
          <w:b/>
          <w:bCs/>
          <w:sz w:val="25"/>
          <w:szCs w:val="25"/>
        </w:rPr>
        <w:t xml:space="preserve">PRIMERO. </w:t>
      </w:r>
      <w:r w:rsidR="00F02E2F" w:rsidRPr="001C7E4C">
        <w:rPr>
          <w:rFonts w:ascii="Arial" w:hAnsi="Arial" w:cs="Arial"/>
          <w:b/>
          <w:bCs/>
          <w:sz w:val="25"/>
          <w:szCs w:val="25"/>
        </w:rPr>
        <w:t xml:space="preserve">La Sexagésima Sexta Legislatura del H. Congreso del Estado, </w:t>
      </w:r>
      <w:r w:rsidR="00260BED" w:rsidRPr="001C7E4C">
        <w:rPr>
          <w:rFonts w:ascii="Arial" w:hAnsi="Arial" w:cs="Arial"/>
          <w:b/>
          <w:bCs/>
          <w:sz w:val="25"/>
          <w:szCs w:val="25"/>
        </w:rPr>
        <w:t>exhorta de manera atenta y con respeto a su autonomía municipal,</w:t>
      </w:r>
      <w:bookmarkStart w:id="2" w:name="_Hlk45753371"/>
      <w:r w:rsidR="00260BED" w:rsidRPr="001C7E4C">
        <w:rPr>
          <w:rFonts w:ascii="Arial" w:hAnsi="Arial" w:cs="Arial"/>
          <w:b/>
          <w:bCs/>
          <w:sz w:val="25"/>
          <w:szCs w:val="25"/>
        </w:rPr>
        <w:t>a los 67 ayuntamientos del Estado, para que en coordinación con la Secretaría de la Función Pública del Estado, lleven a cabo el procedimiento correspondiente para la celebración de</w:t>
      </w:r>
      <w:r w:rsidR="00E0540B" w:rsidRPr="001C7E4C">
        <w:rPr>
          <w:rFonts w:ascii="Arial" w:hAnsi="Arial" w:cs="Arial"/>
          <w:b/>
          <w:bCs/>
          <w:sz w:val="25"/>
          <w:szCs w:val="25"/>
        </w:rPr>
        <w:t xml:space="preserve"> un</w:t>
      </w:r>
      <w:r w:rsidR="00260BED" w:rsidRPr="001C7E4C">
        <w:rPr>
          <w:rFonts w:ascii="Arial" w:hAnsi="Arial" w:cs="Arial"/>
          <w:b/>
          <w:bCs/>
          <w:sz w:val="25"/>
          <w:szCs w:val="25"/>
        </w:rPr>
        <w:t xml:space="preserve"> convenio por medio del cual les sea otorgada la </w:t>
      </w:r>
      <w:proofErr w:type="spellStart"/>
      <w:r w:rsidR="00260BED" w:rsidRPr="001C7E4C">
        <w:rPr>
          <w:rFonts w:ascii="Arial" w:hAnsi="Arial" w:cs="Arial"/>
          <w:b/>
          <w:bCs/>
          <w:sz w:val="25"/>
          <w:szCs w:val="25"/>
        </w:rPr>
        <w:t>sublicencia</w:t>
      </w:r>
      <w:proofErr w:type="spellEnd"/>
      <w:r w:rsidR="00260BED" w:rsidRPr="001C7E4C">
        <w:rPr>
          <w:rFonts w:ascii="Arial" w:hAnsi="Arial" w:cs="Arial"/>
          <w:b/>
          <w:bCs/>
          <w:sz w:val="25"/>
          <w:szCs w:val="25"/>
        </w:rPr>
        <w:t xml:space="preserve"> del sistema </w:t>
      </w:r>
      <w:proofErr w:type="spellStart"/>
      <w:r w:rsidR="00260BED" w:rsidRPr="001C7E4C">
        <w:rPr>
          <w:rFonts w:ascii="Arial" w:hAnsi="Arial" w:cs="Arial"/>
          <w:b/>
          <w:bCs/>
          <w:sz w:val="25"/>
          <w:szCs w:val="25"/>
        </w:rPr>
        <w:t>Declaranet</w:t>
      </w:r>
      <w:proofErr w:type="spellEnd"/>
      <w:r w:rsidR="00260BED" w:rsidRPr="001C7E4C">
        <w:rPr>
          <w:rFonts w:ascii="Arial" w:hAnsi="Arial" w:cs="Arial"/>
          <w:b/>
          <w:bCs/>
          <w:sz w:val="25"/>
          <w:szCs w:val="25"/>
        </w:rPr>
        <w:t xml:space="preserve"> </w:t>
      </w:r>
      <w:r w:rsidR="00260BED" w:rsidRPr="001C7E4C">
        <w:rPr>
          <w:rFonts w:ascii="Arial" w:hAnsi="Arial" w:cs="Arial"/>
          <w:b/>
          <w:bCs/>
          <w:sz w:val="25"/>
          <w:szCs w:val="25"/>
        </w:rPr>
        <w:lastRenderedPageBreak/>
        <w:t>plus, a fin de que puedan cumplir con la obligación de la declaración patrimonial, antes de que venza el plazo correspondiente.</w:t>
      </w:r>
    </w:p>
    <w:bookmarkEnd w:id="2"/>
    <w:p w:rsidR="00260BED" w:rsidRPr="001C7E4C" w:rsidRDefault="00260BED" w:rsidP="00E021AF">
      <w:pPr>
        <w:spacing w:after="0" w:line="336" w:lineRule="auto"/>
        <w:ind w:right="157"/>
        <w:jc w:val="both"/>
        <w:rPr>
          <w:rFonts w:ascii="Arial" w:hAnsi="Arial" w:cs="Arial"/>
          <w:b/>
          <w:sz w:val="25"/>
          <w:szCs w:val="25"/>
        </w:rPr>
      </w:pPr>
    </w:p>
    <w:p w:rsidR="00E021AF" w:rsidRPr="001C7E4C" w:rsidRDefault="00260BED" w:rsidP="00E021AF">
      <w:pPr>
        <w:spacing w:after="0" w:line="336" w:lineRule="auto"/>
        <w:ind w:right="157"/>
        <w:jc w:val="both"/>
        <w:rPr>
          <w:rFonts w:ascii="Arial" w:hAnsi="Arial" w:cs="Arial"/>
          <w:b/>
          <w:sz w:val="25"/>
          <w:szCs w:val="25"/>
        </w:rPr>
      </w:pPr>
      <w:r w:rsidRPr="001C7E4C">
        <w:rPr>
          <w:rFonts w:ascii="Arial" w:hAnsi="Arial" w:cs="Arial"/>
          <w:b/>
          <w:sz w:val="25"/>
          <w:szCs w:val="25"/>
        </w:rPr>
        <w:t>SEGUNDO</w:t>
      </w:r>
      <w:r w:rsidR="00737434" w:rsidRPr="001C7E4C">
        <w:rPr>
          <w:rFonts w:ascii="Arial" w:hAnsi="Arial" w:cs="Arial"/>
          <w:b/>
          <w:sz w:val="25"/>
          <w:szCs w:val="25"/>
        </w:rPr>
        <w:t>. La Sexagésima Sexta Legislatura del H. Congreso del Estado</w:t>
      </w:r>
      <w:r w:rsidRPr="001C7E4C">
        <w:rPr>
          <w:rFonts w:ascii="Arial" w:hAnsi="Arial" w:cs="Arial"/>
          <w:b/>
          <w:sz w:val="25"/>
          <w:szCs w:val="25"/>
        </w:rPr>
        <w:t xml:space="preserve">, solicita al Poder Ejecutivo Estatal, a través de la Secretaría de la Función Pública, para que orienten y acompañen a los ayuntamientos que así lo soliciten, en los trámites y requisitos que sean necesarios para la celebración del convenio </w:t>
      </w:r>
      <w:r w:rsidR="00E0540B" w:rsidRPr="001C7E4C">
        <w:rPr>
          <w:rFonts w:ascii="Arial" w:hAnsi="Arial" w:cs="Arial"/>
          <w:b/>
          <w:sz w:val="25"/>
          <w:szCs w:val="25"/>
        </w:rPr>
        <w:t xml:space="preserve">antes mencionado, así mismo para que se </w:t>
      </w:r>
      <w:r w:rsidR="008B1334">
        <w:rPr>
          <w:rFonts w:ascii="Arial" w:hAnsi="Arial" w:cs="Arial"/>
          <w:b/>
          <w:sz w:val="25"/>
          <w:szCs w:val="25"/>
        </w:rPr>
        <w:t>proporcione la</w:t>
      </w:r>
      <w:r w:rsidR="00E0540B" w:rsidRPr="001C7E4C">
        <w:rPr>
          <w:rFonts w:ascii="Arial" w:hAnsi="Arial" w:cs="Arial"/>
          <w:b/>
          <w:sz w:val="25"/>
          <w:szCs w:val="25"/>
        </w:rPr>
        <w:t xml:space="preserve"> capacitación que se requiera para poder operar el sistema y para el llenado de los formatos.</w:t>
      </w:r>
    </w:p>
    <w:p w:rsidR="00E0540B" w:rsidRPr="001C7E4C" w:rsidRDefault="00E0540B" w:rsidP="00E021AF">
      <w:pPr>
        <w:spacing w:after="0" w:line="336" w:lineRule="auto"/>
        <w:ind w:right="157"/>
        <w:jc w:val="both"/>
        <w:rPr>
          <w:rFonts w:ascii="Arial" w:hAnsi="Arial" w:cs="Arial"/>
          <w:b/>
          <w:sz w:val="25"/>
          <w:szCs w:val="25"/>
        </w:rPr>
      </w:pPr>
    </w:p>
    <w:p w:rsidR="00E0540B" w:rsidRPr="001C7E4C" w:rsidRDefault="00E0540B" w:rsidP="00E0540B">
      <w:pPr>
        <w:tabs>
          <w:tab w:val="left" w:pos="3015"/>
          <w:tab w:val="center" w:pos="4961"/>
        </w:tabs>
        <w:spacing w:after="0" w:line="336" w:lineRule="auto"/>
        <w:ind w:right="157"/>
        <w:jc w:val="both"/>
        <w:rPr>
          <w:rFonts w:ascii="Arial" w:hAnsi="Arial" w:cs="Arial"/>
          <w:b/>
          <w:sz w:val="25"/>
          <w:szCs w:val="25"/>
        </w:rPr>
      </w:pPr>
      <w:r w:rsidRPr="001C7E4C">
        <w:rPr>
          <w:rFonts w:ascii="Arial" w:hAnsi="Arial" w:cs="Arial"/>
          <w:b/>
          <w:sz w:val="25"/>
          <w:szCs w:val="25"/>
        </w:rPr>
        <w:t xml:space="preserve">TERCERO. Remítase copia de la presente iniciativa, así como del acuerdo correspondiente a las autoridades antes mencionadas. </w:t>
      </w:r>
    </w:p>
    <w:p w:rsidR="00E0540B" w:rsidRPr="001C7E4C" w:rsidRDefault="00E0540B" w:rsidP="00E0540B">
      <w:pPr>
        <w:tabs>
          <w:tab w:val="left" w:pos="3015"/>
          <w:tab w:val="center" w:pos="4961"/>
        </w:tabs>
        <w:spacing w:after="0" w:line="336" w:lineRule="auto"/>
        <w:ind w:right="157"/>
        <w:jc w:val="both"/>
        <w:rPr>
          <w:rFonts w:ascii="Arial" w:hAnsi="Arial" w:cs="Arial"/>
          <w:b/>
          <w:sz w:val="25"/>
          <w:szCs w:val="25"/>
        </w:rPr>
      </w:pPr>
    </w:p>
    <w:p w:rsidR="000A2561" w:rsidRPr="001C7E4C" w:rsidRDefault="000A2561" w:rsidP="000A2561">
      <w:pPr>
        <w:tabs>
          <w:tab w:val="left" w:pos="3015"/>
          <w:tab w:val="center" w:pos="4961"/>
        </w:tabs>
        <w:spacing w:after="0" w:line="336" w:lineRule="auto"/>
        <w:ind w:right="157"/>
        <w:rPr>
          <w:rFonts w:ascii="Arial" w:hAnsi="Arial" w:cs="Arial"/>
          <w:b/>
          <w:sz w:val="25"/>
          <w:szCs w:val="25"/>
        </w:rPr>
      </w:pPr>
      <w:r w:rsidRPr="001C7E4C">
        <w:rPr>
          <w:rFonts w:ascii="Arial" w:hAnsi="Arial" w:cs="Arial"/>
          <w:b/>
          <w:sz w:val="25"/>
          <w:szCs w:val="25"/>
        </w:rPr>
        <w:t>ECONÓMICO. Aprobado que sea, túrnese a la Secretaría para que elabore la Minuta de Acuerdo correspondiente.</w:t>
      </w:r>
    </w:p>
    <w:p w:rsidR="000A2561" w:rsidRPr="001C7E4C" w:rsidRDefault="000A2561" w:rsidP="000A2561">
      <w:pPr>
        <w:tabs>
          <w:tab w:val="left" w:pos="3015"/>
          <w:tab w:val="center" w:pos="4961"/>
        </w:tabs>
        <w:spacing w:after="0" w:line="336" w:lineRule="auto"/>
        <w:ind w:right="157"/>
        <w:rPr>
          <w:rFonts w:ascii="Arial" w:hAnsi="Arial" w:cs="Arial"/>
          <w:b/>
          <w:sz w:val="25"/>
          <w:szCs w:val="25"/>
        </w:rPr>
      </w:pPr>
    </w:p>
    <w:p w:rsidR="000A2561" w:rsidRPr="001C7E4C" w:rsidRDefault="000A2561" w:rsidP="00E0540B">
      <w:pPr>
        <w:tabs>
          <w:tab w:val="left" w:pos="3015"/>
          <w:tab w:val="center" w:pos="4961"/>
        </w:tabs>
        <w:spacing w:after="0" w:line="336" w:lineRule="auto"/>
        <w:ind w:right="157"/>
        <w:jc w:val="both"/>
        <w:rPr>
          <w:rFonts w:ascii="Arial" w:hAnsi="Arial" w:cs="Arial"/>
          <w:b/>
          <w:sz w:val="25"/>
          <w:szCs w:val="25"/>
        </w:rPr>
      </w:pPr>
      <w:r w:rsidRPr="001C7E4C">
        <w:rPr>
          <w:rFonts w:ascii="Arial" w:hAnsi="Arial" w:cs="Arial"/>
          <w:b/>
          <w:sz w:val="25"/>
          <w:szCs w:val="25"/>
        </w:rPr>
        <w:t xml:space="preserve">Dado </w:t>
      </w:r>
      <w:r w:rsidR="00E0540B" w:rsidRPr="001C7E4C">
        <w:rPr>
          <w:rFonts w:ascii="Arial" w:hAnsi="Arial" w:cs="Arial"/>
          <w:b/>
          <w:sz w:val="25"/>
          <w:szCs w:val="25"/>
        </w:rPr>
        <w:t>la Sala Morelos</w:t>
      </w:r>
      <w:r w:rsidRPr="001C7E4C">
        <w:rPr>
          <w:rFonts w:ascii="Arial" w:hAnsi="Arial" w:cs="Arial"/>
          <w:b/>
          <w:sz w:val="25"/>
          <w:szCs w:val="25"/>
        </w:rPr>
        <w:t xml:space="preserve"> del Poder Legislativo</w:t>
      </w:r>
      <w:r w:rsidR="00E0540B" w:rsidRPr="001C7E4C">
        <w:rPr>
          <w:rFonts w:ascii="Arial" w:hAnsi="Arial" w:cs="Arial"/>
          <w:b/>
          <w:sz w:val="25"/>
          <w:szCs w:val="25"/>
        </w:rPr>
        <w:t xml:space="preserve"> del Estado</w:t>
      </w:r>
      <w:r w:rsidRPr="001C7E4C">
        <w:rPr>
          <w:rFonts w:ascii="Arial" w:hAnsi="Arial" w:cs="Arial"/>
          <w:b/>
          <w:sz w:val="25"/>
          <w:szCs w:val="25"/>
        </w:rPr>
        <w:t>, en la ciudad de Chihuahua</w:t>
      </w:r>
      <w:r w:rsidR="008B1334">
        <w:rPr>
          <w:rFonts w:ascii="Arial" w:hAnsi="Arial" w:cs="Arial"/>
          <w:b/>
          <w:sz w:val="25"/>
          <w:szCs w:val="25"/>
        </w:rPr>
        <w:t xml:space="preserve">, Chihuahua </w:t>
      </w:r>
      <w:r w:rsidRPr="001C7E4C">
        <w:rPr>
          <w:rFonts w:ascii="Arial" w:hAnsi="Arial" w:cs="Arial"/>
          <w:b/>
          <w:sz w:val="25"/>
          <w:szCs w:val="25"/>
        </w:rPr>
        <w:t xml:space="preserve">a los </w:t>
      </w:r>
      <w:r w:rsidR="00E0540B" w:rsidRPr="001C7E4C">
        <w:rPr>
          <w:rFonts w:ascii="Arial" w:hAnsi="Arial" w:cs="Arial"/>
          <w:b/>
          <w:sz w:val="25"/>
          <w:szCs w:val="25"/>
        </w:rPr>
        <w:t>20</w:t>
      </w:r>
      <w:r w:rsidRPr="001C7E4C">
        <w:rPr>
          <w:rFonts w:ascii="Arial" w:hAnsi="Arial" w:cs="Arial"/>
          <w:b/>
          <w:sz w:val="25"/>
          <w:szCs w:val="25"/>
        </w:rPr>
        <w:t xml:space="preserve"> días del mes de ju</w:t>
      </w:r>
      <w:r w:rsidR="00E0540B" w:rsidRPr="001C7E4C">
        <w:rPr>
          <w:rFonts w:ascii="Arial" w:hAnsi="Arial" w:cs="Arial"/>
          <w:b/>
          <w:sz w:val="25"/>
          <w:szCs w:val="25"/>
        </w:rPr>
        <w:t>l</w:t>
      </w:r>
      <w:r w:rsidRPr="001C7E4C">
        <w:rPr>
          <w:rFonts w:ascii="Arial" w:hAnsi="Arial" w:cs="Arial"/>
          <w:b/>
          <w:sz w:val="25"/>
          <w:szCs w:val="25"/>
        </w:rPr>
        <w:t>io del año 2020.</w:t>
      </w:r>
    </w:p>
    <w:p w:rsidR="000A2561" w:rsidRPr="001C7E4C" w:rsidRDefault="000A2561" w:rsidP="00E021AF">
      <w:pPr>
        <w:tabs>
          <w:tab w:val="left" w:pos="2985"/>
        </w:tabs>
        <w:spacing w:after="0" w:line="336" w:lineRule="auto"/>
        <w:ind w:right="157"/>
        <w:jc w:val="center"/>
        <w:rPr>
          <w:rFonts w:ascii="Arial" w:hAnsi="Arial" w:cs="Arial"/>
          <w:b/>
          <w:sz w:val="25"/>
          <w:szCs w:val="25"/>
        </w:rPr>
      </w:pPr>
    </w:p>
    <w:p w:rsidR="00492DCC" w:rsidRPr="001C7E4C" w:rsidRDefault="00492DCC" w:rsidP="00E021AF">
      <w:pPr>
        <w:tabs>
          <w:tab w:val="left" w:pos="2985"/>
        </w:tabs>
        <w:spacing w:after="0" w:line="336" w:lineRule="auto"/>
        <w:ind w:right="157"/>
        <w:jc w:val="center"/>
        <w:rPr>
          <w:rFonts w:ascii="Arial" w:hAnsi="Arial" w:cs="Arial"/>
          <w:b/>
          <w:sz w:val="25"/>
          <w:szCs w:val="25"/>
        </w:rPr>
      </w:pPr>
      <w:r w:rsidRPr="001C7E4C">
        <w:rPr>
          <w:rFonts w:ascii="Arial" w:hAnsi="Arial" w:cs="Arial"/>
          <w:b/>
          <w:sz w:val="25"/>
          <w:szCs w:val="25"/>
        </w:rPr>
        <w:t>ATENTAMENTE.</w:t>
      </w:r>
    </w:p>
    <w:p w:rsidR="00492DCC" w:rsidRPr="001C7E4C" w:rsidRDefault="00492DCC" w:rsidP="00E021AF">
      <w:pPr>
        <w:tabs>
          <w:tab w:val="left" w:pos="3300"/>
          <w:tab w:val="center" w:pos="4419"/>
        </w:tabs>
        <w:spacing w:after="0" w:line="336" w:lineRule="auto"/>
        <w:ind w:right="157"/>
        <w:jc w:val="center"/>
        <w:rPr>
          <w:rFonts w:ascii="Arial" w:hAnsi="Arial" w:cs="Arial"/>
          <w:b/>
          <w:sz w:val="25"/>
          <w:szCs w:val="25"/>
        </w:rPr>
      </w:pPr>
    </w:p>
    <w:p w:rsidR="006C7F4D" w:rsidRPr="001C7E4C" w:rsidRDefault="006C7F4D" w:rsidP="00E021AF">
      <w:pPr>
        <w:tabs>
          <w:tab w:val="left" w:pos="3300"/>
          <w:tab w:val="center" w:pos="4419"/>
        </w:tabs>
        <w:spacing w:after="0" w:line="336" w:lineRule="auto"/>
        <w:ind w:right="157"/>
        <w:jc w:val="center"/>
        <w:rPr>
          <w:rFonts w:ascii="Arial" w:hAnsi="Arial" w:cs="Arial"/>
          <w:b/>
          <w:sz w:val="25"/>
          <w:szCs w:val="25"/>
        </w:rPr>
      </w:pPr>
    </w:p>
    <w:p w:rsidR="000A2561" w:rsidRDefault="000A2561" w:rsidP="00E021AF">
      <w:pPr>
        <w:tabs>
          <w:tab w:val="left" w:pos="3300"/>
          <w:tab w:val="center" w:pos="4419"/>
        </w:tabs>
        <w:spacing w:after="0" w:line="336" w:lineRule="auto"/>
        <w:ind w:right="157"/>
        <w:jc w:val="center"/>
        <w:rPr>
          <w:rFonts w:ascii="Arial" w:hAnsi="Arial" w:cs="Arial"/>
          <w:b/>
          <w:sz w:val="25"/>
          <w:szCs w:val="25"/>
        </w:rPr>
      </w:pPr>
    </w:p>
    <w:p w:rsidR="008B1334" w:rsidRPr="001C7E4C" w:rsidRDefault="008B1334" w:rsidP="00E021AF">
      <w:pPr>
        <w:tabs>
          <w:tab w:val="left" w:pos="3300"/>
          <w:tab w:val="center" w:pos="4419"/>
        </w:tabs>
        <w:spacing w:after="0" w:line="336" w:lineRule="auto"/>
        <w:ind w:right="157"/>
        <w:jc w:val="center"/>
        <w:rPr>
          <w:rFonts w:ascii="Arial" w:hAnsi="Arial" w:cs="Arial"/>
          <w:b/>
          <w:sz w:val="25"/>
          <w:szCs w:val="25"/>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646"/>
      </w:tblGrid>
      <w:tr w:rsidR="00492DCC" w:rsidRPr="001C7E4C" w:rsidTr="001164E1">
        <w:tc>
          <w:tcPr>
            <w:tcW w:w="4361" w:type="dxa"/>
            <w:tcBorders>
              <w:bottom w:val="single" w:sz="4" w:space="0" w:color="auto"/>
            </w:tcBorders>
          </w:tcPr>
          <w:p w:rsidR="00492DCC" w:rsidRPr="001C7E4C" w:rsidRDefault="00492DCC" w:rsidP="00E021AF">
            <w:pPr>
              <w:spacing w:line="336" w:lineRule="auto"/>
              <w:ind w:right="157"/>
              <w:jc w:val="center"/>
              <w:rPr>
                <w:rFonts w:ascii="Arial" w:hAnsi="Arial" w:cs="Arial"/>
                <w:b/>
                <w:sz w:val="25"/>
                <w:szCs w:val="25"/>
              </w:rPr>
            </w:pPr>
          </w:p>
        </w:tc>
        <w:tc>
          <w:tcPr>
            <w:tcW w:w="283" w:type="dxa"/>
          </w:tcPr>
          <w:p w:rsidR="00492DCC" w:rsidRPr="001C7E4C" w:rsidRDefault="00492DCC" w:rsidP="00E021AF">
            <w:pPr>
              <w:spacing w:line="336" w:lineRule="auto"/>
              <w:ind w:right="157"/>
              <w:jc w:val="center"/>
              <w:rPr>
                <w:rFonts w:ascii="Arial" w:hAnsi="Arial" w:cs="Arial"/>
                <w:b/>
                <w:sz w:val="25"/>
                <w:szCs w:val="25"/>
              </w:rPr>
            </w:pPr>
          </w:p>
        </w:tc>
        <w:tc>
          <w:tcPr>
            <w:tcW w:w="4646" w:type="dxa"/>
            <w:tcBorders>
              <w:bottom w:val="single" w:sz="4" w:space="0" w:color="auto"/>
            </w:tcBorders>
          </w:tcPr>
          <w:p w:rsidR="00492DCC" w:rsidRPr="001C7E4C" w:rsidRDefault="00492DCC" w:rsidP="00E021AF">
            <w:pPr>
              <w:spacing w:line="336" w:lineRule="auto"/>
              <w:ind w:right="157"/>
              <w:jc w:val="center"/>
              <w:rPr>
                <w:rFonts w:ascii="Arial" w:hAnsi="Arial" w:cs="Arial"/>
                <w:b/>
                <w:sz w:val="25"/>
                <w:szCs w:val="25"/>
              </w:rPr>
            </w:pPr>
          </w:p>
        </w:tc>
      </w:tr>
      <w:tr w:rsidR="00492DCC" w:rsidRPr="001C7E4C" w:rsidTr="001164E1">
        <w:tc>
          <w:tcPr>
            <w:tcW w:w="4361" w:type="dxa"/>
            <w:tcBorders>
              <w:top w:val="single" w:sz="4" w:space="0" w:color="auto"/>
            </w:tcBorders>
          </w:tcPr>
          <w:p w:rsidR="00492DCC" w:rsidRPr="001C7E4C" w:rsidRDefault="00492DCC" w:rsidP="00E021AF">
            <w:pPr>
              <w:spacing w:line="336" w:lineRule="auto"/>
              <w:ind w:right="157"/>
              <w:jc w:val="center"/>
              <w:rPr>
                <w:rFonts w:ascii="Arial" w:hAnsi="Arial" w:cs="Arial"/>
                <w:sz w:val="25"/>
                <w:szCs w:val="25"/>
              </w:rPr>
            </w:pPr>
            <w:r w:rsidRPr="001C7E4C">
              <w:rPr>
                <w:rFonts w:ascii="Arial" w:hAnsi="Arial" w:cs="Arial"/>
                <w:b/>
                <w:sz w:val="25"/>
                <w:szCs w:val="25"/>
              </w:rPr>
              <w:t>DIP. LORENZO ARTURO PARGA AMADO.</w:t>
            </w:r>
          </w:p>
          <w:p w:rsidR="00492DCC" w:rsidRPr="001C7E4C" w:rsidRDefault="00492DCC" w:rsidP="00E021AF">
            <w:pPr>
              <w:spacing w:line="336" w:lineRule="auto"/>
              <w:ind w:right="157"/>
              <w:jc w:val="center"/>
              <w:rPr>
                <w:rFonts w:ascii="Arial" w:hAnsi="Arial" w:cs="Arial"/>
                <w:b/>
                <w:sz w:val="25"/>
                <w:szCs w:val="25"/>
              </w:rPr>
            </w:pPr>
          </w:p>
        </w:tc>
        <w:tc>
          <w:tcPr>
            <w:tcW w:w="283" w:type="dxa"/>
          </w:tcPr>
          <w:p w:rsidR="00492DCC" w:rsidRPr="001C7E4C" w:rsidRDefault="00492DCC" w:rsidP="00E021AF">
            <w:pPr>
              <w:spacing w:line="336" w:lineRule="auto"/>
              <w:ind w:right="157"/>
              <w:jc w:val="center"/>
              <w:rPr>
                <w:rFonts w:ascii="Arial" w:hAnsi="Arial" w:cs="Arial"/>
                <w:b/>
                <w:sz w:val="25"/>
                <w:szCs w:val="25"/>
              </w:rPr>
            </w:pPr>
          </w:p>
        </w:tc>
        <w:tc>
          <w:tcPr>
            <w:tcW w:w="4646" w:type="dxa"/>
            <w:tcBorders>
              <w:top w:val="single" w:sz="4" w:space="0" w:color="auto"/>
            </w:tcBorders>
          </w:tcPr>
          <w:p w:rsidR="00492DCC" w:rsidRPr="001C7E4C" w:rsidRDefault="00492DCC" w:rsidP="00E021AF">
            <w:pPr>
              <w:spacing w:line="336" w:lineRule="auto"/>
              <w:ind w:right="157"/>
              <w:jc w:val="center"/>
              <w:rPr>
                <w:rFonts w:ascii="Arial" w:hAnsi="Arial" w:cs="Arial"/>
                <w:b/>
                <w:sz w:val="25"/>
                <w:szCs w:val="25"/>
              </w:rPr>
            </w:pPr>
            <w:r w:rsidRPr="001C7E4C">
              <w:rPr>
                <w:rFonts w:ascii="Arial" w:hAnsi="Arial" w:cs="Arial"/>
                <w:b/>
                <w:sz w:val="25"/>
                <w:szCs w:val="25"/>
              </w:rPr>
              <w:t>DIP. ROCÍO GUADALUPE SARMIENTO RUFINO.</w:t>
            </w:r>
          </w:p>
        </w:tc>
      </w:tr>
    </w:tbl>
    <w:p w:rsidR="000547D8" w:rsidRPr="001C7E4C" w:rsidRDefault="000547D8" w:rsidP="00E021AF">
      <w:pPr>
        <w:spacing w:after="0" w:line="336" w:lineRule="auto"/>
        <w:ind w:right="157"/>
        <w:jc w:val="center"/>
        <w:rPr>
          <w:rFonts w:ascii="Arial" w:hAnsi="Arial" w:cs="Arial"/>
          <w:sz w:val="25"/>
          <w:szCs w:val="25"/>
        </w:rPr>
      </w:pPr>
    </w:p>
    <w:sectPr w:rsidR="000547D8" w:rsidRPr="001C7E4C" w:rsidSect="001C7E4C">
      <w:headerReference w:type="default" r:id="rId9"/>
      <w:footerReference w:type="default" r:id="rId10"/>
      <w:pgSz w:w="12240" w:h="15840"/>
      <w:pgMar w:top="1440" w:right="1077" w:bottom="153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89" w:rsidRDefault="00A77189" w:rsidP="00926297">
      <w:pPr>
        <w:spacing w:after="0" w:line="240" w:lineRule="auto"/>
      </w:pPr>
      <w:r>
        <w:separator/>
      </w:r>
    </w:p>
  </w:endnote>
  <w:endnote w:type="continuationSeparator" w:id="1">
    <w:p w:rsidR="00A77189" w:rsidRDefault="00A77189" w:rsidP="00926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ijaya">
    <w:altName w:val="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094"/>
      <w:docPartObj>
        <w:docPartGallery w:val="Page Numbers (Bottom of Page)"/>
        <w:docPartUnique/>
      </w:docPartObj>
    </w:sdtPr>
    <w:sdtEndPr>
      <w:rPr>
        <w:rFonts w:ascii="Arial" w:hAnsi="Arial" w:cs="Arial"/>
        <w:sz w:val="20"/>
        <w:szCs w:val="20"/>
      </w:rPr>
    </w:sdtEndPr>
    <w:sdtContent>
      <w:p w:rsidR="001164E1" w:rsidRPr="00BB6129" w:rsidRDefault="00745FAB">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7505" cy="374650"/>
                      </a:xfrm>
                      <a:prstGeom prst="rect">
                        <a:avLst/>
                      </a:prstGeom>
                    </pic:spPr>
                  </pic:pic>
                </a:graphicData>
              </a:graphic>
            </wp:anchor>
          </w:drawing>
        </w:r>
        <w:r w:rsidR="00D446D8"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D446D8" w:rsidRPr="00BB6129">
          <w:rPr>
            <w:rFonts w:ascii="Arial" w:hAnsi="Arial" w:cs="Arial"/>
            <w:sz w:val="20"/>
            <w:szCs w:val="20"/>
          </w:rPr>
          <w:fldChar w:fldCharType="separate"/>
        </w:r>
        <w:r w:rsidR="00A74785">
          <w:rPr>
            <w:rFonts w:ascii="Arial" w:hAnsi="Arial" w:cs="Arial"/>
            <w:noProof/>
            <w:sz w:val="20"/>
            <w:szCs w:val="20"/>
          </w:rPr>
          <w:t>1</w:t>
        </w:r>
        <w:r w:rsidR="00D446D8" w:rsidRPr="00BB6129">
          <w:rPr>
            <w:rFonts w:ascii="Arial" w:hAnsi="Arial" w:cs="Arial"/>
            <w:sz w:val="20"/>
            <w:szCs w:val="20"/>
          </w:rPr>
          <w:fldChar w:fldCharType="end"/>
        </w:r>
      </w:p>
    </w:sdtContent>
  </w:sdt>
  <w:p w:rsidR="001164E1" w:rsidRDefault="00D446D8">
    <w:pPr>
      <w:pStyle w:val="Piedepgina"/>
    </w:pPr>
    <w:r>
      <w:rPr>
        <w:noProof/>
      </w:rPr>
      <w:pict>
        <v:line id="Conector recto 6" o:spid="_x0000_s4097"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89" w:rsidRDefault="00A77189" w:rsidP="00926297">
      <w:pPr>
        <w:spacing w:after="0" w:line="240" w:lineRule="auto"/>
      </w:pPr>
      <w:r>
        <w:separator/>
      </w:r>
    </w:p>
  </w:footnote>
  <w:footnote w:type="continuationSeparator" w:id="1">
    <w:p w:rsidR="00A77189" w:rsidRDefault="00A77189" w:rsidP="00926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0" cy="933450"/>
                  </a:xfrm>
                  <a:prstGeom prst="rect">
                    <a:avLst/>
                  </a:prstGeom>
                </pic:spPr>
              </pic:pic>
            </a:graphicData>
          </a:graphic>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rsidR="001164E1" w:rsidRPr="00961DFF" w:rsidRDefault="00D446D8"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w:pict>
        <v:line id="Conector recto 4" o:spid="_x0000_s409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w:r>
  </w:p>
  <w:p w:rsidR="001164E1" w:rsidRDefault="001164E1" w:rsidP="004072EF">
    <w:pPr>
      <w:pStyle w:val="Encabezado"/>
      <w:tabs>
        <w:tab w:val="left" w:pos="4545"/>
      </w:tabs>
      <w:spacing w:line="360" w:lineRule="auto"/>
      <w:rPr>
        <w:rFonts w:ascii="Vijaya" w:hAnsi="Vijaya" w:cs="Vijaya"/>
      </w:rPr>
    </w:pPr>
    <w:r>
      <w:rPr>
        <w:rFonts w:ascii="Vijaya" w:hAnsi="Vijaya" w:cs="Vijaya"/>
      </w:rPr>
      <w:tab/>
    </w:r>
  </w:p>
  <w:p w:rsidR="001164E1" w:rsidRDefault="001164E1" w:rsidP="004072EF">
    <w:pPr>
      <w:pStyle w:val="Encabezado"/>
      <w:tabs>
        <w:tab w:val="left" w:pos="2040"/>
      </w:tabs>
      <w:spacing w:line="360" w:lineRule="auto"/>
      <w:rPr>
        <w:rFonts w:ascii="Vijaya" w:hAnsi="Vijaya" w:cs="Vijaya"/>
      </w:rPr>
    </w:pPr>
    <w:r>
      <w:rPr>
        <w:rFonts w:ascii="Vijaya" w:hAnsi="Vijaya" w:cs="Vijaya"/>
      </w:rPr>
      <w:tab/>
    </w:r>
  </w:p>
  <w:p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1849"/>
    <w:rsid w:val="000D7035"/>
    <w:rsid w:val="000E18F5"/>
    <w:rsid w:val="000F551C"/>
    <w:rsid w:val="000F7F3E"/>
    <w:rsid w:val="001164E1"/>
    <w:rsid w:val="00121870"/>
    <w:rsid w:val="00126B13"/>
    <w:rsid w:val="00142E58"/>
    <w:rsid w:val="001638DD"/>
    <w:rsid w:val="00176D91"/>
    <w:rsid w:val="00184D05"/>
    <w:rsid w:val="00190ED0"/>
    <w:rsid w:val="001B2743"/>
    <w:rsid w:val="001C1F06"/>
    <w:rsid w:val="001C6859"/>
    <w:rsid w:val="001C7E4C"/>
    <w:rsid w:val="001D6F0F"/>
    <w:rsid w:val="001E2D7C"/>
    <w:rsid w:val="001F2F08"/>
    <w:rsid w:val="001F7A96"/>
    <w:rsid w:val="001F7F2B"/>
    <w:rsid w:val="0020596E"/>
    <w:rsid w:val="002128EA"/>
    <w:rsid w:val="002308A4"/>
    <w:rsid w:val="00233874"/>
    <w:rsid w:val="00243E51"/>
    <w:rsid w:val="00247C75"/>
    <w:rsid w:val="00260369"/>
    <w:rsid w:val="00260BED"/>
    <w:rsid w:val="00264EFD"/>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0304"/>
    <w:rsid w:val="00342E41"/>
    <w:rsid w:val="003529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17C4"/>
    <w:rsid w:val="003D3935"/>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05BD0"/>
    <w:rsid w:val="00513A8B"/>
    <w:rsid w:val="00520C90"/>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92BB8"/>
    <w:rsid w:val="005A7B9D"/>
    <w:rsid w:val="005B07C0"/>
    <w:rsid w:val="005D15E8"/>
    <w:rsid w:val="005D69C4"/>
    <w:rsid w:val="005F197C"/>
    <w:rsid w:val="005F7E65"/>
    <w:rsid w:val="00600FB5"/>
    <w:rsid w:val="00627DC0"/>
    <w:rsid w:val="0064596D"/>
    <w:rsid w:val="00647993"/>
    <w:rsid w:val="00672B4B"/>
    <w:rsid w:val="00696B5C"/>
    <w:rsid w:val="006974C3"/>
    <w:rsid w:val="006A2B6C"/>
    <w:rsid w:val="006A36B3"/>
    <w:rsid w:val="006C305F"/>
    <w:rsid w:val="006C7F4D"/>
    <w:rsid w:val="006D5B77"/>
    <w:rsid w:val="006F29DA"/>
    <w:rsid w:val="00714116"/>
    <w:rsid w:val="00734CA6"/>
    <w:rsid w:val="00737434"/>
    <w:rsid w:val="00745FAB"/>
    <w:rsid w:val="00756E58"/>
    <w:rsid w:val="007604FD"/>
    <w:rsid w:val="00763D7C"/>
    <w:rsid w:val="00767994"/>
    <w:rsid w:val="0077321A"/>
    <w:rsid w:val="00774991"/>
    <w:rsid w:val="00783B75"/>
    <w:rsid w:val="00790680"/>
    <w:rsid w:val="007A25C2"/>
    <w:rsid w:val="007A6BA7"/>
    <w:rsid w:val="007B25D1"/>
    <w:rsid w:val="007C55B2"/>
    <w:rsid w:val="007D0573"/>
    <w:rsid w:val="007D5B40"/>
    <w:rsid w:val="007E0F74"/>
    <w:rsid w:val="007E218C"/>
    <w:rsid w:val="007E5593"/>
    <w:rsid w:val="007F0BE2"/>
    <w:rsid w:val="007F1453"/>
    <w:rsid w:val="007F295B"/>
    <w:rsid w:val="0080092A"/>
    <w:rsid w:val="00810949"/>
    <w:rsid w:val="0081699D"/>
    <w:rsid w:val="00825648"/>
    <w:rsid w:val="00846C39"/>
    <w:rsid w:val="0087197C"/>
    <w:rsid w:val="008758C8"/>
    <w:rsid w:val="00887B21"/>
    <w:rsid w:val="008B1334"/>
    <w:rsid w:val="008C1C7C"/>
    <w:rsid w:val="008C5178"/>
    <w:rsid w:val="008E1B25"/>
    <w:rsid w:val="008E1E4A"/>
    <w:rsid w:val="008E63EC"/>
    <w:rsid w:val="008F6FED"/>
    <w:rsid w:val="00915DF3"/>
    <w:rsid w:val="00921484"/>
    <w:rsid w:val="00925E9A"/>
    <w:rsid w:val="00926297"/>
    <w:rsid w:val="0092647E"/>
    <w:rsid w:val="00944CAD"/>
    <w:rsid w:val="00950E17"/>
    <w:rsid w:val="00956D6C"/>
    <w:rsid w:val="00961DFF"/>
    <w:rsid w:val="00973E9E"/>
    <w:rsid w:val="009769C4"/>
    <w:rsid w:val="009A02A6"/>
    <w:rsid w:val="009D256B"/>
    <w:rsid w:val="009E600F"/>
    <w:rsid w:val="00A009CF"/>
    <w:rsid w:val="00A00D4A"/>
    <w:rsid w:val="00A11686"/>
    <w:rsid w:val="00A14A48"/>
    <w:rsid w:val="00A23B85"/>
    <w:rsid w:val="00A310C7"/>
    <w:rsid w:val="00A50031"/>
    <w:rsid w:val="00A527AB"/>
    <w:rsid w:val="00A57ADC"/>
    <w:rsid w:val="00A61330"/>
    <w:rsid w:val="00A74785"/>
    <w:rsid w:val="00A77189"/>
    <w:rsid w:val="00A80D66"/>
    <w:rsid w:val="00A82C1C"/>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1012"/>
    <w:rsid w:val="00B173BE"/>
    <w:rsid w:val="00B2371A"/>
    <w:rsid w:val="00B26D03"/>
    <w:rsid w:val="00B316B2"/>
    <w:rsid w:val="00B32112"/>
    <w:rsid w:val="00B3212D"/>
    <w:rsid w:val="00B36B5A"/>
    <w:rsid w:val="00B41C2E"/>
    <w:rsid w:val="00B42FA2"/>
    <w:rsid w:val="00B50A42"/>
    <w:rsid w:val="00B57E63"/>
    <w:rsid w:val="00B60733"/>
    <w:rsid w:val="00B856D5"/>
    <w:rsid w:val="00BA199D"/>
    <w:rsid w:val="00BA4F0A"/>
    <w:rsid w:val="00BA4F54"/>
    <w:rsid w:val="00BA5AD4"/>
    <w:rsid w:val="00BB6129"/>
    <w:rsid w:val="00BC494E"/>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22846"/>
    <w:rsid w:val="00D31BB1"/>
    <w:rsid w:val="00D33BF0"/>
    <w:rsid w:val="00D446D8"/>
    <w:rsid w:val="00D46463"/>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0540B"/>
    <w:rsid w:val="00E223EE"/>
    <w:rsid w:val="00E36A0F"/>
    <w:rsid w:val="00E4478A"/>
    <w:rsid w:val="00E451CF"/>
    <w:rsid w:val="00E71740"/>
    <w:rsid w:val="00E76157"/>
    <w:rsid w:val="00E76C84"/>
    <w:rsid w:val="00EB341C"/>
    <w:rsid w:val="00EB4883"/>
    <w:rsid w:val="00EC76AE"/>
    <w:rsid w:val="00F02E2F"/>
    <w:rsid w:val="00F05261"/>
    <w:rsid w:val="00F11DAB"/>
    <w:rsid w:val="00F131B6"/>
    <w:rsid w:val="00F27CE8"/>
    <w:rsid w:val="00F50A26"/>
    <w:rsid w:val="00F761FF"/>
    <w:rsid w:val="00F900CF"/>
    <w:rsid w:val="00F91642"/>
    <w:rsid w:val="00F92BF0"/>
    <w:rsid w:val="00F958C0"/>
    <w:rsid w:val="00FA0586"/>
    <w:rsid w:val="00FA0DCB"/>
    <w:rsid w:val="00FA1248"/>
    <w:rsid w:val="00FB262F"/>
    <w:rsid w:val="00FE288A"/>
    <w:rsid w:val="00FE58DF"/>
    <w:rsid w:val="00FF59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r="http://schemas.openxmlformats.org/officeDocument/2006/relationships" xmlns:w="http://schemas.openxmlformats.org/wordprocessingml/2006/main">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ABC-C0B5-46F9-A42E-3630B4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Bere-Rene</cp:lastModifiedBy>
  <cp:revision>2</cp:revision>
  <cp:lastPrinted>2019-10-10T19:49:00Z</cp:lastPrinted>
  <dcterms:created xsi:type="dcterms:W3CDTF">2020-07-16T23:57:00Z</dcterms:created>
  <dcterms:modified xsi:type="dcterms:W3CDTF">2020-07-16T23:57:00Z</dcterms:modified>
</cp:coreProperties>
</file>