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8C4" w:rsidRPr="00AA004E" w:rsidRDefault="00AB28C4" w:rsidP="00AB28C4">
      <w:pPr>
        <w:spacing w:after="0"/>
        <w:rPr>
          <w:rFonts w:ascii="Arial" w:hAnsi="Arial" w:cs="Arial"/>
          <w:b/>
          <w:bCs/>
          <w:sz w:val="24"/>
          <w:szCs w:val="24"/>
        </w:rPr>
      </w:pPr>
      <w:r w:rsidRPr="00AA004E">
        <w:rPr>
          <w:rFonts w:ascii="Arial" w:hAnsi="Arial" w:cs="Arial"/>
          <w:b/>
          <w:bCs/>
          <w:sz w:val="24"/>
          <w:szCs w:val="24"/>
        </w:rPr>
        <w:t>H. CONGRESO DEL ESTADO DE CHIHUAHUA</w:t>
      </w:r>
    </w:p>
    <w:p w:rsidR="00AB28C4" w:rsidRDefault="00AB28C4" w:rsidP="00AB28C4">
      <w:pPr>
        <w:spacing w:after="0"/>
        <w:rPr>
          <w:rFonts w:ascii="Arial" w:hAnsi="Arial" w:cs="Arial"/>
          <w:b/>
          <w:bCs/>
          <w:sz w:val="24"/>
          <w:szCs w:val="24"/>
        </w:rPr>
      </w:pPr>
      <w:r w:rsidRPr="00AA004E">
        <w:rPr>
          <w:rFonts w:ascii="Arial" w:hAnsi="Arial" w:cs="Arial"/>
          <w:b/>
          <w:bCs/>
          <w:sz w:val="24"/>
          <w:szCs w:val="24"/>
        </w:rPr>
        <w:t xml:space="preserve">P R E S E N T </w:t>
      </w:r>
      <w:proofErr w:type="gramStart"/>
      <w:r w:rsidRPr="00AA004E">
        <w:rPr>
          <w:rFonts w:ascii="Arial" w:hAnsi="Arial" w:cs="Arial"/>
          <w:b/>
          <w:bCs/>
          <w:sz w:val="24"/>
          <w:szCs w:val="24"/>
        </w:rPr>
        <w:t>E .-</w:t>
      </w:r>
      <w:proofErr w:type="gramEnd"/>
    </w:p>
    <w:p w:rsidR="00AB28C4" w:rsidRPr="00AA004E" w:rsidRDefault="00AB28C4" w:rsidP="00AB28C4">
      <w:pPr>
        <w:spacing w:after="0"/>
        <w:rPr>
          <w:rFonts w:ascii="Arial" w:hAnsi="Arial" w:cs="Arial"/>
          <w:b/>
          <w:bCs/>
          <w:sz w:val="24"/>
          <w:szCs w:val="24"/>
        </w:rPr>
      </w:pPr>
    </w:p>
    <w:p w:rsidR="00AB28C4" w:rsidRDefault="00AB28C4" w:rsidP="00AB28C4">
      <w:pPr>
        <w:spacing w:line="360" w:lineRule="auto"/>
        <w:jc w:val="both"/>
        <w:rPr>
          <w:rFonts w:ascii="Arial" w:hAnsi="Arial" w:cs="Arial"/>
          <w:sz w:val="24"/>
          <w:szCs w:val="24"/>
        </w:rPr>
      </w:pPr>
      <w:r>
        <w:rPr>
          <w:rFonts w:ascii="Arial" w:hAnsi="Arial" w:cs="Arial"/>
          <w:sz w:val="24"/>
          <w:szCs w:val="24"/>
        </w:rPr>
        <w:t xml:space="preserve">Los suscritos </w:t>
      </w:r>
      <w:proofErr w:type="spellStart"/>
      <w:r>
        <w:rPr>
          <w:rFonts w:ascii="Arial" w:hAnsi="Arial" w:cs="Arial"/>
          <w:sz w:val="24"/>
          <w:szCs w:val="24"/>
        </w:rPr>
        <w:t>Dip</w:t>
      </w:r>
      <w:proofErr w:type="spellEnd"/>
      <w:r>
        <w:rPr>
          <w:rFonts w:ascii="Arial" w:hAnsi="Arial" w:cs="Arial"/>
          <w:sz w:val="24"/>
          <w:szCs w:val="24"/>
        </w:rPr>
        <w:t xml:space="preserve">. </w:t>
      </w:r>
      <w:proofErr w:type="spellStart"/>
      <w:r>
        <w:rPr>
          <w:rFonts w:ascii="Arial" w:hAnsi="Arial" w:cs="Arial"/>
          <w:sz w:val="24"/>
          <w:szCs w:val="24"/>
        </w:rPr>
        <w:t>Rocio</w:t>
      </w:r>
      <w:proofErr w:type="spellEnd"/>
      <w:r>
        <w:rPr>
          <w:rFonts w:ascii="Arial" w:hAnsi="Arial" w:cs="Arial"/>
          <w:sz w:val="24"/>
          <w:szCs w:val="24"/>
        </w:rPr>
        <w:t xml:space="preserve"> Sarmiento Rufino y </w:t>
      </w:r>
      <w:proofErr w:type="spellStart"/>
      <w:r>
        <w:rPr>
          <w:rFonts w:ascii="Arial" w:hAnsi="Arial" w:cs="Arial"/>
          <w:sz w:val="24"/>
          <w:szCs w:val="24"/>
        </w:rPr>
        <w:t>Dip</w:t>
      </w:r>
      <w:proofErr w:type="spellEnd"/>
      <w:r>
        <w:rPr>
          <w:rFonts w:ascii="Arial" w:hAnsi="Arial" w:cs="Arial"/>
          <w:sz w:val="24"/>
          <w:szCs w:val="24"/>
        </w:rPr>
        <w:t xml:space="preserve">. Lorenzo Arturo </w:t>
      </w:r>
      <w:proofErr w:type="spellStart"/>
      <w:r>
        <w:rPr>
          <w:rFonts w:ascii="Arial" w:hAnsi="Arial" w:cs="Arial"/>
          <w:sz w:val="24"/>
          <w:szCs w:val="24"/>
        </w:rPr>
        <w:t>Parga</w:t>
      </w:r>
      <w:proofErr w:type="spellEnd"/>
      <w:r>
        <w:rPr>
          <w:rFonts w:ascii="Arial" w:hAnsi="Arial" w:cs="Arial"/>
          <w:sz w:val="24"/>
          <w:szCs w:val="24"/>
        </w:rPr>
        <w:t xml:space="preserve"> Amado, en nuestro carácter de Diputados de la Sexagésima Sexta Legislatura del Honorable Congreso del Estado e Integrantes del Grupo Parlamentario del Partido Movimiento </w:t>
      </w:r>
      <w:r w:rsidR="00F86B24">
        <w:rPr>
          <w:rFonts w:ascii="Arial" w:hAnsi="Arial" w:cs="Arial"/>
          <w:sz w:val="24"/>
          <w:szCs w:val="24"/>
        </w:rPr>
        <w:t>Ciudadano, con fundamento en el</w:t>
      </w:r>
      <w:r>
        <w:rPr>
          <w:rFonts w:ascii="Arial" w:hAnsi="Arial" w:cs="Arial"/>
          <w:sz w:val="24"/>
          <w:szCs w:val="24"/>
        </w:rPr>
        <w:t xml:space="preserve"> artículo </w:t>
      </w:r>
      <w:r w:rsidR="00F86B24">
        <w:rPr>
          <w:rFonts w:ascii="Arial" w:hAnsi="Arial" w:cs="Arial"/>
          <w:sz w:val="24"/>
          <w:szCs w:val="24"/>
        </w:rPr>
        <w:t xml:space="preserve">71, párrafo primero, fracción III de la Constitución Política de los Estados Unidos Mexicanos; el </w:t>
      </w:r>
      <w:r>
        <w:rPr>
          <w:rFonts w:ascii="Arial" w:hAnsi="Arial" w:cs="Arial"/>
          <w:sz w:val="24"/>
          <w:szCs w:val="24"/>
        </w:rPr>
        <w:t xml:space="preserve">64 fracción II y 68 fracción I de la Constitución Política del Estado de Chihuahua, y </w:t>
      </w:r>
      <w:r w:rsidR="004519BD">
        <w:rPr>
          <w:rFonts w:ascii="Arial" w:hAnsi="Arial" w:cs="Arial"/>
          <w:sz w:val="24"/>
          <w:szCs w:val="24"/>
        </w:rPr>
        <w:t>los</w:t>
      </w:r>
      <w:r>
        <w:rPr>
          <w:rFonts w:ascii="Arial" w:hAnsi="Arial" w:cs="Arial"/>
          <w:sz w:val="24"/>
          <w:szCs w:val="24"/>
        </w:rPr>
        <w:t xml:space="preserve"> artículo</w:t>
      </w:r>
      <w:r w:rsidR="004519BD">
        <w:rPr>
          <w:rFonts w:ascii="Arial" w:hAnsi="Arial" w:cs="Arial"/>
          <w:sz w:val="24"/>
          <w:szCs w:val="24"/>
        </w:rPr>
        <w:t>s</w:t>
      </w:r>
      <w:r>
        <w:rPr>
          <w:rFonts w:ascii="Arial" w:hAnsi="Arial" w:cs="Arial"/>
          <w:sz w:val="24"/>
          <w:szCs w:val="24"/>
        </w:rPr>
        <w:t xml:space="preserve"> 167 fracción I</w:t>
      </w:r>
      <w:r w:rsidR="004519BD">
        <w:rPr>
          <w:rFonts w:ascii="Arial" w:hAnsi="Arial" w:cs="Arial"/>
          <w:sz w:val="24"/>
          <w:szCs w:val="24"/>
        </w:rPr>
        <w:t>, y 170 de</w:t>
      </w:r>
      <w:r>
        <w:rPr>
          <w:rFonts w:ascii="Arial" w:hAnsi="Arial" w:cs="Arial"/>
          <w:sz w:val="24"/>
          <w:szCs w:val="24"/>
        </w:rPr>
        <w:t xml:space="preserve"> la Ley Orgánica que nos rige, acudimos ante </w:t>
      </w:r>
      <w:r w:rsidR="00812DF3">
        <w:rPr>
          <w:rFonts w:ascii="Arial" w:hAnsi="Arial" w:cs="Arial"/>
          <w:sz w:val="24"/>
          <w:szCs w:val="24"/>
        </w:rPr>
        <w:t>esta tribuna</w:t>
      </w:r>
      <w:r>
        <w:rPr>
          <w:rFonts w:ascii="Arial" w:hAnsi="Arial" w:cs="Arial"/>
          <w:sz w:val="24"/>
          <w:szCs w:val="24"/>
        </w:rPr>
        <w:t>, con el propósito de presentar iniciativa con cará</w:t>
      </w:r>
      <w:r w:rsidR="00F86B24">
        <w:rPr>
          <w:rFonts w:ascii="Arial" w:hAnsi="Arial" w:cs="Arial"/>
          <w:sz w:val="24"/>
          <w:szCs w:val="24"/>
        </w:rPr>
        <w:t>cter de Decreto ante el H, Congreso de la Unión, mediante la cua</w:t>
      </w:r>
      <w:r>
        <w:rPr>
          <w:rFonts w:ascii="Arial" w:hAnsi="Arial" w:cs="Arial"/>
          <w:sz w:val="24"/>
          <w:szCs w:val="24"/>
        </w:rPr>
        <w:t xml:space="preserve">l proponemos </w:t>
      </w:r>
      <w:r w:rsidR="00F86B24">
        <w:rPr>
          <w:rFonts w:ascii="Arial" w:hAnsi="Arial" w:cs="Arial"/>
          <w:sz w:val="24"/>
          <w:szCs w:val="24"/>
        </w:rPr>
        <w:t>reformar el párrafo tercero</w:t>
      </w:r>
      <w:r w:rsidR="00DE7C9F">
        <w:rPr>
          <w:rFonts w:ascii="Arial" w:hAnsi="Arial" w:cs="Arial"/>
          <w:sz w:val="24"/>
          <w:szCs w:val="24"/>
        </w:rPr>
        <w:t>,</w:t>
      </w:r>
      <w:r w:rsidR="00F86B24">
        <w:rPr>
          <w:rFonts w:ascii="Arial" w:hAnsi="Arial" w:cs="Arial"/>
          <w:sz w:val="24"/>
          <w:szCs w:val="24"/>
        </w:rPr>
        <w:t xml:space="preserve"> del apartado B</w:t>
      </w:r>
      <w:r w:rsidR="00DE7C9F">
        <w:rPr>
          <w:rFonts w:ascii="Arial" w:hAnsi="Arial" w:cs="Arial"/>
          <w:sz w:val="24"/>
          <w:szCs w:val="24"/>
        </w:rPr>
        <w:t>,</w:t>
      </w:r>
      <w:r w:rsidR="00F86B24">
        <w:rPr>
          <w:rFonts w:ascii="Arial" w:hAnsi="Arial" w:cs="Arial"/>
          <w:sz w:val="24"/>
          <w:szCs w:val="24"/>
        </w:rPr>
        <w:t xml:space="preserve"> del Artículo 102 de nuestra Carta Magna, así como la fracción I  del artículo 7 de la Ley de la Comisión N</w:t>
      </w:r>
      <w:r w:rsidR="00DE7C9F">
        <w:rPr>
          <w:rFonts w:ascii="Arial" w:hAnsi="Arial" w:cs="Arial"/>
          <w:sz w:val="24"/>
          <w:szCs w:val="24"/>
        </w:rPr>
        <w:t>acional de los Derechos Humanos, a fin de que se elim</w:t>
      </w:r>
      <w:r w:rsidR="00707D70">
        <w:rPr>
          <w:rFonts w:ascii="Arial" w:hAnsi="Arial" w:cs="Arial"/>
          <w:sz w:val="24"/>
          <w:szCs w:val="24"/>
        </w:rPr>
        <w:t>ine la restricción impuesta a los organismos defensores de los derechos humanos pa</w:t>
      </w:r>
      <w:r w:rsidR="00AD633B">
        <w:rPr>
          <w:rFonts w:ascii="Arial" w:hAnsi="Arial" w:cs="Arial"/>
          <w:sz w:val="24"/>
          <w:szCs w:val="24"/>
        </w:rPr>
        <w:t>ra conocer de los actos de la</w:t>
      </w:r>
      <w:r w:rsidR="00DE7C9F">
        <w:rPr>
          <w:rFonts w:ascii="Arial" w:hAnsi="Arial" w:cs="Arial"/>
          <w:sz w:val="24"/>
          <w:szCs w:val="24"/>
        </w:rPr>
        <w:t xml:space="preserve"> autoridad</w:t>
      </w:r>
      <w:bookmarkStart w:id="0" w:name="_GoBack"/>
      <w:bookmarkEnd w:id="0"/>
      <w:r w:rsidR="00DE7C9F">
        <w:rPr>
          <w:rFonts w:ascii="Arial" w:hAnsi="Arial" w:cs="Arial"/>
          <w:sz w:val="24"/>
          <w:szCs w:val="24"/>
        </w:rPr>
        <w:t xml:space="preserve"> que violen los derechos fundamentales en materia</w:t>
      </w:r>
      <w:r w:rsidR="00707D70">
        <w:rPr>
          <w:rFonts w:ascii="Arial" w:hAnsi="Arial" w:cs="Arial"/>
          <w:sz w:val="24"/>
          <w:szCs w:val="24"/>
        </w:rPr>
        <w:t xml:space="preserve"> electoral</w:t>
      </w:r>
      <w:r w:rsidR="00DE7C9F">
        <w:rPr>
          <w:rFonts w:ascii="Arial" w:hAnsi="Arial" w:cs="Arial"/>
          <w:sz w:val="24"/>
          <w:szCs w:val="24"/>
        </w:rPr>
        <w:t xml:space="preserve">. Lo anterior, con </w:t>
      </w:r>
      <w:r>
        <w:rPr>
          <w:rFonts w:ascii="Arial" w:hAnsi="Arial" w:cs="Arial"/>
          <w:sz w:val="24"/>
          <w:szCs w:val="24"/>
        </w:rPr>
        <w:t xml:space="preserve"> base a la siguiente:</w:t>
      </w:r>
    </w:p>
    <w:p w:rsidR="00AB28C4" w:rsidRDefault="00AB28C4" w:rsidP="00AB28C4">
      <w:pPr>
        <w:spacing w:line="360" w:lineRule="auto"/>
        <w:jc w:val="both"/>
        <w:rPr>
          <w:rFonts w:ascii="Arial" w:hAnsi="Arial" w:cs="Arial"/>
          <w:b/>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044E0">
        <w:rPr>
          <w:rFonts w:ascii="Arial" w:hAnsi="Arial" w:cs="Arial"/>
          <w:b/>
          <w:bCs/>
          <w:sz w:val="24"/>
          <w:szCs w:val="24"/>
        </w:rPr>
        <w:t>EXPOSICION   DE   MOTIVOS</w:t>
      </w:r>
      <w:r>
        <w:rPr>
          <w:rFonts w:ascii="Arial" w:hAnsi="Arial" w:cs="Arial"/>
          <w:b/>
          <w:bCs/>
          <w:sz w:val="24"/>
          <w:szCs w:val="24"/>
        </w:rPr>
        <w:t xml:space="preserve">   </w:t>
      </w:r>
    </w:p>
    <w:p w:rsidR="00ED035F" w:rsidRDefault="00BF4277" w:rsidP="001525C3">
      <w:pPr>
        <w:spacing w:line="360" w:lineRule="auto"/>
        <w:jc w:val="both"/>
        <w:rPr>
          <w:rFonts w:ascii="Arial" w:hAnsi="Arial" w:cs="Arial"/>
          <w:iCs/>
          <w:sz w:val="24"/>
          <w:szCs w:val="24"/>
        </w:rPr>
      </w:pPr>
      <w:r w:rsidRPr="00487F9D">
        <w:rPr>
          <w:rFonts w:ascii="Arial" w:hAnsi="Arial" w:cs="Arial"/>
          <w:iCs/>
          <w:sz w:val="24"/>
          <w:szCs w:val="24"/>
        </w:rPr>
        <w:t xml:space="preserve">En México, </w:t>
      </w:r>
      <w:r w:rsidRPr="00487F9D">
        <w:rPr>
          <w:rFonts w:ascii="Arial" w:hAnsi="Arial" w:cs="Arial"/>
          <w:sz w:val="24"/>
          <w:szCs w:val="24"/>
        </w:rPr>
        <w:t>un ciudadano no posee la legitimidad para controvertir posibles faltas al proceso electoral ni a sus resultados, puesto que, debido al marco legal que nos ri</w:t>
      </w:r>
      <w:r w:rsidR="001269CC" w:rsidRPr="00487F9D">
        <w:rPr>
          <w:rFonts w:ascii="Arial" w:hAnsi="Arial" w:cs="Arial"/>
          <w:sz w:val="24"/>
          <w:szCs w:val="24"/>
        </w:rPr>
        <w:t xml:space="preserve">ge, </w:t>
      </w:r>
      <w:r w:rsidRPr="00487F9D">
        <w:rPr>
          <w:rFonts w:ascii="Arial" w:hAnsi="Arial" w:cs="Arial"/>
          <w:sz w:val="24"/>
          <w:szCs w:val="24"/>
        </w:rPr>
        <w:t>esa facultad ha sido delegad</w:t>
      </w:r>
      <w:r w:rsidR="001269CC" w:rsidRPr="00487F9D">
        <w:rPr>
          <w:rFonts w:ascii="Arial" w:hAnsi="Arial" w:cs="Arial"/>
          <w:sz w:val="24"/>
          <w:szCs w:val="24"/>
        </w:rPr>
        <w:t>a a los partidos políticos;  y si bien es una de las c</w:t>
      </w:r>
      <w:r w:rsidR="00307E7E" w:rsidRPr="00487F9D">
        <w:rPr>
          <w:rFonts w:ascii="Arial" w:hAnsi="Arial" w:cs="Arial"/>
          <w:sz w:val="24"/>
          <w:szCs w:val="24"/>
        </w:rPr>
        <w:t xml:space="preserve">aracterísticas de nuestro sistema democrático, </w:t>
      </w:r>
      <w:r w:rsidR="00AF76C2" w:rsidRPr="00487F9D">
        <w:rPr>
          <w:rFonts w:ascii="Arial" w:hAnsi="Arial" w:cs="Arial"/>
          <w:sz w:val="24"/>
          <w:szCs w:val="24"/>
        </w:rPr>
        <w:t xml:space="preserve">resulta una </w:t>
      </w:r>
      <w:r w:rsidR="00AF76C2" w:rsidRPr="00487F9D">
        <w:rPr>
          <w:rFonts w:ascii="Arial" w:hAnsi="Arial" w:cs="Arial"/>
          <w:iCs/>
          <w:sz w:val="24"/>
          <w:szCs w:val="24"/>
        </w:rPr>
        <w:t>situación contraria a los tratados internacionales de los que México forma parte</w:t>
      </w:r>
      <w:r w:rsidR="00ED035F">
        <w:rPr>
          <w:rFonts w:ascii="Arial" w:hAnsi="Arial" w:cs="Arial"/>
          <w:iCs/>
          <w:sz w:val="24"/>
          <w:szCs w:val="24"/>
        </w:rPr>
        <w:t xml:space="preserve">, situación  a la que debemos poner atención hoy, sobre todo </w:t>
      </w:r>
      <w:r w:rsidR="00487F9D" w:rsidRPr="00487F9D">
        <w:rPr>
          <w:rFonts w:ascii="Arial" w:hAnsi="Arial" w:cs="Arial"/>
          <w:iCs/>
          <w:sz w:val="24"/>
          <w:szCs w:val="24"/>
        </w:rPr>
        <w:t xml:space="preserve">porque a partir de la participación ciudadana como instrumento democrático, </w:t>
      </w:r>
      <w:r w:rsidR="00707D70">
        <w:rPr>
          <w:rFonts w:ascii="Arial" w:hAnsi="Arial" w:cs="Arial"/>
          <w:iCs/>
          <w:sz w:val="24"/>
          <w:szCs w:val="24"/>
        </w:rPr>
        <w:t>ahora</w:t>
      </w:r>
      <w:r w:rsidR="00487F9D" w:rsidRPr="00487F9D">
        <w:rPr>
          <w:rFonts w:ascii="Arial" w:hAnsi="Arial" w:cs="Arial"/>
          <w:iCs/>
          <w:sz w:val="24"/>
          <w:szCs w:val="24"/>
        </w:rPr>
        <w:t xml:space="preserve"> es posible entre otras cosas, que un ciudadano o ciudadana pueda ejercer su derecho a ser votado o votada</w:t>
      </w:r>
      <w:r w:rsidR="00707D70">
        <w:rPr>
          <w:rFonts w:ascii="Arial" w:hAnsi="Arial" w:cs="Arial"/>
          <w:iCs/>
          <w:sz w:val="24"/>
          <w:szCs w:val="24"/>
        </w:rPr>
        <w:t>,</w:t>
      </w:r>
      <w:r w:rsidR="00487F9D" w:rsidRPr="00487F9D">
        <w:rPr>
          <w:rFonts w:ascii="Arial" w:hAnsi="Arial" w:cs="Arial"/>
          <w:iCs/>
          <w:sz w:val="24"/>
          <w:szCs w:val="24"/>
        </w:rPr>
        <w:t xml:space="preserve"> sin la intervención de los partidos políticos</w:t>
      </w:r>
      <w:r w:rsidR="00ED035F">
        <w:rPr>
          <w:rFonts w:ascii="Arial" w:hAnsi="Arial" w:cs="Arial"/>
          <w:iCs/>
          <w:sz w:val="24"/>
          <w:szCs w:val="24"/>
        </w:rPr>
        <w:t>.</w:t>
      </w:r>
    </w:p>
    <w:p w:rsidR="00727587" w:rsidRDefault="005B25FA" w:rsidP="00A04B7B">
      <w:pPr>
        <w:spacing w:line="360" w:lineRule="auto"/>
        <w:jc w:val="both"/>
        <w:rPr>
          <w:rFonts w:ascii="Arial" w:hAnsi="Arial" w:cs="Arial"/>
          <w:iCs/>
          <w:sz w:val="24"/>
          <w:szCs w:val="24"/>
        </w:rPr>
      </w:pPr>
      <w:r>
        <w:rPr>
          <w:rFonts w:ascii="Arial" w:hAnsi="Arial" w:cs="Arial"/>
          <w:iCs/>
          <w:sz w:val="24"/>
          <w:szCs w:val="24"/>
        </w:rPr>
        <w:lastRenderedPageBreak/>
        <w:t xml:space="preserve">El avance democrático de nuestras instituciones nacionales, nos obliga a centrar nuestra atención en el orden jurídico nacional, y por ello acudimos hoy ante esta tribuna, con el objetivo de hacer referencia al impedimento que tienen los organismos </w:t>
      </w:r>
      <w:r w:rsidR="00D2098B">
        <w:rPr>
          <w:rFonts w:ascii="Arial" w:hAnsi="Arial" w:cs="Arial"/>
          <w:iCs/>
          <w:sz w:val="24"/>
          <w:szCs w:val="24"/>
        </w:rPr>
        <w:t xml:space="preserve">derecho humanistas para </w:t>
      </w:r>
      <w:r>
        <w:rPr>
          <w:rFonts w:ascii="Arial" w:hAnsi="Arial" w:cs="Arial"/>
          <w:iCs/>
          <w:sz w:val="24"/>
          <w:szCs w:val="24"/>
        </w:rPr>
        <w:t>conocer  de los actos de autoridad</w:t>
      </w:r>
      <w:r w:rsidR="00723F1E">
        <w:rPr>
          <w:rFonts w:ascii="Arial" w:hAnsi="Arial" w:cs="Arial"/>
          <w:iCs/>
          <w:sz w:val="24"/>
          <w:szCs w:val="24"/>
        </w:rPr>
        <w:t>,</w:t>
      </w:r>
      <w:r>
        <w:rPr>
          <w:rFonts w:ascii="Arial" w:hAnsi="Arial" w:cs="Arial"/>
          <w:iCs/>
          <w:sz w:val="24"/>
          <w:szCs w:val="24"/>
        </w:rPr>
        <w:t xml:space="preserve"> violatorios de los derechos en materia  electoral, situación que ponemos hoy en la mesa para su análisis, buscando como resultado, la eliminación de tal prohibición constitucional, prevista en el párrafo tercero del apartado B del artículo 102 constitucional, tal y como sucedió con la limitante que en su momento tuvieron los organismos citados par</w:t>
      </w:r>
      <w:r w:rsidR="00A04B7B">
        <w:rPr>
          <w:rFonts w:ascii="Arial" w:hAnsi="Arial" w:cs="Arial"/>
          <w:iCs/>
          <w:sz w:val="24"/>
          <w:szCs w:val="24"/>
        </w:rPr>
        <w:t xml:space="preserve">a conocer de asuntos laborales. </w:t>
      </w:r>
    </w:p>
    <w:p w:rsidR="00531CD5" w:rsidRDefault="00A04B7B" w:rsidP="00A04B7B">
      <w:pPr>
        <w:spacing w:line="360" w:lineRule="auto"/>
        <w:jc w:val="both"/>
        <w:rPr>
          <w:rFonts w:ascii="Arial" w:hAnsi="Arial" w:cs="Arial"/>
          <w:sz w:val="24"/>
          <w:szCs w:val="24"/>
        </w:rPr>
      </w:pPr>
      <w:r>
        <w:rPr>
          <w:rFonts w:ascii="Arial" w:hAnsi="Arial" w:cs="Arial"/>
          <w:iCs/>
          <w:sz w:val="24"/>
          <w:szCs w:val="24"/>
        </w:rPr>
        <w:t>Sin</w:t>
      </w:r>
      <w:r w:rsidRPr="00487F9D">
        <w:rPr>
          <w:rFonts w:ascii="Arial" w:hAnsi="Arial" w:cs="Arial"/>
          <w:sz w:val="24"/>
          <w:szCs w:val="24"/>
        </w:rPr>
        <w:t xml:space="preserve"> lugar a dudas, </w:t>
      </w:r>
      <w:r>
        <w:rPr>
          <w:rFonts w:ascii="Arial" w:hAnsi="Arial" w:cs="Arial"/>
          <w:sz w:val="24"/>
          <w:szCs w:val="24"/>
        </w:rPr>
        <w:t>después de la reforma constitucional de 2011,</w:t>
      </w:r>
      <w:r w:rsidRPr="00487F9D">
        <w:rPr>
          <w:rFonts w:ascii="Arial" w:hAnsi="Arial" w:cs="Arial"/>
          <w:sz w:val="24"/>
          <w:szCs w:val="24"/>
        </w:rPr>
        <w:t xml:space="preserve"> se marcó un antes y después  en el terreno derecho</w:t>
      </w:r>
      <w:r>
        <w:rPr>
          <w:rFonts w:ascii="Arial" w:hAnsi="Arial" w:cs="Arial"/>
          <w:sz w:val="24"/>
          <w:szCs w:val="24"/>
        </w:rPr>
        <w:t xml:space="preserve"> </w:t>
      </w:r>
      <w:r w:rsidRPr="00487F9D">
        <w:rPr>
          <w:rFonts w:ascii="Arial" w:hAnsi="Arial" w:cs="Arial"/>
          <w:sz w:val="24"/>
          <w:szCs w:val="24"/>
        </w:rPr>
        <w:t>humanista</w:t>
      </w:r>
      <w:r>
        <w:rPr>
          <w:rFonts w:ascii="Arial" w:hAnsi="Arial" w:cs="Arial"/>
          <w:sz w:val="24"/>
          <w:szCs w:val="24"/>
        </w:rPr>
        <w:t>,</w:t>
      </w:r>
      <w:r w:rsidRPr="00487F9D">
        <w:rPr>
          <w:rFonts w:ascii="Arial" w:hAnsi="Arial" w:cs="Arial"/>
          <w:sz w:val="24"/>
          <w:szCs w:val="24"/>
        </w:rPr>
        <w:t xml:space="preserve"> al señalar a la autoridades del Estado Mexicano la obligación de promover, respetar, proteger y garantizar los derechos humanos. Fue entonces que se rompió el paradigma de que </w:t>
      </w:r>
      <w:r>
        <w:rPr>
          <w:rFonts w:ascii="Arial" w:hAnsi="Arial" w:cs="Arial"/>
          <w:sz w:val="24"/>
          <w:szCs w:val="24"/>
        </w:rPr>
        <w:t xml:space="preserve">los organismos defensores de los derechos humanos </w:t>
      </w:r>
      <w:r w:rsidRPr="00487F9D">
        <w:rPr>
          <w:rFonts w:ascii="Arial" w:hAnsi="Arial" w:cs="Arial"/>
          <w:sz w:val="24"/>
          <w:szCs w:val="24"/>
        </w:rPr>
        <w:t>e</w:t>
      </w:r>
      <w:r>
        <w:rPr>
          <w:rFonts w:ascii="Arial" w:hAnsi="Arial" w:cs="Arial"/>
          <w:sz w:val="24"/>
          <w:szCs w:val="24"/>
        </w:rPr>
        <w:t>staban impedido</w:t>
      </w:r>
      <w:r w:rsidRPr="00487F9D">
        <w:rPr>
          <w:rFonts w:ascii="Arial" w:hAnsi="Arial" w:cs="Arial"/>
          <w:sz w:val="24"/>
          <w:szCs w:val="24"/>
        </w:rPr>
        <w:t>s para conocer de asuntos</w:t>
      </w:r>
      <w:r w:rsidR="00D2098B">
        <w:rPr>
          <w:rFonts w:ascii="Arial" w:hAnsi="Arial" w:cs="Arial"/>
          <w:sz w:val="24"/>
          <w:szCs w:val="24"/>
        </w:rPr>
        <w:t xml:space="preserve"> relacionados con el trabajo</w:t>
      </w:r>
      <w:r w:rsidRPr="00487F9D">
        <w:rPr>
          <w:rFonts w:ascii="Arial" w:hAnsi="Arial" w:cs="Arial"/>
          <w:sz w:val="24"/>
          <w:szCs w:val="24"/>
        </w:rPr>
        <w:t>. A partir de 2011, y con sustento en los más de 70 Convenios que México ha ratificado con la organización Internacional del Trabajo, el impedimento para que los organismos protectores de los derechos humanos conocieran de asuntos laborales fue eliminado, permitiendo así que cualquier violación e</w:t>
      </w:r>
      <w:r w:rsidR="00227ADD">
        <w:rPr>
          <w:rFonts w:ascii="Arial" w:hAnsi="Arial" w:cs="Arial"/>
          <w:sz w:val="24"/>
          <w:szCs w:val="24"/>
        </w:rPr>
        <w:t>n la materia, pueda ser atendida</w:t>
      </w:r>
      <w:r w:rsidRPr="00487F9D">
        <w:rPr>
          <w:rFonts w:ascii="Arial" w:hAnsi="Arial" w:cs="Arial"/>
          <w:sz w:val="24"/>
          <w:szCs w:val="24"/>
        </w:rPr>
        <w:t xml:space="preserve"> por la CNDH y sus similares estatales.</w:t>
      </w:r>
      <w:r w:rsidR="00531CD5">
        <w:rPr>
          <w:rFonts w:ascii="Arial" w:hAnsi="Arial" w:cs="Arial"/>
          <w:sz w:val="24"/>
          <w:szCs w:val="24"/>
        </w:rPr>
        <w:t xml:space="preserve"> </w:t>
      </w:r>
    </w:p>
    <w:p w:rsidR="007F5AD3" w:rsidRPr="00487F9D" w:rsidRDefault="00531CD5" w:rsidP="007F5AD3">
      <w:pPr>
        <w:spacing w:line="360" w:lineRule="auto"/>
        <w:jc w:val="both"/>
        <w:rPr>
          <w:rFonts w:ascii="Arial" w:hAnsi="Arial" w:cs="Arial"/>
          <w:sz w:val="24"/>
          <w:szCs w:val="24"/>
        </w:rPr>
      </w:pPr>
      <w:r>
        <w:rPr>
          <w:rFonts w:ascii="Arial" w:hAnsi="Arial" w:cs="Arial"/>
          <w:sz w:val="24"/>
          <w:szCs w:val="24"/>
        </w:rPr>
        <w:t>Este gran acierto ha sentado bases importantes para la defensa de los derechos fundamentales; pero el proceso quedó inconcluso, pues otros derechos humanos, como los derechos electorales, inmerso en los derechos políticos del ciudadano, al ser violentados por las autoridades, no pueden ser atendidos por las comisiones nacional y locale</w:t>
      </w:r>
      <w:r w:rsidR="00D2098B">
        <w:rPr>
          <w:rFonts w:ascii="Arial" w:hAnsi="Arial" w:cs="Arial"/>
          <w:sz w:val="24"/>
          <w:szCs w:val="24"/>
        </w:rPr>
        <w:t>s de los derechos humanos, porque</w:t>
      </w:r>
      <w:r>
        <w:rPr>
          <w:rFonts w:ascii="Arial" w:hAnsi="Arial" w:cs="Arial"/>
          <w:sz w:val="24"/>
          <w:szCs w:val="24"/>
        </w:rPr>
        <w:t xml:space="preserve"> a pesar de que  </w:t>
      </w:r>
      <w:r w:rsidR="00BA66B7">
        <w:rPr>
          <w:rFonts w:ascii="Arial" w:hAnsi="Arial" w:cs="Arial"/>
          <w:sz w:val="24"/>
          <w:szCs w:val="24"/>
        </w:rPr>
        <w:t>en</w:t>
      </w:r>
      <w:r>
        <w:rPr>
          <w:rFonts w:ascii="Arial" w:hAnsi="Arial" w:cs="Arial"/>
          <w:sz w:val="24"/>
          <w:szCs w:val="24"/>
        </w:rPr>
        <w:t xml:space="preserve"> </w:t>
      </w:r>
      <w:r w:rsidRPr="00487F9D">
        <w:rPr>
          <w:rFonts w:ascii="Arial" w:hAnsi="Arial" w:cs="Arial"/>
          <w:sz w:val="24"/>
          <w:szCs w:val="24"/>
          <w:shd w:val="clear" w:color="auto" w:fill="FFFFFF"/>
        </w:rPr>
        <w:t>el</w:t>
      </w:r>
      <w:r w:rsidR="00BA66B7">
        <w:rPr>
          <w:rFonts w:ascii="Arial" w:hAnsi="Arial" w:cs="Arial"/>
          <w:sz w:val="24"/>
          <w:szCs w:val="24"/>
          <w:shd w:val="clear" w:color="auto" w:fill="FFFFFF"/>
        </w:rPr>
        <w:t xml:space="preserve"> primer párrafo del apartado B, del  artículo 102 constitucional, </w:t>
      </w:r>
      <w:r w:rsidRPr="00487F9D">
        <w:rPr>
          <w:rFonts w:ascii="Arial" w:hAnsi="Arial" w:cs="Arial"/>
          <w:sz w:val="24"/>
          <w:szCs w:val="24"/>
          <w:shd w:val="clear" w:color="auto" w:fill="FFFFFF"/>
        </w:rPr>
        <w:t>se prevé que el Congreso de la Unión y las legislatura</w:t>
      </w:r>
      <w:r w:rsidR="00D2098B">
        <w:rPr>
          <w:rFonts w:ascii="Arial" w:hAnsi="Arial" w:cs="Arial"/>
          <w:sz w:val="24"/>
          <w:szCs w:val="24"/>
          <w:shd w:val="clear" w:color="auto" w:fill="FFFFFF"/>
        </w:rPr>
        <w:t xml:space="preserve">s de las entidades federativas </w:t>
      </w:r>
      <w:r w:rsidRPr="00487F9D">
        <w:rPr>
          <w:rFonts w:ascii="Arial" w:hAnsi="Arial" w:cs="Arial"/>
          <w:sz w:val="24"/>
          <w:szCs w:val="24"/>
          <w:shd w:val="clear" w:color="auto" w:fill="FFFFFF"/>
        </w:rPr>
        <w:t xml:space="preserve">establezcan organismos </w:t>
      </w:r>
      <w:r w:rsidRPr="00487F9D">
        <w:rPr>
          <w:rFonts w:ascii="Arial" w:hAnsi="Arial" w:cs="Arial"/>
          <w:sz w:val="24"/>
          <w:szCs w:val="24"/>
          <w:shd w:val="clear" w:color="auto" w:fill="FFFFFF"/>
        </w:rPr>
        <w:lastRenderedPageBreak/>
        <w:t xml:space="preserve">de protección de los derechos humanos para que conozcan de quejas en contra de actos u omisiones de naturaleza administrativa provenientes de cualquier autoridad o persona servidora pública, </w:t>
      </w:r>
      <w:r w:rsidR="007F5AD3">
        <w:rPr>
          <w:rFonts w:ascii="Arial" w:hAnsi="Arial" w:cs="Arial"/>
          <w:sz w:val="24"/>
          <w:szCs w:val="24"/>
          <w:shd w:val="clear" w:color="auto" w:fill="FFFFFF"/>
        </w:rPr>
        <w:t>exceptua</w:t>
      </w:r>
      <w:r w:rsidR="00227ADD">
        <w:rPr>
          <w:rFonts w:ascii="Arial" w:hAnsi="Arial" w:cs="Arial"/>
          <w:sz w:val="24"/>
          <w:szCs w:val="24"/>
          <w:shd w:val="clear" w:color="auto" w:fill="FFFFFF"/>
        </w:rPr>
        <w:t xml:space="preserve">ndo únicamente los que realice el </w:t>
      </w:r>
      <w:r w:rsidR="007F5AD3">
        <w:rPr>
          <w:rFonts w:ascii="Arial" w:hAnsi="Arial" w:cs="Arial"/>
          <w:sz w:val="24"/>
          <w:szCs w:val="24"/>
          <w:shd w:val="clear" w:color="auto" w:fill="FFFFFF"/>
        </w:rPr>
        <w:t xml:space="preserve"> Poder judicial de la Federación</w:t>
      </w:r>
      <w:r w:rsidR="00227866">
        <w:rPr>
          <w:rFonts w:ascii="Arial" w:hAnsi="Arial" w:cs="Arial"/>
          <w:sz w:val="24"/>
          <w:szCs w:val="24"/>
          <w:shd w:val="clear" w:color="auto" w:fill="FFFFFF"/>
        </w:rPr>
        <w:t>, posteriormente</w:t>
      </w:r>
      <w:r>
        <w:rPr>
          <w:rFonts w:ascii="Arial" w:hAnsi="Arial" w:cs="Arial"/>
          <w:sz w:val="24"/>
          <w:szCs w:val="24"/>
          <w:shd w:val="clear" w:color="auto" w:fill="FFFFFF"/>
        </w:rPr>
        <w:t xml:space="preserve"> y de manera contradictoria, </w:t>
      </w:r>
      <w:r w:rsidR="00E156B0">
        <w:rPr>
          <w:rFonts w:ascii="Arial" w:hAnsi="Arial" w:cs="Arial"/>
          <w:sz w:val="24"/>
          <w:szCs w:val="24"/>
          <w:shd w:val="clear" w:color="auto" w:fill="FFFFFF"/>
        </w:rPr>
        <w:t xml:space="preserve">el citado artículo </w:t>
      </w:r>
      <w:r>
        <w:rPr>
          <w:rFonts w:ascii="Arial" w:hAnsi="Arial" w:cs="Arial"/>
          <w:sz w:val="24"/>
          <w:szCs w:val="24"/>
          <w:shd w:val="clear" w:color="auto" w:fill="FFFFFF"/>
        </w:rPr>
        <w:t>establece en el párrafo tercero del mismo apartado, la prohibición de que estos organismos sean competentes para conocer de asuntos electorales</w:t>
      </w:r>
      <w:r w:rsidR="00E156B0">
        <w:rPr>
          <w:rFonts w:ascii="Arial" w:hAnsi="Arial" w:cs="Arial"/>
          <w:sz w:val="24"/>
          <w:szCs w:val="24"/>
          <w:shd w:val="clear" w:color="auto" w:fill="FFFFFF"/>
        </w:rPr>
        <w:t xml:space="preserve">. De manera consecuente, esa </w:t>
      </w:r>
      <w:r w:rsidR="00DE74A1">
        <w:rPr>
          <w:rFonts w:ascii="Arial" w:hAnsi="Arial" w:cs="Arial"/>
          <w:sz w:val="24"/>
          <w:szCs w:val="24"/>
          <w:shd w:val="clear" w:color="auto" w:fill="FFFFFF"/>
        </w:rPr>
        <w:t xml:space="preserve">misma </w:t>
      </w:r>
      <w:r w:rsidR="00A73D65">
        <w:rPr>
          <w:rFonts w:ascii="Arial" w:hAnsi="Arial" w:cs="Arial"/>
          <w:sz w:val="24"/>
          <w:szCs w:val="24"/>
          <w:shd w:val="clear" w:color="auto" w:fill="FFFFFF"/>
        </w:rPr>
        <w:t xml:space="preserve">prohibición </w:t>
      </w:r>
      <w:r w:rsidR="00E156B0">
        <w:rPr>
          <w:rFonts w:ascii="Arial" w:hAnsi="Arial" w:cs="Arial"/>
          <w:sz w:val="24"/>
          <w:szCs w:val="24"/>
          <w:shd w:val="clear" w:color="auto" w:fill="FFFFFF"/>
        </w:rPr>
        <w:t>se</w:t>
      </w:r>
      <w:r w:rsidR="00DE74A1">
        <w:rPr>
          <w:rFonts w:ascii="Arial" w:hAnsi="Arial" w:cs="Arial"/>
          <w:sz w:val="24"/>
          <w:szCs w:val="24"/>
          <w:shd w:val="clear" w:color="auto" w:fill="FFFFFF"/>
        </w:rPr>
        <w:t xml:space="preserve"> replica </w:t>
      </w:r>
      <w:r w:rsidR="00E156B0">
        <w:rPr>
          <w:rFonts w:ascii="Arial" w:hAnsi="Arial" w:cs="Arial"/>
          <w:sz w:val="24"/>
          <w:szCs w:val="24"/>
          <w:shd w:val="clear" w:color="auto" w:fill="FFFFFF"/>
        </w:rPr>
        <w:t xml:space="preserve">en </w:t>
      </w:r>
      <w:r w:rsidR="00DE74A1">
        <w:rPr>
          <w:rFonts w:ascii="Arial" w:hAnsi="Arial" w:cs="Arial"/>
          <w:sz w:val="24"/>
          <w:szCs w:val="24"/>
          <w:shd w:val="clear" w:color="auto" w:fill="FFFFFF"/>
        </w:rPr>
        <w:t>la Ley de la Comisión Nacional de los Derechos Humanos</w:t>
      </w:r>
      <w:r w:rsidR="007F5AD3">
        <w:rPr>
          <w:rFonts w:ascii="Arial" w:hAnsi="Arial" w:cs="Arial"/>
          <w:sz w:val="24"/>
          <w:szCs w:val="24"/>
          <w:shd w:val="clear" w:color="auto" w:fill="FFFFFF"/>
        </w:rPr>
        <w:t xml:space="preserve"> en su artículo 7, </w:t>
      </w:r>
      <w:r w:rsidR="00DE74A1">
        <w:rPr>
          <w:rFonts w:ascii="Arial" w:hAnsi="Arial" w:cs="Arial"/>
          <w:sz w:val="24"/>
          <w:szCs w:val="24"/>
          <w:shd w:val="clear" w:color="auto" w:fill="FFFFFF"/>
        </w:rPr>
        <w:t xml:space="preserve"> </w:t>
      </w:r>
      <w:r w:rsidR="00227ADD">
        <w:rPr>
          <w:rFonts w:ascii="Arial" w:hAnsi="Arial" w:cs="Arial"/>
          <w:sz w:val="24"/>
          <w:szCs w:val="24"/>
          <w:shd w:val="clear" w:color="auto" w:fill="FFFFFF"/>
        </w:rPr>
        <w:t>pero en ésta va aún más allá, pues ahí el impedimento que plantea esta norma de carácter general, se</w:t>
      </w:r>
      <w:r w:rsidR="00DE74A1">
        <w:rPr>
          <w:rFonts w:ascii="Arial" w:hAnsi="Arial" w:cs="Arial"/>
          <w:sz w:val="24"/>
          <w:szCs w:val="24"/>
          <w:shd w:val="clear" w:color="auto" w:fill="FFFFFF"/>
        </w:rPr>
        <w:t xml:space="preserve"> refiere no nada más a los asuntos, sino a los actos de las autoridades electorales</w:t>
      </w:r>
      <w:r w:rsidR="00BA66B7">
        <w:rPr>
          <w:rFonts w:ascii="Arial" w:hAnsi="Arial" w:cs="Arial"/>
          <w:sz w:val="24"/>
          <w:szCs w:val="24"/>
          <w:shd w:val="clear" w:color="auto" w:fill="FFFFFF"/>
        </w:rPr>
        <w:t>;</w:t>
      </w:r>
      <w:r w:rsidR="00E156B0">
        <w:rPr>
          <w:rFonts w:ascii="Arial" w:hAnsi="Arial" w:cs="Arial"/>
          <w:sz w:val="24"/>
          <w:szCs w:val="24"/>
          <w:shd w:val="clear" w:color="auto" w:fill="FFFFFF"/>
        </w:rPr>
        <w:t xml:space="preserve"> lo </w:t>
      </w:r>
      <w:r w:rsidR="007F5AD3">
        <w:rPr>
          <w:rFonts w:ascii="Arial" w:hAnsi="Arial" w:cs="Arial"/>
          <w:sz w:val="24"/>
          <w:szCs w:val="24"/>
          <w:shd w:val="clear" w:color="auto" w:fill="FFFFFF"/>
        </w:rPr>
        <w:t xml:space="preserve">cual, a nuestro parecer, </w:t>
      </w:r>
      <w:r w:rsidR="007F5AD3" w:rsidRPr="00487F9D">
        <w:rPr>
          <w:rFonts w:ascii="Arial" w:hAnsi="Arial" w:cs="Arial"/>
          <w:sz w:val="24"/>
          <w:szCs w:val="24"/>
        </w:rPr>
        <w:t>coarta al ciudadano el ejercicio de acciones ante los organismos derecho</w:t>
      </w:r>
      <w:r w:rsidR="007F5AD3">
        <w:rPr>
          <w:rFonts w:ascii="Arial" w:hAnsi="Arial" w:cs="Arial"/>
          <w:sz w:val="24"/>
          <w:szCs w:val="24"/>
        </w:rPr>
        <w:t xml:space="preserve"> </w:t>
      </w:r>
      <w:r w:rsidR="007F5AD3" w:rsidRPr="00487F9D">
        <w:rPr>
          <w:rFonts w:ascii="Arial" w:hAnsi="Arial" w:cs="Arial"/>
          <w:sz w:val="24"/>
          <w:szCs w:val="24"/>
        </w:rPr>
        <w:t>humanistas para defender sus derechos políticos en general, y el derecho al voto en particular</w:t>
      </w:r>
      <w:r w:rsidR="00227ADD">
        <w:rPr>
          <w:rFonts w:ascii="Arial" w:hAnsi="Arial" w:cs="Arial"/>
          <w:sz w:val="24"/>
          <w:szCs w:val="24"/>
        </w:rPr>
        <w:t>,</w:t>
      </w:r>
      <w:r w:rsidR="007F5AD3" w:rsidRPr="00487F9D">
        <w:rPr>
          <w:rFonts w:ascii="Arial" w:hAnsi="Arial" w:cs="Arial"/>
          <w:sz w:val="24"/>
          <w:szCs w:val="24"/>
        </w:rPr>
        <w:t xml:space="preserve"> cuando exista un acto de autoridad </w:t>
      </w:r>
      <w:r w:rsidR="00227ADD">
        <w:rPr>
          <w:rFonts w:ascii="Arial" w:hAnsi="Arial" w:cs="Arial"/>
          <w:sz w:val="24"/>
          <w:szCs w:val="24"/>
        </w:rPr>
        <w:t xml:space="preserve">violatorio de </w:t>
      </w:r>
      <w:r w:rsidR="007F5AD3" w:rsidRPr="00487F9D">
        <w:rPr>
          <w:rFonts w:ascii="Arial" w:hAnsi="Arial" w:cs="Arial"/>
          <w:sz w:val="24"/>
          <w:szCs w:val="24"/>
        </w:rPr>
        <w:t xml:space="preserve"> ese derecho. </w:t>
      </w:r>
    </w:p>
    <w:p w:rsidR="00BF4277" w:rsidRPr="00487F9D" w:rsidRDefault="00DE74A1" w:rsidP="001525C3">
      <w:pPr>
        <w:spacing w:line="360" w:lineRule="auto"/>
        <w:jc w:val="both"/>
        <w:rPr>
          <w:rFonts w:ascii="Arial" w:hAnsi="Arial" w:cs="Arial"/>
          <w:sz w:val="24"/>
          <w:szCs w:val="24"/>
        </w:rPr>
      </w:pPr>
      <w:r>
        <w:rPr>
          <w:rFonts w:ascii="Arial" w:hAnsi="Arial" w:cs="Arial"/>
          <w:iCs/>
          <w:sz w:val="24"/>
          <w:szCs w:val="24"/>
        </w:rPr>
        <w:t xml:space="preserve">En Movimiento Ciudadano  estamos convencidos de que </w:t>
      </w:r>
      <w:r w:rsidR="00487F9D" w:rsidRPr="00487F9D">
        <w:rPr>
          <w:rFonts w:ascii="Arial" w:hAnsi="Arial" w:cs="Arial"/>
          <w:iCs/>
          <w:sz w:val="24"/>
          <w:szCs w:val="24"/>
        </w:rPr>
        <w:t xml:space="preserve">debemos </w:t>
      </w:r>
      <w:proofErr w:type="spellStart"/>
      <w:r w:rsidR="00487F9D" w:rsidRPr="00487F9D">
        <w:rPr>
          <w:rFonts w:ascii="Arial" w:hAnsi="Arial" w:cs="Arial"/>
          <w:iCs/>
          <w:sz w:val="24"/>
          <w:szCs w:val="24"/>
        </w:rPr>
        <w:t>redireccionar</w:t>
      </w:r>
      <w:proofErr w:type="spellEnd"/>
      <w:r w:rsidR="00487F9D" w:rsidRPr="00487F9D">
        <w:rPr>
          <w:rFonts w:ascii="Arial" w:hAnsi="Arial" w:cs="Arial"/>
          <w:iCs/>
          <w:sz w:val="24"/>
          <w:szCs w:val="24"/>
        </w:rPr>
        <w:t xml:space="preserve"> nuestra visión, abriéndonos desde ahora y con urgencia, a la posibilidad de</w:t>
      </w:r>
      <w:r w:rsidR="00307E7E" w:rsidRPr="00487F9D">
        <w:rPr>
          <w:rFonts w:ascii="Arial" w:hAnsi="Arial" w:cs="Arial"/>
          <w:sz w:val="24"/>
          <w:szCs w:val="24"/>
        </w:rPr>
        <w:t xml:space="preserve">  discriminar con mucho cuidado,  tanto  </w:t>
      </w:r>
      <w:r w:rsidR="00BF4277" w:rsidRPr="00487F9D">
        <w:rPr>
          <w:rFonts w:ascii="Arial" w:hAnsi="Arial" w:cs="Arial"/>
          <w:sz w:val="24"/>
          <w:szCs w:val="24"/>
        </w:rPr>
        <w:t xml:space="preserve"> </w:t>
      </w:r>
      <w:r w:rsidR="00307E7E" w:rsidRPr="00487F9D">
        <w:rPr>
          <w:rFonts w:ascii="Arial" w:hAnsi="Arial" w:cs="Arial"/>
          <w:sz w:val="24"/>
          <w:szCs w:val="24"/>
        </w:rPr>
        <w:t xml:space="preserve">los </w:t>
      </w:r>
      <w:r w:rsidR="00BF4277" w:rsidRPr="00487F9D">
        <w:rPr>
          <w:rFonts w:ascii="Arial" w:hAnsi="Arial" w:cs="Arial"/>
          <w:sz w:val="24"/>
          <w:szCs w:val="24"/>
        </w:rPr>
        <w:t xml:space="preserve"> momentos dentro del proceso en que la esfera jurídica individual puede resultar afe</w:t>
      </w:r>
      <w:r w:rsidR="00307E7E" w:rsidRPr="00487F9D">
        <w:rPr>
          <w:rFonts w:ascii="Arial" w:hAnsi="Arial" w:cs="Arial"/>
          <w:sz w:val="24"/>
          <w:szCs w:val="24"/>
        </w:rPr>
        <w:t xml:space="preserve">ctada </w:t>
      </w:r>
      <w:r w:rsidR="00E156B0">
        <w:rPr>
          <w:rFonts w:ascii="Arial" w:hAnsi="Arial" w:cs="Arial"/>
          <w:sz w:val="24"/>
          <w:szCs w:val="24"/>
        </w:rPr>
        <w:t>en lo</w:t>
      </w:r>
      <w:r>
        <w:rPr>
          <w:rFonts w:ascii="Arial" w:hAnsi="Arial" w:cs="Arial"/>
          <w:sz w:val="24"/>
          <w:szCs w:val="24"/>
        </w:rPr>
        <w:t>s derechos políticos en general, y electorales en particular</w:t>
      </w:r>
      <w:r w:rsidR="00E156B0">
        <w:rPr>
          <w:rFonts w:ascii="Arial" w:hAnsi="Arial" w:cs="Arial"/>
          <w:sz w:val="24"/>
          <w:szCs w:val="24"/>
        </w:rPr>
        <w:t xml:space="preserve"> de un ciudadano o una ciudadana</w:t>
      </w:r>
      <w:r>
        <w:rPr>
          <w:rFonts w:ascii="Arial" w:hAnsi="Arial" w:cs="Arial"/>
          <w:sz w:val="24"/>
          <w:szCs w:val="24"/>
        </w:rPr>
        <w:t xml:space="preserve">, </w:t>
      </w:r>
      <w:r w:rsidR="00307E7E" w:rsidRPr="00487F9D">
        <w:rPr>
          <w:rFonts w:ascii="Arial" w:hAnsi="Arial" w:cs="Arial"/>
          <w:sz w:val="24"/>
          <w:szCs w:val="24"/>
        </w:rPr>
        <w:t>como las características de los tipos de autoridad que son responsables dentro del proceso electoral</w:t>
      </w:r>
      <w:r w:rsidR="00AF76C2" w:rsidRPr="00487F9D">
        <w:rPr>
          <w:rFonts w:ascii="Arial" w:hAnsi="Arial" w:cs="Arial"/>
          <w:sz w:val="24"/>
          <w:szCs w:val="24"/>
        </w:rPr>
        <w:t xml:space="preserve">, y </w:t>
      </w:r>
      <w:r w:rsidR="00E156B0">
        <w:rPr>
          <w:rFonts w:ascii="Arial" w:hAnsi="Arial" w:cs="Arial"/>
          <w:sz w:val="24"/>
          <w:szCs w:val="24"/>
        </w:rPr>
        <w:t xml:space="preserve">no sólo de este ámbito, sino </w:t>
      </w:r>
      <w:r w:rsidR="00AF76C2" w:rsidRPr="00487F9D">
        <w:rPr>
          <w:rFonts w:ascii="Arial" w:hAnsi="Arial" w:cs="Arial"/>
          <w:sz w:val="24"/>
          <w:szCs w:val="24"/>
        </w:rPr>
        <w:t>de todas aquellas que de alguna manera pudiesen violentar los derechos políticos de las y los ciudadanos</w:t>
      </w:r>
      <w:r w:rsidR="00307E7E" w:rsidRPr="00487F9D">
        <w:rPr>
          <w:rFonts w:ascii="Arial" w:hAnsi="Arial" w:cs="Arial"/>
          <w:sz w:val="24"/>
          <w:szCs w:val="24"/>
        </w:rPr>
        <w:t xml:space="preserve">; y una vez analizados tales elementos, tener condiciones de validar </w:t>
      </w:r>
      <w:r w:rsidR="00AF76C2" w:rsidRPr="00487F9D">
        <w:rPr>
          <w:rFonts w:ascii="Arial" w:hAnsi="Arial" w:cs="Arial"/>
          <w:sz w:val="24"/>
          <w:szCs w:val="24"/>
        </w:rPr>
        <w:t xml:space="preserve">la </w:t>
      </w:r>
      <w:r w:rsidR="00307E7E" w:rsidRPr="00487F9D">
        <w:rPr>
          <w:rFonts w:ascii="Arial" w:hAnsi="Arial" w:cs="Arial"/>
          <w:sz w:val="24"/>
          <w:szCs w:val="24"/>
        </w:rPr>
        <w:t>propuesta</w:t>
      </w:r>
      <w:r w:rsidR="00AF76C2" w:rsidRPr="00487F9D">
        <w:rPr>
          <w:rFonts w:ascii="Arial" w:hAnsi="Arial" w:cs="Arial"/>
          <w:sz w:val="24"/>
          <w:szCs w:val="24"/>
        </w:rPr>
        <w:t xml:space="preserve"> en la que hoy planteamos que se elimine </w:t>
      </w:r>
      <w:r w:rsidR="00307E7E" w:rsidRPr="00487F9D">
        <w:rPr>
          <w:rFonts w:ascii="Arial" w:hAnsi="Arial" w:cs="Arial"/>
          <w:sz w:val="24"/>
          <w:szCs w:val="24"/>
        </w:rPr>
        <w:t>el impedimento constitucional y legal de las comisiones de los derechos humanos, en los  niveles nacional y locales</w:t>
      </w:r>
      <w:r w:rsidR="00BA66B7">
        <w:rPr>
          <w:rFonts w:ascii="Arial" w:hAnsi="Arial" w:cs="Arial"/>
          <w:sz w:val="24"/>
          <w:szCs w:val="24"/>
        </w:rPr>
        <w:t>,</w:t>
      </w:r>
      <w:r w:rsidR="00307E7E" w:rsidRPr="00487F9D">
        <w:rPr>
          <w:rFonts w:ascii="Arial" w:hAnsi="Arial" w:cs="Arial"/>
          <w:sz w:val="24"/>
          <w:szCs w:val="24"/>
        </w:rPr>
        <w:t xml:space="preserve"> </w:t>
      </w:r>
      <w:r w:rsidR="001B1907" w:rsidRPr="00487F9D">
        <w:rPr>
          <w:rFonts w:ascii="Arial" w:hAnsi="Arial" w:cs="Arial"/>
          <w:sz w:val="24"/>
          <w:szCs w:val="24"/>
        </w:rPr>
        <w:t xml:space="preserve">para conocer de los actos </w:t>
      </w:r>
      <w:r w:rsidR="00AF76C2" w:rsidRPr="00487F9D">
        <w:rPr>
          <w:rFonts w:ascii="Arial" w:hAnsi="Arial" w:cs="Arial"/>
          <w:sz w:val="24"/>
          <w:szCs w:val="24"/>
        </w:rPr>
        <w:t xml:space="preserve">violatorios </w:t>
      </w:r>
      <w:r w:rsidR="001B1907" w:rsidRPr="00487F9D">
        <w:rPr>
          <w:rFonts w:ascii="Arial" w:hAnsi="Arial" w:cs="Arial"/>
          <w:sz w:val="24"/>
          <w:szCs w:val="24"/>
        </w:rPr>
        <w:t xml:space="preserve">de las autoridades </w:t>
      </w:r>
      <w:r w:rsidR="00AF76C2" w:rsidRPr="00487F9D">
        <w:rPr>
          <w:rFonts w:ascii="Arial" w:hAnsi="Arial" w:cs="Arial"/>
          <w:sz w:val="24"/>
          <w:szCs w:val="24"/>
        </w:rPr>
        <w:t xml:space="preserve">en materia </w:t>
      </w:r>
      <w:r w:rsidR="001B1907" w:rsidRPr="00487F9D">
        <w:rPr>
          <w:rFonts w:ascii="Arial" w:hAnsi="Arial" w:cs="Arial"/>
          <w:sz w:val="24"/>
          <w:szCs w:val="24"/>
        </w:rPr>
        <w:t>electoral</w:t>
      </w:r>
      <w:r w:rsidR="00A73D65">
        <w:rPr>
          <w:rFonts w:ascii="Arial" w:hAnsi="Arial" w:cs="Arial"/>
          <w:sz w:val="24"/>
          <w:szCs w:val="24"/>
        </w:rPr>
        <w:t xml:space="preserve">; esto porque </w:t>
      </w:r>
      <w:r w:rsidR="001B1907" w:rsidRPr="00487F9D">
        <w:rPr>
          <w:rFonts w:ascii="Arial" w:hAnsi="Arial" w:cs="Arial"/>
          <w:sz w:val="24"/>
          <w:szCs w:val="24"/>
        </w:rPr>
        <w:t xml:space="preserve">de ninguna manera podemos </w:t>
      </w:r>
      <w:r w:rsidR="00E156B0">
        <w:rPr>
          <w:rFonts w:ascii="Arial" w:hAnsi="Arial" w:cs="Arial"/>
          <w:sz w:val="24"/>
          <w:szCs w:val="24"/>
        </w:rPr>
        <w:t xml:space="preserve">darle </w:t>
      </w:r>
      <w:r w:rsidR="001B1907" w:rsidRPr="00487F9D">
        <w:rPr>
          <w:rFonts w:ascii="Arial" w:hAnsi="Arial" w:cs="Arial"/>
          <w:sz w:val="24"/>
          <w:szCs w:val="24"/>
        </w:rPr>
        <w:t xml:space="preserve">el mismo valor </w:t>
      </w:r>
      <w:r w:rsidR="00BA66B7">
        <w:rPr>
          <w:rFonts w:ascii="Arial" w:hAnsi="Arial" w:cs="Arial"/>
          <w:sz w:val="24"/>
          <w:szCs w:val="24"/>
        </w:rPr>
        <w:t xml:space="preserve">a </w:t>
      </w:r>
      <w:r w:rsidR="001B1907" w:rsidRPr="00487F9D">
        <w:rPr>
          <w:rFonts w:ascii="Arial" w:hAnsi="Arial" w:cs="Arial"/>
          <w:sz w:val="24"/>
          <w:szCs w:val="24"/>
        </w:rPr>
        <w:t xml:space="preserve">los actos de una autoridad jurisdiccional, que </w:t>
      </w:r>
      <w:r w:rsidR="00BA66B7">
        <w:rPr>
          <w:rFonts w:ascii="Arial" w:hAnsi="Arial" w:cs="Arial"/>
          <w:sz w:val="24"/>
          <w:szCs w:val="24"/>
        </w:rPr>
        <w:t xml:space="preserve">a </w:t>
      </w:r>
      <w:r w:rsidR="001B1907" w:rsidRPr="00487F9D">
        <w:rPr>
          <w:rFonts w:ascii="Arial" w:hAnsi="Arial" w:cs="Arial"/>
          <w:sz w:val="24"/>
          <w:szCs w:val="24"/>
        </w:rPr>
        <w:t xml:space="preserve">los actos  de una autoridad administrativa que </w:t>
      </w:r>
      <w:r w:rsidR="001B1907" w:rsidRPr="00487F9D">
        <w:rPr>
          <w:rFonts w:ascii="Arial" w:hAnsi="Arial" w:cs="Arial"/>
          <w:sz w:val="24"/>
          <w:szCs w:val="24"/>
        </w:rPr>
        <w:lastRenderedPageBreak/>
        <w:t>violente los derechos human</w:t>
      </w:r>
      <w:r w:rsidR="00BA66B7">
        <w:rPr>
          <w:rFonts w:ascii="Arial" w:hAnsi="Arial" w:cs="Arial"/>
          <w:sz w:val="24"/>
          <w:szCs w:val="24"/>
        </w:rPr>
        <w:t xml:space="preserve">os de las y los ciudadanos; tampoco tendrá similitud </w:t>
      </w:r>
      <w:r w:rsidR="001B1907" w:rsidRPr="00487F9D">
        <w:rPr>
          <w:rFonts w:ascii="Arial" w:hAnsi="Arial" w:cs="Arial"/>
          <w:sz w:val="24"/>
          <w:szCs w:val="24"/>
        </w:rPr>
        <w:t xml:space="preserve">un acto </w:t>
      </w:r>
      <w:r w:rsidR="00BA66B7">
        <w:rPr>
          <w:rFonts w:ascii="Arial" w:hAnsi="Arial" w:cs="Arial"/>
          <w:sz w:val="24"/>
          <w:szCs w:val="24"/>
        </w:rPr>
        <w:t>de autoridad</w:t>
      </w:r>
      <w:r w:rsidR="001B1907" w:rsidRPr="00487F9D">
        <w:rPr>
          <w:rFonts w:ascii="Arial" w:hAnsi="Arial" w:cs="Arial"/>
          <w:sz w:val="24"/>
          <w:szCs w:val="24"/>
        </w:rPr>
        <w:t xml:space="preserve"> que afecte los derechos políticos en general, y entre ellos el derecho al voto en particular, que el de una resolución para la cual existen una serie de recursos legales que deben desahogarse procesalmente. Y sin embargo, el artículo 102, en su tercer párrafo del apartado B, los sitúa en la misma condición</w:t>
      </w:r>
      <w:r w:rsidR="00812DF3" w:rsidRPr="00487F9D">
        <w:rPr>
          <w:rFonts w:ascii="Arial" w:hAnsi="Arial" w:cs="Arial"/>
          <w:sz w:val="24"/>
          <w:szCs w:val="24"/>
        </w:rPr>
        <w:t xml:space="preserve"> cuan</w:t>
      </w:r>
      <w:r w:rsidR="001B1907" w:rsidRPr="00487F9D">
        <w:rPr>
          <w:rFonts w:ascii="Arial" w:hAnsi="Arial" w:cs="Arial"/>
          <w:sz w:val="24"/>
          <w:szCs w:val="24"/>
        </w:rPr>
        <w:t>do impide que organismos de protección de los derechos humanos, sean competentes tratándose de asuntos electorales y jurisdiccionales.</w:t>
      </w:r>
    </w:p>
    <w:p w:rsidR="00AF76C2" w:rsidRPr="00487F9D" w:rsidRDefault="005B2393" w:rsidP="00AF76C2">
      <w:pPr>
        <w:spacing w:line="360" w:lineRule="auto"/>
        <w:jc w:val="both"/>
        <w:rPr>
          <w:rFonts w:ascii="Arial" w:hAnsi="Arial" w:cs="Arial"/>
          <w:b/>
          <w:bCs/>
          <w:sz w:val="24"/>
          <w:szCs w:val="24"/>
        </w:rPr>
      </w:pPr>
      <w:r w:rsidRPr="00487F9D">
        <w:rPr>
          <w:rFonts w:ascii="Arial" w:hAnsi="Arial" w:cs="Arial"/>
          <w:sz w:val="24"/>
          <w:szCs w:val="24"/>
        </w:rPr>
        <w:t>A</w:t>
      </w:r>
      <w:r w:rsidR="00732738" w:rsidRPr="00487F9D">
        <w:rPr>
          <w:rFonts w:ascii="Arial" w:hAnsi="Arial" w:cs="Arial"/>
          <w:sz w:val="24"/>
          <w:szCs w:val="24"/>
        </w:rPr>
        <w:t xml:space="preserve"> la re</w:t>
      </w:r>
      <w:r w:rsidR="00BA66B7">
        <w:rPr>
          <w:rFonts w:ascii="Arial" w:hAnsi="Arial" w:cs="Arial"/>
          <w:sz w:val="24"/>
          <w:szCs w:val="24"/>
        </w:rPr>
        <w:t xml:space="preserve">forma </w:t>
      </w:r>
      <w:r w:rsidR="00732738" w:rsidRPr="00487F9D">
        <w:rPr>
          <w:rFonts w:ascii="Arial" w:hAnsi="Arial" w:cs="Arial"/>
          <w:sz w:val="24"/>
          <w:szCs w:val="24"/>
        </w:rPr>
        <w:t>de</w:t>
      </w:r>
      <w:r w:rsidR="00BA66B7">
        <w:rPr>
          <w:rFonts w:ascii="Arial" w:hAnsi="Arial" w:cs="Arial"/>
          <w:sz w:val="24"/>
          <w:szCs w:val="24"/>
        </w:rPr>
        <w:t xml:space="preserve"> nuestra Constitución nacional en </w:t>
      </w:r>
      <w:r w:rsidR="00732738" w:rsidRPr="00487F9D">
        <w:rPr>
          <w:rFonts w:ascii="Arial" w:hAnsi="Arial" w:cs="Arial"/>
          <w:sz w:val="24"/>
          <w:szCs w:val="24"/>
        </w:rPr>
        <w:t xml:space="preserve"> 2011, le precedieron cambios importantes en el orden institucional</w:t>
      </w:r>
      <w:r w:rsidR="00BA66B7">
        <w:rPr>
          <w:rFonts w:ascii="Arial" w:hAnsi="Arial" w:cs="Arial"/>
          <w:sz w:val="24"/>
          <w:szCs w:val="24"/>
        </w:rPr>
        <w:t>,</w:t>
      </w:r>
      <w:r w:rsidR="00732738" w:rsidRPr="00487F9D">
        <w:rPr>
          <w:rFonts w:ascii="Arial" w:hAnsi="Arial" w:cs="Arial"/>
          <w:sz w:val="24"/>
          <w:szCs w:val="24"/>
        </w:rPr>
        <w:t xml:space="preserve"> orientados a la prot</w:t>
      </w:r>
      <w:r w:rsidR="00A73D65">
        <w:rPr>
          <w:rFonts w:ascii="Arial" w:hAnsi="Arial" w:cs="Arial"/>
          <w:sz w:val="24"/>
          <w:szCs w:val="24"/>
        </w:rPr>
        <w:t>ección de los derechos humanos</w:t>
      </w:r>
      <w:r w:rsidR="00BA66B7">
        <w:rPr>
          <w:rFonts w:ascii="Arial" w:hAnsi="Arial" w:cs="Arial"/>
          <w:sz w:val="24"/>
          <w:szCs w:val="24"/>
        </w:rPr>
        <w:t xml:space="preserve">, como lo fue la creación de organismos competentes para tal efecto; y a </w:t>
      </w:r>
      <w:r w:rsidR="00732738" w:rsidRPr="00487F9D">
        <w:rPr>
          <w:rFonts w:ascii="Arial" w:hAnsi="Arial" w:cs="Arial"/>
          <w:sz w:val="24"/>
          <w:szCs w:val="24"/>
        </w:rPr>
        <w:t xml:space="preserve"> </w:t>
      </w:r>
      <w:r w:rsidR="00BF4277" w:rsidRPr="00487F9D">
        <w:rPr>
          <w:rFonts w:ascii="Arial" w:hAnsi="Arial" w:cs="Arial"/>
          <w:sz w:val="24"/>
          <w:szCs w:val="24"/>
        </w:rPr>
        <w:t xml:space="preserve"> partir de </w:t>
      </w:r>
      <w:r w:rsidR="00BA66B7">
        <w:rPr>
          <w:rFonts w:ascii="Arial" w:hAnsi="Arial" w:cs="Arial"/>
          <w:sz w:val="24"/>
          <w:szCs w:val="24"/>
        </w:rPr>
        <w:t>ese año,</w:t>
      </w:r>
      <w:r w:rsidR="0031167B" w:rsidRPr="00487F9D">
        <w:rPr>
          <w:rFonts w:ascii="Arial" w:hAnsi="Arial" w:cs="Arial"/>
          <w:sz w:val="24"/>
          <w:szCs w:val="24"/>
        </w:rPr>
        <w:t xml:space="preserve"> </w:t>
      </w:r>
      <w:r w:rsidR="00227ADD">
        <w:rPr>
          <w:rFonts w:ascii="Arial" w:hAnsi="Arial" w:cs="Arial"/>
          <w:sz w:val="24"/>
          <w:szCs w:val="24"/>
        </w:rPr>
        <w:t xml:space="preserve">se incorporó a nuestra Carta Magna </w:t>
      </w:r>
      <w:r w:rsidR="00BF4277" w:rsidRPr="00487F9D">
        <w:rPr>
          <w:rFonts w:ascii="Arial" w:hAnsi="Arial" w:cs="Arial"/>
          <w:sz w:val="24"/>
          <w:szCs w:val="24"/>
        </w:rPr>
        <w:t>el prin</w:t>
      </w:r>
      <w:r w:rsidR="00732738" w:rsidRPr="00487F9D">
        <w:rPr>
          <w:rFonts w:ascii="Arial" w:hAnsi="Arial" w:cs="Arial"/>
          <w:sz w:val="24"/>
          <w:szCs w:val="24"/>
        </w:rPr>
        <w:t xml:space="preserve">cipio pro-persona,  pieza </w:t>
      </w:r>
      <w:r w:rsidR="00A73D65">
        <w:rPr>
          <w:rFonts w:ascii="Arial" w:hAnsi="Arial" w:cs="Arial"/>
          <w:sz w:val="24"/>
          <w:szCs w:val="24"/>
        </w:rPr>
        <w:t xml:space="preserve">clave </w:t>
      </w:r>
      <w:r w:rsidR="00732738" w:rsidRPr="00487F9D">
        <w:rPr>
          <w:rFonts w:ascii="Arial" w:hAnsi="Arial" w:cs="Arial"/>
          <w:sz w:val="24"/>
          <w:szCs w:val="24"/>
        </w:rPr>
        <w:t>en el orden constitucional para la protección de los derechos humanos, poniendo en el  centro de todas las obligaciones que el Estado tiene al respecto,  al ser humano en su individualidad</w:t>
      </w:r>
      <w:r w:rsidR="00A73D65">
        <w:rPr>
          <w:rFonts w:ascii="Arial" w:hAnsi="Arial" w:cs="Arial"/>
          <w:sz w:val="24"/>
          <w:szCs w:val="24"/>
        </w:rPr>
        <w:t>. E</w:t>
      </w:r>
      <w:r w:rsidR="00797B9E" w:rsidRPr="00487F9D">
        <w:rPr>
          <w:rFonts w:ascii="Arial" w:hAnsi="Arial" w:cs="Arial"/>
          <w:sz w:val="24"/>
          <w:szCs w:val="24"/>
        </w:rPr>
        <w:t xml:space="preserve">ste principio, que </w:t>
      </w:r>
      <w:r w:rsidR="0031167B" w:rsidRPr="00487F9D">
        <w:rPr>
          <w:rFonts w:ascii="Arial" w:hAnsi="Arial" w:cs="Arial"/>
          <w:sz w:val="24"/>
          <w:szCs w:val="24"/>
        </w:rPr>
        <w:t xml:space="preserve">constituye </w:t>
      </w:r>
      <w:r w:rsidR="00A15814">
        <w:rPr>
          <w:rFonts w:ascii="Arial" w:hAnsi="Arial" w:cs="Arial"/>
          <w:sz w:val="24"/>
          <w:szCs w:val="24"/>
        </w:rPr>
        <w:t xml:space="preserve">el punto de partida </w:t>
      </w:r>
      <w:r w:rsidR="0031167B" w:rsidRPr="00487F9D">
        <w:rPr>
          <w:rFonts w:ascii="Arial" w:hAnsi="Arial" w:cs="Arial"/>
          <w:sz w:val="24"/>
          <w:szCs w:val="24"/>
        </w:rPr>
        <w:t xml:space="preserve">de la interpretación hacia la protección más amplia de los derechos, evidencia la necesidad de armonizar todos los instrumentos </w:t>
      </w:r>
      <w:r w:rsidR="00A73D65">
        <w:rPr>
          <w:rFonts w:ascii="Arial" w:hAnsi="Arial" w:cs="Arial"/>
          <w:sz w:val="24"/>
          <w:szCs w:val="24"/>
        </w:rPr>
        <w:t xml:space="preserve">legales en ese mismo propósito, y visualizarnos respetando con entereza </w:t>
      </w:r>
      <w:r w:rsidR="00AF76C2" w:rsidRPr="00487F9D">
        <w:rPr>
          <w:rFonts w:ascii="Arial" w:hAnsi="Arial" w:cs="Arial"/>
          <w:sz w:val="24"/>
          <w:szCs w:val="24"/>
        </w:rPr>
        <w:t xml:space="preserve">el orden internacional, </w:t>
      </w:r>
      <w:r w:rsidR="00227ADD">
        <w:rPr>
          <w:rFonts w:ascii="Arial" w:hAnsi="Arial" w:cs="Arial"/>
          <w:sz w:val="24"/>
          <w:szCs w:val="24"/>
        </w:rPr>
        <w:t xml:space="preserve">reflejado en </w:t>
      </w:r>
      <w:r w:rsidR="00A73D65">
        <w:rPr>
          <w:rFonts w:ascii="Arial" w:hAnsi="Arial" w:cs="Arial"/>
          <w:sz w:val="24"/>
          <w:szCs w:val="24"/>
        </w:rPr>
        <w:t xml:space="preserve">tratados como </w:t>
      </w:r>
      <w:r w:rsidR="00AF76C2" w:rsidRPr="00487F9D">
        <w:rPr>
          <w:rFonts w:ascii="Arial" w:hAnsi="Arial" w:cs="Arial"/>
          <w:sz w:val="24"/>
          <w:szCs w:val="24"/>
        </w:rPr>
        <w:t>el Pacto de San José y el Pacto Inter</w:t>
      </w:r>
      <w:r w:rsidR="00AF76C2" w:rsidRPr="00487F9D">
        <w:rPr>
          <w:rFonts w:ascii="Arial" w:hAnsi="Arial" w:cs="Arial"/>
          <w:sz w:val="24"/>
          <w:szCs w:val="24"/>
        </w:rPr>
        <w:softHyphen/>
        <w:t xml:space="preserve">nacional </w:t>
      </w:r>
      <w:r w:rsidR="00227ADD">
        <w:rPr>
          <w:rFonts w:ascii="Arial" w:hAnsi="Arial" w:cs="Arial"/>
          <w:sz w:val="24"/>
          <w:szCs w:val="24"/>
        </w:rPr>
        <w:t>de Derechos Civiles y Políticos;</w:t>
      </w:r>
      <w:r w:rsidR="00AF76C2" w:rsidRPr="00487F9D">
        <w:rPr>
          <w:rFonts w:ascii="Arial" w:hAnsi="Arial" w:cs="Arial"/>
          <w:sz w:val="24"/>
          <w:szCs w:val="24"/>
        </w:rPr>
        <w:t xml:space="preserve"> </w:t>
      </w:r>
      <w:r w:rsidR="00A15814">
        <w:rPr>
          <w:rFonts w:ascii="Arial" w:hAnsi="Arial" w:cs="Arial"/>
          <w:sz w:val="24"/>
          <w:szCs w:val="24"/>
        </w:rPr>
        <w:t xml:space="preserve">los cuales, al igual que  muchos otros, </w:t>
      </w:r>
      <w:r w:rsidR="00AF76C2" w:rsidRPr="00487F9D">
        <w:rPr>
          <w:rFonts w:ascii="Arial" w:hAnsi="Arial" w:cs="Arial"/>
          <w:sz w:val="24"/>
          <w:szCs w:val="24"/>
        </w:rPr>
        <w:t>obligan a México a respetar el derecho humano al voto y a instrumentar, en favor del ciudadano, un recurso efectivo que restituya a las personas su derecho vulnerado.</w:t>
      </w:r>
    </w:p>
    <w:p w:rsidR="00B94A1E" w:rsidRDefault="00797B9E" w:rsidP="001525C3">
      <w:pPr>
        <w:spacing w:line="360" w:lineRule="auto"/>
        <w:jc w:val="both"/>
        <w:rPr>
          <w:rFonts w:ascii="Arial" w:hAnsi="Arial" w:cs="Arial"/>
          <w:sz w:val="24"/>
          <w:szCs w:val="24"/>
        </w:rPr>
      </w:pPr>
      <w:r w:rsidRPr="00487F9D">
        <w:rPr>
          <w:rFonts w:ascii="Arial" w:hAnsi="Arial" w:cs="Arial"/>
          <w:sz w:val="24"/>
          <w:szCs w:val="24"/>
        </w:rPr>
        <w:t>Con los antecedentes referidos, el Grupo Parlamentario del Partido Movimiento Ciudadano, pone hoy en el centro del debate l</w:t>
      </w:r>
      <w:r w:rsidR="006D66F3" w:rsidRPr="00487F9D">
        <w:rPr>
          <w:rFonts w:ascii="Arial" w:hAnsi="Arial" w:cs="Arial"/>
          <w:sz w:val="24"/>
          <w:szCs w:val="24"/>
        </w:rPr>
        <w:t>os derechos políticos</w:t>
      </w:r>
      <w:r w:rsidR="00130961" w:rsidRPr="00487F9D">
        <w:rPr>
          <w:rFonts w:ascii="Arial" w:hAnsi="Arial" w:cs="Arial"/>
          <w:sz w:val="24"/>
          <w:szCs w:val="24"/>
        </w:rPr>
        <w:t>, reconocidos en los tratados internacionales y en nuestra propia legislación como los derechos h</w:t>
      </w:r>
      <w:r w:rsidR="002406B8" w:rsidRPr="00487F9D">
        <w:rPr>
          <w:rFonts w:ascii="Arial" w:hAnsi="Arial" w:cs="Arial"/>
          <w:sz w:val="24"/>
          <w:szCs w:val="24"/>
        </w:rPr>
        <w:t xml:space="preserve">umanos de </w:t>
      </w:r>
      <w:r w:rsidRPr="00487F9D">
        <w:rPr>
          <w:rFonts w:ascii="Arial" w:hAnsi="Arial" w:cs="Arial"/>
          <w:sz w:val="24"/>
          <w:szCs w:val="24"/>
        </w:rPr>
        <w:t xml:space="preserve">primera </w:t>
      </w:r>
      <w:r w:rsidR="002406B8" w:rsidRPr="00487F9D">
        <w:rPr>
          <w:rFonts w:ascii="Arial" w:hAnsi="Arial" w:cs="Arial"/>
          <w:sz w:val="24"/>
          <w:szCs w:val="24"/>
        </w:rPr>
        <w:t>generación,</w:t>
      </w:r>
      <w:r w:rsidRPr="00487F9D">
        <w:rPr>
          <w:rFonts w:ascii="Arial" w:hAnsi="Arial" w:cs="Arial"/>
          <w:sz w:val="24"/>
          <w:szCs w:val="24"/>
        </w:rPr>
        <w:t xml:space="preserve"> calificados así por ser </w:t>
      </w:r>
      <w:r w:rsidRPr="00487F9D">
        <w:rPr>
          <w:rFonts w:ascii="Arial" w:hAnsi="Arial" w:cs="Arial"/>
          <w:sz w:val="24"/>
          <w:szCs w:val="24"/>
          <w:shd w:val="clear" w:color="auto" w:fill="FFFFFF"/>
        </w:rPr>
        <w:t>los primeros en ser reconocidos legalmente</w:t>
      </w:r>
      <w:r w:rsidR="007C2E84">
        <w:rPr>
          <w:rFonts w:ascii="Arial" w:hAnsi="Arial" w:cs="Arial"/>
          <w:sz w:val="24"/>
          <w:szCs w:val="24"/>
          <w:shd w:val="clear" w:color="auto" w:fill="FFFFFF"/>
        </w:rPr>
        <w:t xml:space="preserve"> a finales del siglo XVIII,</w:t>
      </w:r>
      <w:r w:rsidRPr="00487F9D">
        <w:rPr>
          <w:rFonts w:ascii="Arial" w:hAnsi="Arial" w:cs="Arial"/>
          <w:sz w:val="24"/>
          <w:szCs w:val="24"/>
          <w:shd w:val="clear" w:color="auto" w:fill="FFFFFF"/>
        </w:rPr>
        <w:t xml:space="preserve"> resultado de movimientos </w:t>
      </w:r>
      <w:r w:rsidRPr="00487F9D">
        <w:rPr>
          <w:rFonts w:ascii="Arial" w:hAnsi="Arial" w:cs="Arial"/>
          <w:sz w:val="24"/>
          <w:szCs w:val="24"/>
          <w:shd w:val="clear" w:color="auto" w:fill="FFFFFF"/>
        </w:rPr>
        <w:lastRenderedPageBreak/>
        <w:t>emblemáticos como la Independencia de Estados Unidos y  la Revolución Francesa. Su función principal consiste en limitar la intervención del poder en la vida privada de las personas, así como gar</w:t>
      </w:r>
      <w:r w:rsidR="00227ADD">
        <w:rPr>
          <w:rFonts w:ascii="Arial" w:hAnsi="Arial" w:cs="Arial"/>
          <w:sz w:val="24"/>
          <w:szCs w:val="24"/>
          <w:shd w:val="clear" w:color="auto" w:fill="FFFFFF"/>
        </w:rPr>
        <w:t xml:space="preserve">antizar la participación de todas y todos </w:t>
      </w:r>
      <w:r w:rsidRPr="00487F9D">
        <w:rPr>
          <w:rFonts w:ascii="Arial" w:hAnsi="Arial" w:cs="Arial"/>
          <w:sz w:val="24"/>
          <w:szCs w:val="24"/>
          <w:shd w:val="clear" w:color="auto" w:fill="FFFFFF"/>
        </w:rPr>
        <w:t xml:space="preserve"> en los asuntos públicos a través de algunos derechos en particular, de los cuales destacamos para el efecto que nos interesa, el derecho al voto. Los derechos a los cuales hacemos referencia, </w:t>
      </w:r>
      <w:r w:rsidR="002406B8" w:rsidRPr="00487F9D">
        <w:rPr>
          <w:rFonts w:ascii="Arial" w:hAnsi="Arial" w:cs="Arial"/>
          <w:sz w:val="24"/>
          <w:szCs w:val="24"/>
        </w:rPr>
        <w:t xml:space="preserve"> </w:t>
      </w:r>
      <w:r w:rsidR="00130961" w:rsidRPr="00487F9D">
        <w:rPr>
          <w:rFonts w:ascii="Arial" w:hAnsi="Arial" w:cs="Arial"/>
          <w:sz w:val="24"/>
          <w:szCs w:val="24"/>
        </w:rPr>
        <w:t xml:space="preserve"> determinan la íntima relación de la representación política  de  las y los ciudadanos con  el poder</w:t>
      </w:r>
      <w:r w:rsidR="006D10F6" w:rsidRPr="00487F9D">
        <w:rPr>
          <w:rFonts w:ascii="Arial" w:hAnsi="Arial" w:cs="Arial"/>
          <w:sz w:val="24"/>
          <w:szCs w:val="24"/>
        </w:rPr>
        <w:t xml:space="preserve"> a través de la participación pública, la cual hoy más que nunca estamos viendo que interactúa en dos sentidos; uno de ellos encaminado </w:t>
      </w:r>
      <w:r w:rsidR="00130961" w:rsidRPr="00487F9D">
        <w:rPr>
          <w:rFonts w:ascii="Arial" w:hAnsi="Arial" w:cs="Arial"/>
          <w:sz w:val="24"/>
          <w:szCs w:val="24"/>
        </w:rPr>
        <w:t xml:space="preserve">a la capacidad para integrar los órganos de gobierno  a través del voto, </w:t>
      </w:r>
      <w:r w:rsidR="002406B8" w:rsidRPr="00487F9D">
        <w:rPr>
          <w:rFonts w:ascii="Arial" w:hAnsi="Arial" w:cs="Arial"/>
          <w:sz w:val="24"/>
          <w:szCs w:val="24"/>
        </w:rPr>
        <w:t>y el otro para influir</w:t>
      </w:r>
      <w:r w:rsidR="00A15814">
        <w:rPr>
          <w:rFonts w:ascii="Arial" w:hAnsi="Arial" w:cs="Arial"/>
          <w:sz w:val="24"/>
          <w:szCs w:val="24"/>
        </w:rPr>
        <w:t>,</w:t>
      </w:r>
      <w:r w:rsidR="002406B8" w:rsidRPr="00487F9D">
        <w:rPr>
          <w:rFonts w:ascii="Arial" w:hAnsi="Arial" w:cs="Arial"/>
          <w:sz w:val="24"/>
          <w:szCs w:val="24"/>
        </w:rPr>
        <w:t xml:space="preserve"> </w:t>
      </w:r>
      <w:r w:rsidR="006D10F6" w:rsidRPr="00487F9D">
        <w:rPr>
          <w:rFonts w:ascii="Arial" w:hAnsi="Arial" w:cs="Arial"/>
          <w:sz w:val="24"/>
          <w:szCs w:val="24"/>
        </w:rPr>
        <w:t xml:space="preserve"> a través de acciones de participación ciudadana</w:t>
      </w:r>
      <w:r w:rsidR="00A15814">
        <w:rPr>
          <w:rFonts w:ascii="Arial" w:hAnsi="Arial" w:cs="Arial"/>
          <w:sz w:val="24"/>
          <w:szCs w:val="24"/>
        </w:rPr>
        <w:t>,</w:t>
      </w:r>
      <w:r w:rsidR="002406B8" w:rsidRPr="00487F9D">
        <w:rPr>
          <w:rFonts w:ascii="Arial" w:hAnsi="Arial" w:cs="Arial"/>
          <w:sz w:val="24"/>
          <w:szCs w:val="24"/>
        </w:rPr>
        <w:t xml:space="preserve"> en la toma de decisiones políticas y </w:t>
      </w:r>
      <w:r w:rsidR="006D10F6" w:rsidRPr="00487F9D">
        <w:rPr>
          <w:rFonts w:ascii="Arial" w:hAnsi="Arial" w:cs="Arial"/>
          <w:sz w:val="24"/>
          <w:szCs w:val="24"/>
        </w:rPr>
        <w:t xml:space="preserve"> en la gestión de </w:t>
      </w:r>
      <w:r w:rsidR="007C2E84">
        <w:rPr>
          <w:rFonts w:ascii="Arial" w:hAnsi="Arial" w:cs="Arial"/>
          <w:sz w:val="24"/>
          <w:szCs w:val="24"/>
        </w:rPr>
        <w:t>dichos órganos</w:t>
      </w:r>
      <w:r w:rsidR="002406B8" w:rsidRPr="00487F9D">
        <w:rPr>
          <w:rFonts w:ascii="Arial" w:hAnsi="Arial" w:cs="Arial"/>
          <w:sz w:val="24"/>
          <w:szCs w:val="24"/>
        </w:rPr>
        <w:t xml:space="preserve">. </w:t>
      </w:r>
    </w:p>
    <w:p w:rsidR="0076055A" w:rsidRPr="00487F9D" w:rsidRDefault="00B94A1E" w:rsidP="001525C3">
      <w:pPr>
        <w:spacing w:line="360" w:lineRule="auto"/>
        <w:jc w:val="both"/>
        <w:rPr>
          <w:rFonts w:ascii="Arial" w:hAnsi="Arial" w:cs="Arial"/>
          <w:sz w:val="24"/>
          <w:szCs w:val="24"/>
        </w:rPr>
      </w:pPr>
      <w:r>
        <w:rPr>
          <w:rFonts w:ascii="Arial" w:hAnsi="Arial" w:cs="Arial"/>
          <w:sz w:val="24"/>
          <w:szCs w:val="24"/>
        </w:rPr>
        <w:t>D</w:t>
      </w:r>
      <w:r w:rsidR="002C4859" w:rsidRPr="00487F9D">
        <w:rPr>
          <w:rFonts w:ascii="Arial" w:hAnsi="Arial" w:cs="Arial"/>
          <w:sz w:val="24"/>
          <w:szCs w:val="24"/>
        </w:rPr>
        <w:t xml:space="preserve">esde la firma del Paco Internacional de Derechos Civiles y Políticos en el año de 1966, </w:t>
      </w:r>
      <w:r>
        <w:rPr>
          <w:rFonts w:ascii="Arial" w:hAnsi="Arial" w:cs="Arial"/>
          <w:sz w:val="24"/>
          <w:szCs w:val="24"/>
        </w:rPr>
        <w:t xml:space="preserve">en el cual </w:t>
      </w:r>
      <w:r w:rsidR="002C4859" w:rsidRPr="00487F9D">
        <w:rPr>
          <w:rFonts w:ascii="Arial" w:hAnsi="Arial" w:cs="Arial"/>
          <w:sz w:val="24"/>
          <w:szCs w:val="24"/>
        </w:rPr>
        <w:t>se establece el derecho de todo ciudadano a votar y a ser elegido</w:t>
      </w:r>
      <w:r w:rsidR="005953BC" w:rsidRPr="00487F9D">
        <w:rPr>
          <w:rFonts w:ascii="Arial" w:hAnsi="Arial" w:cs="Arial"/>
          <w:sz w:val="24"/>
          <w:szCs w:val="24"/>
        </w:rPr>
        <w:t>,</w:t>
      </w:r>
      <w:r w:rsidR="002C4859" w:rsidRPr="00487F9D">
        <w:rPr>
          <w:rFonts w:ascii="Arial" w:hAnsi="Arial" w:cs="Arial"/>
          <w:sz w:val="24"/>
          <w:szCs w:val="24"/>
        </w:rPr>
        <w:t xml:space="preserve"> quedó </w:t>
      </w:r>
      <w:r w:rsidR="0076055A" w:rsidRPr="00487F9D">
        <w:rPr>
          <w:rFonts w:ascii="Arial" w:hAnsi="Arial" w:cs="Arial"/>
          <w:sz w:val="24"/>
          <w:szCs w:val="24"/>
        </w:rPr>
        <w:t xml:space="preserve">confirmado que </w:t>
      </w:r>
      <w:r w:rsidR="002C4859" w:rsidRPr="00487F9D">
        <w:rPr>
          <w:rFonts w:ascii="Arial" w:hAnsi="Arial" w:cs="Arial"/>
          <w:sz w:val="24"/>
          <w:szCs w:val="24"/>
        </w:rPr>
        <w:t xml:space="preserve"> la </w:t>
      </w:r>
      <w:r w:rsidR="0076055A" w:rsidRPr="00487F9D">
        <w:rPr>
          <w:rFonts w:ascii="Arial" w:hAnsi="Arial" w:cs="Arial"/>
          <w:sz w:val="24"/>
          <w:szCs w:val="24"/>
        </w:rPr>
        <w:t>nota distintiva de los derechos político-electorales, es la relación entre los ciudadanos y el Estado</w:t>
      </w:r>
      <w:r w:rsidR="005953BC" w:rsidRPr="00487F9D">
        <w:rPr>
          <w:rFonts w:ascii="Arial" w:hAnsi="Arial" w:cs="Arial"/>
          <w:sz w:val="24"/>
          <w:szCs w:val="24"/>
        </w:rPr>
        <w:t>; y esa nota quedó claramente expuesta en la potestad constitucional que los ciudadanos tienen para votar y ser votados como un derecho</w:t>
      </w:r>
      <w:r w:rsidR="00A15814">
        <w:rPr>
          <w:rFonts w:ascii="Arial" w:hAnsi="Arial" w:cs="Arial"/>
          <w:sz w:val="24"/>
          <w:szCs w:val="24"/>
        </w:rPr>
        <w:t>,</w:t>
      </w:r>
      <w:r w:rsidR="005953BC" w:rsidRPr="00487F9D">
        <w:rPr>
          <w:rFonts w:ascii="Arial" w:hAnsi="Arial" w:cs="Arial"/>
          <w:sz w:val="24"/>
          <w:szCs w:val="24"/>
        </w:rPr>
        <w:t xml:space="preserve"> consagrado en el artículo 35 constitucional; y que incluso se fortaleció con la reforma de 2019 a la fracción II del citado precepto, cuando se fijó que la facultad de registrar candidatos ante los organismos electorales, ya no es facultad única de los partidos</w:t>
      </w:r>
      <w:r w:rsidR="00425204" w:rsidRPr="00487F9D">
        <w:rPr>
          <w:rFonts w:ascii="Arial" w:hAnsi="Arial" w:cs="Arial"/>
          <w:sz w:val="24"/>
          <w:szCs w:val="24"/>
        </w:rPr>
        <w:t xml:space="preserve"> políticos, sino también de los</w:t>
      </w:r>
      <w:r w:rsidR="005953BC" w:rsidRPr="00487F9D">
        <w:rPr>
          <w:rFonts w:ascii="Arial" w:hAnsi="Arial" w:cs="Arial"/>
          <w:sz w:val="24"/>
          <w:szCs w:val="24"/>
        </w:rPr>
        <w:t xml:space="preserve"> ciudadanos y las ciudadanas que soliciten su registro de manera independiente. E</w:t>
      </w:r>
      <w:r w:rsidR="0076055A" w:rsidRPr="00487F9D">
        <w:rPr>
          <w:rFonts w:ascii="Arial" w:hAnsi="Arial" w:cs="Arial"/>
          <w:sz w:val="24"/>
          <w:szCs w:val="24"/>
        </w:rPr>
        <w:t xml:space="preserve">ntonces podemos asegurar que, mientras que los organismos </w:t>
      </w:r>
      <w:r w:rsidR="002C4859" w:rsidRPr="00487F9D">
        <w:rPr>
          <w:rFonts w:ascii="Arial" w:hAnsi="Arial" w:cs="Arial"/>
          <w:sz w:val="24"/>
          <w:szCs w:val="24"/>
        </w:rPr>
        <w:t xml:space="preserve"> defe</w:t>
      </w:r>
      <w:r w:rsidR="0076055A" w:rsidRPr="00487F9D">
        <w:rPr>
          <w:rFonts w:ascii="Arial" w:hAnsi="Arial" w:cs="Arial"/>
          <w:sz w:val="24"/>
          <w:szCs w:val="24"/>
        </w:rPr>
        <w:t xml:space="preserve">nsores de los derechos humanos tengan tal encargo, un ciudadano en  el ejercicio y defensa de su derecho como individuo, cuando sientan vulnerados sus derechos </w:t>
      </w:r>
      <w:r w:rsidR="00156D63">
        <w:rPr>
          <w:rFonts w:ascii="Arial" w:hAnsi="Arial" w:cs="Arial"/>
          <w:sz w:val="24"/>
          <w:szCs w:val="24"/>
        </w:rPr>
        <w:t xml:space="preserve">electorales </w:t>
      </w:r>
      <w:r w:rsidR="0076055A" w:rsidRPr="00487F9D">
        <w:rPr>
          <w:rFonts w:ascii="Arial" w:hAnsi="Arial" w:cs="Arial"/>
          <w:sz w:val="24"/>
          <w:szCs w:val="24"/>
        </w:rPr>
        <w:t>por</w:t>
      </w:r>
      <w:r w:rsidR="008D3883" w:rsidRPr="00487F9D">
        <w:rPr>
          <w:rFonts w:ascii="Arial" w:hAnsi="Arial" w:cs="Arial"/>
          <w:sz w:val="24"/>
          <w:szCs w:val="24"/>
        </w:rPr>
        <w:t xml:space="preserve"> cualquier acto </w:t>
      </w:r>
      <w:r w:rsidR="0076055A" w:rsidRPr="00487F9D">
        <w:rPr>
          <w:rFonts w:ascii="Arial" w:hAnsi="Arial" w:cs="Arial"/>
          <w:sz w:val="24"/>
          <w:szCs w:val="24"/>
        </w:rPr>
        <w:t xml:space="preserve">de </w:t>
      </w:r>
      <w:r w:rsidR="008D3883" w:rsidRPr="00487F9D">
        <w:rPr>
          <w:rFonts w:ascii="Arial" w:hAnsi="Arial" w:cs="Arial"/>
          <w:sz w:val="24"/>
          <w:szCs w:val="24"/>
        </w:rPr>
        <w:t xml:space="preserve"> </w:t>
      </w:r>
      <w:r w:rsidR="0076055A" w:rsidRPr="00487F9D">
        <w:rPr>
          <w:rFonts w:ascii="Arial" w:hAnsi="Arial" w:cs="Arial"/>
          <w:sz w:val="24"/>
          <w:szCs w:val="24"/>
        </w:rPr>
        <w:t>aut</w:t>
      </w:r>
      <w:r w:rsidR="008D3883" w:rsidRPr="00487F9D">
        <w:rPr>
          <w:rFonts w:ascii="Arial" w:hAnsi="Arial" w:cs="Arial"/>
          <w:sz w:val="24"/>
          <w:szCs w:val="24"/>
        </w:rPr>
        <w:t>oridad</w:t>
      </w:r>
      <w:r w:rsidR="0076055A" w:rsidRPr="00487F9D">
        <w:rPr>
          <w:rFonts w:ascii="Arial" w:hAnsi="Arial" w:cs="Arial"/>
          <w:sz w:val="24"/>
          <w:szCs w:val="24"/>
        </w:rPr>
        <w:t xml:space="preserve">, pueden, y deben tener abierta la oportunidad de acudir ante </w:t>
      </w:r>
      <w:r w:rsidR="00156D63">
        <w:rPr>
          <w:rFonts w:ascii="Arial" w:hAnsi="Arial" w:cs="Arial"/>
          <w:sz w:val="24"/>
          <w:szCs w:val="24"/>
        </w:rPr>
        <w:t>dichos organismos,</w:t>
      </w:r>
      <w:r w:rsidR="0076055A" w:rsidRPr="00487F9D">
        <w:rPr>
          <w:rFonts w:ascii="Arial" w:hAnsi="Arial" w:cs="Arial"/>
          <w:sz w:val="24"/>
          <w:szCs w:val="24"/>
        </w:rPr>
        <w:t xml:space="preserve"> para  ser atendidos sin restricción constitucional alguna. </w:t>
      </w:r>
    </w:p>
    <w:p w:rsidR="00D12BEC" w:rsidRPr="00487F9D" w:rsidRDefault="00220D0A" w:rsidP="001525C3">
      <w:pPr>
        <w:spacing w:line="360" w:lineRule="auto"/>
        <w:jc w:val="both"/>
        <w:rPr>
          <w:rFonts w:ascii="Arial" w:hAnsi="Arial" w:cs="Arial"/>
          <w:sz w:val="24"/>
          <w:szCs w:val="24"/>
        </w:rPr>
      </w:pPr>
      <w:r w:rsidRPr="00487F9D">
        <w:rPr>
          <w:rFonts w:ascii="Arial" w:hAnsi="Arial" w:cs="Arial"/>
          <w:sz w:val="24"/>
          <w:szCs w:val="24"/>
        </w:rPr>
        <w:lastRenderedPageBreak/>
        <w:t xml:space="preserve">La Ley General de Instituciones y Procedimientos Electorales, </w:t>
      </w:r>
      <w:r w:rsidR="00F02878" w:rsidRPr="00487F9D">
        <w:rPr>
          <w:rFonts w:ascii="Arial" w:hAnsi="Arial" w:cs="Arial"/>
          <w:sz w:val="24"/>
          <w:szCs w:val="24"/>
        </w:rPr>
        <w:t xml:space="preserve"> </w:t>
      </w:r>
      <w:r w:rsidR="006931D1" w:rsidRPr="00487F9D">
        <w:rPr>
          <w:rFonts w:ascii="Arial" w:hAnsi="Arial" w:cs="Arial"/>
          <w:sz w:val="24"/>
          <w:szCs w:val="24"/>
        </w:rPr>
        <w:t>define a las autoridades electorales desde los funcionarios que integran la mesa directiva de casilla en su artículo 81, y continúa describiendo por tanto a las mismas según la estructura de los órganos electorales, hasta llegar al orden nacional en la descripción de las autoridades administrativas, así como de las jurisdiccionales; y lo que nos interesa precisar aquí para el propósito de nuestra iniciativa, es que no podemos ubicar en el mismo rasero, un acto cometido, u omi</w:t>
      </w:r>
      <w:r w:rsidR="004970BE">
        <w:rPr>
          <w:rFonts w:ascii="Arial" w:hAnsi="Arial" w:cs="Arial"/>
          <w:sz w:val="24"/>
          <w:szCs w:val="24"/>
        </w:rPr>
        <w:t>tido por la autoridad electoral  administrativa</w:t>
      </w:r>
      <w:r w:rsidR="00E2542A" w:rsidRPr="00487F9D">
        <w:rPr>
          <w:rFonts w:ascii="Arial" w:hAnsi="Arial" w:cs="Arial"/>
          <w:sz w:val="24"/>
          <w:szCs w:val="24"/>
        </w:rPr>
        <w:t xml:space="preserve"> </w:t>
      </w:r>
      <w:r w:rsidR="006931D1" w:rsidRPr="00487F9D">
        <w:rPr>
          <w:rFonts w:ascii="Arial" w:hAnsi="Arial" w:cs="Arial"/>
          <w:sz w:val="24"/>
          <w:szCs w:val="24"/>
        </w:rPr>
        <w:t xml:space="preserve">que violente los derechos </w:t>
      </w:r>
      <w:r w:rsidR="004970BE">
        <w:rPr>
          <w:rFonts w:ascii="Arial" w:hAnsi="Arial" w:cs="Arial"/>
          <w:sz w:val="24"/>
          <w:szCs w:val="24"/>
        </w:rPr>
        <w:t>políticos de un ciudadano, y que requiere la competencia del Ombudsman, en tanto derechos humanos</w:t>
      </w:r>
      <w:r w:rsidR="006931D1" w:rsidRPr="00487F9D">
        <w:rPr>
          <w:rFonts w:ascii="Arial" w:hAnsi="Arial" w:cs="Arial"/>
          <w:sz w:val="24"/>
          <w:szCs w:val="24"/>
        </w:rPr>
        <w:t>,  que un</w:t>
      </w:r>
      <w:r w:rsidR="0070110D">
        <w:rPr>
          <w:rFonts w:ascii="Arial" w:hAnsi="Arial" w:cs="Arial"/>
          <w:sz w:val="24"/>
          <w:szCs w:val="24"/>
        </w:rPr>
        <w:t xml:space="preserve"> asunto, o una resolución de carácter </w:t>
      </w:r>
      <w:r w:rsidR="00E2542A" w:rsidRPr="00487F9D">
        <w:rPr>
          <w:rFonts w:ascii="Arial" w:hAnsi="Arial" w:cs="Arial"/>
          <w:sz w:val="24"/>
          <w:szCs w:val="24"/>
        </w:rPr>
        <w:t>jurisdiccional.</w:t>
      </w:r>
    </w:p>
    <w:p w:rsidR="001269CC" w:rsidRPr="00487F9D" w:rsidRDefault="009B45F4" w:rsidP="001525C3">
      <w:pPr>
        <w:spacing w:line="360" w:lineRule="auto"/>
        <w:jc w:val="both"/>
        <w:rPr>
          <w:rFonts w:ascii="Arial" w:hAnsi="Arial" w:cs="Arial"/>
          <w:sz w:val="24"/>
          <w:szCs w:val="24"/>
        </w:rPr>
      </w:pPr>
      <w:r w:rsidRPr="00487F9D">
        <w:rPr>
          <w:rFonts w:ascii="Arial" w:hAnsi="Arial" w:cs="Arial"/>
          <w:sz w:val="24"/>
          <w:szCs w:val="24"/>
        </w:rPr>
        <w:t>Considerando además, que un acto violatorio de los derechos humanos, entre los cuales se encuentran los derechos electorales, puede ser cometido por cualquier autoridad, y no necesariamente por una autoridad electoral, es que desde nuestro Grupo Parlamentario hacemos énfasi</w:t>
      </w:r>
      <w:r w:rsidR="00156D63">
        <w:rPr>
          <w:rFonts w:ascii="Arial" w:hAnsi="Arial" w:cs="Arial"/>
          <w:sz w:val="24"/>
          <w:szCs w:val="24"/>
        </w:rPr>
        <w:t xml:space="preserve">s en que tiene primacía a favor de las y los  ciudadanos, </w:t>
      </w:r>
      <w:r w:rsidRPr="00487F9D">
        <w:rPr>
          <w:rFonts w:ascii="Arial" w:hAnsi="Arial" w:cs="Arial"/>
          <w:sz w:val="24"/>
          <w:szCs w:val="24"/>
        </w:rPr>
        <w:t xml:space="preserve"> lo previsto en el primer párrafo del apartado B del 102 </w:t>
      </w:r>
      <w:r w:rsidR="00156D63">
        <w:rPr>
          <w:rFonts w:ascii="Arial" w:hAnsi="Arial" w:cs="Arial"/>
          <w:sz w:val="24"/>
          <w:szCs w:val="24"/>
        </w:rPr>
        <w:t>de la Constitución Política de los Estados Unidos Mexicanos</w:t>
      </w:r>
      <w:r w:rsidRPr="00487F9D">
        <w:rPr>
          <w:rFonts w:ascii="Arial" w:hAnsi="Arial" w:cs="Arial"/>
          <w:sz w:val="24"/>
          <w:szCs w:val="24"/>
        </w:rPr>
        <w:t xml:space="preserve">, que la prohibición establecida en el tercer párrafo del </w:t>
      </w:r>
      <w:r w:rsidR="00FB3579" w:rsidRPr="00487F9D">
        <w:rPr>
          <w:rFonts w:ascii="Arial" w:hAnsi="Arial" w:cs="Arial"/>
          <w:sz w:val="24"/>
          <w:szCs w:val="24"/>
        </w:rPr>
        <w:t xml:space="preserve">mismo, y que </w:t>
      </w:r>
      <w:r w:rsidR="0076055A" w:rsidRPr="00487F9D">
        <w:rPr>
          <w:rFonts w:ascii="Arial" w:hAnsi="Arial" w:cs="Arial"/>
          <w:sz w:val="24"/>
          <w:szCs w:val="24"/>
        </w:rPr>
        <w:t xml:space="preserve">hoy es </w:t>
      </w:r>
      <w:r w:rsidR="00FB3579" w:rsidRPr="00487F9D">
        <w:rPr>
          <w:rFonts w:ascii="Arial" w:hAnsi="Arial" w:cs="Arial"/>
          <w:sz w:val="24"/>
          <w:szCs w:val="24"/>
        </w:rPr>
        <w:t xml:space="preserve">momento </w:t>
      </w:r>
      <w:r w:rsidR="0076055A" w:rsidRPr="00487F9D">
        <w:rPr>
          <w:rFonts w:ascii="Arial" w:hAnsi="Arial" w:cs="Arial"/>
          <w:sz w:val="24"/>
          <w:szCs w:val="24"/>
        </w:rPr>
        <w:t>de eliminar</w:t>
      </w:r>
      <w:r w:rsidR="00A15814">
        <w:rPr>
          <w:rFonts w:ascii="Arial" w:hAnsi="Arial" w:cs="Arial"/>
          <w:sz w:val="24"/>
          <w:szCs w:val="24"/>
        </w:rPr>
        <w:t xml:space="preserve"> la </w:t>
      </w:r>
      <w:r w:rsidR="00FB3579" w:rsidRPr="00487F9D">
        <w:rPr>
          <w:rFonts w:ascii="Arial" w:hAnsi="Arial" w:cs="Arial"/>
          <w:sz w:val="24"/>
          <w:szCs w:val="24"/>
        </w:rPr>
        <w:t xml:space="preserve"> falta de competencia </w:t>
      </w:r>
      <w:r w:rsidR="00A15814">
        <w:rPr>
          <w:rFonts w:ascii="Arial" w:hAnsi="Arial" w:cs="Arial"/>
          <w:sz w:val="24"/>
          <w:szCs w:val="24"/>
        </w:rPr>
        <w:t xml:space="preserve">señalada en este </w:t>
      </w:r>
      <w:r w:rsidR="00156D63">
        <w:rPr>
          <w:rFonts w:ascii="Arial" w:hAnsi="Arial" w:cs="Arial"/>
          <w:sz w:val="24"/>
          <w:szCs w:val="24"/>
        </w:rPr>
        <w:t xml:space="preserve">último </w:t>
      </w:r>
      <w:r w:rsidR="00A15814">
        <w:rPr>
          <w:rFonts w:ascii="Arial" w:hAnsi="Arial" w:cs="Arial"/>
          <w:sz w:val="24"/>
          <w:szCs w:val="24"/>
        </w:rPr>
        <w:t xml:space="preserve">párrafo </w:t>
      </w:r>
      <w:r w:rsidR="00156D63">
        <w:rPr>
          <w:rFonts w:ascii="Arial" w:hAnsi="Arial" w:cs="Arial"/>
          <w:sz w:val="24"/>
          <w:szCs w:val="24"/>
        </w:rPr>
        <w:t>citado</w:t>
      </w:r>
      <w:r w:rsidR="00B77769">
        <w:rPr>
          <w:rFonts w:ascii="Arial" w:hAnsi="Arial" w:cs="Arial"/>
          <w:sz w:val="24"/>
          <w:szCs w:val="24"/>
        </w:rPr>
        <w:t xml:space="preserve">, </w:t>
      </w:r>
      <w:r w:rsidR="00A15814">
        <w:rPr>
          <w:rFonts w:ascii="Arial" w:hAnsi="Arial" w:cs="Arial"/>
          <w:sz w:val="24"/>
          <w:szCs w:val="24"/>
        </w:rPr>
        <w:t>así como</w:t>
      </w:r>
      <w:r w:rsidR="00156D63">
        <w:rPr>
          <w:rFonts w:ascii="Arial" w:hAnsi="Arial" w:cs="Arial"/>
          <w:sz w:val="24"/>
          <w:szCs w:val="24"/>
        </w:rPr>
        <w:t xml:space="preserve"> es </w:t>
      </w:r>
      <w:r w:rsidR="00B94A1E">
        <w:rPr>
          <w:rFonts w:ascii="Arial" w:hAnsi="Arial" w:cs="Arial"/>
          <w:sz w:val="24"/>
          <w:szCs w:val="24"/>
        </w:rPr>
        <w:t xml:space="preserve">también </w:t>
      </w:r>
      <w:r w:rsidR="00156D63">
        <w:rPr>
          <w:rFonts w:ascii="Arial" w:hAnsi="Arial" w:cs="Arial"/>
          <w:sz w:val="24"/>
          <w:szCs w:val="24"/>
        </w:rPr>
        <w:t xml:space="preserve">la oportunidad de </w:t>
      </w:r>
      <w:r w:rsidR="00414AEF">
        <w:rPr>
          <w:rFonts w:ascii="Arial" w:hAnsi="Arial" w:cs="Arial"/>
          <w:sz w:val="24"/>
          <w:szCs w:val="24"/>
        </w:rPr>
        <w:t>reformar</w:t>
      </w:r>
      <w:r w:rsidR="00B94A1E">
        <w:rPr>
          <w:rFonts w:ascii="Arial" w:hAnsi="Arial" w:cs="Arial"/>
          <w:sz w:val="24"/>
          <w:szCs w:val="24"/>
        </w:rPr>
        <w:t xml:space="preserve"> en consecuencia</w:t>
      </w:r>
      <w:r w:rsidR="00414AEF">
        <w:rPr>
          <w:rFonts w:ascii="Arial" w:hAnsi="Arial" w:cs="Arial"/>
          <w:sz w:val="24"/>
          <w:szCs w:val="24"/>
        </w:rPr>
        <w:t xml:space="preserve"> la fracción I del artículo 7 de</w:t>
      </w:r>
      <w:r w:rsidR="00B77769">
        <w:rPr>
          <w:rFonts w:ascii="Arial" w:hAnsi="Arial" w:cs="Arial"/>
          <w:sz w:val="24"/>
          <w:szCs w:val="24"/>
        </w:rPr>
        <w:t xml:space="preserve"> la Ley de la Comisión Nacional de los Derechos Humanos</w:t>
      </w:r>
      <w:r w:rsidR="00414AEF">
        <w:rPr>
          <w:rFonts w:ascii="Arial" w:hAnsi="Arial" w:cs="Arial"/>
          <w:sz w:val="24"/>
          <w:szCs w:val="24"/>
        </w:rPr>
        <w:t xml:space="preserve"> para que, de igual forma, los organismos responsables de la defensa de los derechos fundamentales, </w:t>
      </w:r>
      <w:r w:rsidR="00156D63">
        <w:rPr>
          <w:rFonts w:ascii="Arial" w:hAnsi="Arial" w:cs="Arial"/>
          <w:sz w:val="24"/>
          <w:szCs w:val="24"/>
        </w:rPr>
        <w:t xml:space="preserve">una vez eliminada </w:t>
      </w:r>
      <w:r w:rsidR="00414AEF">
        <w:rPr>
          <w:rFonts w:ascii="Arial" w:hAnsi="Arial" w:cs="Arial"/>
          <w:sz w:val="24"/>
          <w:szCs w:val="24"/>
        </w:rPr>
        <w:t>la restricción de conocer los actos violatorios de derechos que, en materia electoral, puedan ser  cometidos por las autoridades</w:t>
      </w:r>
      <w:r w:rsidR="00FB3579" w:rsidRPr="00487F9D">
        <w:rPr>
          <w:rFonts w:ascii="Arial" w:hAnsi="Arial" w:cs="Arial"/>
          <w:sz w:val="24"/>
          <w:szCs w:val="24"/>
        </w:rPr>
        <w:t>,</w:t>
      </w:r>
      <w:r w:rsidR="00BF4277" w:rsidRPr="00487F9D">
        <w:rPr>
          <w:rFonts w:ascii="Arial" w:hAnsi="Arial" w:cs="Arial"/>
          <w:sz w:val="24"/>
          <w:szCs w:val="24"/>
        </w:rPr>
        <w:t xml:space="preserve"> </w:t>
      </w:r>
      <w:r w:rsidR="00156D63">
        <w:rPr>
          <w:rFonts w:ascii="Arial" w:hAnsi="Arial" w:cs="Arial"/>
          <w:sz w:val="24"/>
          <w:szCs w:val="24"/>
        </w:rPr>
        <w:t xml:space="preserve">puedan tener a su favor </w:t>
      </w:r>
      <w:r w:rsidR="00BF4277" w:rsidRPr="00487F9D">
        <w:rPr>
          <w:rFonts w:ascii="Arial" w:hAnsi="Arial" w:cs="Arial"/>
          <w:sz w:val="24"/>
          <w:szCs w:val="24"/>
        </w:rPr>
        <w:t xml:space="preserve">el marco adecuado para que la defensa ciudadana e </w:t>
      </w:r>
      <w:r w:rsidR="0078559B" w:rsidRPr="00487F9D">
        <w:rPr>
          <w:rFonts w:ascii="Arial" w:hAnsi="Arial" w:cs="Arial"/>
          <w:sz w:val="24"/>
          <w:szCs w:val="24"/>
        </w:rPr>
        <w:t>individual de</w:t>
      </w:r>
      <w:r w:rsidR="00FB3579" w:rsidRPr="00487F9D">
        <w:rPr>
          <w:rFonts w:ascii="Arial" w:hAnsi="Arial" w:cs="Arial"/>
          <w:sz w:val="24"/>
          <w:szCs w:val="24"/>
        </w:rPr>
        <w:t xml:space="preserve"> uno de los derechos políticos de mayor trascendencia para incidir  en la vida democrática de nuestro país</w:t>
      </w:r>
      <w:r w:rsidR="0078559B" w:rsidRPr="00487F9D">
        <w:rPr>
          <w:rFonts w:ascii="Arial" w:hAnsi="Arial" w:cs="Arial"/>
          <w:sz w:val="24"/>
          <w:szCs w:val="24"/>
        </w:rPr>
        <w:t xml:space="preserve">, sea el siguiente paso en el ciclo evolutivo del respeto a </w:t>
      </w:r>
      <w:r w:rsidR="00FB3579" w:rsidRPr="00487F9D">
        <w:rPr>
          <w:rFonts w:ascii="Arial" w:hAnsi="Arial" w:cs="Arial"/>
          <w:sz w:val="24"/>
          <w:szCs w:val="24"/>
        </w:rPr>
        <w:t>ese derecho</w:t>
      </w:r>
      <w:r w:rsidR="00156D63">
        <w:rPr>
          <w:rFonts w:ascii="Arial" w:hAnsi="Arial" w:cs="Arial"/>
          <w:sz w:val="24"/>
          <w:szCs w:val="24"/>
        </w:rPr>
        <w:t>.</w:t>
      </w:r>
      <w:r w:rsidR="004970BE">
        <w:rPr>
          <w:rFonts w:ascii="Arial" w:hAnsi="Arial" w:cs="Arial"/>
          <w:sz w:val="24"/>
          <w:szCs w:val="24"/>
        </w:rPr>
        <w:t>.</w:t>
      </w:r>
    </w:p>
    <w:p w:rsidR="00A3468E" w:rsidRPr="00487F9D" w:rsidRDefault="00A3468E" w:rsidP="00814EB1">
      <w:pPr>
        <w:spacing w:after="0" w:line="336" w:lineRule="auto"/>
        <w:ind w:right="157"/>
        <w:jc w:val="both"/>
        <w:rPr>
          <w:rFonts w:ascii="Arial" w:hAnsi="Arial" w:cs="Arial"/>
          <w:sz w:val="24"/>
          <w:szCs w:val="24"/>
        </w:rPr>
      </w:pPr>
      <w:r w:rsidRPr="00487F9D">
        <w:rPr>
          <w:rFonts w:ascii="Arial" w:hAnsi="Arial" w:cs="Arial"/>
          <w:sz w:val="24"/>
          <w:szCs w:val="24"/>
        </w:rPr>
        <w:t xml:space="preserve">Por lo anteriormente expuesto, </w:t>
      </w:r>
      <w:r w:rsidR="00ED7CEF" w:rsidRPr="00487F9D">
        <w:rPr>
          <w:rFonts w:ascii="Arial" w:hAnsi="Arial" w:cs="Arial"/>
          <w:sz w:val="24"/>
          <w:szCs w:val="24"/>
        </w:rPr>
        <w:t xml:space="preserve">y con el propósito de reformar la Constitución Política de los Estados Unidos Mexicanos, a fin de que los organismos </w:t>
      </w:r>
      <w:r w:rsidR="00ED7CEF" w:rsidRPr="00487F9D">
        <w:rPr>
          <w:rFonts w:ascii="Arial" w:hAnsi="Arial" w:cs="Arial"/>
          <w:sz w:val="24"/>
          <w:szCs w:val="24"/>
        </w:rPr>
        <w:lastRenderedPageBreak/>
        <w:t>defensores de los derechos huma</w:t>
      </w:r>
      <w:r w:rsidR="00B37E2B" w:rsidRPr="00487F9D">
        <w:rPr>
          <w:rFonts w:ascii="Arial" w:hAnsi="Arial" w:cs="Arial"/>
          <w:sz w:val="24"/>
          <w:szCs w:val="24"/>
        </w:rPr>
        <w:t xml:space="preserve">nos puedan conocer de asuntos electorales cuando las autoridades hayan cometido actos </w:t>
      </w:r>
      <w:r w:rsidR="00ED7CEF" w:rsidRPr="00487F9D">
        <w:rPr>
          <w:rFonts w:ascii="Arial" w:hAnsi="Arial" w:cs="Arial"/>
          <w:sz w:val="24"/>
          <w:szCs w:val="24"/>
        </w:rPr>
        <w:t xml:space="preserve">violatorios de </w:t>
      </w:r>
      <w:r w:rsidR="00B37E2B" w:rsidRPr="00487F9D">
        <w:rPr>
          <w:rFonts w:ascii="Arial" w:hAnsi="Arial" w:cs="Arial"/>
          <w:sz w:val="24"/>
          <w:szCs w:val="24"/>
        </w:rPr>
        <w:t>esos derechos</w:t>
      </w:r>
      <w:r w:rsidR="00ED7CEF" w:rsidRPr="00487F9D">
        <w:rPr>
          <w:rFonts w:ascii="Arial" w:hAnsi="Arial" w:cs="Arial"/>
          <w:sz w:val="24"/>
          <w:szCs w:val="24"/>
        </w:rPr>
        <w:t>,</w:t>
      </w:r>
      <w:r w:rsidR="00B37E2B" w:rsidRPr="00487F9D">
        <w:rPr>
          <w:rFonts w:ascii="Arial" w:hAnsi="Arial" w:cs="Arial"/>
          <w:sz w:val="24"/>
          <w:szCs w:val="24"/>
        </w:rPr>
        <w:t xml:space="preserve"> es que</w:t>
      </w:r>
      <w:r w:rsidR="00ED7CEF" w:rsidRPr="00487F9D">
        <w:rPr>
          <w:rFonts w:ascii="Arial" w:hAnsi="Arial" w:cs="Arial"/>
          <w:sz w:val="24"/>
          <w:szCs w:val="24"/>
        </w:rPr>
        <w:t xml:space="preserve"> </w:t>
      </w:r>
      <w:r w:rsidRPr="00487F9D">
        <w:rPr>
          <w:rFonts w:ascii="Arial" w:hAnsi="Arial" w:cs="Arial"/>
          <w:sz w:val="24"/>
          <w:szCs w:val="24"/>
        </w:rPr>
        <w:t>sometemos a la consideración de esta soberanía el siguiente proyecto de:</w:t>
      </w:r>
    </w:p>
    <w:p w:rsidR="00A3468E" w:rsidRPr="00487F9D" w:rsidRDefault="00A3468E" w:rsidP="00A3468E">
      <w:pPr>
        <w:spacing w:after="0" w:line="336" w:lineRule="auto"/>
        <w:ind w:left="142" w:right="157"/>
        <w:jc w:val="both"/>
        <w:rPr>
          <w:rFonts w:ascii="Arial" w:hAnsi="Arial" w:cs="Arial"/>
          <w:sz w:val="24"/>
          <w:szCs w:val="24"/>
        </w:rPr>
      </w:pPr>
    </w:p>
    <w:p w:rsidR="00A3468E" w:rsidRPr="00425204" w:rsidRDefault="00A3468E" w:rsidP="00A3468E">
      <w:pPr>
        <w:spacing w:after="0" w:line="336" w:lineRule="auto"/>
        <w:ind w:right="157"/>
        <w:jc w:val="center"/>
        <w:rPr>
          <w:rStyle w:val="Refdecomentario"/>
          <w:rFonts w:ascii="Arial" w:hAnsi="Arial" w:cs="Arial"/>
          <w:b/>
          <w:sz w:val="24"/>
          <w:szCs w:val="24"/>
        </w:rPr>
      </w:pPr>
      <w:r w:rsidRPr="00425204">
        <w:rPr>
          <w:rStyle w:val="Refdecomentario"/>
          <w:rFonts w:ascii="Arial" w:hAnsi="Arial" w:cs="Arial"/>
          <w:b/>
          <w:sz w:val="24"/>
          <w:szCs w:val="24"/>
        </w:rPr>
        <w:t>DECRETO ANTE H. CONGRESO DE LA UNIÓN.</w:t>
      </w:r>
    </w:p>
    <w:p w:rsidR="00A3468E" w:rsidRPr="00425204" w:rsidRDefault="00A3468E" w:rsidP="00A3468E">
      <w:pPr>
        <w:spacing w:after="0" w:line="336" w:lineRule="auto"/>
        <w:ind w:right="157"/>
        <w:jc w:val="center"/>
        <w:rPr>
          <w:rStyle w:val="Refdecomentario"/>
          <w:rFonts w:ascii="Arial" w:hAnsi="Arial" w:cs="Arial"/>
          <w:b/>
          <w:sz w:val="24"/>
          <w:szCs w:val="24"/>
        </w:rPr>
      </w:pPr>
    </w:p>
    <w:p w:rsidR="00C8436A" w:rsidRPr="00425204" w:rsidRDefault="00C8436A" w:rsidP="00A3468E">
      <w:pPr>
        <w:spacing w:after="0" w:line="336" w:lineRule="auto"/>
        <w:ind w:right="157"/>
        <w:jc w:val="both"/>
        <w:rPr>
          <w:rStyle w:val="Refdecomentario"/>
          <w:rFonts w:ascii="Arial" w:hAnsi="Arial" w:cs="Arial"/>
          <w:sz w:val="24"/>
          <w:szCs w:val="24"/>
        </w:rPr>
      </w:pPr>
      <w:r w:rsidRPr="00425204">
        <w:rPr>
          <w:rStyle w:val="Refdecomentario"/>
          <w:rFonts w:ascii="Arial" w:hAnsi="Arial" w:cs="Arial"/>
          <w:b/>
          <w:sz w:val="24"/>
          <w:szCs w:val="24"/>
        </w:rPr>
        <w:t xml:space="preserve">PRIMERO.- </w:t>
      </w:r>
      <w:r w:rsidRPr="00425204">
        <w:rPr>
          <w:rStyle w:val="Refdecomentario"/>
          <w:rFonts w:ascii="Arial" w:hAnsi="Arial" w:cs="Arial"/>
          <w:sz w:val="24"/>
          <w:szCs w:val="24"/>
        </w:rPr>
        <w:t>Se reforma el tercer párrafo del apartado B, del artículo 102 de la Constitución Política de los Estados Unidos Mexicanos, para quedar como sigue:</w:t>
      </w:r>
    </w:p>
    <w:p w:rsidR="009B7052" w:rsidRDefault="009B7052" w:rsidP="00C8436A">
      <w:pPr>
        <w:rPr>
          <w:rFonts w:ascii="Arial" w:hAnsi="Arial" w:cs="Arial"/>
          <w:sz w:val="24"/>
          <w:szCs w:val="24"/>
        </w:rPr>
      </w:pPr>
    </w:p>
    <w:p w:rsidR="00C8436A" w:rsidRPr="00425204" w:rsidRDefault="00C8436A" w:rsidP="00C8436A">
      <w:pPr>
        <w:rPr>
          <w:rFonts w:ascii="Arial" w:hAnsi="Arial" w:cs="Arial"/>
          <w:sz w:val="24"/>
          <w:szCs w:val="24"/>
        </w:rPr>
      </w:pPr>
      <w:r w:rsidRPr="00425204">
        <w:rPr>
          <w:rFonts w:ascii="Arial" w:hAnsi="Arial" w:cs="Arial"/>
          <w:sz w:val="24"/>
          <w:szCs w:val="24"/>
        </w:rPr>
        <w:t>Art 102.</w:t>
      </w:r>
      <w:proofErr w:type="gramStart"/>
      <w:r w:rsidRPr="00425204">
        <w:rPr>
          <w:rFonts w:ascii="Arial" w:hAnsi="Arial" w:cs="Arial"/>
          <w:sz w:val="24"/>
          <w:szCs w:val="24"/>
        </w:rPr>
        <w:t xml:space="preserve">- </w:t>
      </w:r>
      <w:r w:rsidR="0048734A" w:rsidRPr="00425204">
        <w:rPr>
          <w:rFonts w:ascii="Arial" w:hAnsi="Arial" w:cs="Arial"/>
          <w:sz w:val="24"/>
          <w:szCs w:val="24"/>
        </w:rPr>
        <w:t>….</w:t>
      </w:r>
      <w:proofErr w:type="gramEnd"/>
    </w:p>
    <w:p w:rsidR="00C8436A" w:rsidRPr="00425204" w:rsidRDefault="00C8436A" w:rsidP="00C8436A">
      <w:pPr>
        <w:rPr>
          <w:rFonts w:ascii="Arial" w:hAnsi="Arial" w:cs="Arial"/>
          <w:sz w:val="24"/>
          <w:szCs w:val="24"/>
        </w:rPr>
      </w:pPr>
      <w:r w:rsidRPr="00425204">
        <w:rPr>
          <w:rFonts w:ascii="Arial" w:hAnsi="Arial" w:cs="Arial"/>
          <w:sz w:val="24"/>
          <w:szCs w:val="24"/>
        </w:rPr>
        <w:t>A.-</w:t>
      </w:r>
      <w:r w:rsidR="0048734A" w:rsidRPr="00425204">
        <w:rPr>
          <w:rFonts w:ascii="Arial" w:hAnsi="Arial" w:cs="Arial"/>
          <w:sz w:val="24"/>
          <w:szCs w:val="24"/>
        </w:rPr>
        <w:t>…….</w:t>
      </w:r>
    </w:p>
    <w:p w:rsidR="00C8436A" w:rsidRPr="00425204" w:rsidRDefault="00C8436A" w:rsidP="00C8436A">
      <w:pPr>
        <w:rPr>
          <w:rFonts w:ascii="Arial" w:hAnsi="Arial" w:cs="Arial"/>
          <w:sz w:val="24"/>
          <w:szCs w:val="24"/>
        </w:rPr>
      </w:pPr>
      <w:r w:rsidRPr="00425204">
        <w:rPr>
          <w:rFonts w:ascii="Arial" w:hAnsi="Arial" w:cs="Arial"/>
          <w:sz w:val="24"/>
          <w:szCs w:val="24"/>
        </w:rPr>
        <w:t>B.-….</w:t>
      </w:r>
    </w:p>
    <w:p w:rsidR="00C8436A" w:rsidRPr="00425204" w:rsidRDefault="00C8436A" w:rsidP="00C8436A">
      <w:pPr>
        <w:rPr>
          <w:rFonts w:ascii="Arial" w:hAnsi="Arial" w:cs="Arial"/>
          <w:sz w:val="24"/>
          <w:szCs w:val="24"/>
        </w:rPr>
      </w:pPr>
      <w:r w:rsidRPr="00425204">
        <w:rPr>
          <w:rFonts w:ascii="Arial" w:hAnsi="Arial" w:cs="Arial"/>
          <w:sz w:val="24"/>
          <w:szCs w:val="24"/>
        </w:rPr>
        <w:t xml:space="preserve">……… </w:t>
      </w:r>
    </w:p>
    <w:p w:rsidR="00C8436A" w:rsidRPr="00425204" w:rsidRDefault="00C8436A" w:rsidP="00B254B6">
      <w:pPr>
        <w:spacing w:line="360" w:lineRule="auto"/>
        <w:jc w:val="both"/>
        <w:rPr>
          <w:rFonts w:ascii="Arial" w:hAnsi="Arial" w:cs="Arial"/>
          <w:b/>
          <w:sz w:val="24"/>
          <w:szCs w:val="24"/>
        </w:rPr>
      </w:pPr>
      <w:r w:rsidRPr="00425204">
        <w:rPr>
          <w:rFonts w:ascii="Arial" w:hAnsi="Arial" w:cs="Arial"/>
          <w:b/>
          <w:sz w:val="24"/>
          <w:szCs w:val="24"/>
        </w:rPr>
        <w:t>Estos organismos no serán competentes</w:t>
      </w:r>
      <w:r w:rsidR="00414AEF">
        <w:rPr>
          <w:rFonts w:ascii="Arial" w:hAnsi="Arial" w:cs="Arial"/>
          <w:b/>
          <w:sz w:val="24"/>
          <w:szCs w:val="24"/>
        </w:rPr>
        <w:t>,</w:t>
      </w:r>
      <w:r w:rsidRPr="00425204">
        <w:rPr>
          <w:rFonts w:ascii="Arial" w:hAnsi="Arial" w:cs="Arial"/>
          <w:b/>
          <w:sz w:val="24"/>
          <w:szCs w:val="24"/>
        </w:rPr>
        <w:t xml:space="preserve"> tratándose de </w:t>
      </w:r>
      <w:r w:rsidR="00576845">
        <w:rPr>
          <w:rFonts w:ascii="Arial" w:hAnsi="Arial" w:cs="Arial"/>
          <w:b/>
          <w:sz w:val="24"/>
          <w:szCs w:val="24"/>
        </w:rPr>
        <w:t xml:space="preserve">asuntos </w:t>
      </w:r>
      <w:r w:rsidR="00F02878" w:rsidRPr="00425204">
        <w:rPr>
          <w:rFonts w:ascii="Arial" w:hAnsi="Arial" w:cs="Arial"/>
          <w:b/>
          <w:sz w:val="24"/>
          <w:szCs w:val="24"/>
        </w:rPr>
        <w:t xml:space="preserve"> </w:t>
      </w:r>
      <w:r w:rsidRPr="00425204">
        <w:rPr>
          <w:rFonts w:ascii="Arial" w:hAnsi="Arial" w:cs="Arial"/>
          <w:b/>
          <w:sz w:val="24"/>
          <w:szCs w:val="24"/>
        </w:rPr>
        <w:t xml:space="preserve"> jurisdiccionales.</w:t>
      </w:r>
    </w:p>
    <w:p w:rsidR="00C8436A" w:rsidRPr="00425204" w:rsidRDefault="00C8436A" w:rsidP="0048734A">
      <w:pPr>
        <w:spacing w:line="360" w:lineRule="auto"/>
        <w:jc w:val="both"/>
        <w:rPr>
          <w:rFonts w:ascii="Arial" w:hAnsi="Arial" w:cs="Arial"/>
          <w:sz w:val="24"/>
          <w:szCs w:val="24"/>
        </w:rPr>
      </w:pPr>
      <w:r w:rsidRPr="00425204">
        <w:rPr>
          <w:rFonts w:ascii="Arial" w:hAnsi="Arial" w:cs="Arial"/>
          <w:b/>
          <w:sz w:val="24"/>
          <w:szCs w:val="24"/>
        </w:rPr>
        <w:t xml:space="preserve">SEGUNDO.- </w:t>
      </w:r>
      <w:r w:rsidRPr="00425204">
        <w:rPr>
          <w:rFonts w:ascii="Arial" w:hAnsi="Arial" w:cs="Arial"/>
          <w:sz w:val="24"/>
          <w:szCs w:val="24"/>
        </w:rPr>
        <w:t>Se reforma la fracción primera</w:t>
      </w:r>
      <w:r w:rsidR="008C5533" w:rsidRPr="00425204">
        <w:rPr>
          <w:rFonts w:ascii="Arial" w:hAnsi="Arial" w:cs="Arial"/>
          <w:sz w:val="24"/>
          <w:szCs w:val="24"/>
        </w:rPr>
        <w:t xml:space="preserve">, del </w:t>
      </w:r>
      <w:r w:rsidRPr="00425204">
        <w:rPr>
          <w:rFonts w:ascii="Arial" w:hAnsi="Arial" w:cs="Arial"/>
          <w:sz w:val="24"/>
          <w:szCs w:val="24"/>
        </w:rPr>
        <w:t>artículo 7</w:t>
      </w:r>
      <w:r w:rsidR="008C5533" w:rsidRPr="00425204">
        <w:rPr>
          <w:rFonts w:ascii="Arial" w:hAnsi="Arial" w:cs="Arial"/>
          <w:sz w:val="24"/>
          <w:szCs w:val="24"/>
        </w:rPr>
        <w:t>,</w:t>
      </w:r>
      <w:r w:rsidRPr="00425204">
        <w:rPr>
          <w:rFonts w:ascii="Arial" w:hAnsi="Arial" w:cs="Arial"/>
          <w:sz w:val="24"/>
          <w:szCs w:val="24"/>
        </w:rPr>
        <w:t xml:space="preserve"> de la Ley de la Comisión Nacional de los Derechos Humanos, para quedar como sigue:</w:t>
      </w:r>
    </w:p>
    <w:p w:rsidR="0048734A" w:rsidRPr="00425204" w:rsidRDefault="00C8436A" w:rsidP="00C8436A">
      <w:pPr>
        <w:autoSpaceDE w:val="0"/>
        <w:autoSpaceDN w:val="0"/>
        <w:adjustRightInd w:val="0"/>
        <w:spacing w:after="0" w:line="240" w:lineRule="auto"/>
        <w:jc w:val="both"/>
        <w:rPr>
          <w:rFonts w:ascii="Arial" w:hAnsi="Arial" w:cs="Arial"/>
          <w:sz w:val="24"/>
          <w:szCs w:val="24"/>
        </w:rPr>
      </w:pPr>
      <w:r w:rsidRPr="00425204">
        <w:rPr>
          <w:rFonts w:ascii="Arial" w:hAnsi="Arial" w:cs="Arial"/>
          <w:sz w:val="24"/>
          <w:szCs w:val="24"/>
        </w:rPr>
        <w:t>Artículo 7o.</w:t>
      </w:r>
      <w:proofErr w:type="gramStart"/>
      <w:r w:rsidRPr="00425204">
        <w:rPr>
          <w:rFonts w:ascii="Arial" w:hAnsi="Arial" w:cs="Arial"/>
          <w:sz w:val="24"/>
          <w:szCs w:val="24"/>
        </w:rPr>
        <w:t xml:space="preserve">- </w:t>
      </w:r>
      <w:r w:rsidR="0048734A" w:rsidRPr="00425204">
        <w:rPr>
          <w:rFonts w:ascii="Arial" w:hAnsi="Arial" w:cs="Arial"/>
          <w:sz w:val="24"/>
          <w:szCs w:val="24"/>
        </w:rPr>
        <w:t>….</w:t>
      </w:r>
      <w:proofErr w:type="gramEnd"/>
    </w:p>
    <w:p w:rsidR="0048734A" w:rsidRPr="00425204" w:rsidRDefault="0048734A" w:rsidP="00C8436A">
      <w:pPr>
        <w:autoSpaceDE w:val="0"/>
        <w:autoSpaceDN w:val="0"/>
        <w:adjustRightInd w:val="0"/>
        <w:spacing w:after="0" w:line="240" w:lineRule="auto"/>
        <w:jc w:val="both"/>
        <w:rPr>
          <w:rFonts w:ascii="Arial" w:hAnsi="Arial" w:cs="Arial"/>
          <w:sz w:val="24"/>
          <w:szCs w:val="24"/>
        </w:rPr>
      </w:pPr>
    </w:p>
    <w:p w:rsidR="00C8436A" w:rsidRPr="00425204" w:rsidRDefault="0048734A" w:rsidP="0048734A">
      <w:pPr>
        <w:pStyle w:val="Prrafodelista"/>
        <w:numPr>
          <w:ilvl w:val="0"/>
          <w:numId w:val="1"/>
        </w:numPr>
        <w:autoSpaceDE w:val="0"/>
        <w:autoSpaceDN w:val="0"/>
        <w:adjustRightInd w:val="0"/>
        <w:spacing w:after="0" w:line="240" w:lineRule="auto"/>
        <w:jc w:val="both"/>
        <w:rPr>
          <w:rFonts w:ascii="Arial" w:hAnsi="Arial" w:cs="Arial"/>
          <w:b/>
          <w:sz w:val="24"/>
          <w:szCs w:val="24"/>
        </w:rPr>
      </w:pPr>
      <w:r w:rsidRPr="00425204">
        <w:rPr>
          <w:rFonts w:ascii="Arial" w:hAnsi="Arial" w:cs="Arial"/>
          <w:b/>
          <w:sz w:val="24"/>
          <w:szCs w:val="24"/>
        </w:rPr>
        <w:t>R</w:t>
      </w:r>
      <w:r w:rsidR="00C8436A" w:rsidRPr="00425204">
        <w:rPr>
          <w:rFonts w:ascii="Arial" w:hAnsi="Arial" w:cs="Arial"/>
          <w:b/>
          <w:sz w:val="24"/>
          <w:szCs w:val="24"/>
        </w:rPr>
        <w:t>esoluciones de organismos y autoridades electorales;</w:t>
      </w:r>
    </w:p>
    <w:p w:rsidR="00C8436A" w:rsidRPr="00425204" w:rsidRDefault="00C8436A" w:rsidP="00C8436A">
      <w:pPr>
        <w:rPr>
          <w:rFonts w:ascii="Arial" w:hAnsi="Arial" w:cs="Arial"/>
          <w:b/>
          <w:sz w:val="24"/>
          <w:szCs w:val="24"/>
        </w:rPr>
      </w:pPr>
    </w:p>
    <w:p w:rsidR="00E21C18" w:rsidRPr="00425204" w:rsidRDefault="00AB28C4" w:rsidP="00E21C18">
      <w:pPr>
        <w:spacing w:line="360" w:lineRule="auto"/>
        <w:jc w:val="center"/>
        <w:rPr>
          <w:rFonts w:ascii="Arial" w:hAnsi="Arial" w:cs="Arial"/>
          <w:b/>
          <w:bCs/>
          <w:sz w:val="24"/>
          <w:szCs w:val="24"/>
        </w:rPr>
      </w:pPr>
      <w:r w:rsidRPr="00425204">
        <w:rPr>
          <w:rFonts w:ascii="Arial" w:hAnsi="Arial" w:cs="Arial"/>
          <w:b/>
          <w:bCs/>
          <w:sz w:val="24"/>
          <w:szCs w:val="24"/>
        </w:rPr>
        <w:t>TRANSITORIO</w:t>
      </w:r>
      <w:r w:rsidR="00E21C18" w:rsidRPr="00425204">
        <w:rPr>
          <w:rFonts w:ascii="Arial" w:hAnsi="Arial" w:cs="Arial"/>
          <w:b/>
          <w:bCs/>
          <w:sz w:val="24"/>
          <w:szCs w:val="24"/>
        </w:rPr>
        <w:t>S</w:t>
      </w:r>
    </w:p>
    <w:p w:rsidR="00E21C18" w:rsidRPr="00425204" w:rsidRDefault="00E21C18" w:rsidP="00E21C18">
      <w:pPr>
        <w:spacing w:line="360" w:lineRule="auto"/>
        <w:jc w:val="both"/>
        <w:rPr>
          <w:rFonts w:ascii="Arial" w:hAnsi="Arial" w:cs="Arial"/>
          <w:b/>
          <w:bCs/>
          <w:sz w:val="24"/>
          <w:szCs w:val="24"/>
        </w:rPr>
      </w:pPr>
      <w:r w:rsidRPr="00425204">
        <w:rPr>
          <w:rFonts w:ascii="Arial" w:hAnsi="Arial" w:cs="Arial"/>
          <w:b/>
          <w:bCs/>
          <w:sz w:val="24"/>
          <w:szCs w:val="24"/>
        </w:rPr>
        <w:t>PRIMERO</w:t>
      </w:r>
      <w:r w:rsidR="00AB28C4" w:rsidRPr="00425204">
        <w:rPr>
          <w:rFonts w:ascii="Arial" w:hAnsi="Arial" w:cs="Arial"/>
          <w:b/>
          <w:bCs/>
          <w:sz w:val="24"/>
          <w:szCs w:val="24"/>
        </w:rPr>
        <w:t xml:space="preserve">.- </w:t>
      </w:r>
      <w:r w:rsidRPr="00425204">
        <w:rPr>
          <w:rFonts w:ascii="Arial" w:hAnsi="Arial" w:cs="Arial"/>
          <w:sz w:val="24"/>
          <w:szCs w:val="24"/>
        </w:rPr>
        <w:t>Aprobado que sea, túrne</w:t>
      </w:r>
      <w:r w:rsidR="002A1528" w:rsidRPr="00425204">
        <w:rPr>
          <w:rFonts w:ascii="Arial" w:hAnsi="Arial" w:cs="Arial"/>
          <w:sz w:val="24"/>
          <w:szCs w:val="24"/>
        </w:rPr>
        <w:t>se a la Secretaría a fin de que</w:t>
      </w:r>
      <w:r w:rsidRPr="00425204">
        <w:rPr>
          <w:rFonts w:ascii="Arial" w:hAnsi="Arial" w:cs="Arial"/>
          <w:sz w:val="24"/>
          <w:szCs w:val="24"/>
        </w:rPr>
        <w:t xml:space="preserve"> </w:t>
      </w:r>
      <w:r w:rsidR="002A1528" w:rsidRPr="00425204">
        <w:rPr>
          <w:rFonts w:ascii="Arial" w:hAnsi="Arial" w:cs="Arial"/>
          <w:sz w:val="24"/>
          <w:szCs w:val="24"/>
        </w:rPr>
        <w:t>remita copia del presente dictamen al H. Congreso de la Unión, con la solicitud de que, con fundamento en el párrafo segundo  del artículo 71</w:t>
      </w:r>
      <w:r w:rsidR="00DE7C9F" w:rsidRPr="00425204">
        <w:rPr>
          <w:rFonts w:ascii="Arial" w:hAnsi="Arial" w:cs="Arial"/>
          <w:sz w:val="24"/>
          <w:szCs w:val="24"/>
        </w:rPr>
        <w:t>,</w:t>
      </w:r>
      <w:r w:rsidRPr="00425204">
        <w:rPr>
          <w:rFonts w:ascii="Arial" w:hAnsi="Arial" w:cs="Arial"/>
          <w:sz w:val="24"/>
          <w:szCs w:val="24"/>
        </w:rPr>
        <w:t xml:space="preserve"> de la Constitución Política d</w:t>
      </w:r>
      <w:r w:rsidR="002A1528" w:rsidRPr="00425204">
        <w:rPr>
          <w:rFonts w:ascii="Arial" w:hAnsi="Arial" w:cs="Arial"/>
          <w:sz w:val="24"/>
          <w:szCs w:val="24"/>
        </w:rPr>
        <w:t>e los Estados Unidos Mexicanos; así como lo previsto para el efecto en la Ley Orgánica del Congreso General de los Estados Unidos Mexicanos, se le dé el trámite co</w:t>
      </w:r>
      <w:r w:rsidRPr="00425204">
        <w:rPr>
          <w:rFonts w:ascii="Arial" w:hAnsi="Arial" w:cs="Arial"/>
          <w:sz w:val="24"/>
          <w:szCs w:val="24"/>
        </w:rPr>
        <w:t>r</w:t>
      </w:r>
      <w:r w:rsidR="002A1528" w:rsidRPr="00425204">
        <w:rPr>
          <w:rFonts w:ascii="Arial" w:hAnsi="Arial" w:cs="Arial"/>
          <w:sz w:val="24"/>
          <w:szCs w:val="24"/>
        </w:rPr>
        <w:t>r</w:t>
      </w:r>
      <w:r w:rsidRPr="00425204">
        <w:rPr>
          <w:rFonts w:ascii="Arial" w:hAnsi="Arial" w:cs="Arial"/>
          <w:sz w:val="24"/>
          <w:szCs w:val="24"/>
        </w:rPr>
        <w:t xml:space="preserve">espondiente. </w:t>
      </w:r>
    </w:p>
    <w:p w:rsidR="00AB28C4" w:rsidRPr="00425204" w:rsidRDefault="00E21C18" w:rsidP="00AB28C4">
      <w:pPr>
        <w:spacing w:line="360" w:lineRule="auto"/>
        <w:jc w:val="both"/>
        <w:rPr>
          <w:rFonts w:ascii="Arial" w:hAnsi="Arial" w:cs="Arial"/>
          <w:sz w:val="24"/>
          <w:szCs w:val="24"/>
        </w:rPr>
      </w:pPr>
      <w:r w:rsidRPr="00425204">
        <w:rPr>
          <w:rFonts w:ascii="Arial" w:hAnsi="Arial" w:cs="Arial"/>
          <w:b/>
          <w:sz w:val="24"/>
          <w:szCs w:val="24"/>
        </w:rPr>
        <w:lastRenderedPageBreak/>
        <w:t>SEGUNDO.-</w:t>
      </w:r>
      <w:r w:rsidRPr="00425204">
        <w:rPr>
          <w:rFonts w:ascii="Arial" w:hAnsi="Arial" w:cs="Arial"/>
          <w:sz w:val="24"/>
          <w:szCs w:val="24"/>
        </w:rPr>
        <w:t xml:space="preserve"> </w:t>
      </w:r>
      <w:r w:rsidR="00AB28C4" w:rsidRPr="00425204">
        <w:rPr>
          <w:rFonts w:ascii="Arial" w:hAnsi="Arial" w:cs="Arial"/>
          <w:b/>
          <w:bCs/>
          <w:sz w:val="24"/>
          <w:szCs w:val="24"/>
        </w:rPr>
        <w:t xml:space="preserve"> </w:t>
      </w:r>
      <w:r w:rsidR="00AB28C4" w:rsidRPr="00425204">
        <w:rPr>
          <w:rFonts w:ascii="Arial" w:hAnsi="Arial" w:cs="Arial"/>
          <w:sz w:val="24"/>
          <w:szCs w:val="24"/>
        </w:rPr>
        <w:t xml:space="preserve">El presente Decreto entrará en vigor a partir de su publicación en el </w:t>
      </w:r>
      <w:r w:rsidR="0048734A" w:rsidRPr="00425204">
        <w:rPr>
          <w:rFonts w:ascii="Arial" w:hAnsi="Arial" w:cs="Arial"/>
          <w:sz w:val="24"/>
          <w:szCs w:val="24"/>
        </w:rPr>
        <w:t xml:space="preserve">Diario </w:t>
      </w:r>
      <w:r w:rsidR="00AB28C4" w:rsidRPr="00425204">
        <w:rPr>
          <w:rFonts w:ascii="Arial" w:hAnsi="Arial" w:cs="Arial"/>
          <w:sz w:val="24"/>
          <w:szCs w:val="24"/>
        </w:rPr>
        <w:t>Oficial de</w:t>
      </w:r>
      <w:r w:rsidR="0048734A" w:rsidRPr="00425204">
        <w:rPr>
          <w:rFonts w:ascii="Arial" w:hAnsi="Arial" w:cs="Arial"/>
          <w:sz w:val="24"/>
          <w:szCs w:val="24"/>
        </w:rPr>
        <w:t xml:space="preserve"> la Federación</w:t>
      </w:r>
      <w:r w:rsidR="00AB28C4" w:rsidRPr="00425204">
        <w:rPr>
          <w:rFonts w:ascii="Arial" w:hAnsi="Arial" w:cs="Arial"/>
          <w:sz w:val="24"/>
          <w:szCs w:val="24"/>
        </w:rPr>
        <w:t>.</w:t>
      </w:r>
    </w:p>
    <w:p w:rsidR="00AB28C4" w:rsidRPr="00425204" w:rsidRDefault="00AB28C4" w:rsidP="00AB28C4">
      <w:pPr>
        <w:spacing w:line="360" w:lineRule="auto"/>
        <w:jc w:val="both"/>
        <w:rPr>
          <w:rFonts w:ascii="Arial" w:hAnsi="Arial" w:cs="Arial"/>
          <w:sz w:val="24"/>
          <w:szCs w:val="24"/>
        </w:rPr>
      </w:pPr>
      <w:r w:rsidRPr="00425204">
        <w:rPr>
          <w:rFonts w:ascii="Arial" w:hAnsi="Arial" w:cs="Arial"/>
          <w:sz w:val="24"/>
          <w:szCs w:val="24"/>
        </w:rPr>
        <w:t xml:space="preserve">Dado en </w:t>
      </w:r>
      <w:r w:rsidR="0096785C">
        <w:rPr>
          <w:rFonts w:ascii="Arial" w:hAnsi="Arial" w:cs="Arial"/>
          <w:sz w:val="24"/>
          <w:szCs w:val="24"/>
        </w:rPr>
        <w:t>la Sala Morelos d</w:t>
      </w:r>
      <w:r w:rsidRPr="00425204">
        <w:rPr>
          <w:rFonts w:ascii="Arial" w:hAnsi="Arial" w:cs="Arial"/>
          <w:sz w:val="24"/>
          <w:szCs w:val="24"/>
        </w:rPr>
        <w:t xml:space="preserve">el Palacio Legislativo, a los </w:t>
      </w:r>
      <w:r w:rsidR="00E21C18" w:rsidRPr="00425204">
        <w:rPr>
          <w:rFonts w:ascii="Arial" w:hAnsi="Arial" w:cs="Arial"/>
          <w:sz w:val="24"/>
          <w:szCs w:val="24"/>
        </w:rPr>
        <w:t xml:space="preserve">   </w:t>
      </w:r>
      <w:r w:rsidR="000F790A">
        <w:rPr>
          <w:rFonts w:ascii="Arial" w:hAnsi="Arial" w:cs="Arial"/>
          <w:sz w:val="24"/>
          <w:szCs w:val="24"/>
        </w:rPr>
        <w:t xml:space="preserve">seis </w:t>
      </w:r>
      <w:r w:rsidR="00E21C18" w:rsidRPr="00425204">
        <w:rPr>
          <w:rFonts w:ascii="Arial" w:hAnsi="Arial" w:cs="Arial"/>
          <w:sz w:val="24"/>
          <w:szCs w:val="24"/>
        </w:rPr>
        <w:t xml:space="preserve">   días del mes de</w:t>
      </w:r>
      <w:r w:rsidR="000F790A">
        <w:rPr>
          <w:rFonts w:ascii="Arial" w:hAnsi="Arial" w:cs="Arial"/>
          <w:sz w:val="24"/>
          <w:szCs w:val="24"/>
        </w:rPr>
        <w:t xml:space="preserve"> julio</w:t>
      </w:r>
      <w:r w:rsidR="00E21C18" w:rsidRPr="00425204">
        <w:rPr>
          <w:rFonts w:ascii="Arial" w:hAnsi="Arial" w:cs="Arial"/>
          <w:sz w:val="24"/>
          <w:szCs w:val="24"/>
        </w:rPr>
        <w:t xml:space="preserve">   </w:t>
      </w:r>
      <w:r w:rsidRPr="00425204">
        <w:rPr>
          <w:rFonts w:ascii="Arial" w:hAnsi="Arial" w:cs="Arial"/>
          <w:sz w:val="24"/>
          <w:szCs w:val="24"/>
        </w:rPr>
        <w:t>del año dos mil veinte.</w:t>
      </w:r>
    </w:p>
    <w:p w:rsidR="00AB28C4" w:rsidRPr="00425204" w:rsidRDefault="00AB28C4" w:rsidP="00AB28C4">
      <w:pPr>
        <w:spacing w:before="240" w:after="0" w:line="360" w:lineRule="auto"/>
        <w:ind w:right="-93"/>
        <w:jc w:val="center"/>
        <w:rPr>
          <w:rFonts w:ascii="Arial" w:hAnsi="Arial" w:cs="Arial"/>
          <w:b/>
          <w:sz w:val="24"/>
          <w:szCs w:val="24"/>
        </w:rPr>
      </w:pPr>
      <w:r w:rsidRPr="00425204">
        <w:rPr>
          <w:rFonts w:ascii="Arial" w:hAnsi="Arial" w:cs="Arial"/>
          <w:b/>
          <w:sz w:val="24"/>
          <w:szCs w:val="24"/>
        </w:rPr>
        <w:t>A T E N T A M E N T E</w:t>
      </w:r>
    </w:p>
    <w:p w:rsidR="00AB28C4" w:rsidRPr="00425204" w:rsidRDefault="00AB28C4" w:rsidP="00AB28C4">
      <w:pPr>
        <w:spacing w:after="0" w:line="360" w:lineRule="auto"/>
        <w:ind w:right="-93"/>
        <w:jc w:val="center"/>
        <w:rPr>
          <w:rFonts w:ascii="Arial" w:hAnsi="Arial" w:cs="Arial"/>
          <w:b/>
          <w:sz w:val="24"/>
          <w:szCs w:val="24"/>
        </w:rPr>
      </w:pPr>
      <w:r w:rsidRPr="00425204">
        <w:rPr>
          <w:rFonts w:ascii="Arial" w:hAnsi="Arial" w:cs="Arial"/>
          <w:b/>
          <w:sz w:val="24"/>
          <w:szCs w:val="24"/>
        </w:rPr>
        <w:t xml:space="preserve">POR EL GRUPO PARLAMENTARIO DEL PARTIDO MOVIMIENTO CIUDADANO </w:t>
      </w:r>
    </w:p>
    <w:p w:rsidR="00AB28C4" w:rsidRPr="00425204" w:rsidRDefault="00AB28C4" w:rsidP="00AB28C4">
      <w:pPr>
        <w:spacing w:after="0" w:line="360" w:lineRule="auto"/>
        <w:ind w:right="-93"/>
        <w:jc w:val="center"/>
        <w:rPr>
          <w:rFonts w:ascii="Arial" w:hAnsi="Arial" w:cs="Arial"/>
          <w:sz w:val="24"/>
          <w:szCs w:val="24"/>
        </w:rPr>
      </w:pPr>
    </w:p>
    <w:tbl>
      <w:tblPr>
        <w:tblpPr w:leftFromText="141" w:rightFromText="141" w:vertAnchor="text" w:horzAnchor="margin" w:tblpXSpec="center" w:tblpY="757"/>
        <w:tblOverlap w:val="never"/>
        <w:tblW w:w="0" w:type="auto"/>
        <w:tblLook w:val="04A0"/>
      </w:tblPr>
      <w:tblGrid>
        <w:gridCol w:w="3548"/>
        <w:gridCol w:w="492"/>
        <w:gridCol w:w="3796"/>
      </w:tblGrid>
      <w:tr w:rsidR="00AB28C4" w:rsidRPr="00425204" w:rsidTr="00D518DA">
        <w:trPr>
          <w:trHeight w:val="106"/>
        </w:trPr>
        <w:tc>
          <w:tcPr>
            <w:tcW w:w="3548" w:type="dxa"/>
          </w:tcPr>
          <w:p w:rsidR="00AB28C4" w:rsidRPr="00425204" w:rsidRDefault="00AB28C4" w:rsidP="00D518DA">
            <w:pPr>
              <w:spacing w:line="360" w:lineRule="auto"/>
              <w:ind w:right="-93"/>
              <w:jc w:val="center"/>
              <w:rPr>
                <w:rFonts w:ascii="Arial" w:hAnsi="Arial" w:cs="Arial"/>
                <w:b/>
                <w:sz w:val="24"/>
                <w:szCs w:val="24"/>
              </w:rPr>
            </w:pPr>
            <w:r w:rsidRPr="00425204">
              <w:rPr>
                <w:rFonts w:ascii="Arial" w:hAnsi="Arial" w:cs="Arial"/>
                <w:b/>
                <w:sz w:val="24"/>
                <w:szCs w:val="24"/>
              </w:rPr>
              <w:t>DIP. ROCÍO GUADALUPE SARMIENTO RUFINO</w:t>
            </w:r>
          </w:p>
        </w:tc>
        <w:tc>
          <w:tcPr>
            <w:tcW w:w="492" w:type="dxa"/>
          </w:tcPr>
          <w:p w:rsidR="00AB28C4" w:rsidRPr="00425204" w:rsidRDefault="00AB28C4" w:rsidP="00D518DA">
            <w:pPr>
              <w:spacing w:line="360" w:lineRule="auto"/>
              <w:ind w:right="-93"/>
              <w:jc w:val="center"/>
              <w:rPr>
                <w:rFonts w:ascii="Arial" w:hAnsi="Arial" w:cs="Arial"/>
                <w:b/>
                <w:sz w:val="24"/>
                <w:szCs w:val="24"/>
              </w:rPr>
            </w:pPr>
            <w:r w:rsidRPr="00425204">
              <w:rPr>
                <w:rFonts w:ascii="Arial" w:hAnsi="Arial" w:cs="Arial"/>
                <w:b/>
                <w:sz w:val="24"/>
                <w:szCs w:val="24"/>
              </w:rPr>
              <w:t xml:space="preserve">       </w:t>
            </w:r>
          </w:p>
        </w:tc>
        <w:tc>
          <w:tcPr>
            <w:tcW w:w="3796" w:type="dxa"/>
          </w:tcPr>
          <w:p w:rsidR="00AB28C4" w:rsidRPr="00425204" w:rsidRDefault="00AB28C4" w:rsidP="00D518DA">
            <w:pPr>
              <w:spacing w:line="360" w:lineRule="auto"/>
              <w:ind w:right="-93"/>
              <w:jc w:val="center"/>
              <w:rPr>
                <w:rFonts w:ascii="Arial" w:hAnsi="Arial" w:cs="Arial"/>
                <w:b/>
                <w:sz w:val="24"/>
                <w:szCs w:val="24"/>
              </w:rPr>
            </w:pPr>
            <w:r w:rsidRPr="00425204">
              <w:rPr>
                <w:rFonts w:ascii="Arial" w:hAnsi="Arial" w:cs="Arial"/>
                <w:b/>
                <w:sz w:val="24"/>
                <w:szCs w:val="24"/>
              </w:rPr>
              <w:t>DIP. LORENZO ARTURO PARGA AMADO</w:t>
            </w:r>
          </w:p>
        </w:tc>
      </w:tr>
    </w:tbl>
    <w:p w:rsidR="00AB28C4" w:rsidRPr="00425204" w:rsidRDefault="00AB28C4" w:rsidP="00AB28C4">
      <w:pPr>
        <w:spacing w:line="360" w:lineRule="auto"/>
        <w:jc w:val="center"/>
        <w:rPr>
          <w:rFonts w:ascii="Arial" w:hAnsi="Arial" w:cs="Arial"/>
          <w:sz w:val="24"/>
          <w:szCs w:val="24"/>
        </w:rPr>
      </w:pPr>
    </w:p>
    <w:p w:rsidR="00A82974" w:rsidRPr="00425204" w:rsidRDefault="007F08E3">
      <w:pPr>
        <w:rPr>
          <w:rFonts w:ascii="Arial" w:hAnsi="Arial" w:cs="Arial"/>
          <w:sz w:val="24"/>
          <w:szCs w:val="24"/>
        </w:rPr>
      </w:pPr>
    </w:p>
    <w:sectPr w:rsidR="00A82974" w:rsidRPr="00425204" w:rsidSect="00407A55">
      <w:headerReference w:type="even" r:id="rId7"/>
      <w:headerReference w:type="default" r:id="rId8"/>
      <w:footerReference w:type="even" r:id="rId9"/>
      <w:footerReference w:type="default" r:id="rId10"/>
      <w:headerReference w:type="first" r:id="rId11"/>
      <w:footerReference w:type="first" r:id="rId12"/>
      <w:pgSz w:w="12240" w:h="15840"/>
      <w:pgMar w:top="2654" w:right="1701" w:bottom="1418" w:left="170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8E3" w:rsidRDefault="007F08E3" w:rsidP="00812DF3">
      <w:pPr>
        <w:spacing w:after="0" w:line="240" w:lineRule="auto"/>
      </w:pPr>
      <w:r>
        <w:separator/>
      </w:r>
    </w:p>
  </w:endnote>
  <w:endnote w:type="continuationSeparator" w:id="0">
    <w:p w:rsidR="007F08E3" w:rsidRDefault="007F08E3" w:rsidP="00812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gfa Rotis Sans Serif Light">
    <w:altName w:val="Agfa Rotis Sans Serif Ligh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4F" w:rsidRDefault="0001644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8856152"/>
      <w:docPartObj>
        <w:docPartGallery w:val="Page Numbers (Bottom of Page)"/>
        <w:docPartUnique/>
      </w:docPartObj>
    </w:sdtPr>
    <w:sdtContent>
      <w:p w:rsidR="00812DF3" w:rsidRDefault="00042E08">
        <w:pPr>
          <w:pStyle w:val="Piedepgina"/>
          <w:jc w:val="center"/>
        </w:pPr>
        <w:r>
          <w:fldChar w:fldCharType="begin"/>
        </w:r>
        <w:r w:rsidR="00812DF3">
          <w:instrText>PAGE   \* MERGEFORMAT</w:instrText>
        </w:r>
        <w:r>
          <w:fldChar w:fldCharType="separate"/>
        </w:r>
        <w:r w:rsidR="00407A55" w:rsidRPr="00407A55">
          <w:rPr>
            <w:noProof/>
            <w:lang w:val="es-ES"/>
          </w:rPr>
          <w:t>1</w:t>
        </w:r>
        <w:r>
          <w:fldChar w:fldCharType="end"/>
        </w:r>
      </w:p>
    </w:sdtContent>
  </w:sdt>
  <w:p w:rsidR="00812DF3" w:rsidRDefault="00812DF3">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4F" w:rsidRDefault="0001644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8E3" w:rsidRDefault="007F08E3" w:rsidP="00812DF3">
      <w:pPr>
        <w:spacing w:after="0" w:line="240" w:lineRule="auto"/>
      </w:pPr>
      <w:r>
        <w:separator/>
      </w:r>
    </w:p>
  </w:footnote>
  <w:footnote w:type="continuationSeparator" w:id="0">
    <w:p w:rsidR="007F08E3" w:rsidRDefault="007F08E3" w:rsidP="00812D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4F" w:rsidRDefault="0001644F">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4F" w:rsidRPr="0001644F" w:rsidRDefault="0001644F" w:rsidP="0001644F">
    <w:pPr>
      <w:pStyle w:val="Encabezado"/>
      <w:jc w:val="right"/>
      <w:rPr>
        <w:rFonts w:ascii="Agency FB" w:hAnsi="Agency FB"/>
        <w:i/>
      </w:rPr>
    </w:pPr>
    <w:r w:rsidRPr="0001644F">
      <w:rPr>
        <w:rFonts w:ascii="Agency FB" w:hAnsi="Agency FB"/>
        <w:i/>
      </w:rPr>
      <w:t>“2020, Por un Nuevo Federalismo Fiscal, Justo y Equitativo”</w:t>
    </w:r>
  </w:p>
  <w:p w:rsidR="0001644F" w:rsidRPr="0001644F" w:rsidRDefault="0001644F" w:rsidP="0001644F">
    <w:pPr>
      <w:pStyle w:val="Encabezado"/>
      <w:jc w:val="right"/>
      <w:rPr>
        <w:rFonts w:ascii="Agency FB" w:hAnsi="Agency FB"/>
        <w:i/>
      </w:rPr>
    </w:pPr>
    <w:r w:rsidRPr="0001644F">
      <w:rPr>
        <w:rFonts w:ascii="Agency FB" w:hAnsi="Agency FB"/>
        <w:i/>
      </w:rPr>
      <w:t>“2020, Año de la sanidad Vegetal”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4F" w:rsidRDefault="0001644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E20A21"/>
    <w:multiLevelType w:val="hybridMultilevel"/>
    <w:tmpl w:val="06040A12"/>
    <w:lvl w:ilvl="0" w:tplc="015C7E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AB28C4"/>
    <w:rsid w:val="0001644F"/>
    <w:rsid w:val="00042E08"/>
    <w:rsid w:val="000F790A"/>
    <w:rsid w:val="001269CC"/>
    <w:rsid w:val="00130961"/>
    <w:rsid w:val="001525C3"/>
    <w:rsid w:val="00156D63"/>
    <w:rsid w:val="001B1907"/>
    <w:rsid w:val="00220D0A"/>
    <w:rsid w:val="00227866"/>
    <w:rsid w:val="00227ADD"/>
    <w:rsid w:val="002406B8"/>
    <w:rsid w:val="002A1528"/>
    <w:rsid w:val="002C4859"/>
    <w:rsid w:val="00307E7E"/>
    <w:rsid w:val="0031167B"/>
    <w:rsid w:val="00365F7F"/>
    <w:rsid w:val="00405005"/>
    <w:rsid w:val="00407A55"/>
    <w:rsid w:val="00410C40"/>
    <w:rsid w:val="00414AEF"/>
    <w:rsid w:val="00425204"/>
    <w:rsid w:val="00443B34"/>
    <w:rsid w:val="004519BD"/>
    <w:rsid w:val="00476B01"/>
    <w:rsid w:val="0048734A"/>
    <w:rsid w:val="00487F9D"/>
    <w:rsid w:val="004970BE"/>
    <w:rsid w:val="00502946"/>
    <w:rsid w:val="00531CD5"/>
    <w:rsid w:val="00560A2A"/>
    <w:rsid w:val="00576845"/>
    <w:rsid w:val="005953BC"/>
    <w:rsid w:val="005B2393"/>
    <w:rsid w:val="005B25FA"/>
    <w:rsid w:val="005E0F0E"/>
    <w:rsid w:val="00667D0C"/>
    <w:rsid w:val="006931D1"/>
    <w:rsid w:val="006D10F6"/>
    <w:rsid w:val="006D66F3"/>
    <w:rsid w:val="0070110D"/>
    <w:rsid w:val="00707D70"/>
    <w:rsid w:val="00723F1E"/>
    <w:rsid w:val="00727587"/>
    <w:rsid w:val="00732738"/>
    <w:rsid w:val="0076055A"/>
    <w:rsid w:val="0078559B"/>
    <w:rsid w:val="00797B9E"/>
    <w:rsid w:val="007C2E84"/>
    <w:rsid w:val="007F08E3"/>
    <w:rsid w:val="007F5AD3"/>
    <w:rsid w:val="00812DF3"/>
    <w:rsid w:val="00814EB1"/>
    <w:rsid w:val="00844784"/>
    <w:rsid w:val="008C5533"/>
    <w:rsid w:val="008D3883"/>
    <w:rsid w:val="008F0B97"/>
    <w:rsid w:val="0096785C"/>
    <w:rsid w:val="009B18AC"/>
    <w:rsid w:val="009B45F4"/>
    <w:rsid w:val="009B7052"/>
    <w:rsid w:val="00A04B7B"/>
    <w:rsid w:val="00A15814"/>
    <w:rsid w:val="00A3468E"/>
    <w:rsid w:val="00A73D65"/>
    <w:rsid w:val="00AB28C4"/>
    <w:rsid w:val="00AD633B"/>
    <w:rsid w:val="00AF76C2"/>
    <w:rsid w:val="00B254B6"/>
    <w:rsid w:val="00B37E2B"/>
    <w:rsid w:val="00B77769"/>
    <w:rsid w:val="00B9314F"/>
    <w:rsid w:val="00B94A1E"/>
    <w:rsid w:val="00BA66B7"/>
    <w:rsid w:val="00BE241F"/>
    <w:rsid w:val="00BF4277"/>
    <w:rsid w:val="00C8436A"/>
    <w:rsid w:val="00CD4660"/>
    <w:rsid w:val="00D12BEC"/>
    <w:rsid w:val="00D14C90"/>
    <w:rsid w:val="00D2098B"/>
    <w:rsid w:val="00DE74A1"/>
    <w:rsid w:val="00DE7C9F"/>
    <w:rsid w:val="00E156B0"/>
    <w:rsid w:val="00E21C18"/>
    <w:rsid w:val="00E2542A"/>
    <w:rsid w:val="00E61782"/>
    <w:rsid w:val="00ED035F"/>
    <w:rsid w:val="00ED7CEF"/>
    <w:rsid w:val="00F02878"/>
    <w:rsid w:val="00F851A3"/>
    <w:rsid w:val="00F86B24"/>
    <w:rsid w:val="00FB31B3"/>
    <w:rsid w:val="00FB357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8C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A3468E"/>
    <w:rPr>
      <w:sz w:val="16"/>
      <w:szCs w:val="16"/>
    </w:rPr>
  </w:style>
  <w:style w:type="paragraph" w:styleId="Prrafodelista">
    <w:name w:val="List Paragraph"/>
    <w:basedOn w:val="Normal"/>
    <w:uiPriority w:val="34"/>
    <w:qFormat/>
    <w:rsid w:val="0048734A"/>
    <w:pPr>
      <w:ind w:left="720"/>
      <w:contextualSpacing/>
    </w:pPr>
  </w:style>
  <w:style w:type="paragraph" w:customStyle="1" w:styleId="Default">
    <w:name w:val="Default"/>
    <w:rsid w:val="001525C3"/>
    <w:pPr>
      <w:autoSpaceDE w:val="0"/>
      <w:autoSpaceDN w:val="0"/>
      <w:adjustRightInd w:val="0"/>
      <w:spacing w:after="0" w:line="240" w:lineRule="auto"/>
    </w:pPr>
    <w:rPr>
      <w:rFonts w:ascii="Agfa Rotis Sans Serif Light" w:hAnsi="Agfa Rotis Sans Serif Light" w:cs="Agfa Rotis Sans Serif Light"/>
      <w:color w:val="000000"/>
      <w:sz w:val="24"/>
      <w:szCs w:val="24"/>
    </w:rPr>
  </w:style>
  <w:style w:type="paragraph" w:styleId="Encabezado">
    <w:name w:val="header"/>
    <w:basedOn w:val="Normal"/>
    <w:link w:val="EncabezadoCar"/>
    <w:uiPriority w:val="99"/>
    <w:unhideWhenUsed/>
    <w:rsid w:val="00812D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2DF3"/>
  </w:style>
  <w:style w:type="paragraph" w:styleId="Piedepgina">
    <w:name w:val="footer"/>
    <w:basedOn w:val="Normal"/>
    <w:link w:val="PiedepginaCar"/>
    <w:uiPriority w:val="99"/>
    <w:unhideWhenUsed/>
    <w:rsid w:val="00812D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2D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8C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A3468E"/>
    <w:rPr>
      <w:sz w:val="16"/>
      <w:szCs w:val="16"/>
    </w:rPr>
  </w:style>
  <w:style w:type="paragraph" w:styleId="Prrafodelista">
    <w:name w:val="List Paragraph"/>
    <w:basedOn w:val="Normal"/>
    <w:uiPriority w:val="34"/>
    <w:qFormat/>
    <w:rsid w:val="0048734A"/>
    <w:pPr>
      <w:ind w:left="720"/>
      <w:contextualSpacing/>
    </w:pPr>
  </w:style>
  <w:style w:type="paragraph" w:customStyle="1" w:styleId="Default">
    <w:name w:val="Default"/>
    <w:rsid w:val="001525C3"/>
    <w:pPr>
      <w:autoSpaceDE w:val="0"/>
      <w:autoSpaceDN w:val="0"/>
      <w:adjustRightInd w:val="0"/>
      <w:spacing w:after="0" w:line="240" w:lineRule="auto"/>
    </w:pPr>
    <w:rPr>
      <w:rFonts w:ascii="Agfa Rotis Sans Serif Light" w:hAnsi="Agfa Rotis Sans Serif Light" w:cs="Agfa Rotis Sans Serif Light"/>
      <w:color w:val="000000"/>
      <w:sz w:val="24"/>
      <w:szCs w:val="24"/>
    </w:rPr>
  </w:style>
  <w:style w:type="paragraph" w:styleId="Encabezado">
    <w:name w:val="header"/>
    <w:basedOn w:val="Normal"/>
    <w:link w:val="EncabezadoCar"/>
    <w:uiPriority w:val="99"/>
    <w:unhideWhenUsed/>
    <w:rsid w:val="00812D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2DF3"/>
  </w:style>
  <w:style w:type="paragraph" w:styleId="Piedepgina">
    <w:name w:val="footer"/>
    <w:basedOn w:val="Normal"/>
    <w:link w:val="PiedepginaCar"/>
    <w:uiPriority w:val="99"/>
    <w:unhideWhenUsed/>
    <w:rsid w:val="00812D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2DF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2155</Words>
  <Characters>11858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de Jesús Valenzuela Grado</dc:creator>
  <cp:lastModifiedBy>pmgarza</cp:lastModifiedBy>
  <cp:revision>5</cp:revision>
  <cp:lastPrinted>2020-07-06T15:48:00Z</cp:lastPrinted>
  <dcterms:created xsi:type="dcterms:W3CDTF">2020-07-06T15:17:00Z</dcterms:created>
  <dcterms:modified xsi:type="dcterms:W3CDTF">2020-07-06T15:50:00Z</dcterms:modified>
</cp:coreProperties>
</file>