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BCF" w:rsidRDefault="00D47BCF" w:rsidP="00D47BCF">
      <w:pPr>
        <w:pStyle w:val="Normal1"/>
        <w:spacing w:line="360" w:lineRule="auto"/>
        <w:jc w:val="both"/>
        <w:rPr>
          <w:rFonts w:ascii="Century Gothic" w:eastAsia="Century Gothic" w:hAnsi="Century Gothic" w:cs="Century Gothic"/>
          <w:b/>
        </w:rPr>
      </w:pPr>
    </w:p>
    <w:p w:rsidR="00D47BCF" w:rsidRDefault="00D47BCF" w:rsidP="00D47BCF">
      <w:pPr>
        <w:pStyle w:val="Normal1"/>
        <w:spacing w:line="360" w:lineRule="auto"/>
        <w:jc w:val="both"/>
        <w:rPr>
          <w:rFonts w:ascii="Century Gothic" w:eastAsia="Century Gothic" w:hAnsi="Century Gothic" w:cs="Century Gothic"/>
          <w:b/>
        </w:rPr>
      </w:pPr>
    </w:p>
    <w:p w:rsidR="00D47BCF" w:rsidRDefault="00D47BCF" w:rsidP="00D47BCF">
      <w:pPr>
        <w:pStyle w:val="Normal1"/>
        <w:spacing w:line="360" w:lineRule="auto"/>
        <w:jc w:val="both"/>
        <w:rPr>
          <w:rFonts w:ascii="Century Gothic" w:eastAsia="Century Gothic" w:hAnsi="Century Gothic" w:cs="Century Gothic"/>
          <w:b/>
        </w:rPr>
      </w:pPr>
    </w:p>
    <w:p w:rsidR="00D47BCF" w:rsidRDefault="00D47BCF" w:rsidP="00D47BCF">
      <w:pPr>
        <w:pStyle w:val="Normal1"/>
        <w:spacing w:line="360" w:lineRule="auto"/>
        <w:jc w:val="both"/>
        <w:rPr>
          <w:rFonts w:ascii="Century Gothic" w:eastAsia="Century Gothic" w:hAnsi="Century Gothic" w:cs="Century Gothic"/>
          <w:b/>
        </w:rPr>
      </w:pPr>
    </w:p>
    <w:p w:rsidR="00D47BCF" w:rsidRDefault="00D47BCF" w:rsidP="00D47BCF">
      <w:pPr>
        <w:pStyle w:val="Normal1"/>
        <w:spacing w:line="360" w:lineRule="auto"/>
        <w:jc w:val="both"/>
        <w:rPr>
          <w:rFonts w:ascii="Century Gothic" w:eastAsia="Century Gothic" w:hAnsi="Century Gothic" w:cs="Century Gothic"/>
          <w:b/>
        </w:rPr>
      </w:pPr>
    </w:p>
    <w:p w:rsidR="00D47BCF" w:rsidRPr="00D47BCF" w:rsidRDefault="00D47BCF" w:rsidP="00D47BCF">
      <w:pPr>
        <w:pStyle w:val="Normal1"/>
        <w:spacing w:line="360" w:lineRule="auto"/>
        <w:jc w:val="both"/>
        <w:rPr>
          <w:rFonts w:ascii="Century Gothic" w:hAnsi="Century Gothic"/>
        </w:rPr>
      </w:pPr>
      <w:r w:rsidRPr="00D47BCF">
        <w:rPr>
          <w:rFonts w:ascii="Century Gothic" w:eastAsia="Century Gothic" w:hAnsi="Century Gothic" w:cs="Century Gothic"/>
          <w:b/>
        </w:rPr>
        <w:t>Honorable CONGRESO DEL ESTADO</w:t>
      </w:r>
    </w:p>
    <w:p w:rsidR="00D47BCF" w:rsidRPr="00D47BCF" w:rsidRDefault="00D47BCF" w:rsidP="00D47BCF">
      <w:pPr>
        <w:pStyle w:val="Normal1"/>
        <w:keepNext/>
        <w:spacing w:line="360" w:lineRule="auto"/>
        <w:jc w:val="both"/>
        <w:rPr>
          <w:rFonts w:ascii="Century Gothic" w:hAnsi="Century Gothic"/>
        </w:rPr>
      </w:pPr>
      <w:r w:rsidRPr="00D47BCF">
        <w:rPr>
          <w:rFonts w:ascii="Century Gothic" w:eastAsia="Century Gothic" w:hAnsi="Century Gothic" w:cs="Century Gothic"/>
          <w:b/>
        </w:rPr>
        <w:t>P R E S E N T E.</w:t>
      </w:r>
    </w:p>
    <w:p w:rsidR="00D47BCF" w:rsidRPr="00D47BCF" w:rsidRDefault="00D47BCF" w:rsidP="00D47BCF">
      <w:pPr>
        <w:pStyle w:val="Normal1"/>
        <w:spacing w:line="360" w:lineRule="auto"/>
        <w:jc w:val="both"/>
        <w:rPr>
          <w:rFonts w:ascii="Century Gothic" w:hAnsi="Century Gothic"/>
        </w:rPr>
      </w:pPr>
    </w:p>
    <w:p w:rsidR="00D47BCF" w:rsidRPr="00D47BCF" w:rsidRDefault="00D47BCF" w:rsidP="00D47BCF">
      <w:pPr>
        <w:pStyle w:val="Normal1"/>
        <w:spacing w:line="360" w:lineRule="auto"/>
        <w:jc w:val="both"/>
        <w:rPr>
          <w:rFonts w:ascii="Century Gothic" w:eastAsia="Century Gothic" w:hAnsi="Century Gothic" w:cs="Century Gothic"/>
          <w:b/>
          <w:bCs/>
        </w:rPr>
      </w:pPr>
      <w:r w:rsidRPr="00D47BCF">
        <w:rPr>
          <w:rFonts w:ascii="Century Gothic" w:eastAsia="Century Gothic" w:hAnsi="Century Gothic" w:cs="Century Gothic"/>
        </w:rPr>
        <w:t xml:space="preserve">El suscrito, Jesús Velázquez Rodríguez, en mi carácter de Diputado a la Sexagésima Sexta Legislatura, con fundamento en lo dispuesto en los artículos 68 fracción Primera, de la Constitución Política del Estado de Chihuahua; 167, fracción Primera, 169 y 174, todos de la Ley Orgánica del Poder Legislativo; así como los numerales 75 y 76, ambos del Reglamento Interior y de Prácticas Parlamentarias del Poder Legislativo, acudo ante esta Honorable Diputación Permanente, a presentar </w:t>
      </w:r>
      <w:r w:rsidRPr="00D47BCF">
        <w:rPr>
          <w:rFonts w:ascii="Century Gothic" w:eastAsia="Century Gothic" w:hAnsi="Century Gothic" w:cs="Century Gothic"/>
          <w:b/>
        </w:rPr>
        <w:t xml:space="preserve">Iniciativa con carácter </w:t>
      </w:r>
      <w:proofErr w:type="spellStart"/>
      <w:r w:rsidRPr="00D47BCF">
        <w:rPr>
          <w:rFonts w:ascii="Century Gothic" w:eastAsia="Century Gothic" w:hAnsi="Century Gothic" w:cs="Century Gothic"/>
          <w:b/>
        </w:rPr>
        <w:t>deAcuerdo</w:t>
      </w:r>
      <w:proofErr w:type="spellEnd"/>
      <w:r w:rsidRPr="00D47BCF">
        <w:rPr>
          <w:rFonts w:ascii="Century Gothic" w:eastAsia="Century Gothic" w:hAnsi="Century Gothic" w:cs="Century Gothic"/>
          <w:b/>
        </w:rPr>
        <w:t xml:space="preserve"> de urgente resolución, </w:t>
      </w:r>
      <w:r w:rsidRPr="00D47BCF">
        <w:rPr>
          <w:rFonts w:ascii="Century Gothic" w:eastAsia="Century Gothic" w:hAnsi="Century Gothic" w:cs="Century Gothic"/>
          <w:b/>
          <w:lang w:val="es-ES"/>
        </w:rPr>
        <w:t xml:space="preserve">por el que se solicita a la </w:t>
      </w:r>
      <w:proofErr w:type="spellStart"/>
      <w:r w:rsidRPr="00D47BCF">
        <w:rPr>
          <w:rFonts w:ascii="Century Gothic" w:eastAsia="Century Gothic" w:hAnsi="Century Gothic" w:cs="Century Gothic"/>
          <w:b/>
          <w:lang w:val="es-ES"/>
        </w:rPr>
        <w:t>Secretaria</w:t>
      </w:r>
      <w:proofErr w:type="spellEnd"/>
      <w:r w:rsidRPr="00D47BCF">
        <w:rPr>
          <w:rFonts w:ascii="Century Gothic" w:eastAsia="Century Gothic" w:hAnsi="Century Gothic" w:cs="Century Gothic"/>
          <w:b/>
          <w:lang w:val="es-ES"/>
        </w:rPr>
        <w:t xml:space="preserve"> de Gobernación, Lic. Olga María del Carmen Sánchez Cordero Dávila y al Secretario de Hacienda y Crédito Público, Mtro. Arturo Herrera Gutiérrez, ambos del Gobierno Federal, se mantengan los Fideicomisos </w:t>
      </w:r>
      <w:r w:rsidRPr="00D47BCF">
        <w:rPr>
          <w:rFonts w:ascii="Century Gothic" w:eastAsia="Century Gothic" w:hAnsi="Century Gothic" w:cs="Century Gothic"/>
          <w:b/>
          <w:bCs/>
        </w:rPr>
        <w:t>para el Bachillerato General en sus modalidades no escolarizada y mixta, así como el  del Programa de Escuelas de Excelencia para abatir el rezago educativo.</w:t>
      </w:r>
    </w:p>
    <w:p w:rsidR="00D47BCF" w:rsidRPr="00D47BCF" w:rsidRDefault="00D47BCF" w:rsidP="00D47BCF">
      <w:pPr>
        <w:pStyle w:val="Normal1"/>
        <w:spacing w:line="360" w:lineRule="auto"/>
        <w:jc w:val="both"/>
        <w:rPr>
          <w:rFonts w:ascii="Century Gothic" w:eastAsia="Century Gothic" w:hAnsi="Century Gothic" w:cs="Century Gothic"/>
          <w:b/>
        </w:rPr>
      </w:pPr>
    </w:p>
    <w:p w:rsidR="00D47BCF" w:rsidRPr="00D47BCF" w:rsidRDefault="00D47BCF" w:rsidP="00D47BCF">
      <w:pPr>
        <w:pStyle w:val="Normal1"/>
        <w:spacing w:line="360" w:lineRule="auto"/>
        <w:jc w:val="center"/>
        <w:rPr>
          <w:rFonts w:ascii="Century Gothic" w:eastAsia="Century Gothic" w:hAnsi="Century Gothic" w:cs="Century Gothic"/>
        </w:rPr>
      </w:pPr>
      <w:r w:rsidRPr="00D47BCF">
        <w:rPr>
          <w:rFonts w:ascii="Century Gothic" w:eastAsia="Century Gothic" w:hAnsi="Century Gothic" w:cs="Century Gothic"/>
        </w:rPr>
        <w:t>Lo anterior, con base en la siguiente:</w:t>
      </w:r>
    </w:p>
    <w:p w:rsidR="00D47BCF" w:rsidRPr="00D47BCF" w:rsidRDefault="00D47BCF" w:rsidP="00D47BCF">
      <w:pPr>
        <w:pStyle w:val="Normal1"/>
        <w:spacing w:line="360" w:lineRule="auto"/>
        <w:jc w:val="center"/>
        <w:rPr>
          <w:rFonts w:ascii="Century Gothic" w:eastAsia="Century Gothic" w:hAnsi="Century Gothic" w:cs="Century Gothic"/>
        </w:rPr>
      </w:pPr>
    </w:p>
    <w:p w:rsidR="00D47BCF" w:rsidRPr="00D47BCF" w:rsidRDefault="00D47BCF" w:rsidP="00D47BCF">
      <w:pPr>
        <w:pStyle w:val="Normal1"/>
        <w:spacing w:line="360" w:lineRule="auto"/>
        <w:jc w:val="center"/>
        <w:rPr>
          <w:rFonts w:ascii="Century Gothic" w:eastAsia="Century Gothic" w:hAnsi="Century Gothic" w:cs="Century Gothic"/>
        </w:rPr>
      </w:pPr>
      <w:r w:rsidRPr="00D47BCF">
        <w:rPr>
          <w:rFonts w:ascii="Century Gothic" w:eastAsia="Century Gothic" w:hAnsi="Century Gothic" w:cs="Century Gothic"/>
          <w:b/>
        </w:rPr>
        <w:t>EXPOSICIÓN DE MOTIVOS</w:t>
      </w:r>
    </w:p>
    <w:p w:rsidR="00D47BCF" w:rsidRDefault="00D47BCF">
      <w:pPr>
        <w:spacing w:after="160" w:line="259" w:lineRule="auto"/>
        <w:rPr>
          <w:rFonts w:ascii="Century Gothic" w:eastAsia="Century Gothic" w:hAnsi="Century Gothic" w:cs="Century Gothic"/>
          <w:b/>
          <w:bCs/>
        </w:rPr>
      </w:pPr>
      <w:r>
        <w:rPr>
          <w:rFonts w:ascii="Century Gothic" w:eastAsia="Century Gothic" w:hAnsi="Century Gothic" w:cs="Century Gothic"/>
          <w:b/>
          <w:bCs/>
        </w:rPr>
        <w:br w:type="page"/>
      </w:r>
    </w:p>
    <w:p w:rsidR="00D47BCF" w:rsidRDefault="00D47BCF" w:rsidP="00D47BCF">
      <w:pPr>
        <w:pStyle w:val="Normal1"/>
        <w:spacing w:line="360" w:lineRule="auto"/>
        <w:jc w:val="both"/>
        <w:rPr>
          <w:rFonts w:ascii="Century Gothic" w:eastAsia="Century Gothic" w:hAnsi="Century Gothic" w:cs="Century Gothic"/>
          <w:b/>
          <w:bCs/>
        </w:rPr>
      </w:pPr>
    </w:p>
    <w:p w:rsidR="00D47BCF" w:rsidRDefault="00D47BCF" w:rsidP="00D47BCF">
      <w:pPr>
        <w:pStyle w:val="Normal1"/>
        <w:spacing w:line="360" w:lineRule="auto"/>
        <w:jc w:val="both"/>
        <w:rPr>
          <w:rFonts w:ascii="Century Gothic" w:eastAsia="Century Gothic" w:hAnsi="Century Gothic" w:cs="Century Gothic"/>
          <w:b/>
          <w:bCs/>
        </w:rPr>
      </w:pPr>
    </w:p>
    <w:p w:rsidR="00D47BCF" w:rsidRDefault="00D47BCF" w:rsidP="00D47BCF">
      <w:pPr>
        <w:pStyle w:val="Normal1"/>
        <w:spacing w:line="360" w:lineRule="auto"/>
        <w:jc w:val="both"/>
        <w:rPr>
          <w:rFonts w:ascii="Century Gothic" w:eastAsia="Century Gothic" w:hAnsi="Century Gothic" w:cs="Century Gothic"/>
          <w:b/>
          <w:bCs/>
        </w:rPr>
      </w:pPr>
    </w:p>
    <w:p w:rsidR="00D47BCF" w:rsidRDefault="00D47BCF" w:rsidP="00D47BCF">
      <w:pPr>
        <w:pStyle w:val="Normal1"/>
        <w:spacing w:line="360" w:lineRule="auto"/>
        <w:jc w:val="both"/>
        <w:rPr>
          <w:rFonts w:ascii="Century Gothic" w:eastAsia="Century Gothic" w:hAnsi="Century Gothic" w:cs="Century Gothic"/>
          <w:b/>
          <w:bCs/>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b/>
          <w:bCs/>
        </w:rPr>
        <w:t>Primera.</w:t>
      </w:r>
      <w:r w:rsidRPr="00D47BCF">
        <w:rPr>
          <w:rFonts w:ascii="Century Gothic" w:eastAsia="Century Gothic" w:hAnsi="Century Gothic" w:cs="Century Gothic"/>
        </w:rPr>
        <w:t xml:space="preserve"> El pasado 2 de abril del año en curso y en uso de sus facultades constitucionales y legales, se publicó en el Diario de la Federación, Decreto del Presidente de los Estados Unidos Mexicanos, Lic. Andrés Manuel López Obrador, a efecto de instruir a  las dependencias y entidades de la Administración Pública Federal, a la Oficina de la Presidencia de la República, así como a los Tribunales Agrarios, a efecto de extinguir o dar por terminados todos los fideicomisos públicos sin estructura orgánica, mandatos o análogos de carácter federal en los que funjan como unidades responsables o mandantes.</w:t>
      </w:r>
    </w:p>
    <w:p w:rsidR="00D47BCF" w:rsidRPr="00D47BCF" w:rsidRDefault="00D47BCF" w:rsidP="00D47BCF">
      <w:pPr>
        <w:pStyle w:val="Normal1"/>
        <w:spacing w:line="360" w:lineRule="auto"/>
        <w:jc w:val="both"/>
        <w:rPr>
          <w:rFonts w:ascii="Century Gothic" w:eastAsia="Century Gothic" w:hAnsi="Century Gothic" w:cs="Century Gothic"/>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b/>
          <w:bCs/>
        </w:rPr>
        <w:t>Segunda.</w:t>
      </w:r>
      <w:r w:rsidRPr="00D47BCF">
        <w:rPr>
          <w:rFonts w:ascii="Century Gothic" w:eastAsia="Century Gothic" w:hAnsi="Century Gothic" w:cs="Century Gothic"/>
        </w:rPr>
        <w:t xml:space="preserve"> Entre las consideraciones expuestas por dicho Decreto presidencial, se menciona que de acuerdo con los ejes rectores del Plan Nacional de Desarrollo 2019-2024, existe el compromiso del Gobierno federal de retomar, entre otros asuntos, </w:t>
      </w:r>
      <w:proofErr w:type="gramStart"/>
      <w:r w:rsidRPr="00D47BCF">
        <w:rPr>
          <w:rFonts w:ascii="Century Gothic" w:eastAsia="Century Gothic" w:hAnsi="Century Gothic" w:cs="Century Gothic"/>
        </w:rPr>
        <w:t>“ la</w:t>
      </w:r>
      <w:proofErr w:type="gramEnd"/>
      <w:r w:rsidRPr="00D47BCF">
        <w:rPr>
          <w:rFonts w:ascii="Century Gothic" w:eastAsia="Century Gothic" w:hAnsi="Century Gothic" w:cs="Century Gothic"/>
        </w:rPr>
        <w:t xml:space="preserve"> creación de empleos, fortalecimiento del mercado interno, impulso al agro, a la investigación, la ciencia y la educación”. Asimismo se menciona que ello es con el objeto de que la administración de los recursos públicos se lleve a cabo con eficiencia, eficacia, economía, transparencia y honradez para satisfacer los objetivos a los que están destinados.</w:t>
      </w:r>
    </w:p>
    <w:p w:rsidR="00D47BCF" w:rsidRP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b/>
          <w:bCs/>
        </w:rPr>
        <w:t>Tercera.</w:t>
      </w:r>
      <w:r w:rsidRPr="00D47BCF">
        <w:rPr>
          <w:rFonts w:ascii="Century Gothic" w:eastAsia="Century Gothic" w:hAnsi="Century Gothic" w:cs="Century Gothic"/>
        </w:rPr>
        <w:t xml:space="preserve"> De acuerdo con información publicada en el periódico nacional “El Universal”, así como por datos de la propia Secretaría de Educación Pública, esta administra 22 fideicomisos que, de acuerdo con el Decreto presidencial, son elegibles para desaparecer. </w:t>
      </w:r>
    </w:p>
    <w:p w:rsid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rPr>
        <w:t xml:space="preserve">Entre los diversos fideicomisos afectados por la decisión presidencial se encuentra el Fideicomiso para el Bachillerato General en sus modalidades no escolarizada y mixta, el cual se emplea para otorgar educación a 344 mil 936 jóvenes y 621 mil 628 personas de educación especial. Esto es, un millón de mexicanas y mexicanos que se encuentran en condiciones vulnerables, que al desaparecer dichos fondos, quedarían a la deriva y  en un completo desamparo.  </w:t>
      </w:r>
    </w:p>
    <w:p w:rsidR="00D47BCF" w:rsidRPr="00D47BCF" w:rsidRDefault="00D47BCF" w:rsidP="00D47BCF">
      <w:pPr>
        <w:pStyle w:val="Normal1"/>
        <w:spacing w:line="360" w:lineRule="auto"/>
        <w:jc w:val="both"/>
        <w:rPr>
          <w:rFonts w:ascii="Century Gothic" w:eastAsia="Century Gothic" w:hAnsi="Century Gothic" w:cs="Century Gothic"/>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b/>
          <w:bCs/>
        </w:rPr>
        <w:t>Cuarta.</w:t>
      </w:r>
      <w:r w:rsidRPr="00D47BCF">
        <w:rPr>
          <w:rFonts w:ascii="Century Gothic" w:eastAsia="Century Gothic" w:hAnsi="Century Gothic" w:cs="Century Gothic"/>
        </w:rPr>
        <w:t xml:space="preserve"> De acuerdo con el Presupuesto considerado para este año 2020, en el caso del Fideicomiso para el Bachillerato General en sus modalidades no escolarizada y mixta, tiene un presupuesto asignado de 144.9 millones de pesos, entre  los que se contemplan los Centros de Atención para Estudiantes con Discapacidad (CAED). A los profesores que imparten clases en estos centros, se les ha notificado de la desaparición de dichos fondos, mediante correo electrónico.</w:t>
      </w:r>
    </w:p>
    <w:p w:rsidR="00D47BCF" w:rsidRP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b/>
          <w:bCs/>
        </w:rPr>
        <w:t>Quinta.</w:t>
      </w:r>
      <w:r w:rsidRPr="00D47BCF">
        <w:rPr>
          <w:rFonts w:ascii="Century Gothic" w:eastAsia="Century Gothic" w:hAnsi="Century Gothic" w:cs="Century Gothic"/>
        </w:rPr>
        <w:t xml:space="preserve"> En el estado de Chihuahua existen actualmente siete centros de Atención para Estudiantes con Discapacidad, los cuales se ubican en Camargo, en el </w:t>
      </w:r>
      <w:proofErr w:type="spellStart"/>
      <w:r w:rsidRPr="00D47BCF">
        <w:rPr>
          <w:rFonts w:ascii="Century Gothic" w:eastAsia="Century Gothic" w:hAnsi="Century Gothic" w:cs="Century Gothic"/>
        </w:rPr>
        <w:t>CBTIS</w:t>
      </w:r>
      <w:proofErr w:type="spellEnd"/>
      <w:r w:rsidRPr="00D47BCF">
        <w:rPr>
          <w:rFonts w:ascii="Century Gothic" w:eastAsia="Century Gothic" w:hAnsi="Century Gothic" w:cs="Century Gothic"/>
        </w:rPr>
        <w:t xml:space="preserve"> 143; en Juárez, en el </w:t>
      </w:r>
      <w:proofErr w:type="spellStart"/>
      <w:r w:rsidRPr="00D47BCF">
        <w:rPr>
          <w:rFonts w:ascii="Century Gothic" w:eastAsia="Century Gothic" w:hAnsi="Century Gothic" w:cs="Century Gothic"/>
        </w:rPr>
        <w:t>CETIS</w:t>
      </w:r>
      <w:proofErr w:type="spellEnd"/>
      <w:r w:rsidRPr="00D47BCF">
        <w:rPr>
          <w:rFonts w:ascii="Century Gothic" w:eastAsia="Century Gothic" w:hAnsi="Century Gothic" w:cs="Century Gothic"/>
        </w:rPr>
        <w:t xml:space="preserve"> 61; Chihuahua, </w:t>
      </w:r>
      <w:proofErr w:type="spellStart"/>
      <w:r w:rsidRPr="00D47BCF">
        <w:rPr>
          <w:rFonts w:ascii="Century Gothic" w:eastAsia="Century Gothic" w:hAnsi="Century Gothic" w:cs="Century Gothic"/>
        </w:rPr>
        <w:t>CBTIS</w:t>
      </w:r>
      <w:proofErr w:type="spellEnd"/>
      <w:r w:rsidRPr="00D47BCF">
        <w:rPr>
          <w:rFonts w:ascii="Century Gothic" w:eastAsia="Century Gothic" w:hAnsi="Century Gothic" w:cs="Century Gothic"/>
        </w:rPr>
        <w:t xml:space="preserve"> 122; Cuauhtémoc, </w:t>
      </w:r>
      <w:proofErr w:type="spellStart"/>
      <w:r w:rsidRPr="00D47BCF">
        <w:rPr>
          <w:rFonts w:ascii="Century Gothic" w:eastAsia="Century Gothic" w:hAnsi="Century Gothic" w:cs="Century Gothic"/>
        </w:rPr>
        <w:t>CECATI</w:t>
      </w:r>
      <w:proofErr w:type="spellEnd"/>
      <w:r w:rsidRPr="00D47BCF">
        <w:rPr>
          <w:rFonts w:ascii="Century Gothic" w:eastAsia="Century Gothic" w:hAnsi="Century Gothic" w:cs="Century Gothic"/>
        </w:rPr>
        <w:t xml:space="preserve"> 138; Delicias, </w:t>
      </w:r>
      <w:proofErr w:type="spellStart"/>
      <w:r w:rsidRPr="00D47BCF">
        <w:rPr>
          <w:rFonts w:ascii="Century Gothic" w:eastAsia="Century Gothic" w:hAnsi="Century Gothic" w:cs="Century Gothic"/>
        </w:rPr>
        <w:t>CEB</w:t>
      </w:r>
      <w:proofErr w:type="spellEnd"/>
      <w:r w:rsidRPr="00D47BCF">
        <w:rPr>
          <w:rFonts w:ascii="Century Gothic" w:eastAsia="Century Gothic" w:hAnsi="Century Gothic" w:cs="Century Gothic"/>
        </w:rPr>
        <w:t xml:space="preserve"> 6; Jiménez, </w:t>
      </w:r>
      <w:proofErr w:type="spellStart"/>
      <w:r w:rsidRPr="00D47BCF">
        <w:rPr>
          <w:rFonts w:ascii="Century Gothic" w:eastAsia="Century Gothic" w:hAnsi="Century Gothic" w:cs="Century Gothic"/>
        </w:rPr>
        <w:t>CBTIS</w:t>
      </w:r>
      <w:proofErr w:type="spellEnd"/>
      <w:r w:rsidRPr="00D47BCF">
        <w:rPr>
          <w:rFonts w:ascii="Century Gothic" w:eastAsia="Century Gothic" w:hAnsi="Century Gothic" w:cs="Century Gothic"/>
        </w:rPr>
        <w:t xml:space="preserve"> 138 y Parral, </w:t>
      </w:r>
      <w:proofErr w:type="spellStart"/>
      <w:r w:rsidRPr="00D47BCF">
        <w:rPr>
          <w:rFonts w:ascii="Century Gothic" w:eastAsia="Century Gothic" w:hAnsi="Century Gothic" w:cs="Century Gothic"/>
        </w:rPr>
        <w:t>CBTIS</w:t>
      </w:r>
      <w:proofErr w:type="spellEnd"/>
      <w:r w:rsidRPr="00D47BCF">
        <w:rPr>
          <w:rFonts w:ascii="Century Gothic" w:eastAsia="Century Gothic" w:hAnsi="Century Gothic" w:cs="Century Gothic"/>
        </w:rPr>
        <w:t xml:space="preserve"> 228. </w:t>
      </w:r>
    </w:p>
    <w:p w:rsid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p>
    <w:p w:rsidR="00D47BCF" w:rsidRDefault="00D47BCF" w:rsidP="00D47BCF">
      <w:pPr>
        <w:pStyle w:val="Normal1"/>
        <w:spacing w:line="360" w:lineRule="auto"/>
        <w:jc w:val="both"/>
        <w:rPr>
          <w:rFonts w:ascii="Century Gothic" w:eastAsia="Century Gothic" w:hAnsi="Century Gothic" w:cs="Century Gothic"/>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rPr>
        <w:t xml:space="preserve">Y de acuerdo con el documento: </w:t>
      </w:r>
      <w:r w:rsidRPr="00D47BCF">
        <w:rPr>
          <w:rFonts w:ascii="Century Gothic" w:eastAsia="Century Gothic" w:hAnsi="Century Gothic" w:cs="Century Gothic"/>
          <w:i/>
        </w:rPr>
        <w:t>Cómo estamos en Chihuahua, principales indicadores de desarrollo social 2015</w:t>
      </w:r>
      <w:r w:rsidRPr="00D47BCF">
        <w:rPr>
          <w:rFonts w:ascii="Century Gothic" w:eastAsia="Century Gothic" w:hAnsi="Century Gothic" w:cs="Century Gothic"/>
        </w:rPr>
        <w:t>, en el estado había un total de 268 mil 482 personas padeciendo alguna discapacidad, esto es, el 8% de la población total del Estado.</w:t>
      </w:r>
      <w:r w:rsidRPr="00D47BCF">
        <w:rPr>
          <w:rStyle w:val="Refdenotaalpie"/>
          <w:rFonts w:ascii="Century Gothic" w:eastAsia="Century Gothic" w:hAnsi="Century Gothic" w:cs="Century Gothic"/>
        </w:rPr>
        <w:footnoteReference w:id="2"/>
      </w:r>
    </w:p>
    <w:p w:rsidR="00D47BCF" w:rsidRPr="00D47BCF" w:rsidRDefault="00D47BCF" w:rsidP="00D47BCF">
      <w:pPr>
        <w:pStyle w:val="Normal1"/>
        <w:spacing w:line="360" w:lineRule="auto"/>
        <w:jc w:val="both"/>
        <w:rPr>
          <w:rFonts w:ascii="Century Gothic" w:eastAsia="Century Gothic" w:hAnsi="Century Gothic" w:cs="Century Gothic"/>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rPr>
        <w:t>Fuera de dichos espacios educativos, los jóvenes que actualmente viven con alguna de las discapacidades física, intelectual, auditiva, visual o psiquiátrica y que cursan el bachillerato, no podrán concluir sus estudios, toda vez que las instituciones educativas dependen de dicho Fideicomiso para poder prestar los servicios educativos que requiere esta población vulnerable.</w:t>
      </w:r>
    </w:p>
    <w:p w:rsidR="00D47BCF" w:rsidRPr="00D47BCF" w:rsidRDefault="00D47BCF" w:rsidP="00D47BCF">
      <w:pPr>
        <w:pStyle w:val="Normal1"/>
        <w:spacing w:line="360" w:lineRule="auto"/>
        <w:jc w:val="both"/>
        <w:rPr>
          <w:rFonts w:ascii="Century Gothic" w:eastAsia="Century Gothic" w:hAnsi="Century Gothic" w:cs="Century Gothic"/>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b/>
          <w:bCs/>
        </w:rPr>
        <w:t>Sexta</w:t>
      </w:r>
      <w:r w:rsidRPr="00D47BCF">
        <w:rPr>
          <w:rFonts w:ascii="Century Gothic" w:eastAsia="Century Gothic" w:hAnsi="Century Gothic" w:cs="Century Gothic"/>
        </w:rPr>
        <w:t>. En el mismo caso se encuentra el Fideicomiso del Programa de Escuelas de Excelencia para abatir el rezago educativo, operado por conducto del Banco Nacional del Ahorro y Servicios Financieros (</w:t>
      </w:r>
      <w:proofErr w:type="spellStart"/>
      <w:r w:rsidRPr="00D47BCF">
        <w:rPr>
          <w:rFonts w:ascii="Century Gothic" w:eastAsia="Century Gothic" w:hAnsi="Century Gothic" w:cs="Century Gothic"/>
        </w:rPr>
        <w:t>BANSEFI</w:t>
      </w:r>
      <w:proofErr w:type="spellEnd"/>
      <w:r w:rsidRPr="00D47BCF">
        <w:rPr>
          <w:rFonts w:ascii="Century Gothic" w:eastAsia="Century Gothic" w:hAnsi="Century Gothic" w:cs="Century Gothic"/>
        </w:rPr>
        <w:t xml:space="preserve">) y que en el Ciclo Escolar  2018-2019,  beneficio a 510 escuelas en el Estado de Chihuahua. Mediante: </w:t>
      </w:r>
    </w:p>
    <w:p w:rsidR="00D47BCF" w:rsidRPr="00D47BCF" w:rsidRDefault="00D47BCF" w:rsidP="00D47BCF">
      <w:pPr>
        <w:pStyle w:val="Normal1"/>
        <w:numPr>
          <w:ilvl w:val="0"/>
          <w:numId w:val="6"/>
        </w:numPr>
        <w:spacing w:line="360" w:lineRule="auto"/>
        <w:jc w:val="both"/>
        <w:rPr>
          <w:rFonts w:ascii="Century Gothic" w:eastAsia="Century Gothic" w:hAnsi="Century Gothic" w:cs="Century Gothic"/>
        </w:rPr>
      </w:pPr>
      <w:r w:rsidRPr="00D47BCF">
        <w:rPr>
          <w:rFonts w:ascii="Century Gothic" w:eastAsia="Century Gothic" w:hAnsi="Century Gothic" w:cs="Century Gothic"/>
        </w:rPr>
        <w:t>Fortalecimiento de la autonomía de gestión escolar;</w:t>
      </w:r>
    </w:p>
    <w:p w:rsidR="00D47BCF" w:rsidRPr="00D47BCF" w:rsidRDefault="00D47BCF" w:rsidP="00D47BCF">
      <w:pPr>
        <w:pStyle w:val="Normal1"/>
        <w:numPr>
          <w:ilvl w:val="0"/>
          <w:numId w:val="6"/>
        </w:numPr>
        <w:spacing w:line="360" w:lineRule="auto"/>
        <w:jc w:val="both"/>
        <w:rPr>
          <w:rFonts w:ascii="Century Gothic" w:eastAsia="Century Gothic" w:hAnsi="Century Gothic" w:cs="Century Gothic"/>
        </w:rPr>
      </w:pPr>
      <w:r w:rsidRPr="00D47BCF">
        <w:rPr>
          <w:rFonts w:ascii="Century Gothic" w:eastAsia="Century Gothic" w:hAnsi="Century Gothic" w:cs="Century Gothic"/>
        </w:rPr>
        <w:t>Mejora de la infraestructura escolar; y</w:t>
      </w:r>
    </w:p>
    <w:p w:rsidR="00D47BCF" w:rsidRPr="00D47BCF" w:rsidRDefault="00D47BCF" w:rsidP="00D47BCF">
      <w:pPr>
        <w:pStyle w:val="Normal1"/>
        <w:numPr>
          <w:ilvl w:val="0"/>
          <w:numId w:val="6"/>
        </w:numPr>
        <w:spacing w:line="360" w:lineRule="auto"/>
        <w:jc w:val="both"/>
        <w:rPr>
          <w:rFonts w:ascii="Century Gothic" w:eastAsia="Century Gothic" w:hAnsi="Century Gothic" w:cs="Century Gothic"/>
        </w:rPr>
      </w:pPr>
      <w:r w:rsidRPr="00D47BCF">
        <w:rPr>
          <w:rFonts w:ascii="Century Gothic" w:eastAsia="Century Gothic" w:hAnsi="Century Gothic" w:cs="Century Gothic"/>
        </w:rPr>
        <w:t>Otorgamiento de recursos directos a los planteles escolares.</w:t>
      </w:r>
    </w:p>
    <w:p w:rsidR="00D47BCF" w:rsidRPr="00D47BCF" w:rsidRDefault="00D47BCF" w:rsidP="00D47BCF">
      <w:pPr>
        <w:pStyle w:val="Normal1"/>
        <w:spacing w:line="360" w:lineRule="auto"/>
        <w:jc w:val="both"/>
        <w:rPr>
          <w:rFonts w:ascii="Century Gothic" w:eastAsia="Century Gothic" w:hAnsi="Century Gothic" w:cs="Century Gothic"/>
        </w:rPr>
      </w:pPr>
    </w:p>
    <w:p w:rsidR="00D47BCF" w:rsidRPr="00D47BCF" w:rsidRDefault="00D47BCF" w:rsidP="00D47BCF">
      <w:pPr>
        <w:pStyle w:val="Normal1"/>
        <w:spacing w:line="360" w:lineRule="auto"/>
        <w:jc w:val="both"/>
        <w:rPr>
          <w:rFonts w:ascii="Century Gothic" w:eastAsia="Century Gothic" w:hAnsi="Century Gothic" w:cs="Century Gothic"/>
          <w:b/>
          <w:bCs/>
        </w:rPr>
      </w:pPr>
    </w:p>
    <w:p w:rsidR="00D47BCF" w:rsidRPr="00D47BCF" w:rsidRDefault="00D47BCF" w:rsidP="00D47BCF">
      <w:pPr>
        <w:pStyle w:val="Normal1"/>
        <w:spacing w:line="360" w:lineRule="auto"/>
        <w:jc w:val="both"/>
        <w:rPr>
          <w:rFonts w:ascii="Century Gothic" w:eastAsia="Century Gothic" w:hAnsi="Century Gothic" w:cs="Century Gothic"/>
          <w:b/>
          <w:bCs/>
        </w:rPr>
      </w:pPr>
    </w:p>
    <w:p w:rsidR="00D47BCF" w:rsidRDefault="00D47BCF" w:rsidP="00D47BCF">
      <w:pPr>
        <w:pStyle w:val="Normal1"/>
        <w:spacing w:line="360" w:lineRule="auto"/>
        <w:jc w:val="both"/>
        <w:rPr>
          <w:rFonts w:ascii="Century Gothic" w:eastAsia="Century Gothic" w:hAnsi="Century Gothic" w:cs="Century Gothic"/>
          <w:b/>
          <w:bCs/>
        </w:rPr>
      </w:pPr>
    </w:p>
    <w:p w:rsidR="00D47BCF" w:rsidRDefault="00D47BCF" w:rsidP="00D47BCF">
      <w:pPr>
        <w:pStyle w:val="Normal1"/>
        <w:spacing w:line="360" w:lineRule="auto"/>
        <w:jc w:val="both"/>
        <w:rPr>
          <w:rFonts w:ascii="Century Gothic" w:eastAsia="Century Gothic" w:hAnsi="Century Gothic" w:cs="Century Gothic"/>
          <w:b/>
          <w:bCs/>
        </w:rPr>
      </w:pPr>
    </w:p>
    <w:p w:rsidR="00D47BCF" w:rsidRDefault="00D47BCF" w:rsidP="00D47BCF">
      <w:pPr>
        <w:pStyle w:val="Normal1"/>
        <w:spacing w:line="360" w:lineRule="auto"/>
        <w:jc w:val="both"/>
        <w:rPr>
          <w:rFonts w:ascii="Century Gothic" w:eastAsia="Century Gothic" w:hAnsi="Century Gothic" w:cs="Century Gothic"/>
          <w:b/>
          <w:bCs/>
        </w:rPr>
      </w:pPr>
    </w:p>
    <w:p w:rsidR="00D47BCF" w:rsidRDefault="00D47BCF" w:rsidP="00D47BCF">
      <w:pPr>
        <w:pStyle w:val="Normal1"/>
        <w:spacing w:line="360" w:lineRule="auto"/>
        <w:jc w:val="both"/>
        <w:rPr>
          <w:rFonts w:ascii="Century Gothic" w:eastAsia="Century Gothic" w:hAnsi="Century Gothic" w:cs="Century Gothic"/>
          <w:b/>
          <w:bCs/>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b/>
          <w:bCs/>
        </w:rPr>
        <w:t>Séptima.</w:t>
      </w:r>
      <w:r w:rsidRPr="00D47BCF">
        <w:rPr>
          <w:rFonts w:ascii="Century Gothic" w:eastAsia="Century Gothic" w:hAnsi="Century Gothic" w:cs="Century Gothic"/>
        </w:rPr>
        <w:t xml:space="preserve"> El Gobierno federal, previo a la toma de decisiones tan repentina, debe considerar sus actuaciones, sobre todo porque nuestro país ha firmado diversos instrumentos internacionales, entre ellos la </w:t>
      </w:r>
      <w:r w:rsidRPr="00D47BCF">
        <w:rPr>
          <w:rFonts w:ascii="Century Gothic" w:eastAsia="Century Gothic" w:hAnsi="Century Gothic" w:cs="Century Gothic"/>
          <w:i/>
        </w:rPr>
        <w:t>Convención de los Derechos de las Personas con Discapacidad</w:t>
      </w:r>
      <w:r w:rsidRPr="00D47BCF">
        <w:rPr>
          <w:rFonts w:ascii="Century Gothic" w:eastAsia="Century Gothic" w:hAnsi="Century Gothic" w:cs="Century Gothic"/>
        </w:rPr>
        <w:t xml:space="preserve">, así como los </w:t>
      </w:r>
      <w:r w:rsidRPr="00D47BCF">
        <w:rPr>
          <w:rFonts w:ascii="Century Gothic" w:eastAsia="Century Gothic" w:hAnsi="Century Gothic" w:cs="Century Gothic"/>
          <w:i/>
        </w:rPr>
        <w:t xml:space="preserve">Objetivos del Desarrollo del Milenio a favor de las personas con Discapacidad,  </w:t>
      </w:r>
      <w:r w:rsidRPr="00D47BCF">
        <w:rPr>
          <w:rFonts w:ascii="Century Gothic" w:eastAsia="Century Gothic" w:hAnsi="Century Gothic" w:cs="Century Gothic"/>
          <w:iCs/>
        </w:rPr>
        <w:t xml:space="preserve">además de otros que protegen </w:t>
      </w:r>
      <w:r w:rsidRPr="00D47BCF">
        <w:rPr>
          <w:rFonts w:ascii="Century Gothic" w:eastAsia="Century Gothic" w:hAnsi="Century Gothic" w:cs="Century Gothic"/>
          <w:i/>
        </w:rPr>
        <w:t xml:space="preserve">los derechos de las niñas, niños y adolescentes, </w:t>
      </w:r>
      <w:r w:rsidRPr="00D47BCF">
        <w:rPr>
          <w:rFonts w:ascii="Century Gothic" w:eastAsia="Century Gothic" w:hAnsi="Century Gothic" w:cs="Century Gothic"/>
          <w:iCs/>
        </w:rPr>
        <w:t xml:space="preserve">asumiendo compromisos para </w:t>
      </w:r>
      <w:r w:rsidRPr="00D47BCF">
        <w:rPr>
          <w:rFonts w:ascii="Century Gothic" w:eastAsia="Century Gothic" w:hAnsi="Century Gothic" w:cs="Century Gothic"/>
        </w:rPr>
        <w:t>promover leyes, tanto federales como locales, a efecto de protegerles y favorecer su desarrollo humano y social.</w:t>
      </w:r>
    </w:p>
    <w:p w:rsidR="00D47BCF" w:rsidRPr="00D47BCF" w:rsidRDefault="00D47BCF" w:rsidP="00D47BCF">
      <w:pPr>
        <w:pStyle w:val="Normal1"/>
        <w:spacing w:line="360" w:lineRule="auto"/>
        <w:jc w:val="both"/>
        <w:rPr>
          <w:rFonts w:ascii="Century Gothic" w:eastAsia="Century Gothic" w:hAnsi="Century Gothic" w:cs="Century Gothic"/>
          <w:b/>
          <w:bCs/>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b/>
          <w:bCs/>
        </w:rPr>
        <w:t>Octava.</w:t>
      </w:r>
      <w:r w:rsidRPr="00D47BCF">
        <w:rPr>
          <w:rFonts w:ascii="Century Gothic" w:eastAsia="Century Gothic" w:hAnsi="Century Gothic" w:cs="Century Gothic"/>
        </w:rPr>
        <w:t xml:space="preserve"> Toda vez que desde el inicio de este gobierno se han reducido drásticamente diversos rubros presupuestales para atender a diversos segmentos de la población en condiciones de vulnerabilidad, las y los Diputados del Honorable Congreso del Estado de Chihuahua, estimamos que el gobierno federal, previo a una toma de decisiones tan repentina, debe considerar y ponderar, cuáles fideicomisos pueden ser eliminados sin afectar de manera negativa a la población más vulnerable, como son los dos fideicomisos en comento, a efecto de mantenerlos vigentes.</w:t>
      </w:r>
    </w:p>
    <w:p w:rsidR="00D47BCF" w:rsidRPr="00D47BCF" w:rsidRDefault="00D47BCF" w:rsidP="00D47BCF">
      <w:pPr>
        <w:pStyle w:val="Normal1"/>
        <w:spacing w:line="360" w:lineRule="auto"/>
        <w:jc w:val="both"/>
        <w:rPr>
          <w:rFonts w:ascii="Century Gothic" w:eastAsia="Century Gothic" w:hAnsi="Century Gothic" w:cs="Century Gothic"/>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rPr>
        <w:t xml:space="preserve">En virtud de las consideraciones expuestas, compañeras y compañeros Diputados, solicito su voto favorable a esta Iniciativa con Punto de Acuerdo </w:t>
      </w:r>
      <w:r w:rsidRPr="00D47BCF">
        <w:rPr>
          <w:rFonts w:ascii="Century Gothic" w:eastAsia="Century Gothic" w:hAnsi="Century Gothic" w:cs="Century Gothic"/>
          <w:b/>
        </w:rPr>
        <w:t>de urgente resolución</w:t>
      </w:r>
      <w:r w:rsidRPr="00D47BCF">
        <w:rPr>
          <w:rFonts w:ascii="Century Gothic" w:eastAsia="Century Gothic" w:hAnsi="Century Gothic" w:cs="Century Gothic"/>
        </w:rPr>
        <w:t>.</w:t>
      </w:r>
    </w:p>
    <w:p w:rsidR="00D47BCF" w:rsidRPr="00D47BCF" w:rsidRDefault="00D47BCF" w:rsidP="00D47BCF">
      <w:pPr>
        <w:pStyle w:val="Normal1"/>
        <w:spacing w:line="360" w:lineRule="auto"/>
        <w:jc w:val="both"/>
        <w:rPr>
          <w:rFonts w:ascii="Century Gothic" w:eastAsia="Century Gothic" w:hAnsi="Century Gothic" w:cs="Century Gothic"/>
          <w:lang w:val="es-ES"/>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rPr>
        <w:t>Me permito someter a la consideración de esta Diputación Permanente</w:t>
      </w:r>
      <w:proofErr w:type="gramStart"/>
      <w:r w:rsidRPr="00D47BCF">
        <w:rPr>
          <w:rFonts w:ascii="Century Gothic" w:eastAsia="Century Gothic" w:hAnsi="Century Gothic" w:cs="Century Gothic"/>
        </w:rPr>
        <w:t>,  ,</w:t>
      </w:r>
      <w:proofErr w:type="gramEnd"/>
      <w:r w:rsidRPr="00D47BCF">
        <w:rPr>
          <w:rFonts w:ascii="Century Gothic" w:eastAsia="Century Gothic" w:hAnsi="Century Gothic" w:cs="Century Gothic"/>
        </w:rPr>
        <w:t xml:space="preserve"> el siguiente proyecto de:</w:t>
      </w:r>
    </w:p>
    <w:p w:rsidR="00D47BCF" w:rsidRPr="00D47BCF" w:rsidRDefault="00D47BCF" w:rsidP="00D47BCF">
      <w:pPr>
        <w:spacing w:after="200" w:line="360" w:lineRule="auto"/>
        <w:jc w:val="both"/>
        <w:rPr>
          <w:rFonts w:ascii="Century Gothic" w:eastAsia="Century Gothic" w:hAnsi="Century Gothic" w:cs="Century Gothic"/>
          <w:b/>
        </w:rPr>
      </w:pPr>
    </w:p>
    <w:p w:rsidR="00D47BCF" w:rsidRDefault="00D47BCF" w:rsidP="00D47BCF">
      <w:pPr>
        <w:spacing w:after="200" w:line="360" w:lineRule="auto"/>
        <w:jc w:val="center"/>
        <w:rPr>
          <w:rFonts w:ascii="Century Gothic" w:eastAsia="Century Gothic" w:hAnsi="Century Gothic" w:cs="Century Gothic"/>
          <w:b/>
        </w:rPr>
      </w:pPr>
    </w:p>
    <w:p w:rsidR="00D47BCF" w:rsidRDefault="00D47BCF" w:rsidP="00D47BCF">
      <w:pPr>
        <w:spacing w:after="200" w:line="360" w:lineRule="auto"/>
        <w:jc w:val="center"/>
        <w:rPr>
          <w:rFonts w:ascii="Century Gothic" w:eastAsia="Century Gothic" w:hAnsi="Century Gothic" w:cs="Century Gothic"/>
          <w:b/>
        </w:rPr>
      </w:pPr>
    </w:p>
    <w:p w:rsidR="00D47BCF" w:rsidRDefault="00D47BCF" w:rsidP="00D47BCF">
      <w:pPr>
        <w:spacing w:after="200" w:line="360" w:lineRule="auto"/>
        <w:jc w:val="center"/>
        <w:rPr>
          <w:rFonts w:ascii="Century Gothic" w:eastAsia="Century Gothic" w:hAnsi="Century Gothic" w:cs="Century Gothic"/>
          <w:b/>
        </w:rPr>
      </w:pPr>
    </w:p>
    <w:p w:rsidR="00D47BCF" w:rsidRPr="00D47BCF" w:rsidRDefault="00D47BCF" w:rsidP="00D47BCF">
      <w:pPr>
        <w:spacing w:after="200" w:line="360" w:lineRule="auto"/>
        <w:jc w:val="center"/>
        <w:rPr>
          <w:rFonts w:ascii="Century Gothic" w:eastAsia="Century Gothic" w:hAnsi="Century Gothic" w:cs="Century Gothic"/>
          <w:b/>
        </w:rPr>
      </w:pPr>
      <w:r w:rsidRPr="00D47BCF">
        <w:rPr>
          <w:rFonts w:ascii="Century Gothic" w:eastAsia="Century Gothic" w:hAnsi="Century Gothic" w:cs="Century Gothic"/>
          <w:b/>
        </w:rPr>
        <w:t>ACUERDO</w:t>
      </w: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b/>
          <w:lang w:val="es-ES"/>
        </w:rPr>
        <w:t>ÚNICO</w:t>
      </w:r>
      <w:r w:rsidRPr="00D47BCF">
        <w:rPr>
          <w:rFonts w:ascii="Century Gothic" w:eastAsia="Century Gothic" w:hAnsi="Century Gothic" w:cs="Century Gothic"/>
          <w:lang w:val="es-ES"/>
        </w:rPr>
        <w:t xml:space="preserve">. La Diputación Permanente del Honorable Congreso del Estado de Chihuahua, exhorta de manera respetuosa  a la </w:t>
      </w:r>
      <w:proofErr w:type="spellStart"/>
      <w:r w:rsidRPr="00D47BCF">
        <w:rPr>
          <w:rFonts w:ascii="Century Gothic" w:eastAsia="Century Gothic" w:hAnsi="Century Gothic" w:cs="Century Gothic"/>
          <w:lang w:val="es-ES"/>
        </w:rPr>
        <w:t>Secretaria</w:t>
      </w:r>
      <w:proofErr w:type="spellEnd"/>
      <w:r w:rsidRPr="00D47BCF">
        <w:rPr>
          <w:rFonts w:ascii="Century Gothic" w:eastAsia="Century Gothic" w:hAnsi="Century Gothic" w:cs="Century Gothic"/>
          <w:lang w:val="es-ES"/>
        </w:rPr>
        <w:t xml:space="preserve"> de Gobernación </w:t>
      </w:r>
      <w:r w:rsidRPr="00D47BCF">
        <w:rPr>
          <w:rFonts w:ascii="Century Gothic" w:eastAsia="Century Gothic" w:hAnsi="Century Gothic" w:cs="Century Gothic"/>
          <w:bCs/>
          <w:lang w:val="es-ES"/>
        </w:rPr>
        <w:t xml:space="preserve">Lic. Olga María del Carmen Sánchez Cordero Dávila; y al Secretario de Hacienda y Crédito Público, Mtro. Arturo Herrera Gutiérrez, ambos del Gobierno Federal, para que no se extingan, el Fideicomiso </w:t>
      </w:r>
      <w:r w:rsidRPr="00D47BCF">
        <w:rPr>
          <w:rFonts w:ascii="Century Gothic" w:eastAsia="Century Gothic" w:hAnsi="Century Gothic" w:cs="Century Gothic"/>
        </w:rPr>
        <w:t xml:space="preserve">para el Bachillerato General en sus modalidades no escolarizada y mixta, a través del cual se mantienen los Centros de Atención para Estudiantes con Discapacidad en el Estado de Chihuahua, así como el Fideicomiso del Programa de Escuelas de Excelencia para abatir el rezago educativo. </w:t>
      </w:r>
    </w:p>
    <w:p w:rsidR="00D47BCF" w:rsidRDefault="00D47BCF" w:rsidP="00D47BCF">
      <w:pPr>
        <w:pStyle w:val="Normal1"/>
        <w:spacing w:line="360" w:lineRule="auto"/>
        <w:jc w:val="both"/>
        <w:rPr>
          <w:rFonts w:ascii="Century Gothic" w:eastAsia="Century Gothic" w:hAnsi="Century Gothic" w:cs="Century Gothic"/>
        </w:rPr>
      </w:pPr>
    </w:p>
    <w:p w:rsidR="00D47BCF" w:rsidRPr="00D47BCF" w:rsidRDefault="00D47BCF" w:rsidP="00D47BCF">
      <w:pPr>
        <w:pStyle w:val="Normal1"/>
        <w:spacing w:line="360" w:lineRule="auto"/>
        <w:jc w:val="both"/>
        <w:rPr>
          <w:rFonts w:ascii="Century Gothic" w:eastAsia="Century Gothic" w:hAnsi="Century Gothic" w:cs="Century Gothic"/>
        </w:rPr>
      </w:pPr>
      <w:r w:rsidRPr="00D47BCF">
        <w:rPr>
          <w:rFonts w:ascii="Century Gothic" w:eastAsia="Century Gothic" w:hAnsi="Century Gothic" w:cs="Century Gothic"/>
        </w:rPr>
        <w:t>Lo anterior en virtud del Decreto Presidencial del 02 de abril del año en curso, mediante que se instruye a  las dependencias y entidades de la Administración Pública Federal, a la Oficina de la Presidencia de la República, así como a los Tribunales Agrarios, extinguir o dar por terminados todos los fideicomisos públicos sin estructura orgánica, mandatos o análogos de carácter federal en los que funjan como unidades responsables o mandantes.</w:t>
      </w:r>
    </w:p>
    <w:p w:rsidR="00D47BCF" w:rsidRPr="00D47BCF" w:rsidRDefault="00D47BCF" w:rsidP="00D47BCF">
      <w:pPr>
        <w:pStyle w:val="Normal1"/>
        <w:spacing w:line="360" w:lineRule="auto"/>
        <w:jc w:val="both"/>
        <w:rPr>
          <w:rFonts w:ascii="Century Gothic" w:eastAsia="Century Gothic" w:hAnsi="Century Gothic" w:cs="Century Gothic"/>
          <w:bCs/>
          <w:lang w:val="es-ES"/>
        </w:rPr>
      </w:pPr>
    </w:p>
    <w:p w:rsidR="002031E9" w:rsidRDefault="002031E9">
      <w:pPr>
        <w:spacing w:after="160" w:line="259" w:lineRule="auto"/>
        <w:rPr>
          <w:rFonts w:ascii="Century Gothic" w:eastAsia="Century Gothic" w:hAnsi="Century Gothic" w:cs="Century Gothic"/>
          <w:b/>
        </w:rPr>
      </w:pPr>
      <w:r>
        <w:rPr>
          <w:rFonts w:ascii="Century Gothic" w:eastAsia="Century Gothic" w:hAnsi="Century Gothic" w:cs="Century Gothic"/>
          <w:b/>
        </w:rPr>
        <w:br w:type="page"/>
      </w:r>
    </w:p>
    <w:p w:rsidR="002031E9" w:rsidRDefault="002031E9" w:rsidP="00D47BCF">
      <w:pPr>
        <w:spacing w:after="200" w:line="360" w:lineRule="auto"/>
        <w:jc w:val="both"/>
        <w:rPr>
          <w:rFonts w:ascii="Century Gothic" w:eastAsia="Century Gothic" w:hAnsi="Century Gothic" w:cs="Century Gothic"/>
          <w:b/>
        </w:rPr>
      </w:pPr>
    </w:p>
    <w:p w:rsidR="002031E9" w:rsidRDefault="002031E9" w:rsidP="00D47BCF">
      <w:pPr>
        <w:spacing w:after="200" w:line="360" w:lineRule="auto"/>
        <w:jc w:val="both"/>
        <w:rPr>
          <w:rFonts w:ascii="Century Gothic" w:eastAsia="Century Gothic" w:hAnsi="Century Gothic" w:cs="Century Gothic"/>
          <w:b/>
        </w:rPr>
      </w:pPr>
    </w:p>
    <w:p w:rsidR="002031E9" w:rsidRDefault="002031E9" w:rsidP="00D47BCF">
      <w:pPr>
        <w:spacing w:after="200" w:line="360" w:lineRule="auto"/>
        <w:jc w:val="both"/>
        <w:rPr>
          <w:rFonts w:ascii="Century Gothic" w:eastAsia="Century Gothic" w:hAnsi="Century Gothic" w:cs="Century Gothic"/>
          <w:b/>
        </w:rPr>
      </w:pPr>
    </w:p>
    <w:p w:rsidR="00D47BCF" w:rsidRPr="00D47BCF" w:rsidRDefault="00D47BCF" w:rsidP="00D47BCF">
      <w:pPr>
        <w:spacing w:after="200" w:line="360" w:lineRule="auto"/>
        <w:jc w:val="both"/>
        <w:rPr>
          <w:rFonts w:ascii="Century Gothic" w:hAnsi="Century Gothic"/>
        </w:rPr>
      </w:pPr>
      <w:r w:rsidRPr="00D47BCF">
        <w:rPr>
          <w:rFonts w:ascii="Century Gothic" w:eastAsia="Century Gothic" w:hAnsi="Century Gothic" w:cs="Century Gothic"/>
          <w:b/>
        </w:rPr>
        <w:t>ECONÓMICO.-</w:t>
      </w:r>
      <w:r w:rsidRPr="00D47BCF">
        <w:rPr>
          <w:rFonts w:ascii="Century Gothic" w:eastAsia="Century Gothic" w:hAnsi="Century Gothic" w:cs="Century Gothic"/>
        </w:rPr>
        <w:t xml:space="preserve"> Aprobado que sea, túrnese a la Secretaría para que elabore la Minuta de Acuerdo correspondiente.</w:t>
      </w:r>
    </w:p>
    <w:p w:rsidR="00D47BCF" w:rsidRPr="00D47BCF" w:rsidRDefault="00D47BCF" w:rsidP="00D47BCF">
      <w:pPr>
        <w:pStyle w:val="Normal1"/>
        <w:spacing w:line="360" w:lineRule="auto"/>
        <w:jc w:val="both"/>
        <w:rPr>
          <w:rFonts w:ascii="Century Gothic" w:eastAsia="Century Gothic" w:hAnsi="Century Gothic" w:cs="Century Gothic"/>
          <w:b/>
        </w:rPr>
      </w:pPr>
      <w:r w:rsidRPr="00D47BCF">
        <w:rPr>
          <w:rFonts w:ascii="Century Gothic" w:eastAsia="Century Gothic" w:hAnsi="Century Gothic" w:cs="Century Gothic"/>
          <w:b/>
        </w:rPr>
        <w:t>D A D O</w:t>
      </w:r>
      <w:r w:rsidRPr="00D47BCF">
        <w:rPr>
          <w:rFonts w:ascii="Century Gothic" w:eastAsia="Century Gothic" w:hAnsi="Century Gothic" w:cs="Century Gothic"/>
        </w:rPr>
        <w:t xml:space="preserve"> en el Salón Morelos del Recinto Oficial del Poder Legislativo, en la Ciudad de Chihuahua, </w:t>
      </w:r>
      <w:proofErr w:type="spellStart"/>
      <w:r w:rsidRPr="00D47BCF">
        <w:rPr>
          <w:rFonts w:ascii="Century Gothic" w:eastAsia="Century Gothic" w:hAnsi="Century Gothic" w:cs="Century Gothic"/>
        </w:rPr>
        <w:t>Chih</w:t>
      </w:r>
      <w:proofErr w:type="spellEnd"/>
      <w:r w:rsidRPr="00D47BCF">
        <w:rPr>
          <w:rFonts w:ascii="Century Gothic" w:eastAsia="Century Gothic" w:hAnsi="Century Gothic" w:cs="Century Gothic"/>
        </w:rPr>
        <w:t>., al día 22 del mes de junio del año dos mil veinte.</w:t>
      </w:r>
    </w:p>
    <w:p w:rsidR="00D47BCF" w:rsidRPr="00D47BCF" w:rsidRDefault="00D47BCF" w:rsidP="00D47BCF">
      <w:pPr>
        <w:spacing w:after="200" w:line="360" w:lineRule="auto"/>
        <w:jc w:val="both"/>
        <w:rPr>
          <w:rFonts w:ascii="Century Gothic" w:eastAsia="Century Gothic" w:hAnsi="Century Gothic" w:cs="Century Gothic"/>
          <w:b/>
        </w:rPr>
      </w:pPr>
    </w:p>
    <w:p w:rsidR="00D47BCF" w:rsidRDefault="00D47BCF" w:rsidP="00D47BCF">
      <w:pPr>
        <w:spacing w:after="200" w:line="360" w:lineRule="auto"/>
        <w:jc w:val="center"/>
        <w:rPr>
          <w:rFonts w:ascii="Century Gothic" w:eastAsia="Century Gothic" w:hAnsi="Century Gothic" w:cs="Century Gothic"/>
          <w:b/>
        </w:rPr>
      </w:pPr>
    </w:p>
    <w:p w:rsidR="00D47BCF" w:rsidRDefault="00D47BCF" w:rsidP="00D47BCF">
      <w:pPr>
        <w:spacing w:after="200" w:line="360" w:lineRule="auto"/>
        <w:jc w:val="center"/>
        <w:rPr>
          <w:rFonts w:ascii="Century Gothic" w:eastAsia="Century Gothic" w:hAnsi="Century Gothic" w:cs="Century Gothic"/>
          <w:b/>
        </w:rPr>
      </w:pPr>
    </w:p>
    <w:p w:rsidR="00D47BCF" w:rsidRDefault="00D47BCF" w:rsidP="00D47BCF">
      <w:pPr>
        <w:spacing w:after="200" w:line="360" w:lineRule="auto"/>
        <w:jc w:val="center"/>
        <w:rPr>
          <w:rFonts w:ascii="Century Gothic" w:eastAsia="Century Gothic" w:hAnsi="Century Gothic" w:cs="Century Gothic"/>
          <w:b/>
        </w:rPr>
      </w:pPr>
      <w:bookmarkStart w:id="0" w:name="_GoBack"/>
      <w:bookmarkEnd w:id="0"/>
    </w:p>
    <w:p w:rsidR="00D47BCF" w:rsidRPr="00D47BCF" w:rsidRDefault="00D47BCF" w:rsidP="00D47BCF">
      <w:pPr>
        <w:spacing w:after="200" w:line="360" w:lineRule="auto"/>
        <w:jc w:val="center"/>
        <w:rPr>
          <w:rFonts w:ascii="Century Gothic" w:eastAsia="Century Gothic" w:hAnsi="Century Gothic" w:cs="Century Gothic"/>
          <w:b/>
        </w:rPr>
      </w:pPr>
      <w:r w:rsidRPr="00D47BCF">
        <w:rPr>
          <w:rFonts w:ascii="Century Gothic" w:eastAsia="Century Gothic" w:hAnsi="Century Gothic" w:cs="Century Gothic"/>
          <w:b/>
        </w:rPr>
        <w:t>A T E N T A M E N T E</w:t>
      </w:r>
    </w:p>
    <w:p w:rsidR="00D47BCF" w:rsidRPr="00D47BCF" w:rsidRDefault="00D47BCF" w:rsidP="00D47BCF">
      <w:pPr>
        <w:spacing w:after="200" w:line="360" w:lineRule="auto"/>
        <w:jc w:val="center"/>
        <w:rPr>
          <w:rFonts w:ascii="Century Gothic" w:eastAsia="Century Gothic" w:hAnsi="Century Gothic" w:cs="Century Gothic"/>
          <w:b/>
        </w:rPr>
      </w:pPr>
    </w:p>
    <w:p w:rsidR="00D47BCF" w:rsidRPr="00D47BCF" w:rsidRDefault="00D47BCF" w:rsidP="00D47BCF">
      <w:pPr>
        <w:spacing w:after="200" w:line="360" w:lineRule="auto"/>
        <w:jc w:val="center"/>
      </w:pPr>
      <w:r w:rsidRPr="00D47BCF">
        <w:rPr>
          <w:rFonts w:ascii="Century Gothic" w:eastAsia="Century Gothic" w:hAnsi="Century Gothic" w:cs="Century Gothic"/>
          <w:b/>
        </w:rPr>
        <w:t xml:space="preserve">DIP. </w:t>
      </w:r>
      <w:proofErr w:type="spellStart"/>
      <w:r w:rsidRPr="00D47BCF">
        <w:rPr>
          <w:rFonts w:ascii="Century Gothic" w:eastAsia="Century Gothic" w:hAnsi="Century Gothic" w:cs="Century Gothic"/>
          <w:b/>
        </w:rPr>
        <w:t>JESUS</w:t>
      </w:r>
      <w:proofErr w:type="spellEnd"/>
      <w:r w:rsidRPr="00D47BCF">
        <w:rPr>
          <w:rFonts w:ascii="Century Gothic" w:eastAsia="Century Gothic" w:hAnsi="Century Gothic" w:cs="Century Gothic"/>
          <w:b/>
        </w:rPr>
        <w:t xml:space="preserve"> </w:t>
      </w:r>
      <w:proofErr w:type="spellStart"/>
      <w:r w:rsidRPr="00D47BCF">
        <w:rPr>
          <w:rFonts w:ascii="Century Gothic" w:eastAsia="Century Gothic" w:hAnsi="Century Gothic" w:cs="Century Gothic"/>
          <w:b/>
        </w:rPr>
        <w:t>VELAZQUEZ</w:t>
      </w:r>
      <w:proofErr w:type="spellEnd"/>
      <w:r w:rsidRPr="00D47BCF">
        <w:rPr>
          <w:rFonts w:ascii="Century Gothic" w:eastAsia="Century Gothic" w:hAnsi="Century Gothic" w:cs="Century Gothic"/>
          <w:b/>
        </w:rPr>
        <w:t xml:space="preserve"> </w:t>
      </w:r>
      <w:proofErr w:type="spellStart"/>
      <w:r w:rsidRPr="00D47BCF">
        <w:rPr>
          <w:rFonts w:ascii="Century Gothic" w:eastAsia="Century Gothic" w:hAnsi="Century Gothic" w:cs="Century Gothic"/>
          <w:b/>
        </w:rPr>
        <w:t>RODRIGUEZ</w:t>
      </w:r>
      <w:proofErr w:type="spellEnd"/>
    </w:p>
    <w:p w:rsidR="00F92B16" w:rsidRPr="00D47BCF" w:rsidRDefault="00F92B16" w:rsidP="00D47BCF"/>
    <w:sectPr w:rsidR="00F92B16" w:rsidRPr="00D47BCF" w:rsidSect="006A339C">
      <w:headerReference w:type="even" r:id="rId7"/>
      <w:headerReference w:type="default" r:id="rId8"/>
      <w:footerReference w:type="even" r:id="rId9"/>
      <w:footerReference w:type="default" r:id="rId10"/>
      <w:headerReference w:type="first" r:id="rId11"/>
      <w:footerReference w:type="first" r:id="rId12"/>
      <w:pgSz w:w="12240" w:h="15840"/>
      <w:pgMar w:top="1701"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18A3" w:rsidRDefault="00DE18A3" w:rsidP="00226656">
      <w:r>
        <w:separator/>
      </w:r>
    </w:p>
  </w:endnote>
  <w:endnote w:type="continuationSeparator" w:id="1">
    <w:p w:rsidR="00DE18A3" w:rsidRDefault="00DE18A3" w:rsidP="002266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DB5" w:rsidRDefault="00AB0E4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8063632"/>
      <w:docPartObj>
        <w:docPartGallery w:val="Page Numbers (Bottom of Page)"/>
        <w:docPartUnique/>
      </w:docPartObj>
    </w:sdtPr>
    <w:sdtContent>
      <w:p w:rsidR="00772638" w:rsidRDefault="001D1829">
        <w:pPr>
          <w:pStyle w:val="Piedepgina"/>
          <w:jc w:val="right"/>
        </w:pPr>
        <w:r>
          <w:fldChar w:fldCharType="begin"/>
        </w:r>
        <w:r w:rsidR="00CA0B50">
          <w:instrText>PAGE   \* MERGEFORMAT</w:instrText>
        </w:r>
        <w:r>
          <w:fldChar w:fldCharType="separate"/>
        </w:r>
        <w:r w:rsidR="00AB0E44" w:rsidRPr="00AB0E44">
          <w:rPr>
            <w:noProof/>
            <w:lang w:val="es-ES"/>
          </w:rPr>
          <w:t>1</w:t>
        </w:r>
        <w:r>
          <w:fldChar w:fldCharType="end"/>
        </w:r>
      </w:p>
    </w:sdtContent>
  </w:sdt>
  <w:p w:rsidR="005F7DB5" w:rsidRDefault="00AB0E4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DB5" w:rsidRDefault="00AB0E4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18A3" w:rsidRDefault="00DE18A3" w:rsidP="00226656">
      <w:r>
        <w:separator/>
      </w:r>
    </w:p>
  </w:footnote>
  <w:footnote w:type="continuationSeparator" w:id="1">
    <w:p w:rsidR="00DE18A3" w:rsidRDefault="00DE18A3" w:rsidP="00226656">
      <w:r>
        <w:continuationSeparator/>
      </w:r>
    </w:p>
  </w:footnote>
  <w:footnote w:id="2">
    <w:p w:rsidR="00D47BCF" w:rsidRPr="00D5198D" w:rsidRDefault="00D47BCF" w:rsidP="00D47BCF">
      <w:pPr>
        <w:pStyle w:val="Textonotapie"/>
        <w:rPr>
          <w:lang w:val="es-ES"/>
        </w:rPr>
      </w:pPr>
      <w:r>
        <w:rPr>
          <w:rStyle w:val="Refdenotaalpie"/>
        </w:rPr>
        <w:footnoteRef/>
      </w:r>
      <w:r>
        <w:t xml:space="preserve"> Fundación del Empresariado Chihuahuense </w:t>
      </w:r>
      <w:proofErr w:type="spellStart"/>
      <w:r>
        <w:t>FECHAC</w:t>
      </w:r>
      <w:proofErr w:type="spellEnd"/>
      <w:r>
        <w:t xml:space="preserve">, Cómo estamos en Chihuahua, Principales indicadores del desarrollo social 2015. Consultado en: </w:t>
      </w:r>
      <w:hyperlink r:id="rId1" w:history="1">
        <w:r>
          <w:rPr>
            <w:rStyle w:val="Hipervnculo"/>
          </w:rPr>
          <w:t>http://www.fechac.org/pdf/infografia_indicadores_ds_chihuahua.pdf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DB5" w:rsidRDefault="00AB0E4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65E" w:rsidRDefault="00CA0B50">
    <w:pPr>
      <w:pStyle w:val="Encabezado"/>
    </w:pPr>
    <w:r>
      <w:rPr>
        <w:noProof/>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-449580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DB5" w:rsidRDefault="00AB0E4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0ECA"/>
    <w:multiLevelType w:val="hybridMultilevel"/>
    <w:tmpl w:val="2BD88C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8FD0058"/>
    <w:multiLevelType w:val="hybridMultilevel"/>
    <w:tmpl w:val="B172E3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CBC7D33"/>
    <w:multiLevelType w:val="hybridMultilevel"/>
    <w:tmpl w:val="E4682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27704BA"/>
    <w:multiLevelType w:val="hybridMultilevel"/>
    <w:tmpl w:val="0A689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26C1D36"/>
    <w:multiLevelType w:val="hybridMultilevel"/>
    <w:tmpl w:val="1A9897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D9F0799"/>
    <w:multiLevelType w:val="hybridMultilevel"/>
    <w:tmpl w:val="4B56B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226656"/>
    <w:rsid w:val="00012598"/>
    <w:rsid w:val="00153644"/>
    <w:rsid w:val="001D1829"/>
    <w:rsid w:val="001F292E"/>
    <w:rsid w:val="002031E9"/>
    <w:rsid w:val="00226656"/>
    <w:rsid w:val="00282585"/>
    <w:rsid w:val="002B7083"/>
    <w:rsid w:val="003F64E6"/>
    <w:rsid w:val="00487A43"/>
    <w:rsid w:val="005126CB"/>
    <w:rsid w:val="005F50B5"/>
    <w:rsid w:val="00661496"/>
    <w:rsid w:val="0067358D"/>
    <w:rsid w:val="00943775"/>
    <w:rsid w:val="009C5548"/>
    <w:rsid w:val="00A97C92"/>
    <w:rsid w:val="00AB0E44"/>
    <w:rsid w:val="00BF3CEB"/>
    <w:rsid w:val="00CA0B50"/>
    <w:rsid w:val="00CF0AB8"/>
    <w:rsid w:val="00D4315A"/>
    <w:rsid w:val="00D47BCF"/>
    <w:rsid w:val="00DA09C7"/>
    <w:rsid w:val="00DE18A3"/>
    <w:rsid w:val="00DF1C3A"/>
    <w:rsid w:val="00E02374"/>
    <w:rsid w:val="00E43356"/>
    <w:rsid w:val="00E84A2D"/>
    <w:rsid w:val="00ED2102"/>
    <w:rsid w:val="00EF408C"/>
    <w:rsid w:val="00F0711E"/>
    <w:rsid w:val="00F414EC"/>
    <w:rsid w:val="00F67FAE"/>
    <w:rsid w:val="00F92B16"/>
    <w:rsid w:val="00FF1591"/>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656"/>
    <w:pPr>
      <w:spacing w:after="0" w:line="240" w:lineRule="auto"/>
    </w:pPr>
    <w:rPr>
      <w:rFonts w:ascii="Times New Roman" w:eastAsia="Times New Roman" w:hAnsi="Times New Roman" w:cs="Times New Roman"/>
      <w:color w:val="000000"/>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6656"/>
    <w:pPr>
      <w:tabs>
        <w:tab w:val="center" w:pos="4419"/>
        <w:tab w:val="right" w:pos="8838"/>
      </w:tabs>
    </w:pPr>
  </w:style>
  <w:style w:type="character" w:customStyle="1" w:styleId="EncabezadoCar">
    <w:name w:val="Encabezado Car"/>
    <w:basedOn w:val="Fuentedeprrafopredeter"/>
    <w:link w:val="Encabezado"/>
    <w:uiPriority w:val="99"/>
    <w:rsid w:val="00226656"/>
    <w:rPr>
      <w:rFonts w:ascii="Times New Roman" w:eastAsia="Times New Roman" w:hAnsi="Times New Roman" w:cs="Times New Roman"/>
      <w:color w:val="000000"/>
      <w:sz w:val="24"/>
      <w:szCs w:val="24"/>
      <w:lang w:val="es-MX" w:eastAsia="es-MX"/>
    </w:rPr>
  </w:style>
  <w:style w:type="paragraph" w:styleId="Piedepgina">
    <w:name w:val="footer"/>
    <w:basedOn w:val="Normal"/>
    <w:link w:val="PiedepginaCar"/>
    <w:uiPriority w:val="99"/>
    <w:unhideWhenUsed/>
    <w:rsid w:val="00226656"/>
    <w:pPr>
      <w:tabs>
        <w:tab w:val="center" w:pos="4419"/>
        <w:tab w:val="right" w:pos="8838"/>
      </w:tabs>
    </w:pPr>
  </w:style>
  <w:style w:type="character" w:customStyle="1" w:styleId="PiedepginaCar">
    <w:name w:val="Pie de página Car"/>
    <w:basedOn w:val="Fuentedeprrafopredeter"/>
    <w:link w:val="Piedepgina"/>
    <w:uiPriority w:val="99"/>
    <w:rsid w:val="00226656"/>
    <w:rPr>
      <w:rFonts w:ascii="Times New Roman" w:eastAsia="Times New Roman" w:hAnsi="Times New Roman" w:cs="Times New Roman"/>
      <w:color w:val="000000"/>
      <w:sz w:val="24"/>
      <w:szCs w:val="24"/>
      <w:lang w:val="es-MX" w:eastAsia="es-MX"/>
    </w:rPr>
  </w:style>
  <w:style w:type="paragraph" w:customStyle="1" w:styleId="Normal1">
    <w:name w:val="Normal1"/>
    <w:rsid w:val="00226656"/>
    <w:pPr>
      <w:spacing w:after="0" w:line="240" w:lineRule="auto"/>
    </w:pPr>
    <w:rPr>
      <w:rFonts w:ascii="Times New Roman" w:eastAsia="Times New Roman" w:hAnsi="Times New Roman" w:cs="Times New Roman"/>
      <w:color w:val="000000"/>
      <w:sz w:val="24"/>
      <w:szCs w:val="24"/>
      <w:lang w:val="es-MX" w:eastAsia="es-MX"/>
    </w:rPr>
  </w:style>
  <w:style w:type="paragraph" w:styleId="Textonotapie">
    <w:name w:val="footnote text"/>
    <w:basedOn w:val="Normal"/>
    <w:link w:val="TextonotapieCar"/>
    <w:uiPriority w:val="99"/>
    <w:semiHidden/>
    <w:unhideWhenUsed/>
    <w:rsid w:val="00226656"/>
    <w:rPr>
      <w:sz w:val="20"/>
      <w:szCs w:val="20"/>
    </w:rPr>
  </w:style>
  <w:style w:type="character" w:customStyle="1" w:styleId="TextonotapieCar">
    <w:name w:val="Texto nota pie Car"/>
    <w:basedOn w:val="Fuentedeprrafopredeter"/>
    <w:link w:val="Textonotapie"/>
    <w:uiPriority w:val="99"/>
    <w:semiHidden/>
    <w:rsid w:val="00226656"/>
    <w:rPr>
      <w:rFonts w:ascii="Times New Roman" w:eastAsia="Times New Roman" w:hAnsi="Times New Roman" w:cs="Times New Roman"/>
      <w:color w:val="000000"/>
      <w:sz w:val="20"/>
      <w:szCs w:val="20"/>
      <w:lang w:val="es-MX" w:eastAsia="es-MX"/>
    </w:rPr>
  </w:style>
  <w:style w:type="character" w:styleId="Refdenotaalpie">
    <w:name w:val="footnote reference"/>
    <w:basedOn w:val="Fuentedeprrafopredeter"/>
    <w:uiPriority w:val="99"/>
    <w:semiHidden/>
    <w:unhideWhenUsed/>
    <w:rsid w:val="00226656"/>
    <w:rPr>
      <w:vertAlign w:val="superscript"/>
    </w:rPr>
  </w:style>
  <w:style w:type="character" w:styleId="Hipervnculo">
    <w:name w:val="Hyperlink"/>
    <w:basedOn w:val="Fuentedeprrafopredeter"/>
    <w:uiPriority w:val="99"/>
    <w:semiHidden/>
    <w:unhideWhenUsed/>
    <w:rsid w:val="00226656"/>
    <w:rPr>
      <w:color w:val="0000FF"/>
      <w:u w:val="single"/>
    </w:rPr>
  </w:style>
  <w:style w:type="paragraph" w:styleId="Textodeglobo">
    <w:name w:val="Balloon Text"/>
    <w:basedOn w:val="Normal"/>
    <w:link w:val="TextodegloboCar"/>
    <w:uiPriority w:val="99"/>
    <w:semiHidden/>
    <w:unhideWhenUsed/>
    <w:rsid w:val="002031E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31E9"/>
    <w:rPr>
      <w:rFonts w:ascii="Segoe UI" w:eastAsia="Times New Roman" w:hAnsi="Segoe UI" w:cs="Segoe UI"/>
      <w:color w:val="000000"/>
      <w:sz w:val="18"/>
      <w:szCs w:val="18"/>
      <w:lang w:val="es-MX" w:eastAsia="es-MX"/>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fechac.org/pdf/infografia_indicadores_ds_chihuahua.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1181</Words>
  <Characters>6498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SOL</dc:creator>
  <cp:lastModifiedBy>hp</cp:lastModifiedBy>
  <cp:revision>2</cp:revision>
  <cp:lastPrinted>2020-06-19T18:43:00Z</cp:lastPrinted>
  <dcterms:created xsi:type="dcterms:W3CDTF">2020-06-19T21:09:00Z</dcterms:created>
  <dcterms:modified xsi:type="dcterms:W3CDTF">2020-06-19T21:09:00Z</dcterms:modified>
</cp:coreProperties>
</file>