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7692" w14:textId="77777777" w:rsidR="00324DD1" w:rsidRDefault="00324DD1">
      <w:pPr>
        <w:spacing w:after="0" w:line="360" w:lineRule="auto"/>
        <w:jc w:val="both"/>
        <w:rPr>
          <w:rFonts w:ascii="Century Gothic" w:eastAsia="Century Gothic" w:hAnsi="Century Gothic" w:cs="Century Gothic"/>
          <w:b/>
          <w:sz w:val="24"/>
          <w:szCs w:val="24"/>
        </w:rPr>
      </w:pPr>
    </w:p>
    <w:p w14:paraId="66849BB9" w14:textId="77777777" w:rsidR="00324DD1" w:rsidRDefault="00324DD1">
      <w:pPr>
        <w:spacing w:after="0" w:line="360" w:lineRule="auto"/>
        <w:jc w:val="both"/>
        <w:rPr>
          <w:rFonts w:ascii="Century Gothic" w:eastAsia="Century Gothic" w:hAnsi="Century Gothic" w:cs="Century Gothic"/>
          <w:b/>
          <w:sz w:val="24"/>
          <w:szCs w:val="24"/>
        </w:rPr>
      </w:pPr>
    </w:p>
    <w:p w14:paraId="0856FC80" w14:textId="77777777" w:rsidR="00324DD1" w:rsidRDefault="00900309">
      <w:pP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14:paraId="0C216A62" w14:textId="77777777" w:rsidR="00324DD1" w:rsidRDefault="00900309">
      <w:pP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 R E S E N T E.</w:t>
      </w:r>
      <w:r>
        <w:rPr>
          <w:rFonts w:ascii="Century Gothic" w:eastAsia="Century Gothic" w:hAnsi="Century Gothic" w:cs="Century Gothic"/>
          <w:color w:val="000000"/>
          <w:sz w:val="24"/>
          <w:szCs w:val="24"/>
        </w:rPr>
        <w:t xml:space="preserve">-  </w:t>
      </w:r>
    </w:p>
    <w:p w14:paraId="5E973EDA" w14:textId="3DED6FA1" w:rsidR="00893AF8" w:rsidRDefault="00900309">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suscrito, </w:t>
      </w:r>
      <w:r>
        <w:rPr>
          <w:rFonts w:ascii="Century Gothic" w:eastAsia="Century Gothic" w:hAnsi="Century Gothic" w:cs="Century Gothic"/>
          <w:b/>
          <w:color w:val="000000"/>
          <w:sz w:val="24"/>
          <w:szCs w:val="24"/>
        </w:rPr>
        <w:t xml:space="preserve">DIPUTADO GUSTAVO DE LA ROSA HICKERSON, </w:t>
      </w:r>
      <w:r>
        <w:rPr>
          <w:rFonts w:ascii="Century Gothic" w:eastAsia="Century Gothic" w:hAnsi="Century Gothic" w:cs="Century Gothic"/>
          <w:color w:val="000000"/>
          <w:sz w:val="24"/>
          <w:szCs w:val="24"/>
        </w:rPr>
        <w:t>integrante del Grupo Parlamentario de MORENA, con fundamento en lo previsto por el artículo 68 de la Constitución Política del Estado de Chihuahua los artículos 169 y 174 fracción I, de la Ley Orgánica del Poder Legislativo, así como los artículos 75 y 76 del Reglamento Interior y Prácticas Parlamentarias del Poder Legislativo, acudo ante esta Honorable Asamblea Legislativa a efecto de someter a consider</w:t>
      </w:r>
      <w:r w:rsidR="00893AF8">
        <w:rPr>
          <w:rFonts w:ascii="Century Gothic" w:eastAsia="Century Gothic" w:hAnsi="Century Gothic" w:cs="Century Gothic"/>
          <w:color w:val="000000"/>
          <w:sz w:val="24"/>
          <w:szCs w:val="24"/>
        </w:rPr>
        <w:t>ación de esta H. Asamblea Legislativa el presente alcance a la iniciativa presentada por el suscrito, en fecha 29 de mayo del presente año a la que le fue asignada el numero de asunto 1910 y que fue turnada a la comisión Primera de Gobernación y Puntos Constitucionales.</w:t>
      </w:r>
    </w:p>
    <w:p w14:paraId="5D5B4ECC" w14:textId="77777777" w:rsidR="009536BE" w:rsidRDefault="009536BE">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15D1BE72" w14:textId="49B46013" w:rsidR="00893AF8" w:rsidRDefault="00893AF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dicho documento propongo la iniciativa con carácter de decreto a efecto de reformar el artículo 126 de la Constitución Política del Estado de Chihuahua</w:t>
      </w:r>
      <w:r w:rsidR="009536BE">
        <w:rPr>
          <w:rFonts w:ascii="Century Gothic" w:eastAsia="Century Gothic" w:hAnsi="Century Gothic" w:cs="Century Gothic"/>
          <w:color w:val="000000"/>
          <w:sz w:val="24"/>
          <w:szCs w:val="24"/>
        </w:rPr>
        <w:t xml:space="preserve">, sin embargo, una vez analizado a profundidad, no pretendo que dicho artículo se modifique toda vez que las modificaciones que en su momento se realicen al Código Municipal y a la Ley Electoral del Estado de Chihuahua serán suficientes para garantizar la elección de Regidores por el principio de Mayoría Relativa. </w:t>
      </w:r>
    </w:p>
    <w:p w14:paraId="27D69823" w14:textId="5808F85C" w:rsidR="009536BE" w:rsidRDefault="009536BE">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B2CB8DC" w14:textId="054051D7" w:rsidR="009536BE" w:rsidRDefault="009536BE">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lo tanto, agradezco se turne el presente alcance </w:t>
      </w:r>
      <w:r w:rsidR="00B572FD">
        <w:rPr>
          <w:rFonts w:ascii="Century Gothic" w:eastAsia="Century Gothic" w:hAnsi="Century Gothic" w:cs="Century Gothic"/>
          <w:color w:val="000000"/>
          <w:sz w:val="24"/>
          <w:szCs w:val="24"/>
        </w:rPr>
        <w:t xml:space="preserve">a la comisión que habrá de analizarlo para que analice el presente </w:t>
      </w:r>
    </w:p>
    <w:p w14:paraId="0F904D92" w14:textId="2DFC90D0" w:rsidR="00B572FD" w:rsidRDefault="00B572FD">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4D4C4CEF" w14:textId="0BFE7DCD" w:rsidR="00B572FD" w:rsidRPr="00B572FD" w:rsidRDefault="00B572FD" w:rsidP="00B572FD">
      <w:pPr>
        <w:pBdr>
          <w:top w:val="nil"/>
          <w:left w:val="nil"/>
          <w:bottom w:val="nil"/>
          <w:right w:val="nil"/>
          <w:between w:val="nil"/>
        </w:pBdr>
        <w:spacing w:after="0" w:line="360" w:lineRule="auto"/>
        <w:jc w:val="center"/>
        <w:rPr>
          <w:rFonts w:ascii="Century Gothic" w:eastAsia="Century Gothic" w:hAnsi="Century Gothic" w:cs="Century Gothic"/>
          <w:b/>
          <w:bCs/>
          <w:color w:val="000000"/>
          <w:sz w:val="24"/>
          <w:szCs w:val="24"/>
        </w:rPr>
      </w:pPr>
      <w:r w:rsidRPr="00B572FD">
        <w:rPr>
          <w:rFonts w:ascii="Century Gothic" w:eastAsia="Century Gothic" w:hAnsi="Century Gothic" w:cs="Century Gothic"/>
          <w:b/>
          <w:bCs/>
          <w:color w:val="000000"/>
          <w:sz w:val="24"/>
          <w:szCs w:val="24"/>
        </w:rPr>
        <w:t xml:space="preserve">D E C R E T O </w:t>
      </w:r>
    </w:p>
    <w:p w14:paraId="1DA36291" w14:textId="20091CF2" w:rsidR="00893AF8" w:rsidRDefault="00893AF8">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3D2CE13D" w14:textId="738089F0"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w:t>
      </w:r>
      <w:r>
        <w:rPr>
          <w:rFonts w:ascii="Century Gothic" w:eastAsia="Century Gothic" w:hAnsi="Century Gothic" w:cs="Century Gothic"/>
          <w:b/>
          <w:sz w:val="24"/>
          <w:szCs w:val="24"/>
        </w:rPr>
        <w:t>PRIMERO</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Se REFORMA, el artículo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17, fracciones I, II, III y IV, así como</w:t>
      </w:r>
      <w:r>
        <w:rPr>
          <w:rFonts w:ascii="Century Gothic" w:eastAsia="Century Gothic" w:hAnsi="Century Gothic" w:cs="Century Gothic"/>
          <w:b/>
          <w:sz w:val="24"/>
          <w:szCs w:val="24"/>
        </w:rPr>
        <w:t xml:space="preserve"> el artículo 36B </w:t>
      </w:r>
      <w:r>
        <w:rPr>
          <w:rFonts w:ascii="Century Gothic" w:eastAsia="Century Gothic" w:hAnsi="Century Gothic" w:cs="Century Gothic"/>
          <w:sz w:val="24"/>
          <w:szCs w:val="24"/>
        </w:rPr>
        <w:t>del Código Municipal del Estado de Chihuahua para quedar redactados de la siguiente manera:</w:t>
      </w:r>
    </w:p>
    <w:p w14:paraId="7DC9AABC" w14:textId="77777777" w:rsidR="00B572FD" w:rsidRDefault="00B572FD" w:rsidP="00B572FD">
      <w:pPr>
        <w:spacing w:after="0" w:line="360" w:lineRule="auto"/>
        <w:jc w:val="both"/>
        <w:rPr>
          <w:rFonts w:ascii="Century Gothic" w:eastAsia="Century Gothic" w:hAnsi="Century Gothic" w:cs="Century Gothic"/>
          <w:sz w:val="24"/>
          <w:szCs w:val="24"/>
        </w:rPr>
      </w:pPr>
    </w:p>
    <w:p w14:paraId="3CA7FCBC" w14:textId="2813480A" w:rsidR="00B572FD" w:rsidRDefault="00B572FD" w:rsidP="00B572FD">
      <w:pPr>
        <w:spacing w:after="0" w:line="360" w:lineRule="auto"/>
        <w:jc w:val="both"/>
        <w:rPr>
          <w:rFonts w:ascii="Century Gothic" w:eastAsia="Century Gothic" w:hAnsi="Century Gothic" w:cs="Century Gothic"/>
          <w:sz w:val="24"/>
          <w:szCs w:val="24"/>
        </w:rPr>
      </w:pPr>
      <w:r w:rsidRPr="0087685B">
        <w:rPr>
          <w:rFonts w:ascii="Century Gothic" w:eastAsia="Century Gothic" w:hAnsi="Century Gothic" w:cs="Century Gothic"/>
          <w:b/>
          <w:bCs/>
          <w:sz w:val="24"/>
          <w:szCs w:val="24"/>
        </w:rPr>
        <w:t>ARTÍCULO 17</w:t>
      </w:r>
      <w:r>
        <w:rPr>
          <w:rFonts w:ascii="Century Gothic" w:eastAsia="Century Gothic" w:hAnsi="Century Gothic" w:cs="Century Gothic"/>
          <w:sz w:val="24"/>
          <w:szCs w:val="24"/>
        </w:rPr>
        <w:t xml:space="preserve">. </w:t>
      </w:r>
      <w:r w:rsidR="0087685B">
        <w:rPr>
          <w:rFonts w:ascii="Century Gothic" w:eastAsia="Century Gothic" w:hAnsi="Century Gothic" w:cs="Century Gothic"/>
          <w:sz w:val="24"/>
          <w:szCs w:val="24"/>
        </w:rPr>
        <w:t>…</w:t>
      </w:r>
    </w:p>
    <w:p w14:paraId="13979DAE" w14:textId="77777777" w:rsidR="00B572FD" w:rsidRDefault="00B572FD" w:rsidP="00B572FD">
      <w:pPr>
        <w:spacing w:after="0" w:line="360" w:lineRule="auto"/>
        <w:jc w:val="both"/>
        <w:rPr>
          <w:rFonts w:ascii="Century Gothic" w:eastAsia="Century Gothic" w:hAnsi="Century Gothic" w:cs="Century Gothic"/>
          <w:sz w:val="24"/>
          <w:szCs w:val="24"/>
        </w:rPr>
      </w:pPr>
    </w:p>
    <w:p w14:paraId="3A88C679" w14:textId="1B002FF7" w:rsidR="00B572FD" w:rsidRDefault="0087685B"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2C32D485" w14:textId="77777777" w:rsidR="00B572FD" w:rsidRDefault="00B572FD" w:rsidP="00B572FD">
      <w:pPr>
        <w:spacing w:after="0" w:line="360" w:lineRule="auto"/>
        <w:jc w:val="both"/>
        <w:rPr>
          <w:rFonts w:ascii="Century Gothic" w:eastAsia="Century Gothic" w:hAnsi="Century Gothic" w:cs="Century Gothic"/>
          <w:sz w:val="24"/>
          <w:szCs w:val="24"/>
        </w:rPr>
      </w:pPr>
    </w:p>
    <w:p w14:paraId="350FAD83" w14:textId="77777777"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Ayuntamientos</w:t>
      </w:r>
      <w:bookmarkStart w:id="0" w:name="_GoBack"/>
      <w:bookmarkEnd w:id="0"/>
      <w:r>
        <w:rPr>
          <w:rFonts w:ascii="Century Gothic" w:eastAsia="Century Gothic" w:hAnsi="Century Gothic" w:cs="Century Gothic"/>
          <w:sz w:val="24"/>
          <w:szCs w:val="24"/>
        </w:rPr>
        <w:t xml:space="preserve"> residirán en las cabeceras municipales y se integrarán:</w:t>
      </w:r>
    </w:p>
    <w:p w14:paraId="35804119" w14:textId="77777777" w:rsidR="00B572FD" w:rsidRDefault="00B572FD" w:rsidP="00B572FD">
      <w:pPr>
        <w:spacing w:after="0" w:line="360" w:lineRule="auto"/>
        <w:jc w:val="both"/>
        <w:rPr>
          <w:rFonts w:ascii="Century Gothic" w:eastAsia="Century Gothic" w:hAnsi="Century Gothic" w:cs="Century Gothic"/>
          <w:sz w:val="24"/>
          <w:szCs w:val="24"/>
        </w:rPr>
      </w:pPr>
    </w:p>
    <w:p w14:paraId="144E3300" w14:textId="77777777" w:rsidR="00B572FD" w:rsidRDefault="00B572FD" w:rsidP="00B572FD">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bookmarkStart w:id="1" w:name="_gjdgxs" w:colFirst="0" w:colLast="0"/>
      <w:bookmarkEnd w:id="1"/>
      <w:r>
        <w:rPr>
          <w:rFonts w:ascii="Century Gothic" w:eastAsia="Century Gothic" w:hAnsi="Century Gothic" w:cs="Century Gothic"/>
          <w:color w:val="000000"/>
          <w:sz w:val="24"/>
          <w:szCs w:val="24"/>
        </w:rPr>
        <w:t xml:space="preserve">Los Municipios de Chihuahua y Juárez con la persona titular de la Presidencia Municipal, Sindicatura </w:t>
      </w:r>
      <w:r>
        <w:rPr>
          <w:rFonts w:ascii="Century Gothic" w:eastAsia="Century Gothic" w:hAnsi="Century Gothic" w:cs="Century Gothic"/>
          <w:b/>
          <w:color w:val="000000"/>
          <w:sz w:val="24"/>
          <w:szCs w:val="24"/>
        </w:rPr>
        <w:t xml:space="preserve">y once Regidores de Mayoría Relativa y cuatro de Representación </w:t>
      </w:r>
      <w:proofErr w:type="gramStart"/>
      <w:r>
        <w:rPr>
          <w:rFonts w:ascii="Century Gothic" w:eastAsia="Century Gothic" w:hAnsi="Century Gothic" w:cs="Century Gothic"/>
          <w:b/>
          <w:color w:val="000000"/>
          <w:sz w:val="24"/>
          <w:szCs w:val="24"/>
        </w:rPr>
        <w:t>Proporcional;</w:t>
      </w:r>
      <w:r>
        <w:rPr>
          <w:rFonts w:ascii="Century Gothic" w:eastAsia="Century Gothic" w:hAnsi="Century Gothic" w:cs="Century Gothic"/>
          <w:b/>
          <w:sz w:val="24"/>
          <w:szCs w:val="24"/>
        </w:rPr>
        <w:t>.</w:t>
      </w:r>
      <w:proofErr w:type="gramEnd"/>
      <w:r>
        <w:rPr>
          <w:rFonts w:ascii="Century Gothic" w:eastAsia="Century Gothic" w:hAnsi="Century Gothic" w:cs="Century Gothic"/>
          <w:b/>
          <w:sz w:val="24"/>
          <w:szCs w:val="24"/>
        </w:rPr>
        <w:t xml:space="preserve"> </w:t>
      </w:r>
    </w:p>
    <w:p w14:paraId="17075574" w14:textId="77777777" w:rsidR="00B572FD" w:rsidRDefault="00B572FD" w:rsidP="00B572FD">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p>
    <w:p w14:paraId="0F65FD70" w14:textId="77777777" w:rsidR="00B572FD" w:rsidRDefault="00B572FD" w:rsidP="00B572FD">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Municipios de Camargo, Cuauhtémoc, Delicias, Guerrero, Hidalgo del Parral, Jiménez, Madera, Meoqui, Namiquipa, Nuevo Casas Grandes, Ojinaga y Saucillo, por la persona titular de la Presidencia Municipal, Sindicatura y</w:t>
      </w:r>
      <w:r>
        <w:rPr>
          <w:rFonts w:ascii="Century Gothic" w:eastAsia="Century Gothic" w:hAnsi="Century Gothic" w:cs="Century Gothic"/>
          <w:b/>
          <w:color w:val="000000"/>
          <w:sz w:val="24"/>
          <w:szCs w:val="24"/>
        </w:rPr>
        <w:t xml:space="preserve"> siete Regidores de Mayoría Relativa y tres de Representación Proporcional;</w:t>
      </w:r>
    </w:p>
    <w:p w14:paraId="56B8714D" w14:textId="77777777" w:rsidR="00B572FD" w:rsidRDefault="00B572FD" w:rsidP="00B572FD">
      <w:pPr>
        <w:pBdr>
          <w:top w:val="nil"/>
          <w:left w:val="nil"/>
          <w:bottom w:val="nil"/>
          <w:right w:val="nil"/>
          <w:between w:val="nil"/>
        </w:pBdr>
        <w:spacing w:after="0" w:line="360" w:lineRule="auto"/>
        <w:rPr>
          <w:rFonts w:ascii="Century Gothic" w:eastAsia="Century Gothic" w:hAnsi="Century Gothic" w:cs="Century Gothic"/>
          <w:color w:val="000000"/>
          <w:sz w:val="24"/>
          <w:szCs w:val="24"/>
        </w:rPr>
      </w:pPr>
    </w:p>
    <w:p w14:paraId="7CDF78FA" w14:textId="77777777" w:rsidR="00B572FD" w:rsidRDefault="00B572FD" w:rsidP="00B572FD">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de Ahumada, Aldama, Ascensión, </w:t>
      </w:r>
      <w:proofErr w:type="spellStart"/>
      <w:r>
        <w:rPr>
          <w:rFonts w:ascii="Century Gothic" w:eastAsia="Century Gothic" w:hAnsi="Century Gothic" w:cs="Century Gothic"/>
          <w:color w:val="000000"/>
          <w:sz w:val="24"/>
          <w:szCs w:val="24"/>
        </w:rPr>
        <w:t>Balleza</w:t>
      </w:r>
      <w:proofErr w:type="spellEnd"/>
      <w:r>
        <w:rPr>
          <w:rFonts w:ascii="Century Gothic" w:eastAsia="Century Gothic" w:hAnsi="Century Gothic" w:cs="Century Gothic"/>
          <w:color w:val="000000"/>
          <w:sz w:val="24"/>
          <w:szCs w:val="24"/>
        </w:rPr>
        <w:t xml:space="preserve">, Bocoyna, Buenaventura, </w:t>
      </w:r>
      <w:proofErr w:type="spellStart"/>
      <w:r>
        <w:rPr>
          <w:rFonts w:ascii="Century Gothic" w:eastAsia="Century Gothic" w:hAnsi="Century Gothic" w:cs="Century Gothic"/>
          <w:color w:val="000000"/>
          <w:sz w:val="24"/>
          <w:szCs w:val="24"/>
        </w:rPr>
        <w:t>Guachiochi</w:t>
      </w:r>
      <w:proofErr w:type="spellEnd"/>
      <w:r>
        <w:rPr>
          <w:rFonts w:ascii="Century Gothic" w:eastAsia="Century Gothic" w:hAnsi="Century Gothic" w:cs="Century Gothic"/>
          <w:color w:val="000000"/>
          <w:sz w:val="24"/>
          <w:szCs w:val="24"/>
        </w:rPr>
        <w:t xml:space="preserve">, Guadalupe y Calvo, Riva Palacio, Rosales, San Francisco del Oro, Santa Bárbara, Urique e Ignacio Zaragoza por la persona titular de la Presidencia Municipal, Sindicatura y </w:t>
      </w:r>
      <w:r>
        <w:rPr>
          <w:rFonts w:ascii="Century Gothic" w:eastAsia="Century Gothic" w:hAnsi="Century Gothic" w:cs="Century Gothic"/>
          <w:b/>
          <w:color w:val="000000"/>
          <w:sz w:val="24"/>
          <w:szCs w:val="24"/>
        </w:rPr>
        <w:t>cinco Regidores de Mayoría Relativa y tres de Representación Proporcional;</w:t>
      </w:r>
    </w:p>
    <w:p w14:paraId="2430FF24" w14:textId="77777777" w:rsidR="00B572FD" w:rsidRDefault="00B572FD" w:rsidP="00B572FD">
      <w:pPr>
        <w:pBdr>
          <w:top w:val="nil"/>
          <w:left w:val="nil"/>
          <w:bottom w:val="nil"/>
          <w:right w:val="nil"/>
          <w:between w:val="nil"/>
        </w:pBdr>
        <w:spacing w:after="0" w:line="360" w:lineRule="auto"/>
        <w:ind w:left="720"/>
        <w:rPr>
          <w:rFonts w:ascii="Century Gothic" w:eastAsia="Century Gothic" w:hAnsi="Century Gothic" w:cs="Century Gothic"/>
          <w:color w:val="000000"/>
          <w:sz w:val="24"/>
          <w:szCs w:val="24"/>
        </w:rPr>
      </w:pPr>
    </w:p>
    <w:p w14:paraId="06B8C659" w14:textId="77777777" w:rsidR="00B572FD" w:rsidRDefault="00B572FD" w:rsidP="00B572FD">
      <w:pPr>
        <w:numPr>
          <w:ilvl w:val="0"/>
          <w:numId w:val="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Los restantes por la persona titular de la Presidencia Municipal, Sindicatura y </w:t>
      </w:r>
      <w:r>
        <w:rPr>
          <w:rFonts w:ascii="Century Gothic" w:eastAsia="Century Gothic" w:hAnsi="Century Gothic" w:cs="Century Gothic"/>
          <w:b/>
          <w:color w:val="000000"/>
          <w:sz w:val="24"/>
          <w:szCs w:val="24"/>
        </w:rPr>
        <w:t>tres regidores de Mayoría Relativa y dos de Representación Proporcional;</w:t>
      </w:r>
    </w:p>
    <w:p w14:paraId="799DF5A2" w14:textId="77777777" w:rsidR="00B572FD" w:rsidRDefault="00B572FD" w:rsidP="00B572FD">
      <w:pPr>
        <w:spacing w:after="0" w:line="360" w:lineRule="auto"/>
        <w:jc w:val="both"/>
        <w:rPr>
          <w:rFonts w:ascii="Century Gothic" w:eastAsia="Century Gothic" w:hAnsi="Century Gothic" w:cs="Century Gothic"/>
          <w:sz w:val="24"/>
          <w:szCs w:val="24"/>
        </w:rPr>
      </w:pPr>
    </w:p>
    <w:p w14:paraId="3BE5359F" w14:textId="77777777"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regidores de mayoría relativa y de representación proporcional serán electos por los ciudadanos residentes en los distritos municipales correspondientes. </w:t>
      </w:r>
    </w:p>
    <w:p w14:paraId="6346F2A5" w14:textId="77777777"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Respecto al gobierno de las secciones y demás poblaciones de un municipio, se estará a lo dispuesto en el ordenamiento Constitucional citado.</w:t>
      </w:r>
    </w:p>
    <w:p w14:paraId="33D794A2" w14:textId="77777777" w:rsidR="00B572FD" w:rsidRDefault="00B572FD" w:rsidP="00B572FD">
      <w:pPr>
        <w:spacing w:after="0" w:line="360" w:lineRule="auto"/>
        <w:jc w:val="both"/>
        <w:rPr>
          <w:rFonts w:ascii="Century Gothic" w:eastAsia="Century Gothic" w:hAnsi="Century Gothic" w:cs="Century Gothic"/>
          <w:sz w:val="24"/>
          <w:szCs w:val="24"/>
        </w:rPr>
      </w:pPr>
    </w:p>
    <w:p w14:paraId="706DEBE2" w14:textId="77777777"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cada persona titular de la Presidencia Municipal, Sindicatura, Regiduría o Comisarías, habrá una persona suplente para sustituirlo en sus impedimentos o faltas.</w:t>
      </w:r>
    </w:p>
    <w:p w14:paraId="43FF1F8F" w14:textId="77777777" w:rsidR="00B572FD" w:rsidRDefault="00B572FD" w:rsidP="00B572FD">
      <w:pPr>
        <w:spacing w:after="0" w:line="360" w:lineRule="auto"/>
        <w:jc w:val="both"/>
        <w:rPr>
          <w:rFonts w:ascii="Century Gothic" w:eastAsia="Century Gothic" w:hAnsi="Century Gothic" w:cs="Century Gothic"/>
          <w:sz w:val="24"/>
          <w:szCs w:val="24"/>
        </w:rPr>
      </w:pPr>
    </w:p>
    <w:p w14:paraId="2D6A7E80" w14:textId="77777777" w:rsidR="00B572FD" w:rsidRDefault="00B572FD" w:rsidP="00B572FD">
      <w:pPr>
        <w:rPr>
          <w:rFonts w:ascii="Century Gothic" w:eastAsia="Century Gothic" w:hAnsi="Century Gothic" w:cs="Century Gothic"/>
          <w:sz w:val="24"/>
          <w:szCs w:val="24"/>
        </w:rPr>
      </w:pPr>
      <w:r>
        <w:rPr>
          <w:rFonts w:ascii="Century Gothic" w:eastAsia="Century Gothic" w:hAnsi="Century Gothic" w:cs="Century Gothic"/>
          <w:b/>
          <w:sz w:val="24"/>
          <w:szCs w:val="24"/>
        </w:rPr>
        <w:t>ARTÍCULO 36 B</w:t>
      </w:r>
      <w:r>
        <w:rPr>
          <w:rFonts w:ascii="Century Gothic" w:eastAsia="Century Gothic" w:hAnsi="Century Gothic" w:cs="Century Gothic"/>
          <w:sz w:val="24"/>
          <w:szCs w:val="24"/>
        </w:rPr>
        <w:t xml:space="preserve">. La persona titular de la Sindicatura tendrá las siguientes facultades y obligaciones: </w:t>
      </w:r>
    </w:p>
    <w:p w14:paraId="6983CE43"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rFonts w:ascii="Century Gothic" w:eastAsia="Century Gothic" w:hAnsi="Century Gothic" w:cs="Century Gothic"/>
          <w:color w:val="000000"/>
          <w:sz w:val="24"/>
          <w:szCs w:val="24"/>
        </w:rPr>
        <w:t xml:space="preserve"> Asistir a las sesiones del Ayuntamiento y participar en las discusiones con voz </w:t>
      </w:r>
      <w:r>
        <w:rPr>
          <w:rFonts w:ascii="Century Gothic" w:eastAsia="Century Gothic" w:hAnsi="Century Gothic" w:cs="Century Gothic"/>
          <w:b/>
          <w:color w:val="000000"/>
          <w:sz w:val="24"/>
          <w:szCs w:val="24"/>
        </w:rPr>
        <w:t>y voto</w:t>
      </w:r>
      <w:r>
        <w:rPr>
          <w:b/>
          <w:color w:val="000000"/>
        </w:rPr>
        <w:t>;</w:t>
      </w:r>
    </w:p>
    <w:p w14:paraId="008CD169"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354A604B"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015CEB1A"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64B3F8DB"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675ED8CA"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3CAFA84E"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39D899E5"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4594ACB3"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73B225F1"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1466835E"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3BCA6785"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5EF21FE6"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09BE9872"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6FEAF161"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t>…</w:t>
      </w:r>
    </w:p>
    <w:p w14:paraId="233AF746" w14:textId="77777777" w:rsidR="00B572FD" w:rsidRDefault="00B572FD" w:rsidP="00B572FD">
      <w:pPr>
        <w:numPr>
          <w:ilvl w:val="0"/>
          <w:numId w:val="2"/>
        </w:numPr>
        <w:pBdr>
          <w:top w:val="nil"/>
          <w:left w:val="nil"/>
          <w:bottom w:val="nil"/>
          <w:right w:val="nil"/>
          <w:between w:val="nil"/>
        </w:pBdr>
        <w:spacing w:after="0" w:line="259" w:lineRule="auto"/>
        <w:rPr>
          <w:color w:val="000000"/>
        </w:rPr>
      </w:pPr>
      <w:r>
        <w:rPr>
          <w:color w:val="000000"/>
        </w:rPr>
        <w:lastRenderedPageBreak/>
        <w:t>…</w:t>
      </w:r>
    </w:p>
    <w:p w14:paraId="282CF499" w14:textId="77777777" w:rsidR="00B572FD" w:rsidRDefault="00B572FD" w:rsidP="00B572FD">
      <w:pPr>
        <w:numPr>
          <w:ilvl w:val="0"/>
          <w:numId w:val="2"/>
        </w:numPr>
        <w:pBdr>
          <w:top w:val="nil"/>
          <w:left w:val="nil"/>
          <w:bottom w:val="nil"/>
          <w:right w:val="nil"/>
          <w:between w:val="nil"/>
        </w:pBdr>
        <w:spacing w:after="160" w:line="259" w:lineRule="auto"/>
        <w:rPr>
          <w:color w:val="000000"/>
        </w:rPr>
      </w:pPr>
      <w:r>
        <w:rPr>
          <w:color w:val="000000"/>
        </w:rPr>
        <w:t>…</w:t>
      </w:r>
    </w:p>
    <w:p w14:paraId="5FB065F3" w14:textId="77777777" w:rsidR="00B572FD" w:rsidRDefault="00B572FD" w:rsidP="00B572FD">
      <w:pPr>
        <w:spacing w:after="0" w:line="360" w:lineRule="auto"/>
        <w:jc w:val="both"/>
        <w:rPr>
          <w:rFonts w:ascii="Century Gothic" w:eastAsia="Century Gothic" w:hAnsi="Century Gothic" w:cs="Century Gothic"/>
          <w:sz w:val="24"/>
          <w:szCs w:val="24"/>
        </w:rPr>
      </w:pPr>
    </w:p>
    <w:p w14:paraId="0D44095A" w14:textId="77777777" w:rsidR="00B572FD" w:rsidRDefault="00B572FD" w:rsidP="00B572FD">
      <w:pPr>
        <w:spacing w:after="0" w:line="360" w:lineRule="auto"/>
        <w:jc w:val="both"/>
        <w:rPr>
          <w:rFonts w:ascii="Century Gothic" w:eastAsia="Century Gothic" w:hAnsi="Century Gothic" w:cs="Century Gothic"/>
          <w:b/>
          <w:sz w:val="24"/>
          <w:szCs w:val="24"/>
        </w:rPr>
      </w:pPr>
    </w:p>
    <w:p w14:paraId="06276EA8" w14:textId="23ADCA43"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SEGUNDO</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Se reforman, los articulo 13 numeral 2, 181 inciso 3, 191 y 386 fracción IV, modificar el título del Capitulo Cuarto de la Ley Electoral del Estado de Chihuahua para quedar redactados de la siguiente manera:</w:t>
      </w:r>
    </w:p>
    <w:p w14:paraId="31CCD5E9" w14:textId="77777777" w:rsidR="00B572FD" w:rsidRDefault="00B572FD" w:rsidP="00B572FD">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13</w:t>
      </w:r>
    </w:p>
    <w:p w14:paraId="1A370BF0" w14:textId="77777777" w:rsidR="00B572FD" w:rsidRDefault="00B572FD" w:rsidP="00B572FD">
      <w:pPr>
        <w:numPr>
          <w:ilvl w:val="0"/>
          <w:numId w:val="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p w14:paraId="4CD1A3D2" w14:textId="77777777" w:rsidR="00B572FD" w:rsidRDefault="00B572FD" w:rsidP="00B572FD">
      <w:pPr>
        <w:spacing w:after="0" w:line="360" w:lineRule="auto"/>
        <w:ind w:left="360"/>
        <w:jc w:val="both"/>
        <w:rPr>
          <w:rFonts w:ascii="Century Gothic" w:eastAsia="Century Gothic" w:hAnsi="Century Gothic" w:cs="Century Gothic"/>
          <w:sz w:val="24"/>
          <w:szCs w:val="24"/>
        </w:rPr>
      </w:pPr>
    </w:p>
    <w:p w14:paraId="21867A85" w14:textId="77777777" w:rsidR="00B572FD" w:rsidRDefault="00B572FD" w:rsidP="00B572FD">
      <w:pPr>
        <w:numPr>
          <w:ilvl w:val="0"/>
          <w:numId w:val="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ayuntamientos serán electos popular y directamente según el </w:t>
      </w:r>
      <w:r>
        <w:rPr>
          <w:rFonts w:ascii="Century Gothic" w:eastAsia="Century Gothic" w:hAnsi="Century Gothic" w:cs="Century Gothic"/>
          <w:b/>
          <w:color w:val="000000"/>
          <w:sz w:val="24"/>
          <w:szCs w:val="24"/>
        </w:rPr>
        <w:t>principio de votación mayoritaria relativa</w:t>
      </w:r>
      <w:r>
        <w:rPr>
          <w:rFonts w:ascii="Century Gothic" w:eastAsia="Century Gothic" w:hAnsi="Century Gothic" w:cs="Century Gothic"/>
          <w:color w:val="000000"/>
          <w:sz w:val="24"/>
          <w:szCs w:val="24"/>
        </w:rPr>
        <w:t>,</w:t>
      </w:r>
      <w:r>
        <w:rPr>
          <w:rFonts w:ascii="Century Gothic" w:eastAsia="Century Gothic" w:hAnsi="Century Gothic" w:cs="Century Gothic"/>
          <w:b/>
          <w:sz w:val="24"/>
          <w:szCs w:val="24"/>
        </w:rPr>
        <w:t xml:space="preserve"> por los ciudadanos residentes en los distritos municipales correspondientes </w:t>
      </w:r>
      <w:proofErr w:type="gramStart"/>
      <w:r>
        <w:rPr>
          <w:rFonts w:ascii="Century Gothic" w:eastAsia="Century Gothic" w:hAnsi="Century Gothic" w:cs="Century Gothic"/>
          <w:b/>
          <w:sz w:val="24"/>
          <w:szCs w:val="24"/>
        </w:rPr>
        <w:t xml:space="preserve">y  </w:t>
      </w:r>
      <w:r>
        <w:rPr>
          <w:rFonts w:ascii="Century Gothic" w:eastAsia="Century Gothic" w:hAnsi="Century Gothic" w:cs="Century Gothic"/>
          <w:color w:val="000000"/>
          <w:sz w:val="24"/>
          <w:szCs w:val="24"/>
        </w:rPr>
        <w:t>durarán</w:t>
      </w:r>
      <w:proofErr w:type="gramEnd"/>
      <w:r>
        <w:rPr>
          <w:rFonts w:ascii="Century Gothic" w:eastAsia="Century Gothic" w:hAnsi="Century Gothic" w:cs="Century Gothic"/>
          <w:color w:val="000000"/>
          <w:sz w:val="24"/>
          <w:szCs w:val="24"/>
        </w:rPr>
        <w:t xml:space="preserve"> en su encargo tres años. Estarán integrados por un presidente, un síndico y el número de regidores que determine la Ley.</w:t>
      </w:r>
    </w:p>
    <w:p w14:paraId="3F1701E1" w14:textId="77777777" w:rsidR="00B572FD" w:rsidRDefault="00B572FD" w:rsidP="00B572FD">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p>
    <w:p w14:paraId="70AFEC1A" w14:textId="77777777" w:rsidR="00B572FD" w:rsidRDefault="00B572FD" w:rsidP="00B572FD">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ayuntamientos se integrarán, además, con el número de regidores electos según </w:t>
      </w:r>
      <w:r>
        <w:rPr>
          <w:rFonts w:ascii="Century Gothic" w:eastAsia="Century Gothic" w:hAnsi="Century Gothic" w:cs="Century Gothic"/>
          <w:b/>
          <w:color w:val="000000"/>
          <w:sz w:val="24"/>
          <w:szCs w:val="24"/>
        </w:rPr>
        <w:t>los Principios de Mayoría Relativa y de Representación Proporcional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sz w:val="24"/>
          <w:szCs w:val="24"/>
        </w:rPr>
        <w:t>electos por los ciudadanos residentes en los distritos municipales correspondientes</w:t>
      </w:r>
      <w:r>
        <w:rPr>
          <w:rFonts w:ascii="Century Gothic" w:eastAsia="Century Gothic" w:hAnsi="Century Gothic" w:cs="Century Gothic"/>
          <w:color w:val="000000"/>
          <w:sz w:val="24"/>
          <w:szCs w:val="24"/>
        </w:rPr>
        <w:t xml:space="preserve"> de acuerdo </w:t>
      </w:r>
      <w:r>
        <w:rPr>
          <w:rFonts w:ascii="Century Gothic" w:eastAsia="Century Gothic" w:hAnsi="Century Gothic" w:cs="Century Gothic"/>
          <w:b/>
          <w:color w:val="000000"/>
          <w:sz w:val="24"/>
          <w:szCs w:val="24"/>
        </w:rPr>
        <w:t>con</w:t>
      </w:r>
      <w:r>
        <w:rPr>
          <w:rFonts w:ascii="Century Gothic" w:eastAsia="Century Gothic" w:hAnsi="Century Gothic" w:cs="Century Gothic"/>
          <w:color w:val="000000"/>
          <w:sz w:val="24"/>
          <w:szCs w:val="24"/>
        </w:rPr>
        <w:t xml:space="preserve"> las normas y procedimientos que señala esta Ley. Por cada candidato propietario de los ayuntamientos, se elegirá un suplente.</w:t>
      </w:r>
    </w:p>
    <w:p w14:paraId="280199B5" w14:textId="77777777" w:rsidR="00B572FD" w:rsidRDefault="00B572FD" w:rsidP="00B572FD">
      <w:pPr>
        <w:pBdr>
          <w:top w:val="nil"/>
          <w:left w:val="nil"/>
          <w:bottom w:val="nil"/>
          <w:right w:val="nil"/>
          <w:between w:val="nil"/>
        </w:pBdr>
        <w:spacing w:after="0" w:line="360" w:lineRule="auto"/>
        <w:ind w:left="720"/>
        <w:jc w:val="both"/>
        <w:rPr>
          <w:rFonts w:ascii="Century Gothic" w:eastAsia="Century Gothic" w:hAnsi="Century Gothic" w:cs="Century Gothic"/>
          <w:color w:val="000000"/>
          <w:sz w:val="24"/>
          <w:szCs w:val="24"/>
        </w:rPr>
      </w:pPr>
    </w:p>
    <w:p w14:paraId="60727CC2" w14:textId="77777777" w:rsidR="00B572FD" w:rsidRDefault="00B572FD" w:rsidP="00B572FD">
      <w:pPr>
        <w:numPr>
          <w:ilvl w:val="0"/>
          <w:numId w:val="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p>
    <w:p w14:paraId="23290DAC" w14:textId="77777777" w:rsidR="00B572FD" w:rsidRDefault="00B572FD" w:rsidP="00B572FD">
      <w:pPr>
        <w:spacing w:after="0" w:line="360" w:lineRule="auto"/>
        <w:rPr>
          <w:rFonts w:ascii="Century Gothic" w:eastAsia="Century Gothic" w:hAnsi="Century Gothic" w:cs="Century Gothic"/>
          <w:b/>
          <w:sz w:val="24"/>
          <w:szCs w:val="24"/>
        </w:rPr>
      </w:pPr>
    </w:p>
    <w:p w14:paraId="78FE483D"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181</w:t>
      </w:r>
    </w:p>
    <w:p w14:paraId="4E26344F"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2AB1A71F"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7C6523BA"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Concluido el cómputo de la elección de ayuntamiento, inmediatamente la asamblea municipal hará la declaración de validez de la elección y la entrega de la constancia de mayoría y validez a quienes ocuparan el cargo de Presidente Municipal, Sindico</w:t>
      </w:r>
      <w:r>
        <w:rPr>
          <w:rFonts w:ascii="Century Gothic" w:eastAsia="Century Gothic" w:hAnsi="Century Gothic" w:cs="Century Gothic"/>
          <w:b/>
          <w:sz w:val="24"/>
          <w:szCs w:val="24"/>
        </w:rPr>
        <w:t xml:space="preserve"> y a los Regidores.</w:t>
      </w:r>
    </w:p>
    <w:p w14:paraId="4F18A41C"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7F5CA4A7"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20259CBF"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5DFB0B73"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02F3203C"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44284F06"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596C7FFB" w14:textId="77777777" w:rsidR="00B572FD" w:rsidRDefault="00B572FD" w:rsidP="00B572FD">
      <w:pPr>
        <w:numPr>
          <w:ilvl w:val="0"/>
          <w:numId w:val="1"/>
        </w:numPr>
        <w:spacing w:after="0"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3276B91E" w14:textId="77777777" w:rsidR="00B572FD" w:rsidRDefault="00B572FD" w:rsidP="00B572FD">
      <w:pPr>
        <w:spacing w:after="0" w:line="360" w:lineRule="auto"/>
        <w:rPr>
          <w:rFonts w:ascii="Century Gothic" w:eastAsia="Century Gothic" w:hAnsi="Century Gothic" w:cs="Century Gothic"/>
          <w:b/>
          <w:sz w:val="24"/>
          <w:szCs w:val="24"/>
        </w:rPr>
      </w:pPr>
    </w:p>
    <w:p w14:paraId="0FA8942F" w14:textId="77777777" w:rsidR="00B572FD" w:rsidRDefault="00B572FD" w:rsidP="00B572FD">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CUARTO</w:t>
      </w:r>
    </w:p>
    <w:p w14:paraId="51499236" w14:textId="77777777" w:rsidR="00B572FD" w:rsidRDefault="00B572FD" w:rsidP="00B572FD">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LA ASIGNACIÓN DE DIPUTADOS Y REGIDORES DE REPRESENTACIÓN PROPORCIONAL</w:t>
      </w:r>
    </w:p>
    <w:p w14:paraId="0E7AF1DE"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188. …</w:t>
      </w:r>
    </w:p>
    <w:p w14:paraId="1D9D99BB"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189. …</w:t>
      </w:r>
    </w:p>
    <w:p w14:paraId="421F6ABC"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191. </w:t>
      </w:r>
    </w:p>
    <w:p w14:paraId="4A4E72EE"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La asignación de regidores electos según el principio de representación proporcional, se sujetará a lo siguiente: </w:t>
      </w:r>
    </w:p>
    <w:p w14:paraId="3E9BFCFC"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En los municipios que contempla el artículo 17, fracción I, del Código Municipal, los ayuntamientos tendrán</w:t>
      </w:r>
      <w:r>
        <w:rPr>
          <w:rFonts w:ascii="Century Gothic" w:eastAsia="Century Gothic" w:hAnsi="Century Gothic" w:cs="Century Gothic"/>
          <w:b/>
          <w:sz w:val="24"/>
          <w:szCs w:val="24"/>
        </w:rPr>
        <w:t xml:space="preserve"> cuatro</w:t>
      </w:r>
      <w:r>
        <w:rPr>
          <w:rFonts w:ascii="Century Gothic" w:eastAsia="Century Gothic" w:hAnsi="Century Gothic" w:cs="Century Gothic"/>
          <w:sz w:val="24"/>
          <w:szCs w:val="24"/>
        </w:rPr>
        <w:t xml:space="preserve"> regidores según el principio de representación proporcional; en los que refiere </w:t>
      </w:r>
      <w:r>
        <w:rPr>
          <w:rFonts w:ascii="Century Gothic" w:eastAsia="Century Gothic" w:hAnsi="Century Gothic" w:cs="Century Gothic"/>
          <w:b/>
          <w:sz w:val="24"/>
          <w:szCs w:val="24"/>
        </w:rPr>
        <w:t>las fracciones II, III tendrán</w:t>
      </w:r>
      <w:r>
        <w:rPr>
          <w:rFonts w:ascii="Century Gothic" w:eastAsia="Century Gothic" w:hAnsi="Century Gothic" w:cs="Century Gothic"/>
          <w:sz w:val="24"/>
          <w:szCs w:val="24"/>
        </w:rPr>
        <w:t xml:space="preserve"> tres y los correspondientes a </w:t>
      </w:r>
      <w:r>
        <w:rPr>
          <w:rFonts w:ascii="Century Gothic" w:eastAsia="Century Gothic" w:hAnsi="Century Gothic" w:cs="Century Gothic"/>
          <w:b/>
          <w:sz w:val="24"/>
          <w:szCs w:val="24"/>
        </w:rPr>
        <w:t>la fracción IV del artículo citado solamente dos.</w:t>
      </w:r>
      <w:r>
        <w:rPr>
          <w:rFonts w:ascii="Century Gothic" w:eastAsia="Century Gothic" w:hAnsi="Century Gothic" w:cs="Century Gothic"/>
          <w:sz w:val="24"/>
          <w:szCs w:val="24"/>
        </w:rPr>
        <w:t xml:space="preserve"> </w:t>
      </w:r>
    </w:p>
    <w:p w14:paraId="0145384D"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b) Las regidurías de representación proporcional se asignarán a los candidatos que, sin haber obtenido la votación mayoritaria hayan obtenido el segundo lugar y los mejores 4 porcentajes de votación, </w:t>
      </w:r>
    </w:p>
    <w:p w14:paraId="578D92E6" w14:textId="0F1D2B64"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TERCERO</w:t>
      </w:r>
      <w:r>
        <w:rPr>
          <w:rFonts w:ascii="Century Gothic" w:eastAsia="Century Gothic" w:hAnsi="Century Gothic" w:cs="Century Gothic"/>
          <w:sz w:val="24"/>
          <w:szCs w:val="24"/>
        </w:rPr>
        <w:t xml:space="preserve">. Se </w:t>
      </w:r>
      <w:r>
        <w:rPr>
          <w:rFonts w:ascii="Century Gothic" w:eastAsia="Century Gothic" w:hAnsi="Century Gothic" w:cs="Century Gothic"/>
          <w:b/>
          <w:sz w:val="24"/>
          <w:szCs w:val="24"/>
        </w:rPr>
        <w:t>adhiere</w:t>
      </w:r>
      <w:r>
        <w:rPr>
          <w:rFonts w:ascii="Century Gothic" w:eastAsia="Century Gothic" w:hAnsi="Century Gothic" w:cs="Century Gothic"/>
          <w:sz w:val="24"/>
          <w:szCs w:val="24"/>
        </w:rPr>
        <w:t xml:space="preserve"> la fracción V al artículo 53 y se modifica el artículo 57 fracción IV, ambos de la Ley de Participación Ciudadana del Estado de Chihuahua para quedar redactados de la siguiente manera:</w:t>
      </w:r>
    </w:p>
    <w:p w14:paraId="6D4972D8"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53. La Revocación de Mandato es el instrumento de consulta a la ciudadanía a fin de que se pronuncie mediante sufragio libre, directo, secreto y universal, sobre la terminación anticipada del periodo de gestión de quienes ostenten:</w:t>
      </w:r>
    </w:p>
    <w:p w14:paraId="35C7C659"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 La Titularidad del Poder Ejecutivo del Estado.</w:t>
      </w:r>
    </w:p>
    <w:p w14:paraId="4C11242A"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 Las Diputaciones locales.</w:t>
      </w:r>
    </w:p>
    <w:p w14:paraId="48A5454F"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III. Las Presidencias Municipales.</w:t>
      </w:r>
    </w:p>
    <w:p w14:paraId="0760D0AD"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IV. Las Sindicaturas.</w:t>
      </w:r>
    </w:p>
    <w:p w14:paraId="283242AF"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V. Las Regidurías</w:t>
      </w:r>
    </w:p>
    <w:p w14:paraId="2B34F224"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57. Dicho resultado será vinculante para:</w:t>
      </w:r>
    </w:p>
    <w:p w14:paraId="293A1C42"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57. Dicho resultado será vinculante para:</w:t>
      </w:r>
    </w:p>
    <w:p w14:paraId="355AC6E6"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 …</w:t>
      </w:r>
    </w:p>
    <w:p w14:paraId="768D44DC"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 Diputaciones </w:t>
      </w:r>
      <w:r>
        <w:rPr>
          <w:rFonts w:ascii="Century Gothic" w:eastAsia="Century Gothic" w:hAnsi="Century Gothic" w:cs="Century Gothic"/>
          <w:b/>
          <w:sz w:val="24"/>
          <w:szCs w:val="24"/>
        </w:rPr>
        <w:t>y regidurías</w:t>
      </w:r>
      <w:r>
        <w:rPr>
          <w:rFonts w:ascii="Century Gothic" w:eastAsia="Century Gothic" w:hAnsi="Century Gothic" w:cs="Century Gothic"/>
          <w:sz w:val="24"/>
          <w:szCs w:val="24"/>
        </w:rPr>
        <w:t xml:space="preserve"> por el principio de mayoría relativa, cuando voten a favor de revocar el mandato al menos un equivalente al treinta por ciento de la ciudadanía de la Lista Nominal Distrital correspondiente.</w:t>
      </w:r>
    </w:p>
    <w:p w14:paraId="2497ADED"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III. Diputaciones </w:t>
      </w:r>
      <w:r>
        <w:rPr>
          <w:rFonts w:ascii="Century Gothic" w:eastAsia="Century Gothic" w:hAnsi="Century Gothic" w:cs="Century Gothic"/>
          <w:b/>
          <w:sz w:val="24"/>
          <w:szCs w:val="24"/>
        </w:rPr>
        <w:t>y regidurías</w:t>
      </w:r>
      <w:r>
        <w:rPr>
          <w:rFonts w:ascii="Century Gothic" w:eastAsia="Century Gothic" w:hAnsi="Century Gothic" w:cs="Century Gothic"/>
          <w:sz w:val="24"/>
          <w:szCs w:val="24"/>
        </w:rPr>
        <w:t xml:space="preserve"> por el principio de representación proporcional, cuando voten a favor de revocar el mandato al menos un equivalente al </w:t>
      </w:r>
      <w:r>
        <w:rPr>
          <w:rFonts w:ascii="Century Gothic" w:eastAsia="Century Gothic" w:hAnsi="Century Gothic" w:cs="Century Gothic"/>
          <w:sz w:val="24"/>
          <w:szCs w:val="24"/>
        </w:rPr>
        <w:lastRenderedPageBreak/>
        <w:t xml:space="preserve">tres por ciento de la ciudadanía de la Lista Nominal Estatal </w:t>
      </w:r>
      <w:r>
        <w:rPr>
          <w:rFonts w:ascii="Century Gothic" w:eastAsia="Century Gothic" w:hAnsi="Century Gothic" w:cs="Century Gothic"/>
          <w:b/>
          <w:sz w:val="24"/>
          <w:szCs w:val="24"/>
        </w:rPr>
        <w:t>o Municipal en el caso de las regidurías.</w:t>
      </w:r>
    </w:p>
    <w:p w14:paraId="69F81644" w14:textId="77777777" w:rsidR="00B572FD" w:rsidRDefault="00B572FD" w:rsidP="00B572FD">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Presupuesto</w:t>
      </w:r>
    </w:p>
    <w:p w14:paraId="6D7B1F3E"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Instituto Estatal Electoral, en su proyecto de presupuesto para el ejercicio 2021, abstenerse de solicitar un porcentaje mayor al solicitado en elecciones símiles, ya que si bien se estaría integrando una boleta </w:t>
      </w:r>
      <w:proofErr w:type="spellStart"/>
      <w:r>
        <w:rPr>
          <w:rFonts w:ascii="Century Gothic" w:eastAsia="Century Gothic" w:hAnsi="Century Gothic" w:cs="Century Gothic"/>
          <w:sz w:val="24"/>
          <w:szCs w:val="24"/>
        </w:rPr>
        <w:t>mas</w:t>
      </w:r>
      <w:proofErr w:type="spellEnd"/>
      <w:r>
        <w:rPr>
          <w:rFonts w:ascii="Century Gothic" w:eastAsia="Century Gothic" w:hAnsi="Century Gothic" w:cs="Century Gothic"/>
          <w:sz w:val="24"/>
          <w:szCs w:val="24"/>
        </w:rPr>
        <w:t xml:space="preserve"> para entregar al ciudadano, también lo es que no representa una cantidad significativa en costo, ahora bien el presupuesto otorgado a los partidos debe ser igual al otorgado en este ejercicio 2020 ya que de acuerdo con las nuevas políticas públicas se debe de reducir el financiamiento público de los partidos políticos, generando herramientas de gratuidad como los debates.</w:t>
      </w:r>
    </w:p>
    <w:p w14:paraId="276A86FC" w14:textId="77777777" w:rsidR="00B572FD" w:rsidRDefault="00B572FD" w:rsidP="00B572FD">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3CC935F5"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TRANSITORIO PRIMERO.</w:t>
      </w:r>
      <w:r>
        <w:rPr>
          <w:rFonts w:ascii="Century Gothic" w:eastAsia="Century Gothic" w:hAnsi="Century Gothic" w:cs="Century Gothic"/>
          <w:sz w:val="24"/>
          <w:szCs w:val="24"/>
        </w:rPr>
        <w:t xml:space="preserve"> - El presente Decreto entrará en vigor al día siguiente de su publicación en el Periódico Oficial del Estado.</w:t>
      </w:r>
    </w:p>
    <w:p w14:paraId="0E27CBA1"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TRANSITORIO SEGUNDO.</w:t>
      </w:r>
      <w:r>
        <w:rPr>
          <w:rFonts w:ascii="Century Gothic" w:eastAsia="Century Gothic" w:hAnsi="Century Gothic" w:cs="Century Gothic"/>
          <w:sz w:val="24"/>
          <w:szCs w:val="24"/>
        </w:rPr>
        <w:t xml:space="preserve"> - Quedan derogadas todas disposiciones que se opongan al contenido del presente Decreto.</w:t>
      </w:r>
    </w:p>
    <w:p w14:paraId="27BB87E0" w14:textId="77777777" w:rsidR="00B572FD" w:rsidRDefault="00B572FD" w:rsidP="00B572FD">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TRANSITORIO TERCERO</w:t>
      </w:r>
      <w:r>
        <w:rPr>
          <w:rFonts w:ascii="Century Gothic" w:eastAsia="Century Gothic" w:hAnsi="Century Gothic" w:cs="Century Gothic"/>
          <w:sz w:val="24"/>
          <w:szCs w:val="24"/>
        </w:rPr>
        <w:t xml:space="preserve">. - El Instituto Estatal Electoral será el encargado de </w:t>
      </w:r>
      <w:proofErr w:type="spellStart"/>
      <w:r>
        <w:rPr>
          <w:rFonts w:ascii="Century Gothic" w:eastAsia="Century Gothic" w:hAnsi="Century Gothic" w:cs="Century Gothic"/>
          <w:sz w:val="24"/>
          <w:szCs w:val="24"/>
        </w:rPr>
        <w:t>distritar</w:t>
      </w:r>
      <w:proofErr w:type="spellEnd"/>
      <w:r>
        <w:rPr>
          <w:rFonts w:ascii="Century Gothic" w:eastAsia="Century Gothic" w:hAnsi="Century Gothic" w:cs="Century Gothic"/>
          <w:sz w:val="24"/>
          <w:szCs w:val="24"/>
        </w:rPr>
        <w:t xml:space="preserve"> los municipios, para la elección de las regidurías electas por mayoría relativa correspondientes a cada municipio. En el caso de los municipios a los que se refiere la fracción I del artículo 17 del Código Municipal, se hará la </w:t>
      </w:r>
      <w:proofErr w:type="spellStart"/>
      <w:r>
        <w:rPr>
          <w:rFonts w:ascii="Century Gothic" w:eastAsia="Century Gothic" w:hAnsi="Century Gothic" w:cs="Century Gothic"/>
          <w:sz w:val="24"/>
          <w:szCs w:val="24"/>
        </w:rPr>
        <w:t>distritación</w:t>
      </w:r>
      <w:proofErr w:type="spellEnd"/>
      <w:r>
        <w:rPr>
          <w:rFonts w:ascii="Century Gothic" w:eastAsia="Century Gothic" w:hAnsi="Century Gothic" w:cs="Century Gothic"/>
          <w:sz w:val="24"/>
          <w:szCs w:val="24"/>
        </w:rPr>
        <w:t xml:space="preserve"> tomando como base los distritos electorales para las diputaciones locales.  </w:t>
      </w:r>
    </w:p>
    <w:p w14:paraId="6058728A" w14:textId="765D6F06" w:rsidR="00B572FD" w:rsidRDefault="00B572FD" w:rsidP="00B572FD">
      <w:pPr>
        <w:spacing w:after="0" w:line="360" w:lineRule="auto"/>
        <w:jc w:val="both"/>
        <w:rPr>
          <w:rFonts w:ascii="Century Gothic" w:eastAsia="Century Gothic" w:hAnsi="Century Gothic" w:cs="Century Gothic"/>
          <w:sz w:val="24"/>
          <w:szCs w:val="24"/>
        </w:rPr>
      </w:pPr>
      <w:r w:rsidRPr="00B572FD">
        <w:rPr>
          <w:rFonts w:ascii="Century Gothic" w:eastAsia="Century Gothic" w:hAnsi="Century Gothic" w:cs="Century Gothic"/>
          <w:b/>
          <w:bCs/>
          <w:sz w:val="24"/>
          <w:szCs w:val="24"/>
        </w:rPr>
        <w:t>TRANSITORIO CUARTO</w:t>
      </w:r>
      <w:r>
        <w:rPr>
          <w:rFonts w:ascii="Century Gothic" w:eastAsia="Century Gothic" w:hAnsi="Century Gothic" w:cs="Century Gothic"/>
          <w:b/>
          <w:bCs/>
          <w:sz w:val="24"/>
          <w:szCs w:val="24"/>
        </w:rPr>
        <w:t xml:space="preserve">. - </w:t>
      </w:r>
      <w:r>
        <w:rPr>
          <w:rFonts w:ascii="Century Gothic" w:eastAsia="Century Gothic" w:hAnsi="Century Gothic" w:cs="Century Gothic"/>
          <w:sz w:val="24"/>
          <w:szCs w:val="24"/>
        </w:rPr>
        <w:t xml:space="preserve">El congreso de Estado, deberá armonizar las diversas disposiciones que se contravengan con lo planteado en la presente iniciativa. </w:t>
      </w:r>
    </w:p>
    <w:p w14:paraId="11C1B11D" w14:textId="77777777" w:rsidR="00B572FD" w:rsidRPr="00B572FD" w:rsidRDefault="00B572FD" w:rsidP="00B572FD">
      <w:pPr>
        <w:spacing w:after="0" w:line="360" w:lineRule="auto"/>
        <w:jc w:val="both"/>
        <w:rPr>
          <w:rFonts w:ascii="Century Gothic" w:eastAsia="Century Gothic" w:hAnsi="Century Gothic" w:cs="Century Gothic"/>
          <w:sz w:val="24"/>
          <w:szCs w:val="24"/>
        </w:rPr>
      </w:pPr>
    </w:p>
    <w:p w14:paraId="3C2F13FD" w14:textId="7777777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ECONÓMICO:</w:t>
      </w:r>
      <w:r>
        <w:rPr>
          <w:rFonts w:ascii="Century Gothic" w:eastAsia="Century Gothic" w:hAnsi="Century Gothic" w:cs="Century Gothic"/>
          <w:sz w:val="24"/>
          <w:szCs w:val="24"/>
        </w:rPr>
        <w:t xml:space="preserve"> Aprobado que sea, túrnese a la Secretaría para que elabore la Minuta de Decreto en los términos en que deba publicarse.</w:t>
      </w:r>
    </w:p>
    <w:p w14:paraId="751EB469" w14:textId="27C47FA7" w:rsidR="00B572FD" w:rsidRDefault="00B572FD" w:rsidP="00B572F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Honorable Congreso del Estado, a </w:t>
      </w:r>
      <w:r>
        <w:rPr>
          <w:rFonts w:ascii="Century Gothic" w:eastAsia="Century Gothic" w:hAnsi="Century Gothic" w:cs="Century Gothic"/>
          <w:sz w:val="24"/>
          <w:szCs w:val="24"/>
        </w:rPr>
        <w:t>18</w:t>
      </w:r>
      <w:r>
        <w:rPr>
          <w:rFonts w:ascii="Century Gothic" w:eastAsia="Century Gothic" w:hAnsi="Century Gothic" w:cs="Century Gothic"/>
          <w:sz w:val="24"/>
          <w:szCs w:val="24"/>
        </w:rPr>
        <w:t xml:space="preserve"> de </w:t>
      </w:r>
      <w:r>
        <w:rPr>
          <w:rFonts w:ascii="Century Gothic" w:eastAsia="Century Gothic" w:hAnsi="Century Gothic" w:cs="Century Gothic"/>
          <w:sz w:val="24"/>
          <w:szCs w:val="24"/>
        </w:rPr>
        <w:t>junio</w:t>
      </w:r>
      <w:r>
        <w:rPr>
          <w:rFonts w:ascii="Century Gothic" w:eastAsia="Century Gothic" w:hAnsi="Century Gothic" w:cs="Century Gothic"/>
          <w:sz w:val="24"/>
          <w:szCs w:val="24"/>
        </w:rPr>
        <w:t xml:space="preserve"> del año dos mil veinte.</w:t>
      </w:r>
    </w:p>
    <w:p w14:paraId="35FC28BD" w14:textId="2CCAF962" w:rsidR="00B572FD" w:rsidRDefault="00B572FD" w:rsidP="00B572FD">
      <w:pPr>
        <w:spacing w:line="360" w:lineRule="auto"/>
        <w:jc w:val="center"/>
        <w:rPr>
          <w:rFonts w:ascii="Century Gothic" w:eastAsia="Century Gothic" w:hAnsi="Century Gothic" w:cs="Century Gothic"/>
          <w:b/>
          <w:sz w:val="24"/>
          <w:szCs w:val="24"/>
        </w:rPr>
      </w:pPr>
      <w:r w:rsidRPr="008A1B62">
        <w:rPr>
          <w:noProof/>
          <w:sz w:val="24"/>
          <w:szCs w:val="24"/>
        </w:rPr>
        <w:drawing>
          <wp:anchor distT="0" distB="0" distL="114300" distR="114300" simplePos="0" relativeHeight="251659264" behindDoc="1" locked="0" layoutInCell="1" allowOverlap="1" wp14:anchorId="5815405E" wp14:editId="3015750B">
            <wp:simplePos x="0" y="0"/>
            <wp:positionH relativeFrom="column">
              <wp:posOffset>1529715</wp:posOffset>
            </wp:positionH>
            <wp:positionV relativeFrom="paragraph">
              <wp:posOffset>397510</wp:posOffset>
            </wp:positionV>
            <wp:extent cx="2400300" cy="939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5">
                          <a:shade val="45000"/>
                          <a:satMod val="135000"/>
                        </a:schemeClr>
                        <a:prstClr val="white"/>
                      </a:duotone>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sz w:val="24"/>
          <w:szCs w:val="24"/>
        </w:rPr>
        <w:t>ATENTAMENTE</w:t>
      </w:r>
    </w:p>
    <w:p w14:paraId="25B3B999" w14:textId="1A9A4EBA" w:rsidR="00B572FD" w:rsidRDefault="00B572FD" w:rsidP="00B572FD">
      <w:pPr>
        <w:spacing w:line="360" w:lineRule="auto"/>
        <w:jc w:val="center"/>
        <w:rPr>
          <w:rFonts w:ascii="Century Gothic" w:eastAsia="Century Gothic" w:hAnsi="Century Gothic" w:cs="Century Gothic"/>
          <w:noProof/>
          <w:sz w:val="24"/>
          <w:szCs w:val="24"/>
        </w:rPr>
      </w:pPr>
    </w:p>
    <w:p w14:paraId="7AE3DB60" w14:textId="77777777" w:rsidR="00B572FD" w:rsidRDefault="00B572FD" w:rsidP="00B572FD">
      <w:pPr>
        <w:spacing w:line="360" w:lineRule="auto"/>
        <w:jc w:val="center"/>
        <w:rPr>
          <w:rFonts w:ascii="Century Gothic" w:eastAsia="Century Gothic" w:hAnsi="Century Gothic" w:cs="Century Gothic"/>
          <w:b/>
          <w:sz w:val="24"/>
          <w:szCs w:val="24"/>
        </w:rPr>
      </w:pPr>
    </w:p>
    <w:p w14:paraId="1263E5F1" w14:textId="77777777" w:rsidR="00B572FD" w:rsidRDefault="00B572FD" w:rsidP="00B572FD">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DIPUTADO GUSTAVO DE LA ROSA HICKERSON</w:t>
      </w:r>
    </w:p>
    <w:p w14:paraId="31E4B6D6" w14:textId="4EB454D0" w:rsidR="00324DD1" w:rsidRDefault="00324DD1">
      <w:pPr>
        <w:spacing w:line="360" w:lineRule="auto"/>
        <w:jc w:val="center"/>
        <w:rPr>
          <w:rFonts w:ascii="Century Gothic" w:eastAsia="Century Gothic" w:hAnsi="Century Gothic" w:cs="Century Gothic"/>
          <w:b/>
          <w:sz w:val="24"/>
          <w:szCs w:val="24"/>
        </w:rPr>
      </w:pPr>
    </w:p>
    <w:sectPr w:rsidR="00324DD1">
      <w:headerReference w:type="default" r:id="rId9"/>
      <w:footerReference w:type="even" r:id="rId10"/>
      <w:footerReference w:type="default" r:id="rId11"/>
      <w:pgSz w:w="12240" w:h="15840"/>
      <w:pgMar w:top="171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0FFE" w14:textId="77777777" w:rsidR="00122298" w:rsidRDefault="00122298">
      <w:pPr>
        <w:spacing w:after="0" w:line="240" w:lineRule="auto"/>
      </w:pPr>
      <w:r>
        <w:separator/>
      </w:r>
    </w:p>
  </w:endnote>
  <w:endnote w:type="continuationSeparator" w:id="0">
    <w:p w14:paraId="1232DEB9" w14:textId="77777777" w:rsidR="00122298" w:rsidRDefault="0012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2715" w14:textId="77777777" w:rsidR="00324DD1" w:rsidRDefault="00324DD1">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0A18" w14:textId="77777777" w:rsidR="00324DD1" w:rsidRDefault="00900309">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2432CA6D" wp14:editId="4B8C890B">
              <wp:simplePos x="0" y="0"/>
              <wp:positionH relativeFrom="column">
                <wp:posOffset>-1151520</wp:posOffset>
              </wp:positionH>
              <wp:positionV relativeFrom="paragraph">
                <wp:posOffset>621251</wp:posOffset>
              </wp:positionV>
              <wp:extent cx="612775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-1151520</wp:posOffset>
              </wp:positionH>
              <wp:positionV relativeFrom="paragraph">
                <wp:posOffset>621251</wp:posOffset>
              </wp:positionV>
              <wp:extent cx="6153150" cy="19050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153150" cy="1905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97255D7" wp14:editId="62541A0E">
              <wp:simplePos x="0" y="0"/>
              <wp:positionH relativeFrom="column">
                <wp:posOffset>-1115694</wp:posOffset>
              </wp:positionH>
              <wp:positionV relativeFrom="paragraph">
                <wp:posOffset>300355</wp:posOffset>
              </wp:positionV>
              <wp:extent cx="7960360" cy="294157"/>
              <wp:effectExtent l="0" t="0" r="21590" b="10795"/>
              <wp:wrapNone/>
              <wp:docPr id="1" name="Rectangle 1"/>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-1115694</wp:posOffset>
              </wp:positionH>
              <wp:positionV relativeFrom="paragraph">
                <wp:posOffset>300355</wp:posOffset>
              </wp:positionV>
              <wp:extent cx="7981950" cy="30495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981950" cy="304952"/>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4F787C14" wp14:editId="5C3CE1CE">
              <wp:simplePos x="0" y="0"/>
              <wp:positionH relativeFrom="column">
                <wp:posOffset>-1115694</wp:posOffset>
              </wp:positionH>
              <wp:positionV relativeFrom="paragraph">
                <wp:posOffset>528955</wp:posOffset>
              </wp:positionV>
              <wp:extent cx="7881986" cy="90805"/>
              <wp:effectExtent l="0" t="0" r="24130" b="23495"/>
              <wp:wrapNone/>
              <wp:docPr id="3" name="Rectangle 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-1115694</wp:posOffset>
              </wp:positionH>
              <wp:positionV relativeFrom="paragraph">
                <wp:posOffset>528955</wp:posOffset>
              </wp:positionV>
              <wp:extent cx="7906116" cy="114300"/>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906116" cy="1143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903B" w14:textId="77777777" w:rsidR="00122298" w:rsidRDefault="00122298">
      <w:pPr>
        <w:spacing w:after="0" w:line="240" w:lineRule="auto"/>
      </w:pPr>
      <w:r>
        <w:separator/>
      </w:r>
    </w:p>
  </w:footnote>
  <w:footnote w:type="continuationSeparator" w:id="0">
    <w:p w14:paraId="3F5F2EBF" w14:textId="77777777" w:rsidR="00122298" w:rsidRDefault="0012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61F0" w14:textId="77777777" w:rsidR="00324DD1" w:rsidRDefault="00900309">
    <w:pPr>
      <w:pBdr>
        <w:top w:val="nil"/>
        <w:left w:val="nil"/>
        <w:bottom w:val="nil"/>
        <w:right w:val="nil"/>
        <w:between w:val="nil"/>
      </w:pBdr>
      <w:tabs>
        <w:tab w:val="center" w:pos="4419"/>
        <w:tab w:val="right" w:pos="8838"/>
      </w:tabs>
      <w:spacing w:after="0" w:line="240" w:lineRule="auto"/>
      <w:jc w:val="right"/>
      <w:rPr>
        <w:rFonts w:ascii="Arial" w:eastAsia="Arial" w:hAnsi="Arial" w:cs="Arial"/>
        <w:i/>
        <w:color w:val="000000"/>
        <w:sz w:val="23"/>
        <w:szCs w:val="23"/>
      </w:rPr>
    </w:pPr>
    <w:r>
      <w:rPr>
        <w:noProof/>
        <w:color w:val="000000"/>
        <w:sz w:val="24"/>
        <w:szCs w:val="24"/>
      </w:rPr>
      <mc:AlternateContent>
        <mc:Choice Requires="wps">
          <w:drawing>
            <wp:anchor distT="0" distB="0" distL="114300" distR="114300" simplePos="0" relativeHeight="251658240" behindDoc="0" locked="0" layoutInCell="0" hidden="0" allowOverlap="1" wp14:anchorId="4EF3E96D" wp14:editId="7E4EDA5A">
              <wp:simplePos x="0" y="0"/>
              <wp:positionH relativeFrom="rightMargin">
                <wp:align>center</wp:align>
              </wp:positionH>
              <wp:positionV relativeFrom="page">
                <wp:align>center</wp:align>
              </wp:positionV>
              <wp:extent cx="762000" cy="895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hAnsiTheme="majorHAnsi"/>
                              <w:szCs w:val="44"/>
                              <w:lang w:val="es-ES"/>
                            </w:rPr>
                            <w:id w:val="216749887"/>
                            <w:docPartObj>
                              <w:docPartGallery w:val="Page Numbers (Margins)"/>
                              <w:docPartUnique/>
                            </w:docPartObj>
                          </w:sdtPr>
                          <w:sdtEndPr/>
                          <w:sdtContent>
                            <w:p w14:paraId="26AF942C" w14:textId="77777777" w:rsidR="006F6028" w:rsidRPr="006F6028" w:rsidRDefault="00900309">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8744FA">
                                <w:rPr>
                                  <w:rFonts w:asciiTheme="majorHAnsi" w:hAnsiTheme="majorHAnsi"/>
                                  <w:noProof/>
                                  <w:szCs w:val="44"/>
                                </w:rPr>
                                <w:t>1</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4EF3E96D" id="Rectangle 5" o:spid="_x0000_s1026" style="position:absolute;left:0;text-align:left;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2U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KvOLOipxZ9&#10;JtOEbY1iq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pZtlAECAADlAwAADgAAAAAAAAAAAAAA&#10;AAAuAgAAZHJzL2Uyb0RvYy54bWxQSwECLQAUAAYACAAAACEAbNUf09kAAAAFAQAADwAAAAAAAAAA&#10;AAAAAABbBAAAZHJzL2Rvd25yZXYueG1sUEsFBgAAAAAEAAQA8wAAAGEFAAAAAA==&#10;" o:allowincell="f" stroked="f">
              <v:textbox>
                <w:txbxContent>
                  <w:sdt>
                    <w:sdtPr>
                      <w:rPr>
                        <w:rFonts w:asciiTheme="majorHAnsi" w:hAnsiTheme="majorHAnsi"/>
                        <w:szCs w:val="44"/>
                        <w:lang w:val="es-ES"/>
                      </w:rPr>
                      <w:id w:val="216749887"/>
                      <w:docPartObj>
                        <w:docPartGallery w:val="Page Numbers (Margins)"/>
                        <w:docPartUnique/>
                      </w:docPartObj>
                    </w:sdtPr>
                    <w:sdtEndPr/>
                    <w:sdtContent>
                      <w:p w14:paraId="26AF942C" w14:textId="77777777" w:rsidR="006F6028" w:rsidRPr="006F6028" w:rsidRDefault="00900309">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8744FA">
                          <w:rPr>
                            <w:rFonts w:asciiTheme="majorHAnsi" w:hAnsiTheme="majorHAnsi"/>
                            <w:noProof/>
                            <w:szCs w:val="44"/>
                          </w:rPr>
                          <w:t>1</w:t>
                        </w:r>
                        <w:r w:rsidRPr="006F6028">
                          <w:rPr>
                            <w:sz w:val="8"/>
                            <w:lang w:val="es-ES"/>
                          </w:rPr>
                          <w:fldChar w:fldCharType="end"/>
                        </w:r>
                      </w:p>
                    </w:sdtContent>
                  </w:sdt>
                </w:txbxContent>
              </v:textbox>
              <w10:wrap anchorx="margin" anchory="page"/>
            </v:rect>
          </w:pict>
        </mc:Fallback>
      </mc:AlternateContent>
    </w:r>
    <w:r>
      <w:rPr>
        <w:rFonts w:ascii="Arial" w:eastAsia="Arial" w:hAnsi="Arial" w:cs="Arial"/>
        <w:i/>
        <w:color w:val="000000"/>
        <w:sz w:val="23"/>
        <w:szCs w:val="23"/>
      </w:rPr>
      <w:t>“2020, por un nuevo federalismo fiscal, justo y equitativo”</w:t>
    </w:r>
    <w:r>
      <w:rPr>
        <w:noProof/>
      </w:rPr>
      <w:drawing>
        <wp:anchor distT="0" distB="0" distL="0" distR="0" simplePos="0" relativeHeight="251659264" behindDoc="1" locked="0" layoutInCell="1" hidden="0" allowOverlap="1" wp14:anchorId="321BB425" wp14:editId="6BDAB63F">
          <wp:simplePos x="0" y="0"/>
          <wp:positionH relativeFrom="column">
            <wp:posOffset>-922654</wp:posOffset>
          </wp:positionH>
          <wp:positionV relativeFrom="paragraph">
            <wp:posOffset>-414018</wp:posOffset>
          </wp:positionV>
          <wp:extent cx="1026160" cy="1026160"/>
          <wp:effectExtent l="0" t="0" r="0" b="0"/>
          <wp:wrapNone/>
          <wp:docPr id="8" name="image8.png" descr="C:\Users\alejandra\Desktop\logo congreso.png"/>
          <wp:cNvGraphicFramePr/>
          <a:graphic xmlns:a="http://schemas.openxmlformats.org/drawingml/2006/main">
            <a:graphicData uri="http://schemas.openxmlformats.org/drawingml/2006/picture">
              <pic:pic xmlns:pic="http://schemas.openxmlformats.org/drawingml/2006/picture">
                <pic:nvPicPr>
                  <pic:cNvPr id="0" name="image8.png" descr="C:\Users\alejandra\Desktop\logo congreso.png"/>
                  <pic:cNvPicPr preferRelativeResize="0"/>
                </pic:nvPicPr>
                <pic:blipFill>
                  <a:blip r:embed="rId1"/>
                  <a:srcRect/>
                  <a:stretch>
                    <a:fillRect/>
                  </a:stretch>
                </pic:blipFill>
                <pic:spPr>
                  <a:xfrm>
                    <a:off x="0" y="0"/>
                    <a:ext cx="1026160" cy="1026160"/>
                  </a:xfrm>
                  <a:prstGeom prst="rect">
                    <a:avLst/>
                  </a:prstGeom>
                  <a:ln/>
                </pic:spPr>
              </pic:pic>
            </a:graphicData>
          </a:graphic>
        </wp:anchor>
      </w:drawing>
    </w:r>
  </w:p>
  <w:p w14:paraId="263E0723" w14:textId="77777777" w:rsidR="00324DD1" w:rsidRDefault="00900309">
    <w:pPr>
      <w:pBdr>
        <w:top w:val="nil"/>
        <w:left w:val="nil"/>
        <w:bottom w:val="nil"/>
        <w:right w:val="nil"/>
        <w:between w:val="nil"/>
      </w:pBdr>
      <w:tabs>
        <w:tab w:val="center" w:pos="4419"/>
        <w:tab w:val="right" w:pos="8838"/>
      </w:tabs>
      <w:spacing w:after="0" w:line="240" w:lineRule="auto"/>
      <w:jc w:val="right"/>
      <w:rPr>
        <w:rFonts w:ascii="Arial" w:eastAsia="Arial" w:hAnsi="Arial" w:cs="Arial"/>
        <w:i/>
        <w:color w:val="000000"/>
        <w:sz w:val="23"/>
        <w:szCs w:val="23"/>
      </w:rPr>
    </w:pPr>
    <w:r>
      <w:rPr>
        <w:rFonts w:ascii="Arial" w:eastAsia="Arial" w:hAnsi="Arial" w:cs="Arial"/>
        <w:i/>
        <w:color w:val="000000"/>
        <w:sz w:val="23"/>
        <w:szCs w:val="23"/>
      </w:rPr>
      <w:t>“2020, año de la sanidad vegetal</w:t>
    </w:r>
  </w:p>
  <w:p w14:paraId="34A4801D" w14:textId="77777777" w:rsidR="00324DD1" w:rsidRDefault="00900309">
    <w:pPr>
      <w:pBdr>
        <w:top w:val="nil"/>
        <w:left w:val="nil"/>
        <w:bottom w:val="nil"/>
        <w:right w:val="nil"/>
        <w:between w:val="nil"/>
      </w:pBdr>
      <w:tabs>
        <w:tab w:val="center" w:pos="4419"/>
        <w:tab w:val="right" w:pos="8838"/>
        <w:tab w:val="left" w:pos="6937"/>
      </w:tabs>
      <w:spacing w:after="0" w:line="240" w:lineRule="auto"/>
      <w:jc w:val="center"/>
      <w:rPr>
        <w:color w:val="000000"/>
      </w:rPr>
    </w:pPr>
    <w:r>
      <w:rPr>
        <w:noProof/>
      </w:rPr>
      <mc:AlternateContent>
        <mc:Choice Requires="wps">
          <w:drawing>
            <wp:anchor distT="0" distB="0" distL="114300" distR="114300" simplePos="0" relativeHeight="251660288" behindDoc="0" locked="0" layoutInCell="1" hidden="0" allowOverlap="1" wp14:anchorId="408E81AD" wp14:editId="3611AE2D">
              <wp:simplePos x="0" y="0"/>
              <wp:positionH relativeFrom="column">
                <wp:posOffset>128905</wp:posOffset>
              </wp:positionH>
              <wp:positionV relativeFrom="paragraph">
                <wp:posOffset>58420</wp:posOffset>
              </wp:positionV>
              <wp:extent cx="6676390" cy="146050"/>
              <wp:effectExtent l="0" t="0" r="10160" b="25400"/>
              <wp:wrapNone/>
              <wp:docPr id="2" name="Rectangle 2"/>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128905</wp:posOffset>
              </wp:positionH>
              <wp:positionV relativeFrom="paragraph">
                <wp:posOffset>58420</wp:posOffset>
              </wp:positionV>
              <wp:extent cx="6686550" cy="17145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686550" cy="1714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5F53D681" wp14:editId="2E58EAC1">
              <wp:simplePos x="0" y="0"/>
              <wp:positionH relativeFrom="column">
                <wp:posOffset>128905</wp:posOffset>
              </wp:positionH>
              <wp:positionV relativeFrom="paragraph">
                <wp:posOffset>184150</wp:posOffset>
              </wp:positionV>
              <wp:extent cx="6610350" cy="45719"/>
              <wp:effectExtent l="0" t="0" r="19050" b="12065"/>
              <wp:wrapNone/>
              <wp:docPr id="6" name="Rectangle 6"/>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128905</wp:posOffset>
              </wp:positionH>
              <wp:positionV relativeFrom="paragraph">
                <wp:posOffset>184150</wp:posOffset>
              </wp:positionV>
              <wp:extent cx="6629400" cy="57784"/>
              <wp:effectExtent b="0" l="0" r="0" t="0"/>
              <wp:wrapNone/>
              <wp:docPr id="6"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6629400" cy="5778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7B9F"/>
    <w:multiLevelType w:val="multilevel"/>
    <w:tmpl w:val="080A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F661943"/>
    <w:multiLevelType w:val="multilevel"/>
    <w:tmpl w:val="CE9A97E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7E7A52"/>
    <w:multiLevelType w:val="multilevel"/>
    <w:tmpl w:val="C10EDE68"/>
    <w:lvl w:ilvl="0">
      <w:start w:val="1"/>
      <w:numFmt w:val="upperRoman"/>
      <w:lvlText w:val="%1."/>
      <w:lvlJc w:val="left"/>
      <w:pPr>
        <w:ind w:left="1080" w:hanging="720"/>
      </w:pPr>
      <w:rPr>
        <w:rFonts w:ascii="Century Gothic" w:eastAsia="Century Gothic" w:hAnsi="Century Gothic" w:cs="Century Gothic"/>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C36635"/>
    <w:multiLevelType w:val="multilevel"/>
    <w:tmpl w:val="8C16B4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C87E97"/>
    <w:multiLevelType w:val="multilevel"/>
    <w:tmpl w:val="7CF675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1"/>
    <w:rsid w:val="000C3CE2"/>
    <w:rsid w:val="00122298"/>
    <w:rsid w:val="00324DD1"/>
    <w:rsid w:val="004069EB"/>
    <w:rsid w:val="0087685B"/>
    <w:rsid w:val="00893AF8"/>
    <w:rsid w:val="00900309"/>
    <w:rsid w:val="009536BE"/>
    <w:rsid w:val="00A62C62"/>
    <w:rsid w:val="00B572FD"/>
    <w:rsid w:val="00BF2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631F"/>
  <w15:docId w15:val="{D32023DD-4E7D-480E-919D-878B3647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2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62"/>
  </w:style>
  <w:style w:type="paragraph" w:styleId="Footer">
    <w:name w:val="footer"/>
    <w:basedOn w:val="Normal"/>
    <w:link w:val="FooterChar"/>
    <w:uiPriority w:val="99"/>
    <w:unhideWhenUsed/>
    <w:rsid w:val="00A6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1263</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Isamar Valadez Enríquez</cp:lastModifiedBy>
  <cp:revision>3</cp:revision>
  <cp:lastPrinted>2020-05-28T19:54:00Z</cp:lastPrinted>
  <dcterms:created xsi:type="dcterms:W3CDTF">2020-06-18T17:23:00Z</dcterms:created>
  <dcterms:modified xsi:type="dcterms:W3CDTF">2020-06-18T17:32:00Z</dcterms:modified>
</cp:coreProperties>
</file>