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9459C" w14:textId="77777777" w:rsidR="00593383" w:rsidRDefault="00593383" w:rsidP="00AD2CC2">
      <w:pPr>
        <w:pStyle w:val="Ttulo3"/>
        <w:shd w:val="clear" w:color="auto" w:fill="FFFFFF"/>
        <w:spacing w:before="480" w:after="240" w:line="360" w:lineRule="auto"/>
        <w:jc w:val="center"/>
        <w:rPr>
          <w:rFonts w:ascii="Century Gothic" w:eastAsia="Times New Roman" w:hAnsi="Century Gothic" w:cs="Segoe UI"/>
          <w:color w:val="0F1115"/>
          <w:highlight w:val="yellow"/>
          <w:lang w:eastAsia="es-MX"/>
        </w:rPr>
      </w:pPr>
    </w:p>
    <w:p w14:paraId="136D2E90" w14:textId="77777777" w:rsidR="00593383" w:rsidRPr="00593383" w:rsidRDefault="00593383" w:rsidP="00593383">
      <w:pPr>
        <w:spacing w:after="0" w:line="360" w:lineRule="auto"/>
        <w:contextualSpacing/>
        <w:jc w:val="both"/>
        <w:rPr>
          <w:rFonts w:ascii="Century Gothic" w:eastAsia="Times New Roman" w:hAnsi="Century Gothic" w:cs="Arial"/>
          <w:sz w:val="24"/>
          <w:szCs w:val="24"/>
          <w:lang w:eastAsia="es-ES"/>
        </w:rPr>
      </w:pPr>
      <w:r w:rsidRPr="00593383">
        <w:rPr>
          <w:rFonts w:ascii="Century Gothic" w:eastAsia="Arial" w:hAnsi="Century Gothic" w:cs="Arial"/>
          <w:b/>
          <w:sz w:val="24"/>
          <w:szCs w:val="24"/>
          <w:lang w:eastAsia="es-ES"/>
        </w:rPr>
        <w:t>H. CONGRESO DEL ESTADO</w:t>
      </w:r>
    </w:p>
    <w:p w14:paraId="5EA00FC5" w14:textId="77777777" w:rsidR="00593383" w:rsidRPr="00593383" w:rsidRDefault="00593383" w:rsidP="00593383">
      <w:pPr>
        <w:spacing w:after="0" w:line="360" w:lineRule="auto"/>
        <w:contextualSpacing/>
        <w:jc w:val="both"/>
        <w:rPr>
          <w:rFonts w:ascii="Century Gothic" w:eastAsia="Arial" w:hAnsi="Century Gothic" w:cs="Arial"/>
          <w:b/>
          <w:sz w:val="24"/>
          <w:szCs w:val="24"/>
          <w:lang w:eastAsia="es-ES"/>
        </w:rPr>
      </w:pPr>
      <w:r w:rsidRPr="00593383">
        <w:rPr>
          <w:rFonts w:ascii="Century Gothic" w:eastAsia="Arial" w:hAnsi="Century Gothic" w:cs="Arial"/>
          <w:b/>
          <w:sz w:val="24"/>
          <w:szCs w:val="24"/>
          <w:lang w:eastAsia="es-ES"/>
        </w:rPr>
        <w:t>P R E S E N T E.-</w:t>
      </w:r>
    </w:p>
    <w:p w14:paraId="3D89E104" w14:textId="77777777" w:rsidR="00593383" w:rsidRPr="00593383" w:rsidRDefault="00593383" w:rsidP="00593383">
      <w:pPr>
        <w:spacing w:after="0" w:line="360" w:lineRule="auto"/>
        <w:contextualSpacing/>
        <w:jc w:val="both"/>
        <w:rPr>
          <w:rFonts w:ascii="Century Gothic" w:eastAsia="Arial" w:hAnsi="Century Gothic" w:cs="Arial"/>
          <w:b/>
          <w:sz w:val="24"/>
          <w:szCs w:val="24"/>
          <w:lang w:eastAsia="es-ES"/>
        </w:rPr>
      </w:pPr>
    </w:p>
    <w:p w14:paraId="6D8A383B" w14:textId="77777777" w:rsidR="00593383" w:rsidRPr="00593383" w:rsidRDefault="00593383" w:rsidP="00593383">
      <w:pPr>
        <w:spacing w:after="0" w:line="360" w:lineRule="auto"/>
        <w:contextualSpacing/>
        <w:jc w:val="both"/>
        <w:rPr>
          <w:rFonts w:ascii="Century Gothic" w:eastAsia="Times New Roman" w:hAnsi="Century Gothic" w:cs="Arial"/>
          <w:sz w:val="24"/>
          <w:szCs w:val="24"/>
          <w:lang w:eastAsia="es-ES"/>
        </w:rPr>
      </w:pPr>
      <w:r w:rsidRPr="00593383">
        <w:rPr>
          <w:rFonts w:ascii="Century Gothic" w:eastAsia="Arial" w:hAnsi="Century Gothic" w:cs="Arial"/>
          <w:sz w:val="24"/>
          <w:szCs w:val="24"/>
          <w:lang w:eastAsia="es-ES"/>
        </w:rPr>
        <w:t xml:space="preserve">La Comisión de Turismo, con fundamento en lo dispuesto por los artículos 64, fracción II de la Constitución Política, 87, 88 y 111 de la Ley Orgánica del Poder Legislativo, así como 80 y 81 del Reglamento Interior y de Prácticas Parlamentarias del Poder Legislativo, todos ordenamientos del Estado de Chihuahua, somete a la consideración de este Honorable Pleno el presente dictamen, elaborado con base en los siguientes: </w:t>
      </w:r>
    </w:p>
    <w:p w14:paraId="3860DD50" w14:textId="569889FB" w:rsidR="00FD2647" w:rsidRPr="00593383" w:rsidRDefault="00FD2647" w:rsidP="00AD2CC2">
      <w:pPr>
        <w:pStyle w:val="Ttulo3"/>
        <w:shd w:val="clear" w:color="auto" w:fill="FFFFFF"/>
        <w:spacing w:before="480" w:after="240" w:line="360" w:lineRule="auto"/>
        <w:jc w:val="center"/>
        <w:rPr>
          <w:rFonts w:ascii="Century Gothic" w:hAnsi="Century Gothic" w:cs="Segoe UI"/>
          <w:b/>
          <w:bCs/>
          <w:color w:val="0F1115"/>
        </w:rPr>
      </w:pPr>
      <w:r w:rsidRPr="00593383">
        <w:rPr>
          <w:rFonts w:ascii="Century Gothic" w:hAnsi="Century Gothic" w:cs="Segoe UI"/>
          <w:b/>
          <w:bCs/>
          <w:color w:val="0F1115"/>
        </w:rPr>
        <w:t>ANTECEDENTES</w:t>
      </w:r>
    </w:p>
    <w:p w14:paraId="77171B8D" w14:textId="4B48DF13" w:rsidR="00FD2647" w:rsidRPr="00593383" w:rsidRDefault="009B72F3"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593383">
        <w:rPr>
          <w:rStyle w:val="Textoennegrita"/>
          <w:rFonts w:ascii="Century Gothic" w:hAnsi="Century Gothic" w:cs="Segoe UI"/>
          <w:color w:val="0F1115"/>
        </w:rPr>
        <w:t>I</w:t>
      </w:r>
      <w:r w:rsidR="00FD2647" w:rsidRPr="00593383">
        <w:rPr>
          <w:rStyle w:val="Textoennegrita"/>
          <w:rFonts w:ascii="Century Gothic" w:hAnsi="Century Gothic" w:cs="Segoe UI"/>
          <w:color w:val="0F1115"/>
        </w:rPr>
        <w:t>.</w:t>
      </w:r>
      <w:r w:rsidR="00FD2647" w:rsidRPr="00593383">
        <w:rPr>
          <w:rFonts w:ascii="Century Gothic" w:hAnsi="Century Gothic" w:cs="Segoe UI"/>
          <w:color w:val="0F1115"/>
        </w:rPr>
        <w:t> </w:t>
      </w:r>
      <w:r w:rsidR="00593383" w:rsidRPr="00593383">
        <w:rPr>
          <w:rFonts w:ascii="Century Gothic" w:hAnsi="Century Gothic" w:cs="Segoe UI"/>
          <w:color w:val="0F1115"/>
        </w:rPr>
        <w:t xml:space="preserve">Con fecha 21 de </w:t>
      </w:r>
      <w:r w:rsidR="00593383">
        <w:rPr>
          <w:rFonts w:ascii="Century Gothic" w:hAnsi="Century Gothic" w:cs="Segoe UI"/>
          <w:color w:val="0F1115"/>
        </w:rPr>
        <w:t xml:space="preserve">mayo </w:t>
      </w:r>
      <w:r w:rsidR="00593383" w:rsidRPr="00593383">
        <w:rPr>
          <w:rFonts w:ascii="Century Gothic" w:hAnsi="Century Gothic" w:cs="Segoe UI"/>
          <w:color w:val="0F1115"/>
        </w:rPr>
        <w:t xml:space="preserve">de 2026, las Diputadas y Diputados integrantes de la Comisión de Turismo de la Sexagésima Octava Legislatura del H. Congreso </w:t>
      </w:r>
      <w:r w:rsidR="00593383" w:rsidRPr="00B1370B">
        <w:rPr>
          <w:rFonts w:ascii="Century Gothic" w:hAnsi="Century Gothic" w:cs="Segoe UI"/>
          <w:color w:val="0F1115"/>
        </w:rPr>
        <w:t xml:space="preserve">del Estado presentaron </w:t>
      </w:r>
      <w:r w:rsidR="00593383" w:rsidRPr="00593383">
        <w:rPr>
          <w:rFonts w:ascii="Century Gothic" w:eastAsia="Arial" w:hAnsi="Century Gothic" w:cs="Calibri"/>
        </w:rPr>
        <w:t xml:space="preserve">Iniciativa con carácter de decreto por el que se reforman y adicionan diversas disposiciones de la Ley de Turismo del Estado de Chihuahua </w:t>
      </w:r>
      <w:r w:rsidR="00593383" w:rsidRPr="00022BAB">
        <w:rPr>
          <w:rFonts w:ascii="Century Gothic" w:eastAsia="Arial" w:hAnsi="Century Gothic" w:cs="Calibri"/>
        </w:rPr>
        <w:t>en materia de gobernanza técnica, fondo estatal, corredores turísticos, observatorio turístico, cadenas de valor, modalidades especializadas, turismo educativo y de cultura, turismo social, plataformas digitales y servicio de hospedaje ocasional, difusión estratégica y posicionamiento, y régimen sancionador</w:t>
      </w:r>
      <w:r w:rsidR="00593383">
        <w:rPr>
          <w:rFonts w:ascii="Century Gothic" w:eastAsia="Arial" w:hAnsi="Century Gothic" w:cs="Calibri"/>
        </w:rPr>
        <w:t>.</w:t>
      </w:r>
    </w:p>
    <w:p w14:paraId="0C5E8701" w14:textId="77777777" w:rsidR="00593383" w:rsidRPr="00AD2CC2" w:rsidRDefault="00593383"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66F2ED6C" w14:textId="77777777" w:rsidR="00685576" w:rsidRDefault="009B72F3" w:rsidP="009B72F3">
      <w:pPr>
        <w:spacing w:after="0" w:line="360" w:lineRule="auto"/>
        <w:jc w:val="both"/>
        <w:rPr>
          <w:rFonts w:ascii="Century Gothic" w:eastAsia="Arial" w:hAnsi="Century Gothic" w:cs="Arial"/>
          <w:sz w:val="24"/>
          <w:szCs w:val="24"/>
          <w:lang w:eastAsia="es-ES"/>
        </w:rPr>
      </w:pPr>
      <w:r>
        <w:rPr>
          <w:rStyle w:val="Textoennegrita"/>
          <w:rFonts w:ascii="Century Gothic" w:hAnsi="Century Gothic" w:cs="Segoe UI"/>
          <w:color w:val="0F1115"/>
        </w:rPr>
        <w:lastRenderedPageBreak/>
        <w:t>II</w:t>
      </w:r>
      <w:r w:rsidR="00FD2647" w:rsidRPr="00AD2CC2">
        <w:rPr>
          <w:rStyle w:val="Textoennegrita"/>
          <w:rFonts w:ascii="Century Gothic" w:hAnsi="Century Gothic" w:cs="Segoe UI"/>
          <w:color w:val="0F1115"/>
        </w:rPr>
        <w:t>.</w:t>
      </w:r>
      <w:r w:rsidR="00FD2647" w:rsidRPr="00AD2CC2">
        <w:rPr>
          <w:rFonts w:ascii="Century Gothic" w:hAnsi="Century Gothic" w:cs="Segoe UI"/>
          <w:color w:val="0F1115"/>
        </w:rPr>
        <w:t> </w:t>
      </w:r>
      <w:r w:rsidR="00593383" w:rsidRPr="00B363C3">
        <w:rPr>
          <w:rFonts w:ascii="Century Gothic" w:eastAsia="Arial" w:hAnsi="Century Gothic" w:cs="Arial"/>
          <w:sz w:val="24"/>
          <w:szCs w:val="24"/>
          <w:lang w:eastAsia="es-ES"/>
        </w:rPr>
        <w:t xml:space="preserve">La Presidencia del H. Congreso del Estado, en uso de las facultades que le confiere el artículo 75, fracción XIII de la Ley Orgánica del Poder Legislativo, el día </w:t>
      </w:r>
      <w:r w:rsidR="00593383">
        <w:rPr>
          <w:rFonts w:ascii="Century Gothic" w:eastAsia="Arial" w:hAnsi="Century Gothic" w:cs="Arial"/>
          <w:sz w:val="24"/>
          <w:szCs w:val="24"/>
          <w:lang w:eastAsia="es-ES"/>
        </w:rPr>
        <w:t>21</w:t>
      </w:r>
      <w:r w:rsidR="00593383" w:rsidRPr="00B363C3">
        <w:rPr>
          <w:rFonts w:ascii="Century Gothic" w:eastAsia="Arial" w:hAnsi="Century Gothic" w:cs="Arial"/>
          <w:sz w:val="24"/>
          <w:szCs w:val="24"/>
          <w:lang w:eastAsia="es-ES"/>
        </w:rPr>
        <w:t xml:space="preserve"> </w:t>
      </w:r>
      <w:r w:rsidR="00593383">
        <w:rPr>
          <w:rFonts w:ascii="Century Gothic" w:eastAsia="Arial" w:hAnsi="Century Gothic" w:cs="Arial"/>
          <w:sz w:val="24"/>
          <w:szCs w:val="24"/>
          <w:lang w:eastAsia="es-ES"/>
        </w:rPr>
        <w:t xml:space="preserve">de </w:t>
      </w:r>
      <w:r w:rsidR="00593383">
        <w:rPr>
          <w:rFonts w:ascii="Century Gothic" w:eastAsia="Arial" w:hAnsi="Century Gothic" w:cs="Arial"/>
          <w:lang w:eastAsia="es-ES"/>
        </w:rPr>
        <w:t>mayo</w:t>
      </w:r>
      <w:r w:rsidR="00593383">
        <w:rPr>
          <w:rFonts w:ascii="Century Gothic" w:eastAsia="Arial" w:hAnsi="Century Gothic" w:cs="Arial"/>
          <w:sz w:val="24"/>
          <w:szCs w:val="24"/>
          <w:lang w:eastAsia="es-ES"/>
        </w:rPr>
        <w:t xml:space="preserve"> </w:t>
      </w:r>
      <w:r w:rsidR="00593383" w:rsidRPr="00B363C3">
        <w:rPr>
          <w:rFonts w:ascii="Century Gothic" w:eastAsia="Arial" w:hAnsi="Century Gothic" w:cs="Arial"/>
          <w:sz w:val="24"/>
          <w:szCs w:val="24"/>
          <w:lang w:eastAsia="es-ES"/>
        </w:rPr>
        <w:t>del año 202</w:t>
      </w:r>
      <w:r w:rsidR="00593383">
        <w:rPr>
          <w:rFonts w:ascii="Century Gothic" w:eastAsia="Arial" w:hAnsi="Century Gothic" w:cs="Arial"/>
          <w:sz w:val="24"/>
          <w:szCs w:val="24"/>
          <w:lang w:eastAsia="es-ES"/>
        </w:rPr>
        <w:t>6</w:t>
      </w:r>
      <w:r w:rsidR="00593383" w:rsidRPr="00B363C3">
        <w:rPr>
          <w:rFonts w:ascii="Century Gothic" w:eastAsia="Arial" w:hAnsi="Century Gothic" w:cs="Arial"/>
          <w:sz w:val="24"/>
          <w:szCs w:val="24"/>
          <w:lang w:eastAsia="es-ES"/>
        </w:rPr>
        <w:t>, tuvo a bien turnar a quienes integramos esta Comisión de Turismo la Iniciativa de mérito, a efecto de proceder a su estudio, análisis y elaboración del correspondiente dictamen.</w:t>
      </w:r>
    </w:p>
    <w:p w14:paraId="4675CFC1" w14:textId="77777777" w:rsidR="00685576" w:rsidRDefault="00685576" w:rsidP="009B72F3">
      <w:pPr>
        <w:spacing w:after="0" w:line="360" w:lineRule="auto"/>
        <w:jc w:val="both"/>
        <w:rPr>
          <w:rFonts w:ascii="Century Gothic" w:eastAsia="Arial" w:hAnsi="Century Gothic" w:cs="Arial"/>
          <w:sz w:val="24"/>
          <w:szCs w:val="24"/>
          <w:lang w:eastAsia="es-ES"/>
        </w:rPr>
      </w:pPr>
    </w:p>
    <w:p w14:paraId="6EFE9736" w14:textId="77C7FE96" w:rsidR="009B72F3" w:rsidRDefault="009C223A" w:rsidP="009B72F3">
      <w:pPr>
        <w:spacing w:after="0" w:line="360" w:lineRule="auto"/>
        <w:jc w:val="both"/>
        <w:rPr>
          <w:rFonts w:ascii="Century Gothic" w:eastAsia="Arial" w:hAnsi="Century Gothic" w:cs="Arial"/>
          <w:sz w:val="24"/>
          <w:szCs w:val="24"/>
        </w:rPr>
      </w:pPr>
      <w:r>
        <w:rPr>
          <w:rFonts w:ascii="Century Gothic" w:eastAsia="Arial" w:hAnsi="Century Gothic" w:cs="Arial"/>
          <w:b/>
          <w:bCs/>
          <w:sz w:val="24"/>
          <w:szCs w:val="24"/>
        </w:rPr>
        <w:t>III</w:t>
      </w:r>
      <w:r w:rsidR="009B72F3" w:rsidRPr="009B72F3">
        <w:rPr>
          <w:rFonts w:ascii="Century Gothic" w:eastAsia="Arial" w:hAnsi="Century Gothic" w:cs="Arial"/>
          <w:b/>
          <w:bCs/>
          <w:sz w:val="24"/>
          <w:szCs w:val="24"/>
        </w:rPr>
        <w:t>.</w:t>
      </w:r>
      <w:r w:rsidR="009B72F3">
        <w:rPr>
          <w:rFonts w:ascii="Century Gothic" w:eastAsia="Arial" w:hAnsi="Century Gothic" w:cs="Arial"/>
          <w:sz w:val="24"/>
          <w:szCs w:val="24"/>
        </w:rPr>
        <w:t xml:space="preserve"> </w:t>
      </w:r>
      <w:r w:rsidR="009B72F3" w:rsidRPr="00B363C3">
        <w:rPr>
          <w:rFonts w:ascii="Century Gothic" w:eastAsia="Arial" w:hAnsi="Century Gothic" w:cs="Arial"/>
          <w:sz w:val="24"/>
          <w:szCs w:val="24"/>
        </w:rPr>
        <w:t xml:space="preserve">La Iniciativa </w:t>
      </w:r>
      <w:r w:rsidR="009B72F3">
        <w:rPr>
          <w:rFonts w:ascii="Century Gothic" w:eastAsia="Arial" w:hAnsi="Century Gothic" w:cs="Arial"/>
          <w:b/>
          <w:bCs/>
          <w:sz w:val="24"/>
          <w:szCs w:val="24"/>
        </w:rPr>
        <w:t>1600</w:t>
      </w:r>
      <w:r w:rsidR="009B72F3" w:rsidRPr="00B363C3">
        <w:rPr>
          <w:rFonts w:ascii="Century Gothic" w:eastAsia="Arial" w:hAnsi="Century Gothic" w:cs="Arial"/>
          <w:b/>
          <w:bCs/>
          <w:sz w:val="24"/>
          <w:szCs w:val="24"/>
        </w:rPr>
        <w:t xml:space="preserve"> </w:t>
      </w:r>
      <w:r w:rsidR="009B72F3" w:rsidRPr="00B363C3">
        <w:rPr>
          <w:rFonts w:ascii="Century Gothic" w:eastAsia="Arial" w:hAnsi="Century Gothic" w:cs="Arial"/>
          <w:sz w:val="24"/>
          <w:szCs w:val="24"/>
        </w:rPr>
        <w:t>se sustenta esencialmente en los siguientes argumentos, los cuales son copia textual de su parte expositiva:</w:t>
      </w:r>
    </w:p>
    <w:p w14:paraId="42392781" w14:textId="77777777" w:rsidR="009B72F3" w:rsidRPr="00B363C3" w:rsidRDefault="009B72F3" w:rsidP="009B72F3">
      <w:pPr>
        <w:spacing w:after="0" w:line="360" w:lineRule="auto"/>
        <w:jc w:val="both"/>
        <w:rPr>
          <w:rFonts w:ascii="Century Gothic" w:eastAsia="Arial" w:hAnsi="Century Gothic" w:cs="Arial"/>
          <w:sz w:val="24"/>
          <w:szCs w:val="24"/>
        </w:rPr>
      </w:pPr>
    </w:p>
    <w:p w14:paraId="652B07C9" w14:textId="33C7C124"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Pr>
          <w:rFonts w:ascii="Century Gothic" w:eastAsia="Arial" w:hAnsi="Century Gothic" w:cs="Calibri"/>
          <w:i/>
          <w:iCs/>
          <w:lang w:eastAsia="es-MX"/>
        </w:rPr>
        <w:t>“</w:t>
      </w:r>
      <w:r w:rsidRPr="009B72F3">
        <w:rPr>
          <w:rFonts w:ascii="Century Gothic" w:eastAsia="Arial" w:hAnsi="Century Gothic" w:cs="Calibri"/>
          <w:i/>
          <w:iCs/>
          <w:lang w:eastAsia="es-MX"/>
        </w:rPr>
        <w:t>La Ley de Turismo del Estado de Chihuahua, en su texto vigente, no ha sido objeto de una actualización integral que incorpore las transformaciones que ha vivido el sector durante la última década: el auge de las plataformas digitales de hospedaje y comercialización turística, la diversificación del turismo hacia modalidades especializadas como el ecoturismo, el enoturismo, el turismo médico, el turismo de negocios y el turismo educativo y de cultura, así como la necesidad de contar con instrumentos de gobernanza técnica basados en datos.</w:t>
      </w:r>
    </w:p>
    <w:p w14:paraId="3ED68FB3"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p>
    <w:p w14:paraId="485397A0"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t>La presente iniciativa no es producto de un trabajo aislado de gabinete, sino el resultado de un ejercicio democrático y participativo sin precedentes impulsado por la Comisión de Turismo del H. Congreso del Estado. A través de una serie de foros de consulta celebrados en distintas regiones de la entidad, se logró capturar la voz directa de quienes operan y viven del sector: representantes municipales, organismos empresariales, instituciones académicas y organizaciones de la sociedad civil.</w:t>
      </w:r>
    </w:p>
    <w:p w14:paraId="49ECA78C"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lastRenderedPageBreak/>
        <w:t>Los trabajos realizados en estos foros permitieron identificar con total claridad que la Ley de Turismo vigente, ha quedado rezagada frente a la dinámica actual del sector. Los participantes de los foros señalaron de forma recurrente que el marco jurídico actual no ofrece respuestas al auge de las plataformas digitales ni a la diversificación de la oferta en modalidades que hoy son pilares para Chihuahua, como el enoturismo, el ecoturismo y el turismo médico.</w:t>
      </w:r>
    </w:p>
    <w:p w14:paraId="16E47835"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t>Una demanda central recogida en este ejercicio de participación fue la necesidad de pasar de una planeación basada en la práctica a una gobernanza técnica basada en datos duros. Como respuesta directa a este mandato ciudadano, esta iniciativa propone la creación del Consejo Técnico Estatal de Turismo y el Observatorio Estatal de Turismo, diseñados para que la toma de decisiones del Gobierno y la iniciativa privada cuente con sustento técnico y estadístico.</w:t>
      </w:r>
    </w:p>
    <w:p w14:paraId="55E454A1"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t>En los foros regionales se manifestó la urgencia de fortalecer la conectividad y la identidad histórica del estado. Por ello, se incorporan disposiciones para la creación de Corredores Turísticos Prioritarios y se dota de un marco legal robusto a la “Ruta de Villa”, asegurando que los proyectos de infraestructura cuenten con señalización apropiada y estándares de calidad que fueron exigidos por los prestadores de servicios en las mesas de trabajo.</w:t>
      </w:r>
    </w:p>
    <w:p w14:paraId="338F9A5A"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t>Finalmente, los foros subrayaron que el turismo debe ser un motor de bienestar para todos, lo que derivó en el fortalecimiento de los capítulos de Turismo Social y Cadenas de Valor. Esta iniciativa traduce las propuestas de los ciudadanos en mecanismos reales para integrar a las comunidades rurales y grupos vulnerables en los beneficios económicos del sector.</w:t>
      </w:r>
    </w:p>
    <w:p w14:paraId="27213DD2"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lastRenderedPageBreak/>
        <w:t>En conclusión, este proyecto de Decreto representa la síntesis de un acervo de propuestas ciudadanas que buscan convertir a Chihuahua en un destino competitivo, innovador y, sobre todo, fiel a las necesidades expresadas por sus propios habitantes en el territorio estatal.</w:t>
      </w:r>
    </w:p>
    <w:p w14:paraId="414D73EF"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p>
    <w:p w14:paraId="53657F13" w14:textId="77777777" w:rsidR="009B72F3" w:rsidRPr="009B72F3" w:rsidRDefault="009B72F3" w:rsidP="009B72F3">
      <w:pPr>
        <w:spacing w:before="280" w:line="360" w:lineRule="auto"/>
        <w:ind w:left="426" w:right="474"/>
        <w:jc w:val="center"/>
        <w:outlineLvl w:val="1"/>
        <w:rPr>
          <w:rFonts w:ascii="Century Gothic" w:eastAsia="Arial" w:hAnsi="Century Gothic" w:cs="Calibri"/>
          <w:b/>
          <w:bCs/>
          <w:i/>
          <w:iCs/>
          <w:sz w:val="24"/>
          <w:szCs w:val="24"/>
          <w:lang w:eastAsia="es-MX"/>
        </w:rPr>
      </w:pPr>
      <w:r w:rsidRPr="009B72F3">
        <w:rPr>
          <w:rFonts w:ascii="Century Gothic" w:eastAsia="Arial" w:hAnsi="Century Gothic" w:cs="Calibri"/>
          <w:b/>
          <w:bCs/>
          <w:i/>
          <w:iCs/>
          <w:lang w:eastAsia="es-MX"/>
        </w:rPr>
        <w:t>B. Fundamento constitucional y competencial</w:t>
      </w:r>
    </w:p>
    <w:p w14:paraId="77C8E147"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t>El artículo 64, fracción IV de la Constitución Política del Estado de Chihuahua faculta al H. Congreso del Estado para expedir leyes en las materias que no estén reservadas a la Federación, entre ellas el fomento económico, el desarrollo regional y la regulación de actividades productivas de interés estatal como el turismo. El turismo no es materia de reserva federal exclusiva; la Ley General de Turismo establece un esquema de concurrencia que habilita expresamente a los estados a legislar en la materia de conformidad con sus propias leyes.</w:t>
      </w:r>
    </w:p>
    <w:p w14:paraId="707757C7"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t>La regulación de las modalidades turísticas, la creación de órganos técnicos consultivos, el destino de fondos recaudados en el territorio estatal —como el Impuesto Sobre Hospedaje— y la declaratoria de corredores y zonas turísticas son materias de competencia estatal, de conformidad con los artículos 73, fracción XXIX-K de la Constitución Política de los Estados Unidos Mexicanos y la propia Ley General de Turismo.</w:t>
      </w:r>
    </w:p>
    <w:p w14:paraId="2D6F5838" w14:textId="77777777" w:rsidR="009B72F3" w:rsidRPr="009B72F3" w:rsidRDefault="009B72F3" w:rsidP="009B72F3">
      <w:pPr>
        <w:spacing w:before="100" w:after="100" w:line="360" w:lineRule="auto"/>
        <w:ind w:left="426" w:right="474"/>
        <w:jc w:val="both"/>
        <w:rPr>
          <w:rFonts w:ascii="Century Gothic" w:eastAsia="Arial" w:hAnsi="Century Gothic" w:cs="Calibri"/>
          <w:i/>
          <w:iCs/>
          <w:lang w:eastAsia="es-MX"/>
        </w:rPr>
      </w:pPr>
      <w:r w:rsidRPr="009B72F3">
        <w:rPr>
          <w:rFonts w:ascii="Century Gothic" w:eastAsia="Arial" w:hAnsi="Century Gothic" w:cs="Calibri"/>
          <w:i/>
          <w:iCs/>
          <w:lang w:eastAsia="es-MX"/>
        </w:rPr>
        <w:t xml:space="preserve">En materia de hospedaje ocasional y plataformas digitales, esta iniciativa adopta un régimen de registro declarativo y no constitutivo, en acatamiento al principio de concurrencia establecido en la Ley General de Turismo, tomando como referente de buenas prácticas la regulación vigente en la Ley de Turismo de la Ciudad de México. La operación plena </w:t>
      </w:r>
      <w:r w:rsidRPr="009B72F3">
        <w:rPr>
          <w:rFonts w:ascii="Century Gothic" w:eastAsia="Arial" w:hAnsi="Century Gothic" w:cs="Calibri"/>
          <w:i/>
          <w:iCs/>
          <w:lang w:eastAsia="es-MX"/>
        </w:rPr>
        <w:lastRenderedPageBreak/>
        <w:t>y la obligatoriedad de dicho registro quedan expresamente subordinadas a que la Federación emita la legislación general correspondiente, salvaguardando la distribución constitucional de competencias.</w:t>
      </w:r>
    </w:p>
    <w:p w14:paraId="2398179D" w14:textId="77777777" w:rsidR="009B72F3" w:rsidRPr="009B72F3" w:rsidRDefault="009B72F3" w:rsidP="009B72F3">
      <w:pPr>
        <w:spacing w:line="360" w:lineRule="auto"/>
        <w:ind w:left="426" w:right="474"/>
        <w:jc w:val="both"/>
        <w:rPr>
          <w:rFonts w:ascii="Century Gothic" w:eastAsia="Times New Roman" w:hAnsi="Century Gothic" w:cs="Calibri"/>
          <w:i/>
          <w:iCs/>
          <w:lang w:val="es-ES" w:eastAsia="es-ES"/>
        </w:rPr>
      </w:pPr>
      <w:r w:rsidRPr="009B72F3">
        <w:rPr>
          <w:rFonts w:ascii="Century Gothic" w:hAnsi="Century Gothic" w:cs="Calibri"/>
          <w:i/>
          <w:iCs/>
        </w:rPr>
        <w:t>En términos generales, la presente iniciativa propone una transformación estructural de la Ley de Turismo del Estado de Chihuahua, organizando las nuevas disposiciones bajo una lógica de fomento y profesionalización, reformando y adicionando su contenido de la siguiente manera:</w:t>
      </w:r>
    </w:p>
    <w:p w14:paraId="1CCEAF83" w14:textId="77777777" w:rsidR="009B72F3" w:rsidRPr="009B72F3" w:rsidRDefault="009B72F3" w:rsidP="009B72F3">
      <w:pPr>
        <w:spacing w:line="360" w:lineRule="auto"/>
        <w:ind w:left="426" w:right="474"/>
        <w:jc w:val="both"/>
        <w:rPr>
          <w:rFonts w:ascii="Century Gothic" w:hAnsi="Century Gothic" w:cs="Calibri"/>
          <w:i/>
          <w:iCs/>
        </w:rPr>
      </w:pPr>
    </w:p>
    <w:p w14:paraId="40300763"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CAPÍTULO XII: DE LA GOBERNANZA TÉCNICA Y LA PLANEACIÓN TURÍSTICA.</w:t>
      </w:r>
      <w:r w:rsidRPr="009B72F3">
        <w:rPr>
          <w:rFonts w:ascii="Century Gothic" w:hAnsi="Century Gothic" w:cs="Calibri"/>
          <w:i/>
          <w:iCs/>
        </w:rPr>
        <w:t xml:space="preserve"> En este espacio —que en la ley vigente correspondía al capítulo </w:t>
      </w:r>
      <w:r w:rsidRPr="009B72F3">
        <w:rPr>
          <w:rFonts w:ascii="Century Gothic" w:hAnsi="Century Gothic" w:cs="Calibri"/>
          <w:b/>
          <w:bCs/>
          <w:i/>
          <w:iCs/>
        </w:rPr>
        <w:t>"De las Verificaciones y Sanciones"</w:t>
      </w:r>
      <w:r w:rsidRPr="009B72F3">
        <w:rPr>
          <w:rFonts w:ascii="Century Gothic" w:hAnsi="Century Gothic" w:cs="Calibri"/>
          <w:i/>
          <w:iCs/>
        </w:rPr>
        <w:t xml:space="preserve">— se crea ahora el </w:t>
      </w:r>
      <w:r w:rsidRPr="009B72F3">
        <w:rPr>
          <w:rFonts w:ascii="Century Gothic" w:hAnsi="Century Gothic" w:cs="Calibri"/>
          <w:b/>
          <w:bCs/>
          <w:i/>
          <w:iCs/>
        </w:rPr>
        <w:t>Consejo Técnico Estatal de Turismo</w:t>
      </w:r>
      <w:r w:rsidRPr="009B72F3">
        <w:rPr>
          <w:rFonts w:ascii="Century Gothic" w:hAnsi="Century Gothic" w:cs="Calibri"/>
          <w:i/>
          <w:iCs/>
        </w:rPr>
        <w:t xml:space="preserve"> (Artículo 59), un órgano consultivo colegiado para asesorar en políticas públicas basadas en evidencia técnica y datos verificables.</w:t>
      </w:r>
    </w:p>
    <w:p w14:paraId="0D982FCB"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CAPÍTULO XIII: DEL FONDO ESTATAL DE APOYO TURÍSTICO.</w:t>
      </w:r>
      <w:r w:rsidRPr="009B72F3">
        <w:rPr>
          <w:rFonts w:ascii="Century Gothic" w:hAnsi="Century Gothic" w:cs="Calibri"/>
          <w:i/>
          <w:iCs/>
        </w:rPr>
        <w:t xml:space="preserve"> Sustituyendo al anterior capítulo </w:t>
      </w:r>
      <w:r w:rsidRPr="009B72F3">
        <w:rPr>
          <w:rFonts w:ascii="Century Gothic" w:hAnsi="Century Gothic" w:cs="Calibri"/>
          <w:b/>
          <w:bCs/>
          <w:i/>
          <w:iCs/>
        </w:rPr>
        <w:t>"De los Recursos"</w:t>
      </w:r>
      <w:r w:rsidRPr="009B72F3">
        <w:rPr>
          <w:rFonts w:ascii="Century Gothic" w:hAnsi="Century Gothic" w:cs="Calibri"/>
          <w:i/>
          <w:iCs/>
        </w:rPr>
        <w:t xml:space="preserve">, se crea el </w:t>
      </w:r>
      <w:r w:rsidRPr="009B72F3">
        <w:rPr>
          <w:rFonts w:ascii="Century Gothic" w:hAnsi="Century Gothic" w:cs="Calibri"/>
          <w:b/>
          <w:bCs/>
          <w:i/>
          <w:iCs/>
        </w:rPr>
        <w:t>Fondo Estatal de Apoyo a Prestadores de Servicios Turísticos</w:t>
      </w:r>
      <w:r w:rsidRPr="009B72F3">
        <w:rPr>
          <w:rFonts w:ascii="Century Gothic" w:hAnsi="Century Gothic" w:cs="Calibri"/>
          <w:i/>
          <w:iCs/>
        </w:rPr>
        <w:t xml:space="preserve"> (Artículo 60). Este nuevo instrumento está diseñado para financiar proyectos de infraestructura, capacitación, certificación e innovación tecnológica de las </w:t>
      </w:r>
      <w:proofErr w:type="spellStart"/>
      <w:r w:rsidRPr="009B72F3">
        <w:rPr>
          <w:rFonts w:ascii="Century Gothic" w:hAnsi="Century Gothic" w:cs="Calibri"/>
          <w:i/>
          <w:iCs/>
        </w:rPr>
        <w:t>MiPYMES</w:t>
      </w:r>
      <w:proofErr w:type="spellEnd"/>
      <w:r w:rsidRPr="009B72F3">
        <w:rPr>
          <w:rFonts w:ascii="Century Gothic" w:hAnsi="Century Gothic" w:cs="Calibri"/>
          <w:i/>
          <w:iCs/>
        </w:rPr>
        <w:t xml:space="preserve"> del sector.</w:t>
      </w:r>
    </w:p>
    <w:p w14:paraId="226E3585"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CAPÍTULO XIV: DE LOS CORREDORES TURÍSTICOS PRIORITARIOS.</w:t>
      </w:r>
      <w:r w:rsidRPr="009B72F3">
        <w:rPr>
          <w:rFonts w:ascii="Century Gothic" w:hAnsi="Century Gothic" w:cs="Calibri"/>
          <w:i/>
          <w:iCs/>
        </w:rPr>
        <w:t xml:space="preserve"> Establece la facultad del Ejecutivo para declarar, mediante decreto, zonas y tramos carreteros estratégicos (Artículos 61 y 62). Esta declaratoria habilita la asignación preferente de recursos del Fondo Estatal y reconoce formalmente a la </w:t>
      </w:r>
      <w:r w:rsidRPr="009B72F3">
        <w:rPr>
          <w:rFonts w:ascii="Century Gothic" w:hAnsi="Century Gothic" w:cs="Calibri"/>
          <w:b/>
          <w:bCs/>
          <w:i/>
          <w:iCs/>
        </w:rPr>
        <w:t>“Ruta de Villa”</w:t>
      </w:r>
      <w:r w:rsidRPr="009B72F3">
        <w:rPr>
          <w:rFonts w:ascii="Century Gothic" w:hAnsi="Century Gothic" w:cs="Calibri"/>
          <w:i/>
          <w:iCs/>
        </w:rPr>
        <w:t>, la cual deberá contar con un plan maestro de infraestructura y promoción.</w:t>
      </w:r>
    </w:p>
    <w:p w14:paraId="790800AF"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lastRenderedPageBreak/>
        <w:t>CAPÍTULO XV: DEL OBSERVATORIO TURÍSTICO DEL ESTADO DE CHIHUAHUA.</w:t>
      </w:r>
      <w:r w:rsidRPr="009B72F3">
        <w:rPr>
          <w:rFonts w:ascii="Century Gothic" w:hAnsi="Century Gothic" w:cs="Calibri"/>
          <w:i/>
          <w:iCs/>
        </w:rPr>
        <w:t xml:space="preserve"> Regula al Observatorio como un instrumento de colaboración técnica integrado al Sistema de Información Turística Estatal (Artículo 63), con el fin de investigar, cuantificar y valorar la dinámica del sector de forma permanente.</w:t>
      </w:r>
    </w:p>
    <w:p w14:paraId="430F43D1"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CAPÍTULO XVI: DE LAS CADENAS DE VALOR TURÍSTICO.</w:t>
      </w:r>
      <w:r w:rsidRPr="009B72F3">
        <w:rPr>
          <w:rFonts w:ascii="Century Gothic" w:hAnsi="Century Gothic" w:cs="Calibri"/>
          <w:i/>
          <w:iCs/>
        </w:rPr>
        <w:t xml:space="preserve"> Este capítulo (Artículo 67) establece la obligación de la Secretaría y los municipios de fomentar la integración de redes de valor locales. El objetivo es que el desarrollo de nuevos proyectos turísticos fortalezca la economía social y el consumo de productos regionales, basándose siempre en los datos técnicos del Observatorio Turístico.</w:t>
      </w:r>
    </w:p>
    <w:p w14:paraId="3BA987B6"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CAPÍTULO XVII: DE LAS MODALIDADES TURÍSTICAS ESPECIALIZADAS.</w:t>
      </w:r>
      <w:r w:rsidRPr="009B72F3">
        <w:rPr>
          <w:rFonts w:ascii="Century Gothic" w:hAnsi="Century Gothic" w:cs="Calibri"/>
          <w:i/>
          <w:iCs/>
        </w:rPr>
        <w:t xml:space="preserve"> Se definen y reconocen formalmente cinco modalidades clave para la diversificación del estado: Ecoturismo, Enoturismo, Turismo Cultural Artesanal, Turismo Médico y de Salud, y Turismo de Negocios. Además, se crea la Junta Consultiva de Turismo Médico para garantizar que esta oferta cumpla con estándares internacionales de calidad y ética profesional. (Artículos 68 y 69)</w:t>
      </w:r>
    </w:p>
    <w:p w14:paraId="71C82256"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CAPÍTULO XVIII: DEL TURISMO EDUCATIVO Y DE CULTURA.</w:t>
      </w:r>
      <w:r w:rsidRPr="009B72F3">
        <w:rPr>
          <w:rFonts w:ascii="Century Gothic" w:hAnsi="Century Gothic" w:cs="Calibri"/>
          <w:i/>
          <w:iCs/>
        </w:rPr>
        <w:t xml:space="preserve"> Este apartado (Artículos 70 al 73) introduce una modalidad orientada a la formación integral y el acercamiento al patrimonio histórico y artístico. Promueve programas de viajes escolares y capacitación profesional, impulsando la colaboración entre instituciones académicas y los prestadores de servicios de cada región.</w:t>
      </w:r>
    </w:p>
    <w:p w14:paraId="25DA398D"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lastRenderedPageBreak/>
        <w:t>CAPÍTULO XIX: DEL TURISMO SOCIAL.</w:t>
      </w:r>
      <w:r w:rsidRPr="009B72F3">
        <w:rPr>
          <w:rFonts w:ascii="Century Gothic" w:hAnsi="Century Gothic" w:cs="Calibri"/>
          <w:i/>
          <w:iCs/>
        </w:rPr>
        <w:t xml:space="preserve"> Se establecen las bases para facilitar el acceso a la actividad turística a sectores de la población que enfrentan limitaciones económicas o sociales. La Secretaría tendrá el mandato de diseñar programas específicos junto con los sectores social y privado para que el patrimonio del Estado pueda ser disfrutado por todos los ciudadanos en condiciones de equidad. (Artículos 74 al 77)</w:t>
      </w:r>
    </w:p>
    <w:p w14:paraId="3FDE96E3"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CAPÍTULO XX: DE LAS PLATAFORMAS DIGITALES Y DEL SERVICIO DE HOSPEDAJE OCASIONAL.</w:t>
      </w:r>
      <w:r w:rsidRPr="009B72F3">
        <w:rPr>
          <w:rFonts w:ascii="Century Gothic" w:hAnsi="Century Gothic" w:cs="Calibri"/>
          <w:i/>
          <w:iCs/>
        </w:rPr>
        <w:t xml:space="preserve"> Introduce la obligatoriedad de inscripción en los padrones correspondientes para anfitriones y plataformas (Artículos 78 al 85), estableciendo el deber de presentar informes semestrales y cumplir con el pago del Impuesto sobre Hospedaje.</w:t>
      </w:r>
    </w:p>
    <w:p w14:paraId="594F52F0" w14:textId="77777777"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 xml:space="preserve">CAPÍTULO XXI: DE LA DIFUSIÓN ESTRATÉGICA Y POSICIONAMIENTO TURÍSTICO. </w:t>
      </w:r>
      <w:r w:rsidRPr="009B72F3">
        <w:rPr>
          <w:rFonts w:ascii="Century Gothic" w:hAnsi="Century Gothic" w:cs="Calibri"/>
          <w:i/>
          <w:iCs/>
        </w:rPr>
        <w:t xml:space="preserve">Este apartado (Artículos 86 al 88) refuerza las facultades de la Secretaría en materia de imagen y mercadotecnia del destino. A diferencia del capítulo de promoción general ya existente, este se enfoca en la difusión constante en medios digitales y redes sociales, la protección de la marca "Chihuahua" y el diseño de estrategias de mercado basadas en segmentos de alto potencial. </w:t>
      </w:r>
    </w:p>
    <w:p w14:paraId="532D9E2C" w14:textId="3B7F2622" w:rsidR="009B72F3" w:rsidRPr="009B72F3" w:rsidRDefault="009B72F3" w:rsidP="009B72F3">
      <w:pPr>
        <w:numPr>
          <w:ilvl w:val="0"/>
          <w:numId w:val="16"/>
        </w:numPr>
        <w:spacing w:line="360" w:lineRule="auto"/>
        <w:ind w:left="426" w:right="474"/>
        <w:jc w:val="both"/>
        <w:rPr>
          <w:rFonts w:ascii="Century Gothic" w:hAnsi="Century Gothic" w:cs="Calibri"/>
          <w:i/>
          <w:iCs/>
        </w:rPr>
      </w:pPr>
      <w:r w:rsidRPr="009B72F3">
        <w:rPr>
          <w:rFonts w:ascii="Century Gothic" w:hAnsi="Century Gothic" w:cs="Calibri"/>
          <w:b/>
          <w:bCs/>
          <w:i/>
          <w:iCs/>
        </w:rPr>
        <w:t>CAPÍTULO XXII: DE LA INSPECCIÓN, VERIFICACIÓN, SANCIONES Y RECURSOS.</w:t>
      </w:r>
      <w:r w:rsidRPr="009B72F3">
        <w:rPr>
          <w:rFonts w:ascii="Century Gothic" w:hAnsi="Century Gothic" w:cs="Calibri"/>
          <w:i/>
          <w:iCs/>
        </w:rPr>
        <w:t xml:space="preserve"> Para optimizar la estructura de la Ley, </w:t>
      </w:r>
      <w:r w:rsidRPr="009B72F3">
        <w:rPr>
          <w:rFonts w:ascii="Century Gothic" w:hAnsi="Century Gothic" w:cs="Calibri"/>
          <w:b/>
          <w:bCs/>
          <w:i/>
          <w:iCs/>
        </w:rPr>
        <w:t>todo el contenido sancionador y de medios de defensa que anteriormente se ubicaba en los Capítulos XII y XIII se traslada y fortalece en este nuevo apartado</w:t>
      </w:r>
      <w:r w:rsidRPr="009B72F3">
        <w:rPr>
          <w:rFonts w:ascii="Century Gothic" w:hAnsi="Century Gothic" w:cs="Calibri"/>
          <w:i/>
          <w:iCs/>
        </w:rPr>
        <w:t xml:space="preserve"> (Artículos 89 al 97). Aquí se definen las facultades de vigilancia de la Secretaría, se detallan nuevas infracciones y se actualizan las multas, garantizando en todo momento el recurso de revisión como medio de defensa.</w:t>
      </w:r>
      <w:r>
        <w:rPr>
          <w:rFonts w:ascii="Century Gothic" w:hAnsi="Century Gothic" w:cs="Calibri"/>
          <w:i/>
          <w:iCs/>
        </w:rPr>
        <w:t>”</w:t>
      </w:r>
    </w:p>
    <w:p w14:paraId="2D896A41" w14:textId="77777777" w:rsidR="00395FFF" w:rsidRDefault="00395FFF" w:rsidP="009B72F3">
      <w:pPr>
        <w:spacing w:after="0" w:line="360" w:lineRule="auto"/>
        <w:contextualSpacing/>
        <w:jc w:val="both"/>
        <w:rPr>
          <w:rFonts w:ascii="Century Gothic" w:eastAsia="Arial" w:hAnsi="Century Gothic" w:cs="Arial"/>
          <w:b/>
          <w:sz w:val="24"/>
          <w:szCs w:val="24"/>
          <w:lang w:eastAsia="es-ES"/>
        </w:rPr>
      </w:pPr>
    </w:p>
    <w:p w14:paraId="1171A9BB" w14:textId="0C8F824B" w:rsidR="009B72F3" w:rsidRDefault="009B72F3" w:rsidP="009B72F3">
      <w:pPr>
        <w:spacing w:after="0" w:line="360" w:lineRule="auto"/>
        <w:contextualSpacing/>
        <w:jc w:val="both"/>
        <w:rPr>
          <w:rFonts w:ascii="Century Gothic" w:eastAsia="Arial" w:hAnsi="Century Gothic" w:cs="Arial"/>
          <w:sz w:val="24"/>
          <w:szCs w:val="24"/>
          <w:lang w:eastAsia="es-ES"/>
        </w:rPr>
      </w:pPr>
      <w:r>
        <w:rPr>
          <w:rFonts w:ascii="Century Gothic" w:eastAsia="Arial" w:hAnsi="Century Gothic" w:cs="Arial"/>
          <w:b/>
          <w:sz w:val="24"/>
          <w:szCs w:val="24"/>
          <w:lang w:eastAsia="es-ES"/>
        </w:rPr>
        <w:t>I</w:t>
      </w:r>
      <w:r w:rsidR="009C223A">
        <w:rPr>
          <w:rFonts w:ascii="Century Gothic" w:eastAsia="Arial" w:hAnsi="Century Gothic" w:cs="Arial"/>
          <w:b/>
          <w:sz w:val="24"/>
          <w:szCs w:val="24"/>
          <w:lang w:eastAsia="es-ES"/>
        </w:rPr>
        <w:t>V</w:t>
      </w:r>
      <w:r w:rsidRPr="00B363C3">
        <w:rPr>
          <w:rFonts w:ascii="Century Gothic" w:eastAsia="Arial" w:hAnsi="Century Gothic" w:cs="Arial"/>
          <w:b/>
          <w:sz w:val="24"/>
          <w:szCs w:val="24"/>
          <w:lang w:eastAsia="es-ES"/>
        </w:rPr>
        <w:t xml:space="preserve">.- </w:t>
      </w:r>
      <w:r w:rsidRPr="00B363C3">
        <w:rPr>
          <w:rFonts w:ascii="Century Gothic" w:eastAsia="Arial" w:hAnsi="Century Gothic" w:cs="Arial"/>
          <w:sz w:val="24"/>
          <w:szCs w:val="24"/>
          <w:lang w:eastAsia="es-ES"/>
        </w:rPr>
        <w:t>Ahora bien, al entrar al estudio y análisis de la Iniciativa que nos ocupa, quienes integramos la Comisión de Turismo, formulamos las siguientes:</w:t>
      </w:r>
    </w:p>
    <w:p w14:paraId="6F16A2B3" w14:textId="77777777" w:rsidR="00395FFF" w:rsidRPr="00B363C3" w:rsidRDefault="00395FFF" w:rsidP="009B72F3">
      <w:pPr>
        <w:spacing w:after="0" w:line="360" w:lineRule="auto"/>
        <w:contextualSpacing/>
        <w:jc w:val="both"/>
        <w:rPr>
          <w:rFonts w:ascii="Century Gothic" w:eastAsia="Arial" w:hAnsi="Century Gothic" w:cs="Arial"/>
          <w:sz w:val="24"/>
          <w:szCs w:val="24"/>
          <w:lang w:eastAsia="es-ES"/>
        </w:rPr>
      </w:pPr>
    </w:p>
    <w:p w14:paraId="0808F94A" w14:textId="28B7865E" w:rsidR="00FD2647" w:rsidRPr="00AD2CC2" w:rsidRDefault="00FD2647" w:rsidP="00AD2CC2">
      <w:pPr>
        <w:pStyle w:val="Ttulo3"/>
        <w:shd w:val="clear" w:color="auto" w:fill="FFFFFF"/>
        <w:spacing w:before="480" w:after="240" w:line="360" w:lineRule="auto"/>
        <w:jc w:val="center"/>
        <w:rPr>
          <w:rFonts w:ascii="Century Gothic" w:hAnsi="Century Gothic" w:cs="Segoe UI"/>
          <w:b/>
          <w:bCs/>
          <w:color w:val="0F1115"/>
        </w:rPr>
      </w:pPr>
      <w:r w:rsidRPr="00AD2CC2">
        <w:rPr>
          <w:rFonts w:ascii="Century Gothic" w:hAnsi="Century Gothic" w:cs="Segoe UI"/>
          <w:b/>
          <w:bCs/>
          <w:color w:val="0F1115"/>
        </w:rPr>
        <w:t>CONSIDERACIONES</w:t>
      </w:r>
    </w:p>
    <w:p w14:paraId="5B504CD8" w14:textId="5C447D51"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Fonts w:ascii="Century Gothic" w:hAnsi="Century Gothic" w:cs="Segoe UI"/>
          <w:b/>
          <w:bCs/>
          <w:color w:val="0F1115"/>
        </w:rPr>
        <w:t>I.</w:t>
      </w:r>
      <w:r w:rsidRPr="00AD2CC2">
        <w:rPr>
          <w:rFonts w:ascii="Century Gothic" w:hAnsi="Century Gothic" w:cs="Segoe UI"/>
          <w:color w:val="0F1115"/>
        </w:rPr>
        <w:t xml:space="preserve"> Esta Comisión es competente para conocer y dictaminar la presente iniciativa, de conformidad con el artículo 170 de la Ley Orgánica del Poder Legislativo, que establece que las comisiones dictaminarán los asuntos de su competencia. Asimismo, el artículo 2, fracción IV del Reglamento Interior y de Prácticas Parlamentarias del Poder Legislativo señala que la Comisión de Turismo tiene facultades para conocer de iniciativas relacionadas con el fomento, desarrollo y regulación de la actividad turística en el Estado.</w:t>
      </w:r>
    </w:p>
    <w:p w14:paraId="2ABABCE6" w14:textId="54211C09" w:rsidR="00FD2647" w:rsidRPr="00AD2CC2" w:rsidRDefault="00FD2647" w:rsidP="00AD2CC2">
      <w:pPr>
        <w:pStyle w:val="Ttulo3"/>
        <w:shd w:val="clear" w:color="auto" w:fill="FFFFFF"/>
        <w:spacing w:before="480" w:after="240" w:line="360" w:lineRule="auto"/>
        <w:jc w:val="both"/>
        <w:rPr>
          <w:rFonts w:ascii="Century Gothic" w:hAnsi="Century Gothic" w:cs="Segoe UI"/>
          <w:color w:val="0F1115"/>
        </w:rPr>
      </w:pPr>
      <w:r w:rsidRPr="00AD2CC2">
        <w:rPr>
          <w:rFonts w:ascii="Century Gothic" w:hAnsi="Century Gothic" w:cs="Segoe UI"/>
          <w:b/>
          <w:bCs/>
          <w:color w:val="0F1115"/>
        </w:rPr>
        <w:t xml:space="preserve">II. </w:t>
      </w:r>
      <w:r w:rsidRPr="00AD2CC2">
        <w:rPr>
          <w:rFonts w:ascii="Century Gothic" w:hAnsi="Century Gothic" w:cs="Segoe UI"/>
          <w:color w:val="0F1115"/>
        </w:rPr>
        <w:t>La iniciativa tiene por objeto</w:t>
      </w:r>
      <w:r w:rsidR="009C223A">
        <w:rPr>
          <w:rFonts w:ascii="Century Gothic" w:hAnsi="Century Gothic" w:cs="Segoe UI"/>
          <w:color w:val="0F1115"/>
        </w:rPr>
        <w:t xml:space="preserve"> </w:t>
      </w:r>
      <w:r w:rsidR="009C223A" w:rsidRPr="00AD2CC2">
        <w:rPr>
          <w:rFonts w:ascii="Century Gothic" w:hAnsi="Century Gothic" w:cs="Segoe UI"/>
          <w:color w:val="0F1115"/>
        </w:rPr>
        <w:t>actualizar</w:t>
      </w:r>
      <w:r w:rsidRPr="00AD2CC2">
        <w:rPr>
          <w:rFonts w:ascii="Century Gothic" w:hAnsi="Century Gothic" w:cs="Segoe UI"/>
          <w:color w:val="0F1115"/>
        </w:rPr>
        <w:t xml:space="preserve"> integralmente la Ley de Turismo del Estado de Chihuahua. Para ello incorpora disposiciones en las siguientes materias:</w:t>
      </w:r>
    </w:p>
    <w:p w14:paraId="58ED7B3A"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Gobernanza técnica y planeación turística (Consejo Técnico Estatal de Turismo y Observatorio Turístico);</w:t>
      </w:r>
    </w:p>
    <w:p w14:paraId="299D3856"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Fondo Estatal de Apoyo a Prestadores de Servicios Turísticos;</w:t>
      </w:r>
    </w:p>
    <w:p w14:paraId="0F871409"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Corredores Turísticos Prioritarios, incluida la “Ruta de Villa”;</w:t>
      </w:r>
    </w:p>
    <w:p w14:paraId="4C185A1C"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Cadenas de valor turístico;</w:t>
      </w:r>
    </w:p>
    <w:p w14:paraId="5D45D0E4"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lastRenderedPageBreak/>
        <w:t>Modalidades turísticas especializadas (ecoturismo, enoturismo, turismo cultural artesanal, turismo médico, turismo de negocios);</w:t>
      </w:r>
    </w:p>
    <w:p w14:paraId="5A6BAA2C"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Turismo educativo y de cultura;</w:t>
      </w:r>
    </w:p>
    <w:p w14:paraId="6F6C30AD"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Turismo social;</w:t>
      </w:r>
    </w:p>
    <w:p w14:paraId="24943CC2"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Plataformas digitales y servicio de hospedaje ocasional;</w:t>
      </w:r>
    </w:p>
    <w:p w14:paraId="65EBA522"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Difusión estratégica y posicionamiento;</w:t>
      </w:r>
    </w:p>
    <w:p w14:paraId="1C2AEE35" w14:textId="77777777" w:rsidR="00FD2647" w:rsidRPr="00AD2CC2" w:rsidRDefault="00FD2647" w:rsidP="00AD2CC2">
      <w:pPr>
        <w:pStyle w:val="ds-markdown-paragraph"/>
        <w:numPr>
          <w:ilvl w:val="0"/>
          <w:numId w:val="12"/>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Inspección, verificación, sanciones y recursos.</w:t>
      </w:r>
    </w:p>
    <w:p w14:paraId="56B7015D" w14:textId="5EA92230" w:rsidR="00FD2647" w:rsidRPr="00AD2CC2" w:rsidRDefault="00FD2647" w:rsidP="00AD2CC2">
      <w:pPr>
        <w:pStyle w:val="Ttulo3"/>
        <w:shd w:val="clear" w:color="auto" w:fill="FFFFFF"/>
        <w:spacing w:before="480" w:after="240" w:line="360" w:lineRule="auto"/>
        <w:jc w:val="both"/>
        <w:rPr>
          <w:rFonts w:ascii="Century Gothic" w:hAnsi="Century Gothic" w:cs="Segoe UI"/>
          <w:color w:val="0F1115"/>
        </w:rPr>
      </w:pPr>
      <w:r w:rsidRPr="00AD2CC2">
        <w:rPr>
          <w:rFonts w:ascii="Century Gothic" w:hAnsi="Century Gothic" w:cs="Segoe UI"/>
          <w:b/>
          <w:bCs/>
          <w:color w:val="0F1115"/>
        </w:rPr>
        <w:t xml:space="preserve">III. </w:t>
      </w:r>
      <w:r w:rsidRPr="00AD2CC2">
        <w:rPr>
          <w:rFonts w:ascii="Century Gothic" w:hAnsi="Century Gothic" w:cs="Segoe UI"/>
          <w:color w:val="0F1115"/>
        </w:rPr>
        <w:t>Esta Comisión</w:t>
      </w:r>
      <w:r w:rsidR="009C223A">
        <w:rPr>
          <w:rFonts w:ascii="Century Gothic" w:hAnsi="Century Gothic" w:cs="Segoe UI"/>
          <w:color w:val="0F1115"/>
        </w:rPr>
        <w:t>,</w:t>
      </w:r>
      <w:r w:rsidRPr="00AD2CC2">
        <w:rPr>
          <w:rFonts w:ascii="Century Gothic" w:hAnsi="Century Gothic" w:cs="Segoe UI"/>
          <w:color w:val="0F1115"/>
        </w:rPr>
        <w:t xml:space="preserve"> verificó que la iniciativa respeta el marco constitucional y legal aplicable, con las precisiones siguientes.</w:t>
      </w:r>
    </w:p>
    <w:p w14:paraId="45BC2BF2" w14:textId="21D8446C"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Fonts w:ascii="Century Gothic" w:hAnsi="Century Gothic" w:cs="Segoe UI"/>
          <w:color w:val="0F1115"/>
        </w:rPr>
        <w:t xml:space="preserve">El turismo es materia concurrente entre la Federación, los estados y los municipios, conforme al artículo 73, fracción XXIX-K de la Constitución Política de los Estados Unidos Mexicanos y a la Ley General de Turismo. El Estado de Chihuahua tiene facultades para legislar en materia de fomento económico, desarrollo regional y regulación de actividades productivas de interés estatal, de acuerdo con el artículo </w:t>
      </w:r>
      <w:r w:rsidRPr="00E318C8">
        <w:rPr>
          <w:rFonts w:ascii="Century Gothic" w:hAnsi="Century Gothic" w:cs="Segoe UI"/>
          <w:color w:val="0F1115"/>
        </w:rPr>
        <w:t>64, fracción IV</w:t>
      </w:r>
      <w:r w:rsidRPr="00AD2CC2">
        <w:rPr>
          <w:rFonts w:ascii="Century Gothic" w:hAnsi="Century Gothic" w:cs="Segoe UI"/>
          <w:color w:val="0F1115"/>
        </w:rPr>
        <w:t xml:space="preserve"> de la Constitución Política del Estado.</w:t>
      </w:r>
    </w:p>
    <w:p w14:paraId="5EEEB09D" w14:textId="00C5A89F"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Fonts w:ascii="Century Gothic" w:hAnsi="Century Gothic" w:cs="Segoe UI"/>
          <w:color w:val="0F1115"/>
        </w:rPr>
        <w:t xml:space="preserve">La iniciativa </w:t>
      </w:r>
      <w:r w:rsidRPr="00E318C8">
        <w:rPr>
          <w:rFonts w:ascii="Century Gothic" w:hAnsi="Century Gothic" w:cs="Segoe UI"/>
          <w:color w:val="0F1115"/>
        </w:rPr>
        <w:t>subordina expresamente la obligatoriedad del registro de plataformas digitales y de anfitriones a la expedición de una ley general por el Congreso de la Unión (Transitorio Quinto).</w:t>
      </w:r>
      <w:r w:rsidRPr="00AD2CC2">
        <w:rPr>
          <w:rFonts w:ascii="Century Gothic" w:hAnsi="Century Gothic" w:cs="Segoe UI"/>
          <w:color w:val="0F1115"/>
        </w:rPr>
        <w:t xml:space="preserve"> Esta cláusula de salvaguarda evita una invasión a la competencia federal en materia de comercio electrónico y plataformas digitales.</w:t>
      </w:r>
    </w:p>
    <w:p w14:paraId="05FA5EBD" w14:textId="39E296E1"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Fonts w:ascii="Century Gothic" w:hAnsi="Century Gothic" w:cs="Segoe UI"/>
          <w:color w:val="0F1115"/>
        </w:rPr>
        <w:lastRenderedPageBreak/>
        <w:t>La iniciativa reconoce las facultades de los municipios en materia de desarrollo urbano, uso de suelo, protección civil y seguridad. Asimismo, prevé la coordinación interinstitucional para evitar duplicidades o invasión de competencias.</w:t>
      </w:r>
    </w:p>
    <w:p w14:paraId="71113B1E" w14:textId="44C31BA4"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Fonts w:ascii="Century Gothic" w:hAnsi="Century Gothic" w:cs="Segoe UI"/>
          <w:color w:val="0F1115"/>
        </w:rPr>
        <w:t>Las sanciones previstas en los artículos 94 y 95 están claramente tipificadas, con rangos de multa y criterios de graduación (artículo 96). Se garantiza el derecho de audiencia y el recurso de revisión (artículo 97).</w:t>
      </w:r>
    </w:p>
    <w:p w14:paraId="3D15F286" w14:textId="59CEBD8C" w:rsidR="00FD2647"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Fonts w:ascii="Century Gothic" w:hAnsi="Century Gothic" w:cs="Segoe UI"/>
          <w:color w:val="0F1115"/>
        </w:rPr>
        <w:t>La remisión de ciertos aspectos al Reglamento (integración del Consejo, reglas del Fondo, etc.) es aceptable, siempre que dicho ordenamiento respete los principios de la ley y se expida dentro del plazo establecido. Para evitar una delegación excesiva, esta Comisión amplió el plazo del Transitorio Segundo a ciento veinte días naturales.</w:t>
      </w:r>
    </w:p>
    <w:p w14:paraId="2B29E02C" w14:textId="034F02C2" w:rsidR="00060D53" w:rsidRPr="00060D53" w:rsidRDefault="00060D53" w:rsidP="00060D53">
      <w:pPr>
        <w:spacing w:line="360" w:lineRule="auto"/>
        <w:jc w:val="both"/>
        <w:rPr>
          <w:rFonts w:ascii="Century Gothic" w:eastAsia="Aptos" w:hAnsi="Century Gothic" w:cs="Times New Roman"/>
          <w:kern w:val="2"/>
          <w:sz w:val="24"/>
          <w:szCs w:val="24"/>
          <w14:ligatures w14:val="standardContextual"/>
        </w:rPr>
      </w:pPr>
      <w:r w:rsidRPr="00E318C8">
        <w:rPr>
          <w:rFonts w:ascii="Century Gothic" w:eastAsia="Aptos" w:hAnsi="Century Gothic" w:cs="Times New Roman"/>
          <w:kern w:val="2"/>
          <w:sz w:val="24"/>
          <w:szCs w:val="24"/>
          <w14:ligatures w14:val="standardContextual"/>
        </w:rPr>
        <w:t>Esta Comisión</w:t>
      </w:r>
      <w:r w:rsidR="009C223A" w:rsidRPr="00B1370B">
        <w:rPr>
          <w:rFonts w:ascii="Century Gothic" w:eastAsia="Aptos" w:hAnsi="Century Gothic" w:cs="Times New Roman"/>
          <w:kern w:val="2"/>
          <w:sz w:val="24"/>
          <w:szCs w:val="24"/>
          <w14:ligatures w14:val="standardContextual"/>
        </w:rPr>
        <w:t>,</w:t>
      </w:r>
      <w:r w:rsidRPr="00060D53">
        <w:rPr>
          <w:rFonts w:ascii="Century Gothic" w:eastAsia="Aptos" w:hAnsi="Century Gothic" w:cs="Times New Roman"/>
          <w:kern w:val="2"/>
          <w:sz w:val="24"/>
          <w:szCs w:val="24"/>
          <w14:ligatures w14:val="standardContextual"/>
        </w:rPr>
        <w:t xml:space="preserve"> verificó que el </w:t>
      </w:r>
      <w:r w:rsidRPr="00B1370B">
        <w:rPr>
          <w:rFonts w:ascii="Century Gothic" w:eastAsia="Aptos" w:hAnsi="Century Gothic" w:cs="Times New Roman"/>
          <w:kern w:val="2"/>
          <w:sz w:val="24"/>
          <w:szCs w:val="24"/>
          <w14:ligatures w14:val="standardContextual"/>
        </w:rPr>
        <w:t>Fondo Estatal de Apoyo a Prestadores</w:t>
      </w:r>
      <w:r w:rsidRPr="009C223A">
        <w:rPr>
          <w:rFonts w:ascii="Century Gothic" w:eastAsia="Aptos" w:hAnsi="Century Gothic" w:cs="Times New Roman"/>
          <w:kern w:val="2"/>
          <w:sz w:val="24"/>
          <w:szCs w:val="24"/>
          <w14:ligatures w14:val="standardContextual"/>
        </w:rPr>
        <w:t xml:space="preserve"> </w:t>
      </w:r>
      <w:r w:rsidRPr="00B1370B">
        <w:rPr>
          <w:rFonts w:ascii="Century Gothic" w:eastAsia="Aptos" w:hAnsi="Century Gothic" w:cs="Times New Roman"/>
          <w:kern w:val="2"/>
          <w:sz w:val="24"/>
          <w:szCs w:val="24"/>
          <w14:ligatures w14:val="standardContextual"/>
        </w:rPr>
        <w:t>de Servicios Turísticos previsto en el artículo 60 no encuadra en el supuesto del artículo 64, fracción XLI de la Constitución Política del Estado, toda vez que no se constituye como organismo descentralizado, fideicomiso público ni entidad similar.</w:t>
      </w:r>
      <w:r w:rsidRPr="00060D53">
        <w:rPr>
          <w:rFonts w:ascii="Century Gothic" w:eastAsia="Aptos" w:hAnsi="Century Gothic" w:cs="Times New Roman"/>
          <w:kern w:val="2"/>
          <w:sz w:val="24"/>
          <w:szCs w:val="24"/>
          <w14:ligatures w14:val="standardContextual"/>
        </w:rPr>
        <w:t xml:space="preserve"> Su naturaleza jurídica corresponde a la de un programa de asignación presupuestaria administrado directamente por la Secretaría de Turismo, sin personalidad jurídica ni patrimonio propios. En consecuencia, el Congreso del Estado</w:t>
      </w:r>
      <w:r w:rsidR="009C223A">
        <w:rPr>
          <w:rFonts w:ascii="Century Gothic" w:eastAsia="Aptos" w:hAnsi="Century Gothic" w:cs="Times New Roman"/>
          <w:kern w:val="2"/>
          <w:sz w:val="24"/>
          <w:szCs w:val="24"/>
          <w14:ligatures w14:val="standardContextual"/>
        </w:rPr>
        <w:t>,</w:t>
      </w:r>
      <w:r w:rsidRPr="00060D53">
        <w:rPr>
          <w:rFonts w:ascii="Century Gothic" w:eastAsia="Aptos" w:hAnsi="Century Gothic" w:cs="Times New Roman"/>
          <w:kern w:val="2"/>
          <w:sz w:val="24"/>
          <w:szCs w:val="24"/>
          <w14:ligatures w14:val="standardContextual"/>
        </w:rPr>
        <w:t xml:space="preserve"> actúa dentro de sus facultades ordinarias al regular su creación mediante ley ordinaria, conservando en todo momento el control sobre su financiamiento a través del proceso presupuestario anual.</w:t>
      </w:r>
    </w:p>
    <w:p w14:paraId="430F608B" w14:textId="0DEEA062" w:rsidR="00832ADD" w:rsidRPr="00832ADD" w:rsidRDefault="00832ADD" w:rsidP="00832ADD">
      <w:pPr>
        <w:keepNext/>
        <w:keepLines/>
        <w:shd w:val="clear" w:color="auto" w:fill="FFFFFF"/>
        <w:spacing w:before="480" w:after="240" w:line="360" w:lineRule="auto"/>
        <w:jc w:val="both"/>
        <w:outlineLvl w:val="2"/>
        <w:rPr>
          <w:rFonts w:ascii="Century Gothic" w:eastAsiaTheme="majorEastAsia" w:hAnsi="Century Gothic" w:cs="Segoe UI"/>
          <w:color w:val="0F1115"/>
          <w:sz w:val="24"/>
          <w:szCs w:val="24"/>
        </w:rPr>
      </w:pPr>
      <w:r w:rsidRPr="00832ADD">
        <w:rPr>
          <w:rFonts w:ascii="Century Gothic" w:eastAsiaTheme="majorEastAsia" w:hAnsi="Century Gothic" w:cs="Segoe UI"/>
          <w:b/>
          <w:bCs/>
          <w:color w:val="0F1115"/>
          <w:sz w:val="24"/>
          <w:szCs w:val="24"/>
        </w:rPr>
        <w:lastRenderedPageBreak/>
        <w:t xml:space="preserve">IV. </w:t>
      </w:r>
      <w:r>
        <w:rPr>
          <w:rFonts w:ascii="Century Gothic" w:eastAsiaTheme="majorEastAsia" w:hAnsi="Century Gothic" w:cs="Segoe UI"/>
          <w:color w:val="0F1115"/>
          <w:sz w:val="24"/>
          <w:szCs w:val="24"/>
        </w:rPr>
        <w:t>En ese sentido, s</w:t>
      </w:r>
      <w:r w:rsidRPr="00832ADD">
        <w:rPr>
          <w:rFonts w:ascii="Century Gothic" w:eastAsiaTheme="majorEastAsia" w:hAnsi="Century Gothic" w:cs="Segoe UI"/>
          <w:color w:val="0F1115"/>
          <w:sz w:val="24"/>
          <w:szCs w:val="24"/>
        </w:rPr>
        <w:t>e considera que la iniciativa es viable, necesaria y altamente positiva para el desarrollo turístico del Estado de Chihuahua. Las razones principales son:</w:t>
      </w:r>
    </w:p>
    <w:p w14:paraId="3FF77D40" w14:textId="77777777" w:rsidR="00832ADD" w:rsidRPr="00832ADD" w:rsidRDefault="00832ADD" w:rsidP="00832ADD">
      <w:pPr>
        <w:numPr>
          <w:ilvl w:val="0"/>
          <w:numId w:val="13"/>
        </w:numPr>
        <w:shd w:val="clear" w:color="auto" w:fill="FFFFFF"/>
        <w:spacing w:before="100" w:beforeAutospacing="1" w:after="0" w:line="360" w:lineRule="auto"/>
        <w:jc w:val="both"/>
        <w:rPr>
          <w:rFonts w:ascii="Century Gothic" w:eastAsia="Times New Roman" w:hAnsi="Century Gothic" w:cs="Segoe UI"/>
          <w:color w:val="0F1115"/>
          <w:sz w:val="24"/>
          <w:szCs w:val="24"/>
          <w:lang w:eastAsia="es-MX"/>
        </w:rPr>
      </w:pPr>
      <w:r w:rsidRPr="00832ADD">
        <w:rPr>
          <w:rFonts w:ascii="Century Gothic" w:eastAsia="Times New Roman" w:hAnsi="Century Gothic" w:cs="Segoe UI"/>
          <w:b/>
          <w:bCs/>
          <w:color w:val="0F1115"/>
          <w:sz w:val="24"/>
          <w:szCs w:val="24"/>
          <w:lang w:eastAsia="es-MX"/>
        </w:rPr>
        <w:t>Legitimidad participativa:</w:t>
      </w:r>
      <w:r w:rsidRPr="00832ADD">
        <w:rPr>
          <w:rFonts w:ascii="Century Gothic" w:eastAsia="Times New Roman" w:hAnsi="Century Gothic" w:cs="Segoe UI"/>
          <w:color w:val="0F1115"/>
          <w:sz w:val="24"/>
          <w:szCs w:val="24"/>
          <w:lang w:eastAsia="es-MX"/>
        </w:rPr>
        <w:t> Es producto de un ejercicio democrático sin precedentes, con foros de consulta en distintas regiones del Estado, que permitió recoger la voz directa de prestadores de servicios, municipios, académicos y sociedad civil.</w:t>
      </w:r>
    </w:p>
    <w:p w14:paraId="148CE867" w14:textId="77777777" w:rsidR="00832ADD" w:rsidRPr="00832ADD" w:rsidRDefault="00832ADD" w:rsidP="00832ADD">
      <w:pPr>
        <w:numPr>
          <w:ilvl w:val="0"/>
          <w:numId w:val="13"/>
        </w:numPr>
        <w:shd w:val="clear" w:color="auto" w:fill="FFFFFF"/>
        <w:spacing w:before="100" w:beforeAutospacing="1" w:after="0" w:line="360" w:lineRule="auto"/>
        <w:jc w:val="both"/>
        <w:rPr>
          <w:rFonts w:ascii="Century Gothic" w:eastAsia="Times New Roman" w:hAnsi="Century Gothic" w:cs="Segoe UI"/>
          <w:color w:val="0F1115"/>
          <w:sz w:val="24"/>
          <w:szCs w:val="24"/>
          <w:lang w:eastAsia="es-MX"/>
        </w:rPr>
      </w:pPr>
      <w:r w:rsidRPr="00832ADD">
        <w:rPr>
          <w:rFonts w:ascii="Century Gothic" w:eastAsia="Times New Roman" w:hAnsi="Century Gothic" w:cs="Segoe UI"/>
          <w:b/>
          <w:bCs/>
          <w:color w:val="0F1115"/>
          <w:sz w:val="24"/>
          <w:szCs w:val="24"/>
          <w:lang w:eastAsia="es-MX"/>
        </w:rPr>
        <w:t>Profesionalización de la planeación:</w:t>
      </w:r>
      <w:r w:rsidRPr="00832ADD">
        <w:rPr>
          <w:rFonts w:ascii="Century Gothic" w:eastAsia="Times New Roman" w:hAnsi="Century Gothic" w:cs="Segoe UI"/>
          <w:color w:val="0F1115"/>
          <w:sz w:val="24"/>
          <w:szCs w:val="24"/>
          <w:lang w:eastAsia="es-MX"/>
        </w:rPr>
        <w:t> La creación del Consejo Técnico Estatal de Turismo y del Observatorio Turístico permitirá transitar de una planeación basada en la práctica a una gobernanza técnica sustentada en datos duros, lo que mejorará la toma de decisiones públicas y privadas.</w:t>
      </w:r>
    </w:p>
    <w:p w14:paraId="7CBC7D53" w14:textId="77777777" w:rsidR="00832ADD" w:rsidRPr="00832ADD" w:rsidRDefault="00832ADD" w:rsidP="00832ADD">
      <w:pPr>
        <w:numPr>
          <w:ilvl w:val="0"/>
          <w:numId w:val="13"/>
        </w:numPr>
        <w:shd w:val="clear" w:color="auto" w:fill="FFFFFF"/>
        <w:spacing w:before="100" w:beforeAutospacing="1" w:after="0" w:line="360" w:lineRule="auto"/>
        <w:jc w:val="both"/>
        <w:rPr>
          <w:rFonts w:ascii="Century Gothic" w:eastAsia="Times New Roman" w:hAnsi="Century Gothic" w:cs="Segoe UI"/>
          <w:color w:val="0F1115"/>
          <w:sz w:val="24"/>
          <w:szCs w:val="24"/>
          <w:lang w:eastAsia="es-MX"/>
        </w:rPr>
      </w:pPr>
      <w:r w:rsidRPr="00832ADD">
        <w:rPr>
          <w:rFonts w:ascii="Century Gothic" w:eastAsia="Times New Roman" w:hAnsi="Century Gothic" w:cs="Segoe UI"/>
          <w:b/>
          <w:bCs/>
          <w:color w:val="0F1115"/>
          <w:sz w:val="24"/>
          <w:szCs w:val="24"/>
          <w:lang w:eastAsia="es-MX"/>
        </w:rPr>
        <w:t>Diversificación de la oferta:</w:t>
      </w:r>
      <w:r w:rsidRPr="00832ADD">
        <w:rPr>
          <w:rFonts w:ascii="Century Gothic" w:eastAsia="Times New Roman" w:hAnsi="Century Gothic" w:cs="Segoe UI"/>
          <w:color w:val="0F1115"/>
          <w:sz w:val="24"/>
          <w:szCs w:val="24"/>
          <w:lang w:eastAsia="es-MX"/>
        </w:rPr>
        <w:t> El reconocimiento de modalidades como el enoturismo, ecoturismo, turismo médico y turismo educativo posiciona a Chihuahua como un destino competitivo y moderno.</w:t>
      </w:r>
    </w:p>
    <w:p w14:paraId="6620C50C" w14:textId="77777777" w:rsidR="00832ADD" w:rsidRPr="00832ADD" w:rsidRDefault="00832ADD" w:rsidP="00832ADD">
      <w:pPr>
        <w:numPr>
          <w:ilvl w:val="0"/>
          <w:numId w:val="13"/>
        </w:numPr>
        <w:shd w:val="clear" w:color="auto" w:fill="FFFFFF"/>
        <w:spacing w:before="100" w:beforeAutospacing="1" w:after="0" w:line="360" w:lineRule="auto"/>
        <w:jc w:val="both"/>
        <w:rPr>
          <w:rFonts w:ascii="Century Gothic" w:eastAsia="Times New Roman" w:hAnsi="Century Gothic" w:cs="Segoe UI"/>
          <w:color w:val="0F1115"/>
          <w:sz w:val="24"/>
          <w:szCs w:val="24"/>
          <w:lang w:eastAsia="es-MX"/>
        </w:rPr>
      </w:pPr>
      <w:r w:rsidRPr="00832ADD">
        <w:rPr>
          <w:rFonts w:ascii="Century Gothic" w:eastAsia="Times New Roman" w:hAnsi="Century Gothic" w:cs="Segoe UI"/>
          <w:b/>
          <w:bCs/>
          <w:color w:val="0F1115"/>
          <w:sz w:val="24"/>
          <w:szCs w:val="24"/>
          <w:lang w:eastAsia="es-MX"/>
        </w:rPr>
        <w:t>Inclusión social:</w:t>
      </w:r>
      <w:r w:rsidRPr="00832ADD">
        <w:rPr>
          <w:rFonts w:ascii="Century Gothic" w:eastAsia="Times New Roman" w:hAnsi="Century Gothic" w:cs="Segoe UI"/>
          <w:color w:val="0F1115"/>
          <w:sz w:val="24"/>
          <w:szCs w:val="24"/>
          <w:lang w:eastAsia="es-MX"/>
        </w:rPr>
        <w:t> Los capítulos de Turismo Social y de Cadenas de Valor garantizan que los beneficios del turismo lleguen a comunidades rurales, grupos vulnerables y micro, pequeñas y medianas empresas locales.</w:t>
      </w:r>
    </w:p>
    <w:p w14:paraId="12344CC8" w14:textId="77777777" w:rsidR="00832ADD" w:rsidRPr="00832ADD" w:rsidRDefault="00832ADD" w:rsidP="00832ADD">
      <w:pPr>
        <w:numPr>
          <w:ilvl w:val="0"/>
          <w:numId w:val="13"/>
        </w:numPr>
        <w:shd w:val="clear" w:color="auto" w:fill="FFFFFF"/>
        <w:spacing w:before="100" w:beforeAutospacing="1" w:after="0" w:line="360" w:lineRule="auto"/>
        <w:jc w:val="both"/>
        <w:rPr>
          <w:rFonts w:ascii="Century Gothic" w:eastAsia="Times New Roman" w:hAnsi="Century Gothic" w:cs="Segoe UI"/>
          <w:color w:val="0F1115"/>
          <w:sz w:val="24"/>
          <w:szCs w:val="24"/>
          <w:lang w:eastAsia="es-MX"/>
        </w:rPr>
      </w:pPr>
      <w:r w:rsidRPr="00832ADD">
        <w:rPr>
          <w:rFonts w:ascii="Century Gothic" w:eastAsia="Times New Roman" w:hAnsi="Century Gothic" w:cs="Segoe UI"/>
          <w:b/>
          <w:bCs/>
          <w:color w:val="0F1115"/>
          <w:sz w:val="24"/>
          <w:szCs w:val="24"/>
          <w:lang w:eastAsia="es-MX"/>
        </w:rPr>
        <w:t>Regulación prudente de plataformas digitales:</w:t>
      </w:r>
      <w:r w:rsidRPr="00832ADD">
        <w:rPr>
          <w:rFonts w:ascii="Century Gothic" w:eastAsia="Times New Roman" w:hAnsi="Century Gothic" w:cs="Segoe UI"/>
          <w:color w:val="0F1115"/>
          <w:sz w:val="24"/>
          <w:szCs w:val="24"/>
          <w:lang w:eastAsia="es-MX"/>
        </w:rPr>
        <w:t> La iniciativa adopta un enfoque equilibrado: establece un registro declarativo, subordina su obligatoriedad a la ley federal y prevé mecanismos de coordinación con la Federación.</w:t>
      </w:r>
    </w:p>
    <w:p w14:paraId="7B724BF3" w14:textId="655439DA" w:rsidR="00832ADD" w:rsidRPr="00832ADD" w:rsidRDefault="00832ADD" w:rsidP="00832ADD">
      <w:pPr>
        <w:numPr>
          <w:ilvl w:val="0"/>
          <w:numId w:val="13"/>
        </w:numPr>
        <w:shd w:val="clear" w:color="auto" w:fill="FFFFFF"/>
        <w:spacing w:before="100" w:beforeAutospacing="1" w:after="0" w:line="360" w:lineRule="auto"/>
        <w:jc w:val="both"/>
        <w:rPr>
          <w:rFonts w:ascii="Century Gothic" w:eastAsia="Times New Roman" w:hAnsi="Century Gothic" w:cs="Segoe UI"/>
          <w:color w:val="0F1115"/>
          <w:sz w:val="24"/>
          <w:szCs w:val="24"/>
          <w:lang w:eastAsia="es-MX"/>
        </w:rPr>
      </w:pPr>
      <w:r w:rsidRPr="00832ADD">
        <w:rPr>
          <w:rFonts w:ascii="Century Gothic" w:eastAsia="Times New Roman" w:hAnsi="Century Gothic" w:cs="Segoe UI"/>
          <w:b/>
          <w:bCs/>
          <w:color w:val="0F1115"/>
          <w:sz w:val="24"/>
          <w:szCs w:val="24"/>
          <w:lang w:eastAsia="es-MX"/>
        </w:rPr>
        <w:lastRenderedPageBreak/>
        <w:t>Fortalecimiento de la identidad estatal:</w:t>
      </w:r>
      <w:r w:rsidRPr="00832ADD">
        <w:rPr>
          <w:rFonts w:ascii="Century Gothic" w:eastAsia="Times New Roman" w:hAnsi="Century Gothic" w:cs="Segoe UI"/>
          <w:color w:val="0F1115"/>
          <w:sz w:val="24"/>
          <w:szCs w:val="24"/>
          <w:lang w:eastAsia="es-MX"/>
        </w:rPr>
        <w:t> </w:t>
      </w:r>
      <w:r w:rsidRPr="00333DD4">
        <w:rPr>
          <w:rFonts w:ascii="Century Gothic" w:eastAsia="Times New Roman" w:hAnsi="Century Gothic" w:cs="Segoe UI"/>
          <w:color w:val="0F1115"/>
          <w:sz w:val="24"/>
          <w:szCs w:val="24"/>
          <w:lang w:eastAsia="es-MX"/>
        </w:rPr>
        <w:t>La declaración de la “Ruta de Villa” como corredor turístico prioritario</w:t>
      </w:r>
      <w:r w:rsidRPr="00832ADD">
        <w:rPr>
          <w:rFonts w:ascii="Century Gothic" w:eastAsia="Times New Roman" w:hAnsi="Century Gothic" w:cs="Segoe UI"/>
          <w:color w:val="0F1115"/>
          <w:sz w:val="24"/>
          <w:szCs w:val="24"/>
          <w:lang w:eastAsia="es-MX"/>
        </w:rPr>
        <w:t xml:space="preserve"> rescata y promueve la memoria histórica de la Revolución Mexicana.</w:t>
      </w:r>
    </w:p>
    <w:p w14:paraId="7F817B42" w14:textId="77777777" w:rsidR="00333DD4" w:rsidRDefault="00832ADD" w:rsidP="00AD2CC2">
      <w:pPr>
        <w:pStyle w:val="Ttulo3"/>
        <w:shd w:val="clear" w:color="auto" w:fill="FFFFFF"/>
        <w:spacing w:before="480" w:after="240" w:line="360" w:lineRule="auto"/>
        <w:jc w:val="both"/>
        <w:rPr>
          <w:rFonts w:ascii="Century Gothic" w:eastAsia="Times New Roman" w:hAnsi="Century Gothic" w:cs="Segoe UI"/>
          <w:color w:val="0F1115"/>
          <w:lang w:eastAsia="es-MX"/>
        </w:rPr>
      </w:pPr>
      <w:r w:rsidRPr="00832ADD">
        <w:rPr>
          <w:rFonts w:ascii="Century Gothic" w:eastAsia="Times New Roman" w:hAnsi="Century Gothic" w:cs="Segoe UI"/>
          <w:color w:val="0F1115"/>
          <w:lang w:eastAsia="es-MX"/>
        </w:rPr>
        <w:t>No obstante, para garantizar su operatividad y solidez jurídica, se requirieron las modificaciones señaladas en el apartado anterior, las cuales ya fueron incorporadas en el proyecto de decreto que se anexa</w:t>
      </w:r>
      <w:r w:rsidR="00333DD4">
        <w:rPr>
          <w:rFonts w:ascii="Century Gothic" w:eastAsia="Times New Roman" w:hAnsi="Century Gothic" w:cs="Segoe UI"/>
          <w:color w:val="0F1115"/>
          <w:lang w:eastAsia="es-MX"/>
        </w:rPr>
        <w:t>.</w:t>
      </w:r>
    </w:p>
    <w:p w14:paraId="0EA3F861" w14:textId="43BB3232" w:rsidR="00FD2647" w:rsidRPr="00AD2CC2" w:rsidRDefault="00FD2647" w:rsidP="00AD2CC2">
      <w:pPr>
        <w:pStyle w:val="Ttulo3"/>
        <w:shd w:val="clear" w:color="auto" w:fill="FFFFFF"/>
        <w:spacing w:before="480" w:after="240" w:line="360" w:lineRule="auto"/>
        <w:jc w:val="both"/>
        <w:rPr>
          <w:rFonts w:ascii="Century Gothic" w:hAnsi="Century Gothic" w:cs="Segoe UI"/>
          <w:color w:val="0F1115"/>
        </w:rPr>
      </w:pPr>
      <w:r w:rsidRPr="00AD2CC2">
        <w:rPr>
          <w:rFonts w:ascii="Century Gothic" w:hAnsi="Century Gothic" w:cs="Segoe UI"/>
          <w:b/>
          <w:bCs/>
          <w:color w:val="0F1115"/>
        </w:rPr>
        <w:t>V.</w:t>
      </w:r>
      <w:r w:rsidR="009C223A">
        <w:rPr>
          <w:rFonts w:ascii="Century Gothic" w:hAnsi="Century Gothic" w:cs="Segoe UI"/>
          <w:color w:val="0F1115"/>
        </w:rPr>
        <w:t xml:space="preserve"> En razón de lo anterior, </w:t>
      </w:r>
      <w:r w:rsidRPr="00AD2CC2">
        <w:rPr>
          <w:rFonts w:ascii="Century Gothic" w:hAnsi="Century Gothic" w:cs="Segoe UI"/>
          <w:color w:val="0F1115"/>
        </w:rPr>
        <w:t>se propone al Pleno la aprobación del texto que incorpora las correcciones de técnica legislativa, los ajustes de redacción y las precisiones necesarias. Dicho texto se presenta a continuación como parte integrante de este dictamen.</w:t>
      </w:r>
    </w:p>
    <w:p w14:paraId="437C5BE8" w14:textId="77777777"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Fonts w:ascii="Century Gothic" w:hAnsi="Century Gothic" w:cs="Segoe UI"/>
          <w:color w:val="0F1115"/>
        </w:rPr>
        <w:t>En resumen, las modificaciones principales son:</w:t>
      </w:r>
    </w:p>
    <w:p w14:paraId="14DEB5BD"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Reformulación del artículo único para corregir errores de numeración y clarificar las reformas y adiciones.</w:t>
      </w:r>
    </w:p>
    <w:p w14:paraId="3EEEE110"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Precisión de las definiciones de “Estancia Turística Eventual” y “Hospedaje Ocasional” en el artículo 3.</w:t>
      </w:r>
    </w:p>
    <w:p w14:paraId="6D3CEEA3"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Corrección de la remisión interna en el artículo 94, fracción II.</w:t>
      </w:r>
    </w:p>
    <w:p w14:paraId="559BDC86"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Corrección del Transitorio Segundo (referencia al Capítulo XX, no XVII).</w:t>
      </w:r>
    </w:p>
    <w:p w14:paraId="5767DD84"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Ampliación del plazo para la expedición del Reglamento: de 60 a 120 días naturales.</w:t>
      </w:r>
    </w:p>
    <w:p w14:paraId="46A9ECD1"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Precisión en el artículo 82 respecto de la excepción para quienes habitan de manera permanente el inmueble.</w:t>
      </w:r>
    </w:p>
    <w:p w14:paraId="7FEEDBEC"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lastRenderedPageBreak/>
        <w:t>Adición del párrafo que impide el registro de inmuebles que ya operan bajo un régimen de hospedaje distinto (artículo 82).</w:t>
      </w:r>
    </w:p>
    <w:p w14:paraId="0977F050"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Restablecimiento del texto completo de los artículos 86, 89, 90, 91, 92, 93 y del artículo 94 (fracciones I a XI).</w:t>
      </w:r>
    </w:p>
    <w:p w14:paraId="594ADF0A" w14:textId="77777777" w:rsidR="00FD2647" w:rsidRPr="00AD2CC2" w:rsidRDefault="00FD2647" w:rsidP="00AD2CC2">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AD2CC2">
        <w:rPr>
          <w:rFonts w:ascii="Century Gothic" w:hAnsi="Century Gothic" w:cs="Segoe UI"/>
          <w:color w:val="0F1115"/>
        </w:rPr>
        <w:t>Corrección de la numeración romana en el artículo 78, fracción I.</w:t>
      </w:r>
    </w:p>
    <w:p w14:paraId="285B6265" w14:textId="759CCD54" w:rsidR="00FD2647" w:rsidRPr="00E318C8" w:rsidRDefault="00E318C8" w:rsidP="00E318C8">
      <w:pPr>
        <w:pStyle w:val="ds-markdown-paragraph"/>
        <w:numPr>
          <w:ilvl w:val="0"/>
          <w:numId w:val="14"/>
        </w:numPr>
        <w:shd w:val="clear" w:color="auto" w:fill="FFFFFF"/>
        <w:spacing w:after="0" w:afterAutospacing="0" w:line="360" w:lineRule="auto"/>
        <w:jc w:val="both"/>
        <w:rPr>
          <w:rFonts w:ascii="Century Gothic" w:hAnsi="Century Gothic" w:cs="Segoe UI"/>
          <w:color w:val="0F1115"/>
        </w:rPr>
      </w:pPr>
      <w:r w:rsidRPr="00E318C8">
        <w:rPr>
          <w:rFonts w:ascii="Century Gothic" w:hAnsi="Century Gothic" w:cs="Segoe UI"/>
          <w:color w:val="0F1115"/>
        </w:rPr>
        <w:t xml:space="preserve"> </w:t>
      </w:r>
      <w:r w:rsidR="00FD2647" w:rsidRPr="00E318C8">
        <w:rPr>
          <w:rFonts w:ascii="Century Gothic" w:hAnsi="Century Gothic" w:cs="Segoe UI"/>
          <w:color w:val="0F1115"/>
        </w:rPr>
        <w:t>Adición de un transitorio (Séptimo) que recomienda al Ejecutivo Estatal destinar un porcentaje del Impuesto sobre Hospedaje al Fondo Estatal y al Observatorio, en el marco del proceso presupuestario</w:t>
      </w:r>
    </w:p>
    <w:p w14:paraId="4493F919" w14:textId="20A25FDC" w:rsidR="00B1370B" w:rsidRPr="00022BAB" w:rsidRDefault="00FD2647" w:rsidP="00E318C8">
      <w:pPr>
        <w:pStyle w:val="Ttulo3"/>
        <w:shd w:val="clear" w:color="auto" w:fill="FFFFFF"/>
        <w:spacing w:before="480" w:after="240" w:line="360" w:lineRule="auto"/>
        <w:jc w:val="both"/>
        <w:rPr>
          <w:rFonts w:ascii="Century Gothic" w:eastAsia="Times New Roman" w:hAnsi="Century Gothic" w:cs="Times New Roman"/>
          <w:color w:val="000000"/>
          <w:lang w:val="es-ES" w:eastAsia="es-ES"/>
        </w:rPr>
      </w:pPr>
      <w:r w:rsidRPr="00E318C8">
        <w:rPr>
          <w:rFonts w:ascii="Century Gothic" w:hAnsi="Century Gothic" w:cs="Segoe UI"/>
          <w:b/>
          <w:bCs/>
          <w:color w:val="0F1115"/>
        </w:rPr>
        <w:t xml:space="preserve">VI. </w:t>
      </w:r>
      <w:r w:rsidR="00B1370B" w:rsidRPr="00E318C8">
        <w:rPr>
          <w:rFonts w:ascii="Century Gothic" w:eastAsia="Arial" w:hAnsi="Century Gothic" w:cs="Arial"/>
          <w:bCs/>
          <w:color w:val="000000"/>
          <w:lang w:eastAsia="es-ES"/>
        </w:rPr>
        <w:t>E</w:t>
      </w:r>
      <w:r w:rsidR="00B1370B" w:rsidRPr="00E318C8">
        <w:rPr>
          <w:rFonts w:ascii="Century Gothic" w:eastAsia="Times New Roman" w:hAnsi="Century Gothic" w:cs="Times New Roman"/>
          <w:color w:val="000000"/>
          <w:lang w:val="es-ES" w:eastAsia="es-ES"/>
        </w:rPr>
        <w:t>n</w:t>
      </w:r>
      <w:r w:rsidR="00B1370B" w:rsidRPr="00B1370B">
        <w:rPr>
          <w:rFonts w:ascii="Century Gothic" w:eastAsia="Times New Roman" w:hAnsi="Century Gothic" w:cs="Times New Roman"/>
          <w:color w:val="000000"/>
          <w:lang w:val="es-ES" w:eastAsia="es-ES"/>
        </w:rPr>
        <w:t xml:space="preserve"> cuanto a la participación ciudadana a través del micrositio “Buzón Legislativo Ciudadano” de la página web oficial de este H. Congreso, hacemos constar que no se registró comentario alguno sobre</w:t>
      </w:r>
      <w:r w:rsidR="00B1370B" w:rsidRPr="008213ED">
        <w:rPr>
          <w:rFonts w:ascii="Century Gothic" w:eastAsia="Times New Roman" w:hAnsi="Century Gothic" w:cs="Times New Roman"/>
          <w:color w:val="000000"/>
          <w:lang w:val="es-ES" w:eastAsia="es-ES"/>
        </w:rPr>
        <w:t xml:space="preserve"> la Iniciativa en estudio, para efectos del presente Dictam</w:t>
      </w:r>
      <w:r w:rsidR="00B1370B" w:rsidRPr="00022BAB">
        <w:rPr>
          <w:rFonts w:ascii="Century Gothic" w:eastAsia="Times New Roman" w:hAnsi="Century Gothic" w:cs="Times New Roman"/>
          <w:color w:val="000000"/>
          <w:lang w:val="es-ES" w:eastAsia="es-ES"/>
        </w:rPr>
        <w:t xml:space="preserve">en. </w:t>
      </w:r>
    </w:p>
    <w:p w14:paraId="5CD3645E" w14:textId="503FF46F" w:rsidR="00A874C1" w:rsidRPr="00114FBB" w:rsidRDefault="00A874C1" w:rsidP="00A874C1">
      <w:pPr>
        <w:spacing w:line="360" w:lineRule="auto"/>
        <w:jc w:val="both"/>
        <w:rPr>
          <w:rFonts w:ascii="Century Gothic" w:hAnsi="Century Gothic" w:cs="Segoe UI"/>
          <w:color w:val="0F1115"/>
          <w:sz w:val="24"/>
          <w:szCs w:val="24"/>
          <w:lang w:val="es-ES"/>
        </w:rPr>
      </w:pPr>
    </w:p>
    <w:p w14:paraId="7CF6A94C" w14:textId="1D137D8E" w:rsidR="009C223A" w:rsidRDefault="00B1370B" w:rsidP="00A874C1">
      <w:pPr>
        <w:spacing w:line="360" w:lineRule="auto"/>
        <w:jc w:val="both"/>
        <w:rPr>
          <w:rFonts w:ascii="Century Gothic" w:hAnsi="Century Gothic" w:cs="Segoe UI"/>
          <w:color w:val="0F1115"/>
          <w:sz w:val="24"/>
          <w:szCs w:val="24"/>
        </w:rPr>
      </w:pPr>
      <w:r w:rsidRPr="00A874C1">
        <w:rPr>
          <w:rFonts w:ascii="Century Gothic" w:hAnsi="Century Gothic" w:cs="Segoe UI"/>
          <w:color w:val="0F1115"/>
          <w:sz w:val="24"/>
          <w:szCs w:val="24"/>
        </w:rPr>
        <w:t>Por todo lo anteriormente expuesto,</w:t>
      </w:r>
      <w:r w:rsidR="00A874C1">
        <w:rPr>
          <w:rFonts w:ascii="Century Gothic" w:hAnsi="Century Gothic" w:cs="Segoe UI"/>
          <w:color w:val="0F1115"/>
          <w:sz w:val="24"/>
          <w:szCs w:val="24"/>
        </w:rPr>
        <w:t xml:space="preserve"> quienes integramos la Comisión de Turismo</w:t>
      </w:r>
      <w:r w:rsidRPr="00A874C1">
        <w:rPr>
          <w:rFonts w:ascii="Century Gothic" w:hAnsi="Century Gothic" w:cs="Segoe UI"/>
          <w:color w:val="0F1115"/>
          <w:sz w:val="24"/>
          <w:szCs w:val="24"/>
        </w:rPr>
        <w:t xml:space="preserve"> nos permitimos someter a la consideración de este Alto Cuerpo Colegiado el siguiente proyecto de:</w:t>
      </w:r>
    </w:p>
    <w:p w14:paraId="6A52FC71" w14:textId="0CAB5B69" w:rsidR="00445871" w:rsidRDefault="00445871" w:rsidP="00A874C1">
      <w:pPr>
        <w:spacing w:line="360" w:lineRule="auto"/>
        <w:jc w:val="both"/>
        <w:rPr>
          <w:rFonts w:ascii="Century Gothic" w:hAnsi="Century Gothic" w:cs="Segoe UI"/>
          <w:color w:val="0F1115"/>
          <w:sz w:val="24"/>
          <w:szCs w:val="24"/>
        </w:rPr>
      </w:pPr>
    </w:p>
    <w:p w14:paraId="24DE9540" w14:textId="520966B5" w:rsidR="00445871" w:rsidRDefault="00445871" w:rsidP="00A874C1">
      <w:pPr>
        <w:spacing w:line="360" w:lineRule="auto"/>
        <w:jc w:val="both"/>
        <w:rPr>
          <w:sz w:val="24"/>
          <w:szCs w:val="24"/>
          <w:lang w:val="es-ES"/>
        </w:rPr>
      </w:pPr>
    </w:p>
    <w:p w14:paraId="4DB604F8" w14:textId="77777777" w:rsidR="00114FBB" w:rsidRPr="00CA647A" w:rsidRDefault="00114FBB" w:rsidP="00A874C1">
      <w:pPr>
        <w:spacing w:line="360" w:lineRule="auto"/>
        <w:jc w:val="both"/>
        <w:rPr>
          <w:sz w:val="24"/>
          <w:szCs w:val="24"/>
          <w:lang w:val="es-ES"/>
        </w:rPr>
      </w:pPr>
    </w:p>
    <w:p w14:paraId="77696D50" w14:textId="32F02BCD" w:rsidR="00FD2647" w:rsidRPr="00022BAB" w:rsidRDefault="00FD2647" w:rsidP="00B1370B">
      <w:pPr>
        <w:pStyle w:val="Ttulo3"/>
        <w:shd w:val="clear" w:color="auto" w:fill="FFFFFF"/>
        <w:spacing w:before="480" w:after="240" w:line="360" w:lineRule="auto"/>
        <w:jc w:val="center"/>
        <w:rPr>
          <w:rFonts w:ascii="Century Gothic" w:hAnsi="Century Gothic" w:cs="Segoe UI"/>
          <w:b/>
          <w:bCs/>
          <w:color w:val="0F1115"/>
          <w:sz w:val="28"/>
          <w:szCs w:val="28"/>
        </w:rPr>
      </w:pPr>
      <w:r w:rsidRPr="00022BAB">
        <w:rPr>
          <w:rFonts w:ascii="Century Gothic" w:hAnsi="Century Gothic" w:cs="Segoe UI"/>
          <w:b/>
          <w:bCs/>
          <w:color w:val="0F1115"/>
          <w:sz w:val="28"/>
          <w:szCs w:val="28"/>
        </w:rPr>
        <w:lastRenderedPageBreak/>
        <w:t>DECRETO</w:t>
      </w:r>
    </w:p>
    <w:p w14:paraId="42CD36DB" w14:textId="77777777" w:rsidR="008B30A6" w:rsidRPr="008B30A6" w:rsidRDefault="008B30A6" w:rsidP="008B30A6"/>
    <w:p w14:paraId="787D3A85" w14:textId="7164ECAA" w:rsidR="00AD2CC2" w:rsidRPr="00AD2CC2" w:rsidRDefault="00FD2647" w:rsidP="00AD2CC2">
      <w:pPr>
        <w:spacing w:line="360" w:lineRule="auto"/>
        <w:jc w:val="both"/>
        <w:rPr>
          <w:rFonts w:ascii="Century Gothic" w:hAnsi="Century Gothic" w:cstheme="minorHAnsi"/>
          <w:sz w:val="24"/>
          <w:szCs w:val="24"/>
        </w:rPr>
      </w:pPr>
      <w:r w:rsidRPr="009B72F3">
        <w:rPr>
          <w:rStyle w:val="Textoennegrita"/>
          <w:rFonts w:ascii="Century Gothic" w:hAnsi="Century Gothic" w:cs="Segoe UI"/>
          <w:color w:val="0F1115"/>
          <w:sz w:val="28"/>
          <w:szCs w:val="28"/>
        </w:rPr>
        <w:t>ARTÍCULO ÚNICO.</w:t>
      </w:r>
      <w:r w:rsidR="00952DA5">
        <w:rPr>
          <w:rStyle w:val="Textoennegrita"/>
          <w:rFonts w:ascii="Century Gothic" w:hAnsi="Century Gothic" w:cs="Segoe UI"/>
          <w:color w:val="0F1115"/>
          <w:sz w:val="28"/>
          <w:szCs w:val="28"/>
        </w:rPr>
        <w:t>-</w:t>
      </w:r>
      <w:r w:rsidRPr="00AD2CC2">
        <w:rPr>
          <w:rFonts w:ascii="Century Gothic" w:hAnsi="Century Gothic" w:cs="Segoe UI"/>
          <w:color w:val="0F1115"/>
          <w:sz w:val="24"/>
          <w:szCs w:val="24"/>
        </w:rPr>
        <w:t> </w:t>
      </w:r>
      <w:r w:rsidR="00AD2CC2" w:rsidRPr="00AD2CC2">
        <w:rPr>
          <w:rFonts w:ascii="Century Gothic" w:hAnsi="Century Gothic" w:cstheme="minorHAnsi"/>
          <w:sz w:val="24"/>
          <w:szCs w:val="24"/>
        </w:rPr>
        <w:t xml:space="preserve">Se </w:t>
      </w:r>
      <w:r w:rsidR="00AD2CC2" w:rsidRPr="00AD2CC2">
        <w:rPr>
          <w:rFonts w:ascii="Century Gothic" w:hAnsi="Century Gothic" w:cstheme="minorHAnsi"/>
          <w:b/>
          <w:bCs/>
          <w:sz w:val="24"/>
          <w:szCs w:val="24"/>
        </w:rPr>
        <w:t>REFORMAN</w:t>
      </w:r>
      <w:r w:rsidR="00AD2CC2" w:rsidRPr="00AD2CC2">
        <w:rPr>
          <w:rFonts w:ascii="Century Gothic" w:hAnsi="Century Gothic" w:cstheme="minorHAnsi"/>
          <w:sz w:val="24"/>
          <w:szCs w:val="24"/>
        </w:rPr>
        <w:t xml:space="preserve"> los artículos 3, fracción  VII Bis</w:t>
      </w:r>
      <w:r w:rsidR="00952DA5">
        <w:rPr>
          <w:rFonts w:ascii="Century Gothic" w:hAnsi="Century Gothic" w:cstheme="minorHAnsi"/>
          <w:sz w:val="24"/>
          <w:szCs w:val="24"/>
        </w:rPr>
        <w:t>;</w:t>
      </w:r>
      <w:r w:rsidR="00CF7C18">
        <w:rPr>
          <w:rFonts w:ascii="Century Gothic" w:hAnsi="Century Gothic" w:cstheme="minorHAnsi"/>
          <w:sz w:val="24"/>
          <w:szCs w:val="24"/>
        </w:rPr>
        <w:t xml:space="preserve"> </w:t>
      </w:r>
      <w:r w:rsidR="00AD2CC2" w:rsidRPr="00035E89">
        <w:rPr>
          <w:rFonts w:ascii="Century Gothic" w:hAnsi="Century Gothic" w:cstheme="minorHAnsi"/>
          <w:sz w:val="24"/>
          <w:szCs w:val="24"/>
        </w:rPr>
        <w:t>15</w:t>
      </w:r>
      <w:r w:rsidR="00CF7C18">
        <w:rPr>
          <w:rFonts w:ascii="Century Gothic" w:hAnsi="Century Gothic" w:cstheme="minorHAnsi"/>
          <w:sz w:val="24"/>
          <w:szCs w:val="24"/>
        </w:rPr>
        <w:t>,</w:t>
      </w:r>
      <w:r w:rsidR="00952DA5">
        <w:rPr>
          <w:rFonts w:ascii="Century Gothic" w:hAnsi="Century Gothic" w:cstheme="minorHAnsi"/>
          <w:sz w:val="24"/>
          <w:szCs w:val="24"/>
        </w:rPr>
        <w:t xml:space="preserve"> párrafo primero</w:t>
      </w:r>
      <w:r w:rsidR="00AD2CC2" w:rsidRPr="00035E89">
        <w:rPr>
          <w:rFonts w:ascii="Century Gothic" w:hAnsi="Century Gothic" w:cstheme="minorHAnsi"/>
          <w:sz w:val="24"/>
          <w:szCs w:val="24"/>
        </w:rPr>
        <w:t xml:space="preserve">; 59; 60; 61; 62; 63; 64; el Capítulo XII en su denominación y contenido, así como el Capítulo XIII en su denominación y ubicación; se </w:t>
      </w:r>
      <w:r w:rsidR="00AD2CC2" w:rsidRPr="00035E89">
        <w:rPr>
          <w:rFonts w:ascii="Century Gothic" w:hAnsi="Century Gothic" w:cstheme="minorHAnsi"/>
          <w:b/>
          <w:bCs/>
          <w:sz w:val="24"/>
          <w:szCs w:val="24"/>
        </w:rPr>
        <w:t>ADICIONAN</w:t>
      </w:r>
      <w:r w:rsidR="00AD2CC2" w:rsidRPr="00035E89">
        <w:rPr>
          <w:rFonts w:ascii="Century Gothic" w:hAnsi="Century Gothic" w:cstheme="minorHAnsi"/>
          <w:sz w:val="24"/>
          <w:szCs w:val="24"/>
        </w:rPr>
        <w:t xml:space="preserve"> </w:t>
      </w:r>
      <w:r w:rsidR="004B6BBA" w:rsidRPr="00035E89">
        <w:rPr>
          <w:rFonts w:ascii="Century Gothic" w:hAnsi="Century Gothic" w:cstheme="minorHAnsi"/>
          <w:sz w:val="24"/>
          <w:szCs w:val="24"/>
        </w:rPr>
        <w:t xml:space="preserve">al  artículo 3, </w:t>
      </w:r>
      <w:r w:rsidR="00AD2CC2" w:rsidRPr="00035E89">
        <w:rPr>
          <w:rFonts w:ascii="Century Gothic" w:hAnsi="Century Gothic" w:cstheme="minorHAnsi"/>
          <w:sz w:val="24"/>
          <w:szCs w:val="24"/>
        </w:rPr>
        <w:t>las fracciones I Ter, V Bis, V Ter, VII Ter</w:t>
      </w:r>
      <w:r w:rsidR="00952DA5">
        <w:rPr>
          <w:rFonts w:ascii="Century Gothic" w:hAnsi="Century Gothic" w:cstheme="minorHAnsi"/>
          <w:sz w:val="24"/>
          <w:szCs w:val="24"/>
        </w:rPr>
        <w:t xml:space="preserve"> y </w:t>
      </w:r>
      <w:r w:rsidR="00AD2CC2" w:rsidRPr="00035E89">
        <w:rPr>
          <w:rFonts w:ascii="Century Gothic" w:hAnsi="Century Gothic" w:cstheme="minorHAnsi"/>
          <w:sz w:val="24"/>
          <w:szCs w:val="24"/>
        </w:rPr>
        <w:t xml:space="preserve">VII </w:t>
      </w:r>
      <w:proofErr w:type="spellStart"/>
      <w:r w:rsidR="00AD2CC2" w:rsidRPr="00035E89">
        <w:rPr>
          <w:rFonts w:ascii="Century Gothic" w:hAnsi="Century Gothic" w:cstheme="minorHAnsi"/>
          <w:sz w:val="24"/>
          <w:szCs w:val="24"/>
        </w:rPr>
        <w:t>Quater</w:t>
      </w:r>
      <w:proofErr w:type="spellEnd"/>
      <w:r w:rsidR="004B6BBA" w:rsidRPr="00035E89">
        <w:rPr>
          <w:rFonts w:ascii="Century Gothic" w:hAnsi="Century Gothic" w:cstheme="minorHAnsi"/>
          <w:sz w:val="24"/>
          <w:szCs w:val="24"/>
        </w:rPr>
        <w:t>;</w:t>
      </w:r>
      <w:r w:rsidR="00AD2CC2" w:rsidRPr="00035E89">
        <w:rPr>
          <w:rFonts w:ascii="Century Gothic" w:hAnsi="Century Gothic" w:cstheme="minorHAnsi"/>
          <w:sz w:val="24"/>
          <w:szCs w:val="24"/>
        </w:rPr>
        <w:t xml:space="preserve"> un Capítulo XIV; un Capítulo XV y sus artículos  65 y  66; un Capítulo XVI con su artículo 67;  un Capítulo XVII, con sus artículos 68 y 69; un Capítulo XVIII, con sus artículos 70, 71, 72 y 73; un Capítulo XIX, con sus artículos 74, 75, 76 y 77; un Capítulo XX</w:t>
      </w:r>
      <w:r w:rsidR="00BB17F7" w:rsidRPr="00035E89">
        <w:rPr>
          <w:rFonts w:ascii="Century Gothic" w:hAnsi="Century Gothic" w:cstheme="minorHAnsi"/>
          <w:sz w:val="24"/>
          <w:szCs w:val="24"/>
        </w:rPr>
        <w:t>,</w:t>
      </w:r>
      <w:r w:rsidR="00AD2CC2" w:rsidRPr="00035E89">
        <w:rPr>
          <w:rFonts w:ascii="Century Gothic" w:hAnsi="Century Gothic" w:cstheme="minorHAnsi"/>
          <w:sz w:val="24"/>
          <w:szCs w:val="24"/>
        </w:rPr>
        <w:t xml:space="preserve"> con sus artículos 78, 79, 80, 81, 82, 83, 84 y 85; un Capítulo XXI</w:t>
      </w:r>
      <w:r w:rsidR="00BB17F7" w:rsidRPr="00035E89">
        <w:rPr>
          <w:rFonts w:ascii="Century Gothic" w:hAnsi="Century Gothic" w:cstheme="minorHAnsi"/>
          <w:sz w:val="24"/>
          <w:szCs w:val="24"/>
        </w:rPr>
        <w:t>,</w:t>
      </w:r>
      <w:r w:rsidR="00AD2CC2" w:rsidRPr="00035E89">
        <w:rPr>
          <w:rFonts w:ascii="Century Gothic" w:hAnsi="Century Gothic" w:cstheme="minorHAnsi"/>
          <w:sz w:val="24"/>
          <w:szCs w:val="24"/>
        </w:rPr>
        <w:t xml:space="preserve"> con sus artículos, 86, 87 y 88; un Capítulo XX</w:t>
      </w:r>
      <w:r w:rsidR="00952DA5">
        <w:rPr>
          <w:rFonts w:ascii="Century Gothic" w:hAnsi="Century Gothic" w:cstheme="minorHAnsi"/>
          <w:sz w:val="24"/>
          <w:szCs w:val="24"/>
        </w:rPr>
        <w:t>II</w:t>
      </w:r>
      <w:r w:rsidR="00BB17F7" w:rsidRPr="00035E89">
        <w:rPr>
          <w:rFonts w:ascii="Century Gothic" w:hAnsi="Century Gothic" w:cstheme="minorHAnsi"/>
          <w:sz w:val="24"/>
          <w:szCs w:val="24"/>
        </w:rPr>
        <w:t>,</w:t>
      </w:r>
      <w:r w:rsidR="00AD2CC2" w:rsidRPr="00035E89">
        <w:rPr>
          <w:rFonts w:ascii="Century Gothic" w:hAnsi="Century Gothic" w:cstheme="minorHAnsi"/>
          <w:sz w:val="24"/>
          <w:szCs w:val="24"/>
        </w:rPr>
        <w:t xml:space="preserve"> con</w:t>
      </w:r>
      <w:r w:rsidR="00AD2CC2" w:rsidRPr="00AD2CC2">
        <w:rPr>
          <w:rFonts w:ascii="Century Gothic" w:hAnsi="Century Gothic" w:cstheme="minorHAnsi"/>
          <w:sz w:val="24"/>
          <w:szCs w:val="24"/>
        </w:rPr>
        <w:t xml:space="preserve"> sus artículos 89, 90, 91, 92, 93, 94, 95, 96 y 97; </w:t>
      </w:r>
      <w:r w:rsidR="00952DA5">
        <w:rPr>
          <w:rFonts w:ascii="Century Gothic" w:hAnsi="Century Gothic" w:cstheme="minorHAnsi"/>
          <w:sz w:val="24"/>
          <w:szCs w:val="24"/>
        </w:rPr>
        <w:t xml:space="preserve">y se </w:t>
      </w:r>
      <w:r w:rsidR="00952DA5" w:rsidRPr="00CF7C18">
        <w:rPr>
          <w:rFonts w:ascii="Century Gothic" w:hAnsi="Century Gothic" w:cstheme="minorHAnsi"/>
          <w:b/>
          <w:bCs/>
          <w:sz w:val="24"/>
          <w:szCs w:val="24"/>
        </w:rPr>
        <w:t>DEROGAN</w:t>
      </w:r>
      <w:r w:rsidR="00952DA5">
        <w:rPr>
          <w:rFonts w:ascii="Century Gothic" w:hAnsi="Century Gothic" w:cstheme="minorHAnsi"/>
          <w:b/>
          <w:bCs/>
          <w:sz w:val="24"/>
          <w:szCs w:val="24"/>
        </w:rPr>
        <w:t xml:space="preserve"> </w:t>
      </w:r>
      <w:r w:rsidR="00952DA5">
        <w:rPr>
          <w:rFonts w:ascii="Century Gothic" w:hAnsi="Century Gothic" w:cstheme="minorHAnsi"/>
          <w:sz w:val="24"/>
          <w:szCs w:val="24"/>
        </w:rPr>
        <w:t xml:space="preserve">del artículo 15, los párrafos segundo, tercero y cuarto; </w:t>
      </w:r>
      <w:r w:rsidR="00AD2CC2" w:rsidRPr="00AD2CC2">
        <w:rPr>
          <w:rFonts w:ascii="Century Gothic" w:hAnsi="Century Gothic" w:cstheme="minorHAnsi"/>
          <w:sz w:val="24"/>
          <w:szCs w:val="24"/>
        </w:rPr>
        <w:t>todos de la Ley de Turismo del Estado de Chihuahua, para quedar redactados de la siguiente manera:</w:t>
      </w:r>
    </w:p>
    <w:p w14:paraId="6FF822CA" w14:textId="46BA6B0C" w:rsidR="00FD2647" w:rsidRPr="00BB17F7"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Style w:val="Textoennegrita"/>
          <w:rFonts w:ascii="Century Gothic" w:hAnsi="Century Gothic" w:cs="Segoe UI"/>
          <w:color w:val="0F1115"/>
        </w:rPr>
        <w:t>Artículo 3.</w:t>
      </w:r>
      <w:r w:rsidRPr="00AD2CC2">
        <w:rPr>
          <w:rFonts w:ascii="Century Gothic" w:hAnsi="Century Gothic" w:cs="Segoe UI"/>
          <w:color w:val="0F1115"/>
        </w:rPr>
        <w:t> </w:t>
      </w:r>
      <w:r w:rsidR="00952DA5">
        <w:rPr>
          <w:rFonts w:ascii="Century Gothic" w:hAnsi="Century Gothic" w:cs="Segoe UI"/>
          <w:color w:val="0F1115"/>
        </w:rPr>
        <w:t>…</w:t>
      </w:r>
    </w:p>
    <w:p w14:paraId="1D5B8849" w14:textId="4B3E4F01" w:rsidR="00FD2647" w:rsidRPr="00CF7C18" w:rsidRDefault="00FD2647" w:rsidP="00395FFF">
      <w:pPr>
        <w:pStyle w:val="ds-markdown-paragraph"/>
        <w:shd w:val="clear" w:color="auto" w:fill="FFFFFF"/>
        <w:spacing w:before="240" w:beforeAutospacing="0" w:after="240" w:afterAutospacing="0" w:line="360" w:lineRule="auto"/>
        <w:ind w:left="1276" w:hanging="850"/>
        <w:jc w:val="both"/>
        <w:rPr>
          <w:rFonts w:ascii="Century Gothic" w:hAnsi="Century Gothic" w:cs="Segoe UI"/>
          <w:b/>
          <w:color w:val="0F1115"/>
        </w:rPr>
      </w:pPr>
      <w:r w:rsidRPr="00CF7C18">
        <w:rPr>
          <w:rStyle w:val="Textoennegrita"/>
          <w:rFonts w:ascii="Century Gothic" w:hAnsi="Century Gothic" w:cs="Segoe UI"/>
          <w:b w:val="0"/>
          <w:bCs w:val="0"/>
          <w:color w:val="0F1115"/>
        </w:rPr>
        <w:t>I</w:t>
      </w:r>
      <w:r w:rsidR="00306963" w:rsidRPr="00CF7C18">
        <w:rPr>
          <w:rStyle w:val="Textoennegrita"/>
          <w:rFonts w:ascii="Century Gothic" w:hAnsi="Century Gothic" w:cs="Segoe UI"/>
          <w:b w:val="0"/>
          <w:bCs w:val="0"/>
          <w:color w:val="0F1115"/>
        </w:rPr>
        <w:t>.</w:t>
      </w:r>
      <w:r w:rsidRPr="00CF7C18">
        <w:rPr>
          <w:rStyle w:val="Textoennegrita"/>
          <w:rFonts w:ascii="Century Gothic" w:hAnsi="Century Gothic" w:cs="Segoe UI"/>
          <w:b w:val="0"/>
          <w:bCs w:val="0"/>
          <w:color w:val="0F1115"/>
        </w:rPr>
        <w:t xml:space="preserve"> a I Bis.</w:t>
      </w:r>
      <w:r w:rsidRPr="00A32F63">
        <w:rPr>
          <w:rFonts w:ascii="Century Gothic" w:hAnsi="Century Gothic" w:cs="Segoe UI"/>
          <w:bCs/>
          <w:color w:val="0F1115"/>
        </w:rPr>
        <w:t> ...</w:t>
      </w:r>
      <w:r w:rsidRPr="00CF7C18">
        <w:rPr>
          <w:rFonts w:ascii="Century Gothic" w:hAnsi="Century Gothic" w:cs="Segoe UI"/>
          <w:b/>
          <w:color w:val="0F1115"/>
        </w:rPr>
        <w:t> </w:t>
      </w:r>
    </w:p>
    <w:p w14:paraId="0EF5F3A8" w14:textId="7A882150" w:rsidR="00FD2647" w:rsidRDefault="00FD2647" w:rsidP="00A32F63">
      <w:pPr>
        <w:pStyle w:val="ds-markdown-paragraph"/>
        <w:spacing w:line="360" w:lineRule="auto"/>
        <w:ind w:left="1276" w:hanging="850"/>
        <w:rPr>
          <w:rFonts w:ascii="Century Gothic" w:hAnsi="Century Gothic" w:cs="Segoe UI"/>
          <w:b/>
          <w:bCs/>
          <w:color w:val="0F1115"/>
        </w:rPr>
      </w:pPr>
      <w:r w:rsidRPr="00B1370B">
        <w:rPr>
          <w:rStyle w:val="Textoennegrita"/>
          <w:rFonts w:ascii="Century Gothic" w:hAnsi="Century Gothic" w:cs="Segoe UI"/>
          <w:color w:val="0F1115"/>
        </w:rPr>
        <w:t xml:space="preserve">I Ter. </w:t>
      </w:r>
      <w:r w:rsidRPr="00AD2CC2">
        <w:rPr>
          <w:rStyle w:val="Textoennegrita"/>
          <w:rFonts w:ascii="Century Gothic" w:hAnsi="Century Gothic" w:cs="Segoe UI"/>
          <w:color w:val="0F1115"/>
        </w:rPr>
        <w:t>Anfitrión:</w:t>
      </w:r>
      <w:r w:rsidRPr="00AD2CC2">
        <w:rPr>
          <w:rFonts w:ascii="Century Gothic" w:hAnsi="Century Gothic" w:cs="Segoe UI"/>
          <w:color w:val="0F1115"/>
        </w:rPr>
        <w:t> </w:t>
      </w:r>
      <w:r w:rsidRPr="00CF7C18">
        <w:rPr>
          <w:rFonts w:ascii="Century Gothic" w:hAnsi="Century Gothic" w:cs="Segoe UI"/>
          <w:b/>
          <w:bCs/>
          <w:color w:val="0F1115"/>
        </w:rPr>
        <w:t>Persona física o moral que, en su carácter de propietari</w:t>
      </w:r>
      <w:r w:rsidR="00952DA5" w:rsidRPr="00CF7C18">
        <w:rPr>
          <w:rFonts w:ascii="Century Gothic" w:hAnsi="Century Gothic" w:cs="Segoe UI"/>
          <w:b/>
          <w:bCs/>
          <w:color w:val="0F1115"/>
        </w:rPr>
        <w:t>a</w:t>
      </w:r>
      <w:r w:rsidRPr="00CF7C18">
        <w:rPr>
          <w:rFonts w:ascii="Century Gothic" w:hAnsi="Century Gothic" w:cs="Segoe UI"/>
          <w:b/>
          <w:bCs/>
          <w:color w:val="0F1115"/>
        </w:rPr>
        <w:t xml:space="preserve"> o poseedor</w:t>
      </w:r>
      <w:r w:rsidR="00952DA5" w:rsidRPr="00CF7C18">
        <w:rPr>
          <w:rFonts w:ascii="Century Gothic" w:hAnsi="Century Gothic" w:cs="Segoe UI"/>
          <w:b/>
          <w:bCs/>
          <w:color w:val="0F1115"/>
        </w:rPr>
        <w:t>a</w:t>
      </w:r>
      <w:r w:rsidRPr="00CF7C18">
        <w:rPr>
          <w:rFonts w:ascii="Century Gothic" w:hAnsi="Century Gothic" w:cs="Segoe UI"/>
          <w:b/>
          <w:bCs/>
          <w:color w:val="0F1115"/>
        </w:rPr>
        <w:t xml:space="preserve"> legalmente reconocid</w:t>
      </w:r>
      <w:r w:rsidR="00952DA5" w:rsidRPr="00CF7C18">
        <w:rPr>
          <w:rFonts w:ascii="Century Gothic" w:hAnsi="Century Gothic" w:cs="Segoe UI"/>
          <w:b/>
          <w:bCs/>
          <w:color w:val="0F1115"/>
        </w:rPr>
        <w:t>a</w:t>
      </w:r>
      <w:r w:rsidRPr="00CF7C18">
        <w:rPr>
          <w:rFonts w:ascii="Century Gothic" w:hAnsi="Century Gothic" w:cs="Segoe UI"/>
          <w:b/>
          <w:bCs/>
          <w:color w:val="0F1115"/>
        </w:rPr>
        <w:t>, pone a disposición, de forma parcial o total, un inmueble para brindar el servicio de hospedaje ocasional</w:t>
      </w:r>
      <w:r w:rsidR="00306963" w:rsidRPr="00CF7C18">
        <w:rPr>
          <w:rFonts w:ascii="Century Gothic" w:hAnsi="Century Gothic" w:cs="Segoe UI"/>
          <w:b/>
          <w:bCs/>
          <w:color w:val="0F1115"/>
        </w:rPr>
        <w:t>.</w:t>
      </w:r>
      <w:r w:rsidR="00306963" w:rsidRPr="00CF7C18">
        <w:rPr>
          <w:rFonts w:ascii="Century Gothic" w:hAnsi="Century Gothic" w:cs="Segoe UI"/>
          <w:b/>
          <w:bCs/>
          <w:color w:val="0F1115"/>
        </w:rPr>
        <w:tab/>
      </w:r>
    </w:p>
    <w:p w14:paraId="5372FA90" w14:textId="7D0353EE" w:rsidR="00406D18" w:rsidRDefault="00406D18" w:rsidP="00A32F63">
      <w:pPr>
        <w:pStyle w:val="ds-markdown-paragraph"/>
        <w:spacing w:line="360" w:lineRule="auto"/>
        <w:ind w:left="1276" w:hanging="850"/>
        <w:rPr>
          <w:rFonts w:ascii="Century Gothic" w:hAnsi="Century Gothic" w:cs="Segoe UI"/>
          <w:b/>
          <w:bCs/>
          <w:color w:val="0F1115"/>
        </w:rPr>
      </w:pPr>
    </w:p>
    <w:p w14:paraId="03B7C7B4" w14:textId="4F4941B9" w:rsidR="00406D18" w:rsidRPr="00406D18" w:rsidRDefault="00406D18" w:rsidP="00A32F63">
      <w:pPr>
        <w:pStyle w:val="ds-markdown-paragraph"/>
        <w:spacing w:line="360" w:lineRule="auto"/>
        <w:ind w:left="1276" w:hanging="850"/>
        <w:rPr>
          <w:rFonts w:ascii="Century Gothic" w:hAnsi="Century Gothic" w:cs="Segoe UI"/>
          <w:color w:val="0F1115"/>
        </w:rPr>
      </w:pPr>
      <w:r w:rsidRPr="00406D18">
        <w:rPr>
          <w:rFonts w:ascii="Century Gothic" w:hAnsi="Century Gothic" w:cs="Segoe UI"/>
          <w:color w:val="0F1115"/>
        </w:rPr>
        <w:lastRenderedPageBreak/>
        <w:t>II. a V. …</w:t>
      </w:r>
    </w:p>
    <w:p w14:paraId="0C911A79" w14:textId="00DF5156" w:rsidR="00FD2647" w:rsidRPr="00CF7C18" w:rsidRDefault="00FD2647" w:rsidP="00395FFF">
      <w:pPr>
        <w:pStyle w:val="ds-markdown-paragraph"/>
        <w:shd w:val="clear" w:color="auto" w:fill="FFFFFF"/>
        <w:spacing w:before="240" w:beforeAutospacing="0" w:after="240" w:afterAutospacing="0" w:line="360" w:lineRule="auto"/>
        <w:ind w:left="1276" w:hanging="850"/>
        <w:jc w:val="both"/>
        <w:rPr>
          <w:rFonts w:ascii="Century Gothic" w:hAnsi="Century Gothic" w:cs="Segoe UI"/>
          <w:b/>
          <w:bCs/>
          <w:color w:val="0F1115"/>
        </w:rPr>
      </w:pPr>
      <w:r w:rsidRPr="00952DA5">
        <w:rPr>
          <w:rStyle w:val="Textoennegrita"/>
          <w:rFonts w:ascii="Century Gothic" w:hAnsi="Century Gothic" w:cs="Segoe UI"/>
          <w:color w:val="0F1115"/>
        </w:rPr>
        <w:t>V Bis. Estancia turística eventual:</w:t>
      </w:r>
      <w:r w:rsidRPr="00454249">
        <w:rPr>
          <w:rFonts w:ascii="Century Gothic" w:hAnsi="Century Gothic" w:cs="Segoe UI"/>
          <w:b/>
          <w:bCs/>
          <w:color w:val="0F1115"/>
        </w:rPr>
        <w:t> </w:t>
      </w:r>
      <w:r w:rsidRPr="00CF7C18">
        <w:rPr>
          <w:rFonts w:ascii="Century Gothic" w:hAnsi="Century Gothic" w:cs="Segoe UI"/>
          <w:b/>
          <w:bCs/>
          <w:color w:val="0F1115"/>
        </w:rPr>
        <w:t>Servicio de estancia temporal en inmuebles de uso habitacional a cambio de una contraprestación, ofertado por cualquier medio</w:t>
      </w:r>
      <w:r w:rsidR="00306963" w:rsidRPr="00CF7C18">
        <w:rPr>
          <w:rFonts w:ascii="Century Gothic" w:hAnsi="Century Gothic" w:cs="Segoe UI"/>
          <w:b/>
          <w:bCs/>
          <w:color w:val="0F1115"/>
        </w:rPr>
        <w:t>.</w:t>
      </w:r>
    </w:p>
    <w:p w14:paraId="35B14E67" w14:textId="6B42F085" w:rsidR="00FD2647" w:rsidRPr="00CF7C18" w:rsidRDefault="00FD2647" w:rsidP="00395FFF">
      <w:pPr>
        <w:pStyle w:val="ds-markdown-paragraph"/>
        <w:shd w:val="clear" w:color="auto" w:fill="FFFFFF"/>
        <w:spacing w:before="240" w:beforeAutospacing="0" w:after="240" w:afterAutospacing="0" w:line="360" w:lineRule="auto"/>
        <w:ind w:left="1276" w:hanging="850"/>
        <w:jc w:val="both"/>
        <w:rPr>
          <w:rFonts w:ascii="Century Gothic" w:hAnsi="Century Gothic" w:cs="Segoe UI"/>
          <w:b/>
          <w:bCs/>
          <w:color w:val="0F1115"/>
        </w:rPr>
      </w:pPr>
      <w:r w:rsidRPr="00952DA5">
        <w:rPr>
          <w:rStyle w:val="Textoennegrita"/>
          <w:rFonts w:ascii="Century Gothic" w:hAnsi="Century Gothic" w:cs="Segoe UI"/>
          <w:color w:val="0F1115"/>
        </w:rPr>
        <w:t>V Ter. Hospedaje ocasional:</w:t>
      </w:r>
      <w:r w:rsidRPr="00CF7C18">
        <w:rPr>
          <w:rFonts w:ascii="Century Gothic" w:hAnsi="Century Gothic" w:cs="Segoe UI"/>
          <w:b/>
          <w:bCs/>
          <w:color w:val="0F1115"/>
        </w:rPr>
        <w:t> </w:t>
      </w:r>
      <w:proofErr w:type="spellStart"/>
      <w:r w:rsidRPr="00CF7C18">
        <w:rPr>
          <w:rFonts w:ascii="Century Gothic" w:hAnsi="Century Gothic" w:cs="Segoe UI"/>
          <w:b/>
          <w:bCs/>
          <w:color w:val="0F1115"/>
        </w:rPr>
        <w:t>Submodalidad</w:t>
      </w:r>
      <w:proofErr w:type="spellEnd"/>
      <w:r w:rsidRPr="00CF7C18">
        <w:rPr>
          <w:rFonts w:ascii="Century Gothic" w:hAnsi="Century Gothic" w:cs="Segoe UI"/>
          <w:b/>
          <w:bCs/>
          <w:color w:val="0F1115"/>
        </w:rPr>
        <w:t xml:space="preserve"> de la estancia turística eventual en la que la oferta, contratación o intermediación se realiza exclusivamente a través de plataformas digitales</w:t>
      </w:r>
      <w:r w:rsidR="00B1370B" w:rsidRPr="00CF7C18">
        <w:rPr>
          <w:rFonts w:ascii="Century Gothic" w:hAnsi="Century Gothic" w:cs="Segoe UI"/>
          <w:b/>
          <w:bCs/>
          <w:color w:val="0F1115"/>
        </w:rPr>
        <w:t xml:space="preserve">. </w:t>
      </w:r>
    </w:p>
    <w:p w14:paraId="6E1992F7" w14:textId="290F0ACD" w:rsidR="00FD2647" w:rsidRPr="00A32F63" w:rsidRDefault="00FD2647" w:rsidP="00395FFF">
      <w:pPr>
        <w:pStyle w:val="ds-markdown-paragraph"/>
        <w:shd w:val="clear" w:color="auto" w:fill="FFFFFF"/>
        <w:spacing w:before="240" w:beforeAutospacing="0" w:after="240" w:afterAutospacing="0" w:line="360" w:lineRule="auto"/>
        <w:ind w:left="1276" w:hanging="850"/>
        <w:jc w:val="both"/>
        <w:rPr>
          <w:rFonts w:ascii="Century Gothic" w:hAnsi="Century Gothic" w:cs="Segoe UI"/>
          <w:b/>
          <w:color w:val="0F1115"/>
        </w:rPr>
      </w:pPr>
      <w:r w:rsidRPr="00A32F63">
        <w:rPr>
          <w:rStyle w:val="Textoennegrita"/>
          <w:rFonts w:ascii="Century Gothic" w:hAnsi="Century Gothic" w:cs="Segoe UI"/>
          <w:b w:val="0"/>
          <w:bCs w:val="0"/>
          <w:color w:val="0F1115"/>
        </w:rPr>
        <w:t>VI</w:t>
      </w:r>
      <w:r w:rsidR="00306963" w:rsidRPr="00A32F63">
        <w:rPr>
          <w:rStyle w:val="Textoennegrita"/>
          <w:rFonts w:ascii="Century Gothic" w:hAnsi="Century Gothic" w:cs="Segoe UI"/>
          <w:b w:val="0"/>
          <w:bCs w:val="0"/>
          <w:color w:val="0F1115"/>
        </w:rPr>
        <w:t>.</w:t>
      </w:r>
      <w:r w:rsidRPr="00A32F63">
        <w:rPr>
          <w:rStyle w:val="Textoennegrita"/>
          <w:rFonts w:ascii="Century Gothic" w:hAnsi="Century Gothic" w:cs="Segoe UI"/>
          <w:b w:val="0"/>
          <w:bCs w:val="0"/>
          <w:color w:val="0F1115"/>
        </w:rPr>
        <w:t xml:space="preserve"> </w:t>
      </w:r>
      <w:r w:rsidR="00306963" w:rsidRPr="00A32F63">
        <w:rPr>
          <w:rStyle w:val="Textoennegrita"/>
          <w:rFonts w:ascii="Century Gothic" w:hAnsi="Century Gothic" w:cs="Segoe UI"/>
          <w:b w:val="0"/>
          <w:bCs w:val="0"/>
          <w:color w:val="0F1115"/>
        </w:rPr>
        <w:t>y</w:t>
      </w:r>
      <w:r w:rsidRPr="00A32F63">
        <w:rPr>
          <w:rStyle w:val="Textoennegrita"/>
          <w:rFonts w:ascii="Century Gothic" w:hAnsi="Century Gothic" w:cs="Segoe UI"/>
          <w:b w:val="0"/>
          <w:bCs w:val="0"/>
          <w:color w:val="0F1115"/>
        </w:rPr>
        <w:t xml:space="preserve"> VII.</w:t>
      </w:r>
      <w:r w:rsidRPr="00A32F63">
        <w:rPr>
          <w:rFonts w:ascii="Century Gothic" w:hAnsi="Century Gothic" w:cs="Segoe UI"/>
          <w:b/>
          <w:color w:val="0F1115"/>
        </w:rPr>
        <w:t> </w:t>
      </w:r>
      <w:r w:rsidRPr="00A32F63">
        <w:rPr>
          <w:rFonts w:ascii="Century Gothic" w:hAnsi="Century Gothic" w:cs="Segoe UI"/>
          <w:bCs/>
          <w:color w:val="0F1115"/>
        </w:rPr>
        <w:t>... </w:t>
      </w:r>
    </w:p>
    <w:p w14:paraId="66280DDB" w14:textId="411E1810" w:rsidR="00FD2647" w:rsidRPr="00CF7C18" w:rsidRDefault="00FD2647" w:rsidP="00395FFF">
      <w:pPr>
        <w:pStyle w:val="ds-markdown-paragraph"/>
        <w:shd w:val="clear" w:color="auto" w:fill="FFFFFF"/>
        <w:spacing w:before="240" w:beforeAutospacing="0" w:after="240" w:afterAutospacing="0" w:line="360" w:lineRule="auto"/>
        <w:ind w:left="1276" w:hanging="850"/>
        <w:jc w:val="both"/>
        <w:rPr>
          <w:rFonts w:ascii="Century Gothic" w:hAnsi="Century Gothic" w:cs="Segoe UI"/>
          <w:b/>
          <w:bCs/>
          <w:color w:val="0F1115"/>
        </w:rPr>
      </w:pPr>
      <w:r w:rsidRPr="00A32F63">
        <w:rPr>
          <w:rStyle w:val="Textoennegrita"/>
          <w:rFonts w:ascii="Century Gothic" w:hAnsi="Century Gothic" w:cs="Segoe UI"/>
          <w:b w:val="0"/>
          <w:bCs w:val="0"/>
          <w:color w:val="0F1115"/>
        </w:rPr>
        <w:t>VII Bis.</w:t>
      </w:r>
      <w:r w:rsidRPr="00952DA5">
        <w:rPr>
          <w:rStyle w:val="Textoennegrita"/>
          <w:rFonts w:ascii="Century Gothic" w:hAnsi="Century Gothic" w:cs="Segoe UI"/>
          <w:color w:val="0F1115"/>
        </w:rPr>
        <w:t xml:space="preserve"> Padrón de Anfitriones:</w:t>
      </w:r>
      <w:r w:rsidRPr="00CF7C18">
        <w:rPr>
          <w:rFonts w:ascii="Century Gothic" w:hAnsi="Century Gothic" w:cs="Segoe UI"/>
          <w:b/>
          <w:bCs/>
          <w:color w:val="0F1115"/>
        </w:rPr>
        <w:t> Registro de personas físicas o morales que ofrecen el servicio de hospedaje ocasional en el Estado de Chihuahua</w:t>
      </w:r>
      <w:r w:rsidR="001427AB" w:rsidRPr="00CF7C18">
        <w:rPr>
          <w:rFonts w:ascii="Century Gothic" w:hAnsi="Century Gothic" w:cs="Segoe UI"/>
          <w:b/>
          <w:bCs/>
          <w:color w:val="0F1115"/>
        </w:rPr>
        <w:t>.</w:t>
      </w:r>
    </w:p>
    <w:p w14:paraId="29A87BC7" w14:textId="23E303D1" w:rsidR="00FD2647" w:rsidRPr="00CF7C18" w:rsidRDefault="00FD2647" w:rsidP="00395FFF">
      <w:pPr>
        <w:pStyle w:val="ds-markdown-paragraph"/>
        <w:shd w:val="clear" w:color="auto" w:fill="FFFFFF"/>
        <w:spacing w:before="240" w:beforeAutospacing="0" w:after="240" w:afterAutospacing="0" w:line="360" w:lineRule="auto"/>
        <w:ind w:left="1276" w:hanging="850"/>
        <w:jc w:val="both"/>
        <w:rPr>
          <w:rFonts w:ascii="Century Gothic" w:hAnsi="Century Gothic" w:cs="Segoe UI"/>
          <w:b/>
          <w:bCs/>
          <w:color w:val="0F1115"/>
        </w:rPr>
      </w:pPr>
      <w:r w:rsidRPr="00952DA5">
        <w:rPr>
          <w:rStyle w:val="Textoennegrita"/>
          <w:rFonts w:ascii="Century Gothic" w:hAnsi="Century Gothic" w:cs="Segoe UI"/>
          <w:color w:val="0F1115"/>
        </w:rPr>
        <w:t>VII Ter. Padrón de Plataformas</w:t>
      </w:r>
      <w:r w:rsidR="00457842" w:rsidRPr="00952DA5">
        <w:rPr>
          <w:rStyle w:val="Textoennegrita"/>
          <w:rFonts w:ascii="Century Gothic" w:hAnsi="Century Gothic" w:cs="Segoe UI"/>
          <w:color w:val="0F1115"/>
        </w:rPr>
        <w:t xml:space="preserve"> Digitales</w:t>
      </w:r>
      <w:r w:rsidRPr="00454249">
        <w:rPr>
          <w:rStyle w:val="Textoennegrita"/>
          <w:rFonts w:ascii="Century Gothic" w:hAnsi="Century Gothic" w:cs="Segoe UI"/>
          <w:color w:val="0F1115"/>
        </w:rPr>
        <w:t>:</w:t>
      </w:r>
      <w:r w:rsidRPr="00CF7C18">
        <w:rPr>
          <w:rFonts w:ascii="Century Gothic" w:hAnsi="Century Gothic" w:cs="Segoe UI"/>
          <w:b/>
          <w:bCs/>
          <w:color w:val="0F1115"/>
        </w:rPr>
        <w:t> Registro de personas físicas o morales, mexicanas o extranjeras, autorizadas para operar, intermediar o administrar una plataforma tecnológica mediante la cual se oferta el servicio de hospedaje ocasional</w:t>
      </w:r>
      <w:r w:rsidR="008213ED" w:rsidRPr="00CF7C18">
        <w:rPr>
          <w:rFonts w:ascii="Century Gothic" w:hAnsi="Century Gothic" w:cs="Segoe UI"/>
          <w:b/>
          <w:bCs/>
          <w:color w:val="0F1115"/>
        </w:rPr>
        <w:t xml:space="preserve">. </w:t>
      </w:r>
    </w:p>
    <w:p w14:paraId="3FA14661" w14:textId="07F948EF" w:rsidR="00FD2647" w:rsidRPr="00CF7C18" w:rsidRDefault="00FD2647" w:rsidP="00A32F63">
      <w:pPr>
        <w:pStyle w:val="ds-markdown-paragraph"/>
        <w:shd w:val="clear" w:color="auto" w:fill="FFFFFF"/>
        <w:spacing w:before="240" w:beforeAutospacing="0" w:after="240" w:afterAutospacing="0" w:line="360" w:lineRule="auto"/>
        <w:ind w:left="1276" w:hanging="850"/>
        <w:jc w:val="both"/>
        <w:rPr>
          <w:rFonts w:ascii="Century Gothic" w:hAnsi="Century Gothic" w:cs="Segoe UI"/>
          <w:b/>
          <w:bCs/>
          <w:color w:val="0F1115"/>
        </w:rPr>
      </w:pPr>
      <w:r w:rsidRPr="00952DA5">
        <w:rPr>
          <w:rStyle w:val="Textoennegrita"/>
          <w:rFonts w:ascii="Century Gothic" w:hAnsi="Century Gothic" w:cs="Segoe UI"/>
          <w:color w:val="0F1115"/>
        </w:rPr>
        <w:t xml:space="preserve">VII </w:t>
      </w:r>
      <w:proofErr w:type="spellStart"/>
      <w:r w:rsidRPr="00952DA5">
        <w:rPr>
          <w:rStyle w:val="Textoennegrita"/>
          <w:rFonts w:ascii="Century Gothic" w:hAnsi="Century Gothic" w:cs="Segoe UI"/>
          <w:color w:val="0F1115"/>
        </w:rPr>
        <w:t>Quater</w:t>
      </w:r>
      <w:proofErr w:type="spellEnd"/>
      <w:r w:rsidRPr="00952DA5">
        <w:rPr>
          <w:rStyle w:val="Textoennegrita"/>
          <w:rFonts w:ascii="Century Gothic" w:hAnsi="Century Gothic" w:cs="Segoe UI"/>
          <w:color w:val="0F1115"/>
        </w:rPr>
        <w:t>. Plataforma digital:</w:t>
      </w:r>
      <w:r w:rsidRPr="00CF7C18">
        <w:rPr>
          <w:rFonts w:ascii="Century Gothic" w:hAnsi="Century Gothic" w:cs="Segoe UI"/>
          <w:b/>
          <w:bCs/>
          <w:color w:val="0F1115"/>
        </w:rPr>
        <w:t> Herramienta tecnológica que permite a sus usuarios contratar servicios turísticos, operada por una persona física o moral en calidad de gestora, intermediaria, promotora o facilitadora</w:t>
      </w:r>
      <w:r w:rsidR="001427AB" w:rsidRPr="00CF7C18">
        <w:rPr>
          <w:rFonts w:ascii="Century Gothic" w:hAnsi="Century Gothic" w:cs="Segoe UI"/>
          <w:b/>
          <w:bCs/>
          <w:color w:val="0F1115"/>
        </w:rPr>
        <w:t>.</w:t>
      </w:r>
    </w:p>
    <w:p w14:paraId="2915BCD9" w14:textId="243099B6" w:rsidR="00FD2647" w:rsidRPr="00AD2CC2" w:rsidRDefault="00FD2647" w:rsidP="00395FFF">
      <w:pPr>
        <w:pStyle w:val="ds-markdown-paragraph"/>
        <w:shd w:val="clear" w:color="auto" w:fill="FFFFFF"/>
        <w:spacing w:before="240" w:beforeAutospacing="0" w:after="240" w:afterAutospacing="0" w:line="360" w:lineRule="auto"/>
        <w:ind w:left="1276" w:hanging="850"/>
        <w:jc w:val="both"/>
        <w:rPr>
          <w:rFonts w:ascii="Century Gothic" w:hAnsi="Century Gothic" w:cs="Segoe UI"/>
          <w:color w:val="0F1115"/>
        </w:rPr>
      </w:pPr>
      <w:r w:rsidRPr="00A32F63">
        <w:rPr>
          <w:rStyle w:val="Textoennegrita"/>
          <w:rFonts w:ascii="Century Gothic" w:hAnsi="Century Gothic" w:cs="Segoe UI"/>
          <w:b w:val="0"/>
          <w:bCs w:val="0"/>
          <w:color w:val="0F1115"/>
        </w:rPr>
        <w:t>VIII</w:t>
      </w:r>
      <w:r w:rsidR="001427AB" w:rsidRPr="00A32F63">
        <w:rPr>
          <w:rStyle w:val="Textoennegrita"/>
          <w:rFonts w:ascii="Century Gothic" w:hAnsi="Century Gothic" w:cs="Segoe UI"/>
          <w:b w:val="0"/>
          <w:bCs w:val="0"/>
          <w:color w:val="0F1115"/>
        </w:rPr>
        <w:t>.</w:t>
      </w:r>
      <w:r w:rsidRPr="00A32F63">
        <w:rPr>
          <w:rStyle w:val="Textoennegrita"/>
          <w:rFonts w:ascii="Century Gothic" w:hAnsi="Century Gothic" w:cs="Segoe UI"/>
          <w:b w:val="0"/>
          <w:bCs w:val="0"/>
          <w:color w:val="0F1115"/>
        </w:rPr>
        <w:t xml:space="preserve"> a XXII.</w:t>
      </w:r>
      <w:r w:rsidRPr="00A32F63">
        <w:rPr>
          <w:rFonts w:ascii="Century Gothic" w:hAnsi="Century Gothic" w:cs="Segoe UI"/>
          <w:color w:val="0F1115"/>
        </w:rPr>
        <w:t> ...</w:t>
      </w:r>
      <w:r w:rsidRPr="00AD2CC2">
        <w:rPr>
          <w:rFonts w:ascii="Century Gothic" w:hAnsi="Century Gothic" w:cs="Segoe UI"/>
          <w:color w:val="0F1115"/>
        </w:rPr>
        <w:t> </w:t>
      </w:r>
    </w:p>
    <w:p w14:paraId="46F9CB19" w14:textId="0585B6AF" w:rsidR="00FD2647" w:rsidRPr="00D91CD7"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lastRenderedPageBreak/>
        <w:t>Artículo 15.</w:t>
      </w:r>
      <w:r w:rsidRPr="00AD2CC2">
        <w:rPr>
          <w:rFonts w:ascii="Century Gothic" w:hAnsi="Century Gothic" w:cs="Segoe UI"/>
          <w:color w:val="0F1115"/>
        </w:rPr>
        <w:t> La Secretaría, en coordinación con los sectores público y privado, impulsará</w:t>
      </w:r>
      <w:r w:rsidR="00A874C1">
        <w:rPr>
          <w:rFonts w:ascii="Century Gothic" w:hAnsi="Century Gothic" w:cs="Segoe UI"/>
          <w:color w:val="0F1115"/>
        </w:rPr>
        <w:t>n</w:t>
      </w:r>
      <w:r w:rsidRPr="00AD2CC2">
        <w:rPr>
          <w:rFonts w:ascii="Century Gothic" w:hAnsi="Century Gothic" w:cs="Segoe UI"/>
          <w:color w:val="0F1115"/>
        </w:rPr>
        <w:t xml:space="preserve"> la elaboración del Atlas Turístico </w:t>
      </w:r>
      <w:r w:rsidRPr="00CF7C18">
        <w:rPr>
          <w:rFonts w:ascii="Century Gothic" w:hAnsi="Century Gothic" w:cs="Segoe UI"/>
          <w:b/>
          <w:bCs/>
          <w:color w:val="0F1115"/>
        </w:rPr>
        <w:t>del Estado de</w:t>
      </w:r>
      <w:r w:rsidRPr="00D91CD7">
        <w:rPr>
          <w:rFonts w:ascii="Century Gothic" w:hAnsi="Century Gothic" w:cs="Segoe UI"/>
          <w:color w:val="0F1115"/>
        </w:rPr>
        <w:t xml:space="preserve"> </w:t>
      </w:r>
      <w:r w:rsidRPr="00CF7C18">
        <w:rPr>
          <w:rFonts w:ascii="Century Gothic" w:hAnsi="Century Gothic" w:cs="Segoe UI"/>
          <w:b/>
          <w:bCs/>
          <w:color w:val="0F1115"/>
        </w:rPr>
        <w:t>Chihuahua</w:t>
      </w:r>
      <w:r w:rsidR="001427AB" w:rsidRPr="00CF7C18">
        <w:rPr>
          <w:rFonts w:ascii="Century Gothic" w:hAnsi="Century Gothic" w:cs="Segoe UI"/>
          <w:b/>
          <w:bCs/>
          <w:color w:val="0F1115"/>
        </w:rPr>
        <w:t>,</w:t>
      </w:r>
      <w:r w:rsidRPr="00D91CD7">
        <w:rPr>
          <w:rFonts w:ascii="Century Gothic" w:hAnsi="Century Gothic" w:cs="Segoe UI"/>
          <w:color w:val="0F1115"/>
        </w:rPr>
        <w:t xml:space="preserve"> como herramienta para la promoción de la actividad turística en todas </w:t>
      </w:r>
      <w:r w:rsidRPr="00A874C1">
        <w:rPr>
          <w:rFonts w:ascii="Century Gothic" w:hAnsi="Century Gothic" w:cs="Segoe UI"/>
          <w:b/>
          <w:bCs/>
          <w:color w:val="0F1115"/>
        </w:rPr>
        <w:t xml:space="preserve">las </w:t>
      </w:r>
      <w:r w:rsidRPr="00CF7C18">
        <w:rPr>
          <w:rFonts w:ascii="Century Gothic" w:hAnsi="Century Gothic" w:cs="Segoe UI"/>
          <w:color w:val="0F1115"/>
        </w:rPr>
        <w:t xml:space="preserve">modalidades </w:t>
      </w:r>
      <w:r w:rsidRPr="00A874C1">
        <w:rPr>
          <w:rFonts w:ascii="Century Gothic" w:hAnsi="Century Gothic" w:cs="Segoe UI"/>
          <w:b/>
          <w:bCs/>
          <w:color w:val="0F1115"/>
        </w:rPr>
        <w:t xml:space="preserve">previstas en esta Ley y en </w:t>
      </w:r>
      <w:r w:rsidRPr="00CF7C18">
        <w:rPr>
          <w:rFonts w:ascii="Century Gothic" w:hAnsi="Century Gothic" w:cs="Segoe UI"/>
          <w:color w:val="0F1115"/>
        </w:rPr>
        <w:t>las demás</w:t>
      </w:r>
      <w:r w:rsidRPr="00A874C1">
        <w:rPr>
          <w:rFonts w:ascii="Century Gothic" w:hAnsi="Century Gothic" w:cs="Segoe UI"/>
          <w:b/>
          <w:bCs/>
          <w:color w:val="0F1115"/>
        </w:rPr>
        <w:t xml:space="preserve"> que se determinen en su </w:t>
      </w:r>
      <w:r w:rsidRPr="00CF7C18">
        <w:rPr>
          <w:rFonts w:ascii="Century Gothic" w:hAnsi="Century Gothic" w:cs="Segoe UI"/>
          <w:color w:val="0F1115"/>
        </w:rPr>
        <w:t>Reglamento</w:t>
      </w:r>
      <w:r w:rsidRPr="00A874C1">
        <w:rPr>
          <w:rFonts w:ascii="Century Gothic" w:hAnsi="Century Gothic" w:cs="Segoe UI"/>
          <w:b/>
          <w:bCs/>
          <w:color w:val="0F1115"/>
        </w:rPr>
        <w:t>. El Atlas Turístico deberá publicarse en el Periódico Oficial del Estado y actualizarse periódicamente con base en los indicadores y datos técnicos generados por el Observatorio Turístico del Estado, de modo que la promoción responda a la realidad del sector.</w:t>
      </w:r>
      <w:r w:rsidR="00D91CD7" w:rsidRPr="00A874C1">
        <w:rPr>
          <w:rFonts w:ascii="Century Gothic" w:hAnsi="Century Gothic" w:cs="Segoe UI"/>
          <w:b/>
          <w:bCs/>
          <w:color w:val="0F1115"/>
        </w:rPr>
        <w:t xml:space="preserve"> </w:t>
      </w:r>
    </w:p>
    <w:p w14:paraId="1A3C8978" w14:textId="130BE0EC" w:rsidR="00790E0F" w:rsidRPr="00CF7C18" w:rsidRDefault="00952DA5"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CF7C18">
        <w:rPr>
          <w:rFonts w:ascii="Century Gothic" w:hAnsi="Century Gothic" w:cs="Segoe UI"/>
          <w:b/>
          <w:bCs/>
          <w:color w:val="0F1115"/>
        </w:rPr>
        <w:t>Se deroga.</w:t>
      </w:r>
    </w:p>
    <w:p w14:paraId="49C082E5" w14:textId="1E61157A" w:rsidR="00952DA5" w:rsidRPr="00CF7C18" w:rsidRDefault="00952DA5"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CF7C18">
        <w:rPr>
          <w:rFonts w:ascii="Century Gothic" w:hAnsi="Century Gothic" w:cs="Segoe UI"/>
          <w:b/>
          <w:bCs/>
          <w:color w:val="0F1115"/>
        </w:rPr>
        <w:t>Se deroga.</w:t>
      </w:r>
    </w:p>
    <w:p w14:paraId="0D81B287" w14:textId="4583ED9B" w:rsidR="00952DA5" w:rsidRPr="00CF7C18" w:rsidRDefault="00952DA5"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CF7C18">
        <w:rPr>
          <w:rFonts w:ascii="Century Gothic" w:hAnsi="Century Gothic" w:cs="Segoe UI"/>
          <w:b/>
          <w:bCs/>
          <w:color w:val="0F1115"/>
        </w:rPr>
        <w:t xml:space="preserve">Se deroga. </w:t>
      </w:r>
    </w:p>
    <w:p w14:paraId="011FE667" w14:textId="55BE522A"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XII</w:t>
      </w:r>
      <w:r w:rsidRPr="00AD2CC2">
        <w:rPr>
          <w:rFonts w:ascii="Century Gothic" w:hAnsi="Century Gothic" w:cs="Segoe UI"/>
          <w:color w:val="0F1115"/>
        </w:rPr>
        <w:br/>
      </w:r>
      <w:r w:rsidRPr="00CF7C18">
        <w:rPr>
          <w:rStyle w:val="Textoennegrita"/>
          <w:rFonts w:ascii="Century Gothic" w:hAnsi="Century Gothic" w:cs="Segoe UI"/>
          <w:b w:val="0"/>
          <w:bCs w:val="0"/>
          <w:color w:val="0F1115"/>
        </w:rPr>
        <w:t>DE</w:t>
      </w:r>
      <w:r w:rsidRPr="00AD2CC2">
        <w:rPr>
          <w:rStyle w:val="Textoennegrita"/>
          <w:rFonts w:ascii="Century Gothic" w:hAnsi="Century Gothic" w:cs="Segoe UI"/>
          <w:color w:val="0F1115"/>
        </w:rPr>
        <w:t xml:space="preserve"> LA GOBERNANZA TÉCNICA </w:t>
      </w:r>
      <w:r w:rsidRPr="00CF7C18">
        <w:rPr>
          <w:rStyle w:val="Textoennegrita"/>
          <w:rFonts w:ascii="Century Gothic" w:hAnsi="Century Gothic" w:cs="Segoe UI"/>
          <w:b w:val="0"/>
          <w:bCs w:val="0"/>
          <w:color w:val="0F1115"/>
        </w:rPr>
        <w:t>Y</w:t>
      </w:r>
      <w:r w:rsidRPr="00AD2CC2">
        <w:rPr>
          <w:rStyle w:val="Textoennegrita"/>
          <w:rFonts w:ascii="Century Gothic" w:hAnsi="Century Gothic" w:cs="Segoe UI"/>
          <w:color w:val="0F1115"/>
        </w:rPr>
        <w:t xml:space="preserve"> LA PLANEACIÓN TURÍSTICA</w:t>
      </w:r>
    </w:p>
    <w:p w14:paraId="3FD6A3DB" w14:textId="26F1B25E" w:rsidR="00FD2647" w:rsidRPr="0063618E"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59.</w:t>
      </w:r>
      <w:r w:rsidRPr="00AD2CC2">
        <w:rPr>
          <w:rFonts w:ascii="Century Gothic" w:hAnsi="Century Gothic" w:cs="Segoe UI"/>
          <w:color w:val="0F1115"/>
        </w:rPr>
        <w:t> </w:t>
      </w:r>
      <w:r w:rsidRPr="0063618E">
        <w:rPr>
          <w:rFonts w:ascii="Century Gothic" w:hAnsi="Century Gothic" w:cs="Segoe UI"/>
          <w:b/>
          <w:bCs/>
          <w:color w:val="0F1115"/>
        </w:rPr>
        <w:t>Se crea el Consejo Técnico Estatal de Turismo como órgano colegiado de carácter consultivo, adscrito a la Secretaría de Turismo del Estado, con el objeto de asesorar al Ejecutivo Estatal, a los municipios y a los actores del sector en la definición de políticas, programas y proyectos turísticos basados en evidencia técnica y datos verificables.</w:t>
      </w:r>
      <w:r w:rsidR="00D91CD7" w:rsidRPr="0063618E">
        <w:rPr>
          <w:rFonts w:ascii="Century Gothic" w:hAnsi="Century Gothic" w:cs="Segoe UI"/>
          <w:b/>
          <w:bCs/>
          <w:color w:val="0F1115"/>
        </w:rPr>
        <w:t xml:space="preserve"> </w:t>
      </w:r>
    </w:p>
    <w:p w14:paraId="2858E95E" w14:textId="5C4FA7C8" w:rsidR="00FD2647" w:rsidRPr="0063618E" w:rsidRDefault="00FD2647" w:rsidP="00A32F63">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63618E">
        <w:rPr>
          <w:rFonts w:ascii="Century Gothic" w:hAnsi="Century Gothic" w:cs="Segoe UI"/>
          <w:b/>
          <w:bCs/>
          <w:color w:val="0F1115"/>
        </w:rPr>
        <w:t xml:space="preserve">El Consejo estará integrado por representantes de la Secretaría de Turismo, de los municipios, de las instituciones académicas con programas turísticos, de los organismos empresariales del sector y de la sociedad civil </w:t>
      </w:r>
      <w:r w:rsidRPr="0063618E">
        <w:rPr>
          <w:rFonts w:ascii="Century Gothic" w:hAnsi="Century Gothic" w:cs="Segoe UI"/>
          <w:b/>
          <w:bCs/>
          <w:color w:val="0F1115"/>
        </w:rPr>
        <w:lastRenderedPageBreak/>
        <w:t>organizada. Su designación se realizará mediante convocatoria pública que garantice la paridad de género.</w:t>
      </w:r>
    </w:p>
    <w:p w14:paraId="75FD9429" w14:textId="27ADF095" w:rsidR="00FD2647" w:rsidRPr="0063618E" w:rsidRDefault="00FD2647" w:rsidP="00B14F1F">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63618E">
        <w:rPr>
          <w:rFonts w:ascii="Century Gothic" w:hAnsi="Century Gothic" w:cs="Segoe UI"/>
          <w:b/>
          <w:bCs/>
          <w:color w:val="0F1115"/>
        </w:rPr>
        <w:t>Sesionará ordinariamente de manera trimestral. Sesionará de manera extraordinaria cuando así lo requiera la dinámica del sector.</w:t>
      </w:r>
    </w:p>
    <w:p w14:paraId="1C29E102" w14:textId="35C470DA" w:rsidR="00FD2647" w:rsidRPr="0063618E" w:rsidRDefault="00FD2647" w:rsidP="00B14F1F">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63618E">
        <w:rPr>
          <w:rFonts w:ascii="Century Gothic" w:hAnsi="Century Gothic" w:cs="Segoe UI"/>
          <w:b/>
          <w:bCs/>
          <w:color w:val="0F1115"/>
        </w:rPr>
        <w:t>Sus funciones y su composición detallada se establecerán en el Reglamento de esta Ley.</w:t>
      </w:r>
    </w:p>
    <w:p w14:paraId="44C93A2F" w14:textId="0C7A2892" w:rsidR="00FD2647" w:rsidRDefault="00FD2647" w:rsidP="00445871">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XIII</w:t>
      </w:r>
      <w:r w:rsidRPr="00AD2CC2">
        <w:rPr>
          <w:rFonts w:ascii="Century Gothic" w:hAnsi="Century Gothic" w:cs="Segoe UI"/>
          <w:color w:val="0F1115"/>
        </w:rPr>
        <w:br/>
      </w:r>
      <w:r w:rsidRPr="00AD2CC2">
        <w:rPr>
          <w:rStyle w:val="Textoennegrita"/>
          <w:rFonts w:ascii="Century Gothic" w:hAnsi="Century Gothic" w:cs="Segoe UI"/>
          <w:color w:val="0F1115"/>
        </w:rPr>
        <w:t>DEL FONDO ESTATAL DE APOYO A PRESTADORES DE SERVICIOS TURÍSTICOS</w:t>
      </w:r>
    </w:p>
    <w:p w14:paraId="17F28633" w14:textId="1FE9119F" w:rsidR="00BB1C3D" w:rsidRDefault="00060D53" w:rsidP="00CF7C18">
      <w:pPr>
        <w:spacing w:line="360" w:lineRule="auto"/>
        <w:jc w:val="both"/>
        <w:rPr>
          <w:rFonts w:ascii="Century Gothic" w:eastAsia="Aptos" w:hAnsi="Century Gothic" w:cs="Times New Roman"/>
          <w:b/>
          <w:bCs/>
          <w:kern w:val="2"/>
          <w:sz w:val="24"/>
          <w:szCs w:val="24"/>
          <w14:ligatures w14:val="standardContextual"/>
        </w:rPr>
      </w:pPr>
      <w:r w:rsidRPr="00060D53">
        <w:rPr>
          <w:rFonts w:ascii="Century Gothic" w:eastAsia="Aptos" w:hAnsi="Century Gothic" w:cs="Times New Roman"/>
          <w:b/>
          <w:bCs/>
          <w:kern w:val="2"/>
          <w:sz w:val="24"/>
          <w:szCs w:val="24"/>
          <w14:ligatures w14:val="standardContextual"/>
        </w:rPr>
        <w:t>Artículo 60.</w:t>
      </w:r>
      <w:r w:rsidRPr="00060D53">
        <w:rPr>
          <w:rFonts w:ascii="Century Gothic" w:eastAsia="Aptos" w:hAnsi="Century Gothic" w:cs="Times New Roman"/>
          <w:kern w:val="2"/>
          <w:sz w:val="24"/>
          <w:szCs w:val="24"/>
          <w14:ligatures w14:val="standardContextual"/>
        </w:rPr>
        <w:t xml:space="preserve"> </w:t>
      </w:r>
      <w:r w:rsidRPr="0063618E">
        <w:rPr>
          <w:rFonts w:ascii="Century Gothic" w:eastAsia="Aptos" w:hAnsi="Century Gothic" w:cs="Times New Roman"/>
          <w:b/>
          <w:bCs/>
          <w:kern w:val="2"/>
          <w:sz w:val="24"/>
          <w:szCs w:val="24"/>
          <w14:ligatures w14:val="standardContextual"/>
        </w:rPr>
        <w:t>Se crea el Fondo Estatal de Apoyo a Prestadores de Servicios Turísticos de Chihuahua como instrumento de fomento destinado a financiar proyectos de infraestructura, capacitación, certificación, innovación tecnológica y promoción turística de las micro, pequeñas y medianas empresas del sector. El Fondo no constituye un organismo descentralizado, un fideicomiso público ni una entidad similar en los términos del artículo 64, fracción XLI de la Constitución Política del Estado Libre y Soberano de Chihuahua. Su operación se realizará directamente a través de la Secretaría de Turismo, dentro de su estructura administrativa, con cargo a las partidas presupuestales que el H. Congreso del Estado apruebe en el Presupuesto de Egresos de cada ejercicio fiscal.</w:t>
      </w:r>
      <w:r w:rsidR="00BB1C3D">
        <w:rPr>
          <w:rFonts w:ascii="Century Gothic" w:eastAsia="Aptos" w:hAnsi="Century Gothic" w:cs="Times New Roman"/>
          <w:b/>
          <w:bCs/>
          <w:kern w:val="2"/>
          <w:sz w:val="24"/>
          <w:szCs w:val="24"/>
          <w14:ligatures w14:val="standardContextual"/>
        </w:rPr>
        <w:t xml:space="preserve"> </w:t>
      </w:r>
    </w:p>
    <w:p w14:paraId="3890A3CF" w14:textId="3257D52D" w:rsidR="00BB1C3D" w:rsidRDefault="00060D53" w:rsidP="00B14F1F">
      <w:pPr>
        <w:spacing w:line="360" w:lineRule="auto"/>
        <w:jc w:val="both"/>
        <w:rPr>
          <w:rFonts w:ascii="Century Gothic" w:eastAsia="Aptos" w:hAnsi="Century Gothic" w:cs="Times New Roman"/>
          <w:b/>
          <w:bCs/>
          <w:kern w:val="2"/>
          <w:sz w:val="24"/>
          <w:szCs w:val="24"/>
          <w14:ligatures w14:val="standardContextual"/>
        </w:rPr>
      </w:pPr>
      <w:r w:rsidRPr="00CF7C18">
        <w:rPr>
          <w:rFonts w:ascii="Century Gothic" w:eastAsia="Aptos" w:hAnsi="Century Gothic" w:cs="Times New Roman"/>
          <w:b/>
          <w:bCs/>
          <w:kern w:val="2"/>
          <w:sz w:val="24"/>
          <w:szCs w:val="24"/>
          <w14:ligatures w14:val="standardContextual"/>
        </w:rPr>
        <w:t>El Fondo será administrado por la Secretaría de Turismo con la participación del Consejo Técnico Estatal de Turismo.</w:t>
      </w:r>
    </w:p>
    <w:p w14:paraId="6E99FDD4" w14:textId="77777777" w:rsidR="00BB1C3D" w:rsidRDefault="00BB1C3D" w:rsidP="00B14F1F">
      <w:pPr>
        <w:spacing w:line="360" w:lineRule="auto"/>
        <w:jc w:val="both"/>
        <w:rPr>
          <w:rFonts w:ascii="Century Gothic" w:eastAsia="Aptos" w:hAnsi="Century Gothic" w:cs="Times New Roman"/>
          <w:b/>
          <w:bCs/>
          <w:kern w:val="2"/>
          <w:sz w:val="24"/>
          <w:szCs w:val="24"/>
          <w14:ligatures w14:val="standardContextual"/>
        </w:rPr>
      </w:pPr>
    </w:p>
    <w:p w14:paraId="298F6E69" w14:textId="4DA47105" w:rsidR="00060D53" w:rsidRPr="00CF7C18" w:rsidRDefault="00060D53" w:rsidP="00B14F1F">
      <w:pPr>
        <w:spacing w:line="360" w:lineRule="auto"/>
        <w:jc w:val="both"/>
        <w:rPr>
          <w:rFonts w:ascii="Century Gothic" w:eastAsia="Aptos" w:hAnsi="Century Gothic" w:cs="Times New Roman"/>
          <w:b/>
          <w:bCs/>
          <w:kern w:val="2"/>
          <w:sz w:val="24"/>
          <w:szCs w:val="24"/>
          <w14:ligatures w14:val="standardContextual"/>
        </w:rPr>
      </w:pPr>
      <w:r w:rsidRPr="00CF7C18">
        <w:rPr>
          <w:rFonts w:ascii="Century Gothic" w:eastAsia="Aptos" w:hAnsi="Century Gothic" w:cs="Times New Roman"/>
          <w:b/>
          <w:bCs/>
          <w:kern w:val="2"/>
          <w:sz w:val="24"/>
          <w:szCs w:val="24"/>
          <w14:ligatures w14:val="standardContextual"/>
        </w:rPr>
        <w:t>Su integración, reglas de operación, criterios de elegibilidad y mecanismos de rendición de cuentas se establecerán en el Reglamento de esta Ley.</w:t>
      </w:r>
    </w:p>
    <w:p w14:paraId="1A3C419B" w14:textId="77777777" w:rsidR="00E5201A" w:rsidRPr="0063618E" w:rsidRDefault="00E5201A" w:rsidP="00E5201A">
      <w:pPr>
        <w:pStyle w:val="Prrafodelista"/>
        <w:rPr>
          <w:rFonts w:ascii="Century Gothic" w:eastAsia="Aptos" w:hAnsi="Century Gothic" w:cs="Times New Roman"/>
          <w:b/>
          <w:bCs/>
          <w:kern w:val="2"/>
          <w:sz w:val="24"/>
          <w:szCs w:val="24"/>
          <w14:ligatures w14:val="standardContextual"/>
        </w:rPr>
      </w:pPr>
    </w:p>
    <w:p w14:paraId="7E8B75E0" w14:textId="5F5C0BDF" w:rsidR="00060D53" w:rsidRPr="00CF7C18" w:rsidRDefault="00060D53" w:rsidP="00B14F1F">
      <w:pPr>
        <w:spacing w:line="360" w:lineRule="auto"/>
        <w:jc w:val="both"/>
        <w:rPr>
          <w:rFonts w:ascii="Century Gothic" w:eastAsia="Aptos" w:hAnsi="Century Gothic" w:cs="Times New Roman"/>
          <w:b/>
          <w:bCs/>
          <w:kern w:val="2"/>
          <w:sz w:val="24"/>
          <w:szCs w:val="24"/>
          <w14:ligatures w14:val="standardContextual"/>
        </w:rPr>
      </w:pPr>
      <w:r w:rsidRPr="00CF7C18">
        <w:rPr>
          <w:rFonts w:ascii="Century Gothic" w:eastAsia="Aptos" w:hAnsi="Century Gothic" w:cs="Times New Roman"/>
          <w:b/>
          <w:bCs/>
          <w:kern w:val="2"/>
          <w:sz w:val="24"/>
          <w:szCs w:val="24"/>
          <w14:ligatures w14:val="standardContextual"/>
        </w:rPr>
        <w:t>El Fondo se constituirá con las aportaciones que se establezcan en el Presupuesto de Egresos del Estado, con recursos provenientes de fondos federales de fomento económico y con aportaciones voluntarias del sector privado.</w:t>
      </w:r>
    </w:p>
    <w:p w14:paraId="593F0DB0" w14:textId="29C75BA9" w:rsidR="008B30A6" w:rsidRDefault="00FD2647" w:rsidP="008B30A6">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XIV</w:t>
      </w:r>
      <w:r w:rsidRPr="00AD2CC2">
        <w:rPr>
          <w:rFonts w:ascii="Century Gothic" w:hAnsi="Century Gothic" w:cs="Segoe UI"/>
          <w:color w:val="0F1115"/>
        </w:rPr>
        <w:br/>
      </w:r>
      <w:r w:rsidRPr="00AD2CC2">
        <w:rPr>
          <w:rStyle w:val="Textoennegrita"/>
          <w:rFonts w:ascii="Century Gothic" w:hAnsi="Century Gothic" w:cs="Segoe UI"/>
          <w:color w:val="0F1115"/>
        </w:rPr>
        <w:t>DE LOS CORREDORES TURÍSTICOS PRIORITARIOS</w:t>
      </w:r>
    </w:p>
    <w:p w14:paraId="0CFE7445" w14:textId="77777777" w:rsidR="00FD2647" w:rsidRPr="00CA647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445871">
        <w:rPr>
          <w:rStyle w:val="Textoennegrita"/>
          <w:rFonts w:ascii="Century Gothic" w:hAnsi="Century Gothic" w:cs="Segoe UI"/>
          <w:color w:val="0F1115"/>
        </w:rPr>
        <w:t>Artículo 61.</w:t>
      </w:r>
      <w:r w:rsidRPr="00CA647A">
        <w:rPr>
          <w:rFonts w:ascii="Century Gothic" w:hAnsi="Century Gothic" w:cs="Segoe UI"/>
          <w:color w:val="0F1115"/>
        </w:rPr>
        <w:t> </w:t>
      </w:r>
      <w:r w:rsidRPr="00CA647A">
        <w:rPr>
          <w:rFonts w:ascii="Century Gothic" w:hAnsi="Century Gothic" w:cs="Segoe UI"/>
          <w:b/>
          <w:bCs/>
          <w:color w:val="0F1115"/>
        </w:rPr>
        <w:t>El Ejecutivo Estatal podrá declarar, mediante decreto publicado en el Periódico Oficial del Estado, Corredores Turísticos Prioritarios, a propuesta de la Secretaría de Turismo y con la opinión del Consejo Técnico Estatal de Turismo y de los municipios involucrados. La declaratoria habilitará la asignación preferente de recursos del Fondo Estatal de Apoyo Turístico, así como la coordinación interinstitucional para el desarrollo de infraestructura en dichas zonas.</w:t>
      </w:r>
    </w:p>
    <w:p w14:paraId="18BF410D" w14:textId="77777777" w:rsidR="00FD2647" w:rsidRPr="00CA647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CA647A">
        <w:rPr>
          <w:rStyle w:val="Textoennegrita"/>
          <w:rFonts w:ascii="Century Gothic" w:hAnsi="Century Gothic" w:cs="Segoe UI"/>
          <w:color w:val="0F1115"/>
        </w:rPr>
        <w:t>Artículo 62.</w:t>
      </w:r>
      <w:r w:rsidRPr="00CA647A">
        <w:rPr>
          <w:rFonts w:ascii="Century Gothic" w:hAnsi="Century Gothic" w:cs="Segoe UI"/>
          <w:b/>
          <w:bCs/>
          <w:color w:val="0F1115"/>
        </w:rPr>
        <w:t xml:space="preserve"> El Ejecutivo Estatal, a través de la Secretaría de Turismo y en coordinación con las dependencias competentes en materia de obras y comunicaciones, impulsará la creación y el mantenimiento de Corredores Turísticos Prioritarios. Se entienden por tales los tramos carreteros que vinculan los principales destinos turísticos del Estado y que requieren </w:t>
      </w:r>
      <w:r w:rsidRPr="00CA647A">
        <w:rPr>
          <w:rFonts w:ascii="Century Gothic" w:hAnsi="Century Gothic" w:cs="Segoe UI"/>
          <w:b/>
          <w:bCs/>
          <w:color w:val="0F1115"/>
        </w:rPr>
        <w:lastRenderedPageBreak/>
        <w:t>señalización bilingüe, iluminación, infraestructura de descanso segura y un régimen permanente de limpieza y mantenimiento.</w:t>
      </w:r>
    </w:p>
    <w:p w14:paraId="7C2F5C39" w14:textId="1F448470" w:rsidR="00FD2647" w:rsidRPr="00CA647A" w:rsidRDefault="00FD2647" w:rsidP="00124322">
      <w:pPr>
        <w:pStyle w:val="ds-markdown-paragraph"/>
        <w:numPr>
          <w:ilvl w:val="0"/>
          <w:numId w:val="37"/>
        </w:numPr>
        <w:shd w:val="clear" w:color="auto" w:fill="FFFFFF"/>
        <w:spacing w:before="240" w:beforeAutospacing="0" w:after="240" w:afterAutospacing="0" w:line="360" w:lineRule="auto"/>
        <w:jc w:val="both"/>
        <w:rPr>
          <w:rFonts w:ascii="Century Gothic" w:hAnsi="Century Gothic" w:cs="Segoe UI"/>
          <w:b/>
          <w:bCs/>
          <w:color w:val="0F1115"/>
        </w:rPr>
      </w:pPr>
      <w:r w:rsidRPr="00CA647A">
        <w:rPr>
          <w:rFonts w:ascii="Century Gothic" w:hAnsi="Century Gothic" w:cs="Segoe UI"/>
          <w:b/>
          <w:bCs/>
          <w:color w:val="0F1115"/>
        </w:rPr>
        <w:t>Se declaran Corredores Turísticos Prioritarios, de manera enunciativa y no limitativa: el corredor Chihuahua–Ciudad Juárez; el corredor de la Sierra Tarahumara; el corredor Chihuahua–Casas Grandes–Nuevo Casas Grandes; y el corredor Chihuahua–Delicias–Camargo–Jiménez.</w:t>
      </w:r>
    </w:p>
    <w:p w14:paraId="3FF1E201" w14:textId="62FA55A5" w:rsidR="00FD2647" w:rsidRPr="00CA647A" w:rsidRDefault="00FD2647" w:rsidP="00124322">
      <w:pPr>
        <w:pStyle w:val="ds-markdown-paragraph"/>
        <w:numPr>
          <w:ilvl w:val="0"/>
          <w:numId w:val="37"/>
        </w:numPr>
        <w:shd w:val="clear" w:color="auto" w:fill="FFFFFF"/>
        <w:spacing w:before="240" w:beforeAutospacing="0" w:after="240" w:afterAutospacing="0" w:line="360" w:lineRule="auto"/>
        <w:jc w:val="both"/>
        <w:rPr>
          <w:rFonts w:ascii="Century Gothic" w:hAnsi="Century Gothic" w:cs="Segoe UI"/>
          <w:b/>
          <w:bCs/>
          <w:color w:val="0F1115"/>
        </w:rPr>
      </w:pPr>
      <w:r w:rsidRPr="00CA647A">
        <w:rPr>
          <w:rFonts w:ascii="Century Gothic" w:hAnsi="Century Gothic" w:cs="Segoe UI"/>
          <w:b/>
          <w:bCs/>
          <w:color w:val="0F1115"/>
        </w:rPr>
        <w:t>Se reconoce e incorpora como Corredor Turístico Prioritario la denominada “Ruta de Villa”, que comprende los sitios históricos, monumentos, municipios y localidades vinculados a la memoria histórica de la Revolución Mexicana y a la figura de Francisco Villa en el Estado de Chihuahua.</w:t>
      </w:r>
    </w:p>
    <w:p w14:paraId="3D781E66" w14:textId="38B47767" w:rsidR="00FD2647" w:rsidRPr="00CA647A" w:rsidRDefault="00FD2647" w:rsidP="00124322">
      <w:pPr>
        <w:pStyle w:val="ds-markdown-paragraph"/>
        <w:numPr>
          <w:ilvl w:val="0"/>
          <w:numId w:val="37"/>
        </w:numPr>
        <w:shd w:val="clear" w:color="auto" w:fill="FFFFFF"/>
        <w:spacing w:before="240" w:beforeAutospacing="0" w:after="240" w:afterAutospacing="0" w:line="360" w:lineRule="auto"/>
        <w:jc w:val="both"/>
        <w:rPr>
          <w:rFonts w:ascii="Century Gothic" w:hAnsi="Century Gothic" w:cs="Segoe UI"/>
          <w:b/>
          <w:bCs/>
          <w:color w:val="0F1115"/>
        </w:rPr>
      </w:pPr>
      <w:r w:rsidRPr="00CA647A">
        <w:rPr>
          <w:rFonts w:ascii="Century Gothic" w:hAnsi="Century Gothic" w:cs="Segoe UI"/>
          <w:b/>
          <w:bCs/>
          <w:color w:val="0F1115"/>
        </w:rPr>
        <w:t>El Ejecutivo Estatal establecerá mesas de coordinación permanente con las autoridades aeroportuarias para garantizar la calidad del servicio.</w:t>
      </w:r>
    </w:p>
    <w:p w14:paraId="74ACAD94" w14:textId="1E7EA930"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XV</w:t>
      </w:r>
      <w:r w:rsidRPr="00AD2CC2">
        <w:rPr>
          <w:rFonts w:ascii="Century Gothic" w:hAnsi="Century Gothic" w:cs="Segoe UI"/>
          <w:color w:val="0F1115"/>
        </w:rPr>
        <w:br/>
      </w:r>
      <w:r w:rsidRPr="00AD2CC2">
        <w:rPr>
          <w:rStyle w:val="Textoennegrita"/>
          <w:rFonts w:ascii="Century Gothic" w:hAnsi="Century Gothic" w:cs="Segoe UI"/>
          <w:color w:val="0F1115"/>
        </w:rPr>
        <w:t>DEL OBSERVATORIO TURÍSTICO DEL ESTADO DE CHIHUAHUA</w:t>
      </w:r>
    </w:p>
    <w:p w14:paraId="1F8BE9F9" w14:textId="10D01B1C" w:rsidR="00FD2647" w:rsidRPr="00850F38"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445871">
        <w:rPr>
          <w:rStyle w:val="Textoennegrita"/>
          <w:rFonts w:ascii="Century Gothic" w:hAnsi="Century Gothic" w:cs="Segoe UI"/>
          <w:color w:val="0F1115"/>
        </w:rPr>
        <w:t>Artículo 63.</w:t>
      </w:r>
      <w:r w:rsidRPr="00850F38">
        <w:rPr>
          <w:rFonts w:ascii="Century Gothic" w:hAnsi="Century Gothic" w:cs="Segoe UI"/>
          <w:color w:val="0F1115"/>
        </w:rPr>
        <w:t> </w:t>
      </w:r>
      <w:r w:rsidRPr="00850F38">
        <w:rPr>
          <w:rFonts w:ascii="Century Gothic" w:hAnsi="Century Gothic" w:cs="Segoe UI"/>
          <w:b/>
          <w:bCs/>
          <w:color w:val="0F1115"/>
        </w:rPr>
        <w:t>El Observatorio Turístico del Estado de Chihuahua es un instrumento de colaboración intersectorial y multidisciplinari</w:t>
      </w:r>
      <w:r w:rsidR="008F0E91" w:rsidRPr="00850F38">
        <w:rPr>
          <w:rFonts w:ascii="Century Gothic" w:hAnsi="Century Gothic" w:cs="Segoe UI"/>
          <w:b/>
          <w:bCs/>
          <w:color w:val="0F1115"/>
        </w:rPr>
        <w:t>o</w:t>
      </w:r>
      <w:r w:rsidRPr="00850F38">
        <w:rPr>
          <w:rFonts w:ascii="Century Gothic" w:hAnsi="Century Gothic" w:cs="Segoe UI"/>
          <w:b/>
          <w:bCs/>
          <w:color w:val="0F1115"/>
        </w:rPr>
        <w:t xml:space="preserve">, integrado al Sistema de Información Turística Estatal. Su propósito central es investigar, cuantificar, dar seguimiento y valorar la dinámica turística en todas sus expresiones, junto con los factores que la impactan. Funcionará a través de </w:t>
      </w:r>
      <w:r w:rsidRPr="00850F38">
        <w:rPr>
          <w:rFonts w:ascii="Century Gothic" w:hAnsi="Century Gothic" w:cs="Segoe UI"/>
          <w:b/>
          <w:bCs/>
          <w:color w:val="0F1115"/>
        </w:rPr>
        <w:lastRenderedPageBreak/>
        <w:t>una plataforma digital de acceso público y de forma ininterrumpida. La Secretaría es la autoridad responsable de su administración y de la veracidad de los datos albergados.</w:t>
      </w:r>
    </w:p>
    <w:p w14:paraId="559BBBD0" w14:textId="77777777" w:rsidR="00FD2647" w:rsidRPr="00850F38"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850F38">
        <w:rPr>
          <w:rStyle w:val="Textoennegrita"/>
          <w:rFonts w:ascii="Century Gothic" w:hAnsi="Century Gothic" w:cs="Segoe UI"/>
          <w:color w:val="0F1115"/>
        </w:rPr>
        <w:t>Artículo 64.</w:t>
      </w:r>
      <w:r w:rsidRPr="00850F38">
        <w:rPr>
          <w:rFonts w:ascii="Century Gothic" w:hAnsi="Century Gothic" w:cs="Segoe UI"/>
          <w:b/>
          <w:bCs/>
          <w:color w:val="0F1115"/>
        </w:rPr>
        <w:t> El Observatorio Turístico del Estado de Chihuahua tendrá los siguientes objetivos:</w:t>
      </w:r>
    </w:p>
    <w:p w14:paraId="528109E8" w14:textId="5FC81977" w:rsidR="00FD2647" w:rsidRPr="00850F38" w:rsidRDefault="00FD2647" w:rsidP="00124322">
      <w:pPr>
        <w:pStyle w:val="ds-markdown-paragraph"/>
        <w:numPr>
          <w:ilvl w:val="0"/>
          <w:numId w:val="39"/>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Fonts w:ascii="Century Gothic" w:hAnsi="Century Gothic" w:cs="Segoe UI"/>
          <w:b/>
          <w:bCs/>
          <w:color w:val="0F1115"/>
        </w:rPr>
        <w:t xml:space="preserve">Cuantificar y evaluar la evolución de la industria turística bajo un enfoque que articule la visión ciudadana y gubernamental, determinando su contribución al progreso de la </w:t>
      </w:r>
      <w:r w:rsidR="00454249">
        <w:rPr>
          <w:rFonts w:ascii="Century Gothic" w:hAnsi="Century Gothic" w:cs="Segoe UI"/>
          <w:b/>
          <w:bCs/>
          <w:color w:val="0F1115"/>
        </w:rPr>
        <w:t>E</w:t>
      </w:r>
      <w:r w:rsidRPr="00850F38">
        <w:rPr>
          <w:rFonts w:ascii="Century Gothic" w:hAnsi="Century Gothic" w:cs="Segoe UI"/>
          <w:b/>
          <w:bCs/>
          <w:color w:val="0F1115"/>
        </w:rPr>
        <w:t>ntidad</w:t>
      </w:r>
      <w:r w:rsidR="00850F38">
        <w:rPr>
          <w:rFonts w:ascii="Century Gothic" w:hAnsi="Century Gothic" w:cs="Segoe UI"/>
          <w:b/>
          <w:bCs/>
          <w:color w:val="0F1115"/>
        </w:rPr>
        <w:t>.</w:t>
      </w:r>
    </w:p>
    <w:p w14:paraId="3B65DFF9" w14:textId="4FC9DE32" w:rsidR="00FD2647" w:rsidRPr="00850F38" w:rsidRDefault="00FD2647" w:rsidP="00124322">
      <w:pPr>
        <w:pStyle w:val="ds-markdown-paragraph"/>
        <w:numPr>
          <w:ilvl w:val="0"/>
          <w:numId w:val="39"/>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Fonts w:ascii="Century Gothic" w:hAnsi="Century Gothic" w:cs="Segoe UI"/>
          <w:b/>
          <w:bCs/>
          <w:color w:val="0F1115"/>
        </w:rPr>
        <w:t>Producir y estructurar datos turísticos dentro de un portal electrónico abierto de forma continua para la ciudadanía, las instituciones académicas, las autoridades y los sectores involucrados</w:t>
      </w:r>
      <w:r w:rsidR="00850F38">
        <w:rPr>
          <w:rFonts w:ascii="Century Gothic" w:hAnsi="Century Gothic" w:cs="Segoe UI"/>
          <w:b/>
          <w:bCs/>
          <w:color w:val="0F1115"/>
        </w:rPr>
        <w:t>.</w:t>
      </w:r>
    </w:p>
    <w:p w14:paraId="4E4E335D" w14:textId="4650C4C3" w:rsidR="00FD2647" w:rsidRPr="00850F38" w:rsidRDefault="00FD2647" w:rsidP="00124322">
      <w:pPr>
        <w:pStyle w:val="ds-markdown-paragraph"/>
        <w:numPr>
          <w:ilvl w:val="0"/>
          <w:numId w:val="39"/>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Fonts w:ascii="Century Gothic" w:hAnsi="Century Gothic" w:cs="Segoe UI"/>
          <w:b/>
          <w:bCs/>
          <w:color w:val="0F1115"/>
        </w:rPr>
        <w:t>Detectar y analizar los fenómenos sociales que repercuten en el crecimiento del turismo a nivel estatal</w:t>
      </w:r>
      <w:r w:rsidR="00850F38">
        <w:rPr>
          <w:rFonts w:ascii="Century Gothic" w:hAnsi="Century Gothic" w:cs="Segoe UI"/>
          <w:b/>
          <w:bCs/>
          <w:color w:val="0F1115"/>
        </w:rPr>
        <w:t>.</w:t>
      </w:r>
    </w:p>
    <w:p w14:paraId="291563CF" w14:textId="47C6AF13" w:rsidR="00FD2647" w:rsidRPr="00850F38" w:rsidRDefault="00FD2647" w:rsidP="00124322">
      <w:pPr>
        <w:pStyle w:val="ds-markdown-paragraph"/>
        <w:numPr>
          <w:ilvl w:val="0"/>
          <w:numId w:val="39"/>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Fonts w:ascii="Century Gothic" w:hAnsi="Century Gothic" w:cs="Segoe UI"/>
          <w:b/>
          <w:bCs/>
          <w:color w:val="0F1115"/>
        </w:rPr>
        <w:t>Sugerir la articulación de la dinámica turística con ejes prioritarios para el avance del Estado, tales como la competitividad, la sustentabilidad y la equidad social</w:t>
      </w:r>
      <w:r w:rsidR="00850F38">
        <w:rPr>
          <w:rFonts w:ascii="Century Gothic" w:hAnsi="Century Gothic" w:cs="Segoe UI"/>
          <w:b/>
          <w:bCs/>
          <w:color w:val="0F1115"/>
        </w:rPr>
        <w:t>.</w:t>
      </w:r>
    </w:p>
    <w:p w14:paraId="34A2BAB1" w14:textId="61D140CB" w:rsidR="00FD2647" w:rsidRPr="00850F38" w:rsidRDefault="00FD2647" w:rsidP="00124322">
      <w:pPr>
        <w:pStyle w:val="ds-markdown-paragraph"/>
        <w:numPr>
          <w:ilvl w:val="0"/>
          <w:numId w:val="39"/>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Fonts w:ascii="Century Gothic" w:hAnsi="Century Gothic" w:cs="Segoe UI"/>
          <w:b/>
          <w:bCs/>
          <w:color w:val="0F1115"/>
        </w:rPr>
        <w:t>Impulsar y respaldar la ejecución de análisis e investigaciones especializadas en el ámbito turístico</w:t>
      </w:r>
      <w:r w:rsidR="00850F38">
        <w:rPr>
          <w:rFonts w:ascii="Century Gothic" w:hAnsi="Century Gothic" w:cs="Segoe UI"/>
          <w:b/>
          <w:bCs/>
          <w:color w:val="0F1115"/>
        </w:rPr>
        <w:t>.</w:t>
      </w:r>
    </w:p>
    <w:p w14:paraId="61E0DE82" w14:textId="008EF58E" w:rsidR="00FD2647" w:rsidRPr="00850F38" w:rsidRDefault="00FD2647" w:rsidP="00124322">
      <w:pPr>
        <w:pStyle w:val="ds-markdown-paragraph"/>
        <w:numPr>
          <w:ilvl w:val="0"/>
          <w:numId w:val="39"/>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Fonts w:ascii="Century Gothic" w:hAnsi="Century Gothic" w:cs="Segoe UI"/>
          <w:b/>
          <w:bCs/>
          <w:color w:val="0F1115"/>
        </w:rPr>
        <w:t xml:space="preserve">Aportar datos clave que guíen y simplifiquen la toma de resoluciones, así como la implementación de proyectos por </w:t>
      </w:r>
      <w:r w:rsidRPr="00850F38">
        <w:rPr>
          <w:rFonts w:ascii="Century Gothic" w:hAnsi="Century Gothic" w:cs="Segoe UI"/>
          <w:b/>
          <w:bCs/>
          <w:color w:val="0F1115"/>
        </w:rPr>
        <w:lastRenderedPageBreak/>
        <w:t>parte del gobierno, la iniciativa privada, las instituciones educativas y la comunidad.</w:t>
      </w:r>
    </w:p>
    <w:p w14:paraId="0AC502A3" w14:textId="77777777" w:rsidR="00FD2647" w:rsidRPr="00850F38"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color w:val="0F1115"/>
        </w:rPr>
      </w:pPr>
      <w:r w:rsidRPr="00850F38">
        <w:rPr>
          <w:rStyle w:val="Textoennegrita"/>
          <w:rFonts w:ascii="Century Gothic" w:hAnsi="Century Gothic" w:cs="Segoe UI"/>
          <w:color w:val="0F1115"/>
        </w:rPr>
        <w:t>Artículo 65.</w:t>
      </w:r>
      <w:r w:rsidRPr="00850F38">
        <w:rPr>
          <w:rFonts w:ascii="Century Gothic" w:hAnsi="Century Gothic" w:cs="Segoe UI"/>
          <w:bCs/>
          <w:color w:val="0F1115"/>
        </w:rPr>
        <w:t> </w:t>
      </w:r>
      <w:r w:rsidRPr="00850F38">
        <w:rPr>
          <w:rFonts w:ascii="Century Gothic" w:hAnsi="Century Gothic" w:cs="Segoe UI"/>
          <w:b/>
          <w:color w:val="0F1115"/>
        </w:rPr>
        <w:t>El Observatorio suministrará métricas estadísticas detalladas vinculadas a las actividades turísticas, al perfil del viajero, a las inclinaciones de consumo y a los nichos de mercado, abarcando tanto el ámbito estatal como el municipal.</w:t>
      </w:r>
    </w:p>
    <w:p w14:paraId="4302DFC9" w14:textId="77777777" w:rsidR="00FD2647" w:rsidRPr="00850F38"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850F38">
        <w:rPr>
          <w:rStyle w:val="Textoennegrita"/>
          <w:rFonts w:ascii="Century Gothic" w:hAnsi="Century Gothic" w:cs="Segoe UI"/>
          <w:color w:val="0F1115"/>
        </w:rPr>
        <w:t>Artículo 66.</w:t>
      </w:r>
      <w:r w:rsidRPr="00850F38">
        <w:rPr>
          <w:rFonts w:ascii="Century Gothic" w:hAnsi="Century Gothic" w:cs="Segoe UI"/>
          <w:b/>
          <w:bCs/>
          <w:color w:val="0F1115"/>
        </w:rPr>
        <w:t> Para alcanzar sus objetivos, el Observatorio ejercerá las siguientes atribuciones, de forma enunciativa y no restrictiva:</w:t>
      </w:r>
    </w:p>
    <w:p w14:paraId="6050012D" w14:textId="61DFA3DE" w:rsidR="00FD2647" w:rsidRPr="00850F38" w:rsidRDefault="00FD2647" w:rsidP="00124322">
      <w:pPr>
        <w:pStyle w:val="ds-markdown-paragraph"/>
        <w:numPr>
          <w:ilvl w:val="0"/>
          <w:numId w:val="4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850F38">
        <w:rPr>
          <w:rFonts w:ascii="Century Gothic" w:hAnsi="Century Gothic" w:cs="Segoe UI"/>
          <w:b/>
          <w:bCs/>
          <w:color w:val="0F1115"/>
        </w:rPr>
        <w:t>Determinar las características y el nivel de satisfacción de los viajeros que recorren los destinos turísticos en Chihuahua</w:t>
      </w:r>
      <w:r w:rsidR="00850F38">
        <w:rPr>
          <w:rFonts w:ascii="Century Gothic" w:hAnsi="Century Gothic" w:cs="Segoe UI"/>
          <w:b/>
          <w:bCs/>
          <w:color w:val="0F1115"/>
        </w:rPr>
        <w:t>.</w:t>
      </w:r>
    </w:p>
    <w:p w14:paraId="784A0F69" w14:textId="66283839" w:rsidR="00FD2647" w:rsidRPr="00850F38" w:rsidRDefault="00FD2647" w:rsidP="00124322">
      <w:pPr>
        <w:pStyle w:val="ds-markdown-paragraph"/>
        <w:numPr>
          <w:ilvl w:val="0"/>
          <w:numId w:val="4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850F38">
        <w:rPr>
          <w:rFonts w:ascii="Century Gothic" w:hAnsi="Century Gothic" w:cs="Segoe UI"/>
          <w:b/>
          <w:bCs/>
          <w:color w:val="0F1115"/>
        </w:rPr>
        <w:t>Cuantificar y evaluar de forma permanente el desempeño del sector</w:t>
      </w:r>
      <w:r w:rsidR="00850F38">
        <w:rPr>
          <w:rFonts w:ascii="Century Gothic" w:hAnsi="Century Gothic" w:cs="Segoe UI"/>
          <w:b/>
          <w:bCs/>
          <w:color w:val="0F1115"/>
        </w:rPr>
        <w:t>.</w:t>
      </w:r>
    </w:p>
    <w:p w14:paraId="4C3E16D8" w14:textId="5276814F" w:rsidR="00FD2647" w:rsidRPr="00850F38" w:rsidRDefault="00FD2647" w:rsidP="00124322">
      <w:pPr>
        <w:pStyle w:val="ds-markdown-paragraph"/>
        <w:numPr>
          <w:ilvl w:val="0"/>
          <w:numId w:val="4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850F38">
        <w:rPr>
          <w:rFonts w:ascii="Century Gothic" w:hAnsi="Century Gothic" w:cs="Segoe UI"/>
          <w:b/>
          <w:bCs/>
          <w:color w:val="0F1115"/>
        </w:rPr>
        <w:t>Documentar y analizar la derrama económica generada por la industria turística en el territorio estatal</w:t>
      </w:r>
      <w:r w:rsidR="00850F38">
        <w:rPr>
          <w:rFonts w:ascii="Century Gothic" w:hAnsi="Century Gothic" w:cs="Segoe UI"/>
          <w:b/>
          <w:bCs/>
          <w:color w:val="0F1115"/>
        </w:rPr>
        <w:t>.</w:t>
      </w:r>
    </w:p>
    <w:p w14:paraId="04FF454C" w14:textId="193110EB" w:rsidR="00FD2647" w:rsidRPr="00850F38" w:rsidRDefault="00FD2647" w:rsidP="00124322">
      <w:pPr>
        <w:pStyle w:val="ds-markdown-paragraph"/>
        <w:numPr>
          <w:ilvl w:val="0"/>
          <w:numId w:val="4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850F38">
        <w:rPr>
          <w:rFonts w:ascii="Century Gothic" w:hAnsi="Century Gothic" w:cs="Segoe UI"/>
          <w:b/>
          <w:bCs/>
          <w:color w:val="0F1115"/>
        </w:rPr>
        <w:t>Fomentar herramientas y estrategias diseñadas para captar y comprender las necesidades de los distintos participantes de la cadena de valor turística</w:t>
      </w:r>
      <w:r w:rsidR="00850F38">
        <w:rPr>
          <w:rFonts w:ascii="Century Gothic" w:hAnsi="Century Gothic" w:cs="Segoe UI"/>
          <w:b/>
          <w:bCs/>
          <w:color w:val="0F1115"/>
        </w:rPr>
        <w:t>.</w:t>
      </w:r>
    </w:p>
    <w:p w14:paraId="50122C81" w14:textId="0B27EBAB" w:rsidR="00FD2647" w:rsidRPr="00850F38" w:rsidRDefault="00FD2647" w:rsidP="00124322">
      <w:pPr>
        <w:pStyle w:val="ds-markdown-paragraph"/>
        <w:numPr>
          <w:ilvl w:val="0"/>
          <w:numId w:val="4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850F38">
        <w:rPr>
          <w:rFonts w:ascii="Century Gothic" w:hAnsi="Century Gothic" w:cs="Segoe UI"/>
          <w:b/>
          <w:bCs/>
          <w:color w:val="0F1115"/>
        </w:rPr>
        <w:t>Crear bases de datos técnicos que hagan posible la emisión, unificación y estandarización de métricas turísticas, optimizando su acceso y utilidad</w:t>
      </w:r>
      <w:r w:rsidR="00850F38">
        <w:rPr>
          <w:rFonts w:ascii="Century Gothic" w:hAnsi="Century Gothic" w:cs="Segoe UI"/>
          <w:b/>
          <w:bCs/>
          <w:color w:val="0F1115"/>
        </w:rPr>
        <w:t>.</w:t>
      </w:r>
    </w:p>
    <w:p w14:paraId="64423E08" w14:textId="3869470E" w:rsidR="00FD2647" w:rsidRPr="00850F38" w:rsidRDefault="00FD2647" w:rsidP="00124322">
      <w:pPr>
        <w:pStyle w:val="ds-markdown-paragraph"/>
        <w:numPr>
          <w:ilvl w:val="0"/>
          <w:numId w:val="4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850F38">
        <w:rPr>
          <w:rFonts w:ascii="Century Gothic" w:hAnsi="Century Gothic" w:cs="Segoe UI"/>
          <w:b/>
          <w:bCs/>
          <w:color w:val="0F1115"/>
        </w:rPr>
        <w:lastRenderedPageBreak/>
        <w:t>Entregar a los ayuntamientos un panel de seguimiento de métricas turísticas, cuya finalidad sea agilizar la renovación de la base de datos del Sistema de Información Turística Estatal</w:t>
      </w:r>
      <w:r w:rsidR="00850F38">
        <w:rPr>
          <w:rFonts w:ascii="Century Gothic" w:hAnsi="Century Gothic" w:cs="Segoe UI"/>
          <w:b/>
          <w:bCs/>
          <w:color w:val="0F1115"/>
        </w:rPr>
        <w:t>.</w:t>
      </w:r>
    </w:p>
    <w:p w14:paraId="5C52ABB2" w14:textId="258C940A" w:rsidR="00FD2647" w:rsidRPr="00850F38" w:rsidRDefault="00FD2647" w:rsidP="00124322">
      <w:pPr>
        <w:pStyle w:val="ds-markdown-paragraph"/>
        <w:numPr>
          <w:ilvl w:val="0"/>
          <w:numId w:val="4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850F38">
        <w:rPr>
          <w:rFonts w:ascii="Century Gothic" w:hAnsi="Century Gothic" w:cs="Segoe UI"/>
          <w:b/>
          <w:bCs/>
          <w:color w:val="0F1115"/>
        </w:rPr>
        <w:t>Concentrar y clasificar los registros de las métricas turísticas para la confección de informes mensuales</w:t>
      </w:r>
      <w:r w:rsidR="00850F38">
        <w:rPr>
          <w:rFonts w:ascii="Century Gothic" w:hAnsi="Century Gothic" w:cs="Segoe UI"/>
          <w:b/>
          <w:bCs/>
          <w:color w:val="0F1115"/>
        </w:rPr>
        <w:t>.</w:t>
      </w:r>
    </w:p>
    <w:p w14:paraId="6A91AFFE" w14:textId="21128475" w:rsidR="00FD2647" w:rsidRPr="00850F38" w:rsidRDefault="00FD2647" w:rsidP="00124322">
      <w:pPr>
        <w:pStyle w:val="ds-markdown-paragraph"/>
        <w:numPr>
          <w:ilvl w:val="0"/>
          <w:numId w:val="4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850F38">
        <w:rPr>
          <w:rFonts w:ascii="Century Gothic" w:hAnsi="Century Gothic" w:cs="Segoe UI"/>
          <w:b/>
          <w:bCs/>
          <w:color w:val="0F1115"/>
        </w:rPr>
        <w:t>Emitir y divulgar</w:t>
      </w:r>
      <w:r w:rsidR="00454249">
        <w:rPr>
          <w:rFonts w:ascii="Century Gothic" w:hAnsi="Century Gothic" w:cs="Segoe UI"/>
          <w:b/>
          <w:bCs/>
          <w:color w:val="0F1115"/>
        </w:rPr>
        <w:t>,</w:t>
      </w:r>
      <w:r w:rsidRPr="00850F38">
        <w:rPr>
          <w:rFonts w:ascii="Century Gothic" w:hAnsi="Century Gothic" w:cs="Segoe UI"/>
          <w:b/>
          <w:bCs/>
          <w:color w:val="0F1115"/>
        </w:rPr>
        <w:t xml:space="preserve"> de manera regular</w:t>
      </w:r>
      <w:r w:rsidR="00454249">
        <w:rPr>
          <w:rFonts w:ascii="Century Gothic" w:hAnsi="Century Gothic" w:cs="Segoe UI"/>
          <w:b/>
          <w:bCs/>
          <w:color w:val="0F1115"/>
        </w:rPr>
        <w:t>,</w:t>
      </w:r>
      <w:r w:rsidRPr="00850F38">
        <w:rPr>
          <w:rFonts w:ascii="Century Gothic" w:hAnsi="Century Gothic" w:cs="Segoe UI"/>
          <w:b/>
          <w:bCs/>
          <w:color w:val="0F1115"/>
        </w:rPr>
        <w:t xml:space="preserve"> los hallazgos de dichos informes mensuales mediante su portal electrónico.</w:t>
      </w:r>
    </w:p>
    <w:p w14:paraId="0C107137" w14:textId="77777777" w:rsidR="00850F38" w:rsidRDefault="00850F38"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p>
    <w:p w14:paraId="5820A4DA" w14:textId="16CE86A7"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XVI</w:t>
      </w:r>
      <w:r w:rsidRPr="00AD2CC2">
        <w:rPr>
          <w:rFonts w:ascii="Century Gothic" w:hAnsi="Century Gothic" w:cs="Segoe UI"/>
          <w:color w:val="0F1115"/>
        </w:rPr>
        <w:br/>
      </w:r>
      <w:r w:rsidRPr="00AD2CC2">
        <w:rPr>
          <w:rStyle w:val="Textoennegrita"/>
          <w:rFonts w:ascii="Century Gothic" w:hAnsi="Century Gothic" w:cs="Segoe UI"/>
          <w:color w:val="0F1115"/>
        </w:rPr>
        <w:t>DE LAS CADENAS DE VALOR TURÍSTICO</w:t>
      </w:r>
    </w:p>
    <w:p w14:paraId="77611B94" w14:textId="77777777"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Style w:val="Textoennegrita"/>
          <w:rFonts w:ascii="Century Gothic" w:hAnsi="Century Gothic" w:cs="Segoe UI"/>
          <w:color w:val="0F1115"/>
        </w:rPr>
        <w:t>Artículo 67.</w:t>
      </w:r>
      <w:r w:rsidRPr="00AD2CC2">
        <w:rPr>
          <w:rFonts w:ascii="Century Gothic" w:hAnsi="Century Gothic" w:cs="Segoe UI"/>
          <w:color w:val="0F1115"/>
        </w:rPr>
        <w:t> </w:t>
      </w:r>
      <w:r w:rsidRPr="00850F38">
        <w:rPr>
          <w:rFonts w:ascii="Century Gothic" w:hAnsi="Century Gothic" w:cs="Segoe UI"/>
          <w:b/>
          <w:bCs/>
          <w:color w:val="0F1115"/>
        </w:rPr>
        <w:t>La Secretaría y los municipios, en el ámbito de sus respectivas competencias, promoverán e impulsarán la integración, consolidación y fortalecimiento de cadenas productivas locales y redes de valor vinculadas con los desarrollos turísticos de nueva creación, así como con aquellos previamente establecidos en el Estado. Lo anterior tiene por finalidad fomentar el consumo local, fortalecer la economía social y solidaria y contribuir al desarrollo regional sostenible. Para el cumplimiento de lo dispuesto en este artículo, la Secretaría y los municipios deberán sustentar sus acciones en estudios de carácter social y de mercado, así como en la información, indicadores y demás datos que obren en el Observatorio Turístico del Estado.</w:t>
      </w:r>
    </w:p>
    <w:p w14:paraId="409DEA39" w14:textId="4F83B095"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lastRenderedPageBreak/>
        <w:t>CAPÍTULO XVII</w:t>
      </w:r>
      <w:r w:rsidRPr="00AD2CC2">
        <w:rPr>
          <w:rFonts w:ascii="Century Gothic" w:hAnsi="Century Gothic" w:cs="Segoe UI"/>
          <w:color w:val="0F1115"/>
        </w:rPr>
        <w:br/>
      </w:r>
      <w:r w:rsidRPr="00AD2CC2">
        <w:rPr>
          <w:rStyle w:val="Textoennegrita"/>
          <w:rFonts w:ascii="Century Gothic" w:hAnsi="Century Gothic" w:cs="Segoe UI"/>
          <w:color w:val="0F1115"/>
        </w:rPr>
        <w:t>DE LAS MODALIDADES TURÍSTICAS ESPECIALIZADAS</w:t>
      </w:r>
    </w:p>
    <w:p w14:paraId="052F67AD" w14:textId="77777777" w:rsidR="00FD2647" w:rsidRPr="00850F38"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68.</w:t>
      </w:r>
      <w:r w:rsidRPr="00AD2CC2">
        <w:rPr>
          <w:rFonts w:ascii="Century Gothic" w:hAnsi="Century Gothic" w:cs="Segoe UI"/>
          <w:color w:val="0F1115"/>
        </w:rPr>
        <w:t> </w:t>
      </w:r>
      <w:r w:rsidRPr="00850F38">
        <w:rPr>
          <w:rFonts w:ascii="Century Gothic" w:hAnsi="Century Gothic" w:cs="Segoe UI"/>
          <w:b/>
          <w:bCs/>
          <w:color w:val="0F1115"/>
        </w:rPr>
        <w:t>Para efectos de esta Ley, se reconocen las siguientes modalidades turísticas especializadas. Su fomento y regulación específica se establecerán en el Reglamento, sin perjuicio de las competencias federales en materia de áreas naturales protegidas y turismo:</w:t>
      </w:r>
    </w:p>
    <w:p w14:paraId="06A8F898" w14:textId="698F48C8" w:rsidR="00FD2647" w:rsidRPr="00850F38" w:rsidRDefault="00FD2647" w:rsidP="00DB6BE8">
      <w:pPr>
        <w:pStyle w:val="ds-markdown-paragraph"/>
        <w:numPr>
          <w:ilvl w:val="0"/>
          <w:numId w:val="17"/>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Style w:val="Textoennegrita"/>
          <w:rFonts w:ascii="Century Gothic" w:hAnsi="Century Gothic" w:cs="Segoe UI"/>
          <w:color w:val="0F1115"/>
        </w:rPr>
        <w:t>Turismo de naturaleza y ecoturismo:</w:t>
      </w:r>
      <w:r w:rsidRPr="00850F38">
        <w:rPr>
          <w:rFonts w:ascii="Century Gothic" w:hAnsi="Century Gothic" w:cs="Segoe UI"/>
          <w:b/>
          <w:bCs/>
          <w:color w:val="0F1115"/>
        </w:rPr>
        <w:t> Modalidad turística orientada a la visita, apreciación y estudio de la naturaleza, que se realiza con bajo impacto ambiental, favorece la conservación del patrimonio natural y el bienestar de las comunidades receptoras. En áreas naturales protegidas de competencia federal, se estará a lo dispuesto por la legislación</w:t>
      </w:r>
      <w:r w:rsidR="00BB1C3D">
        <w:rPr>
          <w:rFonts w:ascii="Century Gothic" w:hAnsi="Century Gothic" w:cs="Segoe UI"/>
          <w:b/>
          <w:bCs/>
          <w:color w:val="0F1115"/>
        </w:rPr>
        <w:t xml:space="preserve"> </w:t>
      </w:r>
      <w:r w:rsidRPr="00850F38">
        <w:rPr>
          <w:rFonts w:ascii="Century Gothic" w:hAnsi="Century Gothic" w:cs="Segoe UI"/>
          <w:b/>
          <w:bCs/>
          <w:color w:val="0F1115"/>
        </w:rPr>
        <w:t>general</w:t>
      </w:r>
      <w:r w:rsidR="00454249">
        <w:rPr>
          <w:rFonts w:ascii="Century Gothic" w:hAnsi="Century Gothic" w:cs="Segoe UI"/>
          <w:b/>
          <w:bCs/>
          <w:color w:val="0F1115"/>
        </w:rPr>
        <w:t xml:space="preserve"> en materia ambiental</w:t>
      </w:r>
      <w:r w:rsidRPr="00850F38">
        <w:rPr>
          <w:rFonts w:ascii="Century Gothic" w:hAnsi="Century Gothic" w:cs="Segoe UI"/>
          <w:b/>
          <w:bCs/>
          <w:color w:val="0F1115"/>
        </w:rPr>
        <w:t>.</w:t>
      </w:r>
    </w:p>
    <w:p w14:paraId="1B55A129" w14:textId="13C90CE1" w:rsidR="00FD2647" w:rsidRPr="00850F38" w:rsidRDefault="00FD2647" w:rsidP="00DB6BE8">
      <w:pPr>
        <w:pStyle w:val="ds-markdown-paragraph"/>
        <w:numPr>
          <w:ilvl w:val="0"/>
          <w:numId w:val="17"/>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Style w:val="Textoennegrita"/>
          <w:rFonts w:ascii="Century Gothic" w:hAnsi="Century Gothic" w:cs="Segoe UI"/>
          <w:color w:val="0F1115"/>
        </w:rPr>
        <w:t>Enoturismo:</w:t>
      </w:r>
      <w:r w:rsidRPr="00850F38">
        <w:rPr>
          <w:rFonts w:ascii="Century Gothic" w:hAnsi="Century Gothic" w:cs="Segoe UI"/>
          <w:b/>
          <w:bCs/>
          <w:color w:val="0F1115"/>
        </w:rPr>
        <w:t> Conjunto de actividades turísticas vinculadas a la producción, elaboración, degustación y comercialización de vinos, sotol y otros productos vitícolas y agropecuarios regionales, que incorporan experiencias auténticas en entornos rurales y agroindustriales.</w:t>
      </w:r>
    </w:p>
    <w:p w14:paraId="3F144F60" w14:textId="22FFC0B3" w:rsidR="00FD2647" w:rsidRPr="00850F38" w:rsidRDefault="00FD2647" w:rsidP="00DB6BE8">
      <w:pPr>
        <w:pStyle w:val="ds-markdown-paragraph"/>
        <w:numPr>
          <w:ilvl w:val="0"/>
          <w:numId w:val="17"/>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Style w:val="Textoennegrita"/>
          <w:rFonts w:ascii="Century Gothic" w:hAnsi="Century Gothic" w:cs="Segoe UI"/>
          <w:color w:val="0F1115"/>
        </w:rPr>
        <w:t>Turismo cultural artesanal:</w:t>
      </w:r>
      <w:r w:rsidRPr="00850F38">
        <w:rPr>
          <w:rFonts w:ascii="Century Gothic" w:hAnsi="Century Gothic" w:cs="Segoe UI"/>
          <w:b/>
          <w:bCs/>
          <w:color w:val="0F1115"/>
        </w:rPr>
        <w:t> Modalidad que integra la visita a comunidades productoras de artesanías, la participación en procesos de creación y el conocimiento de las tradiciones culturales asociadas a ellas.</w:t>
      </w:r>
    </w:p>
    <w:p w14:paraId="0935F989" w14:textId="489045E7" w:rsidR="00FD2647" w:rsidRPr="00850F38" w:rsidRDefault="00FD2647" w:rsidP="00DB6BE8">
      <w:pPr>
        <w:pStyle w:val="ds-markdown-paragraph"/>
        <w:numPr>
          <w:ilvl w:val="0"/>
          <w:numId w:val="17"/>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Style w:val="Textoennegrita"/>
          <w:rFonts w:ascii="Century Gothic" w:hAnsi="Century Gothic" w:cs="Segoe UI"/>
          <w:color w:val="0F1115"/>
        </w:rPr>
        <w:lastRenderedPageBreak/>
        <w:t>Turismo médico y de salud:</w:t>
      </w:r>
      <w:r w:rsidRPr="00850F38">
        <w:rPr>
          <w:rFonts w:ascii="Century Gothic" w:hAnsi="Century Gothic" w:cs="Segoe UI"/>
          <w:b/>
          <w:bCs/>
          <w:color w:val="0F1115"/>
        </w:rPr>
        <w:t> Actividades turísticas vinculadas a la búsqueda y obtención de servicios de salud, procedimientos médicos y tratamientos de bienestar en establecimientos certificados del Estado, aprovechando la posición fronteriza de Chihuahua.</w:t>
      </w:r>
    </w:p>
    <w:p w14:paraId="76B2A035" w14:textId="61D69591" w:rsidR="00FD2647" w:rsidRPr="00850F38" w:rsidRDefault="00FD2647" w:rsidP="00DB6BE8">
      <w:pPr>
        <w:pStyle w:val="ds-markdown-paragraph"/>
        <w:numPr>
          <w:ilvl w:val="0"/>
          <w:numId w:val="17"/>
        </w:numPr>
        <w:shd w:val="clear" w:color="auto" w:fill="FFFFFF"/>
        <w:spacing w:before="240" w:beforeAutospacing="0" w:after="240" w:afterAutospacing="0" w:line="360" w:lineRule="auto"/>
        <w:jc w:val="both"/>
        <w:rPr>
          <w:rFonts w:ascii="Century Gothic" w:hAnsi="Century Gothic" w:cs="Segoe UI"/>
          <w:b/>
          <w:bCs/>
          <w:color w:val="0F1115"/>
        </w:rPr>
      </w:pPr>
      <w:r w:rsidRPr="00850F38">
        <w:rPr>
          <w:rStyle w:val="Textoennegrita"/>
          <w:rFonts w:ascii="Century Gothic" w:hAnsi="Century Gothic" w:cs="Segoe UI"/>
          <w:color w:val="0F1115"/>
        </w:rPr>
        <w:t>Turismo de negocios:</w:t>
      </w:r>
      <w:r w:rsidRPr="00850F38">
        <w:rPr>
          <w:rFonts w:ascii="Century Gothic" w:hAnsi="Century Gothic" w:cs="Segoe UI"/>
          <w:b/>
          <w:bCs/>
          <w:color w:val="0F1115"/>
        </w:rPr>
        <w:t> Modalidad que comprende la realización de congresos, convenciones, exposiciones, ferias, misiones comerciales y eventos corporativos con impacto en la derrama económica y en el posicionamiento de los destinos turísticos del Estado.</w:t>
      </w:r>
    </w:p>
    <w:p w14:paraId="3DB90E3C" w14:textId="3428655D" w:rsidR="00FD2647"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Style w:val="Textoennegrita"/>
          <w:rFonts w:ascii="Century Gothic" w:hAnsi="Century Gothic" w:cs="Segoe UI"/>
          <w:color w:val="0F1115"/>
        </w:rPr>
        <w:t>Artículo 69.</w:t>
      </w:r>
      <w:r w:rsidRPr="00AD2CC2">
        <w:rPr>
          <w:rFonts w:ascii="Century Gothic" w:hAnsi="Century Gothic" w:cs="Segoe UI"/>
          <w:color w:val="0F1115"/>
        </w:rPr>
        <w:t> </w:t>
      </w:r>
      <w:r w:rsidRPr="0068051A">
        <w:rPr>
          <w:rFonts w:ascii="Century Gothic" w:hAnsi="Century Gothic" w:cs="Segoe UI"/>
          <w:b/>
          <w:bCs/>
          <w:color w:val="0F1115"/>
        </w:rPr>
        <w:t>En cumplimiento de la facultad de coordinación establecida en el artículo 4, fracción XVII de esta Ley, la Secretaría promoverá, junto con las Secretarías de Salud y de Hacienda del Estado, así como con los municipios, la creación de una Junta Consultiva de Turismo Médico. Este órgano colegiado articulará a los sectores público, social y privado para asegurar el diseño de políticas públicas, garantizando que la prestación de servicios médicos y turísticos especializados cumpla con estándares internacionales de calidad, certificación y ética profesional. Su integración y reglas de funcionamiento se detallarán en el Reglamento.</w:t>
      </w:r>
    </w:p>
    <w:p w14:paraId="377DD971" w14:textId="23DB8A90"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XVIII</w:t>
      </w:r>
      <w:r w:rsidRPr="00AD2CC2">
        <w:rPr>
          <w:rFonts w:ascii="Century Gothic" w:hAnsi="Century Gothic" w:cs="Segoe UI"/>
          <w:color w:val="0F1115"/>
        </w:rPr>
        <w:br/>
      </w:r>
      <w:r w:rsidRPr="00AD2CC2">
        <w:rPr>
          <w:rStyle w:val="Textoennegrita"/>
          <w:rFonts w:ascii="Century Gothic" w:hAnsi="Century Gothic" w:cs="Segoe UI"/>
          <w:color w:val="0F1115"/>
        </w:rPr>
        <w:t>DEL TURISMO EDUCATIVO Y DE CULTURA</w:t>
      </w:r>
    </w:p>
    <w:p w14:paraId="720B8250" w14:textId="7777777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lastRenderedPageBreak/>
        <w:t>Artículo 70.</w:t>
      </w:r>
      <w:r w:rsidRPr="00AD2CC2">
        <w:rPr>
          <w:rFonts w:ascii="Century Gothic" w:hAnsi="Century Gothic" w:cs="Segoe UI"/>
          <w:color w:val="0F1115"/>
        </w:rPr>
        <w:t> </w:t>
      </w:r>
      <w:r w:rsidRPr="0068051A">
        <w:rPr>
          <w:rFonts w:ascii="Century Gothic" w:hAnsi="Century Gothic" w:cs="Segoe UI"/>
          <w:b/>
          <w:bCs/>
          <w:color w:val="0F1115"/>
        </w:rPr>
        <w:t>Para efectos de esta Ley, se entiende por Turismo Educativo y de Cultura la modalidad turística orientada a propiciar experiencias de aprendizaje, formación integral, desarrollo intelectual, fortalecimiento de capacidades, adquisición de habilidades y acercamiento al patrimonio cultural, histórico y artístico, por parte de las personas visitantes.</w:t>
      </w:r>
    </w:p>
    <w:p w14:paraId="3E933518" w14:textId="7777777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71</w:t>
      </w:r>
      <w:r w:rsidRPr="0068051A">
        <w:rPr>
          <w:rStyle w:val="Textoennegrita"/>
          <w:rFonts w:ascii="Century Gothic" w:hAnsi="Century Gothic" w:cs="Segoe UI"/>
          <w:b w:val="0"/>
          <w:bCs w:val="0"/>
          <w:color w:val="0F1115"/>
        </w:rPr>
        <w:t>.</w:t>
      </w:r>
      <w:r w:rsidRPr="0068051A">
        <w:rPr>
          <w:rFonts w:ascii="Century Gothic" w:hAnsi="Century Gothic" w:cs="Segoe UI"/>
          <w:color w:val="0F1115"/>
        </w:rPr>
        <w:t> </w:t>
      </w:r>
      <w:r w:rsidRPr="0068051A">
        <w:rPr>
          <w:rFonts w:ascii="Century Gothic" w:hAnsi="Century Gothic" w:cs="Segoe UI"/>
          <w:b/>
          <w:bCs/>
          <w:color w:val="0F1115"/>
        </w:rPr>
        <w:t>El Turismo Educativo y de Cultura comprende, entre otros, los bienes, productos y servicios vinculados con: visitas a sitios de valor histórico, arqueológico y patrimonial; estudios académicos; viajes escolares; programas de formación; actividades de capacitación; entrenamiento deportivo; cursos de desarrollo profesional; enseñanza de idiomas; visitas a museos, archivos, galerías y centros culturales; y demás actividades de naturaleza análoga que combinen la experiencia turística con el enriquecimiento cultural o educativo del visitante.</w:t>
      </w:r>
    </w:p>
    <w:p w14:paraId="3068A147" w14:textId="7777777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68051A">
        <w:rPr>
          <w:rStyle w:val="Textoennegrita"/>
          <w:rFonts w:ascii="Century Gothic" w:hAnsi="Century Gothic" w:cs="Segoe UI"/>
          <w:color w:val="0F1115"/>
        </w:rPr>
        <w:t>Artículo 72.</w:t>
      </w:r>
      <w:r w:rsidRPr="0068051A">
        <w:rPr>
          <w:rFonts w:ascii="Century Gothic" w:hAnsi="Century Gothic" w:cs="Segoe UI"/>
          <w:b/>
          <w:bCs/>
          <w:color w:val="0F1115"/>
        </w:rPr>
        <w:t> La Secretaría, en coordinación con las dependencias y entidades competentes en materia de educación, cultura y patrimonio, promoverá y fomentará la realización de visitas, recorridos y demás actividades didácticas dirigidas al alumnado de educación básica, media superior y superior en los diversos atractivos turísticos, museos, sitios arqueológicos y espacios culturales del Estado de Chihuahua.</w:t>
      </w:r>
    </w:p>
    <w:p w14:paraId="38FFE62D" w14:textId="7777777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Cs/>
          <w:color w:val="0F1115"/>
        </w:rPr>
      </w:pPr>
      <w:r w:rsidRPr="0068051A">
        <w:rPr>
          <w:rStyle w:val="Textoennegrita"/>
          <w:rFonts w:ascii="Century Gothic" w:hAnsi="Century Gothic" w:cs="Segoe UI"/>
          <w:color w:val="0F1115"/>
        </w:rPr>
        <w:t>Artículo 73.</w:t>
      </w:r>
      <w:r w:rsidRPr="0068051A">
        <w:rPr>
          <w:rFonts w:ascii="Century Gothic" w:hAnsi="Century Gothic" w:cs="Segoe UI"/>
          <w:bCs/>
          <w:color w:val="0F1115"/>
        </w:rPr>
        <w:t> </w:t>
      </w:r>
      <w:r w:rsidRPr="0068051A">
        <w:rPr>
          <w:rFonts w:ascii="Century Gothic" w:hAnsi="Century Gothic" w:cs="Segoe UI"/>
          <w:b/>
          <w:color w:val="0F1115"/>
        </w:rPr>
        <w:t xml:space="preserve">La Secretaría y los municipios, en el ámbito de sus respectivas competencias, fomentarán la colaboración estratégica entre las instituciones académicas y los prestadores de servicios de la región. Esta vinculación buscará que la actividad turística de aprendizaje impulse la </w:t>
      </w:r>
      <w:r w:rsidRPr="0068051A">
        <w:rPr>
          <w:rFonts w:ascii="Century Gothic" w:hAnsi="Century Gothic" w:cs="Segoe UI"/>
          <w:b/>
          <w:color w:val="0F1115"/>
        </w:rPr>
        <w:lastRenderedPageBreak/>
        <w:t>participación activa de la comunidad local y el intercambio de saberes, fortaleciendo la economía solidaria y el desarrollo regional mediante el uso de los indicadores técnicos proporcionados por el Observatorio Turístico del Estado.</w:t>
      </w:r>
    </w:p>
    <w:p w14:paraId="22A103EC" w14:textId="325BFAFA"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XIX</w:t>
      </w:r>
      <w:r w:rsidRPr="00AD2CC2">
        <w:rPr>
          <w:rFonts w:ascii="Century Gothic" w:hAnsi="Century Gothic" w:cs="Segoe UI"/>
          <w:color w:val="0F1115"/>
        </w:rPr>
        <w:br/>
      </w:r>
      <w:r w:rsidRPr="00AD2CC2">
        <w:rPr>
          <w:rStyle w:val="Textoennegrita"/>
          <w:rFonts w:ascii="Century Gothic" w:hAnsi="Century Gothic" w:cs="Segoe UI"/>
          <w:color w:val="0F1115"/>
        </w:rPr>
        <w:t>DEL TURISMO SOCIAL</w:t>
      </w:r>
    </w:p>
    <w:p w14:paraId="16202969" w14:textId="7777777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74.</w:t>
      </w:r>
      <w:r w:rsidRPr="00AD2CC2">
        <w:rPr>
          <w:rFonts w:ascii="Century Gothic" w:hAnsi="Century Gothic" w:cs="Segoe UI"/>
          <w:color w:val="0F1115"/>
        </w:rPr>
        <w:t> </w:t>
      </w:r>
      <w:r w:rsidRPr="0068051A">
        <w:rPr>
          <w:rFonts w:ascii="Century Gothic" w:hAnsi="Century Gothic" w:cs="Segoe UI"/>
          <w:b/>
          <w:bCs/>
          <w:color w:val="0F1115"/>
        </w:rPr>
        <w:t>El Turismo Social se desarrollará mediante los programas, acciones y estrategias que implemente la Secretaría, con la finalidad de facilitar el acceso de diversos sectores de la población a la actividad turística, en particular de aquellos que, por razones económicas, sociales o culturales, enfrenten limitaciones para disfrutar del patrimonio y los servicios turísticos del Estado.</w:t>
      </w:r>
    </w:p>
    <w:p w14:paraId="6AE16F38" w14:textId="7777777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75.</w:t>
      </w:r>
      <w:r w:rsidRPr="00AD2CC2">
        <w:rPr>
          <w:rFonts w:ascii="Century Gothic" w:hAnsi="Century Gothic" w:cs="Segoe UI"/>
          <w:color w:val="0F1115"/>
        </w:rPr>
        <w:t> </w:t>
      </w:r>
      <w:r w:rsidRPr="0068051A">
        <w:rPr>
          <w:rFonts w:ascii="Century Gothic" w:hAnsi="Century Gothic" w:cs="Segoe UI"/>
          <w:b/>
          <w:bCs/>
          <w:color w:val="0F1115"/>
        </w:rPr>
        <w:t>El Turismo Social comprende el conjunto de políticas públicas, mecanismos e instrumentos orientados a promover la participación de los sectores a que se refiere el artículo anterior en la actividad turística, mediante el otorgamiento de facilidades que favorezcan su inclusión.</w:t>
      </w:r>
    </w:p>
    <w:p w14:paraId="65749B85" w14:textId="7777777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76.</w:t>
      </w:r>
      <w:r w:rsidRPr="00AD2CC2">
        <w:rPr>
          <w:rFonts w:ascii="Century Gothic" w:hAnsi="Century Gothic" w:cs="Segoe UI"/>
          <w:color w:val="0F1115"/>
        </w:rPr>
        <w:t> </w:t>
      </w:r>
      <w:r w:rsidRPr="0068051A">
        <w:rPr>
          <w:rFonts w:ascii="Century Gothic" w:hAnsi="Century Gothic" w:cs="Segoe UI"/>
          <w:b/>
          <w:bCs/>
          <w:color w:val="0F1115"/>
        </w:rPr>
        <w:t>La Secretaría, en el ámbito de sus atribuciones, procurará que los sectores en situación de vulnerabilidad tengan acceso efectivo a las actividades turísticas, en condiciones que favorezcan su participación y disfrute.</w:t>
      </w:r>
    </w:p>
    <w:p w14:paraId="457F37F9" w14:textId="0F379B3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77.</w:t>
      </w:r>
      <w:r w:rsidRPr="00AD2CC2">
        <w:rPr>
          <w:rFonts w:ascii="Century Gothic" w:hAnsi="Century Gothic" w:cs="Segoe UI"/>
          <w:color w:val="0F1115"/>
        </w:rPr>
        <w:t> </w:t>
      </w:r>
      <w:r w:rsidRPr="0068051A">
        <w:rPr>
          <w:rFonts w:ascii="Century Gothic" w:hAnsi="Century Gothic" w:cs="Segoe UI"/>
          <w:b/>
          <w:bCs/>
          <w:color w:val="0F1115"/>
        </w:rPr>
        <w:t xml:space="preserve">La Secretaría se coordinará con las entidades federales, estatales y municipales, así como con las instituciones y organizaciones de </w:t>
      </w:r>
      <w:r w:rsidRPr="0068051A">
        <w:rPr>
          <w:rFonts w:ascii="Century Gothic" w:hAnsi="Century Gothic" w:cs="Segoe UI"/>
          <w:b/>
          <w:bCs/>
          <w:color w:val="0F1115"/>
        </w:rPr>
        <w:lastRenderedPageBreak/>
        <w:t>los sectores social y privado, para diseñar e implementar programas de Turismo Social acordes con las características de la población objetivo.</w:t>
      </w:r>
    </w:p>
    <w:p w14:paraId="76076F63" w14:textId="5D759A04"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XX</w:t>
      </w:r>
      <w:r w:rsidRPr="00AD2CC2">
        <w:rPr>
          <w:rFonts w:ascii="Century Gothic" w:hAnsi="Century Gothic" w:cs="Segoe UI"/>
          <w:color w:val="0F1115"/>
        </w:rPr>
        <w:br/>
      </w:r>
      <w:r w:rsidRPr="00AD2CC2">
        <w:rPr>
          <w:rStyle w:val="Textoennegrita"/>
          <w:rFonts w:ascii="Century Gothic" w:hAnsi="Century Gothic" w:cs="Segoe UI"/>
          <w:color w:val="0F1115"/>
        </w:rPr>
        <w:t>DE LAS PLATAFORMAS DIGITALES Y DEL SERVICIO DE HOSPEDAJE OCASIONAL</w:t>
      </w:r>
    </w:p>
    <w:p w14:paraId="16492832" w14:textId="7DD2697B"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78.</w:t>
      </w:r>
      <w:r w:rsidRPr="00AD2CC2">
        <w:rPr>
          <w:rFonts w:ascii="Century Gothic" w:hAnsi="Century Gothic" w:cs="Segoe UI"/>
          <w:color w:val="0F1115"/>
        </w:rPr>
        <w:t> </w:t>
      </w:r>
      <w:r w:rsidRPr="0068051A">
        <w:rPr>
          <w:rFonts w:ascii="Century Gothic" w:hAnsi="Century Gothic" w:cs="Segoe UI"/>
          <w:b/>
          <w:bCs/>
          <w:color w:val="0F1115"/>
        </w:rPr>
        <w:t>Corresponde a la Secretaría la integración, administración y funcionamiento del Padrón de Anfitriones y del Padrón de Plataformas</w:t>
      </w:r>
      <w:r w:rsidR="00457842" w:rsidRPr="0068051A">
        <w:rPr>
          <w:rFonts w:ascii="Century Gothic" w:hAnsi="Century Gothic" w:cs="Segoe UI"/>
          <w:b/>
          <w:bCs/>
          <w:color w:val="0F1115"/>
        </w:rPr>
        <w:t xml:space="preserve"> Digitales</w:t>
      </w:r>
      <w:r w:rsidRPr="0068051A">
        <w:rPr>
          <w:rFonts w:ascii="Century Gothic" w:hAnsi="Century Gothic" w:cs="Segoe UI"/>
          <w:b/>
          <w:bCs/>
          <w:color w:val="0F1115"/>
        </w:rPr>
        <w:t>, cuyo objeto será:</w:t>
      </w:r>
    </w:p>
    <w:p w14:paraId="0F97CA21" w14:textId="0BC68DA0" w:rsidR="00FD2647" w:rsidRPr="0068051A" w:rsidRDefault="00FD2647" w:rsidP="0003361B">
      <w:pPr>
        <w:pStyle w:val="ds-markdown-paragraph"/>
        <w:numPr>
          <w:ilvl w:val="0"/>
          <w:numId w:val="1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 xml:space="preserve">Individualizar a las personas anfitrionas y a las plataformas </w:t>
      </w:r>
      <w:r w:rsidR="00457842" w:rsidRPr="0068051A">
        <w:rPr>
          <w:rFonts w:ascii="Century Gothic" w:hAnsi="Century Gothic" w:cs="Segoe UI"/>
          <w:b/>
          <w:bCs/>
          <w:color w:val="0F1115"/>
        </w:rPr>
        <w:t xml:space="preserve">digitales </w:t>
      </w:r>
      <w:r w:rsidRPr="0068051A">
        <w:rPr>
          <w:rFonts w:ascii="Century Gothic" w:hAnsi="Century Gothic" w:cs="Segoe UI"/>
          <w:b/>
          <w:bCs/>
          <w:color w:val="0F1115"/>
        </w:rPr>
        <w:t>que oferten, faciliten o contraten el servicio de hospedaje ocasional en el Estado de Chihuahua</w:t>
      </w:r>
      <w:r w:rsidR="00454249">
        <w:rPr>
          <w:rFonts w:ascii="Century Gothic" w:hAnsi="Century Gothic" w:cs="Segoe UI"/>
          <w:b/>
          <w:bCs/>
          <w:color w:val="0F1115"/>
        </w:rPr>
        <w:t>.</w:t>
      </w:r>
    </w:p>
    <w:p w14:paraId="4D31FDCC" w14:textId="5B33F031" w:rsidR="00FD2647" w:rsidRPr="0068051A" w:rsidRDefault="00FD2647" w:rsidP="00DB6BE8">
      <w:pPr>
        <w:pStyle w:val="ds-markdown-paragraph"/>
        <w:numPr>
          <w:ilvl w:val="0"/>
          <w:numId w:val="1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Determinar cuáles son los inmuebles destinados a uso habitacional en los que se preste el servicio de hospedaje ocasional</w:t>
      </w:r>
      <w:r w:rsidR="00454249">
        <w:rPr>
          <w:rFonts w:ascii="Century Gothic" w:hAnsi="Century Gothic" w:cs="Segoe UI"/>
          <w:b/>
          <w:bCs/>
          <w:color w:val="0F1115"/>
        </w:rPr>
        <w:t>.</w:t>
      </w:r>
    </w:p>
    <w:p w14:paraId="11E26297" w14:textId="68CB4C5A" w:rsidR="00FD2647" w:rsidRPr="0068051A" w:rsidRDefault="00FD2647" w:rsidP="00DB6BE8">
      <w:pPr>
        <w:pStyle w:val="ds-markdown-paragraph"/>
        <w:numPr>
          <w:ilvl w:val="0"/>
          <w:numId w:val="1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Conformar un sistema de información fidedigno que permita a las autoridades supervisar la adecuada prestación del servicio y verificar el cumplimiento de las contribuciones aplicables conforme a esta Ley y a la normatividad fiscal del Estado de Chihuahua.</w:t>
      </w:r>
    </w:p>
    <w:p w14:paraId="34ECE86A" w14:textId="08B249C7"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79.</w:t>
      </w:r>
      <w:r w:rsidRPr="00AD2CC2">
        <w:rPr>
          <w:rFonts w:ascii="Century Gothic" w:hAnsi="Century Gothic" w:cs="Segoe UI"/>
          <w:color w:val="0F1115"/>
        </w:rPr>
        <w:t> </w:t>
      </w:r>
      <w:r w:rsidRPr="0068051A">
        <w:rPr>
          <w:rFonts w:ascii="Century Gothic" w:hAnsi="Century Gothic" w:cs="Segoe UI"/>
          <w:b/>
          <w:bCs/>
          <w:color w:val="0F1115"/>
        </w:rPr>
        <w:t>Quienes tengan el carácter de anfitriones deberán cumplir las siguientes obligaciones:</w:t>
      </w:r>
    </w:p>
    <w:p w14:paraId="7F9CEEC4" w14:textId="222A25A6"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Inscribirse en el Padrón de Anfitriones del Estado de Chihuahua</w:t>
      </w:r>
      <w:r w:rsidR="0068051A">
        <w:rPr>
          <w:rFonts w:ascii="Century Gothic" w:hAnsi="Century Gothic" w:cs="Segoe UI"/>
          <w:b/>
          <w:bCs/>
          <w:color w:val="0F1115"/>
        </w:rPr>
        <w:t>.</w:t>
      </w:r>
    </w:p>
    <w:p w14:paraId="4280C140" w14:textId="177B594A"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lastRenderedPageBreak/>
        <w:t>Registrar los inmuebles de uso habitacional que destinen a la prestación del servicio de hospedaje ocasional</w:t>
      </w:r>
      <w:r w:rsidR="0068051A">
        <w:rPr>
          <w:rFonts w:ascii="Century Gothic" w:hAnsi="Century Gothic" w:cs="Segoe UI"/>
          <w:b/>
          <w:bCs/>
          <w:color w:val="0F1115"/>
        </w:rPr>
        <w:t>.</w:t>
      </w:r>
    </w:p>
    <w:p w14:paraId="60828B64" w14:textId="6120CB6A"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Brindar a las personas turistas o usuarias del servicio información veraz, suficiente y precisa sobre las características del inmueble, sus tarifas y las condiciones para su uso</w:t>
      </w:r>
      <w:r w:rsidR="0068051A">
        <w:rPr>
          <w:rFonts w:ascii="Century Gothic" w:hAnsi="Century Gothic" w:cs="Segoe UI"/>
          <w:b/>
          <w:bCs/>
          <w:color w:val="0F1115"/>
        </w:rPr>
        <w:t>.</w:t>
      </w:r>
    </w:p>
    <w:p w14:paraId="0B2A5EB0" w14:textId="26615362"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Colocar en un lugar visible del inmueble los números de emergencia correspondientes, los datos de contacto del anfitrión o de su representante para asistencia, así como la constancia y el folio emitidos por la Secretaría respecto del inmueble</w:t>
      </w:r>
      <w:r w:rsidR="0068051A">
        <w:rPr>
          <w:rFonts w:ascii="Century Gothic" w:hAnsi="Century Gothic" w:cs="Segoe UI"/>
          <w:b/>
          <w:bCs/>
          <w:color w:val="0F1115"/>
        </w:rPr>
        <w:t>.</w:t>
      </w:r>
    </w:p>
    <w:p w14:paraId="737F33DE" w14:textId="7408F203"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Entregar a la Secretaría, de manera semestral durante los meses de enero y julio de cada año, un informe relativo al número de ocasiones en que los inmuebles fueron ocupados y al total de noches utilizadas en el periodo respectivo. La omisión en su presentación o la entrega de información falsa podrá dar lugar al inicio del procedimiento de suspensión o baja del padrón, previa garantía de audiencia</w:t>
      </w:r>
      <w:r w:rsidR="0068051A">
        <w:rPr>
          <w:rFonts w:ascii="Century Gothic" w:hAnsi="Century Gothic" w:cs="Segoe UI"/>
          <w:b/>
          <w:bCs/>
          <w:color w:val="0F1115"/>
        </w:rPr>
        <w:t>.</w:t>
      </w:r>
    </w:p>
    <w:p w14:paraId="71F5B2BF" w14:textId="3218D3DB"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Mantener instalaciones seguras, salubres e higiénicas para uso de las personas turistas o usuarias del servicio</w:t>
      </w:r>
      <w:r w:rsidR="0068051A">
        <w:rPr>
          <w:rFonts w:ascii="Century Gothic" w:hAnsi="Century Gothic" w:cs="Segoe UI"/>
          <w:b/>
          <w:bCs/>
          <w:color w:val="0F1115"/>
        </w:rPr>
        <w:t>.</w:t>
      </w:r>
    </w:p>
    <w:p w14:paraId="79D74730" w14:textId="18607BB0"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Hacer del conocimiento de los vecinos colindantes o inmediatos el uso de los inmuebles ofrecidos y proporcionar medios de contacto para reportar usos indebidos o situaciones de emergencia relacionadas con ellos</w:t>
      </w:r>
      <w:r w:rsidR="0068051A">
        <w:rPr>
          <w:rFonts w:ascii="Century Gothic" w:hAnsi="Century Gothic" w:cs="Segoe UI"/>
          <w:b/>
          <w:bCs/>
          <w:color w:val="0F1115"/>
        </w:rPr>
        <w:t>.</w:t>
      </w:r>
    </w:p>
    <w:p w14:paraId="52D2FBBD" w14:textId="6945A774"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lastRenderedPageBreak/>
        <w:t>Asegurar el cumplimiento de las condiciones de seguridad conforme a la normativa aplicable en materia de protección civil y gestión integral de riesgos</w:t>
      </w:r>
      <w:r w:rsidR="0068051A">
        <w:rPr>
          <w:rFonts w:ascii="Century Gothic" w:hAnsi="Century Gothic" w:cs="Segoe UI"/>
          <w:b/>
          <w:bCs/>
          <w:color w:val="0F1115"/>
        </w:rPr>
        <w:t>.</w:t>
      </w:r>
    </w:p>
    <w:p w14:paraId="031072E1" w14:textId="213B2237"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Cumplir con el pago del Impuesto sobre Hospedaje, además de observar y cumplir las disposiciones fiscales previstas en la legislación aplicable</w:t>
      </w:r>
      <w:r w:rsidR="0068051A">
        <w:rPr>
          <w:rFonts w:ascii="Century Gothic" w:hAnsi="Century Gothic" w:cs="Segoe UI"/>
          <w:b/>
          <w:bCs/>
          <w:color w:val="0F1115"/>
        </w:rPr>
        <w:t>.</w:t>
      </w:r>
    </w:p>
    <w:p w14:paraId="2913E6D3" w14:textId="2FF86046"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Registrar ante la Secretaría, dentro del Padrón de Anfitriones, un número telefónico y una dirección de correo electrónico para la atención y solución de quejas formuladas por vecinos y turistas o usuarios del servicio respecto del inmueble ofertado</w:t>
      </w:r>
      <w:r w:rsidR="0068051A">
        <w:rPr>
          <w:rFonts w:ascii="Century Gothic" w:hAnsi="Century Gothic" w:cs="Segoe UI"/>
          <w:b/>
          <w:bCs/>
          <w:color w:val="0F1115"/>
        </w:rPr>
        <w:t>.</w:t>
      </w:r>
    </w:p>
    <w:p w14:paraId="7B8AF242" w14:textId="10CCB5D9"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Resguardar los datos personales proporcionados con motivo de la prestación del servicio, en términos de la legislación aplicable en la materia</w:t>
      </w:r>
      <w:r w:rsidR="0068051A">
        <w:rPr>
          <w:rFonts w:ascii="Century Gothic" w:hAnsi="Century Gothic" w:cs="Segoe UI"/>
          <w:b/>
          <w:bCs/>
          <w:color w:val="0F1115"/>
        </w:rPr>
        <w:t>.</w:t>
      </w:r>
    </w:p>
    <w:p w14:paraId="1C7CDB5E" w14:textId="0E595B90" w:rsidR="00FD2647" w:rsidRPr="0068051A" w:rsidRDefault="00FD2647" w:rsidP="00DB6BE8">
      <w:pPr>
        <w:pStyle w:val="ds-markdown-paragraph"/>
        <w:numPr>
          <w:ilvl w:val="0"/>
          <w:numId w:val="21"/>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Procurar que los inmuebles no sean destinados a actividades que perturben el orden público o lesionen el interés social de las comunidades receptoras</w:t>
      </w:r>
      <w:r w:rsidR="0068051A">
        <w:rPr>
          <w:rFonts w:ascii="Century Gothic" w:hAnsi="Century Gothic" w:cs="Segoe UI"/>
          <w:b/>
          <w:bCs/>
          <w:color w:val="0F1115"/>
        </w:rPr>
        <w:t>.</w:t>
      </w:r>
    </w:p>
    <w:p w14:paraId="7CF875B1" w14:textId="05EA6FD6" w:rsidR="00FD2647" w:rsidRDefault="00FD2647" w:rsidP="00CF7C18">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68051A">
        <w:rPr>
          <w:rFonts w:ascii="Century Gothic" w:hAnsi="Century Gothic" w:cs="Segoe UI"/>
          <w:b/>
          <w:bCs/>
          <w:color w:val="0F1115"/>
        </w:rPr>
        <w:t>Las demás que establezcan esta Ley, su Reglamento y otras disposiciones aplicables en el Estado de Chihuahua.</w:t>
      </w:r>
    </w:p>
    <w:p w14:paraId="0DD11320" w14:textId="77777777" w:rsidR="0068051A" w:rsidRPr="0068051A" w:rsidRDefault="0068051A" w:rsidP="0068051A">
      <w:pPr>
        <w:pStyle w:val="ds-markdown-paragraph"/>
        <w:shd w:val="clear" w:color="auto" w:fill="FFFFFF"/>
        <w:spacing w:before="240" w:beforeAutospacing="0" w:after="240" w:afterAutospacing="0" w:line="360" w:lineRule="auto"/>
        <w:ind w:left="720"/>
        <w:jc w:val="both"/>
        <w:rPr>
          <w:rFonts w:ascii="Century Gothic" w:hAnsi="Century Gothic" w:cs="Segoe UI"/>
          <w:b/>
          <w:bCs/>
          <w:color w:val="0F1115"/>
        </w:rPr>
      </w:pPr>
    </w:p>
    <w:p w14:paraId="62C8119E" w14:textId="2B0A7C8F"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CA647A">
        <w:rPr>
          <w:rStyle w:val="Textoennegrita"/>
          <w:rFonts w:ascii="Century Gothic" w:hAnsi="Century Gothic" w:cs="Segoe UI"/>
          <w:color w:val="0F1115"/>
        </w:rPr>
        <w:t>Artículo 80</w:t>
      </w:r>
      <w:r w:rsidRPr="00CA647A">
        <w:rPr>
          <w:rStyle w:val="Textoennegrita"/>
          <w:rFonts w:ascii="Century Gothic" w:hAnsi="Century Gothic" w:cs="Segoe UI"/>
          <w:b w:val="0"/>
          <w:bCs w:val="0"/>
          <w:color w:val="0F1115"/>
        </w:rPr>
        <w:t>.</w:t>
      </w:r>
      <w:r w:rsidRPr="0068051A">
        <w:rPr>
          <w:rFonts w:ascii="Century Gothic" w:hAnsi="Century Gothic" w:cs="Segoe UI"/>
          <w:color w:val="0F1115"/>
        </w:rPr>
        <w:t> </w:t>
      </w:r>
      <w:r w:rsidRPr="0068051A">
        <w:rPr>
          <w:rFonts w:ascii="Century Gothic" w:hAnsi="Century Gothic" w:cs="Segoe UI"/>
          <w:b/>
          <w:bCs/>
          <w:color w:val="0F1115"/>
        </w:rPr>
        <w:t xml:space="preserve">Las plataformas </w:t>
      </w:r>
      <w:r w:rsidR="00986D37" w:rsidRPr="0068051A">
        <w:rPr>
          <w:rFonts w:ascii="Century Gothic" w:hAnsi="Century Gothic" w:cs="Segoe UI"/>
          <w:b/>
          <w:bCs/>
          <w:color w:val="0F1115"/>
        </w:rPr>
        <w:t>digitales</w:t>
      </w:r>
      <w:r w:rsidRPr="0068051A">
        <w:rPr>
          <w:rFonts w:ascii="Century Gothic" w:hAnsi="Century Gothic" w:cs="Segoe UI"/>
          <w:b/>
          <w:bCs/>
          <w:color w:val="0F1115"/>
        </w:rPr>
        <w:t>, por conducto de su representante legal, tendrán las siguientes obligaciones:</w:t>
      </w:r>
    </w:p>
    <w:p w14:paraId="3058C03A" w14:textId="7887F9B7" w:rsidR="00FD2647" w:rsidRPr="0068051A" w:rsidRDefault="00FD2647" w:rsidP="00DB6BE8">
      <w:pPr>
        <w:pStyle w:val="ds-markdown-paragraph"/>
        <w:numPr>
          <w:ilvl w:val="0"/>
          <w:numId w:val="2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lastRenderedPageBreak/>
        <w:t xml:space="preserve">Inscribirse en el Padrón de Plataformas </w:t>
      </w:r>
      <w:r w:rsidR="00F02876" w:rsidRPr="0068051A">
        <w:rPr>
          <w:rFonts w:ascii="Century Gothic" w:hAnsi="Century Gothic" w:cs="Segoe UI"/>
          <w:b/>
          <w:bCs/>
          <w:color w:val="0F1115"/>
        </w:rPr>
        <w:t xml:space="preserve">Digitales </w:t>
      </w:r>
      <w:r w:rsidRPr="0068051A">
        <w:rPr>
          <w:rFonts w:ascii="Century Gothic" w:hAnsi="Century Gothic" w:cs="Segoe UI"/>
          <w:b/>
          <w:bCs/>
          <w:color w:val="0F1115"/>
        </w:rPr>
        <w:t>y mantener vigente su registro</w:t>
      </w:r>
      <w:r w:rsidR="00454249">
        <w:rPr>
          <w:rFonts w:ascii="Century Gothic" w:hAnsi="Century Gothic" w:cs="Segoe UI"/>
          <w:b/>
          <w:bCs/>
          <w:color w:val="0F1115"/>
        </w:rPr>
        <w:t>,</w:t>
      </w:r>
      <w:r w:rsidRPr="0068051A">
        <w:rPr>
          <w:rFonts w:ascii="Century Gothic" w:hAnsi="Century Gothic" w:cs="Segoe UI"/>
          <w:b/>
          <w:bCs/>
          <w:color w:val="0F1115"/>
        </w:rPr>
        <w:t xml:space="preserve"> en los términos previstos por esta Ley y su Reglamento</w:t>
      </w:r>
      <w:r w:rsidR="0068051A">
        <w:rPr>
          <w:rFonts w:ascii="Century Gothic" w:hAnsi="Century Gothic" w:cs="Segoe UI"/>
          <w:b/>
          <w:bCs/>
          <w:color w:val="0F1115"/>
        </w:rPr>
        <w:t xml:space="preserve">. </w:t>
      </w:r>
    </w:p>
    <w:p w14:paraId="57D34524" w14:textId="7DB7B4B5" w:rsidR="00FD2647" w:rsidRPr="0068051A" w:rsidRDefault="00FD2647" w:rsidP="00DB6BE8">
      <w:pPr>
        <w:pStyle w:val="ds-markdown-paragraph"/>
        <w:numPr>
          <w:ilvl w:val="0"/>
          <w:numId w:val="2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Verificar, como requisito previo para la publicación de inmuebles, que los anfitriones cuenten con la constancia y el folio de registro expedidos por la Secretaría</w:t>
      </w:r>
      <w:r w:rsidR="0068051A">
        <w:rPr>
          <w:rFonts w:ascii="Century Gothic" w:hAnsi="Century Gothic" w:cs="Segoe UI"/>
          <w:b/>
          <w:bCs/>
          <w:color w:val="0F1115"/>
        </w:rPr>
        <w:t>.</w:t>
      </w:r>
    </w:p>
    <w:p w14:paraId="5F104846" w14:textId="383F37C4" w:rsidR="00FD2647" w:rsidRPr="0068051A" w:rsidRDefault="00FD2647" w:rsidP="00DB6BE8">
      <w:pPr>
        <w:pStyle w:val="ds-markdown-paragraph"/>
        <w:numPr>
          <w:ilvl w:val="0"/>
          <w:numId w:val="2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Incorporar en cada anuncio o publicación disponible en la plataforma la constancia y el folio del registro correspondiente</w:t>
      </w:r>
      <w:r w:rsidR="00BB1C3D">
        <w:rPr>
          <w:rFonts w:ascii="Century Gothic" w:hAnsi="Century Gothic" w:cs="Segoe UI"/>
          <w:b/>
          <w:bCs/>
          <w:color w:val="0F1115"/>
        </w:rPr>
        <w:t xml:space="preserve"> </w:t>
      </w:r>
      <w:r w:rsidRPr="0068051A">
        <w:rPr>
          <w:rFonts w:ascii="Century Gothic" w:hAnsi="Century Gothic" w:cs="Segoe UI"/>
          <w:b/>
          <w:bCs/>
          <w:color w:val="0F1115"/>
        </w:rPr>
        <w:t>o</w:t>
      </w:r>
      <w:r w:rsidR="00454249">
        <w:rPr>
          <w:rFonts w:ascii="Century Gothic" w:hAnsi="Century Gothic" w:cs="Segoe UI"/>
          <w:b/>
          <w:bCs/>
          <w:color w:val="0F1115"/>
        </w:rPr>
        <w:t>,</w:t>
      </w:r>
      <w:r w:rsidRPr="0068051A">
        <w:rPr>
          <w:rFonts w:ascii="Century Gothic" w:hAnsi="Century Gothic" w:cs="Segoe UI"/>
          <w:b/>
          <w:bCs/>
          <w:color w:val="0F1115"/>
        </w:rPr>
        <w:t xml:space="preserve"> en su caso, el identificador que determine la autoridad competente conforme a la normativa aplicable</w:t>
      </w:r>
      <w:r w:rsidR="0068051A">
        <w:rPr>
          <w:rFonts w:ascii="Century Gothic" w:hAnsi="Century Gothic" w:cs="Segoe UI"/>
          <w:b/>
          <w:bCs/>
          <w:color w:val="0F1115"/>
        </w:rPr>
        <w:t>.</w:t>
      </w:r>
    </w:p>
    <w:p w14:paraId="0EB1893D" w14:textId="6D9E937A" w:rsidR="00FD2647" w:rsidRPr="0068051A" w:rsidRDefault="00FD2647" w:rsidP="00DB6BE8">
      <w:pPr>
        <w:pStyle w:val="ds-markdown-paragraph"/>
        <w:numPr>
          <w:ilvl w:val="0"/>
          <w:numId w:val="2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Presentar semestralmente a la Secretaría, durante los meses de enero y julio, un informe sobre el número de ocupaciones, el total de noches contratadas u ocupadas y la cantidad de quejas recibidas respecto de los inmuebles ofertados. La omisión en su presentación o la entrega de información falsa podrá dar lugar al inicio del procedimiento de suspensión o baja del padrón, previa garantía de audiencia</w:t>
      </w:r>
      <w:r w:rsidR="0068051A">
        <w:rPr>
          <w:rFonts w:ascii="Century Gothic" w:hAnsi="Century Gothic" w:cs="Segoe UI"/>
          <w:b/>
          <w:bCs/>
          <w:color w:val="0F1115"/>
        </w:rPr>
        <w:t>.</w:t>
      </w:r>
    </w:p>
    <w:p w14:paraId="4BEA9A8A" w14:textId="0B19D01D" w:rsidR="00FD2647" w:rsidRPr="0068051A" w:rsidRDefault="00FD2647" w:rsidP="00DB6BE8">
      <w:pPr>
        <w:pStyle w:val="ds-markdown-paragraph"/>
        <w:numPr>
          <w:ilvl w:val="0"/>
          <w:numId w:val="2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Cumplir con el pago del Impuesto sobre Hospedaje, además de observar y cumplir las disposiciones fiscales previstas en la legislación aplicable</w:t>
      </w:r>
      <w:r w:rsidR="0068051A">
        <w:rPr>
          <w:rFonts w:ascii="Century Gothic" w:hAnsi="Century Gothic" w:cs="Segoe UI"/>
          <w:b/>
          <w:bCs/>
          <w:color w:val="0F1115"/>
        </w:rPr>
        <w:t>.</w:t>
      </w:r>
    </w:p>
    <w:p w14:paraId="02376E83" w14:textId="2ABBB34D" w:rsidR="00FD2647" w:rsidRPr="0068051A" w:rsidRDefault="00FD2647" w:rsidP="00DB6BE8">
      <w:pPr>
        <w:pStyle w:val="ds-markdown-paragraph"/>
        <w:numPr>
          <w:ilvl w:val="0"/>
          <w:numId w:val="23"/>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68051A">
        <w:rPr>
          <w:rFonts w:ascii="Century Gothic" w:hAnsi="Century Gothic" w:cs="Segoe UI"/>
          <w:b/>
          <w:bCs/>
          <w:color w:val="0F1115"/>
        </w:rPr>
        <w:t>Las demás que establezcan esta Ley, su Reglamento y otras disposiciones aplicables en el Estado de Chihuahua.</w:t>
      </w:r>
    </w:p>
    <w:p w14:paraId="23974AEB" w14:textId="69808B30" w:rsidR="00FD2647" w:rsidRPr="0068051A"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lastRenderedPageBreak/>
        <w:t>Artículo 81.</w:t>
      </w:r>
      <w:r w:rsidRPr="00AD2CC2">
        <w:rPr>
          <w:rFonts w:ascii="Century Gothic" w:hAnsi="Century Gothic" w:cs="Segoe UI"/>
          <w:color w:val="0F1115"/>
        </w:rPr>
        <w:t> </w:t>
      </w:r>
      <w:r w:rsidRPr="0068051A">
        <w:rPr>
          <w:rFonts w:ascii="Century Gothic" w:hAnsi="Century Gothic" w:cs="Segoe UI"/>
          <w:b/>
          <w:bCs/>
          <w:color w:val="0F1115"/>
        </w:rPr>
        <w:t>El Padrón de Anfitriones es el registro a cargo de la Secretaría en el que deberán inscribirse los inmuebles destinados a la prestación del servicio de hospedaje ocasional. Para su inscripción, los anfitriones deberán presentar, al menos, la información y documentación siguientes:</w:t>
      </w:r>
    </w:p>
    <w:p w14:paraId="7E21DD1B" w14:textId="3CA015BF" w:rsidR="00FD2647" w:rsidRPr="0068051A"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68051A">
        <w:rPr>
          <w:rFonts w:ascii="Century Gothic" w:hAnsi="Century Gothic" w:cs="Segoe UI"/>
          <w:b/>
          <w:bCs/>
          <w:color w:val="0F1115"/>
        </w:rPr>
        <w:t>Nombre, denominación o razón social y nacionalidad del anfitrión</w:t>
      </w:r>
      <w:r w:rsidR="0068051A">
        <w:rPr>
          <w:rFonts w:ascii="Century Gothic" w:hAnsi="Century Gothic" w:cs="Segoe UI"/>
          <w:b/>
          <w:bCs/>
          <w:color w:val="0F1115"/>
        </w:rPr>
        <w:t>.</w:t>
      </w:r>
    </w:p>
    <w:p w14:paraId="742C4D71" w14:textId="16172BB1" w:rsidR="00FD2647" w:rsidRPr="0068051A"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68051A">
        <w:rPr>
          <w:rFonts w:ascii="Century Gothic" w:hAnsi="Century Gothic" w:cs="Segoe UI"/>
          <w:b/>
          <w:bCs/>
          <w:color w:val="0F1115"/>
        </w:rPr>
        <w:t>Identificación oficial vigente y, en su caso, documento con el que acredite habitar el inmueble donde se ubiquen los cuartos o habitaciones ofertados, o manifestación bajo protesta de decir verdad en tal sentido</w:t>
      </w:r>
      <w:r w:rsidR="0068051A">
        <w:rPr>
          <w:rFonts w:ascii="Century Gothic" w:hAnsi="Century Gothic" w:cs="Segoe UI"/>
          <w:b/>
          <w:bCs/>
          <w:color w:val="0F1115"/>
        </w:rPr>
        <w:t>.</w:t>
      </w:r>
    </w:p>
    <w:p w14:paraId="62A3D2F9" w14:textId="5581FCED" w:rsidR="00FD2647" w:rsidRPr="0068051A"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68051A">
        <w:rPr>
          <w:rFonts w:ascii="Century Gothic" w:hAnsi="Century Gothic" w:cs="Segoe UI"/>
          <w:b/>
          <w:bCs/>
          <w:color w:val="0F1115"/>
        </w:rPr>
        <w:t>Documento idóneo para acreditar la propiedad, posesión, administración o cualquier otro título legal que legitime el uso del inmueble</w:t>
      </w:r>
      <w:r w:rsidR="0068051A" w:rsidRPr="0068051A">
        <w:rPr>
          <w:rFonts w:ascii="Century Gothic" w:hAnsi="Century Gothic" w:cs="Segoe UI"/>
          <w:b/>
          <w:bCs/>
          <w:color w:val="0F1115"/>
        </w:rPr>
        <w:t>.</w:t>
      </w:r>
    </w:p>
    <w:p w14:paraId="41E17C17" w14:textId="48DC2027" w:rsidR="00FD2647" w:rsidRPr="00AD2CC2"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color w:val="0F1115"/>
        </w:rPr>
      </w:pPr>
      <w:r w:rsidRPr="0068051A">
        <w:rPr>
          <w:rFonts w:ascii="Century Gothic" w:hAnsi="Century Gothic" w:cs="Segoe UI"/>
          <w:b/>
          <w:bCs/>
          <w:color w:val="0F1115"/>
        </w:rPr>
        <w:t>Cédula de inscripción en el Registro Federal de Contribuyentes</w:t>
      </w:r>
      <w:r w:rsidR="0068051A">
        <w:rPr>
          <w:rFonts w:ascii="Century Gothic" w:hAnsi="Century Gothic" w:cs="Segoe UI"/>
          <w:color w:val="0F1115"/>
        </w:rPr>
        <w:t>.</w:t>
      </w:r>
    </w:p>
    <w:p w14:paraId="02624BD6" w14:textId="4D6E82C8" w:rsidR="00FD2647" w:rsidRPr="00AD2CC2"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color w:val="0F1115"/>
        </w:rPr>
      </w:pPr>
      <w:r w:rsidRPr="0068051A">
        <w:rPr>
          <w:rFonts w:ascii="Century Gothic" w:hAnsi="Century Gothic" w:cs="Segoe UI"/>
          <w:b/>
          <w:bCs/>
          <w:color w:val="0F1115"/>
        </w:rPr>
        <w:t>Constancia de situación fiscal</w:t>
      </w:r>
      <w:r w:rsidR="0068051A">
        <w:rPr>
          <w:rFonts w:ascii="Century Gothic" w:hAnsi="Century Gothic" w:cs="Segoe UI"/>
          <w:color w:val="0F1115"/>
        </w:rPr>
        <w:t>.</w:t>
      </w:r>
    </w:p>
    <w:p w14:paraId="1003FD2E" w14:textId="24C3307F" w:rsidR="00FD2647" w:rsidRPr="00AD2CC2"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color w:val="0F1115"/>
        </w:rPr>
      </w:pPr>
      <w:r w:rsidRPr="0068051A">
        <w:rPr>
          <w:rFonts w:ascii="Century Gothic" w:hAnsi="Century Gothic" w:cs="Segoe UI"/>
          <w:b/>
          <w:bCs/>
          <w:color w:val="0F1115"/>
        </w:rPr>
        <w:t>Documentación que acredite, en su caso, el cumplimiento de contribuciones y derechos vinculados al inmueble, conforme a la legislación estatal y municipal aplicable</w:t>
      </w:r>
      <w:r w:rsidR="0068051A">
        <w:rPr>
          <w:rFonts w:ascii="Century Gothic" w:hAnsi="Century Gothic" w:cs="Segoe UI"/>
          <w:color w:val="0F1115"/>
        </w:rPr>
        <w:t>.</w:t>
      </w:r>
    </w:p>
    <w:p w14:paraId="0414762E" w14:textId="7F7B0264" w:rsidR="00FD2647" w:rsidRPr="00AD2CC2"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color w:val="0F1115"/>
        </w:rPr>
      </w:pPr>
      <w:r w:rsidRPr="00E97FB9">
        <w:rPr>
          <w:rFonts w:ascii="Century Gothic" w:hAnsi="Century Gothic" w:cs="Segoe UI"/>
          <w:b/>
          <w:bCs/>
          <w:color w:val="0F1115"/>
        </w:rPr>
        <w:t>Comprobante del domicilio del inmueble que se registra</w:t>
      </w:r>
      <w:r w:rsidR="00E97FB9">
        <w:rPr>
          <w:rFonts w:ascii="Century Gothic" w:hAnsi="Century Gothic" w:cs="Segoe UI"/>
          <w:b/>
          <w:bCs/>
          <w:color w:val="0F1115"/>
        </w:rPr>
        <w:t>.</w:t>
      </w:r>
    </w:p>
    <w:p w14:paraId="20066A20" w14:textId="50464184" w:rsidR="00FD2647" w:rsidRPr="00E97FB9"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E97FB9">
        <w:rPr>
          <w:rFonts w:ascii="Century Gothic" w:hAnsi="Century Gothic" w:cs="Segoe UI"/>
          <w:b/>
          <w:bCs/>
          <w:color w:val="0F1115"/>
        </w:rPr>
        <w:t>Tipo de inmueble conforme a la clasificación prevista en esta Ley</w:t>
      </w:r>
      <w:r w:rsidR="00E97FB9">
        <w:rPr>
          <w:rFonts w:ascii="Century Gothic" w:hAnsi="Century Gothic" w:cs="Segoe UI"/>
          <w:b/>
          <w:bCs/>
          <w:color w:val="0F1115"/>
        </w:rPr>
        <w:t>.</w:t>
      </w:r>
    </w:p>
    <w:p w14:paraId="312215EF" w14:textId="329BBD36" w:rsidR="00FD2647" w:rsidRPr="00E97FB9"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E97FB9">
        <w:rPr>
          <w:rFonts w:ascii="Century Gothic" w:hAnsi="Century Gothic" w:cs="Segoe UI"/>
          <w:b/>
          <w:bCs/>
          <w:color w:val="0F1115"/>
        </w:rPr>
        <w:lastRenderedPageBreak/>
        <w:t>Relación de la plataforma o plataformas</w:t>
      </w:r>
      <w:r w:rsidR="000565AC" w:rsidRPr="00E97FB9">
        <w:rPr>
          <w:rFonts w:ascii="Century Gothic" w:hAnsi="Century Gothic" w:cs="Segoe UI"/>
          <w:b/>
          <w:bCs/>
          <w:color w:val="0F1115"/>
        </w:rPr>
        <w:t xml:space="preserve"> digitales</w:t>
      </w:r>
      <w:r w:rsidRPr="00E97FB9">
        <w:rPr>
          <w:rFonts w:ascii="Century Gothic" w:hAnsi="Century Gothic" w:cs="Segoe UI"/>
          <w:b/>
          <w:bCs/>
          <w:color w:val="0F1115"/>
        </w:rPr>
        <w:t xml:space="preserve"> mediante las cuales se oferte cada inmueble</w:t>
      </w:r>
      <w:r w:rsidR="00E97FB9">
        <w:rPr>
          <w:rFonts w:ascii="Century Gothic" w:hAnsi="Century Gothic" w:cs="Segoe UI"/>
          <w:b/>
          <w:bCs/>
          <w:color w:val="0F1115"/>
        </w:rPr>
        <w:t>.</w:t>
      </w:r>
    </w:p>
    <w:p w14:paraId="03B0302B" w14:textId="4659174C" w:rsidR="00FD2647" w:rsidRPr="00E97FB9"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E97FB9">
        <w:rPr>
          <w:rFonts w:ascii="Century Gothic" w:hAnsi="Century Gothic" w:cs="Segoe UI"/>
          <w:b/>
          <w:bCs/>
          <w:color w:val="0F1115"/>
        </w:rPr>
        <w:t>Manifestación bajo protesta de decir verdad de que el inmueble cumple con las medidas de seguridad y demás requisitos aplicables en materia de protección civil y gestión integral de riesgos</w:t>
      </w:r>
      <w:r w:rsidR="00E97FB9">
        <w:rPr>
          <w:rFonts w:ascii="Century Gothic" w:hAnsi="Century Gothic" w:cs="Segoe UI"/>
          <w:b/>
          <w:bCs/>
          <w:color w:val="0F1115"/>
        </w:rPr>
        <w:t>.</w:t>
      </w:r>
    </w:p>
    <w:p w14:paraId="193499E5" w14:textId="3835B673" w:rsidR="00FD2647" w:rsidRPr="00E97FB9"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E97FB9">
        <w:rPr>
          <w:rFonts w:ascii="Century Gothic" w:hAnsi="Century Gothic" w:cs="Segoe UI"/>
          <w:b/>
          <w:bCs/>
          <w:color w:val="0F1115"/>
        </w:rPr>
        <w:t>Cuando el inmueble se ubique en régimen de condominio, el documento con el que se acredite haber hecho del conocimiento de la administración correspondiente la prestación del servicio, en los términos previstos por la normativa aplicable</w:t>
      </w:r>
      <w:r w:rsidR="00E97FB9">
        <w:rPr>
          <w:rFonts w:ascii="Century Gothic" w:hAnsi="Century Gothic" w:cs="Segoe UI"/>
          <w:b/>
          <w:bCs/>
          <w:color w:val="0F1115"/>
        </w:rPr>
        <w:t>.</w:t>
      </w:r>
    </w:p>
    <w:p w14:paraId="1200A97B" w14:textId="7D02655D" w:rsidR="00FD2647" w:rsidRPr="00AD2CC2"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color w:val="0F1115"/>
        </w:rPr>
      </w:pPr>
      <w:r w:rsidRPr="00E97FB9">
        <w:rPr>
          <w:rFonts w:ascii="Century Gothic" w:hAnsi="Century Gothic" w:cs="Segoe UI"/>
          <w:b/>
          <w:bCs/>
          <w:color w:val="0F1115"/>
        </w:rPr>
        <w:t>Carátula de la póliza o documento con el que se acredite que el inmueble cuenta con seguro de responsabilidad civil suficiente para cubrir riesgos derivados de la prestación del servicio</w:t>
      </w:r>
      <w:r w:rsidR="00E97FB9">
        <w:rPr>
          <w:rFonts w:ascii="Century Gothic" w:hAnsi="Century Gothic" w:cs="Segoe UI"/>
          <w:b/>
          <w:bCs/>
          <w:color w:val="0F1115"/>
        </w:rPr>
        <w:t>.</w:t>
      </w:r>
    </w:p>
    <w:p w14:paraId="3E728B81" w14:textId="1C3DB211" w:rsidR="00FD2647" w:rsidRPr="00E97FB9"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E97FB9">
        <w:rPr>
          <w:rFonts w:ascii="Century Gothic" w:hAnsi="Century Gothic" w:cs="Segoe UI"/>
          <w:b/>
          <w:bCs/>
          <w:color w:val="0F1115"/>
        </w:rPr>
        <w:t>Número telefónico y correo electrónico para recibir y atender quejas de vecinos y turistas respecto de cada inmueble registrado</w:t>
      </w:r>
      <w:r w:rsidR="00E97FB9" w:rsidRPr="00E97FB9">
        <w:rPr>
          <w:rFonts w:ascii="Century Gothic" w:hAnsi="Century Gothic" w:cs="Segoe UI"/>
          <w:b/>
          <w:bCs/>
          <w:color w:val="0F1115"/>
        </w:rPr>
        <w:t xml:space="preserve">. </w:t>
      </w:r>
    </w:p>
    <w:p w14:paraId="4B5EBA11" w14:textId="18061FFD" w:rsidR="00FD2647" w:rsidRPr="00E97FB9" w:rsidRDefault="00FD2647" w:rsidP="00C521C9">
      <w:pPr>
        <w:pStyle w:val="ds-markdown-paragraph"/>
        <w:numPr>
          <w:ilvl w:val="0"/>
          <w:numId w:val="25"/>
        </w:numPr>
        <w:shd w:val="clear" w:color="auto" w:fill="FFFFFF"/>
        <w:spacing w:before="240" w:beforeAutospacing="0" w:after="240" w:afterAutospacing="0" w:line="360" w:lineRule="auto"/>
        <w:jc w:val="both"/>
        <w:rPr>
          <w:rFonts w:ascii="Century Gothic" w:hAnsi="Century Gothic" w:cs="Segoe UI"/>
          <w:b/>
          <w:bCs/>
          <w:color w:val="0F1115"/>
        </w:rPr>
      </w:pPr>
      <w:r w:rsidRPr="00E97FB9">
        <w:rPr>
          <w:rFonts w:ascii="Century Gothic" w:hAnsi="Century Gothic" w:cs="Segoe UI"/>
          <w:b/>
          <w:bCs/>
          <w:color w:val="0F1115"/>
        </w:rPr>
        <w:t>Los demás requisitos que establezca el Reglamento de esta Ley.</w:t>
      </w:r>
    </w:p>
    <w:p w14:paraId="0C14EEBA" w14:textId="2B2E6D02"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82.</w:t>
      </w:r>
      <w:r w:rsidRPr="00AD2CC2">
        <w:rPr>
          <w:rFonts w:ascii="Century Gothic" w:hAnsi="Century Gothic" w:cs="Segoe UI"/>
          <w:color w:val="0F1115"/>
        </w:rPr>
        <w:t> </w:t>
      </w:r>
      <w:r w:rsidRPr="00F11DD9">
        <w:rPr>
          <w:rFonts w:ascii="Century Gothic" w:hAnsi="Century Gothic" w:cs="Segoe UI"/>
          <w:b/>
          <w:bCs/>
          <w:color w:val="0F1115"/>
        </w:rPr>
        <w:t>Por cada inmueble inscrito en el padrón se expedirá una constancia con su respectivo folio, el cual deberá incorporarse en la o las plataformas por medio de las cuales se oferte el servicio. El registro tendrá vigencia de un año y deberá renovarse dentro de los treinta días naturales anteriores a su vencimiento.</w:t>
      </w:r>
    </w:p>
    <w:p w14:paraId="1A17132A" w14:textId="77777777"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lastRenderedPageBreak/>
        <w:t>Cuando un anfitrión registre más de tres inmuebles, a partir del cuarto deberá acreditar, además, el cumplimiento de las autorizaciones, avisos, licencias, permisos o registros que, en su caso, resulten exigibles conforme a la legislación estatal y municipal aplicable, incluyendo las disposiciones en materia de uso de suelo, funcionamiento, desarrollo urbano y demás ordenamientos que correspondan.</w:t>
      </w:r>
    </w:p>
    <w:p w14:paraId="0246F194" w14:textId="77777777"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Los establecimientos o inmuebles que ya operen bajo un régimen jurídico distinto para la prestación de servicios de hospedaje no podrán inscribirse en el padrón en términos de este Capítulo.</w:t>
      </w:r>
    </w:p>
    <w:p w14:paraId="76AE5A88" w14:textId="6D1EB1DE"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Quedan exceptuados de las restricciones relativas al número de inmuebles registrables quienes habiten de manera permanente el inmueble en el que se localicen las habitaciones o cuartos ofertados mediante plataformas</w:t>
      </w:r>
      <w:r w:rsidR="00CC1BC1" w:rsidRPr="00F11DD9">
        <w:rPr>
          <w:rFonts w:ascii="Century Gothic" w:hAnsi="Century Gothic" w:cs="Segoe UI"/>
          <w:b/>
          <w:bCs/>
          <w:color w:val="0F1115"/>
        </w:rPr>
        <w:t xml:space="preserve"> digitales</w:t>
      </w:r>
      <w:r w:rsidRPr="00F11DD9">
        <w:rPr>
          <w:rFonts w:ascii="Century Gothic" w:hAnsi="Century Gothic" w:cs="Segoe UI"/>
          <w:b/>
          <w:bCs/>
          <w:color w:val="0F1115"/>
        </w:rPr>
        <w:t>, siempre que se trate de una casa o departamento y se acredite dicha circunstancia con comprobante de domicilio vigente, identificación oficial y manifestación bajo protesta de decir verdad.</w:t>
      </w:r>
    </w:p>
    <w:p w14:paraId="19D41437" w14:textId="5FDA6B64"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83.</w:t>
      </w:r>
      <w:r w:rsidRPr="00AD2CC2">
        <w:rPr>
          <w:rFonts w:ascii="Century Gothic" w:hAnsi="Century Gothic" w:cs="Segoe UI"/>
          <w:color w:val="0F1115"/>
        </w:rPr>
        <w:t> </w:t>
      </w:r>
      <w:r w:rsidRPr="00F11DD9">
        <w:rPr>
          <w:rFonts w:ascii="Century Gothic" w:hAnsi="Century Gothic" w:cs="Segoe UI"/>
          <w:b/>
          <w:bCs/>
          <w:color w:val="0F1115"/>
        </w:rPr>
        <w:t xml:space="preserve">En el Padrón de Plataformas </w:t>
      </w:r>
      <w:r w:rsidR="00CC1BC1" w:rsidRPr="00F11DD9">
        <w:rPr>
          <w:rFonts w:ascii="Century Gothic" w:hAnsi="Century Gothic" w:cs="Segoe UI"/>
          <w:b/>
          <w:bCs/>
          <w:color w:val="0F1115"/>
        </w:rPr>
        <w:t xml:space="preserve">Digitales </w:t>
      </w:r>
      <w:r w:rsidRPr="00F11DD9">
        <w:rPr>
          <w:rFonts w:ascii="Century Gothic" w:hAnsi="Century Gothic" w:cs="Segoe UI"/>
          <w:b/>
          <w:bCs/>
          <w:color w:val="0F1115"/>
        </w:rPr>
        <w:t>deberán inscribirse las personas físicas o morales, nacionales o extranjeras, facultadas para operar, intermediar o administrar aplicaciones digitales, sitios de internet, redes sociales o medios similares por los que se oferte el servicio de hospedaje ocasional. Para su incorporación deberán presentar:</w:t>
      </w:r>
    </w:p>
    <w:p w14:paraId="78182F4F" w14:textId="5EDC7E68" w:rsidR="00FD2647" w:rsidRPr="00F11DD9" w:rsidRDefault="00FD2647" w:rsidP="00124322">
      <w:pPr>
        <w:pStyle w:val="ds-markdown-paragraph"/>
        <w:numPr>
          <w:ilvl w:val="0"/>
          <w:numId w:val="27"/>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Nombre, denominación o razón social y nacionalidad de la plataforma</w:t>
      </w:r>
      <w:r w:rsidR="00F11DD9">
        <w:rPr>
          <w:rFonts w:ascii="Century Gothic" w:hAnsi="Century Gothic" w:cs="Segoe UI"/>
          <w:b/>
          <w:bCs/>
          <w:color w:val="0F1115"/>
        </w:rPr>
        <w:t>.</w:t>
      </w:r>
    </w:p>
    <w:p w14:paraId="52DBE5C8" w14:textId="7609048C" w:rsidR="00FD2647" w:rsidRPr="00F11DD9" w:rsidRDefault="00FD2647" w:rsidP="00124322">
      <w:pPr>
        <w:pStyle w:val="ds-markdown-paragraph"/>
        <w:numPr>
          <w:ilvl w:val="0"/>
          <w:numId w:val="27"/>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lastRenderedPageBreak/>
        <w:t>Documento constitutivo o instrumento con el que acredite su existencia legal</w:t>
      </w:r>
      <w:r w:rsidR="00F11DD9">
        <w:rPr>
          <w:rFonts w:ascii="Century Gothic" w:hAnsi="Century Gothic" w:cs="Segoe UI"/>
          <w:b/>
          <w:bCs/>
          <w:color w:val="0F1115"/>
        </w:rPr>
        <w:t>.</w:t>
      </w:r>
    </w:p>
    <w:p w14:paraId="590AFBB4" w14:textId="51CB94E8" w:rsidR="00FD2647" w:rsidRPr="00F11DD9" w:rsidRDefault="00FD2647" w:rsidP="00124322">
      <w:pPr>
        <w:pStyle w:val="ds-markdown-paragraph"/>
        <w:numPr>
          <w:ilvl w:val="0"/>
          <w:numId w:val="27"/>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Documento que acredite la personalidad del representante legal que promueve el trámite</w:t>
      </w:r>
      <w:r w:rsidR="00F11DD9">
        <w:rPr>
          <w:rFonts w:ascii="Century Gothic" w:hAnsi="Century Gothic" w:cs="Segoe UI"/>
          <w:b/>
          <w:bCs/>
          <w:color w:val="0F1115"/>
        </w:rPr>
        <w:t>.</w:t>
      </w:r>
    </w:p>
    <w:p w14:paraId="1566FE43" w14:textId="7C914094" w:rsidR="00FD2647" w:rsidRPr="00F11DD9" w:rsidRDefault="00FD2647" w:rsidP="00124322">
      <w:pPr>
        <w:pStyle w:val="ds-markdown-paragraph"/>
        <w:numPr>
          <w:ilvl w:val="0"/>
          <w:numId w:val="27"/>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Cédula de inscripción en el Registro Federal de Contribuyentes</w:t>
      </w:r>
      <w:r w:rsidR="00F11DD9">
        <w:rPr>
          <w:rFonts w:ascii="Century Gothic" w:hAnsi="Century Gothic" w:cs="Segoe UI"/>
          <w:b/>
          <w:bCs/>
          <w:color w:val="0F1115"/>
        </w:rPr>
        <w:t>.</w:t>
      </w:r>
    </w:p>
    <w:p w14:paraId="2B3509F6" w14:textId="79DE75AB" w:rsidR="00FD2647" w:rsidRPr="00F11DD9" w:rsidRDefault="00FD2647" w:rsidP="00124322">
      <w:pPr>
        <w:pStyle w:val="ds-markdown-paragraph"/>
        <w:numPr>
          <w:ilvl w:val="0"/>
          <w:numId w:val="27"/>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Constancia de situación fiscal</w:t>
      </w:r>
      <w:r w:rsidR="00F11DD9">
        <w:rPr>
          <w:rFonts w:ascii="Century Gothic" w:hAnsi="Century Gothic" w:cs="Segoe UI"/>
          <w:b/>
          <w:bCs/>
          <w:color w:val="0F1115"/>
        </w:rPr>
        <w:t>.</w:t>
      </w:r>
    </w:p>
    <w:p w14:paraId="2CCBEFFF" w14:textId="6970CFF8" w:rsidR="00FD2647" w:rsidRPr="00F11DD9" w:rsidRDefault="00FD2647" w:rsidP="00124322">
      <w:pPr>
        <w:pStyle w:val="ds-markdown-paragraph"/>
        <w:numPr>
          <w:ilvl w:val="0"/>
          <w:numId w:val="27"/>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Comprobante de domicilio</w:t>
      </w:r>
      <w:r w:rsidR="00F11DD9">
        <w:rPr>
          <w:rFonts w:ascii="Century Gothic" w:hAnsi="Century Gothic" w:cs="Segoe UI"/>
          <w:b/>
          <w:bCs/>
          <w:color w:val="0F1115"/>
        </w:rPr>
        <w:t>.</w:t>
      </w:r>
    </w:p>
    <w:p w14:paraId="26C2C402" w14:textId="6E35C958" w:rsidR="00FD2647" w:rsidRPr="00F11DD9" w:rsidRDefault="00FD2647" w:rsidP="00124322">
      <w:pPr>
        <w:pStyle w:val="ds-markdown-paragraph"/>
        <w:numPr>
          <w:ilvl w:val="0"/>
          <w:numId w:val="27"/>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Número telefónico y correo electrónico para la recepción y atención de quejas presentadas por vecinos y turistas</w:t>
      </w:r>
      <w:r w:rsidR="00F11DD9">
        <w:rPr>
          <w:rFonts w:ascii="Century Gothic" w:hAnsi="Century Gothic" w:cs="Segoe UI"/>
          <w:b/>
          <w:bCs/>
          <w:color w:val="0F1115"/>
        </w:rPr>
        <w:t>.</w:t>
      </w:r>
    </w:p>
    <w:p w14:paraId="18E64750" w14:textId="7AAA05D8" w:rsidR="00FD2647" w:rsidRPr="00F11DD9" w:rsidRDefault="00FD2647" w:rsidP="00124322">
      <w:pPr>
        <w:pStyle w:val="ds-markdown-paragraph"/>
        <w:numPr>
          <w:ilvl w:val="0"/>
          <w:numId w:val="27"/>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Los demás requisitos previstos en el Reglamento de esta Ley.</w:t>
      </w:r>
    </w:p>
    <w:p w14:paraId="158B6CF9" w14:textId="77777777" w:rsidR="0045424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84.</w:t>
      </w:r>
      <w:r w:rsidRPr="00AD2CC2">
        <w:rPr>
          <w:rFonts w:ascii="Century Gothic" w:hAnsi="Century Gothic" w:cs="Segoe UI"/>
          <w:color w:val="0F1115"/>
        </w:rPr>
        <w:t> </w:t>
      </w:r>
      <w:r w:rsidRPr="00F11DD9">
        <w:rPr>
          <w:rFonts w:ascii="Century Gothic" w:hAnsi="Century Gothic" w:cs="Segoe UI"/>
          <w:b/>
          <w:bCs/>
          <w:color w:val="0F1115"/>
        </w:rPr>
        <w:t xml:space="preserve">Las personas físicas o morales que operen, intermedien o administren una plataforma tecnológica, así como los intermediarios que actúen como gestores o administradores, responderán solidariamente con los anfitriones respecto del pago del Impuesto sobre Hospedaje y, en su caso, de las obligaciones y sanciones que expresamente prevea la legislación fiscal aplicable, tratándose de los servicios de hospedaje ocasional contratados o proporcionados a través de dicha plataforma. </w:t>
      </w:r>
    </w:p>
    <w:p w14:paraId="554A7F95" w14:textId="4256C334"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F11DD9">
        <w:rPr>
          <w:rFonts w:ascii="Century Gothic" w:hAnsi="Century Gothic" w:cs="Segoe UI"/>
          <w:b/>
          <w:bCs/>
          <w:color w:val="0F1115"/>
        </w:rPr>
        <w:t xml:space="preserve">Quedarán liberados de la responsabilidad a que se refiere el párrafo anterior quienes acrediten fehacientemente, dentro del procedimiento correspondiente, que el anfitrión o el intermediario actuó con mala fe, </w:t>
      </w:r>
      <w:r w:rsidRPr="00F11DD9">
        <w:rPr>
          <w:rFonts w:ascii="Century Gothic" w:hAnsi="Century Gothic" w:cs="Segoe UI"/>
          <w:b/>
          <w:bCs/>
          <w:color w:val="0F1115"/>
        </w:rPr>
        <w:lastRenderedPageBreak/>
        <w:t>proporcionó información falsa o utilizó indebidamente la plataforma, en los términos que establezca la legislación aplicable.</w:t>
      </w:r>
    </w:p>
    <w:p w14:paraId="2D51742F" w14:textId="2461BE27" w:rsidR="009806BF"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Style w:val="Textoennegrita"/>
          <w:rFonts w:ascii="Century Gothic" w:hAnsi="Century Gothic" w:cs="Segoe UI"/>
          <w:color w:val="0F1115"/>
        </w:rPr>
        <w:t>Artículo 85.</w:t>
      </w:r>
      <w:r w:rsidRPr="00AD2CC2">
        <w:rPr>
          <w:rFonts w:ascii="Century Gothic" w:hAnsi="Century Gothic" w:cs="Segoe UI"/>
          <w:color w:val="0F1115"/>
        </w:rPr>
        <w:t> </w:t>
      </w:r>
      <w:r w:rsidRPr="00F11DD9">
        <w:rPr>
          <w:rFonts w:ascii="Century Gothic" w:hAnsi="Century Gothic" w:cs="Segoe UI"/>
          <w:b/>
          <w:bCs/>
          <w:color w:val="0F1115"/>
        </w:rPr>
        <w:t>La suspensión, baja o cancelación de los registros a que se refiere este Capítulo deberá substanciarse mediante procedimiento en el que se garantice a las personas interesadas el derecho de audiencia y defensa. La autoridad deberá emitir resolución fundada y motivada. En lo no previsto por esta Ley y su Reglamento, serán aplicables de manera supletoria las disposiciones de la legislación en materia de procedimiento administrativo del Estado de Chihuahua.</w:t>
      </w:r>
    </w:p>
    <w:p w14:paraId="54C8AE1E" w14:textId="77777777" w:rsidR="009806BF" w:rsidRPr="00AD2CC2" w:rsidRDefault="009806BF"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2DFC603F" w14:textId="257DA170"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XXI</w:t>
      </w:r>
      <w:r w:rsidRPr="00AD2CC2">
        <w:rPr>
          <w:rFonts w:ascii="Century Gothic" w:hAnsi="Century Gothic" w:cs="Segoe UI"/>
          <w:color w:val="0F1115"/>
        </w:rPr>
        <w:br/>
      </w:r>
      <w:r w:rsidRPr="00AD2CC2">
        <w:rPr>
          <w:rStyle w:val="Textoennegrita"/>
          <w:rFonts w:ascii="Century Gothic" w:hAnsi="Century Gothic" w:cs="Segoe UI"/>
          <w:color w:val="0F1115"/>
        </w:rPr>
        <w:t>DE LA DIFUSIÓN ESTRATÉGICA Y POSICIONAMIENTO TURÍSTICO</w:t>
      </w:r>
    </w:p>
    <w:p w14:paraId="46051E70" w14:textId="77777777"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86.</w:t>
      </w:r>
      <w:r w:rsidRPr="00AD2CC2">
        <w:rPr>
          <w:rFonts w:ascii="Century Gothic" w:hAnsi="Century Gothic" w:cs="Segoe UI"/>
          <w:color w:val="0F1115"/>
        </w:rPr>
        <w:t> </w:t>
      </w:r>
      <w:r w:rsidRPr="00F11DD9">
        <w:rPr>
          <w:rFonts w:ascii="Century Gothic" w:hAnsi="Century Gothic" w:cs="Segoe UI"/>
          <w:b/>
          <w:bCs/>
          <w:color w:val="0F1115"/>
        </w:rPr>
        <w:t>En la promoción y fomento del turismo, corresponde a la Secretaría proteger, mejorar, incrementar y difundir los atractivos turísticos del Estado. Para ello deberá:</w:t>
      </w:r>
    </w:p>
    <w:p w14:paraId="4D6D8873" w14:textId="4408729C"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F11DD9">
        <w:rPr>
          <w:rFonts w:ascii="Century Gothic" w:hAnsi="Century Gothic" w:cs="Segoe UI"/>
          <w:b/>
          <w:bCs/>
          <w:color w:val="0F1115"/>
        </w:rPr>
        <w:t>Formular la estrategia de Promoción Turística del Estado</w:t>
      </w:r>
      <w:r w:rsidR="00F11DD9">
        <w:rPr>
          <w:rFonts w:ascii="Century Gothic" w:hAnsi="Century Gothic" w:cs="Segoe UI"/>
          <w:b/>
          <w:bCs/>
          <w:color w:val="0F1115"/>
        </w:rPr>
        <w:t xml:space="preserve">. </w:t>
      </w:r>
    </w:p>
    <w:p w14:paraId="7E1894D7" w14:textId="0B079A68"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F11DD9">
        <w:rPr>
          <w:rFonts w:ascii="Century Gothic" w:hAnsi="Century Gothic" w:cs="Segoe UI"/>
          <w:b/>
          <w:bCs/>
          <w:color w:val="0F1115"/>
        </w:rPr>
        <w:t>Difundir constantemente, con enfoque sostenible y accesible, en los principales medios publicitarios, redes sociales y páginas de internet, las tradiciones, costumbres, identidad, patrimonio cultural y natural del Estado</w:t>
      </w:r>
      <w:r w:rsidR="00F11DD9">
        <w:rPr>
          <w:rFonts w:ascii="Century Gothic" w:hAnsi="Century Gothic" w:cs="Segoe UI"/>
          <w:b/>
          <w:bCs/>
          <w:color w:val="0F1115"/>
        </w:rPr>
        <w:t>.</w:t>
      </w:r>
    </w:p>
    <w:p w14:paraId="1012FFFC" w14:textId="0CDFD00A"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F11DD9">
        <w:rPr>
          <w:rFonts w:ascii="Century Gothic" w:hAnsi="Century Gothic" w:cs="Segoe UI"/>
          <w:b/>
          <w:bCs/>
          <w:color w:val="0F1115"/>
        </w:rPr>
        <w:lastRenderedPageBreak/>
        <w:t>Impulsar la restauración del patrimonio histórico, artístico y cultural, así como la preservación y regeneración de los recursos naturales que constituyan un atractivo turístico</w:t>
      </w:r>
      <w:r w:rsidR="00F11DD9">
        <w:rPr>
          <w:rFonts w:ascii="Century Gothic" w:hAnsi="Century Gothic" w:cs="Segoe UI"/>
          <w:b/>
          <w:bCs/>
          <w:color w:val="0F1115"/>
        </w:rPr>
        <w:t xml:space="preserve">. </w:t>
      </w:r>
    </w:p>
    <w:p w14:paraId="43F30E09" w14:textId="13D6722F"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1"/>
        <w:jc w:val="both"/>
        <w:rPr>
          <w:rFonts w:ascii="Century Gothic" w:hAnsi="Century Gothic" w:cs="Segoe UI"/>
          <w:b/>
          <w:bCs/>
          <w:color w:val="0F1115"/>
        </w:rPr>
      </w:pPr>
      <w:r w:rsidRPr="00F11DD9">
        <w:rPr>
          <w:rFonts w:ascii="Century Gothic" w:hAnsi="Century Gothic" w:cs="Segoe UI"/>
          <w:b/>
          <w:bCs/>
          <w:color w:val="0F1115"/>
        </w:rPr>
        <w:t>Propiciar e incrementar las celebraciones tradicionales y folklóricas propias del Estado</w:t>
      </w:r>
      <w:r w:rsidR="00F11DD9">
        <w:rPr>
          <w:rFonts w:ascii="Century Gothic" w:hAnsi="Century Gothic" w:cs="Segoe UI"/>
          <w:b/>
          <w:bCs/>
          <w:color w:val="0F1115"/>
        </w:rPr>
        <w:t>.</w:t>
      </w:r>
    </w:p>
    <w:p w14:paraId="5E6E3E8B" w14:textId="51D7F43C"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F11DD9">
        <w:rPr>
          <w:rFonts w:ascii="Century Gothic" w:hAnsi="Century Gothic" w:cs="Segoe UI"/>
          <w:b/>
          <w:bCs/>
          <w:color w:val="0F1115"/>
        </w:rPr>
        <w:t xml:space="preserve">Promover la realización y la participación de </w:t>
      </w:r>
      <w:r w:rsidR="00D93C71" w:rsidRPr="00F11DD9">
        <w:rPr>
          <w:rFonts w:ascii="Century Gothic" w:hAnsi="Century Gothic" w:cs="Segoe UI"/>
          <w:b/>
          <w:bCs/>
          <w:color w:val="0F1115"/>
        </w:rPr>
        <w:t xml:space="preserve">quienes integran </w:t>
      </w:r>
      <w:r w:rsidRPr="00F11DD9">
        <w:rPr>
          <w:rFonts w:ascii="Century Gothic" w:hAnsi="Century Gothic" w:cs="Segoe UI"/>
          <w:b/>
          <w:bCs/>
          <w:color w:val="0F1115"/>
        </w:rPr>
        <w:t>la cadena de valor turística en ferias y exposiciones turísticas, orientadas a difundir los atractivos del Estado y a presentar la oferta turística a prestadores de servicios nacionales e internacionales</w:t>
      </w:r>
      <w:r w:rsidR="00F11DD9">
        <w:rPr>
          <w:rFonts w:ascii="Century Gothic" w:hAnsi="Century Gothic" w:cs="Segoe UI"/>
          <w:b/>
          <w:bCs/>
          <w:color w:val="0F1115"/>
        </w:rPr>
        <w:t>.</w:t>
      </w:r>
    </w:p>
    <w:p w14:paraId="46623B14" w14:textId="6A43F31D"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1"/>
        <w:jc w:val="both"/>
        <w:rPr>
          <w:rFonts w:ascii="Century Gothic" w:hAnsi="Century Gothic" w:cs="Segoe UI"/>
          <w:b/>
          <w:bCs/>
          <w:color w:val="0F1115"/>
        </w:rPr>
      </w:pPr>
      <w:r w:rsidRPr="00F11DD9">
        <w:rPr>
          <w:rFonts w:ascii="Century Gothic" w:hAnsi="Century Gothic" w:cs="Segoe UI"/>
          <w:b/>
          <w:bCs/>
          <w:color w:val="0F1115"/>
        </w:rPr>
        <w:t>Promover y coordinar la participación del Estado en eventos oficiales de promoción turística nacionales e internacionales, tales como ferias, tianguis, seminarios y exposiciones</w:t>
      </w:r>
      <w:r w:rsidR="00F11DD9">
        <w:rPr>
          <w:rFonts w:ascii="Century Gothic" w:hAnsi="Century Gothic" w:cs="Segoe UI"/>
          <w:b/>
          <w:bCs/>
          <w:color w:val="0F1115"/>
        </w:rPr>
        <w:t>.</w:t>
      </w:r>
    </w:p>
    <w:p w14:paraId="41814D46" w14:textId="67CBA3E9"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1"/>
        <w:jc w:val="both"/>
        <w:rPr>
          <w:rFonts w:ascii="Century Gothic" w:hAnsi="Century Gothic" w:cs="Segoe UI"/>
          <w:b/>
          <w:bCs/>
          <w:color w:val="0F1115"/>
        </w:rPr>
      </w:pPr>
      <w:r w:rsidRPr="00F11DD9">
        <w:rPr>
          <w:rFonts w:ascii="Century Gothic" w:hAnsi="Century Gothic" w:cs="Segoe UI"/>
          <w:b/>
          <w:bCs/>
          <w:color w:val="0F1115"/>
        </w:rPr>
        <w:t>Diseñar la imagen turística del Estado para fortalecer la identidad turística a nivel nacional e internacional</w:t>
      </w:r>
      <w:r w:rsidR="00F11DD9">
        <w:rPr>
          <w:rFonts w:ascii="Century Gothic" w:hAnsi="Century Gothic" w:cs="Segoe UI"/>
          <w:b/>
          <w:bCs/>
          <w:color w:val="0F1115"/>
        </w:rPr>
        <w:t>.</w:t>
      </w:r>
    </w:p>
    <w:p w14:paraId="187E5C8F" w14:textId="4BD28F2E"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F11DD9">
        <w:rPr>
          <w:rFonts w:ascii="Century Gothic" w:hAnsi="Century Gothic" w:cs="Segoe UI"/>
          <w:b/>
          <w:bCs/>
          <w:color w:val="0F1115"/>
        </w:rPr>
        <w:t>Desarrollar e implementar, previa opinión del Consejo Consultivo Estatal, un plan de mercadotecnia que identifique el mercado del Estado, así como los segmentos de mayor potencial, a fin de direccionar mejor los esfuerzos y recursos destinados a la promoción a través de los medios convencionales y digitales</w:t>
      </w:r>
      <w:r w:rsidR="00F11DD9">
        <w:rPr>
          <w:rFonts w:ascii="Century Gothic" w:hAnsi="Century Gothic" w:cs="Segoe UI"/>
          <w:b/>
          <w:bCs/>
          <w:color w:val="0F1115"/>
        </w:rPr>
        <w:t>.</w:t>
      </w:r>
    </w:p>
    <w:p w14:paraId="42B1A387" w14:textId="0A5C176F"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F11DD9">
        <w:rPr>
          <w:rFonts w:ascii="Century Gothic" w:hAnsi="Century Gothic" w:cs="Segoe UI"/>
          <w:b/>
          <w:bCs/>
          <w:color w:val="0F1115"/>
        </w:rPr>
        <w:t>Promover en el mercado nacional e internacional la imagen y el destino “Chihuahua”</w:t>
      </w:r>
      <w:r w:rsidR="00F11DD9">
        <w:rPr>
          <w:rFonts w:ascii="Century Gothic" w:hAnsi="Century Gothic" w:cs="Segoe UI"/>
          <w:b/>
          <w:bCs/>
          <w:color w:val="0F1115"/>
        </w:rPr>
        <w:t>.</w:t>
      </w:r>
    </w:p>
    <w:p w14:paraId="33DB5A1F" w14:textId="09FBC57C"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F11DD9">
        <w:rPr>
          <w:rFonts w:ascii="Century Gothic" w:hAnsi="Century Gothic" w:cs="Segoe UI"/>
          <w:b/>
          <w:bCs/>
          <w:color w:val="0F1115"/>
        </w:rPr>
        <w:lastRenderedPageBreak/>
        <w:t>Establecer, en los convenios que se celebren en la materia, la obligatoriedad de incluir el nombre del destino “Chihuahua”, así como los logotipos y lemas que se establezcan en las campañas de promoción impulsadas con recursos públicos</w:t>
      </w:r>
      <w:r w:rsidR="00F11DD9">
        <w:rPr>
          <w:rFonts w:ascii="Century Gothic" w:hAnsi="Century Gothic" w:cs="Segoe UI"/>
          <w:b/>
          <w:bCs/>
          <w:color w:val="0F1115"/>
        </w:rPr>
        <w:t>.</w:t>
      </w:r>
    </w:p>
    <w:p w14:paraId="011D1635" w14:textId="569B8BDA" w:rsidR="00FD2647" w:rsidRPr="00F11DD9" w:rsidRDefault="00FD2647" w:rsidP="00124322">
      <w:pPr>
        <w:pStyle w:val="ds-markdown-paragraph"/>
        <w:numPr>
          <w:ilvl w:val="0"/>
          <w:numId w:val="29"/>
        </w:numPr>
        <w:shd w:val="clear" w:color="auto" w:fill="FFFFFF"/>
        <w:spacing w:before="240" w:beforeAutospacing="0" w:after="240" w:afterAutospacing="0" w:line="360" w:lineRule="auto"/>
        <w:ind w:hanging="153"/>
        <w:jc w:val="both"/>
        <w:rPr>
          <w:rFonts w:ascii="Century Gothic" w:hAnsi="Century Gothic" w:cs="Segoe UI"/>
          <w:b/>
          <w:bCs/>
          <w:color w:val="0F1115"/>
        </w:rPr>
      </w:pPr>
      <w:r w:rsidRPr="00F11DD9">
        <w:rPr>
          <w:rFonts w:ascii="Century Gothic" w:hAnsi="Century Gothic" w:cs="Segoe UI"/>
          <w:b/>
          <w:bCs/>
          <w:color w:val="0F1115"/>
        </w:rPr>
        <w:t>Promover y coordinar, con el apoyo de las instituciones correspondientes, festivales, exposiciones, ferias turísticas, congresos, convenciones, eventos deportivos, artísticos, culturales y otros relacionados con la difusión de los atractivos y destinos turísticos.</w:t>
      </w:r>
    </w:p>
    <w:p w14:paraId="53E9928B" w14:textId="38E43D62"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t>Artículo 87.</w:t>
      </w:r>
      <w:r w:rsidRPr="00F11DD9">
        <w:rPr>
          <w:rFonts w:ascii="Century Gothic" w:hAnsi="Century Gothic" w:cs="Segoe UI"/>
          <w:b/>
          <w:bCs/>
          <w:color w:val="0F1115"/>
        </w:rPr>
        <w:t> La Secretaría garantizará el derecho igualitario de los municipios para la promoción y difusión turística y artesanal dentro de los espacios y medios de comunicación oficiales.</w:t>
      </w:r>
    </w:p>
    <w:p w14:paraId="42A7CD8B" w14:textId="77777777"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t>Artículo 88.</w:t>
      </w:r>
      <w:r w:rsidRPr="00F11DD9">
        <w:rPr>
          <w:rFonts w:ascii="Century Gothic" w:hAnsi="Century Gothic" w:cs="Segoe UI"/>
          <w:b/>
          <w:bCs/>
          <w:color w:val="0F1115"/>
        </w:rPr>
        <w:t> La Secretaría mantendrá una estrecha coordinación con los municipios, con el sector social y privado, así como con otros actores del sector turístico, a fin de asegurar el establecimiento de una hoja de ruta que facilite el diseño e instrumentación de las campañas promocionales.</w:t>
      </w:r>
    </w:p>
    <w:p w14:paraId="1E54A1AC" w14:textId="0E53B796" w:rsidR="00FD2647" w:rsidRDefault="00FD2647"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rPr>
      </w:pPr>
      <w:r w:rsidRPr="00AD2CC2">
        <w:rPr>
          <w:rStyle w:val="Textoennegrita"/>
          <w:rFonts w:ascii="Century Gothic" w:hAnsi="Century Gothic" w:cs="Segoe UI"/>
          <w:color w:val="0F1115"/>
        </w:rPr>
        <w:t>CAPÍTULO XXII</w:t>
      </w:r>
      <w:r w:rsidRPr="00AD2CC2">
        <w:rPr>
          <w:rFonts w:ascii="Century Gothic" w:hAnsi="Century Gothic" w:cs="Segoe UI"/>
          <w:color w:val="0F1115"/>
        </w:rPr>
        <w:br/>
      </w:r>
      <w:r w:rsidRPr="00AD2CC2">
        <w:rPr>
          <w:rStyle w:val="Textoennegrita"/>
          <w:rFonts w:ascii="Century Gothic" w:hAnsi="Century Gothic" w:cs="Segoe UI"/>
          <w:color w:val="0F1115"/>
        </w:rPr>
        <w:t>DE LA INSPECCIÓN, VERIFICACIÓN, SANCIONES Y RECURSOS</w:t>
      </w:r>
    </w:p>
    <w:p w14:paraId="2FCAF7EF" w14:textId="77777777"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AD2CC2">
        <w:rPr>
          <w:rStyle w:val="Textoennegrita"/>
          <w:rFonts w:ascii="Century Gothic" w:hAnsi="Century Gothic" w:cs="Segoe UI"/>
          <w:color w:val="0F1115"/>
        </w:rPr>
        <w:t>Artículo 89.</w:t>
      </w:r>
      <w:r w:rsidRPr="00AD2CC2">
        <w:rPr>
          <w:rFonts w:ascii="Century Gothic" w:hAnsi="Century Gothic" w:cs="Segoe UI"/>
          <w:color w:val="0F1115"/>
        </w:rPr>
        <w:t> </w:t>
      </w:r>
      <w:r w:rsidRPr="00F11DD9">
        <w:rPr>
          <w:rFonts w:ascii="Century Gothic" w:hAnsi="Century Gothic" w:cs="Segoe UI"/>
          <w:b/>
          <w:bCs/>
          <w:color w:val="0F1115"/>
        </w:rPr>
        <w:t>Corresponde a la Secretaría vigilar, inspeccionar y verificar a las empresas, establecimientos y prestadores de servicios turísticos, con el objeto de comprobar el cumplimiento de las obligaciones previstas en esta Ley, en su Reglamento y en las demás disposiciones jurídicas aplicables.</w:t>
      </w:r>
    </w:p>
    <w:p w14:paraId="18966B5C" w14:textId="77777777"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lastRenderedPageBreak/>
        <w:t>Artículo 90.</w:t>
      </w:r>
      <w:r w:rsidRPr="00F11DD9">
        <w:rPr>
          <w:rFonts w:ascii="Century Gothic" w:hAnsi="Century Gothic" w:cs="Segoe UI"/>
          <w:b/>
          <w:bCs/>
          <w:color w:val="0F1115"/>
        </w:rPr>
        <w:t> Para evitar duplicidades y fortalecer la eficacia de las funciones de inspección, supervisión y verificación, la Secretaría podrá celebrar acciones de coordinación y colaboración con autoridades de los distintos órdenes de gobierno, en el ámbito de sus respectivas competencias y conforme a la normativa aplicable.</w:t>
      </w:r>
    </w:p>
    <w:p w14:paraId="5DA17299" w14:textId="77777777"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t>Artículo 91.</w:t>
      </w:r>
      <w:r w:rsidRPr="00F11DD9">
        <w:rPr>
          <w:rFonts w:ascii="Century Gothic" w:hAnsi="Century Gothic" w:cs="Segoe UI"/>
          <w:b/>
          <w:bCs/>
          <w:color w:val="0F1115"/>
        </w:rPr>
        <w:t> Si con motivo de las actuaciones de inspección o verificación la Secretaría conoce de hechos u omisiones que pudieran constituir infracciones o responsabilidades cuya atención corresponda a otra</w:t>
      </w:r>
      <w:r w:rsidRPr="00AD2CC2">
        <w:rPr>
          <w:rFonts w:ascii="Century Gothic" w:hAnsi="Century Gothic" w:cs="Segoe UI"/>
          <w:color w:val="0F1115"/>
        </w:rPr>
        <w:t xml:space="preserve"> </w:t>
      </w:r>
      <w:r w:rsidRPr="00F11DD9">
        <w:rPr>
          <w:rFonts w:ascii="Century Gothic" w:hAnsi="Century Gothic" w:cs="Segoe UI"/>
          <w:b/>
          <w:bCs/>
          <w:color w:val="0F1115"/>
        </w:rPr>
        <w:t>autoridad, remitirá la información y documentación conducente para los efectos legales a que haya lugar.</w:t>
      </w:r>
    </w:p>
    <w:p w14:paraId="15B6510B" w14:textId="67210E58"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t>Artículo 92.</w:t>
      </w:r>
      <w:r w:rsidRPr="00F11DD9">
        <w:rPr>
          <w:rFonts w:ascii="Century Gothic" w:hAnsi="Century Gothic" w:cs="Segoe UI"/>
          <w:b/>
          <w:bCs/>
          <w:color w:val="0F1115"/>
        </w:rPr>
        <w:t> Las infracciones a lo dispuesto por esta Ley, su Reglamento y demás disposiciones que de ella emanen serán sancionadas</w:t>
      </w:r>
      <w:r w:rsidR="007D3ED6" w:rsidRPr="00F11DD9">
        <w:rPr>
          <w:rFonts w:ascii="Century Gothic" w:hAnsi="Century Gothic" w:cs="Segoe UI"/>
          <w:b/>
          <w:bCs/>
          <w:color w:val="0F1115"/>
        </w:rPr>
        <w:t xml:space="preserve"> por la autoridad competente</w:t>
      </w:r>
      <w:r w:rsidRPr="00F11DD9">
        <w:rPr>
          <w:rFonts w:ascii="Century Gothic" w:hAnsi="Century Gothic" w:cs="Segoe UI"/>
          <w:b/>
          <w:bCs/>
          <w:color w:val="0F1115"/>
        </w:rPr>
        <w:t>, conforme a lo dispuesto en esta Ley, en la Ley de Procedimiento Administrativo del Estado de Chihuahua y en las demás disposiciones aplicables.</w:t>
      </w:r>
    </w:p>
    <w:p w14:paraId="0E4FD756" w14:textId="616C1639"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t>Artículo 93.</w:t>
      </w:r>
      <w:r w:rsidRPr="00F11DD9">
        <w:rPr>
          <w:rFonts w:ascii="Century Gothic" w:hAnsi="Century Gothic" w:cs="Segoe UI"/>
          <w:b/>
          <w:bCs/>
          <w:color w:val="0F1115"/>
        </w:rPr>
        <w:t xml:space="preserve"> La </w:t>
      </w:r>
      <w:r w:rsidR="007D3ED6" w:rsidRPr="00F11DD9">
        <w:rPr>
          <w:rFonts w:ascii="Century Gothic" w:hAnsi="Century Gothic" w:cs="Segoe UI"/>
          <w:b/>
          <w:bCs/>
          <w:color w:val="0F1115"/>
        </w:rPr>
        <w:t xml:space="preserve">autoridad competente </w:t>
      </w:r>
      <w:r w:rsidRPr="00F11DD9">
        <w:rPr>
          <w:rFonts w:ascii="Century Gothic" w:hAnsi="Century Gothic" w:cs="Segoe UI"/>
          <w:b/>
          <w:bCs/>
          <w:color w:val="0F1115"/>
        </w:rPr>
        <w:t>impondrá las sanciones previstas en esta Ley, garantizando en todo momento el derecho de audiencia y defensa de los interesados, conforme al procedimiento establecido en la Ley de Procedimiento Administrativo del Estado de Chihuahua. Toda sanción deberá estar fundada y motivada, y ser proporcional a la gravedad de la infracción.</w:t>
      </w:r>
    </w:p>
    <w:p w14:paraId="2804A488" w14:textId="77777777"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t>Artículo 94.</w:t>
      </w:r>
      <w:r w:rsidRPr="00F11DD9">
        <w:rPr>
          <w:rFonts w:ascii="Century Gothic" w:hAnsi="Century Gothic" w:cs="Segoe UI"/>
          <w:b/>
          <w:bCs/>
          <w:color w:val="0F1115"/>
        </w:rPr>
        <w:t> Constituyen infracciones a las disposiciones de esta Ley:</w:t>
      </w:r>
    </w:p>
    <w:p w14:paraId="5528C847" w14:textId="62E850AB"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lastRenderedPageBreak/>
        <w:t>Ofertar servicios de hospedaje ocasional sin contar con el registro en el Padrón de Anfitriones, una vez que dicho registro sea exigible conforme a lo dispuesto en los artículos transitorios del presente Decreto</w:t>
      </w:r>
      <w:r w:rsidR="00F11DD9">
        <w:rPr>
          <w:rFonts w:ascii="Century Gothic" w:hAnsi="Century Gothic" w:cs="Segoe UI"/>
          <w:b/>
          <w:bCs/>
          <w:color w:val="0F1115"/>
        </w:rPr>
        <w:t>.</w:t>
      </w:r>
    </w:p>
    <w:p w14:paraId="18982197" w14:textId="20E04016"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No presentar los informes semestrales a que se refieren los artículos 79, fracción V</w:t>
      </w:r>
      <w:r w:rsidR="00454249">
        <w:rPr>
          <w:rFonts w:ascii="Century Gothic" w:hAnsi="Century Gothic" w:cs="Segoe UI"/>
          <w:b/>
          <w:bCs/>
          <w:color w:val="0F1115"/>
        </w:rPr>
        <w:t>,</w:t>
      </w:r>
      <w:r w:rsidRPr="00F11DD9">
        <w:rPr>
          <w:rFonts w:ascii="Century Gothic" w:hAnsi="Century Gothic" w:cs="Segoe UI"/>
          <w:b/>
          <w:bCs/>
          <w:color w:val="0F1115"/>
        </w:rPr>
        <w:t xml:space="preserve"> y 80, fracción IV de esta Ley, o presentarlos de manera incompleta o con información falsa</w:t>
      </w:r>
      <w:r w:rsidR="00F11DD9">
        <w:rPr>
          <w:rFonts w:ascii="Century Gothic" w:hAnsi="Century Gothic" w:cs="Segoe UI"/>
          <w:b/>
          <w:bCs/>
          <w:color w:val="0F1115"/>
        </w:rPr>
        <w:t>.</w:t>
      </w:r>
    </w:p>
    <w:p w14:paraId="1F4D5082" w14:textId="0E1C000E"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No exhibir en lugar visible la constancia y el folio de registro en los inmuebles ofertados como hospedaje ocasional</w:t>
      </w:r>
      <w:r w:rsidR="00F11DD9">
        <w:rPr>
          <w:rFonts w:ascii="Century Gothic" w:hAnsi="Century Gothic" w:cs="Segoe UI"/>
          <w:b/>
          <w:bCs/>
          <w:color w:val="0F1115"/>
        </w:rPr>
        <w:t>.</w:t>
      </w:r>
    </w:p>
    <w:p w14:paraId="74165CF8" w14:textId="633AC511"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Incumplir las obligaciones de seguridad, salubridad y protección civil aplicables a los prestadores de servicios turísticos</w:t>
      </w:r>
      <w:r w:rsidR="00F11DD9">
        <w:rPr>
          <w:rFonts w:ascii="Century Gothic" w:hAnsi="Century Gothic" w:cs="Segoe UI"/>
          <w:b/>
          <w:bCs/>
          <w:color w:val="0F1115"/>
        </w:rPr>
        <w:t>.</w:t>
      </w:r>
    </w:p>
    <w:p w14:paraId="18F99CD1" w14:textId="60A70EEA"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Obstaculizar, impedir o dificultar las labores de inspección y verificación de la Secretaría o de las autoridades que actúen por delegación de esta</w:t>
      </w:r>
      <w:r w:rsidR="00F11DD9">
        <w:rPr>
          <w:rFonts w:ascii="Century Gothic" w:hAnsi="Century Gothic" w:cs="Segoe UI"/>
          <w:b/>
          <w:bCs/>
          <w:color w:val="0F1115"/>
        </w:rPr>
        <w:t>.</w:t>
      </w:r>
    </w:p>
    <w:p w14:paraId="3B01C82E" w14:textId="03F41CE0"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Proporcionar información falsa, incompleta o engañosa a la autoridad turística o a las personas usuarias de los servicios</w:t>
      </w:r>
      <w:r w:rsidR="00F11DD9">
        <w:rPr>
          <w:rFonts w:ascii="Century Gothic" w:hAnsi="Century Gothic" w:cs="Segoe UI"/>
          <w:b/>
          <w:bCs/>
          <w:color w:val="0F1115"/>
        </w:rPr>
        <w:t>.</w:t>
      </w:r>
    </w:p>
    <w:p w14:paraId="4E6966C6" w14:textId="47046623"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Operar una plataforma tecnológica sin estar inscrita en el Padrón de Plataformas</w:t>
      </w:r>
      <w:r w:rsidR="00CC1BC1" w:rsidRPr="00F11DD9">
        <w:rPr>
          <w:rFonts w:ascii="Century Gothic" w:hAnsi="Century Gothic" w:cs="Segoe UI"/>
          <w:b/>
          <w:bCs/>
          <w:color w:val="0F1115"/>
        </w:rPr>
        <w:t xml:space="preserve"> Digitales</w:t>
      </w:r>
      <w:r w:rsidRPr="00F11DD9">
        <w:rPr>
          <w:rFonts w:ascii="Century Gothic" w:hAnsi="Century Gothic" w:cs="Segoe UI"/>
          <w:b/>
          <w:bCs/>
          <w:color w:val="0F1115"/>
        </w:rPr>
        <w:t>, una vez que dicho requisito sea exigible</w:t>
      </w:r>
      <w:r w:rsidR="00F11DD9">
        <w:rPr>
          <w:rFonts w:ascii="Century Gothic" w:hAnsi="Century Gothic" w:cs="Segoe UI"/>
          <w:b/>
          <w:bCs/>
          <w:color w:val="0F1115"/>
        </w:rPr>
        <w:t>.</w:t>
      </w:r>
    </w:p>
    <w:p w14:paraId="3C98A082" w14:textId="0ECF1F5D"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 xml:space="preserve">Publicar inmuebles en plataformas </w:t>
      </w:r>
      <w:r w:rsidR="00CC1BC1" w:rsidRPr="00F11DD9">
        <w:rPr>
          <w:rFonts w:ascii="Century Gothic" w:hAnsi="Century Gothic" w:cs="Segoe UI"/>
          <w:b/>
          <w:bCs/>
          <w:color w:val="0F1115"/>
        </w:rPr>
        <w:t xml:space="preserve">digitales </w:t>
      </w:r>
      <w:r w:rsidRPr="00F11DD9">
        <w:rPr>
          <w:rFonts w:ascii="Century Gothic" w:hAnsi="Century Gothic" w:cs="Segoe UI"/>
          <w:b/>
          <w:bCs/>
          <w:color w:val="0F1115"/>
        </w:rPr>
        <w:t>sin que los anfitriones cuenten con la constancia y el folio de registro correspondientes, en los términos del artículo 80, fracción II</w:t>
      </w:r>
      <w:r w:rsidR="00F11DD9">
        <w:rPr>
          <w:rFonts w:ascii="Century Gothic" w:hAnsi="Century Gothic" w:cs="Segoe UI"/>
          <w:b/>
          <w:bCs/>
          <w:color w:val="0F1115"/>
        </w:rPr>
        <w:t>.</w:t>
      </w:r>
    </w:p>
    <w:p w14:paraId="46526841" w14:textId="3AF2F3AC"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lastRenderedPageBreak/>
        <w:t>Incumplir las obligaciones de reserva, uso y protección de datos personales de las personas turistas y usuarias del servicio</w:t>
      </w:r>
      <w:r w:rsidR="00F11DD9">
        <w:rPr>
          <w:rFonts w:ascii="Century Gothic" w:hAnsi="Century Gothic" w:cs="Segoe UI"/>
          <w:b/>
          <w:bCs/>
          <w:color w:val="0F1115"/>
        </w:rPr>
        <w:t>.</w:t>
      </w:r>
    </w:p>
    <w:p w14:paraId="627654F6" w14:textId="157AF2DE"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Destinar los inmuebles registrados a actividades que perturben el orden público o lesionen el interés social de las comunidades receptoras</w:t>
      </w:r>
      <w:r w:rsidR="00F11DD9">
        <w:rPr>
          <w:rFonts w:ascii="Century Gothic" w:hAnsi="Century Gothic" w:cs="Segoe UI"/>
          <w:b/>
          <w:bCs/>
          <w:color w:val="0F1115"/>
        </w:rPr>
        <w:t>.</w:t>
      </w:r>
    </w:p>
    <w:p w14:paraId="70A648EA" w14:textId="10D28BB4" w:rsidR="00FD2647" w:rsidRPr="00F11DD9" w:rsidRDefault="00FD2647" w:rsidP="00124322">
      <w:pPr>
        <w:pStyle w:val="ds-markdown-paragraph"/>
        <w:numPr>
          <w:ilvl w:val="0"/>
          <w:numId w:val="31"/>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Cualquier otra violación a las disposiciones de esta Ley que no tenga una sanción específica en otros ordenamientos.</w:t>
      </w:r>
    </w:p>
    <w:p w14:paraId="36483A43" w14:textId="5607453D"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t>Artículo 95.</w:t>
      </w:r>
      <w:r w:rsidRPr="00F11DD9">
        <w:rPr>
          <w:rFonts w:ascii="Century Gothic" w:hAnsi="Century Gothic" w:cs="Segoe UI"/>
          <w:b/>
          <w:bCs/>
          <w:color w:val="0F1115"/>
        </w:rPr>
        <w:t> Las infracciones señaladas en el artículo anterior serán sancionadas con las siguientes medidas, que podrán imponerse de manera independiente o conjunta</w:t>
      </w:r>
      <w:r w:rsidR="00454249">
        <w:rPr>
          <w:rFonts w:ascii="Century Gothic" w:hAnsi="Century Gothic" w:cs="Segoe UI"/>
          <w:b/>
          <w:bCs/>
          <w:color w:val="0F1115"/>
        </w:rPr>
        <w:t>,</w:t>
      </w:r>
      <w:r w:rsidRPr="00F11DD9">
        <w:rPr>
          <w:rFonts w:ascii="Century Gothic" w:hAnsi="Century Gothic" w:cs="Segoe UI"/>
          <w:b/>
          <w:bCs/>
          <w:color w:val="0F1115"/>
        </w:rPr>
        <w:t xml:space="preserve"> según la gravedad del caso:</w:t>
      </w:r>
    </w:p>
    <w:p w14:paraId="0BEFDC8F" w14:textId="5DE27954" w:rsidR="00FD2647" w:rsidRPr="00F11DD9" w:rsidRDefault="00FD2647" w:rsidP="00124322">
      <w:pPr>
        <w:pStyle w:val="ds-markdown-paragraph"/>
        <w:numPr>
          <w:ilvl w:val="0"/>
          <w:numId w:val="33"/>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Amonestación con apercibimiento, en caso de infracciones menores no reiteradas</w:t>
      </w:r>
      <w:r w:rsidR="00F11DD9">
        <w:rPr>
          <w:rFonts w:ascii="Century Gothic" w:hAnsi="Century Gothic" w:cs="Segoe UI"/>
          <w:b/>
          <w:bCs/>
          <w:color w:val="0F1115"/>
        </w:rPr>
        <w:t>.</w:t>
      </w:r>
    </w:p>
    <w:p w14:paraId="0BED009E" w14:textId="54557D1B" w:rsidR="00FD2647" w:rsidRPr="00F11DD9" w:rsidRDefault="00FD2647" w:rsidP="00124322">
      <w:pPr>
        <w:pStyle w:val="ds-markdown-paragraph"/>
        <w:numPr>
          <w:ilvl w:val="0"/>
          <w:numId w:val="33"/>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Multa de 10 a 100 Unidades de Medida y Actualización (UMA) por infracciones leves</w:t>
      </w:r>
      <w:r w:rsidR="00F11DD9">
        <w:rPr>
          <w:rFonts w:ascii="Century Gothic" w:hAnsi="Century Gothic" w:cs="Segoe UI"/>
          <w:b/>
          <w:bCs/>
          <w:color w:val="0F1115"/>
        </w:rPr>
        <w:t>.</w:t>
      </w:r>
    </w:p>
    <w:p w14:paraId="1E3D5663" w14:textId="6EAD5CBB" w:rsidR="00FD2647" w:rsidRPr="00F11DD9" w:rsidRDefault="00FD2647" w:rsidP="00124322">
      <w:pPr>
        <w:pStyle w:val="ds-markdown-paragraph"/>
        <w:numPr>
          <w:ilvl w:val="0"/>
          <w:numId w:val="33"/>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Multa de 101 a 500 UMA por infracciones graves</w:t>
      </w:r>
      <w:r w:rsidR="00F11DD9">
        <w:rPr>
          <w:rFonts w:ascii="Century Gothic" w:hAnsi="Century Gothic" w:cs="Segoe UI"/>
          <w:b/>
          <w:bCs/>
          <w:color w:val="0F1115"/>
        </w:rPr>
        <w:t>.</w:t>
      </w:r>
    </w:p>
    <w:p w14:paraId="3227D527" w14:textId="0BCB6FAB" w:rsidR="00FD2647" w:rsidRPr="00F11DD9" w:rsidRDefault="00FD2647" w:rsidP="00124322">
      <w:pPr>
        <w:pStyle w:val="ds-markdown-paragraph"/>
        <w:numPr>
          <w:ilvl w:val="0"/>
          <w:numId w:val="33"/>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Multa de 501 a 2,000 UMA por infracciones muy graves o reiteradas</w:t>
      </w:r>
      <w:r w:rsidR="00F11DD9">
        <w:rPr>
          <w:rFonts w:ascii="Century Gothic" w:hAnsi="Century Gothic" w:cs="Segoe UI"/>
          <w:b/>
          <w:bCs/>
          <w:color w:val="0F1115"/>
        </w:rPr>
        <w:t>.</w:t>
      </w:r>
    </w:p>
    <w:p w14:paraId="3D29140E" w14:textId="16879ECF" w:rsidR="00FD2647" w:rsidRPr="00F11DD9" w:rsidRDefault="00FD2647" w:rsidP="00124322">
      <w:pPr>
        <w:pStyle w:val="ds-markdown-paragraph"/>
        <w:numPr>
          <w:ilvl w:val="0"/>
          <w:numId w:val="33"/>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Clausura temporal, parcial o total del establecimiento o inmueble, cuando se trate de infracciones que pongan en riesgo la seguridad, la salud o los derechos de los turistas</w:t>
      </w:r>
      <w:r w:rsidR="00F11DD9">
        <w:rPr>
          <w:rFonts w:ascii="Century Gothic" w:hAnsi="Century Gothic" w:cs="Segoe UI"/>
          <w:b/>
          <w:bCs/>
          <w:color w:val="0F1115"/>
        </w:rPr>
        <w:t>.</w:t>
      </w:r>
    </w:p>
    <w:p w14:paraId="6BF34396" w14:textId="6BE41AB4" w:rsidR="00FD2647" w:rsidRPr="00F11DD9" w:rsidRDefault="00FD2647" w:rsidP="00124322">
      <w:pPr>
        <w:pStyle w:val="ds-markdown-paragraph"/>
        <w:numPr>
          <w:ilvl w:val="0"/>
          <w:numId w:val="33"/>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lastRenderedPageBreak/>
        <w:t>Clausura definitiva, parcial o total, cuando las infracciones sean reiteradas y de naturaleza grave, o cuando se incumpla la clausura temporal impuesta</w:t>
      </w:r>
      <w:r w:rsidR="00F11DD9">
        <w:rPr>
          <w:rFonts w:ascii="Century Gothic" w:hAnsi="Century Gothic" w:cs="Segoe UI"/>
          <w:b/>
          <w:bCs/>
          <w:color w:val="0F1115"/>
        </w:rPr>
        <w:t>.</w:t>
      </w:r>
    </w:p>
    <w:p w14:paraId="6E74BDE9" w14:textId="789CD7DF" w:rsidR="00FD2647" w:rsidRPr="00F11DD9" w:rsidRDefault="00FD2647" w:rsidP="00124322">
      <w:pPr>
        <w:pStyle w:val="ds-markdown-paragraph"/>
        <w:numPr>
          <w:ilvl w:val="0"/>
          <w:numId w:val="33"/>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Cancelación del registro en el Padrón de Anfitriones o en el Padrón de Plataformas, previo procedimiento que garantice la audiencia.</w:t>
      </w:r>
    </w:p>
    <w:p w14:paraId="0FA68D8E" w14:textId="73FDC7D4"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t>Artículo 96.</w:t>
      </w:r>
      <w:r w:rsidRPr="00F11DD9">
        <w:rPr>
          <w:rFonts w:ascii="Century Gothic" w:hAnsi="Century Gothic" w:cs="Segoe UI"/>
          <w:b/>
          <w:bCs/>
          <w:color w:val="0F1115"/>
        </w:rPr>
        <w:t xml:space="preserve"> Para la individualización y graduación de las sanciones, </w:t>
      </w:r>
      <w:r w:rsidR="007D3ED6" w:rsidRPr="00F11DD9">
        <w:rPr>
          <w:rFonts w:ascii="Century Gothic" w:hAnsi="Century Gothic" w:cs="Segoe UI"/>
          <w:b/>
          <w:bCs/>
          <w:color w:val="0F1115"/>
        </w:rPr>
        <w:t xml:space="preserve">la autoridad competente </w:t>
      </w:r>
      <w:r w:rsidRPr="00F11DD9">
        <w:rPr>
          <w:rFonts w:ascii="Century Gothic" w:hAnsi="Century Gothic" w:cs="Segoe UI"/>
          <w:b/>
          <w:bCs/>
          <w:color w:val="0F1115"/>
        </w:rPr>
        <w:t>deberá considerar los siguientes criterios:</w:t>
      </w:r>
    </w:p>
    <w:p w14:paraId="03914872" w14:textId="1675ABF7" w:rsidR="00FD2647" w:rsidRPr="00F11DD9" w:rsidRDefault="00FD2647" w:rsidP="00124322">
      <w:pPr>
        <w:pStyle w:val="ds-markdown-paragraph"/>
        <w:numPr>
          <w:ilvl w:val="0"/>
          <w:numId w:val="35"/>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La gravedad de la infracción y el daño o peligro causado al interés turístico, a los consumidores o a las comunidades receptoras</w:t>
      </w:r>
      <w:r w:rsidR="000F37E9">
        <w:rPr>
          <w:rFonts w:ascii="Century Gothic" w:hAnsi="Century Gothic" w:cs="Segoe UI"/>
          <w:b/>
          <w:bCs/>
          <w:color w:val="0F1115"/>
        </w:rPr>
        <w:t>.</w:t>
      </w:r>
    </w:p>
    <w:p w14:paraId="7794F84E" w14:textId="749515E3" w:rsidR="00FD2647" w:rsidRPr="00F11DD9" w:rsidRDefault="00FD2647" w:rsidP="00124322">
      <w:pPr>
        <w:pStyle w:val="ds-markdown-paragraph"/>
        <w:numPr>
          <w:ilvl w:val="0"/>
          <w:numId w:val="35"/>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La capacidad económica del infractor, a fin de que la sanción sea proporcional y tenga efectos disuasorios reales</w:t>
      </w:r>
      <w:r w:rsidR="000F37E9">
        <w:rPr>
          <w:rFonts w:ascii="Century Gothic" w:hAnsi="Century Gothic" w:cs="Segoe UI"/>
          <w:b/>
          <w:bCs/>
          <w:color w:val="0F1115"/>
        </w:rPr>
        <w:t>.</w:t>
      </w:r>
    </w:p>
    <w:p w14:paraId="2906BFB3" w14:textId="3B52D801" w:rsidR="00FD2647" w:rsidRPr="00F11DD9" w:rsidRDefault="00FD2647" w:rsidP="00124322">
      <w:pPr>
        <w:pStyle w:val="ds-markdown-paragraph"/>
        <w:numPr>
          <w:ilvl w:val="0"/>
          <w:numId w:val="35"/>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La reincidencia, entendida como la comisión de la misma infracción dentro de los dos años siguientes a aquel en que hubiera quedado firme una sanción anterior</w:t>
      </w:r>
      <w:r w:rsidR="000F37E9">
        <w:rPr>
          <w:rFonts w:ascii="Century Gothic" w:hAnsi="Century Gothic" w:cs="Segoe UI"/>
          <w:b/>
          <w:bCs/>
          <w:color w:val="0F1115"/>
        </w:rPr>
        <w:t>.</w:t>
      </w:r>
    </w:p>
    <w:p w14:paraId="02F4F725" w14:textId="74357DD2" w:rsidR="00FD2647" w:rsidRPr="00F11DD9" w:rsidRDefault="00FD2647" w:rsidP="00124322">
      <w:pPr>
        <w:pStyle w:val="ds-markdown-paragraph"/>
        <w:numPr>
          <w:ilvl w:val="0"/>
          <w:numId w:val="35"/>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La intencionalidad o negligencia en la comisión de la infracción</w:t>
      </w:r>
      <w:r w:rsidR="000F37E9">
        <w:rPr>
          <w:rFonts w:ascii="Century Gothic" w:hAnsi="Century Gothic" w:cs="Segoe UI"/>
          <w:b/>
          <w:bCs/>
          <w:color w:val="0F1115"/>
        </w:rPr>
        <w:t>.</w:t>
      </w:r>
    </w:p>
    <w:p w14:paraId="0AB9F400" w14:textId="4328CADD" w:rsidR="00FD2647" w:rsidRPr="00F11DD9" w:rsidRDefault="00FD2647" w:rsidP="00124322">
      <w:pPr>
        <w:pStyle w:val="ds-markdown-paragraph"/>
        <w:numPr>
          <w:ilvl w:val="0"/>
          <w:numId w:val="35"/>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El beneficio obtenido por el infractor como resultado de la infracción</w:t>
      </w:r>
      <w:r w:rsidR="000F37E9">
        <w:rPr>
          <w:rFonts w:ascii="Century Gothic" w:hAnsi="Century Gothic" w:cs="Segoe UI"/>
          <w:b/>
          <w:bCs/>
          <w:color w:val="0F1115"/>
        </w:rPr>
        <w:t>.</w:t>
      </w:r>
    </w:p>
    <w:p w14:paraId="1AD26844" w14:textId="172F41B7" w:rsidR="00FD2647" w:rsidRPr="00F11DD9" w:rsidRDefault="00FD2647" w:rsidP="00124322">
      <w:pPr>
        <w:pStyle w:val="ds-markdown-paragraph"/>
        <w:numPr>
          <w:ilvl w:val="0"/>
          <w:numId w:val="35"/>
        </w:numPr>
        <w:shd w:val="clear" w:color="auto" w:fill="FFFFFF"/>
        <w:spacing w:before="240" w:beforeAutospacing="0" w:after="240" w:afterAutospacing="0" w:line="360" w:lineRule="auto"/>
        <w:jc w:val="both"/>
        <w:rPr>
          <w:rFonts w:ascii="Century Gothic" w:hAnsi="Century Gothic" w:cs="Segoe UI"/>
          <w:b/>
          <w:bCs/>
          <w:color w:val="0F1115"/>
        </w:rPr>
      </w:pPr>
      <w:r w:rsidRPr="00F11DD9">
        <w:rPr>
          <w:rFonts w:ascii="Century Gothic" w:hAnsi="Century Gothic" w:cs="Segoe UI"/>
          <w:b/>
          <w:bCs/>
          <w:color w:val="0F1115"/>
        </w:rPr>
        <w:t>La cooperación del infractor con la autoridad durante el procedimiento sancionador.</w:t>
      </w:r>
    </w:p>
    <w:p w14:paraId="14F6AF05" w14:textId="12BF4FDE" w:rsidR="00FD2647" w:rsidRPr="00F11DD9"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b/>
          <w:bCs/>
          <w:color w:val="0F1115"/>
        </w:rPr>
      </w:pPr>
      <w:r w:rsidRPr="00F11DD9">
        <w:rPr>
          <w:rStyle w:val="Textoennegrita"/>
          <w:rFonts w:ascii="Century Gothic" w:hAnsi="Century Gothic" w:cs="Segoe UI"/>
          <w:color w:val="0F1115"/>
        </w:rPr>
        <w:lastRenderedPageBreak/>
        <w:t>Artículo 97.</w:t>
      </w:r>
      <w:r w:rsidRPr="00F11DD9">
        <w:rPr>
          <w:rFonts w:ascii="Century Gothic" w:hAnsi="Century Gothic" w:cs="Segoe UI"/>
          <w:b/>
          <w:bCs/>
          <w:color w:val="0F1115"/>
        </w:rPr>
        <w:t xml:space="preserve"> Contra las resoluciones dictadas con motivo de la aplicación de esta Ley procederá el recurso de revisión ante la </w:t>
      </w:r>
      <w:r w:rsidR="007D3ED6" w:rsidRPr="00F11DD9">
        <w:rPr>
          <w:rFonts w:ascii="Century Gothic" w:hAnsi="Century Gothic" w:cs="Segoe UI"/>
          <w:b/>
          <w:bCs/>
          <w:color w:val="0F1115"/>
        </w:rPr>
        <w:t>autoridad competente</w:t>
      </w:r>
      <w:r w:rsidRPr="00F11DD9">
        <w:rPr>
          <w:rFonts w:ascii="Century Gothic" w:hAnsi="Century Gothic" w:cs="Segoe UI"/>
          <w:b/>
          <w:bCs/>
          <w:color w:val="0F1115"/>
        </w:rPr>
        <w:t>, en los términos previstos por la Ley de Procedimiento Administrativo del Estado de Chihuahua, o el juicio contencioso administrativo ante el Tribunal de Justicia Administrativa del Estado de Chihuahua, a elección del interesado. Los plazos y formalidades del recurso de revisión se sujetarán a lo dispuesto en la Ley de Procedimiento Administrativo del Estado de Chihuahua.</w:t>
      </w:r>
    </w:p>
    <w:p w14:paraId="01611D31" w14:textId="77777777" w:rsidR="006E37B5" w:rsidRPr="00F11DD9" w:rsidRDefault="006E37B5" w:rsidP="00AD2CC2">
      <w:pPr>
        <w:pStyle w:val="ds-markdown-paragraph"/>
        <w:shd w:val="clear" w:color="auto" w:fill="FFFFFF"/>
        <w:spacing w:before="240" w:beforeAutospacing="0" w:after="240" w:afterAutospacing="0" w:line="360" w:lineRule="auto"/>
        <w:jc w:val="center"/>
        <w:rPr>
          <w:rStyle w:val="Textoennegrita"/>
          <w:rFonts w:ascii="Century Gothic" w:hAnsi="Century Gothic" w:cs="Segoe UI"/>
          <w:color w:val="0F1115"/>
          <w:sz w:val="28"/>
          <w:szCs w:val="28"/>
        </w:rPr>
      </w:pPr>
    </w:p>
    <w:p w14:paraId="159CF996" w14:textId="4025B36C" w:rsidR="00FD2647" w:rsidRPr="00396D34" w:rsidRDefault="00FD2647" w:rsidP="00AD2CC2">
      <w:pPr>
        <w:pStyle w:val="ds-markdown-paragraph"/>
        <w:shd w:val="clear" w:color="auto" w:fill="FFFFFF"/>
        <w:spacing w:before="240" w:beforeAutospacing="0" w:after="240" w:afterAutospacing="0" w:line="360" w:lineRule="auto"/>
        <w:jc w:val="center"/>
        <w:rPr>
          <w:rFonts w:ascii="Century Gothic" w:hAnsi="Century Gothic" w:cs="Segoe UI"/>
          <w:color w:val="0F1115"/>
          <w:sz w:val="28"/>
          <w:szCs w:val="28"/>
        </w:rPr>
      </w:pPr>
      <w:r w:rsidRPr="00396D34">
        <w:rPr>
          <w:rStyle w:val="Textoennegrita"/>
          <w:rFonts w:ascii="Century Gothic" w:hAnsi="Century Gothic" w:cs="Segoe UI"/>
          <w:color w:val="0F1115"/>
          <w:sz w:val="28"/>
          <w:szCs w:val="28"/>
        </w:rPr>
        <w:t>TRANSITORIOS</w:t>
      </w:r>
    </w:p>
    <w:p w14:paraId="421FB361" w14:textId="718C8FCF"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396D34">
        <w:rPr>
          <w:rStyle w:val="Textoennegrita"/>
          <w:rFonts w:ascii="Century Gothic" w:hAnsi="Century Gothic" w:cs="Segoe UI"/>
          <w:color w:val="0F1115"/>
          <w:sz w:val="28"/>
          <w:szCs w:val="28"/>
        </w:rPr>
        <w:t xml:space="preserve">ARTÍCULO </w:t>
      </w:r>
      <w:proofErr w:type="gramStart"/>
      <w:r w:rsidRPr="00396D34">
        <w:rPr>
          <w:rStyle w:val="Textoennegrita"/>
          <w:rFonts w:ascii="Century Gothic" w:hAnsi="Century Gothic" w:cs="Segoe UI"/>
          <w:color w:val="0F1115"/>
          <w:sz w:val="28"/>
          <w:szCs w:val="28"/>
        </w:rPr>
        <w:t>PRIMERO.</w:t>
      </w:r>
      <w:r w:rsidR="00E8386D">
        <w:rPr>
          <w:rStyle w:val="Textoennegrita"/>
          <w:rFonts w:ascii="Century Gothic" w:hAnsi="Century Gothic" w:cs="Segoe UI"/>
          <w:color w:val="0F1115"/>
          <w:sz w:val="28"/>
          <w:szCs w:val="28"/>
        </w:rPr>
        <w:t>-</w:t>
      </w:r>
      <w:proofErr w:type="gramEnd"/>
      <w:r w:rsidRPr="00AD2CC2">
        <w:rPr>
          <w:rFonts w:ascii="Century Gothic" w:hAnsi="Century Gothic" w:cs="Segoe UI"/>
          <w:color w:val="0F1115"/>
        </w:rPr>
        <w:t> El presente Decreto entrará en vigor al día siguiente de su publicación en el Periódico Oficial del Estado de Chihuahua.</w:t>
      </w:r>
    </w:p>
    <w:p w14:paraId="55315971" w14:textId="5990F0CC"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396D34">
        <w:rPr>
          <w:rStyle w:val="Textoennegrita"/>
          <w:rFonts w:ascii="Century Gothic" w:hAnsi="Century Gothic" w:cs="Segoe UI"/>
          <w:color w:val="0F1115"/>
          <w:sz w:val="28"/>
          <w:szCs w:val="28"/>
        </w:rPr>
        <w:t xml:space="preserve">ARTÍCULO </w:t>
      </w:r>
      <w:proofErr w:type="gramStart"/>
      <w:r w:rsidRPr="00396D34">
        <w:rPr>
          <w:rStyle w:val="Textoennegrita"/>
          <w:rFonts w:ascii="Century Gothic" w:hAnsi="Century Gothic" w:cs="Segoe UI"/>
          <w:color w:val="0F1115"/>
          <w:sz w:val="28"/>
          <w:szCs w:val="28"/>
        </w:rPr>
        <w:t>SEGUNDO.</w:t>
      </w:r>
      <w:r w:rsidR="00E8386D">
        <w:rPr>
          <w:rStyle w:val="Textoennegrita"/>
          <w:rFonts w:ascii="Century Gothic" w:hAnsi="Century Gothic" w:cs="Segoe UI"/>
          <w:color w:val="0F1115"/>
          <w:sz w:val="28"/>
          <w:szCs w:val="28"/>
        </w:rPr>
        <w:t>-</w:t>
      </w:r>
      <w:proofErr w:type="gramEnd"/>
      <w:r w:rsidRPr="00AD2CC2">
        <w:rPr>
          <w:rFonts w:ascii="Century Gothic" w:hAnsi="Century Gothic" w:cs="Segoe UI"/>
          <w:color w:val="0F1115"/>
        </w:rPr>
        <w:t> El Ejecutivo Estatal dispondrá de un plazo de ciento veinte días naturales, contados a partir de la entrada en vigor del presente Decreto, para expedir las reformas y adiciones al Reglamento de la Ley de Turismo del Estado de Chihuahua que sean necesarias para la implementación de las disposiciones aquí establecidas</w:t>
      </w:r>
      <w:r w:rsidR="00971694">
        <w:rPr>
          <w:rFonts w:ascii="Century Gothic" w:hAnsi="Century Gothic" w:cs="Segoe UI"/>
          <w:color w:val="0F1115"/>
        </w:rPr>
        <w:t xml:space="preserve">. </w:t>
      </w:r>
      <w:r w:rsidR="00971694" w:rsidRPr="00971694">
        <w:rPr>
          <w:rFonts w:ascii="Century Gothic" w:hAnsi="Century Gothic" w:cs="Segoe UI"/>
          <w:color w:val="0F1115"/>
        </w:rPr>
        <w:t>Quedan exceptuadas de este plazo las disposiciones relativas al registro obligatorio y al régimen sancionador de Plataformas Digitales del Capítulo XX, las cuales se regularán conforme al Transitorio Quinto. Sin embargo, el Reglamento deberá incluir, dentro del mismo plazo de ciento veinte días, las disposiciones aplicables a los Anfitriones y al Padrón de Anfitriones.</w:t>
      </w:r>
    </w:p>
    <w:p w14:paraId="61412FA5" w14:textId="20AA9A76"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396D34">
        <w:rPr>
          <w:rStyle w:val="Textoennegrita"/>
          <w:rFonts w:ascii="Century Gothic" w:hAnsi="Century Gothic" w:cs="Segoe UI"/>
          <w:color w:val="0F1115"/>
          <w:sz w:val="28"/>
          <w:szCs w:val="28"/>
        </w:rPr>
        <w:lastRenderedPageBreak/>
        <w:t xml:space="preserve">ARTÍCULO </w:t>
      </w:r>
      <w:proofErr w:type="gramStart"/>
      <w:r w:rsidRPr="00396D34">
        <w:rPr>
          <w:rStyle w:val="Textoennegrita"/>
          <w:rFonts w:ascii="Century Gothic" w:hAnsi="Century Gothic" w:cs="Segoe UI"/>
          <w:color w:val="0F1115"/>
          <w:sz w:val="28"/>
          <w:szCs w:val="28"/>
        </w:rPr>
        <w:t>TERCERO.</w:t>
      </w:r>
      <w:r w:rsidR="00E8386D">
        <w:rPr>
          <w:rStyle w:val="Textoennegrita"/>
          <w:rFonts w:ascii="Century Gothic" w:hAnsi="Century Gothic" w:cs="Segoe UI"/>
          <w:color w:val="0F1115"/>
          <w:sz w:val="28"/>
          <w:szCs w:val="28"/>
        </w:rPr>
        <w:t>-</w:t>
      </w:r>
      <w:proofErr w:type="gramEnd"/>
      <w:r w:rsidRPr="00AD2CC2">
        <w:rPr>
          <w:rFonts w:ascii="Century Gothic" w:hAnsi="Century Gothic" w:cs="Segoe UI"/>
          <w:color w:val="0F1115"/>
        </w:rPr>
        <w:t> El Consejo Técnico Estatal de Turismo y el Observatorio Turístico del Estado de Chihuahua deberán constituirse formalmente dentro de los noventa días naturales siguientes a la publicación del Reglamento a que se refiere el transitorio anterior.</w:t>
      </w:r>
    </w:p>
    <w:p w14:paraId="2C5D93E0" w14:textId="72926310" w:rsidR="002C7DFB" w:rsidRDefault="00FD2647" w:rsidP="002C7DFB">
      <w:pPr>
        <w:pStyle w:val="ds-markdown-paragraph"/>
        <w:shd w:val="clear" w:color="auto" w:fill="FFFFFF"/>
        <w:spacing w:before="240" w:beforeAutospacing="0" w:after="240" w:afterAutospacing="0" w:line="360" w:lineRule="auto"/>
        <w:jc w:val="both"/>
        <w:rPr>
          <w:rFonts w:ascii="Century Gothic" w:eastAsia="Aptos" w:hAnsi="Century Gothic"/>
          <w:kern w:val="2"/>
          <w14:ligatures w14:val="standardContextual"/>
        </w:rPr>
      </w:pPr>
      <w:r w:rsidRPr="00396D34">
        <w:rPr>
          <w:rStyle w:val="Textoennegrita"/>
          <w:rFonts w:ascii="Century Gothic" w:hAnsi="Century Gothic" w:cs="Segoe UI"/>
          <w:color w:val="0F1115"/>
          <w:sz w:val="28"/>
          <w:szCs w:val="28"/>
        </w:rPr>
        <w:t xml:space="preserve">ARTÍCULO </w:t>
      </w:r>
      <w:proofErr w:type="gramStart"/>
      <w:r w:rsidRPr="00396D34">
        <w:rPr>
          <w:rStyle w:val="Textoennegrita"/>
          <w:rFonts w:ascii="Century Gothic" w:hAnsi="Century Gothic" w:cs="Segoe UI"/>
          <w:color w:val="0F1115"/>
          <w:sz w:val="28"/>
          <w:szCs w:val="28"/>
        </w:rPr>
        <w:t>CUARTO.</w:t>
      </w:r>
      <w:r w:rsidR="00E8386D">
        <w:rPr>
          <w:rStyle w:val="Textoennegrita"/>
          <w:rFonts w:ascii="Century Gothic" w:hAnsi="Century Gothic" w:cs="Segoe UI"/>
          <w:color w:val="0F1115"/>
          <w:sz w:val="28"/>
          <w:szCs w:val="28"/>
        </w:rPr>
        <w:t>-</w:t>
      </w:r>
      <w:proofErr w:type="gramEnd"/>
      <w:r w:rsidR="002C7DFB">
        <w:rPr>
          <w:rFonts w:ascii="Avenir Next LT Pro" w:eastAsia="Aptos" w:hAnsi="Avenir Next LT Pro"/>
          <w:b/>
          <w:bCs/>
          <w:kern w:val="2"/>
          <w14:ligatures w14:val="standardContextual"/>
        </w:rPr>
        <w:t xml:space="preserve"> </w:t>
      </w:r>
      <w:r w:rsidR="002C7DFB" w:rsidRPr="002C7DFB">
        <w:rPr>
          <w:rFonts w:ascii="Century Gothic" w:eastAsia="Aptos" w:hAnsi="Century Gothic"/>
          <w:kern w:val="2"/>
          <w14:ligatures w14:val="standardContextual"/>
        </w:rPr>
        <w:t xml:space="preserve">La Secretaría de Turismo elaborará el plan maestro de la Ruta de Villa a que se refiere el artículo 62, fracción II del presente Decreto, dentro de los ciento ochenta días naturales siguientes al </w:t>
      </w:r>
      <w:r w:rsidR="00454249">
        <w:rPr>
          <w:rFonts w:ascii="Century Gothic" w:eastAsia="Aptos" w:hAnsi="Century Gothic"/>
          <w:kern w:val="2"/>
          <w14:ligatures w14:val="standardContextual"/>
        </w:rPr>
        <w:t>primero</w:t>
      </w:r>
      <w:r w:rsidR="002C7DFB" w:rsidRPr="002C7DFB">
        <w:rPr>
          <w:rFonts w:ascii="Century Gothic" w:eastAsia="Aptos" w:hAnsi="Century Gothic"/>
          <w:kern w:val="2"/>
          <w14:ligatures w14:val="standardContextual"/>
        </w:rPr>
        <w:t xml:space="preserve"> de enero de 2027, en coordinación con los municipios involucrados, el Instituto Nacional de Antropología e Historia y las dependencias competentes.</w:t>
      </w:r>
    </w:p>
    <w:p w14:paraId="12362364" w14:textId="196F26A4" w:rsidR="002C7DFB" w:rsidRPr="002C7DFB" w:rsidRDefault="00FD2647" w:rsidP="002C7DFB">
      <w:pPr>
        <w:spacing w:line="360" w:lineRule="auto"/>
        <w:jc w:val="both"/>
        <w:rPr>
          <w:rFonts w:ascii="Century Gothic" w:eastAsia="Aptos" w:hAnsi="Century Gothic" w:cs="Times New Roman"/>
          <w:kern w:val="2"/>
          <w:sz w:val="24"/>
          <w:szCs w:val="24"/>
          <w14:ligatures w14:val="standardContextual"/>
        </w:rPr>
      </w:pPr>
      <w:r w:rsidRPr="00396D34">
        <w:rPr>
          <w:rStyle w:val="Textoennegrita"/>
          <w:rFonts w:ascii="Century Gothic" w:hAnsi="Century Gothic" w:cs="Segoe UI"/>
          <w:color w:val="0F1115"/>
          <w:sz w:val="28"/>
          <w:szCs w:val="28"/>
        </w:rPr>
        <w:t>ARTÍCULO QUINTO.</w:t>
      </w:r>
      <w:r w:rsidR="00E8386D">
        <w:rPr>
          <w:rStyle w:val="Textoennegrita"/>
          <w:rFonts w:ascii="Century Gothic" w:hAnsi="Century Gothic" w:cs="Segoe UI"/>
          <w:color w:val="0F1115"/>
          <w:sz w:val="28"/>
          <w:szCs w:val="28"/>
        </w:rPr>
        <w:t>-</w:t>
      </w:r>
      <w:r w:rsidRPr="00966C2C">
        <w:rPr>
          <w:rFonts w:ascii="Century Gothic" w:hAnsi="Century Gothic" w:cs="Segoe UI"/>
          <w:color w:val="0F1115"/>
          <w:sz w:val="24"/>
          <w:szCs w:val="24"/>
        </w:rPr>
        <w:t> </w:t>
      </w:r>
      <w:r w:rsidR="00971694" w:rsidRPr="00971694">
        <w:rPr>
          <w:rFonts w:ascii="Century Gothic" w:hAnsi="Century Gothic" w:cs="Segoe UI"/>
          <w:color w:val="0F1115"/>
          <w:sz w:val="24"/>
          <w:szCs w:val="24"/>
        </w:rPr>
        <w:t xml:space="preserve"> </w:t>
      </w:r>
      <w:r w:rsidR="002C7DFB" w:rsidRPr="002C7DFB">
        <w:rPr>
          <w:rFonts w:ascii="Century Gothic" w:eastAsia="Aptos" w:hAnsi="Century Gothic" w:cs="Times New Roman"/>
          <w:kern w:val="2"/>
          <w:sz w:val="24"/>
          <w:szCs w:val="24"/>
          <w14:ligatures w14:val="standardContextual"/>
        </w:rPr>
        <w:t>Las disposiciones del Capítulo XX</w:t>
      </w:r>
      <w:r w:rsidR="00454249">
        <w:rPr>
          <w:rFonts w:ascii="Century Gothic" w:eastAsia="Aptos" w:hAnsi="Century Gothic" w:cs="Times New Roman"/>
          <w:kern w:val="2"/>
          <w:sz w:val="24"/>
          <w:szCs w:val="24"/>
          <w14:ligatures w14:val="standardContextual"/>
        </w:rPr>
        <w:t>,</w:t>
      </w:r>
      <w:r w:rsidR="002C7DFB" w:rsidRPr="002C7DFB">
        <w:rPr>
          <w:rFonts w:ascii="Century Gothic" w:eastAsia="Aptos" w:hAnsi="Century Gothic" w:cs="Times New Roman"/>
          <w:kern w:val="2"/>
          <w:sz w:val="24"/>
          <w:szCs w:val="24"/>
          <w14:ligatures w14:val="standardContextual"/>
        </w:rPr>
        <w:t xml:space="preserve"> relativas a las Plataformas Digitales, en lo concerniente a la obligatoriedad de su registro y a las sanciones por su incumplimiento, entrarán en vigor únicamente cuando la Federación expida la legislación general que regule la operación de plataformas digitales de hospedaje en todo el territorio nacional y se realicen, en su caso, las adecuaciones normativas, reglamentarias y operativas correspondientes conforme al marco jurídico aplicable</w:t>
      </w:r>
      <w:r w:rsidR="00454249">
        <w:rPr>
          <w:rFonts w:ascii="Century Gothic" w:eastAsia="Aptos" w:hAnsi="Century Gothic" w:cs="Times New Roman"/>
          <w:kern w:val="2"/>
          <w:sz w:val="24"/>
          <w:szCs w:val="24"/>
          <w14:ligatures w14:val="standardContextual"/>
        </w:rPr>
        <w:t xml:space="preserve">. </w:t>
      </w:r>
      <w:r w:rsidR="002C7DFB" w:rsidRPr="002C7DFB">
        <w:rPr>
          <w:rFonts w:ascii="Century Gothic" w:eastAsia="Aptos" w:hAnsi="Century Gothic" w:cs="Times New Roman"/>
          <w:kern w:val="2"/>
          <w:sz w:val="24"/>
          <w:szCs w:val="24"/>
          <w14:ligatures w14:val="standardContextual"/>
        </w:rPr>
        <w:t>En tanto ello no ocurra, el registro de las Plataformas será voluntario y no dará lugar a sanción alguna.</w:t>
      </w:r>
    </w:p>
    <w:p w14:paraId="41F85BB7" w14:textId="01D3707C" w:rsidR="002C7DFB" w:rsidRPr="002C7DFB" w:rsidRDefault="002C7DFB" w:rsidP="002C7DFB">
      <w:pPr>
        <w:spacing w:line="360" w:lineRule="auto"/>
        <w:jc w:val="both"/>
        <w:rPr>
          <w:rFonts w:ascii="Century Gothic" w:eastAsia="Aptos" w:hAnsi="Century Gothic" w:cs="Times New Roman"/>
          <w:kern w:val="2"/>
          <w:sz w:val="24"/>
          <w:szCs w:val="24"/>
          <w14:ligatures w14:val="standardContextual"/>
        </w:rPr>
      </w:pPr>
      <w:r w:rsidRPr="002C7DFB">
        <w:rPr>
          <w:rFonts w:ascii="Century Gothic" w:eastAsia="Aptos" w:hAnsi="Century Gothic" w:cs="Times New Roman"/>
          <w:kern w:val="2"/>
          <w:sz w:val="24"/>
          <w:szCs w:val="24"/>
          <w14:ligatures w14:val="standardContextual"/>
        </w:rPr>
        <w:t xml:space="preserve">No </w:t>
      </w:r>
      <w:proofErr w:type="gramStart"/>
      <w:r w:rsidR="00BB1C3D" w:rsidRPr="002C7DFB">
        <w:rPr>
          <w:rFonts w:ascii="Century Gothic" w:eastAsia="Aptos" w:hAnsi="Century Gothic" w:cs="Times New Roman"/>
          <w:kern w:val="2"/>
          <w:sz w:val="24"/>
          <w:szCs w:val="24"/>
          <w14:ligatures w14:val="standardContextual"/>
        </w:rPr>
        <w:t>obstante</w:t>
      </w:r>
      <w:proofErr w:type="gramEnd"/>
      <w:r w:rsidRPr="002C7DFB">
        <w:rPr>
          <w:rFonts w:ascii="Century Gothic" w:eastAsia="Aptos" w:hAnsi="Century Gothic" w:cs="Times New Roman"/>
          <w:kern w:val="2"/>
          <w:sz w:val="24"/>
          <w:szCs w:val="24"/>
          <w14:ligatures w14:val="standardContextual"/>
        </w:rPr>
        <w:t xml:space="preserve"> lo anterior, y con independencia de que su registro sea voluntario, las plataformas digitales que operen en el Estado de Chihuahua estarán obligadas a cooperar con la Secretaría de Turismo para la </w:t>
      </w:r>
      <w:r w:rsidRPr="002C7DFB">
        <w:rPr>
          <w:rFonts w:ascii="Century Gothic" w:eastAsia="Aptos" w:hAnsi="Century Gothic" w:cs="Times New Roman"/>
          <w:kern w:val="2"/>
          <w:sz w:val="24"/>
          <w:szCs w:val="24"/>
          <w14:ligatures w14:val="standardContextual"/>
        </w:rPr>
        <w:lastRenderedPageBreak/>
        <w:t>verificación del Padrón de Anfitriones, absteniéndose de publicar inmuebles cuyos anfitriones no cuenten con la constancia y el folio de registro correspondientes, una vez que dicho registro sea exigible conforme al párrafo siguiente.</w:t>
      </w:r>
    </w:p>
    <w:p w14:paraId="6FE351A5" w14:textId="77777777" w:rsidR="002C7DFB" w:rsidRPr="002C7DFB" w:rsidRDefault="002C7DFB" w:rsidP="002C7DFB">
      <w:pPr>
        <w:spacing w:line="360" w:lineRule="auto"/>
        <w:jc w:val="both"/>
        <w:rPr>
          <w:rFonts w:ascii="Century Gothic" w:eastAsia="Aptos" w:hAnsi="Century Gothic" w:cs="Times New Roman"/>
          <w:kern w:val="2"/>
          <w:sz w:val="24"/>
          <w:szCs w:val="24"/>
          <w14:ligatures w14:val="standardContextual"/>
        </w:rPr>
      </w:pPr>
      <w:r w:rsidRPr="002C7DFB">
        <w:rPr>
          <w:rFonts w:ascii="Century Gothic" w:eastAsia="Aptos" w:hAnsi="Century Gothic" w:cs="Times New Roman"/>
          <w:kern w:val="2"/>
          <w:sz w:val="24"/>
          <w:szCs w:val="24"/>
          <w14:ligatures w14:val="standardContextual"/>
        </w:rPr>
        <w:t>Las disposiciones aplicables a los Anfitriones, incluida la obligación de inscripción en el Padrón de Anfitriones y el régimen sancionador correspondiente, entrarán en vigor a los ciento ochenta días naturales siguientes a la publicación del Reglamento a que se refiere el Transitorio Segundo. Durante ese plazo, la Secretaría de Turismo realizará campañas de difusión y asistencia técnica para facilitar el cumplimiento.</w:t>
      </w:r>
    </w:p>
    <w:p w14:paraId="158BFD10" w14:textId="77777777" w:rsidR="002C7DFB" w:rsidRDefault="002C7DFB" w:rsidP="002C7DFB">
      <w:pPr>
        <w:pStyle w:val="ds-markdown-paragraph"/>
        <w:shd w:val="clear" w:color="auto" w:fill="FFFFFF"/>
        <w:spacing w:before="240" w:beforeAutospacing="0" w:after="240" w:afterAutospacing="0" w:line="360" w:lineRule="auto"/>
        <w:jc w:val="both"/>
        <w:rPr>
          <w:rFonts w:ascii="Avenir Next LT Pro" w:eastAsia="Aptos" w:hAnsi="Avenir Next LT Pro"/>
          <w:kern w:val="2"/>
          <w14:ligatures w14:val="standardContextual"/>
        </w:rPr>
      </w:pPr>
      <w:r w:rsidRPr="002C7DFB">
        <w:rPr>
          <w:rFonts w:ascii="Century Gothic" w:eastAsia="Aptos" w:hAnsi="Century Gothic"/>
          <w:kern w:val="2"/>
          <w14:ligatures w14:val="standardContextual"/>
        </w:rPr>
        <w:t>En caso de que transcurran tres años a partir de la entrada en vigor del presente Decreto sin que la Federación hubiere expedido la legislación general correspondiente, el Ejecutivo Estatal presentará al H. Congreso del Estado, dentro de los treinta días naturales siguientes al vencimiento de dicho plazo, una iniciativa de adecuación legislativa para resolver la situación regulatoria de las plataformas digitales en el territorio estatal, conforme a las competencias constitucionales del Estado de Chihuahua</w:t>
      </w:r>
      <w:r w:rsidRPr="00025E62">
        <w:rPr>
          <w:rFonts w:ascii="Avenir Next LT Pro" w:eastAsia="Aptos" w:hAnsi="Avenir Next LT Pro"/>
          <w:kern w:val="2"/>
          <w14:ligatures w14:val="standardContextual"/>
        </w:rPr>
        <w:t>.</w:t>
      </w:r>
    </w:p>
    <w:p w14:paraId="45BCE119" w14:textId="41BBEDA7" w:rsidR="002C7DFB" w:rsidRPr="002C7DFB" w:rsidRDefault="00FD2647" w:rsidP="002C7DFB">
      <w:pPr>
        <w:spacing w:line="360" w:lineRule="auto"/>
        <w:jc w:val="both"/>
        <w:rPr>
          <w:rFonts w:ascii="Century Gothic" w:eastAsia="Aptos" w:hAnsi="Century Gothic" w:cs="Times New Roman"/>
          <w:color w:val="000000"/>
          <w:kern w:val="2"/>
          <w:sz w:val="24"/>
          <w:szCs w:val="24"/>
          <w14:ligatures w14:val="standardContextual"/>
        </w:rPr>
      </w:pPr>
      <w:r w:rsidRPr="00396D34">
        <w:rPr>
          <w:rStyle w:val="Textoennegrita"/>
          <w:rFonts w:ascii="Century Gothic" w:hAnsi="Century Gothic" w:cs="Segoe UI"/>
          <w:color w:val="0F1115"/>
          <w:sz w:val="28"/>
          <w:szCs w:val="28"/>
        </w:rPr>
        <w:t xml:space="preserve">ARTÍCULO </w:t>
      </w:r>
      <w:proofErr w:type="gramStart"/>
      <w:r w:rsidRPr="00396D34">
        <w:rPr>
          <w:rStyle w:val="Textoennegrita"/>
          <w:rFonts w:ascii="Century Gothic" w:hAnsi="Century Gothic" w:cs="Segoe UI"/>
          <w:color w:val="0F1115"/>
          <w:sz w:val="28"/>
          <w:szCs w:val="28"/>
        </w:rPr>
        <w:t>SEXTO</w:t>
      </w:r>
      <w:r w:rsidRPr="00AD2CC2">
        <w:rPr>
          <w:rStyle w:val="Textoennegrita"/>
          <w:rFonts w:ascii="Century Gothic" w:hAnsi="Century Gothic" w:cs="Segoe UI"/>
          <w:color w:val="0F1115"/>
        </w:rPr>
        <w:t>.</w:t>
      </w:r>
      <w:r w:rsidR="006F0535">
        <w:rPr>
          <w:rStyle w:val="Textoennegrita"/>
          <w:rFonts w:ascii="Century Gothic" w:hAnsi="Century Gothic" w:cs="Segoe UI"/>
          <w:color w:val="0F1115"/>
        </w:rPr>
        <w:t>-</w:t>
      </w:r>
      <w:proofErr w:type="gramEnd"/>
      <w:r w:rsidRPr="00AD2CC2">
        <w:rPr>
          <w:rFonts w:ascii="Century Gothic" w:hAnsi="Century Gothic" w:cs="Segoe UI"/>
          <w:color w:val="0F1115"/>
        </w:rPr>
        <w:t> </w:t>
      </w:r>
      <w:r w:rsidR="00971694" w:rsidRPr="00971694">
        <w:rPr>
          <w:rFonts w:ascii="Century Gothic" w:hAnsi="Century Gothic" w:cs="Segoe UI"/>
          <w:color w:val="0F1115"/>
        </w:rPr>
        <w:t xml:space="preserve"> </w:t>
      </w:r>
      <w:r w:rsidR="002C7DFB" w:rsidRPr="002C7DFB">
        <w:rPr>
          <w:rFonts w:ascii="Century Gothic" w:eastAsia="Aptos" w:hAnsi="Century Gothic" w:cs="Times New Roman"/>
          <w:color w:val="000000"/>
          <w:kern w:val="2"/>
          <w:sz w:val="24"/>
          <w:szCs w:val="24"/>
          <w14:ligatures w14:val="standardContextual"/>
        </w:rPr>
        <w:t xml:space="preserve">El Fondo Estatal de Apoyo a Prestadores de Servicios Turísticos iniciará operaciones en el ejercicio fiscal inmediato siguiente a la entrada en vigor del presente Decreto, una vez que se cuente con las partidas presupuestales correspondientes aprobadas por el H. Congreso del Estado, así como con los mecanismos e instrumentos operativos y </w:t>
      </w:r>
      <w:r w:rsidR="002C7DFB" w:rsidRPr="002C7DFB">
        <w:rPr>
          <w:rFonts w:ascii="Century Gothic" w:eastAsia="Aptos" w:hAnsi="Century Gothic" w:cs="Times New Roman"/>
          <w:color w:val="000000"/>
          <w:kern w:val="2"/>
          <w:sz w:val="24"/>
          <w:szCs w:val="24"/>
          <w14:ligatures w14:val="standardContextual"/>
        </w:rPr>
        <w:lastRenderedPageBreak/>
        <w:t>disposiciones administrativas necesarias para su funcionamiento, conforme a la normatividad aplicable.</w:t>
      </w:r>
    </w:p>
    <w:p w14:paraId="7A144DC0" w14:textId="77777777" w:rsidR="002C7DFB" w:rsidRPr="002C7DFB" w:rsidRDefault="002C7DFB" w:rsidP="002C7DFB">
      <w:pPr>
        <w:spacing w:line="360" w:lineRule="auto"/>
        <w:jc w:val="both"/>
        <w:rPr>
          <w:rFonts w:ascii="Century Gothic" w:eastAsia="Aptos" w:hAnsi="Century Gothic" w:cs="Times New Roman"/>
          <w:color w:val="000000"/>
          <w:kern w:val="2"/>
          <w:sz w:val="24"/>
          <w:szCs w:val="24"/>
          <w14:ligatures w14:val="standardContextual"/>
        </w:rPr>
      </w:pPr>
    </w:p>
    <w:p w14:paraId="22659D6B" w14:textId="7A7F4810" w:rsidR="002C7DFB" w:rsidRPr="00971694" w:rsidRDefault="002C7DFB" w:rsidP="002C7DFB">
      <w:pPr>
        <w:spacing w:line="360" w:lineRule="auto"/>
        <w:jc w:val="both"/>
        <w:rPr>
          <w:rFonts w:ascii="Aptos" w:eastAsia="Aptos" w:hAnsi="Aptos" w:cs="Times New Roman"/>
          <w:i/>
          <w:iCs/>
          <w:kern w:val="2"/>
          <w:sz w:val="24"/>
          <w:szCs w:val="24"/>
          <w14:ligatures w14:val="standardContextual"/>
        </w:rPr>
      </w:pPr>
      <w:r w:rsidRPr="002C7DFB">
        <w:rPr>
          <w:rFonts w:ascii="Century Gothic" w:eastAsia="Aptos" w:hAnsi="Century Gothic" w:cs="Times New Roman"/>
          <w:color w:val="000000"/>
          <w:kern w:val="2"/>
          <w:sz w:val="24"/>
          <w:szCs w:val="24"/>
          <w14:ligatures w14:val="standardContextual"/>
        </w:rPr>
        <w:t>En caso de que el Ejecutivo Estatal determine, en el proceso de reglamentación, que para la operación óptima del Fondo resulta necesaria su constitución como fideicomiso público o entidad similar, deberá presentar al H. Congreso del Estado la iniciativa de decreto correspondiente, en los términos y con los requisitos previstos en el artículo 64, fracción XLI de la Constitución Política del Estado Libre y Soberano de Chihuahua. De aprobarse dicha iniciativa, las disposiciones del artículo 60 de esta Ley quedarán modificadas en lo que resulte incompatible con el régimen jurídico del fideicomiso aprobado, sin necesidad de reforma expresa adicional a esta Ley</w:t>
      </w:r>
      <w:r>
        <w:rPr>
          <w:rFonts w:ascii="Century Gothic" w:eastAsia="Aptos" w:hAnsi="Century Gothic" w:cs="Times New Roman"/>
          <w:color w:val="000000"/>
          <w:kern w:val="2"/>
          <w:sz w:val="24"/>
          <w:szCs w:val="24"/>
          <w14:ligatures w14:val="standardContextual"/>
        </w:rPr>
        <w:t>.</w:t>
      </w:r>
    </w:p>
    <w:p w14:paraId="6AEBD44A" w14:textId="32D26E36" w:rsidR="00FD2647" w:rsidRPr="00AD2CC2" w:rsidRDefault="00FD2647" w:rsidP="00E962AF">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396D34">
        <w:rPr>
          <w:rStyle w:val="Textoennegrita"/>
          <w:rFonts w:ascii="Century Gothic" w:hAnsi="Century Gothic" w:cs="Segoe UI"/>
          <w:color w:val="0F1115"/>
          <w:sz w:val="28"/>
          <w:szCs w:val="28"/>
        </w:rPr>
        <w:t xml:space="preserve">ARTÍCULO </w:t>
      </w:r>
      <w:proofErr w:type="gramStart"/>
      <w:r w:rsidRPr="00396D34">
        <w:rPr>
          <w:rStyle w:val="Textoennegrita"/>
          <w:rFonts w:ascii="Century Gothic" w:hAnsi="Century Gothic" w:cs="Segoe UI"/>
          <w:color w:val="0F1115"/>
          <w:sz w:val="28"/>
          <w:szCs w:val="28"/>
        </w:rPr>
        <w:t>SÉPTIMO.</w:t>
      </w:r>
      <w:r w:rsidR="00E8386D">
        <w:rPr>
          <w:rStyle w:val="Textoennegrita"/>
          <w:rFonts w:ascii="Century Gothic" w:hAnsi="Century Gothic" w:cs="Segoe UI"/>
          <w:color w:val="0F1115"/>
          <w:sz w:val="28"/>
          <w:szCs w:val="28"/>
        </w:rPr>
        <w:t>-</w:t>
      </w:r>
      <w:proofErr w:type="gramEnd"/>
      <w:r w:rsidRPr="00AD2CC2">
        <w:rPr>
          <w:rFonts w:ascii="Century Gothic" w:hAnsi="Century Gothic" w:cs="Segoe UI"/>
          <w:color w:val="0F1115"/>
        </w:rPr>
        <w:t> </w:t>
      </w:r>
      <w:r w:rsidR="00E962AF" w:rsidRPr="00E962AF">
        <w:rPr>
          <w:rFonts w:ascii="Century Gothic" w:eastAsia="Aptos" w:hAnsi="Century Gothic"/>
          <w:color w:val="000000"/>
          <w:kern w:val="2"/>
          <w14:ligatures w14:val="standardContextual"/>
        </w:rPr>
        <w:t>Para la implementación del presente Decreto, el Ejecutivo Estatal realizará las adecuaciones administrativas, operativas, presupuestales y de estructura que resulten necesarias para que la Secretaría de Turismo cuente con los recursos humanos, materiales y financieros correspondientes, conforme a las disposiciones aplicables y a la disponibilidad presupuestal</w:t>
      </w:r>
      <w:r w:rsidR="00E962AF" w:rsidRPr="00025E62">
        <w:rPr>
          <w:rFonts w:ascii="Avenir Next LT Pro" w:eastAsia="Aptos" w:hAnsi="Avenir Next LT Pro"/>
          <w:color w:val="000000"/>
          <w:kern w:val="2"/>
          <w14:ligatures w14:val="standardContextual"/>
        </w:rPr>
        <w:t>.</w:t>
      </w:r>
    </w:p>
    <w:p w14:paraId="743C01E8" w14:textId="0C783CA2"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396D34">
        <w:rPr>
          <w:rStyle w:val="Textoennegrita"/>
          <w:rFonts w:ascii="Century Gothic" w:hAnsi="Century Gothic" w:cs="Segoe UI"/>
          <w:color w:val="0F1115"/>
          <w:sz w:val="28"/>
          <w:szCs w:val="28"/>
        </w:rPr>
        <w:t xml:space="preserve">ARTÍCULO </w:t>
      </w:r>
      <w:proofErr w:type="gramStart"/>
      <w:r w:rsidRPr="00396D34">
        <w:rPr>
          <w:rStyle w:val="Textoennegrita"/>
          <w:rFonts w:ascii="Century Gothic" w:hAnsi="Century Gothic" w:cs="Segoe UI"/>
          <w:color w:val="0F1115"/>
          <w:sz w:val="28"/>
          <w:szCs w:val="28"/>
        </w:rPr>
        <w:t>OCTAVO.</w:t>
      </w:r>
      <w:r w:rsidR="00E8386D">
        <w:rPr>
          <w:rStyle w:val="Textoennegrita"/>
          <w:rFonts w:ascii="Century Gothic" w:hAnsi="Century Gothic" w:cs="Segoe UI"/>
          <w:color w:val="0F1115"/>
          <w:sz w:val="28"/>
          <w:szCs w:val="28"/>
        </w:rPr>
        <w:t>-</w:t>
      </w:r>
      <w:proofErr w:type="gramEnd"/>
      <w:r w:rsidRPr="00AD2CC2">
        <w:rPr>
          <w:rFonts w:ascii="Century Gothic" w:hAnsi="Century Gothic" w:cs="Segoe UI"/>
          <w:color w:val="0F1115"/>
        </w:rPr>
        <w:t> </w:t>
      </w:r>
      <w:r w:rsidR="00E962AF" w:rsidRPr="00E962AF">
        <w:rPr>
          <w:rFonts w:ascii="Century Gothic" w:eastAsia="Aptos" w:hAnsi="Century Gothic"/>
          <w:color w:val="000000"/>
          <w:kern w:val="2"/>
          <w14:ligatures w14:val="standardContextual"/>
        </w:rPr>
        <w:t xml:space="preserve">Los </w:t>
      </w:r>
      <w:r w:rsidR="00E962AF">
        <w:rPr>
          <w:rFonts w:ascii="Century Gothic" w:eastAsia="Aptos" w:hAnsi="Century Gothic"/>
          <w:color w:val="000000"/>
          <w:kern w:val="2"/>
          <w14:ligatures w14:val="standardContextual"/>
        </w:rPr>
        <w:t xml:space="preserve">prestadores de servicios turísticos </w:t>
      </w:r>
      <w:r w:rsidR="00E962AF" w:rsidRPr="00E962AF">
        <w:rPr>
          <w:rFonts w:ascii="Century Gothic" w:eastAsia="Aptos" w:hAnsi="Century Gothic"/>
          <w:color w:val="000000"/>
          <w:kern w:val="2"/>
          <w14:ligatures w14:val="standardContextual"/>
        </w:rPr>
        <w:t xml:space="preserve">y las Plataformas digitales que se encuentren operando al momento de la entrada en vigor del presente Decreto, contarán con el plazo que, en su </w:t>
      </w:r>
      <w:r w:rsidR="00E962AF" w:rsidRPr="00E962AF">
        <w:rPr>
          <w:rFonts w:ascii="Century Gothic" w:eastAsia="Aptos" w:hAnsi="Century Gothic"/>
          <w:color w:val="000000"/>
          <w:kern w:val="2"/>
          <w14:ligatures w14:val="standardContextual"/>
        </w:rPr>
        <w:lastRenderedPageBreak/>
        <w:t>caso, se determine conforme a las disposiciones aplicables derivadas del Transitorio Quinto, para su registro ante el padrón correspondiente.</w:t>
      </w:r>
    </w:p>
    <w:p w14:paraId="3D221831" w14:textId="32929DE6" w:rsidR="00FD2647" w:rsidRPr="00AD2CC2"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roofErr w:type="gramStart"/>
      <w:r w:rsidRPr="00396D34">
        <w:rPr>
          <w:rStyle w:val="Textoennegrita"/>
          <w:rFonts w:ascii="Century Gothic" w:hAnsi="Century Gothic" w:cs="Segoe UI"/>
          <w:color w:val="0F1115"/>
          <w:sz w:val="28"/>
          <w:szCs w:val="28"/>
        </w:rPr>
        <w:t>ECONÓMICO.</w:t>
      </w:r>
      <w:r w:rsidR="00E8386D">
        <w:rPr>
          <w:rStyle w:val="Textoennegrita"/>
          <w:rFonts w:ascii="Century Gothic" w:hAnsi="Century Gothic" w:cs="Segoe UI"/>
          <w:color w:val="0F1115"/>
          <w:sz w:val="28"/>
          <w:szCs w:val="28"/>
        </w:rPr>
        <w:t>-</w:t>
      </w:r>
      <w:proofErr w:type="gramEnd"/>
      <w:r w:rsidRPr="00AD2CC2">
        <w:rPr>
          <w:rFonts w:ascii="Century Gothic" w:hAnsi="Century Gothic" w:cs="Segoe UI"/>
          <w:color w:val="0F1115"/>
        </w:rPr>
        <w:t> Aprobado que sea, túrnese a la Secretaría para que elabore la minuta de Decreto en los términos en que deba publicarse en el Periódico Oficial del Estado de Chihuahua.</w:t>
      </w:r>
    </w:p>
    <w:p w14:paraId="05C4F8AA" w14:textId="269ED392" w:rsidR="00FD2647" w:rsidRDefault="00FD2647"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r w:rsidRPr="00AD2CC2">
        <w:rPr>
          <w:rStyle w:val="Textoennegrita"/>
          <w:rFonts w:ascii="Century Gothic" w:hAnsi="Century Gothic" w:cs="Segoe UI"/>
          <w:color w:val="0F1115"/>
        </w:rPr>
        <w:t>DADO</w:t>
      </w:r>
      <w:r w:rsidRPr="00AD2CC2">
        <w:rPr>
          <w:rFonts w:ascii="Century Gothic" w:hAnsi="Century Gothic" w:cs="Segoe UI"/>
          <w:color w:val="0F1115"/>
        </w:rPr>
        <w:t> </w:t>
      </w:r>
      <w:r w:rsidR="00BB1C3D">
        <w:rPr>
          <w:rFonts w:ascii="Century Gothic" w:hAnsi="Century Gothic" w:cs="Segoe UI"/>
          <w:color w:val="0F1115"/>
        </w:rPr>
        <w:t xml:space="preserve">en el Salón de Sesiones </w:t>
      </w:r>
      <w:r w:rsidRPr="00AD2CC2">
        <w:rPr>
          <w:rFonts w:ascii="Century Gothic" w:hAnsi="Century Gothic" w:cs="Segoe UI"/>
          <w:color w:val="0F1115"/>
        </w:rPr>
        <w:t xml:space="preserve">del Poder Legislativo del Estado de Chihuahua, a los </w:t>
      </w:r>
      <w:r w:rsidR="004F1A06">
        <w:rPr>
          <w:rFonts w:ascii="Century Gothic" w:hAnsi="Century Gothic" w:cs="Segoe UI"/>
          <w:color w:val="0F1115"/>
        </w:rPr>
        <w:t>tres días del mes de septiembre</w:t>
      </w:r>
      <w:r w:rsidR="00582F41">
        <w:rPr>
          <w:rFonts w:ascii="Century Gothic" w:hAnsi="Century Gothic" w:cs="Segoe UI"/>
          <w:color w:val="0F1115"/>
        </w:rPr>
        <w:t xml:space="preserve"> </w:t>
      </w:r>
      <w:r w:rsidR="004E175D">
        <w:rPr>
          <w:rFonts w:ascii="Century Gothic" w:hAnsi="Century Gothic" w:cs="Segoe UI"/>
          <w:color w:val="0F1115"/>
        </w:rPr>
        <w:t>del año</w:t>
      </w:r>
      <w:r w:rsidRPr="00AD2CC2">
        <w:rPr>
          <w:rFonts w:ascii="Century Gothic" w:hAnsi="Century Gothic" w:cs="Segoe UI"/>
          <w:color w:val="0F1115"/>
        </w:rPr>
        <w:t xml:space="preserve"> 2026.</w:t>
      </w:r>
      <w:r w:rsidR="00E8386D">
        <w:rPr>
          <w:rFonts w:ascii="Century Gothic" w:hAnsi="Century Gothic" w:cs="Segoe UI"/>
          <w:color w:val="0F1115"/>
        </w:rPr>
        <w:t xml:space="preserve"> </w:t>
      </w:r>
    </w:p>
    <w:p w14:paraId="36B345B2" w14:textId="168589F2" w:rsidR="00445871" w:rsidRDefault="00445871"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1C09B8F2" w14:textId="3C08DFF3" w:rsidR="00445871" w:rsidRDefault="00445871"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3B84446B" w14:textId="5C41A039" w:rsidR="00445871" w:rsidRDefault="00445871"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5CACA55D" w14:textId="6650C7E2" w:rsidR="00445871" w:rsidRDefault="00445871"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441126E8" w14:textId="085761CE" w:rsidR="00445871" w:rsidRDefault="00445871"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1B4FD755" w14:textId="610493E5" w:rsidR="00155C4C" w:rsidRDefault="00155C4C"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07AAA4FE" w14:textId="38884DDC" w:rsidR="00155C4C" w:rsidRDefault="00155C4C"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601FC37E" w14:textId="3D9B990F" w:rsidR="00155C4C" w:rsidRDefault="00155C4C"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154B9797" w14:textId="77777777" w:rsidR="00155C4C" w:rsidRDefault="00155C4C"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0131549E" w14:textId="5C87F3A2" w:rsidR="00445871" w:rsidRDefault="00445871" w:rsidP="00AD2CC2">
      <w:pPr>
        <w:pStyle w:val="ds-markdown-paragraph"/>
        <w:shd w:val="clear" w:color="auto" w:fill="FFFFFF"/>
        <w:spacing w:before="240" w:beforeAutospacing="0" w:after="240" w:afterAutospacing="0" w:line="360" w:lineRule="auto"/>
        <w:jc w:val="both"/>
        <w:rPr>
          <w:rFonts w:ascii="Century Gothic" w:hAnsi="Century Gothic" w:cs="Segoe UI"/>
          <w:color w:val="0F1115"/>
        </w:rPr>
      </w:pPr>
    </w:p>
    <w:p w14:paraId="1609E223" w14:textId="612EDFF9" w:rsidR="00016E1E" w:rsidRPr="00735D0E" w:rsidRDefault="00016E1E" w:rsidP="00016E1E">
      <w:pPr>
        <w:spacing w:after="0" w:line="240" w:lineRule="auto"/>
        <w:ind w:left="-567" w:right="-567"/>
        <w:jc w:val="both"/>
        <w:rPr>
          <w:rFonts w:ascii="Century Gothic" w:eastAsia="Arial" w:hAnsi="Century Gothic" w:cs="Arial"/>
          <w:b/>
          <w:color w:val="000000"/>
          <w:sz w:val="24"/>
          <w:szCs w:val="24"/>
          <w:lang w:eastAsia="es-ES"/>
        </w:rPr>
      </w:pPr>
      <w:r w:rsidRPr="006F0535">
        <w:rPr>
          <w:rFonts w:ascii="Century Gothic" w:eastAsia="Arial" w:hAnsi="Century Gothic" w:cs="Arial"/>
          <w:b/>
          <w:color w:val="000000"/>
          <w:sz w:val="24"/>
          <w:szCs w:val="24"/>
          <w:lang w:eastAsia="es-ES"/>
        </w:rPr>
        <w:lastRenderedPageBreak/>
        <w:t>ASÍ LO APROBÓ LA COMISIÓN DE TURISMO, EN REUNIÓN DE FECHA VEINTIS</w:t>
      </w:r>
      <w:r w:rsidR="006F0535" w:rsidRPr="006F0535">
        <w:rPr>
          <w:rFonts w:ascii="Century Gothic" w:eastAsia="Arial" w:hAnsi="Century Gothic" w:cs="Arial"/>
          <w:b/>
          <w:color w:val="000000"/>
          <w:sz w:val="24"/>
          <w:szCs w:val="24"/>
          <w:lang w:eastAsia="es-ES"/>
        </w:rPr>
        <w:t>IETE</w:t>
      </w:r>
      <w:r w:rsidRPr="006F0535">
        <w:rPr>
          <w:rFonts w:ascii="Century Gothic" w:eastAsia="Arial" w:hAnsi="Century Gothic" w:cs="Arial"/>
          <w:b/>
          <w:color w:val="000000"/>
          <w:sz w:val="24"/>
          <w:szCs w:val="24"/>
          <w:lang w:eastAsia="es-ES"/>
        </w:rPr>
        <w:t xml:space="preserve"> DE MAYO DE DOS MIL VEINTIS</w:t>
      </w:r>
      <w:r w:rsidR="00445871">
        <w:rPr>
          <w:rFonts w:ascii="Century Gothic" w:eastAsia="Arial" w:hAnsi="Century Gothic" w:cs="Arial"/>
          <w:b/>
          <w:color w:val="000000"/>
          <w:sz w:val="24"/>
          <w:szCs w:val="24"/>
          <w:lang w:eastAsia="es-ES"/>
        </w:rPr>
        <w:t>É</w:t>
      </w:r>
      <w:r w:rsidRPr="006F0535">
        <w:rPr>
          <w:rFonts w:ascii="Century Gothic" w:eastAsia="Arial" w:hAnsi="Century Gothic" w:cs="Arial"/>
          <w:b/>
          <w:color w:val="000000"/>
          <w:sz w:val="24"/>
          <w:szCs w:val="24"/>
          <w:lang w:eastAsia="es-ES"/>
        </w:rPr>
        <w:t>IS.</w:t>
      </w:r>
    </w:p>
    <w:p w14:paraId="14351689" w14:textId="77777777" w:rsidR="00016E1E" w:rsidRPr="00B363C3" w:rsidRDefault="00016E1E" w:rsidP="00016E1E">
      <w:pPr>
        <w:spacing w:after="0" w:line="240" w:lineRule="auto"/>
        <w:ind w:left="-567" w:right="-567"/>
        <w:jc w:val="center"/>
        <w:rPr>
          <w:rFonts w:ascii="Century Gothic" w:eastAsia="Arial" w:hAnsi="Century Gothic" w:cs="Arial"/>
          <w:b/>
          <w:color w:val="000000"/>
          <w:sz w:val="20"/>
          <w:szCs w:val="20"/>
          <w:lang w:eastAsia="es-ES"/>
        </w:rPr>
      </w:pPr>
    </w:p>
    <w:tbl>
      <w:tblPr>
        <w:tblW w:w="9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987"/>
        <w:gridCol w:w="2128"/>
        <w:gridCol w:w="2128"/>
        <w:gridCol w:w="1844"/>
      </w:tblGrid>
      <w:tr w:rsidR="00016E1E" w:rsidRPr="00B363C3" w14:paraId="798D9E58" w14:textId="77777777" w:rsidTr="007A7C04">
        <w:trPr>
          <w:trHeight w:val="502"/>
          <w:jc w:val="center"/>
        </w:trPr>
        <w:tc>
          <w:tcPr>
            <w:tcW w:w="1840" w:type="dxa"/>
            <w:tcBorders>
              <w:top w:val="single" w:sz="4" w:space="0" w:color="auto"/>
              <w:left w:val="single" w:sz="4" w:space="0" w:color="auto"/>
              <w:bottom w:val="single" w:sz="4" w:space="0" w:color="auto"/>
              <w:right w:val="single" w:sz="4" w:space="0" w:color="auto"/>
            </w:tcBorders>
            <w:vAlign w:val="center"/>
          </w:tcPr>
          <w:p w14:paraId="53AE33A0" w14:textId="77777777" w:rsidR="00016E1E" w:rsidRPr="00B363C3" w:rsidRDefault="00016E1E" w:rsidP="007A7C04">
            <w:pPr>
              <w:spacing w:after="0" w:line="360" w:lineRule="auto"/>
              <w:jc w:val="center"/>
              <w:rPr>
                <w:rFonts w:ascii="Century Gothic" w:eastAsia="Times New Roman" w:hAnsi="Century Gothic" w:cs="Arial"/>
                <w:b/>
                <w:color w:val="000000"/>
                <w:sz w:val="20"/>
                <w:szCs w:val="20"/>
                <w:lang w:val="es-ES" w:eastAsia="es-ES"/>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5CFF6142" w14:textId="77777777" w:rsidR="00016E1E" w:rsidRPr="00B363C3" w:rsidRDefault="00016E1E"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INTEGRANTES</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C42FC8A" w14:textId="77777777" w:rsidR="00016E1E" w:rsidRPr="00B363C3" w:rsidRDefault="00016E1E"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A FAVOR</w:t>
            </w:r>
          </w:p>
        </w:tc>
        <w:tc>
          <w:tcPr>
            <w:tcW w:w="2128" w:type="dxa"/>
            <w:tcBorders>
              <w:top w:val="single" w:sz="4" w:space="0" w:color="auto"/>
              <w:left w:val="single" w:sz="4" w:space="0" w:color="auto"/>
              <w:bottom w:val="single" w:sz="4" w:space="0" w:color="auto"/>
              <w:right w:val="single" w:sz="4" w:space="0" w:color="auto"/>
            </w:tcBorders>
            <w:vAlign w:val="center"/>
            <w:hideMark/>
          </w:tcPr>
          <w:p w14:paraId="40DF12A0" w14:textId="77777777" w:rsidR="00016E1E" w:rsidRPr="00B363C3" w:rsidRDefault="00016E1E"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EN CONTRA</w:t>
            </w:r>
          </w:p>
        </w:tc>
        <w:tc>
          <w:tcPr>
            <w:tcW w:w="1844" w:type="dxa"/>
            <w:tcBorders>
              <w:top w:val="single" w:sz="4" w:space="0" w:color="auto"/>
              <w:left w:val="single" w:sz="4" w:space="0" w:color="auto"/>
              <w:bottom w:val="single" w:sz="4" w:space="0" w:color="auto"/>
              <w:right w:val="single" w:sz="4" w:space="0" w:color="auto"/>
            </w:tcBorders>
            <w:vAlign w:val="center"/>
            <w:hideMark/>
          </w:tcPr>
          <w:p w14:paraId="48DA4B75"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b/>
                <w:color w:val="000000"/>
                <w:sz w:val="20"/>
                <w:szCs w:val="20"/>
                <w:lang w:val="es-ES" w:eastAsia="es-ES"/>
              </w:rPr>
              <w:t>ABSTENCIÓN</w:t>
            </w:r>
          </w:p>
        </w:tc>
      </w:tr>
      <w:tr w:rsidR="00016E1E" w:rsidRPr="00B363C3" w14:paraId="627DD245" w14:textId="77777777" w:rsidTr="007A7C04">
        <w:trPr>
          <w:trHeight w:val="1620"/>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490083D0" w14:textId="77777777" w:rsidR="00016E1E" w:rsidRPr="00B363C3" w:rsidRDefault="00016E1E" w:rsidP="007A7C04">
            <w:pPr>
              <w:spacing w:after="0" w:line="240" w:lineRule="auto"/>
              <w:jc w:val="center"/>
              <w:rPr>
                <w:rFonts w:ascii="Times New Roman" w:eastAsia="Times New Roman" w:hAnsi="Times New Roman" w:cs="Times New Roman"/>
                <w:b/>
                <w:color w:val="000000"/>
                <w:sz w:val="24"/>
                <w:szCs w:val="24"/>
                <w:lang w:val="es-ES" w:eastAsia="es-ES"/>
              </w:rPr>
            </w:pPr>
            <w:r w:rsidRPr="00B363C3">
              <w:rPr>
                <w:rFonts w:ascii="Times New Roman" w:eastAsia="Times New Roman" w:hAnsi="Times New Roman" w:cs="Times New Roman"/>
                <w:noProof/>
                <w:sz w:val="24"/>
                <w:szCs w:val="24"/>
                <w:lang w:val="es-ES" w:eastAsia="es-ES"/>
              </w:rPr>
              <w:drawing>
                <wp:inline distT="0" distB="0" distL="0" distR="0" wp14:anchorId="6347A007" wp14:editId="4DD3118C">
                  <wp:extent cx="725457" cy="9620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187" cy="982885"/>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33CDA77E"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DIPUTADO JOSÉ LUIS VILLALOBOS GARCÍA</w:t>
            </w:r>
          </w:p>
        </w:tc>
        <w:tc>
          <w:tcPr>
            <w:tcW w:w="2128" w:type="dxa"/>
            <w:tcBorders>
              <w:top w:val="single" w:sz="4" w:space="0" w:color="auto"/>
              <w:left w:val="single" w:sz="4" w:space="0" w:color="auto"/>
              <w:bottom w:val="single" w:sz="4" w:space="0" w:color="auto"/>
              <w:right w:val="single" w:sz="4" w:space="0" w:color="auto"/>
            </w:tcBorders>
            <w:vAlign w:val="center"/>
          </w:tcPr>
          <w:p w14:paraId="739F59F2"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434A9C90"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20651FB3"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r>
      <w:tr w:rsidR="00016E1E" w:rsidRPr="00B363C3" w14:paraId="771A8BFD" w14:textId="77777777" w:rsidTr="007A7C04">
        <w:trPr>
          <w:trHeight w:val="1814"/>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0FF87C68" w14:textId="77777777" w:rsidR="00016E1E" w:rsidRPr="00B363C3" w:rsidRDefault="00016E1E"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Century Gothic" w:eastAsia="Times New Roman" w:hAnsi="Century Gothic" w:cs="Arial"/>
                <w:noProof/>
                <w:sz w:val="20"/>
                <w:szCs w:val="20"/>
                <w:lang w:val="es-ES" w:eastAsia="es-MX"/>
              </w:rPr>
              <w:drawing>
                <wp:inline distT="0" distB="0" distL="0" distR="0" wp14:anchorId="3554FC01" wp14:editId="18548B88">
                  <wp:extent cx="759460" cy="962025"/>
                  <wp:effectExtent l="0" t="0" r="254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6096" cy="983098"/>
                          </a:xfrm>
                          <a:prstGeom prst="rect">
                            <a:avLst/>
                          </a:prstGeom>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4AC9655E"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DIPUTADA ROSANA DÍAZ REYES</w:t>
            </w:r>
          </w:p>
          <w:p w14:paraId="2B429AD8"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353B2630"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3934D17C"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3A5557EA"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r>
      <w:tr w:rsidR="00016E1E" w:rsidRPr="00B363C3" w14:paraId="7536ECCA" w14:textId="77777777" w:rsidTr="007A7C04">
        <w:trPr>
          <w:trHeight w:val="170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50795CE6" w14:textId="77777777" w:rsidR="00016E1E" w:rsidRPr="00B363C3" w:rsidRDefault="00016E1E"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Times New Roman" w:eastAsia="Times New Roman" w:hAnsi="Times New Roman" w:cs="Times New Roman"/>
                <w:noProof/>
                <w:sz w:val="24"/>
                <w:szCs w:val="24"/>
                <w:lang w:val="es-ES" w:eastAsia="es-MX"/>
              </w:rPr>
              <w:drawing>
                <wp:inline distT="0" distB="0" distL="0" distR="0" wp14:anchorId="7E7999B9" wp14:editId="1A0B4CB0">
                  <wp:extent cx="725805" cy="914400"/>
                  <wp:effectExtent l="0" t="0" r="0" b="0"/>
                  <wp:docPr id="1" name="Imagen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9"/>
                          <pic:cNvPicPr>
                            <a:picLocks/>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30365" cy="920145"/>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5AEDC449"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DIPUTADA YESENIA GUADALUPE REYES CALZADIAS</w:t>
            </w:r>
          </w:p>
          <w:p w14:paraId="6E901176"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27FAE01E"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5E74A94D"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3C8FD6F9"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r>
      <w:tr w:rsidR="00016E1E" w:rsidRPr="00B363C3" w14:paraId="6399BCD6" w14:textId="77777777" w:rsidTr="007A7C04">
        <w:trPr>
          <w:trHeight w:val="1697"/>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5726F585" w14:textId="77777777" w:rsidR="00016E1E" w:rsidRPr="00B363C3" w:rsidRDefault="00016E1E" w:rsidP="007A7C04">
            <w:pPr>
              <w:spacing w:after="0" w:line="360" w:lineRule="auto"/>
              <w:jc w:val="center"/>
              <w:rPr>
                <w:rFonts w:ascii="Century Gothic" w:eastAsia="Times New Roman" w:hAnsi="Century Gothic" w:cs="Arial"/>
                <w:b/>
                <w:color w:val="000000"/>
                <w:sz w:val="20"/>
                <w:szCs w:val="20"/>
                <w:lang w:val="es-ES" w:eastAsia="es-ES"/>
              </w:rPr>
            </w:pPr>
            <w:r>
              <w:rPr>
                <w:noProof/>
              </w:rPr>
              <w:drawing>
                <wp:inline distT="0" distB="0" distL="0" distR="0" wp14:anchorId="3E89C6CB" wp14:editId="469C1ED4">
                  <wp:extent cx="733425" cy="971788"/>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9558" cy="979914"/>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0CA5DE24"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DIPUTADO </w:t>
            </w:r>
            <w:r>
              <w:rPr>
                <w:rFonts w:ascii="Century Gothic" w:eastAsia="Times New Roman" w:hAnsi="Century Gothic" w:cs="Arial"/>
                <w:b/>
                <w:sz w:val="20"/>
                <w:szCs w:val="20"/>
                <w:lang w:val="es-ES" w:eastAsia="es-ES"/>
              </w:rPr>
              <w:t>ROBERTO ARTURO MEDINA AGUIRRE</w:t>
            </w:r>
          </w:p>
          <w:p w14:paraId="5247B0FE"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VOCAL</w:t>
            </w:r>
          </w:p>
        </w:tc>
        <w:tc>
          <w:tcPr>
            <w:tcW w:w="2128" w:type="dxa"/>
            <w:tcBorders>
              <w:top w:val="single" w:sz="4" w:space="0" w:color="auto"/>
              <w:left w:val="single" w:sz="4" w:space="0" w:color="auto"/>
              <w:bottom w:val="single" w:sz="4" w:space="0" w:color="auto"/>
              <w:right w:val="single" w:sz="4" w:space="0" w:color="auto"/>
            </w:tcBorders>
            <w:vAlign w:val="center"/>
          </w:tcPr>
          <w:p w14:paraId="235DD6AB"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62012227"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60882FAC"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r>
      <w:tr w:rsidR="00016E1E" w:rsidRPr="00B363C3" w14:paraId="2A39FDD7" w14:textId="77777777" w:rsidTr="007A7C04">
        <w:trPr>
          <w:trHeight w:val="1552"/>
          <w:jc w:val="center"/>
        </w:trPr>
        <w:tc>
          <w:tcPr>
            <w:tcW w:w="1840" w:type="dxa"/>
            <w:tcBorders>
              <w:top w:val="single" w:sz="4" w:space="0" w:color="auto"/>
              <w:left w:val="single" w:sz="4" w:space="0" w:color="auto"/>
              <w:bottom w:val="single" w:sz="4" w:space="0" w:color="auto"/>
              <w:right w:val="single" w:sz="4" w:space="0" w:color="auto"/>
            </w:tcBorders>
            <w:vAlign w:val="center"/>
            <w:hideMark/>
          </w:tcPr>
          <w:p w14:paraId="1BEE5867" w14:textId="77777777" w:rsidR="00016E1E" w:rsidRPr="00B363C3" w:rsidRDefault="00016E1E" w:rsidP="007A7C04">
            <w:pPr>
              <w:spacing w:after="0" w:line="360" w:lineRule="auto"/>
              <w:jc w:val="center"/>
              <w:rPr>
                <w:rFonts w:ascii="Century Gothic" w:eastAsia="Times New Roman" w:hAnsi="Century Gothic" w:cs="Arial"/>
                <w:b/>
                <w:color w:val="000000"/>
                <w:sz w:val="20"/>
                <w:szCs w:val="20"/>
                <w:lang w:val="es-ES" w:eastAsia="es-ES"/>
              </w:rPr>
            </w:pPr>
            <w:r w:rsidRPr="00B363C3">
              <w:rPr>
                <w:rFonts w:ascii="Times New Roman" w:eastAsia="Times New Roman" w:hAnsi="Times New Roman" w:cs="Times New Roman"/>
                <w:noProof/>
                <w:sz w:val="24"/>
                <w:szCs w:val="24"/>
                <w:lang w:val="es-ES" w:eastAsia="es-ES"/>
              </w:rPr>
              <w:drawing>
                <wp:inline distT="0" distB="0" distL="0" distR="0" wp14:anchorId="6E5796FC" wp14:editId="314837EF">
                  <wp:extent cx="732641" cy="971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990" cy="1002514"/>
                          </a:xfrm>
                          <a:prstGeom prst="rect">
                            <a:avLst/>
                          </a:prstGeom>
                          <a:noFill/>
                          <a:ln>
                            <a:noFill/>
                          </a:ln>
                        </pic:spPr>
                      </pic:pic>
                    </a:graphicData>
                  </a:graphic>
                </wp:inline>
              </w:drawing>
            </w:r>
          </w:p>
        </w:tc>
        <w:tc>
          <w:tcPr>
            <w:tcW w:w="1987" w:type="dxa"/>
            <w:tcBorders>
              <w:top w:val="single" w:sz="4" w:space="0" w:color="auto"/>
              <w:left w:val="single" w:sz="4" w:space="0" w:color="auto"/>
              <w:bottom w:val="single" w:sz="4" w:space="0" w:color="auto"/>
              <w:right w:val="single" w:sz="4" w:space="0" w:color="auto"/>
            </w:tcBorders>
            <w:vAlign w:val="center"/>
            <w:hideMark/>
          </w:tcPr>
          <w:p w14:paraId="21C22828"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DIPUTADA ALMA YESENIA PORTILLO LERMA </w:t>
            </w:r>
          </w:p>
          <w:p w14:paraId="308B5DF9"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r w:rsidRPr="00B363C3">
              <w:rPr>
                <w:rFonts w:ascii="Century Gothic" w:eastAsia="Times New Roman" w:hAnsi="Century Gothic" w:cs="Arial"/>
                <w:b/>
                <w:sz w:val="20"/>
                <w:szCs w:val="20"/>
                <w:lang w:val="es-ES" w:eastAsia="es-ES"/>
              </w:rPr>
              <w:t xml:space="preserve">VOCAL </w:t>
            </w:r>
          </w:p>
          <w:p w14:paraId="6DA0F252" w14:textId="77777777" w:rsidR="00016E1E" w:rsidRPr="00B363C3" w:rsidRDefault="00016E1E" w:rsidP="007A7C04">
            <w:pPr>
              <w:spacing w:after="0" w:line="240" w:lineRule="auto"/>
              <w:jc w:val="center"/>
              <w:rPr>
                <w:rFonts w:ascii="Century Gothic" w:eastAsia="Times New Roman" w:hAnsi="Century Gothic" w:cs="Arial"/>
                <w:b/>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527D1DF6"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2128" w:type="dxa"/>
            <w:tcBorders>
              <w:top w:val="single" w:sz="4" w:space="0" w:color="auto"/>
              <w:left w:val="single" w:sz="4" w:space="0" w:color="auto"/>
              <w:bottom w:val="single" w:sz="4" w:space="0" w:color="auto"/>
              <w:right w:val="single" w:sz="4" w:space="0" w:color="auto"/>
            </w:tcBorders>
            <w:vAlign w:val="center"/>
          </w:tcPr>
          <w:p w14:paraId="24F34F0B"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c>
          <w:tcPr>
            <w:tcW w:w="1844" w:type="dxa"/>
            <w:tcBorders>
              <w:top w:val="single" w:sz="4" w:space="0" w:color="auto"/>
              <w:left w:val="single" w:sz="4" w:space="0" w:color="auto"/>
              <w:bottom w:val="single" w:sz="4" w:space="0" w:color="auto"/>
              <w:right w:val="single" w:sz="4" w:space="0" w:color="auto"/>
            </w:tcBorders>
            <w:vAlign w:val="center"/>
          </w:tcPr>
          <w:p w14:paraId="252C2952" w14:textId="77777777" w:rsidR="00016E1E" w:rsidRPr="00B363C3" w:rsidRDefault="00016E1E" w:rsidP="007A7C04">
            <w:pPr>
              <w:spacing w:after="0" w:line="360" w:lineRule="auto"/>
              <w:rPr>
                <w:rFonts w:ascii="Century Gothic" w:eastAsia="Times New Roman" w:hAnsi="Century Gothic" w:cs="Arial"/>
                <w:b/>
                <w:color w:val="000000"/>
                <w:sz w:val="20"/>
                <w:szCs w:val="20"/>
                <w:lang w:val="es-ES" w:eastAsia="es-ES"/>
              </w:rPr>
            </w:pPr>
          </w:p>
        </w:tc>
      </w:tr>
    </w:tbl>
    <w:p w14:paraId="0DCBECC9" w14:textId="08324667" w:rsidR="00016E1E" w:rsidRPr="00B363C3" w:rsidRDefault="00016E1E" w:rsidP="00016E1E">
      <w:pPr>
        <w:spacing w:after="0" w:line="240" w:lineRule="auto"/>
        <w:jc w:val="both"/>
        <w:rPr>
          <w:rFonts w:ascii="Times New Roman" w:eastAsia="Times New Roman" w:hAnsi="Times New Roman" w:cs="Times New Roman"/>
          <w:sz w:val="24"/>
          <w:szCs w:val="24"/>
          <w:lang w:val="es-ES" w:eastAsia="es-ES"/>
        </w:rPr>
      </w:pPr>
      <w:r w:rsidRPr="00B363C3">
        <w:rPr>
          <w:rFonts w:ascii="Century Gothic" w:eastAsia="Times New Roman" w:hAnsi="Century Gothic" w:cs="Arial"/>
          <w:sz w:val="16"/>
          <w:szCs w:val="16"/>
          <w:lang w:val="es-ES" w:eastAsia="es-ES"/>
        </w:rPr>
        <w:t xml:space="preserve">Nota: La presente hoja de firmas corresponde al Dictamen de la Comisión de Turismo, que recae en la iniciativa identificada con el número </w:t>
      </w:r>
      <w:r>
        <w:rPr>
          <w:rFonts w:ascii="Century Gothic" w:eastAsia="Times New Roman" w:hAnsi="Century Gothic" w:cs="Arial"/>
          <w:sz w:val="16"/>
          <w:szCs w:val="16"/>
          <w:lang w:val="es-ES" w:eastAsia="es-ES"/>
        </w:rPr>
        <w:t>1600</w:t>
      </w:r>
      <w:r w:rsidRPr="00B363C3">
        <w:rPr>
          <w:rFonts w:ascii="Century Gothic" w:eastAsia="Times New Roman" w:hAnsi="Century Gothic" w:cs="Arial"/>
          <w:sz w:val="16"/>
          <w:szCs w:val="16"/>
          <w:lang w:val="es-ES" w:eastAsia="es-ES"/>
        </w:rPr>
        <w:t xml:space="preserve">. </w:t>
      </w:r>
    </w:p>
    <w:p w14:paraId="64730C85" w14:textId="77777777" w:rsidR="00016E1E" w:rsidRPr="00016E1E" w:rsidRDefault="00016E1E" w:rsidP="00AD2CC2">
      <w:pPr>
        <w:spacing w:line="360" w:lineRule="auto"/>
        <w:jc w:val="both"/>
        <w:rPr>
          <w:rFonts w:ascii="Century Gothic" w:hAnsi="Century Gothic"/>
          <w:sz w:val="24"/>
          <w:szCs w:val="24"/>
          <w:lang w:val="es-ES"/>
        </w:rPr>
      </w:pPr>
    </w:p>
    <w:sectPr w:rsidR="00016E1E" w:rsidRPr="00016E1E" w:rsidSect="00D82BEC">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39E4A" w14:textId="77777777" w:rsidR="004A0D46" w:rsidRDefault="004A0D46" w:rsidP="00DC4A21">
      <w:pPr>
        <w:spacing w:after="0" w:line="240" w:lineRule="auto"/>
      </w:pPr>
      <w:r>
        <w:separator/>
      </w:r>
    </w:p>
  </w:endnote>
  <w:endnote w:type="continuationSeparator" w:id="0">
    <w:p w14:paraId="72968567" w14:textId="77777777" w:rsidR="004A0D46" w:rsidRDefault="004A0D46" w:rsidP="00DC4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41E82" w14:textId="08629B9B" w:rsidR="00DC4A21" w:rsidRPr="00016E1E" w:rsidRDefault="00DC4A21" w:rsidP="007D3FDD">
    <w:pPr>
      <w:pStyle w:val="Piedepgina"/>
      <w:rPr>
        <w:lang w:val="en-US"/>
      </w:rPr>
    </w:pPr>
  </w:p>
  <w:p w14:paraId="48D508EA" w14:textId="17434CD0" w:rsidR="00016E1E" w:rsidRPr="007B20C1" w:rsidRDefault="00016E1E" w:rsidP="00016E1E">
    <w:pPr>
      <w:pStyle w:val="Piedepgina"/>
      <w:jc w:val="right"/>
      <w:rPr>
        <w:sz w:val="16"/>
        <w:szCs w:val="16"/>
        <w:lang w:val="en-US"/>
      </w:rPr>
    </w:pPr>
    <w:r w:rsidRPr="00EA0BC6">
      <w:rPr>
        <w:rFonts w:ascii="Century Gothic" w:hAnsi="Century Gothic"/>
        <w:sz w:val="16"/>
        <w:szCs w:val="16"/>
        <w:lang w:val="en-US"/>
      </w:rPr>
      <w:t>A</w:t>
    </w:r>
    <w:r>
      <w:rPr>
        <w:rFonts w:ascii="Century Gothic" w:hAnsi="Century Gothic"/>
        <w:sz w:val="16"/>
        <w:szCs w:val="16"/>
        <w:lang w:val="en-US"/>
      </w:rPr>
      <w:t>1600</w:t>
    </w:r>
    <w:r w:rsidRPr="00EA0BC6">
      <w:rPr>
        <w:rFonts w:ascii="Century Gothic" w:hAnsi="Century Gothic"/>
        <w:sz w:val="16"/>
        <w:szCs w:val="16"/>
        <w:lang w:val="en-US"/>
      </w:rPr>
      <w:t>/OIDS/</w:t>
    </w:r>
    <w:r>
      <w:rPr>
        <w:rFonts w:ascii="Century Gothic" w:hAnsi="Century Gothic"/>
        <w:sz w:val="16"/>
        <w:szCs w:val="16"/>
        <w:lang w:val="en-US"/>
      </w:rPr>
      <w:t>NTRP</w:t>
    </w:r>
    <w:r w:rsidRPr="00EA0BC6">
      <w:rPr>
        <w:rFonts w:ascii="Century Gothic" w:hAnsi="Century Gothic"/>
        <w:sz w:val="16"/>
        <w:szCs w:val="16"/>
        <w:lang w:val="en-US"/>
      </w:rPr>
      <w:t>/</w:t>
    </w:r>
    <w:r>
      <w:rPr>
        <w:rFonts w:ascii="Century Gothic" w:hAnsi="Century Gothic"/>
        <w:sz w:val="16"/>
        <w:szCs w:val="16"/>
        <w:lang w:val="en-US"/>
      </w:rPr>
      <w:t>SGL</w:t>
    </w:r>
    <w:r w:rsidRPr="00EA0BC6">
      <w:rPr>
        <w:rFonts w:ascii="Century Gothic" w:hAnsi="Century Gothic"/>
        <w:sz w:val="16"/>
        <w:szCs w:val="16"/>
        <w:lang w:val="en-US"/>
      </w:rPr>
      <w:t>/</w:t>
    </w:r>
    <w:r>
      <w:rPr>
        <w:rFonts w:ascii="Century Gothic" w:hAnsi="Century Gothic"/>
        <w:sz w:val="16"/>
        <w:szCs w:val="16"/>
        <w:lang w:val="en-US"/>
      </w:rPr>
      <w:t>RAM</w:t>
    </w:r>
  </w:p>
  <w:p w14:paraId="4CE78C58" w14:textId="77777777" w:rsidR="00DC4A21" w:rsidRPr="00016E1E" w:rsidRDefault="00DC4A21" w:rsidP="00016E1E">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AD86" w14:textId="77777777" w:rsidR="004A0D46" w:rsidRDefault="004A0D46" w:rsidP="00DC4A21">
      <w:pPr>
        <w:spacing w:after="0" w:line="240" w:lineRule="auto"/>
      </w:pPr>
      <w:r>
        <w:separator/>
      </w:r>
    </w:p>
  </w:footnote>
  <w:footnote w:type="continuationSeparator" w:id="0">
    <w:p w14:paraId="3E38FD8A" w14:textId="77777777" w:rsidR="004A0D46" w:rsidRDefault="004A0D46" w:rsidP="00DC4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5353D" w14:textId="77777777" w:rsidR="00D54BBC" w:rsidRDefault="00D54BBC" w:rsidP="00D54BBC">
    <w:pPr>
      <w:pStyle w:val="Encabezado"/>
      <w:tabs>
        <w:tab w:val="clear" w:pos="8838"/>
      </w:tabs>
      <w:jc w:val="center"/>
    </w:pPr>
    <w:r>
      <w:tab/>
    </w:r>
  </w:p>
  <w:p w14:paraId="36880A07" w14:textId="77777777" w:rsidR="00D54BBC" w:rsidRPr="00272369" w:rsidRDefault="00D54BBC" w:rsidP="00D54BBC">
    <w:pPr>
      <w:pStyle w:val="Encabezado"/>
      <w:tabs>
        <w:tab w:val="clear" w:pos="8838"/>
      </w:tabs>
      <w:jc w:val="right"/>
      <w:rPr>
        <w:rFonts w:ascii="Century Gothic" w:hAnsi="Century Gothic"/>
        <w:i/>
        <w:iCs/>
        <w:sz w:val="20"/>
        <w:szCs w:val="20"/>
      </w:rPr>
    </w:pPr>
    <w:r w:rsidRPr="00272369">
      <w:rPr>
        <w:rFonts w:ascii="Century Gothic" w:hAnsi="Century Gothic"/>
        <w:i/>
        <w:iCs/>
        <w:sz w:val="20"/>
        <w:szCs w:val="20"/>
      </w:rPr>
      <w:t>“202</w:t>
    </w:r>
    <w:r>
      <w:rPr>
        <w:rFonts w:ascii="Century Gothic" w:hAnsi="Century Gothic"/>
        <w:i/>
        <w:iCs/>
        <w:sz w:val="20"/>
        <w:szCs w:val="20"/>
      </w:rPr>
      <w:t>6</w:t>
    </w:r>
    <w:r w:rsidRPr="00272369">
      <w:rPr>
        <w:rFonts w:ascii="Century Gothic" w:hAnsi="Century Gothic"/>
        <w:i/>
        <w:iCs/>
        <w:sz w:val="20"/>
        <w:szCs w:val="20"/>
      </w:rPr>
      <w:t xml:space="preserve">, Año del Bicentenario de </w:t>
    </w:r>
    <w:r>
      <w:rPr>
        <w:rFonts w:ascii="Century Gothic" w:hAnsi="Century Gothic"/>
        <w:i/>
        <w:iCs/>
        <w:sz w:val="20"/>
        <w:szCs w:val="20"/>
      </w:rPr>
      <w:t xml:space="preserve">la Abolición de la Esclavitud </w:t>
    </w:r>
    <w:r w:rsidRPr="00272369">
      <w:rPr>
        <w:rFonts w:ascii="Century Gothic" w:hAnsi="Century Gothic"/>
        <w:i/>
        <w:iCs/>
        <w:sz w:val="20"/>
        <w:szCs w:val="20"/>
      </w:rPr>
      <w:t>del Estado de Chihuahua”</w:t>
    </w:r>
  </w:p>
  <w:p w14:paraId="1BF5701C" w14:textId="77777777" w:rsidR="00D54BBC" w:rsidRDefault="00D54BBC" w:rsidP="00D54BBC">
    <w:pPr>
      <w:pStyle w:val="Encabezado"/>
      <w:tabs>
        <w:tab w:val="clear" w:pos="8838"/>
      </w:tabs>
      <w:jc w:val="right"/>
    </w:pPr>
  </w:p>
  <w:p w14:paraId="31DA932D" w14:textId="77777777" w:rsidR="00D54BBC" w:rsidRDefault="00D54BBC" w:rsidP="00D54BBC">
    <w:pPr>
      <w:pStyle w:val="Encabezado"/>
      <w:tabs>
        <w:tab w:val="clear" w:pos="8838"/>
      </w:tabs>
    </w:pPr>
  </w:p>
  <w:p w14:paraId="294CF73F" w14:textId="77777777" w:rsidR="00D54BBC" w:rsidRDefault="00D54BBC" w:rsidP="00D54BBC">
    <w:pPr>
      <w:tabs>
        <w:tab w:val="center" w:pos="4419"/>
        <w:tab w:val="right" w:pos="8838"/>
      </w:tabs>
      <w:jc w:val="right"/>
      <w:rPr>
        <w:rFonts w:ascii="Century Gothic" w:hAnsi="Century Gothic" w:cs="Tahoma"/>
        <w:b/>
        <w:bCs/>
        <w:smallCaps/>
        <w:sz w:val="28"/>
        <w:szCs w:val="28"/>
        <w:shd w:val="clear" w:color="auto" w:fill="FFFFFF"/>
      </w:rPr>
    </w:pPr>
    <w:r w:rsidRPr="00272369">
      <w:rPr>
        <w:rFonts w:ascii="Century Gothic" w:hAnsi="Century Gothic" w:cs="Tahoma"/>
        <w:b/>
        <w:bCs/>
        <w:smallCaps/>
        <w:sz w:val="28"/>
        <w:szCs w:val="28"/>
        <w:shd w:val="clear" w:color="auto" w:fill="FFFFFF"/>
      </w:rPr>
      <w:t xml:space="preserve">Comisión de </w:t>
    </w:r>
    <w:r>
      <w:rPr>
        <w:rFonts w:ascii="Century Gothic" w:hAnsi="Century Gothic" w:cs="Tahoma"/>
        <w:b/>
        <w:bCs/>
        <w:smallCaps/>
        <w:sz w:val="28"/>
        <w:szCs w:val="28"/>
        <w:shd w:val="clear" w:color="auto" w:fill="FFFFFF"/>
      </w:rPr>
      <w:t>turismo</w:t>
    </w:r>
  </w:p>
  <w:p w14:paraId="08B5F3D2" w14:textId="77777777" w:rsidR="00D54BBC" w:rsidRPr="00272369" w:rsidRDefault="00D54BBC" w:rsidP="00D54BBC">
    <w:pPr>
      <w:tabs>
        <w:tab w:val="center" w:pos="4419"/>
        <w:tab w:val="right" w:pos="8838"/>
      </w:tabs>
      <w:jc w:val="right"/>
      <w:rPr>
        <w:rFonts w:ascii="Century Gothic" w:hAnsi="Century Gothic" w:cs="Arial"/>
        <w:b/>
        <w:smallCaps/>
        <w:color w:val="000000"/>
      </w:rPr>
    </w:pPr>
    <w:r w:rsidRPr="00272369">
      <w:rPr>
        <w:rFonts w:ascii="Century Gothic" w:hAnsi="Century Gothic" w:cs="Arial"/>
        <w:b/>
        <w:smallCaps/>
        <w:color w:val="000000"/>
      </w:rPr>
      <w:t>LXVIII LEGISLATURA</w:t>
    </w:r>
  </w:p>
  <w:p w14:paraId="47578127" w14:textId="34F6E754" w:rsidR="00D54BBC" w:rsidRDefault="00D54BBC" w:rsidP="00D54BBC">
    <w:pPr>
      <w:spacing w:line="360" w:lineRule="auto"/>
      <w:ind w:left="720"/>
      <w:contextualSpacing/>
      <w:jc w:val="right"/>
      <w:rPr>
        <w:rFonts w:ascii="Century Gothic" w:hAnsi="Century Gothic" w:cs="Calibri"/>
        <w:b/>
      </w:rPr>
    </w:pPr>
    <w:r w:rsidRPr="009F0514">
      <w:rPr>
        <w:rFonts w:ascii="Century Gothic" w:hAnsi="Century Gothic" w:cs="Calibri"/>
        <w:b/>
      </w:rPr>
      <w:t>DC</w:t>
    </w:r>
    <w:r>
      <w:rPr>
        <w:rFonts w:ascii="Century Gothic" w:hAnsi="Century Gothic" w:cs="Calibri"/>
        <w:b/>
      </w:rPr>
      <w:t>T</w:t>
    </w:r>
    <w:r w:rsidRPr="009F0514">
      <w:rPr>
        <w:rFonts w:ascii="Century Gothic" w:hAnsi="Century Gothic" w:cs="Calibri"/>
        <w:b/>
      </w:rPr>
      <w:t>/</w:t>
    </w:r>
    <w:r>
      <w:rPr>
        <w:rFonts w:ascii="Century Gothic" w:hAnsi="Century Gothic" w:cs="Calibri"/>
        <w:b/>
      </w:rPr>
      <w:t>0</w:t>
    </w:r>
    <w:r w:rsidR="00F0294A">
      <w:rPr>
        <w:rFonts w:ascii="Century Gothic" w:hAnsi="Century Gothic" w:cs="Calibri"/>
        <w:b/>
      </w:rPr>
      <w:t>9</w:t>
    </w:r>
    <w:r w:rsidRPr="00AF493F">
      <w:rPr>
        <w:rFonts w:ascii="Century Gothic" w:hAnsi="Century Gothic" w:cs="Calibri"/>
        <w:b/>
      </w:rPr>
      <w:t>/2</w:t>
    </w:r>
    <w:r w:rsidRPr="009F0514">
      <w:rPr>
        <w:rFonts w:ascii="Century Gothic" w:hAnsi="Century Gothic" w:cs="Calibri"/>
        <w:b/>
      </w:rPr>
      <w:t>02</w:t>
    </w:r>
    <w:r>
      <w:rPr>
        <w:rFonts w:ascii="Century Gothic" w:hAnsi="Century Gothic" w:cs="Calibri"/>
        <w:b/>
      </w:rPr>
      <w:t>6</w:t>
    </w:r>
  </w:p>
  <w:p w14:paraId="3CA33064" w14:textId="470AEDA9" w:rsidR="001F473F" w:rsidRDefault="001F473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E67"/>
    <w:multiLevelType w:val="hybridMultilevel"/>
    <w:tmpl w:val="D994B3AA"/>
    <w:lvl w:ilvl="0" w:tplc="70002626">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 w15:restartNumberingAfterBreak="0">
    <w:nsid w:val="04C51690"/>
    <w:multiLevelType w:val="hybridMultilevel"/>
    <w:tmpl w:val="17162E72"/>
    <w:lvl w:ilvl="0" w:tplc="46023678">
      <w:start w:val="1"/>
      <w:numFmt w:val="upperRoman"/>
      <w:lvlText w:val="%1."/>
      <w:lvlJc w:val="right"/>
      <w:pPr>
        <w:ind w:left="1146" w:hanging="360"/>
      </w:pPr>
      <w:rPr>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 w15:restartNumberingAfterBreak="0">
    <w:nsid w:val="05007D51"/>
    <w:multiLevelType w:val="multilevel"/>
    <w:tmpl w:val="CD84C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3B3387"/>
    <w:multiLevelType w:val="multilevel"/>
    <w:tmpl w:val="ECA2C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2A1861"/>
    <w:multiLevelType w:val="multilevel"/>
    <w:tmpl w:val="CF90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933C07"/>
    <w:multiLevelType w:val="hybridMultilevel"/>
    <w:tmpl w:val="64403FD4"/>
    <w:lvl w:ilvl="0" w:tplc="CE6CB190">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6" w15:restartNumberingAfterBreak="0">
    <w:nsid w:val="0EA175E4"/>
    <w:multiLevelType w:val="multilevel"/>
    <w:tmpl w:val="FA8C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A17B9"/>
    <w:multiLevelType w:val="hybridMultilevel"/>
    <w:tmpl w:val="FB00B79C"/>
    <w:lvl w:ilvl="0" w:tplc="2C1CBBFA">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8" w15:restartNumberingAfterBreak="0">
    <w:nsid w:val="143C712D"/>
    <w:multiLevelType w:val="hybridMultilevel"/>
    <w:tmpl w:val="613A7BEA"/>
    <w:lvl w:ilvl="0" w:tplc="EAF8E8B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711513"/>
    <w:multiLevelType w:val="multilevel"/>
    <w:tmpl w:val="64603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FD12CC"/>
    <w:multiLevelType w:val="hybridMultilevel"/>
    <w:tmpl w:val="88324B78"/>
    <w:lvl w:ilvl="0" w:tplc="A4C6C106">
      <w:start w:val="1"/>
      <w:numFmt w:val="upperRoman"/>
      <w:lvlText w:val="%1."/>
      <w:lvlJc w:val="right"/>
      <w:pPr>
        <w:ind w:left="1287" w:hanging="360"/>
      </w:pPr>
      <w:rPr>
        <w:b/>
        <w:bCs/>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183E3A10"/>
    <w:multiLevelType w:val="multilevel"/>
    <w:tmpl w:val="59384754"/>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648"/>
        </w:tabs>
        <w:ind w:left="1648" w:hanging="360"/>
      </w:pPr>
      <w:rPr>
        <w:rFonts w:ascii="Courier New" w:hAnsi="Courier New" w:cs="Times New Roman" w:hint="default"/>
        <w:sz w:val="20"/>
      </w:rPr>
    </w:lvl>
    <w:lvl w:ilvl="2">
      <w:start w:val="1"/>
      <w:numFmt w:val="bullet"/>
      <w:lvlText w:val=""/>
      <w:lvlJc w:val="left"/>
      <w:pPr>
        <w:tabs>
          <w:tab w:val="num" w:pos="2368"/>
        </w:tabs>
        <w:ind w:left="2368" w:hanging="360"/>
      </w:pPr>
      <w:rPr>
        <w:rFonts w:ascii="Wingdings" w:hAnsi="Wingdings" w:hint="default"/>
        <w:sz w:val="20"/>
      </w:rPr>
    </w:lvl>
    <w:lvl w:ilvl="3">
      <w:start w:val="1"/>
      <w:numFmt w:val="bullet"/>
      <w:lvlText w:val=""/>
      <w:lvlJc w:val="left"/>
      <w:pPr>
        <w:tabs>
          <w:tab w:val="num" w:pos="3088"/>
        </w:tabs>
        <w:ind w:left="3088" w:hanging="360"/>
      </w:pPr>
      <w:rPr>
        <w:rFonts w:ascii="Wingdings" w:hAnsi="Wingdings" w:hint="default"/>
        <w:sz w:val="20"/>
      </w:rPr>
    </w:lvl>
    <w:lvl w:ilvl="4">
      <w:start w:val="1"/>
      <w:numFmt w:val="bullet"/>
      <w:lvlText w:val=""/>
      <w:lvlJc w:val="left"/>
      <w:pPr>
        <w:tabs>
          <w:tab w:val="num" w:pos="3808"/>
        </w:tabs>
        <w:ind w:left="3808" w:hanging="360"/>
      </w:pPr>
      <w:rPr>
        <w:rFonts w:ascii="Wingdings" w:hAnsi="Wingdings" w:hint="default"/>
        <w:sz w:val="20"/>
      </w:rPr>
    </w:lvl>
    <w:lvl w:ilvl="5">
      <w:start w:val="1"/>
      <w:numFmt w:val="bullet"/>
      <w:lvlText w:val=""/>
      <w:lvlJc w:val="left"/>
      <w:pPr>
        <w:tabs>
          <w:tab w:val="num" w:pos="4528"/>
        </w:tabs>
        <w:ind w:left="4528" w:hanging="360"/>
      </w:pPr>
      <w:rPr>
        <w:rFonts w:ascii="Wingdings" w:hAnsi="Wingdings" w:hint="default"/>
        <w:sz w:val="20"/>
      </w:rPr>
    </w:lvl>
    <w:lvl w:ilvl="6">
      <w:start w:val="1"/>
      <w:numFmt w:val="bullet"/>
      <w:lvlText w:val=""/>
      <w:lvlJc w:val="left"/>
      <w:pPr>
        <w:tabs>
          <w:tab w:val="num" w:pos="5248"/>
        </w:tabs>
        <w:ind w:left="5248" w:hanging="360"/>
      </w:pPr>
      <w:rPr>
        <w:rFonts w:ascii="Wingdings" w:hAnsi="Wingdings" w:hint="default"/>
        <w:sz w:val="20"/>
      </w:rPr>
    </w:lvl>
    <w:lvl w:ilvl="7">
      <w:start w:val="1"/>
      <w:numFmt w:val="bullet"/>
      <w:lvlText w:val=""/>
      <w:lvlJc w:val="left"/>
      <w:pPr>
        <w:tabs>
          <w:tab w:val="num" w:pos="5968"/>
        </w:tabs>
        <w:ind w:left="5968" w:hanging="360"/>
      </w:pPr>
      <w:rPr>
        <w:rFonts w:ascii="Wingdings" w:hAnsi="Wingdings" w:hint="default"/>
        <w:sz w:val="20"/>
      </w:rPr>
    </w:lvl>
    <w:lvl w:ilvl="8">
      <w:start w:val="1"/>
      <w:numFmt w:val="bullet"/>
      <w:lvlText w:val=""/>
      <w:lvlJc w:val="left"/>
      <w:pPr>
        <w:tabs>
          <w:tab w:val="num" w:pos="6688"/>
        </w:tabs>
        <w:ind w:left="6688" w:hanging="360"/>
      </w:pPr>
      <w:rPr>
        <w:rFonts w:ascii="Wingdings" w:hAnsi="Wingdings" w:hint="default"/>
        <w:sz w:val="20"/>
      </w:rPr>
    </w:lvl>
  </w:abstractNum>
  <w:abstractNum w:abstractNumId="12" w15:restartNumberingAfterBreak="0">
    <w:nsid w:val="1AE200F1"/>
    <w:multiLevelType w:val="multilevel"/>
    <w:tmpl w:val="B4C45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601B83"/>
    <w:multiLevelType w:val="hybridMultilevel"/>
    <w:tmpl w:val="568A5C0E"/>
    <w:lvl w:ilvl="0" w:tplc="1076F66A">
      <w:start w:val="1"/>
      <w:numFmt w:val="upperRoman"/>
      <w:lvlText w:val="%1."/>
      <w:lvlJc w:val="right"/>
      <w:pPr>
        <w:ind w:left="1146" w:hanging="360"/>
      </w:pPr>
      <w:rPr>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4" w15:restartNumberingAfterBreak="0">
    <w:nsid w:val="1FE122F3"/>
    <w:multiLevelType w:val="hybridMultilevel"/>
    <w:tmpl w:val="407C6966"/>
    <w:lvl w:ilvl="0" w:tplc="CC72B766">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5" w15:restartNumberingAfterBreak="0">
    <w:nsid w:val="229975F0"/>
    <w:multiLevelType w:val="hybridMultilevel"/>
    <w:tmpl w:val="59AC779A"/>
    <w:lvl w:ilvl="0" w:tplc="D82816CE">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245E71B6"/>
    <w:multiLevelType w:val="hybridMultilevel"/>
    <w:tmpl w:val="4ADC2F78"/>
    <w:lvl w:ilvl="0" w:tplc="080A0013">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9722E29"/>
    <w:multiLevelType w:val="hybridMultilevel"/>
    <w:tmpl w:val="F328EC3C"/>
    <w:lvl w:ilvl="0" w:tplc="B52E1A78">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8" w15:restartNumberingAfterBreak="0">
    <w:nsid w:val="2EE53340"/>
    <w:multiLevelType w:val="hybridMultilevel"/>
    <w:tmpl w:val="AAF4C9EA"/>
    <w:lvl w:ilvl="0" w:tplc="B61C024E">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2F5D4F84"/>
    <w:multiLevelType w:val="hybridMultilevel"/>
    <w:tmpl w:val="7706C630"/>
    <w:lvl w:ilvl="0" w:tplc="C1F4528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16B0A3B"/>
    <w:multiLevelType w:val="hybridMultilevel"/>
    <w:tmpl w:val="B0C4019E"/>
    <w:lvl w:ilvl="0" w:tplc="81AABB9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7D93546"/>
    <w:multiLevelType w:val="hybridMultilevel"/>
    <w:tmpl w:val="52029F5C"/>
    <w:lvl w:ilvl="0" w:tplc="F4783770">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3A8135D8"/>
    <w:multiLevelType w:val="multilevel"/>
    <w:tmpl w:val="C8A63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825BA9"/>
    <w:multiLevelType w:val="hybridMultilevel"/>
    <w:tmpl w:val="A2F05A8E"/>
    <w:lvl w:ilvl="0" w:tplc="7136B92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B4A36E0"/>
    <w:multiLevelType w:val="hybridMultilevel"/>
    <w:tmpl w:val="5216A09E"/>
    <w:lvl w:ilvl="0" w:tplc="F0A6B9E0">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5" w15:restartNumberingAfterBreak="0">
    <w:nsid w:val="3B9F738D"/>
    <w:multiLevelType w:val="multilevel"/>
    <w:tmpl w:val="5568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6B55C3"/>
    <w:multiLevelType w:val="hybridMultilevel"/>
    <w:tmpl w:val="742E690E"/>
    <w:lvl w:ilvl="0" w:tplc="CCF6A528">
      <w:start w:val="1"/>
      <w:numFmt w:val="upperRoman"/>
      <w:lvlText w:val="%1."/>
      <w:lvlJc w:val="right"/>
      <w:pPr>
        <w:ind w:left="1146" w:hanging="360"/>
      </w:pPr>
      <w:rPr>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7" w15:restartNumberingAfterBreak="0">
    <w:nsid w:val="46305F3C"/>
    <w:multiLevelType w:val="hybridMultilevel"/>
    <w:tmpl w:val="0694A04A"/>
    <w:lvl w:ilvl="0" w:tplc="B9E647F0">
      <w:start w:val="1"/>
      <w:numFmt w:val="upperRoman"/>
      <w:lvlText w:val="%1."/>
      <w:lvlJc w:val="right"/>
      <w:pPr>
        <w:ind w:left="1287" w:hanging="360"/>
      </w:pPr>
      <w:rPr>
        <w:b/>
        <w:bCs/>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8" w15:restartNumberingAfterBreak="0">
    <w:nsid w:val="47123FE0"/>
    <w:multiLevelType w:val="multilevel"/>
    <w:tmpl w:val="8266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08146D"/>
    <w:multiLevelType w:val="hybridMultilevel"/>
    <w:tmpl w:val="FFAE6EB2"/>
    <w:lvl w:ilvl="0" w:tplc="FFA4C146">
      <w:start w:val="1"/>
      <w:numFmt w:val="upperRoman"/>
      <w:lvlText w:val="%1."/>
      <w:lvlJc w:val="right"/>
      <w:pPr>
        <w:ind w:left="1146" w:hanging="360"/>
      </w:pPr>
      <w:rPr>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30" w15:restartNumberingAfterBreak="0">
    <w:nsid w:val="50F93862"/>
    <w:multiLevelType w:val="hybridMultilevel"/>
    <w:tmpl w:val="8DAED1BC"/>
    <w:lvl w:ilvl="0" w:tplc="FAA88BE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A763407"/>
    <w:multiLevelType w:val="multilevel"/>
    <w:tmpl w:val="82A46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ADB523C"/>
    <w:multiLevelType w:val="hybridMultilevel"/>
    <w:tmpl w:val="C8DC2E68"/>
    <w:lvl w:ilvl="0" w:tplc="80547E46">
      <w:start w:val="1"/>
      <w:numFmt w:val="upperRoman"/>
      <w:lvlText w:val="%1."/>
      <w:lvlJc w:val="left"/>
      <w:pPr>
        <w:ind w:left="1146" w:hanging="72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3" w15:restartNumberingAfterBreak="0">
    <w:nsid w:val="6B96213D"/>
    <w:multiLevelType w:val="multilevel"/>
    <w:tmpl w:val="A4DE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5B60ED"/>
    <w:multiLevelType w:val="hybridMultilevel"/>
    <w:tmpl w:val="ADE01F04"/>
    <w:lvl w:ilvl="0" w:tplc="50648786">
      <w:start w:val="1"/>
      <w:numFmt w:val="upperRoman"/>
      <w:lvlText w:val="%1."/>
      <w:lvlJc w:val="right"/>
      <w:pPr>
        <w:ind w:left="1287" w:hanging="360"/>
      </w:pPr>
      <w:rPr>
        <w:b/>
        <w:bCs/>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35" w15:restartNumberingAfterBreak="0">
    <w:nsid w:val="7319604D"/>
    <w:multiLevelType w:val="multilevel"/>
    <w:tmpl w:val="8426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FE3857"/>
    <w:multiLevelType w:val="hybridMultilevel"/>
    <w:tmpl w:val="99F60B7E"/>
    <w:lvl w:ilvl="0" w:tplc="2B06C83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56A2966"/>
    <w:multiLevelType w:val="hybridMultilevel"/>
    <w:tmpl w:val="1B1EC2B6"/>
    <w:lvl w:ilvl="0" w:tplc="BD2CB9B6">
      <w:start w:val="1"/>
      <w:numFmt w:val="upperRoman"/>
      <w:lvlText w:val="%1."/>
      <w:lvlJc w:val="left"/>
      <w:pPr>
        <w:ind w:left="1429" w:hanging="72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8" w15:restartNumberingAfterBreak="0">
    <w:nsid w:val="756C1009"/>
    <w:multiLevelType w:val="hybridMultilevel"/>
    <w:tmpl w:val="8A14896A"/>
    <w:lvl w:ilvl="0" w:tplc="3BA6CA2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B22D2E"/>
    <w:multiLevelType w:val="multilevel"/>
    <w:tmpl w:val="14067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258CF"/>
    <w:multiLevelType w:val="hybridMultilevel"/>
    <w:tmpl w:val="3EA811A0"/>
    <w:lvl w:ilvl="0" w:tplc="6E427AEC">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1" w15:restartNumberingAfterBreak="0">
    <w:nsid w:val="79592044"/>
    <w:multiLevelType w:val="multilevel"/>
    <w:tmpl w:val="2C56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7802FB"/>
    <w:multiLevelType w:val="hybridMultilevel"/>
    <w:tmpl w:val="D7962AD6"/>
    <w:lvl w:ilvl="0" w:tplc="AD62FE60">
      <w:start w:val="1"/>
      <w:numFmt w:val="upperRoman"/>
      <w:lvlText w:val="%1."/>
      <w:lvlJc w:val="right"/>
      <w:pPr>
        <w:ind w:left="1146" w:hanging="360"/>
      </w:pPr>
      <w:rPr>
        <w:b/>
        <w:bCs/>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43" w15:restartNumberingAfterBreak="0">
    <w:nsid w:val="7CFC2963"/>
    <w:multiLevelType w:val="hybridMultilevel"/>
    <w:tmpl w:val="9146C95C"/>
    <w:lvl w:ilvl="0" w:tplc="802C785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E165D1C"/>
    <w:multiLevelType w:val="hybridMultilevel"/>
    <w:tmpl w:val="DB74707E"/>
    <w:lvl w:ilvl="0" w:tplc="1528F2B0">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num w:numId="1">
    <w:abstractNumId w:val="22"/>
  </w:num>
  <w:num w:numId="2">
    <w:abstractNumId w:val="12"/>
  </w:num>
  <w:num w:numId="3">
    <w:abstractNumId w:val="25"/>
  </w:num>
  <w:num w:numId="4">
    <w:abstractNumId w:val="33"/>
  </w:num>
  <w:num w:numId="5">
    <w:abstractNumId w:val="9"/>
  </w:num>
  <w:num w:numId="6">
    <w:abstractNumId w:val="2"/>
  </w:num>
  <w:num w:numId="7">
    <w:abstractNumId w:val="28"/>
  </w:num>
  <w:num w:numId="8">
    <w:abstractNumId w:val="31"/>
  </w:num>
  <w:num w:numId="9">
    <w:abstractNumId w:val="4"/>
  </w:num>
  <w:num w:numId="10">
    <w:abstractNumId w:val="39"/>
  </w:num>
  <w:num w:numId="11">
    <w:abstractNumId w:val="30"/>
  </w:num>
  <w:num w:numId="12">
    <w:abstractNumId w:val="35"/>
  </w:num>
  <w:num w:numId="13">
    <w:abstractNumId w:val="3"/>
  </w:num>
  <w:num w:numId="14">
    <w:abstractNumId w:val="41"/>
  </w:num>
  <w:num w:numId="15">
    <w:abstractNumId w:val="6"/>
  </w:num>
  <w:num w:numId="16">
    <w:abstractNumId w:val="11"/>
  </w:num>
  <w:num w:numId="17">
    <w:abstractNumId w:val="42"/>
  </w:num>
  <w:num w:numId="18">
    <w:abstractNumId w:val="21"/>
  </w:num>
  <w:num w:numId="19">
    <w:abstractNumId w:val="38"/>
  </w:num>
  <w:num w:numId="20">
    <w:abstractNumId w:val="37"/>
  </w:num>
  <w:num w:numId="21">
    <w:abstractNumId w:val="43"/>
  </w:num>
  <w:num w:numId="22">
    <w:abstractNumId w:val="17"/>
  </w:num>
  <w:num w:numId="23">
    <w:abstractNumId w:val="36"/>
  </w:num>
  <w:num w:numId="24">
    <w:abstractNumId w:val="14"/>
  </w:num>
  <w:num w:numId="25">
    <w:abstractNumId w:val="29"/>
  </w:num>
  <w:num w:numId="26">
    <w:abstractNumId w:val="0"/>
  </w:num>
  <w:num w:numId="27">
    <w:abstractNumId w:val="27"/>
  </w:num>
  <w:num w:numId="28">
    <w:abstractNumId w:val="40"/>
  </w:num>
  <w:num w:numId="29">
    <w:abstractNumId w:val="19"/>
  </w:num>
  <w:num w:numId="30">
    <w:abstractNumId w:val="18"/>
  </w:num>
  <w:num w:numId="31">
    <w:abstractNumId w:val="1"/>
  </w:num>
  <w:num w:numId="32">
    <w:abstractNumId w:val="32"/>
  </w:num>
  <w:num w:numId="33">
    <w:abstractNumId w:val="13"/>
  </w:num>
  <w:num w:numId="34">
    <w:abstractNumId w:val="7"/>
  </w:num>
  <w:num w:numId="35">
    <w:abstractNumId w:val="26"/>
  </w:num>
  <w:num w:numId="36">
    <w:abstractNumId w:val="24"/>
  </w:num>
  <w:num w:numId="37">
    <w:abstractNumId w:val="10"/>
  </w:num>
  <w:num w:numId="38">
    <w:abstractNumId w:val="15"/>
  </w:num>
  <w:num w:numId="39">
    <w:abstractNumId w:val="34"/>
  </w:num>
  <w:num w:numId="40">
    <w:abstractNumId w:val="5"/>
  </w:num>
  <w:num w:numId="41">
    <w:abstractNumId w:val="23"/>
  </w:num>
  <w:num w:numId="42">
    <w:abstractNumId w:val="44"/>
  </w:num>
  <w:num w:numId="43">
    <w:abstractNumId w:val="16"/>
  </w:num>
  <w:num w:numId="44">
    <w:abstractNumId w:val="20"/>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C64"/>
    <w:rsid w:val="00016E1E"/>
    <w:rsid w:val="00022BAB"/>
    <w:rsid w:val="00023B02"/>
    <w:rsid w:val="0003361B"/>
    <w:rsid w:val="00035E89"/>
    <w:rsid w:val="000565AC"/>
    <w:rsid w:val="00060D53"/>
    <w:rsid w:val="00062BEB"/>
    <w:rsid w:val="00080490"/>
    <w:rsid w:val="000F37E9"/>
    <w:rsid w:val="00114FBB"/>
    <w:rsid w:val="00124322"/>
    <w:rsid w:val="001332FD"/>
    <w:rsid w:val="001427AB"/>
    <w:rsid w:val="00155C4C"/>
    <w:rsid w:val="001B30EF"/>
    <w:rsid w:val="001C57C8"/>
    <w:rsid w:val="001E0706"/>
    <w:rsid w:val="001F473F"/>
    <w:rsid w:val="00201F9C"/>
    <w:rsid w:val="00267B37"/>
    <w:rsid w:val="0027068D"/>
    <w:rsid w:val="002B13B1"/>
    <w:rsid w:val="002B5260"/>
    <w:rsid w:val="002C7DFB"/>
    <w:rsid w:val="002D46F0"/>
    <w:rsid w:val="00306963"/>
    <w:rsid w:val="00333DD4"/>
    <w:rsid w:val="00346BE7"/>
    <w:rsid w:val="00395FFF"/>
    <w:rsid w:val="00396C3E"/>
    <w:rsid w:val="00396D34"/>
    <w:rsid w:val="003F1C5D"/>
    <w:rsid w:val="00406D18"/>
    <w:rsid w:val="00445871"/>
    <w:rsid w:val="00454249"/>
    <w:rsid w:val="00457842"/>
    <w:rsid w:val="004A0D46"/>
    <w:rsid w:val="004B6BBA"/>
    <w:rsid w:val="004D1E71"/>
    <w:rsid w:val="004E175D"/>
    <w:rsid w:val="004F1A06"/>
    <w:rsid w:val="00506CCA"/>
    <w:rsid w:val="00545C33"/>
    <w:rsid w:val="00582F41"/>
    <w:rsid w:val="00593383"/>
    <w:rsid w:val="00597153"/>
    <w:rsid w:val="005C7F96"/>
    <w:rsid w:val="00623592"/>
    <w:rsid w:val="0063618E"/>
    <w:rsid w:val="0068051A"/>
    <w:rsid w:val="00685576"/>
    <w:rsid w:val="00690BF9"/>
    <w:rsid w:val="006E37B5"/>
    <w:rsid w:val="006F0535"/>
    <w:rsid w:val="00735D0E"/>
    <w:rsid w:val="00790E0F"/>
    <w:rsid w:val="007D3ED6"/>
    <w:rsid w:val="007D3FDD"/>
    <w:rsid w:val="007F4DBE"/>
    <w:rsid w:val="008213ED"/>
    <w:rsid w:val="00832ADD"/>
    <w:rsid w:val="00832FB6"/>
    <w:rsid w:val="0085022D"/>
    <w:rsid w:val="00850F38"/>
    <w:rsid w:val="00885E0D"/>
    <w:rsid w:val="008B30A6"/>
    <w:rsid w:val="008F0E91"/>
    <w:rsid w:val="00915C64"/>
    <w:rsid w:val="00952DA5"/>
    <w:rsid w:val="00966C2C"/>
    <w:rsid w:val="00971694"/>
    <w:rsid w:val="009806BF"/>
    <w:rsid w:val="00986D37"/>
    <w:rsid w:val="009B72F3"/>
    <w:rsid w:val="009C223A"/>
    <w:rsid w:val="00A32F63"/>
    <w:rsid w:val="00A874C1"/>
    <w:rsid w:val="00AD2CC2"/>
    <w:rsid w:val="00B1370B"/>
    <w:rsid w:val="00B14F1F"/>
    <w:rsid w:val="00BB17F7"/>
    <w:rsid w:val="00BB1C3D"/>
    <w:rsid w:val="00BE66D2"/>
    <w:rsid w:val="00C479CC"/>
    <w:rsid w:val="00C521C9"/>
    <w:rsid w:val="00C67442"/>
    <w:rsid w:val="00C76F7F"/>
    <w:rsid w:val="00CA647A"/>
    <w:rsid w:val="00CC1BC1"/>
    <w:rsid w:val="00CC334A"/>
    <w:rsid w:val="00CF7C18"/>
    <w:rsid w:val="00D54BBC"/>
    <w:rsid w:val="00D82BEC"/>
    <w:rsid w:val="00D872A9"/>
    <w:rsid w:val="00D91CD7"/>
    <w:rsid w:val="00D93C71"/>
    <w:rsid w:val="00DB6BE8"/>
    <w:rsid w:val="00DC4A21"/>
    <w:rsid w:val="00E318C8"/>
    <w:rsid w:val="00E41FDA"/>
    <w:rsid w:val="00E5201A"/>
    <w:rsid w:val="00E63418"/>
    <w:rsid w:val="00E8386D"/>
    <w:rsid w:val="00E962AF"/>
    <w:rsid w:val="00E97FB9"/>
    <w:rsid w:val="00EA59EF"/>
    <w:rsid w:val="00EA7BF0"/>
    <w:rsid w:val="00EF053E"/>
    <w:rsid w:val="00F02876"/>
    <w:rsid w:val="00F0294A"/>
    <w:rsid w:val="00F11DD9"/>
    <w:rsid w:val="00F45ADA"/>
    <w:rsid w:val="00FA0342"/>
    <w:rsid w:val="00FD2647"/>
    <w:rsid w:val="00FF00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64BB7D"/>
  <w15:chartTrackingRefBased/>
  <w15:docId w15:val="{C373489A-79A4-427C-BD3F-C903B1406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E41FDA"/>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unhideWhenUsed/>
    <w:qFormat/>
    <w:rsid w:val="00FA03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s-markdown-paragraph">
    <w:name w:val="ds-markdown-paragraph"/>
    <w:basedOn w:val="Normal"/>
    <w:rsid w:val="00915C6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915C64"/>
    <w:rPr>
      <w:b/>
      <w:bCs/>
    </w:rPr>
  </w:style>
  <w:style w:type="character" w:styleId="nfasis">
    <w:name w:val="Emphasis"/>
    <w:basedOn w:val="Fuentedeprrafopredeter"/>
    <w:uiPriority w:val="20"/>
    <w:qFormat/>
    <w:rsid w:val="00915C64"/>
    <w:rPr>
      <w:i/>
      <w:iCs/>
    </w:rPr>
  </w:style>
  <w:style w:type="character" w:customStyle="1" w:styleId="Ttulo2Car">
    <w:name w:val="Título 2 Car"/>
    <w:basedOn w:val="Fuentedeprrafopredeter"/>
    <w:link w:val="Ttulo2"/>
    <w:uiPriority w:val="9"/>
    <w:rsid w:val="00E41FDA"/>
    <w:rPr>
      <w:rFonts w:ascii="Times New Roman" w:eastAsia="Times New Roman" w:hAnsi="Times New Roman" w:cs="Times New Roman"/>
      <w:b/>
      <w:bCs/>
      <w:sz w:val="36"/>
      <w:szCs w:val="36"/>
      <w:lang w:eastAsia="es-MX"/>
    </w:rPr>
  </w:style>
  <w:style w:type="paragraph" w:styleId="Sinespaciado">
    <w:name w:val="No Spacing"/>
    <w:uiPriority w:val="1"/>
    <w:qFormat/>
    <w:rsid w:val="00E41FDA"/>
    <w:pPr>
      <w:spacing w:after="0" w:line="240" w:lineRule="auto"/>
    </w:pPr>
  </w:style>
  <w:style w:type="character" w:customStyle="1" w:styleId="Ttulo3Car">
    <w:name w:val="Título 3 Car"/>
    <w:basedOn w:val="Fuentedeprrafopredeter"/>
    <w:link w:val="Ttulo3"/>
    <w:uiPriority w:val="9"/>
    <w:rsid w:val="00FA0342"/>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DC4A21"/>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DC4A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4A21"/>
  </w:style>
  <w:style w:type="paragraph" w:styleId="Piedepgina">
    <w:name w:val="footer"/>
    <w:basedOn w:val="Normal"/>
    <w:link w:val="PiedepginaCar"/>
    <w:uiPriority w:val="99"/>
    <w:unhideWhenUsed/>
    <w:rsid w:val="00DC4A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4A21"/>
  </w:style>
  <w:style w:type="paragraph" w:styleId="Prrafodelista">
    <w:name w:val="List Paragraph"/>
    <w:basedOn w:val="Normal"/>
    <w:uiPriority w:val="34"/>
    <w:qFormat/>
    <w:rsid w:val="00F45ADA"/>
    <w:pPr>
      <w:ind w:left="720"/>
      <w:contextualSpacing/>
    </w:pPr>
  </w:style>
  <w:style w:type="table" w:styleId="Tablaconcuadrcula">
    <w:name w:val="Table Grid"/>
    <w:basedOn w:val="Tablanormal"/>
    <w:uiPriority w:val="39"/>
    <w:rsid w:val="002C7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8888">
      <w:bodyDiv w:val="1"/>
      <w:marLeft w:val="0"/>
      <w:marRight w:val="0"/>
      <w:marTop w:val="0"/>
      <w:marBottom w:val="0"/>
      <w:divBdr>
        <w:top w:val="none" w:sz="0" w:space="0" w:color="auto"/>
        <w:left w:val="none" w:sz="0" w:space="0" w:color="auto"/>
        <w:bottom w:val="none" w:sz="0" w:space="0" w:color="auto"/>
        <w:right w:val="none" w:sz="0" w:space="0" w:color="auto"/>
      </w:divBdr>
      <w:divsChild>
        <w:div w:id="394665065">
          <w:marLeft w:val="0"/>
          <w:marRight w:val="0"/>
          <w:marTop w:val="0"/>
          <w:marBottom w:val="0"/>
          <w:divBdr>
            <w:top w:val="none" w:sz="0" w:space="0" w:color="auto"/>
            <w:left w:val="none" w:sz="0" w:space="0" w:color="auto"/>
            <w:bottom w:val="none" w:sz="0" w:space="0" w:color="auto"/>
            <w:right w:val="none" w:sz="0" w:space="0" w:color="auto"/>
          </w:divBdr>
        </w:div>
      </w:divsChild>
    </w:div>
    <w:div w:id="240410308">
      <w:bodyDiv w:val="1"/>
      <w:marLeft w:val="0"/>
      <w:marRight w:val="0"/>
      <w:marTop w:val="0"/>
      <w:marBottom w:val="0"/>
      <w:divBdr>
        <w:top w:val="none" w:sz="0" w:space="0" w:color="auto"/>
        <w:left w:val="none" w:sz="0" w:space="0" w:color="auto"/>
        <w:bottom w:val="none" w:sz="0" w:space="0" w:color="auto"/>
        <w:right w:val="none" w:sz="0" w:space="0" w:color="auto"/>
      </w:divBdr>
    </w:div>
    <w:div w:id="263653516">
      <w:bodyDiv w:val="1"/>
      <w:marLeft w:val="0"/>
      <w:marRight w:val="0"/>
      <w:marTop w:val="0"/>
      <w:marBottom w:val="0"/>
      <w:divBdr>
        <w:top w:val="none" w:sz="0" w:space="0" w:color="auto"/>
        <w:left w:val="none" w:sz="0" w:space="0" w:color="auto"/>
        <w:bottom w:val="none" w:sz="0" w:space="0" w:color="auto"/>
        <w:right w:val="none" w:sz="0" w:space="0" w:color="auto"/>
      </w:divBdr>
    </w:div>
    <w:div w:id="461312226">
      <w:bodyDiv w:val="1"/>
      <w:marLeft w:val="0"/>
      <w:marRight w:val="0"/>
      <w:marTop w:val="0"/>
      <w:marBottom w:val="0"/>
      <w:divBdr>
        <w:top w:val="none" w:sz="0" w:space="0" w:color="auto"/>
        <w:left w:val="none" w:sz="0" w:space="0" w:color="auto"/>
        <w:bottom w:val="none" w:sz="0" w:space="0" w:color="auto"/>
        <w:right w:val="none" w:sz="0" w:space="0" w:color="auto"/>
      </w:divBdr>
    </w:div>
    <w:div w:id="608851612">
      <w:bodyDiv w:val="1"/>
      <w:marLeft w:val="0"/>
      <w:marRight w:val="0"/>
      <w:marTop w:val="0"/>
      <w:marBottom w:val="0"/>
      <w:divBdr>
        <w:top w:val="none" w:sz="0" w:space="0" w:color="auto"/>
        <w:left w:val="none" w:sz="0" w:space="0" w:color="auto"/>
        <w:bottom w:val="none" w:sz="0" w:space="0" w:color="auto"/>
        <w:right w:val="none" w:sz="0" w:space="0" w:color="auto"/>
      </w:divBdr>
      <w:divsChild>
        <w:div w:id="1199046833">
          <w:marLeft w:val="0"/>
          <w:marRight w:val="0"/>
          <w:marTop w:val="0"/>
          <w:marBottom w:val="0"/>
          <w:divBdr>
            <w:top w:val="none" w:sz="0" w:space="0" w:color="auto"/>
            <w:left w:val="none" w:sz="0" w:space="0" w:color="auto"/>
            <w:bottom w:val="none" w:sz="0" w:space="0" w:color="auto"/>
            <w:right w:val="none" w:sz="0" w:space="0" w:color="auto"/>
          </w:divBdr>
        </w:div>
      </w:divsChild>
    </w:div>
    <w:div w:id="787236750">
      <w:bodyDiv w:val="1"/>
      <w:marLeft w:val="0"/>
      <w:marRight w:val="0"/>
      <w:marTop w:val="0"/>
      <w:marBottom w:val="0"/>
      <w:divBdr>
        <w:top w:val="none" w:sz="0" w:space="0" w:color="auto"/>
        <w:left w:val="none" w:sz="0" w:space="0" w:color="auto"/>
        <w:bottom w:val="none" w:sz="0" w:space="0" w:color="auto"/>
        <w:right w:val="none" w:sz="0" w:space="0" w:color="auto"/>
      </w:divBdr>
      <w:divsChild>
        <w:div w:id="1062169135">
          <w:marLeft w:val="0"/>
          <w:marRight w:val="0"/>
          <w:marTop w:val="0"/>
          <w:marBottom w:val="0"/>
          <w:divBdr>
            <w:top w:val="none" w:sz="0" w:space="0" w:color="auto"/>
            <w:left w:val="none" w:sz="0" w:space="0" w:color="auto"/>
            <w:bottom w:val="none" w:sz="0" w:space="0" w:color="auto"/>
            <w:right w:val="none" w:sz="0" w:space="0" w:color="auto"/>
          </w:divBdr>
          <w:divsChild>
            <w:div w:id="151480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85860">
      <w:bodyDiv w:val="1"/>
      <w:marLeft w:val="0"/>
      <w:marRight w:val="0"/>
      <w:marTop w:val="0"/>
      <w:marBottom w:val="0"/>
      <w:divBdr>
        <w:top w:val="none" w:sz="0" w:space="0" w:color="auto"/>
        <w:left w:val="none" w:sz="0" w:space="0" w:color="auto"/>
        <w:bottom w:val="none" w:sz="0" w:space="0" w:color="auto"/>
        <w:right w:val="none" w:sz="0" w:space="0" w:color="auto"/>
      </w:divBdr>
    </w:div>
    <w:div w:id="1397168589">
      <w:bodyDiv w:val="1"/>
      <w:marLeft w:val="0"/>
      <w:marRight w:val="0"/>
      <w:marTop w:val="0"/>
      <w:marBottom w:val="0"/>
      <w:divBdr>
        <w:top w:val="none" w:sz="0" w:space="0" w:color="auto"/>
        <w:left w:val="none" w:sz="0" w:space="0" w:color="auto"/>
        <w:bottom w:val="none" w:sz="0" w:space="0" w:color="auto"/>
        <w:right w:val="none" w:sz="0" w:space="0" w:color="auto"/>
      </w:divBdr>
    </w:div>
    <w:div w:id="1407066295">
      <w:bodyDiv w:val="1"/>
      <w:marLeft w:val="0"/>
      <w:marRight w:val="0"/>
      <w:marTop w:val="0"/>
      <w:marBottom w:val="0"/>
      <w:divBdr>
        <w:top w:val="none" w:sz="0" w:space="0" w:color="auto"/>
        <w:left w:val="none" w:sz="0" w:space="0" w:color="auto"/>
        <w:bottom w:val="none" w:sz="0" w:space="0" w:color="auto"/>
        <w:right w:val="none" w:sz="0" w:space="0" w:color="auto"/>
      </w:divBdr>
      <w:divsChild>
        <w:div w:id="1971588105">
          <w:blockQuote w:val="1"/>
          <w:marLeft w:val="0"/>
          <w:marRight w:val="0"/>
          <w:marTop w:val="240"/>
          <w:marBottom w:val="0"/>
          <w:divBdr>
            <w:top w:val="none" w:sz="0" w:space="0" w:color="auto"/>
            <w:left w:val="single" w:sz="12" w:space="11" w:color="ADB2B8"/>
            <w:bottom w:val="none" w:sz="0" w:space="0" w:color="auto"/>
            <w:right w:val="none" w:sz="0" w:space="0" w:color="auto"/>
          </w:divBdr>
        </w:div>
        <w:div w:id="966661579">
          <w:blockQuote w:val="1"/>
          <w:marLeft w:val="0"/>
          <w:marRight w:val="0"/>
          <w:marTop w:val="240"/>
          <w:marBottom w:val="0"/>
          <w:divBdr>
            <w:top w:val="none" w:sz="0" w:space="0" w:color="auto"/>
            <w:left w:val="single" w:sz="12" w:space="11" w:color="ADB2B8"/>
            <w:bottom w:val="none" w:sz="0" w:space="0" w:color="auto"/>
            <w:right w:val="none" w:sz="0" w:space="0" w:color="auto"/>
          </w:divBdr>
        </w:div>
        <w:div w:id="347483290">
          <w:blockQuote w:val="1"/>
          <w:marLeft w:val="0"/>
          <w:marRight w:val="0"/>
          <w:marTop w:val="240"/>
          <w:marBottom w:val="0"/>
          <w:divBdr>
            <w:top w:val="none" w:sz="0" w:space="0" w:color="auto"/>
            <w:left w:val="single" w:sz="12" w:space="11" w:color="ADB2B8"/>
            <w:bottom w:val="none" w:sz="0" w:space="0" w:color="auto"/>
            <w:right w:val="none" w:sz="0" w:space="0" w:color="auto"/>
          </w:divBdr>
        </w:div>
        <w:div w:id="555043756">
          <w:blockQuote w:val="1"/>
          <w:marLeft w:val="0"/>
          <w:marRight w:val="0"/>
          <w:marTop w:val="240"/>
          <w:marBottom w:val="0"/>
          <w:divBdr>
            <w:top w:val="none" w:sz="0" w:space="0" w:color="auto"/>
            <w:left w:val="single" w:sz="12" w:space="11" w:color="ADB2B8"/>
            <w:bottom w:val="none" w:sz="0" w:space="0" w:color="auto"/>
            <w:right w:val="none" w:sz="0" w:space="0" w:color="auto"/>
          </w:divBdr>
        </w:div>
        <w:div w:id="905840992">
          <w:blockQuote w:val="1"/>
          <w:marLeft w:val="0"/>
          <w:marRight w:val="0"/>
          <w:marTop w:val="240"/>
          <w:marBottom w:val="0"/>
          <w:divBdr>
            <w:top w:val="none" w:sz="0" w:space="0" w:color="auto"/>
            <w:left w:val="single" w:sz="12" w:space="11" w:color="ADB2B8"/>
            <w:bottom w:val="none" w:sz="0" w:space="0" w:color="auto"/>
            <w:right w:val="none" w:sz="0" w:space="0" w:color="auto"/>
          </w:divBdr>
        </w:div>
        <w:div w:id="584538969">
          <w:blockQuote w:val="1"/>
          <w:marLeft w:val="0"/>
          <w:marRight w:val="0"/>
          <w:marTop w:val="240"/>
          <w:marBottom w:val="0"/>
          <w:divBdr>
            <w:top w:val="none" w:sz="0" w:space="0" w:color="auto"/>
            <w:left w:val="single" w:sz="12" w:space="11" w:color="ADB2B8"/>
            <w:bottom w:val="none" w:sz="0" w:space="0" w:color="auto"/>
            <w:right w:val="none" w:sz="0" w:space="0" w:color="auto"/>
          </w:divBdr>
        </w:div>
        <w:div w:id="238247444">
          <w:blockQuote w:val="1"/>
          <w:marLeft w:val="0"/>
          <w:marRight w:val="0"/>
          <w:marTop w:val="240"/>
          <w:marBottom w:val="0"/>
          <w:divBdr>
            <w:top w:val="none" w:sz="0" w:space="0" w:color="auto"/>
            <w:left w:val="single" w:sz="12" w:space="11" w:color="ADB2B8"/>
            <w:bottom w:val="none" w:sz="0" w:space="0" w:color="auto"/>
            <w:right w:val="none" w:sz="0" w:space="0" w:color="auto"/>
          </w:divBdr>
        </w:div>
        <w:div w:id="1487630735">
          <w:blockQuote w:val="1"/>
          <w:marLeft w:val="0"/>
          <w:marRight w:val="0"/>
          <w:marTop w:val="240"/>
          <w:marBottom w:val="0"/>
          <w:divBdr>
            <w:top w:val="none" w:sz="0" w:space="0" w:color="auto"/>
            <w:left w:val="single" w:sz="12" w:space="11" w:color="ADB2B8"/>
            <w:bottom w:val="none" w:sz="0" w:space="0" w:color="auto"/>
            <w:right w:val="none" w:sz="0" w:space="0" w:color="auto"/>
          </w:divBdr>
        </w:div>
        <w:div w:id="337732181">
          <w:blockQuote w:val="1"/>
          <w:marLeft w:val="0"/>
          <w:marRight w:val="0"/>
          <w:marTop w:val="240"/>
          <w:marBottom w:val="0"/>
          <w:divBdr>
            <w:top w:val="none" w:sz="0" w:space="0" w:color="auto"/>
            <w:left w:val="single" w:sz="12" w:space="11" w:color="ADB2B8"/>
            <w:bottom w:val="none" w:sz="0" w:space="0" w:color="auto"/>
            <w:right w:val="none" w:sz="0" w:space="0" w:color="auto"/>
          </w:divBdr>
        </w:div>
        <w:div w:id="2128156612">
          <w:blockQuote w:val="1"/>
          <w:marLeft w:val="0"/>
          <w:marRight w:val="0"/>
          <w:marTop w:val="240"/>
          <w:marBottom w:val="0"/>
          <w:divBdr>
            <w:top w:val="none" w:sz="0" w:space="0" w:color="auto"/>
            <w:left w:val="single" w:sz="12" w:space="11" w:color="ADB2B8"/>
            <w:bottom w:val="none" w:sz="0" w:space="0" w:color="auto"/>
            <w:right w:val="none" w:sz="0" w:space="0" w:color="auto"/>
          </w:divBdr>
        </w:div>
        <w:div w:id="1029450086">
          <w:blockQuote w:val="1"/>
          <w:marLeft w:val="0"/>
          <w:marRight w:val="0"/>
          <w:marTop w:val="240"/>
          <w:marBottom w:val="0"/>
          <w:divBdr>
            <w:top w:val="none" w:sz="0" w:space="0" w:color="auto"/>
            <w:left w:val="single" w:sz="12" w:space="11" w:color="ADB2B8"/>
            <w:bottom w:val="none" w:sz="0" w:space="0" w:color="auto"/>
            <w:right w:val="none" w:sz="0" w:space="0" w:color="auto"/>
          </w:divBdr>
        </w:div>
        <w:div w:id="1078361762">
          <w:blockQuote w:val="1"/>
          <w:marLeft w:val="0"/>
          <w:marRight w:val="0"/>
          <w:marTop w:val="240"/>
          <w:marBottom w:val="0"/>
          <w:divBdr>
            <w:top w:val="none" w:sz="0" w:space="0" w:color="auto"/>
            <w:left w:val="single" w:sz="12" w:space="11" w:color="ADB2B8"/>
            <w:bottom w:val="none" w:sz="0" w:space="0" w:color="auto"/>
            <w:right w:val="none" w:sz="0" w:space="0" w:color="auto"/>
          </w:divBdr>
        </w:div>
        <w:div w:id="1069570952">
          <w:blockQuote w:val="1"/>
          <w:marLeft w:val="0"/>
          <w:marRight w:val="0"/>
          <w:marTop w:val="240"/>
          <w:marBottom w:val="0"/>
          <w:divBdr>
            <w:top w:val="none" w:sz="0" w:space="0" w:color="auto"/>
            <w:left w:val="single" w:sz="12" w:space="11" w:color="ADB2B8"/>
            <w:bottom w:val="none" w:sz="0" w:space="0" w:color="auto"/>
            <w:right w:val="none" w:sz="0" w:space="0" w:color="auto"/>
          </w:divBdr>
        </w:div>
        <w:div w:id="413598675">
          <w:blockQuote w:val="1"/>
          <w:marLeft w:val="0"/>
          <w:marRight w:val="0"/>
          <w:marTop w:val="240"/>
          <w:marBottom w:val="0"/>
          <w:divBdr>
            <w:top w:val="none" w:sz="0" w:space="0" w:color="auto"/>
            <w:left w:val="single" w:sz="12" w:space="11" w:color="ADB2B8"/>
            <w:bottom w:val="none" w:sz="0" w:space="0" w:color="auto"/>
            <w:right w:val="none" w:sz="0" w:space="0" w:color="auto"/>
          </w:divBdr>
        </w:div>
        <w:div w:id="987981043">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416975570">
      <w:bodyDiv w:val="1"/>
      <w:marLeft w:val="0"/>
      <w:marRight w:val="0"/>
      <w:marTop w:val="0"/>
      <w:marBottom w:val="0"/>
      <w:divBdr>
        <w:top w:val="none" w:sz="0" w:space="0" w:color="auto"/>
        <w:left w:val="none" w:sz="0" w:space="0" w:color="auto"/>
        <w:bottom w:val="none" w:sz="0" w:space="0" w:color="auto"/>
        <w:right w:val="none" w:sz="0" w:space="0" w:color="auto"/>
      </w:divBdr>
      <w:divsChild>
        <w:div w:id="1408846910">
          <w:marLeft w:val="0"/>
          <w:marRight w:val="0"/>
          <w:marTop w:val="0"/>
          <w:marBottom w:val="0"/>
          <w:divBdr>
            <w:top w:val="none" w:sz="0" w:space="0" w:color="auto"/>
            <w:left w:val="none" w:sz="0" w:space="0" w:color="auto"/>
            <w:bottom w:val="none" w:sz="0" w:space="0" w:color="auto"/>
            <w:right w:val="none" w:sz="0" w:space="0" w:color="auto"/>
          </w:divBdr>
        </w:div>
        <w:div w:id="1332180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fif"/><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ABB1D-FCA7-49E6-B996-095B41B38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9052</Words>
  <Characters>49786</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Gaytan Lujan</dc:creator>
  <cp:keywords/>
  <dc:description/>
  <cp:lastModifiedBy>Andrea Daniela Flores Chacon</cp:lastModifiedBy>
  <cp:revision>2</cp:revision>
  <cp:lastPrinted>2026-09-08T19:53:00Z</cp:lastPrinted>
  <dcterms:created xsi:type="dcterms:W3CDTF">2026-09-09T16:17:00Z</dcterms:created>
  <dcterms:modified xsi:type="dcterms:W3CDTF">2026-09-09T16:17:00Z</dcterms:modified>
</cp:coreProperties>
</file>