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8B36"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H. CONGRESO DEL ESTADO</w:t>
      </w:r>
    </w:p>
    <w:p w14:paraId="085574BB"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P R E S E N T E.-</w:t>
      </w:r>
    </w:p>
    <w:p w14:paraId="516BE2CE"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b/>
          <w:bCs/>
          <w:color w:val="000000"/>
        </w:rPr>
      </w:pPr>
    </w:p>
    <w:p w14:paraId="32E8CD82"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La Comisión de Salud, con fundamento en lo dispuesto por los artículos 64, fracción II de la Constitución Política, 87, 88 y 111 de la Ley Orgánica del Poder Legislativo, así como 80 y 81 del Reglamento Interior y de Prácticas Parlamentarias del Poder Legi</w:t>
      </w:r>
      <w:r>
        <w:rPr>
          <w:rFonts w:ascii="Century Gothic" w:eastAsia="Century Gothic" w:hAnsi="Century Gothic" w:cs="Century Gothic"/>
          <w:color w:val="000000"/>
        </w:rPr>
        <w:t xml:space="preserve">slativo, todos ordenamientos del Estado de Chihuahua, somete a la consideración de este Alto Cuerpo Colegiado el presente Dictamen, elaborado con base a los siguientes: </w:t>
      </w:r>
    </w:p>
    <w:p w14:paraId="2820B172"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b/>
          <w:bCs/>
          <w:color w:val="000000"/>
        </w:rPr>
      </w:pPr>
    </w:p>
    <w:p w14:paraId="09442541" w14:textId="77777777" w:rsidR="00896A7E" w:rsidRDefault="00943736">
      <w:pPr>
        <w:pBdr>
          <w:top w:val="nil"/>
          <w:left w:val="nil"/>
          <w:bottom w:val="nil"/>
          <w:right w:val="nil"/>
          <w:between w:val="nil"/>
        </w:pBdr>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ANTECEDENTES</w:t>
      </w:r>
    </w:p>
    <w:p w14:paraId="1655E2FE" w14:textId="77777777" w:rsidR="00896A7E" w:rsidRDefault="00896A7E">
      <w:pPr>
        <w:pBdr>
          <w:top w:val="nil"/>
          <w:left w:val="nil"/>
          <w:bottom w:val="nil"/>
          <w:right w:val="nil"/>
          <w:between w:val="nil"/>
        </w:pBdr>
        <w:spacing w:line="360" w:lineRule="auto"/>
        <w:jc w:val="center"/>
        <w:rPr>
          <w:rFonts w:ascii="Century Gothic" w:eastAsia="Century Gothic" w:hAnsi="Century Gothic" w:cs="Century Gothic"/>
          <w:b/>
          <w:bCs/>
          <w:color w:val="000000"/>
        </w:rPr>
      </w:pPr>
    </w:p>
    <w:p w14:paraId="77F1DC79"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 xml:space="preserve">I.- </w:t>
      </w:r>
      <w:r>
        <w:rPr>
          <w:rFonts w:ascii="Century Gothic" w:eastAsia="Century Gothic" w:hAnsi="Century Gothic" w:cs="Century Gothic"/>
          <w:color w:val="000000"/>
        </w:rPr>
        <w:t>Con fecha 02 de diciembre del año 2025, las Diputadas y Diputados i</w:t>
      </w:r>
      <w:r>
        <w:rPr>
          <w:rFonts w:ascii="Century Gothic" w:eastAsia="Century Gothic" w:hAnsi="Century Gothic" w:cs="Century Gothic"/>
          <w:color w:val="000000"/>
        </w:rPr>
        <w:t>ntegrantes del Grupo Parlamentario del Partido Acción Nacional, presentaron iniciativa con carácter de decreto, a fin de adicionar un artículo 217 Bis a la Ley Estatal de Salud, con el propósito de intensificar la presencia, promoción y actividades de sens</w:t>
      </w:r>
      <w:r>
        <w:rPr>
          <w:rFonts w:ascii="Century Gothic" w:eastAsia="Century Gothic" w:hAnsi="Century Gothic" w:cs="Century Gothic"/>
          <w:color w:val="000000"/>
        </w:rPr>
        <w:t xml:space="preserve">ibilización en programas para la detección oportuna de diversos tipos de cáncer. </w:t>
      </w:r>
      <w:r>
        <w:rPr>
          <w:rFonts w:ascii="Century Gothic" w:eastAsia="Century Gothic" w:hAnsi="Century Gothic" w:cs="Century Gothic"/>
          <w:color w:val="000000"/>
          <w:vertAlign w:val="superscript"/>
        </w:rPr>
        <w:footnoteReference w:id="1"/>
      </w:r>
    </w:p>
    <w:p w14:paraId="14A402A0"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b/>
          <w:bCs/>
          <w:color w:val="000000"/>
        </w:rPr>
      </w:pPr>
    </w:p>
    <w:p w14:paraId="7305608E"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 xml:space="preserve">II.- </w:t>
      </w:r>
      <w:r>
        <w:rPr>
          <w:rFonts w:ascii="Century Gothic" w:eastAsia="Century Gothic" w:hAnsi="Century Gothic" w:cs="Century Gothic"/>
          <w:color w:val="000000"/>
        </w:rPr>
        <w:t xml:space="preserve">La Presidencia del H. Congreso del Estado, en uso de las facultades que le confiere el artículo 75, fracción XIII de la Ley Orgánica del Poder Legislativo, el día 04 </w:t>
      </w:r>
      <w:r>
        <w:rPr>
          <w:rFonts w:ascii="Century Gothic" w:eastAsia="Century Gothic" w:hAnsi="Century Gothic" w:cs="Century Gothic"/>
          <w:color w:val="000000"/>
        </w:rPr>
        <w:t xml:space="preserve">de diciembre del año 2025, tuvo a bien turnar a quienes integramos esta Comisión de Salud la Iniciativa de mérito, a efecto de proceder a su estudio, análisis y elaboración del correspondiente dictamen. </w:t>
      </w:r>
    </w:p>
    <w:p w14:paraId="30561CC6"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729AB510"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 xml:space="preserve">III.- </w:t>
      </w:r>
      <w:r>
        <w:rPr>
          <w:rFonts w:ascii="Century Gothic" w:eastAsia="Century Gothic" w:hAnsi="Century Gothic" w:cs="Century Gothic"/>
          <w:color w:val="000000"/>
        </w:rPr>
        <w:t xml:space="preserve">La exposición de motivos de la Iniciativa en </w:t>
      </w:r>
      <w:r>
        <w:rPr>
          <w:rFonts w:ascii="Century Gothic" w:eastAsia="Century Gothic" w:hAnsi="Century Gothic" w:cs="Century Gothic"/>
          <w:color w:val="000000"/>
        </w:rPr>
        <w:t>comento, se sustenta esencialmente en los siguientes argumentos:</w:t>
      </w:r>
    </w:p>
    <w:p w14:paraId="34211E8D" w14:textId="77777777" w:rsidR="00896A7E" w:rsidRDefault="00896A7E">
      <w:pPr>
        <w:spacing w:line="360" w:lineRule="auto"/>
        <w:ind w:right="82"/>
        <w:jc w:val="both"/>
        <w:rPr>
          <w:rFonts w:ascii="Century Gothic" w:eastAsia="Century Gothic" w:hAnsi="Century Gothic" w:cs="Century Gothic"/>
        </w:rPr>
      </w:pPr>
    </w:p>
    <w:p w14:paraId="759DC4E3"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“La salud pública es un pilar fundamental para el desarrollo social y económico de cualquier estado. Dentro de este ámbito, la prevención y detección temprana de enfermedades crónicas y degenerativas, particularmente los diversos tipos de cáncer, represent</w:t>
      </w:r>
      <w:r>
        <w:rPr>
          <w:rFonts w:ascii="Century Gothic" w:eastAsia="Century Gothic" w:hAnsi="Century Gothic" w:cs="Century Gothic"/>
          <w:i/>
          <w:iCs/>
        </w:rPr>
        <w:t xml:space="preserve">an un desafío crucial y una prioridad ineludible. </w:t>
      </w:r>
    </w:p>
    <w:p w14:paraId="4097251C" w14:textId="77777777" w:rsidR="00896A7E" w:rsidRDefault="00896A7E">
      <w:pPr>
        <w:ind w:left="567" w:right="616"/>
        <w:jc w:val="both"/>
        <w:rPr>
          <w:rFonts w:ascii="Century Gothic" w:eastAsia="Century Gothic" w:hAnsi="Century Gothic" w:cs="Century Gothic"/>
          <w:i/>
          <w:iCs/>
        </w:rPr>
      </w:pPr>
    </w:p>
    <w:p w14:paraId="01778BB3"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El estado tiene la imperiosa necesidad de intensificar y articular las estrategias de sensibilización y concientización enfocadas en tres tipos de cáncer con una alta incidencia y mortalidad si son detect</w:t>
      </w:r>
      <w:r>
        <w:rPr>
          <w:rFonts w:ascii="Century Gothic" w:eastAsia="Century Gothic" w:hAnsi="Century Gothic" w:cs="Century Gothic"/>
          <w:i/>
          <w:iCs/>
        </w:rPr>
        <w:t>ados en etapas avanzadas: el cáncer de mama, el cáncer cérvico-uterino y el cáncer de próstata.</w:t>
      </w:r>
    </w:p>
    <w:p w14:paraId="62371469" w14:textId="77777777" w:rsidR="00896A7E" w:rsidRDefault="00896A7E">
      <w:pPr>
        <w:ind w:left="567" w:right="616"/>
        <w:jc w:val="both"/>
        <w:rPr>
          <w:rFonts w:ascii="Century Gothic" w:eastAsia="Century Gothic" w:hAnsi="Century Gothic" w:cs="Century Gothic"/>
          <w:i/>
          <w:iCs/>
        </w:rPr>
      </w:pPr>
    </w:p>
    <w:p w14:paraId="7616FDCC"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La sensibilización no debe limitarse a la difusión esporádica de información, sino que debe constituirse como una política pública permanente, tal como lo señala la Ley Estatal de Salud, los programas para la atención de cánceres, deben de tener por objeto</w:t>
      </w:r>
      <w:r>
        <w:rPr>
          <w:rFonts w:ascii="Century Gothic" w:eastAsia="Century Gothic" w:hAnsi="Century Gothic" w:cs="Century Gothic"/>
          <w:i/>
          <w:iCs/>
        </w:rPr>
        <w:t xml:space="preserve"> la promoción, prevención, detección y tratamiento oportuno y especializado, lo cual, se realiza como una política pública de prioridad para este gobierno. </w:t>
      </w:r>
    </w:p>
    <w:p w14:paraId="6B1377DD" w14:textId="77777777" w:rsidR="00896A7E" w:rsidRDefault="00896A7E">
      <w:pPr>
        <w:ind w:left="567" w:right="616"/>
        <w:jc w:val="both"/>
        <w:rPr>
          <w:rFonts w:ascii="Century Gothic" w:eastAsia="Century Gothic" w:hAnsi="Century Gothic" w:cs="Century Gothic"/>
          <w:i/>
          <w:iCs/>
        </w:rPr>
      </w:pPr>
    </w:p>
    <w:p w14:paraId="64EA43C2"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La justificación para priorizar estos tres tipos de cáncer radica en su elevada prevalencia, la si</w:t>
      </w:r>
      <w:r>
        <w:rPr>
          <w:rFonts w:ascii="Century Gothic" w:eastAsia="Century Gothic" w:hAnsi="Century Gothic" w:cs="Century Gothic"/>
          <w:i/>
          <w:iCs/>
        </w:rPr>
        <w:t xml:space="preserve">gnificativa carga de morbilidad y mortalidad que imponen a la población, y, crucialmente, en el hecho de que su pronóstico mejora drásticamente con la detección temprana. </w:t>
      </w:r>
    </w:p>
    <w:p w14:paraId="0A3647AA" w14:textId="77777777" w:rsidR="00896A7E" w:rsidRDefault="00896A7E">
      <w:pPr>
        <w:ind w:left="567" w:right="616"/>
        <w:jc w:val="both"/>
        <w:rPr>
          <w:rFonts w:ascii="Century Gothic" w:eastAsia="Century Gothic" w:hAnsi="Century Gothic" w:cs="Century Gothic"/>
          <w:i/>
          <w:iCs/>
        </w:rPr>
      </w:pPr>
    </w:p>
    <w:p w14:paraId="5F680498"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Dada la importancia de la detección de estos cánceres, se les ha designado un mes e</w:t>
      </w:r>
      <w:r>
        <w:rPr>
          <w:rFonts w:ascii="Century Gothic" w:eastAsia="Century Gothic" w:hAnsi="Century Gothic" w:cs="Century Gothic"/>
          <w:i/>
          <w:iCs/>
        </w:rPr>
        <w:t xml:space="preserve">specífico en el que se realicen campañas enfocadas en su tratamiento y </w:t>
      </w:r>
      <w:proofErr w:type="spellStart"/>
      <w:r>
        <w:rPr>
          <w:rFonts w:ascii="Century Gothic" w:eastAsia="Century Gothic" w:hAnsi="Century Gothic" w:cs="Century Gothic"/>
          <w:i/>
          <w:iCs/>
        </w:rPr>
        <w:t>visibilización</w:t>
      </w:r>
      <w:proofErr w:type="spellEnd"/>
      <w:r>
        <w:rPr>
          <w:rFonts w:ascii="Century Gothic" w:eastAsia="Century Gothic" w:hAnsi="Century Gothic" w:cs="Century Gothic"/>
          <w:i/>
          <w:iCs/>
        </w:rPr>
        <w:t xml:space="preserve">. </w:t>
      </w:r>
    </w:p>
    <w:p w14:paraId="34853222" w14:textId="77777777" w:rsidR="00896A7E" w:rsidRDefault="00896A7E">
      <w:pPr>
        <w:ind w:left="567" w:right="616"/>
        <w:jc w:val="both"/>
        <w:rPr>
          <w:rFonts w:ascii="Century Gothic" w:eastAsia="Century Gothic" w:hAnsi="Century Gothic" w:cs="Century Gothic"/>
          <w:i/>
          <w:iCs/>
        </w:rPr>
      </w:pPr>
    </w:p>
    <w:p w14:paraId="74E0FFF1"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 xml:space="preserve">El mes de octubre, es reconocido mundialmente como el Mes de sensibilización sobre el cáncer de mama, el cual, ha logrado que </w:t>
      </w:r>
      <w:r>
        <w:rPr>
          <w:rFonts w:ascii="Century Gothic" w:eastAsia="Century Gothic" w:hAnsi="Century Gothic" w:cs="Century Gothic"/>
          <w:i/>
          <w:iCs/>
        </w:rPr>
        <w:lastRenderedPageBreak/>
        <w:t xml:space="preserve">sea descrito como el mes rosa, y es que, </w:t>
      </w:r>
      <w:r>
        <w:rPr>
          <w:rFonts w:ascii="Century Gothic" w:eastAsia="Century Gothic" w:hAnsi="Century Gothic" w:cs="Century Gothic"/>
          <w:i/>
          <w:iCs/>
        </w:rPr>
        <w:t>en México, este cáncer es la primera causa de muerte en mujeres de 25 años y más.</w:t>
      </w:r>
    </w:p>
    <w:p w14:paraId="76C7A63A" w14:textId="77777777" w:rsidR="00896A7E" w:rsidRDefault="00896A7E">
      <w:pPr>
        <w:ind w:left="567" w:right="616"/>
        <w:jc w:val="both"/>
        <w:rPr>
          <w:rFonts w:ascii="Century Gothic" w:eastAsia="Century Gothic" w:hAnsi="Century Gothic" w:cs="Century Gothic"/>
          <w:i/>
          <w:iCs/>
        </w:rPr>
      </w:pPr>
    </w:p>
    <w:p w14:paraId="6440EBA4"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 xml:space="preserve">Por su parte, el Centro Nacional de Equidad de Género, Salud Sexual y Reproductiva, ha reconocido al mes de agosto, como el Mes de sensibilización sobre el cáncer de cuello </w:t>
      </w:r>
      <w:r>
        <w:rPr>
          <w:rFonts w:ascii="Century Gothic" w:eastAsia="Century Gothic" w:hAnsi="Century Gothic" w:cs="Century Gothic"/>
          <w:i/>
          <w:iCs/>
        </w:rPr>
        <w:t xml:space="preserve">uterino, el cual representa el segundo tipo de cáncer más común en las mujeres mexicanas, pero no solo esto, si no que se trata de un cáncer altamente prevenible y curable si es detectado en sus etapas iniciales. </w:t>
      </w:r>
    </w:p>
    <w:p w14:paraId="299CD410" w14:textId="77777777" w:rsidR="00896A7E" w:rsidRDefault="00896A7E">
      <w:pPr>
        <w:ind w:left="567" w:right="616"/>
        <w:jc w:val="both"/>
        <w:rPr>
          <w:rFonts w:ascii="Century Gothic" w:eastAsia="Century Gothic" w:hAnsi="Century Gothic" w:cs="Century Gothic"/>
          <w:i/>
          <w:iCs/>
        </w:rPr>
      </w:pPr>
    </w:p>
    <w:p w14:paraId="0080295B"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Finalmente, para el cáncer de próstata, e</w:t>
      </w:r>
      <w:r>
        <w:rPr>
          <w:rFonts w:ascii="Century Gothic" w:eastAsia="Century Gothic" w:hAnsi="Century Gothic" w:cs="Century Gothic"/>
          <w:i/>
          <w:iCs/>
        </w:rPr>
        <w:t>l cual representa el tumor maligno de mayor incidencia en varones y una de las principales causas de mortalidad oncológica, tiene designado el mes de noviembre (mes azul), y en específico el 29 de noviembre, como el día nacional de la Lucha contra el cánce</w:t>
      </w:r>
      <w:r>
        <w:rPr>
          <w:rFonts w:ascii="Century Gothic" w:eastAsia="Century Gothic" w:hAnsi="Century Gothic" w:cs="Century Gothic"/>
          <w:i/>
          <w:iCs/>
        </w:rPr>
        <w:t xml:space="preserve">r de próstata, el cual reconoce la importancia de romper barreras culturales y de estigma en su detección y tratamiento. </w:t>
      </w:r>
    </w:p>
    <w:p w14:paraId="4FBF3CBC" w14:textId="77777777" w:rsidR="00896A7E" w:rsidRDefault="00896A7E">
      <w:pPr>
        <w:ind w:left="567" w:right="616"/>
        <w:jc w:val="both"/>
        <w:rPr>
          <w:rFonts w:ascii="Century Gothic" w:eastAsia="Century Gothic" w:hAnsi="Century Gothic" w:cs="Century Gothic"/>
          <w:i/>
          <w:iCs/>
        </w:rPr>
      </w:pPr>
    </w:p>
    <w:p w14:paraId="7689C65F"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La detección temprana es, inequívocamente, la herramienta más poderosa de la que dispone la salud pública para combatir estas neoplas</w:t>
      </w:r>
      <w:r>
        <w:rPr>
          <w:rFonts w:ascii="Century Gothic" w:eastAsia="Century Gothic" w:hAnsi="Century Gothic" w:cs="Century Gothic"/>
          <w:i/>
          <w:iCs/>
        </w:rPr>
        <w:t>ias. Una estrategia de concientización robusta, coordinada e inclusión, no solo salva vidas, sino que optimiza el uso de los recursos sanitarios al evitar tratamientos complejos, costosos y con resultados inciertos.</w:t>
      </w:r>
    </w:p>
    <w:p w14:paraId="1E8C1A28" w14:textId="77777777" w:rsidR="00896A7E" w:rsidRDefault="00896A7E">
      <w:pPr>
        <w:ind w:left="567" w:right="616"/>
        <w:jc w:val="both"/>
        <w:rPr>
          <w:rFonts w:ascii="Century Gothic" w:eastAsia="Century Gothic" w:hAnsi="Century Gothic" w:cs="Century Gothic"/>
          <w:i/>
          <w:iCs/>
        </w:rPr>
      </w:pPr>
    </w:p>
    <w:p w14:paraId="7FD43CE1"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Por tanto, la presente iniciativa tiene</w:t>
      </w:r>
      <w:r>
        <w:rPr>
          <w:rFonts w:ascii="Century Gothic" w:eastAsia="Century Gothic" w:hAnsi="Century Gothic" w:cs="Century Gothic"/>
          <w:i/>
          <w:iCs/>
        </w:rPr>
        <w:t xml:space="preserve"> como intención que, los programas y campañas, que ya se implementan, tengan un mayor enfoque y difusión durante los meses en que se realiza la sensibilización de los cánceres antes mencionados, lo que no solo implica que la ciudadanía haga de su conocimie</w:t>
      </w:r>
      <w:r>
        <w:rPr>
          <w:rFonts w:ascii="Century Gothic" w:eastAsia="Century Gothic" w:hAnsi="Century Gothic" w:cs="Century Gothic"/>
          <w:i/>
          <w:iCs/>
        </w:rPr>
        <w:t xml:space="preserve">nto que realizan estas acciones durante todo el año, si no que, además, su aplicación, tendrá una mayor difusión en los meses reconocidos especialmente a cada uno de ellos. </w:t>
      </w:r>
    </w:p>
    <w:p w14:paraId="0C308777" w14:textId="77777777" w:rsidR="00896A7E" w:rsidRDefault="00896A7E">
      <w:pPr>
        <w:ind w:left="567" w:right="616"/>
        <w:jc w:val="both"/>
        <w:rPr>
          <w:rFonts w:ascii="Century Gothic" w:eastAsia="Century Gothic" w:hAnsi="Century Gothic" w:cs="Century Gothic"/>
          <w:i/>
          <w:iCs/>
        </w:rPr>
      </w:pPr>
    </w:p>
    <w:p w14:paraId="3CC9A04B" w14:textId="77777777" w:rsidR="00896A7E" w:rsidRDefault="00943736">
      <w:pPr>
        <w:ind w:left="567" w:right="616"/>
        <w:jc w:val="both"/>
        <w:rPr>
          <w:rFonts w:ascii="Century Gothic" w:eastAsia="Century Gothic" w:hAnsi="Century Gothic" w:cs="Century Gothic"/>
          <w:i/>
          <w:iCs/>
        </w:rPr>
      </w:pPr>
      <w:r>
        <w:rPr>
          <w:rFonts w:ascii="Century Gothic" w:eastAsia="Century Gothic" w:hAnsi="Century Gothic" w:cs="Century Gothic"/>
          <w:i/>
          <w:iCs/>
        </w:rPr>
        <w:t>Abordar la concientización de estos padecimientos en meses específicos permite op</w:t>
      </w:r>
      <w:r>
        <w:rPr>
          <w:rFonts w:ascii="Century Gothic" w:eastAsia="Century Gothic" w:hAnsi="Century Gothic" w:cs="Century Gothic"/>
          <w:i/>
          <w:iCs/>
        </w:rPr>
        <w:t xml:space="preserve">timizar la comunicación, maximizar el impacto mediático y garantizar la atención de los servicios de salud en periodos críticos. Solo a través de la conciencia y la </w:t>
      </w:r>
      <w:r>
        <w:rPr>
          <w:rFonts w:ascii="Century Gothic" w:eastAsia="Century Gothic" w:hAnsi="Century Gothic" w:cs="Century Gothic"/>
          <w:i/>
          <w:iCs/>
        </w:rPr>
        <w:lastRenderedPageBreak/>
        <w:t>acción oportuna podremos transformar el panorama oncológico del Estado. El tiempo para la p</w:t>
      </w:r>
      <w:r>
        <w:rPr>
          <w:rFonts w:ascii="Century Gothic" w:eastAsia="Century Gothic" w:hAnsi="Century Gothic" w:cs="Century Gothic"/>
          <w:i/>
          <w:iCs/>
        </w:rPr>
        <w:t>revención es ahora.”</w:t>
      </w:r>
    </w:p>
    <w:p w14:paraId="1E1742B4" w14:textId="77777777" w:rsidR="00896A7E" w:rsidRDefault="00896A7E">
      <w:pPr>
        <w:spacing w:line="360" w:lineRule="auto"/>
        <w:ind w:right="82"/>
        <w:jc w:val="both"/>
        <w:rPr>
          <w:rFonts w:ascii="Century Gothic" w:eastAsia="Century Gothic" w:hAnsi="Century Gothic" w:cs="Century Gothic"/>
          <w:i/>
          <w:iCs/>
        </w:rPr>
      </w:pPr>
    </w:p>
    <w:p w14:paraId="7D66A49D" w14:textId="77777777" w:rsidR="00896A7E" w:rsidRDefault="00896A7E">
      <w:pPr>
        <w:spacing w:line="360" w:lineRule="auto"/>
        <w:ind w:right="82"/>
        <w:jc w:val="both"/>
        <w:rPr>
          <w:rFonts w:ascii="Century Gothic" w:eastAsia="Century Gothic" w:hAnsi="Century Gothic" w:cs="Century Gothic"/>
          <w:i/>
          <w:iCs/>
        </w:rPr>
      </w:pPr>
    </w:p>
    <w:p w14:paraId="65C62833"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IV.-</w:t>
      </w:r>
      <w:r>
        <w:rPr>
          <w:rFonts w:ascii="Century Gothic" w:eastAsia="Century Gothic" w:hAnsi="Century Gothic" w:cs="Century Gothic"/>
          <w:color w:val="000000"/>
        </w:rPr>
        <w:t xml:space="preserve"> Ahora bien, al entrar al estudio y análisis de la Iniciativa en comento, quienes integramos la Comisión de Salud, formulamos las siguientes:</w:t>
      </w:r>
    </w:p>
    <w:p w14:paraId="7E010E75"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099487DB"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22C9F06" w14:textId="77777777" w:rsidR="00896A7E" w:rsidRDefault="00943736">
      <w:pPr>
        <w:pBdr>
          <w:top w:val="nil"/>
          <w:left w:val="nil"/>
          <w:bottom w:val="nil"/>
          <w:right w:val="nil"/>
          <w:between w:val="nil"/>
        </w:pBdr>
        <w:spacing w:line="360" w:lineRule="auto"/>
        <w:jc w:val="center"/>
        <w:rPr>
          <w:rFonts w:ascii="Century Gothic" w:eastAsia="Century Gothic" w:hAnsi="Century Gothic" w:cs="Century Gothic"/>
          <w:b/>
          <w:bCs/>
          <w:color w:val="000000"/>
        </w:rPr>
      </w:pPr>
      <w:r>
        <w:rPr>
          <w:rFonts w:ascii="Century Gothic" w:eastAsia="Century Gothic" w:hAnsi="Century Gothic" w:cs="Century Gothic"/>
          <w:b/>
          <w:bCs/>
          <w:color w:val="000000"/>
        </w:rPr>
        <w:t>CONSIDERACIONES</w:t>
      </w:r>
    </w:p>
    <w:p w14:paraId="24DD6114" w14:textId="77777777" w:rsidR="00896A7E" w:rsidRDefault="00896A7E">
      <w:pPr>
        <w:pBdr>
          <w:top w:val="nil"/>
          <w:left w:val="nil"/>
          <w:bottom w:val="nil"/>
          <w:right w:val="nil"/>
          <w:between w:val="nil"/>
        </w:pBdr>
        <w:spacing w:line="360" w:lineRule="auto"/>
        <w:jc w:val="center"/>
        <w:rPr>
          <w:rFonts w:ascii="Century Gothic" w:eastAsia="Century Gothic" w:hAnsi="Century Gothic" w:cs="Century Gothic"/>
          <w:color w:val="000000"/>
        </w:rPr>
      </w:pPr>
    </w:p>
    <w:p w14:paraId="5BE20312"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I.-</w:t>
      </w:r>
      <w:r>
        <w:rPr>
          <w:rFonts w:ascii="Century Gothic" w:eastAsia="Century Gothic" w:hAnsi="Century Gothic" w:cs="Century Gothic"/>
          <w:color w:val="000000"/>
        </w:rPr>
        <w:t xml:space="preserve"> El H. Congreso del Estado, a través de esta Comisión de Dictamen Legislativo, es competente</w:t>
      </w:r>
      <w:r>
        <w:rPr>
          <w:rFonts w:ascii="Century Gothic" w:eastAsia="Century Gothic" w:hAnsi="Century Gothic" w:cs="Century Gothic"/>
          <w:color w:val="000000"/>
        </w:rPr>
        <w:t xml:space="preserve"> para conocer y resolver sobre el asunto descrito en el apartado de antecedentes.</w:t>
      </w:r>
    </w:p>
    <w:p w14:paraId="089CBC55"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7FF1C6D7"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i/>
          <w:iCs/>
          <w:color w:val="000000"/>
        </w:rPr>
      </w:pPr>
      <w:r>
        <w:rPr>
          <w:rFonts w:ascii="Century Gothic" w:eastAsia="Century Gothic" w:hAnsi="Century Gothic" w:cs="Century Gothic"/>
          <w:color w:val="000000"/>
        </w:rPr>
        <w:t xml:space="preserve">Tal como lo señala la </w:t>
      </w:r>
      <w:r>
        <w:rPr>
          <w:rFonts w:ascii="Century Gothic" w:eastAsia="Century Gothic" w:hAnsi="Century Gothic" w:cs="Century Gothic"/>
          <w:b/>
          <w:bCs/>
          <w:color w:val="000000"/>
        </w:rPr>
        <w:t>Constitución Política del Estado Libre y Soberano de Chihuahua,</w:t>
      </w:r>
      <w:r>
        <w:rPr>
          <w:rFonts w:ascii="Century Gothic" w:eastAsia="Century Gothic" w:hAnsi="Century Gothic" w:cs="Century Gothic"/>
          <w:b/>
          <w:bCs/>
          <w:color w:val="000000"/>
          <w:vertAlign w:val="superscript"/>
        </w:rPr>
        <w:footnoteReference w:id="2"/>
      </w:r>
      <w:r>
        <w:rPr>
          <w:rFonts w:ascii="Century Gothic" w:eastAsia="Century Gothic" w:hAnsi="Century Gothic" w:cs="Century Gothic"/>
          <w:color w:val="000000"/>
        </w:rPr>
        <w:t xml:space="preserve"> en su artículo 160: </w:t>
      </w:r>
      <w:r>
        <w:rPr>
          <w:rFonts w:ascii="Century Gothic" w:eastAsia="Century Gothic" w:hAnsi="Century Gothic" w:cs="Century Gothic"/>
          <w:i/>
          <w:iCs/>
          <w:color w:val="000000"/>
        </w:rPr>
        <w:t xml:space="preserve">“La Legislatura del Estado establecerá las normas sobre salud que no sean de la competencia exclusiva del Congreso de la Unión”. </w:t>
      </w:r>
    </w:p>
    <w:p w14:paraId="79662E9F"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i/>
          <w:iCs/>
          <w:color w:val="000000"/>
        </w:rPr>
      </w:pPr>
    </w:p>
    <w:p w14:paraId="6017882A"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 xml:space="preserve">II.- </w:t>
      </w:r>
      <w:r>
        <w:rPr>
          <w:rFonts w:ascii="Century Gothic" w:eastAsia="Century Gothic" w:hAnsi="Century Gothic" w:cs="Century Gothic"/>
          <w:color w:val="000000"/>
        </w:rPr>
        <w:t xml:space="preserve">Con la presente iniciativa se pretende reformar y adicionar diversas disposiciones de la </w:t>
      </w:r>
      <w:r>
        <w:rPr>
          <w:rFonts w:ascii="Century Gothic" w:eastAsia="Century Gothic" w:hAnsi="Century Gothic" w:cs="Century Gothic"/>
          <w:b/>
          <w:bCs/>
          <w:color w:val="000000"/>
        </w:rPr>
        <w:t>Ley Estatal de Salud</w:t>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footnoteReference w:id="3"/>
      </w:r>
      <w:r>
        <w:rPr>
          <w:rFonts w:ascii="Century Gothic" w:eastAsia="Century Gothic" w:hAnsi="Century Gothic" w:cs="Century Gothic"/>
          <w:color w:val="000000"/>
        </w:rPr>
        <w:t xml:space="preserve"> en mate</w:t>
      </w:r>
      <w:r>
        <w:rPr>
          <w:rFonts w:ascii="Century Gothic" w:eastAsia="Century Gothic" w:hAnsi="Century Gothic" w:cs="Century Gothic"/>
          <w:color w:val="000000"/>
        </w:rPr>
        <w:t xml:space="preserve">ria de “Programas para la Atención de Cánceres mamario, cérvico-uterino y de próstata.”  </w:t>
      </w:r>
    </w:p>
    <w:p w14:paraId="01CF9D96"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14DD2D4E"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lastRenderedPageBreak/>
        <w:t xml:space="preserve">III.- </w:t>
      </w:r>
      <w:r>
        <w:rPr>
          <w:rFonts w:ascii="Century Gothic" w:eastAsia="Century Gothic" w:hAnsi="Century Gothic" w:cs="Century Gothic"/>
          <w:color w:val="000000"/>
        </w:rPr>
        <w:t xml:space="preserve">Como antecedente a la propuesta en estudio, es necesario atender al contenido del derecho a disfrutar del más alto nivel posible de salud en las normas internacionales de derechos humanos. </w:t>
      </w:r>
    </w:p>
    <w:p w14:paraId="041FCA74"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52A688B3"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Para comenzar, la </w:t>
      </w:r>
      <w:r>
        <w:rPr>
          <w:rFonts w:ascii="Century Gothic" w:eastAsia="Century Gothic" w:hAnsi="Century Gothic" w:cs="Century Gothic"/>
          <w:b/>
          <w:bCs/>
          <w:color w:val="000000"/>
        </w:rPr>
        <w:t>Declaración Universal de los Derechos Humanos</w:t>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footnoteReference w:id="4"/>
      </w:r>
      <w:r>
        <w:rPr>
          <w:rFonts w:ascii="Century Gothic" w:eastAsia="Century Gothic" w:hAnsi="Century Gothic" w:cs="Century Gothic"/>
          <w:color w:val="000000"/>
        </w:rPr>
        <w:t xml:space="preserve"> establece este derecho en su artículo 25, que a la letra señala: </w:t>
      </w:r>
    </w:p>
    <w:p w14:paraId="59D71C95"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C706D00" w14:textId="77777777" w:rsidR="00896A7E" w:rsidRDefault="00943736">
      <w:pPr>
        <w:pBdr>
          <w:top w:val="nil"/>
          <w:left w:val="nil"/>
          <w:bottom w:val="nil"/>
          <w:right w:val="nil"/>
          <w:between w:val="nil"/>
        </w:pBdr>
        <w:spacing w:line="360" w:lineRule="auto"/>
        <w:ind w:left="567" w:right="616"/>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t>“Artículo 25</w:t>
      </w:r>
    </w:p>
    <w:p w14:paraId="70126FEA" w14:textId="77777777" w:rsidR="00896A7E" w:rsidRDefault="00943736">
      <w:pPr>
        <w:pBdr>
          <w:top w:val="nil"/>
          <w:left w:val="nil"/>
          <w:bottom w:val="nil"/>
          <w:right w:val="nil"/>
          <w:between w:val="nil"/>
        </w:pBdr>
        <w:spacing w:line="360" w:lineRule="auto"/>
        <w:ind w:left="567" w:right="616"/>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t>1. Toda persona tiene derecho a un nivel de vida adecuado que le asegure, así como a su familia, la salud y el bienestar, y en especial la alimentación, el vestido, la vivienda, la asistencia médica y los servicios sociales necesarios; …”.</w:t>
      </w:r>
    </w:p>
    <w:p w14:paraId="0E5C58D3"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07C85106"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El </w:t>
      </w:r>
      <w:r>
        <w:rPr>
          <w:rFonts w:ascii="Century Gothic" w:eastAsia="Century Gothic" w:hAnsi="Century Gothic" w:cs="Century Gothic"/>
          <w:b/>
          <w:bCs/>
          <w:color w:val="000000"/>
        </w:rPr>
        <w:t>Pacto Intern</w:t>
      </w:r>
      <w:r>
        <w:rPr>
          <w:rFonts w:ascii="Century Gothic" w:eastAsia="Century Gothic" w:hAnsi="Century Gothic" w:cs="Century Gothic"/>
          <w:b/>
          <w:bCs/>
          <w:color w:val="000000"/>
        </w:rPr>
        <w:t>acional de Derechos Económicos, Sociales y Culturales</w:t>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footnoteReference w:id="5"/>
      </w:r>
      <w:r>
        <w:rPr>
          <w:rFonts w:ascii="Century Gothic" w:eastAsia="Century Gothic" w:hAnsi="Century Gothic" w:cs="Century Gothic"/>
          <w:color w:val="000000"/>
        </w:rPr>
        <w:t xml:space="preserve"> que en general se considera el instrumento fundamental para la protección del derecho a la salud, lo establece en su artículo 12. Su contenido es el siguiente: </w:t>
      </w:r>
    </w:p>
    <w:p w14:paraId="2AD919C4"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65BE2BB9" w14:textId="77777777" w:rsidR="00896A7E" w:rsidRDefault="00943736">
      <w:pPr>
        <w:pBdr>
          <w:top w:val="nil"/>
          <w:left w:val="nil"/>
          <w:bottom w:val="nil"/>
          <w:right w:val="nil"/>
          <w:between w:val="nil"/>
        </w:pBdr>
        <w:spacing w:line="360" w:lineRule="auto"/>
        <w:ind w:right="616" w:firstLine="709"/>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t>“Artículo 12</w:t>
      </w:r>
    </w:p>
    <w:p w14:paraId="4BA048E6" w14:textId="77777777" w:rsidR="00896A7E" w:rsidRDefault="00943736">
      <w:pPr>
        <w:pBdr>
          <w:top w:val="nil"/>
          <w:left w:val="nil"/>
          <w:bottom w:val="nil"/>
          <w:right w:val="nil"/>
          <w:between w:val="nil"/>
        </w:pBdr>
        <w:spacing w:line="360" w:lineRule="auto"/>
        <w:ind w:left="708" w:right="616"/>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t>1. Los Estados Partes en el presente Pacto reconocen el derecho de toda persona al disfrute del más alto nivel posible de salud física y mental.</w:t>
      </w:r>
    </w:p>
    <w:p w14:paraId="5F198096" w14:textId="77777777" w:rsidR="00896A7E" w:rsidRDefault="00943736">
      <w:pPr>
        <w:pBdr>
          <w:top w:val="nil"/>
          <w:left w:val="nil"/>
          <w:bottom w:val="nil"/>
          <w:right w:val="nil"/>
          <w:between w:val="nil"/>
        </w:pBdr>
        <w:spacing w:line="360" w:lineRule="auto"/>
        <w:ind w:left="708" w:right="616"/>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lastRenderedPageBreak/>
        <w:t>2. Entre las medidas que deberán adoptar los Estados Partes en el Pacto a fin de asegurar la plena efectividad de este derecho, figurarán las necesarias para:</w:t>
      </w:r>
    </w:p>
    <w:p w14:paraId="7066DCF2" w14:textId="77777777" w:rsidR="00896A7E" w:rsidRDefault="00943736">
      <w:pPr>
        <w:pBdr>
          <w:top w:val="nil"/>
          <w:left w:val="nil"/>
          <w:bottom w:val="nil"/>
          <w:right w:val="nil"/>
          <w:between w:val="nil"/>
        </w:pBdr>
        <w:spacing w:line="360" w:lineRule="auto"/>
        <w:ind w:left="708" w:right="616"/>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t>…</w:t>
      </w:r>
    </w:p>
    <w:p w14:paraId="353723AE" w14:textId="77777777" w:rsidR="00896A7E" w:rsidRDefault="00943736">
      <w:pPr>
        <w:pBdr>
          <w:top w:val="nil"/>
          <w:left w:val="nil"/>
          <w:bottom w:val="nil"/>
          <w:right w:val="nil"/>
          <w:between w:val="nil"/>
        </w:pBdr>
        <w:spacing w:line="360" w:lineRule="auto"/>
        <w:ind w:left="708" w:right="616"/>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t>c) La prevención y el tratamiento de las enfermedades epidémicas, endémicas, profesionales y de</w:t>
      </w:r>
      <w:r>
        <w:rPr>
          <w:rFonts w:ascii="Century Gothic" w:eastAsia="Century Gothic" w:hAnsi="Century Gothic" w:cs="Century Gothic"/>
          <w:i/>
          <w:iCs/>
          <w:color w:val="000000"/>
          <w:sz w:val="22"/>
          <w:szCs w:val="22"/>
        </w:rPr>
        <w:t xml:space="preserve"> otra índole, y la lucha contra ellas;</w:t>
      </w:r>
    </w:p>
    <w:p w14:paraId="1F60961E" w14:textId="77777777" w:rsidR="00896A7E" w:rsidRDefault="00943736">
      <w:pPr>
        <w:pBdr>
          <w:top w:val="nil"/>
          <w:left w:val="nil"/>
          <w:bottom w:val="nil"/>
          <w:right w:val="nil"/>
          <w:between w:val="nil"/>
        </w:pBdr>
        <w:spacing w:line="360" w:lineRule="auto"/>
        <w:ind w:left="708" w:right="616"/>
        <w:jc w:val="both"/>
        <w:rPr>
          <w:rFonts w:ascii="Century Gothic" w:eastAsia="Century Gothic" w:hAnsi="Century Gothic" w:cs="Century Gothic"/>
          <w:i/>
          <w:iCs/>
          <w:color w:val="000000"/>
          <w:sz w:val="22"/>
          <w:szCs w:val="22"/>
        </w:rPr>
      </w:pPr>
      <w:r>
        <w:rPr>
          <w:rFonts w:ascii="Century Gothic" w:eastAsia="Century Gothic" w:hAnsi="Century Gothic" w:cs="Century Gothic"/>
          <w:i/>
          <w:iCs/>
          <w:color w:val="000000"/>
          <w:sz w:val="22"/>
          <w:szCs w:val="22"/>
        </w:rPr>
        <w:t>d) La creación de condiciones que aseguren a todos asistencia médica y servicios médicos en caso de enfermedad.”</w:t>
      </w:r>
    </w:p>
    <w:p w14:paraId="576BB073"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595D046B"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b/>
          <w:bCs/>
          <w:color w:val="000000"/>
        </w:rPr>
      </w:pPr>
    </w:p>
    <w:p w14:paraId="607F5223"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IV.-</w:t>
      </w:r>
      <w:r>
        <w:rPr>
          <w:rFonts w:ascii="Century Gothic" w:eastAsia="Century Gothic" w:hAnsi="Century Gothic" w:cs="Century Gothic"/>
          <w:color w:val="000000"/>
        </w:rPr>
        <w:t xml:space="preserve"> Por su parte, el Estado Mexicano consagra el derecho a la salud, en el artículo 4°, de la </w:t>
      </w:r>
      <w:r>
        <w:rPr>
          <w:rFonts w:ascii="Century Gothic" w:eastAsia="Century Gothic" w:hAnsi="Century Gothic" w:cs="Century Gothic"/>
          <w:b/>
          <w:bCs/>
          <w:color w:val="000000"/>
        </w:rPr>
        <w:t>Constit</w:t>
      </w:r>
      <w:r>
        <w:rPr>
          <w:rFonts w:ascii="Century Gothic" w:eastAsia="Century Gothic" w:hAnsi="Century Gothic" w:cs="Century Gothic"/>
          <w:b/>
          <w:bCs/>
          <w:color w:val="000000"/>
        </w:rPr>
        <w:t>ución Política de los Estados Unidos Mexicanos.</w:t>
      </w:r>
      <w:r>
        <w:rPr>
          <w:rFonts w:ascii="Century Gothic" w:eastAsia="Century Gothic" w:hAnsi="Century Gothic" w:cs="Century Gothic"/>
          <w:b/>
          <w:bCs/>
          <w:color w:val="000000"/>
          <w:vertAlign w:val="superscript"/>
        </w:rPr>
        <w:footnoteReference w:id="6"/>
      </w:r>
      <w:r>
        <w:rPr>
          <w:rFonts w:ascii="Century Gothic" w:eastAsia="Century Gothic" w:hAnsi="Century Gothic" w:cs="Century Gothic"/>
          <w:color w:val="000000"/>
        </w:rPr>
        <w:t xml:space="preserve">   </w:t>
      </w:r>
    </w:p>
    <w:p w14:paraId="0F7EFDAE"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15D6C472"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 este tenor, y en el marco del cumplimiento de las obligaciones internacionales del Estado mexicano, la </w:t>
      </w:r>
      <w:r>
        <w:rPr>
          <w:rFonts w:ascii="Century Gothic" w:eastAsia="Century Gothic" w:hAnsi="Century Gothic" w:cs="Century Gothic"/>
          <w:b/>
          <w:bCs/>
          <w:color w:val="000000"/>
        </w:rPr>
        <w:t>Ley General de Salud,</w:t>
      </w:r>
      <w:r>
        <w:rPr>
          <w:rFonts w:ascii="Century Gothic" w:eastAsia="Century Gothic" w:hAnsi="Century Gothic" w:cs="Century Gothic"/>
          <w:b/>
          <w:bCs/>
          <w:color w:val="000000"/>
          <w:vertAlign w:val="superscript"/>
        </w:rPr>
        <w:footnoteReference w:id="7"/>
      </w:r>
      <w:r>
        <w:rPr>
          <w:rFonts w:ascii="Century Gothic" w:eastAsia="Century Gothic" w:hAnsi="Century Gothic" w:cs="Century Gothic"/>
          <w:b/>
          <w:bCs/>
          <w:color w:val="000000"/>
        </w:rPr>
        <w:t xml:space="preserve"> </w:t>
      </w:r>
      <w:r>
        <w:rPr>
          <w:rFonts w:ascii="Century Gothic" w:eastAsia="Century Gothic" w:hAnsi="Century Gothic" w:cs="Century Gothic"/>
          <w:color w:val="000000"/>
        </w:rPr>
        <w:t>establece en su artículo 2°, fracción VIII, que, una de las finalidades del derecho a la protección de la salud, es:</w:t>
      </w:r>
    </w:p>
    <w:p w14:paraId="6B3B00C9"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519A01C6" w14:textId="77777777" w:rsidR="00896A7E" w:rsidRDefault="00943736">
      <w:pPr>
        <w:pBdr>
          <w:top w:val="nil"/>
          <w:left w:val="nil"/>
          <w:bottom w:val="nil"/>
          <w:right w:val="nil"/>
          <w:between w:val="nil"/>
        </w:pBdr>
        <w:spacing w:line="360" w:lineRule="auto"/>
        <w:ind w:left="851" w:right="758"/>
        <w:jc w:val="both"/>
        <w:rPr>
          <w:rFonts w:ascii="Century Gothic" w:eastAsia="Century Gothic" w:hAnsi="Century Gothic" w:cs="Century Gothic"/>
          <w:i/>
          <w:iCs/>
          <w:color w:val="000000"/>
        </w:rPr>
      </w:pPr>
      <w:r>
        <w:rPr>
          <w:rFonts w:ascii="Century Gothic" w:eastAsia="Century Gothic" w:hAnsi="Century Gothic" w:cs="Century Gothic"/>
          <w:i/>
          <w:iCs/>
          <w:color w:val="000000"/>
        </w:rPr>
        <w:t>“VIII. La promoción de la salud y la prevención de las enfermedades.”</w:t>
      </w:r>
    </w:p>
    <w:p w14:paraId="1C42F25B"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4F585656"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Lo anterior reviste importancia ya que el objetivo de la iniciativa en estudio, puede concretarse de la siguiente manera: </w:t>
      </w:r>
      <w:r>
        <w:rPr>
          <w:rFonts w:ascii="Century Gothic" w:eastAsia="Century Gothic" w:hAnsi="Century Gothic" w:cs="Century Gothic"/>
          <w:i/>
          <w:iCs/>
          <w:color w:val="000000"/>
        </w:rPr>
        <w:t xml:space="preserve">intensificar la presencia, promoción y actividades de sensibilización en Programas para la Atención </w:t>
      </w:r>
      <w:r>
        <w:rPr>
          <w:rFonts w:ascii="Century Gothic" w:eastAsia="Century Gothic" w:hAnsi="Century Gothic" w:cs="Century Gothic"/>
          <w:i/>
          <w:iCs/>
          <w:color w:val="000000"/>
        </w:rPr>
        <w:lastRenderedPageBreak/>
        <w:t>de Cánceres, especialmente durante</w:t>
      </w:r>
      <w:r>
        <w:rPr>
          <w:rFonts w:ascii="Century Gothic" w:eastAsia="Century Gothic" w:hAnsi="Century Gothic" w:cs="Century Gothic"/>
          <w:i/>
          <w:iCs/>
          <w:color w:val="000000"/>
        </w:rPr>
        <w:t xml:space="preserve"> los meses de octubre, agosto y noviembre.</w:t>
      </w:r>
    </w:p>
    <w:p w14:paraId="0AF513D0"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7705BB9F"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i/>
          <w:iCs/>
          <w:color w:val="000000"/>
        </w:rPr>
      </w:pPr>
      <w:r>
        <w:rPr>
          <w:rFonts w:ascii="Century Gothic" w:eastAsia="Century Gothic" w:hAnsi="Century Gothic" w:cs="Century Gothic"/>
          <w:b/>
          <w:bCs/>
          <w:color w:val="000000"/>
        </w:rPr>
        <w:t>V.-</w:t>
      </w:r>
      <w:r>
        <w:rPr>
          <w:rFonts w:ascii="Century Gothic" w:eastAsia="Century Gothic" w:hAnsi="Century Gothic" w:cs="Century Gothic"/>
          <w:color w:val="000000"/>
        </w:rPr>
        <w:t xml:space="preserve"> Al respecto, la </w:t>
      </w:r>
      <w:r>
        <w:rPr>
          <w:rFonts w:ascii="Century Gothic" w:eastAsia="Century Gothic" w:hAnsi="Century Gothic" w:cs="Century Gothic"/>
          <w:b/>
          <w:bCs/>
          <w:color w:val="000000"/>
        </w:rPr>
        <w:t>Ley Estatal de Salud</w:t>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footnoteReference w:id="8"/>
      </w:r>
      <w:r>
        <w:rPr>
          <w:rFonts w:ascii="Century Gothic" w:eastAsia="Century Gothic" w:hAnsi="Century Gothic" w:cs="Century Gothic"/>
          <w:color w:val="000000"/>
        </w:rPr>
        <w:t xml:space="preserve"> en su artículo 3°, fracción XVII, señala que,</w:t>
      </w:r>
      <w:r>
        <w:rPr>
          <w:color w:val="000000"/>
        </w:rPr>
        <w:t xml:space="preserve"> </w:t>
      </w:r>
      <w:r>
        <w:rPr>
          <w:rFonts w:ascii="Century Gothic" w:eastAsia="Century Gothic" w:hAnsi="Century Gothic" w:cs="Century Gothic"/>
          <w:color w:val="000000"/>
        </w:rPr>
        <w:t xml:space="preserve">en materia de salubridad general, corresponde al Estado, por conducto de la Secretaría de Salud: </w:t>
      </w:r>
      <w:r>
        <w:rPr>
          <w:rFonts w:ascii="Century Gothic" w:eastAsia="Century Gothic" w:hAnsi="Century Gothic" w:cs="Century Gothic"/>
          <w:i/>
          <w:iCs/>
          <w:color w:val="000000"/>
        </w:rPr>
        <w:t xml:space="preserve">“La prevención y el control de enfermedades no transmisibles…” </w:t>
      </w:r>
    </w:p>
    <w:p w14:paraId="31FBB148"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1FCCEE00"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Derivado de dicha responsabilidad, la </w:t>
      </w:r>
      <w:r>
        <w:rPr>
          <w:rFonts w:ascii="Century Gothic" w:eastAsia="Century Gothic" w:hAnsi="Century Gothic" w:cs="Century Gothic"/>
          <w:b/>
          <w:bCs/>
          <w:color w:val="000000"/>
        </w:rPr>
        <w:t>Secretaría de Salud del Gobierno del Estado</w:t>
      </w:r>
      <w:r>
        <w:rPr>
          <w:rFonts w:ascii="Century Gothic" w:eastAsia="Century Gothic" w:hAnsi="Century Gothic" w:cs="Century Gothic"/>
          <w:color w:val="000000"/>
        </w:rPr>
        <w:t xml:space="preserve">, desarrolla </w:t>
      </w:r>
      <w:r>
        <w:rPr>
          <w:rFonts w:ascii="Century Gothic" w:eastAsia="Century Gothic" w:hAnsi="Century Gothic" w:cs="Century Gothic"/>
          <w:color w:val="000000"/>
        </w:rPr>
        <w:t xml:space="preserve">los Programas para la Atención de Cánceres mamario, cérvico-uterino y de próstata, mismos que tienen como objeto la promoción, prevención, detección y tratamiento oportuno y especializado, de estas enfermedades. </w:t>
      </w:r>
    </w:p>
    <w:p w14:paraId="13D33D7C"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9EA7C77"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 través de estos, se efectúan los estudio</w:t>
      </w:r>
      <w:r>
        <w:rPr>
          <w:rFonts w:ascii="Century Gothic" w:eastAsia="Century Gothic" w:hAnsi="Century Gothic" w:cs="Century Gothic"/>
          <w:color w:val="000000"/>
        </w:rPr>
        <w:t xml:space="preserve">s de laboratorio e imagen correspondientes, gratuitos a la población no derechohabiente de servicios médicos de salud, en el Estado. </w:t>
      </w:r>
    </w:p>
    <w:p w14:paraId="23B5A079"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09DA0120"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Sus prioridades, según el artículo 216 de la </w:t>
      </w:r>
      <w:r>
        <w:rPr>
          <w:rFonts w:ascii="Century Gothic" w:eastAsia="Century Gothic" w:hAnsi="Century Gothic" w:cs="Century Gothic"/>
          <w:b/>
          <w:bCs/>
          <w:color w:val="000000"/>
        </w:rPr>
        <w:t>Ley Estatal de Salud</w:t>
      </w:r>
      <w:r>
        <w:rPr>
          <w:rFonts w:ascii="Century Gothic" w:eastAsia="Century Gothic" w:hAnsi="Century Gothic" w:cs="Century Gothic"/>
          <w:color w:val="000000"/>
        </w:rPr>
        <w:t>, son las siguientes:</w:t>
      </w:r>
    </w:p>
    <w:p w14:paraId="0B69E0D3"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77E2BAF7" w14:textId="77777777" w:rsidR="00896A7E" w:rsidRDefault="00943736">
      <w:pPr>
        <w:numPr>
          <w:ilvl w:val="0"/>
          <w:numId w:val="2"/>
        </w:num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Disminuir los índices de morbilidad y mortalidad que causan estas enfermedades.</w:t>
      </w:r>
    </w:p>
    <w:p w14:paraId="502B9E66" w14:textId="77777777" w:rsidR="00896A7E" w:rsidRDefault="00943736">
      <w:pPr>
        <w:numPr>
          <w:ilvl w:val="0"/>
          <w:numId w:val="2"/>
        </w:num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Procurar la obertura, acceso y calidad de los servicios en el proceso de detección oportuna, diagnóstico y tratamiento de estas enfermedades.</w:t>
      </w:r>
    </w:p>
    <w:p w14:paraId="346894E2" w14:textId="77777777" w:rsidR="00896A7E" w:rsidRDefault="00896A7E">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2B24762C" w14:textId="77777777" w:rsidR="00896A7E" w:rsidRDefault="00943736">
      <w:pPr>
        <w:numPr>
          <w:ilvl w:val="0"/>
          <w:numId w:val="2"/>
        </w:num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Promover la participación de hombres y mujeres en estos programas.</w:t>
      </w:r>
    </w:p>
    <w:p w14:paraId="30D6482F"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79BF084" w14:textId="77777777" w:rsidR="00896A7E" w:rsidRDefault="00943736">
      <w:pPr>
        <w:numPr>
          <w:ilvl w:val="0"/>
          <w:numId w:val="2"/>
        </w:num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Coordinar las unidades de detección y los servicios asistenciales, para asegurar el diagnóstico, tratamiento y seguimiento, adecuados y oportunos, de los casos detectados.</w:t>
      </w:r>
    </w:p>
    <w:p w14:paraId="2466CFB2"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173AAE0B" w14:textId="77777777" w:rsidR="00896A7E" w:rsidRDefault="00943736">
      <w:pPr>
        <w:numPr>
          <w:ilvl w:val="0"/>
          <w:numId w:val="2"/>
        </w:num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Fomentar la inv</w:t>
      </w:r>
      <w:r>
        <w:rPr>
          <w:rFonts w:ascii="Century Gothic" w:eastAsia="Century Gothic" w:hAnsi="Century Gothic" w:cs="Century Gothic"/>
          <w:color w:val="000000"/>
        </w:rPr>
        <w:t>estigación para la prevención, diagnóstico y atención relacionada con estas patologías en las diferentes áreas de incidencia y grupos de población.</w:t>
      </w:r>
    </w:p>
    <w:p w14:paraId="41338F52"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720E26E3" w14:textId="77777777" w:rsidR="00896A7E" w:rsidRDefault="00943736">
      <w:pPr>
        <w:numPr>
          <w:ilvl w:val="0"/>
          <w:numId w:val="2"/>
        </w:num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Promover la educación del cuidado a la salud, en la población en general.</w:t>
      </w:r>
    </w:p>
    <w:p w14:paraId="23F6B419"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4A67F0A2" w14:textId="77777777" w:rsidR="00896A7E" w:rsidRDefault="00943736">
      <w:pPr>
        <w:numPr>
          <w:ilvl w:val="0"/>
          <w:numId w:val="2"/>
        </w:num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Estimular la capacitación en los profesionales de la salud. </w:t>
      </w:r>
    </w:p>
    <w:p w14:paraId="1087509E"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322C881A"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 este tenor, el Gobierno del Estado, a través de la Secretaría de Salud, ha informado que desde el inicio de la actual administración estatal y hasta cerrar el año 2025, se contabilizan 82 mil</w:t>
      </w:r>
      <w:r>
        <w:rPr>
          <w:rFonts w:ascii="Century Gothic" w:eastAsia="Century Gothic" w:hAnsi="Century Gothic" w:cs="Century Gothic"/>
          <w:color w:val="000000"/>
        </w:rPr>
        <w:t xml:space="preserve"> 467 sesiones de radioterapia otorgadas con acelerador lineal, a un total de 6 mil 049 personas.</w:t>
      </w:r>
    </w:p>
    <w:p w14:paraId="716E2AF4"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A72C6DB"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De dicha cifra, 44 mil 894 han sido realizadas en el Centro Estatal de Cancerología, donde se ha impactado a 2 mil 056 usuarios, de los cuales, 1,632 han logr</w:t>
      </w:r>
      <w:r>
        <w:rPr>
          <w:rFonts w:ascii="Century Gothic" w:eastAsia="Century Gothic" w:hAnsi="Century Gothic" w:cs="Century Gothic"/>
          <w:color w:val="000000"/>
        </w:rPr>
        <w:t>ado concluir su tratamiento.</w:t>
      </w:r>
    </w:p>
    <w:p w14:paraId="10438EE9"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0ACE41D6"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Por su parte, el Centro Regional de Radioterapia Zona Norte suma 37 mil 573 sesiones brindadas a cerca de 4 mil pacientes beneficiados, con un registro de 2 mil 035 tratamientos terminados.</w:t>
      </w:r>
    </w:p>
    <w:p w14:paraId="25C06345"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60AD0E34"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En ambos espacios, 2025 resalta com</w:t>
      </w:r>
      <w:r>
        <w:rPr>
          <w:rFonts w:ascii="Century Gothic" w:eastAsia="Century Gothic" w:hAnsi="Century Gothic" w:cs="Century Gothic"/>
          <w:color w:val="000000"/>
        </w:rPr>
        <w:t>o el año en que más sesiones de radioterapia se han otorgado, con 15 mil 391 facilitadas en el recinto con sede en la ciudad de Chihuahua, y 13 mil 775 en las instalaciones ubicadas en Ciudad Juárez.</w:t>
      </w:r>
      <w:r>
        <w:rPr>
          <w:rFonts w:ascii="Century Gothic" w:eastAsia="Century Gothic" w:hAnsi="Century Gothic" w:cs="Century Gothic"/>
          <w:color w:val="000000"/>
          <w:vertAlign w:val="superscript"/>
        </w:rPr>
        <w:footnoteReference w:id="9"/>
      </w:r>
      <w:r>
        <w:rPr>
          <w:rFonts w:ascii="Century Gothic" w:eastAsia="Century Gothic" w:hAnsi="Century Gothic" w:cs="Century Gothic"/>
          <w:color w:val="000000"/>
        </w:rPr>
        <w:t xml:space="preserve"> </w:t>
      </w:r>
    </w:p>
    <w:p w14:paraId="6A06CD4F"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1FF4989"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VI.-</w:t>
      </w:r>
      <w:r>
        <w:rPr>
          <w:rFonts w:ascii="Century Gothic" w:eastAsia="Century Gothic" w:hAnsi="Century Gothic" w:cs="Century Gothic"/>
          <w:color w:val="000000"/>
        </w:rPr>
        <w:t xml:space="preserve"> Cabe señalar que en reunión de trabajo de la Co</w:t>
      </w:r>
      <w:r>
        <w:rPr>
          <w:rFonts w:ascii="Century Gothic" w:eastAsia="Century Gothic" w:hAnsi="Century Gothic" w:cs="Century Gothic"/>
          <w:color w:val="000000"/>
        </w:rPr>
        <w:t xml:space="preserve">misión de mérito de fecha 29 de enero de 2026, sus integrantes acordamos solicitar la opinión técnica y jurídica de la </w:t>
      </w:r>
      <w:r>
        <w:rPr>
          <w:rFonts w:ascii="Century Gothic" w:eastAsia="Century Gothic" w:hAnsi="Century Gothic" w:cs="Century Gothic"/>
          <w:b/>
          <w:bCs/>
          <w:color w:val="000000"/>
        </w:rPr>
        <w:t>Secretaría de Salud</w:t>
      </w:r>
      <w:r>
        <w:rPr>
          <w:rFonts w:ascii="Century Gothic" w:eastAsia="Century Gothic" w:hAnsi="Century Gothic" w:cs="Century Gothic"/>
          <w:color w:val="000000"/>
        </w:rPr>
        <w:t xml:space="preserve">, a fin de obtener mayor información que nos permitiera dictaminar el presente asunto. </w:t>
      </w:r>
    </w:p>
    <w:p w14:paraId="59B4CD95"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083FAB8B"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i/>
          <w:iCs/>
          <w:color w:val="000000"/>
        </w:rPr>
      </w:pPr>
      <w:r>
        <w:rPr>
          <w:rFonts w:ascii="Century Gothic" w:eastAsia="Century Gothic" w:hAnsi="Century Gothic" w:cs="Century Gothic"/>
          <w:color w:val="000000"/>
        </w:rPr>
        <w:t>En este sentido, el día 05 de</w:t>
      </w:r>
      <w:r>
        <w:rPr>
          <w:rFonts w:ascii="Century Gothic" w:eastAsia="Century Gothic" w:hAnsi="Century Gothic" w:cs="Century Gothic"/>
          <w:color w:val="000000"/>
        </w:rPr>
        <w:t xml:space="preserve"> marzo de 2026, recibimos oficio número </w:t>
      </w:r>
      <w:r>
        <w:rPr>
          <w:rFonts w:ascii="Century Gothic" w:eastAsia="Century Gothic" w:hAnsi="Century Gothic" w:cs="Century Gothic"/>
          <w:b/>
          <w:bCs/>
          <w:color w:val="000000"/>
        </w:rPr>
        <w:t>DPCE/SSR/CM/260020/2026</w:t>
      </w:r>
      <w:r>
        <w:rPr>
          <w:rFonts w:ascii="Century Gothic" w:eastAsia="Century Gothic" w:hAnsi="Century Gothic" w:cs="Century Gothic"/>
          <w:color w:val="000000"/>
        </w:rPr>
        <w:t xml:space="preserve">, remitido por la Jefatura del Departamento de Servicios Jurídicos de la Secretaría antes mencionada, manifestando la conformidad por parte de dicha dependencia con la reforma propuesta, de la </w:t>
      </w:r>
      <w:r>
        <w:rPr>
          <w:rFonts w:ascii="Century Gothic" w:eastAsia="Century Gothic" w:hAnsi="Century Gothic" w:cs="Century Gothic"/>
          <w:color w:val="000000"/>
        </w:rPr>
        <w:t xml:space="preserve">siguiente manera: </w:t>
      </w:r>
      <w:r>
        <w:rPr>
          <w:rFonts w:ascii="Century Gothic" w:eastAsia="Century Gothic" w:hAnsi="Century Gothic" w:cs="Century Gothic"/>
          <w:i/>
          <w:iCs/>
          <w:color w:val="000000"/>
        </w:rPr>
        <w:t xml:space="preserve">“La propuesta resulta congruente con las políticas públicas orientadas a la promoción de la salud y a la detección temprana </w:t>
      </w:r>
      <w:r>
        <w:rPr>
          <w:rFonts w:ascii="Century Gothic" w:eastAsia="Century Gothic" w:hAnsi="Century Gothic" w:cs="Century Gothic"/>
          <w:i/>
          <w:iCs/>
          <w:color w:val="000000"/>
        </w:rPr>
        <w:lastRenderedPageBreak/>
        <w:t>de enfermedades oncológicas, reconociendo la importancia de concentrar esfuerzos institucionales en periodos estra</w:t>
      </w:r>
      <w:r>
        <w:rPr>
          <w:rFonts w:ascii="Century Gothic" w:eastAsia="Century Gothic" w:hAnsi="Century Gothic" w:cs="Century Gothic"/>
          <w:i/>
          <w:iCs/>
          <w:color w:val="000000"/>
        </w:rPr>
        <w:t xml:space="preserve">tégicos que permitan maximizar el impacto de las campañas informativas y de los servicios de atención médica”. </w:t>
      </w:r>
    </w:p>
    <w:p w14:paraId="0DA4A1E1"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7FE2F8EB"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VII.-</w:t>
      </w:r>
      <w:r>
        <w:rPr>
          <w:rFonts w:ascii="Century Gothic" w:eastAsia="Century Gothic" w:hAnsi="Century Gothic" w:cs="Century Gothic"/>
          <w:color w:val="000000"/>
        </w:rPr>
        <w:t xml:space="preserve"> No omitimos mencionar que, según la información más reciente emitida por el </w:t>
      </w:r>
      <w:r>
        <w:rPr>
          <w:rFonts w:ascii="Century Gothic" w:eastAsia="Century Gothic" w:hAnsi="Century Gothic" w:cs="Century Gothic"/>
          <w:b/>
          <w:bCs/>
          <w:color w:val="000000"/>
        </w:rPr>
        <w:t>Instituto Nacional de Estadística y Geografía (INEGI)</w:t>
      </w:r>
      <w:r>
        <w:rPr>
          <w:rFonts w:ascii="Century Gothic" w:eastAsia="Century Gothic" w:hAnsi="Century Gothic" w:cs="Century Gothic"/>
          <w:color w:val="000000"/>
        </w:rPr>
        <w:t xml:space="preserve"> en la materia,</w:t>
      </w:r>
      <w:r>
        <w:rPr>
          <w:rFonts w:ascii="Century Gothic" w:eastAsia="Century Gothic" w:hAnsi="Century Gothic" w:cs="Century Gothic"/>
          <w:color w:val="000000"/>
          <w:vertAlign w:val="superscript"/>
        </w:rPr>
        <w:footnoteReference w:id="10"/>
      </w:r>
      <w:r>
        <w:rPr>
          <w:rFonts w:ascii="Century Gothic" w:eastAsia="Century Gothic" w:hAnsi="Century Gothic" w:cs="Century Gothic"/>
          <w:color w:val="000000"/>
        </w:rPr>
        <w:t xml:space="preserve"> en 2024, en México, se registró una tasa de 73.1 defunciones por tumores malignos por cada 100 mil personas.</w:t>
      </w:r>
    </w:p>
    <w:p w14:paraId="41745AD0"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7CCB8C1"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De tal forma que, los tumores malignos de mama fueron la principal causa de muerte por cáncer en las mujeres de 60 años y más (51.9 fallecidas por cada 100 mil habitantes); en los hombres de la misma edad, fueron los de próstata (tasa de 97.9).</w:t>
      </w:r>
    </w:p>
    <w:p w14:paraId="73D879C2"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52C409C7"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Lamentable</w:t>
      </w:r>
      <w:r>
        <w:rPr>
          <w:rFonts w:ascii="Century Gothic" w:eastAsia="Century Gothic" w:hAnsi="Century Gothic" w:cs="Century Gothic"/>
          <w:color w:val="000000"/>
        </w:rPr>
        <w:t xml:space="preserve">mente, por entidad federativa, Chihuahua tuvo la tasa más alta de defunciones por tumores malignos, con 90.1 defunciones por cada 100 mil habitantes. </w:t>
      </w:r>
    </w:p>
    <w:p w14:paraId="45B7EC56"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3BF27F4D"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Como se puede observar, el cáncer constituye una de las principales causas de morbilidad y mortalidad en</w:t>
      </w:r>
      <w:r>
        <w:rPr>
          <w:rFonts w:ascii="Century Gothic" w:eastAsia="Century Gothic" w:hAnsi="Century Gothic" w:cs="Century Gothic"/>
          <w:color w:val="000000"/>
        </w:rPr>
        <w:t xml:space="preserve"> el Estado de Chihuahua y en el país. En particular, el cáncer de mama, cervicouterino y de próstata representan padecimientos de alta incidencia, cuya detección temprana resulta fundamental para mejorar el pronóstico y reducir la mortalidad.</w:t>
      </w:r>
    </w:p>
    <w:p w14:paraId="610A8191"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6B197449"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Así, las cam</w:t>
      </w:r>
      <w:r>
        <w:rPr>
          <w:rFonts w:ascii="Century Gothic" w:eastAsia="Century Gothic" w:hAnsi="Century Gothic" w:cs="Century Gothic"/>
          <w:color w:val="000000"/>
        </w:rPr>
        <w:t>pañas de sensibilización y difusión han demostrado ser herramientas eficaces para promover la realización de estudios preventivos y el acceso oportuno a servicios de salud, por lo que, intensificar las mismas, de manera especial durante los meses de octubr</w:t>
      </w:r>
      <w:r>
        <w:rPr>
          <w:rFonts w:ascii="Century Gothic" w:eastAsia="Century Gothic" w:hAnsi="Century Gothic" w:cs="Century Gothic"/>
          <w:color w:val="000000"/>
        </w:rPr>
        <w:t xml:space="preserve">e, agosto y noviembre, refuerza el enfoque preventivo de la política pública en materia de salud en nuestro Estado. </w:t>
      </w:r>
    </w:p>
    <w:p w14:paraId="4A8F01D7"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6B466F8B"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b/>
          <w:bCs/>
          <w:color w:val="000000"/>
        </w:rPr>
        <w:t>VIII.-</w:t>
      </w:r>
      <w:r>
        <w:rPr>
          <w:rFonts w:ascii="Century Gothic" w:eastAsia="Century Gothic" w:hAnsi="Century Gothic" w:cs="Century Gothic"/>
          <w:color w:val="000000"/>
        </w:rPr>
        <w:t xml:space="preserve"> En cuanto a la participación ciudadana a través del micrositio </w:t>
      </w:r>
      <w:r>
        <w:rPr>
          <w:rFonts w:ascii="Century Gothic" w:eastAsia="Century Gothic" w:hAnsi="Century Gothic" w:cs="Century Gothic"/>
          <w:b/>
          <w:bCs/>
          <w:color w:val="000000"/>
        </w:rPr>
        <w:t>“Buzón Legislativo Ciudadano”</w:t>
      </w:r>
      <w:r>
        <w:rPr>
          <w:rFonts w:ascii="Century Gothic" w:eastAsia="Century Gothic" w:hAnsi="Century Gothic" w:cs="Century Gothic"/>
          <w:color w:val="000000"/>
        </w:rPr>
        <w:t xml:space="preserve"> de la página web oficial de este H. Co</w:t>
      </w:r>
      <w:r>
        <w:rPr>
          <w:rFonts w:ascii="Century Gothic" w:eastAsia="Century Gothic" w:hAnsi="Century Gothic" w:cs="Century Gothic"/>
          <w:color w:val="000000"/>
        </w:rPr>
        <w:t xml:space="preserve">ngreso, hacemos constar que no se registró comentario alguno para efectos del presente Dictamen. </w:t>
      </w:r>
    </w:p>
    <w:p w14:paraId="08320A8E"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02CBA229" w14:textId="77777777" w:rsidR="00896A7E" w:rsidRDefault="00943736">
      <w:pPr>
        <w:pBdr>
          <w:top w:val="nil"/>
          <w:left w:val="nil"/>
          <w:bottom w:val="nil"/>
          <w:right w:val="nil"/>
          <w:between w:val="nil"/>
        </w:pBdr>
        <w:spacing w:line="36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Por lo anteriormente expuesto, quienes integramos la Comisión de Salud, nos permitimos someter a la consideración de este Alto Cuerpo Colegiado el siguiente </w:t>
      </w:r>
      <w:r>
        <w:rPr>
          <w:rFonts w:ascii="Century Gothic" w:eastAsia="Century Gothic" w:hAnsi="Century Gothic" w:cs="Century Gothic"/>
          <w:color w:val="000000"/>
        </w:rPr>
        <w:t xml:space="preserve">proyecto de: </w:t>
      </w:r>
    </w:p>
    <w:p w14:paraId="5918B7B0"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244BCF01" w14:textId="77777777" w:rsidR="00896A7E" w:rsidRDefault="00896A7E">
      <w:pPr>
        <w:pBdr>
          <w:top w:val="nil"/>
          <w:left w:val="nil"/>
          <w:bottom w:val="nil"/>
          <w:right w:val="nil"/>
          <w:between w:val="nil"/>
        </w:pBdr>
        <w:spacing w:line="360" w:lineRule="auto"/>
        <w:jc w:val="both"/>
        <w:rPr>
          <w:rFonts w:ascii="Century Gothic" w:eastAsia="Century Gothic" w:hAnsi="Century Gothic" w:cs="Century Gothic"/>
          <w:color w:val="000000"/>
        </w:rPr>
      </w:pPr>
    </w:p>
    <w:p w14:paraId="0B5131B5" w14:textId="77777777" w:rsidR="00896A7E" w:rsidRDefault="00943736">
      <w:pPr>
        <w:spacing w:line="360" w:lineRule="auto"/>
        <w:jc w:val="center"/>
        <w:rPr>
          <w:rFonts w:ascii="Century Gothic" w:eastAsia="Century Gothic" w:hAnsi="Century Gothic" w:cs="Century Gothic"/>
          <w:b/>
          <w:bCs/>
          <w:color w:val="000000"/>
          <w:sz w:val="28"/>
          <w:szCs w:val="28"/>
        </w:rPr>
      </w:pPr>
      <w:r>
        <w:rPr>
          <w:rFonts w:ascii="Century Gothic" w:eastAsia="Century Gothic" w:hAnsi="Century Gothic" w:cs="Century Gothic"/>
          <w:b/>
          <w:bCs/>
          <w:color w:val="000000"/>
          <w:sz w:val="28"/>
          <w:szCs w:val="28"/>
        </w:rPr>
        <w:t>DECRETO</w:t>
      </w:r>
    </w:p>
    <w:p w14:paraId="44ECA626" w14:textId="77777777" w:rsidR="00896A7E" w:rsidRDefault="00896A7E">
      <w:pPr>
        <w:tabs>
          <w:tab w:val="left" w:pos="7170"/>
        </w:tabs>
        <w:rPr>
          <w:rFonts w:ascii="Century Gothic" w:eastAsia="Century Gothic" w:hAnsi="Century Gothic" w:cs="Century Gothic"/>
          <w:sz w:val="28"/>
          <w:szCs w:val="28"/>
        </w:rPr>
      </w:pPr>
    </w:p>
    <w:p w14:paraId="45AEDEE3" w14:textId="77777777" w:rsidR="00896A7E" w:rsidRDefault="00896A7E">
      <w:pPr>
        <w:tabs>
          <w:tab w:val="left" w:pos="7170"/>
        </w:tabs>
        <w:rPr>
          <w:rFonts w:ascii="Century Gothic" w:eastAsia="Century Gothic" w:hAnsi="Century Gothic" w:cs="Century Gothic"/>
          <w:sz w:val="28"/>
          <w:szCs w:val="28"/>
        </w:rPr>
      </w:pPr>
    </w:p>
    <w:p w14:paraId="60A9978F" w14:textId="77777777" w:rsidR="00896A7E" w:rsidRDefault="00943736">
      <w:pPr>
        <w:spacing w:line="360" w:lineRule="auto"/>
        <w:jc w:val="both"/>
        <w:rPr>
          <w:rFonts w:ascii="Century Gothic" w:eastAsia="Century Gothic" w:hAnsi="Century Gothic" w:cs="Century Gothic"/>
        </w:rPr>
      </w:pPr>
      <w:r>
        <w:rPr>
          <w:rFonts w:ascii="Century Gothic" w:eastAsia="Century Gothic" w:hAnsi="Century Gothic" w:cs="Century Gothic"/>
          <w:b/>
          <w:bCs/>
          <w:sz w:val="28"/>
          <w:szCs w:val="28"/>
        </w:rPr>
        <w:t xml:space="preserve">ARTÍCULO </w:t>
      </w:r>
      <w:proofErr w:type="gramStart"/>
      <w:r>
        <w:rPr>
          <w:rFonts w:ascii="Century Gothic" w:eastAsia="Century Gothic" w:hAnsi="Century Gothic" w:cs="Century Gothic"/>
          <w:b/>
          <w:bCs/>
          <w:sz w:val="28"/>
          <w:szCs w:val="28"/>
        </w:rPr>
        <w:t>ÚNICO.-</w:t>
      </w:r>
      <w:proofErr w:type="gramEnd"/>
      <w:r>
        <w:rPr>
          <w:rFonts w:ascii="Century Gothic" w:eastAsia="Century Gothic" w:hAnsi="Century Gothic" w:cs="Century Gothic"/>
          <w:b/>
          <w:bCs/>
          <w:sz w:val="28"/>
          <w:szCs w:val="28"/>
        </w:rPr>
        <w:t xml:space="preserve"> </w:t>
      </w:r>
      <w:r>
        <w:rPr>
          <w:rFonts w:ascii="Century Gothic" w:eastAsia="Century Gothic" w:hAnsi="Century Gothic" w:cs="Century Gothic"/>
        </w:rPr>
        <w:t xml:space="preserve">Se </w:t>
      </w:r>
      <w:r>
        <w:rPr>
          <w:rFonts w:ascii="Century Gothic" w:eastAsia="Century Gothic" w:hAnsi="Century Gothic" w:cs="Century Gothic"/>
          <w:b/>
          <w:bCs/>
        </w:rPr>
        <w:t>ADICIONA</w:t>
      </w:r>
      <w:r>
        <w:rPr>
          <w:rFonts w:ascii="Century Gothic" w:eastAsia="Century Gothic" w:hAnsi="Century Gothic" w:cs="Century Gothic"/>
        </w:rPr>
        <w:t xml:space="preserve"> el artículo 217 Bis, a la Ley Estatal de Salud, para quedar redactado de la siguiente manera:  </w:t>
      </w:r>
    </w:p>
    <w:p w14:paraId="652834C5" w14:textId="77777777" w:rsidR="00896A7E" w:rsidRDefault="00896A7E">
      <w:pPr>
        <w:spacing w:line="360" w:lineRule="auto"/>
        <w:jc w:val="both"/>
        <w:rPr>
          <w:rFonts w:ascii="Century Gothic" w:eastAsia="Century Gothic" w:hAnsi="Century Gothic" w:cs="Century Gothic"/>
        </w:rPr>
      </w:pPr>
    </w:p>
    <w:p w14:paraId="527D5204" w14:textId="77777777" w:rsidR="00896A7E" w:rsidRDefault="00943736">
      <w:pPr>
        <w:spacing w:line="360" w:lineRule="auto"/>
        <w:jc w:val="both"/>
        <w:rPr>
          <w:rFonts w:ascii="Century Gothic" w:eastAsia="Century Gothic" w:hAnsi="Century Gothic" w:cs="Century Gothic"/>
          <w:b/>
          <w:bCs/>
        </w:rPr>
      </w:pPr>
      <w:r>
        <w:rPr>
          <w:rFonts w:ascii="Century Gothic" w:eastAsia="Century Gothic" w:hAnsi="Century Gothic" w:cs="Century Gothic"/>
          <w:b/>
          <w:bCs/>
        </w:rPr>
        <w:t>Artículo 217 Bis.</w:t>
      </w:r>
      <w:r>
        <w:rPr>
          <w:rFonts w:ascii="Century Gothic" w:eastAsia="Century Gothic" w:hAnsi="Century Gothic" w:cs="Century Gothic"/>
        </w:rPr>
        <w:t xml:space="preserve"> </w:t>
      </w:r>
      <w:r>
        <w:rPr>
          <w:rFonts w:ascii="Century Gothic" w:eastAsia="Century Gothic" w:hAnsi="Century Gothic" w:cs="Century Gothic"/>
          <w:b/>
          <w:bCs/>
        </w:rPr>
        <w:t xml:space="preserve">Los Programas para la Atención de Cánceres deberán intensificar sus acciones de promoción, difusión y sensibilización durante los </w:t>
      </w:r>
      <w:r>
        <w:rPr>
          <w:rFonts w:ascii="Century Gothic" w:eastAsia="Century Gothic" w:hAnsi="Century Gothic" w:cs="Century Gothic"/>
          <w:b/>
          <w:bCs/>
        </w:rPr>
        <w:lastRenderedPageBreak/>
        <w:t>siguientes periodos, sin perjuicio de las acciones permanentes que deban realizarse durante todo el año:</w:t>
      </w:r>
    </w:p>
    <w:p w14:paraId="2CC0453C" w14:textId="77777777" w:rsidR="00896A7E" w:rsidRDefault="00896A7E">
      <w:pPr>
        <w:spacing w:line="360" w:lineRule="auto"/>
        <w:jc w:val="both"/>
        <w:rPr>
          <w:rFonts w:ascii="Century Gothic" w:eastAsia="Century Gothic" w:hAnsi="Century Gothic" w:cs="Century Gothic"/>
          <w:b/>
          <w:bCs/>
        </w:rPr>
      </w:pPr>
    </w:p>
    <w:p w14:paraId="672CEA35" w14:textId="77777777" w:rsidR="00896A7E" w:rsidRDefault="00943736">
      <w:pPr>
        <w:numPr>
          <w:ilvl w:val="0"/>
          <w:numId w:val="1"/>
        </w:numPr>
        <w:pBdr>
          <w:top w:val="nil"/>
          <w:left w:val="nil"/>
          <w:bottom w:val="nil"/>
          <w:right w:val="nil"/>
          <w:between w:val="nil"/>
        </w:pBdr>
        <w:spacing w:line="360" w:lineRule="auto"/>
        <w:ind w:left="1776"/>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Octubre, para la sensibilización sobre el cáncer de mama.</w:t>
      </w:r>
    </w:p>
    <w:p w14:paraId="4121E42C" w14:textId="77777777" w:rsidR="00896A7E" w:rsidRDefault="00896A7E">
      <w:pPr>
        <w:spacing w:line="360" w:lineRule="auto"/>
        <w:ind w:left="1056"/>
        <w:jc w:val="both"/>
        <w:rPr>
          <w:rFonts w:ascii="Century Gothic" w:eastAsia="Century Gothic" w:hAnsi="Century Gothic" w:cs="Century Gothic"/>
          <w:b/>
          <w:bCs/>
        </w:rPr>
      </w:pPr>
    </w:p>
    <w:p w14:paraId="4C3B3B8F" w14:textId="77777777" w:rsidR="00896A7E" w:rsidRDefault="00943736">
      <w:pPr>
        <w:numPr>
          <w:ilvl w:val="0"/>
          <w:numId w:val="1"/>
        </w:numPr>
        <w:pBdr>
          <w:top w:val="nil"/>
          <w:left w:val="nil"/>
          <w:bottom w:val="nil"/>
          <w:right w:val="nil"/>
          <w:between w:val="nil"/>
        </w:pBdr>
        <w:spacing w:line="360" w:lineRule="auto"/>
        <w:ind w:left="1776"/>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Agosto, para la sensibilización sobre el cáncer cervicouterino.</w:t>
      </w:r>
    </w:p>
    <w:p w14:paraId="1768B30B" w14:textId="77777777" w:rsidR="00896A7E" w:rsidRDefault="00896A7E">
      <w:pPr>
        <w:spacing w:line="360" w:lineRule="auto"/>
        <w:ind w:left="1056"/>
        <w:jc w:val="both"/>
        <w:rPr>
          <w:rFonts w:ascii="Century Gothic" w:eastAsia="Century Gothic" w:hAnsi="Century Gothic" w:cs="Century Gothic"/>
          <w:b/>
          <w:bCs/>
        </w:rPr>
      </w:pPr>
    </w:p>
    <w:p w14:paraId="26A97B86" w14:textId="77777777" w:rsidR="00896A7E" w:rsidRDefault="00943736">
      <w:pPr>
        <w:numPr>
          <w:ilvl w:val="0"/>
          <w:numId w:val="1"/>
        </w:numPr>
        <w:pBdr>
          <w:top w:val="nil"/>
          <w:left w:val="nil"/>
          <w:bottom w:val="nil"/>
          <w:right w:val="nil"/>
          <w:between w:val="nil"/>
        </w:pBdr>
        <w:spacing w:line="360" w:lineRule="auto"/>
        <w:ind w:left="1776"/>
        <w:jc w:val="both"/>
        <w:rPr>
          <w:rFonts w:ascii="Century Gothic" w:eastAsia="Century Gothic" w:hAnsi="Century Gothic" w:cs="Century Gothic"/>
          <w:b/>
          <w:bCs/>
          <w:color w:val="000000"/>
        </w:rPr>
      </w:pPr>
      <w:r>
        <w:rPr>
          <w:rFonts w:ascii="Century Gothic" w:eastAsia="Century Gothic" w:hAnsi="Century Gothic" w:cs="Century Gothic"/>
          <w:b/>
          <w:bCs/>
          <w:color w:val="000000"/>
        </w:rPr>
        <w:t>Noviembre, para la sensibilización sobre el cáncer de próstata.</w:t>
      </w:r>
    </w:p>
    <w:p w14:paraId="4EF484F1" w14:textId="77777777" w:rsidR="00896A7E" w:rsidRDefault="00896A7E">
      <w:pPr>
        <w:spacing w:line="360" w:lineRule="auto"/>
        <w:jc w:val="both"/>
        <w:rPr>
          <w:rFonts w:ascii="Century Gothic" w:eastAsia="Century Gothic" w:hAnsi="Century Gothic" w:cs="Century Gothic"/>
          <w:b/>
          <w:bCs/>
        </w:rPr>
      </w:pPr>
    </w:p>
    <w:p w14:paraId="159CF369" w14:textId="77777777" w:rsidR="00896A7E" w:rsidRDefault="00943736">
      <w:pPr>
        <w:spacing w:line="360" w:lineRule="auto"/>
        <w:jc w:val="both"/>
        <w:rPr>
          <w:rFonts w:ascii="Century Gothic" w:eastAsia="Century Gothic" w:hAnsi="Century Gothic" w:cs="Century Gothic"/>
          <w:b/>
          <w:bCs/>
        </w:rPr>
      </w:pPr>
      <w:r>
        <w:rPr>
          <w:rFonts w:ascii="Century Gothic" w:eastAsia="Century Gothic" w:hAnsi="Century Gothic" w:cs="Century Gothic"/>
          <w:b/>
          <w:bCs/>
        </w:rPr>
        <w:t>Las actividades previstas en el presente artículo, se implementarán</w:t>
      </w:r>
      <w:r>
        <w:rPr>
          <w:rFonts w:ascii="Century Gothic" w:eastAsia="Century Gothic" w:hAnsi="Century Gothic" w:cs="Century Gothic"/>
          <w:b/>
          <w:bCs/>
        </w:rPr>
        <w:t xml:space="preserve"> conforme al principio de accesibilidad universal, procurando que la información sea clara y comprensible.</w:t>
      </w:r>
    </w:p>
    <w:p w14:paraId="4132BF2A" w14:textId="77777777" w:rsidR="00896A7E" w:rsidRDefault="00896A7E">
      <w:pPr>
        <w:spacing w:line="360" w:lineRule="auto"/>
        <w:ind w:right="333"/>
        <w:jc w:val="both"/>
        <w:rPr>
          <w:rFonts w:ascii="Century Gothic" w:eastAsia="Century Gothic" w:hAnsi="Century Gothic" w:cs="Century Gothic"/>
          <w:b/>
          <w:bCs/>
          <w:i/>
          <w:iCs/>
        </w:rPr>
      </w:pPr>
    </w:p>
    <w:p w14:paraId="52DC74B1" w14:textId="77777777" w:rsidR="00896A7E" w:rsidRDefault="00896A7E">
      <w:pPr>
        <w:spacing w:line="276" w:lineRule="auto"/>
        <w:ind w:right="-34"/>
        <w:jc w:val="both"/>
        <w:rPr>
          <w:rFonts w:ascii="Century Gothic" w:eastAsia="Century Gothic" w:hAnsi="Century Gothic" w:cs="Century Gothic"/>
          <w:b/>
          <w:bCs/>
        </w:rPr>
      </w:pPr>
    </w:p>
    <w:p w14:paraId="6E757A3F" w14:textId="77777777" w:rsidR="00896A7E" w:rsidRDefault="00943736">
      <w:pPr>
        <w:spacing w:line="360" w:lineRule="auto"/>
        <w:ind w:right="-34"/>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 xml:space="preserve">T R A N S I T O R I O </w:t>
      </w:r>
    </w:p>
    <w:p w14:paraId="2BDFBBD3" w14:textId="77777777" w:rsidR="00896A7E" w:rsidRDefault="00896A7E">
      <w:pPr>
        <w:spacing w:line="360" w:lineRule="auto"/>
        <w:ind w:right="-34"/>
        <w:jc w:val="center"/>
        <w:rPr>
          <w:rFonts w:ascii="Century Gothic" w:eastAsia="Century Gothic" w:hAnsi="Century Gothic" w:cs="Century Gothic"/>
          <w:b/>
          <w:bCs/>
          <w:sz w:val="28"/>
          <w:szCs w:val="28"/>
        </w:rPr>
      </w:pPr>
    </w:p>
    <w:p w14:paraId="413547B9" w14:textId="77777777" w:rsidR="00896A7E" w:rsidRDefault="00943736">
      <w:pPr>
        <w:spacing w:line="360" w:lineRule="auto"/>
        <w:ind w:right="-34"/>
        <w:jc w:val="both"/>
        <w:rPr>
          <w:rFonts w:ascii="Century Gothic" w:eastAsia="Century Gothic" w:hAnsi="Century Gothic" w:cs="Century Gothic"/>
        </w:rPr>
      </w:pPr>
      <w:r>
        <w:rPr>
          <w:rFonts w:ascii="Century Gothic" w:eastAsia="Century Gothic" w:hAnsi="Century Gothic" w:cs="Century Gothic"/>
          <w:b/>
          <w:bCs/>
          <w:sz w:val="28"/>
          <w:szCs w:val="28"/>
        </w:rPr>
        <w:t xml:space="preserve">ARTÍCULO </w:t>
      </w:r>
      <w:proofErr w:type="gramStart"/>
      <w:r>
        <w:rPr>
          <w:rFonts w:ascii="Century Gothic" w:eastAsia="Century Gothic" w:hAnsi="Century Gothic" w:cs="Century Gothic"/>
          <w:b/>
          <w:bCs/>
          <w:sz w:val="28"/>
          <w:szCs w:val="28"/>
        </w:rPr>
        <w:t>ÚNICO.-</w:t>
      </w:r>
      <w:proofErr w:type="gramEnd"/>
      <w:r>
        <w:rPr>
          <w:rFonts w:ascii="Century Gothic" w:eastAsia="Century Gothic" w:hAnsi="Century Gothic" w:cs="Century Gothic"/>
          <w:b/>
          <w:bCs/>
          <w:sz w:val="28"/>
          <w:szCs w:val="28"/>
        </w:rPr>
        <w:t xml:space="preserve"> </w:t>
      </w:r>
      <w:r>
        <w:rPr>
          <w:rFonts w:ascii="Century Gothic" w:eastAsia="Century Gothic" w:hAnsi="Century Gothic" w:cs="Century Gothic"/>
        </w:rPr>
        <w:t xml:space="preserve">El presente Decreto entrará en vigor al día siguiente de su publicación en el Periódico Oficial del Estado. </w:t>
      </w:r>
    </w:p>
    <w:p w14:paraId="340D5548" w14:textId="77777777" w:rsidR="00896A7E" w:rsidRDefault="00896A7E">
      <w:pPr>
        <w:spacing w:line="360" w:lineRule="auto"/>
        <w:jc w:val="both"/>
        <w:rPr>
          <w:rFonts w:ascii="Century Gothic" w:eastAsia="Century Gothic" w:hAnsi="Century Gothic" w:cs="Century Gothic"/>
          <w:b/>
          <w:bCs/>
        </w:rPr>
      </w:pPr>
    </w:p>
    <w:p w14:paraId="7E8D7329" w14:textId="77777777" w:rsidR="00896A7E" w:rsidRDefault="00943736">
      <w:pPr>
        <w:spacing w:line="360" w:lineRule="auto"/>
        <w:jc w:val="both"/>
        <w:rPr>
          <w:rFonts w:ascii="Century Gothic" w:eastAsia="Century Gothic" w:hAnsi="Century Gothic" w:cs="Century Gothic"/>
        </w:rPr>
      </w:pPr>
      <w:proofErr w:type="gramStart"/>
      <w:r>
        <w:rPr>
          <w:rFonts w:ascii="Century Gothic" w:eastAsia="Century Gothic" w:hAnsi="Century Gothic" w:cs="Century Gothic"/>
          <w:b/>
          <w:bCs/>
          <w:sz w:val="28"/>
          <w:szCs w:val="28"/>
        </w:rPr>
        <w:t>ECONÓMICO.-</w:t>
      </w:r>
      <w:proofErr w:type="gramEnd"/>
      <w:r>
        <w:rPr>
          <w:rFonts w:ascii="Century Gothic" w:eastAsia="Century Gothic" w:hAnsi="Century Gothic" w:cs="Century Gothic"/>
        </w:rPr>
        <w:t> Aprobado que sea, túrnese a la Secretaría para que elabore la Minuta de Decreto en los términos en que deba publicarse.</w:t>
      </w:r>
    </w:p>
    <w:p w14:paraId="1387DB17" w14:textId="77777777" w:rsidR="00896A7E" w:rsidRDefault="00896A7E">
      <w:pPr>
        <w:spacing w:line="360" w:lineRule="auto"/>
        <w:jc w:val="both"/>
        <w:rPr>
          <w:rFonts w:ascii="Century Gothic" w:eastAsia="Century Gothic" w:hAnsi="Century Gothic" w:cs="Century Gothic"/>
        </w:rPr>
      </w:pPr>
    </w:p>
    <w:p w14:paraId="5DECCA1C" w14:textId="77777777" w:rsidR="00896A7E" w:rsidRDefault="00943736">
      <w:pPr>
        <w:spacing w:line="360" w:lineRule="auto"/>
        <w:jc w:val="both"/>
        <w:rPr>
          <w:rFonts w:ascii="Century Gothic" w:eastAsia="Century Gothic" w:hAnsi="Century Gothic" w:cs="Century Gothic"/>
        </w:rPr>
      </w:pPr>
      <w:r>
        <w:rPr>
          <w:rFonts w:ascii="Century Gothic" w:eastAsia="Century Gothic" w:hAnsi="Century Gothic" w:cs="Century Gothic"/>
        </w:rPr>
        <w:t>Dado en el Recinto Oficial del Poder Legislativo, en la Ciudad de Chihuahua, Chihuahua, a los doce días del mes de mayo del año dos mil veintiséis.</w:t>
      </w:r>
    </w:p>
    <w:p w14:paraId="60127C52" w14:textId="77777777" w:rsidR="00896A7E" w:rsidRDefault="00896A7E">
      <w:pPr>
        <w:pBdr>
          <w:top w:val="nil"/>
          <w:left w:val="nil"/>
          <w:bottom w:val="nil"/>
          <w:right w:val="nil"/>
          <w:between w:val="nil"/>
        </w:pBdr>
        <w:rPr>
          <w:rFonts w:ascii="Century Gothic" w:eastAsia="Century Gothic" w:hAnsi="Century Gothic" w:cs="Century Gothic"/>
          <w:b/>
          <w:bCs/>
          <w:smallCaps/>
          <w:color w:val="000000"/>
          <w:sz w:val="20"/>
          <w:szCs w:val="20"/>
        </w:rPr>
      </w:pPr>
    </w:p>
    <w:p w14:paraId="40384210" w14:textId="77777777" w:rsidR="00896A7E" w:rsidRDefault="00943736">
      <w:pPr>
        <w:pBdr>
          <w:top w:val="nil"/>
          <w:left w:val="nil"/>
          <w:bottom w:val="nil"/>
          <w:right w:val="nil"/>
          <w:between w:val="nil"/>
        </w:pBdr>
        <w:jc w:val="center"/>
        <w:rPr>
          <w:rFonts w:ascii="Century Gothic" w:eastAsia="Century Gothic" w:hAnsi="Century Gothic" w:cs="Century Gothic"/>
          <w:b/>
          <w:bCs/>
          <w:smallCaps/>
          <w:color w:val="000000"/>
          <w:sz w:val="20"/>
          <w:szCs w:val="20"/>
        </w:rPr>
      </w:pPr>
      <w:r>
        <w:rPr>
          <w:rFonts w:ascii="Century Gothic" w:eastAsia="Century Gothic" w:hAnsi="Century Gothic" w:cs="Century Gothic"/>
          <w:b/>
          <w:bCs/>
          <w:smallCaps/>
          <w:color w:val="000000"/>
          <w:sz w:val="20"/>
          <w:szCs w:val="20"/>
        </w:rPr>
        <w:t>ASÍ LO APROBÓ LA COMISIÓN DE SALUD, EN REUNIÓN DE FECHA SIETE DE MAYO DE DOS MIL VEINTISÉIS.</w:t>
      </w:r>
    </w:p>
    <w:p w14:paraId="494B2559" w14:textId="77777777" w:rsidR="00896A7E" w:rsidRDefault="00943736">
      <w:pPr>
        <w:pBdr>
          <w:top w:val="nil"/>
          <w:left w:val="nil"/>
          <w:bottom w:val="nil"/>
          <w:right w:val="nil"/>
          <w:between w:val="nil"/>
        </w:pBdr>
        <w:jc w:val="center"/>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 xml:space="preserve">POR LA </w:t>
      </w:r>
      <w:r>
        <w:rPr>
          <w:rFonts w:ascii="Century Gothic" w:eastAsia="Century Gothic" w:hAnsi="Century Gothic" w:cs="Century Gothic"/>
          <w:b/>
          <w:bCs/>
          <w:smallCaps/>
          <w:color w:val="000000"/>
          <w:sz w:val="20"/>
          <w:szCs w:val="20"/>
        </w:rPr>
        <w:t>COMISIÓ</w:t>
      </w:r>
      <w:r>
        <w:rPr>
          <w:rFonts w:ascii="Century Gothic" w:eastAsia="Century Gothic" w:hAnsi="Century Gothic" w:cs="Century Gothic"/>
          <w:b/>
          <w:bCs/>
          <w:smallCaps/>
          <w:color w:val="000000"/>
          <w:sz w:val="20"/>
          <w:szCs w:val="20"/>
        </w:rPr>
        <w:t xml:space="preserve">N </w:t>
      </w:r>
      <w:r>
        <w:rPr>
          <w:rFonts w:ascii="Century Gothic" w:eastAsia="Century Gothic" w:hAnsi="Century Gothic" w:cs="Century Gothic"/>
          <w:b/>
          <w:bCs/>
          <w:color w:val="000000"/>
          <w:sz w:val="20"/>
          <w:szCs w:val="20"/>
        </w:rPr>
        <w:t>DE SALUD</w:t>
      </w:r>
    </w:p>
    <w:tbl>
      <w:tblPr>
        <w:tblStyle w:val="a"/>
        <w:tblW w:w="99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987"/>
        <w:gridCol w:w="2128"/>
        <w:gridCol w:w="2128"/>
        <w:gridCol w:w="1844"/>
      </w:tblGrid>
      <w:tr w:rsidR="00896A7E" w14:paraId="1E155997" w14:textId="77777777">
        <w:trPr>
          <w:trHeight w:val="502"/>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62E49063" w14:textId="77777777" w:rsidR="00896A7E" w:rsidRDefault="00896A7E">
            <w:pPr>
              <w:spacing w:line="360" w:lineRule="auto"/>
              <w:jc w:val="center"/>
              <w:rPr>
                <w:rFonts w:ascii="Century Gothic" w:eastAsia="Century Gothic" w:hAnsi="Century Gothic" w:cs="Century Gothic"/>
                <w:b/>
                <w:bCs/>
                <w:color w:val="000000"/>
                <w:sz w:val="20"/>
                <w:szCs w:val="20"/>
              </w:rPr>
            </w:pPr>
          </w:p>
        </w:tc>
        <w:tc>
          <w:tcPr>
            <w:tcW w:w="1987" w:type="dxa"/>
            <w:tcBorders>
              <w:top w:val="single" w:sz="4" w:space="0" w:color="000000"/>
              <w:left w:val="single" w:sz="4" w:space="0" w:color="000000"/>
              <w:bottom w:val="single" w:sz="4" w:space="0" w:color="000000"/>
              <w:right w:val="single" w:sz="4" w:space="0" w:color="000000"/>
            </w:tcBorders>
            <w:vAlign w:val="center"/>
          </w:tcPr>
          <w:p w14:paraId="7584039F" w14:textId="77777777" w:rsidR="00896A7E" w:rsidRDefault="00943736">
            <w:pPr>
              <w:spacing w:line="360" w:lineRule="auto"/>
              <w:jc w:val="center"/>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INTEGRANTES</w:t>
            </w:r>
          </w:p>
        </w:tc>
        <w:tc>
          <w:tcPr>
            <w:tcW w:w="2128" w:type="dxa"/>
            <w:tcBorders>
              <w:top w:val="single" w:sz="4" w:space="0" w:color="000000"/>
              <w:left w:val="single" w:sz="4" w:space="0" w:color="000000"/>
              <w:bottom w:val="single" w:sz="4" w:space="0" w:color="000000"/>
              <w:right w:val="single" w:sz="4" w:space="0" w:color="000000"/>
            </w:tcBorders>
            <w:vAlign w:val="center"/>
          </w:tcPr>
          <w:p w14:paraId="648BECE9" w14:textId="77777777" w:rsidR="00896A7E" w:rsidRDefault="00943736">
            <w:pPr>
              <w:spacing w:line="360" w:lineRule="auto"/>
              <w:jc w:val="center"/>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A FAVOR</w:t>
            </w:r>
          </w:p>
        </w:tc>
        <w:tc>
          <w:tcPr>
            <w:tcW w:w="2128" w:type="dxa"/>
            <w:tcBorders>
              <w:top w:val="single" w:sz="4" w:space="0" w:color="000000"/>
              <w:left w:val="single" w:sz="4" w:space="0" w:color="000000"/>
              <w:bottom w:val="single" w:sz="4" w:space="0" w:color="000000"/>
              <w:right w:val="single" w:sz="4" w:space="0" w:color="000000"/>
            </w:tcBorders>
            <w:vAlign w:val="center"/>
          </w:tcPr>
          <w:p w14:paraId="670C941D" w14:textId="77777777" w:rsidR="00896A7E" w:rsidRDefault="00943736">
            <w:pPr>
              <w:spacing w:line="360" w:lineRule="auto"/>
              <w:jc w:val="center"/>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EN CONTRA</w:t>
            </w:r>
          </w:p>
        </w:tc>
        <w:tc>
          <w:tcPr>
            <w:tcW w:w="1844" w:type="dxa"/>
            <w:tcBorders>
              <w:top w:val="single" w:sz="4" w:space="0" w:color="000000"/>
              <w:left w:val="single" w:sz="4" w:space="0" w:color="000000"/>
              <w:bottom w:val="single" w:sz="4" w:space="0" w:color="000000"/>
              <w:right w:val="single" w:sz="4" w:space="0" w:color="000000"/>
            </w:tcBorders>
            <w:vAlign w:val="center"/>
          </w:tcPr>
          <w:p w14:paraId="689B04D5" w14:textId="77777777" w:rsidR="00896A7E" w:rsidRDefault="00943736">
            <w:pPr>
              <w:spacing w:line="36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ABSTENCIÓN</w:t>
            </w:r>
          </w:p>
        </w:tc>
      </w:tr>
      <w:tr w:rsidR="00896A7E" w14:paraId="1CCFB586" w14:textId="77777777">
        <w:trPr>
          <w:trHeight w:val="1620"/>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341AB326" w14:textId="77777777" w:rsidR="00896A7E" w:rsidRDefault="00943736">
            <w:pPr>
              <w:jc w:val="center"/>
              <w:rPr>
                <w:b/>
                <w:bCs/>
                <w:color w:val="000000"/>
              </w:rPr>
            </w:pPr>
            <w:r>
              <w:rPr>
                <w:noProof/>
              </w:rPr>
              <w:drawing>
                <wp:anchor distT="0" distB="0" distL="0" distR="0" simplePos="0" relativeHeight="251658240" behindDoc="1" locked="0" layoutInCell="1" hidden="0" allowOverlap="1" wp14:anchorId="4BE26346" wp14:editId="47075D67">
                  <wp:simplePos x="0" y="0"/>
                  <wp:positionH relativeFrom="column">
                    <wp:posOffset>89535</wp:posOffset>
                  </wp:positionH>
                  <wp:positionV relativeFrom="paragraph">
                    <wp:posOffset>-20954</wp:posOffset>
                  </wp:positionV>
                  <wp:extent cx="800100" cy="1047750"/>
                  <wp:effectExtent l="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800100" cy="1047750"/>
                          </a:xfrm>
                          <a:prstGeom prst="rect">
                            <a:avLst/>
                          </a:prstGeom>
                          <a:ln/>
                        </pic:spPr>
                      </pic:pic>
                    </a:graphicData>
                  </a:graphic>
                </wp:anchor>
              </w:drawing>
            </w:r>
          </w:p>
        </w:tc>
        <w:tc>
          <w:tcPr>
            <w:tcW w:w="1987" w:type="dxa"/>
            <w:tcBorders>
              <w:top w:val="single" w:sz="4" w:space="0" w:color="000000"/>
              <w:left w:val="single" w:sz="4" w:space="0" w:color="000000"/>
              <w:bottom w:val="single" w:sz="4" w:space="0" w:color="000000"/>
              <w:right w:val="single" w:sz="4" w:space="0" w:color="000000"/>
            </w:tcBorders>
            <w:vAlign w:val="center"/>
          </w:tcPr>
          <w:p w14:paraId="7F57829B"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DIPUTADA YESENIA GUADALUPE REYES CALZADIAS</w:t>
            </w:r>
          </w:p>
          <w:p w14:paraId="5B3A714A"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PRESIDENTA</w:t>
            </w:r>
          </w:p>
        </w:tc>
        <w:tc>
          <w:tcPr>
            <w:tcW w:w="2128" w:type="dxa"/>
            <w:tcBorders>
              <w:top w:val="single" w:sz="4" w:space="0" w:color="000000"/>
              <w:left w:val="single" w:sz="4" w:space="0" w:color="000000"/>
              <w:bottom w:val="single" w:sz="4" w:space="0" w:color="000000"/>
              <w:right w:val="single" w:sz="4" w:space="0" w:color="000000"/>
            </w:tcBorders>
            <w:vAlign w:val="center"/>
          </w:tcPr>
          <w:p w14:paraId="6C18FCD2" w14:textId="77777777" w:rsidR="00896A7E" w:rsidRDefault="00896A7E">
            <w:pPr>
              <w:spacing w:line="360" w:lineRule="auto"/>
              <w:rPr>
                <w:rFonts w:ascii="Century Gothic" w:eastAsia="Century Gothic" w:hAnsi="Century Gothic" w:cs="Century Gothic"/>
                <w:b/>
                <w:bCs/>
                <w:color w:val="000000"/>
                <w:sz w:val="20"/>
                <w:szCs w:val="20"/>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15A7F56F" w14:textId="77777777" w:rsidR="00896A7E" w:rsidRDefault="00896A7E">
            <w:pPr>
              <w:spacing w:line="360" w:lineRule="auto"/>
              <w:rPr>
                <w:rFonts w:ascii="Century Gothic" w:eastAsia="Century Gothic" w:hAnsi="Century Gothic" w:cs="Century Gothic"/>
                <w:b/>
                <w:bCs/>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677F6196" w14:textId="77777777" w:rsidR="00896A7E" w:rsidRDefault="00896A7E">
            <w:pPr>
              <w:spacing w:line="360" w:lineRule="auto"/>
              <w:rPr>
                <w:rFonts w:ascii="Century Gothic" w:eastAsia="Century Gothic" w:hAnsi="Century Gothic" w:cs="Century Gothic"/>
                <w:b/>
                <w:bCs/>
                <w:color w:val="000000"/>
                <w:sz w:val="20"/>
                <w:szCs w:val="20"/>
              </w:rPr>
            </w:pPr>
          </w:p>
        </w:tc>
      </w:tr>
      <w:tr w:rsidR="00896A7E" w14:paraId="2AE6762F" w14:textId="77777777">
        <w:trPr>
          <w:trHeight w:val="1655"/>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67739D16" w14:textId="77777777" w:rsidR="00896A7E" w:rsidRDefault="00943736">
            <w:pPr>
              <w:spacing w:line="360" w:lineRule="auto"/>
              <w:jc w:val="center"/>
              <w:rPr>
                <w:rFonts w:ascii="Century Gothic" w:eastAsia="Century Gothic" w:hAnsi="Century Gothic" w:cs="Century Gothic"/>
                <w:b/>
                <w:bCs/>
                <w:color w:val="000000"/>
                <w:sz w:val="20"/>
                <w:szCs w:val="20"/>
              </w:rPr>
            </w:pPr>
            <w:r>
              <w:rPr>
                <w:noProof/>
              </w:rPr>
              <w:drawing>
                <wp:anchor distT="0" distB="0" distL="0" distR="0" simplePos="0" relativeHeight="251659264" behindDoc="1" locked="0" layoutInCell="1" hidden="0" allowOverlap="1" wp14:anchorId="0097249E" wp14:editId="41647FF7">
                  <wp:simplePos x="0" y="0"/>
                  <wp:positionH relativeFrom="column">
                    <wp:posOffset>89535</wp:posOffset>
                  </wp:positionH>
                  <wp:positionV relativeFrom="paragraph">
                    <wp:posOffset>4445</wp:posOffset>
                  </wp:positionV>
                  <wp:extent cx="828675" cy="1047750"/>
                  <wp:effectExtent l="0" t="0" r="0" b="0"/>
                  <wp:wrapNone/>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828675" cy="1047750"/>
                          </a:xfrm>
                          <a:prstGeom prst="rect">
                            <a:avLst/>
                          </a:prstGeom>
                          <a:ln/>
                        </pic:spPr>
                      </pic:pic>
                    </a:graphicData>
                  </a:graphic>
                </wp:anchor>
              </w:drawing>
            </w:r>
          </w:p>
        </w:tc>
        <w:tc>
          <w:tcPr>
            <w:tcW w:w="1987" w:type="dxa"/>
            <w:tcBorders>
              <w:top w:val="single" w:sz="4" w:space="0" w:color="000000"/>
              <w:left w:val="single" w:sz="4" w:space="0" w:color="000000"/>
              <w:bottom w:val="single" w:sz="4" w:space="0" w:color="000000"/>
              <w:right w:val="single" w:sz="4" w:space="0" w:color="000000"/>
            </w:tcBorders>
            <w:vAlign w:val="center"/>
          </w:tcPr>
          <w:p w14:paraId="595E32CD"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DIPUTADA JAEL ARGÜELLES DÍAZ</w:t>
            </w:r>
          </w:p>
          <w:p w14:paraId="0DCFCC33"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SECRETARIA</w:t>
            </w:r>
          </w:p>
        </w:tc>
        <w:tc>
          <w:tcPr>
            <w:tcW w:w="2128" w:type="dxa"/>
            <w:tcBorders>
              <w:top w:val="single" w:sz="4" w:space="0" w:color="000000"/>
              <w:left w:val="single" w:sz="4" w:space="0" w:color="000000"/>
              <w:bottom w:val="single" w:sz="4" w:space="0" w:color="000000"/>
              <w:right w:val="single" w:sz="4" w:space="0" w:color="000000"/>
            </w:tcBorders>
            <w:vAlign w:val="center"/>
          </w:tcPr>
          <w:p w14:paraId="77D97F50" w14:textId="77777777" w:rsidR="00896A7E" w:rsidRDefault="00896A7E">
            <w:pPr>
              <w:spacing w:line="360" w:lineRule="auto"/>
              <w:rPr>
                <w:rFonts w:ascii="Century Gothic" w:eastAsia="Century Gothic" w:hAnsi="Century Gothic" w:cs="Century Gothic"/>
                <w:b/>
                <w:bCs/>
                <w:color w:val="000000"/>
                <w:sz w:val="20"/>
                <w:szCs w:val="20"/>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6DF62881" w14:textId="77777777" w:rsidR="00896A7E" w:rsidRDefault="00896A7E">
            <w:pPr>
              <w:spacing w:line="360" w:lineRule="auto"/>
              <w:rPr>
                <w:rFonts w:ascii="Century Gothic" w:eastAsia="Century Gothic" w:hAnsi="Century Gothic" w:cs="Century Gothic"/>
                <w:b/>
                <w:bCs/>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177CD43A" w14:textId="77777777" w:rsidR="00896A7E" w:rsidRDefault="00896A7E">
            <w:pPr>
              <w:spacing w:line="360" w:lineRule="auto"/>
              <w:rPr>
                <w:rFonts w:ascii="Century Gothic" w:eastAsia="Century Gothic" w:hAnsi="Century Gothic" w:cs="Century Gothic"/>
                <w:b/>
                <w:bCs/>
                <w:color w:val="000000"/>
                <w:sz w:val="20"/>
                <w:szCs w:val="20"/>
              </w:rPr>
            </w:pPr>
          </w:p>
        </w:tc>
      </w:tr>
      <w:tr w:rsidR="00896A7E" w14:paraId="6FE003D3" w14:textId="77777777">
        <w:trPr>
          <w:trHeight w:val="1707"/>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6650BCFE" w14:textId="77777777" w:rsidR="00896A7E" w:rsidRDefault="00943736">
            <w:pPr>
              <w:spacing w:line="360" w:lineRule="auto"/>
              <w:jc w:val="center"/>
              <w:rPr>
                <w:rFonts w:ascii="Century Gothic" w:eastAsia="Century Gothic" w:hAnsi="Century Gothic" w:cs="Century Gothic"/>
                <w:b/>
                <w:bCs/>
                <w:color w:val="000000"/>
                <w:sz w:val="20"/>
                <w:szCs w:val="20"/>
              </w:rPr>
            </w:pPr>
            <w:r>
              <w:rPr>
                <w:noProof/>
              </w:rPr>
              <w:drawing>
                <wp:anchor distT="0" distB="0" distL="0" distR="0" simplePos="0" relativeHeight="251660288" behindDoc="1" locked="0" layoutInCell="1" hidden="0" allowOverlap="1" wp14:anchorId="478DF3E8" wp14:editId="2BD2F408">
                  <wp:simplePos x="0" y="0"/>
                  <wp:positionH relativeFrom="column">
                    <wp:posOffset>82550</wp:posOffset>
                  </wp:positionH>
                  <wp:positionV relativeFrom="paragraph">
                    <wp:posOffset>11430</wp:posOffset>
                  </wp:positionV>
                  <wp:extent cx="828675" cy="1047750"/>
                  <wp:effectExtent l="0" t="0" r="0" b="0"/>
                  <wp:wrapNone/>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828675" cy="1047750"/>
                          </a:xfrm>
                          <a:prstGeom prst="rect">
                            <a:avLst/>
                          </a:prstGeom>
                          <a:ln/>
                        </pic:spPr>
                      </pic:pic>
                    </a:graphicData>
                  </a:graphic>
                </wp:anchor>
              </w:drawing>
            </w:r>
          </w:p>
        </w:tc>
        <w:tc>
          <w:tcPr>
            <w:tcW w:w="1987" w:type="dxa"/>
            <w:tcBorders>
              <w:top w:val="single" w:sz="4" w:space="0" w:color="000000"/>
              <w:left w:val="single" w:sz="4" w:space="0" w:color="000000"/>
              <w:bottom w:val="single" w:sz="4" w:space="0" w:color="000000"/>
              <w:right w:val="single" w:sz="4" w:space="0" w:color="000000"/>
            </w:tcBorders>
            <w:vAlign w:val="center"/>
          </w:tcPr>
          <w:p w14:paraId="426F46E6"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DIPUTADO CARLOS ALFREDO OLSON SAN VICENTE</w:t>
            </w:r>
          </w:p>
          <w:p w14:paraId="41FFAB3D"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VOCAL</w:t>
            </w:r>
          </w:p>
        </w:tc>
        <w:tc>
          <w:tcPr>
            <w:tcW w:w="2128" w:type="dxa"/>
            <w:tcBorders>
              <w:top w:val="single" w:sz="4" w:space="0" w:color="000000"/>
              <w:left w:val="single" w:sz="4" w:space="0" w:color="000000"/>
              <w:bottom w:val="single" w:sz="4" w:space="0" w:color="000000"/>
              <w:right w:val="single" w:sz="4" w:space="0" w:color="000000"/>
            </w:tcBorders>
            <w:vAlign w:val="center"/>
          </w:tcPr>
          <w:p w14:paraId="08591A28" w14:textId="77777777" w:rsidR="00896A7E" w:rsidRDefault="00896A7E">
            <w:pPr>
              <w:spacing w:line="360" w:lineRule="auto"/>
              <w:rPr>
                <w:rFonts w:ascii="Century Gothic" w:eastAsia="Century Gothic" w:hAnsi="Century Gothic" w:cs="Century Gothic"/>
                <w:b/>
                <w:bCs/>
                <w:color w:val="000000"/>
                <w:sz w:val="20"/>
                <w:szCs w:val="20"/>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5D4D1F96" w14:textId="77777777" w:rsidR="00896A7E" w:rsidRDefault="00896A7E">
            <w:pPr>
              <w:spacing w:line="360" w:lineRule="auto"/>
              <w:rPr>
                <w:rFonts w:ascii="Century Gothic" w:eastAsia="Century Gothic" w:hAnsi="Century Gothic" w:cs="Century Gothic"/>
                <w:b/>
                <w:bCs/>
                <w:color w:val="000000"/>
                <w:sz w:val="20"/>
                <w:szCs w:val="20"/>
              </w:rPr>
            </w:pPr>
          </w:p>
          <w:p w14:paraId="72C19A07" w14:textId="77777777" w:rsidR="00896A7E" w:rsidRDefault="00896A7E">
            <w:pPr>
              <w:spacing w:line="360" w:lineRule="auto"/>
              <w:rPr>
                <w:rFonts w:ascii="Century Gothic" w:eastAsia="Century Gothic" w:hAnsi="Century Gothic" w:cs="Century Gothic"/>
                <w:b/>
                <w:bCs/>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083EE4E6" w14:textId="77777777" w:rsidR="00896A7E" w:rsidRDefault="00896A7E">
            <w:pPr>
              <w:spacing w:line="360" w:lineRule="auto"/>
              <w:rPr>
                <w:rFonts w:ascii="Century Gothic" w:eastAsia="Century Gothic" w:hAnsi="Century Gothic" w:cs="Century Gothic"/>
                <w:b/>
                <w:bCs/>
                <w:color w:val="000000"/>
                <w:sz w:val="20"/>
                <w:szCs w:val="20"/>
              </w:rPr>
            </w:pPr>
          </w:p>
        </w:tc>
      </w:tr>
      <w:tr w:rsidR="00896A7E" w14:paraId="2AE8FD1B" w14:textId="77777777">
        <w:trPr>
          <w:trHeight w:val="1697"/>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7FFF9F4C" w14:textId="77777777" w:rsidR="00896A7E" w:rsidRDefault="00943736">
            <w:pPr>
              <w:spacing w:line="360" w:lineRule="auto"/>
              <w:jc w:val="center"/>
              <w:rPr>
                <w:rFonts w:ascii="Century Gothic" w:eastAsia="Century Gothic" w:hAnsi="Century Gothic" w:cs="Century Gothic"/>
                <w:b/>
                <w:bCs/>
                <w:color w:val="000000"/>
                <w:sz w:val="20"/>
                <w:szCs w:val="20"/>
              </w:rPr>
            </w:pPr>
            <w:r>
              <w:rPr>
                <w:noProof/>
              </w:rPr>
              <w:drawing>
                <wp:anchor distT="0" distB="0" distL="0" distR="0" simplePos="0" relativeHeight="251661312" behindDoc="1" locked="0" layoutInCell="1" hidden="0" allowOverlap="1" wp14:anchorId="56E8AE32" wp14:editId="376FA575">
                  <wp:simplePos x="0" y="0"/>
                  <wp:positionH relativeFrom="column">
                    <wp:posOffset>67310</wp:posOffset>
                  </wp:positionH>
                  <wp:positionV relativeFrom="paragraph">
                    <wp:posOffset>2540</wp:posOffset>
                  </wp:positionV>
                  <wp:extent cx="857250" cy="1047750"/>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857250" cy="1047750"/>
                          </a:xfrm>
                          <a:prstGeom prst="rect">
                            <a:avLst/>
                          </a:prstGeom>
                          <a:ln/>
                        </pic:spPr>
                      </pic:pic>
                    </a:graphicData>
                  </a:graphic>
                </wp:anchor>
              </w:drawing>
            </w:r>
          </w:p>
        </w:tc>
        <w:tc>
          <w:tcPr>
            <w:tcW w:w="1987" w:type="dxa"/>
            <w:tcBorders>
              <w:top w:val="single" w:sz="4" w:space="0" w:color="000000"/>
              <w:left w:val="single" w:sz="4" w:space="0" w:color="000000"/>
              <w:bottom w:val="single" w:sz="4" w:space="0" w:color="000000"/>
              <w:right w:val="single" w:sz="4" w:space="0" w:color="000000"/>
            </w:tcBorders>
            <w:vAlign w:val="center"/>
          </w:tcPr>
          <w:p w14:paraId="0C8F2B50"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DIPUTADA EDNA XÓCHITL CONTRERAS HERRERA</w:t>
            </w:r>
          </w:p>
          <w:p w14:paraId="6B7D438C"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VOCAL</w:t>
            </w:r>
          </w:p>
        </w:tc>
        <w:tc>
          <w:tcPr>
            <w:tcW w:w="2128" w:type="dxa"/>
            <w:tcBorders>
              <w:top w:val="single" w:sz="4" w:space="0" w:color="000000"/>
              <w:left w:val="single" w:sz="4" w:space="0" w:color="000000"/>
              <w:bottom w:val="single" w:sz="4" w:space="0" w:color="000000"/>
              <w:right w:val="single" w:sz="4" w:space="0" w:color="000000"/>
            </w:tcBorders>
            <w:vAlign w:val="center"/>
          </w:tcPr>
          <w:p w14:paraId="3F95477F" w14:textId="77777777" w:rsidR="00896A7E" w:rsidRDefault="00896A7E">
            <w:pPr>
              <w:spacing w:line="360" w:lineRule="auto"/>
              <w:rPr>
                <w:rFonts w:ascii="Century Gothic" w:eastAsia="Century Gothic" w:hAnsi="Century Gothic" w:cs="Century Gothic"/>
                <w:b/>
                <w:bCs/>
                <w:color w:val="000000"/>
                <w:sz w:val="20"/>
                <w:szCs w:val="20"/>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5CE4B3DE" w14:textId="77777777" w:rsidR="00896A7E" w:rsidRDefault="00896A7E">
            <w:pPr>
              <w:spacing w:line="360" w:lineRule="auto"/>
              <w:rPr>
                <w:rFonts w:ascii="Century Gothic" w:eastAsia="Century Gothic" w:hAnsi="Century Gothic" w:cs="Century Gothic"/>
                <w:b/>
                <w:bCs/>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4CD53898" w14:textId="77777777" w:rsidR="00896A7E" w:rsidRDefault="00896A7E">
            <w:pPr>
              <w:spacing w:line="360" w:lineRule="auto"/>
              <w:rPr>
                <w:rFonts w:ascii="Century Gothic" w:eastAsia="Century Gothic" w:hAnsi="Century Gothic" w:cs="Century Gothic"/>
                <w:b/>
                <w:bCs/>
                <w:color w:val="000000"/>
                <w:sz w:val="20"/>
                <w:szCs w:val="20"/>
              </w:rPr>
            </w:pPr>
          </w:p>
        </w:tc>
      </w:tr>
      <w:tr w:rsidR="00896A7E" w14:paraId="07B6B67D" w14:textId="77777777">
        <w:trPr>
          <w:trHeight w:val="1552"/>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4742BF23" w14:textId="77777777" w:rsidR="00896A7E" w:rsidRDefault="00943736">
            <w:pPr>
              <w:spacing w:line="360" w:lineRule="auto"/>
              <w:jc w:val="center"/>
              <w:rPr>
                <w:rFonts w:ascii="Century Gothic" w:eastAsia="Century Gothic" w:hAnsi="Century Gothic" w:cs="Century Gothic"/>
                <w:b/>
                <w:bCs/>
                <w:color w:val="000000"/>
                <w:sz w:val="20"/>
                <w:szCs w:val="20"/>
              </w:rPr>
            </w:pPr>
            <w:r>
              <w:rPr>
                <w:noProof/>
              </w:rPr>
              <w:drawing>
                <wp:anchor distT="0" distB="0" distL="0" distR="0" simplePos="0" relativeHeight="251662336" behindDoc="1" locked="0" layoutInCell="1" hidden="0" allowOverlap="1" wp14:anchorId="512B458E" wp14:editId="04184071">
                  <wp:simplePos x="0" y="0"/>
                  <wp:positionH relativeFrom="column">
                    <wp:posOffset>76200</wp:posOffset>
                  </wp:positionH>
                  <wp:positionV relativeFrom="paragraph">
                    <wp:posOffset>15875</wp:posOffset>
                  </wp:positionV>
                  <wp:extent cx="828675" cy="952500"/>
                  <wp:effectExtent l="0" t="0" r="0" b="0"/>
                  <wp:wrapNone/>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828675" cy="952500"/>
                          </a:xfrm>
                          <a:prstGeom prst="rect">
                            <a:avLst/>
                          </a:prstGeom>
                          <a:ln/>
                        </pic:spPr>
                      </pic:pic>
                    </a:graphicData>
                  </a:graphic>
                </wp:anchor>
              </w:drawing>
            </w:r>
          </w:p>
        </w:tc>
        <w:tc>
          <w:tcPr>
            <w:tcW w:w="1987" w:type="dxa"/>
            <w:tcBorders>
              <w:top w:val="single" w:sz="4" w:space="0" w:color="000000"/>
              <w:left w:val="single" w:sz="4" w:space="0" w:color="000000"/>
              <w:bottom w:val="single" w:sz="4" w:space="0" w:color="000000"/>
              <w:right w:val="single" w:sz="4" w:space="0" w:color="000000"/>
            </w:tcBorders>
            <w:vAlign w:val="center"/>
          </w:tcPr>
          <w:p w14:paraId="66AB82BF"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DIPUTADA HERMINIA GÓMEZ CARRASCO</w:t>
            </w:r>
          </w:p>
          <w:p w14:paraId="5CC3BBD7"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VOCAL</w:t>
            </w:r>
          </w:p>
        </w:tc>
        <w:tc>
          <w:tcPr>
            <w:tcW w:w="2128" w:type="dxa"/>
            <w:tcBorders>
              <w:top w:val="single" w:sz="4" w:space="0" w:color="000000"/>
              <w:left w:val="single" w:sz="4" w:space="0" w:color="000000"/>
              <w:bottom w:val="single" w:sz="4" w:space="0" w:color="000000"/>
              <w:right w:val="single" w:sz="4" w:space="0" w:color="000000"/>
            </w:tcBorders>
            <w:vAlign w:val="center"/>
          </w:tcPr>
          <w:p w14:paraId="5C0A1ADE" w14:textId="77777777" w:rsidR="00896A7E" w:rsidRDefault="00896A7E">
            <w:pPr>
              <w:spacing w:line="360" w:lineRule="auto"/>
              <w:rPr>
                <w:rFonts w:ascii="Century Gothic" w:eastAsia="Century Gothic" w:hAnsi="Century Gothic" w:cs="Century Gothic"/>
                <w:b/>
                <w:bCs/>
                <w:color w:val="000000"/>
                <w:sz w:val="20"/>
                <w:szCs w:val="20"/>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0AB5A8D8" w14:textId="77777777" w:rsidR="00896A7E" w:rsidRDefault="00896A7E">
            <w:pPr>
              <w:spacing w:line="360" w:lineRule="auto"/>
              <w:rPr>
                <w:rFonts w:ascii="Century Gothic" w:eastAsia="Century Gothic" w:hAnsi="Century Gothic" w:cs="Century Gothic"/>
                <w:b/>
                <w:bCs/>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761B130C" w14:textId="77777777" w:rsidR="00896A7E" w:rsidRDefault="00896A7E">
            <w:pPr>
              <w:spacing w:line="360" w:lineRule="auto"/>
              <w:rPr>
                <w:rFonts w:ascii="Century Gothic" w:eastAsia="Century Gothic" w:hAnsi="Century Gothic" w:cs="Century Gothic"/>
                <w:b/>
                <w:bCs/>
                <w:color w:val="000000"/>
                <w:sz w:val="20"/>
                <w:szCs w:val="20"/>
              </w:rPr>
            </w:pPr>
          </w:p>
        </w:tc>
      </w:tr>
      <w:tr w:rsidR="00896A7E" w14:paraId="1AE33088" w14:textId="77777777">
        <w:trPr>
          <w:trHeight w:val="1710"/>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07838818" w14:textId="77777777" w:rsidR="00896A7E" w:rsidRDefault="00943736">
            <w:pPr>
              <w:spacing w:line="360" w:lineRule="auto"/>
              <w:jc w:val="center"/>
              <w:rPr>
                <w:rFonts w:ascii="Century Gothic" w:eastAsia="Century Gothic" w:hAnsi="Century Gothic" w:cs="Century Gothic"/>
                <w:sz w:val="20"/>
                <w:szCs w:val="20"/>
              </w:rPr>
            </w:pPr>
            <w:r>
              <w:rPr>
                <w:noProof/>
              </w:rPr>
              <w:drawing>
                <wp:anchor distT="0" distB="0" distL="0" distR="0" simplePos="0" relativeHeight="251663360" behindDoc="1" locked="0" layoutInCell="1" hidden="0" allowOverlap="1" wp14:anchorId="316CD916" wp14:editId="37D0F703">
                  <wp:simplePos x="0" y="0"/>
                  <wp:positionH relativeFrom="column">
                    <wp:posOffset>76200</wp:posOffset>
                  </wp:positionH>
                  <wp:positionV relativeFrom="paragraph">
                    <wp:posOffset>8255</wp:posOffset>
                  </wp:positionV>
                  <wp:extent cx="809625" cy="1076325"/>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809625" cy="1076325"/>
                          </a:xfrm>
                          <a:prstGeom prst="rect">
                            <a:avLst/>
                          </a:prstGeom>
                          <a:ln/>
                        </pic:spPr>
                      </pic:pic>
                    </a:graphicData>
                  </a:graphic>
                </wp:anchor>
              </w:drawing>
            </w:r>
          </w:p>
        </w:tc>
        <w:tc>
          <w:tcPr>
            <w:tcW w:w="1987" w:type="dxa"/>
            <w:tcBorders>
              <w:top w:val="single" w:sz="4" w:space="0" w:color="000000"/>
              <w:left w:val="single" w:sz="4" w:space="0" w:color="000000"/>
              <w:bottom w:val="single" w:sz="4" w:space="0" w:color="000000"/>
              <w:right w:val="single" w:sz="4" w:space="0" w:color="000000"/>
            </w:tcBorders>
            <w:vAlign w:val="center"/>
          </w:tcPr>
          <w:p w14:paraId="5C08BA6A"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DIPUTADO FRANCISCO ADRIÁN SÁNCHEZ VILLEGAS</w:t>
            </w:r>
            <w:r>
              <w:rPr>
                <w:noProof/>
              </w:rPr>
              <mc:AlternateContent>
                <mc:Choice Requires="wps">
                  <w:drawing>
                    <wp:anchor distT="0" distB="0" distL="0" distR="0" simplePos="0" relativeHeight="251664384" behindDoc="1" locked="0" layoutInCell="1" hidden="0" allowOverlap="1" wp14:anchorId="66A0F5A5" wp14:editId="47FCA6B0">
                      <wp:simplePos x="0" y="0"/>
                      <wp:positionH relativeFrom="column">
                        <wp:posOffset>1178560</wp:posOffset>
                      </wp:positionH>
                      <wp:positionV relativeFrom="paragraph">
                        <wp:posOffset>635</wp:posOffset>
                      </wp:positionV>
                      <wp:extent cx="1371600" cy="1066800"/>
                      <wp:effectExtent l="0" t="0" r="19050" b="19050"/>
                      <wp:wrapNone/>
                      <wp:docPr id="4" name="Conector recto 4"/>
                      <wp:cNvGraphicFramePr/>
                      <a:graphic xmlns:a="http://schemas.openxmlformats.org/drawingml/2006/main">
                        <a:graphicData uri="http://schemas.microsoft.com/office/word/2010/wordprocessingShape">
                          <wps:wsp>
                            <wps:cNvCnPr/>
                            <wps:spPr>
                              <a:xfrm flipV="1">
                                <a:off x="0" y="0"/>
                                <a:ext cx="1371600"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1178560</wp:posOffset>
                      </wp:positionH>
                      <wp:positionV relativeFrom="paragraph">
                        <wp:posOffset>635</wp:posOffset>
                      </wp:positionV>
                      <wp:extent cx="1390650" cy="1085850"/>
                      <wp:effectExtent b="0" l="0" r="0" t="0"/>
                      <wp:wrapNone/>
                      <wp:docPr id="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390650" cy="1085850"/>
                              </a:xfrm>
                              <a:prstGeom prst="rect"/>
                              <a:ln/>
                            </pic:spPr>
                          </pic:pic>
                        </a:graphicData>
                      </a:graphic>
                    </wp:anchor>
                  </w:drawing>
                </mc:Fallback>
              </mc:AlternateContent>
            </w:r>
          </w:p>
          <w:p w14:paraId="55E4491A"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VOCAL</w:t>
            </w:r>
          </w:p>
        </w:tc>
        <w:tc>
          <w:tcPr>
            <w:tcW w:w="2128" w:type="dxa"/>
            <w:tcBorders>
              <w:top w:val="single" w:sz="4" w:space="0" w:color="000000"/>
              <w:left w:val="single" w:sz="4" w:space="0" w:color="000000"/>
              <w:bottom w:val="single" w:sz="4" w:space="0" w:color="000000"/>
              <w:right w:val="single" w:sz="4" w:space="0" w:color="000000"/>
            </w:tcBorders>
            <w:vAlign w:val="center"/>
          </w:tcPr>
          <w:p w14:paraId="31D5470F" w14:textId="77777777" w:rsidR="00896A7E" w:rsidRDefault="00896A7E">
            <w:pPr>
              <w:spacing w:line="360" w:lineRule="auto"/>
              <w:rPr>
                <w:rFonts w:ascii="Century Gothic" w:eastAsia="Century Gothic" w:hAnsi="Century Gothic" w:cs="Century Gothic"/>
                <w:b/>
                <w:bCs/>
                <w:color w:val="000000"/>
                <w:sz w:val="20"/>
                <w:szCs w:val="20"/>
              </w:rPr>
            </w:pPr>
          </w:p>
        </w:tc>
        <w:tc>
          <w:tcPr>
            <w:tcW w:w="2128" w:type="dxa"/>
            <w:tcBorders>
              <w:top w:val="single" w:sz="4" w:space="0" w:color="000000"/>
              <w:left w:val="single" w:sz="4" w:space="0" w:color="000000"/>
              <w:bottom w:val="single" w:sz="4" w:space="0" w:color="000000"/>
              <w:right w:val="single" w:sz="4" w:space="0" w:color="000000"/>
            </w:tcBorders>
            <w:vAlign w:val="center"/>
          </w:tcPr>
          <w:p w14:paraId="5E13D168" w14:textId="77777777" w:rsidR="00896A7E" w:rsidRDefault="00943736">
            <w:pPr>
              <w:spacing w:line="360" w:lineRule="auto"/>
              <w:rPr>
                <w:rFonts w:ascii="Century Gothic" w:eastAsia="Century Gothic" w:hAnsi="Century Gothic" w:cs="Century Gothic"/>
                <w:b/>
                <w:bCs/>
                <w:color w:val="000000"/>
                <w:sz w:val="20"/>
                <w:szCs w:val="20"/>
              </w:rPr>
            </w:pPr>
            <w:r>
              <w:rPr>
                <w:noProof/>
              </w:rPr>
              <mc:AlternateContent>
                <mc:Choice Requires="wps">
                  <w:drawing>
                    <wp:anchor distT="0" distB="0" distL="114300" distR="114300" simplePos="0" relativeHeight="251665408" behindDoc="0" locked="0" layoutInCell="1" hidden="0" allowOverlap="1" wp14:anchorId="42938F6B" wp14:editId="31F1E1C6">
                      <wp:simplePos x="0" y="0"/>
                      <wp:positionH relativeFrom="column">
                        <wp:posOffset>-47624</wp:posOffset>
                      </wp:positionH>
                      <wp:positionV relativeFrom="paragraph">
                        <wp:posOffset>19685</wp:posOffset>
                      </wp:positionV>
                      <wp:extent cx="1333500" cy="1082675"/>
                      <wp:effectExtent l="0" t="0" r="19050" b="22225"/>
                      <wp:wrapNone/>
                      <wp:docPr id="3" name="Conector recto 3"/>
                      <wp:cNvGraphicFramePr/>
                      <a:graphic xmlns:a="http://schemas.openxmlformats.org/drawingml/2006/main">
                        <a:graphicData uri="http://schemas.microsoft.com/office/word/2010/wordprocessingShape">
                          <wps:wsp>
                            <wps:cNvCnPr/>
                            <wps:spPr>
                              <a:xfrm flipV="1">
                                <a:off x="0" y="0"/>
                                <a:ext cx="1333500" cy="1082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-47624</wp:posOffset>
                      </wp:positionH>
                      <wp:positionV relativeFrom="paragraph">
                        <wp:posOffset>19685</wp:posOffset>
                      </wp:positionV>
                      <wp:extent cx="1352550" cy="1104900"/>
                      <wp:effectExtent b="0" l="0" r="0" t="0"/>
                      <wp:wrapNone/>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352550" cy="1104900"/>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276F43F8" wp14:editId="728F4F2B">
                      <wp:simplePos x="0" y="0"/>
                      <wp:positionH relativeFrom="column">
                        <wp:posOffset>1270635</wp:posOffset>
                      </wp:positionH>
                      <wp:positionV relativeFrom="paragraph">
                        <wp:posOffset>19685</wp:posOffset>
                      </wp:positionV>
                      <wp:extent cx="1162050" cy="1041400"/>
                      <wp:effectExtent l="0" t="0" r="19050" b="25400"/>
                      <wp:wrapNone/>
                      <wp:docPr id="6" name="Conector recto 6"/>
                      <wp:cNvGraphicFramePr/>
                      <a:graphic xmlns:a="http://schemas.openxmlformats.org/drawingml/2006/main">
                        <a:graphicData uri="http://schemas.microsoft.com/office/word/2010/wordprocessingShape">
                          <wps:wsp>
                            <wps:cNvCnPr/>
                            <wps:spPr>
                              <a:xfrm flipV="1">
                                <a:off x="0" y="0"/>
                                <a:ext cx="1162050" cy="1041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1270635</wp:posOffset>
                      </wp:positionH>
                      <wp:positionV relativeFrom="paragraph">
                        <wp:posOffset>19685</wp:posOffset>
                      </wp:positionV>
                      <wp:extent cx="1181100" cy="1066800"/>
                      <wp:effectExtent b="0" l="0" r="0" t="0"/>
                      <wp:wrapNone/>
                      <wp:docPr id="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181100" cy="1066800"/>
                              </a:xfrm>
                              <a:prstGeom prst="rect"/>
                              <a:ln/>
                            </pic:spPr>
                          </pic:pic>
                        </a:graphicData>
                      </a:graphic>
                    </wp:anchor>
                  </w:drawing>
                </mc:Fallback>
              </mc:AlternateContent>
            </w:r>
          </w:p>
        </w:tc>
        <w:tc>
          <w:tcPr>
            <w:tcW w:w="1844" w:type="dxa"/>
            <w:tcBorders>
              <w:top w:val="single" w:sz="4" w:space="0" w:color="000000"/>
              <w:left w:val="single" w:sz="4" w:space="0" w:color="000000"/>
              <w:bottom w:val="single" w:sz="4" w:space="0" w:color="000000"/>
              <w:right w:val="single" w:sz="4" w:space="0" w:color="000000"/>
            </w:tcBorders>
            <w:vAlign w:val="center"/>
          </w:tcPr>
          <w:p w14:paraId="39555D25" w14:textId="77777777" w:rsidR="00896A7E" w:rsidRDefault="00896A7E">
            <w:pPr>
              <w:spacing w:line="360" w:lineRule="auto"/>
              <w:rPr>
                <w:rFonts w:ascii="Century Gothic" w:eastAsia="Century Gothic" w:hAnsi="Century Gothic" w:cs="Century Gothic"/>
                <w:b/>
                <w:bCs/>
                <w:color w:val="000000"/>
                <w:sz w:val="20"/>
                <w:szCs w:val="20"/>
              </w:rPr>
            </w:pPr>
          </w:p>
        </w:tc>
      </w:tr>
      <w:tr w:rsidR="00896A7E" w14:paraId="2FE28DA4" w14:textId="77777777">
        <w:trPr>
          <w:trHeight w:val="1552"/>
          <w:jc w:val="center"/>
        </w:trPr>
        <w:tc>
          <w:tcPr>
            <w:tcW w:w="1840" w:type="dxa"/>
            <w:tcBorders>
              <w:top w:val="single" w:sz="4" w:space="0" w:color="000000"/>
              <w:left w:val="single" w:sz="4" w:space="0" w:color="000000"/>
              <w:bottom w:val="single" w:sz="4" w:space="0" w:color="000000"/>
              <w:right w:val="single" w:sz="4" w:space="0" w:color="000000"/>
            </w:tcBorders>
            <w:vAlign w:val="center"/>
          </w:tcPr>
          <w:p w14:paraId="18C98DF3" w14:textId="77777777" w:rsidR="00896A7E" w:rsidRDefault="00943736">
            <w:pPr>
              <w:spacing w:line="360" w:lineRule="auto"/>
              <w:jc w:val="center"/>
              <w:rPr>
                <w:rFonts w:ascii="Century Gothic" w:eastAsia="Century Gothic" w:hAnsi="Century Gothic" w:cs="Century Gothic"/>
                <w:sz w:val="20"/>
                <w:szCs w:val="20"/>
              </w:rPr>
            </w:pPr>
            <w:r>
              <w:rPr>
                <w:noProof/>
              </w:rPr>
              <w:lastRenderedPageBreak/>
              <w:drawing>
                <wp:anchor distT="0" distB="0" distL="0" distR="0" simplePos="0" relativeHeight="251667456" behindDoc="1" locked="0" layoutInCell="1" hidden="0" allowOverlap="1" wp14:anchorId="7EDD08CC" wp14:editId="00A774C5">
                  <wp:simplePos x="0" y="0"/>
                  <wp:positionH relativeFrom="column">
                    <wp:posOffset>105410</wp:posOffset>
                  </wp:positionH>
                  <wp:positionV relativeFrom="paragraph">
                    <wp:posOffset>1270</wp:posOffset>
                  </wp:positionV>
                  <wp:extent cx="819150" cy="97155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19150" cy="971550"/>
                          </a:xfrm>
                          <a:prstGeom prst="rect">
                            <a:avLst/>
                          </a:prstGeom>
                          <a:ln/>
                        </pic:spPr>
                      </pic:pic>
                    </a:graphicData>
                  </a:graphic>
                </wp:anchor>
              </w:drawing>
            </w:r>
          </w:p>
        </w:tc>
        <w:tc>
          <w:tcPr>
            <w:tcW w:w="1987" w:type="dxa"/>
            <w:tcBorders>
              <w:top w:val="single" w:sz="4" w:space="0" w:color="000000"/>
              <w:left w:val="single" w:sz="4" w:space="0" w:color="000000"/>
              <w:bottom w:val="single" w:sz="4" w:space="0" w:color="000000"/>
              <w:right w:val="single" w:sz="4" w:space="0" w:color="000000"/>
            </w:tcBorders>
            <w:vAlign w:val="center"/>
          </w:tcPr>
          <w:p w14:paraId="07577421" w14:textId="77777777" w:rsidR="00896A7E" w:rsidRDefault="00896A7E">
            <w:pPr>
              <w:jc w:val="center"/>
              <w:rPr>
                <w:rFonts w:ascii="Century Gothic" w:eastAsia="Century Gothic" w:hAnsi="Century Gothic" w:cs="Century Gothic"/>
                <w:b/>
                <w:bCs/>
                <w:sz w:val="20"/>
                <w:szCs w:val="20"/>
              </w:rPr>
            </w:pPr>
          </w:p>
          <w:p w14:paraId="410EC917"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DIPUTADA ROSANA DÍAZ REYES</w:t>
            </w:r>
          </w:p>
          <w:p w14:paraId="6F454C8C" w14:textId="77777777" w:rsidR="00896A7E" w:rsidRDefault="00943736">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VOCAL </w:t>
            </w:r>
          </w:p>
        </w:tc>
        <w:tc>
          <w:tcPr>
            <w:tcW w:w="2128" w:type="dxa"/>
            <w:tcBorders>
              <w:top w:val="single" w:sz="4" w:space="0" w:color="000000"/>
              <w:left w:val="single" w:sz="4" w:space="0" w:color="000000"/>
              <w:bottom w:val="single" w:sz="4" w:space="0" w:color="000000"/>
              <w:right w:val="single" w:sz="4" w:space="0" w:color="000000"/>
            </w:tcBorders>
            <w:vAlign w:val="center"/>
          </w:tcPr>
          <w:p w14:paraId="509684DA" w14:textId="77777777" w:rsidR="00896A7E" w:rsidRDefault="00943736">
            <w:pPr>
              <w:spacing w:line="360" w:lineRule="auto"/>
              <w:rPr>
                <w:rFonts w:ascii="Century Gothic" w:eastAsia="Century Gothic" w:hAnsi="Century Gothic" w:cs="Century Gothic"/>
                <w:b/>
                <w:bCs/>
                <w:color w:val="000000"/>
                <w:sz w:val="20"/>
                <w:szCs w:val="20"/>
              </w:rPr>
            </w:pPr>
            <w:r>
              <w:rPr>
                <w:noProof/>
              </w:rPr>
              <mc:AlternateContent>
                <mc:Choice Requires="wps">
                  <w:drawing>
                    <wp:anchor distT="0" distB="0" distL="114300" distR="114300" simplePos="0" relativeHeight="251668480" behindDoc="0" locked="0" layoutInCell="1" hidden="0" allowOverlap="1" wp14:anchorId="33376A61" wp14:editId="6FF8E9A6">
                      <wp:simplePos x="0" y="0"/>
                      <wp:positionH relativeFrom="column">
                        <wp:posOffset>-64769</wp:posOffset>
                      </wp:positionH>
                      <wp:positionV relativeFrom="paragraph">
                        <wp:posOffset>28575</wp:posOffset>
                      </wp:positionV>
                      <wp:extent cx="1346200" cy="952500"/>
                      <wp:effectExtent l="0" t="0" r="25400" b="19050"/>
                      <wp:wrapNone/>
                      <wp:docPr id="5" name="Conector recto 5"/>
                      <wp:cNvGraphicFramePr/>
                      <a:graphic xmlns:a="http://schemas.openxmlformats.org/drawingml/2006/main">
                        <a:graphicData uri="http://schemas.microsoft.com/office/word/2010/wordprocessingShape">
                          <wps:wsp>
                            <wps:cNvCnPr/>
                            <wps:spPr>
                              <a:xfrm flipV="1">
                                <a:off x="0" y="0"/>
                                <a:ext cx="1346200" cy="952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-64769</wp:posOffset>
                      </wp:positionH>
                      <wp:positionV relativeFrom="paragraph">
                        <wp:posOffset>28575</wp:posOffset>
                      </wp:positionV>
                      <wp:extent cx="1371600" cy="971550"/>
                      <wp:effectExtent b="0" l="0" r="0" t="0"/>
                      <wp:wrapNone/>
                      <wp:docPr id="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371600" cy="97155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3B28658D" wp14:editId="17CCA52C">
                      <wp:simplePos x="0" y="0"/>
                      <wp:positionH relativeFrom="column">
                        <wp:posOffset>1275080</wp:posOffset>
                      </wp:positionH>
                      <wp:positionV relativeFrom="paragraph">
                        <wp:posOffset>28575</wp:posOffset>
                      </wp:positionV>
                      <wp:extent cx="1352550" cy="958850"/>
                      <wp:effectExtent l="0" t="0" r="19050" b="31750"/>
                      <wp:wrapNone/>
                      <wp:docPr id="2" name="Conector recto 2"/>
                      <wp:cNvGraphicFramePr/>
                      <a:graphic xmlns:a="http://schemas.openxmlformats.org/drawingml/2006/main">
                        <a:graphicData uri="http://schemas.microsoft.com/office/word/2010/wordprocessingShape">
                          <wps:wsp>
                            <wps:cNvCnPr/>
                            <wps:spPr>
                              <a:xfrm flipV="1">
                                <a:off x="0" y="0"/>
                                <a:ext cx="1352550" cy="95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1275080</wp:posOffset>
                      </wp:positionH>
                      <wp:positionV relativeFrom="paragraph">
                        <wp:posOffset>28575</wp:posOffset>
                      </wp:positionV>
                      <wp:extent cx="1371600" cy="990600"/>
                      <wp:effectExtent b="0" l="0" r="0" t="0"/>
                      <wp:wrapNone/>
                      <wp:docPr id="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371600" cy="990600"/>
                              </a:xfrm>
                              <a:prstGeom prst="rect"/>
                              <a:ln/>
                            </pic:spPr>
                          </pic:pic>
                        </a:graphicData>
                      </a:graphic>
                    </wp:anchor>
                  </w:drawing>
                </mc:Fallback>
              </mc:AlternateContent>
            </w:r>
          </w:p>
        </w:tc>
        <w:tc>
          <w:tcPr>
            <w:tcW w:w="2128" w:type="dxa"/>
            <w:tcBorders>
              <w:top w:val="single" w:sz="4" w:space="0" w:color="000000"/>
              <w:left w:val="single" w:sz="4" w:space="0" w:color="000000"/>
              <w:bottom w:val="single" w:sz="4" w:space="0" w:color="000000"/>
              <w:right w:val="single" w:sz="4" w:space="0" w:color="000000"/>
            </w:tcBorders>
            <w:vAlign w:val="center"/>
          </w:tcPr>
          <w:p w14:paraId="397391E9" w14:textId="77777777" w:rsidR="00896A7E" w:rsidRDefault="00896A7E">
            <w:pPr>
              <w:spacing w:line="360" w:lineRule="auto"/>
              <w:rPr>
                <w:rFonts w:ascii="Century Gothic" w:eastAsia="Century Gothic" w:hAnsi="Century Gothic" w:cs="Century Gothic"/>
                <w:b/>
                <w:bCs/>
                <w:color w:val="000000"/>
                <w:sz w:val="20"/>
                <w:szCs w:val="20"/>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21B17502" w14:textId="77777777" w:rsidR="00896A7E" w:rsidRDefault="00943736">
            <w:pPr>
              <w:spacing w:line="360" w:lineRule="auto"/>
              <w:rPr>
                <w:rFonts w:ascii="Century Gothic" w:eastAsia="Century Gothic" w:hAnsi="Century Gothic" w:cs="Century Gothic"/>
                <w:b/>
                <w:bCs/>
                <w:color w:val="000000"/>
                <w:sz w:val="20"/>
                <w:szCs w:val="20"/>
              </w:rPr>
            </w:pPr>
            <w:r>
              <w:rPr>
                <w:noProof/>
              </w:rPr>
              <mc:AlternateContent>
                <mc:Choice Requires="wps">
                  <w:drawing>
                    <wp:anchor distT="0" distB="0" distL="114300" distR="114300" simplePos="0" relativeHeight="251670528" behindDoc="0" locked="0" layoutInCell="1" hidden="0" allowOverlap="1" wp14:anchorId="20E93F62" wp14:editId="2F31677F">
                      <wp:simplePos x="0" y="0"/>
                      <wp:positionH relativeFrom="column">
                        <wp:posOffset>-55244</wp:posOffset>
                      </wp:positionH>
                      <wp:positionV relativeFrom="paragraph">
                        <wp:posOffset>9525</wp:posOffset>
                      </wp:positionV>
                      <wp:extent cx="1136650" cy="958850"/>
                      <wp:effectExtent l="0" t="0" r="25400" b="31750"/>
                      <wp:wrapNone/>
                      <wp:docPr id="1" name="Conector recto 1"/>
                      <wp:cNvGraphicFramePr/>
                      <a:graphic xmlns:a="http://schemas.openxmlformats.org/drawingml/2006/main">
                        <a:graphicData uri="http://schemas.microsoft.com/office/word/2010/wordprocessingShape">
                          <wps:wsp>
                            <wps:cNvCnPr/>
                            <wps:spPr>
                              <a:xfrm flipV="1">
                                <a:off x="0" y="0"/>
                                <a:ext cx="1136650" cy="95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-55244</wp:posOffset>
                      </wp:positionH>
                      <wp:positionV relativeFrom="paragraph">
                        <wp:posOffset>9525</wp:posOffset>
                      </wp:positionV>
                      <wp:extent cx="1162050" cy="990600"/>
                      <wp:effectExtent b="0" l="0" r="0" t="0"/>
                      <wp:wrapNone/>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162050" cy="990600"/>
                              </a:xfrm>
                              <a:prstGeom prst="rect"/>
                              <a:ln/>
                            </pic:spPr>
                          </pic:pic>
                        </a:graphicData>
                      </a:graphic>
                    </wp:anchor>
                  </w:drawing>
                </mc:Fallback>
              </mc:AlternateContent>
            </w:r>
          </w:p>
        </w:tc>
      </w:tr>
    </w:tbl>
    <w:p w14:paraId="2160A419" w14:textId="77777777" w:rsidR="00896A7E" w:rsidRDefault="00896A7E">
      <w:pPr>
        <w:jc w:val="both"/>
        <w:rPr>
          <w:rFonts w:ascii="Century Gothic" w:eastAsia="Century Gothic" w:hAnsi="Century Gothic" w:cs="Century Gothic"/>
          <w:sz w:val="16"/>
          <w:szCs w:val="16"/>
        </w:rPr>
      </w:pPr>
    </w:p>
    <w:p w14:paraId="13840C8E" w14:textId="77777777" w:rsidR="00896A7E" w:rsidRDefault="00943736">
      <w:pPr>
        <w:jc w:val="both"/>
        <w:rPr>
          <w:sz w:val="16"/>
          <w:szCs w:val="16"/>
        </w:rPr>
      </w:pPr>
      <w:r>
        <w:rPr>
          <w:rFonts w:ascii="Century Gothic" w:eastAsia="Century Gothic" w:hAnsi="Century Gothic" w:cs="Century Gothic"/>
          <w:sz w:val="16"/>
          <w:szCs w:val="16"/>
        </w:rPr>
        <w:t xml:space="preserve">Nota: La presente hoja de firmas corresponde al Dictamen de la Comisión de Salud, que recae en la iniciativa identificada con el número 1334. </w:t>
      </w:r>
    </w:p>
    <w:sectPr w:rsidR="00896A7E">
      <w:headerReference w:type="default" r:id="rId20"/>
      <w:footerReference w:type="default" r:id="rId21"/>
      <w:pgSz w:w="12240" w:h="15840"/>
      <w:pgMar w:top="170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41D9E" w14:textId="77777777" w:rsidR="00943736" w:rsidRDefault="00943736">
      <w:r>
        <w:separator/>
      </w:r>
    </w:p>
  </w:endnote>
  <w:endnote w:type="continuationSeparator" w:id="0">
    <w:p w14:paraId="65A3DDBD" w14:textId="77777777" w:rsidR="00943736" w:rsidRDefault="00943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7340C47-0294-4E7F-9346-4851BA36F4D7}"/>
  </w:font>
  <w:font w:name="Century Gothic">
    <w:panose1 w:val="020B0502020202020204"/>
    <w:charset w:val="00"/>
    <w:family w:val="swiss"/>
    <w:pitch w:val="variable"/>
    <w:sig w:usb0="00000287" w:usb1="00000000" w:usb2="00000000" w:usb3="00000000" w:csb0="0000009F" w:csb1="00000000"/>
    <w:embedRegular r:id="rId2" w:fontKey="{0A960356-8D5E-4B71-831C-64ADA565EBF3}"/>
    <w:embedBold r:id="rId3" w:fontKey="{66083E66-1ECC-437C-9345-5702FCD9B619}"/>
    <w:embedItalic r:id="rId4" w:fontKey="{34C07E8B-BCA5-470B-9472-204562A5FF22}"/>
    <w:embedBoldItalic r:id="rId5" w:fontKey="{56E83493-D34B-478C-9F05-0BC9C7902820}"/>
  </w:font>
  <w:font w:name="Calibri">
    <w:panose1 w:val="020F0502020204030204"/>
    <w:charset w:val="00"/>
    <w:family w:val="swiss"/>
    <w:pitch w:val="variable"/>
    <w:sig w:usb0="E4002EFF" w:usb1="C200247B" w:usb2="00000009" w:usb3="00000000" w:csb0="000001FF" w:csb1="00000000"/>
    <w:embedRegular r:id="rId6" w:fontKey="{FB0E154A-8072-473E-8821-25C6F15BEABC}"/>
  </w:font>
  <w:font w:name="Cambria">
    <w:panose1 w:val="02040503050406030204"/>
    <w:charset w:val="00"/>
    <w:family w:val="roman"/>
    <w:pitch w:val="variable"/>
    <w:sig w:usb0="E00006FF" w:usb1="420024FF" w:usb2="02000000" w:usb3="00000000" w:csb0="0000019F" w:csb1="00000000"/>
    <w:embedRegular r:id="rId7" w:fontKey="{C10118CB-245B-4334-80B9-24BCF2979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835D" w14:textId="77777777" w:rsidR="00896A7E" w:rsidRDefault="00943736">
    <w:pPr>
      <w:pBdr>
        <w:top w:val="nil"/>
        <w:left w:val="nil"/>
        <w:bottom w:val="nil"/>
        <w:right w:val="nil"/>
        <w:between w:val="nil"/>
      </w:pBdr>
      <w:tabs>
        <w:tab w:val="center" w:pos="4419"/>
        <w:tab w:val="right" w:pos="8838"/>
      </w:tabs>
      <w:jc w:val="right"/>
      <w:rPr>
        <w:color w:val="000000"/>
      </w:rPr>
    </w:pPr>
    <w:r>
      <w:rPr>
        <w:rFonts w:ascii="Century Gothic" w:eastAsia="Century Gothic" w:hAnsi="Century Gothic" w:cs="Century Gothic"/>
        <w:color w:val="000000"/>
        <w:sz w:val="16"/>
        <w:szCs w:val="16"/>
      </w:rPr>
      <w:t>A1334/OIDS/NTRP/GAOR/FCLC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A2951" w14:textId="77777777" w:rsidR="00943736" w:rsidRDefault="00943736">
      <w:r>
        <w:separator/>
      </w:r>
    </w:p>
  </w:footnote>
  <w:footnote w:type="continuationSeparator" w:id="0">
    <w:p w14:paraId="28C6F81C" w14:textId="77777777" w:rsidR="00943736" w:rsidRDefault="00943736">
      <w:r>
        <w:continuationSeparator/>
      </w:r>
    </w:p>
  </w:footnote>
  <w:footnote w:id="1">
    <w:p w14:paraId="64ABD8E4"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https://www.congresochihuahua2.gob.mx/biblioteca/iniciativas/archivosIniciativas/24760.pdf</w:t>
        </w:r>
      </w:hyperlink>
      <w:r>
        <w:rPr>
          <w:rFonts w:ascii="Calibri" w:eastAsia="Calibri" w:hAnsi="Calibri" w:cs="Calibri"/>
          <w:color w:val="000000"/>
          <w:sz w:val="20"/>
          <w:szCs w:val="20"/>
        </w:rPr>
        <w:t xml:space="preserve"> </w:t>
      </w:r>
    </w:p>
  </w:footnote>
  <w:footnote w:id="2">
    <w:p w14:paraId="2FAC9372"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2">
        <w:r>
          <w:rPr>
            <w:rFonts w:ascii="Calibri" w:eastAsia="Calibri" w:hAnsi="Calibri" w:cs="Calibri"/>
            <w:color w:val="0563C1"/>
            <w:sz w:val="20"/>
            <w:szCs w:val="20"/>
            <w:u w:val="single"/>
          </w:rPr>
          <w:t>https://www.congresochihuahua2.gob.mx/biblioteca/constitucion/archivosConstitucion/actual.pdf</w:t>
        </w:r>
      </w:hyperlink>
      <w:r>
        <w:rPr>
          <w:rFonts w:ascii="Calibri" w:eastAsia="Calibri" w:hAnsi="Calibri" w:cs="Calibri"/>
          <w:color w:val="000000"/>
          <w:sz w:val="20"/>
          <w:szCs w:val="20"/>
        </w:rPr>
        <w:t xml:space="preserve"> </w:t>
      </w:r>
    </w:p>
  </w:footnote>
  <w:footnote w:id="3">
    <w:p w14:paraId="0AA1567B"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3">
        <w:r>
          <w:rPr>
            <w:rFonts w:ascii="Calibri" w:eastAsia="Calibri" w:hAnsi="Calibri" w:cs="Calibri"/>
            <w:color w:val="0563C1"/>
            <w:sz w:val="20"/>
            <w:szCs w:val="20"/>
            <w:u w:val="single"/>
          </w:rPr>
          <w:t>https://www.congresochihuahua2.gob.mx/biblioteca/leyes/archivosLeyes/894.pdf</w:t>
        </w:r>
      </w:hyperlink>
      <w:r>
        <w:rPr>
          <w:rFonts w:ascii="Calibri" w:eastAsia="Calibri" w:hAnsi="Calibri" w:cs="Calibri"/>
          <w:color w:val="000000"/>
          <w:sz w:val="20"/>
          <w:szCs w:val="20"/>
        </w:rPr>
        <w:t xml:space="preserve"> </w:t>
      </w:r>
    </w:p>
  </w:footnote>
  <w:footnote w:id="4">
    <w:p w14:paraId="6A7F6CE5"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4">
        <w:r>
          <w:rPr>
            <w:rFonts w:ascii="Calibri" w:eastAsia="Calibri" w:hAnsi="Calibri" w:cs="Calibri"/>
            <w:color w:val="0563C1"/>
            <w:sz w:val="20"/>
            <w:szCs w:val="20"/>
            <w:u w:val="single"/>
          </w:rPr>
          <w:t>https://www.un.org/es/about-us/universal</w:t>
        </w:r>
        <w:r>
          <w:rPr>
            <w:rFonts w:ascii="Calibri" w:eastAsia="Calibri" w:hAnsi="Calibri" w:cs="Calibri"/>
            <w:color w:val="0563C1"/>
            <w:sz w:val="20"/>
            <w:szCs w:val="20"/>
            <w:u w:val="single"/>
          </w:rPr>
          <w:t>-declaration-of-human-rights</w:t>
        </w:r>
      </w:hyperlink>
      <w:r>
        <w:rPr>
          <w:rFonts w:ascii="Calibri" w:eastAsia="Calibri" w:hAnsi="Calibri" w:cs="Calibri"/>
          <w:color w:val="000000"/>
          <w:sz w:val="20"/>
          <w:szCs w:val="20"/>
        </w:rPr>
        <w:t xml:space="preserve"> </w:t>
      </w:r>
    </w:p>
  </w:footnote>
  <w:footnote w:id="5">
    <w:p w14:paraId="35818095"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5">
        <w:r>
          <w:rPr>
            <w:rFonts w:ascii="Calibri" w:eastAsia="Calibri" w:hAnsi="Calibri" w:cs="Calibri"/>
            <w:color w:val="0563C1"/>
            <w:sz w:val="20"/>
            <w:szCs w:val="20"/>
            <w:u w:val="single"/>
          </w:rPr>
          <w:t>https://www.ohchr.org/es/instruments-mechanisms/instruments/international-covenant-eco</w:t>
        </w:r>
        <w:r>
          <w:rPr>
            <w:rFonts w:ascii="Calibri" w:eastAsia="Calibri" w:hAnsi="Calibri" w:cs="Calibri"/>
            <w:color w:val="0563C1"/>
            <w:sz w:val="20"/>
            <w:szCs w:val="20"/>
            <w:u w:val="single"/>
          </w:rPr>
          <w:t>nomic-social-and-cultural-rights</w:t>
        </w:r>
      </w:hyperlink>
      <w:r>
        <w:rPr>
          <w:rFonts w:ascii="Calibri" w:eastAsia="Calibri" w:hAnsi="Calibri" w:cs="Calibri"/>
          <w:color w:val="000000"/>
          <w:sz w:val="20"/>
          <w:szCs w:val="20"/>
        </w:rPr>
        <w:t xml:space="preserve"> </w:t>
      </w:r>
    </w:p>
  </w:footnote>
  <w:footnote w:id="6">
    <w:p w14:paraId="442EA37A"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entury Gothic" w:eastAsia="Century Gothic" w:hAnsi="Century Gothic" w:cs="Century Gothic"/>
          <w:color w:val="000000"/>
          <w:sz w:val="18"/>
          <w:szCs w:val="18"/>
        </w:rPr>
        <w:t xml:space="preserve"> </w:t>
      </w:r>
      <w:hyperlink r:id="rId6">
        <w:r>
          <w:rPr>
            <w:rFonts w:ascii="Calibri" w:eastAsia="Calibri" w:hAnsi="Calibri" w:cs="Calibri"/>
            <w:color w:val="0563C1"/>
            <w:sz w:val="20"/>
            <w:szCs w:val="20"/>
            <w:u w:val="single"/>
          </w:rPr>
          <w:t>https://www.diputados.gob.mx/LeyesBiblio/pdf/CPEUM.pdf</w:t>
        </w:r>
      </w:hyperlink>
      <w:r>
        <w:rPr>
          <w:rFonts w:ascii="Calibri" w:eastAsia="Calibri" w:hAnsi="Calibri" w:cs="Calibri"/>
          <w:color w:val="000000"/>
          <w:sz w:val="20"/>
          <w:szCs w:val="20"/>
        </w:rPr>
        <w:t xml:space="preserve"> </w:t>
      </w:r>
    </w:p>
  </w:footnote>
  <w:footnote w:id="7">
    <w:p w14:paraId="4C4266DF"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7">
        <w:r>
          <w:rPr>
            <w:rFonts w:ascii="Calibri" w:eastAsia="Calibri" w:hAnsi="Calibri" w:cs="Calibri"/>
            <w:color w:val="0563C1"/>
            <w:sz w:val="20"/>
            <w:szCs w:val="20"/>
            <w:u w:val="single"/>
          </w:rPr>
          <w:t>https://www.diputados.gob.mx/LeyesBiblio/pdf/LGS.pdf</w:t>
        </w:r>
      </w:hyperlink>
      <w:r>
        <w:rPr>
          <w:rFonts w:ascii="Calibri" w:eastAsia="Calibri" w:hAnsi="Calibri" w:cs="Calibri"/>
          <w:color w:val="000000"/>
          <w:sz w:val="20"/>
          <w:szCs w:val="20"/>
        </w:rPr>
        <w:t xml:space="preserve"> </w:t>
      </w:r>
    </w:p>
  </w:footnote>
  <w:footnote w:id="8">
    <w:p w14:paraId="2A7153E7"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8">
        <w:r>
          <w:rPr>
            <w:rFonts w:ascii="Calibri" w:eastAsia="Calibri" w:hAnsi="Calibri" w:cs="Calibri"/>
            <w:color w:val="0563C1"/>
            <w:sz w:val="20"/>
            <w:szCs w:val="20"/>
            <w:u w:val="single"/>
          </w:rPr>
          <w:t>https://www.congresochihuahua2.gob.mx/biblioteca/leyes/archivosLeyes/894.pdf</w:t>
        </w:r>
      </w:hyperlink>
      <w:r>
        <w:rPr>
          <w:rFonts w:ascii="Calibri" w:eastAsia="Calibri" w:hAnsi="Calibri" w:cs="Calibri"/>
          <w:color w:val="000000"/>
          <w:sz w:val="20"/>
          <w:szCs w:val="20"/>
        </w:rPr>
        <w:t xml:space="preserve"> </w:t>
      </w:r>
    </w:p>
  </w:footnote>
  <w:footnote w:id="9">
    <w:p w14:paraId="58AC850E"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9">
        <w:r>
          <w:rPr>
            <w:rFonts w:ascii="Calibri" w:eastAsia="Calibri" w:hAnsi="Calibri" w:cs="Calibri"/>
            <w:color w:val="0563C1"/>
            <w:sz w:val="20"/>
            <w:szCs w:val="20"/>
            <w:u w:val="single"/>
          </w:rPr>
          <w:t>https://www.chihuahua.gob.mx/prensa/registra-secretaria-de-salud-mas-de-82-mil-sesiones-de-radioterapia-otorgadas-con-acelerador</w:t>
        </w:r>
      </w:hyperlink>
      <w:r>
        <w:rPr>
          <w:rFonts w:ascii="Calibri" w:eastAsia="Calibri" w:hAnsi="Calibri" w:cs="Calibri"/>
          <w:color w:val="000000"/>
          <w:sz w:val="20"/>
          <w:szCs w:val="20"/>
        </w:rPr>
        <w:t xml:space="preserve"> </w:t>
      </w:r>
    </w:p>
  </w:footnote>
  <w:footnote w:id="10">
    <w:p w14:paraId="6D795681" w14:textId="77777777" w:rsidR="00896A7E" w:rsidRDefault="00943736">
      <w:pPr>
        <w:pBdr>
          <w:top w:val="nil"/>
          <w:left w:val="nil"/>
          <w:bottom w:val="nil"/>
          <w:right w:val="nil"/>
          <w:between w:val="nil"/>
        </w:pBdr>
        <w:spacing w:after="160" w:line="259"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0">
        <w:r>
          <w:rPr>
            <w:rFonts w:ascii="Calibri" w:eastAsia="Calibri" w:hAnsi="Calibri" w:cs="Calibri"/>
            <w:color w:val="0563C1"/>
            <w:sz w:val="20"/>
            <w:szCs w:val="20"/>
            <w:u w:val="single"/>
          </w:rPr>
          <w:t>https://www.inegi.org.mx/contenidos/saladeprensa/aproposito/2026/EAP_Cancer_26.pdf</w:t>
        </w:r>
      </w:hyperlink>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C5A2" w14:textId="77777777" w:rsidR="00896A7E" w:rsidRDefault="00943736">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CBD40E3" wp14:editId="536F01FB">
          <wp:simplePos x="0" y="0"/>
          <wp:positionH relativeFrom="column">
            <wp:posOffset>-1080134</wp:posOffset>
          </wp:positionH>
          <wp:positionV relativeFrom="paragraph">
            <wp:posOffset>-449579</wp:posOffset>
          </wp:positionV>
          <wp:extent cx="7772400" cy="1005840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p w14:paraId="72B3BA01" w14:textId="77777777" w:rsidR="00896A7E" w:rsidRDefault="00896A7E">
    <w:pPr>
      <w:pBdr>
        <w:top w:val="nil"/>
        <w:left w:val="nil"/>
        <w:bottom w:val="nil"/>
        <w:right w:val="nil"/>
        <w:between w:val="nil"/>
      </w:pBdr>
      <w:tabs>
        <w:tab w:val="center" w:pos="4419"/>
        <w:tab w:val="right" w:pos="8838"/>
      </w:tabs>
      <w:rPr>
        <w:color w:val="000000"/>
      </w:rPr>
    </w:pPr>
  </w:p>
  <w:p w14:paraId="73F3B69D" w14:textId="77777777" w:rsidR="00896A7E" w:rsidRDefault="00896A7E">
    <w:pPr>
      <w:pBdr>
        <w:top w:val="nil"/>
        <w:left w:val="nil"/>
        <w:bottom w:val="nil"/>
        <w:right w:val="nil"/>
        <w:between w:val="nil"/>
      </w:pBdr>
      <w:tabs>
        <w:tab w:val="center" w:pos="4419"/>
        <w:tab w:val="right" w:pos="8838"/>
      </w:tabs>
      <w:rPr>
        <w:color w:val="000000"/>
      </w:rPr>
    </w:pPr>
  </w:p>
  <w:p w14:paraId="67B1A7C8" w14:textId="77777777" w:rsidR="00896A7E" w:rsidRDefault="00943736">
    <w:pPr>
      <w:tabs>
        <w:tab w:val="center" w:pos="4419"/>
        <w:tab w:val="right" w:pos="8838"/>
      </w:tabs>
      <w:jc w:val="right"/>
      <w:rPr>
        <w:rFonts w:ascii="Century Gothic" w:eastAsia="Century Gothic" w:hAnsi="Century Gothic" w:cs="Century Gothic"/>
        <w:smallCaps/>
        <w:sz w:val="28"/>
        <w:szCs w:val="28"/>
      </w:rPr>
    </w:pPr>
    <w:r>
      <w:rPr>
        <w:rFonts w:ascii="Century Gothic" w:eastAsia="Century Gothic" w:hAnsi="Century Gothic" w:cs="Century Gothic"/>
        <w:b/>
        <w:bCs/>
        <w:smallCaps/>
        <w:sz w:val="28"/>
        <w:szCs w:val="28"/>
        <w:highlight w:val="white"/>
      </w:rPr>
      <w:t>Comisión de Salud</w:t>
    </w:r>
  </w:p>
  <w:p w14:paraId="257EA283" w14:textId="77777777" w:rsidR="00896A7E" w:rsidRDefault="00943736">
    <w:pPr>
      <w:spacing w:line="360" w:lineRule="auto"/>
      <w:jc w:val="right"/>
      <w:rPr>
        <w:rFonts w:ascii="Century Gothic" w:eastAsia="Century Gothic" w:hAnsi="Century Gothic" w:cs="Century Gothic"/>
        <w:b/>
        <w:bCs/>
        <w:smallCaps/>
        <w:color w:val="000000"/>
        <w:sz w:val="22"/>
        <w:szCs w:val="22"/>
      </w:rPr>
    </w:pPr>
    <w:r>
      <w:rPr>
        <w:rFonts w:ascii="Century Gothic" w:eastAsia="Century Gothic" w:hAnsi="Century Gothic" w:cs="Century Gothic"/>
        <w:b/>
        <w:bCs/>
        <w:smallCaps/>
        <w:color w:val="000000"/>
        <w:sz w:val="22"/>
        <w:szCs w:val="22"/>
      </w:rPr>
      <w:t>LXVIII LEGISLATURA</w:t>
    </w:r>
  </w:p>
  <w:p w14:paraId="062D42ED" w14:textId="7CA55A34" w:rsidR="00896A7E" w:rsidRDefault="00943736">
    <w:pPr>
      <w:spacing w:line="360" w:lineRule="auto"/>
      <w:ind w:left="720"/>
      <w:jc w:val="right"/>
      <w:rPr>
        <w:rFonts w:ascii="Century Gothic" w:eastAsia="Century Gothic" w:hAnsi="Century Gothic" w:cs="Century Gothic"/>
        <w:b/>
        <w:bCs/>
      </w:rPr>
    </w:pPr>
    <w:r>
      <w:rPr>
        <w:rFonts w:ascii="Century Gothic" w:eastAsia="Century Gothic" w:hAnsi="Century Gothic" w:cs="Century Gothic"/>
        <w:b/>
        <w:bCs/>
      </w:rPr>
      <w:t>DCS/1</w:t>
    </w:r>
    <w:r w:rsidR="00C2135F">
      <w:rPr>
        <w:rFonts w:ascii="Century Gothic" w:eastAsia="Century Gothic" w:hAnsi="Century Gothic" w:cs="Century Gothic"/>
        <w:b/>
        <w:bCs/>
      </w:rPr>
      <w:t>6</w:t>
    </w:r>
    <w:r>
      <w:rPr>
        <w:rFonts w:ascii="Century Gothic" w:eastAsia="Century Gothic" w:hAnsi="Century Gothic" w:cs="Century Gothic"/>
        <w:b/>
        <w:bCs/>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0ED"/>
    <w:multiLevelType w:val="multilevel"/>
    <w:tmpl w:val="F1225DA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081542"/>
    <w:multiLevelType w:val="multilevel"/>
    <w:tmpl w:val="6568B0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A7E"/>
    <w:rsid w:val="00896A7E"/>
    <w:rsid w:val="00943736"/>
    <w:rsid w:val="00C213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72943"/>
  <w15:docId w15:val="{AD758527-6264-4C5A-BF88-28D5EA03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C2135F"/>
    <w:pPr>
      <w:tabs>
        <w:tab w:val="center" w:pos="4419"/>
        <w:tab w:val="right" w:pos="8838"/>
      </w:tabs>
    </w:pPr>
  </w:style>
  <w:style w:type="character" w:customStyle="1" w:styleId="EncabezadoCar">
    <w:name w:val="Encabezado Car"/>
    <w:basedOn w:val="Fuentedeprrafopredeter"/>
    <w:link w:val="Encabezado"/>
    <w:uiPriority w:val="99"/>
    <w:rsid w:val="00C2135F"/>
  </w:style>
  <w:style w:type="paragraph" w:styleId="Piedepgina">
    <w:name w:val="footer"/>
    <w:basedOn w:val="Normal"/>
    <w:link w:val="PiedepginaCar"/>
    <w:uiPriority w:val="99"/>
    <w:unhideWhenUsed/>
    <w:rsid w:val="00C2135F"/>
    <w:pPr>
      <w:tabs>
        <w:tab w:val="center" w:pos="4419"/>
        <w:tab w:val="right" w:pos="8838"/>
      </w:tabs>
    </w:pPr>
  </w:style>
  <w:style w:type="character" w:customStyle="1" w:styleId="PiedepginaCar">
    <w:name w:val="Pie de página Car"/>
    <w:basedOn w:val="Fuentedeprrafopredeter"/>
    <w:link w:val="Piedepgina"/>
    <w:uiPriority w:val="99"/>
    <w:rsid w:val="00C21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congresochihuahua2.gob.mx/biblioteca/leyes/archivosLeyes/894.pdf" TargetMode="External"/><Relationship Id="rId3" Type="http://schemas.openxmlformats.org/officeDocument/2006/relationships/hyperlink" Target="https://www.congresochihuahua2.gob.mx/biblioteca/leyes/archivosLeyes/894.pdf" TargetMode="External"/><Relationship Id="rId7" Type="http://schemas.openxmlformats.org/officeDocument/2006/relationships/hyperlink" Target="https://www.diputados.gob.mx/LeyesBiblio/pdf/LGS.pdf" TargetMode="External"/><Relationship Id="rId2" Type="http://schemas.openxmlformats.org/officeDocument/2006/relationships/hyperlink" Target="https://www.congresochihuahua2.gob.mx/biblioteca/constitucion/archivosConstitucion/actual.pdf" TargetMode="External"/><Relationship Id="rId1" Type="http://schemas.openxmlformats.org/officeDocument/2006/relationships/hyperlink" Target="https://www.congresochihuahua2.gob.mx/biblioteca/iniciativas/archivosIniciativas/24760.pdf" TargetMode="External"/><Relationship Id="rId6" Type="http://schemas.openxmlformats.org/officeDocument/2006/relationships/hyperlink" Target="https://www.diputados.gob.mx/LeyesBiblio/pdf/CPEUM.pdf" TargetMode="External"/><Relationship Id="rId5" Type="http://schemas.openxmlformats.org/officeDocument/2006/relationships/hyperlink" Target="https://www.ohchr.org/es/instruments-mechanisms/instruments/international-covenant-economic-social-and-cultural-rights" TargetMode="External"/><Relationship Id="rId10" Type="http://schemas.openxmlformats.org/officeDocument/2006/relationships/hyperlink" Target="https://www.inegi.org.mx/contenidos/saladeprensa/aproposito/2026/EAP_Cancer_26.pdf" TargetMode="External"/><Relationship Id="rId4" Type="http://schemas.openxmlformats.org/officeDocument/2006/relationships/hyperlink" Target="https://www.un.org/es/about-us/universal-declaration-of-human-rights" TargetMode="External"/><Relationship Id="rId9" Type="http://schemas.openxmlformats.org/officeDocument/2006/relationships/hyperlink" Target="https://www.chihuahua.gob.mx/prensa/registra-secretaria-de-salud-mas-de-82-mil-sesiones-de-radioterapia-otorgadas-con-acelerad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2329</Words>
  <Characters>12814</Characters>
  <Application>Microsoft Office Word</Application>
  <DocSecurity>0</DocSecurity>
  <Lines>106</Lines>
  <Paragraphs>30</Paragraphs>
  <ScaleCrop>false</ScaleCrop>
  <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Elias Daniel Loya Perez</cp:lastModifiedBy>
  <cp:revision>2</cp:revision>
  <cp:lastPrinted>2026-05-13T19:34:00Z</cp:lastPrinted>
  <dcterms:created xsi:type="dcterms:W3CDTF">2026-05-13T19:32:00Z</dcterms:created>
  <dcterms:modified xsi:type="dcterms:W3CDTF">2026-05-13T19:34:00Z</dcterms:modified>
</cp:coreProperties>
</file>