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2959" w14:textId="715BB5A0" w:rsidR="005830A8" w:rsidRDefault="005830A8" w:rsidP="00592D94">
      <w:pPr>
        <w:jc w:val="both"/>
        <w:rPr>
          <w:rFonts w:ascii="Century Gothic" w:eastAsia="Calibri" w:hAnsi="Century Gothic" w:cs="Arial"/>
          <w:b/>
          <w:sz w:val="22"/>
          <w:szCs w:val="22"/>
          <w:lang w:val="es-MX" w:eastAsia="en-US"/>
        </w:rPr>
      </w:pPr>
    </w:p>
    <w:p w14:paraId="2A70500A" w14:textId="77777777" w:rsidR="00B35E3D" w:rsidRPr="004174F1" w:rsidRDefault="00B35E3D" w:rsidP="00B35E3D">
      <w:pPr>
        <w:pStyle w:val="Normal1"/>
        <w:keepNext/>
        <w:spacing w:after="120"/>
        <w:ind w:left="708" w:hanging="708"/>
        <w:jc w:val="both"/>
        <w:rPr>
          <w:rFonts w:ascii="Century Gothic" w:hAnsi="Century Gothic"/>
          <w:color w:val="auto"/>
          <w:lang w:val="es-MX"/>
        </w:rPr>
      </w:pPr>
      <w:r w:rsidRPr="004174F1">
        <w:rPr>
          <w:rFonts w:ascii="Century Gothic" w:eastAsia="Arial" w:hAnsi="Century Gothic" w:cs="Arial"/>
          <w:b/>
          <w:color w:val="auto"/>
          <w:lang w:val="es-MX"/>
        </w:rPr>
        <w:t>H. CONGRESO DEL ESTADO.</w:t>
      </w:r>
    </w:p>
    <w:p w14:paraId="31BB656D" w14:textId="77777777" w:rsidR="00B35E3D" w:rsidRPr="004174F1" w:rsidRDefault="00B35E3D" w:rsidP="00B35E3D">
      <w:pPr>
        <w:pStyle w:val="Normal1"/>
        <w:spacing w:after="120"/>
        <w:jc w:val="both"/>
        <w:rPr>
          <w:rFonts w:ascii="Century Gothic" w:hAnsi="Century Gothic"/>
          <w:color w:val="auto"/>
          <w:lang w:val="es-MX"/>
        </w:rPr>
      </w:pPr>
      <w:r w:rsidRPr="004174F1">
        <w:rPr>
          <w:rFonts w:ascii="Century Gothic" w:eastAsia="Arial" w:hAnsi="Century Gothic" w:cs="Arial"/>
          <w:b/>
          <w:color w:val="auto"/>
          <w:lang w:val="es-MX"/>
        </w:rPr>
        <w:t>P R E S E N T E. –</w:t>
      </w:r>
    </w:p>
    <w:p w14:paraId="7D2EDF9C" w14:textId="77777777" w:rsidR="00B35E3D" w:rsidRPr="004174F1" w:rsidRDefault="00B35E3D" w:rsidP="00B35E3D">
      <w:pPr>
        <w:pStyle w:val="Normal1"/>
        <w:spacing w:after="160" w:line="360" w:lineRule="auto"/>
        <w:jc w:val="both"/>
        <w:rPr>
          <w:rFonts w:ascii="Century Gothic" w:hAnsi="Century Gothic"/>
          <w:color w:val="auto"/>
          <w:sz w:val="16"/>
          <w:lang w:val="es-MX"/>
        </w:rPr>
      </w:pPr>
    </w:p>
    <w:p w14:paraId="0A455BC9" w14:textId="39716821" w:rsidR="00B35E3D" w:rsidRDefault="00B35E3D" w:rsidP="00B35E3D">
      <w:pPr>
        <w:pStyle w:val="Normal1"/>
        <w:spacing w:after="160" w:line="360" w:lineRule="auto"/>
        <w:ind w:right="51"/>
        <w:jc w:val="both"/>
        <w:rPr>
          <w:rFonts w:ascii="Century Gothic" w:eastAsia="Arial" w:hAnsi="Century Gothic" w:cs="Arial"/>
          <w:color w:val="auto"/>
          <w:lang w:val="es-MX"/>
        </w:rPr>
      </w:pPr>
      <w:r w:rsidRPr="004174F1">
        <w:rPr>
          <w:rFonts w:ascii="Century Gothic" w:eastAsia="Arial" w:hAnsi="Century Gothic" w:cs="Arial"/>
          <w:color w:val="auto"/>
          <w:lang w:val="es-MX"/>
        </w:rPr>
        <w:t xml:space="preserve">La Comisión de </w:t>
      </w:r>
      <w:r w:rsidR="00F85F82">
        <w:rPr>
          <w:rFonts w:ascii="Century Gothic" w:eastAsia="Arial" w:hAnsi="Century Gothic" w:cs="Arial"/>
          <w:color w:val="auto"/>
          <w:lang w:val="es-MX"/>
        </w:rPr>
        <w:t>Feminicidios</w:t>
      </w:r>
      <w:r w:rsidRPr="004174F1">
        <w:rPr>
          <w:rFonts w:ascii="Century Gothic" w:eastAsia="Arial" w:hAnsi="Century Gothic" w:cs="Arial"/>
          <w:color w:val="auto"/>
          <w:lang w:val="es-MX"/>
        </w:rPr>
        <w:t xml:space="preserve">, </w:t>
      </w:r>
      <w:r w:rsidRPr="004174F1">
        <w:rPr>
          <w:rFonts w:ascii="Century Gothic" w:hAnsi="Century Gothic" w:cs="Arial"/>
          <w:color w:val="auto"/>
        </w:rPr>
        <w:t xml:space="preserve">con fundamento en lo dispuesto por los artículos </w:t>
      </w:r>
      <w:r>
        <w:rPr>
          <w:rFonts w:ascii="Century Gothic" w:hAnsi="Century Gothic" w:cs="Arial"/>
          <w:color w:val="auto"/>
          <w:lang w:val="es-MX"/>
        </w:rPr>
        <w:t>64, fracción I</w:t>
      </w:r>
      <w:r w:rsidR="006E19E9">
        <w:rPr>
          <w:rFonts w:ascii="Century Gothic" w:hAnsi="Century Gothic" w:cs="Arial"/>
          <w:color w:val="auto"/>
          <w:lang w:val="es-MX"/>
        </w:rPr>
        <w:t>I</w:t>
      </w:r>
      <w:r>
        <w:rPr>
          <w:rFonts w:ascii="Century Gothic" w:hAnsi="Century Gothic" w:cs="Arial"/>
          <w:color w:val="auto"/>
          <w:lang w:val="es-MX"/>
        </w:rPr>
        <w:t xml:space="preserve"> </w:t>
      </w:r>
      <w:r w:rsidRPr="004174F1">
        <w:rPr>
          <w:rFonts w:ascii="Century Gothic" w:hAnsi="Century Gothic" w:cs="Arial"/>
          <w:color w:val="auto"/>
          <w:lang w:val="es-MX"/>
        </w:rPr>
        <w:t>de la Constitución Política del Estado de Chihuahua; 87, 88 y 111 de la Ley Orgánica del Poder Legislativo, así como 80 y 81 del Reglamento Interior y de Prácticas Parlamentarias</w:t>
      </w:r>
      <w:r w:rsidRPr="004174F1">
        <w:rPr>
          <w:rFonts w:ascii="Century Gothic" w:hAnsi="Century Gothic" w:cs="Arial"/>
          <w:color w:val="auto"/>
        </w:rPr>
        <w:t>, ambos ordenamientos del Poder Legislativo del Estado de Chihuahua, somete a la consideración del Pleno el presente Dictamen</w:t>
      </w:r>
      <w:r w:rsidRPr="004174F1">
        <w:rPr>
          <w:rFonts w:ascii="Century Gothic" w:eastAsia="Arial" w:hAnsi="Century Gothic" w:cs="Arial"/>
          <w:color w:val="auto"/>
          <w:lang w:val="es-MX"/>
        </w:rPr>
        <w:t>, elaborado con base en los siguientes:</w:t>
      </w:r>
    </w:p>
    <w:p w14:paraId="21DEE817" w14:textId="77777777" w:rsidR="00B35E3D" w:rsidRPr="004174F1" w:rsidRDefault="00B35E3D" w:rsidP="00B35E3D">
      <w:pPr>
        <w:pStyle w:val="Normal1"/>
        <w:spacing w:after="160" w:line="360" w:lineRule="auto"/>
        <w:ind w:right="51"/>
        <w:jc w:val="both"/>
        <w:rPr>
          <w:rFonts w:ascii="Century Gothic" w:eastAsia="Arial" w:hAnsi="Century Gothic" w:cs="Arial"/>
          <w:color w:val="auto"/>
          <w:lang w:val="es-MX"/>
        </w:rPr>
      </w:pPr>
    </w:p>
    <w:p w14:paraId="7F7A8B6D" w14:textId="77777777" w:rsidR="00B35E3D" w:rsidRDefault="00B35E3D" w:rsidP="00B35E3D">
      <w:pPr>
        <w:pStyle w:val="Normal1"/>
        <w:keepNext/>
        <w:spacing w:after="160" w:line="360" w:lineRule="auto"/>
        <w:jc w:val="center"/>
        <w:rPr>
          <w:rFonts w:ascii="Century Gothic" w:eastAsia="Arial" w:hAnsi="Century Gothic" w:cs="Arial"/>
          <w:b/>
          <w:color w:val="auto"/>
          <w:lang w:val="es-MX"/>
        </w:rPr>
      </w:pPr>
      <w:r w:rsidRPr="004174F1">
        <w:rPr>
          <w:rFonts w:ascii="Century Gothic" w:eastAsia="Arial" w:hAnsi="Century Gothic" w:cs="Arial"/>
          <w:b/>
          <w:color w:val="auto"/>
          <w:lang w:val="es-MX"/>
        </w:rPr>
        <w:t>A N T E C E D E N T E S</w:t>
      </w:r>
    </w:p>
    <w:p w14:paraId="389AFD07" w14:textId="60A27D4F" w:rsidR="00860137" w:rsidRPr="00494CBB" w:rsidRDefault="00860137" w:rsidP="00860137">
      <w:pPr>
        <w:spacing w:line="360" w:lineRule="auto"/>
        <w:jc w:val="both"/>
        <w:rPr>
          <w:rFonts w:ascii="Century Gothic" w:eastAsia="Arial" w:hAnsi="Century Gothic" w:cs="Arial"/>
          <w:lang w:val="es-MX"/>
        </w:rPr>
      </w:pPr>
      <w:r w:rsidRPr="00EF415D">
        <w:rPr>
          <w:rFonts w:ascii="Century Gothic" w:eastAsia="Arial" w:hAnsi="Century Gothic" w:cs="Arial"/>
          <w:b/>
        </w:rPr>
        <w:t xml:space="preserve">I.- </w:t>
      </w:r>
      <w:r w:rsidRPr="00EF415D">
        <w:rPr>
          <w:rFonts w:ascii="Century Gothic" w:eastAsia="Arial" w:hAnsi="Century Gothic" w:cs="Arial"/>
        </w:rPr>
        <w:t xml:space="preserve">Con fecha </w:t>
      </w:r>
      <w:r w:rsidR="00007908">
        <w:rPr>
          <w:rFonts w:ascii="Century Gothic" w:eastAsia="Arial" w:hAnsi="Century Gothic" w:cs="Arial"/>
        </w:rPr>
        <w:t>1</w:t>
      </w:r>
      <w:r w:rsidR="008B0BF9">
        <w:rPr>
          <w:rFonts w:ascii="Century Gothic" w:eastAsia="Arial" w:hAnsi="Century Gothic" w:cs="Arial"/>
        </w:rPr>
        <w:t>2</w:t>
      </w:r>
      <w:r w:rsidRPr="00CE7D60">
        <w:rPr>
          <w:rFonts w:ascii="Century Gothic" w:eastAsia="Arial" w:hAnsi="Century Gothic" w:cs="Arial"/>
        </w:rPr>
        <w:t xml:space="preserve"> de </w:t>
      </w:r>
      <w:r w:rsidR="008B0BF9">
        <w:rPr>
          <w:rFonts w:ascii="Century Gothic" w:eastAsia="Arial" w:hAnsi="Century Gothic" w:cs="Arial"/>
        </w:rPr>
        <w:t>noviembre</w:t>
      </w:r>
      <w:r w:rsidRPr="00CE7D60">
        <w:rPr>
          <w:rFonts w:ascii="Century Gothic" w:eastAsia="Arial" w:hAnsi="Century Gothic" w:cs="Arial"/>
        </w:rPr>
        <w:t xml:space="preserve"> de 202</w:t>
      </w:r>
      <w:r w:rsidR="008B0BF9">
        <w:rPr>
          <w:rFonts w:ascii="Century Gothic" w:eastAsia="Arial" w:hAnsi="Century Gothic" w:cs="Arial"/>
        </w:rPr>
        <w:t>4</w:t>
      </w:r>
      <w:r w:rsidRPr="00CE7D60">
        <w:rPr>
          <w:rFonts w:ascii="Century Gothic" w:eastAsia="Arial" w:hAnsi="Century Gothic" w:cs="Arial"/>
        </w:rPr>
        <w:t>,</w:t>
      </w:r>
      <w:r>
        <w:rPr>
          <w:rFonts w:ascii="Century Gothic" w:eastAsia="Arial" w:hAnsi="Century Gothic" w:cs="Arial"/>
        </w:rPr>
        <w:t xml:space="preserve"> </w:t>
      </w:r>
      <w:r w:rsidR="0067209D">
        <w:rPr>
          <w:rFonts w:ascii="Century Gothic" w:eastAsia="Arial" w:hAnsi="Century Gothic" w:cs="Arial"/>
          <w:bCs/>
        </w:rPr>
        <w:t>las diputadas y los diputados</w:t>
      </w:r>
      <w:r w:rsidR="00EA1B67">
        <w:rPr>
          <w:rFonts w:ascii="Century Gothic" w:eastAsia="Arial" w:hAnsi="Century Gothic" w:cs="Arial"/>
          <w:bCs/>
        </w:rPr>
        <w:t xml:space="preserve"> </w:t>
      </w:r>
      <w:r w:rsidR="00EA1B67" w:rsidRPr="00EA1B67">
        <w:rPr>
          <w:rFonts w:ascii="Century Gothic" w:eastAsia="Arial" w:hAnsi="Century Gothic" w:cs="Arial"/>
          <w:bCs/>
        </w:rPr>
        <w:t>Brenda Francisca Ríos Prieto</w:t>
      </w:r>
      <w:r w:rsidR="008856C2">
        <w:rPr>
          <w:rFonts w:ascii="Century Gothic" w:eastAsia="Arial" w:hAnsi="Century Gothic" w:cs="Arial"/>
          <w:bCs/>
        </w:rPr>
        <w:t xml:space="preserve">, </w:t>
      </w:r>
      <w:r w:rsidR="002C5472" w:rsidRPr="002C5472">
        <w:rPr>
          <w:rFonts w:ascii="Century Gothic" w:eastAsia="Arial" w:hAnsi="Century Gothic" w:cs="Arial"/>
          <w:bCs/>
        </w:rPr>
        <w:t>Edin Cuauhtémoc Estrada Sotelo</w:t>
      </w:r>
      <w:r w:rsidR="002C5472">
        <w:rPr>
          <w:rFonts w:ascii="Century Gothic" w:eastAsia="Arial" w:hAnsi="Century Gothic" w:cs="Arial"/>
          <w:bCs/>
        </w:rPr>
        <w:t xml:space="preserve">, </w:t>
      </w:r>
      <w:r w:rsidR="002C5472" w:rsidRPr="002C5472">
        <w:rPr>
          <w:rFonts w:ascii="Century Gothic" w:eastAsia="Arial" w:hAnsi="Century Gothic" w:cs="Arial"/>
          <w:bCs/>
        </w:rPr>
        <w:t>Edith Palma Ontiveros</w:t>
      </w:r>
      <w:r w:rsidR="002C5472">
        <w:rPr>
          <w:rFonts w:ascii="Century Gothic" w:eastAsia="Arial" w:hAnsi="Century Gothic" w:cs="Arial"/>
          <w:bCs/>
        </w:rPr>
        <w:t xml:space="preserve">, </w:t>
      </w:r>
      <w:r w:rsidR="002C5472" w:rsidRPr="002C5472">
        <w:rPr>
          <w:rFonts w:ascii="Century Gothic" w:eastAsia="Arial" w:hAnsi="Century Gothic" w:cs="Arial"/>
          <w:bCs/>
        </w:rPr>
        <w:t>Elizabeth Guzmán Argueta</w:t>
      </w:r>
      <w:r w:rsidR="002C5472">
        <w:rPr>
          <w:rFonts w:ascii="Century Gothic" w:eastAsia="Arial" w:hAnsi="Century Gothic" w:cs="Arial"/>
          <w:bCs/>
        </w:rPr>
        <w:t xml:space="preserve">, </w:t>
      </w:r>
      <w:r w:rsidR="002C5472" w:rsidRPr="002C5472">
        <w:rPr>
          <w:rFonts w:ascii="Century Gothic" w:eastAsia="Arial" w:hAnsi="Century Gothic" w:cs="Arial"/>
          <w:bCs/>
        </w:rPr>
        <w:t>Herminia Gómez Carrasco</w:t>
      </w:r>
      <w:r w:rsidR="002C5472">
        <w:rPr>
          <w:rFonts w:ascii="Century Gothic" w:eastAsia="Arial" w:hAnsi="Century Gothic" w:cs="Arial"/>
          <w:bCs/>
        </w:rPr>
        <w:t xml:space="preserve">, </w:t>
      </w:r>
      <w:r w:rsidR="002C5472" w:rsidRPr="002C5472">
        <w:rPr>
          <w:rFonts w:ascii="Century Gothic" w:eastAsia="Arial" w:hAnsi="Century Gothic" w:cs="Arial"/>
          <w:bCs/>
        </w:rPr>
        <w:t>Jael Argüelles Díaz</w:t>
      </w:r>
      <w:r w:rsidR="002C5472">
        <w:rPr>
          <w:rFonts w:ascii="Century Gothic" w:eastAsia="Arial" w:hAnsi="Century Gothic" w:cs="Arial"/>
          <w:bCs/>
        </w:rPr>
        <w:t xml:space="preserve">, </w:t>
      </w:r>
      <w:r w:rsidR="002C5472" w:rsidRPr="002C5472">
        <w:rPr>
          <w:rFonts w:ascii="Century Gothic" w:eastAsia="Arial" w:hAnsi="Century Gothic" w:cs="Arial"/>
          <w:bCs/>
        </w:rPr>
        <w:t>Leticia Ortega Máynez</w:t>
      </w:r>
      <w:r w:rsidR="002C5472">
        <w:rPr>
          <w:rFonts w:ascii="Century Gothic" w:eastAsia="Arial" w:hAnsi="Century Gothic" w:cs="Arial"/>
          <w:bCs/>
        </w:rPr>
        <w:t xml:space="preserve">, </w:t>
      </w:r>
      <w:r w:rsidR="002C5472" w:rsidRPr="002C5472">
        <w:rPr>
          <w:rFonts w:ascii="Century Gothic" w:eastAsia="Arial" w:hAnsi="Century Gothic" w:cs="Arial"/>
          <w:bCs/>
        </w:rPr>
        <w:t>Magdalena Rentería Pérez</w:t>
      </w:r>
      <w:r w:rsidR="002C5472">
        <w:rPr>
          <w:rFonts w:ascii="Century Gothic" w:eastAsia="Arial" w:hAnsi="Century Gothic" w:cs="Arial"/>
          <w:bCs/>
        </w:rPr>
        <w:t xml:space="preserve">, </w:t>
      </w:r>
      <w:r w:rsidR="002C5472" w:rsidRPr="002C5472">
        <w:rPr>
          <w:rFonts w:ascii="Century Gothic" w:eastAsia="Arial" w:hAnsi="Century Gothic" w:cs="Arial"/>
          <w:bCs/>
        </w:rPr>
        <w:t>María Antonieta Pérez Reyes</w:t>
      </w:r>
      <w:r w:rsidR="002C5472">
        <w:rPr>
          <w:rFonts w:ascii="Century Gothic" w:eastAsia="Arial" w:hAnsi="Century Gothic" w:cs="Arial"/>
          <w:bCs/>
        </w:rPr>
        <w:t xml:space="preserve">, </w:t>
      </w:r>
      <w:r w:rsidR="002C5472" w:rsidRPr="002C5472">
        <w:rPr>
          <w:rFonts w:ascii="Century Gothic" w:eastAsia="Arial" w:hAnsi="Century Gothic" w:cs="Arial"/>
          <w:bCs/>
        </w:rPr>
        <w:t>Óscar Daniel Avitia Arellanes</w:t>
      </w:r>
      <w:r w:rsidR="002C5472">
        <w:rPr>
          <w:rFonts w:ascii="Century Gothic" w:eastAsia="Arial" w:hAnsi="Century Gothic" w:cs="Arial"/>
          <w:bCs/>
        </w:rPr>
        <w:t xml:space="preserve">, </w:t>
      </w:r>
      <w:r w:rsidR="002C5472" w:rsidRPr="002C5472">
        <w:rPr>
          <w:rFonts w:ascii="Century Gothic" w:eastAsia="Arial" w:hAnsi="Century Gothic" w:cs="Arial"/>
          <w:bCs/>
        </w:rPr>
        <w:t>Pedro Torres Estrada</w:t>
      </w:r>
      <w:r w:rsidR="002C5472">
        <w:rPr>
          <w:rFonts w:ascii="Century Gothic" w:eastAsia="Arial" w:hAnsi="Century Gothic" w:cs="Arial"/>
          <w:bCs/>
        </w:rPr>
        <w:t xml:space="preserve"> y </w:t>
      </w:r>
      <w:r w:rsidR="002C5472" w:rsidRPr="002C5472">
        <w:rPr>
          <w:rFonts w:ascii="Century Gothic" w:eastAsia="Arial" w:hAnsi="Century Gothic" w:cs="Arial"/>
          <w:bCs/>
        </w:rPr>
        <w:t>Rosana Díaz Reyes</w:t>
      </w:r>
      <w:r w:rsidR="002C5472">
        <w:rPr>
          <w:rFonts w:ascii="Century Gothic" w:eastAsia="Arial" w:hAnsi="Century Gothic" w:cs="Arial"/>
          <w:bCs/>
        </w:rPr>
        <w:t xml:space="preserve">, </w:t>
      </w:r>
      <w:r w:rsidR="0067209D">
        <w:rPr>
          <w:rFonts w:ascii="Century Gothic" w:eastAsia="Arial" w:hAnsi="Century Gothic" w:cs="Arial"/>
          <w:bCs/>
        </w:rPr>
        <w:t xml:space="preserve">integrantes del Grupo Parlamentario </w:t>
      </w:r>
      <w:r w:rsidR="0005410D" w:rsidRPr="0005410D">
        <w:rPr>
          <w:rFonts w:ascii="Century Gothic" w:eastAsia="Arial" w:hAnsi="Century Gothic" w:cs="Arial"/>
          <w:bCs/>
        </w:rPr>
        <w:t xml:space="preserve">del </w:t>
      </w:r>
      <w:r w:rsidR="00EC21DC">
        <w:rPr>
          <w:rFonts w:ascii="Century Gothic" w:eastAsia="Arial" w:hAnsi="Century Gothic" w:cs="Arial"/>
          <w:bCs/>
        </w:rPr>
        <w:t>Partido Morena</w:t>
      </w:r>
      <w:r w:rsidR="0005410D">
        <w:rPr>
          <w:rFonts w:ascii="Century Gothic" w:eastAsia="Arial" w:hAnsi="Century Gothic" w:cs="Arial"/>
          <w:bCs/>
        </w:rPr>
        <w:t xml:space="preserve">, </w:t>
      </w:r>
      <w:r>
        <w:rPr>
          <w:rFonts w:ascii="Century Gothic" w:eastAsia="Arial" w:hAnsi="Century Gothic" w:cs="Arial"/>
        </w:rPr>
        <w:t>present</w:t>
      </w:r>
      <w:r w:rsidR="00436E8F">
        <w:rPr>
          <w:rFonts w:ascii="Century Gothic" w:eastAsia="Arial" w:hAnsi="Century Gothic" w:cs="Arial"/>
        </w:rPr>
        <w:t>aron</w:t>
      </w:r>
      <w:r>
        <w:rPr>
          <w:rFonts w:ascii="Century Gothic" w:eastAsia="Arial" w:hAnsi="Century Gothic" w:cs="Arial"/>
        </w:rPr>
        <w:t xml:space="preserve"> iniciativa </w:t>
      </w:r>
      <w:bookmarkStart w:id="0" w:name="_Hlk192775348"/>
      <w:r w:rsidR="00494CBB" w:rsidRPr="00494CBB">
        <w:rPr>
          <w:rFonts w:ascii="Century Gothic" w:eastAsia="Arial" w:hAnsi="Century Gothic" w:cs="Arial"/>
          <w:lang w:val="es-MX"/>
        </w:rPr>
        <w:t>con carácter de decreto, a fin de adicionar una fracción IV, al artículo 28 del Código Penal del Estado de Chihuahua, para establecer la concretización de la legítima defensa en casos de violencia de género, reforma conocida como “Ley Alina”.</w:t>
      </w:r>
    </w:p>
    <w:bookmarkEnd w:id="0"/>
    <w:p w14:paraId="2CE9C109" w14:textId="77777777" w:rsidR="00860137" w:rsidRPr="00F06D74" w:rsidRDefault="00860137" w:rsidP="00860137">
      <w:pPr>
        <w:tabs>
          <w:tab w:val="left" w:pos="6915"/>
        </w:tabs>
        <w:spacing w:line="360" w:lineRule="auto"/>
        <w:jc w:val="both"/>
        <w:rPr>
          <w:rFonts w:ascii="Century Gothic" w:eastAsia="Arial" w:hAnsi="Century Gothic" w:cs="Arial"/>
        </w:rPr>
      </w:pPr>
      <w:r>
        <w:rPr>
          <w:rFonts w:ascii="Century Gothic" w:eastAsia="Arial" w:hAnsi="Century Gothic" w:cs="Arial"/>
        </w:rPr>
        <w:tab/>
      </w:r>
    </w:p>
    <w:p w14:paraId="1E9F3D01" w14:textId="437ED11F" w:rsidR="00860137" w:rsidRPr="00EF415D" w:rsidRDefault="00860137" w:rsidP="00860137">
      <w:pPr>
        <w:spacing w:line="360" w:lineRule="auto"/>
        <w:jc w:val="both"/>
        <w:rPr>
          <w:rFonts w:ascii="Century Gothic" w:eastAsia="Arial" w:hAnsi="Century Gothic" w:cs="Arial"/>
        </w:rPr>
      </w:pPr>
      <w:r w:rsidRPr="00EF415D">
        <w:rPr>
          <w:rFonts w:ascii="Century Gothic" w:eastAsia="Arial" w:hAnsi="Century Gothic" w:cs="Arial"/>
          <w:b/>
        </w:rPr>
        <w:t xml:space="preserve">II.- </w:t>
      </w:r>
      <w:r w:rsidRPr="00EF415D">
        <w:rPr>
          <w:rFonts w:ascii="Century Gothic" w:eastAsia="Arial" w:hAnsi="Century Gothic" w:cs="Arial"/>
        </w:rPr>
        <w:t xml:space="preserve">La Presidencia del H. Congreso del Estado, en uso de las facultades que le confiere el artículo 75, fracción XIII, de la Ley Orgánica del Poder Legislativo, el día </w:t>
      </w:r>
      <w:r w:rsidR="00392ECF">
        <w:rPr>
          <w:rFonts w:ascii="Century Gothic" w:eastAsia="Arial" w:hAnsi="Century Gothic" w:cs="Arial"/>
        </w:rPr>
        <w:t>04</w:t>
      </w:r>
      <w:r w:rsidRPr="00CE7D60">
        <w:rPr>
          <w:rFonts w:ascii="Century Gothic" w:eastAsia="Arial" w:hAnsi="Century Gothic" w:cs="Arial"/>
        </w:rPr>
        <w:t xml:space="preserve"> de </w:t>
      </w:r>
      <w:r w:rsidR="00392ECF">
        <w:rPr>
          <w:rFonts w:ascii="Century Gothic" w:eastAsia="Arial" w:hAnsi="Century Gothic" w:cs="Arial"/>
        </w:rPr>
        <w:t>julio</w:t>
      </w:r>
      <w:r w:rsidRPr="00CE7D60">
        <w:rPr>
          <w:rFonts w:ascii="Century Gothic" w:eastAsia="Arial" w:hAnsi="Century Gothic" w:cs="Arial"/>
        </w:rPr>
        <w:t xml:space="preserve"> de 202</w:t>
      </w:r>
      <w:r w:rsidR="00051B44">
        <w:rPr>
          <w:rFonts w:ascii="Century Gothic" w:eastAsia="Arial" w:hAnsi="Century Gothic" w:cs="Arial"/>
        </w:rPr>
        <w:t>5</w:t>
      </w:r>
      <w:r w:rsidRPr="00EF415D">
        <w:rPr>
          <w:rFonts w:ascii="Century Gothic" w:eastAsia="Century Gothic" w:hAnsi="Century Gothic" w:cs="Century Gothic"/>
        </w:rPr>
        <w:t>,</w:t>
      </w:r>
      <w:r w:rsidRPr="00EF415D">
        <w:rPr>
          <w:rFonts w:ascii="Century Gothic" w:eastAsia="Arial" w:hAnsi="Century Gothic" w:cs="Arial"/>
        </w:rPr>
        <w:t xml:space="preserve"> tuvo a bien turnar a </w:t>
      </w:r>
      <w:r>
        <w:rPr>
          <w:rFonts w:ascii="Century Gothic" w:eastAsia="Arial" w:hAnsi="Century Gothic" w:cs="Arial"/>
        </w:rPr>
        <w:t xml:space="preserve">las </w:t>
      </w:r>
      <w:r w:rsidRPr="00EF415D">
        <w:rPr>
          <w:rFonts w:ascii="Century Gothic" w:eastAsia="Arial" w:hAnsi="Century Gothic" w:cs="Arial"/>
        </w:rPr>
        <w:t>integrantes de</w:t>
      </w:r>
      <w:r>
        <w:rPr>
          <w:rFonts w:ascii="Century Gothic" w:eastAsia="Arial" w:hAnsi="Century Gothic" w:cs="Arial"/>
        </w:rPr>
        <w:t xml:space="preserve"> </w:t>
      </w:r>
      <w:r>
        <w:rPr>
          <w:rFonts w:ascii="Century Gothic" w:eastAsia="Arial" w:hAnsi="Century Gothic" w:cs="Arial"/>
        </w:rPr>
        <w:lastRenderedPageBreak/>
        <w:t xml:space="preserve">la Comisión de </w:t>
      </w:r>
      <w:r w:rsidR="00824823">
        <w:rPr>
          <w:rFonts w:ascii="Century Gothic" w:eastAsia="Arial" w:hAnsi="Century Gothic" w:cs="Arial"/>
        </w:rPr>
        <w:t>Feminicidios</w:t>
      </w:r>
      <w:r>
        <w:rPr>
          <w:rFonts w:ascii="Century Gothic" w:eastAsia="Arial" w:hAnsi="Century Gothic" w:cs="Arial"/>
        </w:rPr>
        <w:t>,</w:t>
      </w:r>
      <w:r w:rsidRPr="00EF415D">
        <w:rPr>
          <w:rFonts w:ascii="Century Gothic" w:eastAsia="Arial" w:hAnsi="Century Gothic" w:cs="Arial"/>
        </w:rPr>
        <w:t xml:space="preserve"> la iniciativa de mérito, a efecto de proceder al estudio, análisis y elaboración del correspondiente dictamen.</w:t>
      </w:r>
    </w:p>
    <w:p w14:paraId="5DF414D2" w14:textId="77777777" w:rsidR="00860137" w:rsidRPr="00EF415D" w:rsidRDefault="00860137" w:rsidP="00860137">
      <w:pPr>
        <w:spacing w:line="360" w:lineRule="auto"/>
        <w:jc w:val="both"/>
        <w:rPr>
          <w:rFonts w:ascii="Century Gothic" w:hAnsi="Century Gothic" w:cs="Arial"/>
          <w:sz w:val="16"/>
          <w:szCs w:val="16"/>
        </w:rPr>
      </w:pPr>
    </w:p>
    <w:p w14:paraId="77CFA4BC" w14:textId="50F47B75" w:rsidR="00860137" w:rsidRDefault="00860137" w:rsidP="00860137">
      <w:pPr>
        <w:spacing w:line="360" w:lineRule="auto"/>
        <w:jc w:val="both"/>
        <w:rPr>
          <w:rFonts w:ascii="Century Gothic" w:eastAsia="Arial" w:hAnsi="Century Gothic" w:cs="Arial"/>
          <w:szCs w:val="28"/>
        </w:rPr>
      </w:pPr>
      <w:r w:rsidRPr="00EF415D">
        <w:rPr>
          <w:rFonts w:ascii="Century Gothic" w:eastAsia="Arial" w:hAnsi="Century Gothic" w:cs="Arial"/>
          <w:b/>
          <w:szCs w:val="28"/>
        </w:rPr>
        <w:t xml:space="preserve">III.- </w:t>
      </w:r>
      <w:r w:rsidRPr="00EF415D">
        <w:rPr>
          <w:rFonts w:ascii="Century Gothic" w:eastAsia="Arial" w:hAnsi="Century Gothic" w:cs="Arial"/>
          <w:szCs w:val="28"/>
        </w:rPr>
        <w:t xml:space="preserve">La exposición de motivos que sustenta la iniciativa enunciada como Asunto </w:t>
      </w:r>
      <w:r w:rsidR="000771E2">
        <w:rPr>
          <w:rFonts w:ascii="Century Gothic" w:eastAsia="Arial" w:hAnsi="Century Gothic" w:cs="Arial"/>
          <w:szCs w:val="28"/>
        </w:rPr>
        <w:t>359</w:t>
      </w:r>
      <w:r w:rsidRPr="00EF415D">
        <w:rPr>
          <w:rFonts w:ascii="Century Gothic" w:eastAsia="Arial" w:hAnsi="Century Gothic" w:cs="Arial"/>
          <w:szCs w:val="28"/>
        </w:rPr>
        <w:t xml:space="preserve"> en comento, es la siguiente:</w:t>
      </w:r>
    </w:p>
    <w:p w14:paraId="41312C35" w14:textId="1679C0BA" w:rsidR="00860137" w:rsidRDefault="00860137" w:rsidP="00860137">
      <w:pPr>
        <w:spacing w:line="360" w:lineRule="auto"/>
        <w:jc w:val="both"/>
        <w:rPr>
          <w:rFonts w:ascii="Century Gothic" w:eastAsia="Arial" w:hAnsi="Century Gothic" w:cs="Arial"/>
          <w:szCs w:val="28"/>
        </w:rPr>
      </w:pPr>
    </w:p>
    <w:p w14:paraId="04006AF2" w14:textId="0DC96C92" w:rsidR="00217109" w:rsidRPr="00217109" w:rsidRDefault="007176FC" w:rsidP="00C2785B">
      <w:pPr>
        <w:spacing w:after="160" w:line="276" w:lineRule="auto"/>
        <w:ind w:left="993" w:right="1182"/>
        <w:jc w:val="both"/>
        <w:rPr>
          <w:rFonts w:ascii="Century Gothic" w:eastAsia="Arial" w:hAnsi="Century Gothic" w:cs="Arial"/>
          <w:bCs/>
          <w:i/>
          <w:iCs/>
          <w:sz w:val="22"/>
          <w:szCs w:val="22"/>
          <w:lang w:val="es-MX" w:eastAsia="en-US"/>
        </w:rPr>
      </w:pPr>
      <w:r>
        <w:rPr>
          <w:rFonts w:ascii="Century Gothic" w:eastAsia="Arial" w:hAnsi="Century Gothic" w:cs="Arial"/>
          <w:bCs/>
          <w:i/>
          <w:iCs/>
          <w:sz w:val="22"/>
          <w:szCs w:val="22"/>
          <w:lang w:val="es-MX" w:eastAsia="en-US"/>
        </w:rPr>
        <w:t>“</w:t>
      </w:r>
      <w:r w:rsidR="00217109" w:rsidRPr="00217109">
        <w:rPr>
          <w:rFonts w:ascii="Century Gothic" w:eastAsia="Arial" w:hAnsi="Century Gothic" w:cs="Arial"/>
          <w:bCs/>
          <w:i/>
          <w:iCs/>
          <w:sz w:val="22"/>
          <w:szCs w:val="22"/>
          <w:lang w:val="es-MX" w:eastAsia="en-US"/>
        </w:rPr>
        <w:t xml:space="preserve">La presente iniciativa, tiene como inspiración el caso de la ciudadana bajacaliforniana Alina Mariel </w:t>
      </w:r>
      <w:proofErr w:type="spellStart"/>
      <w:r w:rsidR="00217109" w:rsidRPr="00217109">
        <w:rPr>
          <w:rFonts w:ascii="Century Gothic" w:eastAsia="Arial" w:hAnsi="Century Gothic" w:cs="Arial"/>
          <w:bCs/>
          <w:i/>
          <w:iCs/>
          <w:sz w:val="22"/>
          <w:szCs w:val="22"/>
          <w:lang w:val="es-MX" w:eastAsia="en-US"/>
        </w:rPr>
        <w:t>Narziso</w:t>
      </w:r>
      <w:proofErr w:type="spellEnd"/>
      <w:r w:rsidR="00217109" w:rsidRPr="00217109">
        <w:rPr>
          <w:rFonts w:ascii="Century Gothic" w:eastAsia="Arial" w:hAnsi="Century Gothic" w:cs="Arial"/>
          <w:bCs/>
          <w:i/>
          <w:iCs/>
          <w:sz w:val="22"/>
          <w:szCs w:val="22"/>
          <w:lang w:val="es-MX" w:eastAsia="en-US"/>
        </w:rPr>
        <w:t xml:space="preserve"> </w:t>
      </w:r>
      <w:proofErr w:type="spellStart"/>
      <w:r w:rsidR="00217109" w:rsidRPr="00217109">
        <w:rPr>
          <w:rFonts w:ascii="Century Gothic" w:eastAsia="Arial" w:hAnsi="Century Gothic" w:cs="Arial"/>
          <w:bCs/>
          <w:i/>
          <w:iCs/>
          <w:sz w:val="22"/>
          <w:szCs w:val="22"/>
          <w:lang w:val="es-MX" w:eastAsia="en-US"/>
        </w:rPr>
        <w:t>Tehuaxtle</w:t>
      </w:r>
      <w:proofErr w:type="spellEnd"/>
      <w:r w:rsidR="00217109" w:rsidRPr="00217109">
        <w:rPr>
          <w:rFonts w:ascii="Century Gothic" w:eastAsia="Arial" w:hAnsi="Century Gothic" w:cs="Arial"/>
          <w:bCs/>
          <w:i/>
          <w:iCs/>
          <w:sz w:val="22"/>
          <w:szCs w:val="22"/>
          <w:lang w:val="es-MX" w:eastAsia="en-US"/>
        </w:rPr>
        <w:t xml:space="preserve">, quien fue víctima de intento de homicidio por parte de su pareja sentimental y en defensa propia, desarmó a su pareja realizando detonaciones contra él causando su muerte, por tal acción, fue condenada a 45 años de prisión, sin embargo, se revocó la sentencia del Juez de primera instancia y se declaró que Alina actuó en legítima defensa. </w:t>
      </w:r>
    </w:p>
    <w:p w14:paraId="1F1379B1" w14:textId="0356E533" w:rsidR="00217109" w:rsidRPr="00217109" w:rsidRDefault="00217109" w:rsidP="00217109">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 xml:space="preserve">Lamentablemente, el caso de “Alina” no es el único que se ha presentado en nuestro país, existen otros que se han dado a conocer en diversos medios de comunicación en los que las víctimas del delito han reaccionado para proteger su integridad física, su familia, su libertad, su patrimonio, su vida, entre otros </w:t>
      </w:r>
      <w:proofErr w:type="gramStart"/>
      <w:r w:rsidRPr="00217109">
        <w:rPr>
          <w:rFonts w:ascii="Century Gothic" w:eastAsia="Arial" w:hAnsi="Century Gothic" w:cs="Arial"/>
          <w:bCs/>
          <w:i/>
          <w:iCs/>
          <w:sz w:val="22"/>
          <w:szCs w:val="22"/>
          <w:lang w:val="es-MX" w:eastAsia="en-US"/>
        </w:rPr>
        <w:t>bienes  jurídicos</w:t>
      </w:r>
      <w:proofErr w:type="gramEnd"/>
      <w:r w:rsidRPr="00217109">
        <w:rPr>
          <w:rFonts w:ascii="Century Gothic" w:eastAsia="Arial" w:hAnsi="Century Gothic" w:cs="Arial"/>
          <w:bCs/>
          <w:i/>
          <w:iCs/>
          <w:sz w:val="22"/>
          <w:szCs w:val="22"/>
          <w:lang w:val="es-MX" w:eastAsia="en-US"/>
        </w:rPr>
        <w:t>, causando con ello una lesión y hasta la pérdida de la vida de su agresor.</w:t>
      </w:r>
    </w:p>
    <w:p w14:paraId="5B7357F3" w14:textId="37A385EF" w:rsidR="00217109" w:rsidRPr="00217109" w:rsidRDefault="00217109" w:rsidP="00C2785B">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 xml:space="preserve">Ejemplo de ello, es el caso de la chihuahuense María Guadalupe de 19 años de edad, quien en el 2015 estaba privada de su libertad y fue atacada a golpes por su pareja, quien armado y bajo el influjo de alcohol y drogas, la amenazó con ultrajarla y asesinarla. En el forcejeo un arma se disparó y la pareja de María cayó herido, ella llamó a los servicios de emergencia para pedir auxilio y en el camino al hospital su pareja falleció. A ella se le acusó y sentenció por el delito de "homicidio en riña con carácter de provocado". El hecho causó indignación pública y fue llevado a instancias </w:t>
      </w:r>
      <w:r w:rsidRPr="00217109">
        <w:rPr>
          <w:rFonts w:ascii="Century Gothic" w:eastAsia="Arial" w:hAnsi="Century Gothic" w:cs="Arial"/>
          <w:bCs/>
          <w:i/>
          <w:iCs/>
          <w:sz w:val="22"/>
          <w:szCs w:val="22"/>
          <w:lang w:val="es-MX" w:eastAsia="en-US"/>
        </w:rPr>
        <w:lastRenderedPageBreak/>
        <w:t>internacionales como el Comité para la Eliminación de la Discriminación contra la Mujer (CEDAW).</w:t>
      </w:r>
      <w:r w:rsidRPr="00217109">
        <w:rPr>
          <w:rFonts w:ascii="Century Gothic" w:eastAsia="Arial" w:hAnsi="Century Gothic" w:cs="Arial"/>
          <w:bCs/>
          <w:i/>
          <w:iCs/>
          <w:sz w:val="22"/>
          <w:szCs w:val="22"/>
          <w:vertAlign w:val="superscript"/>
          <w:lang w:val="es-MX" w:eastAsia="en-US"/>
        </w:rPr>
        <w:footnoteReference w:id="1"/>
      </w:r>
    </w:p>
    <w:p w14:paraId="2E1502D1" w14:textId="1755E257" w:rsidR="00217109" w:rsidRPr="00217109" w:rsidRDefault="00217109" w:rsidP="00C2785B">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De igual forma le ocurrió en la Ciudad de México a Itzel, una joven de 15 años quien al ser interceptada fue víctima de violación a la vista de otras personas en el 2017. Después de haber sido abusada sexualmente, el violador amenazó con matarla con un cuchillo que tenía en la mano, pero tras un intenso forcejeo con la víctima que trataba de defenderse, esta le enterró el cuchillo al violador. Los policías que finalmente acudieron al lugar se llevaron al individuo, quien dos días después falleció en un hospital. Como resultado del deceso del agresor, la PGJ abrió una investigación contra Itzel por homicidio. Tras una fuerte presión social, la Procuraduría determinó que Itzel quedaba libre de toda responsabilidad, debido a que actuó en legítima defensa.</w:t>
      </w:r>
      <w:r w:rsidRPr="00217109">
        <w:rPr>
          <w:rFonts w:ascii="Century Gothic" w:eastAsia="Arial" w:hAnsi="Century Gothic" w:cs="Arial"/>
          <w:bCs/>
          <w:i/>
          <w:iCs/>
          <w:sz w:val="22"/>
          <w:szCs w:val="22"/>
          <w:vertAlign w:val="superscript"/>
          <w:lang w:val="es-MX" w:eastAsia="en-US"/>
        </w:rPr>
        <w:footnoteReference w:id="2"/>
      </w:r>
    </w:p>
    <w:p w14:paraId="7719D248" w14:textId="26A55C3F" w:rsidR="00217109" w:rsidRPr="00217109" w:rsidRDefault="00217109" w:rsidP="00217109">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Estos son solo algunos casos que demuestran el aumento de la violencia en contra de mujeres en el país, cada vez se detectan más casos de legítima defensa en donde mujeres luchan físicamente por defender su vida y como consecuencia, el victimario muere.</w:t>
      </w:r>
    </w:p>
    <w:p w14:paraId="39841C58" w14:textId="30D0A3C5" w:rsidR="00217109" w:rsidRPr="00217109" w:rsidRDefault="00217109" w:rsidP="00C2785B">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Sin embargo, al no existir un tratamiento desde el inicio con perspectiva de género se catalogan como homicidios, y las mujeres terminan purgando una condena en prisión, cuando en muchos casos se trata de legítima defensa.</w:t>
      </w:r>
    </w:p>
    <w:p w14:paraId="1C402374" w14:textId="77777777" w:rsidR="00217109" w:rsidRPr="00217109" w:rsidRDefault="00217109" w:rsidP="00217109">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Ante las cifras que aún padecemos en México de feminicidios y violencia de género, resulta apremiante preguntarnos porqué, ante casos como estos que debieron presumirse como legítima defensa por parte de las víctimas de forma Inmediata, la tendencia de la autoridad es imputar conducta criminal.</w:t>
      </w:r>
    </w:p>
    <w:p w14:paraId="639CD78E" w14:textId="77777777" w:rsidR="00217109" w:rsidRPr="00217109" w:rsidRDefault="00217109" w:rsidP="00217109">
      <w:pPr>
        <w:spacing w:after="160" w:line="276" w:lineRule="auto"/>
        <w:ind w:left="993" w:right="1182"/>
        <w:jc w:val="both"/>
        <w:rPr>
          <w:rFonts w:ascii="Century Gothic" w:eastAsia="Arial" w:hAnsi="Century Gothic" w:cs="Arial"/>
          <w:bCs/>
          <w:i/>
          <w:iCs/>
          <w:sz w:val="22"/>
          <w:szCs w:val="22"/>
          <w:lang w:val="es-MX" w:eastAsia="en-US"/>
        </w:rPr>
      </w:pPr>
    </w:p>
    <w:p w14:paraId="730C3EF6" w14:textId="4F278FF6" w:rsidR="00217109" w:rsidRPr="00217109" w:rsidRDefault="00217109" w:rsidP="00C2785B">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lastRenderedPageBreak/>
        <w:t>De no haberse dado la atención pública en la mayoría de los casos, es probable que estas mujeres siguieran enfrentando un sistema que al parecer desconoce el principio fundamental de la legítima defensa: "nadie puede ser obligado a soportar lo injusto".</w:t>
      </w:r>
    </w:p>
    <w:p w14:paraId="0425C1B8" w14:textId="3BCAB093" w:rsidR="00217109" w:rsidRPr="00217109" w:rsidRDefault="00217109" w:rsidP="00C2785B">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Por lo tanto, es necesario que las investigaciones y las personas juzgadoras actúen con perspectiva de género.</w:t>
      </w:r>
    </w:p>
    <w:p w14:paraId="3785535C" w14:textId="77777777" w:rsidR="00217109" w:rsidRPr="00217109" w:rsidRDefault="00217109" w:rsidP="00217109">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 xml:space="preserve">En este sentido, la </w:t>
      </w:r>
      <w:r w:rsidRPr="00217109">
        <w:rPr>
          <w:rFonts w:ascii="Century Gothic" w:eastAsia="Arial" w:hAnsi="Century Gothic" w:cs="Arial"/>
          <w:b/>
          <w:bCs/>
          <w:i/>
          <w:iCs/>
          <w:sz w:val="22"/>
          <w:szCs w:val="22"/>
          <w:lang w:val="es-MX" w:eastAsia="en-US"/>
        </w:rPr>
        <w:t>Convención Interamericana para Prevenir, Sancionar y Erradicar la Violencia contra la Mujer</w:t>
      </w:r>
      <w:r w:rsidRPr="00217109">
        <w:rPr>
          <w:rFonts w:ascii="Century Gothic" w:eastAsia="Arial" w:hAnsi="Century Gothic" w:cs="Arial"/>
          <w:bCs/>
          <w:i/>
          <w:iCs/>
          <w:sz w:val="22"/>
          <w:szCs w:val="22"/>
          <w:lang w:val="es-MX" w:eastAsia="en-US"/>
        </w:rPr>
        <w:t xml:space="preserve">, conocida también como la </w:t>
      </w:r>
      <w:r w:rsidRPr="00217109">
        <w:rPr>
          <w:rFonts w:ascii="Century Gothic" w:eastAsia="Arial" w:hAnsi="Century Gothic" w:cs="Arial"/>
          <w:b/>
          <w:bCs/>
          <w:i/>
          <w:iCs/>
          <w:sz w:val="22"/>
          <w:szCs w:val="22"/>
          <w:lang w:val="es-MX" w:eastAsia="en-US"/>
        </w:rPr>
        <w:t>“Convención Belém do Pará”</w:t>
      </w:r>
      <w:r w:rsidRPr="00217109">
        <w:rPr>
          <w:rFonts w:ascii="Century Gothic" w:eastAsia="Arial" w:hAnsi="Century Gothic" w:cs="Arial"/>
          <w:bCs/>
          <w:i/>
          <w:iCs/>
          <w:sz w:val="22"/>
          <w:szCs w:val="22"/>
          <w:lang w:val="es-MX" w:eastAsia="en-US"/>
        </w:rPr>
        <w:t>,</w:t>
      </w:r>
      <w:r w:rsidRPr="00217109">
        <w:rPr>
          <w:rFonts w:ascii="Century Gothic" w:eastAsia="Arial" w:hAnsi="Century Gothic" w:cs="Arial"/>
          <w:bCs/>
          <w:i/>
          <w:iCs/>
          <w:sz w:val="22"/>
          <w:szCs w:val="22"/>
          <w:vertAlign w:val="superscript"/>
          <w:lang w:val="es-MX" w:eastAsia="en-US"/>
        </w:rPr>
        <w:footnoteReference w:id="3"/>
      </w:r>
      <w:r w:rsidRPr="00217109">
        <w:rPr>
          <w:rFonts w:ascii="Century Gothic" w:eastAsia="Arial" w:hAnsi="Century Gothic" w:cs="Arial"/>
          <w:bCs/>
          <w:i/>
          <w:iCs/>
          <w:sz w:val="22"/>
          <w:szCs w:val="22"/>
          <w:lang w:val="es-MX" w:eastAsia="en-US"/>
        </w:rPr>
        <w:t xml:space="preserve"> menciona en su artículo 4, el derecho de las mujeres a que se respete su vida, su integridad física, psíquica y moral, así como su derecho a la “igualdad de protección ante la ley y de la ley”.</w:t>
      </w:r>
    </w:p>
    <w:p w14:paraId="5B7AF78B" w14:textId="69E4D9EE" w:rsidR="00217109" w:rsidRPr="00217109" w:rsidRDefault="00217109" w:rsidP="00C2785B">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En esta misma Convención se menciona la obligación de los Estados Parte de tomar todas las medidas necesarias para modificar prácticas jurídicas o consuetudinarias que respalden la persistencia o tolerancia de la violencia contra la mujer, así como la obligación de debida diligencia para prevenir, investigar y sancionar la violencia contra las mujeres.</w:t>
      </w:r>
    </w:p>
    <w:p w14:paraId="17778104" w14:textId="77777777" w:rsidR="00217109" w:rsidRPr="00217109" w:rsidRDefault="00217109" w:rsidP="00217109">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 xml:space="preserve">El </w:t>
      </w:r>
      <w:r w:rsidRPr="00217109">
        <w:rPr>
          <w:rFonts w:ascii="Century Gothic" w:eastAsia="Arial" w:hAnsi="Century Gothic" w:cs="Arial"/>
          <w:b/>
          <w:bCs/>
          <w:i/>
          <w:iCs/>
          <w:sz w:val="22"/>
          <w:szCs w:val="22"/>
          <w:lang w:val="es-MX" w:eastAsia="en-US"/>
        </w:rPr>
        <w:t>Mecanismo de Seguimiento de la Convención de Belém do Pará</w:t>
      </w:r>
      <w:r w:rsidRPr="00217109">
        <w:rPr>
          <w:rFonts w:ascii="Century Gothic" w:eastAsia="Arial" w:hAnsi="Century Gothic" w:cs="Arial"/>
          <w:bCs/>
          <w:i/>
          <w:iCs/>
          <w:sz w:val="22"/>
          <w:szCs w:val="22"/>
          <w:lang w:val="es-MX" w:eastAsia="en-US"/>
        </w:rPr>
        <w:t>, sustenta que, en los casos en los que mujeres víctimas de violencia argumenten legítima defensa, los tribunales deben asumir la perspectiva de género en su análisis de las alternativas con las que contaban las mujeres, lo que implica considerar el contexto en el cual se da la agresión y la respuesta, así como la desproporción física (en muchas ocasiones las mujeres tienen una menor contextura física que su agresores); la socialización de género, así como la dinámica propia del ciclo de violencia, donde las mujeres se encuentran desprovistas de herramientas emocionales para reaccionar de acuerdo al estándar masculino propuesto por el derecho penal tradicional.</w:t>
      </w:r>
      <w:r w:rsidRPr="00217109">
        <w:rPr>
          <w:rFonts w:ascii="Century Gothic" w:eastAsia="Arial" w:hAnsi="Century Gothic" w:cs="Arial"/>
          <w:bCs/>
          <w:i/>
          <w:iCs/>
          <w:sz w:val="22"/>
          <w:szCs w:val="22"/>
          <w:vertAlign w:val="superscript"/>
          <w:lang w:val="es-MX" w:eastAsia="en-US"/>
        </w:rPr>
        <w:footnoteReference w:id="4"/>
      </w:r>
    </w:p>
    <w:p w14:paraId="5E9D310C" w14:textId="77777777" w:rsidR="00217109" w:rsidRPr="00217109" w:rsidRDefault="00217109" w:rsidP="00217109">
      <w:pPr>
        <w:spacing w:after="160" w:line="276" w:lineRule="auto"/>
        <w:ind w:left="993" w:right="1182"/>
        <w:jc w:val="both"/>
        <w:rPr>
          <w:rFonts w:ascii="Century Gothic" w:eastAsia="Arial" w:hAnsi="Century Gothic" w:cs="Arial"/>
          <w:bCs/>
          <w:i/>
          <w:iCs/>
          <w:sz w:val="22"/>
          <w:szCs w:val="22"/>
          <w:lang w:val="es-MX" w:eastAsia="en-US"/>
        </w:rPr>
      </w:pPr>
    </w:p>
    <w:p w14:paraId="01E27A5C" w14:textId="0B897A32" w:rsidR="00217109" w:rsidRPr="00217109" w:rsidRDefault="00217109" w:rsidP="00C2785B">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Asimismo, menciona que la necesidad racional del medio empleado no requiere la proporcionalidad entre la índole de la agresión y la respuesta defensiva, pues existe una relación entre la proporcionalidad y la continuidad de la violencia contra las mujeres en dichas circunstancias.</w:t>
      </w:r>
    </w:p>
    <w:p w14:paraId="14F23810" w14:textId="342197DF" w:rsidR="00217109" w:rsidRPr="00217109" w:rsidRDefault="00217109" w:rsidP="00C2785B">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La aparente “desproporción” que ocurre en algunos de estos casos, entre la respuesta defensiva y la agresión, puede obedecer al miedo de la mujer a que de no ser eficaz en el medio que usan para defenderse, el agresor puede recuperarse prontamente y descargar toda su ira contra la mujer.</w:t>
      </w:r>
    </w:p>
    <w:p w14:paraId="3C094775" w14:textId="07CC1956" w:rsidR="00217109" w:rsidRPr="00217109" w:rsidRDefault="00217109" w:rsidP="00C2785B">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 xml:space="preserve">Así mismo, la </w:t>
      </w:r>
      <w:r w:rsidRPr="00217109">
        <w:rPr>
          <w:rFonts w:ascii="Century Gothic" w:eastAsia="Arial" w:hAnsi="Century Gothic" w:cs="Arial"/>
          <w:b/>
          <w:bCs/>
          <w:i/>
          <w:iCs/>
          <w:sz w:val="22"/>
          <w:szCs w:val="22"/>
          <w:lang w:val="es-MX" w:eastAsia="en-US"/>
        </w:rPr>
        <w:t>Corte Interamericana de Derechos Humanos</w:t>
      </w:r>
      <w:r w:rsidRPr="00217109">
        <w:rPr>
          <w:rFonts w:ascii="Century Gothic" w:eastAsia="Arial" w:hAnsi="Century Gothic" w:cs="Arial"/>
          <w:bCs/>
          <w:i/>
          <w:iCs/>
          <w:sz w:val="22"/>
          <w:szCs w:val="22"/>
          <w:lang w:val="es-MX" w:eastAsia="en-US"/>
        </w:rPr>
        <w:t xml:space="preserve"> ha delineado la obligación de análisis de pruebas con perspectiva de género y sostiene que “los Estados deben contar con un adecuado marco jurídico de protección, con una aplicación efectiva del mismo y con políticas de prevención y prácticas que permitan actuar de una manera eficaz ante las denuncias de violencia contra la mujer”. </w:t>
      </w:r>
    </w:p>
    <w:p w14:paraId="6EFE6825" w14:textId="3BF4AB1E" w:rsidR="00217109" w:rsidRPr="00217109" w:rsidRDefault="00217109" w:rsidP="00C2785B">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 xml:space="preserve">En este mismo tenor, la </w:t>
      </w:r>
      <w:r w:rsidRPr="00217109">
        <w:rPr>
          <w:rFonts w:ascii="Century Gothic" w:eastAsia="Arial" w:hAnsi="Century Gothic" w:cs="Arial"/>
          <w:b/>
          <w:bCs/>
          <w:i/>
          <w:iCs/>
          <w:sz w:val="22"/>
          <w:szCs w:val="22"/>
          <w:lang w:val="es-MX" w:eastAsia="en-US"/>
        </w:rPr>
        <w:t>Suprema Corte de Justicia de la Nación</w:t>
      </w:r>
      <w:r w:rsidRPr="00217109">
        <w:rPr>
          <w:rFonts w:ascii="Century Gothic" w:eastAsia="Arial" w:hAnsi="Century Gothic" w:cs="Arial"/>
          <w:bCs/>
          <w:i/>
          <w:iCs/>
          <w:sz w:val="22"/>
          <w:szCs w:val="22"/>
          <w:lang w:val="es-MX" w:eastAsia="en-US"/>
        </w:rPr>
        <w:t>, ha sido enfática en que las mujeres que sufren violencia doméstica y enfrentan cargos penales por haber agredido a sus victimarios deben ser juzgadas con perspectiva de género de tal modo que:</w:t>
      </w:r>
    </w:p>
    <w:p w14:paraId="30EE4555" w14:textId="77777777" w:rsidR="00217109" w:rsidRPr="00217109" w:rsidRDefault="00217109" w:rsidP="00217109">
      <w:pPr>
        <w:numPr>
          <w:ilvl w:val="0"/>
          <w:numId w:val="22"/>
        </w:numPr>
        <w:spacing w:after="160" w:line="276" w:lineRule="auto"/>
        <w:ind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Se identifique si existen situaciones de poder que por cuestiones de género que den cuenta del desequilibrio y de la situación de desventaja en que vivía la quejosa al momento en que ocurrieron los hechos. Es decir, se revele el contexto de violencia que ella enfrentaba, a fin de visualizar claramente la problemática y garantizar el derecho de la recurrente al acceso a la justicia, de forma efectiva e igualitaria.</w:t>
      </w:r>
    </w:p>
    <w:p w14:paraId="3FE6AB51" w14:textId="77777777" w:rsidR="00217109" w:rsidRPr="00217109" w:rsidRDefault="00217109" w:rsidP="00217109">
      <w:pPr>
        <w:spacing w:after="160" w:line="276" w:lineRule="auto"/>
        <w:ind w:left="993" w:right="1182"/>
        <w:jc w:val="both"/>
        <w:rPr>
          <w:rFonts w:ascii="Century Gothic" w:eastAsia="Arial" w:hAnsi="Century Gothic" w:cs="Arial"/>
          <w:bCs/>
          <w:i/>
          <w:iCs/>
          <w:sz w:val="22"/>
          <w:szCs w:val="22"/>
          <w:lang w:val="es-MX" w:eastAsia="en-US"/>
        </w:rPr>
      </w:pPr>
    </w:p>
    <w:p w14:paraId="333CEF18" w14:textId="502F4BFA" w:rsidR="00217109" w:rsidRPr="00217109" w:rsidRDefault="00217109" w:rsidP="00C2785B">
      <w:pPr>
        <w:numPr>
          <w:ilvl w:val="0"/>
          <w:numId w:val="22"/>
        </w:numPr>
        <w:spacing w:after="160" w:line="276" w:lineRule="auto"/>
        <w:ind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lastRenderedPageBreak/>
        <w:t>Se cuestionen los hechos y valoren las pruebas desechando cualquier estereotipo o prejuicio de género, a fin de visualizar las situaciones de desventaja provocadas por condiciones de sexo o género.</w:t>
      </w:r>
    </w:p>
    <w:p w14:paraId="6A46A5A0" w14:textId="27A669EC" w:rsidR="00217109" w:rsidRPr="00217109" w:rsidRDefault="00217109" w:rsidP="00C2785B">
      <w:pPr>
        <w:numPr>
          <w:ilvl w:val="0"/>
          <w:numId w:val="22"/>
        </w:numPr>
        <w:spacing w:after="160" w:line="276" w:lineRule="auto"/>
        <w:ind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En caso de que el material probatorio no sea suficiente para aclarar la situación de violencia, vulnerabilidad o discriminación por razones de género, se ordenarán las pruebas necesarias para visibilizar dichas situaciones.</w:t>
      </w:r>
      <w:r w:rsidRPr="00217109">
        <w:rPr>
          <w:rFonts w:ascii="Century Gothic" w:eastAsia="Arial" w:hAnsi="Century Gothic" w:cs="Arial"/>
          <w:bCs/>
          <w:i/>
          <w:iCs/>
          <w:sz w:val="22"/>
          <w:szCs w:val="22"/>
          <w:vertAlign w:val="superscript"/>
          <w:lang w:val="es-MX" w:eastAsia="en-US"/>
        </w:rPr>
        <w:footnoteReference w:id="5"/>
      </w:r>
    </w:p>
    <w:p w14:paraId="281AF0A1" w14:textId="363A49EB" w:rsidR="00217109" w:rsidRPr="00217109" w:rsidRDefault="00217109" w:rsidP="00C2785B">
      <w:pPr>
        <w:spacing w:after="160" w:line="276" w:lineRule="auto"/>
        <w:ind w:left="993" w:right="1182"/>
        <w:jc w:val="both"/>
        <w:rPr>
          <w:rFonts w:ascii="Century Gothic" w:eastAsia="Arial" w:hAnsi="Century Gothic" w:cs="Arial"/>
          <w:bCs/>
          <w:i/>
          <w:iCs/>
          <w:sz w:val="22"/>
          <w:szCs w:val="22"/>
          <w:lang w:val="es-MX" w:eastAsia="en-US"/>
        </w:rPr>
      </w:pPr>
      <w:r w:rsidRPr="00217109">
        <w:rPr>
          <w:rFonts w:ascii="Century Gothic" w:eastAsia="Arial" w:hAnsi="Century Gothic" w:cs="Arial"/>
          <w:bCs/>
          <w:i/>
          <w:iCs/>
          <w:sz w:val="22"/>
          <w:szCs w:val="22"/>
          <w:lang w:val="es-MX" w:eastAsia="en-US"/>
        </w:rPr>
        <w:t>Lamentablemente, en pleno 2024, tenemos la necesidad de reconocer la existencia de una situación estructural de discriminación hacia las mujeres, que les impide gozar de sus derechos en pie de igualdad con los hombres. Esto demanda un esfuerzo en la valoración de las pruebas en situaciones de legítima defensa; especialmente, cuando la legítima defensa se alega en el marco de relaciones abusivas y en el ámbito doméstico. No valorar las pruebas de un caso con un enfoque de género apropiado conlleva a reproducir sesgos que invisibilizan la violencia contra la mujer, contribuyendo a la imperante impunidad que rodea este fenómeno. Esto es sumamente problemático si se tiene en cuenta que la impunidad perpetúa estereotipos negativos sobre las mujeres que terminan, de alguna manera, culpabilizándolas o victimizándolas de su propia agresión.</w:t>
      </w:r>
    </w:p>
    <w:p w14:paraId="2AD0947E" w14:textId="150761EF" w:rsidR="00D90614" w:rsidRPr="006F7B74" w:rsidRDefault="00217109" w:rsidP="00217109">
      <w:pPr>
        <w:spacing w:after="160" w:line="276" w:lineRule="auto"/>
        <w:ind w:left="993" w:right="1182"/>
        <w:jc w:val="both"/>
        <w:rPr>
          <w:rFonts w:ascii="Century Gothic" w:eastAsia="Arial" w:hAnsi="Century Gothic" w:cs="Arial"/>
          <w:bCs/>
          <w:i/>
          <w:iCs/>
          <w:sz w:val="22"/>
          <w:szCs w:val="22"/>
          <w:lang w:val="es" w:eastAsia="en-US"/>
        </w:rPr>
      </w:pPr>
      <w:r w:rsidRPr="00217109">
        <w:rPr>
          <w:rFonts w:ascii="Century Gothic" w:eastAsia="Arial" w:hAnsi="Century Gothic" w:cs="Arial"/>
          <w:bCs/>
          <w:i/>
          <w:iCs/>
          <w:sz w:val="22"/>
          <w:szCs w:val="22"/>
          <w:lang w:val="es-MX" w:eastAsia="en-US"/>
        </w:rPr>
        <w:t>Como legisladoras y legisladores es nuestra obligación extremar la protección de los derechos humanos y crear un entorno lo más seguro posible para la mayoría de la población, especialmente para las personas consideradas más vulnerables.</w:t>
      </w:r>
      <w:r>
        <w:rPr>
          <w:rFonts w:ascii="Century Gothic" w:eastAsia="Arial" w:hAnsi="Century Gothic" w:cs="Arial"/>
          <w:bCs/>
          <w:i/>
          <w:iCs/>
          <w:sz w:val="22"/>
          <w:szCs w:val="22"/>
          <w:lang w:val="es-MX" w:eastAsia="en-US"/>
        </w:rPr>
        <w:t xml:space="preserve">” </w:t>
      </w:r>
    </w:p>
    <w:p w14:paraId="57E36062" w14:textId="126A21F2" w:rsidR="00860137" w:rsidRDefault="00860137" w:rsidP="00860137">
      <w:pPr>
        <w:spacing w:line="360" w:lineRule="auto"/>
        <w:jc w:val="both"/>
        <w:rPr>
          <w:rFonts w:ascii="Century Gothic" w:eastAsia="Arial" w:hAnsi="Century Gothic" w:cs="Arial"/>
          <w:szCs w:val="28"/>
          <w:lang w:val="es-MX"/>
        </w:rPr>
      </w:pPr>
    </w:p>
    <w:p w14:paraId="0CA50567" w14:textId="60B8DE4D" w:rsidR="00860137" w:rsidRDefault="00860137" w:rsidP="00860137">
      <w:pPr>
        <w:spacing w:line="360" w:lineRule="auto"/>
        <w:jc w:val="both"/>
        <w:rPr>
          <w:rFonts w:ascii="Century Gothic" w:eastAsia="Arial" w:hAnsi="Century Gothic" w:cs="Arial"/>
          <w:szCs w:val="28"/>
        </w:rPr>
      </w:pPr>
      <w:r w:rsidRPr="004C6E9B">
        <w:rPr>
          <w:rFonts w:ascii="Century Gothic" w:hAnsi="Century Gothic" w:cs="Arial"/>
          <w:b/>
          <w:bCs/>
          <w:szCs w:val="28"/>
        </w:rPr>
        <w:t>IV.-</w:t>
      </w:r>
      <w:r>
        <w:rPr>
          <w:rFonts w:ascii="Century Gothic" w:hAnsi="Century Gothic" w:cs="Arial"/>
          <w:szCs w:val="28"/>
        </w:rPr>
        <w:t xml:space="preserve"> Ahora bien, esta Comisión</w:t>
      </w:r>
      <w:r w:rsidRPr="004C210E">
        <w:rPr>
          <w:rFonts w:ascii="Century Gothic" w:eastAsia="Arial" w:hAnsi="Century Gothic" w:cs="Arial"/>
          <w:szCs w:val="28"/>
        </w:rPr>
        <w:t>,</w:t>
      </w:r>
      <w:r w:rsidRPr="004C210E">
        <w:rPr>
          <w:rFonts w:ascii="Century Gothic" w:hAnsi="Century Gothic" w:cs="Arial"/>
          <w:szCs w:val="28"/>
        </w:rPr>
        <w:t xml:space="preserve"> después de entrar al estudio y análisis de la iniciativa de mérito, tiene a bien realizar las siguientes:</w:t>
      </w:r>
    </w:p>
    <w:p w14:paraId="2F350CF6" w14:textId="213EFCCE" w:rsidR="00860137" w:rsidRDefault="00860137" w:rsidP="00860137">
      <w:pPr>
        <w:spacing w:line="360" w:lineRule="auto"/>
        <w:jc w:val="both"/>
        <w:rPr>
          <w:rFonts w:ascii="Century Gothic" w:eastAsia="Arial" w:hAnsi="Century Gothic" w:cs="Arial"/>
          <w:szCs w:val="28"/>
        </w:rPr>
      </w:pPr>
    </w:p>
    <w:p w14:paraId="08753099" w14:textId="12D6152F" w:rsidR="00860137" w:rsidRDefault="00860137" w:rsidP="00860137">
      <w:pPr>
        <w:spacing w:line="360" w:lineRule="auto"/>
        <w:jc w:val="both"/>
        <w:rPr>
          <w:rFonts w:ascii="Century Gothic" w:eastAsia="Arial" w:hAnsi="Century Gothic" w:cs="Arial"/>
          <w:szCs w:val="28"/>
        </w:rPr>
      </w:pPr>
    </w:p>
    <w:p w14:paraId="03A15B69" w14:textId="77777777" w:rsidR="00860137" w:rsidRDefault="00860137" w:rsidP="00860137">
      <w:pPr>
        <w:spacing w:line="360" w:lineRule="auto"/>
        <w:jc w:val="center"/>
        <w:rPr>
          <w:rFonts w:ascii="Century Gothic" w:eastAsia="Arial" w:hAnsi="Century Gothic" w:cs="Arial"/>
          <w:b/>
          <w:spacing w:val="20"/>
          <w:szCs w:val="28"/>
        </w:rPr>
      </w:pPr>
      <w:r w:rsidRPr="004C210E">
        <w:rPr>
          <w:rFonts w:ascii="Century Gothic" w:eastAsia="Arial" w:hAnsi="Century Gothic" w:cs="Arial"/>
          <w:b/>
          <w:spacing w:val="20"/>
          <w:szCs w:val="28"/>
        </w:rPr>
        <w:t>CONSIDERACIONES</w:t>
      </w:r>
    </w:p>
    <w:p w14:paraId="603C85BD" w14:textId="77777777" w:rsidR="00860137" w:rsidRPr="004C210E" w:rsidRDefault="00860137" w:rsidP="00860137">
      <w:pPr>
        <w:spacing w:line="360" w:lineRule="auto"/>
        <w:jc w:val="center"/>
        <w:rPr>
          <w:rFonts w:ascii="Century Gothic" w:eastAsia="Arial" w:hAnsi="Century Gothic" w:cs="Arial"/>
          <w:b/>
          <w:spacing w:val="20"/>
          <w:szCs w:val="28"/>
        </w:rPr>
      </w:pPr>
    </w:p>
    <w:p w14:paraId="0DB40F12" w14:textId="77777777" w:rsidR="007627DC" w:rsidRPr="007627DC" w:rsidRDefault="007627DC" w:rsidP="00387C07">
      <w:pPr>
        <w:spacing w:line="360" w:lineRule="auto"/>
        <w:ind w:right="332"/>
        <w:jc w:val="both"/>
        <w:rPr>
          <w:rFonts w:ascii="Century Gothic" w:hAnsi="Century Gothic" w:cs="Arial"/>
          <w:color w:val="000000"/>
          <w:lang w:val="es-MX"/>
        </w:rPr>
      </w:pPr>
      <w:r w:rsidRPr="007627DC">
        <w:rPr>
          <w:rFonts w:ascii="Century Gothic" w:eastAsia="Calibri" w:hAnsi="Century Gothic" w:cs="Arial"/>
          <w:b/>
          <w:bCs/>
          <w:lang w:val="es-MX"/>
        </w:rPr>
        <w:t xml:space="preserve">I.- </w:t>
      </w:r>
      <w:r w:rsidRPr="007627DC">
        <w:rPr>
          <w:rFonts w:ascii="Century Gothic" w:hAnsi="Century Gothic" w:cs="Arial"/>
          <w:color w:val="000000"/>
          <w:lang w:val="es-MX"/>
        </w:rPr>
        <w:t xml:space="preserve">El H. Congreso del Estado, a través de esta Comisión, es competente para conocer y resolver sobre los asuntos en cuestión. </w:t>
      </w:r>
    </w:p>
    <w:p w14:paraId="4FB2E66D" w14:textId="77777777" w:rsidR="007627DC" w:rsidRPr="007627DC" w:rsidRDefault="007627DC" w:rsidP="007627DC">
      <w:pPr>
        <w:spacing w:line="360" w:lineRule="auto"/>
        <w:ind w:right="332"/>
        <w:jc w:val="both"/>
        <w:rPr>
          <w:rFonts w:ascii="Century Gothic" w:hAnsi="Century Gothic" w:cs="Arial"/>
          <w:b/>
          <w:bCs/>
          <w:color w:val="000000"/>
          <w:lang w:val="es-MX"/>
        </w:rPr>
      </w:pPr>
    </w:p>
    <w:p w14:paraId="653C548F" w14:textId="55881748" w:rsidR="00393203" w:rsidRPr="00393203" w:rsidRDefault="007627DC" w:rsidP="00393203">
      <w:pPr>
        <w:spacing w:line="360" w:lineRule="auto"/>
        <w:jc w:val="both"/>
        <w:rPr>
          <w:rFonts w:ascii="Century Gothic" w:eastAsia="Calibri" w:hAnsi="Century Gothic"/>
          <w:lang w:val="es-MX" w:eastAsia="en-US"/>
        </w:rPr>
      </w:pPr>
      <w:r w:rsidRPr="00F662DD">
        <w:rPr>
          <w:rFonts w:ascii="Century Gothic" w:eastAsia="Calibri" w:hAnsi="Century Gothic" w:cs="Arial"/>
          <w:b/>
          <w:bCs/>
          <w:lang w:val="en-US"/>
        </w:rPr>
        <w:t>II.-</w:t>
      </w:r>
      <w:r w:rsidRPr="00F662DD">
        <w:rPr>
          <w:rFonts w:ascii="Century Gothic" w:eastAsia="Calibri" w:hAnsi="Century Gothic" w:cs="Arial"/>
          <w:lang w:val="en-US"/>
        </w:rPr>
        <w:t xml:space="preserve"> </w:t>
      </w:r>
      <w:r w:rsidR="00393203" w:rsidRPr="00393203">
        <w:rPr>
          <w:rFonts w:ascii="Century Gothic" w:eastAsia="Calibri" w:hAnsi="Century Gothic"/>
          <w:lang w:val="es-MX" w:eastAsia="en-US"/>
        </w:rPr>
        <w:t xml:space="preserve">Según la Encuesta Nacional Sobre La Dinámica De Las Relaciones En Los Hogares (ENDIREH) 2021, en México, 70.1 % de las mujeres de 15 años y más ha experimentado, al menos, una situación de violencia a lo largo de la vida. </w:t>
      </w:r>
    </w:p>
    <w:p w14:paraId="5684D348" w14:textId="77777777" w:rsidR="00393203" w:rsidRPr="00393203" w:rsidRDefault="00393203" w:rsidP="00393203">
      <w:pPr>
        <w:spacing w:line="360" w:lineRule="auto"/>
        <w:jc w:val="both"/>
        <w:rPr>
          <w:rFonts w:ascii="Century Gothic" w:eastAsia="Calibri" w:hAnsi="Century Gothic"/>
          <w:lang w:val="es-MX" w:eastAsia="en-US"/>
        </w:rPr>
      </w:pPr>
    </w:p>
    <w:p w14:paraId="40AA491F"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La violencia psicológica fue la de mayor prevalencia (51.6 %), seguida de la violencia sexual (49.7 %). En el ámbito comunitario es donde viven mayor violencia (45.6%), seguido de la relación de pareja (39.9 %).</w:t>
      </w:r>
      <w:r w:rsidRPr="00393203">
        <w:rPr>
          <w:rFonts w:ascii="Century Gothic" w:eastAsia="Calibri" w:hAnsi="Century Gothic"/>
          <w:vertAlign w:val="superscript"/>
          <w:lang w:val="es-MX" w:eastAsia="en-US"/>
        </w:rPr>
        <w:footnoteReference w:id="6"/>
      </w:r>
      <w:r w:rsidRPr="00393203">
        <w:rPr>
          <w:rFonts w:ascii="Century Gothic" w:eastAsia="Calibri" w:hAnsi="Century Gothic"/>
          <w:lang w:val="es-MX" w:eastAsia="en-US"/>
        </w:rPr>
        <w:t xml:space="preserve"> </w:t>
      </w:r>
    </w:p>
    <w:p w14:paraId="5FC40D8A" w14:textId="77777777" w:rsidR="00393203" w:rsidRPr="00393203" w:rsidRDefault="00393203" w:rsidP="00393203">
      <w:pPr>
        <w:spacing w:line="360" w:lineRule="auto"/>
        <w:jc w:val="both"/>
        <w:rPr>
          <w:rFonts w:ascii="Century Gothic" w:eastAsia="Calibri" w:hAnsi="Century Gothic"/>
          <w:lang w:val="es-MX" w:eastAsia="en-US"/>
        </w:rPr>
      </w:pPr>
    </w:p>
    <w:p w14:paraId="7F485AD2"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Según datos del Instituto Nacional de Estadística y Geografía (INEGI), respecto a los Centros de Justicia para las Mujeres (CJM) del 2026, en 2024, los CJM atendieron a 638,720 mujeres víctimas de violencias; en 2023, a 598,437. Donde el principal tipo de violencia que se reportó a los CJM fue la psicológica, siguiendo la violencia física y la sexual.</w:t>
      </w:r>
      <w:r w:rsidRPr="00393203">
        <w:rPr>
          <w:rFonts w:ascii="Century Gothic" w:eastAsia="Calibri" w:hAnsi="Century Gothic"/>
          <w:vertAlign w:val="superscript"/>
          <w:lang w:val="es-MX" w:eastAsia="en-US"/>
        </w:rPr>
        <w:footnoteReference w:id="7"/>
      </w:r>
    </w:p>
    <w:p w14:paraId="15D11584" w14:textId="77777777" w:rsidR="00393203" w:rsidRPr="00393203" w:rsidRDefault="00393203" w:rsidP="00393203">
      <w:pPr>
        <w:spacing w:line="360" w:lineRule="auto"/>
        <w:jc w:val="both"/>
        <w:rPr>
          <w:rFonts w:ascii="Century Gothic" w:eastAsia="Calibri" w:hAnsi="Century Gothic"/>
          <w:lang w:val="es-MX" w:eastAsia="en-US"/>
        </w:rPr>
      </w:pPr>
    </w:p>
    <w:p w14:paraId="113319BC"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lastRenderedPageBreak/>
        <w:t>De igual forma, la tasa de prevalencia delictiva por cada 100 mil habitantes, reportada por el INEGI, refiere que, en el año 2022 existieron 21,673, durante el año 2023, se reportan 22,903, y durante el año 2024, 23,399 víctimas mujeres por cada 100,000 habitantes</w:t>
      </w:r>
      <w:r w:rsidRPr="00393203">
        <w:rPr>
          <w:rFonts w:ascii="Century Gothic" w:eastAsia="Calibri" w:hAnsi="Century Gothic"/>
          <w:vertAlign w:val="superscript"/>
          <w:lang w:val="es-MX" w:eastAsia="en-US"/>
        </w:rPr>
        <w:footnoteReference w:id="8"/>
      </w:r>
      <w:r w:rsidRPr="00393203">
        <w:rPr>
          <w:rFonts w:ascii="Century Gothic" w:eastAsia="Calibri" w:hAnsi="Century Gothic"/>
          <w:lang w:val="es-MX" w:eastAsia="en-US"/>
        </w:rPr>
        <w:t xml:space="preserve">. </w:t>
      </w:r>
    </w:p>
    <w:p w14:paraId="706EFE49" w14:textId="77777777" w:rsidR="00393203" w:rsidRPr="00393203" w:rsidRDefault="00393203" w:rsidP="00393203">
      <w:pPr>
        <w:spacing w:line="360" w:lineRule="auto"/>
        <w:jc w:val="both"/>
        <w:rPr>
          <w:rFonts w:ascii="Century Gothic" w:eastAsia="Calibri" w:hAnsi="Century Gothic"/>
          <w:lang w:val="es-MX" w:eastAsia="en-US"/>
        </w:rPr>
      </w:pPr>
    </w:p>
    <w:p w14:paraId="6D1E312D" w14:textId="66E63083"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b/>
          <w:bCs/>
          <w:lang w:val="es-MX" w:eastAsia="en-US"/>
        </w:rPr>
        <w:t>III.-</w:t>
      </w:r>
      <w:r>
        <w:rPr>
          <w:rFonts w:ascii="Century Gothic" w:eastAsia="Calibri" w:hAnsi="Century Gothic"/>
          <w:lang w:val="es-MX" w:eastAsia="en-US"/>
        </w:rPr>
        <w:t xml:space="preserve"> </w:t>
      </w:r>
      <w:r w:rsidRPr="00393203">
        <w:rPr>
          <w:rFonts w:ascii="Century Gothic" w:eastAsia="Calibri" w:hAnsi="Century Gothic"/>
          <w:lang w:val="es-MX" w:eastAsia="en-US"/>
        </w:rPr>
        <w:t>La Convención sobre la Eliminación de Todas las Formas de Discriminación contra la Mujer (CEDAW) en sus observaciones finales sobre el décimo informe periódico de México, de 2025</w:t>
      </w:r>
      <w:r w:rsidRPr="00393203">
        <w:rPr>
          <w:rFonts w:ascii="Century Gothic" w:eastAsia="Calibri" w:hAnsi="Century Gothic"/>
          <w:vertAlign w:val="superscript"/>
          <w:lang w:val="es-MX" w:eastAsia="en-US"/>
        </w:rPr>
        <w:footnoteReference w:id="9"/>
      </w:r>
      <w:r w:rsidRPr="00393203">
        <w:rPr>
          <w:rFonts w:ascii="Century Gothic" w:eastAsia="Calibri" w:hAnsi="Century Gothic"/>
          <w:lang w:val="es-MX" w:eastAsia="en-US"/>
        </w:rPr>
        <w:t xml:space="preserve">, refiere que sigue existiendo preocupación por la existencia de </w:t>
      </w:r>
      <w:r w:rsidRPr="00393203">
        <w:rPr>
          <w:rFonts w:ascii="Century Gothic" w:eastAsia="Calibri" w:hAnsi="Century Gothic"/>
          <w:i/>
          <w:iCs/>
          <w:lang w:val="es-MX" w:eastAsia="en-US"/>
        </w:rPr>
        <w:t>actitudes y estereotipos patriarcales profundamente arraigados, que siguen socavando la condición social de la mujer y constituyen la causa fundamental de la desigualdad de género</w:t>
      </w:r>
      <w:r w:rsidRPr="00393203">
        <w:rPr>
          <w:rFonts w:ascii="Century Gothic" w:eastAsia="Calibri" w:hAnsi="Century Gothic"/>
          <w:lang w:val="es-MX" w:eastAsia="en-US"/>
        </w:rPr>
        <w:t>.</w:t>
      </w:r>
      <w:r w:rsidRPr="00393203">
        <w:rPr>
          <w:rFonts w:ascii="Century Gothic" w:eastAsia="Calibri" w:hAnsi="Century Gothic"/>
          <w:vertAlign w:val="superscript"/>
          <w:lang w:val="es-MX" w:eastAsia="en-US"/>
        </w:rPr>
        <w:footnoteReference w:id="10"/>
      </w:r>
    </w:p>
    <w:p w14:paraId="3A517286" w14:textId="77777777" w:rsidR="00393203" w:rsidRPr="00393203" w:rsidRDefault="00393203" w:rsidP="00393203">
      <w:pPr>
        <w:spacing w:line="360" w:lineRule="auto"/>
        <w:jc w:val="both"/>
        <w:rPr>
          <w:rFonts w:ascii="Century Gothic" w:eastAsia="Calibri" w:hAnsi="Century Gothic"/>
          <w:lang w:val="es-MX" w:eastAsia="en-US"/>
        </w:rPr>
      </w:pPr>
    </w:p>
    <w:p w14:paraId="61A35D2A"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 xml:space="preserve">Por lo que, el Comité recomienda al Estado Parte que:  </w:t>
      </w:r>
      <w:r w:rsidRPr="00393203">
        <w:rPr>
          <w:rFonts w:ascii="Century Gothic" w:eastAsia="Calibri" w:hAnsi="Century Gothic"/>
          <w:i/>
          <w:iCs/>
          <w:lang w:val="es-MX" w:eastAsia="en-US"/>
        </w:rPr>
        <w:t>a) Refuerce los marcos regulatorios para asegurar la igualdad de género y combatir los estereotipos en las representaciones en los medios de comunicación, incluidos los relacionados con los delitos de género y la participación política de las mujeres;</w:t>
      </w:r>
      <w:r w:rsidRPr="00393203">
        <w:rPr>
          <w:rFonts w:ascii="Century Gothic" w:eastAsia="Calibri" w:hAnsi="Century Gothic"/>
          <w:i/>
          <w:iCs/>
          <w:vertAlign w:val="superscript"/>
          <w:lang w:val="es-MX" w:eastAsia="en-US"/>
        </w:rPr>
        <w:footnoteReference w:id="11"/>
      </w:r>
    </w:p>
    <w:p w14:paraId="5339EFF8" w14:textId="77777777" w:rsidR="00393203" w:rsidRPr="00393203" w:rsidRDefault="00393203" w:rsidP="00393203">
      <w:pPr>
        <w:spacing w:line="360" w:lineRule="auto"/>
        <w:jc w:val="both"/>
        <w:rPr>
          <w:rFonts w:ascii="Century Gothic" w:eastAsia="Calibri" w:hAnsi="Century Gothic"/>
          <w:lang w:val="es-MX" w:eastAsia="en-US"/>
        </w:rPr>
      </w:pPr>
    </w:p>
    <w:p w14:paraId="70B7E385"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Así mismo, la CEDAW dentro del rubro “Violencia de género contra las mujeres y las niñas” observa con profunda preocupación que:</w:t>
      </w:r>
    </w:p>
    <w:p w14:paraId="59A04AC5" w14:textId="77777777" w:rsidR="00393203" w:rsidRPr="00393203" w:rsidRDefault="00393203" w:rsidP="00393203">
      <w:pPr>
        <w:spacing w:line="360" w:lineRule="auto"/>
        <w:jc w:val="both"/>
        <w:rPr>
          <w:rFonts w:ascii="Century Gothic" w:eastAsia="Calibri" w:hAnsi="Century Gothic"/>
          <w:lang w:val="es-MX" w:eastAsia="en-US"/>
        </w:rPr>
      </w:pPr>
    </w:p>
    <w:p w14:paraId="75613F4E"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r w:rsidRPr="00393203">
        <w:rPr>
          <w:rFonts w:ascii="Century Gothic" w:eastAsia="Calibri" w:hAnsi="Century Gothic"/>
          <w:i/>
          <w:iCs/>
          <w:lang w:val="es-MX" w:eastAsia="en-US"/>
        </w:rPr>
        <w:lastRenderedPageBreak/>
        <w:t xml:space="preserve">a) Hay un aumento de los casos de violencia de género contra las mujeres y las niñas cometida por actores estatales y no estatales, incluidas organizaciones delictivas, como desapariciones, torturas, violencia sexual y feminicidios, a menudo con armas de fuego, que se ven agravados por la ineficacia e insuficiencia de las respuestas, incluidas las políticas de seguridad y control de armas, y de la recopilación de datos; </w:t>
      </w:r>
    </w:p>
    <w:p w14:paraId="2EC68813"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p>
    <w:p w14:paraId="115F1ABF"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r w:rsidRPr="00393203">
        <w:rPr>
          <w:rFonts w:ascii="Century Gothic" w:eastAsia="Calibri" w:hAnsi="Century Gothic"/>
          <w:i/>
          <w:iCs/>
          <w:lang w:val="es-MX" w:eastAsia="en-US"/>
        </w:rPr>
        <w:t>b) Los enfoques centrados únicamente en respuestas de derecho penal a la violencia de género, incluido el alcance restrictivo de las respuestas a la violencia digital, presentan limitaciones, y la diversidad de definiciones de feminicidio en el Estado Parte distorsiona los datos estadísticos y podría tener un impacto desproporcionado en las mujeres LBTI criminalizadas;</w:t>
      </w:r>
    </w:p>
    <w:p w14:paraId="0891BCB3"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p>
    <w:p w14:paraId="5A00D20D"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r w:rsidRPr="00393203">
        <w:rPr>
          <w:rFonts w:ascii="Century Gothic" w:eastAsia="Calibri" w:hAnsi="Century Gothic"/>
          <w:i/>
          <w:iCs/>
          <w:lang w:val="es-MX" w:eastAsia="en-US"/>
        </w:rPr>
        <w:t xml:space="preserve">c) A pesar de la tipificación de la violencia contra los niños en el contexto de la violencia de género contra sus madres, también llamada violencia vicaria, los juzgados de lo civil y lo familiar siguen sin aplicar el principio del interés superior del niño con perspectiva de género, y las madres que denuncian violencia doméstica pueden perder la custodia, mientras que sus hijos son instrumentalizados para perpetuar los abusos contra ellas; </w:t>
      </w:r>
    </w:p>
    <w:p w14:paraId="6C87314F"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p>
    <w:p w14:paraId="197B95D1"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r w:rsidRPr="00393203">
        <w:rPr>
          <w:rFonts w:ascii="Century Gothic" w:eastAsia="Calibri" w:hAnsi="Century Gothic"/>
          <w:i/>
          <w:iCs/>
          <w:lang w:val="es-MX" w:eastAsia="en-US"/>
        </w:rPr>
        <w:lastRenderedPageBreak/>
        <w:t xml:space="preserve">d) No se tiene suficientemente en cuenta a las familias y la discriminación interseccional en los protocolos de investigación sensibles al género y no se vigila que estos se apliquen de manera uniforme en todas las entidades federativas, lo que contribuye a la impunidad generalizada de la violencia de género; </w:t>
      </w:r>
    </w:p>
    <w:p w14:paraId="352F3EFB"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p>
    <w:p w14:paraId="708FE4AB"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r w:rsidRPr="00393203">
        <w:rPr>
          <w:rFonts w:ascii="Century Gothic" w:eastAsia="Calibri" w:hAnsi="Century Gothic"/>
          <w:i/>
          <w:iCs/>
          <w:lang w:val="es-MX" w:eastAsia="en-US"/>
        </w:rPr>
        <w:t>e) Es necesaria una política nacional de reparaciones transparente e integral para los supervivientes de todas las formas de violencia de género, incluida la tortura sexual, dentro del marco jurídico vigente;</w:t>
      </w:r>
    </w:p>
    <w:p w14:paraId="5B446AE2"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p>
    <w:p w14:paraId="6AC53631"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r w:rsidRPr="00393203">
        <w:rPr>
          <w:rFonts w:ascii="Century Gothic" w:eastAsia="Calibri" w:hAnsi="Century Gothic"/>
          <w:i/>
          <w:iCs/>
          <w:lang w:val="es-MX" w:eastAsia="en-US"/>
        </w:rPr>
        <w:t xml:space="preserve">f) ... </w:t>
      </w:r>
    </w:p>
    <w:p w14:paraId="2ABCEAB1"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p>
    <w:p w14:paraId="2C844991"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r w:rsidRPr="00393203">
        <w:rPr>
          <w:rFonts w:ascii="Century Gothic" w:eastAsia="Calibri" w:hAnsi="Century Gothic"/>
          <w:i/>
          <w:iCs/>
          <w:lang w:val="es-MX" w:eastAsia="en-US"/>
        </w:rPr>
        <w:t>g) Los protocolos de respuesta a emergencias no se aplican adecuadamente y hay retrasos significativos en los procesos de activación del Protocolo Alba y la Alerta Amber.</w:t>
      </w:r>
      <w:r w:rsidRPr="00393203">
        <w:rPr>
          <w:rFonts w:ascii="Century Gothic" w:eastAsia="Calibri" w:hAnsi="Century Gothic"/>
          <w:i/>
          <w:iCs/>
          <w:vertAlign w:val="superscript"/>
          <w:lang w:val="es-MX" w:eastAsia="en-US"/>
        </w:rPr>
        <w:footnoteReference w:id="12"/>
      </w:r>
    </w:p>
    <w:p w14:paraId="6A06FB2B" w14:textId="77777777" w:rsidR="00393203" w:rsidRPr="00393203" w:rsidRDefault="00393203" w:rsidP="00393203">
      <w:pPr>
        <w:spacing w:line="360" w:lineRule="auto"/>
        <w:jc w:val="both"/>
        <w:rPr>
          <w:rFonts w:ascii="Century Gothic" w:eastAsia="Calibri" w:hAnsi="Century Gothic"/>
          <w:lang w:val="es-MX" w:eastAsia="en-US"/>
        </w:rPr>
      </w:pPr>
    </w:p>
    <w:p w14:paraId="28DE8301"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 xml:space="preserve">En el mismo informe de la CEDAW, se nos menciona que el Comité </w:t>
      </w:r>
      <w:r w:rsidRPr="00393203">
        <w:rPr>
          <w:rFonts w:ascii="Century Gothic" w:eastAsia="Calibri" w:hAnsi="Century Gothic"/>
          <w:i/>
          <w:iCs/>
          <w:lang w:val="es-MX" w:eastAsia="en-US"/>
        </w:rPr>
        <w:t>reconoce la aprobación de protocolos para incorporar la perspectiva de género en los procedimientos judiciales y los esfuerzos del Estado Parte para garantizar el acceso a la justicia de las mujeres indígenas y las mujeres con discapacidad</w:t>
      </w:r>
      <w:r w:rsidRPr="00393203">
        <w:rPr>
          <w:rFonts w:ascii="Century Gothic" w:eastAsia="Calibri" w:hAnsi="Century Gothic"/>
          <w:lang w:val="es-MX" w:eastAsia="en-US"/>
        </w:rPr>
        <w:t xml:space="preserve">. </w:t>
      </w:r>
    </w:p>
    <w:p w14:paraId="7B5483CB" w14:textId="77777777" w:rsidR="00393203" w:rsidRPr="00393203" w:rsidRDefault="00393203" w:rsidP="00393203">
      <w:pPr>
        <w:spacing w:line="360" w:lineRule="auto"/>
        <w:jc w:val="both"/>
        <w:rPr>
          <w:rFonts w:ascii="Century Gothic" w:eastAsia="Calibri" w:hAnsi="Century Gothic"/>
          <w:lang w:val="es-MX" w:eastAsia="en-US"/>
        </w:rPr>
      </w:pPr>
    </w:p>
    <w:p w14:paraId="7450F90E"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Sin embargo, le sigue preocupando que:</w:t>
      </w:r>
    </w:p>
    <w:p w14:paraId="616F8718"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lastRenderedPageBreak/>
        <w:t xml:space="preserve"> </w:t>
      </w:r>
    </w:p>
    <w:p w14:paraId="0E9E8B0C"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r w:rsidRPr="00393203">
        <w:rPr>
          <w:rFonts w:ascii="Century Gothic" w:eastAsia="Calibri" w:hAnsi="Century Gothic"/>
          <w:lang w:val="es-MX" w:eastAsia="en-US"/>
        </w:rPr>
        <w:t>a</w:t>
      </w:r>
      <w:r w:rsidRPr="00393203">
        <w:rPr>
          <w:rFonts w:ascii="Century Gothic" w:eastAsia="Calibri" w:hAnsi="Century Gothic"/>
          <w:i/>
          <w:iCs/>
          <w:lang w:val="es-MX" w:eastAsia="en-US"/>
        </w:rPr>
        <w:t xml:space="preserve">) La legislación penal a nivel federal y estatal está fragmentada, no se aplican de manera uniforme protocolos sensibles al género y se usan procedimientos penales abreviados en los casos de violencia de género contra las mujeres y las niñas; </w:t>
      </w:r>
    </w:p>
    <w:p w14:paraId="73491157"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p>
    <w:p w14:paraId="552B2978"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r w:rsidRPr="00393203">
        <w:rPr>
          <w:rFonts w:ascii="Century Gothic" w:eastAsia="Calibri" w:hAnsi="Century Gothic"/>
          <w:i/>
          <w:iCs/>
          <w:lang w:val="es-MX" w:eastAsia="en-US"/>
        </w:rPr>
        <w:t>b) El uso de la prisión preventiva obligatoria puede afectar de manera desproporcionada a grupos vulnerables de mujeres, especialmente las mujeres indígenas, las mujeres pobres y las trabajadoras sexuales</w:t>
      </w:r>
      <w:r w:rsidRPr="00393203">
        <w:rPr>
          <w:rFonts w:ascii="Century Gothic" w:eastAsia="Calibri" w:hAnsi="Century Gothic"/>
          <w:i/>
          <w:iCs/>
          <w:vertAlign w:val="superscript"/>
          <w:lang w:val="es-MX" w:eastAsia="en-US"/>
        </w:rPr>
        <w:footnoteReference w:id="13"/>
      </w:r>
      <w:r w:rsidRPr="00393203">
        <w:rPr>
          <w:rFonts w:ascii="Century Gothic" w:eastAsia="Calibri" w:hAnsi="Century Gothic"/>
          <w:i/>
          <w:iCs/>
          <w:lang w:val="es-MX" w:eastAsia="en-US"/>
        </w:rPr>
        <w:t xml:space="preserve">; </w:t>
      </w:r>
    </w:p>
    <w:p w14:paraId="73E2CBF7" w14:textId="77777777" w:rsidR="00393203" w:rsidRPr="00393203" w:rsidRDefault="00393203" w:rsidP="00393203">
      <w:pPr>
        <w:spacing w:line="360" w:lineRule="auto"/>
        <w:jc w:val="both"/>
        <w:rPr>
          <w:rFonts w:ascii="Century Gothic" w:eastAsia="Calibri" w:hAnsi="Century Gothic"/>
          <w:lang w:val="es-MX" w:eastAsia="en-US"/>
        </w:rPr>
      </w:pPr>
    </w:p>
    <w:p w14:paraId="5EB7A7BB" w14:textId="1488F763"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b/>
          <w:bCs/>
          <w:lang w:val="es-MX" w:eastAsia="en-US"/>
        </w:rPr>
        <w:t>IV.-</w:t>
      </w:r>
      <w:r>
        <w:rPr>
          <w:rFonts w:ascii="Century Gothic" w:eastAsia="Calibri" w:hAnsi="Century Gothic"/>
          <w:lang w:val="es-MX" w:eastAsia="en-US"/>
        </w:rPr>
        <w:t xml:space="preserve"> </w:t>
      </w:r>
      <w:r w:rsidRPr="00393203">
        <w:rPr>
          <w:rFonts w:ascii="Century Gothic" w:eastAsia="Calibri" w:hAnsi="Century Gothic"/>
          <w:lang w:val="es-MX" w:eastAsia="en-US"/>
        </w:rPr>
        <w:t>La falta de la aplicación de marcos regulatorios para asegurar la igualdad de género, el hecho de que en México esté fragmentada la legislación penal y no se apliquen de manera uniforme los protocolos de g</w:t>
      </w:r>
      <w:r w:rsidR="00387C07">
        <w:rPr>
          <w:rFonts w:ascii="Century Gothic" w:eastAsia="Calibri" w:hAnsi="Century Gothic"/>
          <w:lang w:val="es-MX" w:eastAsia="en-US"/>
        </w:rPr>
        <w:t>é</w:t>
      </w:r>
      <w:r w:rsidRPr="00393203">
        <w:rPr>
          <w:rFonts w:ascii="Century Gothic" w:eastAsia="Calibri" w:hAnsi="Century Gothic"/>
          <w:lang w:val="es-MX" w:eastAsia="en-US"/>
        </w:rPr>
        <w:t xml:space="preserve">nero al momento de procurar y administrar justicia, contribuye a que sigan existiendo </w:t>
      </w:r>
      <w:r w:rsidRPr="00393203">
        <w:rPr>
          <w:rFonts w:ascii="Century Gothic" w:eastAsia="Calibri" w:hAnsi="Century Gothic"/>
          <w:i/>
          <w:iCs/>
          <w:lang w:val="es-MX" w:eastAsia="en-US"/>
        </w:rPr>
        <w:t xml:space="preserve">actitudes y estereotipos patriarcales profundamente arraigados, que </w:t>
      </w:r>
      <w:r w:rsidRPr="00393203">
        <w:rPr>
          <w:rFonts w:ascii="Century Gothic" w:eastAsia="Calibri" w:hAnsi="Century Gothic"/>
          <w:lang w:val="es-MX" w:eastAsia="en-US"/>
        </w:rPr>
        <w:t>socaban</w:t>
      </w:r>
      <w:r w:rsidRPr="00393203">
        <w:rPr>
          <w:rFonts w:ascii="Century Gothic" w:eastAsia="Calibri" w:hAnsi="Century Gothic"/>
          <w:i/>
          <w:iCs/>
          <w:lang w:val="es-MX" w:eastAsia="en-US"/>
        </w:rPr>
        <w:t xml:space="preserve"> la condición social de la mujer y constituyen la causa fundamental de la desigualdad de género</w:t>
      </w:r>
      <w:r w:rsidRPr="00393203">
        <w:rPr>
          <w:rFonts w:ascii="Century Gothic" w:eastAsia="Calibri" w:hAnsi="Century Gothic"/>
          <w:lang w:val="es-MX" w:eastAsia="en-US"/>
        </w:rPr>
        <w:t>.</w:t>
      </w:r>
      <w:r w:rsidRPr="00393203">
        <w:rPr>
          <w:rFonts w:ascii="Century Gothic" w:eastAsia="Calibri" w:hAnsi="Century Gothic"/>
          <w:vertAlign w:val="superscript"/>
          <w:lang w:val="es-MX" w:eastAsia="en-US"/>
        </w:rPr>
        <w:footnoteReference w:id="14"/>
      </w:r>
    </w:p>
    <w:p w14:paraId="46AAAB71" w14:textId="77777777" w:rsidR="00393203" w:rsidRPr="00393203" w:rsidRDefault="00393203" w:rsidP="00393203">
      <w:pPr>
        <w:spacing w:line="360" w:lineRule="auto"/>
        <w:jc w:val="both"/>
        <w:rPr>
          <w:rFonts w:ascii="Century Gothic" w:eastAsia="Calibri" w:hAnsi="Century Gothic"/>
          <w:lang w:val="es-MX" w:eastAsia="en-US"/>
        </w:rPr>
      </w:pPr>
    </w:p>
    <w:p w14:paraId="1C7FE738"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Tan es así que, la propia iniciativa nos muestra 3 casos de injusticias en contra de las mujeres:</w:t>
      </w:r>
    </w:p>
    <w:p w14:paraId="71D608A9" w14:textId="77777777" w:rsidR="00393203" w:rsidRPr="00393203" w:rsidRDefault="00393203" w:rsidP="00393203">
      <w:pPr>
        <w:spacing w:line="360" w:lineRule="auto"/>
        <w:jc w:val="both"/>
        <w:rPr>
          <w:rFonts w:ascii="Century Gothic" w:eastAsia="Calibri" w:hAnsi="Century Gothic"/>
          <w:lang w:val="es-MX" w:eastAsia="en-US"/>
        </w:rPr>
      </w:pPr>
    </w:p>
    <w:p w14:paraId="3B1739E0" w14:textId="77777777" w:rsidR="00393203" w:rsidRPr="00393203" w:rsidRDefault="00393203" w:rsidP="00393203">
      <w:pPr>
        <w:spacing w:line="360" w:lineRule="auto"/>
        <w:ind w:firstLine="708"/>
        <w:jc w:val="both"/>
        <w:rPr>
          <w:rFonts w:ascii="Century Gothic" w:eastAsia="Calibri" w:hAnsi="Century Gothic"/>
          <w:lang w:val="es-MX" w:eastAsia="en-US"/>
        </w:rPr>
      </w:pPr>
      <w:r w:rsidRPr="00393203">
        <w:rPr>
          <w:rFonts w:ascii="Century Gothic" w:eastAsia="Calibri" w:hAnsi="Century Gothic"/>
          <w:lang w:val="es-MX" w:eastAsia="en-US"/>
        </w:rPr>
        <w:lastRenderedPageBreak/>
        <w:t xml:space="preserve">1. El caso de la ciudadana bajacaliforniana </w:t>
      </w:r>
      <w:r w:rsidRPr="00FC0628">
        <w:rPr>
          <w:rFonts w:ascii="Century Gothic" w:eastAsia="Calibri" w:hAnsi="Century Gothic"/>
          <w:lang w:val="es-MX" w:eastAsia="en-US"/>
        </w:rPr>
        <w:t xml:space="preserve">Alina Mariel </w:t>
      </w:r>
      <w:proofErr w:type="spellStart"/>
      <w:r w:rsidRPr="00FC0628">
        <w:rPr>
          <w:rFonts w:ascii="Century Gothic" w:eastAsia="Calibri" w:hAnsi="Century Gothic"/>
          <w:lang w:val="es-MX" w:eastAsia="en-US"/>
        </w:rPr>
        <w:t>Narziso</w:t>
      </w:r>
      <w:proofErr w:type="spellEnd"/>
      <w:r w:rsidRPr="00FC0628">
        <w:rPr>
          <w:rFonts w:ascii="Century Gothic" w:eastAsia="Calibri" w:hAnsi="Century Gothic"/>
          <w:lang w:val="es-MX" w:eastAsia="en-US"/>
        </w:rPr>
        <w:t xml:space="preserve"> </w:t>
      </w:r>
      <w:proofErr w:type="spellStart"/>
      <w:r w:rsidRPr="00FC0628">
        <w:rPr>
          <w:rFonts w:ascii="Century Gothic" w:eastAsia="Calibri" w:hAnsi="Century Gothic"/>
          <w:lang w:val="es-MX" w:eastAsia="en-US"/>
        </w:rPr>
        <w:t>Tehuaxtle</w:t>
      </w:r>
      <w:proofErr w:type="spellEnd"/>
      <w:r w:rsidRPr="00393203">
        <w:rPr>
          <w:rFonts w:ascii="Century Gothic" w:eastAsia="Calibri" w:hAnsi="Century Gothic"/>
          <w:lang w:val="es-MX" w:eastAsia="en-US"/>
        </w:rPr>
        <w:t xml:space="preserve">, quien fue víctima de intento de homicidio por parte de su pareja sentimental y en defensa propia, desarmó a su pareja realizando detonaciones contra él causando su muerte, por tal acción, fue condenada a 45 años de prisión, sin embargo, se revocó la sentencia del Juez de primera instancia y se declaró que Alina actuó en legítima defensa. </w:t>
      </w:r>
    </w:p>
    <w:p w14:paraId="0514113B" w14:textId="77777777" w:rsidR="00393203" w:rsidRPr="00393203" w:rsidRDefault="00393203" w:rsidP="00393203">
      <w:pPr>
        <w:spacing w:line="360" w:lineRule="auto"/>
        <w:jc w:val="both"/>
        <w:rPr>
          <w:rFonts w:ascii="Century Gothic" w:eastAsia="Calibri" w:hAnsi="Century Gothic"/>
          <w:lang w:val="es-MX" w:eastAsia="en-US"/>
        </w:rPr>
      </w:pPr>
    </w:p>
    <w:p w14:paraId="6DE5C984" w14:textId="77777777" w:rsidR="00393203" w:rsidRPr="00393203" w:rsidRDefault="00393203" w:rsidP="00393203">
      <w:pPr>
        <w:spacing w:line="360" w:lineRule="auto"/>
        <w:ind w:firstLine="708"/>
        <w:jc w:val="both"/>
        <w:rPr>
          <w:rFonts w:ascii="Century Gothic" w:eastAsia="Calibri" w:hAnsi="Century Gothic"/>
          <w:lang w:val="es-MX" w:eastAsia="en-US"/>
        </w:rPr>
      </w:pPr>
      <w:r w:rsidRPr="00393203">
        <w:rPr>
          <w:rFonts w:ascii="Century Gothic" w:eastAsia="Calibri" w:hAnsi="Century Gothic"/>
          <w:lang w:val="es-MX" w:eastAsia="en-US"/>
        </w:rPr>
        <w:t xml:space="preserve">2. El caso de la chihuahuense María Guadalupe de 19 años de edad, quien en el 2015 estaba privada de su libertad y fue atacada a golpes por su pareja, quien armado y bajo el influjo de alcohol y drogas, la amenazó con ultrajarla y asesinarla. En el forcejeo un arma se disparó y la pareja de María cayó herido, ella llamó a los servicios de emergencia para pedir auxilio y en el camino al hospital su pareja falleció. </w:t>
      </w:r>
    </w:p>
    <w:p w14:paraId="2370B8ED" w14:textId="77777777" w:rsidR="00393203" w:rsidRPr="00393203" w:rsidRDefault="00393203" w:rsidP="00393203">
      <w:pPr>
        <w:spacing w:line="360" w:lineRule="auto"/>
        <w:jc w:val="both"/>
        <w:rPr>
          <w:rFonts w:ascii="Century Gothic" w:eastAsia="Calibri" w:hAnsi="Century Gothic"/>
          <w:lang w:val="es-MX" w:eastAsia="en-US"/>
        </w:rPr>
      </w:pPr>
    </w:p>
    <w:p w14:paraId="36732C32"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A ella se le acusó y sentenció por el delito de "homicidio en riña con carácter de provocado". El hecho causó indignación pública y fue llevado a instancias internacionales como el Comité para la Eliminación de la Discriminación contra la Mujer (CEDAW).</w:t>
      </w:r>
      <w:r w:rsidRPr="00393203">
        <w:rPr>
          <w:rFonts w:ascii="Century Gothic" w:eastAsia="Calibri" w:hAnsi="Century Gothic"/>
          <w:vertAlign w:val="superscript"/>
          <w:lang w:val="es-MX" w:eastAsia="en-US"/>
        </w:rPr>
        <w:footnoteReference w:id="15"/>
      </w:r>
    </w:p>
    <w:p w14:paraId="7B735AAB" w14:textId="77777777" w:rsidR="00393203" w:rsidRPr="00393203" w:rsidRDefault="00393203" w:rsidP="00393203">
      <w:pPr>
        <w:spacing w:line="360" w:lineRule="auto"/>
        <w:jc w:val="both"/>
        <w:rPr>
          <w:rFonts w:ascii="Century Gothic" w:eastAsia="Calibri" w:hAnsi="Century Gothic"/>
          <w:lang w:val="es-MX" w:eastAsia="en-US"/>
        </w:rPr>
      </w:pPr>
    </w:p>
    <w:p w14:paraId="136A5087" w14:textId="77777777" w:rsidR="00393203" w:rsidRPr="00393203" w:rsidRDefault="00393203" w:rsidP="00393203">
      <w:pPr>
        <w:spacing w:line="360" w:lineRule="auto"/>
        <w:ind w:firstLine="708"/>
        <w:jc w:val="both"/>
        <w:rPr>
          <w:rFonts w:ascii="Century Gothic" w:eastAsia="Calibri" w:hAnsi="Century Gothic"/>
          <w:lang w:val="es-MX" w:eastAsia="en-US"/>
        </w:rPr>
      </w:pPr>
      <w:r w:rsidRPr="00393203">
        <w:rPr>
          <w:rFonts w:ascii="Century Gothic" w:eastAsia="Calibri" w:hAnsi="Century Gothic"/>
          <w:lang w:val="es-MX" w:eastAsia="en-US"/>
        </w:rPr>
        <w:t xml:space="preserve">3. En la Ciudad de México, Itzel, una joven de 15 años </w:t>
      </w:r>
      <w:proofErr w:type="gramStart"/>
      <w:r w:rsidRPr="00393203">
        <w:rPr>
          <w:rFonts w:ascii="Century Gothic" w:eastAsia="Calibri" w:hAnsi="Century Gothic"/>
          <w:lang w:val="es-MX" w:eastAsia="en-US"/>
        </w:rPr>
        <w:t>quien</w:t>
      </w:r>
      <w:proofErr w:type="gramEnd"/>
      <w:r w:rsidRPr="00393203">
        <w:rPr>
          <w:rFonts w:ascii="Century Gothic" w:eastAsia="Calibri" w:hAnsi="Century Gothic"/>
          <w:lang w:val="es-MX" w:eastAsia="en-US"/>
        </w:rPr>
        <w:t xml:space="preserve"> al ser interceptada, fue víctima de violación a la vista de otras personas en el 2017. Después de haber sido abusada sexualmente, el violador amenazó con matarla con un cuchillo que tenía en la mano, pero tras un intenso forcejeo con la víctima que trataba de defenderse, esta le enterró el cuchillo al violador. </w:t>
      </w:r>
    </w:p>
    <w:p w14:paraId="70A00F00" w14:textId="77777777" w:rsidR="00393203" w:rsidRPr="00393203" w:rsidRDefault="00393203" w:rsidP="00393203">
      <w:pPr>
        <w:spacing w:line="360" w:lineRule="auto"/>
        <w:jc w:val="both"/>
        <w:rPr>
          <w:rFonts w:ascii="Century Gothic" w:eastAsia="Calibri" w:hAnsi="Century Gothic"/>
          <w:lang w:val="es-MX" w:eastAsia="en-US"/>
        </w:rPr>
      </w:pPr>
    </w:p>
    <w:p w14:paraId="476C6989"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Los policías que finalmente acudieron al lugar se llevaron al individuo, quien dos días después falleció en un hospital. Como resultado del deceso del agresor, la PGJ abrió una investigación contra Itzel por homicidio. Tras una fuerte presión social, la Procuraduría determinó que Itzel quedaba libre de toda responsabilidad, debido a que actuó en legítima defensa.</w:t>
      </w:r>
      <w:r w:rsidRPr="00393203">
        <w:rPr>
          <w:rFonts w:ascii="Century Gothic" w:eastAsia="Calibri" w:hAnsi="Century Gothic"/>
          <w:vertAlign w:val="superscript"/>
          <w:lang w:val="es-MX" w:eastAsia="en-US"/>
        </w:rPr>
        <w:footnoteReference w:id="16"/>
      </w:r>
    </w:p>
    <w:p w14:paraId="25199466" w14:textId="77777777" w:rsidR="00393203" w:rsidRPr="00393203" w:rsidRDefault="00393203" w:rsidP="00393203">
      <w:pPr>
        <w:spacing w:line="360" w:lineRule="auto"/>
        <w:jc w:val="both"/>
        <w:rPr>
          <w:rFonts w:ascii="Century Gothic" w:eastAsia="Calibri" w:hAnsi="Century Gothic"/>
          <w:lang w:val="es-MX" w:eastAsia="en-US"/>
        </w:rPr>
      </w:pPr>
    </w:p>
    <w:p w14:paraId="615EC88C" w14:textId="4042670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 xml:space="preserve">Como podemos apreciar estos podrían ser solo unos ejemplos relacionados con el caso que hoy nos ocupa, es decir, cuando una mujer priva de la vida a otra persona en </w:t>
      </w:r>
      <w:r w:rsidR="00FC0628" w:rsidRPr="00393203">
        <w:rPr>
          <w:rFonts w:ascii="Century Gothic" w:eastAsia="Calibri" w:hAnsi="Century Gothic"/>
          <w:lang w:val="es-MX" w:eastAsia="en-US"/>
        </w:rPr>
        <w:t>legítima</w:t>
      </w:r>
      <w:r w:rsidRPr="00393203">
        <w:rPr>
          <w:rFonts w:ascii="Century Gothic" w:eastAsia="Calibri" w:hAnsi="Century Gothic"/>
          <w:lang w:val="es-MX" w:eastAsia="en-US"/>
        </w:rPr>
        <w:t xml:space="preserve"> defensa, que esta mujer ha sido víctima de violencia por parte de la persona privada de la vida y que las autoridades son omisas en procurar y administrar justicia con perspectiva de género. </w:t>
      </w:r>
    </w:p>
    <w:p w14:paraId="0C40853E" w14:textId="77777777" w:rsidR="00393203" w:rsidRPr="00393203" w:rsidRDefault="00393203" w:rsidP="00393203">
      <w:pPr>
        <w:spacing w:line="360" w:lineRule="auto"/>
        <w:jc w:val="both"/>
        <w:rPr>
          <w:rFonts w:ascii="Century Gothic" w:eastAsia="Calibri" w:hAnsi="Century Gothic"/>
          <w:b/>
          <w:bCs/>
          <w:lang w:val="es-MX" w:eastAsia="en-US"/>
        </w:rPr>
      </w:pPr>
    </w:p>
    <w:p w14:paraId="224461F5" w14:textId="7B5673B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b/>
          <w:bCs/>
          <w:lang w:val="es-MX" w:eastAsia="en-US"/>
        </w:rPr>
        <w:t xml:space="preserve">V.- </w:t>
      </w:r>
      <w:r w:rsidRPr="00393203">
        <w:rPr>
          <w:rFonts w:ascii="Century Gothic" w:eastAsia="Calibri" w:hAnsi="Century Gothic"/>
          <w:lang w:val="es-MX" w:eastAsia="en-US"/>
        </w:rPr>
        <w:t xml:space="preserve">Por ello coincidimos con la iniciativa de que tenemos la necesidad de reconocer la existencia de una situación estructural de discriminación hacia las mujeres, que les impide gozar de sus derechos en pie de igualdad con los hombres. </w:t>
      </w:r>
    </w:p>
    <w:p w14:paraId="346EC3F4" w14:textId="77777777" w:rsidR="00393203" w:rsidRPr="00393203" w:rsidRDefault="00393203" w:rsidP="00393203">
      <w:pPr>
        <w:spacing w:line="360" w:lineRule="auto"/>
        <w:jc w:val="both"/>
        <w:rPr>
          <w:rFonts w:ascii="Century Gothic" w:eastAsia="Calibri" w:hAnsi="Century Gothic"/>
          <w:lang w:val="es-MX" w:eastAsia="en-US"/>
        </w:rPr>
      </w:pPr>
    </w:p>
    <w:p w14:paraId="18603A37"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 xml:space="preserve">Lo que nos obliga a legislar para que en la valoración de pruebas en situaciones de legítima defensa, se realice con perspectiva de género, es decir, que exista una valoración reforzada; especialmente, cuando la legítima defensa se alega en el marco de relaciones abusivas y en el ámbito doméstico. </w:t>
      </w:r>
    </w:p>
    <w:p w14:paraId="3EA609E7" w14:textId="77777777" w:rsidR="00393203" w:rsidRPr="00393203" w:rsidRDefault="00393203" w:rsidP="00393203">
      <w:pPr>
        <w:spacing w:line="360" w:lineRule="auto"/>
        <w:jc w:val="both"/>
        <w:rPr>
          <w:rFonts w:ascii="Century Gothic" w:eastAsia="Calibri" w:hAnsi="Century Gothic"/>
          <w:lang w:val="es-MX" w:eastAsia="en-US"/>
        </w:rPr>
      </w:pPr>
    </w:p>
    <w:p w14:paraId="02D6A60F"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lastRenderedPageBreak/>
        <w:t xml:space="preserve">Si bien es cierto, la legislación local no puede obligar a nivel federal que se estandaricen protocolos para procurar y administrar justicia con perspectiva de género, no menos cierto es que, localmente podemos contribuir para que en nuestra entidad se visibilice la obligatoriedad de juzgar con esta perspectiva desde una presunción a favor de la víctima de violencia. </w:t>
      </w:r>
    </w:p>
    <w:p w14:paraId="7FAD3755" w14:textId="77777777" w:rsidR="00393203" w:rsidRPr="00393203" w:rsidRDefault="00393203" w:rsidP="00393203">
      <w:pPr>
        <w:spacing w:line="360" w:lineRule="auto"/>
        <w:jc w:val="both"/>
        <w:rPr>
          <w:rFonts w:ascii="Century Gothic" w:eastAsia="Calibri" w:hAnsi="Century Gothic"/>
          <w:lang w:val="es-MX" w:eastAsia="en-US"/>
        </w:rPr>
      </w:pPr>
    </w:p>
    <w:p w14:paraId="3330A654"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 xml:space="preserve">De igual forma, no podemos analizar legislativamente la aplicación de la prisión preventiva, como lo sugiere la CEDAW, pero, con este tipo de presunciones, si podemos mitigar los efectos de cautelares privativas de libertad en contra de las víctimas mujeres. </w:t>
      </w:r>
    </w:p>
    <w:p w14:paraId="6C69A507" w14:textId="77777777" w:rsidR="00393203" w:rsidRPr="00393203" w:rsidRDefault="00393203" w:rsidP="00393203">
      <w:pPr>
        <w:spacing w:line="360" w:lineRule="auto"/>
        <w:jc w:val="both"/>
        <w:rPr>
          <w:rFonts w:ascii="Century Gothic" w:eastAsia="Calibri" w:hAnsi="Century Gothic"/>
          <w:lang w:val="es-MX" w:eastAsia="en-US"/>
        </w:rPr>
      </w:pPr>
    </w:p>
    <w:p w14:paraId="2BECE672" w14:textId="4FF32B5F"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 xml:space="preserve">Es por lo anterior que la Mesa Técnica Interinstitucional en Materia Penal de la Comisión de Feminicidios, concluyo en la idoneidad de incorporar esta presunción en favor de la víctima, bajo las siguientes características: Que el delito se excluye, presumiendo </w:t>
      </w:r>
      <w:r w:rsidR="00FC0628" w:rsidRPr="00393203">
        <w:rPr>
          <w:rFonts w:ascii="Century Gothic" w:eastAsia="Calibri" w:hAnsi="Century Gothic"/>
          <w:lang w:val="es-MX" w:eastAsia="en-US"/>
        </w:rPr>
        <w:t>legítima</w:t>
      </w:r>
      <w:r w:rsidRPr="00393203">
        <w:rPr>
          <w:rFonts w:ascii="Century Gothic" w:eastAsia="Calibri" w:hAnsi="Century Gothic"/>
          <w:lang w:val="es-MX" w:eastAsia="en-US"/>
        </w:rPr>
        <w:t xml:space="preserve"> defensa, cuando antes de repeler la agresión, fuese víctima de violencia feminicida por parte de la persona agresora. Definición que nos obliga de establecer claramente que se entiende por violencia feminicida, lo cual coadyuvará a determinar en qué hipótesis se habrá de acreditar la violencia, para alegar esta presunción de exclusión. </w:t>
      </w:r>
    </w:p>
    <w:p w14:paraId="3A516248" w14:textId="77777777" w:rsidR="00393203" w:rsidRPr="00393203" w:rsidRDefault="00393203" w:rsidP="00393203">
      <w:pPr>
        <w:spacing w:line="360" w:lineRule="auto"/>
        <w:jc w:val="both"/>
        <w:rPr>
          <w:rFonts w:ascii="Century Gothic" w:eastAsia="Calibri" w:hAnsi="Century Gothic"/>
          <w:lang w:val="es-MX" w:eastAsia="en-US"/>
        </w:rPr>
      </w:pPr>
    </w:p>
    <w:p w14:paraId="5F3426D7" w14:textId="77777777" w:rsidR="00393203" w:rsidRPr="00393203" w:rsidRDefault="00393203" w:rsidP="00393203">
      <w:pPr>
        <w:spacing w:line="360" w:lineRule="auto"/>
        <w:jc w:val="both"/>
        <w:rPr>
          <w:rFonts w:ascii="Century Gothic" w:eastAsia="Calibri" w:hAnsi="Century Gothic"/>
          <w:lang w:val="es-MX" w:eastAsia="en-US"/>
        </w:rPr>
      </w:pPr>
      <w:r w:rsidRPr="00393203">
        <w:rPr>
          <w:rFonts w:ascii="Century Gothic" w:eastAsia="Calibri" w:hAnsi="Century Gothic"/>
          <w:lang w:val="es-MX" w:eastAsia="en-US"/>
        </w:rPr>
        <w:t xml:space="preserve">De ahí que, en la Ley del Derecho a las Mujeres a una Vida Libre de Violencia, se define como una modalidad de violencia, la violencia feminicida de la siguiente forma: </w:t>
      </w:r>
    </w:p>
    <w:p w14:paraId="6EC2F945" w14:textId="77777777" w:rsidR="00393203" w:rsidRPr="00393203" w:rsidRDefault="00393203" w:rsidP="00393203">
      <w:pPr>
        <w:spacing w:line="360" w:lineRule="auto"/>
        <w:jc w:val="both"/>
        <w:rPr>
          <w:rFonts w:ascii="Century Gothic" w:eastAsia="Calibri" w:hAnsi="Century Gothic"/>
          <w:lang w:val="es-MX" w:eastAsia="en-US"/>
        </w:rPr>
      </w:pPr>
    </w:p>
    <w:p w14:paraId="48E1ACE0" w14:textId="77777777" w:rsidR="00393203" w:rsidRPr="00393203" w:rsidRDefault="00393203" w:rsidP="00393203">
      <w:pPr>
        <w:spacing w:line="360" w:lineRule="auto"/>
        <w:ind w:left="851" w:right="900"/>
        <w:jc w:val="both"/>
        <w:rPr>
          <w:rFonts w:ascii="Century Gothic" w:eastAsia="Calibri" w:hAnsi="Century Gothic"/>
          <w:b/>
          <w:bCs/>
          <w:i/>
          <w:iCs/>
          <w:lang w:val="es-MX" w:eastAsia="en-US"/>
        </w:rPr>
      </w:pPr>
      <w:r w:rsidRPr="00393203">
        <w:rPr>
          <w:rFonts w:ascii="Century Gothic" w:eastAsia="Calibri" w:hAnsi="Century Gothic"/>
          <w:b/>
          <w:bCs/>
          <w:i/>
          <w:iCs/>
          <w:lang w:val="es-MX" w:eastAsia="en-US"/>
        </w:rPr>
        <w:lastRenderedPageBreak/>
        <w:t>Violencia Feminicida:</w:t>
      </w:r>
      <w:r w:rsidRPr="00393203">
        <w:rPr>
          <w:rFonts w:ascii="Century Gothic" w:eastAsia="Calibri" w:hAnsi="Century Gothic"/>
          <w:i/>
          <w:iCs/>
          <w:lang w:val="es-MX" w:eastAsia="en-US"/>
        </w:rPr>
        <w:t xml:space="preserve"> Es la forma extrema de violencia de género contra las mujeres, producto de la violación de sus derechos humanos</w:t>
      </w:r>
      <w:r w:rsidRPr="00393203">
        <w:rPr>
          <w:rFonts w:ascii="Century Gothic" w:eastAsia="Calibri" w:hAnsi="Century Gothic"/>
          <w:b/>
          <w:bCs/>
          <w:i/>
          <w:iCs/>
          <w:lang w:val="es-MX" w:eastAsia="en-US"/>
        </w:rPr>
        <w:t xml:space="preserve">. </w:t>
      </w:r>
    </w:p>
    <w:p w14:paraId="14B1DAEE" w14:textId="77777777" w:rsidR="00393203" w:rsidRPr="00393203" w:rsidRDefault="00393203" w:rsidP="00393203">
      <w:pPr>
        <w:spacing w:line="360" w:lineRule="auto"/>
        <w:ind w:left="851" w:right="900"/>
        <w:jc w:val="both"/>
        <w:rPr>
          <w:rFonts w:ascii="Century Gothic" w:eastAsia="Calibri" w:hAnsi="Century Gothic"/>
          <w:i/>
          <w:iCs/>
          <w:lang w:val="es-MX" w:eastAsia="en-US"/>
        </w:rPr>
      </w:pPr>
    </w:p>
    <w:p w14:paraId="06288FDE" w14:textId="77777777" w:rsidR="00393203" w:rsidRPr="00393203" w:rsidRDefault="00393203" w:rsidP="00393203">
      <w:pPr>
        <w:spacing w:line="360" w:lineRule="auto"/>
        <w:ind w:left="851" w:right="900"/>
        <w:jc w:val="both"/>
        <w:rPr>
          <w:rFonts w:ascii="Century Gothic" w:eastAsia="Calibri" w:hAnsi="Century Gothic"/>
          <w:lang w:val="es-MX" w:eastAsia="en-US"/>
        </w:rPr>
      </w:pPr>
      <w:r w:rsidRPr="00393203">
        <w:rPr>
          <w:rFonts w:ascii="Century Gothic" w:eastAsia="Calibri" w:hAnsi="Century Gothic"/>
          <w:i/>
          <w:iCs/>
          <w:lang w:val="es-MX" w:eastAsia="en-US"/>
        </w:rPr>
        <w:t>Se manifiesta a través de conductas de odio y discriminación, afectando la integridad, la seguridad, la libertad personal o el libre desarrollo de las mujeres, las adolescentes y las niñas, poniendo en riesgo sus vidas, o culminando en muertes violentas como el feminicidio o el suicidio</w:t>
      </w:r>
      <w:r w:rsidRPr="00393203">
        <w:rPr>
          <w:rFonts w:ascii="Century Gothic" w:eastAsia="Calibri" w:hAnsi="Century Gothic"/>
          <w:lang w:val="es-MX" w:eastAsia="en-US"/>
        </w:rPr>
        <w:t>.</w:t>
      </w:r>
    </w:p>
    <w:p w14:paraId="1D3EC8FA" w14:textId="5D23DBFD" w:rsidR="0087766E" w:rsidRPr="00F662DD" w:rsidRDefault="0087766E" w:rsidP="0087766E">
      <w:pPr>
        <w:spacing w:line="360" w:lineRule="auto"/>
        <w:ind w:right="51"/>
        <w:contextualSpacing/>
        <w:jc w:val="both"/>
        <w:rPr>
          <w:rFonts w:ascii="Century Gothic" w:eastAsia="Calibri" w:hAnsi="Century Gothic" w:cs="Arial"/>
          <w:lang w:val="en-US"/>
        </w:rPr>
      </w:pPr>
    </w:p>
    <w:p w14:paraId="0B7A0F2E" w14:textId="6C24BAAB" w:rsidR="007627DC" w:rsidRPr="007627DC" w:rsidRDefault="007627DC" w:rsidP="007627DC">
      <w:pPr>
        <w:spacing w:line="360" w:lineRule="auto"/>
        <w:ind w:right="335"/>
        <w:jc w:val="both"/>
        <w:rPr>
          <w:rFonts w:ascii="Century Gothic" w:hAnsi="Century Gothic" w:cs="Arial"/>
          <w:bCs/>
          <w:color w:val="000000"/>
          <w:lang w:val="es-MX"/>
        </w:rPr>
      </w:pPr>
      <w:r w:rsidRPr="007627DC">
        <w:rPr>
          <w:rFonts w:ascii="Century Gothic" w:hAnsi="Century Gothic" w:cs="Arial"/>
          <w:b/>
          <w:bCs/>
          <w:color w:val="000000"/>
          <w:lang w:val="es-MX"/>
        </w:rPr>
        <w:t xml:space="preserve">VI.- </w:t>
      </w:r>
      <w:r w:rsidRPr="007627DC">
        <w:rPr>
          <w:rFonts w:ascii="Century Gothic" w:hAnsi="Century Gothic" w:cs="Arial"/>
          <w:bCs/>
          <w:color w:val="000000"/>
          <w:lang w:val="es-MX"/>
        </w:rPr>
        <w:t xml:space="preserve">En base a todo lo expuesto, y haciendo constar que no existieron propuestas u opiniones de la iniciativa de mérito a través del Buzón Legislativo Ciudadano, las diputadas que integramos la Comisión de </w:t>
      </w:r>
      <w:r w:rsidR="00285C94">
        <w:rPr>
          <w:rFonts w:ascii="Century Gothic" w:hAnsi="Century Gothic" w:cs="Arial"/>
          <w:bCs/>
          <w:color w:val="000000"/>
          <w:lang w:val="es-MX"/>
        </w:rPr>
        <w:t>Feminicidios</w:t>
      </w:r>
      <w:r w:rsidRPr="007627DC">
        <w:rPr>
          <w:rFonts w:ascii="Century Gothic" w:hAnsi="Century Gothic" w:cs="Arial"/>
          <w:bCs/>
          <w:color w:val="000000"/>
          <w:lang w:val="es-MX"/>
        </w:rPr>
        <w:t>, sometemos a la consideración del Pleno el siguiente proyecto de:</w:t>
      </w:r>
    </w:p>
    <w:p w14:paraId="662D1D99" w14:textId="77777777" w:rsidR="0030650E" w:rsidRPr="007627DC" w:rsidRDefault="0030650E" w:rsidP="007627DC">
      <w:pPr>
        <w:spacing w:line="360" w:lineRule="auto"/>
        <w:ind w:right="332"/>
        <w:rPr>
          <w:rFonts w:ascii="Century Gothic" w:hAnsi="Century Gothic"/>
          <w:b/>
          <w:bCs/>
          <w:color w:val="000000"/>
          <w:spacing w:val="20"/>
          <w:sz w:val="28"/>
          <w:lang w:val="es-MX"/>
        </w:rPr>
      </w:pPr>
      <w:bookmarkStart w:id="1" w:name="_Hlk152588726"/>
    </w:p>
    <w:p w14:paraId="13C9851A" w14:textId="3D025317" w:rsidR="007627DC" w:rsidRPr="007627DC" w:rsidRDefault="007627DC" w:rsidP="007627DC">
      <w:pPr>
        <w:spacing w:line="360" w:lineRule="auto"/>
        <w:ind w:right="332"/>
        <w:jc w:val="center"/>
        <w:rPr>
          <w:rFonts w:ascii="Century Gothic" w:hAnsi="Century Gothic"/>
          <w:b/>
          <w:bCs/>
          <w:color w:val="000000"/>
          <w:spacing w:val="20"/>
          <w:sz w:val="28"/>
          <w:lang w:val="es-MX"/>
        </w:rPr>
      </w:pPr>
      <w:r w:rsidRPr="007627DC">
        <w:rPr>
          <w:rFonts w:ascii="Century Gothic" w:hAnsi="Century Gothic"/>
          <w:b/>
          <w:bCs/>
          <w:color w:val="000000"/>
          <w:spacing w:val="20"/>
          <w:sz w:val="28"/>
          <w:lang w:val="es-MX"/>
        </w:rPr>
        <w:t>D</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E</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C</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R</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E</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T</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O</w:t>
      </w:r>
    </w:p>
    <w:p w14:paraId="35040559" w14:textId="77777777" w:rsidR="007627DC" w:rsidRPr="00393203" w:rsidRDefault="007627DC" w:rsidP="007627DC">
      <w:pPr>
        <w:spacing w:line="360" w:lineRule="auto"/>
        <w:ind w:right="332"/>
        <w:jc w:val="center"/>
        <w:rPr>
          <w:rFonts w:ascii="Century Gothic" w:hAnsi="Century Gothic"/>
          <w:b/>
          <w:bCs/>
          <w:color w:val="000000"/>
          <w:spacing w:val="20"/>
          <w:sz w:val="28"/>
          <w:lang w:val="es-MX"/>
        </w:rPr>
      </w:pPr>
    </w:p>
    <w:p w14:paraId="5FD3E594" w14:textId="7ED653F5" w:rsidR="00393203" w:rsidRPr="00393203" w:rsidRDefault="00393203" w:rsidP="00393203">
      <w:pPr>
        <w:spacing w:after="200" w:line="360" w:lineRule="auto"/>
        <w:ind w:right="51"/>
        <w:contextualSpacing/>
        <w:jc w:val="both"/>
        <w:rPr>
          <w:rFonts w:ascii="Century Gothic" w:hAnsi="Century Gothic"/>
          <w:bCs/>
          <w:color w:val="000000"/>
          <w:szCs w:val="32"/>
          <w:lang w:val="es-MX"/>
        </w:rPr>
      </w:pPr>
      <w:bookmarkStart w:id="2" w:name="_Hlk225774125"/>
      <w:r w:rsidRPr="00393203">
        <w:rPr>
          <w:rFonts w:ascii="Century Gothic" w:hAnsi="Century Gothic"/>
          <w:b/>
          <w:bCs/>
          <w:color w:val="000000"/>
          <w:sz w:val="28"/>
          <w:szCs w:val="36"/>
          <w:lang w:val="es-MX"/>
        </w:rPr>
        <w:t xml:space="preserve">ARTÍCULO </w:t>
      </w:r>
      <w:proofErr w:type="gramStart"/>
      <w:r>
        <w:rPr>
          <w:rFonts w:ascii="Century Gothic" w:hAnsi="Century Gothic"/>
          <w:b/>
          <w:bCs/>
          <w:color w:val="000000"/>
          <w:sz w:val="28"/>
          <w:szCs w:val="36"/>
          <w:lang w:val="es-MX"/>
        </w:rPr>
        <w:t>PRIMERO</w:t>
      </w:r>
      <w:r w:rsidRPr="00393203">
        <w:rPr>
          <w:rFonts w:ascii="Century Gothic" w:hAnsi="Century Gothic"/>
          <w:b/>
          <w:bCs/>
          <w:color w:val="000000"/>
          <w:sz w:val="28"/>
          <w:szCs w:val="36"/>
          <w:lang w:val="es-MX"/>
        </w:rPr>
        <w:t>.-</w:t>
      </w:r>
      <w:proofErr w:type="gramEnd"/>
      <w:r w:rsidRPr="00393203">
        <w:rPr>
          <w:rFonts w:ascii="Century Gothic" w:hAnsi="Century Gothic"/>
          <w:b/>
          <w:color w:val="000000"/>
          <w:sz w:val="28"/>
          <w:szCs w:val="36"/>
          <w:lang w:val="es-MX"/>
        </w:rPr>
        <w:t xml:space="preserve"> </w:t>
      </w:r>
      <w:r w:rsidRPr="00393203">
        <w:rPr>
          <w:rFonts w:ascii="Century Gothic" w:hAnsi="Century Gothic"/>
          <w:bCs/>
          <w:color w:val="000000"/>
          <w:szCs w:val="32"/>
          <w:lang w:val="es-MX"/>
        </w:rPr>
        <w:t xml:space="preserve">Se </w:t>
      </w:r>
      <w:r w:rsidR="00CB7B7A">
        <w:rPr>
          <w:rFonts w:ascii="Century Gothic" w:hAnsi="Century Gothic"/>
          <w:b/>
          <w:color w:val="000000"/>
          <w:szCs w:val="32"/>
          <w:lang w:val="es-MX"/>
        </w:rPr>
        <w:t>a</w:t>
      </w:r>
      <w:r w:rsidRPr="00393203">
        <w:rPr>
          <w:rFonts w:ascii="Century Gothic" w:hAnsi="Century Gothic"/>
          <w:b/>
          <w:color w:val="000000"/>
          <w:szCs w:val="32"/>
          <w:lang w:val="es-MX"/>
        </w:rPr>
        <w:t>diciona</w:t>
      </w:r>
      <w:r w:rsidRPr="00393203">
        <w:rPr>
          <w:rFonts w:ascii="Century Gothic" w:hAnsi="Century Gothic"/>
          <w:bCs/>
          <w:color w:val="000000"/>
          <w:szCs w:val="32"/>
          <w:lang w:val="es-MX"/>
        </w:rPr>
        <w:t xml:space="preserve"> al artículo 28, </w:t>
      </w:r>
      <w:r>
        <w:rPr>
          <w:rFonts w:ascii="Century Gothic" w:hAnsi="Century Gothic"/>
          <w:bCs/>
          <w:color w:val="000000"/>
          <w:szCs w:val="32"/>
          <w:lang w:val="es-MX"/>
        </w:rPr>
        <w:t xml:space="preserve">primer párrafo, </w:t>
      </w:r>
      <w:r w:rsidRPr="00393203">
        <w:rPr>
          <w:rFonts w:ascii="Century Gothic" w:hAnsi="Century Gothic"/>
          <w:bCs/>
          <w:color w:val="000000"/>
          <w:szCs w:val="32"/>
          <w:lang w:val="es-MX"/>
        </w:rPr>
        <w:t>fracción IV, un tercer párrafo</w:t>
      </w:r>
      <w:r>
        <w:rPr>
          <w:rFonts w:ascii="Century Gothic" w:hAnsi="Century Gothic"/>
          <w:bCs/>
          <w:color w:val="000000"/>
          <w:szCs w:val="32"/>
          <w:lang w:val="es-MX"/>
        </w:rPr>
        <w:t>; del Código Penal del Estado de Chihuahua</w:t>
      </w:r>
      <w:r w:rsidR="00FC0628">
        <w:rPr>
          <w:rFonts w:ascii="Century Gothic" w:hAnsi="Century Gothic"/>
          <w:bCs/>
          <w:color w:val="000000"/>
          <w:szCs w:val="32"/>
          <w:lang w:val="es-MX"/>
        </w:rPr>
        <w:t>,</w:t>
      </w:r>
      <w:r w:rsidRPr="00393203">
        <w:rPr>
          <w:rFonts w:ascii="Century Gothic" w:hAnsi="Century Gothic"/>
          <w:bCs/>
          <w:color w:val="000000"/>
          <w:szCs w:val="32"/>
          <w:lang w:val="es-MX"/>
        </w:rPr>
        <w:t xml:space="preserve"> para quedar redactado de la siguiente manera:  </w:t>
      </w:r>
    </w:p>
    <w:bookmarkEnd w:id="2"/>
    <w:p w14:paraId="5B508589" w14:textId="77777777" w:rsidR="0023007E" w:rsidRDefault="0023007E" w:rsidP="00393203">
      <w:pPr>
        <w:spacing w:after="200" w:line="360" w:lineRule="auto"/>
        <w:ind w:right="51"/>
        <w:contextualSpacing/>
        <w:jc w:val="both"/>
        <w:rPr>
          <w:rFonts w:ascii="Century Gothic" w:hAnsi="Century Gothic"/>
          <w:b/>
          <w:color w:val="000000"/>
          <w:szCs w:val="32"/>
        </w:rPr>
      </w:pPr>
    </w:p>
    <w:bookmarkEnd w:id="1"/>
    <w:p w14:paraId="344E0F5B" w14:textId="40834F05" w:rsidR="00393203" w:rsidRDefault="00393203" w:rsidP="00FC0628">
      <w:pPr>
        <w:spacing w:after="200"/>
        <w:ind w:right="51"/>
        <w:contextualSpacing/>
        <w:jc w:val="both"/>
        <w:rPr>
          <w:rFonts w:ascii="Century Gothic" w:hAnsi="Century Gothic"/>
          <w:b/>
          <w:bCs/>
          <w:iCs/>
          <w:color w:val="000000"/>
          <w:szCs w:val="32"/>
          <w:lang w:val="es-MX"/>
        </w:rPr>
      </w:pPr>
      <w:r w:rsidRPr="00393203">
        <w:rPr>
          <w:rFonts w:ascii="Century Gothic" w:hAnsi="Century Gothic"/>
          <w:b/>
          <w:bCs/>
          <w:color w:val="000000"/>
          <w:szCs w:val="32"/>
          <w:lang w:val="es-MX"/>
        </w:rPr>
        <w:t xml:space="preserve">Artículo 28. </w:t>
      </w:r>
      <w:r w:rsidR="00FC0628" w:rsidRPr="00FC0628">
        <w:rPr>
          <w:rFonts w:ascii="Century Gothic" w:hAnsi="Century Gothic"/>
          <w:iCs/>
          <w:color w:val="000000"/>
          <w:szCs w:val="32"/>
          <w:lang w:val="es-MX"/>
        </w:rPr>
        <w:t>…</w:t>
      </w:r>
    </w:p>
    <w:p w14:paraId="087B470A" w14:textId="2C94867C" w:rsidR="00FC0628" w:rsidRPr="00CB7B7A" w:rsidRDefault="00FC0628" w:rsidP="00FC0628">
      <w:pPr>
        <w:spacing w:after="200"/>
        <w:ind w:right="51"/>
        <w:contextualSpacing/>
        <w:jc w:val="both"/>
        <w:rPr>
          <w:rFonts w:ascii="Century Gothic" w:hAnsi="Century Gothic"/>
          <w:iCs/>
          <w:color w:val="000000"/>
          <w:szCs w:val="32"/>
          <w:lang w:val="es-MX"/>
        </w:rPr>
      </w:pPr>
      <w:r w:rsidRPr="00CB7B7A">
        <w:rPr>
          <w:rFonts w:ascii="Century Gothic" w:hAnsi="Century Gothic"/>
          <w:iCs/>
          <w:color w:val="000000"/>
          <w:szCs w:val="32"/>
          <w:lang w:val="es-MX"/>
        </w:rPr>
        <w:t>…</w:t>
      </w:r>
    </w:p>
    <w:p w14:paraId="31AFE393" w14:textId="77777777" w:rsidR="00393203" w:rsidRPr="00393203" w:rsidRDefault="00393203" w:rsidP="00FC0628">
      <w:pPr>
        <w:spacing w:after="200" w:line="360" w:lineRule="auto"/>
        <w:ind w:left="851" w:right="51" w:hanging="142"/>
        <w:contextualSpacing/>
        <w:jc w:val="both"/>
        <w:rPr>
          <w:rFonts w:ascii="Century Gothic" w:hAnsi="Century Gothic"/>
          <w:color w:val="000000"/>
          <w:szCs w:val="32"/>
          <w:lang w:val="es-MX"/>
        </w:rPr>
      </w:pPr>
      <w:r w:rsidRPr="00393203">
        <w:rPr>
          <w:rFonts w:ascii="Century Gothic" w:hAnsi="Century Gothic"/>
          <w:color w:val="000000"/>
          <w:szCs w:val="32"/>
          <w:lang w:val="es-MX"/>
        </w:rPr>
        <w:t>I. a III. ...</w:t>
      </w:r>
    </w:p>
    <w:p w14:paraId="43BA4180" w14:textId="77777777" w:rsidR="00393203" w:rsidRPr="00393203" w:rsidRDefault="00393203" w:rsidP="00393203">
      <w:pPr>
        <w:spacing w:after="200" w:line="360" w:lineRule="auto"/>
        <w:ind w:left="851" w:right="51"/>
        <w:contextualSpacing/>
        <w:jc w:val="both"/>
        <w:rPr>
          <w:rFonts w:ascii="Century Gothic" w:hAnsi="Century Gothic"/>
          <w:color w:val="000000"/>
          <w:szCs w:val="32"/>
          <w:lang w:val="es-MX"/>
        </w:rPr>
      </w:pPr>
    </w:p>
    <w:p w14:paraId="5BDA7488" w14:textId="2ADD548E" w:rsidR="00393203" w:rsidRPr="00393203" w:rsidRDefault="00393203" w:rsidP="00FC0628">
      <w:pPr>
        <w:spacing w:after="200" w:line="360" w:lineRule="auto"/>
        <w:ind w:left="851" w:right="51"/>
        <w:contextualSpacing/>
        <w:jc w:val="both"/>
        <w:rPr>
          <w:rFonts w:ascii="Century Gothic" w:hAnsi="Century Gothic"/>
          <w:color w:val="000000"/>
          <w:szCs w:val="32"/>
          <w:lang w:val="es-MX"/>
        </w:rPr>
      </w:pPr>
      <w:r w:rsidRPr="00393203">
        <w:rPr>
          <w:rFonts w:ascii="Century Gothic" w:hAnsi="Century Gothic"/>
          <w:color w:val="000000"/>
          <w:szCs w:val="32"/>
          <w:lang w:val="es-MX"/>
        </w:rPr>
        <w:lastRenderedPageBreak/>
        <w:t xml:space="preserve">IV. </w:t>
      </w:r>
      <w:r w:rsidR="00CB1238">
        <w:rPr>
          <w:rFonts w:ascii="Century Gothic" w:hAnsi="Century Gothic"/>
          <w:color w:val="000000"/>
          <w:szCs w:val="32"/>
          <w:lang w:val="es-MX"/>
        </w:rPr>
        <w:t xml:space="preserve">  </w:t>
      </w:r>
      <w:r w:rsidRPr="00393203">
        <w:rPr>
          <w:rFonts w:ascii="Century Gothic" w:hAnsi="Century Gothic"/>
          <w:color w:val="000000"/>
          <w:szCs w:val="32"/>
          <w:lang w:val="es-MX"/>
        </w:rPr>
        <w:t>...</w:t>
      </w:r>
    </w:p>
    <w:p w14:paraId="0C841423" w14:textId="0BD94FF6" w:rsidR="00393203" w:rsidRPr="00FC0628" w:rsidRDefault="00CB1238" w:rsidP="00FC0628">
      <w:pPr>
        <w:spacing w:after="200" w:line="360" w:lineRule="auto"/>
        <w:ind w:left="1276" w:right="51"/>
        <w:contextualSpacing/>
        <w:jc w:val="both"/>
        <w:rPr>
          <w:rFonts w:ascii="Century Gothic" w:hAnsi="Century Gothic"/>
          <w:color w:val="000000"/>
          <w:szCs w:val="32"/>
          <w:lang w:val="es-MX"/>
        </w:rPr>
      </w:pPr>
      <w:r>
        <w:rPr>
          <w:rFonts w:ascii="Century Gothic" w:hAnsi="Century Gothic"/>
          <w:color w:val="000000"/>
          <w:szCs w:val="32"/>
          <w:lang w:val="es-MX"/>
        </w:rPr>
        <w:t xml:space="preserve"> </w:t>
      </w:r>
      <w:r w:rsidR="00393203" w:rsidRPr="00393203">
        <w:rPr>
          <w:rFonts w:ascii="Century Gothic" w:hAnsi="Century Gothic"/>
          <w:color w:val="000000"/>
          <w:szCs w:val="32"/>
          <w:lang w:val="es-MX"/>
        </w:rPr>
        <w:t>...</w:t>
      </w:r>
    </w:p>
    <w:p w14:paraId="598E5D93" w14:textId="2D2FAF49" w:rsidR="00D06183" w:rsidRDefault="00393203" w:rsidP="00CB1238">
      <w:pPr>
        <w:spacing w:after="200"/>
        <w:ind w:left="1418" w:right="51"/>
        <w:contextualSpacing/>
        <w:jc w:val="both"/>
        <w:rPr>
          <w:rFonts w:ascii="Century Gothic" w:hAnsi="Century Gothic"/>
          <w:b/>
          <w:bCs/>
          <w:color w:val="000000"/>
          <w:szCs w:val="32"/>
          <w:lang w:val="es-MX"/>
        </w:rPr>
      </w:pPr>
      <w:r w:rsidRPr="00393203">
        <w:rPr>
          <w:rFonts w:ascii="Century Gothic" w:hAnsi="Century Gothic"/>
          <w:b/>
          <w:bCs/>
          <w:color w:val="000000"/>
          <w:szCs w:val="32"/>
          <w:lang w:val="es-MX"/>
        </w:rPr>
        <w:t>También se presumirá legítima defensa, cuando antes de repeler la agresión, fuese víctima de violencia feminicida por parte de la persona agresora.</w:t>
      </w:r>
    </w:p>
    <w:p w14:paraId="19643D11" w14:textId="77777777" w:rsidR="00050EF4" w:rsidRPr="00FC0628" w:rsidRDefault="00050EF4" w:rsidP="00050EF4">
      <w:pPr>
        <w:spacing w:after="200"/>
        <w:ind w:left="1276" w:right="51"/>
        <w:contextualSpacing/>
        <w:jc w:val="both"/>
        <w:rPr>
          <w:rFonts w:ascii="Century Gothic" w:hAnsi="Century Gothic"/>
          <w:b/>
          <w:bCs/>
          <w:color w:val="000000"/>
          <w:szCs w:val="32"/>
          <w:lang w:val="es-MX"/>
        </w:rPr>
      </w:pPr>
    </w:p>
    <w:p w14:paraId="5BE4EE14" w14:textId="21EC0BAF" w:rsidR="00393203" w:rsidRDefault="00393203" w:rsidP="00393203">
      <w:pPr>
        <w:spacing w:after="200" w:line="360" w:lineRule="auto"/>
        <w:ind w:left="851" w:right="51"/>
        <w:contextualSpacing/>
        <w:jc w:val="both"/>
        <w:rPr>
          <w:rFonts w:ascii="Century Gothic" w:hAnsi="Century Gothic"/>
          <w:bCs/>
          <w:color w:val="000000"/>
          <w:szCs w:val="32"/>
        </w:rPr>
      </w:pPr>
      <w:r>
        <w:rPr>
          <w:rFonts w:ascii="Century Gothic" w:hAnsi="Century Gothic"/>
          <w:bCs/>
          <w:color w:val="000000"/>
          <w:szCs w:val="32"/>
        </w:rPr>
        <w:t>V. a IX. ...</w:t>
      </w:r>
    </w:p>
    <w:p w14:paraId="77890213" w14:textId="5E219A5F" w:rsidR="00393203" w:rsidRDefault="00393203" w:rsidP="00393203">
      <w:pPr>
        <w:spacing w:after="200" w:line="360" w:lineRule="auto"/>
        <w:ind w:right="51"/>
        <w:contextualSpacing/>
        <w:jc w:val="both"/>
        <w:rPr>
          <w:rFonts w:ascii="Century Gothic" w:hAnsi="Century Gothic"/>
          <w:bCs/>
          <w:color w:val="000000"/>
          <w:szCs w:val="32"/>
        </w:rPr>
      </w:pPr>
    </w:p>
    <w:p w14:paraId="4A2C17EF" w14:textId="709252EC" w:rsidR="00393203" w:rsidRDefault="00393203" w:rsidP="00393203">
      <w:pPr>
        <w:spacing w:after="200" w:line="360" w:lineRule="auto"/>
        <w:ind w:right="51"/>
        <w:contextualSpacing/>
        <w:jc w:val="both"/>
        <w:rPr>
          <w:rFonts w:ascii="Century Gothic" w:hAnsi="Century Gothic"/>
          <w:bCs/>
          <w:color w:val="000000"/>
          <w:szCs w:val="32"/>
        </w:rPr>
      </w:pPr>
      <w:r>
        <w:rPr>
          <w:rFonts w:ascii="Century Gothic" w:hAnsi="Century Gothic"/>
          <w:bCs/>
          <w:color w:val="000000"/>
          <w:szCs w:val="32"/>
        </w:rPr>
        <w:t>...</w:t>
      </w:r>
    </w:p>
    <w:p w14:paraId="388424F1" w14:textId="60752314" w:rsidR="00393203" w:rsidRDefault="00393203" w:rsidP="00393203">
      <w:pPr>
        <w:spacing w:after="200" w:line="360" w:lineRule="auto"/>
        <w:ind w:right="51"/>
        <w:contextualSpacing/>
        <w:jc w:val="both"/>
        <w:rPr>
          <w:rFonts w:ascii="Century Gothic" w:hAnsi="Century Gothic"/>
          <w:bCs/>
          <w:color w:val="000000"/>
          <w:szCs w:val="32"/>
        </w:rPr>
      </w:pPr>
      <w:r>
        <w:rPr>
          <w:rFonts w:ascii="Century Gothic" w:hAnsi="Century Gothic"/>
          <w:bCs/>
          <w:color w:val="000000"/>
          <w:szCs w:val="32"/>
        </w:rPr>
        <w:t>...</w:t>
      </w:r>
    </w:p>
    <w:p w14:paraId="08CF914F" w14:textId="16C6CE11" w:rsidR="00393203" w:rsidRDefault="00393203" w:rsidP="00393203">
      <w:pPr>
        <w:spacing w:after="200" w:line="360" w:lineRule="auto"/>
        <w:ind w:right="51"/>
        <w:contextualSpacing/>
        <w:jc w:val="both"/>
        <w:rPr>
          <w:rFonts w:ascii="Century Gothic" w:hAnsi="Century Gothic"/>
          <w:bCs/>
          <w:color w:val="000000"/>
          <w:szCs w:val="32"/>
        </w:rPr>
      </w:pPr>
    </w:p>
    <w:p w14:paraId="00DD75F3" w14:textId="3B723A64" w:rsidR="00393203" w:rsidRDefault="00393203" w:rsidP="005A71B3">
      <w:pPr>
        <w:spacing w:after="200" w:line="360" w:lineRule="auto"/>
        <w:ind w:right="51"/>
        <w:contextualSpacing/>
        <w:jc w:val="both"/>
        <w:rPr>
          <w:rFonts w:ascii="Century Gothic" w:hAnsi="Century Gothic"/>
          <w:bCs/>
          <w:color w:val="000000"/>
          <w:szCs w:val="32"/>
          <w:lang w:val="es-MX"/>
        </w:rPr>
      </w:pPr>
      <w:r w:rsidRPr="00393203">
        <w:rPr>
          <w:rFonts w:ascii="Century Gothic" w:hAnsi="Century Gothic"/>
          <w:b/>
          <w:bCs/>
          <w:color w:val="000000"/>
          <w:sz w:val="28"/>
          <w:szCs w:val="36"/>
          <w:lang w:val="es-MX"/>
        </w:rPr>
        <w:t xml:space="preserve">ARTÍCULO </w:t>
      </w:r>
      <w:proofErr w:type="gramStart"/>
      <w:r>
        <w:rPr>
          <w:rFonts w:ascii="Century Gothic" w:hAnsi="Century Gothic"/>
          <w:b/>
          <w:bCs/>
          <w:color w:val="000000"/>
          <w:sz w:val="28"/>
          <w:szCs w:val="36"/>
          <w:lang w:val="es-MX"/>
        </w:rPr>
        <w:t>SEGUNDO</w:t>
      </w:r>
      <w:r w:rsidRPr="00393203">
        <w:rPr>
          <w:rFonts w:ascii="Century Gothic" w:hAnsi="Century Gothic"/>
          <w:b/>
          <w:bCs/>
          <w:color w:val="000000"/>
          <w:sz w:val="28"/>
          <w:szCs w:val="36"/>
          <w:lang w:val="es-MX"/>
        </w:rPr>
        <w:t>.-</w:t>
      </w:r>
      <w:proofErr w:type="gramEnd"/>
      <w:r w:rsidRPr="00393203">
        <w:rPr>
          <w:rFonts w:ascii="Century Gothic" w:hAnsi="Century Gothic"/>
          <w:b/>
          <w:color w:val="000000"/>
          <w:sz w:val="28"/>
          <w:szCs w:val="36"/>
          <w:lang w:val="es-MX"/>
        </w:rPr>
        <w:t xml:space="preserve"> </w:t>
      </w:r>
      <w:r w:rsidRPr="00393203">
        <w:rPr>
          <w:rFonts w:ascii="Century Gothic" w:hAnsi="Century Gothic"/>
          <w:bCs/>
          <w:color w:val="000000"/>
          <w:szCs w:val="32"/>
          <w:lang w:val="es-MX"/>
        </w:rPr>
        <w:t xml:space="preserve">Se </w:t>
      </w:r>
      <w:r w:rsidR="00CB7B7A">
        <w:rPr>
          <w:rFonts w:ascii="Century Gothic" w:hAnsi="Century Gothic"/>
          <w:b/>
          <w:color w:val="000000"/>
          <w:szCs w:val="32"/>
          <w:lang w:val="es-MX"/>
        </w:rPr>
        <w:t>r</w:t>
      </w:r>
      <w:r>
        <w:rPr>
          <w:rFonts w:ascii="Century Gothic" w:hAnsi="Century Gothic"/>
          <w:b/>
          <w:color w:val="000000"/>
          <w:szCs w:val="32"/>
          <w:lang w:val="es-MX"/>
        </w:rPr>
        <w:t>eforma</w:t>
      </w:r>
      <w:r>
        <w:rPr>
          <w:rFonts w:ascii="Century Gothic" w:hAnsi="Century Gothic"/>
          <w:bCs/>
          <w:color w:val="000000"/>
          <w:szCs w:val="32"/>
          <w:lang w:val="es-MX"/>
        </w:rPr>
        <w:t xml:space="preserve"> el artículo 6, fracción V; y se </w:t>
      </w:r>
      <w:r w:rsidRPr="00FC0628">
        <w:rPr>
          <w:rFonts w:ascii="Century Gothic" w:hAnsi="Century Gothic"/>
          <w:b/>
          <w:color w:val="000000"/>
          <w:szCs w:val="32"/>
          <w:lang w:val="es-MX"/>
        </w:rPr>
        <w:t xml:space="preserve">Adiciona </w:t>
      </w:r>
      <w:r>
        <w:rPr>
          <w:rFonts w:ascii="Century Gothic" w:hAnsi="Century Gothic"/>
          <w:bCs/>
          <w:color w:val="000000"/>
          <w:szCs w:val="32"/>
          <w:lang w:val="es-MX"/>
        </w:rPr>
        <w:t xml:space="preserve">al artículo 6, fracción V, un segundo </w:t>
      </w:r>
      <w:r w:rsidR="005A71B3">
        <w:rPr>
          <w:rFonts w:ascii="Century Gothic" w:hAnsi="Century Gothic"/>
          <w:bCs/>
          <w:color w:val="000000"/>
          <w:szCs w:val="32"/>
          <w:lang w:val="es-MX"/>
        </w:rPr>
        <w:t>párrafo</w:t>
      </w:r>
      <w:r w:rsidR="00FC0628">
        <w:rPr>
          <w:rFonts w:ascii="Century Gothic" w:hAnsi="Century Gothic"/>
          <w:bCs/>
          <w:color w:val="000000"/>
          <w:szCs w:val="32"/>
          <w:lang w:val="es-MX"/>
        </w:rPr>
        <w:t>;</w:t>
      </w:r>
      <w:r w:rsidR="005A71B3">
        <w:rPr>
          <w:rFonts w:ascii="Century Gothic" w:hAnsi="Century Gothic"/>
          <w:bCs/>
          <w:color w:val="000000"/>
          <w:szCs w:val="32"/>
          <w:lang w:val="es-MX"/>
        </w:rPr>
        <w:t xml:space="preserve"> de la Ley</w:t>
      </w:r>
      <w:r w:rsidR="005A675C">
        <w:rPr>
          <w:rFonts w:ascii="Century Gothic" w:hAnsi="Century Gothic"/>
          <w:bCs/>
          <w:color w:val="000000"/>
          <w:szCs w:val="32"/>
          <w:lang w:val="es-MX"/>
        </w:rPr>
        <w:t xml:space="preserve"> Estatal</w:t>
      </w:r>
      <w:r w:rsidR="005A71B3">
        <w:rPr>
          <w:rFonts w:ascii="Century Gothic" w:hAnsi="Century Gothic"/>
          <w:bCs/>
          <w:color w:val="000000"/>
          <w:szCs w:val="32"/>
          <w:lang w:val="es-MX"/>
        </w:rPr>
        <w:t xml:space="preserve"> </w:t>
      </w:r>
      <w:r w:rsidR="005A71B3" w:rsidRPr="005A71B3">
        <w:rPr>
          <w:rFonts w:ascii="Century Gothic" w:hAnsi="Century Gothic"/>
          <w:bCs/>
          <w:color w:val="000000"/>
          <w:szCs w:val="32"/>
          <w:lang w:val="es-MX"/>
        </w:rPr>
        <w:t xml:space="preserve">del </w:t>
      </w:r>
      <w:r w:rsidRPr="00393203">
        <w:rPr>
          <w:rFonts w:ascii="Century Gothic" w:hAnsi="Century Gothic"/>
          <w:bCs/>
          <w:color w:val="000000"/>
          <w:szCs w:val="32"/>
          <w:lang w:val="es-MX"/>
        </w:rPr>
        <w:t xml:space="preserve"> </w:t>
      </w:r>
      <w:r w:rsidR="005A71B3" w:rsidRPr="005A71B3">
        <w:rPr>
          <w:rFonts w:ascii="Century Gothic" w:hAnsi="Century Gothic"/>
          <w:bCs/>
          <w:color w:val="000000"/>
          <w:szCs w:val="32"/>
          <w:lang w:val="es-MX"/>
        </w:rPr>
        <w:t xml:space="preserve">Derecho </w:t>
      </w:r>
      <w:r w:rsidR="005A675C">
        <w:rPr>
          <w:rFonts w:ascii="Century Gothic" w:hAnsi="Century Gothic"/>
          <w:bCs/>
          <w:color w:val="000000"/>
          <w:szCs w:val="32"/>
          <w:lang w:val="es-MX"/>
        </w:rPr>
        <w:t>de</w:t>
      </w:r>
      <w:r w:rsidR="005A71B3" w:rsidRPr="005A71B3">
        <w:rPr>
          <w:rFonts w:ascii="Century Gothic" w:hAnsi="Century Gothic"/>
          <w:bCs/>
          <w:color w:val="000000"/>
          <w:szCs w:val="32"/>
          <w:lang w:val="es-MX"/>
        </w:rPr>
        <w:t xml:space="preserve"> las Mujeres a una Vida Libre de Violencia</w:t>
      </w:r>
      <w:r w:rsidR="00FC0628">
        <w:rPr>
          <w:rFonts w:ascii="Century Gothic" w:hAnsi="Century Gothic"/>
          <w:bCs/>
          <w:color w:val="000000"/>
          <w:szCs w:val="32"/>
          <w:lang w:val="es-MX"/>
        </w:rPr>
        <w:t xml:space="preserve">, </w:t>
      </w:r>
      <w:r w:rsidRPr="00393203">
        <w:rPr>
          <w:rFonts w:ascii="Century Gothic" w:hAnsi="Century Gothic"/>
          <w:bCs/>
          <w:color w:val="000000"/>
          <w:szCs w:val="32"/>
          <w:lang w:val="es-MX"/>
        </w:rPr>
        <w:t xml:space="preserve">para quedar redactado de la siguiente manera:  </w:t>
      </w:r>
    </w:p>
    <w:p w14:paraId="031E46C3" w14:textId="77777777" w:rsidR="005A71B3" w:rsidRPr="00393203" w:rsidRDefault="005A71B3" w:rsidP="005A71B3">
      <w:pPr>
        <w:spacing w:after="200" w:line="360" w:lineRule="auto"/>
        <w:ind w:right="51"/>
        <w:contextualSpacing/>
        <w:jc w:val="both"/>
        <w:rPr>
          <w:rFonts w:ascii="Century Gothic" w:hAnsi="Century Gothic"/>
          <w:bCs/>
          <w:color w:val="000000"/>
          <w:szCs w:val="32"/>
          <w:lang w:val="es-MX"/>
        </w:rPr>
      </w:pPr>
    </w:p>
    <w:p w14:paraId="27327AAA" w14:textId="57602021" w:rsidR="00393203" w:rsidRDefault="00393203" w:rsidP="00393203">
      <w:pPr>
        <w:spacing w:after="200" w:line="360" w:lineRule="auto"/>
        <w:ind w:right="51"/>
        <w:contextualSpacing/>
        <w:jc w:val="both"/>
        <w:rPr>
          <w:rFonts w:ascii="Century Gothic" w:hAnsi="Century Gothic"/>
          <w:bCs/>
          <w:color w:val="000000"/>
          <w:szCs w:val="32"/>
          <w:lang w:val="es-MX"/>
        </w:rPr>
      </w:pPr>
      <w:r w:rsidRPr="00393203">
        <w:rPr>
          <w:rFonts w:ascii="Century Gothic" w:hAnsi="Century Gothic"/>
          <w:b/>
          <w:color w:val="000000"/>
          <w:szCs w:val="32"/>
          <w:lang w:val="es-MX"/>
        </w:rPr>
        <w:t xml:space="preserve">ARTÍCULO 6. </w:t>
      </w:r>
      <w:r w:rsidR="005A71B3" w:rsidRPr="00081B60">
        <w:rPr>
          <w:rFonts w:ascii="Century Gothic" w:hAnsi="Century Gothic"/>
          <w:bCs/>
          <w:color w:val="000000"/>
          <w:szCs w:val="32"/>
          <w:lang w:val="es-MX"/>
        </w:rPr>
        <w:t>...</w:t>
      </w:r>
    </w:p>
    <w:p w14:paraId="1DBD8515" w14:textId="77777777" w:rsidR="005A71B3" w:rsidRPr="00393203" w:rsidRDefault="005A71B3" w:rsidP="00393203">
      <w:pPr>
        <w:spacing w:after="200" w:line="360" w:lineRule="auto"/>
        <w:ind w:right="51"/>
        <w:contextualSpacing/>
        <w:jc w:val="both"/>
        <w:rPr>
          <w:rFonts w:ascii="Century Gothic" w:hAnsi="Century Gothic"/>
          <w:b/>
          <w:color w:val="000000"/>
          <w:szCs w:val="32"/>
          <w:lang w:val="es-MX"/>
        </w:rPr>
      </w:pPr>
    </w:p>
    <w:p w14:paraId="56989F14" w14:textId="77777777" w:rsidR="00393203" w:rsidRPr="00393203" w:rsidRDefault="00393203" w:rsidP="005A71B3">
      <w:pPr>
        <w:spacing w:after="200" w:line="360" w:lineRule="auto"/>
        <w:ind w:left="993" w:right="51" w:hanging="426"/>
        <w:contextualSpacing/>
        <w:jc w:val="both"/>
        <w:rPr>
          <w:rFonts w:ascii="Century Gothic" w:hAnsi="Century Gothic"/>
          <w:bCs/>
          <w:color w:val="000000"/>
          <w:szCs w:val="32"/>
          <w:lang w:val="es-MX"/>
        </w:rPr>
      </w:pPr>
      <w:r w:rsidRPr="00393203">
        <w:rPr>
          <w:rFonts w:ascii="Century Gothic" w:hAnsi="Century Gothic"/>
          <w:bCs/>
          <w:color w:val="000000"/>
          <w:szCs w:val="32"/>
          <w:lang w:val="es-MX"/>
        </w:rPr>
        <w:t>I. a IV. ...</w:t>
      </w:r>
    </w:p>
    <w:p w14:paraId="381B9B82" w14:textId="77777777" w:rsidR="00393203" w:rsidRPr="00393203" w:rsidRDefault="00393203" w:rsidP="005A71B3">
      <w:pPr>
        <w:spacing w:after="200" w:line="360" w:lineRule="auto"/>
        <w:ind w:left="993" w:right="51" w:hanging="426"/>
        <w:contextualSpacing/>
        <w:jc w:val="both"/>
        <w:rPr>
          <w:rFonts w:ascii="Century Gothic" w:hAnsi="Century Gothic"/>
          <w:bCs/>
          <w:color w:val="000000"/>
          <w:szCs w:val="32"/>
          <w:lang w:val="es-MX"/>
        </w:rPr>
      </w:pPr>
    </w:p>
    <w:p w14:paraId="52B3BDF2" w14:textId="6BF5DBB3" w:rsidR="00393203" w:rsidRDefault="00393203" w:rsidP="00081B60">
      <w:pPr>
        <w:spacing w:after="200"/>
        <w:ind w:left="992" w:right="51" w:hanging="426"/>
        <w:contextualSpacing/>
        <w:jc w:val="both"/>
        <w:rPr>
          <w:rFonts w:ascii="Century Gothic" w:hAnsi="Century Gothic"/>
          <w:b/>
          <w:bCs/>
          <w:color w:val="000000"/>
          <w:szCs w:val="32"/>
          <w:lang w:val="es-MX"/>
        </w:rPr>
      </w:pPr>
      <w:r w:rsidRPr="00393203">
        <w:rPr>
          <w:rFonts w:ascii="Century Gothic" w:hAnsi="Century Gothic"/>
          <w:color w:val="000000"/>
          <w:szCs w:val="32"/>
          <w:lang w:val="es-MX"/>
        </w:rPr>
        <w:t>V.</w:t>
      </w:r>
      <w:r w:rsidRPr="00393203">
        <w:rPr>
          <w:rFonts w:ascii="Century Gothic" w:hAnsi="Century Gothic"/>
          <w:b/>
          <w:bCs/>
          <w:color w:val="000000"/>
          <w:szCs w:val="32"/>
          <w:lang w:val="es-MX"/>
        </w:rPr>
        <w:t xml:space="preserve"> </w:t>
      </w:r>
      <w:r w:rsidRPr="00393203">
        <w:rPr>
          <w:rFonts w:ascii="Century Gothic" w:hAnsi="Century Gothic"/>
          <w:b/>
          <w:color w:val="000000"/>
          <w:szCs w:val="32"/>
          <w:lang w:val="es-MX"/>
        </w:rPr>
        <w:t>Violencia Feminicida:</w:t>
      </w:r>
      <w:r w:rsidRPr="00393203">
        <w:rPr>
          <w:rFonts w:ascii="Century Gothic" w:hAnsi="Century Gothic"/>
          <w:bCs/>
          <w:color w:val="000000"/>
          <w:szCs w:val="32"/>
          <w:lang w:val="es-MX"/>
        </w:rPr>
        <w:t xml:space="preserve"> Es la forma extrema de violencia de género contra las mujeres, producto de la violación de sus derechos humanos</w:t>
      </w:r>
      <w:r w:rsidRPr="00393203">
        <w:rPr>
          <w:rFonts w:ascii="Century Gothic" w:hAnsi="Century Gothic"/>
          <w:b/>
          <w:bCs/>
          <w:color w:val="000000"/>
          <w:szCs w:val="32"/>
          <w:lang w:val="es-MX"/>
        </w:rPr>
        <w:t xml:space="preserve">. </w:t>
      </w:r>
    </w:p>
    <w:p w14:paraId="51FA4D53" w14:textId="77777777" w:rsidR="00081B60" w:rsidRPr="00393203" w:rsidRDefault="00081B60" w:rsidP="00081B60">
      <w:pPr>
        <w:spacing w:after="200"/>
        <w:ind w:left="992" w:right="51" w:hanging="426"/>
        <w:contextualSpacing/>
        <w:jc w:val="both"/>
        <w:rPr>
          <w:rFonts w:ascii="Century Gothic" w:hAnsi="Century Gothic"/>
          <w:b/>
          <w:bCs/>
          <w:color w:val="000000"/>
          <w:szCs w:val="32"/>
          <w:lang w:val="es-MX"/>
        </w:rPr>
      </w:pPr>
    </w:p>
    <w:p w14:paraId="548ADE81" w14:textId="0AA72A1C" w:rsidR="00393203" w:rsidRDefault="00393203" w:rsidP="00081B60">
      <w:pPr>
        <w:spacing w:after="200"/>
        <w:ind w:left="992" w:right="51"/>
        <w:contextualSpacing/>
        <w:jc w:val="both"/>
        <w:rPr>
          <w:rFonts w:ascii="Century Gothic" w:hAnsi="Century Gothic"/>
          <w:b/>
          <w:bCs/>
          <w:color w:val="000000"/>
          <w:szCs w:val="32"/>
          <w:lang w:val="es-MX"/>
        </w:rPr>
      </w:pPr>
      <w:r w:rsidRPr="00393203">
        <w:rPr>
          <w:rFonts w:ascii="Century Gothic" w:hAnsi="Century Gothic"/>
          <w:b/>
          <w:bCs/>
          <w:color w:val="000000"/>
          <w:szCs w:val="32"/>
          <w:lang w:val="es-MX"/>
        </w:rPr>
        <w:t>Se manifiesta a través de conductas de odio y discriminación, afectando la integridad, la seguridad, la libertad personal o el libre desarrollo de las mujeres, las adolescentes y las niñas, poniendo en riesgo sus vidas, o culminando en muertes violentas como el feminicidio o el suicidio.</w:t>
      </w:r>
    </w:p>
    <w:p w14:paraId="4A071F7B" w14:textId="77777777" w:rsidR="005A71B3" w:rsidRPr="00393203" w:rsidRDefault="005A71B3" w:rsidP="005A71B3">
      <w:pPr>
        <w:spacing w:after="200" w:line="360" w:lineRule="auto"/>
        <w:ind w:left="993" w:right="51" w:hanging="426"/>
        <w:contextualSpacing/>
        <w:jc w:val="both"/>
        <w:rPr>
          <w:rFonts w:ascii="Century Gothic" w:hAnsi="Century Gothic"/>
          <w:b/>
          <w:bCs/>
          <w:color w:val="000000"/>
          <w:szCs w:val="32"/>
          <w:lang w:val="es-MX"/>
        </w:rPr>
      </w:pPr>
    </w:p>
    <w:p w14:paraId="6E86E2C9" w14:textId="77777777" w:rsidR="00393203" w:rsidRPr="00393203" w:rsidRDefault="00393203" w:rsidP="005A71B3">
      <w:pPr>
        <w:spacing w:after="200" w:line="360" w:lineRule="auto"/>
        <w:ind w:left="993" w:right="51" w:hanging="426"/>
        <w:contextualSpacing/>
        <w:jc w:val="both"/>
        <w:rPr>
          <w:rFonts w:ascii="Century Gothic" w:hAnsi="Century Gothic"/>
          <w:bCs/>
          <w:color w:val="000000"/>
          <w:szCs w:val="32"/>
          <w:lang w:val="es-MX"/>
        </w:rPr>
      </w:pPr>
      <w:r w:rsidRPr="00393203">
        <w:rPr>
          <w:rFonts w:ascii="Century Gothic" w:hAnsi="Century Gothic"/>
          <w:bCs/>
          <w:color w:val="000000"/>
          <w:szCs w:val="32"/>
          <w:lang w:val="es-MX"/>
        </w:rPr>
        <w:t>VI. a VII. ...</w:t>
      </w:r>
    </w:p>
    <w:p w14:paraId="39D2516F" w14:textId="77777777" w:rsidR="00393203" w:rsidRPr="00393203" w:rsidRDefault="00393203" w:rsidP="00393203">
      <w:pPr>
        <w:spacing w:after="200" w:line="360" w:lineRule="auto"/>
        <w:ind w:right="51"/>
        <w:contextualSpacing/>
        <w:jc w:val="both"/>
        <w:rPr>
          <w:rFonts w:ascii="Century Gothic" w:hAnsi="Century Gothic"/>
          <w:bCs/>
          <w:color w:val="000000"/>
          <w:szCs w:val="32"/>
        </w:rPr>
      </w:pPr>
    </w:p>
    <w:p w14:paraId="108AE0A2" w14:textId="05274D4A" w:rsidR="007627DC" w:rsidRPr="007627DC" w:rsidRDefault="007627DC" w:rsidP="007627DC">
      <w:pPr>
        <w:spacing w:line="360" w:lineRule="auto"/>
        <w:ind w:left="567" w:right="48"/>
        <w:jc w:val="center"/>
        <w:rPr>
          <w:rFonts w:ascii="Century Gothic" w:hAnsi="Century Gothic"/>
          <w:b/>
          <w:bCs/>
          <w:color w:val="000000"/>
          <w:spacing w:val="20"/>
          <w:sz w:val="28"/>
          <w:lang w:val="es-MX"/>
        </w:rPr>
      </w:pPr>
      <w:r w:rsidRPr="007627DC">
        <w:rPr>
          <w:rFonts w:ascii="Century Gothic" w:hAnsi="Century Gothic"/>
          <w:b/>
          <w:bCs/>
          <w:color w:val="000000"/>
          <w:spacing w:val="20"/>
          <w:sz w:val="28"/>
          <w:lang w:val="es-MX"/>
        </w:rPr>
        <w:t>T</w:t>
      </w:r>
      <w:r w:rsidR="005C27C9">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R</w:t>
      </w:r>
      <w:r w:rsidR="005C27C9">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A</w:t>
      </w:r>
      <w:r w:rsidR="005C27C9">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N</w:t>
      </w:r>
      <w:r w:rsidR="005C27C9">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S</w:t>
      </w:r>
      <w:r w:rsidR="005C27C9">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I</w:t>
      </w:r>
      <w:r w:rsidR="005C27C9">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T</w:t>
      </w:r>
      <w:r w:rsidR="005C27C9">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OR</w:t>
      </w:r>
      <w:r w:rsidR="005C27C9">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I</w:t>
      </w:r>
      <w:r w:rsidR="005C27C9">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O</w:t>
      </w:r>
    </w:p>
    <w:p w14:paraId="3AD852E9" w14:textId="77777777" w:rsidR="007627DC" w:rsidRPr="007627DC" w:rsidRDefault="007627DC" w:rsidP="007627DC">
      <w:pPr>
        <w:spacing w:line="360" w:lineRule="auto"/>
        <w:ind w:left="567" w:right="48"/>
        <w:jc w:val="center"/>
        <w:rPr>
          <w:rFonts w:ascii="Century Gothic" w:hAnsi="Century Gothic"/>
          <w:b/>
          <w:bCs/>
          <w:color w:val="000000"/>
          <w:spacing w:val="20"/>
          <w:lang w:val="es-MX"/>
        </w:rPr>
      </w:pPr>
    </w:p>
    <w:p w14:paraId="17F186FE" w14:textId="77777777" w:rsidR="007627DC" w:rsidRPr="007627DC" w:rsidRDefault="007627DC" w:rsidP="007627DC">
      <w:pPr>
        <w:tabs>
          <w:tab w:val="left" w:pos="8080"/>
        </w:tabs>
        <w:spacing w:line="360" w:lineRule="auto"/>
        <w:ind w:right="49"/>
        <w:jc w:val="both"/>
        <w:rPr>
          <w:rFonts w:ascii="Century Gothic" w:hAnsi="Century Gothic"/>
          <w:bCs/>
          <w:color w:val="000000"/>
          <w:lang w:val="es-MX"/>
        </w:rPr>
      </w:pPr>
      <w:r w:rsidRPr="007627DC">
        <w:rPr>
          <w:rFonts w:ascii="Century Gothic" w:hAnsi="Century Gothic"/>
          <w:b/>
          <w:bCs/>
          <w:color w:val="000000"/>
          <w:sz w:val="28"/>
          <w:lang w:val="es-MX"/>
        </w:rPr>
        <w:t xml:space="preserve">ARTÍCULO </w:t>
      </w:r>
      <w:proofErr w:type="gramStart"/>
      <w:r w:rsidRPr="007627DC">
        <w:rPr>
          <w:rFonts w:ascii="Century Gothic" w:hAnsi="Century Gothic"/>
          <w:b/>
          <w:bCs/>
          <w:color w:val="000000"/>
          <w:sz w:val="28"/>
          <w:lang w:val="es-MX"/>
        </w:rPr>
        <w:t>ÚNICO.-</w:t>
      </w:r>
      <w:proofErr w:type="gramEnd"/>
      <w:r w:rsidRPr="007627DC">
        <w:rPr>
          <w:rFonts w:ascii="Century Gothic" w:hAnsi="Century Gothic"/>
          <w:bCs/>
          <w:color w:val="000000"/>
          <w:sz w:val="28"/>
          <w:lang w:val="es-MX"/>
        </w:rPr>
        <w:t xml:space="preserve"> </w:t>
      </w:r>
      <w:r w:rsidRPr="007627DC">
        <w:rPr>
          <w:rFonts w:ascii="Century Gothic" w:hAnsi="Century Gothic"/>
          <w:bCs/>
          <w:color w:val="000000"/>
          <w:lang w:val="es-MX"/>
        </w:rPr>
        <w:t>El presente Decreto entrará en vigor al día siguiente de su publicación en el Periódico Oficial del Estado.</w:t>
      </w:r>
    </w:p>
    <w:p w14:paraId="27D489A7" w14:textId="77777777" w:rsidR="007627DC" w:rsidRPr="007627DC" w:rsidRDefault="007627DC" w:rsidP="007627DC">
      <w:pPr>
        <w:spacing w:line="360" w:lineRule="auto"/>
        <w:ind w:right="332"/>
        <w:jc w:val="both"/>
        <w:rPr>
          <w:rFonts w:ascii="Century Gothic" w:hAnsi="Century Gothic"/>
          <w:bCs/>
          <w:color w:val="000000"/>
          <w:sz w:val="28"/>
          <w:szCs w:val="28"/>
          <w:lang w:val="es-MX"/>
        </w:rPr>
      </w:pPr>
    </w:p>
    <w:p w14:paraId="1FB19B2B" w14:textId="77777777" w:rsidR="007627DC" w:rsidRPr="007627DC" w:rsidRDefault="007627DC" w:rsidP="007627DC">
      <w:pPr>
        <w:tabs>
          <w:tab w:val="left" w:pos="8080"/>
        </w:tabs>
        <w:spacing w:line="360" w:lineRule="auto"/>
        <w:ind w:right="49"/>
        <w:jc w:val="both"/>
        <w:rPr>
          <w:rFonts w:ascii="Century Gothic" w:hAnsi="Century Gothic"/>
          <w:color w:val="000000"/>
          <w:lang w:val="es-MX"/>
        </w:rPr>
      </w:pPr>
      <w:proofErr w:type="gramStart"/>
      <w:r w:rsidRPr="007627DC">
        <w:rPr>
          <w:rFonts w:ascii="Century Gothic" w:hAnsi="Century Gothic"/>
          <w:b/>
          <w:color w:val="000000"/>
          <w:lang w:val="es-MX"/>
        </w:rPr>
        <w:t>Económico.-</w:t>
      </w:r>
      <w:proofErr w:type="gramEnd"/>
      <w:r w:rsidRPr="007627DC">
        <w:rPr>
          <w:rFonts w:ascii="Century Gothic" w:hAnsi="Century Gothic"/>
          <w:color w:val="000000"/>
          <w:lang w:val="es-MX"/>
        </w:rPr>
        <w:t xml:space="preserve"> Aprobado que sea, túrnese a la Secretaría para los efectos legales correspondientes.</w:t>
      </w:r>
    </w:p>
    <w:p w14:paraId="7B9A8FBE" w14:textId="77777777" w:rsidR="007627DC" w:rsidRPr="007627DC" w:rsidRDefault="007627DC" w:rsidP="007627DC">
      <w:pPr>
        <w:tabs>
          <w:tab w:val="left" w:pos="8080"/>
        </w:tabs>
        <w:spacing w:line="360" w:lineRule="auto"/>
        <w:ind w:right="49"/>
        <w:jc w:val="both"/>
        <w:rPr>
          <w:rFonts w:ascii="Century Gothic" w:hAnsi="Century Gothic"/>
          <w:color w:val="000000"/>
          <w:lang w:val="es-MX"/>
        </w:rPr>
      </w:pPr>
    </w:p>
    <w:p w14:paraId="73896508" w14:textId="5E3D19A5" w:rsidR="007627DC" w:rsidRPr="007627DC" w:rsidRDefault="007627DC" w:rsidP="007627DC">
      <w:pPr>
        <w:tabs>
          <w:tab w:val="left" w:pos="8080"/>
        </w:tabs>
        <w:spacing w:line="360" w:lineRule="auto"/>
        <w:ind w:right="49"/>
        <w:jc w:val="both"/>
        <w:rPr>
          <w:rFonts w:ascii="Century Gothic" w:hAnsi="Century Gothic"/>
          <w:color w:val="000000"/>
          <w:lang w:val="es-MX"/>
        </w:rPr>
      </w:pPr>
      <w:r w:rsidRPr="007627DC">
        <w:rPr>
          <w:rFonts w:ascii="Century Gothic" w:hAnsi="Century Gothic"/>
          <w:b/>
          <w:color w:val="000000"/>
          <w:lang w:val="es-MX"/>
        </w:rPr>
        <w:t xml:space="preserve">D A D O </w:t>
      </w:r>
      <w:r w:rsidRPr="007627DC">
        <w:rPr>
          <w:rFonts w:ascii="Century Gothic" w:hAnsi="Century Gothic"/>
          <w:color w:val="000000"/>
          <w:lang w:val="es-MX"/>
        </w:rPr>
        <w:t xml:space="preserve">en el Salón de Sesiones del Poder Legislativo, en la ciudad de Chihuahua, Chihuahua, a los </w:t>
      </w:r>
      <w:r w:rsidR="00917AD3">
        <w:rPr>
          <w:rFonts w:ascii="Century Gothic" w:hAnsi="Century Gothic"/>
          <w:color w:val="000000"/>
          <w:lang w:val="es-MX"/>
        </w:rPr>
        <w:t>07</w:t>
      </w:r>
      <w:r w:rsidRPr="007627DC">
        <w:rPr>
          <w:rFonts w:ascii="Century Gothic" w:hAnsi="Century Gothic"/>
          <w:color w:val="000000"/>
          <w:lang w:val="es-MX"/>
        </w:rPr>
        <w:t xml:space="preserve"> días del mes de </w:t>
      </w:r>
      <w:r w:rsidR="00917AD3">
        <w:rPr>
          <w:rFonts w:ascii="Century Gothic" w:hAnsi="Century Gothic"/>
          <w:color w:val="000000"/>
          <w:lang w:val="es-MX"/>
        </w:rPr>
        <w:t>abril</w:t>
      </w:r>
      <w:r w:rsidRPr="007627DC">
        <w:rPr>
          <w:rFonts w:ascii="Century Gothic" w:hAnsi="Century Gothic"/>
          <w:color w:val="000000"/>
          <w:lang w:val="es-MX"/>
        </w:rPr>
        <w:t xml:space="preserve"> del año 202</w:t>
      </w:r>
      <w:r w:rsidR="00FC1D12">
        <w:rPr>
          <w:rFonts w:ascii="Century Gothic" w:hAnsi="Century Gothic"/>
          <w:color w:val="000000"/>
          <w:lang w:val="es-MX"/>
        </w:rPr>
        <w:t>6</w:t>
      </w:r>
      <w:r w:rsidRPr="007627DC">
        <w:rPr>
          <w:rFonts w:ascii="Century Gothic" w:hAnsi="Century Gothic"/>
          <w:color w:val="000000"/>
          <w:lang w:val="es-MX"/>
        </w:rPr>
        <w:t>.</w:t>
      </w:r>
    </w:p>
    <w:p w14:paraId="2C96B1BD" w14:textId="2C2D7468" w:rsidR="00BD48CC" w:rsidRDefault="00BD48CC" w:rsidP="007627DC">
      <w:pPr>
        <w:ind w:right="-94"/>
        <w:jc w:val="center"/>
        <w:rPr>
          <w:rFonts w:ascii="Century Gothic" w:eastAsia="Arial" w:hAnsi="Century Gothic" w:cs="Arial"/>
          <w:b/>
          <w:color w:val="000000"/>
          <w:szCs w:val="20"/>
          <w:lang w:val="es-MX" w:eastAsia="es-MX"/>
        </w:rPr>
      </w:pPr>
    </w:p>
    <w:p w14:paraId="66D77DF7" w14:textId="0A754731" w:rsidR="00BD48CC" w:rsidRDefault="00BD48CC" w:rsidP="007627DC">
      <w:pPr>
        <w:ind w:right="-94"/>
        <w:jc w:val="center"/>
        <w:rPr>
          <w:rFonts w:ascii="Century Gothic" w:eastAsia="Arial" w:hAnsi="Century Gothic" w:cs="Arial"/>
          <w:b/>
          <w:color w:val="000000"/>
          <w:szCs w:val="20"/>
          <w:lang w:val="es-MX" w:eastAsia="es-MX"/>
        </w:rPr>
      </w:pPr>
    </w:p>
    <w:p w14:paraId="5038D4B4" w14:textId="2F44D62F" w:rsidR="00081B60" w:rsidRDefault="00081B60" w:rsidP="007627DC">
      <w:pPr>
        <w:ind w:right="-94"/>
        <w:jc w:val="center"/>
        <w:rPr>
          <w:rFonts w:ascii="Century Gothic" w:eastAsia="Arial" w:hAnsi="Century Gothic" w:cs="Arial"/>
          <w:b/>
          <w:color w:val="000000"/>
          <w:szCs w:val="20"/>
          <w:lang w:val="es-MX" w:eastAsia="es-MX"/>
        </w:rPr>
      </w:pPr>
    </w:p>
    <w:p w14:paraId="7ED985EA" w14:textId="79F34EBA" w:rsidR="00081B60" w:rsidRDefault="00081B60" w:rsidP="007627DC">
      <w:pPr>
        <w:ind w:right="-94"/>
        <w:jc w:val="center"/>
        <w:rPr>
          <w:rFonts w:ascii="Century Gothic" w:eastAsia="Arial" w:hAnsi="Century Gothic" w:cs="Arial"/>
          <w:b/>
          <w:color w:val="000000"/>
          <w:szCs w:val="20"/>
          <w:lang w:val="es-MX" w:eastAsia="es-MX"/>
        </w:rPr>
      </w:pPr>
    </w:p>
    <w:p w14:paraId="062024FE" w14:textId="1A37DBA6" w:rsidR="00081B60" w:rsidRDefault="00081B60" w:rsidP="007627DC">
      <w:pPr>
        <w:ind w:right="-94"/>
        <w:jc w:val="center"/>
        <w:rPr>
          <w:rFonts w:ascii="Century Gothic" w:eastAsia="Arial" w:hAnsi="Century Gothic" w:cs="Arial"/>
          <w:b/>
          <w:color w:val="000000"/>
          <w:szCs w:val="20"/>
          <w:lang w:val="es-MX" w:eastAsia="es-MX"/>
        </w:rPr>
      </w:pPr>
    </w:p>
    <w:p w14:paraId="6BF22BB2" w14:textId="448334F0" w:rsidR="00081B60" w:rsidRDefault="00081B60" w:rsidP="007627DC">
      <w:pPr>
        <w:ind w:right="-94"/>
        <w:jc w:val="center"/>
        <w:rPr>
          <w:rFonts w:ascii="Century Gothic" w:eastAsia="Arial" w:hAnsi="Century Gothic" w:cs="Arial"/>
          <w:b/>
          <w:color w:val="000000"/>
          <w:szCs w:val="20"/>
          <w:lang w:val="es-MX" w:eastAsia="es-MX"/>
        </w:rPr>
      </w:pPr>
    </w:p>
    <w:p w14:paraId="7892BCF7" w14:textId="30685182" w:rsidR="00081B60" w:rsidRDefault="00081B60" w:rsidP="007627DC">
      <w:pPr>
        <w:ind w:right="-94"/>
        <w:jc w:val="center"/>
        <w:rPr>
          <w:rFonts w:ascii="Century Gothic" w:eastAsia="Arial" w:hAnsi="Century Gothic" w:cs="Arial"/>
          <w:b/>
          <w:color w:val="000000"/>
          <w:szCs w:val="20"/>
          <w:lang w:val="es-MX" w:eastAsia="es-MX"/>
        </w:rPr>
      </w:pPr>
    </w:p>
    <w:p w14:paraId="2D0BB2C8" w14:textId="34D6723B" w:rsidR="00081B60" w:rsidRDefault="00081B60" w:rsidP="007627DC">
      <w:pPr>
        <w:ind w:right="-94"/>
        <w:jc w:val="center"/>
        <w:rPr>
          <w:rFonts w:ascii="Century Gothic" w:eastAsia="Arial" w:hAnsi="Century Gothic" w:cs="Arial"/>
          <w:b/>
          <w:color w:val="000000"/>
          <w:szCs w:val="20"/>
          <w:lang w:val="es-MX" w:eastAsia="es-MX"/>
        </w:rPr>
      </w:pPr>
    </w:p>
    <w:p w14:paraId="21E91787" w14:textId="06386492" w:rsidR="00081B60" w:rsidRDefault="00081B60" w:rsidP="007627DC">
      <w:pPr>
        <w:ind w:right="-94"/>
        <w:jc w:val="center"/>
        <w:rPr>
          <w:rFonts w:ascii="Century Gothic" w:eastAsia="Arial" w:hAnsi="Century Gothic" w:cs="Arial"/>
          <w:b/>
          <w:color w:val="000000"/>
          <w:szCs w:val="20"/>
          <w:lang w:val="es-MX" w:eastAsia="es-MX"/>
        </w:rPr>
      </w:pPr>
    </w:p>
    <w:p w14:paraId="3C76F64D" w14:textId="3AD3C9D4" w:rsidR="00081B60" w:rsidRDefault="00081B60" w:rsidP="007627DC">
      <w:pPr>
        <w:ind w:right="-94"/>
        <w:jc w:val="center"/>
        <w:rPr>
          <w:rFonts w:ascii="Century Gothic" w:eastAsia="Arial" w:hAnsi="Century Gothic" w:cs="Arial"/>
          <w:b/>
          <w:color w:val="000000"/>
          <w:szCs w:val="20"/>
          <w:lang w:val="es-MX" w:eastAsia="es-MX"/>
        </w:rPr>
      </w:pPr>
    </w:p>
    <w:p w14:paraId="69F2AC65" w14:textId="1DCC8B7D" w:rsidR="00081B60" w:rsidRDefault="00081B60" w:rsidP="007627DC">
      <w:pPr>
        <w:ind w:right="-94"/>
        <w:jc w:val="center"/>
        <w:rPr>
          <w:rFonts w:ascii="Century Gothic" w:eastAsia="Arial" w:hAnsi="Century Gothic" w:cs="Arial"/>
          <w:b/>
          <w:color w:val="000000"/>
          <w:szCs w:val="20"/>
          <w:lang w:val="es-MX" w:eastAsia="es-MX"/>
        </w:rPr>
      </w:pPr>
    </w:p>
    <w:p w14:paraId="4B100A5C" w14:textId="416A3DFE" w:rsidR="00081B60" w:rsidRDefault="00081B60" w:rsidP="007627DC">
      <w:pPr>
        <w:ind w:right="-94"/>
        <w:jc w:val="center"/>
        <w:rPr>
          <w:rFonts w:ascii="Century Gothic" w:eastAsia="Arial" w:hAnsi="Century Gothic" w:cs="Arial"/>
          <w:b/>
          <w:color w:val="000000"/>
          <w:szCs w:val="20"/>
          <w:lang w:val="es-MX" w:eastAsia="es-MX"/>
        </w:rPr>
      </w:pPr>
    </w:p>
    <w:p w14:paraId="23D9198F" w14:textId="5AB64615" w:rsidR="00081B60" w:rsidRDefault="00081B60" w:rsidP="007627DC">
      <w:pPr>
        <w:ind w:right="-94"/>
        <w:jc w:val="center"/>
        <w:rPr>
          <w:rFonts w:ascii="Century Gothic" w:eastAsia="Arial" w:hAnsi="Century Gothic" w:cs="Arial"/>
          <w:b/>
          <w:color w:val="000000"/>
          <w:szCs w:val="20"/>
          <w:lang w:val="es-MX" w:eastAsia="es-MX"/>
        </w:rPr>
      </w:pPr>
    </w:p>
    <w:p w14:paraId="1DAB8A3E" w14:textId="58E3349A" w:rsidR="00081B60" w:rsidRDefault="00081B60" w:rsidP="007627DC">
      <w:pPr>
        <w:ind w:right="-94"/>
        <w:jc w:val="center"/>
        <w:rPr>
          <w:rFonts w:ascii="Century Gothic" w:eastAsia="Arial" w:hAnsi="Century Gothic" w:cs="Arial"/>
          <w:b/>
          <w:color w:val="000000"/>
          <w:szCs w:val="20"/>
          <w:lang w:val="es-MX" w:eastAsia="es-MX"/>
        </w:rPr>
      </w:pPr>
    </w:p>
    <w:p w14:paraId="1F65EE1C" w14:textId="246C6CCF" w:rsidR="00081B60" w:rsidRDefault="00081B60" w:rsidP="007627DC">
      <w:pPr>
        <w:ind w:right="-94"/>
        <w:jc w:val="center"/>
        <w:rPr>
          <w:rFonts w:ascii="Century Gothic" w:eastAsia="Arial" w:hAnsi="Century Gothic" w:cs="Arial"/>
          <w:b/>
          <w:color w:val="000000"/>
          <w:szCs w:val="20"/>
          <w:lang w:val="es-MX" w:eastAsia="es-MX"/>
        </w:rPr>
      </w:pPr>
    </w:p>
    <w:p w14:paraId="6E97035C" w14:textId="3268C92C" w:rsidR="00081B60" w:rsidRDefault="00081B60" w:rsidP="007627DC">
      <w:pPr>
        <w:ind w:right="-94"/>
        <w:jc w:val="center"/>
        <w:rPr>
          <w:rFonts w:ascii="Century Gothic" w:eastAsia="Arial" w:hAnsi="Century Gothic" w:cs="Arial"/>
          <w:b/>
          <w:color w:val="000000"/>
          <w:szCs w:val="20"/>
          <w:lang w:val="es-MX" w:eastAsia="es-MX"/>
        </w:rPr>
      </w:pPr>
    </w:p>
    <w:p w14:paraId="78FA746C" w14:textId="3B515277" w:rsidR="00081B60" w:rsidRDefault="00081B60" w:rsidP="007627DC">
      <w:pPr>
        <w:ind w:right="-94"/>
        <w:jc w:val="center"/>
        <w:rPr>
          <w:rFonts w:ascii="Century Gothic" w:eastAsia="Arial" w:hAnsi="Century Gothic" w:cs="Arial"/>
          <w:b/>
          <w:color w:val="000000"/>
          <w:szCs w:val="20"/>
          <w:lang w:val="es-MX" w:eastAsia="es-MX"/>
        </w:rPr>
      </w:pPr>
    </w:p>
    <w:p w14:paraId="39D56331" w14:textId="4A4B1EF9" w:rsidR="00081B60" w:rsidRDefault="00081B60" w:rsidP="007627DC">
      <w:pPr>
        <w:ind w:right="-94"/>
        <w:jc w:val="center"/>
        <w:rPr>
          <w:rFonts w:ascii="Century Gothic" w:eastAsia="Arial" w:hAnsi="Century Gothic" w:cs="Arial"/>
          <w:b/>
          <w:color w:val="000000"/>
          <w:szCs w:val="20"/>
          <w:lang w:val="es-MX" w:eastAsia="es-MX"/>
        </w:rPr>
      </w:pPr>
    </w:p>
    <w:p w14:paraId="3EF01DEF" w14:textId="66B27A06" w:rsidR="00081B60" w:rsidRDefault="00081B60" w:rsidP="007627DC">
      <w:pPr>
        <w:ind w:right="-94"/>
        <w:jc w:val="center"/>
        <w:rPr>
          <w:rFonts w:ascii="Century Gothic" w:eastAsia="Arial" w:hAnsi="Century Gothic" w:cs="Arial"/>
          <w:b/>
          <w:color w:val="000000"/>
          <w:szCs w:val="20"/>
          <w:lang w:val="es-MX" w:eastAsia="es-MX"/>
        </w:rPr>
      </w:pPr>
    </w:p>
    <w:p w14:paraId="6800384E" w14:textId="6B7CF967" w:rsidR="005D10AD" w:rsidRDefault="005D10AD" w:rsidP="007627DC">
      <w:pPr>
        <w:ind w:right="-94"/>
        <w:jc w:val="center"/>
        <w:rPr>
          <w:rFonts w:ascii="Century Gothic" w:eastAsia="Arial" w:hAnsi="Century Gothic" w:cs="Arial"/>
          <w:b/>
          <w:color w:val="000000"/>
          <w:szCs w:val="20"/>
          <w:lang w:val="es-MX" w:eastAsia="es-MX"/>
        </w:rPr>
      </w:pPr>
    </w:p>
    <w:p w14:paraId="3478C1EE" w14:textId="77777777" w:rsidR="005D10AD" w:rsidRPr="007627DC" w:rsidRDefault="005D10AD" w:rsidP="007627DC">
      <w:pPr>
        <w:ind w:right="-94"/>
        <w:jc w:val="center"/>
        <w:rPr>
          <w:rFonts w:ascii="Century Gothic" w:eastAsia="Arial" w:hAnsi="Century Gothic" w:cs="Arial"/>
          <w:b/>
          <w:color w:val="000000"/>
          <w:szCs w:val="20"/>
          <w:lang w:val="es-MX" w:eastAsia="es-MX"/>
        </w:rPr>
      </w:pPr>
    </w:p>
    <w:p w14:paraId="11E2DF1B" w14:textId="77777777" w:rsidR="007627DC" w:rsidRPr="007627DC" w:rsidRDefault="007627DC" w:rsidP="007627DC">
      <w:pPr>
        <w:ind w:right="-94"/>
        <w:jc w:val="center"/>
        <w:rPr>
          <w:rFonts w:ascii="Century Gothic" w:eastAsia="Arial" w:hAnsi="Century Gothic" w:cs="Arial"/>
          <w:b/>
          <w:color w:val="000000"/>
          <w:szCs w:val="20"/>
          <w:lang w:val="es-MX" w:eastAsia="es-MX"/>
        </w:rPr>
      </w:pPr>
    </w:p>
    <w:p w14:paraId="60923155" w14:textId="7D450370" w:rsidR="008062B9" w:rsidRDefault="007627DC" w:rsidP="00AE2E96">
      <w:pPr>
        <w:ind w:right="-94"/>
        <w:jc w:val="center"/>
        <w:rPr>
          <w:rFonts w:ascii="Century Gothic" w:eastAsia="Arial" w:hAnsi="Century Gothic" w:cs="Arial"/>
          <w:b/>
          <w:color w:val="000000"/>
          <w:szCs w:val="20"/>
          <w:lang w:val="es-MX" w:eastAsia="es-MX"/>
        </w:rPr>
      </w:pPr>
      <w:r w:rsidRPr="007627DC">
        <w:rPr>
          <w:rFonts w:ascii="Century Gothic" w:eastAsia="Arial" w:hAnsi="Century Gothic" w:cs="Arial"/>
          <w:b/>
          <w:color w:val="000000"/>
          <w:szCs w:val="20"/>
          <w:lang w:val="es-MX" w:eastAsia="es-MX"/>
        </w:rPr>
        <w:lastRenderedPageBreak/>
        <w:t xml:space="preserve">Así lo aprobó la Comisión de </w:t>
      </w:r>
      <w:r w:rsidR="003F008C">
        <w:rPr>
          <w:rFonts w:ascii="Century Gothic" w:eastAsia="Arial" w:hAnsi="Century Gothic" w:cs="Arial"/>
          <w:b/>
          <w:color w:val="000000"/>
          <w:szCs w:val="20"/>
          <w:lang w:val="es-MX" w:eastAsia="es-MX"/>
        </w:rPr>
        <w:t>Feminicidios</w:t>
      </w:r>
      <w:r w:rsidRPr="007627DC">
        <w:rPr>
          <w:rFonts w:ascii="Century Gothic" w:eastAsia="Arial" w:hAnsi="Century Gothic" w:cs="Arial"/>
          <w:b/>
          <w:color w:val="000000"/>
          <w:szCs w:val="20"/>
          <w:lang w:val="es-MX" w:eastAsia="es-MX"/>
        </w:rPr>
        <w:t xml:space="preserve">, en la reunión de fecha </w:t>
      </w:r>
      <w:r w:rsidR="00917AD3">
        <w:rPr>
          <w:rFonts w:ascii="Century Gothic" w:eastAsia="Arial" w:hAnsi="Century Gothic" w:cs="Arial"/>
          <w:b/>
          <w:color w:val="000000"/>
          <w:szCs w:val="20"/>
          <w:lang w:val="es-MX" w:eastAsia="es-MX"/>
        </w:rPr>
        <w:t>31</w:t>
      </w:r>
      <w:r w:rsidRPr="007627DC">
        <w:rPr>
          <w:rFonts w:ascii="Century Gothic" w:eastAsia="Arial" w:hAnsi="Century Gothic" w:cs="Arial"/>
          <w:b/>
          <w:color w:val="000000"/>
          <w:szCs w:val="20"/>
          <w:lang w:val="es-MX" w:eastAsia="es-MX"/>
        </w:rPr>
        <w:t xml:space="preserve"> de </w:t>
      </w:r>
      <w:r w:rsidR="00917AD3">
        <w:rPr>
          <w:rFonts w:ascii="Century Gothic" w:eastAsia="Arial" w:hAnsi="Century Gothic" w:cs="Arial"/>
          <w:b/>
          <w:color w:val="000000"/>
          <w:szCs w:val="20"/>
          <w:lang w:val="es-MX" w:eastAsia="es-MX"/>
        </w:rPr>
        <w:t>marzo</w:t>
      </w:r>
      <w:r w:rsidR="00674316">
        <w:rPr>
          <w:rFonts w:ascii="Century Gothic" w:eastAsia="Arial" w:hAnsi="Century Gothic" w:cs="Arial"/>
          <w:b/>
          <w:color w:val="000000"/>
          <w:szCs w:val="20"/>
          <w:lang w:val="es-MX" w:eastAsia="es-MX"/>
        </w:rPr>
        <w:t xml:space="preserve"> </w:t>
      </w:r>
      <w:r w:rsidRPr="007627DC">
        <w:rPr>
          <w:rFonts w:ascii="Century Gothic" w:eastAsia="Arial" w:hAnsi="Century Gothic" w:cs="Arial"/>
          <w:b/>
          <w:color w:val="000000"/>
          <w:szCs w:val="20"/>
          <w:lang w:val="es-MX" w:eastAsia="es-MX"/>
        </w:rPr>
        <w:t>del año 202</w:t>
      </w:r>
      <w:r w:rsidR="00C104E7">
        <w:rPr>
          <w:rFonts w:ascii="Century Gothic" w:eastAsia="Arial" w:hAnsi="Century Gothic" w:cs="Arial"/>
          <w:b/>
          <w:color w:val="000000"/>
          <w:szCs w:val="20"/>
          <w:lang w:val="es-MX" w:eastAsia="es-MX"/>
        </w:rPr>
        <w:t>6</w:t>
      </w:r>
      <w:r w:rsidRPr="007627DC">
        <w:rPr>
          <w:rFonts w:ascii="Century Gothic" w:eastAsia="Arial" w:hAnsi="Century Gothic" w:cs="Arial"/>
          <w:b/>
          <w:color w:val="000000"/>
          <w:szCs w:val="20"/>
          <w:lang w:val="es-MX" w:eastAsia="es-MX"/>
        </w:rPr>
        <w:t>.</w:t>
      </w:r>
    </w:p>
    <w:p w14:paraId="01BA3F86" w14:textId="77777777" w:rsidR="00436954" w:rsidRDefault="00436954" w:rsidP="007627DC">
      <w:pPr>
        <w:ind w:right="-94"/>
        <w:jc w:val="center"/>
        <w:rPr>
          <w:rFonts w:ascii="Century Gothic" w:eastAsia="Arial" w:hAnsi="Century Gothic" w:cs="Arial"/>
          <w:b/>
          <w:color w:val="000000"/>
          <w:szCs w:val="20"/>
          <w:lang w:val="es-MX" w:eastAsia="es-MX"/>
        </w:rPr>
      </w:pPr>
    </w:p>
    <w:p w14:paraId="72050F67" w14:textId="472CD67B" w:rsidR="007627DC" w:rsidRDefault="007627DC" w:rsidP="007627DC">
      <w:pPr>
        <w:ind w:right="-94"/>
        <w:jc w:val="center"/>
        <w:rPr>
          <w:rFonts w:ascii="Century Gothic" w:eastAsia="Arial" w:hAnsi="Century Gothic" w:cs="Arial"/>
          <w:b/>
          <w:color w:val="000000"/>
          <w:szCs w:val="20"/>
          <w:lang w:val="es-MX" w:eastAsia="es-MX"/>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1842"/>
        <w:gridCol w:w="1843"/>
        <w:gridCol w:w="1843"/>
      </w:tblGrid>
      <w:tr w:rsidR="00C05ECD" w:rsidRPr="00C05ECD" w14:paraId="2C5152F3" w14:textId="77777777" w:rsidTr="008647A4">
        <w:tc>
          <w:tcPr>
            <w:tcW w:w="1242" w:type="dxa"/>
            <w:tcBorders>
              <w:top w:val="single" w:sz="4" w:space="0" w:color="auto"/>
              <w:left w:val="single" w:sz="4" w:space="0" w:color="auto"/>
              <w:bottom w:val="single" w:sz="4" w:space="0" w:color="auto"/>
              <w:right w:val="single" w:sz="4" w:space="0" w:color="auto"/>
            </w:tcBorders>
          </w:tcPr>
          <w:p w14:paraId="248A59A1" w14:textId="77777777" w:rsidR="00C05ECD" w:rsidRPr="00C05ECD" w:rsidRDefault="00C05ECD" w:rsidP="00C05ECD">
            <w:pPr>
              <w:spacing w:after="160" w:line="259" w:lineRule="auto"/>
              <w:rPr>
                <w:rFonts w:ascii="Century Gothic" w:eastAsia="Calibri" w:hAnsi="Century Gothic" w:cs="Arial"/>
                <w:b/>
                <w:sz w:val="22"/>
                <w:lang w:val="es-MX" w:eastAsia="en-US"/>
              </w:rPr>
            </w:pPr>
            <w:bookmarkStart w:id="3" w:name="_Hlk184721630"/>
          </w:p>
        </w:tc>
        <w:tc>
          <w:tcPr>
            <w:tcW w:w="2694" w:type="dxa"/>
            <w:tcBorders>
              <w:top w:val="single" w:sz="4" w:space="0" w:color="auto"/>
              <w:left w:val="single" w:sz="4" w:space="0" w:color="auto"/>
              <w:bottom w:val="single" w:sz="4" w:space="0" w:color="auto"/>
              <w:right w:val="single" w:sz="4" w:space="0" w:color="auto"/>
            </w:tcBorders>
          </w:tcPr>
          <w:p w14:paraId="6A9D38EC" w14:textId="77777777" w:rsidR="00C05ECD" w:rsidRPr="00C05ECD" w:rsidRDefault="00C05ECD" w:rsidP="00191865">
            <w:pPr>
              <w:spacing w:after="160" w:line="259"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INTEGRANTES</w:t>
            </w:r>
          </w:p>
        </w:tc>
        <w:tc>
          <w:tcPr>
            <w:tcW w:w="1842" w:type="dxa"/>
            <w:tcBorders>
              <w:top w:val="single" w:sz="4" w:space="0" w:color="auto"/>
              <w:left w:val="single" w:sz="4" w:space="0" w:color="auto"/>
              <w:bottom w:val="single" w:sz="4" w:space="0" w:color="auto"/>
              <w:right w:val="single" w:sz="4" w:space="0" w:color="auto"/>
            </w:tcBorders>
          </w:tcPr>
          <w:p w14:paraId="2C9DA1DB" w14:textId="77777777" w:rsidR="00C05ECD" w:rsidRPr="00C05ECD" w:rsidRDefault="00C05ECD" w:rsidP="00191865">
            <w:pPr>
              <w:spacing w:after="160" w:line="259"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A FAVOR</w:t>
            </w:r>
          </w:p>
        </w:tc>
        <w:tc>
          <w:tcPr>
            <w:tcW w:w="1843" w:type="dxa"/>
            <w:tcBorders>
              <w:top w:val="single" w:sz="4" w:space="0" w:color="auto"/>
              <w:left w:val="single" w:sz="4" w:space="0" w:color="auto"/>
              <w:bottom w:val="single" w:sz="4" w:space="0" w:color="auto"/>
              <w:right w:val="single" w:sz="4" w:space="0" w:color="auto"/>
            </w:tcBorders>
          </w:tcPr>
          <w:p w14:paraId="36572C85" w14:textId="77777777" w:rsidR="00C05ECD" w:rsidRPr="00C05ECD" w:rsidRDefault="00C05ECD" w:rsidP="00191865">
            <w:pPr>
              <w:spacing w:after="160" w:line="259"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EN CONTRA</w:t>
            </w:r>
          </w:p>
        </w:tc>
        <w:tc>
          <w:tcPr>
            <w:tcW w:w="1843" w:type="dxa"/>
            <w:tcBorders>
              <w:top w:val="single" w:sz="4" w:space="0" w:color="auto"/>
              <w:left w:val="single" w:sz="4" w:space="0" w:color="auto"/>
              <w:bottom w:val="single" w:sz="4" w:space="0" w:color="auto"/>
              <w:right w:val="single" w:sz="4" w:space="0" w:color="auto"/>
            </w:tcBorders>
          </w:tcPr>
          <w:p w14:paraId="4953BB9D" w14:textId="77777777" w:rsidR="00C05ECD" w:rsidRPr="00C05ECD" w:rsidRDefault="00C05ECD" w:rsidP="00191865">
            <w:pPr>
              <w:spacing w:after="160" w:line="259"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ABSTENCIÓN</w:t>
            </w:r>
          </w:p>
        </w:tc>
      </w:tr>
      <w:tr w:rsidR="00C05ECD" w:rsidRPr="00C05ECD" w14:paraId="69C49817" w14:textId="77777777" w:rsidTr="008647A4">
        <w:tc>
          <w:tcPr>
            <w:tcW w:w="1242" w:type="dxa"/>
            <w:tcBorders>
              <w:top w:val="single" w:sz="4" w:space="0" w:color="auto"/>
              <w:left w:val="single" w:sz="4" w:space="0" w:color="auto"/>
              <w:bottom w:val="single" w:sz="4" w:space="0" w:color="auto"/>
              <w:right w:val="single" w:sz="4" w:space="0" w:color="auto"/>
            </w:tcBorders>
          </w:tcPr>
          <w:p w14:paraId="46E7F0BF" w14:textId="77777777" w:rsidR="00C05ECD" w:rsidRPr="00C05ECD" w:rsidRDefault="00C05ECD" w:rsidP="00C05ECD">
            <w:pPr>
              <w:spacing w:after="160" w:line="259" w:lineRule="auto"/>
              <w:rPr>
                <w:rFonts w:ascii="Century Gothic" w:eastAsia="Calibri" w:hAnsi="Century Gothic" w:cs="Arial"/>
                <w:b/>
                <w:sz w:val="22"/>
                <w:lang w:val="es-MX" w:eastAsia="en-US"/>
              </w:rPr>
            </w:pPr>
            <w:r w:rsidRPr="00C05ECD">
              <w:rPr>
                <w:rFonts w:ascii="Century Gothic" w:eastAsia="Calibri" w:hAnsi="Century Gothic" w:cs="Arial"/>
                <w:b/>
                <w:noProof/>
                <w:sz w:val="22"/>
                <w:lang w:val="es-MX" w:eastAsia="en-US"/>
              </w:rPr>
              <w:drawing>
                <wp:inline distT="0" distB="0" distL="0" distR="0" wp14:anchorId="4A38AF03" wp14:editId="7B9EEF83">
                  <wp:extent cx="607060" cy="804545"/>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804545"/>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4B0B9944"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DIP. JAEL ARGÜELLES DÍAZ</w:t>
            </w:r>
          </w:p>
          <w:p w14:paraId="1703A34B"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PRESIDENTA</w:t>
            </w:r>
          </w:p>
        </w:tc>
        <w:tc>
          <w:tcPr>
            <w:tcW w:w="1842" w:type="dxa"/>
            <w:tcBorders>
              <w:top w:val="single" w:sz="4" w:space="0" w:color="auto"/>
              <w:left w:val="single" w:sz="4" w:space="0" w:color="auto"/>
              <w:bottom w:val="single" w:sz="4" w:space="0" w:color="auto"/>
              <w:right w:val="single" w:sz="4" w:space="0" w:color="auto"/>
            </w:tcBorders>
          </w:tcPr>
          <w:p w14:paraId="019C22B5"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5DEC1E8B"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465C9B74"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r>
      <w:tr w:rsidR="00C05ECD" w:rsidRPr="00C05ECD" w14:paraId="08DBB634" w14:textId="77777777" w:rsidTr="008647A4">
        <w:tc>
          <w:tcPr>
            <w:tcW w:w="1242" w:type="dxa"/>
            <w:tcBorders>
              <w:top w:val="single" w:sz="4" w:space="0" w:color="auto"/>
              <w:left w:val="single" w:sz="4" w:space="0" w:color="auto"/>
              <w:bottom w:val="single" w:sz="4" w:space="0" w:color="auto"/>
              <w:right w:val="single" w:sz="4" w:space="0" w:color="auto"/>
            </w:tcBorders>
          </w:tcPr>
          <w:p w14:paraId="76285DD0" w14:textId="501A5D5A" w:rsidR="00C05ECD" w:rsidRPr="00C05ECD" w:rsidRDefault="00C05ECD" w:rsidP="00C05ECD">
            <w:pPr>
              <w:spacing w:after="160" w:line="259" w:lineRule="auto"/>
              <w:rPr>
                <w:rFonts w:ascii="Century Gothic" w:eastAsia="Calibri" w:hAnsi="Century Gothic" w:cs="Arial"/>
                <w:b/>
                <w:sz w:val="22"/>
                <w:lang w:val="es-MX" w:eastAsia="en-US"/>
              </w:rPr>
            </w:pPr>
            <w:r w:rsidRPr="00C05ECD">
              <w:rPr>
                <w:rFonts w:ascii="Century Gothic" w:eastAsia="Calibri" w:hAnsi="Century Gothic" w:cs="Arial"/>
                <w:b/>
                <w:noProof/>
                <w:sz w:val="22"/>
                <w:lang w:val="es-MX" w:eastAsia="en-US"/>
              </w:rPr>
              <w:drawing>
                <wp:inline distT="0" distB="0" distL="0" distR="0" wp14:anchorId="1B57643C" wp14:editId="02AD1E27">
                  <wp:extent cx="615315" cy="8153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315" cy="815340"/>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05A3DDFE"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DIP. JOCELINE VEGA VARGAS</w:t>
            </w:r>
          </w:p>
          <w:p w14:paraId="7A87FC43"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SECRETARIA</w:t>
            </w:r>
          </w:p>
        </w:tc>
        <w:tc>
          <w:tcPr>
            <w:tcW w:w="1842" w:type="dxa"/>
            <w:tcBorders>
              <w:top w:val="single" w:sz="4" w:space="0" w:color="auto"/>
              <w:left w:val="single" w:sz="4" w:space="0" w:color="auto"/>
              <w:bottom w:val="single" w:sz="4" w:space="0" w:color="auto"/>
              <w:right w:val="single" w:sz="4" w:space="0" w:color="auto"/>
            </w:tcBorders>
          </w:tcPr>
          <w:p w14:paraId="4DE58FDF"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ACD4FD3"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317C4E7C"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r>
      <w:tr w:rsidR="00C05ECD" w:rsidRPr="00C05ECD" w14:paraId="442623AC" w14:textId="77777777" w:rsidTr="008647A4">
        <w:tc>
          <w:tcPr>
            <w:tcW w:w="1242" w:type="dxa"/>
            <w:tcBorders>
              <w:top w:val="single" w:sz="4" w:space="0" w:color="auto"/>
              <w:left w:val="single" w:sz="4" w:space="0" w:color="auto"/>
              <w:bottom w:val="single" w:sz="4" w:space="0" w:color="auto"/>
              <w:right w:val="single" w:sz="4" w:space="0" w:color="auto"/>
            </w:tcBorders>
          </w:tcPr>
          <w:p w14:paraId="6FE9A37B" w14:textId="77777777" w:rsidR="00C05ECD" w:rsidRPr="00C05ECD" w:rsidRDefault="00C05ECD" w:rsidP="00C05ECD">
            <w:pPr>
              <w:spacing w:after="160" w:line="259" w:lineRule="auto"/>
              <w:rPr>
                <w:rFonts w:ascii="Century Gothic" w:eastAsia="Calibri" w:hAnsi="Century Gothic" w:cs="Arial"/>
                <w:b/>
                <w:sz w:val="22"/>
                <w:lang w:val="es-MX" w:eastAsia="en-US"/>
              </w:rPr>
            </w:pPr>
            <w:r w:rsidRPr="00C05ECD">
              <w:rPr>
                <w:rFonts w:ascii="Century Gothic" w:eastAsia="Calibri" w:hAnsi="Century Gothic" w:cs="Arial"/>
                <w:b/>
                <w:noProof/>
                <w:sz w:val="22"/>
                <w:lang w:val="es-MX" w:eastAsia="en-US"/>
              </w:rPr>
              <w:drawing>
                <wp:inline distT="0" distB="0" distL="0" distR="0" wp14:anchorId="466A752A" wp14:editId="7D1DB289">
                  <wp:extent cx="634365" cy="8407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4365" cy="840740"/>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7131A788"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DIP. CARLA YAMILETH RIVAS MARTÍNEZ</w:t>
            </w:r>
          </w:p>
          <w:p w14:paraId="18F5045F"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0AB55CA6"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6AAFFF41"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CE04E3B"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r>
      <w:tr w:rsidR="00C05ECD" w:rsidRPr="00C05ECD" w14:paraId="1FF84985" w14:textId="77777777" w:rsidTr="008647A4">
        <w:tc>
          <w:tcPr>
            <w:tcW w:w="1242" w:type="dxa"/>
            <w:tcBorders>
              <w:top w:val="single" w:sz="4" w:space="0" w:color="auto"/>
              <w:left w:val="single" w:sz="4" w:space="0" w:color="auto"/>
              <w:bottom w:val="single" w:sz="4" w:space="0" w:color="auto"/>
              <w:right w:val="single" w:sz="4" w:space="0" w:color="auto"/>
            </w:tcBorders>
          </w:tcPr>
          <w:p w14:paraId="0633493E" w14:textId="77777777" w:rsidR="00C05ECD" w:rsidRPr="00C05ECD" w:rsidRDefault="00C05ECD" w:rsidP="00C05ECD">
            <w:pPr>
              <w:spacing w:after="160" w:line="259" w:lineRule="auto"/>
              <w:rPr>
                <w:rFonts w:ascii="Century Gothic" w:eastAsia="Calibri" w:hAnsi="Century Gothic" w:cs="Arial"/>
                <w:b/>
                <w:sz w:val="22"/>
                <w:lang w:val="es-MX" w:eastAsia="en-US"/>
              </w:rPr>
            </w:pPr>
            <w:r w:rsidRPr="00C05ECD">
              <w:rPr>
                <w:rFonts w:ascii="Century Gothic" w:eastAsia="Calibri" w:hAnsi="Century Gothic" w:cs="Arial"/>
                <w:b/>
                <w:noProof/>
                <w:sz w:val="22"/>
                <w:lang w:eastAsia="en-US"/>
              </w:rPr>
              <w:drawing>
                <wp:inline distT="0" distB="0" distL="0" distR="0" wp14:anchorId="77572049" wp14:editId="647E8DB9">
                  <wp:extent cx="651510" cy="86423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1510" cy="864235"/>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788D7522" w14:textId="77777777" w:rsidR="00C05ECD" w:rsidRPr="00C05ECD" w:rsidRDefault="00C05ECD" w:rsidP="00191865">
            <w:pPr>
              <w:spacing w:after="160" w:line="360" w:lineRule="auto"/>
              <w:jc w:val="center"/>
              <w:rPr>
                <w:rFonts w:ascii="Century Gothic" w:eastAsia="Calibri" w:hAnsi="Century Gothic" w:cs="Arial"/>
                <w:b/>
                <w:bCs/>
                <w:sz w:val="22"/>
                <w:lang w:val="es-MX" w:eastAsia="en-US"/>
              </w:rPr>
            </w:pPr>
            <w:r w:rsidRPr="00C05ECD">
              <w:rPr>
                <w:rFonts w:ascii="Century Gothic" w:eastAsia="Calibri" w:hAnsi="Century Gothic" w:cs="Arial"/>
                <w:b/>
                <w:sz w:val="22"/>
                <w:lang w:val="es-MX" w:eastAsia="en-US"/>
              </w:rPr>
              <w:t xml:space="preserve">DIP. </w:t>
            </w:r>
            <w:hyperlink r:id="rId12" w:history="1">
              <w:r w:rsidRPr="00C05ECD">
                <w:rPr>
                  <w:rFonts w:ascii="Century Gothic" w:eastAsia="Calibri" w:hAnsi="Century Gothic" w:cs="Arial"/>
                  <w:b/>
                  <w:bCs/>
                  <w:color w:val="000000"/>
                  <w:sz w:val="22"/>
                  <w:lang w:val="es-MX" w:eastAsia="en-US"/>
                </w:rPr>
                <w:t>AMÉRICA VICTORIA AGUILAR GIL</w:t>
              </w:r>
            </w:hyperlink>
          </w:p>
          <w:p w14:paraId="65D3A098"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02C4E22E"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5625B4F5"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F9C0853"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r>
      <w:tr w:rsidR="00C05ECD" w:rsidRPr="00C05ECD" w14:paraId="26955709" w14:textId="77777777" w:rsidTr="008647A4">
        <w:tc>
          <w:tcPr>
            <w:tcW w:w="1242" w:type="dxa"/>
            <w:tcBorders>
              <w:top w:val="single" w:sz="4" w:space="0" w:color="auto"/>
              <w:left w:val="single" w:sz="4" w:space="0" w:color="auto"/>
              <w:bottom w:val="single" w:sz="4" w:space="0" w:color="auto"/>
              <w:right w:val="single" w:sz="4" w:space="0" w:color="auto"/>
            </w:tcBorders>
          </w:tcPr>
          <w:p w14:paraId="1329466A" w14:textId="77777777" w:rsidR="00C05ECD" w:rsidRPr="00C05ECD" w:rsidRDefault="00C05ECD" w:rsidP="00C05ECD">
            <w:pPr>
              <w:spacing w:after="160" w:line="259" w:lineRule="auto"/>
              <w:rPr>
                <w:rFonts w:ascii="Century Gothic" w:eastAsia="Calibri" w:hAnsi="Century Gothic" w:cs="Arial"/>
                <w:b/>
                <w:sz w:val="22"/>
                <w:lang w:val="es-MX" w:eastAsia="en-US"/>
              </w:rPr>
            </w:pPr>
            <w:r w:rsidRPr="00C05ECD">
              <w:rPr>
                <w:rFonts w:ascii="Century Gothic" w:eastAsia="Calibri" w:hAnsi="Century Gothic" w:cs="Arial"/>
                <w:b/>
                <w:noProof/>
                <w:sz w:val="22"/>
                <w:lang w:val="es-MX" w:eastAsia="en-US"/>
              </w:rPr>
              <w:drawing>
                <wp:inline distT="0" distB="0" distL="0" distR="0" wp14:anchorId="660FE020" wp14:editId="0A161760">
                  <wp:extent cx="634365" cy="840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4365" cy="840105"/>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317F14D8"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DIP. MARÍA ANTONIETA PÉREZ REYES</w:t>
            </w:r>
          </w:p>
          <w:p w14:paraId="734F6F1E"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4966CB22"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078BAD4C"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1483FD33"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r>
      <w:bookmarkEnd w:id="3"/>
    </w:tbl>
    <w:p w14:paraId="1E2D1476" w14:textId="0D98564B" w:rsidR="007627DC" w:rsidRPr="00C05ECD" w:rsidRDefault="007627DC" w:rsidP="007627DC">
      <w:pPr>
        <w:ind w:right="-94"/>
        <w:jc w:val="center"/>
        <w:rPr>
          <w:rFonts w:ascii="Century Gothic" w:eastAsia="Arial" w:hAnsi="Century Gothic" w:cs="Arial"/>
          <w:b/>
          <w:color w:val="000000"/>
          <w:szCs w:val="20"/>
          <w:lang w:eastAsia="es-MX"/>
        </w:rPr>
      </w:pPr>
    </w:p>
    <w:p w14:paraId="6653A18D" w14:textId="5B00B821" w:rsidR="00B02A18" w:rsidRPr="00757276" w:rsidRDefault="00E42343" w:rsidP="00592D94">
      <w:pPr>
        <w:jc w:val="both"/>
        <w:rPr>
          <w:rFonts w:ascii="Century Gothic" w:hAnsi="Century Gothic"/>
          <w:bCs/>
          <w:sz w:val="16"/>
          <w:szCs w:val="16"/>
        </w:rPr>
      </w:pPr>
      <w:r w:rsidRPr="008327A7">
        <w:rPr>
          <w:rFonts w:ascii="Century Gothic" w:hAnsi="Century Gothic" w:cs="Arial"/>
          <w:sz w:val="18"/>
          <w:szCs w:val="18"/>
        </w:rPr>
        <w:t xml:space="preserve">Nota: La presente hoja de firmas corresponde al </w:t>
      </w:r>
      <w:r w:rsidR="00412CD6">
        <w:rPr>
          <w:rFonts w:ascii="Century Gothic" w:hAnsi="Century Gothic" w:cs="Arial"/>
          <w:sz w:val="18"/>
          <w:szCs w:val="18"/>
        </w:rPr>
        <w:t>D</w:t>
      </w:r>
      <w:r w:rsidRPr="008327A7">
        <w:rPr>
          <w:rFonts w:ascii="Century Gothic" w:hAnsi="Century Gothic" w:cs="Arial"/>
          <w:sz w:val="18"/>
          <w:szCs w:val="18"/>
        </w:rPr>
        <w:t xml:space="preserve">ictamen de la Comisión de </w:t>
      </w:r>
      <w:r w:rsidR="008B433B">
        <w:rPr>
          <w:rFonts w:ascii="Century Gothic" w:hAnsi="Century Gothic" w:cs="Arial"/>
          <w:sz w:val="18"/>
          <w:szCs w:val="18"/>
        </w:rPr>
        <w:t>Feminicidios</w:t>
      </w:r>
      <w:r w:rsidRPr="008327A7">
        <w:rPr>
          <w:rFonts w:ascii="Century Gothic" w:hAnsi="Century Gothic" w:cs="Arial"/>
          <w:sz w:val="18"/>
          <w:szCs w:val="18"/>
        </w:rPr>
        <w:t xml:space="preserve">, que recae en la iniciativa identificada con </w:t>
      </w:r>
      <w:r>
        <w:rPr>
          <w:rFonts w:ascii="Century Gothic" w:hAnsi="Century Gothic" w:cs="Arial"/>
          <w:sz w:val="18"/>
          <w:szCs w:val="18"/>
        </w:rPr>
        <w:t>el</w:t>
      </w:r>
      <w:r w:rsidRPr="008327A7">
        <w:rPr>
          <w:rFonts w:ascii="Century Gothic" w:hAnsi="Century Gothic" w:cs="Arial"/>
          <w:sz w:val="18"/>
          <w:szCs w:val="18"/>
        </w:rPr>
        <w:t xml:space="preserve"> número </w:t>
      </w:r>
      <w:r w:rsidR="00826EFB">
        <w:rPr>
          <w:rFonts w:ascii="Century Gothic" w:hAnsi="Century Gothic" w:cs="Arial"/>
          <w:sz w:val="18"/>
          <w:szCs w:val="18"/>
        </w:rPr>
        <w:t>359</w:t>
      </w:r>
      <w:r w:rsidRPr="008327A7">
        <w:rPr>
          <w:rFonts w:ascii="Century Gothic" w:hAnsi="Century Gothic" w:cs="Arial"/>
          <w:sz w:val="18"/>
          <w:szCs w:val="18"/>
        </w:rPr>
        <w:t xml:space="preserve">. </w:t>
      </w:r>
    </w:p>
    <w:sectPr w:rsidR="00B02A18" w:rsidRPr="00757276" w:rsidSect="005E3D90">
      <w:headerReference w:type="default" r:id="rId14"/>
      <w:footerReference w:type="default" r:id="rId15"/>
      <w:pgSz w:w="12240" w:h="15840"/>
      <w:pgMar w:top="1417" w:right="1701" w:bottom="1417"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B1D6" w14:textId="77777777" w:rsidR="00403332" w:rsidRDefault="00403332" w:rsidP="002F5EBB">
      <w:r>
        <w:separator/>
      </w:r>
    </w:p>
  </w:endnote>
  <w:endnote w:type="continuationSeparator" w:id="0">
    <w:p w14:paraId="646FD38E" w14:textId="77777777" w:rsidR="00403332" w:rsidRDefault="00403332" w:rsidP="002F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bril Fatface">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698390"/>
      <w:docPartObj>
        <w:docPartGallery w:val="Page Numbers (Bottom of Page)"/>
        <w:docPartUnique/>
      </w:docPartObj>
    </w:sdtPr>
    <w:sdtEndPr/>
    <w:sdtContent>
      <w:p w14:paraId="3DCD5646" w14:textId="77777777" w:rsidR="00BE43E5" w:rsidRDefault="00924EAD" w:rsidP="00F548D2">
        <w:pPr>
          <w:pStyle w:val="Piedepgina"/>
          <w:jc w:val="center"/>
          <w:rPr>
            <w:noProof/>
          </w:rPr>
        </w:pPr>
        <w:r>
          <w:rPr>
            <w:lang w:val="es-MX"/>
          </w:rPr>
          <w:fldChar w:fldCharType="begin"/>
        </w:r>
        <w:r>
          <w:instrText>PAGE   \* MERGEFORMAT</w:instrText>
        </w:r>
        <w:r>
          <w:rPr>
            <w:lang w:val="es-MX"/>
          </w:rPr>
          <w:fldChar w:fldCharType="separate"/>
        </w:r>
        <w:r w:rsidR="00BC7B1C" w:rsidRPr="00BC7B1C">
          <w:rPr>
            <w:noProof/>
          </w:rPr>
          <w:t>5</w:t>
        </w:r>
        <w:r>
          <w:rPr>
            <w:noProof/>
          </w:rPr>
          <w:fldChar w:fldCharType="end"/>
        </w:r>
      </w:p>
      <w:p w14:paraId="4799D803" w14:textId="4B2440D2" w:rsidR="00207CEC" w:rsidRPr="00DF16D4" w:rsidRDefault="00616F4E" w:rsidP="00DF16D4">
        <w:pPr>
          <w:pStyle w:val="Piedepgina"/>
        </w:pPr>
      </w:p>
    </w:sdtContent>
  </w:sdt>
  <w:p w14:paraId="7400CA52" w14:textId="6910A4A5" w:rsidR="00207CEC" w:rsidRPr="00F548D2" w:rsidRDefault="00F548D2" w:rsidP="00F548D2">
    <w:pPr>
      <w:pStyle w:val="Textodeglobo"/>
      <w:tabs>
        <w:tab w:val="center" w:pos="4986"/>
        <w:tab w:val="left" w:pos="7185"/>
      </w:tabs>
      <w:rPr>
        <w:lang w:val="en-US"/>
      </w:rPr>
    </w:pPr>
    <w:r>
      <w:rPr>
        <w:rFonts w:ascii="Arial" w:hAnsi="Arial" w:cs="Arial"/>
        <w:lang w:val="en-US"/>
      </w:rPr>
      <w:t>A</w:t>
    </w:r>
    <w:r w:rsidR="00F662DD">
      <w:rPr>
        <w:rFonts w:ascii="Arial" w:hAnsi="Arial" w:cs="Arial"/>
        <w:lang w:val="en-US"/>
      </w:rPr>
      <w:t>359</w:t>
    </w:r>
    <w:r>
      <w:rPr>
        <w:rFonts w:ascii="Arial" w:hAnsi="Arial" w:cs="Arial"/>
        <w:lang w:val="en-US"/>
      </w:rPr>
      <w:t>/OIDS/</w:t>
    </w:r>
    <w:r w:rsidR="00D10FCF">
      <w:rPr>
        <w:rFonts w:ascii="Arial" w:hAnsi="Arial" w:cs="Arial"/>
        <w:lang w:val="en-US"/>
      </w:rPr>
      <w:t>NTRP</w:t>
    </w:r>
    <w:r>
      <w:rPr>
        <w:rFonts w:ascii="Arial" w:hAnsi="Arial" w:cs="Arial"/>
        <w:lang w:val="en-US"/>
      </w:rPr>
      <w:t>/</w:t>
    </w:r>
    <w:r w:rsidR="00D10FCF">
      <w:rPr>
        <w:rFonts w:ascii="Arial" w:hAnsi="Arial" w:cs="Arial"/>
        <w:lang w:val="en-US"/>
      </w:rPr>
      <w:t>SGL</w:t>
    </w:r>
    <w:r>
      <w:rPr>
        <w:rFonts w:ascii="Arial" w:hAnsi="Arial" w:cs="Arial"/>
        <w:lang w:val="en-US"/>
      </w:rPr>
      <w:t>/</w:t>
    </w:r>
    <w:r w:rsidR="00375A33">
      <w:rPr>
        <w:rFonts w:ascii="Arial" w:hAnsi="Arial" w:cs="Arial"/>
        <w:lang w:val="en-US"/>
      </w:rPr>
      <w:t>GTN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2C00" w14:textId="77777777" w:rsidR="00403332" w:rsidRDefault="00403332" w:rsidP="002F5EBB">
      <w:r>
        <w:separator/>
      </w:r>
    </w:p>
  </w:footnote>
  <w:footnote w:type="continuationSeparator" w:id="0">
    <w:p w14:paraId="645DDFE9" w14:textId="77777777" w:rsidR="00403332" w:rsidRDefault="00403332" w:rsidP="002F5EBB">
      <w:r>
        <w:continuationSeparator/>
      </w:r>
    </w:p>
  </w:footnote>
  <w:footnote w:id="1">
    <w:p w14:paraId="64009570" w14:textId="77777777" w:rsidR="00217109" w:rsidRPr="00951543" w:rsidRDefault="00217109" w:rsidP="00217109">
      <w:pPr>
        <w:pStyle w:val="Textonotapie"/>
        <w:rPr>
          <w:sz w:val="16"/>
          <w:szCs w:val="16"/>
        </w:rPr>
      </w:pPr>
      <w:r w:rsidRPr="00951543">
        <w:rPr>
          <w:rStyle w:val="Refdenotaalpie"/>
          <w:sz w:val="16"/>
          <w:szCs w:val="16"/>
        </w:rPr>
        <w:footnoteRef/>
      </w:r>
      <w:r w:rsidRPr="00951543">
        <w:rPr>
          <w:sz w:val="16"/>
          <w:szCs w:val="16"/>
        </w:rPr>
        <w:t xml:space="preserve"> Reportaje "Mary, un caso de legítima defensa que llegó a la ONU", de Sharenii Guzmán, para la Silla Rota, publicado el 9 de julio de 2018 en: </w:t>
      </w:r>
      <w:hyperlink r:id="rId1" w:history="1">
        <w:r w:rsidRPr="00951543">
          <w:rPr>
            <w:rStyle w:val="Hipervnculo"/>
            <w:sz w:val="16"/>
            <w:szCs w:val="16"/>
          </w:rPr>
          <w:t>https://lasillarota.com/metropoli/2018/7/9/mary-un-caso-de-legitima-defensa-que-llego-la-onu-163481.html</w:t>
        </w:r>
      </w:hyperlink>
      <w:r w:rsidRPr="00951543">
        <w:rPr>
          <w:sz w:val="16"/>
          <w:szCs w:val="16"/>
        </w:rPr>
        <w:t xml:space="preserve"> </w:t>
      </w:r>
    </w:p>
  </w:footnote>
  <w:footnote w:id="2">
    <w:p w14:paraId="0571D058" w14:textId="77777777" w:rsidR="00217109" w:rsidRPr="00951543" w:rsidRDefault="00217109" w:rsidP="00217109">
      <w:pPr>
        <w:pStyle w:val="Textonotapie"/>
        <w:rPr>
          <w:sz w:val="16"/>
          <w:szCs w:val="16"/>
        </w:rPr>
      </w:pPr>
      <w:r w:rsidRPr="00951543">
        <w:rPr>
          <w:rStyle w:val="Refdenotaalpie"/>
          <w:sz w:val="16"/>
          <w:szCs w:val="16"/>
        </w:rPr>
        <w:footnoteRef/>
      </w:r>
      <w:r w:rsidRPr="00951543">
        <w:rPr>
          <w:sz w:val="16"/>
          <w:szCs w:val="16"/>
        </w:rPr>
        <w:t xml:space="preserve"> Reportaje" Joven de 15 años mató a su violador en defensa propia y la PGJ la investigó por </w:t>
      </w:r>
      <w:r w:rsidRPr="00951543">
        <w:rPr>
          <w:sz w:val="16"/>
          <w:szCs w:val="16"/>
        </w:rPr>
        <w:t>homicidio</w:t>
      </w:r>
      <w:r w:rsidRPr="00951543">
        <w:rPr>
          <w:sz w:val="16"/>
          <w:szCs w:val="16"/>
        </w:rPr>
        <w:t xml:space="preserve">",Aristegui Noticias, publicado el 27 de junio de 2017 en: </w:t>
      </w:r>
      <w:hyperlink r:id="rId2" w:history="1">
        <w:r w:rsidRPr="00951543">
          <w:rPr>
            <w:rStyle w:val="Hipervnculo"/>
            <w:sz w:val="16"/>
            <w:szCs w:val="16"/>
          </w:rPr>
          <w:t>https://aristeguinoticias.com/2706/mexico/joven-de-15-anos-mato-a-su-violador-en-defensa-propia-y-la-pgj-la-investigo-por-homicidio/</w:t>
        </w:r>
      </w:hyperlink>
      <w:r w:rsidRPr="00951543">
        <w:rPr>
          <w:sz w:val="16"/>
          <w:szCs w:val="16"/>
        </w:rPr>
        <w:t xml:space="preserve"> </w:t>
      </w:r>
    </w:p>
  </w:footnote>
  <w:footnote w:id="3">
    <w:p w14:paraId="7A526D99" w14:textId="77777777" w:rsidR="00217109" w:rsidRPr="007C718C" w:rsidRDefault="00217109" w:rsidP="00217109">
      <w:pPr>
        <w:pStyle w:val="Textonotapie"/>
        <w:rPr>
          <w:sz w:val="16"/>
          <w:szCs w:val="16"/>
        </w:rPr>
      </w:pPr>
      <w:r w:rsidRPr="007C718C">
        <w:rPr>
          <w:rStyle w:val="Refdenotaalpie"/>
          <w:sz w:val="16"/>
          <w:szCs w:val="16"/>
        </w:rPr>
        <w:footnoteRef/>
      </w:r>
      <w:r w:rsidRPr="007C718C">
        <w:rPr>
          <w:sz w:val="16"/>
          <w:szCs w:val="16"/>
        </w:rPr>
        <w:t xml:space="preserve"> Convención Interamericana para Prevenir, Sancionar y Erradicar la Violencia contra la Mujer. Disponible en: </w:t>
      </w:r>
      <w:hyperlink r:id="rId3" w:history="1">
        <w:r w:rsidRPr="007C718C">
          <w:rPr>
            <w:rStyle w:val="Hipervnculo"/>
            <w:sz w:val="16"/>
            <w:szCs w:val="16"/>
          </w:rPr>
          <w:t>https://www.oas.org/juridico/spanish/tratados/a-61.html</w:t>
        </w:r>
      </w:hyperlink>
      <w:r w:rsidRPr="007C718C">
        <w:rPr>
          <w:sz w:val="16"/>
          <w:szCs w:val="16"/>
        </w:rPr>
        <w:t xml:space="preserve"> </w:t>
      </w:r>
    </w:p>
  </w:footnote>
  <w:footnote w:id="4">
    <w:p w14:paraId="4743782C" w14:textId="77777777" w:rsidR="00217109" w:rsidRPr="00BE491F" w:rsidRDefault="00217109" w:rsidP="00217109">
      <w:pPr>
        <w:pStyle w:val="Textonotapie"/>
        <w:rPr>
          <w:sz w:val="16"/>
          <w:szCs w:val="16"/>
        </w:rPr>
      </w:pPr>
      <w:r w:rsidRPr="00BE491F">
        <w:rPr>
          <w:rStyle w:val="Refdenotaalpie"/>
          <w:sz w:val="16"/>
          <w:szCs w:val="16"/>
        </w:rPr>
        <w:footnoteRef/>
      </w:r>
      <w:r w:rsidRPr="00BE491F">
        <w:rPr>
          <w:sz w:val="16"/>
          <w:szCs w:val="16"/>
        </w:rPr>
        <w:t xml:space="preserve"> Recomendación General del Comité de Expertas del MESECVI (No. 1) LEGÍTIMA DEFENSA Y</w:t>
      </w:r>
      <w:r>
        <w:rPr>
          <w:sz w:val="16"/>
          <w:szCs w:val="16"/>
        </w:rPr>
        <w:t xml:space="preserve"> </w:t>
      </w:r>
      <w:r w:rsidRPr="00BE491F">
        <w:rPr>
          <w:sz w:val="16"/>
          <w:szCs w:val="16"/>
        </w:rPr>
        <w:t xml:space="preserve">VIOLENCIA CONTRA LAS MUJERES. Disponible en: </w:t>
      </w:r>
      <w:hyperlink r:id="rId4" w:history="1">
        <w:r w:rsidRPr="00BE491F">
          <w:rPr>
            <w:rStyle w:val="Hipervnculo"/>
            <w:sz w:val="16"/>
            <w:szCs w:val="16"/>
          </w:rPr>
          <w:t>https://www.oas.org/es/mesecvi/docs/RecomendacionLegitimaDefensa-ES.pdf</w:t>
        </w:r>
      </w:hyperlink>
      <w:r>
        <w:t xml:space="preserve"> </w:t>
      </w:r>
    </w:p>
  </w:footnote>
  <w:footnote w:id="5">
    <w:p w14:paraId="026617EA" w14:textId="77777777" w:rsidR="00217109" w:rsidRPr="004005F5" w:rsidRDefault="00217109" w:rsidP="00217109">
      <w:pPr>
        <w:pStyle w:val="Textonotapie"/>
        <w:rPr>
          <w:sz w:val="16"/>
          <w:szCs w:val="16"/>
        </w:rPr>
      </w:pPr>
      <w:r w:rsidRPr="004005F5">
        <w:rPr>
          <w:rStyle w:val="Refdenotaalpie"/>
          <w:sz w:val="16"/>
          <w:szCs w:val="16"/>
        </w:rPr>
        <w:footnoteRef/>
      </w:r>
      <w:r w:rsidRPr="004005F5">
        <w:rPr>
          <w:sz w:val="16"/>
          <w:szCs w:val="16"/>
        </w:rPr>
        <w:t xml:space="preserve"> Suprema Corte de Justicia de la Nación. Mujeres que sufren violencia doméstica y enfrentan por haber</w:t>
      </w:r>
      <w:r>
        <w:rPr>
          <w:sz w:val="16"/>
          <w:szCs w:val="16"/>
        </w:rPr>
        <w:t xml:space="preserve"> </w:t>
      </w:r>
      <w:r w:rsidRPr="004005F5">
        <w:rPr>
          <w:sz w:val="16"/>
          <w:szCs w:val="16"/>
        </w:rPr>
        <w:t>agredido a sus victimarios deben ser juzgadas con perspectiva de género: Primera Sala. 7 de marzo de</w:t>
      </w:r>
      <w:r>
        <w:rPr>
          <w:sz w:val="16"/>
          <w:szCs w:val="16"/>
        </w:rPr>
        <w:t xml:space="preserve"> </w:t>
      </w:r>
      <w:r w:rsidRPr="004005F5">
        <w:rPr>
          <w:sz w:val="16"/>
          <w:szCs w:val="16"/>
        </w:rPr>
        <w:t xml:space="preserve">2018. Disponible en: </w:t>
      </w:r>
      <w:hyperlink r:id="rId5" w:history="1">
        <w:r w:rsidRPr="004005F5">
          <w:rPr>
            <w:rStyle w:val="Hipervnculo"/>
            <w:sz w:val="16"/>
            <w:szCs w:val="16"/>
          </w:rPr>
          <w:t>https://www.internet2.scjn.gob.mx/red2/comunicados/noticia.asp?id=4687</w:t>
        </w:r>
      </w:hyperlink>
      <w:r>
        <w:t xml:space="preserve"> </w:t>
      </w:r>
    </w:p>
  </w:footnote>
  <w:footnote w:id="6">
    <w:p w14:paraId="43BB566C" w14:textId="77777777" w:rsidR="00393203" w:rsidRDefault="00393203" w:rsidP="00393203">
      <w:pPr>
        <w:pStyle w:val="Textonotapie"/>
      </w:pPr>
      <w:r>
        <w:rPr>
          <w:rStyle w:val="Refdenotaalpie"/>
        </w:rPr>
        <w:footnoteRef/>
      </w:r>
      <w:r>
        <w:t xml:space="preserve"> Puede ser consultado en el siguiente enlace: </w:t>
      </w:r>
      <w:r w:rsidRPr="001544DA">
        <w:t>https://en.www.inegi.org.mx/contenidos/saladeprensa/boletines/2022/endireh/Endireh2021_Nal.pdf</w:t>
      </w:r>
    </w:p>
  </w:footnote>
  <w:footnote w:id="7">
    <w:p w14:paraId="04EF3B17" w14:textId="77777777" w:rsidR="00393203" w:rsidRDefault="00393203" w:rsidP="00393203">
      <w:pPr>
        <w:pStyle w:val="Textonotapie"/>
      </w:pPr>
      <w:r>
        <w:rPr>
          <w:rStyle w:val="Refdenotaalpie"/>
        </w:rPr>
        <w:footnoteRef/>
      </w:r>
      <w:r>
        <w:t xml:space="preserve"> </w:t>
      </w:r>
      <w:r w:rsidRPr="001544DA">
        <w:t>Puede ser consultado en el siguiente enlace: https://www.inegi.org.mx/contenidos/saladeprensa/boletines/2026/cjm/cjm2025_CP.pdf</w:t>
      </w:r>
    </w:p>
  </w:footnote>
  <w:footnote w:id="8">
    <w:p w14:paraId="68BA8A44" w14:textId="77777777" w:rsidR="00393203" w:rsidRDefault="00393203" w:rsidP="00393203">
      <w:pPr>
        <w:pStyle w:val="Textonotapie"/>
      </w:pPr>
      <w:r>
        <w:rPr>
          <w:rStyle w:val="Refdenotaalpie"/>
        </w:rPr>
        <w:footnoteRef/>
      </w:r>
      <w:r>
        <w:t xml:space="preserve"> </w:t>
      </w:r>
      <w:r w:rsidRPr="001544DA">
        <w:t>Puede ser consultado en el siguiente enlace: https://www.inegi.org.mx/temas/victimizacion/</w:t>
      </w:r>
    </w:p>
  </w:footnote>
  <w:footnote w:id="9">
    <w:p w14:paraId="57573349" w14:textId="77777777" w:rsidR="00393203" w:rsidRDefault="00393203" w:rsidP="00393203">
      <w:pPr>
        <w:pStyle w:val="Textonotapie"/>
      </w:pPr>
      <w:r>
        <w:rPr>
          <w:rStyle w:val="Refdenotaalpie"/>
        </w:rPr>
        <w:footnoteRef/>
      </w:r>
      <w:r>
        <w:t xml:space="preserve"> Puede ser consultado en el siguiente enlace: </w:t>
      </w:r>
      <w:r w:rsidRPr="005F543A">
        <w:t>https://docs.un.org/es/CEDAW/C/MEX/CO/10</w:t>
      </w:r>
    </w:p>
  </w:footnote>
  <w:footnote w:id="10">
    <w:p w14:paraId="47575687" w14:textId="77777777" w:rsidR="00393203" w:rsidRDefault="00393203" w:rsidP="00393203">
      <w:pPr>
        <w:pStyle w:val="Textonotapie"/>
      </w:pPr>
      <w:r>
        <w:rPr>
          <w:rStyle w:val="Refdenotaalpie"/>
        </w:rPr>
        <w:footnoteRef/>
      </w:r>
      <w:r>
        <w:t xml:space="preserve"> Ídem párrafo 25.</w:t>
      </w:r>
    </w:p>
  </w:footnote>
  <w:footnote w:id="11">
    <w:p w14:paraId="7C9F5F2B" w14:textId="77777777" w:rsidR="00393203" w:rsidRDefault="00393203" w:rsidP="00393203">
      <w:pPr>
        <w:pStyle w:val="Textonotapie"/>
      </w:pPr>
      <w:r>
        <w:rPr>
          <w:rStyle w:val="Refdenotaalpie"/>
        </w:rPr>
        <w:footnoteRef/>
      </w:r>
      <w:r>
        <w:t xml:space="preserve"> Ídem párrafo 26. a)</w:t>
      </w:r>
    </w:p>
  </w:footnote>
  <w:footnote w:id="12">
    <w:p w14:paraId="0912E491" w14:textId="77777777" w:rsidR="00393203" w:rsidRDefault="00393203" w:rsidP="00393203">
      <w:pPr>
        <w:pStyle w:val="Textonotapie"/>
      </w:pPr>
      <w:r>
        <w:rPr>
          <w:rStyle w:val="Refdenotaalpie"/>
        </w:rPr>
        <w:footnoteRef/>
      </w:r>
      <w:r>
        <w:t xml:space="preserve"> Ídem párrafo 27.</w:t>
      </w:r>
    </w:p>
  </w:footnote>
  <w:footnote w:id="13">
    <w:p w14:paraId="34D7508A" w14:textId="77777777" w:rsidR="00393203" w:rsidRDefault="00393203" w:rsidP="00393203">
      <w:pPr>
        <w:pStyle w:val="Textonotapie"/>
      </w:pPr>
      <w:r>
        <w:rPr>
          <w:rStyle w:val="Refdenotaalpie"/>
        </w:rPr>
        <w:footnoteRef/>
      </w:r>
      <w:r>
        <w:t xml:space="preserve"> Ídem párrafo 15</w:t>
      </w:r>
    </w:p>
  </w:footnote>
  <w:footnote w:id="14">
    <w:p w14:paraId="43398B02" w14:textId="77777777" w:rsidR="00393203" w:rsidRDefault="00393203" w:rsidP="00393203">
      <w:pPr>
        <w:pStyle w:val="Textonotapie"/>
      </w:pPr>
      <w:r>
        <w:rPr>
          <w:rStyle w:val="Refdenotaalpie"/>
        </w:rPr>
        <w:footnoteRef/>
      </w:r>
      <w:r>
        <w:t xml:space="preserve"> Ídem párrafo 25.</w:t>
      </w:r>
    </w:p>
  </w:footnote>
  <w:footnote w:id="15">
    <w:p w14:paraId="1196B381" w14:textId="77777777" w:rsidR="00393203" w:rsidRPr="00951543" w:rsidRDefault="00393203" w:rsidP="00393203">
      <w:pPr>
        <w:pStyle w:val="Textonotapie"/>
        <w:rPr>
          <w:sz w:val="16"/>
          <w:szCs w:val="16"/>
        </w:rPr>
      </w:pPr>
      <w:r w:rsidRPr="00951543">
        <w:rPr>
          <w:rStyle w:val="Refdenotaalpie"/>
          <w:sz w:val="16"/>
          <w:szCs w:val="16"/>
        </w:rPr>
        <w:footnoteRef/>
      </w:r>
      <w:r w:rsidRPr="00951543">
        <w:rPr>
          <w:sz w:val="16"/>
          <w:szCs w:val="16"/>
        </w:rPr>
        <w:t xml:space="preserve"> Reportaje "Mary, un caso de legítima defensa que llegó a la ONU", de </w:t>
      </w:r>
      <w:r w:rsidRPr="00951543">
        <w:rPr>
          <w:sz w:val="16"/>
          <w:szCs w:val="16"/>
        </w:rPr>
        <w:t xml:space="preserve">Sharenii Guzmán, para la Silla Rota, publicado el 9 de julio de 2018 en: </w:t>
      </w:r>
      <w:hyperlink r:id="rId6" w:history="1">
        <w:r w:rsidRPr="00951543">
          <w:rPr>
            <w:rStyle w:val="Hipervnculo"/>
            <w:sz w:val="16"/>
            <w:szCs w:val="16"/>
          </w:rPr>
          <w:t>https://lasillarota.com/metropoli/2018/7/9/mary-un-caso-de-legitima-defensa-que-llego-la-onu-163481.html</w:t>
        </w:r>
      </w:hyperlink>
      <w:r w:rsidRPr="00951543">
        <w:rPr>
          <w:sz w:val="16"/>
          <w:szCs w:val="16"/>
        </w:rPr>
        <w:t xml:space="preserve"> </w:t>
      </w:r>
    </w:p>
  </w:footnote>
  <w:footnote w:id="16">
    <w:p w14:paraId="5D71254B" w14:textId="77777777" w:rsidR="00393203" w:rsidRPr="00951543" w:rsidRDefault="00393203" w:rsidP="00393203">
      <w:pPr>
        <w:pStyle w:val="Textonotapie"/>
        <w:rPr>
          <w:sz w:val="16"/>
          <w:szCs w:val="16"/>
        </w:rPr>
      </w:pPr>
      <w:r w:rsidRPr="00951543">
        <w:rPr>
          <w:rStyle w:val="Refdenotaalpie"/>
          <w:sz w:val="16"/>
          <w:szCs w:val="16"/>
        </w:rPr>
        <w:footnoteRef/>
      </w:r>
      <w:r w:rsidRPr="00951543">
        <w:rPr>
          <w:sz w:val="16"/>
          <w:szCs w:val="16"/>
        </w:rPr>
        <w:t xml:space="preserve"> Reportaje" Joven de 15 años mató a su violador en defensa propia y la PGJ la investigó por </w:t>
      </w:r>
      <w:r w:rsidRPr="00951543">
        <w:rPr>
          <w:sz w:val="16"/>
          <w:szCs w:val="16"/>
        </w:rPr>
        <w:t>homicidio</w:t>
      </w:r>
      <w:r w:rsidRPr="00951543">
        <w:rPr>
          <w:sz w:val="16"/>
          <w:szCs w:val="16"/>
        </w:rPr>
        <w:t xml:space="preserve">",Aristegui Noticias, publicado el 27 de junio de 2017 en: </w:t>
      </w:r>
      <w:hyperlink r:id="rId7" w:history="1">
        <w:r w:rsidRPr="00951543">
          <w:rPr>
            <w:rStyle w:val="Hipervnculo"/>
            <w:sz w:val="16"/>
            <w:szCs w:val="16"/>
          </w:rPr>
          <w:t>https://aristeguinoticias.com/2706/mexico/joven-de-15-anos-mato-a-su-violador-en-defensa-propia-y-la-pgj-la-investigo-por-homicidio/</w:t>
        </w:r>
      </w:hyperlink>
      <w:r w:rsidRPr="0095154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03F0" w14:textId="32F8080C" w:rsidR="00964D1F" w:rsidRPr="00580F16" w:rsidRDefault="00580F16" w:rsidP="005E3D90">
    <w:pPr>
      <w:ind w:right="-1085"/>
      <w:jc w:val="right"/>
      <w:rPr>
        <w:rFonts w:ascii="Century Gothic" w:hAnsi="Century Gothic"/>
        <w:b/>
        <w:sz w:val="20"/>
        <w:szCs w:val="20"/>
      </w:rPr>
    </w:pPr>
    <w:r w:rsidRPr="00580F16">
      <w:rPr>
        <w:rFonts w:ascii="Century Gothic" w:hAnsi="Century Gothic"/>
        <w:b/>
        <w:noProof/>
        <w:sz w:val="20"/>
        <w:szCs w:val="20"/>
      </w:rPr>
      <w:t>“2026, Año del Bicentenario de la Abolición de la Esclavitud en el Estado de Chihuahua”</w:t>
    </w:r>
    <w:r w:rsidR="00207CEC" w:rsidRPr="00580F16">
      <w:rPr>
        <w:rFonts w:ascii="Century Gothic" w:hAnsi="Century Gothic"/>
        <w:b/>
        <w:sz w:val="20"/>
        <w:szCs w:val="20"/>
      </w:rPr>
      <w:t xml:space="preserve">                                  </w:t>
    </w:r>
  </w:p>
  <w:p w14:paraId="63350E79" w14:textId="77777777" w:rsidR="005E3D90" w:rsidRDefault="005E3D90" w:rsidP="009E68AF">
    <w:pPr>
      <w:ind w:right="23"/>
      <w:jc w:val="right"/>
      <w:rPr>
        <w:rFonts w:ascii="Century Gothic" w:hAnsi="Century Gothic" w:cs="Arial"/>
        <w:b/>
        <w:sz w:val="28"/>
        <w:szCs w:val="28"/>
      </w:rPr>
    </w:pPr>
  </w:p>
  <w:p w14:paraId="1AF92DAB" w14:textId="1B3FF962" w:rsidR="004459F8" w:rsidRDefault="009E68AF" w:rsidP="009E68AF">
    <w:pPr>
      <w:ind w:right="23"/>
      <w:jc w:val="right"/>
      <w:rPr>
        <w:rFonts w:ascii="Century Gothic" w:hAnsi="Century Gothic" w:cs="Arial"/>
        <w:b/>
        <w:sz w:val="28"/>
        <w:szCs w:val="28"/>
      </w:rPr>
    </w:pPr>
    <w:r>
      <w:rPr>
        <w:rFonts w:ascii="Century Gothic" w:hAnsi="Century Gothic" w:cs="Arial"/>
        <w:b/>
        <w:sz w:val="28"/>
        <w:szCs w:val="28"/>
      </w:rPr>
      <w:t xml:space="preserve">Comisión de </w:t>
    </w:r>
    <w:r w:rsidR="00F85F82">
      <w:rPr>
        <w:rFonts w:ascii="Century Gothic" w:hAnsi="Century Gothic" w:cs="Arial"/>
        <w:b/>
        <w:sz w:val="28"/>
        <w:szCs w:val="28"/>
      </w:rPr>
      <w:t>Feminicidios</w:t>
    </w:r>
  </w:p>
  <w:p w14:paraId="543C0A05" w14:textId="6E5EFEB8" w:rsidR="00207CEC" w:rsidRDefault="00207CEC" w:rsidP="009E68AF">
    <w:pPr>
      <w:ind w:right="23"/>
      <w:jc w:val="right"/>
      <w:rPr>
        <w:rFonts w:ascii="Century Gothic" w:hAnsi="Century Gothic" w:cs="Arial"/>
        <w:b/>
      </w:rPr>
    </w:pPr>
    <w:r w:rsidRPr="00984F08">
      <w:rPr>
        <w:rFonts w:ascii="Century Gothic" w:hAnsi="Century Gothic" w:cs="Arial"/>
        <w:b/>
      </w:rPr>
      <w:t>LXV</w:t>
    </w:r>
    <w:r w:rsidR="004459F8">
      <w:rPr>
        <w:rFonts w:ascii="Century Gothic" w:hAnsi="Century Gothic" w:cs="Arial"/>
        <w:b/>
      </w:rPr>
      <w:t>I</w:t>
    </w:r>
    <w:r w:rsidRPr="00984F08">
      <w:rPr>
        <w:rFonts w:ascii="Century Gothic" w:hAnsi="Century Gothic" w:cs="Arial"/>
        <w:b/>
      </w:rPr>
      <w:t>I</w:t>
    </w:r>
    <w:r>
      <w:rPr>
        <w:rFonts w:ascii="Century Gothic" w:hAnsi="Century Gothic" w:cs="Arial"/>
        <w:b/>
      </w:rPr>
      <w:t>I</w:t>
    </w:r>
    <w:r w:rsidR="0021460B">
      <w:rPr>
        <w:rFonts w:ascii="Century Gothic" w:hAnsi="Century Gothic" w:cs="Arial"/>
        <w:b/>
      </w:rPr>
      <w:t xml:space="preserve"> LEGISLATURA</w:t>
    </w:r>
  </w:p>
  <w:p w14:paraId="4D5ED693" w14:textId="529A1126" w:rsidR="0021460B" w:rsidRPr="00984F08" w:rsidRDefault="0021460B" w:rsidP="009E68AF">
    <w:pPr>
      <w:ind w:right="23"/>
      <w:jc w:val="right"/>
      <w:rPr>
        <w:rFonts w:ascii="Century Gothic" w:hAnsi="Century Gothic" w:cs="Arial"/>
      </w:rPr>
    </w:pPr>
    <w:r>
      <w:rPr>
        <w:rFonts w:ascii="Century Gothic" w:hAnsi="Century Gothic" w:cs="Arial"/>
        <w:b/>
      </w:rPr>
      <w:t>DC</w:t>
    </w:r>
    <w:r w:rsidR="00F85F82">
      <w:rPr>
        <w:rFonts w:ascii="Century Gothic" w:hAnsi="Century Gothic" w:cs="Arial"/>
        <w:b/>
      </w:rPr>
      <w:t>F</w:t>
    </w:r>
    <w:r>
      <w:rPr>
        <w:rFonts w:ascii="Century Gothic" w:hAnsi="Century Gothic" w:cs="Arial"/>
        <w:b/>
      </w:rPr>
      <w:t>/</w:t>
    </w:r>
    <w:r w:rsidR="006D557F">
      <w:rPr>
        <w:rFonts w:ascii="Century Gothic" w:hAnsi="Century Gothic" w:cs="Arial"/>
        <w:b/>
      </w:rPr>
      <w:t>03</w:t>
    </w:r>
    <w:r w:rsidR="00B35E3D">
      <w:rPr>
        <w:rFonts w:ascii="Century Gothic" w:hAnsi="Century Gothic" w:cs="Arial"/>
        <w:b/>
      </w:rPr>
      <w:t>/2026</w:t>
    </w:r>
  </w:p>
  <w:p w14:paraId="1E593763" w14:textId="77777777" w:rsidR="00207CEC" w:rsidRDefault="00207C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92"/>
    <w:multiLevelType w:val="multilevel"/>
    <w:tmpl w:val="08AA189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A797B75"/>
    <w:multiLevelType w:val="multilevel"/>
    <w:tmpl w:val="0A797B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CEA1129"/>
    <w:multiLevelType w:val="hybridMultilevel"/>
    <w:tmpl w:val="1612F536"/>
    <w:lvl w:ilvl="0" w:tplc="2A62422A">
      <w:start w:val="1"/>
      <w:numFmt w:val="bullet"/>
      <w:lvlText w:val=""/>
      <w:lvlJc w:val="left"/>
      <w:pPr>
        <w:ind w:left="1428" w:hanging="360"/>
      </w:pPr>
      <w:rPr>
        <w:rFonts w:ascii="Wingdings 3" w:hAnsi="Wingdings 3"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9EA670C"/>
    <w:multiLevelType w:val="multilevel"/>
    <w:tmpl w:val="E7C2B444"/>
    <w:lvl w:ilvl="0">
      <w:start w:val="1"/>
      <w:numFmt w:val="bullet"/>
      <w:lvlText w:val="X"/>
      <w:lvlJc w:val="left"/>
      <w:pPr>
        <w:ind w:left="720" w:hanging="360"/>
      </w:pPr>
      <w:rPr>
        <w:rFonts w:ascii="Abril Fatface" w:eastAsia="Abril Fatface" w:hAnsi="Abril Fatface" w:cs="Abril Fatfac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1171658"/>
    <w:multiLevelType w:val="multilevel"/>
    <w:tmpl w:val="21171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B7258B"/>
    <w:multiLevelType w:val="hybridMultilevel"/>
    <w:tmpl w:val="A4386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53757"/>
    <w:multiLevelType w:val="hybridMultilevel"/>
    <w:tmpl w:val="FDE61056"/>
    <w:lvl w:ilvl="0" w:tplc="B12214D0">
      <w:start w:val="4"/>
      <w:numFmt w:val="low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E27A56"/>
    <w:multiLevelType w:val="multilevel"/>
    <w:tmpl w:val="F6825C88"/>
    <w:lvl w:ilvl="0">
      <w:start w:val="1"/>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8587753"/>
    <w:multiLevelType w:val="hybridMultilevel"/>
    <w:tmpl w:val="D7DA66F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AA07433"/>
    <w:multiLevelType w:val="hybridMultilevel"/>
    <w:tmpl w:val="534018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E2B35"/>
    <w:multiLevelType w:val="hybridMultilevel"/>
    <w:tmpl w:val="1324A8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2B5E26"/>
    <w:multiLevelType w:val="hybridMultilevel"/>
    <w:tmpl w:val="3A1EFD92"/>
    <w:lvl w:ilvl="0" w:tplc="1534E58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80114E"/>
    <w:multiLevelType w:val="hybridMultilevel"/>
    <w:tmpl w:val="BE985BDE"/>
    <w:lvl w:ilvl="0" w:tplc="F2E4C07A">
      <w:start w:val="1"/>
      <w:numFmt w:val="upperRoman"/>
      <w:lvlText w:val="%1."/>
      <w:lvlJc w:val="left"/>
      <w:pPr>
        <w:ind w:left="1117" w:hanging="72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13" w15:restartNumberingAfterBreak="0">
    <w:nsid w:val="3D412C07"/>
    <w:multiLevelType w:val="hybridMultilevel"/>
    <w:tmpl w:val="D66C9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814E68"/>
    <w:multiLevelType w:val="hybridMultilevel"/>
    <w:tmpl w:val="9E0EF4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097BEE"/>
    <w:multiLevelType w:val="hybridMultilevel"/>
    <w:tmpl w:val="3AB0E76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B8B5ED0"/>
    <w:multiLevelType w:val="hybridMultilevel"/>
    <w:tmpl w:val="4AF627C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11F6962"/>
    <w:multiLevelType w:val="hybridMultilevel"/>
    <w:tmpl w:val="C27801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25B3459"/>
    <w:multiLevelType w:val="hybridMultilevel"/>
    <w:tmpl w:val="5E5EC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5C3591"/>
    <w:multiLevelType w:val="hybridMultilevel"/>
    <w:tmpl w:val="8D768A2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10320C"/>
    <w:multiLevelType w:val="hybridMultilevel"/>
    <w:tmpl w:val="CB680C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0"/>
  </w:num>
  <w:num w:numId="3">
    <w:abstractNumId w:val="8"/>
  </w:num>
  <w:num w:numId="4">
    <w:abstractNumId w:val="5"/>
  </w:num>
  <w:num w:numId="5">
    <w:abstractNumId w:val="18"/>
  </w:num>
  <w:num w:numId="6">
    <w:abstractNumId w:val="2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5"/>
  </w:num>
  <w:num w:numId="10">
    <w:abstractNumId w:val="17"/>
  </w:num>
  <w:num w:numId="11">
    <w:abstractNumId w:val="9"/>
  </w:num>
  <w:num w:numId="12">
    <w:abstractNumId w:val="6"/>
  </w:num>
  <w:num w:numId="13">
    <w:abstractNumId w:val="19"/>
  </w:num>
  <w:num w:numId="14">
    <w:abstractNumId w:val="11"/>
  </w:num>
  <w:num w:numId="15">
    <w:abstractNumId w:val="7"/>
  </w:num>
  <w:num w:numId="16">
    <w:abstractNumId w:val="3"/>
  </w:num>
  <w:num w:numId="17">
    <w:abstractNumId w:val="12"/>
  </w:num>
  <w:num w:numId="18">
    <w:abstractNumId w:val="16"/>
  </w:num>
  <w:num w:numId="19">
    <w:abstractNumId w:val="4"/>
  </w:num>
  <w:num w:numId="20">
    <w:abstractNumId w:val="0"/>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BB"/>
    <w:rsid w:val="00007566"/>
    <w:rsid w:val="00007908"/>
    <w:rsid w:val="00007EC7"/>
    <w:rsid w:val="00011765"/>
    <w:rsid w:val="00011F0B"/>
    <w:rsid w:val="000139D8"/>
    <w:rsid w:val="00016B5F"/>
    <w:rsid w:val="00021AC1"/>
    <w:rsid w:val="00024DF2"/>
    <w:rsid w:val="00026EB6"/>
    <w:rsid w:val="00027F8B"/>
    <w:rsid w:val="0003023D"/>
    <w:rsid w:val="00034810"/>
    <w:rsid w:val="000441FF"/>
    <w:rsid w:val="00047BC7"/>
    <w:rsid w:val="00050EF4"/>
    <w:rsid w:val="0005120D"/>
    <w:rsid w:val="00051B44"/>
    <w:rsid w:val="00052E9C"/>
    <w:rsid w:val="0005410D"/>
    <w:rsid w:val="000564DF"/>
    <w:rsid w:val="00064453"/>
    <w:rsid w:val="000706B3"/>
    <w:rsid w:val="0007181E"/>
    <w:rsid w:val="000771E2"/>
    <w:rsid w:val="00077F63"/>
    <w:rsid w:val="00081B60"/>
    <w:rsid w:val="00083BC5"/>
    <w:rsid w:val="00083D2A"/>
    <w:rsid w:val="00084244"/>
    <w:rsid w:val="000845A5"/>
    <w:rsid w:val="00091D44"/>
    <w:rsid w:val="00093715"/>
    <w:rsid w:val="00094BAF"/>
    <w:rsid w:val="000A0E29"/>
    <w:rsid w:val="000A6C74"/>
    <w:rsid w:val="000B2FD9"/>
    <w:rsid w:val="000B4B4E"/>
    <w:rsid w:val="000B76F6"/>
    <w:rsid w:val="000C5B8D"/>
    <w:rsid w:val="000D451D"/>
    <w:rsid w:val="000D7929"/>
    <w:rsid w:val="000E0BD9"/>
    <w:rsid w:val="000E19BA"/>
    <w:rsid w:val="000E4BD3"/>
    <w:rsid w:val="000F3B36"/>
    <w:rsid w:val="000F51E2"/>
    <w:rsid w:val="001005DC"/>
    <w:rsid w:val="0010280B"/>
    <w:rsid w:val="001035B8"/>
    <w:rsid w:val="00105006"/>
    <w:rsid w:val="001070F4"/>
    <w:rsid w:val="001078AB"/>
    <w:rsid w:val="001107E9"/>
    <w:rsid w:val="00112716"/>
    <w:rsid w:val="0011567C"/>
    <w:rsid w:val="0011615F"/>
    <w:rsid w:val="00124B03"/>
    <w:rsid w:val="0012737B"/>
    <w:rsid w:val="00127B5F"/>
    <w:rsid w:val="0013376E"/>
    <w:rsid w:val="00133CBA"/>
    <w:rsid w:val="00134BD5"/>
    <w:rsid w:val="001353C2"/>
    <w:rsid w:val="00136656"/>
    <w:rsid w:val="00145A19"/>
    <w:rsid w:val="00145BB5"/>
    <w:rsid w:val="00146272"/>
    <w:rsid w:val="001518D4"/>
    <w:rsid w:val="00153D18"/>
    <w:rsid w:val="00154851"/>
    <w:rsid w:val="001567D8"/>
    <w:rsid w:val="00157D3E"/>
    <w:rsid w:val="00162D80"/>
    <w:rsid w:val="00166013"/>
    <w:rsid w:val="00172E5C"/>
    <w:rsid w:val="001768E4"/>
    <w:rsid w:val="00181454"/>
    <w:rsid w:val="0018184B"/>
    <w:rsid w:val="001857F2"/>
    <w:rsid w:val="00191865"/>
    <w:rsid w:val="00193310"/>
    <w:rsid w:val="00193E09"/>
    <w:rsid w:val="001967BF"/>
    <w:rsid w:val="001A4CA3"/>
    <w:rsid w:val="001A4D76"/>
    <w:rsid w:val="001A6E52"/>
    <w:rsid w:val="001A70FB"/>
    <w:rsid w:val="001B1792"/>
    <w:rsid w:val="001B1829"/>
    <w:rsid w:val="001B1D58"/>
    <w:rsid w:val="001C222F"/>
    <w:rsid w:val="001D228A"/>
    <w:rsid w:val="001F0C45"/>
    <w:rsid w:val="001F3D7B"/>
    <w:rsid w:val="00200C51"/>
    <w:rsid w:val="002024D2"/>
    <w:rsid w:val="00207CEC"/>
    <w:rsid w:val="00210BC7"/>
    <w:rsid w:val="00211D20"/>
    <w:rsid w:val="0021460B"/>
    <w:rsid w:val="002146C7"/>
    <w:rsid w:val="00217109"/>
    <w:rsid w:val="00222444"/>
    <w:rsid w:val="00222858"/>
    <w:rsid w:val="002260EF"/>
    <w:rsid w:val="00226DA7"/>
    <w:rsid w:val="0023007E"/>
    <w:rsid w:val="00233BE6"/>
    <w:rsid w:val="00233D4C"/>
    <w:rsid w:val="002415E2"/>
    <w:rsid w:val="00241EF1"/>
    <w:rsid w:val="00243AB4"/>
    <w:rsid w:val="00253604"/>
    <w:rsid w:val="0025437B"/>
    <w:rsid w:val="00254ABD"/>
    <w:rsid w:val="00255EDA"/>
    <w:rsid w:val="00260060"/>
    <w:rsid w:val="00260132"/>
    <w:rsid w:val="00262984"/>
    <w:rsid w:val="00263E1B"/>
    <w:rsid w:val="00266715"/>
    <w:rsid w:val="00270258"/>
    <w:rsid w:val="00270D0B"/>
    <w:rsid w:val="0027152F"/>
    <w:rsid w:val="00271D38"/>
    <w:rsid w:val="002734B6"/>
    <w:rsid w:val="002749F7"/>
    <w:rsid w:val="002775D5"/>
    <w:rsid w:val="002809E3"/>
    <w:rsid w:val="0028268F"/>
    <w:rsid w:val="00285C94"/>
    <w:rsid w:val="002905F7"/>
    <w:rsid w:val="00292B7F"/>
    <w:rsid w:val="00296C22"/>
    <w:rsid w:val="002A151D"/>
    <w:rsid w:val="002A7FA1"/>
    <w:rsid w:val="002B0776"/>
    <w:rsid w:val="002B403D"/>
    <w:rsid w:val="002B60BE"/>
    <w:rsid w:val="002B76F9"/>
    <w:rsid w:val="002C0AE8"/>
    <w:rsid w:val="002C1221"/>
    <w:rsid w:val="002C36BD"/>
    <w:rsid w:val="002C4411"/>
    <w:rsid w:val="002C5472"/>
    <w:rsid w:val="002C58DD"/>
    <w:rsid w:val="002C5B2A"/>
    <w:rsid w:val="002E0E3D"/>
    <w:rsid w:val="002E78AC"/>
    <w:rsid w:val="002F10F0"/>
    <w:rsid w:val="002F1873"/>
    <w:rsid w:val="002F3069"/>
    <w:rsid w:val="002F40DF"/>
    <w:rsid w:val="002F5EBB"/>
    <w:rsid w:val="003025E1"/>
    <w:rsid w:val="00303D13"/>
    <w:rsid w:val="0030650E"/>
    <w:rsid w:val="00311B6D"/>
    <w:rsid w:val="00317A19"/>
    <w:rsid w:val="0032536D"/>
    <w:rsid w:val="00325B12"/>
    <w:rsid w:val="00331CF9"/>
    <w:rsid w:val="003345F9"/>
    <w:rsid w:val="00341D26"/>
    <w:rsid w:val="00342F29"/>
    <w:rsid w:val="00344311"/>
    <w:rsid w:val="00351D65"/>
    <w:rsid w:val="00355075"/>
    <w:rsid w:val="00356D2F"/>
    <w:rsid w:val="0036466A"/>
    <w:rsid w:val="00364EC0"/>
    <w:rsid w:val="00375A33"/>
    <w:rsid w:val="00382CB6"/>
    <w:rsid w:val="00383D49"/>
    <w:rsid w:val="00384BB1"/>
    <w:rsid w:val="00387C07"/>
    <w:rsid w:val="003911DD"/>
    <w:rsid w:val="00392ECF"/>
    <w:rsid w:val="00393203"/>
    <w:rsid w:val="00395747"/>
    <w:rsid w:val="003A0B83"/>
    <w:rsid w:val="003B1090"/>
    <w:rsid w:val="003C0C4D"/>
    <w:rsid w:val="003C3994"/>
    <w:rsid w:val="003D5842"/>
    <w:rsid w:val="003E3876"/>
    <w:rsid w:val="003E4F9E"/>
    <w:rsid w:val="003E7106"/>
    <w:rsid w:val="003E7509"/>
    <w:rsid w:val="003F008C"/>
    <w:rsid w:val="003F11A7"/>
    <w:rsid w:val="003F7DF4"/>
    <w:rsid w:val="004010AA"/>
    <w:rsid w:val="0040285D"/>
    <w:rsid w:val="00403332"/>
    <w:rsid w:val="00403E93"/>
    <w:rsid w:val="004041AE"/>
    <w:rsid w:val="00405DF9"/>
    <w:rsid w:val="0041012C"/>
    <w:rsid w:val="00410FDE"/>
    <w:rsid w:val="00412CD6"/>
    <w:rsid w:val="00412D5C"/>
    <w:rsid w:val="00413607"/>
    <w:rsid w:val="00413638"/>
    <w:rsid w:val="00415FFB"/>
    <w:rsid w:val="00420A7B"/>
    <w:rsid w:val="00422EE1"/>
    <w:rsid w:val="00426CFE"/>
    <w:rsid w:val="004305D7"/>
    <w:rsid w:val="00430ABA"/>
    <w:rsid w:val="00431C47"/>
    <w:rsid w:val="00436954"/>
    <w:rsid w:val="00436E8F"/>
    <w:rsid w:val="004419F2"/>
    <w:rsid w:val="004459F8"/>
    <w:rsid w:val="00447096"/>
    <w:rsid w:val="00450BBC"/>
    <w:rsid w:val="0045676B"/>
    <w:rsid w:val="00467368"/>
    <w:rsid w:val="00470C97"/>
    <w:rsid w:val="004722EC"/>
    <w:rsid w:val="0048012E"/>
    <w:rsid w:val="004815F6"/>
    <w:rsid w:val="00484C6F"/>
    <w:rsid w:val="00485013"/>
    <w:rsid w:val="004906FC"/>
    <w:rsid w:val="00494CBB"/>
    <w:rsid w:val="0049572E"/>
    <w:rsid w:val="004A0B0A"/>
    <w:rsid w:val="004A0F15"/>
    <w:rsid w:val="004A56C9"/>
    <w:rsid w:val="004B4E14"/>
    <w:rsid w:val="004B690A"/>
    <w:rsid w:val="004B7218"/>
    <w:rsid w:val="004B7498"/>
    <w:rsid w:val="004D2A54"/>
    <w:rsid w:val="004D493E"/>
    <w:rsid w:val="004D4ECA"/>
    <w:rsid w:val="004F74B3"/>
    <w:rsid w:val="004F78CC"/>
    <w:rsid w:val="00500126"/>
    <w:rsid w:val="00500F26"/>
    <w:rsid w:val="005073BD"/>
    <w:rsid w:val="005157DC"/>
    <w:rsid w:val="00515C33"/>
    <w:rsid w:val="005175A3"/>
    <w:rsid w:val="00517C4E"/>
    <w:rsid w:val="00530839"/>
    <w:rsid w:val="00530AEA"/>
    <w:rsid w:val="0053333E"/>
    <w:rsid w:val="00535EED"/>
    <w:rsid w:val="00536B0F"/>
    <w:rsid w:val="00537948"/>
    <w:rsid w:val="00541C3D"/>
    <w:rsid w:val="00544D55"/>
    <w:rsid w:val="00545C58"/>
    <w:rsid w:val="00547A3A"/>
    <w:rsid w:val="00554338"/>
    <w:rsid w:val="005602FE"/>
    <w:rsid w:val="005622D8"/>
    <w:rsid w:val="00565F71"/>
    <w:rsid w:val="0057064B"/>
    <w:rsid w:val="00571441"/>
    <w:rsid w:val="005739CF"/>
    <w:rsid w:val="00575CF3"/>
    <w:rsid w:val="00580C64"/>
    <w:rsid w:val="00580F16"/>
    <w:rsid w:val="00581F45"/>
    <w:rsid w:val="005830A8"/>
    <w:rsid w:val="005839B8"/>
    <w:rsid w:val="00592D94"/>
    <w:rsid w:val="00594B54"/>
    <w:rsid w:val="00595C7C"/>
    <w:rsid w:val="005A0AF7"/>
    <w:rsid w:val="005A675C"/>
    <w:rsid w:val="005A69EE"/>
    <w:rsid w:val="005A71B3"/>
    <w:rsid w:val="005A7910"/>
    <w:rsid w:val="005B1EE1"/>
    <w:rsid w:val="005B34A4"/>
    <w:rsid w:val="005B674A"/>
    <w:rsid w:val="005B69EA"/>
    <w:rsid w:val="005B70F2"/>
    <w:rsid w:val="005C2281"/>
    <w:rsid w:val="005C27C9"/>
    <w:rsid w:val="005C3683"/>
    <w:rsid w:val="005C70B6"/>
    <w:rsid w:val="005D060A"/>
    <w:rsid w:val="005D10AD"/>
    <w:rsid w:val="005D2D4C"/>
    <w:rsid w:val="005D5265"/>
    <w:rsid w:val="005E3D90"/>
    <w:rsid w:val="005E3F6F"/>
    <w:rsid w:val="005E4656"/>
    <w:rsid w:val="005F11A8"/>
    <w:rsid w:val="005F6A6D"/>
    <w:rsid w:val="00600EAD"/>
    <w:rsid w:val="00607308"/>
    <w:rsid w:val="00607A07"/>
    <w:rsid w:val="00614458"/>
    <w:rsid w:val="00616F4E"/>
    <w:rsid w:val="00622956"/>
    <w:rsid w:val="00622A1F"/>
    <w:rsid w:val="0062575E"/>
    <w:rsid w:val="00640D51"/>
    <w:rsid w:val="00656F91"/>
    <w:rsid w:val="0065795B"/>
    <w:rsid w:val="00660E33"/>
    <w:rsid w:val="00661239"/>
    <w:rsid w:val="00663438"/>
    <w:rsid w:val="00670C07"/>
    <w:rsid w:val="0067144C"/>
    <w:rsid w:val="0067209D"/>
    <w:rsid w:val="00672E2A"/>
    <w:rsid w:val="00674316"/>
    <w:rsid w:val="00677ACB"/>
    <w:rsid w:val="00677D2D"/>
    <w:rsid w:val="00683FE7"/>
    <w:rsid w:val="006A7EEC"/>
    <w:rsid w:val="006B133B"/>
    <w:rsid w:val="006B484A"/>
    <w:rsid w:val="006B51F2"/>
    <w:rsid w:val="006B6B46"/>
    <w:rsid w:val="006B7301"/>
    <w:rsid w:val="006B7A8E"/>
    <w:rsid w:val="006C14B8"/>
    <w:rsid w:val="006C4A46"/>
    <w:rsid w:val="006D38B1"/>
    <w:rsid w:val="006D557F"/>
    <w:rsid w:val="006D63C3"/>
    <w:rsid w:val="006D67A4"/>
    <w:rsid w:val="006E1430"/>
    <w:rsid w:val="006E19E9"/>
    <w:rsid w:val="006E70BD"/>
    <w:rsid w:val="006F44E2"/>
    <w:rsid w:val="006F65F9"/>
    <w:rsid w:val="006F7B74"/>
    <w:rsid w:val="006F7FE6"/>
    <w:rsid w:val="007133F7"/>
    <w:rsid w:val="0071731C"/>
    <w:rsid w:val="00717436"/>
    <w:rsid w:val="007176FC"/>
    <w:rsid w:val="0072172F"/>
    <w:rsid w:val="00724B35"/>
    <w:rsid w:val="007312F2"/>
    <w:rsid w:val="00736092"/>
    <w:rsid w:val="00742EA6"/>
    <w:rsid w:val="0074392F"/>
    <w:rsid w:val="007460E3"/>
    <w:rsid w:val="00757276"/>
    <w:rsid w:val="00761B98"/>
    <w:rsid w:val="007627DC"/>
    <w:rsid w:val="00766EBD"/>
    <w:rsid w:val="00771CE1"/>
    <w:rsid w:val="00775C4D"/>
    <w:rsid w:val="007818B5"/>
    <w:rsid w:val="00784660"/>
    <w:rsid w:val="00790004"/>
    <w:rsid w:val="007934D9"/>
    <w:rsid w:val="007B4FA8"/>
    <w:rsid w:val="007B7873"/>
    <w:rsid w:val="007C09B2"/>
    <w:rsid w:val="007C0BB6"/>
    <w:rsid w:val="007C1295"/>
    <w:rsid w:val="007C1FD7"/>
    <w:rsid w:val="007C3207"/>
    <w:rsid w:val="007D22AF"/>
    <w:rsid w:val="007D7739"/>
    <w:rsid w:val="00800BA4"/>
    <w:rsid w:val="008027B5"/>
    <w:rsid w:val="0080407B"/>
    <w:rsid w:val="00805C59"/>
    <w:rsid w:val="008062B9"/>
    <w:rsid w:val="00811B60"/>
    <w:rsid w:val="008120AF"/>
    <w:rsid w:val="008131BA"/>
    <w:rsid w:val="00820305"/>
    <w:rsid w:val="00824283"/>
    <w:rsid w:val="00824823"/>
    <w:rsid w:val="00825CB5"/>
    <w:rsid w:val="00826EFB"/>
    <w:rsid w:val="008376CE"/>
    <w:rsid w:val="008432AF"/>
    <w:rsid w:val="00843FD4"/>
    <w:rsid w:val="008441A4"/>
    <w:rsid w:val="00845540"/>
    <w:rsid w:val="00850007"/>
    <w:rsid w:val="00854EF0"/>
    <w:rsid w:val="00860137"/>
    <w:rsid w:val="008604AE"/>
    <w:rsid w:val="00862330"/>
    <w:rsid w:val="008651DC"/>
    <w:rsid w:val="00867B53"/>
    <w:rsid w:val="0087766E"/>
    <w:rsid w:val="0088100D"/>
    <w:rsid w:val="00882E73"/>
    <w:rsid w:val="0088478D"/>
    <w:rsid w:val="008856C2"/>
    <w:rsid w:val="00886200"/>
    <w:rsid w:val="00896A8F"/>
    <w:rsid w:val="008A31E7"/>
    <w:rsid w:val="008A6EB6"/>
    <w:rsid w:val="008B0BF9"/>
    <w:rsid w:val="008B1B6A"/>
    <w:rsid w:val="008B433B"/>
    <w:rsid w:val="008B62F5"/>
    <w:rsid w:val="008C7AA0"/>
    <w:rsid w:val="008D1DA6"/>
    <w:rsid w:val="008D2EBA"/>
    <w:rsid w:val="008D448B"/>
    <w:rsid w:val="008F0C9D"/>
    <w:rsid w:val="008F2ACD"/>
    <w:rsid w:val="009040FA"/>
    <w:rsid w:val="00907C63"/>
    <w:rsid w:val="00910894"/>
    <w:rsid w:val="00911D13"/>
    <w:rsid w:val="00917AD3"/>
    <w:rsid w:val="00920C93"/>
    <w:rsid w:val="00924EAD"/>
    <w:rsid w:val="00931A05"/>
    <w:rsid w:val="00931CC6"/>
    <w:rsid w:val="00932A7E"/>
    <w:rsid w:val="00941C86"/>
    <w:rsid w:val="00943B41"/>
    <w:rsid w:val="009500AD"/>
    <w:rsid w:val="00952B4E"/>
    <w:rsid w:val="00955750"/>
    <w:rsid w:val="00961F9E"/>
    <w:rsid w:val="00964300"/>
    <w:rsid w:val="009649DA"/>
    <w:rsid w:val="00964D1F"/>
    <w:rsid w:val="00965E28"/>
    <w:rsid w:val="00967436"/>
    <w:rsid w:val="009704ED"/>
    <w:rsid w:val="009719FD"/>
    <w:rsid w:val="00971EA9"/>
    <w:rsid w:val="0097314B"/>
    <w:rsid w:val="00973DB0"/>
    <w:rsid w:val="00973DDD"/>
    <w:rsid w:val="0097417A"/>
    <w:rsid w:val="00975467"/>
    <w:rsid w:val="00983109"/>
    <w:rsid w:val="00984F08"/>
    <w:rsid w:val="009950A5"/>
    <w:rsid w:val="009A0130"/>
    <w:rsid w:val="009A07CC"/>
    <w:rsid w:val="009A1BAC"/>
    <w:rsid w:val="009A2AEF"/>
    <w:rsid w:val="009B0A30"/>
    <w:rsid w:val="009B6452"/>
    <w:rsid w:val="009B7B7C"/>
    <w:rsid w:val="009C09D1"/>
    <w:rsid w:val="009C3184"/>
    <w:rsid w:val="009D050D"/>
    <w:rsid w:val="009D40A7"/>
    <w:rsid w:val="009D4B2D"/>
    <w:rsid w:val="009D658B"/>
    <w:rsid w:val="009E1B89"/>
    <w:rsid w:val="009E68AF"/>
    <w:rsid w:val="009E6B7C"/>
    <w:rsid w:val="009F2260"/>
    <w:rsid w:val="009F4253"/>
    <w:rsid w:val="009F7F3D"/>
    <w:rsid w:val="00A007E1"/>
    <w:rsid w:val="00A01ED9"/>
    <w:rsid w:val="00A02309"/>
    <w:rsid w:val="00A053AC"/>
    <w:rsid w:val="00A0543E"/>
    <w:rsid w:val="00A0775B"/>
    <w:rsid w:val="00A10287"/>
    <w:rsid w:val="00A235B9"/>
    <w:rsid w:val="00A244BE"/>
    <w:rsid w:val="00A24BE8"/>
    <w:rsid w:val="00A27B86"/>
    <w:rsid w:val="00A31326"/>
    <w:rsid w:val="00A376A5"/>
    <w:rsid w:val="00A42500"/>
    <w:rsid w:val="00A429F0"/>
    <w:rsid w:val="00A47280"/>
    <w:rsid w:val="00A52B14"/>
    <w:rsid w:val="00A56B47"/>
    <w:rsid w:val="00A56D7B"/>
    <w:rsid w:val="00A57E5B"/>
    <w:rsid w:val="00A63EA3"/>
    <w:rsid w:val="00A70646"/>
    <w:rsid w:val="00A7669B"/>
    <w:rsid w:val="00A80E43"/>
    <w:rsid w:val="00A8264F"/>
    <w:rsid w:val="00A8479A"/>
    <w:rsid w:val="00A84D27"/>
    <w:rsid w:val="00A85577"/>
    <w:rsid w:val="00A97284"/>
    <w:rsid w:val="00AA0371"/>
    <w:rsid w:val="00AA1C7C"/>
    <w:rsid w:val="00AB256E"/>
    <w:rsid w:val="00AB2A53"/>
    <w:rsid w:val="00AC0F2D"/>
    <w:rsid w:val="00AC0F4D"/>
    <w:rsid w:val="00AC623D"/>
    <w:rsid w:val="00AC6D4D"/>
    <w:rsid w:val="00AC769E"/>
    <w:rsid w:val="00AD0FAF"/>
    <w:rsid w:val="00AD106C"/>
    <w:rsid w:val="00AD3818"/>
    <w:rsid w:val="00AE0400"/>
    <w:rsid w:val="00AE2E96"/>
    <w:rsid w:val="00AE51DB"/>
    <w:rsid w:val="00AE695E"/>
    <w:rsid w:val="00AF0A53"/>
    <w:rsid w:val="00AF5AD7"/>
    <w:rsid w:val="00B00EB9"/>
    <w:rsid w:val="00B02A18"/>
    <w:rsid w:val="00B066CA"/>
    <w:rsid w:val="00B111AE"/>
    <w:rsid w:val="00B13886"/>
    <w:rsid w:val="00B204E2"/>
    <w:rsid w:val="00B31BCD"/>
    <w:rsid w:val="00B3338B"/>
    <w:rsid w:val="00B35E3D"/>
    <w:rsid w:val="00B36FF4"/>
    <w:rsid w:val="00B40670"/>
    <w:rsid w:val="00B442EA"/>
    <w:rsid w:val="00B46E5B"/>
    <w:rsid w:val="00B50B64"/>
    <w:rsid w:val="00B516F9"/>
    <w:rsid w:val="00B558BF"/>
    <w:rsid w:val="00B569B7"/>
    <w:rsid w:val="00B66F55"/>
    <w:rsid w:val="00B701AA"/>
    <w:rsid w:val="00B736A6"/>
    <w:rsid w:val="00B75936"/>
    <w:rsid w:val="00B75C27"/>
    <w:rsid w:val="00B767EF"/>
    <w:rsid w:val="00B87D6B"/>
    <w:rsid w:val="00B9237D"/>
    <w:rsid w:val="00B94137"/>
    <w:rsid w:val="00B96C84"/>
    <w:rsid w:val="00BB5066"/>
    <w:rsid w:val="00BB6B67"/>
    <w:rsid w:val="00BC7B1C"/>
    <w:rsid w:val="00BD2CE1"/>
    <w:rsid w:val="00BD48CC"/>
    <w:rsid w:val="00BD51A1"/>
    <w:rsid w:val="00BE308E"/>
    <w:rsid w:val="00BE43E5"/>
    <w:rsid w:val="00BE650D"/>
    <w:rsid w:val="00BF0F9B"/>
    <w:rsid w:val="00BF468E"/>
    <w:rsid w:val="00BF4CC2"/>
    <w:rsid w:val="00BF6131"/>
    <w:rsid w:val="00C02EE6"/>
    <w:rsid w:val="00C03DE9"/>
    <w:rsid w:val="00C0587B"/>
    <w:rsid w:val="00C05ECD"/>
    <w:rsid w:val="00C06347"/>
    <w:rsid w:val="00C07695"/>
    <w:rsid w:val="00C07D09"/>
    <w:rsid w:val="00C104E7"/>
    <w:rsid w:val="00C10A5C"/>
    <w:rsid w:val="00C14E7E"/>
    <w:rsid w:val="00C165D3"/>
    <w:rsid w:val="00C207C2"/>
    <w:rsid w:val="00C21887"/>
    <w:rsid w:val="00C21BEA"/>
    <w:rsid w:val="00C256B2"/>
    <w:rsid w:val="00C25F8D"/>
    <w:rsid w:val="00C26D95"/>
    <w:rsid w:val="00C2785B"/>
    <w:rsid w:val="00C30911"/>
    <w:rsid w:val="00C34788"/>
    <w:rsid w:val="00C36E08"/>
    <w:rsid w:val="00C404E7"/>
    <w:rsid w:val="00C40B5A"/>
    <w:rsid w:val="00C50A38"/>
    <w:rsid w:val="00C50F8D"/>
    <w:rsid w:val="00C53AD0"/>
    <w:rsid w:val="00C545B4"/>
    <w:rsid w:val="00C57158"/>
    <w:rsid w:val="00C574FE"/>
    <w:rsid w:val="00C62A60"/>
    <w:rsid w:val="00C71172"/>
    <w:rsid w:val="00C7353A"/>
    <w:rsid w:val="00C751B4"/>
    <w:rsid w:val="00C76271"/>
    <w:rsid w:val="00C77572"/>
    <w:rsid w:val="00C86338"/>
    <w:rsid w:val="00C909F9"/>
    <w:rsid w:val="00C92E50"/>
    <w:rsid w:val="00C9377A"/>
    <w:rsid w:val="00C9578A"/>
    <w:rsid w:val="00CA142C"/>
    <w:rsid w:val="00CA1E92"/>
    <w:rsid w:val="00CA3A75"/>
    <w:rsid w:val="00CA7B4C"/>
    <w:rsid w:val="00CB1238"/>
    <w:rsid w:val="00CB2053"/>
    <w:rsid w:val="00CB23D6"/>
    <w:rsid w:val="00CB2B02"/>
    <w:rsid w:val="00CB7B7A"/>
    <w:rsid w:val="00CC1735"/>
    <w:rsid w:val="00CC1827"/>
    <w:rsid w:val="00CC2867"/>
    <w:rsid w:val="00CC2906"/>
    <w:rsid w:val="00CE4A77"/>
    <w:rsid w:val="00CE5353"/>
    <w:rsid w:val="00CE732D"/>
    <w:rsid w:val="00CE7789"/>
    <w:rsid w:val="00CF1523"/>
    <w:rsid w:val="00CF1868"/>
    <w:rsid w:val="00CF3567"/>
    <w:rsid w:val="00D06183"/>
    <w:rsid w:val="00D07646"/>
    <w:rsid w:val="00D103F4"/>
    <w:rsid w:val="00D10FCF"/>
    <w:rsid w:val="00D15D63"/>
    <w:rsid w:val="00D16908"/>
    <w:rsid w:val="00D222CC"/>
    <w:rsid w:val="00D24FF3"/>
    <w:rsid w:val="00D267F2"/>
    <w:rsid w:val="00D3271F"/>
    <w:rsid w:val="00D4195C"/>
    <w:rsid w:val="00D4361A"/>
    <w:rsid w:val="00D43814"/>
    <w:rsid w:val="00D43DC5"/>
    <w:rsid w:val="00D4624D"/>
    <w:rsid w:val="00D46DBD"/>
    <w:rsid w:val="00D5056E"/>
    <w:rsid w:val="00D50C6A"/>
    <w:rsid w:val="00D529B1"/>
    <w:rsid w:val="00D54441"/>
    <w:rsid w:val="00D54A30"/>
    <w:rsid w:val="00D609D9"/>
    <w:rsid w:val="00D6422A"/>
    <w:rsid w:val="00D64664"/>
    <w:rsid w:val="00D73412"/>
    <w:rsid w:val="00D76DCF"/>
    <w:rsid w:val="00D82DEF"/>
    <w:rsid w:val="00D8382D"/>
    <w:rsid w:val="00D85CB2"/>
    <w:rsid w:val="00D87C41"/>
    <w:rsid w:val="00D90614"/>
    <w:rsid w:val="00D91990"/>
    <w:rsid w:val="00D93280"/>
    <w:rsid w:val="00D967A2"/>
    <w:rsid w:val="00DA2B26"/>
    <w:rsid w:val="00DB1621"/>
    <w:rsid w:val="00DB36DA"/>
    <w:rsid w:val="00DB7CAA"/>
    <w:rsid w:val="00DC42B6"/>
    <w:rsid w:val="00DC5DC9"/>
    <w:rsid w:val="00DD1BF9"/>
    <w:rsid w:val="00DE1597"/>
    <w:rsid w:val="00DE33AF"/>
    <w:rsid w:val="00DE66EC"/>
    <w:rsid w:val="00DF0A31"/>
    <w:rsid w:val="00DF16D4"/>
    <w:rsid w:val="00DF25B4"/>
    <w:rsid w:val="00DF2E5D"/>
    <w:rsid w:val="00DF75A0"/>
    <w:rsid w:val="00E062C9"/>
    <w:rsid w:val="00E07C64"/>
    <w:rsid w:val="00E11C2C"/>
    <w:rsid w:val="00E13C52"/>
    <w:rsid w:val="00E205C9"/>
    <w:rsid w:val="00E24E55"/>
    <w:rsid w:val="00E41A02"/>
    <w:rsid w:val="00E42343"/>
    <w:rsid w:val="00E44C0A"/>
    <w:rsid w:val="00E515D3"/>
    <w:rsid w:val="00E60791"/>
    <w:rsid w:val="00E667BC"/>
    <w:rsid w:val="00E67FFD"/>
    <w:rsid w:val="00E71C5A"/>
    <w:rsid w:val="00E77682"/>
    <w:rsid w:val="00E9266F"/>
    <w:rsid w:val="00E95BFB"/>
    <w:rsid w:val="00EA16AC"/>
    <w:rsid w:val="00EA1B67"/>
    <w:rsid w:val="00EA550B"/>
    <w:rsid w:val="00EA6202"/>
    <w:rsid w:val="00EB22BA"/>
    <w:rsid w:val="00EB3F53"/>
    <w:rsid w:val="00EB56AC"/>
    <w:rsid w:val="00EC21DC"/>
    <w:rsid w:val="00EE22FD"/>
    <w:rsid w:val="00EE4A66"/>
    <w:rsid w:val="00EE7976"/>
    <w:rsid w:val="00EF12EE"/>
    <w:rsid w:val="00EF38F0"/>
    <w:rsid w:val="00EF6C51"/>
    <w:rsid w:val="00F00E2A"/>
    <w:rsid w:val="00F02EC0"/>
    <w:rsid w:val="00F03EA5"/>
    <w:rsid w:val="00F07506"/>
    <w:rsid w:val="00F225BA"/>
    <w:rsid w:val="00F24AD0"/>
    <w:rsid w:val="00F41430"/>
    <w:rsid w:val="00F530EF"/>
    <w:rsid w:val="00F541ED"/>
    <w:rsid w:val="00F548D2"/>
    <w:rsid w:val="00F55DB8"/>
    <w:rsid w:val="00F570EB"/>
    <w:rsid w:val="00F662DD"/>
    <w:rsid w:val="00F70EAD"/>
    <w:rsid w:val="00F71AB6"/>
    <w:rsid w:val="00F72EAE"/>
    <w:rsid w:val="00F73B36"/>
    <w:rsid w:val="00F75B3F"/>
    <w:rsid w:val="00F77311"/>
    <w:rsid w:val="00F816DE"/>
    <w:rsid w:val="00F837D6"/>
    <w:rsid w:val="00F841AF"/>
    <w:rsid w:val="00F85F82"/>
    <w:rsid w:val="00F9239C"/>
    <w:rsid w:val="00F937D3"/>
    <w:rsid w:val="00F937FA"/>
    <w:rsid w:val="00F93A68"/>
    <w:rsid w:val="00FA25E5"/>
    <w:rsid w:val="00FB1A56"/>
    <w:rsid w:val="00FC0628"/>
    <w:rsid w:val="00FC1D12"/>
    <w:rsid w:val="00FC43D1"/>
    <w:rsid w:val="00FD186B"/>
    <w:rsid w:val="00FD2237"/>
    <w:rsid w:val="00FD438F"/>
    <w:rsid w:val="00FD5418"/>
    <w:rsid w:val="00FD5546"/>
    <w:rsid w:val="00FE2B4F"/>
    <w:rsid w:val="00FE2D47"/>
    <w:rsid w:val="00FE4B38"/>
    <w:rsid w:val="00FE5F4A"/>
    <w:rsid w:val="00FF4CD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BA3D5A"/>
  <w15:docId w15:val="{282CF4C3-B70B-4989-8591-407187C4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C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860137"/>
    <w:pPr>
      <w:keepNext/>
      <w:keepLines/>
      <w:spacing w:before="360" w:after="80"/>
      <w:outlineLvl w:val="1"/>
    </w:pPr>
    <w:rPr>
      <w:b/>
      <w:sz w:val="36"/>
      <w:szCs w:val="3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F5EBB"/>
    <w:pPr>
      <w:tabs>
        <w:tab w:val="center" w:pos="4419"/>
        <w:tab w:val="right" w:pos="8838"/>
      </w:tabs>
    </w:pPr>
  </w:style>
  <w:style w:type="character" w:customStyle="1" w:styleId="EncabezadoCar">
    <w:name w:val="Encabezado Car"/>
    <w:basedOn w:val="Fuentedeprrafopredeter"/>
    <w:link w:val="Encabezado"/>
    <w:rsid w:val="002F5EBB"/>
  </w:style>
  <w:style w:type="paragraph" w:styleId="Piedepgina">
    <w:name w:val="footer"/>
    <w:basedOn w:val="Normal"/>
    <w:link w:val="PiedepginaCar"/>
    <w:uiPriority w:val="99"/>
    <w:unhideWhenUsed/>
    <w:rsid w:val="002F5EBB"/>
    <w:pPr>
      <w:tabs>
        <w:tab w:val="center" w:pos="4419"/>
        <w:tab w:val="right" w:pos="8838"/>
      </w:tabs>
    </w:pPr>
  </w:style>
  <w:style w:type="character" w:customStyle="1" w:styleId="PiedepginaCar">
    <w:name w:val="Pie de página Car"/>
    <w:basedOn w:val="Fuentedeprrafopredeter"/>
    <w:link w:val="Piedepgina"/>
    <w:uiPriority w:val="99"/>
    <w:rsid w:val="002F5EBB"/>
  </w:style>
  <w:style w:type="paragraph" w:styleId="Textodeglobo">
    <w:name w:val="Balloon Text"/>
    <w:basedOn w:val="Normal"/>
    <w:link w:val="TextodegloboCar"/>
    <w:uiPriority w:val="99"/>
    <w:unhideWhenUsed/>
    <w:rsid w:val="005B1EE1"/>
    <w:rPr>
      <w:rFonts w:ascii="Tahoma" w:hAnsi="Tahoma" w:cs="Tahoma"/>
      <w:sz w:val="16"/>
      <w:szCs w:val="16"/>
    </w:rPr>
  </w:style>
  <w:style w:type="character" w:customStyle="1" w:styleId="TextodegloboCar">
    <w:name w:val="Texto de globo Car"/>
    <w:basedOn w:val="Fuentedeprrafopredeter"/>
    <w:link w:val="Textodeglobo"/>
    <w:uiPriority w:val="99"/>
    <w:rsid w:val="005B1EE1"/>
    <w:rPr>
      <w:rFonts w:ascii="Tahoma" w:hAnsi="Tahoma" w:cs="Tahoma"/>
      <w:sz w:val="16"/>
      <w:szCs w:val="16"/>
    </w:rPr>
  </w:style>
  <w:style w:type="paragraph" w:styleId="Ttulo">
    <w:name w:val="Title"/>
    <w:basedOn w:val="Normal"/>
    <w:link w:val="TtuloCar1"/>
    <w:qFormat/>
    <w:rsid w:val="005B1EE1"/>
    <w:pPr>
      <w:jc w:val="center"/>
    </w:pPr>
    <w:rPr>
      <w:rFonts w:ascii="Arial" w:hAnsi="Arial"/>
      <w:b/>
      <w:szCs w:val="20"/>
    </w:rPr>
  </w:style>
  <w:style w:type="character" w:customStyle="1" w:styleId="TtuloCar1">
    <w:name w:val="Título Car1"/>
    <w:basedOn w:val="Fuentedeprrafopredeter"/>
    <w:link w:val="Ttulo"/>
    <w:rsid w:val="005B1EE1"/>
    <w:rPr>
      <w:rFonts w:ascii="Arial" w:eastAsia="Times New Roman" w:hAnsi="Arial" w:cs="Times New Roman"/>
      <w:b/>
      <w:sz w:val="24"/>
      <w:szCs w:val="20"/>
      <w:lang w:val="es-ES" w:eastAsia="es-ES"/>
    </w:rPr>
  </w:style>
  <w:style w:type="table" w:styleId="Tablaconcuadrcula">
    <w:name w:val="Table Grid"/>
    <w:basedOn w:val="Tablanormal"/>
    <w:uiPriority w:val="39"/>
    <w:rsid w:val="00DF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5A19"/>
    <w:pPr>
      <w:ind w:left="720"/>
      <w:contextualSpacing/>
    </w:pPr>
  </w:style>
  <w:style w:type="paragraph" w:styleId="NormalWeb">
    <w:name w:val="Normal (Web)"/>
    <w:basedOn w:val="Normal"/>
    <w:uiPriority w:val="99"/>
    <w:unhideWhenUsed/>
    <w:rsid w:val="00761B98"/>
    <w:pPr>
      <w:spacing w:before="100" w:beforeAutospacing="1" w:after="100" w:afterAutospacing="1"/>
    </w:pPr>
    <w:rPr>
      <w:lang w:eastAsia="es-MX"/>
    </w:rPr>
  </w:style>
  <w:style w:type="paragraph" w:customStyle="1" w:styleId="a">
    <w:basedOn w:val="Normal"/>
    <w:next w:val="Ttulo"/>
    <w:link w:val="TtuloCar"/>
    <w:qFormat/>
    <w:rsid w:val="002C4411"/>
    <w:pPr>
      <w:jc w:val="center"/>
    </w:pPr>
    <w:rPr>
      <w:rFonts w:ascii="Arial" w:hAnsi="Arial"/>
      <w:b/>
      <w:szCs w:val="20"/>
    </w:rPr>
  </w:style>
  <w:style w:type="character" w:customStyle="1" w:styleId="TtuloCar">
    <w:name w:val="Título Car"/>
    <w:link w:val="a"/>
    <w:rsid w:val="002C4411"/>
    <w:rPr>
      <w:rFonts w:ascii="Arial" w:eastAsia="Times New Roman" w:hAnsi="Arial" w:cs="Times New Roman"/>
      <w:b/>
      <w:sz w:val="24"/>
      <w:szCs w:val="20"/>
      <w:lang w:val="es-ES" w:eastAsia="es-ES"/>
    </w:rPr>
  </w:style>
  <w:style w:type="paragraph" w:styleId="Sinespaciado">
    <w:name w:val="No Spacing"/>
    <w:link w:val="SinespaciadoCar"/>
    <w:uiPriority w:val="1"/>
    <w:qFormat/>
    <w:rsid w:val="00CB2B02"/>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B2B02"/>
    <w:rPr>
      <w:rFonts w:ascii="Calibri" w:eastAsia="Calibri" w:hAnsi="Calibri" w:cs="Times New Roman"/>
    </w:rPr>
  </w:style>
  <w:style w:type="character" w:styleId="nfasis">
    <w:name w:val="Emphasis"/>
    <w:qFormat/>
    <w:rsid w:val="001005DC"/>
    <w:rPr>
      <w:i/>
      <w:iCs/>
    </w:rPr>
  </w:style>
  <w:style w:type="character" w:styleId="Textoennegrita">
    <w:name w:val="Strong"/>
    <w:uiPriority w:val="22"/>
    <w:qFormat/>
    <w:rsid w:val="00D87C41"/>
    <w:rPr>
      <w:b/>
      <w:bCs/>
    </w:rPr>
  </w:style>
  <w:style w:type="paragraph" w:customStyle="1" w:styleId="Normal1">
    <w:name w:val="Normal1"/>
    <w:rsid w:val="00B35E3D"/>
    <w:pPr>
      <w:spacing w:after="0" w:line="240" w:lineRule="auto"/>
    </w:pPr>
    <w:rPr>
      <w:rFonts w:ascii="Times New Roman" w:eastAsia="Times New Roman" w:hAnsi="Times New Roman" w:cs="Times New Roman"/>
      <w:color w:val="000000"/>
      <w:sz w:val="24"/>
      <w:szCs w:val="24"/>
      <w:lang w:val="es-ES" w:eastAsia="es-ES"/>
    </w:rPr>
  </w:style>
  <w:style w:type="character" w:customStyle="1" w:styleId="Ttulo2Car">
    <w:name w:val="Título 2 Car"/>
    <w:basedOn w:val="Fuentedeprrafopredeter"/>
    <w:link w:val="Ttulo2"/>
    <w:uiPriority w:val="9"/>
    <w:rsid w:val="00860137"/>
    <w:rPr>
      <w:rFonts w:ascii="Times New Roman" w:eastAsia="Times New Roman" w:hAnsi="Times New Roman" w:cs="Times New Roman"/>
      <w:b/>
      <w:sz w:val="36"/>
      <w:szCs w:val="36"/>
      <w:lang w:val="es-ES_tradnl" w:eastAsia="es-MX"/>
    </w:rPr>
  </w:style>
  <w:style w:type="paragraph" w:styleId="Textonotapie">
    <w:name w:val="footnote text"/>
    <w:basedOn w:val="Normal"/>
    <w:link w:val="TextonotapieCar"/>
    <w:uiPriority w:val="99"/>
    <w:semiHidden/>
    <w:unhideWhenUsed/>
    <w:rsid w:val="007627DC"/>
    <w:rPr>
      <w:sz w:val="20"/>
      <w:szCs w:val="20"/>
    </w:rPr>
  </w:style>
  <w:style w:type="character" w:customStyle="1" w:styleId="TextonotapieCar">
    <w:name w:val="Texto nota pie Car"/>
    <w:basedOn w:val="Fuentedeprrafopredeter"/>
    <w:link w:val="Textonotapie"/>
    <w:uiPriority w:val="99"/>
    <w:semiHidden/>
    <w:rsid w:val="007627DC"/>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7627DC"/>
    <w:rPr>
      <w:vertAlign w:val="superscript"/>
    </w:rPr>
  </w:style>
  <w:style w:type="character" w:styleId="Refdecomentario">
    <w:name w:val="annotation reference"/>
    <w:basedOn w:val="Fuentedeprrafopredeter"/>
    <w:uiPriority w:val="99"/>
    <w:semiHidden/>
    <w:unhideWhenUsed/>
    <w:rsid w:val="00D06183"/>
    <w:rPr>
      <w:sz w:val="16"/>
      <w:szCs w:val="16"/>
    </w:rPr>
  </w:style>
  <w:style w:type="paragraph" w:styleId="Textocomentario">
    <w:name w:val="annotation text"/>
    <w:basedOn w:val="Normal"/>
    <w:link w:val="TextocomentarioCar"/>
    <w:uiPriority w:val="99"/>
    <w:semiHidden/>
    <w:unhideWhenUsed/>
    <w:rsid w:val="00D06183"/>
    <w:rPr>
      <w:sz w:val="20"/>
      <w:szCs w:val="20"/>
    </w:rPr>
  </w:style>
  <w:style w:type="character" w:customStyle="1" w:styleId="TextocomentarioCar">
    <w:name w:val="Texto comentario Car"/>
    <w:basedOn w:val="Fuentedeprrafopredeter"/>
    <w:link w:val="Textocomentario"/>
    <w:uiPriority w:val="99"/>
    <w:semiHidden/>
    <w:rsid w:val="00D0618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06183"/>
    <w:rPr>
      <w:b/>
      <w:bCs/>
    </w:rPr>
  </w:style>
  <w:style w:type="character" w:customStyle="1" w:styleId="AsuntodelcomentarioCar">
    <w:name w:val="Asunto del comentario Car"/>
    <w:basedOn w:val="TextocomentarioCar"/>
    <w:link w:val="Asuntodelcomentario"/>
    <w:uiPriority w:val="99"/>
    <w:semiHidden/>
    <w:rsid w:val="00D06183"/>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2171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15170">
      <w:bodyDiv w:val="1"/>
      <w:marLeft w:val="0"/>
      <w:marRight w:val="0"/>
      <w:marTop w:val="0"/>
      <w:marBottom w:val="0"/>
      <w:divBdr>
        <w:top w:val="none" w:sz="0" w:space="0" w:color="auto"/>
        <w:left w:val="none" w:sz="0" w:space="0" w:color="auto"/>
        <w:bottom w:val="none" w:sz="0" w:space="0" w:color="auto"/>
        <w:right w:val="none" w:sz="0" w:space="0" w:color="auto"/>
      </w:divBdr>
    </w:div>
    <w:div w:id="1169097312">
      <w:bodyDiv w:val="1"/>
      <w:marLeft w:val="0"/>
      <w:marRight w:val="0"/>
      <w:marTop w:val="0"/>
      <w:marBottom w:val="0"/>
      <w:divBdr>
        <w:top w:val="none" w:sz="0" w:space="0" w:color="auto"/>
        <w:left w:val="none" w:sz="0" w:space="0" w:color="auto"/>
        <w:bottom w:val="none" w:sz="0" w:space="0" w:color="auto"/>
        <w:right w:val="none" w:sz="0" w:space="0" w:color="auto"/>
      </w:divBdr>
    </w:div>
    <w:div w:id="18212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verDetalle(136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oas.org/juridico/spanish/tratados/a-61.html" TargetMode="External"/><Relationship Id="rId7" Type="http://schemas.openxmlformats.org/officeDocument/2006/relationships/hyperlink" Target="https://aristeguinoticias.com/2706/mexico/joven-de-15-anos-mato-a-su-violador-en-defensa-propia-y-la-pgj-la-investigo-por-homicidio/" TargetMode="External"/><Relationship Id="rId2" Type="http://schemas.openxmlformats.org/officeDocument/2006/relationships/hyperlink" Target="https://aristeguinoticias.com/2706/mexico/joven-de-15-anos-mato-a-su-violador-en-defensa-propia-y-la-pgj-la-investigo-por-homicidio/" TargetMode="External"/><Relationship Id="rId1" Type="http://schemas.openxmlformats.org/officeDocument/2006/relationships/hyperlink" Target="https://lasillarota.com/metropoli/2018/7/9/mary-un-caso-de-legitima-defensa-que-llego-la-onu-163481.html" TargetMode="External"/><Relationship Id="rId6" Type="http://schemas.openxmlformats.org/officeDocument/2006/relationships/hyperlink" Target="https://lasillarota.com/metropoli/2018/7/9/mary-un-caso-de-legitima-defensa-que-llego-la-onu-163481.html" TargetMode="External"/><Relationship Id="rId5" Type="http://schemas.openxmlformats.org/officeDocument/2006/relationships/hyperlink" Target="https://www.internet2.scjn.gob.mx/red2/comunicados/noticia.asp?id=4687" TargetMode="External"/><Relationship Id="rId4" Type="http://schemas.openxmlformats.org/officeDocument/2006/relationships/hyperlink" Target="https://www.oas.org/es/mesecvi/docs/RecomendacionLegitimaDefensa-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A3CA-7CE1-4A91-B5A5-973413CD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3426</Words>
  <Characters>18849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carlos martínez barrón</dc:creator>
  <cp:lastModifiedBy>Andrea Daniela Flores Chacon</cp:lastModifiedBy>
  <cp:revision>2</cp:revision>
  <cp:lastPrinted>2026-04-09T16:44:00Z</cp:lastPrinted>
  <dcterms:created xsi:type="dcterms:W3CDTF">2026-04-09T19:55:00Z</dcterms:created>
  <dcterms:modified xsi:type="dcterms:W3CDTF">2026-04-09T19:55:00Z</dcterms:modified>
</cp:coreProperties>
</file>