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07ED105E" w14:textId="5E90EEAC" w:rsidR="00445EC3" w:rsidRPr="006E6D7C"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w:t>
      </w:r>
      <w:r w:rsidR="000E2574">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11F69F03" w14:textId="77777777" w:rsidR="006E6D7C" w:rsidRPr="00414B59" w:rsidRDefault="006E6D7C"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C24DBE"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C24DBE">
        <w:rPr>
          <w:rFonts w:ascii="Century Gothic" w:eastAsia="Arial" w:hAnsi="Century Gothic" w:cs="Arial"/>
          <w:b/>
          <w:color w:val="auto"/>
          <w:spacing w:val="20"/>
          <w:szCs w:val="24"/>
          <w:lang w:val="es-MX"/>
        </w:rPr>
        <w:t>ANTECEDENTES</w:t>
      </w:r>
    </w:p>
    <w:p w14:paraId="357B8458" w14:textId="77777777" w:rsidR="006E6D7C" w:rsidRPr="00414B59" w:rsidRDefault="006E6D7C" w:rsidP="009F3B35">
      <w:pPr>
        <w:pStyle w:val="Normal1"/>
        <w:spacing w:line="360" w:lineRule="auto"/>
        <w:contextualSpacing/>
        <w:jc w:val="center"/>
        <w:rPr>
          <w:rFonts w:ascii="Century Gothic" w:eastAsia="Arial" w:hAnsi="Century Gothic" w:cs="Arial"/>
          <w:b/>
          <w:color w:val="auto"/>
          <w:szCs w:val="24"/>
          <w:lang w:val="es-MX"/>
        </w:rPr>
      </w:pPr>
    </w:p>
    <w:p w14:paraId="18457405" w14:textId="1CF8A9D9" w:rsidR="005930F4" w:rsidRDefault="005930F4" w:rsidP="005930F4">
      <w:pPr>
        <w:spacing w:line="360" w:lineRule="auto"/>
        <w:jc w:val="both"/>
        <w:rPr>
          <w:rFonts w:ascii="Century Gothic" w:eastAsia="Arial" w:hAnsi="Century Gothic" w:cs="Arial"/>
          <w:sz w:val="24"/>
          <w:szCs w:val="24"/>
        </w:rPr>
      </w:pPr>
      <w:r w:rsidRPr="00272ACD">
        <w:rPr>
          <w:rFonts w:ascii="Century Gothic" w:eastAsia="Arial" w:hAnsi="Century Gothic" w:cs="Arial"/>
          <w:b/>
          <w:sz w:val="24"/>
          <w:szCs w:val="24"/>
          <w:lang w:eastAsia="es-ES"/>
        </w:rPr>
        <w:t xml:space="preserve">I.- </w:t>
      </w:r>
      <w:r w:rsidRPr="00272ACD">
        <w:rPr>
          <w:rFonts w:ascii="Century Gothic" w:eastAsia="Arial" w:hAnsi="Century Gothic" w:cs="Arial"/>
          <w:sz w:val="24"/>
          <w:szCs w:val="24"/>
          <w:lang w:eastAsia="es-ES"/>
        </w:rPr>
        <w:t xml:space="preserve">Con fecha </w:t>
      </w:r>
      <w:r w:rsidR="00F81911">
        <w:rPr>
          <w:rFonts w:ascii="Century Gothic" w:eastAsia="Arial" w:hAnsi="Century Gothic" w:cs="Arial"/>
          <w:sz w:val="24"/>
          <w:szCs w:val="24"/>
          <w:lang w:eastAsia="es-ES"/>
        </w:rPr>
        <w:t>20</w:t>
      </w:r>
      <w:r w:rsidRPr="00272ACD">
        <w:rPr>
          <w:rFonts w:ascii="Century Gothic" w:eastAsia="Arial" w:hAnsi="Century Gothic" w:cs="Arial"/>
          <w:sz w:val="24"/>
          <w:szCs w:val="24"/>
          <w:lang w:eastAsia="es-ES"/>
        </w:rPr>
        <w:t xml:space="preserve"> de </w:t>
      </w:r>
      <w:r w:rsidR="00D304FC">
        <w:rPr>
          <w:rFonts w:ascii="Century Gothic" w:eastAsia="Arial" w:hAnsi="Century Gothic" w:cs="Arial"/>
          <w:sz w:val="24"/>
          <w:szCs w:val="24"/>
          <w:lang w:eastAsia="es-ES"/>
        </w:rPr>
        <w:t>ma</w:t>
      </w:r>
      <w:r w:rsidR="00F81911">
        <w:rPr>
          <w:rFonts w:ascii="Century Gothic" w:eastAsia="Arial" w:hAnsi="Century Gothic" w:cs="Arial"/>
          <w:sz w:val="24"/>
          <w:szCs w:val="24"/>
          <w:lang w:eastAsia="es-ES"/>
        </w:rPr>
        <w:t>yo</w:t>
      </w:r>
      <w:r w:rsidRPr="00272ACD">
        <w:rPr>
          <w:rFonts w:ascii="Century Gothic" w:eastAsia="Arial" w:hAnsi="Century Gothic" w:cs="Arial"/>
          <w:sz w:val="24"/>
          <w:szCs w:val="24"/>
          <w:lang w:eastAsia="es-ES"/>
        </w:rPr>
        <w:t xml:space="preserve"> del año </w:t>
      </w:r>
      <w:r>
        <w:rPr>
          <w:rFonts w:ascii="Century Gothic" w:eastAsia="Arial" w:hAnsi="Century Gothic" w:cs="Arial"/>
          <w:sz w:val="24"/>
          <w:szCs w:val="24"/>
          <w:lang w:eastAsia="es-ES"/>
        </w:rPr>
        <w:t>202</w:t>
      </w:r>
      <w:r w:rsidR="00D304FC">
        <w:rPr>
          <w:rFonts w:ascii="Century Gothic" w:eastAsia="Arial" w:hAnsi="Century Gothic" w:cs="Arial"/>
          <w:sz w:val="24"/>
          <w:szCs w:val="24"/>
          <w:lang w:eastAsia="es-ES"/>
        </w:rPr>
        <w:t>5</w:t>
      </w:r>
      <w:r>
        <w:rPr>
          <w:rFonts w:ascii="Century Gothic" w:eastAsia="Arial" w:hAnsi="Century Gothic" w:cs="Arial"/>
          <w:sz w:val="24"/>
          <w:szCs w:val="24"/>
          <w:lang w:eastAsia="es-ES"/>
        </w:rPr>
        <w:t>, la</w:t>
      </w:r>
      <w:r w:rsidR="00D304FC">
        <w:rPr>
          <w:rFonts w:ascii="Century Gothic" w:eastAsia="Arial" w:hAnsi="Century Gothic" w:cs="Arial"/>
          <w:sz w:val="24"/>
          <w:szCs w:val="24"/>
          <w:lang w:eastAsia="es-ES"/>
        </w:rPr>
        <w:t>s</w:t>
      </w:r>
      <w:r>
        <w:rPr>
          <w:rFonts w:ascii="Century Gothic" w:eastAsia="Arial" w:hAnsi="Century Gothic" w:cs="Arial"/>
          <w:sz w:val="24"/>
          <w:szCs w:val="24"/>
          <w:lang w:eastAsia="es-ES"/>
        </w:rPr>
        <w:t xml:space="preserve"> Diputada</w:t>
      </w:r>
      <w:r w:rsidR="00D304FC">
        <w:rPr>
          <w:rFonts w:ascii="Century Gothic" w:eastAsia="Arial" w:hAnsi="Century Gothic" w:cs="Arial"/>
          <w:sz w:val="24"/>
          <w:szCs w:val="24"/>
          <w:lang w:eastAsia="es-ES"/>
        </w:rPr>
        <w:t>s y Diputados, integrantes del Grupo Parlamentario de MORENA</w:t>
      </w:r>
      <w:r>
        <w:rPr>
          <w:rFonts w:ascii="Century Gothic" w:eastAsia="Arial" w:hAnsi="Century Gothic" w:cs="Arial"/>
          <w:sz w:val="24"/>
          <w:szCs w:val="24"/>
          <w:lang w:eastAsia="es-ES"/>
        </w:rPr>
        <w:t xml:space="preserve">, </w:t>
      </w:r>
      <w:r w:rsidRPr="00C57FBF">
        <w:rPr>
          <w:rFonts w:ascii="Century Gothic" w:eastAsia="Arial" w:hAnsi="Century Gothic" w:cs="Arial"/>
          <w:sz w:val="24"/>
          <w:szCs w:val="24"/>
        </w:rPr>
        <w:t>present</w:t>
      </w:r>
      <w:r w:rsidR="00D304FC">
        <w:rPr>
          <w:rFonts w:ascii="Century Gothic" w:eastAsia="Arial" w:hAnsi="Century Gothic" w:cs="Arial"/>
          <w:sz w:val="24"/>
          <w:szCs w:val="24"/>
        </w:rPr>
        <w:t>aron</w:t>
      </w:r>
      <w:r w:rsidRPr="00C57FBF">
        <w:rPr>
          <w:rFonts w:ascii="Century Gothic" w:eastAsia="Arial" w:hAnsi="Century Gothic" w:cs="Arial"/>
          <w:sz w:val="24"/>
          <w:szCs w:val="24"/>
        </w:rPr>
        <w:t xml:space="preserve"> Iniciativa con carácter de Decreto,</w:t>
      </w:r>
      <w:r w:rsidR="00F81911">
        <w:rPr>
          <w:rFonts w:ascii="Century Gothic" w:eastAsia="Arial" w:hAnsi="Century Gothic" w:cs="Arial"/>
          <w:sz w:val="24"/>
          <w:szCs w:val="24"/>
        </w:rPr>
        <w:t xml:space="preserve"> </w:t>
      </w:r>
      <w:r w:rsidR="00F81911" w:rsidRPr="00F81911">
        <w:rPr>
          <w:rFonts w:ascii="Century Gothic" w:eastAsia="Arial" w:hAnsi="Century Gothic" w:cs="Arial"/>
          <w:sz w:val="24"/>
          <w:szCs w:val="24"/>
        </w:rPr>
        <w:t xml:space="preserve">a efecto de reformar y adicionar diversas disposiciones de la Ley </w:t>
      </w:r>
      <w:r w:rsidR="00F81911">
        <w:rPr>
          <w:rFonts w:ascii="Century Gothic" w:eastAsia="Arial" w:hAnsi="Century Gothic" w:cs="Arial"/>
          <w:sz w:val="24"/>
          <w:szCs w:val="24"/>
        </w:rPr>
        <w:t xml:space="preserve">Estatal </w:t>
      </w:r>
      <w:r w:rsidR="00F81911" w:rsidRPr="00F81911">
        <w:rPr>
          <w:rFonts w:ascii="Century Gothic" w:eastAsia="Arial" w:hAnsi="Century Gothic" w:cs="Arial"/>
          <w:sz w:val="24"/>
          <w:szCs w:val="24"/>
        </w:rPr>
        <w:t>de Justicia Cívica, en materia de perspectiva de género</w:t>
      </w:r>
      <w:r w:rsidRPr="00C57FBF">
        <w:rPr>
          <w:rFonts w:ascii="Century Gothic" w:eastAsia="Arial" w:hAnsi="Century Gothic" w:cs="Arial"/>
          <w:sz w:val="24"/>
          <w:szCs w:val="24"/>
        </w:rPr>
        <w:t>.</w:t>
      </w:r>
      <w:r>
        <w:rPr>
          <w:rStyle w:val="Refdenotaalpie"/>
          <w:rFonts w:ascii="Century Gothic" w:eastAsia="Arial" w:hAnsi="Century Gothic" w:cs="Arial"/>
          <w:sz w:val="24"/>
          <w:szCs w:val="24"/>
        </w:rPr>
        <w:footnoteReference w:id="1"/>
      </w:r>
    </w:p>
    <w:p w14:paraId="6162FD67" w14:textId="77777777" w:rsidR="00BB36AD" w:rsidRPr="00C57FBF" w:rsidRDefault="00BB36AD" w:rsidP="005930F4">
      <w:pPr>
        <w:spacing w:line="360" w:lineRule="auto"/>
        <w:jc w:val="both"/>
        <w:rPr>
          <w:rFonts w:ascii="Century Gothic" w:eastAsiaTheme="minorHAnsi" w:hAnsi="Century Gothic" w:cstheme="minorBidi"/>
          <w:sz w:val="24"/>
          <w:szCs w:val="24"/>
        </w:rPr>
      </w:pPr>
    </w:p>
    <w:p w14:paraId="3B8093B2" w14:textId="51146888" w:rsidR="005930F4" w:rsidRPr="00272ACD" w:rsidRDefault="00D304FC" w:rsidP="005930F4">
      <w:pPr>
        <w:spacing w:line="360" w:lineRule="auto"/>
        <w:jc w:val="both"/>
        <w:rPr>
          <w:rFonts w:ascii="Century Gothic" w:eastAsiaTheme="minorHAnsi" w:hAnsi="Century Gothic" w:cstheme="minorBidi"/>
          <w:sz w:val="24"/>
          <w:szCs w:val="24"/>
        </w:rPr>
      </w:pPr>
      <w:r w:rsidRPr="00D304FC">
        <w:rPr>
          <w:rFonts w:ascii="Century Gothic" w:eastAsiaTheme="minorHAnsi" w:hAnsi="Century Gothic" w:cstheme="minorBidi"/>
          <w:b/>
          <w:bCs/>
          <w:sz w:val="24"/>
          <w:szCs w:val="24"/>
        </w:rPr>
        <w:t>II.-</w:t>
      </w:r>
      <w:r>
        <w:rPr>
          <w:rFonts w:ascii="Century Gothic" w:eastAsiaTheme="minorHAnsi" w:hAnsi="Century Gothic" w:cstheme="minorBidi"/>
          <w:sz w:val="24"/>
          <w:szCs w:val="24"/>
        </w:rPr>
        <w:t xml:space="preserve"> </w:t>
      </w:r>
      <w:r w:rsidR="005930F4" w:rsidRPr="00272ACD">
        <w:rPr>
          <w:rFonts w:ascii="Century Gothic" w:eastAsiaTheme="minorHAnsi" w:hAnsi="Century Gothic" w:cstheme="minorBidi"/>
          <w:sz w:val="24"/>
          <w:szCs w:val="24"/>
        </w:rPr>
        <w:t xml:space="preserve">La Presidencia del H. Congreso del Estado, en uso de las facultades que le confiere el artículo 75, fracción XIII, de la Ley Orgánica del Poder Legislativo, el día </w:t>
      </w:r>
      <w:r w:rsidR="00F81911">
        <w:rPr>
          <w:rFonts w:ascii="Century Gothic" w:eastAsiaTheme="minorHAnsi" w:hAnsi="Century Gothic" w:cstheme="minorBidi"/>
          <w:sz w:val="24"/>
          <w:szCs w:val="24"/>
        </w:rPr>
        <w:t>22</w:t>
      </w:r>
      <w:r w:rsidR="005930F4" w:rsidRPr="00272ACD">
        <w:rPr>
          <w:rFonts w:ascii="Century Gothic" w:eastAsiaTheme="minorHAnsi" w:hAnsi="Century Gothic" w:cstheme="minorBidi"/>
          <w:sz w:val="24"/>
          <w:szCs w:val="24"/>
        </w:rPr>
        <w:t xml:space="preserve"> de </w:t>
      </w:r>
      <w:r>
        <w:rPr>
          <w:rFonts w:ascii="Century Gothic" w:eastAsiaTheme="minorHAnsi" w:hAnsi="Century Gothic" w:cstheme="minorBidi"/>
          <w:sz w:val="24"/>
          <w:szCs w:val="24"/>
        </w:rPr>
        <w:t>ma</w:t>
      </w:r>
      <w:r w:rsidR="00F81911">
        <w:rPr>
          <w:rFonts w:ascii="Century Gothic" w:eastAsiaTheme="minorHAnsi" w:hAnsi="Century Gothic" w:cstheme="minorBidi"/>
          <w:sz w:val="24"/>
          <w:szCs w:val="24"/>
        </w:rPr>
        <w:t>y</w:t>
      </w:r>
      <w:r>
        <w:rPr>
          <w:rFonts w:ascii="Century Gothic" w:eastAsiaTheme="minorHAnsi" w:hAnsi="Century Gothic" w:cstheme="minorBidi"/>
          <w:sz w:val="24"/>
          <w:szCs w:val="24"/>
        </w:rPr>
        <w:t>o</w:t>
      </w:r>
      <w:r w:rsidR="005930F4" w:rsidRPr="00272ACD">
        <w:rPr>
          <w:rFonts w:ascii="Century Gothic" w:eastAsiaTheme="minorHAnsi" w:hAnsi="Century Gothic" w:cstheme="minorBidi"/>
          <w:sz w:val="24"/>
          <w:szCs w:val="24"/>
        </w:rPr>
        <w:t xml:space="preserve"> del año </w:t>
      </w:r>
      <w:r w:rsidR="005930F4">
        <w:rPr>
          <w:rFonts w:ascii="Century Gothic" w:eastAsiaTheme="minorHAnsi" w:hAnsi="Century Gothic" w:cstheme="minorBidi"/>
          <w:sz w:val="24"/>
          <w:szCs w:val="24"/>
        </w:rPr>
        <w:t>202</w:t>
      </w:r>
      <w:r>
        <w:rPr>
          <w:rFonts w:ascii="Century Gothic" w:eastAsiaTheme="minorHAnsi" w:hAnsi="Century Gothic" w:cstheme="minorBidi"/>
          <w:sz w:val="24"/>
          <w:szCs w:val="24"/>
        </w:rPr>
        <w:t>5</w:t>
      </w:r>
      <w:r w:rsidR="005930F4" w:rsidRPr="00272ACD">
        <w:rPr>
          <w:rFonts w:ascii="Century Gothic" w:eastAsiaTheme="minorHAnsi" w:hAnsi="Century Gothic" w:cstheme="minorBidi"/>
          <w:sz w:val="24"/>
          <w:szCs w:val="24"/>
        </w:rPr>
        <w:t>, tuvo a bien turnar a la</w:t>
      </w:r>
      <w:r w:rsidR="005930F4">
        <w:rPr>
          <w:rFonts w:ascii="Century Gothic" w:eastAsiaTheme="minorHAnsi" w:hAnsi="Century Gothic" w:cstheme="minorBidi"/>
          <w:sz w:val="24"/>
          <w:szCs w:val="24"/>
        </w:rPr>
        <w:t>s</w:t>
      </w:r>
      <w:r w:rsidR="005930F4" w:rsidRPr="00272ACD">
        <w:rPr>
          <w:rFonts w:ascii="Century Gothic" w:eastAsiaTheme="minorHAnsi" w:hAnsi="Century Gothic" w:cstheme="minorBidi"/>
          <w:sz w:val="24"/>
          <w:szCs w:val="24"/>
        </w:rPr>
        <w:t xml:space="preserve"> </w:t>
      </w:r>
      <w:r w:rsidR="005930F4" w:rsidRPr="00272ACD">
        <w:rPr>
          <w:rFonts w:ascii="Century Gothic" w:eastAsiaTheme="minorHAnsi" w:hAnsi="Century Gothic" w:cstheme="minorBidi"/>
          <w:sz w:val="24"/>
          <w:szCs w:val="24"/>
        </w:rPr>
        <w:lastRenderedPageBreak/>
        <w:t xml:space="preserve">integrantes de la Comisión de </w:t>
      </w:r>
      <w:r w:rsidR="005930F4">
        <w:rPr>
          <w:rFonts w:ascii="Century Gothic" w:eastAsiaTheme="minorHAnsi" w:hAnsi="Century Gothic" w:cstheme="minorBidi"/>
          <w:sz w:val="24"/>
          <w:szCs w:val="24"/>
        </w:rPr>
        <w:t>Igualdad,</w:t>
      </w:r>
      <w:r w:rsidR="005930F4" w:rsidRPr="00272ACD">
        <w:rPr>
          <w:rFonts w:ascii="Century Gothic" w:eastAsiaTheme="minorHAnsi" w:hAnsi="Century Gothic" w:cstheme="minorBidi"/>
          <w:sz w:val="24"/>
          <w:szCs w:val="24"/>
        </w:rPr>
        <w:t xml:space="preserve"> la iniciativa de mérito, a efecto de proceder al estudio, análisis y elaboración del correspondiente dictamen.</w:t>
      </w:r>
    </w:p>
    <w:p w14:paraId="4EAEF020" w14:textId="77777777" w:rsidR="005930F4" w:rsidRDefault="005930F4" w:rsidP="005930F4">
      <w:pPr>
        <w:spacing w:line="360" w:lineRule="auto"/>
        <w:jc w:val="both"/>
        <w:rPr>
          <w:rFonts w:ascii="Century Gothic" w:eastAsia="Arial" w:hAnsi="Century Gothic" w:cs="Arial"/>
          <w:b/>
          <w:sz w:val="24"/>
          <w:szCs w:val="24"/>
          <w:lang w:eastAsia="es-ES"/>
        </w:rPr>
      </w:pPr>
    </w:p>
    <w:p w14:paraId="0E64BE56" w14:textId="2BBAAA29" w:rsidR="005930F4" w:rsidRDefault="005930F4" w:rsidP="00A5354A">
      <w:pPr>
        <w:spacing w:line="360" w:lineRule="auto"/>
        <w:jc w:val="both"/>
        <w:rPr>
          <w:rFonts w:ascii="Century Gothic" w:eastAsia="Arial" w:hAnsi="Century Gothic" w:cs="Arial"/>
          <w:bCs/>
          <w:sz w:val="24"/>
          <w:szCs w:val="24"/>
          <w:lang w:eastAsia="es-ES"/>
        </w:rPr>
      </w:pPr>
      <w:r>
        <w:rPr>
          <w:rFonts w:ascii="Century Gothic" w:eastAsia="Arial" w:hAnsi="Century Gothic" w:cs="Arial"/>
          <w:b/>
          <w:sz w:val="24"/>
          <w:szCs w:val="24"/>
          <w:lang w:eastAsia="es-ES"/>
        </w:rPr>
        <w:t>I</w:t>
      </w:r>
      <w:r w:rsidR="00A5354A">
        <w:rPr>
          <w:rFonts w:ascii="Century Gothic" w:eastAsia="Arial" w:hAnsi="Century Gothic" w:cs="Arial"/>
          <w:b/>
          <w:sz w:val="24"/>
          <w:szCs w:val="24"/>
          <w:lang w:eastAsia="es-ES"/>
        </w:rPr>
        <w:t>I</w:t>
      </w:r>
      <w:r w:rsidRPr="00272ACD">
        <w:rPr>
          <w:rFonts w:ascii="Century Gothic" w:eastAsia="Arial" w:hAnsi="Century Gothic" w:cs="Arial"/>
          <w:b/>
          <w:sz w:val="24"/>
          <w:szCs w:val="24"/>
          <w:lang w:eastAsia="es-ES"/>
        </w:rPr>
        <w:t>I</w:t>
      </w:r>
      <w:r w:rsidRPr="006F41A4">
        <w:rPr>
          <w:rFonts w:ascii="Century Gothic" w:eastAsia="Arial" w:hAnsi="Century Gothic" w:cs="Arial"/>
          <w:b/>
          <w:sz w:val="24"/>
          <w:szCs w:val="24"/>
          <w:lang w:eastAsia="es-ES"/>
        </w:rPr>
        <w:t xml:space="preserve">.- </w:t>
      </w:r>
      <w:r w:rsidR="00A5354A" w:rsidRPr="00A5354A">
        <w:rPr>
          <w:rFonts w:ascii="Century Gothic" w:eastAsia="Arial" w:hAnsi="Century Gothic" w:cs="Arial"/>
          <w:bCs/>
          <w:sz w:val="24"/>
          <w:szCs w:val="24"/>
          <w:lang w:eastAsia="es-ES"/>
        </w:rPr>
        <w:t>La exposición de motivos de la Iniciativa en comento, se sustenta esencialmente en los siguientes argumentos:</w:t>
      </w:r>
    </w:p>
    <w:p w14:paraId="6C4C7310" w14:textId="77777777" w:rsidR="00F81911" w:rsidRPr="00F81911" w:rsidRDefault="00A5354A" w:rsidP="00F81911">
      <w:pPr>
        <w:spacing w:line="240" w:lineRule="auto"/>
        <w:ind w:left="567" w:right="474"/>
        <w:jc w:val="both"/>
        <w:rPr>
          <w:rFonts w:ascii="Century Gothic" w:eastAsiaTheme="minorHAnsi" w:hAnsi="Century Gothic" w:cstheme="minorBidi"/>
          <w:bCs/>
          <w:i/>
          <w:iCs/>
          <w:sz w:val="24"/>
          <w:szCs w:val="24"/>
        </w:rPr>
      </w:pPr>
      <w:r>
        <w:rPr>
          <w:rFonts w:ascii="Century Gothic" w:eastAsiaTheme="minorHAnsi" w:hAnsi="Century Gothic" w:cstheme="minorBidi"/>
          <w:bCs/>
          <w:i/>
          <w:iCs/>
          <w:sz w:val="24"/>
          <w:szCs w:val="24"/>
        </w:rPr>
        <w:t>“</w:t>
      </w:r>
      <w:r w:rsidR="00F81911" w:rsidRPr="00F81911">
        <w:rPr>
          <w:rFonts w:ascii="Century Gothic" w:eastAsiaTheme="minorHAnsi" w:hAnsi="Century Gothic" w:cstheme="minorBidi"/>
          <w:bCs/>
          <w:i/>
          <w:iCs/>
          <w:sz w:val="24"/>
          <w:szCs w:val="24"/>
        </w:rPr>
        <w:t xml:space="preserve">Durante el año 2024 se promulgó la Ley Estatal de Justicia Cívica que es un gran adelanto en el marco normativo estatal, porque permite que los municipios del estado tengan una base común para crear </w:t>
      </w:r>
      <w:proofErr w:type="gramStart"/>
      <w:r w:rsidR="00F81911" w:rsidRPr="00F81911">
        <w:rPr>
          <w:rFonts w:ascii="Century Gothic" w:eastAsiaTheme="minorHAnsi" w:hAnsi="Century Gothic" w:cstheme="minorBidi"/>
          <w:bCs/>
          <w:i/>
          <w:iCs/>
          <w:sz w:val="24"/>
          <w:szCs w:val="24"/>
        </w:rPr>
        <w:t>su propios reglamentos</w:t>
      </w:r>
      <w:proofErr w:type="gramEnd"/>
      <w:r w:rsidR="00F81911" w:rsidRPr="00F81911">
        <w:rPr>
          <w:rFonts w:ascii="Century Gothic" w:eastAsiaTheme="minorHAnsi" w:hAnsi="Century Gothic" w:cstheme="minorBidi"/>
          <w:bCs/>
          <w:i/>
          <w:iCs/>
          <w:sz w:val="24"/>
          <w:szCs w:val="24"/>
        </w:rPr>
        <w:t xml:space="preserve"> y brindar mayor certeza jurídica sus ciudadanos, así como soluciones a los problemas de convivencia y civilidad cotidianos en los centros de población. </w:t>
      </w:r>
    </w:p>
    <w:p w14:paraId="4BE71C15" w14:textId="073811FD"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Partamos de una definición para mayor claridad:</w:t>
      </w:r>
    </w:p>
    <w:p w14:paraId="7C2D216D"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…la Justicia Cívica es el conjunto de procedimientos e instrumentos de Buen Gobierno orientados a fomentar la Cultura de la Legalidad y a dar solución de forma pronta, transparente y expedita a conflictos comunitarios en la convivencia cotidiana en una sociedad democrática, que tiene como objetivo facilitar y mejorar la convivencia en una comunidad y evitar que los conflictos escalen a conductas delictivas o actos de violencia.</w:t>
      </w:r>
    </w:p>
    <w:p w14:paraId="6A683D98"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 xml:space="preserve">Como vemos la pauta de los procedimientos orientados a resolución de conflictos comunitarios la da nuestra Ley estatal, sin </w:t>
      </w:r>
      <w:proofErr w:type="gramStart"/>
      <w:r w:rsidRPr="00F81911">
        <w:rPr>
          <w:rFonts w:ascii="Century Gothic" w:eastAsiaTheme="minorHAnsi" w:hAnsi="Century Gothic" w:cstheme="minorBidi"/>
          <w:bCs/>
          <w:i/>
          <w:iCs/>
          <w:sz w:val="24"/>
          <w:szCs w:val="24"/>
        </w:rPr>
        <w:t>embargo</w:t>
      </w:r>
      <w:proofErr w:type="gramEnd"/>
      <w:r w:rsidRPr="00F81911">
        <w:rPr>
          <w:rFonts w:ascii="Century Gothic" w:eastAsiaTheme="minorHAnsi" w:hAnsi="Century Gothic" w:cstheme="minorBidi"/>
          <w:bCs/>
          <w:i/>
          <w:iCs/>
          <w:sz w:val="24"/>
          <w:szCs w:val="24"/>
        </w:rPr>
        <w:t xml:space="preserve"> previo a su publicación hubo dos municipios que crearon su reglamento, estos fueron Chihuahua y Juárez.  Sin </w:t>
      </w:r>
      <w:proofErr w:type="gramStart"/>
      <w:r w:rsidRPr="00F81911">
        <w:rPr>
          <w:rFonts w:ascii="Century Gothic" w:eastAsiaTheme="minorHAnsi" w:hAnsi="Century Gothic" w:cstheme="minorBidi"/>
          <w:bCs/>
          <w:i/>
          <w:iCs/>
          <w:sz w:val="24"/>
          <w:szCs w:val="24"/>
        </w:rPr>
        <w:t>embargo</w:t>
      </w:r>
      <w:proofErr w:type="gramEnd"/>
      <w:r w:rsidRPr="00F81911">
        <w:rPr>
          <w:rFonts w:ascii="Century Gothic" w:eastAsiaTheme="minorHAnsi" w:hAnsi="Century Gothic" w:cstheme="minorBidi"/>
          <w:bCs/>
          <w:i/>
          <w:iCs/>
          <w:sz w:val="24"/>
          <w:szCs w:val="24"/>
        </w:rPr>
        <w:t xml:space="preserve"> hay que hacer la acotación que fue en el 2017 que la Comisión Nacional de Seguridad Pública aprobó el Modelo Homologado de Justicia Cívica, y que además se promulgó la Ley General de Justicia Cívica e Itinerante.</w:t>
      </w:r>
    </w:p>
    <w:p w14:paraId="3C0FD8BF"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 xml:space="preserve">Como ciudadana y representante popular he tenido conocimiento del modo de actuar de la policía municipal de Ciudad Juárez, y al </w:t>
      </w:r>
      <w:r w:rsidRPr="00F81911">
        <w:rPr>
          <w:rFonts w:ascii="Century Gothic" w:eastAsiaTheme="minorHAnsi" w:hAnsi="Century Gothic" w:cstheme="minorBidi"/>
          <w:bCs/>
          <w:i/>
          <w:iCs/>
          <w:sz w:val="24"/>
          <w:szCs w:val="24"/>
        </w:rPr>
        <w:lastRenderedPageBreak/>
        <w:t>analizar un caso en concreto me he topado con que los agentes policiacos no actúan conforme al respectivo reglamento de justicia cívica de la ciudad, ya que al parecer para algunos oficiales comentan que al no existir delito no puede haber detención, sin embargo eso no demerita que existan infracciones de carácter de justicia cívica que sí contemplan procedimientos que deben seguir y sanciones que se deben aplicar, entre ellas el arresto.</w:t>
      </w:r>
    </w:p>
    <w:p w14:paraId="46FAD9C6"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El caso anterior me llevó a hacer una lectura de los reglamentos de justicia cívica en el estado, que hasta el momento son cuatro y además leer la Ley Estatal de Justicia Cívica encuentro áreas de oportunidad en la legislación estatal que veremos a continuación.</w:t>
      </w:r>
    </w:p>
    <w:p w14:paraId="20815839"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 xml:space="preserve">Hay dos referencias a perspectiva de género en la Ley Estatal de Justicia cívica la primera en artículo 2 fracción IV donde aparece como uno de los principios que guían la ley, y en el artículo 12 como una de las competencias de la Dirección Estatal de Justicia Cívica e Itinerante. </w:t>
      </w:r>
    </w:p>
    <w:p w14:paraId="1D224DA3"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 xml:space="preserve">¿Pero </w:t>
      </w:r>
      <w:proofErr w:type="spellStart"/>
      <w:r w:rsidRPr="00F81911">
        <w:rPr>
          <w:rFonts w:ascii="Century Gothic" w:eastAsiaTheme="minorHAnsi" w:hAnsi="Century Gothic" w:cstheme="minorBidi"/>
          <w:bCs/>
          <w:i/>
          <w:iCs/>
          <w:sz w:val="24"/>
          <w:szCs w:val="24"/>
        </w:rPr>
        <w:t>donde</w:t>
      </w:r>
      <w:proofErr w:type="spellEnd"/>
      <w:r w:rsidRPr="00F81911">
        <w:rPr>
          <w:rFonts w:ascii="Century Gothic" w:eastAsiaTheme="minorHAnsi" w:hAnsi="Century Gothic" w:cstheme="minorBidi"/>
          <w:bCs/>
          <w:i/>
          <w:iCs/>
          <w:sz w:val="24"/>
          <w:szCs w:val="24"/>
        </w:rPr>
        <w:t xml:space="preserve"> es posible enriquecer la perspectiva de género dentro de la Ley? Para </w:t>
      </w:r>
      <w:proofErr w:type="gramStart"/>
      <w:r w:rsidRPr="00F81911">
        <w:rPr>
          <w:rFonts w:ascii="Century Gothic" w:eastAsiaTheme="minorHAnsi" w:hAnsi="Century Gothic" w:cstheme="minorBidi"/>
          <w:bCs/>
          <w:i/>
          <w:iCs/>
          <w:sz w:val="24"/>
          <w:szCs w:val="24"/>
        </w:rPr>
        <w:t>empezar</w:t>
      </w:r>
      <w:proofErr w:type="gramEnd"/>
      <w:r w:rsidRPr="00F81911">
        <w:rPr>
          <w:rFonts w:ascii="Century Gothic" w:eastAsiaTheme="minorHAnsi" w:hAnsi="Century Gothic" w:cstheme="minorBidi"/>
          <w:bCs/>
          <w:i/>
          <w:iCs/>
          <w:sz w:val="24"/>
          <w:szCs w:val="24"/>
        </w:rPr>
        <w:t xml:space="preserve"> visto desde el punto de vista del usuario de dicha ley, una definición explícita de perspectiva de género, así como la obligación de las personas servidoras públicas que se ven involucradas en la impartición de justicia cívica. </w:t>
      </w:r>
    </w:p>
    <w:p w14:paraId="48093244" w14:textId="77777777" w:rsidR="00F81911" w:rsidRPr="00F81911" w:rsidRDefault="00F81911" w:rsidP="00F81911">
      <w:pPr>
        <w:spacing w:line="240" w:lineRule="auto"/>
        <w:ind w:left="567" w:right="474"/>
        <w:jc w:val="both"/>
        <w:rPr>
          <w:rFonts w:ascii="Century Gothic" w:eastAsiaTheme="minorHAnsi" w:hAnsi="Century Gothic" w:cstheme="minorBidi"/>
          <w:bCs/>
          <w:i/>
          <w:iCs/>
          <w:sz w:val="24"/>
          <w:szCs w:val="24"/>
        </w:rPr>
      </w:pPr>
      <w:r w:rsidRPr="00F81911">
        <w:rPr>
          <w:rFonts w:ascii="Century Gothic" w:eastAsiaTheme="minorHAnsi" w:hAnsi="Century Gothic" w:cstheme="minorBidi"/>
          <w:bCs/>
          <w:i/>
          <w:iCs/>
          <w:sz w:val="24"/>
          <w:szCs w:val="24"/>
        </w:rPr>
        <w:t xml:space="preserve">Pero además un componente a considerar es que la Ley al servir de apoyo a los municipios con sus reglamentos puede y debe dejar asentado que las faltas administrativas que derivan de conducta también son diferenciadas tanto en sus formas como causas, por ejemplo, no es lo mismo que un hombre adulto insulte en vía pública a otro hombre adulto, a que un hombre adulto insulte y haga insinuaciones sexuales a una mujer, o a una niña o niño  por lo tanto, la manera de responder por parte de la policía municipal debe actuar en consecuencia a estas diferencias. </w:t>
      </w:r>
    </w:p>
    <w:p w14:paraId="331EB3C6" w14:textId="3DCC703C" w:rsidR="00A5354A" w:rsidRPr="00A5354A" w:rsidRDefault="00F81911" w:rsidP="00F81911">
      <w:pPr>
        <w:spacing w:line="240" w:lineRule="auto"/>
        <w:ind w:left="567" w:right="474"/>
        <w:jc w:val="both"/>
        <w:rPr>
          <w:rFonts w:ascii="Century Gothic" w:eastAsiaTheme="minorHAnsi" w:hAnsi="Century Gothic" w:cstheme="minorBidi"/>
          <w:bCs/>
          <w:sz w:val="24"/>
          <w:szCs w:val="24"/>
        </w:rPr>
      </w:pPr>
      <w:r w:rsidRPr="00F81911">
        <w:rPr>
          <w:rFonts w:ascii="Century Gothic" w:eastAsiaTheme="minorHAnsi" w:hAnsi="Century Gothic" w:cstheme="minorBidi"/>
          <w:bCs/>
          <w:i/>
          <w:iCs/>
          <w:sz w:val="24"/>
          <w:szCs w:val="24"/>
        </w:rPr>
        <w:lastRenderedPageBreak/>
        <w:t>Es por ello que en el apartado para la definición general de faltas proponemos enunciar específicamente el caso de vulneración de la seguridad de niñas, niños adolescentes y mujeres</w:t>
      </w:r>
      <w:r w:rsidR="00A5354A" w:rsidRPr="00A5354A">
        <w:rPr>
          <w:rFonts w:ascii="Century Gothic" w:eastAsiaTheme="minorHAnsi" w:hAnsi="Century Gothic" w:cstheme="minorBidi"/>
          <w:bCs/>
          <w:sz w:val="24"/>
          <w:szCs w:val="24"/>
        </w:rPr>
        <w:t>.</w:t>
      </w:r>
      <w:r w:rsidR="00A5354A">
        <w:rPr>
          <w:rFonts w:ascii="Century Gothic" w:eastAsiaTheme="minorHAnsi" w:hAnsi="Century Gothic" w:cstheme="minorBidi"/>
          <w:bCs/>
          <w:sz w:val="24"/>
          <w:szCs w:val="24"/>
        </w:rPr>
        <w:t>”</w:t>
      </w:r>
    </w:p>
    <w:p w14:paraId="2FE6B581" w14:textId="77777777" w:rsidR="00A30C36" w:rsidRPr="006E6D7C" w:rsidRDefault="00A30C36" w:rsidP="00B26A9F">
      <w:pPr>
        <w:spacing w:after="0" w:line="360" w:lineRule="auto"/>
        <w:ind w:right="82"/>
        <w:jc w:val="both"/>
        <w:rPr>
          <w:rFonts w:ascii="Century Gothic" w:eastAsia="Arial" w:hAnsi="Century Gothic" w:cs="Arial"/>
          <w:iCs/>
          <w:sz w:val="24"/>
          <w:szCs w:val="24"/>
        </w:rPr>
      </w:pPr>
    </w:p>
    <w:p w14:paraId="40CDE12B" w14:textId="079D7C05"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w:t>
      </w:r>
      <w:r w:rsidR="0035757A">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formulamos las siguientes:</w:t>
      </w:r>
    </w:p>
    <w:p w14:paraId="2581C1D4"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0B6D666B" w14:textId="77777777" w:rsidR="00445EC3" w:rsidRPr="00FB0555"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FB0555">
        <w:rPr>
          <w:rFonts w:ascii="Century Gothic" w:eastAsia="Arial" w:hAnsi="Century Gothic" w:cs="Arial"/>
          <w:b/>
          <w:color w:val="auto"/>
          <w:spacing w:val="20"/>
          <w:szCs w:val="24"/>
          <w:lang w:val="es-MX"/>
        </w:rPr>
        <w:t>CONSIDERACIONES</w:t>
      </w:r>
    </w:p>
    <w:p w14:paraId="7EFEC2C7" w14:textId="7DF5B7F4" w:rsidR="00445EC3" w:rsidRDefault="00445EC3" w:rsidP="00B26A9F">
      <w:pPr>
        <w:pStyle w:val="Normal1"/>
        <w:spacing w:line="360" w:lineRule="auto"/>
        <w:contextualSpacing/>
        <w:jc w:val="center"/>
        <w:rPr>
          <w:rFonts w:ascii="Century Gothic" w:eastAsia="Arial" w:hAnsi="Century Gothic" w:cs="Arial"/>
          <w:color w:val="auto"/>
          <w:szCs w:val="24"/>
          <w:lang w:val="es-MX"/>
        </w:rPr>
      </w:pPr>
    </w:p>
    <w:p w14:paraId="569F18F4" w14:textId="77777777" w:rsidR="00117D52" w:rsidRPr="00414B59" w:rsidRDefault="00117D52" w:rsidP="00B26A9F">
      <w:pPr>
        <w:pStyle w:val="Normal1"/>
        <w:spacing w:line="360" w:lineRule="auto"/>
        <w:contextualSpacing/>
        <w:jc w:val="center"/>
        <w:rPr>
          <w:rFonts w:ascii="Century Gothic" w:eastAsia="Arial" w:hAnsi="Century Gothic" w:cs="Arial"/>
          <w:color w:val="auto"/>
          <w:szCs w:val="24"/>
          <w:lang w:val="es-MX"/>
        </w:rPr>
      </w:pPr>
    </w:p>
    <w:p w14:paraId="5AE45ADF" w14:textId="2178964C"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sobre </w:t>
      </w:r>
      <w:r w:rsidR="00FC4D7B">
        <w:rPr>
          <w:rFonts w:ascii="Century Gothic" w:eastAsia="Arial" w:hAnsi="Century Gothic" w:cs="Arial"/>
          <w:szCs w:val="24"/>
        </w:rPr>
        <w:t>el</w:t>
      </w:r>
      <w:r w:rsidR="00A23D2B">
        <w:rPr>
          <w:rFonts w:ascii="Century Gothic" w:eastAsia="Arial" w:hAnsi="Century Gothic" w:cs="Arial"/>
          <w:szCs w:val="24"/>
        </w:rPr>
        <w:t xml:space="preserve"> asunto descrito</w:t>
      </w:r>
      <w:r w:rsidR="006E6D7C">
        <w:rPr>
          <w:rFonts w:ascii="Century Gothic" w:eastAsia="Arial" w:hAnsi="Century Gothic" w:cs="Arial"/>
          <w:szCs w:val="24"/>
        </w:rPr>
        <w:t>s</w:t>
      </w:r>
      <w:r w:rsidR="00A23D2B">
        <w:rPr>
          <w:rFonts w:ascii="Century Gothic" w:eastAsia="Arial" w:hAnsi="Century Gothic" w:cs="Arial"/>
          <w:szCs w:val="24"/>
        </w:rPr>
        <w:t xml:space="preserve"> </w:t>
      </w:r>
      <w:r w:rsidR="00A23D2B" w:rsidRPr="0090301A">
        <w:rPr>
          <w:rFonts w:ascii="Century Gothic" w:eastAsia="Arial" w:hAnsi="Century Gothic" w:cs="Arial"/>
          <w:szCs w:val="24"/>
        </w:rPr>
        <w:t>en el apartado de antecedentes.</w:t>
      </w:r>
    </w:p>
    <w:p w14:paraId="3284E1E6"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2458BE42" w14:textId="0C0C059D" w:rsidR="003028D2" w:rsidRDefault="008F4BFF" w:rsidP="006E6D7C">
      <w:pPr>
        <w:spacing w:after="0" w:line="360" w:lineRule="auto"/>
        <w:jc w:val="both"/>
        <w:rPr>
          <w:rFonts w:ascii="Century Gothic" w:eastAsia="Arial" w:hAnsi="Century Gothic" w:cs="Arial"/>
          <w:sz w:val="24"/>
          <w:szCs w:val="24"/>
        </w:rPr>
      </w:pPr>
      <w:r w:rsidRPr="008144FE">
        <w:rPr>
          <w:rFonts w:ascii="Century Gothic" w:eastAsia="Arial" w:hAnsi="Century Gothic" w:cs="Arial"/>
          <w:sz w:val="24"/>
          <w:szCs w:val="24"/>
        </w:rPr>
        <w:t xml:space="preserve">Con la presente </w:t>
      </w:r>
      <w:r w:rsidR="00445EC3" w:rsidRPr="008144FE">
        <w:rPr>
          <w:rFonts w:ascii="Century Gothic" w:eastAsia="Arial" w:hAnsi="Century Gothic" w:cs="Arial"/>
          <w:sz w:val="24"/>
          <w:szCs w:val="24"/>
        </w:rPr>
        <w:t>iniciativa</w:t>
      </w:r>
      <w:r w:rsidR="00C12EA6" w:rsidRPr="008144FE">
        <w:rPr>
          <w:rFonts w:ascii="Century Gothic" w:eastAsia="Arial" w:hAnsi="Century Gothic" w:cs="Arial"/>
          <w:sz w:val="24"/>
          <w:szCs w:val="24"/>
        </w:rPr>
        <w:t>,</w:t>
      </w:r>
      <w:r w:rsidR="00445EC3" w:rsidRPr="008144FE">
        <w:rPr>
          <w:rFonts w:ascii="Century Gothic" w:eastAsia="Arial" w:hAnsi="Century Gothic" w:cs="Arial"/>
          <w:sz w:val="24"/>
          <w:szCs w:val="24"/>
        </w:rPr>
        <w:t xml:space="preserve"> </w:t>
      </w:r>
      <w:r w:rsidR="004B28AF" w:rsidRPr="008144FE">
        <w:rPr>
          <w:rFonts w:ascii="Century Gothic" w:eastAsia="Arial" w:hAnsi="Century Gothic" w:cs="Arial"/>
          <w:sz w:val="24"/>
          <w:szCs w:val="24"/>
        </w:rPr>
        <w:t xml:space="preserve">se </w:t>
      </w:r>
      <w:r w:rsidR="008637D5" w:rsidRPr="008144FE">
        <w:rPr>
          <w:rFonts w:ascii="Century Gothic" w:eastAsia="Arial" w:hAnsi="Century Gothic" w:cs="Arial"/>
          <w:sz w:val="24"/>
          <w:szCs w:val="24"/>
        </w:rPr>
        <w:t>pretende reformar</w:t>
      </w:r>
      <w:r w:rsidR="006E6D7C" w:rsidRPr="008144FE">
        <w:rPr>
          <w:rFonts w:ascii="Century Gothic" w:eastAsia="Arial" w:hAnsi="Century Gothic" w:cs="Arial"/>
          <w:sz w:val="24"/>
          <w:szCs w:val="24"/>
        </w:rPr>
        <w:t xml:space="preserve"> </w:t>
      </w:r>
      <w:r w:rsidR="00A5354A">
        <w:rPr>
          <w:rFonts w:ascii="Century Gothic" w:eastAsia="Arial" w:hAnsi="Century Gothic" w:cs="Arial"/>
          <w:sz w:val="24"/>
          <w:szCs w:val="24"/>
        </w:rPr>
        <w:t xml:space="preserve">la </w:t>
      </w:r>
      <w:r w:rsidR="00A5354A" w:rsidRPr="00A5354A">
        <w:rPr>
          <w:rFonts w:ascii="Century Gothic" w:eastAsia="Arial" w:hAnsi="Century Gothic" w:cs="Arial"/>
          <w:b/>
          <w:bCs/>
          <w:sz w:val="24"/>
          <w:szCs w:val="24"/>
        </w:rPr>
        <w:t xml:space="preserve">Ley </w:t>
      </w:r>
      <w:r w:rsidR="00F81911">
        <w:rPr>
          <w:rFonts w:ascii="Century Gothic" w:eastAsia="Arial" w:hAnsi="Century Gothic" w:cs="Arial"/>
          <w:b/>
          <w:bCs/>
          <w:sz w:val="24"/>
          <w:szCs w:val="24"/>
        </w:rPr>
        <w:t>Estatal de Justicia Cívica</w:t>
      </w:r>
      <w:r w:rsidR="006E6D7C">
        <w:rPr>
          <w:rFonts w:ascii="Century Gothic" w:eastAsia="Arial" w:hAnsi="Century Gothic" w:cs="Arial"/>
          <w:sz w:val="24"/>
          <w:szCs w:val="24"/>
        </w:rPr>
        <w:t>,</w:t>
      </w:r>
      <w:r w:rsidR="006E6D7C">
        <w:rPr>
          <w:rStyle w:val="Refdenotaalpie"/>
          <w:rFonts w:ascii="Century Gothic" w:eastAsia="Arial" w:hAnsi="Century Gothic" w:cs="Arial"/>
          <w:sz w:val="24"/>
          <w:szCs w:val="24"/>
        </w:rPr>
        <w:footnoteReference w:id="2"/>
      </w:r>
      <w:r w:rsidR="00897857">
        <w:rPr>
          <w:rFonts w:ascii="Century Gothic" w:eastAsia="Arial" w:hAnsi="Century Gothic" w:cs="Arial"/>
          <w:sz w:val="24"/>
          <w:szCs w:val="24"/>
        </w:rPr>
        <w:t xml:space="preserve"> </w:t>
      </w:r>
      <w:r w:rsidR="00897857" w:rsidRPr="00897857">
        <w:rPr>
          <w:rFonts w:ascii="Century Gothic" w:eastAsia="Arial" w:hAnsi="Century Gothic" w:cs="Arial"/>
          <w:sz w:val="24"/>
          <w:szCs w:val="24"/>
        </w:rPr>
        <w:t>en materia de perspectiva de género</w:t>
      </w:r>
      <w:r w:rsidR="00A5354A" w:rsidRPr="00A5354A">
        <w:rPr>
          <w:rFonts w:ascii="Century Gothic" w:eastAsia="Arial" w:hAnsi="Century Gothic" w:cs="Arial"/>
          <w:sz w:val="24"/>
          <w:szCs w:val="24"/>
        </w:rPr>
        <w:t>.</w:t>
      </w:r>
    </w:p>
    <w:p w14:paraId="2DAE3186" w14:textId="77777777" w:rsidR="00E0531A" w:rsidRPr="005F24AF" w:rsidRDefault="00E0531A" w:rsidP="000C5D84">
      <w:pPr>
        <w:spacing w:after="0" w:line="360" w:lineRule="auto"/>
        <w:rPr>
          <w:rFonts w:ascii="Century Gothic" w:eastAsia="Arial Unicode MS" w:hAnsi="Century Gothic" w:cs="Arial"/>
          <w:sz w:val="24"/>
          <w:szCs w:val="24"/>
        </w:rPr>
      </w:pPr>
    </w:p>
    <w:p w14:paraId="11C2E0BF" w14:textId="44400A16" w:rsidR="00733E48" w:rsidRDefault="00E0531A" w:rsidP="00733E48">
      <w:pPr>
        <w:pStyle w:val="Normal1"/>
        <w:spacing w:line="360" w:lineRule="auto"/>
        <w:contextualSpacing/>
        <w:jc w:val="both"/>
        <w:rPr>
          <w:rFonts w:ascii="Century Gothic" w:eastAsia="Arial" w:hAnsi="Century Gothic" w:cs="Arial"/>
          <w:color w:val="auto"/>
          <w:szCs w:val="24"/>
          <w:lang w:val="es-MX"/>
        </w:rPr>
      </w:pPr>
      <w:r w:rsidRPr="005F24AF">
        <w:rPr>
          <w:rFonts w:ascii="Century Gothic" w:hAnsi="Century Gothic" w:cs="Calibri"/>
          <w:b/>
          <w:szCs w:val="24"/>
        </w:rPr>
        <w:t>II.-</w:t>
      </w:r>
      <w:r w:rsidR="00444EE3" w:rsidRPr="00444EE3">
        <w:t xml:space="preserve"> </w:t>
      </w:r>
      <w:r w:rsidR="00AA6F69" w:rsidRPr="000852EF">
        <w:rPr>
          <w:rFonts w:ascii="Century Gothic" w:eastAsia="Arial" w:hAnsi="Century Gothic" w:cs="Arial"/>
          <w:color w:val="auto"/>
          <w:szCs w:val="24"/>
          <w:lang w:val="es-MX"/>
        </w:rPr>
        <w:t xml:space="preserve">Como antecedente a la propuesta en estudio, </w:t>
      </w:r>
      <w:r w:rsidR="00733E48">
        <w:rPr>
          <w:rFonts w:ascii="Century Gothic" w:eastAsia="Arial" w:hAnsi="Century Gothic" w:cs="Arial"/>
          <w:color w:val="auto"/>
          <w:szCs w:val="24"/>
          <w:lang w:val="es-MX"/>
        </w:rPr>
        <w:t>es de mencionar que dicho ordenamiento jurídico fue p</w:t>
      </w:r>
      <w:r w:rsidR="00733E48" w:rsidRPr="00733E48">
        <w:rPr>
          <w:rFonts w:ascii="Century Gothic" w:eastAsia="Arial" w:hAnsi="Century Gothic" w:cs="Arial"/>
          <w:color w:val="auto"/>
          <w:szCs w:val="24"/>
          <w:lang w:val="es-MX"/>
        </w:rPr>
        <w:t>ublicad</w:t>
      </w:r>
      <w:r w:rsidR="00733E48">
        <w:rPr>
          <w:rFonts w:ascii="Century Gothic" w:eastAsia="Arial" w:hAnsi="Century Gothic" w:cs="Arial"/>
          <w:color w:val="auto"/>
          <w:szCs w:val="24"/>
          <w:lang w:val="es-MX"/>
        </w:rPr>
        <w:t>o</w:t>
      </w:r>
      <w:r w:rsidR="00733E48" w:rsidRPr="00733E48">
        <w:rPr>
          <w:rFonts w:ascii="Century Gothic" w:eastAsia="Arial" w:hAnsi="Century Gothic" w:cs="Arial"/>
          <w:color w:val="auto"/>
          <w:szCs w:val="24"/>
          <w:lang w:val="es-MX"/>
        </w:rPr>
        <w:t xml:space="preserve"> en el Periódico Oficial del Estado No. 28 del 06 de abril de 2024</w:t>
      </w:r>
      <w:r w:rsidR="00733E48">
        <w:rPr>
          <w:rFonts w:ascii="Century Gothic" w:eastAsia="Arial" w:hAnsi="Century Gothic" w:cs="Arial"/>
          <w:color w:val="auto"/>
          <w:szCs w:val="24"/>
          <w:lang w:val="es-MX"/>
        </w:rPr>
        <w:t xml:space="preserve">, y tiene entre sus objetivos: </w:t>
      </w:r>
    </w:p>
    <w:p w14:paraId="199EEF25" w14:textId="01491298" w:rsidR="00733E48" w:rsidRDefault="00733E48" w:rsidP="00733E48">
      <w:pPr>
        <w:pStyle w:val="Normal1"/>
        <w:spacing w:line="360" w:lineRule="auto"/>
        <w:contextualSpacing/>
        <w:jc w:val="both"/>
        <w:rPr>
          <w:rFonts w:ascii="Century Gothic" w:eastAsia="Arial" w:hAnsi="Century Gothic" w:cs="Arial"/>
          <w:color w:val="auto"/>
          <w:szCs w:val="24"/>
          <w:lang w:val="es-MX"/>
        </w:rPr>
      </w:pPr>
    </w:p>
    <w:p w14:paraId="16D0A49F" w14:textId="31D9A570" w:rsidR="00733E48" w:rsidRDefault="00733E48" w:rsidP="00733E48">
      <w:pPr>
        <w:pStyle w:val="Normal1"/>
        <w:numPr>
          <w:ilvl w:val="0"/>
          <w:numId w:val="35"/>
        </w:numPr>
        <w:spacing w:line="360" w:lineRule="auto"/>
        <w:contextualSpacing/>
        <w:jc w:val="both"/>
        <w:rPr>
          <w:rFonts w:ascii="Century Gothic" w:eastAsia="Arial" w:hAnsi="Century Gothic" w:cs="Arial"/>
          <w:color w:val="auto"/>
          <w:szCs w:val="24"/>
          <w:lang w:val="es-MX"/>
        </w:rPr>
      </w:pPr>
      <w:r w:rsidRPr="00733E48">
        <w:rPr>
          <w:rFonts w:ascii="Century Gothic" w:eastAsia="Arial" w:hAnsi="Century Gothic" w:cs="Arial"/>
          <w:color w:val="auto"/>
          <w:szCs w:val="24"/>
          <w:lang w:val="es-MX"/>
        </w:rPr>
        <w:lastRenderedPageBreak/>
        <w:t>Sentar las bases para la coordinación, organización y el funcionamiento de la Justicia</w:t>
      </w:r>
      <w:r>
        <w:rPr>
          <w:rFonts w:ascii="Century Gothic" w:eastAsia="Arial" w:hAnsi="Century Gothic" w:cs="Arial"/>
          <w:color w:val="auto"/>
          <w:szCs w:val="24"/>
          <w:lang w:val="es-MX"/>
        </w:rPr>
        <w:t xml:space="preserve"> </w:t>
      </w:r>
      <w:r w:rsidRPr="00733E48">
        <w:rPr>
          <w:rFonts w:ascii="Century Gothic" w:eastAsia="Arial" w:hAnsi="Century Gothic" w:cs="Arial"/>
          <w:color w:val="auto"/>
          <w:szCs w:val="24"/>
          <w:lang w:val="es-MX"/>
        </w:rPr>
        <w:t>Cívica en los municipios y en el Estado de Chihuahua.</w:t>
      </w:r>
    </w:p>
    <w:p w14:paraId="05AC7F3A" w14:textId="77777777" w:rsidR="00733E48" w:rsidRPr="00733E48" w:rsidRDefault="00733E48" w:rsidP="00733E48">
      <w:pPr>
        <w:pStyle w:val="Normal1"/>
        <w:spacing w:line="360" w:lineRule="auto"/>
        <w:ind w:left="720"/>
        <w:contextualSpacing/>
        <w:jc w:val="both"/>
        <w:rPr>
          <w:rFonts w:ascii="Century Gothic" w:eastAsia="Arial" w:hAnsi="Century Gothic" w:cs="Arial"/>
          <w:color w:val="auto"/>
          <w:szCs w:val="24"/>
          <w:lang w:val="es-MX"/>
        </w:rPr>
      </w:pPr>
    </w:p>
    <w:p w14:paraId="7ECE6134" w14:textId="77777777" w:rsidR="00733E48" w:rsidRDefault="00733E48" w:rsidP="00733E48">
      <w:pPr>
        <w:pStyle w:val="Normal1"/>
        <w:numPr>
          <w:ilvl w:val="0"/>
          <w:numId w:val="35"/>
        </w:numPr>
        <w:spacing w:line="360" w:lineRule="auto"/>
        <w:contextualSpacing/>
        <w:jc w:val="both"/>
        <w:rPr>
          <w:rFonts w:ascii="Century Gothic" w:eastAsia="Arial" w:hAnsi="Century Gothic" w:cs="Arial"/>
          <w:color w:val="auto"/>
          <w:szCs w:val="24"/>
          <w:lang w:val="es-MX"/>
        </w:rPr>
      </w:pPr>
      <w:r w:rsidRPr="00733E48">
        <w:rPr>
          <w:rFonts w:ascii="Century Gothic" w:eastAsia="Arial" w:hAnsi="Century Gothic" w:cs="Arial"/>
          <w:color w:val="auto"/>
          <w:szCs w:val="24"/>
          <w:lang w:val="es-MX"/>
        </w:rPr>
        <w:t>Establecer las acciones que deberán llevar a cabo las autoridades estatales y</w:t>
      </w:r>
      <w:r>
        <w:rPr>
          <w:rFonts w:ascii="Century Gothic" w:eastAsia="Arial" w:hAnsi="Century Gothic" w:cs="Arial"/>
          <w:color w:val="auto"/>
          <w:szCs w:val="24"/>
          <w:lang w:val="es-MX"/>
        </w:rPr>
        <w:t xml:space="preserve"> </w:t>
      </w:r>
      <w:r w:rsidRPr="00733E48">
        <w:rPr>
          <w:rFonts w:ascii="Century Gothic" w:eastAsia="Arial" w:hAnsi="Century Gothic" w:cs="Arial"/>
          <w:color w:val="auto"/>
          <w:szCs w:val="24"/>
          <w:lang w:val="es-MX"/>
        </w:rPr>
        <w:t>municipales para conocer y resolver las infracciones y/o faltas administrativas, así como</w:t>
      </w:r>
      <w:r>
        <w:rPr>
          <w:rFonts w:ascii="Century Gothic" w:eastAsia="Arial" w:hAnsi="Century Gothic" w:cs="Arial"/>
          <w:color w:val="auto"/>
          <w:szCs w:val="24"/>
          <w:lang w:val="es-MX"/>
        </w:rPr>
        <w:t xml:space="preserve"> </w:t>
      </w:r>
      <w:r w:rsidRPr="00733E48">
        <w:rPr>
          <w:rFonts w:ascii="Century Gothic" w:eastAsia="Arial" w:hAnsi="Century Gothic" w:cs="Arial"/>
          <w:color w:val="auto"/>
          <w:szCs w:val="24"/>
          <w:lang w:val="es-MX"/>
        </w:rPr>
        <w:t>aquellos trámites y servicios que brinde el Juzgado Cívico a poblaciones alejadas, de</w:t>
      </w:r>
      <w:r>
        <w:rPr>
          <w:rFonts w:ascii="Century Gothic" w:eastAsia="Arial" w:hAnsi="Century Gothic" w:cs="Arial"/>
          <w:color w:val="auto"/>
          <w:szCs w:val="24"/>
          <w:lang w:val="es-MX"/>
        </w:rPr>
        <w:t xml:space="preserve"> </w:t>
      </w:r>
      <w:r w:rsidRPr="00733E48">
        <w:rPr>
          <w:rFonts w:ascii="Century Gothic" w:eastAsia="Arial" w:hAnsi="Century Gothic" w:cs="Arial"/>
          <w:color w:val="auto"/>
          <w:szCs w:val="24"/>
          <w:lang w:val="es-MX"/>
        </w:rPr>
        <w:t>difícil acceso y zonas marginadas.</w:t>
      </w:r>
    </w:p>
    <w:p w14:paraId="4E740F5C" w14:textId="77777777" w:rsidR="00733E48" w:rsidRDefault="00733E48" w:rsidP="00733E48">
      <w:pPr>
        <w:pStyle w:val="Prrafodelista"/>
        <w:rPr>
          <w:rFonts w:ascii="Century Gothic" w:eastAsia="Arial" w:hAnsi="Century Gothic" w:cs="Arial"/>
          <w:szCs w:val="24"/>
          <w:lang w:val="es-MX"/>
        </w:rPr>
      </w:pPr>
    </w:p>
    <w:p w14:paraId="391AB3A8" w14:textId="77777777" w:rsidR="00B17569" w:rsidRDefault="00733E48" w:rsidP="00733E48">
      <w:pPr>
        <w:pStyle w:val="Normal1"/>
        <w:numPr>
          <w:ilvl w:val="0"/>
          <w:numId w:val="35"/>
        </w:numPr>
        <w:spacing w:line="360" w:lineRule="auto"/>
        <w:contextualSpacing/>
        <w:jc w:val="both"/>
        <w:rPr>
          <w:rFonts w:ascii="Century Gothic" w:eastAsia="Arial" w:hAnsi="Century Gothic" w:cs="Arial"/>
          <w:color w:val="auto"/>
          <w:szCs w:val="24"/>
          <w:lang w:val="es-MX"/>
        </w:rPr>
      </w:pPr>
      <w:r w:rsidRPr="00733E48">
        <w:rPr>
          <w:rFonts w:ascii="Century Gothic" w:eastAsia="Arial" w:hAnsi="Century Gothic" w:cs="Arial"/>
          <w:color w:val="auto"/>
          <w:szCs w:val="24"/>
          <w:lang w:val="es-MX"/>
        </w:rPr>
        <w:t>Implementar medios alternativos de solución de controversias en Justicia Cívica entre particulares, para garantizar la reparación de los daños causados por la comisión de conductas que constituyan infracciones y/o faltas administrativas, de conformidad con la presente Ley.</w:t>
      </w:r>
    </w:p>
    <w:p w14:paraId="506B1477" w14:textId="77777777" w:rsidR="00B17569" w:rsidRDefault="00B17569" w:rsidP="00B17569">
      <w:pPr>
        <w:pStyle w:val="Prrafodelista"/>
        <w:rPr>
          <w:rFonts w:ascii="Century Gothic" w:eastAsia="Arial" w:hAnsi="Century Gothic" w:cs="Arial"/>
          <w:szCs w:val="24"/>
          <w:lang w:val="es-MX"/>
        </w:rPr>
      </w:pPr>
    </w:p>
    <w:p w14:paraId="7399DD1F" w14:textId="7B4249EB" w:rsidR="00733E48" w:rsidRPr="00B17569" w:rsidRDefault="00733E48" w:rsidP="00733E48">
      <w:pPr>
        <w:pStyle w:val="Normal1"/>
        <w:numPr>
          <w:ilvl w:val="0"/>
          <w:numId w:val="35"/>
        </w:numPr>
        <w:spacing w:line="360" w:lineRule="auto"/>
        <w:contextualSpacing/>
        <w:jc w:val="both"/>
        <w:rPr>
          <w:rFonts w:ascii="Century Gothic" w:eastAsia="Arial" w:hAnsi="Century Gothic" w:cs="Arial"/>
          <w:color w:val="auto"/>
          <w:szCs w:val="24"/>
          <w:lang w:val="es-MX"/>
        </w:rPr>
      </w:pPr>
      <w:r w:rsidRPr="00B17569">
        <w:rPr>
          <w:rFonts w:ascii="Century Gothic" w:eastAsia="Arial" w:hAnsi="Century Gothic" w:cs="Arial"/>
          <w:color w:val="auto"/>
          <w:szCs w:val="24"/>
          <w:lang w:val="es-MX"/>
        </w:rPr>
        <w:t>Establecer los mecanismos para la imposición de sanciones, que deriven de conductas que constituyan infracciones y/o faltas administrativas, así como los procedimientos para su aplicación, prevaleciendo en todo momento aquellos que atiendan los niveles de riesgo psicosociales en las personas infractoras.</w:t>
      </w:r>
    </w:p>
    <w:p w14:paraId="0B6E4917" w14:textId="1FB57A58" w:rsidR="00733E48" w:rsidRDefault="00733E48" w:rsidP="00B17569">
      <w:pPr>
        <w:pStyle w:val="Normal1"/>
        <w:spacing w:line="360" w:lineRule="auto"/>
        <w:contextualSpacing/>
        <w:jc w:val="both"/>
        <w:rPr>
          <w:rFonts w:ascii="Century Gothic" w:eastAsia="Arial" w:hAnsi="Century Gothic" w:cs="Arial"/>
          <w:color w:val="auto"/>
          <w:szCs w:val="24"/>
          <w:lang w:val="es-MX"/>
        </w:rPr>
      </w:pPr>
    </w:p>
    <w:p w14:paraId="353A9A11" w14:textId="77777777" w:rsidR="00733E48" w:rsidRDefault="00733E48" w:rsidP="0005586F">
      <w:pPr>
        <w:pStyle w:val="Normal1"/>
        <w:spacing w:line="360" w:lineRule="auto"/>
        <w:contextualSpacing/>
        <w:jc w:val="both"/>
        <w:rPr>
          <w:rFonts w:ascii="Century Gothic" w:eastAsia="Arial" w:hAnsi="Century Gothic" w:cs="Arial"/>
          <w:color w:val="auto"/>
          <w:szCs w:val="24"/>
          <w:lang w:val="es-MX"/>
        </w:rPr>
      </w:pPr>
    </w:p>
    <w:p w14:paraId="294593C1" w14:textId="77777777" w:rsidR="00733E48" w:rsidRDefault="00733E48" w:rsidP="0005586F">
      <w:pPr>
        <w:pStyle w:val="Normal1"/>
        <w:spacing w:line="360" w:lineRule="auto"/>
        <w:contextualSpacing/>
        <w:jc w:val="both"/>
        <w:rPr>
          <w:rFonts w:ascii="Century Gothic" w:eastAsia="Arial" w:hAnsi="Century Gothic" w:cs="Arial"/>
          <w:color w:val="auto"/>
          <w:szCs w:val="24"/>
          <w:lang w:val="es-MX"/>
        </w:rPr>
      </w:pPr>
    </w:p>
    <w:p w14:paraId="1B314771" w14:textId="77777777" w:rsidR="00733E48" w:rsidRDefault="00733E48" w:rsidP="0005586F">
      <w:pPr>
        <w:pStyle w:val="Normal1"/>
        <w:spacing w:line="360" w:lineRule="auto"/>
        <w:contextualSpacing/>
        <w:jc w:val="both"/>
        <w:rPr>
          <w:rFonts w:ascii="Century Gothic" w:eastAsia="Arial" w:hAnsi="Century Gothic" w:cs="Arial"/>
          <w:color w:val="auto"/>
          <w:szCs w:val="24"/>
          <w:lang w:val="es-MX"/>
        </w:rPr>
      </w:pPr>
    </w:p>
    <w:p w14:paraId="399BCF8B" w14:textId="16BAD94F" w:rsidR="00B17569" w:rsidRDefault="00B17569" w:rsidP="0005586F">
      <w:pPr>
        <w:pStyle w:val="Normal1"/>
        <w:spacing w:line="360" w:lineRule="auto"/>
        <w:contextualSpacing/>
        <w:jc w:val="both"/>
        <w:rPr>
          <w:rFonts w:ascii="Century Gothic" w:eastAsia="Arial" w:hAnsi="Century Gothic" w:cs="Arial"/>
          <w:color w:val="auto"/>
          <w:szCs w:val="24"/>
          <w:lang w:val="es-MX"/>
        </w:rPr>
      </w:pPr>
      <w:r w:rsidRPr="00B17569">
        <w:rPr>
          <w:rFonts w:ascii="Century Gothic" w:eastAsia="Arial" w:hAnsi="Century Gothic" w:cs="Arial"/>
          <w:b/>
          <w:bCs/>
          <w:color w:val="auto"/>
          <w:szCs w:val="24"/>
          <w:lang w:val="es-MX"/>
        </w:rPr>
        <w:t>I</w:t>
      </w:r>
      <w:r w:rsidR="00FC4D7B">
        <w:rPr>
          <w:rFonts w:ascii="Century Gothic" w:eastAsia="Arial" w:hAnsi="Century Gothic" w:cs="Arial"/>
          <w:b/>
          <w:bCs/>
          <w:color w:val="auto"/>
          <w:szCs w:val="24"/>
          <w:lang w:val="es-MX"/>
        </w:rPr>
        <w:t>II</w:t>
      </w:r>
      <w:r w:rsidRPr="00B17569">
        <w:rPr>
          <w:rFonts w:ascii="Century Gothic" w:eastAsia="Arial" w:hAnsi="Century Gothic" w:cs="Arial"/>
          <w:b/>
          <w:bCs/>
          <w:color w:val="auto"/>
          <w:szCs w:val="24"/>
          <w:lang w:val="es-MX"/>
        </w:rPr>
        <w:t>.-</w:t>
      </w:r>
      <w:r>
        <w:rPr>
          <w:rFonts w:ascii="Century Gothic" w:eastAsia="Arial" w:hAnsi="Century Gothic" w:cs="Arial"/>
          <w:color w:val="auto"/>
          <w:szCs w:val="24"/>
          <w:lang w:val="es-MX"/>
        </w:rPr>
        <w:t xml:space="preserve"> </w:t>
      </w:r>
      <w:r w:rsidRPr="005472C8">
        <w:rPr>
          <w:rFonts w:ascii="Century Gothic" w:eastAsia="Arial" w:hAnsi="Century Gothic" w:cs="Arial"/>
          <w:szCs w:val="24"/>
        </w:rPr>
        <w:t>En este orden de ideas, distinguimos que el objetivo de la iniciativa en estudio</w:t>
      </w:r>
      <w:r>
        <w:rPr>
          <w:rFonts w:ascii="Century Gothic" w:eastAsia="Arial" w:hAnsi="Century Gothic" w:cs="Arial"/>
          <w:szCs w:val="24"/>
        </w:rPr>
        <w:t xml:space="preserve"> es adicionar diversas disposiciones de tal ordenamiento jurídico a fin de reforzar su contenido en materia de perspectiva de género. </w:t>
      </w:r>
    </w:p>
    <w:p w14:paraId="27D72E7F" w14:textId="77777777" w:rsidR="00B17569" w:rsidRDefault="00B17569" w:rsidP="0005586F">
      <w:pPr>
        <w:pStyle w:val="Normal1"/>
        <w:spacing w:line="360" w:lineRule="auto"/>
        <w:contextualSpacing/>
        <w:jc w:val="both"/>
        <w:rPr>
          <w:rFonts w:ascii="Century Gothic" w:eastAsia="Arial" w:hAnsi="Century Gothic" w:cs="Arial"/>
          <w:color w:val="auto"/>
          <w:szCs w:val="24"/>
          <w:lang w:val="es-MX"/>
        </w:rPr>
      </w:pPr>
    </w:p>
    <w:p w14:paraId="080F166A" w14:textId="12A83F6D" w:rsidR="00AA6F69" w:rsidRDefault="00EF4A14" w:rsidP="0005586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Para dar inicio al análisis correspondiente, </w:t>
      </w:r>
      <w:r w:rsidR="00AA6F69">
        <w:rPr>
          <w:rFonts w:ascii="Century Gothic" w:eastAsia="Arial" w:hAnsi="Century Gothic" w:cs="Arial"/>
          <w:color w:val="auto"/>
          <w:szCs w:val="24"/>
          <w:lang w:val="es-MX"/>
        </w:rPr>
        <w:t>es necesario atender al concepto de “</w:t>
      </w:r>
      <w:r w:rsidR="00897857">
        <w:rPr>
          <w:rFonts w:ascii="Century Gothic" w:eastAsia="Arial" w:hAnsi="Century Gothic" w:cs="Arial"/>
          <w:i/>
          <w:iCs/>
          <w:color w:val="auto"/>
          <w:szCs w:val="24"/>
          <w:lang w:val="es-MX"/>
        </w:rPr>
        <w:t>perspectiva de género</w:t>
      </w:r>
      <w:r w:rsidR="00AA6F69">
        <w:rPr>
          <w:rFonts w:ascii="Century Gothic" w:eastAsia="Arial" w:hAnsi="Century Gothic" w:cs="Arial"/>
          <w:color w:val="auto"/>
          <w:szCs w:val="24"/>
          <w:lang w:val="es-MX"/>
        </w:rPr>
        <w:t xml:space="preserve">” </w:t>
      </w:r>
      <w:r w:rsidR="0005586F">
        <w:rPr>
          <w:rFonts w:ascii="Century Gothic" w:eastAsia="Arial" w:hAnsi="Century Gothic" w:cs="Arial"/>
          <w:color w:val="auto"/>
          <w:szCs w:val="24"/>
          <w:lang w:val="es-MX"/>
        </w:rPr>
        <w:t xml:space="preserve">en nuestro ordenamiento jurídico nacional. </w:t>
      </w:r>
    </w:p>
    <w:p w14:paraId="0A91A8E7" w14:textId="11095773" w:rsidR="0005586F" w:rsidRDefault="0005586F" w:rsidP="0005586F">
      <w:pPr>
        <w:pStyle w:val="Normal1"/>
        <w:spacing w:line="360" w:lineRule="auto"/>
        <w:contextualSpacing/>
        <w:jc w:val="both"/>
        <w:rPr>
          <w:rFonts w:ascii="Century Gothic" w:eastAsia="Arial" w:hAnsi="Century Gothic" w:cs="Arial"/>
          <w:color w:val="auto"/>
          <w:szCs w:val="24"/>
          <w:lang w:val="es-MX"/>
        </w:rPr>
      </w:pPr>
    </w:p>
    <w:p w14:paraId="2F26B5EF" w14:textId="7C10F626" w:rsidR="0005586F" w:rsidRPr="0005586F" w:rsidRDefault="00E932EC" w:rsidP="0005586F">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Así</w:t>
      </w:r>
      <w:r w:rsidR="0005586F">
        <w:rPr>
          <w:rFonts w:ascii="Century Gothic" w:eastAsia="Arial" w:hAnsi="Century Gothic" w:cs="Arial"/>
          <w:color w:val="auto"/>
          <w:szCs w:val="24"/>
          <w:lang w:val="es-MX"/>
        </w:rPr>
        <w:t xml:space="preserve">, la </w:t>
      </w:r>
      <w:r w:rsidR="0005586F" w:rsidRPr="0005586F">
        <w:rPr>
          <w:rFonts w:ascii="Century Gothic" w:eastAsia="Arial" w:hAnsi="Century Gothic" w:cs="Arial"/>
          <w:b/>
          <w:bCs/>
          <w:color w:val="auto"/>
          <w:szCs w:val="24"/>
          <w:lang w:val="es-MX"/>
        </w:rPr>
        <w:t>Ley General para la Igualdad entre Mujeres y Hombres</w:t>
      </w:r>
      <w:r w:rsidR="0005586F">
        <w:rPr>
          <w:rFonts w:ascii="Century Gothic" w:eastAsia="Arial" w:hAnsi="Century Gothic" w:cs="Arial"/>
          <w:color w:val="auto"/>
          <w:szCs w:val="24"/>
          <w:lang w:val="es-MX"/>
        </w:rPr>
        <w:t>,</w:t>
      </w:r>
      <w:r w:rsidR="0005586F">
        <w:rPr>
          <w:rStyle w:val="Refdenotaalpie"/>
          <w:rFonts w:ascii="Century Gothic" w:eastAsia="Arial" w:hAnsi="Century Gothic" w:cs="Arial"/>
          <w:color w:val="auto"/>
          <w:szCs w:val="24"/>
          <w:lang w:val="es-MX"/>
        </w:rPr>
        <w:footnoteReference w:id="3"/>
      </w:r>
      <w:r w:rsidR="0005586F">
        <w:rPr>
          <w:rFonts w:ascii="Century Gothic" w:eastAsia="Arial" w:hAnsi="Century Gothic" w:cs="Arial"/>
          <w:color w:val="auto"/>
          <w:szCs w:val="24"/>
          <w:lang w:val="es-MX"/>
        </w:rPr>
        <w:t xml:space="preserve"> la define como: </w:t>
      </w:r>
      <w:r w:rsidR="0005586F" w:rsidRPr="0005586F">
        <w:rPr>
          <w:rFonts w:ascii="Century Gothic" w:eastAsia="Arial" w:hAnsi="Century Gothic" w:cs="Arial"/>
          <w:i/>
          <w:iCs/>
          <w:color w:val="auto"/>
          <w:szCs w:val="24"/>
          <w:lang w:val="es-MX"/>
        </w:rPr>
        <w:t>“Concepto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14:paraId="548BDEAD" w14:textId="14EA7BAD" w:rsidR="0005586F" w:rsidRDefault="0005586F" w:rsidP="0005586F">
      <w:pPr>
        <w:pStyle w:val="Normal1"/>
        <w:spacing w:line="360" w:lineRule="auto"/>
        <w:contextualSpacing/>
        <w:jc w:val="both"/>
        <w:rPr>
          <w:rFonts w:ascii="Century Gothic" w:eastAsia="Arial" w:hAnsi="Century Gothic" w:cs="Arial"/>
          <w:color w:val="auto"/>
          <w:szCs w:val="24"/>
          <w:lang w:val="es-MX"/>
        </w:rPr>
      </w:pPr>
    </w:p>
    <w:p w14:paraId="029753C0" w14:textId="63391FC7" w:rsidR="0005586F" w:rsidRDefault="0005586F" w:rsidP="0005586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Por su parte, la </w:t>
      </w:r>
      <w:r w:rsidRPr="0005586F">
        <w:rPr>
          <w:rFonts w:ascii="Century Gothic" w:eastAsia="Arial" w:hAnsi="Century Gothic" w:cs="Arial"/>
          <w:b/>
          <w:bCs/>
          <w:color w:val="auto"/>
          <w:szCs w:val="24"/>
          <w:lang w:val="es-MX"/>
        </w:rPr>
        <w:t>Ley General de Acceso de las Mujeres a una Vida Libre de Violencia</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4"/>
      </w:r>
      <w:r>
        <w:rPr>
          <w:rFonts w:ascii="Century Gothic" w:eastAsia="Arial" w:hAnsi="Century Gothic" w:cs="Arial"/>
          <w:color w:val="auto"/>
          <w:szCs w:val="24"/>
          <w:lang w:val="es-MX"/>
        </w:rPr>
        <w:t xml:space="preserve"> define dicha perspectiva de la siguiente manera: “</w:t>
      </w:r>
      <w:r w:rsidRPr="0005586F">
        <w:rPr>
          <w:rFonts w:ascii="Century Gothic" w:eastAsia="Arial" w:hAnsi="Century Gothic" w:cs="Arial"/>
          <w:color w:val="auto"/>
          <w:szCs w:val="24"/>
          <w:lang w:val="es-MX"/>
        </w:rPr>
        <w:t>Es una visión científica, analítica y política sobre las mujeres y los</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hombres. Se propone eliminar las causas de la opresión de género como la desigualdad, la</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lastRenderedPageBreak/>
        <w:t>injusticia y la jerarquización de las personas basada en el género. Promueve la igualdad entre</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los géneros a través de la equidad, el adelanto y el bienestar de las mujeres; contribuye a</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construir una sociedad en donde las mujeres y los hombres tengan el mismo valor, la igualdad</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de derechos y oportunidades para acceder a los recursos económicos y a la representación</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política y social en los ámbitos de toma de decisiones</w:t>
      </w:r>
      <w:r>
        <w:rPr>
          <w:rFonts w:ascii="Century Gothic" w:eastAsia="Arial" w:hAnsi="Century Gothic" w:cs="Arial"/>
          <w:color w:val="auto"/>
          <w:szCs w:val="24"/>
          <w:lang w:val="es-MX"/>
        </w:rPr>
        <w:t>.”</w:t>
      </w:r>
      <w:r w:rsidRPr="0005586F">
        <w:rPr>
          <w:rFonts w:ascii="Century Gothic" w:eastAsia="Arial" w:hAnsi="Century Gothic" w:cs="Arial"/>
          <w:color w:val="auto"/>
          <w:szCs w:val="24"/>
          <w:lang w:val="es-MX"/>
        </w:rPr>
        <w:cr/>
      </w:r>
    </w:p>
    <w:p w14:paraId="2E6C8CBA" w14:textId="31C01CBF" w:rsidR="0005586F" w:rsidRPr="00541D97" w:rsidRDefault="0005586F" w:rsidP="0005586F">
      <w:pPr>
        <w:pStyle w:val="Normal1"/>
        <w:spacing w:line="360" w:lineRule="auto"/>
        <w:contextualSpacing/>
        <w:jc w:val="both"/>
        <w:rPr>
          <w:rFonts w:ascii="Century Gothic" w:eastAsia="Arial" w:hAnsi="Century Gothic" w:cs="Arial"/>
          <w:color w:val="auto"/>
          <w:szCs w:val="24"/>
          <w:lang w:val="es-MX"/>
        </w:rPr>
      </w:pPr>
      <w:r w:rsidRPr="0005586F">
        <w:rPr>
          <w:rFonts w:ascii="Century Gothic" w:eastAsia="Arial" w:hAnsi="Century Gothic" w:cs="Arial"/>
          <w:color w:val="auto"/>
          <w:szCs w:val="24"/>
          <w:lang w:val="es-MX"/>
        </w:rPr>
        <w:t xml:space="preserve">Derivado de lo anterior, </w:t>
      </w:r>
      <w:r w:rsidR="00EF4A14">
        <w:rPr>
          <w:rFonts w:ascii="Century Gothic" w:eastAsia="Arial" w:hAnsi="Century Gothic" w:cs="Arial"/>
          <w:color w:val="auto"/>
          <w:szCs w:val="24"/>
          <w:lang w:val="es-MX"/>
        </w:rPr>
        <w:t xml:space="preserve">concluimos que, </w:t>
      </w:r>
      <w:r w:rsidRPr="0005586F">
        <w:rPr>
          <w:rFonts w:ascii="Century Gothic" w:eastAsia="Arial" w:hAnsi="Century Gothic" w:cs="Arial"/>
          <w:color w:val="auto"/>
          <w:szCs w:val="24"/>
          <w:lang w:val="es-MX"/>
        </w:rPr>
        <w:t>aplicar la perspectiva de género en el quehacer</w:t>
      </w:r>
      <w:r>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 xml:space="preserve">jurisdiccional, </w:t>
      </w:r>
      <w:r w:rsidR="00E932EC" w:rsidRPr="00EF4A14">
        <w:rPr>
          <w:rFonts w:ascii="Century Gothic" w:eastAsia="Arial" w:hAnsi="Century Gothic" w:cs="Arial"/>
          <w:color w:val="auto"/>
          <w:szCs w:val="24"/>
          <w:lang w:val="es-MX"/>
        </w:rPr>
        <w:t>debe utilizarse en todos aquellos asuntos que den cuenta de la existencia de relaciones asimétricas de poder, violencia, vulnerabilidad, o bien, de contextos de desigualdad estructural basados en el sexo, el género o las preferencias u orientaciones sexuales de las personas</w:t>
      </w:r>
      <w:r w:rsidR="00E932EC">
        <w:rPr>
          <w:rFonts w:ascii="Century Gothic" w:eastAsia="Arial" w:hAnsi="Century Gothic" w:cs="Arial"/>
          <w:color w:val="auto"/>
          <w:szCs w:val="24"/>
          <w:lang w:val="es-MX"/>
        </w:rPr>
        <w:t>,</w:t>
      </w:r>
      <w:r w:rsidR="00EF4A14">
        <w:rPr>
          <w:rFonts w:ascii="Century Gothic" w:eastAsia="Arial" w:hAnsi="Century Gothic" w:cs="Arial"/>
          <w:color w:val="auto"/>
          <w:szCs w:val="24"/>
          <w:lang w:val="es-MX"/>
        </w:rPr>
        <w:t xml:space="preserve"> aunque</w:t>
      </w:r>
      <w:r w:rsidRPr="0005586F">
        <w:rPr>
          <w:rFonts w:ascii="Century Gothic" w:eastAsia="Arial" w:hAnsi="Century Gothic" w:cs="Arial"/>
          <w:color w:val="auto"/>
          <w:szCs w:val="24"/>
          <w:lang w:val="es-MX"/>
        </w:rPr>
        <w:t xml:space="preserve"> no</w:t>
      </w:r>
      <w:r w:rsidR="00EF4A14">
        <w:rPr>
          <w:rFonts w:ascii="Century Gothic" w:eastAsia="Arial" w:hAnsi="Century Gothic" w:cs="Arial"/>
          <w:color w:val="auto"/>
          <w:szCs w:val="24"/>
          <w:lang w:val="es-MX"/>
        </w:rPr>
        <w:t xml:space="preserve"> </w:t>
      </w:r>
      <w:r w:rsidRPr="0005586F">
        <w:rPr>
          <w:rFonts w:ascii="Century Gothic" w:eastAsia="Arial" w:hAnsi="Century Gothic" w:cs="Arial"/>
          <w:color w:val="auto"/>
          <w:szCs w:val="24"/>
          <w:lang w:val="es-MX"/>
        </w:rPr>
        <w:t>necesariamente estén involucradas mujeres.</w:t>
      </w:r>
      <w:r w:rsidR="00E932EC">
        <w:rPr>
          <w:rStyle w:val="Refdenotaalpie"/>
          <w:rFonts w:ascii="Century Gothic" w:eastAsia="Arial" w:hAnsi="Century Gothic" w:cs="Arial"/>
          <w:color w:val="auto"/>
          <w:szCs w:val="24"/>
          <w:lang w:val="es-MX"/>
        </w:rPr>
        <w:footnoteReference w:id="5"/>
      </w:r>
      <w:r w:rsidR="00EF4A14">
        <w:rPr>
          <w:rFonts w:ascii="Century Gothic" w:eastAsia="Arial" w:hAnsi="Century Gothic" w:cs="Arial"/>
          <w:color w:val="auto"/>
          <w:szCs w:val="24"/>
          <w:lang w:val="es-MX"/>
        </w:rPr>
        <w:t xml:space="preserve"> </w:t>
      </w:r>
    </w:p>
    <w:p w14:paraId="4D58A5D9" w14:textId="1C69D43D" w:rsidR="00AA6F69" w:rsidRDefault="00AA6F69" w:rsidP="006E6D7C">
      <w:pPr>
        <w:spacing w:after="0" w:line="360" w:lineRule="auto"/>
        <w:jc w:val="both"/>
      </w:pPr>
    </w:p>
    <w:p w14:paraId="33011052" w14:textId="192F6DA4" w:rsidR="00E932EC" w:rsidRDefault="00FC4D7B" w:rsidP="009B3821">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bCs/>
          <w:color w:val="auto"/>
          <w:szCs w:val="24"/>
          <w:lang w:val="es-MX"/>
        </w:rPr>
        <w:t>I</w:t>
      </w:r>
      <w:r w:rsidR="00AA6F69" w:rsidRPr="00F6419F">
        <w:rPr>
          <w:rFonts w:ascii="Century Gothic" w:eastAsia="Arial" w:hAnsi="Century Gothic" w:cs="Arial"/>
          <w:b/>
          <w:bCs/>
          <w:color w:val="auto"/>
          <w:szCs w:val="24"/>
          <w:lang w:val="es-MX"/>
        </w:rPr>
        <w:t>V.-</w:t>
      </w:r>
      <w:r w:rsidR="00AA6F69">
        <w:rPr>
          <w:rFonts w:ascii="Century Gothic" w:eastAsia="Arial" w:hAnsi="Century Gothic" w:cs="Arial"/>
          <w:color w:val="auto"/>
          <w:szCs w:val="24"/>
          <w:lang w:val="es-MX"/>
        </w:rPr>
        <w:t xml:space="preserve"> </w:t>
      </w:r>
      <w:r w:rsidR="00E932EC">
        <w:rPr>
          <w:rFonts w:ascii="Century Gothic" w:eastAsia="Arial" w:hAnsi="Century Gothic" w:cs="Arial"/>
          <w:color w:val="auto"/>
          <w:szCs w:val="24"/>
          <w:lang w:val="es-MX"/>
        </w:rPr>
        <w:t xml:space="preserve">Ahora bien, no omitimos mencionar que, la propia </w:t>
      </w:r>
      <w:r w:rsidR="00E932EC" w:rsidRPr="00E932EC">
        <w:rPr>
          <w:rFonts w:ascii="Century Gothic" w:eastAsia="Arial" w:hAnsi="Century Gothic" w:cs="Arial"/>
          <w:b/>
          <w:bCs/>
          <w:color w:val="auto"/>
          <w:szCs w:val="24"/>
          <w:lang w:val="es-MX"/>
        </w:rPr>
        <w:t>Ley Estatal de Justicia Cívica</w:t>
      </w:r>
      <w:r w:rsidR="00E932EC">
        <w:rPr>
          <w:rFonts w:ascii="Century Gothic" w:eastAsia="Arial" w:hAnsi="Century Gothic" w:cs="Arial"/>
          <w:color w:val="auto"/>
          <w:szCs w:val="24"/>
          <w:lang w:val="es-MX"/>
        </w:rPr>
        <w:t xml:space="preserve">, </w:t>
      </w:r>
      <w:r w:rsidR="009B3821">
        <w:rPr>
          <w:rFonts w:ascii="Century Gothic" w:eastAsia="Arial" w:hAnsi="Century Gothic" w:cs="Arial"/>
          <w:color w:val="auto"/>
          <w:szCs w:val="24"/>
          <w:lang w:val="es-MX"/>
        </w:rPr>
        <w:t>señala en su artículo 2, fracción IV, que, p</w:t>
      </w:r>
      <w:r w:rsidR="009B3821" w:rsidRPr="009B3821">
        <w:rPr>
          <w:rFonts w:ascii="Century Gothic" w:eastAsia="Arial" w:hAnsi="Century Gothic" w:cs="Arial"/>
          <w:color w:val="auto"/>
          <w:szCs w:val="24"/>
          <w:lang w:val="es-MX"/>
        </w:rPr>
        <w:t>ara promover la convivencia armónica de las personas y la preservación del orden</w:t>
      </w:r>
      <w:r w:rsidR="009B3821">
        <w:rPr>
          <w:rFonts w:ascii="Century Gothic" w:eastAsia="Arial" w:hAnsi="Century Gothic" w:cs="Arial"/>
          <w:color w:val="auto"/>
          <w:szCs w:val="24"/>
          <w:lang w:val="es-MX"/>
        </w:rPr>
        <w:t xml:space="preserve"> </w:t>
      </w:r>
      <w:r w:rsidR="009B3821" w:rsidRPr="009B3821">
        <w:rPr>
          <w:rFonts w:ascii="Century Gothic" w:eastAsia="Arial" w:hAnsi="Century Gothic" w:cs="Arial"/>
          <w:color w:val="auto"/>
          <w:szCs w:val="24"/>
          <w:lang w:val="es-MX"/>
        </w:rPr>
        <w:t xml:space="preserve">público, así como el buen funcionamiento del Sistema de Justicia Cívica en los </w:t>
      </w:r>
      <w:r w:rsidR="009B3821" w:rsidRPr="009B3821">
        <w:rPr>
          <w:rFonts w:ascii="Century Gothic" w:eastAsia="Arial" w:hAnsi="Century Gothic" w:cs="Arial"/>
          <w:color w:val="auto"/>
          <w:szCs w:val="24"/>
          <w:lang w:val="es-MX"/>
        </w:rPr>
        <w:lastRenderedPageBreak/>
        <w:t>municipios del Estado, las autoridades estatales y municipales se guiarán</w:t>
      </w:r>
      <w:r w:rsidR="009B3821">
        <w:rPr>
          <w:rFonts w:ascii="Century Gothic" w:eastAsia="Arial" w:hAnsi="Century Gothic" w:cs="Arial"/>
          <w:color w:val="auto"/>
          <w:szCs w:val="24"/>
          <w:lang w:val="es-MX"/>
        </w:rPr>
        <w:t xml:space="preserve">, entre otros principios, por la perspectiva de género. </w:t>
      </w:r>
    </w:p>
    <w:p w14:paraId="36836425" w14:textId="69A5B8E7" w:rsidR="009B3821" w:rsidRDefault="009B3821" w:rsidP="009B3821">
      <w:pPr>
        <w:pStyle w:val="Normal1"/>
        <w:spacing w:line="360" w:lineRule="auto"/>
        <w:contextualSpacing/>
        <w:jc w:val="both"/>
        <w:rPr>
          <w:rFonts w:ascii="Century Gothic" w:eastAsia="Arial" w:hAnsi="Century Gothic" w:cs="Arial"/>
          <w:color w:val="auto"/>
          <w:szCs w:val="24"/>
          <w:lang w:val="es-MX"/>
        </w:rPr>
      </w:pPr>
    </w:p>
    <w:p w14:paraId="74FC4EA6" w14:textId="0E0DB076" w:rsidR="009B3821" w:rsidRDefault="009B3821" w:rsidP="009B3821">
      <w:pPr>
        <w:spacing w:after="0" w:line="360" w:lineRule="auto"/>
        <w:jc w:val="both"/>
        <w:rPr>
          <w:rFonts w:ascii="Century Gothic" w:eastAsia="Arial" w:hAnsi="Century Gothic" w:cs="Arial"/>
          <w:sz w:val="24"/>
          <w:szCs w:val="24"/>
        </w:rPr>
      </w:pPr>
      <w:r w:rsidRPr="009B3821">
        <w:rPr>
          <w:rFonts w:ascii="Century Gothic" w:eastAsia="Arial" w:hAnsi="Century Gothic" w:cs="Arial"/>
          <w:sz w:val="24"/>
          <w:szCs w:val="24"/>
        </w:rPr>
        <w:t xml:space="preserve">Dicho precepto, resulta acorde con los criterios emitidos por la </w:t>
      </w:r>
      <w:r w:rsidRPr="009B3821">
        <w:rPr>
          <w:rFonts w:ascii="Century Gothic" w:eastAsia="Arial" w:hAnsi="Century Gothic" w:cs="Arial"/>
          <w:b/>
          <w:bCs/>
          <w:sz w:val="24"/>
          <w:szCs w:val="24"/>
        </w:rPr>
        <w:t>Suprema Corte</w:t>
      </w:r>
      <w:r w:rsidRPr="00BB36AD">
        <w:rPr>
          <w:rFonts w:ascii="Century Gothic" w:eastAsia="Arial" w:hAnsi="Century Gothic" w:cs="Arial"/>
          <w:b/>
          <w:bCs/>
          <w:sz w:val="24"/>
          <w:szCs w:val="24"/>
        </w:rPr>
        <w:t xml:space="preserve"> de Justicia</w:t>
      </w:r>
      <w:r>
        <w:rPr>
          <w:rFonts w:ascii="Century Gothic" w:eastAsia="Arial" w:hAnsi="Century Gothic" w:cs="Arial"/>
          <w:sz w:val="24"/>
          <w:szCs w:val="24"/>
        </w:rPr>
        <w:t xml:space="preserve">, contenidos en </w:t>
      </w:r>
      <w:r w:rsidRPr="00AD0EA2">
        <w:rPr>
          <w:rFonts w:ascii="Century Gothic" w:eastAsia="Arial" w:hAnsi="Century Gothic" w:cs="Arial"/>
          <w:sz w:val="24"/>
          <w:szCs w:val="24"/>
        </w:rPr>
        <w:t xml:space="preserve">la jurisprudencia </w:t>
      </w:r>
      <w:r w:rsidRPr="009B3821">
        <w:rPr>
          <w:rFonts w:ascii="Century Gothic" w:eastAsia="Arial" w:hAnsi="Century Gothic" w:cs="Arial"/>
          <w:sz w:val="24"/>
          <w:szCs w:val="24"/>
        </w:rPr>
        <w:t xml:space="preserve">1a./J. 22/2016 (10a.) </w:t>
      </w:r>
      <w:r w:rsidRPr="00AD0EA2">
        <w:rPr>
          <w:rFonts w:ascii="Century Gothic" w:eastAsia="Arial" w:hAnsi="Century Gothic" w:cs="Arial"/>
          <w:sz w:val="24"/>
          <w:szCs w:val="24"/>
        </w:rPr>
        <w:t xml:space="preserve">sostenida por la </w:t>
      </w:r>
      <w:r>
        <w:rPr>
          <w:rFonts w:ascii="Century Gothic" w:eastAsia="Arial" w:hAnsi="Century Gothic" w:cs="Arial"/>
          <w:sz w:val="24"/>
          <w:szCs w:val="24"/>
        </w:rPr>
        <w:t>Primera</w:t>
      </w:r>
      <w:r w:rsidRPr="00AD0EA2">
        <w:rPr>
          <w:rFonts w:ascii="Century Gothic" w:eastAsia="Arial" w:hAnsi="Century Gothic" w:cs="Arial"/>
          <w:sz w:val="24"/>
          <w:szCs w:val="24"/>
        </w:rPr>
        <w:t xml:space="preserve"> Sala en materia constitucional, visible en página </w:t>
      </w:r>
      <w:r>
        <w:rPr>
          <w:rFonts w:ascii="Century Gothic" w:eastAsia="Arial" w:hAnsi="Century Gothic" w:cs="Arial"/>
          <w:sz w:val="24"/>
          <w:szCs w:val="24"/>
        </w:rPr>
        <w:t>836</w:t>
      </w:r>
      <w:r w:rsidRPr="00AD0EA2">
        <w:rPr>
          <w:rFonts w:ascii="Century Gothic" w:eastAsia="Arial" w:hAnsi="Century Gothic" w:cs="Arial"/>
          <w:sz w:val="24"/>
          <w:szCs w:val="24"/>
        </w:rPr>
        <w:t xml:space="preserve">, del Tomo </w:t>
      </w:r>
      <w:r>
        <w:rPr>
          <w:rFonts w:ascii="Century Gothic" w:eastAsia="Arial" w:hAnsi="Century Gothic" w:cs="Arial"/>
          <w:sz w:val="24"/>
          <w:szCs w:val="24"/>
        </w:rPr>
        <w:t>I</w:t>
      </w:r>
      <w:r w:rsidRPr="00AD0EA2">
        <w:rPr>
          <w:rFonts w:ascii="Century Gothic" w:eastAsia="Arial" w:hAnsi="Century Gothic" w:cs="Arial"/>
          <w:sz w:val="24"/>
          <w:szCs w:val="24"/>
        </w:rPr>
        <w:t xml:space="preserve">I, Libro </w:t>
      </w:r>
      <w:r>
        <w:rPr>
          <w:rFonts w:ascii="Century Gothic" w:eastAsia="Arial" w:hAnsi="Century Gothic" w:cs="Arial"/>
          <w:sz w:val="24"/>
          <w:szCs w:val="24"/>
        </w:rPr>
        <w:t>29</w:t>
      </w:r>
      <w:r w:rsidRPr="00AD0EA2">
        <w:rPr>
          <w:rFonts w:ascii="Century Gothic" w:eastAsia="Arial" w:hAnsi="Century Gothic" w:cs="Arial"/>
          <w:sz w:val="24"/>
          <w:szCs w:val="24"/>
        </w:rPr>
        <w:t xml:space="preserve">, de </w:t>
      </w:r>
      <w:proofErr w:type="gramStart"/>
      <w:r>
        <w:rPr>
          <w:rFonts w:ascii="Century Gothic" w:eastAsia="Arial" w:hAnsi="Century Gothic" w:cs="Arial"/>
          <w:sz w:val="24"/>
          <w:szCs w:val="24"/>
        </w:rPr>
        <w:t>Abril</w:t>
      </w:r>
      <w:proofErr w:type="gramEnd"/>
      <w:r w:rsidRPr="00AD0EA2">
        <w:rPr>
          <w:rFonts w:ascii="Century Gothic" w:eastAsia="Arial" w:hAnsi="Century Gothic" w:cs="Arial"/>
          <w:sz w:val="24"/>
          <w:szCs w:val="24"/>
        </w:rPr>
        <w:t xml:space="preserve"> de 201</w:t>
      </w:r>
      <w:r>
        <w:rPr>
          <w:rFonts w:ascii="Century Gothic" w:eastAsia="Arial" w:hAnsi="Century Gothic" w:cs="Arial"/>
          <w:sz w:val="24"/>
          <w:szCs w:val="24"/>
        </w:rPr>
        <w:t>6</w:t>
      </w:r>
      <w:r w:rsidRPr="00AD0EA2">
        <w:rPr>
          <w:rFonts w:ascii="Century Gothic" w:eastAsia="Arial" w:hAnsi="Century Gothic" w:cs="Arial"/>
          <w:sz w:val="24"/>
          <w:szCs w:val="24"/>
        </w:rPr>
        <w:t>, publicada en la Gaceta del Semanario Judicial de la Federación, Décima Época</w:t>
      </w:r>
      <w:r>
        <w:rPr>
          <w:rFonts w:ascii="Century Gothic" w:eastAsia="Arial" w:hAnsi="Century Gothic" w:cs="Arial"/>
          <w:sz w:val="24"/>
          <w:szCs w:val="24"/>
        </w:rPr>
        <w:t>,</w:t>
      </w:r>
      <w:r>
        <w:rPr>
          <w:rStyle w:val="Refdenotaalpie"/>
          <w:rFonts w:ascii="Century Gothic" w:eastAsia="Arial" w:hAnsi="Century Gothic" w:cs="Arial"/>
          <w:sz w:val="24"/>
          <w:szCs w:val="24"/>
        </w:rPr>
        <w:footnoteReference w:id="6"/>
      </w:r>
      <w:r w:rsidRPr="00AD0EA2">
        <w:rPr>
          <w:rFonts w:ascii="Century Gothic" w:eastAsia="Arial" w:hAnsi="Century Gothic" w:cs="Arial"/>
          <w:sz w:val="24"/>
          <w:szCs w:val="24"/>
        </w:rPr>
        <w:t xml:space="preserve"> cuyos rubros y textos se invocan a continuación:  </w:t>
      </w:r>
    </w:p>
    <w:p w14:paraId="0E621B76" w14:textId="77777777" w:rsidR="009B3821" w:rsidRDefault="009B3821" w:rsidP="009B3821">
      <w:pPr>
        <w:spacing w:after="0" w:line="360" w:lineRule="auto"/>
        <w:jc w:val="both"/>
        <w:rPr>
          <w:rFonts w:ascii="Century Gothic" w:eastAsia="Arial" w:hAnsi="Century Gothic" w:cs="Arial"/>
          <w:sz w:val="24"/>
          <w:szCs w:val="24"/>
        </w:rPr>
      </w:pPr>
    </w:p>
    <w:p w14:paraId="074E75C8" w14:textId="45542929" w:rsidR="009B3821" w:rsidRPr="009B3821" w:rsidRDefault="009B3821" w:rsidP="009B3821">
      <w:pPr>
        <w:pStyle w:val="Normal1"/>
        <w:spacing w:line="360" w:lineRule="auto"/>
        <w:ind w:left="567" w:right="616"/>
        <w:contextualSpacing/>
        <w:jc w:val="both"/>
        <w:rPr>
          <w:rFonts w:ascii="Century Gothic" w:eastAsia="Arial" w:hAnsi="Century Gothic" w:cs="Arial"/>
          <w:b/>
          <w:bCs/>
          <w:color w:val="auto"/>
          <w:szCs w:val="24"/>
          <w:lang w:val="es-MX"/>
        </w:rPr>
      </w:pPr>
      <w:r w:rsidRPr="009B3821">
        <w:rPr>
          <w:rFonts w:ascii="Century Gothic" w:eastAsia="Arial" w:hAnsi="Century Gothic" w:cs="Arial"/>
          <w:b/>
          <w:bCs/>
          <w:color w:val="auto"/>
          <w:szCs w:val="24"/>
          <w:lang w:val="es-MX"/>
        </w:rPr>
        <w:t>ACCESO A LA JUSTICIA EN CONDICIONES DE IGUALDAD. ELEMENTOS PARA JUZGAR CON PERSPECTIVA DE GÉNERO.</w:t>
      </w:r>
    </w:p>
    <w:p w14:paraId="68093C1E" w14:textId="77777777" w:rsidR="009B3821" w:rsidRPr="009B3821" w:rsidRDefault="009B3821" w:rsidP="009B3821">
      <w:pPr>
        <w:pStyle w:val="Normal1"/>
        <w:spacing w:line="360" w:lineRule="auto"/>
        <w:ind w:left="567" w:right="616"/>
        <w:contextualSpacing/>
        <w:jc w:val="both"/>
        <w:rPr>
          <w:rFonts w:ascii="Century Gothic" w:eastAsia="Arial" w:hAnsi="Century Gothic" w:cs="Arial"/>
          <w:color w:val="auto"/>
          <w:szCs w:val="24"/>
          <w:lang w:val="es-MX"/>
        </w:rPr>
      </w:pPr>
      <w:r w:rsidRPr="009B3821">
        <w:rPr>
          <w:rFonts w:ascii="Century Gothic" w:eastAsia="Arial" w:hAnsi="Century Gothic" w:cs="Arial"/>
          <w:color w:val="auto"/>
          <w:szCs w:val="24"/>
          <w:lang w:val="es-MX"/>
        </w:rPr>
        <w:t xml:space="preserve">Del reconocimiento de los derechos humanos a la igualdad y a la no discriminación por razones de género, deriva que todo órgano jurisdiccional debe impartir justicia con base en una perspectiva de género, para lo cual, debe implementarse un método en toda controversia judicial, aun cuando las partes no lo soliciten, a fin de verificar si existe una situación de violencia o vulnerabilidad que, por cuestiones de género, impida impartir justicia de manera completa e igualitaria. Para ello, el juzgador debe tomar en cuenta lo siguiente: i) identificar primeramente si existen situaciones de poder que por cuestiones de género den cuenta </w:t>
      </w:r>
      <w:r w:rsidRPr="009B3821">
        <w:rPr>
          <w:rFonts w:ascii="Century Gothic" w:eastAsia="Arial" w:hAnsi="Century Gothic" w:cs="Arial"/>
          <w:color w:val="auto"/>
          <w:szCs w:val="24"/>
          <w:lang w:val="es-MX"/>
        </w:rPr>
        <w:lastRenderedPageBreak/>
        <w:t xml:space="preserve">de un desequilibrio entre las partes de la controversia; </w:t>
      </w:r>
      <w:proofErr w:type="spellStart"/>
      <w:r w:rsidRPr="009B3821">
        <w:rPr>
          <w:rFonts w:ascii="Century Gothic" w:eastAsia="Arial" w:hAnsi="Century Gothic" w:cs="Arial"/>
          <w:color w:val="auto"/>
          <w:szCs w:val="24"/>
          <w:lang w:val="es-MX"/>
        </w:rPr>
        <w:t>ii</w:t>
      </w:r>
      <w:proofErr w:type="spellEnd"/>
      <w:r w:rsidRPr="009B3821">
        <w:rPr>
          <w:rFonts w:ascii="Century Gothic" w:eastAsia="Arial" w:hAnsi="Century Gothic" w:cs="Arial"/>
          <w:color w:val="auto"/>
          <w:szCs w:val="24"/>
          <w:lang w:val="es-MX"/>
        </w:rPr>
        <w:t xml:space="preserve">) cuestionar los hechos y valorar las pruebas desechando cualquier estereotipo o prejuicio de género, a fin de visualizar las situaciones de desventaja provocadas por condiciones de sexo o género; </w:t>
      </w:r>
      <w:proofErr w:type="spellStart"/>
      <w:r w:rsidRPr="009B3821">
        <w:rPr>
          <w:rFonts w:ascii="Century Gothic" w:eastAsia="Arial" w:hAnsi="Century Gothic" w:cs="Arial"/>
          <w:color w:val="auto"/>
          <w:szCs w:val="24"/>
          <w:lang w:val="es-MX"/>
        </w:rPr>
        <w:t>iii</w:t>
      </w:r>
      <w:proofErr w:type="spellEnd"/>
      <w:r w:rsidRPr="009B3821">
        <w:rPr>
          <w:rFonts w:ascii="Century Gothic" w:eastAsia="Arial" w:hAnsi="Century Gothic" w:cs="Arial"/>
          <w:color w:val="auto"/>
          <w:szCs w:val="24"/>
          <w:lang w:val="es-MX"/>
        </w:rPr>
        <w:t xml:space="preserve">) en caso de que el material probatorio no sea suficiente para aclarar la situación de violencia, vulnerabilidad o discriminación por razones de género, ordenar las pruebas necesarias para visibilizar dichas situaciones; </w:t>
      </w:r>
      <w:proofErr w:type="spellStart"/>
      <w:r w:rsidRPr="009B3821">
        <w:rPr>
          <w:rFonts w:ascii="Century Gothic" w:eastAsia="Arial" w:hAnsi="Century Gothic" w:cs="Arial"/>
          <w:color w:val="auto"/>
          <w:szCs w:val="24"/>
          <w:lang w:val="es-MX"/>
        </w:rPr>
        <w:t>iv</w:t>
      </w:r>
      <w:proofErr w:type="spellEnd"/>
      <w:r w:rsidRPr="009B3821">
        <w:rPr>
          <w:rFonts w:ascii="Century Gothic" w:eastAsia="Arial" w:hAnsi="Century Gothic" w:cs="Arial"/>
          <w:color w:val="auto"/>
          <w:szCs w:val="24"/>
          <w:lang w:val="es-MX"/>
        </w:rPr>
        <w:t>) de detectarse la situación de desventaja por cuestiones de género, cuestionar la neutralidad del derecho aplicable, así como evaluar el impacto diferenciado de la solución propuesta para buscar una resolución justa e igualitaria de acuerdo al contexto de desigualdad por condiciones de género; v) para ello debe aplicar los estándares de derechos humanos de todas las personas involucradas, especialmente de los niños y niñas; y, vi) considerar que el método exige que, en todo momento, se evite el uso del lenguaje basado en estereotipos o prejuicios, por lo que debe procurarse un lenguaje incluyente con el objeto de asegurar un acceso a la justicia sin discriminación por motivos de género.</w:t>
      </w:r>
    </w:p>
    <w:p w14:paraId="6F6F6394" w14:textId="3E374ADA" w:rsidR="00E932EC" w:rsidRDefault="00E932EC" w:rsidP="00AA6F69">
      <w:pPr>
        <w:pStyle w:val="Normal1"/>
        <w:spacing w:line="360" w:lineRule="auto"/>
        <w:contextualSpacing/>
        <w:jc w:val="both"/>
        <w:rPr>
          <w:rFonts w:ascii="Century Gothic" w:eastAsia="Arial" w:hAnsi="Century Gothic" w:cs="Arial"/>
          <w:color w:val="auto"/>
          <w:szCs w:val="24"/>
          <w:lang w:val="es-MX"/>
        </w:rPr>
      </w:pPr>
    </w:p>
    <w:p w14:paraId="7B581402" w14:textId="3F830654" w:rsidR="008D64A4" w:rsidRDefault="008D64A4" w:rsidP="008D64A4">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t>Así mismo, resulta instructiva</w:t>
      </w:r>
      <w:r w:rsidRPr="00AD0EA2">
        <w:rPr>
          <w:rFonts w:ascii="Century Gothic" w:eastAsia="Arial" w:hAnsi="Century Gothic" w:cs="Arial"/>
          <w:sz w:val="24"/>
          <w:szCs w:val="24"/>
        </w:rPr>
        <w:t xml:space="preserve"> la </w:t>
      </w:r>
      <w:r>
        <w:rPr>
          <w:rFonts w:ascii="Century Gothic" w:eastAsia="Arial" w:hAnsi="Century Gothic" w:cs="Arial"/>
          <w:sz w:val="24"/>
          <w:szCs w:val="24"/>
        </w:rPr>
        <w:t>tesis aislada</w:t>
      </w:r>
      <w:r w:rsidRPr="00AD0EA2">
        <w:rPr>
          <w:rFonts w:ascii="Century Gothic" w:eastAsia="Arial" w:hAnsi="Century Gothic" w:cs="Arial"/>
          <w:sz w:val="24"/>
          <w:szCs w:val="24"/>
        </w:rPr>
        <w:t xml:space="preserve"> </w:t>
      </w:r>
      <w:r w:rsidRPr="008D64A4">
        <w:rPr>
          <w:rFonts w:ascii="Century Gothic" w:eastAsia="Arial" w:hAnsi="Century Gothic" w:cs="Arial"/>
          <w:sz w:val="24"/>
          <w:szCs w:val="24"/>
        </w:rPr>
        <w:t>P. XX/2015 (10a.)</w:t>
      </w:r>
      <w:r w:rsidRPr="00AD0EA2">
        <w:rPr>
          <w:rFonts w:ascii="Century Gothic" w:eastAsia="Arial" w:hAnsi="Century Gothic" w:cs="Arial"/>
          <w:sz w:val="24"/>
          <w:szCs w:val="24"/>
        </w:rPr>
        <w:t xml:space="preserve"> sostenida por </w:t>
      </w:r>
      <w:r>
        <w:rPr>
          <w:rFonts w:ascii="Century Gothic" w:eastAsia="Arial" w:hAnsi="Century Gothic" w:cs="Arial"/>
          <w:sz w:val="24"/>
          <w:szCs w:val="24"/>
        </w:rPr>
        <w:t xml:space="preserve">el Pleno de la Suprema Corte de Justicia de la Nación </w:t>
      </w:r>
      <w:r w:rsidRPr="00AD0EA2">
        <w:rPr>
          <w:rFonts w:ascii="Century Gothic" w:eastAsia="Arial" w:hAnsi="Century Gothic" w:cs="Arial"/>
          <w:sz w:val="24"/>
          <w:szCs w:val="24"/>
        </w:rPr>
        <w:t xml:space="preserve">en materia constitucional, visible en página </w:t>
      </w:r>
      <w:r>
        <w:rPr>
          <w:rFonts w:ascii="Century Gothic" w:eastAsia="Arial" w:hAnsi="Century Gothic" w:cs="Arial"/>
          <w:sz w:val="24"/>
          <w:szCs w:val="24"/>
        </w:rPr>
        <w:t>235</w:t>
      </w:r>
      <w:r w:rsidRPr="00AD0EA2">
        <w:rPr>
          <w:rFonts w:ascii="Century Gothic" w:eastAsia="Arial" w:hAnsi="Century Gothic" w:cs="Arial"/>
          <w:sz w:val="24"/>
          <w:szCs w:val="24"/>
        </w:rPr>
        <w:t xml:space="preserve">, del Tomo I, Libro </w:t>
      </w:r>
      <w:r>
        <w:rPr>
          <w:rFonts w:ascii="Century Gothic" w:eastAsia="Arial" w:hAnsi="Century Gothic" w:cs="Arial"/>
          <w:sz w:val="24"/>
          <w:szCs w:val="24"/>
        </w:rPr>
        <w:t>22</w:t>
      </w:r>
      <w:r w:rsidRPr="00AD0EA2">
        <w:rPr>
          <w:rFonts w:ascii="Century Gothic" w:eastAsia="Arial" w:hAnsi="Century Gothic" w:cs="Arial"/>
          <w:sz w:val="24"/>
          <w:szCs w:val="24"/>
        </w:rPr>
        <w:t xml:space="preserve">, de </w:t>
      </w:r>
      <w:proofErr w:type="gramStart"/>
      <w:r>
        <w:rPr>
          <w:rFonts w:ascii="Century Gothic" w:eastAsia="Arial" w:hAnsi="Century Gothic" w:cs="Arial"/>
          <w:sz w:val="24"/>
          <w:szCs w:val="24"/>
        </w:rPr>
        <w:t>Septiembre</w:t>
      </w:r>
      <w:proofErr w:type="gramEnd"/>
      <w:r w:rsidRPr="00AD0EA2">
        <w:rPr>
          <w:rFonts w:ascii="Century Gothic" w:eastAsia="Arial" w:hAnsi="Century Gothic" w:cs="Arial"/>
          <w:sz w:val="24"/>
          <w:szCs w:val="24"/>
        </w:rPr>
        <w:t xml:space="preserve"> de </w:t>
      </w:r>
      <w:r w:rsidRPr="00AD0EA2">
        <w:rPr>
          <w:rFonts w:ascii="Century Gothic" w:eastAsia="Arial" w:hAnsi="Century Gothic" w:cs="Arial"/>
          <w:sz w:val="24"/>
          <w:szCs w:val="24"/>
        </w:rPr>
        <w:lastRenderedPageBreak/>
        <w:t>201</w:t>
      </w:r>
      <w:r>
        <w:rPr>
          <w:rFonts w:ascii="Century Gothic" w:eastAsia="Arial" w:hAnsi="Century Gothic" w:cs="Arial"/>
          <w:sz w:val="24"/>
          <w:szCs w:val="24"/>
        </w:rPr>
        <w:t>5</w:t>
      </w:r>
      <w:r w:rsidRPr="00AD0EA2">
        <w:rPr>
          <w:rFonts w:ascii="Century Gothic" w:eastAsia="Arial" w:hAnsi="Century Gothic" w:cs="Arial"/>
          <w:sz w:val="24"/>
          <w:szCs w:val="24"/>
        </w:rPr>
        <w:t>, publicada en la Gaceta del Semanario Judicial de la Federación, Décima Época</w:t>
      </w:r>
      <w:r>
        <w:rPr>
          <w:rFonts w:ascii="Century Gothic" w:eastAsia="Arial" w:hAnsi="Century Gothic" w:cs="Arial"/>
          <w:sz w:val="24"/>
          <w:szCs w:val="24"/>
        </w:rPr>
        <w:t>,</w:t>
      </w:r>
      <w:r>
        <w:rPr>
          <w:rStyle w:val="Refdenotaalpie"/>
          <w:rFonts w:ascii="Century Gothic" w:eastAsia="Arial" w:hAnsi="Century Gothic" w:cs="Arial"/>
          <w:sz w:val="24"/>
          <w:szCs w:val="24"/>
        </w:rPr>
        <w:footnoteReference w:id="7"/>
      </w:r>
      <w:r w:rsidRPr="00AD0EA2">
        <w:rPr>
          <w:rFonts w:ascii="Century Gothic" w:eastAsia="Arial" w:hAnsi="Century Gothic" w:cs="Arial"/>
          <w:sz w:val="24"/>
          <w:szCs w:val="24"/>
        </w:rPr>
        <w:t xml:space="preserve"> cuyos rubros y textos se invocan a continuación:  </w:t>
      </w:r>
    </w:p>
    <w:p w14:paraId="6A3F5892" w14:textId="209692F8" w:rsidR="009B3821" w:rsidRDefault="009B3821" w:rsidP="00AA6F69">
      <w:pPr>
        <w:pStyle w:val="Normal1"/>
        <w:spacing w:line="360" w:lineRule="auto"/>
        <w:contextualSpacing/>
        <w:jc w:val="both"/>
        <w:rPr>
          <w:rFonts w:ascii="Century Gothic" w:eastAsia="Arial" w:hAnsi="Century Gothic" w:cs="Arial"/>
          <w:color w:val="auto"/>
          <w:szCs w:val="24"/>
          <w:lang w:val="es-MX"/>
        </w:rPr>
      </w:pPr>
    </w:p>
    <w:p w14:paraId="760326B4" w14:textId="3DEF1AEA" w:rsidR="008D64A4" w:rsidRPr="008D64A4" w:rsidRDefault="008D64A4" w:rsidP="008D64A4">
      <w:pPr>
        <w:pStyle w:val="Normal1"/>
        <w:spacing w:line="360" w:lineRule="auto"/>
        <w:ind w:left="567" w:right="616"/>
        <w:contextualSpacing/>
        <w:jc w:val="both"/>
        <w:rPr>
          <w:rFonts w:ascii="Century Gothic" w:eastAsia="Arial" w:hAnsi="Century Gothic" w:cs="Arial"/>
          <w:b/>
          <w:bCs/>
          <w:color w:val="auto"/>
          <w:szCs w:val="24"/>
          <w:lang w:val="es-MX"/>
        </w:rPr>
      </w:pPr>
      <w:r w:rsidRPr="008D64A4">
        <w:rPr>
          <w:rFonts w:ascii="Century Gothic" w:eastAsia="Arial" w:hAnsi="Century Gothic" w:cs="Arial"/>
          <w:b/>
          <w:bCs/>
          <w:color w:val="auto"/>
          <w:szCs w:val="24"/>
          <w:lang w:val="es-MX"/>
        </w:rPr>
        <w:t>IMPARTICIÓN DE JUSTICIA CON PERSPECTIVA DE GÉNERO. OBLIGACIONES QUE DEBE CUMPLIR EL ESTADO MEXICANO EN LA MATERIA.</w:t>
      </w:r>
    </w:p>
    <w:p w14:paraId="71F0CCD6" w14:textId="77777777" w:rsidR="008D64A4" w:rsidRPr="008D64A4" w:rsidRDefault="008D64A4" w:rsidP="008D64A4">
      <w:pPr>
        <w:pStyle w:val="Normal1"/>
        <w:spacing w:line="360" w:lineRule="auto"/>
        <w:ind w:left="567" w:right="616"/>
        <w:contextualSpacing/>
        <w:jc w:val="both"/>
        <w:rPr>
          <w:rFonts w:ascii="Century Gothic" w:eastAsia="Arial" w:hAnsi="Century Gothic" w:cs="Arial"/>
          <w:color w:val="auto"/>
          <w:szCs w:val="24"/>
          <w:lang w:val="es-MX"/>
        </w:rPr>
      </w:pPr>
      <w:r w:rsidRPr="008D64A4">
        <w:rPr>
          <w:rFonts w:ascii="Century Gothic" w:eastAsia="Arial" w:hAnsi="Century Gothic" w:cs="Arial"/>
          <w:color w:val="auto"/>
          <w:szCs w:val="24"/>
          <w:lang w:val="es-MX"/>
        </w:rPr>
        <w:t xml:space="preserve">El reconocimiento de los derechos de la mujer a una vida libre de violencia y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sexo o género, es decir, implica juzgar considerando las situaciones de desventaja que, por cuestiones de género, discriminan e impiden la igualdad. De ahí que los juzgadores deben cuestionar los estereotipos preconcebidos en la legislación respecto de las funciones de uno u otro género, así como actuar con neutralidad en la aplicación de la norma jurídica en cada situación, toda vez que el Estado debe velar por que en toda controversia jurisdiccional, donde se advierta una situación de violencia, discriminación o vulnerabilidad por razones de género, ésta se tome en cuenta, a fin de visualizar claramente la problemática y </w:t>
      </w:r>
      <w:r w:rsidRPr="008D64A4">
        <w:rPr>
          <w:rFonts w:ascii="Century Gothic" w:eastAsia="Arial" w:hAnsi="Century Gothic" w:cs="Arial"/>
          <w:color w:val="auto"/>
          <w:szCs w:val="24"/>
          <w:lang w:val="es-MX"/>
        </w:rPr>
        <w:lastRenderedPageBreak/>
        <w:t>garantizar el acceso a la justicia de forma efectiva e igualitaria. Así, la obligación de impartir justicia con perspectiva de género debe operar como regla general, y enfatizarse en aquellos casos donde se esté ante grupos de especial vulnerabilidad, como mujeres y niñas indígenas, por lo que el juzgador debe determinar la operabilidad del derecho conforme a los preceptos fundamentales consagrados tanto en la Constitución Política de los Estados Unidos Mexicanos, como en los tratados internacionales de los que el Estado Mexicano sea parte, procurando en todo momento que los paradigmas imperantes de discriminación por razón de género no tengan una injerencia negativa en la impartición de justicia; por el contrario, atendiendo precisamente a tales prejuicios o estereotipos, el juzgador debe considerar las situaciones de desventaja que tienen las mujeres, sobre todo cuando es factible que existan factores que potencialicen su discriminación, como lo pueden ser las condiciones de pobreza y barreras culturales y lingüísticas.</w:t>
      </w:r>
    </w:p>
    <w:p w14:paraId="7A4F430A" w14:textId="77777777" w:rsidR="009B3821" w:rsidRDefault="009B3821" w:rsidP="00AA6F69">
      <w:pPr>
        <w:pStyle w:val="Normal1"/>
        <w:spacing w:line="360" w:lineRule="auto"/>
        <w:contextualSpacing/>
        <w:jc w:val="both"/>
        <w:rPr>
          <w:rFonts w:ascii="Century Gothic" w:eastAsia="Arial" w:hAnsi="Century Gothic" w:cs="Arial"/>
          <w:color w:val="auto"/>
          <w:szCs w:val="24"/>
          <w:lang w:val="es-MX"/>
        </w:rPr>
      </w:pPr>
    </w:p>
    <w:p w14:paraId="365BAA3A" w14:textId="6FE6F8A2" w:rsidR="00F22DD9" w:rsidRDefault="0074613E" w:rsidP="00256ADE">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Es importante manifestar que </w:t>
      </w:r>
      <w:r w:rsidR="00256ADE">
        <w:rPr>
          <w:rFonts w:ascii="Century Gothic" w:eastAsia="Arial" w:hAnsi="Century Gothic" w:cs="Arial"/>
          <w:color w:val="auto"/>
          <w:szCs w:val="24"/>
          <w:lang w:val="es-MX"/>
        </w:rPr>
        <w:t xml:space="preserve">el reconocimiento de los derechos de las mujeres a una vida libre de violencia,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género, es decir, implica juzgar </w:t>
      </w:r>
      <w:r w:rsidR="00256ADE">
        <w:rPr>
          <w:rFonts w:ascii="Century Gothic" w:eastAsia="Arial" w:hAnsi="Century Gothic" w:cs="Arial"/>
          <w:color w:val="auto"/>
          <w:szCs w:val="24"/>
          <w:lang w:val="es-MX"/>
        </w:rPr>
        <w:lastRenderedPageBreak/>
        <w:t xml:space="preserve">considerando las situaciones de desventaja que, por cuestiones de género, discriminan e impiden la igualdad. </w:t>
      </w:r>
    </w:p>
    <w:p w14:paraId="0ADD406A" w14:textId="64FCCE30" w:rsidR="00256ADE" w:rsidRDefault="00256ADE" w:rsidP="00256ADE">
      <w:pPr>
        <w:pStyle w:val="Normal1"/>
        <w:spacing w:line="360" w:lineRule="auto"/>
        <w:contextualSpacing/>
        <w:jc w:val="both"/>
        <w:rPr>
          <w:rFonts w:ascii="Century Gothic" w:eastAsia="Arial" w:hAnsi="Century Gothic" w:cs="Arial"/>
          <w:color w:val="auto"/>
          <w:szCs w:val="24"/>
          <w:lang w:val="es-MX"/>
        </w:rPr>
      </w:pPr>
    </w:p>
    <w:p w14:paraId="517F03AB" w14:textId="5397956E" w:rsidR="00256ADE" w:rsidRDefault="00256ADE" w:rsidP="00256ADE">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este orden de ideas, quienes integramos la Comisión de mérito, coincidimos con las y los iniciadores en la necesidad de reforzar este principio en la Ley Estatal de Justicia Cívica, a fin de que en toda controversia</w:t>
      </w:r>
      <w:r w:rsidR="00002CC6">
        <w:rPr>
          <w:rFonts w:ascii="Century Gothic" w:eastAsia="Arial" w:hAnsi="Century Gothic" w:cs="Arial"/>
          <w:color w:val="auto"/>
          <w:szCs w:val="24"/>
          <w:lang w:val="es-MX"/>
        </w:rPr>
        <w:t xml:space="preserve">, materia de su competencia, donde se advierta una situación de violencia, discriminación o vulnerabilidad por razones de género, ésta deba ser tomada en cuenta a fin de visualizar claramente la problemática y garantizar el acceso a la justicia cívica de forma efectiva e igualitaria. </w:t>
      </w:r>
    </w:p>
    <w:p w14:paraId="2EADC50E" w14:textId="573BE6E7" w:rsidR="008C282C" w:rsidRDefault="008C282C" w:rsidP="00F52F63">
      <w:pPr>
        <w:spacing w:after="0" w:line="360" w:lineRule="auto"/>
        <w:jc w:val="both"/>
        <w:rPr>
          <w:rFonts w:ascii="Century Gothic" w:eastAsia="Arial" w:hAnsi="Century Gothic" w:cs="Arial"/>
          <w:sz w:val="24"/>
          <w:szCs w:val="24"/>
          <w:lang w:eastAsia="es-ES"/>
        </w:rPr>
      </w:pPr>
    </w:p>
    <w:p w14:paraId="1E396C81" w14:textId="4B8DDA0F" w:rsidR="00815EBD" w:rsidRPr="00002CC6" w:rsidRDefault="008C282C" w:rsidP="00002CC6">
      <w:pPr>
        <w:spacing w:after="0" w:line="360" w:lineRule="auto"/>
        <w:jc w:val="both"/>
        <w:rPr>
          <w:rFonts w:ascii="Century Gothic" w:eastAsia="Arial" w:hAnsi="Century Gothic" w:cs="Arial"/>
          <w:bCs/>
          <w:sz w:val="24"/>
          <w:szCs w:val="24"/>
        </w:rPr>
      </w:pPr>
      <w:r w:rsidRPr="008C282C">
        <w:rPr>
          <w:rFonts w:ascii="Century Gothic" w:eastAsia="Arial" w:hAnsi="Century Gothic" w:cs="Arial"/>
          <w:b/>
          <w:bCs/>
          <w:sz w:val="24"/>
          <w:szCs w:val="24"/>
          <w:lang w:eastAsia="es-ES"/>
        </w:rPr>
        <w:t>V.-</w:t>
      </w:r>
      <w:r>
        <w:rPr>
          <w:rFonts w:ascii="Century Gothic" w:eastAsia="Arial" w:hAnsi="Century Gothic" w:cs="Arial"/>
          <w:sz w:val="24"/>
          <w:szCs w:val="24"/>
          <w:lang w:eastAsia="es-ES"/>
        </w:rPr>
        <w:t xml:space="preserve"> </w:t>
      </w:r>
      <w:r w:rsidR="00815EBD" w:rsidRPr="00002CC6">
        <w:rPr>
          <w:rFonts w:ascii="Century Gothic" w:hAnsi="Century Gothic"/>
          <w:sz w:val="24"/>
          <w:szCs w:val="24"/>
        </w:rPr>
        <w:t>En cuanto a la participación ciudadana a través del micrositio “Buzón Legislativo Ciudadano” de la página web oficial de este H. Congreso, hacemos constar que no se registró comentario alguno para efectos del presente Dictamen.</w:t>
      </w:r>
    </w:p>
    <w:p w14:paraId="6B768700" w14:textId="77777777" w:rsidR="00815EBD" w:rsidRDefault="00815EBD" w:rsidP="009810C0">
      <w:pPr>
        <w:pStyle w:val="Normal1"/>
        <w:spacing w:line="360" w:lineRule="auto"/>
        <w:contextualSpacing/>
        <w:jc w:val="both"/>
        <w:rPr>
          <w:rFonts w:ascii="Century Gothic" w:eastAsia="Arial" w:hAnsi="Century Gothic" w:cs="Arial"/>
          <w:bCs/>
          <w:szCs w:val="24"/>
          <w:lang w:val="es-MX"/>
        </w:rPr>
      </w:pPr>
    </w:p>
    <w:p w14:paraId="5C6CB3FD" w14:textId="38397E6C" w:rsidR="00815EBD" w:rsidRPr="00EF7A09" w:rsidRDefault="00815EBD" w:rsidP="00EF7A09">
      <w:pPr>
        <w:spacing w:after="0" w:line="360" w:lineRule="auto"/>
        <w:jc w:val="both"/>
        <w:rPr>
          <w:rFonts w:ascii="Century Gothic" w:hAnsi="Century Gothic" w:cs="Calibri"/>
          <w:sz w:val="24"/>
          <w:szCs w:val="24"/>
        </w:rPr>
      </w:pPr>
      <w:r w:rsidRPr="00EF7A09">
        <w:rPr>
          <w:rFonts w:ascii="Century Gothic" w:hAnsi="Century Gothic"/>
          <w:bCs/>
          <w:sz w:val="24"/>
          <w:szCs w:val="24"/>
        </w:rPr>
        <w:t>Por lo anteriormente expuesto,</w:t>
      </w:r>
      <w:r w:rsidRPr="00884D05">
        <w:rPr>
          <w:rFonts w:ascii="Century Gothic" w:hAnsi="Century Gothic"/>
          <w:bCs/>
          <w:szCs w:val="24"/>
        </w:rPr>
        <w:t xml:space="preserve"> </w:t>
      </w:r>
      <w:r w:rsidR="001830C9" w:rsidRPr="005F24AF">
        <w:rPr>
          <w:rFonts w:ascii="Century Gothic" w:hAnsi="Century Gothic" w:cs="Calibri"/>
          <w:sz w:val="24"/>
          <w:szCs w:val="24"/>
        </w:rPr>
        <w:t>quienes</w:t>
      </w:r>
      <w:r w:rsidRPr="00EF7A09">
        <w:rPr>
          <w:rFonts w:ascii="Century Gothic" w:hAnsi="Century Gothic"/>
          <w:bCs/>
          <w:sz w:val="24"/>
          <w:szCs w:val="24"/>
        </w:rPr>
        <w:t xml:space="preserve"> integramos la Comisión de </w:t>
      </w:r>
      <w:r w:rsidR="001B3DCA" w:rsidRPr="00EF7A09">
        <w:rPr>
          <w:rFonts w:ascii="Century Gothic" w:hAnsi="Century Gothic"/>
          <w:bCs/>
          <w:sz w:val="24"/>
          <w:szCs w:val="24"/>
        </w:rPr>
        <w:t>Igualdad</w:t>
      </w:r>
      <w:r w:rsidRPr="00EF7A09">
        <w:rPr>
          <w:rFonts w:ascii="Century Gothic" w:hAnsi="Century Gothic"/>
          <w:bCs/>
          <w:sz w:val="24"/>
          <w:szCs w:val="24"/>
        </w:rPr>
        <w:t xml:space="preserve">, nos permitimos someter a la consideración de este Alto Cuerpo Colegiado el siguiente proyecto de: </w:t>
      </w:r>
    </w:p>
    <w:p w14:paraId="30BE900B" w14:textId="73470807" w:rsidR="006340F3" w:rsidRDefault="006340F3" w:rsidP="00B26A9F">
      <w:pPr>
        <w:pStyle w:val="Normal1"/>
        <w:spacing w:line="360" w:lineRule="auto"/>
        <w:jc w:val="both"/>
        <w:rPr>
          <w:rFonts w:ascii="Century Gothic" w:hAnsi="Century Gothic"/>
          <w:bCs/>
          <w:szCs w:val="24"/>
        </w:rPr>
      </w:pPr>
    </w:p>
    <w:p w14:paraId="070BEFA7" w14:textId="6FF59DED" w:rsidR="006459AC" w:rsidRDefault="006459AC" w:rsidP="00B26A9F">
      <w:pPr>
        <w:pStyle w:val="Normal1"/>
        <w:spacing w:line="360" w:lineRule="auto"/>
        <w:jc w:val="both"/>
        <w:rPr>
          <w:rFonts w:ascii="Century Gothic" w:hAnsi="Century Gothic"/>
          <w:bCs/>
          <w:szCs w:val="24"/>
        </w:rPr>
      </w:pPr>
    </w:p>
    <w:p w14:paraId="3CB87925" w14:textId="77777777" w:rsidR="006459AC" w:rsidRDefault="006459AC" w:rsidP="00B26A9F">
      <w:pPr>
        <w:pStyle w:val="Normal1"/>
        <w:spacing w:line="360" w:lineRule="auto"/>
        <w:jc w:val="both"/>
        <w:rPr>
          <w:rFonts w:ascii="Century Gothic" w:hAnsi="Century Gothic"/>
          <w:bCs/>
          <w:szCs w:val="24"/>
        </w:rPr>
      </w:pPr>
    </w:p>
    <w:p w14:paraId="19A8B863" w14:textId="77777777" w:rsidR="00693892" w:rsidRDefault="00693892" w:rsidP="00B26A9F">
      <w:pPr>
        <w:pStyle w:val="Normal1"/>
        <w:spacing w:line="360" w:lineRule="auto"/>
        <w:jc w:val="both"/>
        <w:rPr>
          <w:rFonts w:ascii="Century Gothic" w:hAnsi="Century Gothic"/>
          <w:bCs/>
          <w:szCs w:val="24"/>
        </w:rPr>
      </w:pPr>
    </w:p>
    <w:p w14:paraId="78B65EE4" w14:textId="77777777" w:rsidR="00445EC3" w:rsidRPr="00DB5AA7" w:rsidRDefault="00445EC3" w:rsidP="00B26A9F">
      <w:pPr>
        <w:autoSpaceDE w:val="0"/>
        <w:autoSpaceDN w:val="0"/>
        <w:adjustRightInd w:val="0"/>
        <w:spacing w:after="0"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lastRenderedPageBreak/>
        <w:t>DECRETO</w:t>
      </w:r>
    </w:p>
    <w:p w14:paraId="07634220" w14:textId="77777777" w:rsidR="005F1876" w:rsidRDefault="005F1876" w:rsidP="00BA46FC">
      <w:pPr>
        <w:spacing w:after="0" w:line="360" w:lineRule="auto"/>
        <w:jc w:val="both"/>
        <w:rPr>
          <w:rFonts w:ascii="Century Gothic" w:hAnsi="Century Gothic" w:cs="Arial"/>
          <w:b/>
          <w:bCs/>
          <w:color w:val="000000"/>
          <w:sz w:val="24"/>
          <w:szCs w:val="24"/>
        </w:rPr>
      </w:pPr>
    </w:p>
    <w:p w14:paraId="05EC6B51" w14:textId="77777777" w:rsidR="00693892" w:rsidRDefault="00693892" w:rsidP="00BA46FC">
      <w:pPr>
        <w:spacing w:after="0" w:line="360" w:lineRule="auto"/>
        <w:jc w:val="both"/>
        <w:rPr>
          <w:rFonts w:ascii="Century Gothic" w:hAnsi="Century Gothic" w:cs="Arial"/>
          <w:b/>
          <w:bCs/>
          <w:color w:val="000000"/>
          <w:sz w:val="24"/>
          <w:szCs w:val="24"/>
        </w:rPr>
      </w:pPr>
    </w:p>
    <w:p w14:paraId="222EA935" w14:textId="3EEF5C6D" w:rsidR="00C45F44" w:rsidRPr="00C45F44" w:rsidRDefault="00A405E7" w:rsidP="00C45F44">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sidR="00097723">
        <w:rPr>
          <w:rFonts w:ascii="Century Gothic" w:eastAsia="Yu Gothic UI Light" w:hAnsi="Century Gothic" w:cs="Arial"/>
          <w:b/>
          <w:sz w:val="28"/>
          <w:szCs w:val="24"/>
        </w:rPr>
        <w:t>ÚNICO</w:t>
      </w:r>
      <w:r w:rsidR="00097723" w:rsidRPr="00A405E7">
        <w:rPr>
          <w:rFonts w:ascii="Century Gothic" w:eastAsia="Yu Gothic UI Light" w:hAnsi="Century Gothic" w:cs="Arial"/>
          <w:b/>
          <w:sz w:val="28"/>
          <w:szCs w:val="24"/>
        </w:rPr>
        <w:t>.</w:t>
      </w:r>
      <w:r w:rsidR="00097723">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C45F44">
        <w:rPr>
          <w:rFonts w:ascii="Century Gothic" w:hAnsi="Century Gothic"/>
          <w:sz w:val="24"/>
          <w:szCs w:val="24"/>
        </w:rPr>
        <w:t xml:space="preserve">Se </w:t>
      </w:r>
      <w:r w:rsidR="00C45F44" w:rsidRPr="00C45F44">
        <w:rPr>
          <w:rFonts w:ascii="Century Gothic" w:hAnsi="Century Gothic"/>
          <w:b/>
          <w:bCs/>
          <w:sz w:val="24"/>
          <w:szCs w:val="24"/>
        </w:rPr>
        <w:t>REFORMA</w:t>
      </w:r>
      <w:r w:rsidR="005679B4">
        <w:rPr>
          <w:rFonts w:ascii="Century Gothic" w:hAnsi="Century Gothic"/>
          <w:b/>
          <w:bCs/>
          <w:sz w:val="24"/>
          <w:szCs w:val="24"/>
        </w:rPr>
        <w:t>N</w:t>
      </w:r>
      <w:r w:rsidR="00FC4D7B">
        <w:rPr>
          <w:rFonts w:ascii="Century Gothic" w:hAnsi="Century Gothic"/>
          <w:b/>
          <w:bCs/>
          <w:sz w:val="24"/>
          <w:szCs w:val="24"/>
        </w:rPr>
        <w:t xml:space="preserve"> </w:t>
      </w:r>
      <w:r w:rsidR="00FC4D7B" w:rsidRPr="00097723">
        <w:rPr>
          <w:rFonts w:ascii="Century Gothic" w:hAnsi="Century Gothic"/>
          <w:sz w:val="24"/>
          <w:szCs w:val="24"/>
        </w:rPr>
        <w:t>los</w:t>
      </w:r>
      <w:r w:rsidR="00C45F44">
        <w:rPr>
          <w:rFonts w:ascii="Century Gothic" w:hAnsi="Century Gothic"/>
          <w:sz w:val="24"/>
          <w:szCs w:val="24"/>
        </w:rPr>
        <w:t xml:space="preserve"> artículo</w:t>
      </w:r>
      <w:r w:rsidR="00FC4D7B">
        <w:rPr>
          <w:rFonts w:ascii="Century Gothic" w:hAnsi="Century Gothic"/>
          <w:sz w:val="24"/>
          <w:szCs w:val="24"/>
        </w:rPr>
        <w:t>s</w:t>
      </w:r>
      <w:r w:rsidR="00C45F44">
        <w:rPr>
          <w:rFonts w:ascii="Century Gothic" w:hAnsi="Century Gothic"/>
          <w:sz w:val="24"/>
          <w:szCs w:val="24"/>
        </w:rPr>
        <w:t xml:space="preserve"> </w:t>
      </w:r>
      <w:r w:rsidR="00FC4D7B">
        <w:rPr>
          <w:rFonts w:ascii="Century Gothic" w:hAnsi="Century Gothic"/>
          <w:sz w:val="24"/>
          <w:szCs w:val="24"/>
        </w:rPr>
        <w:t xml:space="preserve">3; </w:t>
      </w:r>
      <w:r w:rsidR="005679B4">
        <w:rPr>
          <w:rFonts w:ascii="Century Gothic" w:hAnsi="Century Gothic"/>
          <w:sz w:val="24"/>
          <w:szCs w:val="24"/>
        </w:rPr>
        <w:t xml:space="preserve">y </w:t>
      </w:r>
      <w:r w:rsidR="007A7850">
        <w:rPr>
          <w:rFonts w:ascii="Century Gothic" w:hAnsi="Century Gothic"/>
          <w:sz w:val="24"/>
          <w:szCs w:val="24"/>
        </w:rPr>
        <w:t>90</w:t>
      </w:r>
      <w:r w:rsidR="005679B4">
        <w:rPr>
          <w:rFonts w:ascii="Century Gothic" w:hAnsi="Century Gothic"/>
          <w:sz w:val="24"/>
          <w:szCs w:val="24"/>
        </w:rPr>
        <w:t>,</w:t>
      </w:r>
      <w:r w:rsidR="007A7850">
        <w:rPr>
          <w:rFonts w:ascii="Century Gothic" w:hAnsi="Century Gothic"/>
          <w:sz w:val="24"/>
          <w:szCs w:val="24"/>
        </w:rPr>
        <w:t xml:space="preserve"> fracción VI</w:t>
      </w:r>
      <w:r w:rsidR="005679B4">
        <w:rPr>
          <w:rFonts w:ascii="Century Gothic" w:hAnsi="Century Gothic"/>
          <w:sz w:val="24"/>
          <w:szCs w:val="24"/>
        </w:rPr>
        <w:t xml:space="preserve">, y el segundo párrafo </w:t>
      </w:r>
      <w:r w:rsidR="00C45F44" w:rsidRPr="00C45F44">
        <w:rPr>
          <w:rFonts w:ascii="Century Gothic" w:eastAsia="Arial" w:hAnsi="Century Gothic" w:cs="Arial"/>
          <w:color w:val="000000"/>
          <w:sz w:val="24"/>
          <w:szCs w:val="24"/>
        </w:rPr>
        <w:t xml:space="preserve">de la Ley </w:t>
      </w:r>
      <w:r w:rsidR="00FC4D7B">
        <w:rPr>
          <w:rFonts w:ascii="Century Gothic" w:eastAsia="Arial" w:hAnsi="Century Gothic" w:cs="Arial"/>
          <w:color w:val="000000"/>
          <w:sz w:val="24"/>
          <w:szCs w:val="24"/>
        </w:rPr>
        <w:t xml:space="preserve">Estatal de Justicia </w:t>
      </w:r>
      <w:r w:rsidR="007A7850">
        <w:rPr>
          <w:rFonts w:ascii="Century Gothic" w:eastAsia="Arial" w:hAnsi="Century Gothic" w:cs="Arial"/>
          <w:color w:val="000000"/>
          <w:sz w:val="24"/>
          <w:szCs w:val="24"/>
        </w:rPr>
        <w:t>Cívica,</w:t>
      </w:r>
      <w:r w:rsidR="00C45F44" w:rsidRPr="00C45F44">
        <w:rPr>
          <w:rFonts w:ascii="Century Gothic" w:eastAsia="Arial" w:hAnsi="Century Gothic" w:cs="Arial"/>
          <w:color w:val="000000"/>
          <w:sz w:val="24"/>
          <w:szCs w:val="24"/>
        </w:rPr>
        <w:t xml:space="preserve"> para quedar redactado</w:t>
      </w:r>
      <w:r w:rsidR="005679B4">
        <w:rPr>
          <w:rFonts w:ascii="Century Gothic" w:eastAsia="Arial" w:hAnsi="Century Gothic" w:cs="Arial"/>
          <w:color w:val="000000"/>
          <w:sz w:val="24"/>
          <w:szCs w:val="24"/>
        </w:rPr>
        <w:t>s</w:t>
      </w:r>
      <w:r w:rsidR="00C45F44" w:rsidRPr="00C45F44">
        <w:rPr>
          <w:rFonts w:ascii="Century Gothic" w:eastAsia="Arial" w:hAnsi="Century Gothic" w:cs="Arial"/>
          <w:color w:val="000000"/>
          <w:sz w:val="24"/>
          <w:szCs w:val="24"/>
        </w:rPr>
        <w:t xml:space="preserve"> de la siguiente manera:  </w:t>
      </w:r>
    </w:p>
    <w:p w14:paraId="70D3D9EA" w14:textId="0A5BD55B" w:rsidR="00C718D1" w:rsidRDefault="00C718D1" w:rsidP="00C45F44">
      <w:pPr>
        <w:spacing w:line="360" w:lineRule="auto"/>
        <w:jc w:val="both"/>
        <w:rPr>
          <w:rFonts w:ascii="Century Gothic" w:eastAsia="Arial" w:hAnsi="Century Gothic" w:cs="Arial"/>
          <w:b/>
          <w:color w:val="000000"/>
          <w:sz w:val="24"/>
          <w:szCs w:val="24"/>
        </w:rPr>
      </w:pPr>
    </w:p>
    <w:p w14:paraId="0014BFEE" w14:textId="7070534B" w:rsidR="00C718D1" w:rsidRDefault="00C718D1" w:rsidP="00C45F44">
      <w:pPr>
        <w:spacing w:line="360" w:lineRule="auto"/>
        <w:jc w:val="both"/>
        <w:rPr>
          <w:rFonts w:ascii="Century Gothic" w:eastAsia="Arial" w:hAnsi="Century Gothic" w:cs="Arial"/>
          <w:b/>
          <w:color w:val="000000"/>
          <w:sz w:val="24"/>
          <w:szCs w:val="24"/>
        </w:rPr>
      </w:pPr>
      <w:r w:rsidRPr="00C718D1">
        <w:rPr>
          <w:rFonts w:ascii="Century Gothic" w:eastAsia="Arial" w:hAnsi="Century Gothic" w:cs="Arial"/>
          <w:b/>
          <w:color w:val="000000"/>
          <w:sz w:val="24"/>
          <w:szCs w:val="24"/>
        </w:rPr>
        <w:t>Artículo 3.</w:t>
      </w:r>
      <w:r w:rsidRPr="00C718D1">
        <w:rPr>
          <w:rFonts w:ascii="Century Gothic" w:eastAsia="Arial" w:hAnsi="Century Gothic" w:cs="Arial"/>
          <w:bCs/>
          <w:color w:val="000000"/>
          <w:sz w:val="24"/>
          <w:szCs w:val="24"/>
        </w:rPr>
        <w:t xml:space="preserve"> Las personas servidoras públicas involucradas en la impartición de la Justica Cívica, deberán conducirse en todo momento con respeto, empatía, honestidad, responsabilidad, altruismo, justicia, aprendizaje, lealtad, esfuerzo, perseverancia, autodominio, capacidad, tolerancia </w:t>
      </w:r>
      <w:r w:rsidRPr="00C718D1">
        <w:rPr>
          <w:rFonts w:ascii="Century Gothic" w:eastAsia="Arial" w:hAnsi="Century Gothic" w:cs="Arial"/>
          <w:b/>
          <w:color w:val="000000"/>
          <w:sz w:val="24"/>
          <w:szCs w:val="24"/>
        </w:rPr>
        <w:t>y perspectiva de género.</w:t>
      </w:r>
    </w:p>
    <w:p w14:paraId="203847E7" w14:textId="2A2B32E0" w:rsidR="00C718D1" w:rsidRDefault="00C718D1" w:rsidP="00C45F44">
      <w:pPr>
        <w:spacing w:line="360" w:lineRule="auto"/>
        <w:jc w:val="both"/>
        <w:rPr>
          <w:rFonts w:ascii="Century Gothic" w:eastAsia="Arial" w:hAnsi="Century Gothic" w:cs="Arial"/>
          <w:b/>
          <w:color w:val="000000"/>
          <w:sz w:val="24"/>
          <w:szCs w:val="24"/>
        </w:rPr>
      </w:pPr>
    </w:p>
    <w:p w14:paraId="3BFCED3D" w14:textId="5DE585D1" w:rsidR="00C718D1" w:rsidRDefault="00C718D1" w:rsidP="00C718D1">
      <w:pPr>
        <w:spacing w:after="0" w:line="360" w:lineRule="auto"/>
        <w:jc w:val="both"/>
        <w:rPr>
          <w:rFonts w:ascii="Century Gothic" w:eastAsia="Arial" w:hAnsi="Century Gothic" w:cs="Arial"/>
          <w:bCs/>
          <w:color w:val="000000"/>
          <w:sz w:val="24"/>
          <w:szCs w:val="24"/>
        </w:rPr>
      </w:pPr>
      <w:r w:rsidRPr="00C718D1">
        <w:rPr>
          <w:rFonts w:ascii="Century Gothic" w:eastAsia="Arial" w:hAnsi="Century Gothic" w:cs="Arial"/>
          <w:b/>
          <w:color w:val="000000"/>
          <w:sz w:val="24"/>
          <w:szCs w:val="24"/>
        </w:rPr>
        <w:t>Artículo 90.</w:t>
      </w:r>
      <w:r w:rsidRPr="00C718D1">
        <w:rPr>
          <w:rFonts w:ascii="Century Gothic" w:eastAsia="Arial" w:hAnsi="Century Gothic" w:cs="Arial"/>
          <w:bCs/>
          <w:color w:val="000000"/>
          <w:sz w:val="24"/>
          <w:szCs w:val="24"/>
        </w:rPr>
        <w:t xml:space="preserve"> </w:t>
      </w:r>
      <w:r>
        <w:rPr>
          <w:rFonts w:ascii="Century Gothic" w:eastAsia="Arial" w:hAnsi="Century Gothic" w:cs="Arial"/>
          <w:bCs/>
          <w:color w:val="000000"/>
          <w:sz w:val="24"/>
          <w:szCs w:val="24"/>
        </w:rPr>
        <w:t>…</w:t>
      </w:r>
    </w:p>
    <w:p w14:paraId="494B8827" w14:textId="77777777" w:rsidR="00C718D1" w:rsidRPr="00C718D1" w:rsidRDefault="00C718D1" w:rsidP="00C718D1">
      <w:pPr>
        <w:spacing w:after="0" w:line="360" w:lineRule="auto"/>
        <w:jc w:val="both"/>
        <w:rPr>
          <w:rFonts w:ascii="Century Gothic" w:eastAsia="Arial" w:hAnsi="Century Gothic" w:cs="Arial"/>
          <w:bCs/>
          <w:color w:val="000000"/>
          <w:sz w:val="24"/>
          <w:szCs w:val="24"/>
        </w:rPr>
      </w:pPr>
    </w:p>
    <w:p w14:paraId="6C40B16B" w14:textId="18C3A78D" w:rsidR="00C718D1" w:rsidRPr="00C718D1" w:rsidRDefault="00C718D1" w:rsidP="00C718D1">
      <w:pPr>
        <w:pStyle w:val="Prrafodelista"/>
        <w:numPr>
          <w:ilvl w:val="0"/>
          <w:numId w:val="36"/>
        </w:numPr>
        <w:spacing w:line="360" w:lineRule="auto"/>
        <w:jc w:val="both"/>
        <w:rPr>
          <w:rFonts w:ascii="Century Gothic" w:eastAsia="Arial" w:hAnsi="Century Gothic" w:cs="Arial"/>
          <w:bCs/>
          <w:color w:val="000000"/>
          <w:sz w:val="24"/>
          <w:szCs w:val="24"/>
        </w:rPr>
      </w:pPr>
      <w:r w:rsidRPr="00C718D1">
        <w:rPr>
          <w:rFonts w:ascii="Century Gothic" w:eastAsia="Arial" w:hAnsi="Century Gothic" w:cs="Arial"/>
          <w:bCs/>
          <w:color w:val="000000"/>
          <w:sz w:val="24"/>
          <w:szCs w:val="24"/>
        </w:rPr>
        <w:t xml:space="preserve">a V. … </w:t>
      </w:r>
    </w:p>
    <w:p w14:paraId="6CDA78C9" w14:textId="3C31E9E0" w:rsidR="00C718D1" w:rsidRPr="00C718D1" w:rsidRDefault="00C718D1" w:rsidP="00C718D1">
      <w:pPr>
        <w:pStyle w:val="Prrafodelista"/>
        <w:numPr>
          <w:ilvl w:val="0"/>
          <w:numId w:val="38"/>
        </w:numPr>
        <w:spacing w:line="360" w:lineRule="auto"/>
        <w:jc w:val="both"/>
        <w:rPr>
          <w:rFonts w:ascii="Century Gothic" w:eastAsia="Arial" w:hAnsi="Century Gothic" w:cs="Arial"/>
          <w:b/>
          <w:color w:val="000000"/>
          <w:sz w:val="24"/>
          <w:szCs w:val="24"/>
        </w:rPr>
      </w:pPr>
      <w:r w:rsidRPr="00C718D1">
        <w:rPr>
          <w:rFonts w:ascii="Century Gothic" w:eastAsia="Arial" w:hAnsi="Century Gothic" w:cs="Arial"/>
          <w:bCs/>
          <w:color w:val="000000"/>
          <w:sz w:val="24"/>
          <w:szCs w:val="24"/>
        </w:rPr>
        <w:t>La seguridad y tranquilidad de las personas</w:t>
      </w:r>
      <w:r w:rsidRPr="00C718D1">
        <w:rPr>
          <w:rFonts w:ascii="Century Gothic" w:eastAsia="Arial" w:hAnsi="Century Gothic" w:cs="Arial"/>
          <w:b/>
          <w:color w:val="000000"/>
          <w:sz w:val="24"/>
          <w:szCs w:val="24"/>
        </w:rPr>
        <w:t>, en especial la de niñas, niños, adolescentes y mujeres</w:t>
      </w:r>
      <w:r>
        <w:rPr>
          <w:rFonts w:ascii="Century Gothic" w:eastAsia="Arial" w:hAnsi="Century Gothic" w:cs="Arial"/>
          <w:b/>
          <w:color w:val="000000"/>
          <w:sz w:val="24"/>
          <w:szCs w:val="24"/>
        </w:rPr>
        <w:t>.</w:t>
      </w:r>
    </w:p>
    <w:p w14:paraId="1458ADEF" w14:textId="3371FEC1" w:rsidR="00C718D1" w:rsidRPr="00C718D1" w:rsidRDefault="00C718D1" w:rsidP="00C718D1">
      <w:pPr>
        <w:pStyle w:val="Prrafodelista"/>
        <w:numPr>
          <w:ilvl w:val="0"/>
          <w:numId w:val="38"/>
        </w:numPr>
        <w:spacing w:line="360" w:lineRule="auto"/>
        <w:jc w:val="both"/>
        <w:rPr>
          <w:rFonts w:ascii="Century Gothic" w:eastAsia="Arial" w:hAnsi="Century Gothic" w:cs="Arial"/>
          <w:bCs/>
          <w:color w:val="000000"/>
          <w:sz w:val="24"/>
          <w:szCs w:val="24"/>
        </w:rPr>
      </w:pPr>
      <w:r>
        <w:rPr>
          <w:rFonts w:ascii="Century Gothic" w:eastAsia="Arial" w:hAnsi="Century Gothic" w:cs="Arial"/>
          <w:bCs/>
          <w:color w:val="000000"/>
          <w:sz w:val="24"/>
          <w:szCs w:val="24"/>
        </w:rPr>
        <w:t xml:space="preserve">y VIII. … </w:t>
      </w:r>
    </w:p>
    <w:p w14:paraId="2915677E" w14:textId="43B39B78" w:rsidR="00C718D1" w:rsidRPr="00C718D1" w:rsidRDefault="00C718D1" w:rsidP="00C718D1">
      <w:pPr>
        <w:pStyle w:val="Prrafodelista"/>
        <w:spacing w:line="360" w:lineRule="auto"/>
        <w:ind w:left="1428"/>
        <w:jc w:val="both"/>
        <w:rPr>
          <w:rFonts w:ascii="Century Gothic" w:eastAsia="Arial" w:hAnsi="Century Gothic" w:cs="Arial"/>
          <w:bCs/>
          <w:color w:val="000000"/>
          <w:sz w:val="24"/>
          <w:szCs w:val="24"/>
        </w:rPr>
      </w:pPr>
    </w:p>
    <w:p w14:paraId="2CA388EF" w14:textId="77777777" w:rsidR="006459AC" w:rsidRDefault="006459AC" w:rsidP="00C718D1">
      <w:pPr>
        <w:spacing w:line="360" w:lineRule="auto"/>
        <w:jc w:val="both"/>
        <w:rPr>
          <w:rFonts w:ascii="Century Gothic" w:eastAsia="Arial" w:hAnsi="Century Gothic" w:cs="Arial"/>
          <w:bCs/>
          <w:color w:val="000000"/>
          <w:sz w:val="24"/>
          <w:szCs w:val="24"/>
        </w:rPr>
      </w:pPr>
    </w:p>
    <w:p w14:paraId="712C1FFA" w14:textId="77777777" w:rsidR="006459AC" w:rsidRDefault="006459AC" w:rsidP="00C718D1">
      <w:pPr>
        <w:spacing w:line="360" w:lineRule="auto"/>
        <w:jc w:val="both"/>
        <w:rPr>
          <w:rFonts w:ascii="Century Gothic" w:eastAsia="Arial" w:hAnsi="Century Gothic" w:cs="Arial"/>
          <w:bCs/>
          <w:color w:val="000000"/>
          <w:sz w:val="24"/>
          <w:szCs w:val="24"/>
        </w:rPr>
      </w:pPr>
    </w:p>
    <w:p w14:paraId="05BA5637" w14:textId="77777777" w:rsidR="006459AC" w:rsidRDefault="006459AC" w:rsidP="00C718D1">
      <w:pPr>
        <w:spacing w:line="360" w:lineRule="auto"/>
        <w:jc w:val="both"/>
        <w:rPr>
          <w:rFonts w:ascii="Century Gothic" w:eastAsia="Arial" w:hAnsi="Century Gothic" w:cs="Arial"/>
          <w:bCs/>
          <w:color w:val="000000"/>
          <w:sz w:val="24"/>
          <w:szCs w:val="24"/>
        </w:rPr>
      </w:pPr>
    </w:p>
    <w:p w14:paraId="1057E877" w14:textId="44D3A052" w:rsidR="00C718D1" w:rsidRPr="00C718D1" w:rsidRDefault="00C718D1" w:rsidP="00C718D1">
      <w:pPr>
        <w:spacing w:line="360" w:lineRule="auto"/>
        <w:jc w:val="both"/>
        <w:rPr>
          <w:rFonts w:ascii="Century Gothic" w:eastAsia="Arial" w:hAnsi="Century Gothic" w:cs="Arial"/>
          <w:b/>
          <w:color w:val="000000"/>
          <w:sz w:val="24"/>
          <w:szCs w:val="24"/>
        </w:rPr>
      </w:pPr>
      <w:r w:rsidRPr="00C718D1">
        <w:rPr>
          <w:rFonts w:ascii="Century Gothic" w:eastAsia="Arial" w:hAnsi="Century Gothic" w:cs="Arial"/>
          <w:bCs/>
          <w:color w:val="000000"/>
          <w:sz w:val="24"/>
          <w:szCs w:val="24"/>
        </w:rPr>
        <w:t>Los municipios establecerán el catálogo de infracciones y/o faltas administrativas, dentro de sus reglamentos</w:t>
      </w:r>
      <w:r w:rsidRPr="00C718D1">
        <w:rPr>
          <w:rFonts w:ascii="Century Gothic" w:eastAsia="Arial" w:hAnsi="Century Gothic" w:cs="Arial"/>
          <w:b/>
          <w:color w:val="000000"/>
          <w:sz w:val="24"/>
          <w:szCs w:val="24"/>
        </w:rPr>
        <w:t>, los cuales deberán tomar en cuenta la perspectiva de género.</w:t>
      </w:r>
    </w:p>
    <w:p w14:paraId="0E760D0D" w14:textId="6A77D09F" w:rsidR="00544FD4" w:rsidRPr="00C718D1" w:rsidRDefault="00C718D1" w:rsidP="00C718D1">
      <w:pPr>
        <w:spacing w:line="360" w:lineRule="auto"/>
        <w:jc w:val="both"/>
        <w:rPr>
          <w:rFonts w:ascii="Century Gothic" w:eastAsia="Arial" w:hAnsi="Century Gothic" w:cs="Arial"/>
          <w:bCs/>
          <w:color w:val="000000"/>
          <w:sz w:val="24"/>
          <w:szCs w:val="24"/>
        </w:rPr>
      </w:pPr>
      <w:r>
        <w:rPr>
          <w:rFonts w:ascii="Century Gothic" w:eastAsia="Arial" w:hAnsi="Century Gothic" w:cs="Arial"/>
          <w:bCs/>
          <w:color w:val="000000"/>
          <w:sz w:val="24"/>
          <w:szCs w:val="24"/>
        </w:rPr>
        <w:t>..</w:t>
      </w:r>
      <w:r w:rsidRPr="00C718D1">
        <w:rPr>
          <w:rFonts w:ascii="Century Gothic" w:eastAsia="Arial" w:hAnsi="Century Gothic" w:cs="Arial"/>
          <w:bCs/>
          <w:color w:val="000000"/>
          <w:sz w:val="24"/>
          <w:szCs w:val="24"/>
        </w:rPr>
        <w:t xml:space="preserve">. </w:t>
      </w:r>
      <w:r w:rsidRPr="00C718D1">
        <w:rPr>
          <w:rFonts w:ascii="Century Gothic" w:eastAsia="Arial" w:hAnsi="Century Gothic" w:cs="Arial"/>
          <w:bCs/>
          <w:color w:val="000000"/>
          <w:sz w:val="24"/>
          <w:szCs w:val="24"/>
        </w:rPr>
        <w:cr/>
      </w:r>
    </w:p>
    <w:p w14:paraId="47C286C2" w14:textId="77777777" w:rsidR="009F3B35" w:rsidRPr="00A5235C" w:rsidRDefault="00A405E7" w:rsidP="00B26A9F">
      <w:pPr>
        <w:spacing w:after="0" w:line="360" w:lineRule="auto"/>
        <w:ind w:right="-34"/>
        <w:jc w:val="center"/>
        <w:outlineLvl w:val="0"/>
        <w:rPr>
          <w:rFonts w:ascii="Century Gothic" w:hAnsi="Century Gothic" w:cs="Arial"/>
          <w:b/>
          <w:bCs/>
          <w:spacing w:val="-11"/>
          <w:kern w:val="32"/>
          <w:sz w:val="28"/>
          <w:szCs w:val="24"/>
          <w:lang w:val="en-US"/>
        </w:rPr>
      </w:pP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A</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N</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S</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p>
    <w:p w14:paraId="0CB88F4E" w14:textId="77777777" w:rsidR="009F3B35" w:rsidRPr="00A5235C" w:rsidRDefault="009F3B35" w:rsidP="00B26A9F">
      <w:pPr>
        <w:spacing w:after="0" w:line="360" w:lineRule="auto"/>
        <w:ind w:right="-34"/>
        <w:outlineLvl w:val="0"/>
        <w:rPr>
          <w:rFonts w:ascii="Century Gothic" w:hAnsi="Century Gothic" w:cs="Arial"/>
          <w:b/>
          <w:sz w:val="24"/>
          <w:szCs w:val="24"/>
          <w:lang w:val="en-US"/>
        </w:rPr>
      </w:pPr>
    </w:p>
    <w:p w14:paraId="01B3B58C" w14:textId="77777777" w:rsidR="00693892" w:rsidRPr="00A5235C" w:rsidRDefault="00693892" w:rsidP="00B26A9F">
      <w:pPr>
        <w:spacing w:after="0" w:line="360" w:lineRule="auto"/>
        <w:ind w:right="-34"/>
        <w:jc w:val="both"/>
        <w:rPr>
          <w:rFonts w:ascii="Century Gothic" w:eastAsia="Yu Gothic UI Light" w:hAnsi="Century Gothic" w:cs="Arial"/>
          <w:b/>
          <w:sz w:val="28"/>
          <w:szCs w:val="24"/>
          <w:lang w:val="en-US"/>
        </w:rPr>
      </w:pPr>
    </w:p>
    <w:p w14:paraId="66487960" w14:textId="19C726C8"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00DD276B">
        <w:rPr>
          <w:rFonts w:ascii="Century Gothic" w:eastAsia="Yu Gothic UI Light" w:hAnsi="Century Gothic" w:cs="Arial"/>
          <w:sz w:val="24"/>
          <w:szCs w:val="24"/>
        </w:rPr>
        <w:t xml:space="preserve"> El presente Decreto entrará en vigor al día siguiente de su publicación en el Periódico Oficial del Estado. </w:t>
      </w:r>
    </w:p>
    <w:p w14:paraId="05653697" w14:textId="77777777" w:rsidR="00445EC3" w:rsidRPr="00DB5AA7" w:rsidRDefault="00445EC3" w:rsidP="00B26A9F">
      <w:pPr>
        <w:spacing w:after="0" w:line="360" w:lineRule="auto"/>
        <w:jc w:val="both"/>
        <w:rPr>
          <w:rFonts w:ascii="Century Gothic" w:hAnsi="Century Gothic" w:cs="Arial"/>
          <w:b/>
          <w:sz w:val="24"/>
          <w:szCs w:val="24"/>
          <w:lang w:val="es-ES"/>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77777777" w:rsidR="00693892" w:rsidRDefault="00693892" w:rsidP="007F5BDD">
      <w:pPr>
        <w:spacing w:after="0" w:line="360" w:lineRule="auto"/>
        <w:jc w:val="both"/>
        <w:rPr>
          <w:rFonts w:ascii="Century Gothic" w:hAnsi="Century Gothic"/>
          <w:sz w:val="24"/>
          <w:szCs w:val="24"/>
        </w:rPr>
      </w:pPr>
    </w:p>
    <w:p w14:paraId="615E6707" w14:textId="7151DCF9" w:rsidR="00C766D8" w:rsidRPr="002D7FF1" w:rsidRDefault="00445EC3" w:rsidP="002D7FF1">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2E224F">
        <w:rPr>
          <w:rFonts w:ascii="Century Gothic" w:hAnsi="Century Gothic"/>
          <w:sz w:val="24"/>
          <w:szCs w:val="24"/>
        </w:rPr>
        <w:t>nueve</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de </w:t>
      </w:r>
      <w:r w:rsidR="002E224F">
        <w:rPr>
          <w:rFonts w:ascii="Century Gothic" w:hAnsi="Century Gothic"/>
          <w:sz w:val="24"/>
          <w:szCs w:val="24"/>
        </w:rPr>
        <w:t>septiembre</w:t>
      </w:r>
      <w:r w:rsidRPr="00414B59">
        <w:rPr>
          <w:rFonts w:ascii="Century Gothic" w:hAnsi="Century Gothic"/>
          <w:sz w:val="24"/>
          <w:szCs w:val="24"/>
        </w:rPr>
        <w:t xml:space="preserve"> del año dos mil </w:t>
      </w:r>
      <w:r w:rsidR="000F7395">
        <w:rPr>
          <w:rFonts w:ascii="Century Gothic" w:hAnsi="Century Gothic"/>
          <w:sz w:val="24"/>
          <w:szCs w:val="24"/>
        </w:rPr>
        <w:t>veinti</w:t>
      </w:r>
      <w:r w:rsidR="0023779C">
        <w:rPr>
          <w:rFonts w:ascii="Century Gothic" w:hAnsi="Century Gothic"/>
          <w:sz w:val="24"/>
          <w:szCs w:val="24"/>
        </w:rPr>
        <w:t>c</w:t>
      </w:r>
      <w:r w:rsidR="00C45F44">
        <w:rPr>
          <w:rFonts w:ascii="Century Gothic" w:hAnsi="Century Gothic"/>
          <w:sz w:val="24"/>
          <w:szCs w:val="24"/>
        </w:rPr>
        <w:t>inco</w:t>
      </w:r>
      <w:r w:rsidRPr="00414B59">
        <w:rPr>
          <w:rFonts w:ascii="Century Gothic" w:hAnsi="Century Gothic"/>
          <w:sz w:val="24"/>
          <w:szCs w:val="24"/>
        </w:rPr>
        <w:t>.</w:t>
      </w:r>
    </w:p>
    <w:p w14:paraId="67FA04B5" w14:textId="77777777" w:rsidR="00C45F44" w:rsidRDefault="00C45F44" w:rsidP="002D3326">
      <w:pPr>
        <w:pStyle w:val="Normal1"/>
        <w:contextualSpacing/>
        <w:jc w:val="center"/>
        <w:rPr>
          <w:rFonts w:ascii="Century Gothic" w:eastAsia="Arial" w:hAnsi="Century Gothic" w:cs="Arial"/>
          <w:b/>
          <w:smallCaps/>
          <w:color w:val="auto"/>
          <w:sz w:val="20"/>
          <w:lang w:val="es-MX"/>
        </w:rPr>
      </w:pPr>
    </w:p>
    <w:p w14:paraId="2AC914F0"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32E77A0B" w14:textId="3BD25047" w:rsidR="00C718D1" w:rsidRDefault="00C718D1" w:rsidP="002D3326">
      <w:pPr>
        <w:pStyle w:val="Normal1"/>
        <w:contextualSpacing/>
        <w:jc w:val="center"/>
        <w:rPr>
          <w:rFonts w:ascii="Century Gothic" w:eastAsia="Arial" w:hAnsi="Century Gothic" w:cs="Arial"/>
          <w:b/>
          <w:smallCaps/>
          <w:color w:val="auto"/>
          <w:sz w:val="20"/>
          <w:lang w:val="es-MX"/>
        </w:rPr>
      </w:pPr>
    </w:p>
    <w:p w14:paraId="0E5E74FC" w14:textId="58BA9C12" w:rsidR="006459AC" w:rsidRDefault="006459AC" w:rsidP="002D3326">
      <w:pPr>
        <w:pStyle w:val="Normal1"/>
        <w:contextualSpacing/>
        <w:jc w:val="center"/>
        <w:rPr>
          <w:rFonts w:ascii="Century Gothic" w:eastAsia="Arial" w:hAnsi="Century Gothic" w:cs="Arial"/>
          <w:b/>
          <w:smallCaps/>
          <w:color w:val="auto"/>
          <w:sz w:val="20"/>
          <w:lang w:val="es-MX"/>
        </w:rPr>
      </w:pPr>
    </w:p>
    <w:p w14:paraId="0A02450B" w14:textId="141F7D0F" w:rsidR="006459AC" w:rsidRDefault="006459AC" w:rsidP="002D3326">
      <w:pPr>
        <w:pStyle w:val="Normal1"/>
        <w:contextualSpacing/>
        <w:jc w:val="center"/>
        <w:rPr>
          <w:rFonts w:ascii="Century Gothic" w:eastAsia="Arial" w:hAnsi="Century Gothic" w:cs="Arial"/>
          <w:b/>
          <w:smallCaps/>
          <w:color w:val="auto"/>
          <w:sz w:val="20"/>
          <w:lang w:val="es-MX"/>
        </w:rPr>
      </w:pPr>
    </w:p>
    <w:p w14:paraId="170D558F" w14:textId="75980FC2" w:rsidR="006459AC" w:rsidRDefault="006459AC" w:rsidP="002D3326">
      <w:pPr>
        <w:pStyle w:val="Normal1"/>
        <w:contextualSpacing/>
        <w:jc w:val="center"/>
        <w:rPr>
          <w:rFonts w:ascii="Century Gothic" w:eastAsia="Arial" w:hAnsi="Century Gothic" w:cs="Arial"/>
          <w:b/>
          <w:smallCaps/>
          <w:color w:val="auto"/>
          <w:sz w:val="20"/>
          <w:lang w:val="es-MX"/>
        </w:rPr>
      </w:pPr>
    </w:p>
    <w:p w14:paraId="65A18A3F" w14:textId="01418E00" w:rsidR="006459AC" w:rsidRDefault="006459AC" w:rsidP="002D3326">
      <w:pPr>
        <w:pStyle w:val="Normal1"/>
        <w:contextualSpacing/>
        <w:jc w:val="center"/>
        <w:rPr>
          <w:rFonts w:ascii="Century Gothic" w:eastAsia="Arial" w:hAnsi="Century Gothic" w:cs="Arial"/>
          <w:b/>
          <w:smallCaps/>
          <w:color w:val="auto"/>
          <w:sz w:val="20"/>
          <w:lang w:val="es-MX"/>
        </w:rPr>
      </w:pPr>
    </w:p>
    <w:p w14:paraId="4AF133D2" w14:textId="225DE45F" w:rsidR="006459AC" w:rsidRDefault="006459AC" w:rsidP="002D3326">
      <w:pPr>
        <w:pStyle w:val="Normal1"/>
        <w:contextualSpacing/>
        <w:jc w:val="center"/>
        <w:rPr>
          <w:rFonts w:ascii="Century Gothic" w:eastAsia="Arial" w:hAnsi="Century Gothic" w:cs="Arial"/>
          <w:b/>
          <w:smallCaps/>
          <w:color w:val="auto"/>
          <w:sz w:val="20"/>
          <w:lang w:val="es-MX"/>
        </w:rPr>
      </w:pPr>
    </w:p>
    <w:p w14:paraId="070ED0BB" w14:textId="77777777" w:rsidR="006459AC" w:rsidRDefault="006459AC" w:rsidP="002D3326">
      <w:pPr>
        <w:pStyle w:val="Normal1"/>
        <w:contextualSpacing/>
        <w:jc w:val="center"/>
        <w:rPr>
          <w:rFonts w:ascii="Century Gothic" w:eastAsia="Arial" w:hAnsi="Century Gothic" w:cs="Arial"/>
          <w:b/>
          <w:smallCaps/>
          <w:color w:val="auto"/>
          <w:sz w:val="20"/>
          <w:lang w:val="es-MX"/>
        </w:rPr>
      </w:pPr>
    </w:p>
    <w:p w14:paraId="775B6496"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054C64F8"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0D66A504"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52F76B23"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45CE5A01"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2B527A68" w14:textId="77777777" w:rsidR="00C718D1" w:rsidRDefault="00C718D1" w:rsidP="002D3326">
      <w:pPr>
        <w:pStyle w:val="Normal1"/>
        <w:contextualSpacing/>
        <w:jc w:val="center"/>
        <w:rPr>
          <w:rFonts w:ascii="Century Gothic" w:eastAsia="Arial" w:hAnsi="Century Gothic" w:cs="Arial"/>
          <w:b/>
          <w:smallCaps/>
          <w:color w:val="auto"/>
          <w:sz w:val="20"/>
          <w:lang w:val="es-MX"/>
        </w:rPr>
      </w:pPr>
    </w:p>
    <w:p w14:paraId="6288C64D" w14:textId="43D8F43F"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t>ASÍ LO APROBÓ LA COMISIÓN DE</w:t>
      </w:r>
      <w:r w:rsidR="000F7395" w:rsidRPr="0061716E">
        <w:rPr>
          <w:rFonts w:ascii="Century Gothic" w:eastAsia="Arial" w:hAnsi="Century Gothic" w:cs="Arial"/>
          <w:b/>
          <w:smallCaps/>
          <w:color w:val="auto"/>
          <w:sz w:val="20"/>
          <w:lang w:val="es-MX"/>
        </w:rPr>
        <w:t xml:space="preserve"> </w:t>
      </w:r>
      <w:r w:rsidR="00BD106A">
        <w:rPr>
          <w:rFonts w:ascii="Century Gothic" w:eastAsia="Arial" w:hAnsi="Century Gothic" w:cs="Arial"/>
          <w:b/>
          <w:smallCaps/>
          <w:color w:val="auto"/>
          <w:sz w:val="20"/>
          <w:lang w:val="es-MX"/>
        </w:rPr>
        <w:t>IGUALDAD</w:t>
      </w:r>
      <w:r w:rsidR="000F7395" w:rsidRPr="0061716E">
        <w:rPr>
          <w:rFonts w:ascii="Century Gothic" w:eastAsia="Arial" w:hAnsi="Century Gothic" w:cs="Arial"/>
          <w:b/>
          <w:smallCaps/>
          <w:color w:val="auto"/>
          <w:sz w:val="20"/>
          <w:lang w:val="es-MX"/>
        </w:rPr>
        <w:t xml:space="preserve">, EN REUNIÓN DE </w:t>
      </w:r>
      <w:r w:rsidR="00034F62" w:rsidRPr="0061716E">
        <w:rPr>
          <w:rFonts w:ascii="Century Gothic" w:eastAsia="Arial" w:hAnsi="Century Gothic" w:cs="Arial"/>
          <w:b/>
          <w:smallCaps/>
          <w:color w:val="auto"/>
          <w:sz w:val="20"/>
          <w:lang w:val="es-MX"/>
        </w:rPr>
        <w:t xml:space="preserve">FECHA </w:t>
      </w:r>
      <w:r w:rsidR="000902AD">
        <w:rPr>
          <w:rFonts w:ascii="Century Gothic" w:eastAsia="Arial" w:hAnsi="Century Gothic" w:cs="Arial"/>
          <w:b/>
          <w:smallCaps/>
          <w:color w:val="auto"/>
          <w:sz w:val="20"/>
          <w:lang w:val="es-MX"/>
        </w:rPr>
        <w:t>VEINTICINCO</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0902AD">
        <w:rPr>
          <w:rFonts w:ascii="Century Gothic" w:eastAsia="Arial" w:hAnsi="Century Gothic" w:cs="Arial"/>
          <w:b/>
          <w:smallCaps/>
          <w:color w:val="auto"/>
          <w:sz w:val="20"/>
          <w:lang w:val="es-MX"/>
        </w:rPr>
        <w:t>AGOSTO</w:t>
      </w:r>
      <w:r w:rsidR="007D46B0"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DE DOS MIL VEINTI</w:t>
      </w:r>
      <w:r w:rsidR="0023779C">
        <w:rPr>
          <w:rFonts w:ascii="Century Gothic" w:eastAsia="Arial" w:hAnsi="Century Gothic" w:cs="Arial"/>
          <w:b/>
          <w:smallCaps/>
          <w:color w:val="auto"/>
          <w:sz w:val="20"/>
          <w:lang w:val="es-MX"/>
        </w:rPr>
        <w:t>C</w:t>
      </w:r>
      <w:r w:rsidR="00C45F44">
        <w:rPr>
          <w:rFonts w:ascii="Century Gothic" w:eastAsia="Arial" w:hAnsi="Century Gothic" w:cs="Arial"/>
          <w:b/>
          <w:smallCaps/>
          <w:color w:val="auto"/>
          <w:sz w:val="20"/>
          <w:lang w:val="es-MX"/>
        </w:rPr>
        <w:t>INCO</w:t>
      </w:r>
      <w:r w:rsidR="00A405E7" w:rsidRPr="0061716E">
        <w:rPr>
          <w:rFonts w:ascii="Century Gothic" w:eastAsia="Arial" w:hAnsi="Century Gothic" w:cs="Arial"/>
          <w:b/>
          <w:smallCaps/>
          <w:color w:val="auto"/>
          <w:sz w:val="20"/>
          <w:lang w:val="es-MX"/>
        </w:rPr>
        <w:t>.</w:t>
      </w:r>
    </w:p>
    <w:p w14:paraId="4C1A957A" w14:textId="77777777" w:rsidR="000A49CC" w:rsidRDefault="000A49CC" w:rsidP="0061716E">
      <w:pPr>
        <w:pStyle w:val="Normal2"/>
        <w:jc w:val="center"/>
        <w:rPr>
          <w:rFonts w:ascii="Century Gothic" w:eastAsia="Arial" w:hAnsi="Century Gothic" w:cs="Arial"/>
          <w:b/>
          <w:sz w:val="20"/>
          <w:lang w:val="es-MX"/>
        </w:rPr>
      </w:pPr>
    </w:p>
    <w:p w14:paraId="7960D082" w14:textId="4830F146" w:rsidR="00AA6F69" w:rsidRPr="00F75223" w:rsidRDefault="00445EC3" w:rsidP="00F75223">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BD106A">
        <w:rPr>
          <w:rFonts w:ascii="Century Gothic" w:eastAsia="Arial" w:hAnsi="Century Gothic" w:cs="Arial"/>
          <w:b/>
          <w:sz w:val="20"/>
          <w:lang w:val="es-MX"/>
        </w:rPr>
        <w:t>IGUALDAD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59"/>
        <w:gridCol w:w="1947"/>
        <w:gridCol w:w="1711"/>
        <w:gridCol w:w="1595"/>
      </w:tblGrid>
      <w:tr w:rsidR="00AA6F69" w14:paraId="4E5D038C" w14:textId="77777777" w:rsidTr="00122EEE">
        <w:tc>
          <w:tcPr>
            <w:tcW w:w="669" w:type="pct"/>
            <w:tcBorders>
              <w:top w:val="single" w:sz="4" w:space="0" w:color="auto"/>
              <w:left w:val="single" w:sz="4" w:space="0" w:color="auto"/>
              <w:bottom w:val="single" w:sz="4" w:space="0" w:color="auto"/>
              <w:right w:val="single" w:sz="4" w:space="0" w:color="auto"/>
            </w:tcBorders>
          </w:tcPr>
          <w:p w14:paraId="733DF96E" w14:textId="77777777" w:rsidR="00AA6F69" w:rsidRDefault="00AA6F69" w:rsidP="00AD5494">
            <w:pPr>
              <w:rPr>
                <w:rFonts w:ascii="Century Gothic" w:hAnsi="Century Gothic"/>
                <w:b/>
              </w:rPr>
            </w:pPr>
          </w:p>
        </w:tc>
        <w:tc>
          <w:tcPr>
            <w:tcW w:w="1256" w:type="pct"/>
            <w:tcBorders>
              <w:top w:val="single" w:sz="4" w:space="0" w:color="auto"/>
              <w:left w:val="single" w:sz="4" w:space="0" w:color="auto"/>
              <w:bottom w:val="single" w:sz="4" w:space="0" w:color="auto"/>
              <w:right w:val="single" w:sz="4" w:space="0" w:color="auto"/>
            </w:tcBorders>
            <w:hideMark/>
          </w:tcPr>
          <w:p w14:paraId="2B96EED8" w14:textId="77777777" w:rsidR="00AA6F69" w:rsidRDefault="00AA6F69" w:rsidP="00122EEE">
            <w:pPr>
              <w:jc w:val="center"/>
              <w:rPr>
                <w:rFonts w:ascii="Century Gothic" w:hAnsi="Century Gothic"/>
                <w:b/>
              </w:rPr>
            </w:pPr>
            <w:r>
              <w:rPr>
                <w:rFonts w:ascii="Century Gothic" w:hAnsi="Century Gothic"/>
                <w:b/>
              </w:rPr>
              <w:t>INTEGRANTES</w:t>
            </w:r>
          </w:p>
        </w:tc>
        <w:tc>
          <w:tcPr>
            <w:tcW w:w="1136" w:type="pct"/>
            <w:tcBorders>
              <w:top w:val="single" w:sz="4" w:space="0" w:color="auto"/>
              <w:left w:val="single" w:sz="4" w:space="0" w:color="auto"/>
              <w:bottom w:val="single" w:sz="4" w:space="0" w:color="auto"/>
              <w:right w:val="single" w:sz="4" w:space="0" w:color="auto"/>
            </w:tcBorders>
            <w:hideMark/>
          </w:tcPr>
          <w:p w14:paraId="58558DF0" w14:textId="77777777" w:rsidR="00AA6F69" w:rsidRDefault="00AA6F69" w:rsidP="00122EEE">
            <w:pPr>
              <w:jc w:val="center"/>
              <w:rPr>
                <w:rFonts w:ascii="Century Gothic" w:hAnsi="Century Gothic"/>
                <w:b/>
              </w:rPr>
            </w:pPr>
            <w:r>
              <w:rPr>
                <w:rFonts w:ascii="Century Gothic" w:hAnsi="Century Gothic"/>
                <w:b/>
              </w:rPr>
              <w:t>A FAVOR</w:t>
            </w:r>
          </w:p>
        </w:tc>
        <w:tc>
          <w:tcPr>
            <w:tcW w:w="1002" w:type="pct"/>
            <w:tcBorders>
              <w:top w:val="single" w:sz="4" w:space="0" w:color="auto"/>
              <w:left w:val="single" w:sz="4" w:space="0" w:color="auto"/>
              <w:bottom w:val="single" w:sz="4" w:space="0" w:color="auto"/>
              <w:right w:val="single" w:sz="4" w:space="0" w:color="auto"/>
            </w:tcBorders>
            <w:hideMark/>
          </w:tcPr>
          <w:p w14:paraId="6533163D" w14:textId="77777777" w:rsidR="00AA6F69" w:rsidRDefault="00AA6F69" w:rsidP="00122EEE">
            <w:pPr>
              <w:jc w:val="center"/>
              <w:rPr>
                <w:rFonts w:ascii="Century Gothic" w:hAnsi="Century Gothic"/>
                <w:b/>
              </w:rPr>
            </w:pPr>
            <w:r>
              <w:rPr>
                <w:rFonts w:ascii="Century Gothic" w:hAnsi="Century Gothic"/>
                <w:b/>
              </w:rPr>
              <w:t>EN CONTRA</w:t>
            </w:r>
          </w:p>
        </w:tc>
        <w:tc>
          <w:tcPr>
            <w:tcW w:w="936" w:type="pct"/>
            <w:tcBorders>
              <w:top w:val="single" w:sz="4" w:space="0" w:color="auto"/>
              <w:left w:val="single" w:sz="4" w:space="0" w:color="auto"/>
              <w:bottom w:val="single" w:sz="4" w:space="0" w:color="auto"/>
              <w:right w:val="single" w:sz="4" w:space="0" w:color="auto"/>
            </w:tcBorders>
            <w:hideMark/>
          </w:tcPr>
          <w:p w14:paraId="73E90B22" w14:textId="77777777" w:rsidR="00AA6F69" w:rsidRDefault="00AA6F69" w:rsidP="00122EEE">
            <w:pPr>
              <w:jc w:val="center"/>
              <w:rPr>
                <w:rFonts w:ascii="Century Gothic" w:hAnsi="Century Gothic"/>
                <w:b/>
              </w:rPr>
            </w:pPr>
            <w:r>
              <w:rPr>
                <w:rFonts w:ascii="Century Gothic" w:hAnsi="Century Gothic"/>
                <w:b/>
              </w:rPr>
              <w:t>ABSTENCIÓN</w:t>
            </w:r>
          </w:p>
        </w:tc>
      </w:tr>
      <w:tr w:rsidR="00AA6F69" w14:paraId="40CAE3CA" w14:textId="77777777" w:rsidTr="00122EEE">
        <w:tc>
          <w:tcPr>
            <w:tcW w:w="669" w:type="pct"/>
            <w:tcBorders>
              <w:top w:val="single" w:sz="4" w:space="0" w:color="auto"/>
              <w:left w:val="single" w:sz="4" w:space="0" w:color="auto"/>
              <w:bottom w:val="single" w:sz="4" w:space="0" w:color="auto"/>
              <w:right w:val="single" w:sz="4" w:space="0" w:color="auto"/>
            </w:tcBorders>
            <w:hideMark/>
          </w:tcPr>
          <w:p w14:paraId="615DF6C9" w14:textId="5D5237D5"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283D35AE" wp14:editId="2DFCFBBC">
                  <wp:extent cx="762000" cy="9429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r>
              <w:rPr>
                <w:rFonts w:ascii="Century Gothic" w:hAnsi="Century Gothic"/>
              </w:rPr>
              <w:t xml:space="preserve"> </w:t>
            </w:r>
          </w:p>
        </w:tc>
        <w:tc>
          <w:tcPr>
            <w:tcW w:w="1256" w:type="pct"/>
            <w:tcBorders>
              <w:top w:val="single" w:sz="4" w:space="0" w:color="auto"/>
              <w:left w:val="single" w:sz="4" w:space="0" w:color="auto"/>
              <w:bottom w:val="single" w:sz="4" w:space="0" w:color="auto"/>
              <w:right w:val="single" w:sz="4" w:space="0" w:color="auto"/>
            </w:tcBorders>
            <w:hideMark/>
          </w:tcPr>
          <w:p w14:paraId="6CD1708E" w14:textId="4689A1EC" w:rsidR="00AA6F69" w:rsidRDefault="00AA6F69" w:rsidP="00122EEE">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Irlanda Dominique Márquez Nolasco</w:t>
            </w:r>
          </w:p>
          <w:p w14:paraId="39D7FB3C" w14:textId="77777777" w:rsidR="00AA6F69" w:rsidRDefault="00AA6F69" w:rsidP="00AD5494">
            <w:pPr>
              <w:jc w:val="center"/>
              <w:rPr>
                <w:rFonts w:ascii="Century Gothic" w:hAnsi="Century Gothic"/>
                <w:b/>
                <w:bCs/>
              </w:rPr>
            </w:pPr>
            <w:r>
              <w:rPr>
                <w:rFonts w:ascii="Century Gothic" w:hAnsi="Century Gothic"/>
                <w:b/>
                <w:bCs/>
              </w:rPr>
              <w:t>Presidenta</w:t>
            </w:r>
          </w:p>
        </w:tc>
        <w:tc>
          <w:tcPr>
            <w:tcW w:w="1136" w:type="pct"/>
            <w:tcBorders>
              <w:top w:val="single" w:sz="4" w:space="0" w:color="auto"/>
              <w:left w:val="single" w:sz="4" w:space="0" w:color="auto"/>
              <w:bottom w:val="single" w:sz="4" w:space="0" w:color="auto"/>
              <w:right w:val="single" w:sz="4" w:space="0" w:color="auto"/>
            </w:tcBorders>
          </w:tcPr>
          <w:p w14:paraId="2DCE0C2F" w14:textId="77777777" w:rsidR="00AA6F69" w:rsidRDefault="00AA6F69" w:rsidP="00AD5494">
            <w:pPr>
              <w:rPr>
                <w:rFonts w:ascii="Century Gothic" w:hAnsi="Century Gothic"/>
                <w:b/>
                <w:lang w:val="es-US"/>
              </w:rPr>
            </w:pPr>
          </w:p>
        </w:tc>
        <w:tc>
          <w:tcPr>
            <w:tcW w:w="1002" w:type="pct"/>
            <w:tcBorders>
              <w:top w:val="single" w:sz="4" w:space="0" w:color="auto"/>
              <w:left w:val="single" w:sz="4" w:space="0" w:color="auto"/>
              <w:bottom w:val="single" w:sz="4" w:space="0" w:color="auto"/>
              <w:right w:val="single" w:sz="4" w:space="0" w:color="auto"/>
            </w:tcBorders>
          </w:tcPr>
          <w:p w14:paraId="54B62351" w14:textId="77777777" w:rsidR="00AA6F69" w:rsidRDefault="00AA6F69" w:rsidP="00AD5494">
            <w:pPr>
              <w:rPr>
                <w:rFonts w:ascii="Century Gothic" w:hAnsi="Century Gothic"/>
                <w:b/>
                <w:lang w:val="es-US"/>
              </w:rPr>
            </w:pPr>
          </w:p>
        </w:tc>
        <w:tc>
          <w:tcPr>
            <w:tcW w:w="936" w:type="pct"/>
            <w:tcBorders>
              <w:top w:val="single" w:sz="4" w:space="0" w:color="auto"/>
              <w:left w:val="single" w:sz="4" w:space="0" w:color="auto"/>
              <w:bottom w:val="single" w:sz="4" w:space="0" w:color="auto"/>
              <w:right w:val="single" w:sz="4" w:space="0" w:color="auto"/>
            </w:tcBorders>
          </w:tcPr>
          <w:p w14:paraId="6A75B5C3" w14:textId="77777777" w:rsidR="00AA6F69" w:rsidRDefault="00AA6F69" w:rsidP="00AD5494">
            <w:pPr>
              <w:rPr>
                <w:rFonts w:ascii="Century Gothic" w:hAnsi="Century Gothic"/>
                <w:b/>
                <w:lang w:val="es-US"/>
              </w:rPr>
            </w:pPr>
          </w:p>
        </w:tc>
      </w:tr>
      <w:tr w:rsidR="00AA6F69" w14:paraId="5D9D4AED" w14:textId="77777777" w:rsidTr="00122EEE">
        <w:tc>
          <w:tcPr>
            <w:tcW w:w="669" w:type="pct"/>
            <w:tcBorders>
              <w:top w:val="single" w:sz="4" w:space="0" w:color="auto"/>
              <w:left w:val="single" w:sz="4" w:space="0" w:color="auto"/>
              <w:bottom w:val="single" w:sz="4" w:space="0" w:color="auto"/>
              <w:right w:val="single" w:sz="4" w:space="0" w:color="auto"/>
            </w:tcBorders>
            <w:hideMark/>
          </w:tcPr>
          <w:p w14:paraId="42919014" w14:textId="3713E645"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4F412967" wp14:editId="68D4642C">
                  <wp:extent cx="762000" cy="895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r>
              <w:rPr>
                <w:rFonts w:ascii="Century Gothic" w:hAnsi="Century Gothic"/>
              </w:rPr>
              <w:t xml:space="preserve"> </w:t>
            </w:r>
          </w:p>
        </w:tc>
        <w:tc>
          <w:tcPr>
            <w:tcW w:w="1256" w:type="pct"/>
            <w:tcBorders>
              <w:top w:val="single" w:sz="4" w:space="0" w:color="auto"/>
              <w:left w:val="single" w:sz="4" w:space="0" w:color="auto"/>
              <w:bottom w:val="single" w:sz="4" w:space="0" w:color="auto"/>
              <w:right w:val="single" w:sz="4" w:space="0" w:color="auto"/>
            </w:tcBorders>
            <w:hideMark/>
          </w:tcPr>
          <w:p w14:paraId="655124FB"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bookmarkStart w:id="0" w:name="_Hlk178581557"/>
            <w:r>
              <w:rPr>
                <w:rFonts w:ascii="Century Gothic" w:hAnsi="Century Gothic"/>
                <w:b/>
                <w:bCs/>
                <w:lang w:val="es-US"/>
              </w:rPr>
              <w:t>Edna Xóchitl Contreras Herrera</w:t>
            </w:r>
            <w:bookmarkEnd w:id="0"/>
          </w:p>
          <w:p w14:paraId="7504A997" w14:textId="77777777" w:rsidR="00AA6F69" w:rsidRDefault="00AA6F69" w:rsidP="00AD5494">
            <w:pPr>
              <w:jc w:val="center"/>
              <w:rPr>
                <w:rFonts w:ascii="Century Gothic" w:hAnsi="Century Gothic"/>
                <w:b/>
                <w:bCs/>
              </w:rPr>
            </w:pPr>
            <w:r>
              <w:rPr>
                <w:rFonts w:ascii="Century Gothic" w:hAnsi="Century Gothic"/>
                <w:b/>
                <w:bCs/>
              </w:rPr>
              <w:t>Secretaria</w:t>
            </w:r>
          </w:p>
        </w:tc>
        <w:tc>
          <w:tcPr>
            <w:tcW w:w="1136" w:type="pct"/>
            <w:tcBorders>
              <w:top w:val="single" w:sz="4" w:space="0" w:color="auto"/>
              <w:left w:val="single" w:sz="4" w:space="0" w:color="auto"/>
              <w:bottom w:val="single" w:sz="4" w:space="0" w:color="auto"/>
              <w:right w:val="single" w:sz="4" w:space="0" w:color="auto"/>
            </w:tcBorders>
          </w:tcPr>
          <w:p w14:paraId="4EEB0216" w14:textId="77777777" w:rsidR="00AA6F69" w:rsidRDefault="00AA6F69" w:rsidP="00AD5494">
            <w:pPr>
              <w:rPr>
                <w:rFonts w:ascii="Century Gothic" w:hAnsi="Century Gothic"/>
                <w:b/>
                <w:lang w:val="es-US"/>
              </w:rPr>
            </w:pPr>
          </w:p>
        </w:tc>
        <w:tc>
          <w:tcPr>
            <w:tcW w:w="1002" w:type="pct"/>
            <w:tcBorders>
              <w:top w:val="single" w:sz="4" w:space="0" w:color="auto"/>
              <w:left w:val="single" w:sz="4" w:space="0" w:color="auto"/>
              <w:bottom w:val="single" w:sz="4" w:space="0" w:color="auto"/>
              <w:right w:val="single" w:sz="4" w:space="0" w:color="auto"/>
            </w:tcBorders>
          </w:tcPr>
          <w:p w14:paraId="28BBE620" w14:textId="77777777" w:rsidR="00AA6F69" w:rsidRDefault="00AA6F69" w:rsidP="00AD5494">
            <w:pPr>
              <w:rPr>
                <w:rFonts w:ascii="Century Gothic" w:hAnsi="Century Gothic"/>
                <w:b/>
                <w:lang w:val="es-US"/>
              </w:rPr>
            </w:pPr>
          </w:p>
        </w:tc>
        <w:tc>
          <w:tcPr>
            <w:tcW w:w="936" w:type="pct"/>
            <w:tcBorders>
              <w:top w:val="single" w:sz="4" w:space="0" w:color="auto"/>
              <w:left w:val="single" w:sz="4" w:space="0" w:color="auto"/>
              <w:bottom w:val="single" w:sz="4" w:space="0" w:color="auto"/>
              <w:right w:val="single" w:sz="4" w:space="0" w:color="auto"/>
            </w:tcBorders>
          </w:tcPr>
          <w:p w14:paraId="4B783530" w14:textId="77777777" w:rsidR="00AA6F69" w:rsidRDefault="00AA6F69" w:rsidP="00AD5494">
            <w:pPr>
              <w:rPr>
                <w:rFonts w:ascii="Century Gothic" w:hAnsi="Century Gothic"/>
                <w:b/>
                <w:lang w:val="es-US"/>
              </w:rPr>
            </w:pPr>
          </w:p>
        </w:tc>
      </w:tr>
      <w:tr w:rsidR="00AA6F69" w14:paraId="05109221" w14:textId="77777777" w:rsidTr="00122EEE">
        <w:trPr>
          <w:trHeight w:val="1466"/>
        </w:trPr>
        <w:tc>
          <w:tcPr>
            <w:tcW w:w="669" w:type="pct"/>
            <w:tcBorders>
              <w:top w:val="single" w:sz="4" w:space="0" w:color="auto"/>
              <w:left w:val="single" w:sz="4" w:space="0" w:color="auto"/>
              <w:bottom w:val="single" w:sz="4" w:space="0" w:color="auto"/>
              <w:right w:val="single" w:sz="4" w:space="0" w:color="auto"/>
            </w:tcBorders>
            <w:hideMark/>
          </w:tcPr>
          <w:p w14:paraId="765053CA" w14:textId="0EF3662A"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1DE426A" wp14:editId="06F8B98F">
                  <wp:extent cx="762000" cy="91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1256" w:type="pct"/>
            <w:tcBorders>
              <w:top w:val="single" w:sz="4" w:space="0" w:color="auto"/>
              <w:left w:val="single" w:sz="4" w:space="0" w:color="auto"/>
              <w:bottom w:val="single" w:sz="4" w:space="0" w:color="auto"/>
              <w:right w:val="single" w:sz="4" w:space="0" w:color="auto"/>
            </w:tcBorders>
            <w:hideMark/>
          </w:tcPr>
          <w:p w14:paraId="02AB6998"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proofErr w:type="spellStart"/>
            <w:r>
              <w:rPr>
                <w:rFonts w:ascii="Century Gothic" w:hAnsi="Century Gothic"/>
                <w:b/>
                <w:bCs/>
                <w:lang w:val="es-US"/>
              </w:rPr>
              <w:t>Joceline</w:t>
            </w:r>
            <w:proofErr w:type="spellEnd"/>
            <w:r>
              <w:rPr>
                <w:rFonts w:ascii="Century Gothic" w:hAnsi="Century Gothic"/>
                <w:b/>
                <w:bCs/>
                <w:lang w:val="es-US"/>
              </w:rPr>
              <w:t xml:space="preserve"> Vega Vargas</w:t>
            </w:r>
          </w:p>
          <w:p w14:paraId="04FE8D6A" w14:textId="77777777" w:rsidR="00AA6F69" w:rsidRDefault="00AA6F69" w:rsidP="00AD5494">
            <w:pPr>
              <w:jc w:val="center"/>
              <w:rPr>
                <w:rFonts w:ascii="Century Gothic" w:hAnsi="Century Gothic"/>
                <w:b/>
                <w:bCs/>
              </w:rPr>
            </w:pPr>
            <w:r>
              <w:rPr>
                <w:rFonts w:ascii="Century Gothic" w:hAnsi="Century Gothic"/>
                <w:b/>
                <w:bCs/>
              </w:rPr>
              <w:t>Vocal</w:t>
            </w:r>
          </w:p>
        </w:tc>
        <w:tc>
          <w:tcPr>
            <w:tcW w:w="1136" w:type="pct"/>
            <w:tcBorders>
              <w:top w:val="single" w:sz="4" w:space="0" w:color="auto"/>
              <w:left w:val="single" w:sz="4" w:space="0" w:color="auto"/>
              <w:bottom w:val="single" w:sz="4" w:space="0" w:color="auto"/>
              <w:right w:val="single" w:sz="4" w:space="0" w:color="auto"/>
            </w:tcBorders>
          </w:tcPr>
          <w:p w14:paraId="3483E0E5" w14:textId="77777777" w:rsidR="00AA6F69" w:rsidRDefault="00AA6F69" w:rsidP="00AD5494">
            <w:pPr>
              <w:rPr>
                <w:rFonts w:ascii="Century Gothic" w:hAnsi="Century Gothic"/>
                <w:b/>
                <w:lang w:val="es-US"/>
              </w:rPr>
            </w:pPr>
          </w:p>
        </w:tc>
        <w:tc>
          <w:tcPr>
            <w:tcW w:w="1002" w:type="pct"/>
            <w:tcBorders>
              <w:top w:val="single" w:sz="4" w:space="0" w:color="auto"/>
              <w:left w:val="single" w:sz="4" w:space="0" w:color="auto"/>
              <w:bottom w:val="single" w:sz="4" w:space="0" w:color="auto"/>
              <w:right w:val="single" w:sz="4" w:space="0" w:color="auto"/>
            </w:tcBorders>
          </w:tcPr>
          <w:p w14:paraId="4257834E" w14:textId="77777777" w:rsidR="00AA6F69" w:rsidRDefault="00AA6F69" w:rsidP="00AD5494">
            <w:pPr>
              <w:rPr>
                <w:rFonts w:ascii="Century Gothic" w:hAnsi="Century Gothic"/>
                <w:b/>
                <w:lang w:val="es-US"/>
              </w:rPr>
            </w:pPr>
          </w:p>
        </w:tc>
        <w:tc>
          <w:tcPr>
            <w:tcW w:w="936" w:type="pct"/>
            <w:tcBorders>
              <w:top w:val="single" w:sz="4" w:space="0" w:color="auto"/>
              <w:left w:val="single" w:sz="4" w:space="0" w:color="auto"/>
              <w:bottom w:val="single" w:sz="4" w:space="0" w:color="auto"/>
              <w:right w:val="single" w:sz="4" w:space="0" w:color="auto"/>
            </w:tcBorders>
          </w:tcPr>
          <w:p w14:paraId="325514ED" w14:textId="77777777" w:rsidR="00AA6F69" w:rsidRDefault="00AA6F69" w:rsidP="00AD5494">
            <w:pPr>
              <w:rPr>
                <w:rFonts w:ascii="Century Gothic" w:hAnsi="Century Gothic"/>
                <w:b/>
                <w:lang w:val="es-US"/>
              </w:rPr>
            </w:pPr>
          </w:p>
        </w:tc>
      </w:tr>
      <w:tr w:rsidR="00AA6F69" w14:paraId="1D9B7818" w14:textId="77777777" w:rsidTr="00122EEE">
        <w:tc>
          <w:tcPr>
            <w:tcW w:w="669" w:type="pct"/>
            <w:tcBorders>
              <w:top w:val="single" w:sz="4" w:space="0" w:color="auto"/>
              <w:left w:val="single" w:sz="4" w:space="0" w:color="auto"/>
              <w:bottom w:val="single" w:sz="4" w:space="0" w:color="auto"/>
              <w:right w:val="single" w:sz="4" w:space="0" w:color="auto"/>
            </w:tcBorders>
            <w:hideMark/>
          </w:tcPr>
          <w:p w14:paraId="67C2C125" w14:textId="3120CE0E"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6A6A8DD" wp14:editId="7B7E2365">
                  <wp:extent cx="76200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56" w:type="pct"/>
            <w:tcBorders>
              <w:top w:val="single" w:sz="4" w:space="0" w:color="auto"/>
              <w:left w:val="single" w:sz="4" w:space="0" w:color="auto"/>
              <w:bottom w:val="single" w:sz="4" w:space="0" w:color="auto"/>
              <w:right w:val="single" w:sz="4" w:space="0" w:color="auto"/>
            </w:tcBorders>
            <w:hideMark/>
          </w:tcPr>
          <w:p w14:paraId="35789B62"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Leticia Ortega Máynez</w:t>
            </w:r>
            <w:r>
              <w:rPr>
                <w:rFonts w:ascii="Century Gothic" w:hAnsi="Century Gothic"/>
                <w:b/>
                <w:bCs/>
              </w:rPr>
              <w:t xml:space="preserve"> Vocal</w:t>
            </w:r>
          </w:p>
        </w:tc>
        <w:tc>
          <w:tcPr>
            <w:tcW w:w="1136" w:type="pct"/>
            <w:tcBorders>
              <w:top w:val="single" w:sz="4" w:space="0" w:color="auto"/>
              <w:left w:val="single" w:sz="4" w:space="0" w:color="auto"/>
              <w:bottom w:val="single" w:sz="4" w:space="0" w:color="auto"/>
              <w:right w:val="single" w:sz="4" w:space="0" w:color="auto"/>
            </w:tcBorders>
          </w:tcPr>
          <w:p w14:paraId="6EEDCA80" w14:textId="77777777" w:rsidR="00AA6F69" w:rsidRDefault="00AA6F69" w:rsidP="00AD5494">
            <w:pPr>
              <w:rPr>
                <w:rFonts w:ascii="Century Gothic" w:hAnsi="Century Gothic"/>
                <w:b/>
                <w:lang w:val="es-US"/>
              </w:rPr>
            </w:pPr>
          </w:p>
        </w:tc>
        <w:tc>
          <w:tcPr>
            <w:tcW w:w="1002" w:type="pct"/>
            <w:tcBorders>
              <w:top w:val="single" w:sz="4" w:space="0" w:color="auto"/>
              <w:left w:val="single" w:sz="4" w:space="0" w:color="auto"/>
              <w:bottom w:val="single" w:sz="4" w:space="0" w:color="auto"/>
              <w:right w:val="single" w:sz="4" w:space="0" w:color="auto"/>
            </w:tcBorders>
          </w:tcPr>
          <w:p w14:paraId="337E90C7" w14:textId="77777777" w:rsidR="00AA6F69" w:rsidRDefault="00AA6F69" w:rsidP="00AD5494">
            <w:pPr>
              <w:rPr>
                <w:rFonts w:ascii="Century Gothic" w:hAnsi="Century Gothic"/>
                <w:b/>
                <w:lang w:val="es-US"/>
              </w:rPr>
            </w:pPr>
          </w:p>
        </w:tc>
        <w:tc>
          <w:tcPr>
            <w:tcW w:w="936" w:type="pct"/>
            <w:tcBorders>
              <w:top w:val="single" w:sz="4" w:space="0" w:color="auto"/>
              <w:left w:val="single" w:sz="4" w:space="0" w:color="auto"/>
              <w:bottom w:val="single" w:sz="4" w:space="0" w:color="auto"/>
              <w:right w:val="single" w:sz="4" w:space="0" w:color="auto"/>
            </w:tcBorders>
          </w:tcPr>
          <w:p w14:paraId="1984FAF0" w14:textId="77777777" w:rsidR="00AA6F69" w:rsidRDefault="00AA6F69" w:rsidP="00AD5494">
            <w:pPr>
              <w:rPr>
                <w:rFonts w:ascii="Century Gothic" w:hAnsi="Century Gothic"/>
                <w:b/>
                <w:lang w:val="es-US"/>
              </w:rPr>
            </w:pPr>
          </w:p>
        </w:tc>
      </w:tr>
      <w:tr w:rsidR="00AA6F69" w14:paraId="72B9F93E" w14:textId="77777777" w:rsidTr="00122EEE">
        <w:tc>
          <w:tcPr>
            <w:tcW w:w="669" w:type="pct"/>
            <w:tcBorders>
              <w:top w:val="single" w:sz="4" w:space="0" w:color="auto"/>
              <w:left w:val="single" w:sz="4" w:space="0" w:color="auto"/>
              <w:bottom w:val="single" w:sz="4" w:space="0" w:color="auto"/>
              <w:right w:val="single" w:sz="4" w:space="0" w:color="auto"/>
            </w:tcBorders>
            <w:hideMark/>
          </w:tcPr>
          <w:p w14:paraId="705AFF51" w14:textId="51F5060B" w:rsidR="00AA6F69" w:rsidRDefault="00AA6F69" w:rsidP="00AD5494">
            <w:pPr>
              <w:rPr>
                <w:rFonts w:ascii="Century Gothic" w:hAnsi="Century Gothic"/>
                <w:b/>
                <w:lang w:val="es-US"/>
              </w:rPr>
            </w:pPr>
            <w:r>
              <w:rPr>
                <w:rFonts w:ascii="Century Gothic" w:hAnsi="Century Gothic"/>
                <w:noProof/>
                <w:lang w:val="es-US"/>
              </w:rPr>
              <w:lastRenderedPageBreak/>
              <w:drawing>
                <wp:inline distT="0" distB="0" distL="0" distR="0" wp14:anchorId="12A8DD49" wp14:editId="181AA9E9">
                  <wp:extent cx="762000" cy="933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56" w:type="pct"/>
            <w:tcBorders>
              <w:top w:val="single" w:sz="4" w:space="0" w:color="auto"/>
              <w:left w:val="single" w:sz="4" w:space="0" w:color="auto"/>
              <w:bottom w:val="single" w:sz="4" w:space="0" w:color="auto"/>
              <w:right w:val="single" w:sz="4" w:space="0" w:color="auto"/>
            </w:tcBorders>
            <w:hideMark/>
          </w:tcPr>
          <w:p w14:paraId="6E01B504" w14:textId="77777777" w:rsidR="00AA6F69" w:rsidRDefault="00AA6F69" w:rsidP="00AD5494">
            <w:pPr>
              <w:jc w:val="center"/>
              <w:rPr>
                <w:rFonts w:ascii="Century Gothic" w:hAnsi="Century Gothic"/>
                <w:b/>
                <w:bCs/>
                <w:lang w:val="es-US"/>
              </w:rPr>
            </w:pPr>
            <w:r>
              <w:rPr>
                <w:rFonts w:ascii="Century Gothic" w:hAnsi="Century Gothic"/>
                <w:b/>
              </w:rPr>
              <w:t xml:space="preserve">Diputada </w:t>
            </w:r>
            <w:r>
              <w:rPr>
                <w:rFonts w:ascii="Century Gothic" w:hAnsi="Century Gothic"/>
                <w:b/>
                <w:bCs/>
                <w:lang w:val="es-US"/>
              </w:rPr>
              <w:t>Rosana Díaz Reyes</w:t>
            </w:r>
          </w:p>
          <w:p w14:paraId="528A5E8D" w14:textId="77777777" w:rsidR="00AA6F69" w:rsidRDefault="00AA6F69" w:rsidP="00AD5494">
            <w:pPr>
              <w:jc w:val="center"/>
              <w:rPr>
                <w:rFonts w:ascii="Century Gothic" w:hAnsi="Century Gothic"/>
                <w:b/>
                <w:lang w:val="es-US"/>
              </w:rPr>
            </w:pPr>
            <w:r>
              <w:rPr>
                <w:rFonts w:ascii="Century Gothic" w:hAnsi="Century Gothic"/>
                <w:b/>
              </w:rPr>
              <w:t>Vocal</w:t>
            </w:r>
          </w:p>
        </w:tc>
        <w:tc>
          <w:tcPr>
            <w:tcW w:w="1136" w:type="pct"/>
            <w:tcBorders>
              <w:top w:val="single" w:sz="4" w:space="0" w:color="auto"/>
              <w:left w:val="single" w:sz="4" w:space="0" w:color="auto"/>
              <w:bottom w:val="single" w:sz="4" w:space="0" w:color="auto"/>
              <w:right w:val="single" w:sz="4" w:space="0" w:color="auto"/>
            </w:tcBorders>
          </w:tcPr>
          <w:p w14:paraId="215A2A0E" w14:textId="77777777" w:rsidR="00AA6F69" w:rsidRDefault="00AA6F69" w:rsidP="00AD5494">
            <w:pPr>
              <w:rPr>
                <w:rFonts w:ascii="Century Gothic" w:hAnsi="Century Gothic"/>
                <w:b/>
                <w:lang w:val="es-US"/>
              </w:rPr>
            </w:pPr>
          </w:p>
        </w:tc>
        <w:tc>
          <w:tcPr>
            <w:tcW w:w="1002" w:type="pct"/>
            <w:tcBorders>
              <w:top w:val="single" w:sz="4" w:space="0" w:color="auto"/>
              <w:left w:val="single" w:sz="4" w:space="0" w:color="auto"/>
              <w:bottom w:val="single" w:sz="4" w:space="0" w:color="auto"/>
              <w:right w:val="single" w:sz="4" w:space="0" w:color="auto"/>
            </w:tcBorders>
          </w:tcPr>
          <w:p w14:paraId="1B0C24F8" w14:textId="77777777" w:rsidR="00AA6F69" w:rsidRDefault="00AA6F69" w:rsidP="00AD5494">
            <w:pPr>
              <w:rPr>
                <w:rFonts w:ascii="Century Gothic" w:hAnsi="Century Gothic"/>
                <w:b/>
                <w:lang w:val="es-US"/>
              </w:rPr>
            </w:pPr>
          </w:p>
        </w:tc>
        <w:tc>
          <w:tcPr>
            <w:tcW w:w="936" w:type="pct"/>
            <w:tcBorders>
              <w:top w:val="single" w:sz="4" w:space="0" w:color="auto"/>
              <w:left w:val="single" w:sz="4" w:space="0" w:color="auto"/>
              <w:bottom w:val="single" w:sz="4" w:space="0" w:color="auto"/>
              <w:right w:val="single" w:sz="4" w:space="0" w:color="auto"/>
            </w:tcBorders>
          </w:tcPr>
          <w:p w14:paraId="3BF2F551" w14:textId="77777777" w:rsidR="00AA6F69" w:rsidRDefault="00AA6F69" w:rsidP="00AD5494">
            <w:pPr>
              <w:rPr>
                <w:rFonts w:ascii="Century Gothic" w:hAnsi="Century Gothic"/>
                <w:b/>
                <w:lang w:val="es-US"/>
              </w:rPr>
            </w:pPr>
          </w:p>
        </w:tc>
      </w:tr>
    </w:tbl>
    <w:p w14:paraId="37DDA9FF" w14:textId="3A4A1F75" w:rsidR="00544FD4" w:rsidRPr="008327A7" w:rsidRDefault="00034F62" w:rsidP="0061716E">
      <w:pPr>
        <w:jc w:val="both"/>
        <w:rPr>
          <w:sz w:val="18"/>
          <w:szCs w:val="18"/>
        </w:rPr>
      </w:pPr>
      <w:r w:rsidRPr="008327A7">
        <w:rPr>
          <w:rFonts w:ascii="Century Gothic" w:hAnsi="Century Gothic" w:cs="Arial"/>
          <w:sz w:val="18"/>
          <w:szCs w:val="18"/>
        </w:rPr>
        <w:t xml:space="preserve">Nota: La presente hoja de firmas corresponde al Dictamen de la Comisión de </w:t>
      </w:r>
      <w:r w:rsidR="00BD106A" w:rsidRPr="008327A7">
        <w:rPr>
          <w:rFonts w:ascii="Century Gothic" w:hAnsi="Century Gothic" w:cs="Arial"/>
          <w:sz w:val="18"/>
          <w:szCs w:val="18"/>
        </w:rPr>
        <w:t>Igualdad</w:t>
      </w:r>
      <w:r w:rsidRPr="008327A7">
        <w:rPr>
          <w:rFonts w:ascii="Century Gothic" w:hAnsi="Century Gothic" w:cs="Arial"/>
          <w:sz w:val="18"/>
          <w:szCs w:val="18"/>
        </w:rPr>
        <w:t xml:space="preserve">, que recae en la iniciativa identificada con </w:t>
      </w:r>
      <w:r w:rsidR="00122EEE">
        <w:rPr>
          <w:rFonts w:ascii="Century Gothic" w:hAnsi="Century Gothic" w:cs="Arial"/>
          <w:sz w:val="18"/>
          <w:szCs w:val="18"/>
        </w:rPr>
        <w:t>el</w:t>
      </w:r>
      <w:r w:rsidRPr="008327A7">
        <w:rPr>
          <w:rFonts w:ascii="Century Gothic" w:hAnsi="Century Gothic" w:cs="Arial"/>
          <w:sz w:val="18"/>
          <w:szCs w:val="18"/>
        </w:rPr>
        <w:t xml:space="preserve"> número </w:t>
      </w:r>
      <w:r w:rsidR="00590348">
        <w:rPr>
          <w:rFonts w:ascii="Century Gothic" w:hAnsi="Century Gothic" w:cs="Arial"/>
          <w:sz w:val="18"/>
          <w:szCs w:val="18"/>
        </w:rPr>
        <w:t>832</w:t>
      </w:r>
      <w:r w:rsidRPr="008327A7">
        <w:rPr>
          <w:rFonts w:ascii="Century Gothic" w:hAnsi="Century Gothic" w:cs="Arial"/>
          <w:sz w:val="18"/>
          <w:szCs w:val="18"/>
        </w:rPr>
        <w:t xml:space="preserve">. </w:t>
      </w:r>
    </w:p>
    <w:sectPr w:rsidR="00544FD4" w:rsidRPr="008327A7">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E5B" w14:textId="77777777" w:rsidR="00DE449A" w:rsidRDefault="00DE449A">
      <w:pPr>
        <w:spacing w:after="0" w:line="240" w:lineRule="auto"/>
      </w:pPr>
      <w:r>
        <w:separator/>
      </w:r>
    </w:p>
  </w:endnote>
  <w:endnote w:type="continuationSeparator" w:id="0">
    <w:p w14:paraId="02C8D531" w14:textId="77777777" w:rsidR="00DE449A" w:rsidRDefault="00DE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FF80" w14:textId="77777777" w:rsidR="00A56D96" w:rsidRPr="00A5235C" w:rsidRDefault="00A56D96">
    <w:pPr>
      <w:pStyle w:val="Piedepgina"/>
      <w:jc w:val="center"/>
      <w:rPr>
        <w:lang w:val="en-US"/>
      </w:rPr>
    </w:pPr>
    <w:r>
      <w:fldChar w:fldCharType="begin"/>
    </w:r>
    <w:r w:rsidRPr="00A5235C">
      <w:rPr>
        <w:lang w:val="en-US"/>
      </w:rPr>
      <w:instrText>PAGE   \* MERGEFORMAT</w:instrText>
    </w:r>
    <w:r>
      <w:fldChar w:fldCharType="separate"/>
    </w:r>
    <w:r w:rsidR="00BE20AB" w:rsidRPr="00A5235C">
      <w:rPr>
        <w:noProof/>
        <w:lang w:val="en-US"/>
      </w:rPr>
      <w:t>1</w:t>
    </w:r>
    <w:r>
      <w:fldChar w:fldCharType="end"/>
    </w:r>
  </w:p>
  <w:p w14:paraId="38C6DF44" w14:textId="7B778034" w:rsidR="00A56D96" w:rsidRPr="000F7395" w:rsidRDefault="00A56D96" w:rsidP="000F7395">
    <w:pPr>
      <w:jc w:val="right"/>
      <w:rPr>
        <w:sz w:val="16"/>
        <w:szCs w:val="16"/>
        <w:lang w:val="en-US"/>
      </w:rPr>
    </w:pPr>
    <w:r w:rsidRPr="002D05D2">
      <w:rPr>
        <w:sz w:val="16"/>
        <w:szCs w:val="16"/>
        <w:lang w:val="en-US"/>
      </w:rPr>
      <w:t>A</w:t>
    </w:r>
    <w:r w:rsidR="00F81911">
      <w:rPr>
        <w:sz w:val="16"/>
        <w:szCs w:val="16"/>
        <w:lang w:val="en-US"/>
      </w:rPr>
      <w:t>832</w:t>
    </w:r>
    <w:r w:rsidR="000F7395">
      <w:rPr>
        <w:sz w:val="16"/>
        <w:szCs w:val="16"/>
        <w:lang w:val="en-US"/>
      </w:rPr>
      <w:t>/</w:t>
    </w:r>
    <w:r w:rsidR="001F639E">
      <w:rPr>
        <w:sz w:val="16"/>
        <w:szCs w:val="16"/>
        <w:lang w:val="en-US"/>
      </w:rPr>
      <w:t>OIDS/</w:t>
    </w:r>
    <w:r w:rsidR="000F7395">
      <w:rPr>
        <w:sz w:val="16"/>
        <w:szCs w:val="16"/>
        <w:lang w:val="en-US"/>
      </w:rPr>
      <w:t>GAOR/</w:t>
    </w:r>
    <w:r w:rsidR="001D4F15">
      <w:rPr>
        <w:sz w:val="16"/>
        <w:szCs w:val="16"/>
        <w:lang w:val="en-US"/>
      </w:rPr>
      <w:t>NTRP</w:t>
    </w:r>
    <w:r w:rsidR="000F7395">
      <w:rPr>
        <w:sz w:val="16"/>
        <w:szCs w:val="16"/>
        <w:lang w:val="en-US"/>
      </w:rPr>
      <w:t>/</w:t>
    </w:r>
    <w:r w:rsidR="001F639E">
      <w:rPr>
        <w:sz w:val="16"/>
        <w:szCs w:val="16"/>
        <w:lang w:val="en-US"/>
      </w:rPr>
      <w:t>MST</w:t>
    </w:r>
  </w:p>
  <w:p w14:paraId="407000A8" w14:textId="77777777" w:rsidR="00A30C36" w:rsidRPr="00A5235C" w:rsidRDefault="00A30C36">
    <w:pPr>
      <w:spacing w:line="20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FAFC" w14:textId="77777777" w:rsidR="00DE449A" w:rsidRDefault="00DE449A">
      <w:pPr>
        <w:spacing w:after="0" w:line="240" w:lineRule="auto"/>
      </w:pPr>
      <w:r>
        <w:separator/>
      </w:r>
    </w:p>
  </w:footnote>
  <w:footnote w:type="continuationSeparator" w:id="0">
    <w:p w14:paraId="16EE2626" w14:textId="77777777" w:rsidR="00DE449A" w:rsidRDefault="00DE449A">
      <w:pPr>
        <w:spacing w:after="0" w:line="240" w:lineRule="auto"/>
      </w:pPr>
      <w:r>
        <w:continuationSeparator/>
      </w:r>
    </w:p>
  </w:footnote>
  <w:footnote w:id="1">
    <w:p w14:paraId="49E69E37" w14:textId="45D68BC6" w:rsidR="005930F4" w:rsidRDefault="005930F4" w:rsidP="005930F4">
      <w:pPr>
        <w:pStyle w:val="Textonotapie"/>
      </w:pPr>
      <w:r>
        <w:rPr>
          <w:rStyle w:val="Refdenotaalpie"/>
        </w:rPr>
        <w:footnoteRef/>
      </w:r>
      <w:r>
        <w:t xml:space="preserve"> </w:t>
      </w:r>
      <w:hyperlink r:id="rId1" w:history="1">
        <w:r w:rsidR="00F81911" w:rsidRPr="00202534">
          <w:rPr>
            <w:rStyle w:val="Hipervnculo"/>
          </w:rPr>
          <w:t>https://www.congresochihuahua2.gob.mx/biblioteca/iniciativas/archivosIniciativas/23816.pdf</w:t>
        </w:r>
      </w:hyperlink>
      <w:r w:rsidR="00F81911">
        <w:t xml:space="preserve"> </w:t>
      </w:r>
    </w:p>
  </w:footnote>
  <w:footnote w:id="2">
    <w:p w14:paraId="1F309079" w14:textId="43BBCE07" w:rsidR="006E6D7C" w:rsidRDefault="006E6D7C" w:rsidP="006E6D7C">
      <w:pPr>
        <w:pStyle w:val="Textonotapie"/>
      </w:pPr>
      <w:r>
        <w:rPr>
          <w:rStyle w:val="Refdenotaalpie"/>
        </w:rPr>
        <w:footnoteRef/>
      </w:r>
      <w:r>
        <w:t xml:space="preserve"> </w:t>
      </w:r>
      <w:hyperlink r:id="rId2" w:history="1">
        <w:r w:rsidR="00F81911" w:rsidRPr="00202534">
          <w:rPr>
            <w:rStyle w:val="Hipervnculo"/>
          </w:rPr>
          <w:t>https://www.congresochihuahua2.gob.mx/biblioteca/leyes/archivosLeyes/1552.pdf</w:t>
        </w:r>
      </w:hyperlink>
      <w:r w:rsidR="00F81911">
        <w:t xml:space="preserve"> </w:t>
      </w:r>
    </w:p>
  </w:footnote>
  <w:footnote w:id="3">
    <w:p w14:paraId="56AF0F1C" w14:textId="3D7DC12A" w:rsidR="0005586F" w:rsidRDefault="0005586F">
      <w:pPr>
        <w:pStyle w:val="Textonotapie"/>
      </w:pPr>
      <w:r>
        <w:rPr>
          <w:rStyle w:val="Refdenotaalpie"/>
        </w:rPr>
        <w:footnoteRef/>
      </w:r>
      <w:r>
        <w:t xml:space="preserve"> </w:t>
      </w:r>
      <w:hyperlink r:id="rId3" w:history="1">
        <w:r w:rsidRPr="00202534">
          <w:rPr>
            <w:rStyle w:val="Hipervnculo"/>
          </w:rPr>
          <w:t>https://www.diputados.gob.mx/LeyesBiblio/pdf/LGIMH.pdf</w:t>
        </w:r>
      </w:hyperlink>
      <w:r>
        <w:t xml:space="preserve"> </w:t>
      </w:r>
    </w:p>
  </w:footnote>
  <w:footnote w:id="4">
    <w:p w14:paraId="47A05657" w14:textId="35EF2D48" w:rsidR="0005586F" w:rsidRDefault="0005586F">
      <w:pPr>
        <w:pStyle w:val="Textonotapie"/>
      </w:pPr>
      <w:r>
        <w:rPr>
          <w:rStyle w:val="Refdenotaalpie"/>
        </w:rPr>
        <w:footnoteRef/>
      </w:r>
      <w:r>
        <w:t xml:space="preserve"> </w:t>
      </w:r>
      <w:hyperlink r:id="rId4" w:history="1">
        <w:r w:rsidRPr="00202534">
          <w:rPr>
            <w:rStyle w:val="Hipervnculo"/>
          </w:rPr>
          <w:t>https://www.diputados.gob.mx/LeyesBiblio/pdf/LGAMVLV.pdf</w:t>
        </w:r>
      </w:hyperlink>
      <w:r>
        <w:t xml:space="preserve"> </w:t>
      </w:r>
    </w:p>
  </w:footnote>
  <w:footnote w:id="5">
    <w:p w14:paraId="3F55927A" w14:textId="28EC7761" w:rsidR="00E932EC" w:rsidRPr="00E932EC" w:rsidRDefault="00E932EC" w:rsidP="00E932EC">
      <w:pPr>
        <w:rPr>
          <w:sz w:val="20"/>
          <w:szCs w:val="20"/>
        </w:rPr>
      </w:pPr>
      <w:r>
        <w:rPr>
          <w:rStyle w:val="Refdenotaalpie"/>
        </w:rPr>
        <w:footnoteRef/>
      </w:r>
      <w:r>
        <w:t xml:space="preserve"> </w:t>
      </w:r>
      <w:r w:rsidRPr="00E932EC">
        <w:rPr>
          <w:sz w:val="20"/>
          <w:szCs w:val="20"/>
        </w:rPr>
        <w:t>JUZGAR CON PERSPECTIVA DE GÉNERO. PARA EMPLEAR ESTE MÉTODO NO ES INDISPENSABLE QUE LA PARTE INTERESADA EN LA CONTROVERSIA SEA UNA MUJER, NI QUE DEBA GENERARLE UN BENEFICIO.</w:t>
      </w:r>
      <w:r>
        <w:rPr>
          <w:sz w:val="20"/>
          <w:szCs w:val="20"/>
        </w:rPr>
        <w:t xml:space="preserve"> </w:t>
      </w:r>
      <w:hyperlink r:id="rId5" w:history="1">
        <w:r w:rsidR="009B3821" w:rsidRPr="00202534">
          <w:rPr>
            <w:rStyle w:val="Hipervnculo"/>
            <w:sz w:val="20"/>
            <w:szCs w:val="20"/>
          </w:rPr>
          <w:t>https://sjf2.scjn.gob.mx/detalle/tesis/2025120</w:t>
        </w:r>
      </w:hyperlink>
      <w:r w:rsidR="009B3821">
        <w:rPr>
          <w:sz w:val="20"/>
          <w:szCs w:val="20"/>
        </w:rPr>
        <w:t xml:space="preserve"> </w:t>
      </w:r>
    </w:p>
    <w:p w14:paraId="1102D10B" w14:textId="50E11CA6" w:rsidR="00E932EC" w:rsidRDefault="00E932EC">
      <w:pPr>
        <w:pStyle w:val="Textonotapie"/>
      </w:pPr>
    </w:p>
  </w:footnote>
  <w:footnote w:id="6">
    <w:p w14:paraId="13C396BA" w14:textId="49B33B76" w:rsidR="009B3821" w:rsidRDefault="009B3821" w:rsidP="009B3821">
      <w:pPr>
        <w:pStyle w:val="Textonotapie"/>
      </w:pPr>
      <w:r>
        <w:rPr>
          <w:rStyle w:val="Refdenotaalpie"/>
        </w:rPr>
        <w:footnoteRef/>
      </w:r>
      <w:r>
        <w:t xml:space="preserve"> </w:t>
      </w:r>
      <w:hyperlink r:id="rId6" w:history="1">
        <w:r w:rsidR="008D64A4" w:rsidRPr="00202534">
          <w:rPr>
            <w:rStyle w:val="Hipervnculo"/>
          </w:rPr>
          <w:t>https://sjf2.scjn.gob.mx/detalle/tesis/2011430</w:t>
        </w:r>
      </w:hyperlink>
      <w:r w:rsidR="008D64A4">
        <w:t xml:space="preserve"> </w:t>
      </w:r>
    </w:p>
  </w:footnote>
  <w:footnote w:id="7">
    <w:p w14:paraId="7D0493FF" w14:textId="3F999631" w:rsidR="008D64A4" w:rsidRDefault="008D64A4" w:rsidP="008D64A4">
      <w:pPr>
        <w:pStyle w:val="Textonotapie"/>
      </w:pPr>
      <w:r>
        <w:rPr>
          <w:rStyle w:val="Refdenotaalpie"/>
        </w:rPr>
        <w:footnoteRef/>
      </w:r>
      <w:r>
        <w:t xml:space="preserve"> </w:t>
      </w:r>
      <w:hyperlink r:id="rId7" w:history="1">
        <w:r w:rsidRPr="00202534">
          <w:rPr>
            <w:rStyle w:val="Hipervnculo"/>
          </w:rPr>
          <w:t>https://sjf2.scjn.gob.mx/detalle/tesis/2009998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E069" w14:textId="7AE02951" w:rsidR="00FB0555" w:rsidRDefault="00FB0555" w:rsidP="00FB0555">
    <w:pPr>
      <w:spacing w:after="0" w:line="240" w:lineRule="auto"/>
      <w:jc w:val="right"/>
      <w:rPr>
        <w:rFonts w:ascii="Arial" w:hAnsi="Arial" w:cs="Arial"/>
        <w:b/>
        <w:sz w:val="24"/>
        <w:szCs w:val="18"/>
      </w:rPr>
    </w:pPr>
  </w:p>
  <w:p w14:paraId="049DFBD2" w14:textId="77777777" w:rsidR="006459AC" w:rsidRDefault="006459AC" w:rsidP="00FB0555">
    <w:pPr>
      <w:spacing w:after="0" w:line="240" w:lineRule="auto"/>
      <w:jc w:val="right"/>
      <w:rPr>
        <w:rFonts w:ascii="Arial" w:hAnsi="Arial" w:cs="Arial"/>
        <w:b/>
        <w:sz w:val="24"/>
        <w:szCs w:val="18"/>
      </w:rPr>
    </w:pPr>
  </w:p>
  <w:p w14:paraId="23DD0486" w14:textId="77777777" w:rsidR="00FB0555" w:rsidRPr="00F53513" w:rsidRDefault="00FB0555" w:rsidP="00FB0555">
    <w:pPr>
      <w:spacing w:after="0" w:line="240" w:lineRule="auto"/>
      <w:jc w:val="right"/>
      <w:rPr>
        <w:rFonts w:ascii="Arial" w:hAnsi="Arial" w:cs="Arial"/>
        <w:b/>
        <w:sz w:val="24"/>
        <w:szCs w:val="18"/>
      </w:rPr>
    </w:pPr>
  </w:p>
  <w:p w14:paraId="71033D20" w14:textId="77777777" w:rsidR="00FB0555" w:rsidRPr="00F53513" w:rsidRDefault="00FB0555" w:rsidP="00FB0555">
    <w:pPr>
      <w:spacing w:after="0" w:line="240" w:lineRule="auto"/>
      <w:jc w:val="right"/>
      <w:rPr>
        <w:rFonts w:ascii="Century Gothic" w:hAnsi="Century Gothic"/>
        <w:sz w:val="24"/>
        <w:szCs w:val="18"/>
      </w:rPr>
    </w:pPr>
  </w:p>
  <w:p w14:paraId="244CFA86" w14:textId="77777777" w:rsidR="00FB0555" w:rsidRPr="002D05D2" w:rsidRDefault="00FB0555" w:rsidP="00FB0555">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Igualdad</w:t>
    </w:r>
  </w:p>
  <w:p w14:paraId="3833B0EF" w14:textId="08430F95" w:rsidR="00FB0555" w:rsidRPr="002D05D2" w:rsidRDefault="00FB0555" w:rsidP="00FB0555">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w:t>
    </w:r>
    <w:r w:rsidR="005930F4">
      <w:rPr>
        <w:rFonts w:ascii="Century Gothic" w:hAnsi="Century Gothic" w:cs="Arial"/>
        <w:b/>
        <w:color w:val="000000"/>
        <w:sz w:val="24"/>
        <w:szCs w:val="24"/>
        <w:lang w:eastAsia="es-ES"/>
      </w:rPr>
      <w:t>I</w:t>
    </w:r>
    <w:r w:rsidRPr="002D05D2">
      <w:rPr>
        <w:rFonts w:ascii="Century Gothic" w:hAnsi="Century Gothic" w:cs="Arial"/>
        <w:b/>
        <w:color w:val="000000"/>
        <w:sz w:val="24"/>
        <w:szCs w:val="24"/>
        <w:lang w:eastAsia="es-ES"/>
      </w:rPr>
      <w:t xml:space="preserve"> LEGISLATURA</w:t>
    </w:r>
  </w:p>
  <w:p w14:paraId="32179AE4" w14:textId="40EB8FA1" w:rsidR="00FB0555" w:rsidRPr="002B6562" w:rsidRDefault="00FB0555" w:rsidP="00FB0555">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w:t>
    </w:r>
    <w:r>
      <w:rPr>
        <w:rFonts w:ascii="Century Gothic" w:hAnsi="Century Gothic" w:cs="Calibri"/>
        <w:b/>
        <w:sz w:val="24"/>
        <w:szCs w:val="24"/>
      </w:rPr>
      <w:t>I</w:t>
    </w:r>
    <w:r w:rsidRPr="009F0514">
      <w:rPr>
        <w:rFonts w:ascii="Century Gothic" w:hAnsi="Century Gothic" w:cs="Calibri"/>
        <w:b/>
        <w:sz w:val="24"/>
        <w:szCs w:val="24"/>
      </w:rPr>
      <w:t>/</w:t>
    </w:r>
    <w:r w:rsidR="00FC4D7B">
      <w:rPr>
        <w:rFonts w:ascii="Century Gothic" w:hAnsi="Century Gothic" w:cs="Calibri"/>
        <w:b/>
        <w:sz w:val="24"/>
        <w:szCs w:val="24"/>
      </w:rPr>
      <w:t>05</w:t>
    </w:r>
    <w:r w:rsidRPr="009F0514">
      <w:rPr>
        <w:rFonts w:ascii="Century Gothic" w:hAnsi="Century Gothic" w:cs="Calibri"/>
        <w:b/>
        <w:sz w:val="24"/>
        <w:szCs w:val="24"/>
      </w:rPr>
      <w:t>/202</w:t>
    </w:r>
    <w:r w:rsidR="005930F4">
      <w:rPr>
        <w:rFonts w:ascii="Century Gothic" w:hAnsi="Century Gothic" w:cs="Calibri"/>
        <w:b/>
        <w:sz w:val="24"/>
        <w:szCs w:val="24"/>
      </w:rPr>
      <w:t>5</w:t>
    </w:r>
  </w:p>
  <w:p w14:paraId="78385458" w14:textId="233AA1F2" w:rsidR="00A30C36" w:rsidRPr="002B6562" w:rsidRDefault="00A30C36"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98"/>
    <w:multiLevelType w:val="hybridMultilevel"/>
    <w:tmpl w:val="DE3422DE"/>
    <w:lvl w:ilvl="0" w:tplc="F0DCD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574AF"/>
    <w:multiLevelType w:val="hybridMultilevel"/>
    <w:tmpl w:val="4D5E63F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13EE8"/>
    <w:multiLevelType w:val="multilevel"/>
    <w:tmpl w:val="067861B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45B8A"/>
    <w:multiLevelType w:val="hybridMultilevel"/>
    <w:tmpl w:val="0F6280B2"/>
    <w:lvl w:ilvl="0" w:tplc="15CC77B0">
      <w:start w:val="2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B5F3F"/>
    <w:multiLevelType w:val="hybridMultilevel"/>
    <w:tmpl w:val="2620E1BC"/>
    <w:lvl w:ilvl="0" w:tplc="DB34FD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34589"/>
    <w:multiLevelType w:val="hybridMultilevel"/>
    <w:tmpl w:val="D52A576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1C407308"/>
    <w:multiLevelType w:val="hybridMultilevel"/>
    <w:tmpl w:val="6CA673E6"/>
    <w:lvl w:ilvl="0" w:tplc="80EAFBC4">
      <w:start w:val="6"/>
      <w:numFmt w:val="lowerLetter"/>
      <w:lvlText w:val="%1)"/>
      <w:lvlJc w:val="left"/>
      <w:pPr>
        <w:ind w:left="720" w:hanging="360"/>
      </w:pPr>
      <w:rPr>
        <w:rFonts w:hint="default"/>
      </w:rPr>
    </w:lvl>
    <w:lvl w:ilvl="1" w:tplc="B47216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595474"/>
    <w:multiLevelType w:val="hybridMultilevel"/>
    <w:tmpl w:val="AD807568"/>
    <w:lvl w:ilvl="0" w:tplc="CA98C0F2">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8F3E34"/>
    <w:multiLevelType w:val="hybridMultilevel"/>
    <w:tmpl w:val="117AB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330909"/>
    <w:multiLevelType w:val="hybridMultilevel"/>
    <w:tmpl w:val="E31C4302"/>
    <w:lvl w:ilvl="0" w:tplc="1A0A7376">
      <w:start w:val="2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D71A59"/>
    <w:multiLevelType w:val="hybridMultilevel"/>
    <w:tmpl w:val="5AB43D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8102BC"/>
    <w:multiLevelType w:val="hybridMultilevel"/>
    <w:tmpl w:val="8C227AB8"/>
    <w:lvl w:ilvl="0" w:tplc="71B8FB7C">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1E6F30"/>
    <w:multiLevelType w:val="hybridMultilevel"/>
    <w:tmpl w:val="00EEE368"/>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0415F1"/>
    <w:multiLevelType w:val="hybridMultilevel"/>
    <w:tmpl w:val="A37A0526"/>
    <w:lvl w:ilvl="0" w:tplc="37BC8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E86016"/>
    <w:multiLevelType w:val="hybridMultilevel"/>
    <w:tmpl w:val="9EE43D8C"/>
    <w:lvl w:ilvl="0" w:tplc="09AC89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08220F"/>
    <w:multiLevelType w:val="hybridMultilevel"/>
    <w:tmpl w:val="A44C87C2"/>
    <w:lvl w:ilvl="0" w:tplc="99B421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534C71"/>
    <w:multiLevelType w:val="hybridMultilevel"/>
    <w:tmpl w:val="46F0D230"/>
    <w:lvl w:ilvl="0" w:tplc="2F22B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402CE2"/>
    <w:multiLevelType w:val="hybridMultilevel"/>
    <w:tmpl w:val="21FE57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A22C2"/>
    <w:multiLevelType w:val="hybridMultilevel"/>
    <w:tmpl w:val="1B1EA17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D70AAD"/>
    <w:multiLevelType w:val="hybridMultilevel"/>
    <w:tmpl w:val="D5AA69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9168A0"/>
    <w:multiLevelType w:val="hybridMultilevel"/>
    <w:tmpl w:val="2654D910"/>
    <w:lvl w:ilvl="0" w:tplc="499E9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3652F"/>
    <w:multiLevelType w:val="hybridMultilevel"/>
    <w:tmpl w:val="A3068C08"/>
    <w:lvl w:ilvl="0" w:tplc="96608290">
      <w:start w:val="13"/>
      <w:numFmt w:val="upperRoman"/>
      <w:lvlText w:val="%1."/>
      <w:lvlJc w:val="left"/>
      <w:pPr>
        <w:ind w:left="142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D53638"/>
    <w:multiLevelType w:val="hybridMultilevel"/>
    <w:tmpl w:val="9E163CCE"/>
    <w:lvl w:ilvl="0" w:tplc="C5A848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C2124"/>
    <w:multiLevelType w:val="hybridMultilevel"/>
    <w:tmpl w:val="CAAA6D7A"/>
    <w:lvl w:ilvl="0" w:tplc="F46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7563EE"/>
    <w:multiLevelType w:val="hybridMultilevel"/>
    <w:tmpl w:val="CA406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A56117"/>
    <w:multiLevelType w:val="hybridMultilevel"/>
    <w:tmpl w:val="E8E2C2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8D192F"/>
    <w:multiLevelType w:val="hybridMultilevel"/>
    <w:tmpl w:val="9E9AF65E"/>
    <w:lvl w:ilvl="0" w:tplc="5B346C22">
      <w:start w:val="3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B05A3A"/>
    <w:multiLevelType w:val="hybridMultilevel"/>
    <w:tmpl w:val="CFF45224"/>
    <w:lvl w:ilvl="0" w:tplc="032AD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DC1E21"/>
    <w:multiLevelType w:val="hybridMultilevel"/>
    <w:tmpl w:val="69D699DE"/>
    <w:lvl w:ilvl="0" w:tplc="3CE44056">
      <w:start w:val="1"/>
      <w:numFmt w:val="upperRoman"/>
      <w:lvlText w:val="%1."/>
      <w:lvlJc w:val="left"/>
      <w:pPr>
        <w:ind w:left="1080" w:hanging="720"/>
      </w:pPr>
      <w:rPr>
        <w:rFonts w:hint="default"/>
      </w:rPr>
    </w:lvl>
    <w:lvl w:ilvl="1" w:tplc="5ED697DC">
      <w:start w:val="2"/>
      <w:numFmt w:val="bullet"/>
      <w:lvlText w:val="-"/>
      <w:lvlJc w:val="left"/>
      <w:pPr>
        <w:ind w:left="1440" w:hanging="360"/>
      </w:pPr>
      <w:rPr>
        <w:rFonts w:ascii="Century Gothic" w:eastAsia="Calibri" w:hAnsi="Century Gothic"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565BC3"/>
    <w:multiLevelType w:val="hybridMultilevel"/>
    <w:tmpl w:val="34388F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711897"/>
    <w:multiLevelType w:val="hybridMultilevel"/>
    <w:tmpl w:val="FF7C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2529C0"/>
    <w:multiLevelType w:val="hybridMultilevel"/>
    <w:tmpl w:val="C0063ED8"/>
    <w:lvl w:ilvl="0" w:tplc="698460CE">
      <w:start w:val="6"/>
      <w:numFmt w:val="upperRoman"/>
      <w:lvlText w:val="%1."/>
      <w:lvlJc w:val="right"/>
      <w:pPr>
        <w:ind w:left="1428"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310C47"/>
    <w:multiLevelType w:val="hybridMultilevel"/>
    <w:tmpl w:val="686C751C"/>
    <w:lvl w:ilvl="0" w:tplc="D88C1272">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EB7B20"/>
    <w:multiLevelType w:val="hybridMultilevel"/>
    <w:tmpl w:val="734C90BA"/>
    <w:lvl w:ilvl="0" w:tplc="E0CEF9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5D4690"/>
    <w:multiLevelType w:val="hybridMultilevel"/>
    <w:tmpl w:val="303E47B4"/>
    <w:lvl w:ilvl="0" w:tplc="ACA0F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8659BA"/>
    <w:multiLevelType w:val="hybridMultilevel"/>
    <w:tmpl w:val="A38EE692"/>
    <w:lvl w:ilvl="0" w:tplc="1E80879A">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4"/>
  </w:num>
  <w:num w:numId="4">
    <w:abstractNumId w:val="37"/>
  </w:num>
  <w:num w:numId="5">
    <w:abstractNumId w:val="19"/>
  </w:num>
  <w:num w:numId="6">
    <w:abstractNumId w:val="36"/>
  </w:num>
  <w:num w:numId="7">
    <w:abstractNumId w:val="15"/>
  </w:num>
  <w:num w:numId="8">
    <w:abstractNumId w:val="4"/>
  </w:num>
  <w:num w:numId="9">
    <w:abstractNumId w:val="35"/>
  </w:num>
  <w:num w:numId="10">
    <w:abstractNumId w:val="18"/>
  </w:num>
  <w:num w:numId="11">
    <w:abstractNumId w:val="28"/>
  </w:num>
  <w:num w:numId="12">
    <w:abstractNumId w:val="24"/>
  </w:num>
  <w:num w:numId="13">
    <w:abstractNumId w:val="3"/>
  </w:num>
  <w:num w:numId="14">
    <w:abstractNumId w:val="11"/>
  </w:num>
  <w:num w:numId="15">
    <w:abstractNumId w:val="17"/>
  </w:num>
  <w:num w:numId="16">
    <w:abstractNumId w:val="1"/>
  </w:num>
  <w:num w:numId="17">
    <w:abstractNumId w:val="23"/>
  </w:num>
  <w:num w:numId="18">
    <w:abstractNumId w:val="26"/>
  </w:num>
  <w:num w:numId="19">
    <w:abstractNumId w:val="0"/>
  </w:num>
  <w:num w:numId="20">
    <w:abstractNumId w:val="27"/>
  </w:num>
  <w:num w:numId="21">
    <w:abstractNumId w:val="16"/>
  </w:num>
  <w:num w:numId="22">
    <w:abstractNumId w:val="9"/>
  </w:num>
  <w:num w:numId="23">
    <w:abstractNumId w:val="30"/>
  </w:num>
  <w:num w:numId="24">
    <w:abstractNumId w:val="31"/>
  </w:num>
  <w:num w:numId="25">
    <w:abstractNumId w:val="29"/>
  </w:num>
  <w:num w:numId="26">
    <w:abstractNumId w:val="32"/>
  </w:num>
  <w:num w:numId="27">
    <w:abstractNumId w:val="25"/>
  </w:num>
  <w:num w:numId="28">
    <w:abstractNumId w:val="21"/>
  </w:num>
  <w:num w:numId="29">
    <w:abstractNumId w:val="10"/>
  </w:num>
  <w:num w:numId="30">
    <w:abstractNumId w:val="5"/>
  </w:num>
  <w:num w:numId="31">
    <w:abstractNumId w:val="8"/>
  </w:num>
  <w:num w:numId="32">
    <w:abstractNumId w:val="12"/>
  </w:num>
  <w:num w:numId="33">
    <w:abstractNumId w:val="2"/>
  </w:num>
  <w:num w:numId="34">
    <w:abstractNumId w:val="20"/>
  </w:num>
  <w:num w:numId="35">
    <w:abstractNumId w:val="14"/>
  </w:num>
  <w:num w:numId="36">
    <w:abstractNumId w:val="6"/>
  </w:num>
  <w:num w:numId="37">
    <w:abstractNumId w:val="22"/>
  </w:num>
  <w:num w:numId="38">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3"/>
    <w:rsid w:val="00002CC6"/>
    <w:rsid w:val="000069EE"/>
    <w:rsid w:val="00006EE7"/>
    <w:rsid w:val="00011801"/>
    <w:rsid w:val="00011ED9"/>
    <w:rsid w:val="00017583"/>
    <w:rsid w:val="000230FE"/>
    <w:rsid w:val="00031742"/>
    <w:rsid w:val="00034D6C"/>
    <w:rsid w:val="00034F62"/>
    <w:rsid w:val="00040933"/>
    <w:rsid w:val="000416E1"/>
    <w:rsid w:val="00046DB5"/>
    <w:rsid w:val="00050EC0"/>
    <w:rsid w:val="000521C4"/>
    <w:rsid w:val="0005225D"/>
    <w:rsid w:val="0005586F"/>
    <w:rsid w:val="000658E8"/>
    <w:rsid w:val="00067BC9"/>
    <w:rsid w:val="00082211"/>
    <w:rsid w:val="00083DB0"/>
    <w:rsid w:val="000851B5"/>
    <w:rsid w:val="000852EF"/>
    <w:rsid w:val="000902AD"/>
    <w:rsid w:val="00097723"/>
    <w:rsid w:val="000A0518"/>
    <w:rsid w:val="000A49CC"/>
    <w:rsid w:val="000A4EF8"/>
    <w:rsid w:val="000A7394"/>
    <w:rsid w:val="000B19C5"/>
    <w:rsid w:val="000B393B"/>
    <w:rsid w:val="000B7F3E"/>
    <w:rsid w:val="000C2986"/>
    <w:rsid w:val="000C5D84"/>
    <w:rsid w:val="000D0B79"/>
    <w:rsid w:val="000E2574"/>
    <w:rsid w:val="000E301D"/>
    <w:rsid w:val="000E4E83"/>
    <w:rsid w:val="000E7559"/>
    <w:rsid w:val="000F2B5C"/>
    <w:rsid w:val="000F7395"/>
    <w:rsid w:val="001035DF"/>
    <w:rsid w:val="00107830"/>
    <w:rsid w:val="001110ED"/>
    <w:rsid w:val="00111FC6"/>
    <w:rsid w:val="0011639E"/>
    <w:rsid w:val="0011774A"/>
    <w:rsid w:val="00117D52"/>
    <w:rsid w:val="00122146"/>
    <w:rsid w:val="00122EEE"/>
    <w:rsid w:val="001275B1"/>
    <w:rsid w:val="00131EDD"/>
    <w:rsid w:val="0013256B"/>
    <w:rsid w:val="00137754"/>
    <w:rsid w:val="001416B4"/>
    <w:rsid w:val="00150C29"/>
    <w:rsid w:val="00150C52"/>
    <w:rsid w:val="001547F4"/>
    <w:rsid w:val="001557C1"/>
    <w:rsid w:val="00163C8D"/>
    <w:rsid w:val="0016679B"/>
    <w:rsid w:val="001830C9"/>
    <w:rsid w:val="00183BF8"/>
    <w:rsid w:val="00195ADF"/>
    <w:rsid w:val="00197695"/>
    <w:rsid w:val="001A2424"/>
    <w:rsid w:val="001A4E03"/>
    <w:rsid w:val="001B02FA"/>
    <w:rsid w:val="001B3DCA"/>
    <w:rsid w:val="001C0DE2"/>
    <w:rsid w:val="001C1BCF"/>
    <w:rsid w:val="001D47AB"/>
    <w:rsid w:val="001D4F15"/>
    <w:rsid w:val="001D6533"/>
    <w:rsid w:val="001E0785"/>
    <w:rsid w:val="001E6ABB"/>
    <w:rsid w:val="001F0084"/>
    <w:rsid w:val="001F0B3F"/>
    <w:rsid w:val="001F2FB7"/>
    <w:rsid w:val="001F4554"/>
    <w:rsid w:val="001F6275"/>
    <w:rsid w:val="001F639E"/>
    <w:rsid w:val="001F71E0"/>
    <w:rsid w:val="00202FFB"/>
    <w:rsid w:val="00211FB4"/>
    <w:rsid w:val="00215365"/>
    <w:rsid w:val="002243F5"/>
    <w:rsid w:val="00227F3D"/>
    <w:rsid w:val="00234B04"/>
    <w:rsid w:val="00234E64"/>
    <w:rsid w:val="0023779C"/>
    <w:rsid w:val="00243494"/>
    <w:rsid w:val="0024401B"/>
    <w:rsid w:val="00244999"/>
    <w:rsid w:val="002501F1"/>
    <w:rsid w:val="00252DD9"/>
    <w:rsid w:val="002545A6"/>
    <w:rsid w:val="00255B40"/>
    <w:rsid w:val="002567BB"/>
    <w:rsid w:val="00256ADE"/>
    <w:rsid w:val="002572D6"/>
    <w:rsid w:val="00257D9E"/>
    <w:rsid w:val="00262129"/>
    <w:rsid w:val="002626C7"/>
    <w:rsid w:val="00262E42"/>
    <w:rsid w:val="002630F2"/>
    <w:rsid w:val="00265D3C"/>
    <w:rsid w:val="00272064"/>
    <w:rsid w:val="0027251D"/>
    <w:rsid w:val="002756D5"/>
    <w:rsid w:val="00276B71"/>
    <w:rsid w:val="00276DD0"/>
    <w:rsid w:val="002860B1"/>
    <w:rsid w:val="00291BE7"/>
    <w:rsid w:val="00292CBF"/>
    <w:rsid w:val="002945A2"/>
    <w:rsid w:val="00294E92"/>
    <w:rsid w:val="00296578"/>
    <w:rsid w:val="002A0544"/>
    <w:rsid w:val="002A2DC8"/>
    <w:rsid w:val="002A5B27"/>
    <w:rsid w:val="002A7D57"/>
    <w:rsid w:val="002B03DA"/>
    <w:rsid w:val="002B2DD0"/>
    <w:rsid w:val="002B6562"/>
    <w:rsid w:val="002B76E1"/>
    <w:rsid w:val="002C17C2"/>
    <w:rsid w:val="002C683F"/>
    <w:rsid w:val="002D3326"/>
    <w:rsid w:val="002D4095"/>
    <w:rsid w:val="002D480C"/>
    <w:rsid w:val="002D7FF1"/>
    <w:rsid w:val="002E224F"/>
    <w:rsid w:val="002E3AE9"/>
    <w:rsid w:val="002E3C59"/>
    <w:rsid w:val="002E514E"/>
    <w:rsid w:val="002F1832"/>
    <w:rsid w:val="002F5F29"/>
    <w:rsid w:val="002F6846"/>
    <w:rsid w:val="003028D2"/>
    <w:rsid w:val="00302DB2"/>
    <w:rsid w:val="0030662F"/>
    <w:rsid w:val="00307331"/>
    <w:rsid w:val="00312DDC"/>
    <w:rsid w:val="003150AC"/>
    <w:rsid w:val="00315C47"/>
    <w:rsid w:val="00317979"/>
    <w:rsid w:val="003201D1"/>
    <w:rsid w:val="00321F46"/>
    <w:rsid w:val="003261AB"/>
    <w:rsid w:val="0033074C"/>
    <w:rsid w:val="00335B02"/>
    <w:rsid w:val="00336A74"/>
    <w:rsid w:val="00342642"/>
    <w:rsid w:val="00343348"/>
    <w:rsid w:val="00351F6C"/>
    <w:rsid w:val="003539A7"/>
    <w:rsid w:val="00356B3E"/>
    <w:rsid w:val="0035757A"/>
    <w:rsid w:val="00357665"/>
    <w:rsid w:val="0036106F"/>
    <w:rsid w:val="00361FA8"/>
    <w:rsid w:val="00362BCB"/>
    <w:rsid w:val="00371B4F"/>
    <w:rsid w:val="003723C4"/>
    <w:rsid w:val="0038025E"/>
    <w:rsid w:val="00382625"/>
    <w:rsid w:val="003856B4"/>
    <w:rsid w:val="00385D3D"/>
    <w:rsid w:val="003959C1"/>
    <w:rsid w:val="0039613E"/>
    <w:rsid w:val="003B054B"/>
    <w:rsid w:val="003C3456"/>
    <w:rsid w:val="003C66B9"/>
    <w:rsid w:val="003D10A8"/>
    <w:rsid w:val="003E33E4"/>
    <w:rsid w:val="003E3F45"/>
    <w:rsid w:val="003E61C2"/>
    <w:rsid w:val="003F0776"/>
    <w:rsid w:val="00402698"/>
    <w:rsid w:val="0040351D"/>
    <w:rsid w:val="00403545"/>
    <w:rsid w:val="00404F72"/>
    <w:rsid w:val="00405A73"/>
    <w:rsid w:val="00410F27"/>
    <w:rsid w:val="00411A4E"/>
    <w:rsid w:val="00412EE9"/>
    <w:rsid w:val="004141B2"/>
    <w:rsid w:val="00423ACB"/>
    <w:rsid w:val="004245D9"/>
    <w:rsid w:val="00426877"/>
    <w:rsid w:val="00432815"/>
    <w:rsid w:val="00435D0F"/>
    <w:rsid w:val="00441037"/>
    <w:rsid w:val="00444EE3"/>
    <w:rsid w:val="00445EC3"/>
    <w:rsid w:val="00451185"/>
    <w:rsid w:val="00451AF3"/>
    <w:rsid w:val="0046582F"/>
    <w:rsid w:val="0047022A"/>
    <w:rsid w:val="00481C3C"/>
    <w:rsid w:val="00482FE7"/>
    <w:rsid w:val="0048443E"/>
    <w:rsid w:val="004862B6"/>
    <w:rsid w:val="00492441"/>
    <w:rsid w:val="004A28F3"/>
    <w:rsid w:val="004A46ED"/>
    <w:rsid w:val="004A5B9F"/>
    <w:rsid w:val="004A6301"/>
    <w:rsid w:val="004B28AF"/>
    <w:rsid w:val="004B2E68"/>
    <w:rsid w:val="004B6669"/>
    <w:rsid w:val="004B6682"/>
    <w:rsid w:val="004C41D2"/>
    <w:rsid w:val="004C4F41"/>
    <w:rsid w:val="004D050B"/>
    <w:rsid w:val="004D1A66"/>
    <w:rsid w:val="004D5D5F"/>
    <w:rsid w:val="004E011D"/>
    <w:rsid w:val="004E024C"/>
    <w:rsid w:val="004E03BB"/>
    <w:rsid w:val="004E79B5"/>
    <w:rsid w:val="004F1DE1"/>
    <w:rsid w:val="004F387D"/>
    <w:rsid w:val="004F6C17"/>
    <w:rsid w:val="005038B9"/>
    <w:rsid w:val="005039D2"/>
    <w:rsid w:val="005118A0"/>
    <w:rsid w:val="00511EEE"/>
    <w:rsid w:val="00513A9D"/>
    <w:rsid w:val="00522D71"/>
    <w:rsid w:val="005232CE"/>
    <w:rsid w:val="005257AF"/>
    <w:rsid w:val="005321A0"/>
    <w:rsid w:val="00532A56"/>
    <w:rsid w:val="0053588F"/>
    <w:rsid w:val="00541D97"/>
    <w:rsid w:val="00542D48"/>
    <w:rsid w:val="00544FD4"/>
    <w:rsid w:val="005472C8"/>
    <w:rsid w:val="005669F0"/>
    <w:rsid w:val="005679B4"/>
    <w:rsid w:val="005737F9"/>
    <w:rsid w:val="005762CC"/>
    <w:rsid w:val="00585E1C"/>
    <w:rsid w:val="00590348"/>
    <w:rsid w:val="00591134"/>
    <w:rsid w:val="005923C2"/>
    <w:rsid w:val="005930F4"/>
    <w:rsid w:val="005A1560"/>
    <w:rsid w:val="005B3775"/>
    <w:rsid w:val="005B4B30"/>
    <w:rsid w:val="005B6D18"/>
    <w:rsid w:val="005B72F5"/>
    <w:rsid w:val="005C16C8"/>
    <w:rsid w:val="005C2527"/>
    <w:rsid w:val="005C2CA1"/>
    <w:rsid w:val="005C42C8"/>
    <w:rsid w:val="005D3CFC"/>
    <w:rsid w:val="005D44E4"/>
    <w:rsid w:val="005D6EDC"/>
    <w:rsid w:val="005E51B9"/>
    <w:rsid w:val="005E7782"/>
    <w:rsid w:val="005F08B0"/>
    <w:rsid w:val="005F1876"/>
    <w:rsid w:val="00604555"/>
    <w:rsid w:val="00611334"/>
    <w:rsid w:val="0061716E"/>
    <w:rsid w:val="0062095D"/>
    <w:rsid w:val="00630AF7"/>
    <w:rsid w:val="006316A6"/>
    <w:rsid w:val="006340F3"/>
    <w:rsid w:val="006365D9"/>
    <w:rsid w:val="00643BD0"/>
    <w:rsid w:val="00644156"/>
    <w:rsid w:val="006459AC"/>
    <w:rsid w:val="00652B86"/>
    <w:rsid w:val="0065375F"/>
    <w:rsid w:val="00653A49"/>
    <w:rsid w:val="0065770F"/>
    <w:rsid w:val="00663AAE"/>
    <w:rsid w:val="00666DD5"/>
    <w:rsid w:val="006774E7"/>
    <w:rsid w:val="0068630A"/>
    <w:rsid w:val="0069091B"/>
    <w:rsid w:val="0069125D"/>
    <w:rsid w:val="00693892"/>
    <w:rsid w:val="00694241"/>
    <w:rsid w:val="0069444A"/>
    <w:rsid w:val="006A0D96"/>
    <w:rsid w:val="006A0E8B"/>
    <w:rsid w:val="006A1680"/>
    <w:rsid w:val="006A34CF"/>
    <w:rsid w:val="006A522B"/>
    <w:rsid w:val="006B1014"/>
    <w:rsid w:val="006B168B"/>
    <w:rsid w:val="006C214E"/>
    <w:rsid w:val="006C5DF8"/>
    <w:rsid w:val="006C6442"/>
    <w:rsid w:val="006D35CD"/>
    <w:rsid w:val="006D3FF4"/>
    <w:rsid w:val="006D479D"/>
    <w:rsid w:val="006D4D83"/>
    <w:rsid w:val="006D7CC4"/>
    <w:rsid w:val="006E3063"/>
    <w:rsid w:val="006E43EA"/>
    <w:rsid w:val="006E6D7C"/>
    <w:rsid w:val="006F31A6"/>
    <w:rsid w:val="006F3D2B"/>
    <w:rsid w:val="006F5533"/>
    <w:rsid w:val="00702FF7"/>
    <w:rsid w:val="007032EB"/>
    <w:rsid w:val="007051AA"/>
    <w:rsid w:val="00717A7A"/>
    <w:rsid w:val="00720E51"/>
    <w:rsid w:val="00726347"/>
    <w:rsid w:val="00726E11"/>
    <w:rsid w:val="00733E48"/>
    <w:rsid w:val="007410C3"/>
    <w:rsid w:val="00744494"/>
    <w:rsid w:val="0074613E"/>
    <w:rsid w:val="0074759E"/>
    <w:rsid w:val="00752979"/>
    <w:rsid w:val="00754F95"/>
    <w:rsid w:val="00756073"/>
    <w:rsid w:val="00762186"/>
    <w:rsid w:val="00763346"/>
    <w:rsid w:val="00764D90"/>
    <w:rsid w:val="007702D0"/>
    <w:rsid w:val="00777FA6"/>
    <w:rsid w:val="007805DC"/>
    <w:rsid w:val="00780CDD"/>
    <w:rsid w:val="00782ADA"/>
    <w:rsid w:val="00792F15"/>
    <w:rsid w:val="007946E9"/>
    <w:rsid w:val="00797A71"/>
    <w:rsid w:val="00797D4B"/>
    <w:rsid w:val="007A0DE5"/>
    <w:rsid w:val="007A1C16"/>
    <w:rsid w:val="007A6E2B"/>
    <w:rsid w:val="007A7850"/>
    <w:rsid w:val="007B01E4"/>
    <w:rsid w:val="007B29A0"/>
    <w:rsid w:val="007B415C"/>
    <w:rsid w:val="007C5760"/>
    <w:rsid w:val="007D2283"/>
    <w:rsid w:val="007D46B0"/>
    <w:rsid w:val="007D5EF6"/>
    <w:rsid w:val="007D7327"/>
    <w:rsid w:val="007E1B0D"/>
    <w:rsid w:val="007E3B26"/>
    <w:rsid w:val="007E486A"/>
    <w:rsid w:val="007E5282"/>
    <w:rsid w:val="007F070D"/>
    <w:rsid w:val="007F17F8"/>
    <w:rsid w:val="007F2598"/>
    <w:rsid w:val="007F5BDD"/>
    <w:rsid w:val="007F6332"/>
    <w:rsid w:val="00802B45"/>
    <w:rsid w:val="008144FE"/>
    <w:rsid w:val="00814D6F"/>
    <w:rsid w:val="00815EBD"/>
    <w:rsid w:val="00817569"/>
    <w:rsid w:val="008176B5"/>
    <w:rsid w:val="00821891"/>
    <w:rsid w:val="008310F0"/>
    <w:rsid w:val="008327A7"/>
    <w:rsid w:val="00833FAA"/>
    <w:rsid w:val="00840BFD"/>
    <w:rsid w:val="008410E2"/>
    <w:rsid w:val="00845AD6"/>
    <w:rsid w:val="008476FA"/>
    <w:rsid w:val="008541DB"/>
    <w:rsid w:val="00854945"/>
    <w:rsid w:val="008567D5"/>
    <w:rsid w:val="00857339"/>
    <w:rsid w:val="008637D5"/>
    <w:rsid w:val="00863C8E"/>
    <w:rsid w:val="008657F2"/>
    <w:rsid w:val="00867A0F"/>
    <w:rsid w:val="00873D22"/>
    <w:rsid w:val="008772BC"/>
    <w:rsid w:val="00885383"/>
    <w:rsid w:val="008861A4"/>
    <w:rsid w:val="008869F4"/>
    <w:rsid w:val="0089128C"/>
    <w:rsid w:val="0089155C"/>
    <w:rsid w:val="0089222F"/>
    <w:rsid w:val="008929FD"/>
    <w:rsid w:val="00895119"/>
    <w:rsid w:val="008951ED"/>
    <w:rsid w:val="00897857"/>
    <w:rsid w:val="008A23CF"/>
    <w:rsid w:val="008A47B5"/>
    <w:rsid w:val="008A6D25"/>
    <w:rsid w:val="008A7605"/>
    <w:rsid w:val="008C003F"/>
    <w:rsid w:val="008C241B"/>
    <w:rsid w:val="008C282C"/>
    <w:rsid w:val="008C6E5F"/>
    <w:rsid w:val="008C7A49"/>
    <w:rsid w:val="008D3624"/>
    <w:rsid w:val="008D5474"/>
    <w:rsid w:val="008D61FA"/>
    <w:rsid w:val="008D64A4"/>
    <w:rsid w:val="008E3B68"/>
    <w:rsid w:val="008E47F5"/>
    <w:rsid w:val="008E4E0B"/>
    <w:rsid w:val="008F0CE3"/>
    <w:rsid w:val="008F4BFF"/>
    <w:rsid w:val="009018A8"/>
    <w:rsid w:val="0091018C"/>
    <w:rsid w:val="00914F44"/>
    <w:rsid w:val="00915916"/>
    <w:rsid w:val="00926C3C"/>
    <w:rsid w:val="00933BFE"/>
    <w:rsid w:val="00933D10"/>
    <w:rsid w:val="00937A8A"/>
    <w:rsid w:val="00941053"/>
    <w:rsid w:val="009413BA"/>
    <w:rsid w:val="009429C9"/>
    <w:rsid w:val="00944CBB"/>
    <w:rsid w:val="00945446"/>
    <w:rsid w:val="00946A9C"/>
    <w:rsid w:val="009500C9"/>
    <w:rsid w:val="00953147"/>
    <w:rsid w:val="00953CE6"/>
    <w:rsid w:val="00957DC3"/>
    <w:rsid w:val="0096613C"/>
    <w:rsid w:val="00966D11"/>
    <w:rsid w:val="00966E73"/>
    <w:rsid w:val="00975105"/>
    <w:rsid w:val="009810C0"/>
    <w:rsid w:val="00982C3C"/>
    <w:rsid w:val="00985FB3"/>
    <w:rsid w:val="00986994"/>
    <w:rsid w:val="009879AB"/>
    <w:rsid w:val="00990B87"/>
    <w:rsid w:val="00992829"/>
    <w:rsid w:val="00994235"/>
    <w:rsid w:val="00994BD3"/>
    <w:rsid w:val="00996102"/>
    <w:rsid w:val="00997143"/>
    <w:rsid w:val="009B1F9D"/>
    <w:rsid w:val="009B3821"/>
    <w:rsid w:val="009C3850"/>
    <w:rsid w:val="009D1FAA"/>
    <w:rsid w:val="009D7366"/>
    <w:rsid w:val="009F0514"/>
    <w:rsid w:val="009F3B35"/>
    <w:rsid w:val="009F7470"/>
    <w:rsid w:val="00A0009B"/>
    <w:rsid w:val="00A01C1E"/>
    <w:rsid w:val="00A03E02"/>
    <w:rsid w:val="00A23D2B"/>
    <w:rsid w:val="00A23EF0"/>
    <w:rsid w:val="00A30C36"/>
    <w:rsid w:val="00A3389C"/>
    <w:rsid w:val="00A34987"/>
    <w:rsid w:val="00A405E7"/>
    <w:rsid w:val="00A418D6"/>
    <w:rsid w:val="00A439F2"/>
    <w:rsid w:val="00A44DB3"/>
    <w:rsid w:val="00A46EE7"/>
    <w:rsid w:val="00A47633"/>
    <w:rsid w:val="00A5235C"/>
    <w:rsid w:val="00A5354A"/>
    <w:rsid w:val="00A551FC"/>
    <w:rsid w:val="00A56D96"/>
    <w:rsid w:val="00A57BE8"/>
    <w:rsid w:val="00A67A6E"/>
    <w:rsid w:val="00A81888"/>
    <w:rsid w:val="00A84E1E"/>
    <w:rsid w:val="00A84F01"/>
    <w:rsid w:val="00A91A3A"/>
    <w:rsid w:val="00A91BDB"/>
    <w:rsid w:val="00A94F10"/>
    <w:rsid w:val="00A97BDB"/>
    <w:rsid w:val="00AA1C01"/>
    <w:rsid w:val="00AA6F69"/>
    <w:rsid w:val="00AB3E2E"/>
    <w:rsid w:val="00AB3F04"/>
    <w:rsid w:val="00AB4342"/>
    <w:rsid w:val="00AB4B99"/>
    <w:rsid w:val="00AB53D5"/>
    <w:rsid w:val="00AB6CD3"/>
    <w:rsid w:val="00AC025B"/>
    <w:rsid w:val="00AC3727"/>
    <w:rsid w:val="00AC7EF6"/>
    <w:rsid w:val="00AD0EA2"/>
    <w:rsid w:val="00AD1AFC"/>
    <w:rsid w:val="00AD1CE8"/>
    <w:rsid w:val="00AD354E"/>
    <w:rsid w:val="00AD5459"/>
    <w:rsid w:val="00AD6F09"/>
    <w:rsid w:val="00AE5B39"/>
    <w:rsid w:val="00AE64D7"/>
    <w:rsid w:val="00AF1A62"/>
    <w:rsid w:val="00AF45BF"/>
    <w:rsid w:val="00AF6F8F"/>
    <w:rsid w:val="00B0002E"/>
    <w:rsid w:val="00B0030F"/>
    <w:rsid w:val="00B01C62"/>
    <w:rsid w:val="00B14078"/>
    <w:rsid w:val="00B14C76"/>
    <w:rsid w:val="00B17569"/>
    <w:rsid w:val="00B21035"/>
    <w:rsid w:val="00B211A2"/>
    <w:rsid w:val="00B25717"/>
    <w:rsid w:val="00B25800"/>
    <w:rsid w:val="00B25C1C"/>
    <w:rsid w:val="00B26A9F"/>
    <w:rsid w:val="00B3563B"/>
    <w:rsid w:val="00B403FB"/>
    <w:rsid w:val="00B41979"/>
    <w:rsid w:val="00B45F8A"/>
    <w:rsid w:val="00B46100"/>
    <w:rsid w:val="00B6459B"/>
    <w:rsid w:val="00B7606B"/>
    <w:rsid w:val="00B77107"/>
    <w:rsid w:val="00B8078A"/>
    <w:rsid w:val="00B83015"/>
    <w:rsid w:val="00B8326A"/>
    <w:rsid w:val="00B900B7"/>
    <w:rsid w:val="00B91FDE"/>
    <w:rsid w:val="00BA07DB"/>
    <w:rsid w:val="00BA17FC"/>
    <w:rsid w:val="00BA1F1A"/>
    <w:rsid w:val="00BA21D2"/>
    <w:rsid w:val="00BA46FC"/>
    <w:rsid w:val="00BA5E90"/>
    <w:rsid w:val="00BA721C"/>
    <w:rsid w:val="00BB09BF"/>
    <w:rsid w:val="00BB2444"/>
    <w:rsid w:val="00BB36AD"/>
    <w:rsid w:val="00BB7716"/>
    <w:rsid w:val="00BC09BE"/>
    <w:rsid w:val="00BC3385"/>
    <w:rsid w:val="00BC4800"/>
    <w:rsid w:val="00BD106A"/>
    <w:rsid w:val="00BE20AB"/>
    <w:rsid w:val="00BE4E30"/>
    <w:rsid w:val="00BF6BD0"/>
    <w:rsid w:val="00C025C8"/>
    <w:rsid w:val="00C03D14"/>
    <w:rsid w:val="00C12DFD"/>
    <w:rsid w:val="00C12EA6"/>
    <w:rsid w:val="00C14304"/>
    <w:rsid w:val="00C17264"/>
    <w:rsid w:val="00C21CB4"/>
    <w:rsid w:val="00C23879"/>
    <w:rsid w:val="00C246C7"/>
    <w:rsid w:val="00C24DBE"/>
    <w:rsid w:val="00C27D7C"/>
    <w:rsid w:val="00C3449C"/>
    <w:rsid w:val="00C3565F"/>
    <w:rsid w:val="00C37AB4"/>
    <w:rsid w:val="00C41D89"/>
    <w:rsid w:val="00C45F44"/>
    <w:rsid w:val="00C46A4E"/>
    <w:rsid w:val="00C515DB"/>
    <w:rsid w:val="00C630F1"/>
    <w:rsid w:val="00C6550E"/>
    <w:rsid w:val="00C67ECD"/>
    <w:rsid w:val="00C718D1"/>
    <w:rsid w:val="00C74F89"/>
    <w:rsid w:val="00C766D8"/>
    <w:rsid w:val="00C77E08"/>
    <w:rsid w:val="00C82A75"/>
    <w:rsid w:val="00C83BFC"/>
    <w:rsid w:val="00C85131"/>
    <w:rsid w:val="00CA18D0"/>
    <w:rsid w:val="00CA48CA"/>
    <w:rsid w:val="00CA4A3E"/>
    <w:rsid w:val="00CC74AF"/>
    <w:rsid w:val="00CD2C02"/>
    <w:rsid w:val="00CD6A01"/>
    <w:rsid w:val="00CE2963"/>
    <w:rsid w:val="00CE48BE"/>
    <w:rsid w:val="00CE5B8A"/>
    <w:rsid w:val="00CF3F63"/>
    <w:rsid w:val="00CF4561"/>
    <w:rsid w:val="00D07215"/>
    <w:rsid w:val="00D21EDB"/>
    <w:rsid w:val="00D27588"/>
    <w:rsid w:val="00D27630"/>
    <w:rsid w:val="00D304FC"/>
    <w:rsid w:val="00D37DC6"/>
    <w:rsid w:val="00D523E1"/>
    <w:rsid w:val="00D54E65"/>
    <w:rsid w:val="00D574F6"/>
    <w:rsid w:val="00D57ACF"/>
    <w:rsid w:val="00D60D71"/>
    <w:rsid w:val="00D6260E"/>
    <w:rsid w:val="00D67A58"/>
    <w:rsid w:val="00D7212F"/>
    <w:rsid w:val="00D72795"/>
    <w:rsid w:val="00D74726"/>
    <w:rsid w:val="00D74E7B"/>
    <w:rsid w:val="00D75E7E"/>
    <w:rsid w:val="00D762BB"/>
    <w:rsid w:val="00D80AB1"/>
    <w:rsid w:val="00D8160C"/>
    <w:rsid w:val="00D8486E"/>
    <w:rsid w:val="00D90A4D"/>
    <w:rsid w:val="00D91EE2"/>
    <w:rsid w:val="00D930AD"/>
    <w:rsid w:val="00D95326"/>
    <w:rsid w:val="00D96879"/>
    <w:rsid w:val="00DA2DA4"/>
    <w:rsid w:val="00DA7A64"/>
    <w:rsid w:val="00DB1CBD"/>
    <w:rsid w:val="00DB49FA"/>
    <w:rsid w:val="00DC4028"/>
    <w:rsid w:val="00DC5543"/>
    <w:rsid w:val="00DC659B"/>
    <w:rsid w:val="00DD1C7F"/>
    <w:rsid w:val="00DD2229"/>
    <w:rsid w:val="00DD276B"/>
    <w:rsid w:val="00DD6A65"/>
    <w:rsid w:val="00DD730D"/>
    <w:rsid w:val="00DE164F"/>
    <w:rsid w:val="00DE449A"/>
    <w:rsid w:val="00DE575B"/>
    <w:rsid w:val="00DF3B77"/>
    <w:rsid w:val="00DF7FC9"/>
    <w:rsid w:val="00E01DF5"/>
    <w:rsid w:val="00E02618"/>
    <w:rsid w:val="00E02D1D"/>
    <w:rsid w:val="00E04831"/>
    <w:rsid w:val="00E0531A"/>
    <w:rsid w:val="00E17239"/>
    <w:rsid w:val="00E20F6D"/>
    <w:rsid w:val="00E21140"/>
    <w:rsid w:val="00E23C2B"/>
    <w:rsid w:val="00E25E61"/>
    <w:rsid w:val="00E26FE8"/>
    <w:rsid w:val="00E2793B"/>
    <w:rsid w:val="00E308AF"/>
    <w:rsid w:val="00E32087"/>
    <w:rsid w:val="00E32FF2"/>
    <w:rsid w:val="00E36039"/>
    <w:rsid w:val="00E365A5"/>
    <w:rsid w:val="00E42BD1"/>
    <w:rsid w:val="00E546A4"/>
    <w:rsid w:val="00E56955"/>
    <w:rsid w:val="00E6257E"/>
    <w:rsid w:val="00E64331"/>
    <w:rsid w:val="00E76D68"/>
    <w:rsid w:val="00E7710C"/>
    <w:rsid w:val="00E81091"/>
    <w:rsid w:val="00E84F47"/>
    <w:rsid w:val="00E85AFF"/>
    <w:rsid w:val="00E93097"/>
    <w:rsid w:val="00E932EC"/>
    <w:rsid w:val="00E933C1"/>
    <w:rsid w:val="00E934AD"/>
    <w:rsid w:val="00EC17B9"/>
    <w:rsid w:val="00EC1B2A"/>
    <w:rsid w:val="00EC203D"/>
    <w:rsid w:val="00EC31AE"/>
    <w:rsid w:val="00ED4841"/>
    <w:rsid w:val="00ED4A40"/>
    <w:rsid w:val="00ED7334"/>
    <w:rsid w:val="00EE1208"/>
    <w:rsid w:val="00EE2699"/>
    <w:rsid w:val="00EE4B2E"/>
    <w:rsid w:val="00EF2623"/>
    <w:rsid w:val="00EF2690"/>
    <w:rsid w:val="00EF3854"/>
    <w:rsid w:val="00EF4A14"/>
    <w:rsid w:val="00EF6F7E"/>
    <w:rsid w:val="00EF7A09"/>
    <w:rsid w:val="00EF7C61"/>
    <w:rsid w:val="00F05B3F"/>
    <w:rsid w:val="00F068E7"/>
    <w:rsid w:val="00F06B3F"/>
    <w:rsid w:val="00F15638"/>
    <w:rsid w:val="00F159E6"/>
    <w:rsid w:val="00F171F7"/>
    <w:rsid w:val="00F2129A"/>
    <w:rsid w:val="00F22DD9"/>
    <w:rsid w:val="00F257C7"/>
    <w:rsid w:val="00F30D63"/>
    <w:rsid w:val="00F4034B"/>
    <w:rsid w:val="00F44614"/>
    <w:rsid w:val="00F45B2E"/>
    <w:rsid w:val="00F52F63"/>
    <w:rsid w:val="00F53513"/>
    <w:rsid w:val="00F54D02"/>
    <w:rsid w:val="00F56E8F"/>
    <w:rsid w:val="00F6419F"/>
    <w:rsid w:val="00F66B93"/>
    <w:rsid w:val="00F679AF"/>
    <w:rsid w:val="00F74A99"/>
    <w:rsid w:val="00F75223"/>
    <w:rsid w:val="00F7662D"/>
    <w:rsid w:val="00F81911"/>
    <w:rsid w:val="00F95F18"/>
    <w:rsid w:val="00FA2751"/>
    <w:rsid w:val="00FA329B"/>
    <w:rsid w:val="00FA37BA"/>
    <w:rsid w:val="00FA69BE"/>
    <w:rsid w:val="00FB0555"/>
    <w:rsid w:val="00FB236A"/>
    <w:rsid w:val="00FB3D1D"/>
    <w:rsid w:val="00FC05A7"/>
    <w:rsid w:val="00FC4D7B"/>
    <w:rsid w:val="00FD07DE"/>
    <w:rsid w:val="00FE6453"/>
    <w:rsid w:val="00FE6E2E"/>
    <w:rsid w:val="00FF47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3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styleId="Mencinsinresolver">
    <w:name w:val="Unresolved Mention"/>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BA21D2"/>
    <w:rPr>
      <w:color w:val="954F72" w:themeColor="followedHyperlink"/>
      <w:u w:val="single"/>
    </w:rPr>
  </w:style>
  <w:style w:type="table" w:styleId="Tablaconcuadrculaclara">
    <w:name w:val="Grid Table Light"/>
    <w:basedOn w:val="Tablanormal"/>
    <w:uiPriority w:val="40"/>
    <w:rsid w:val="00FB236A"/>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iputados.gob.mx/LeyesBiblio/pdf/LGIMH.pdf" TargetMode="External"/><Relationship Id="rId7" Type="http://schemas.openxmlformats.org/officeDocument/2006/relationships/hyperlink" Target="https://sjf2.scjn.gob.mx/detalle/tesis/2009998" TargetMode="External"/><Relationship Id="rId2" Type="http://schemas.openxmlformats.org/officeDocument/2006/relationships/hyperlink" Target="https://www.congresochihuahua2.gob.mx/biblioteca/leyes/archivosLeyes/1552.pdf" TargetMode="External"/><Relationship Id="rId1" Type="http://schemas.openxmlformats.org/officeDocument/2006/relationships/hyperlink" Target="https://www.congresochihuahua2.gob.mx/biblioteca/iniciativas/archivosIniciativas/23816.pdf" TargetMode="External"/><Relationship Id="rId6" Type="http://schemas.openxmlformats.org/officeDocument/2006/relationships/hyperlink" Target="https://sjf2.scjn.gob.mx/detalle/tesis/2011430" TargetMode="External"/><Relationship Id="rId5" Type="http://schemas.openxmlformats.org/officeDocument/2006/relationships/hyperlink" Target="https://sjf2.scjn.gob.mx/detalle/tesis/2025120" TargetMode="External"/><Relationship Id="rId4" Type="http://schemas.openxmlformats.org/officeDocument/2006/relationships/hyperlink" Target="https://www.diputados.gob.mx/LeyesBiblio/pdf/LGAMVL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D32B-9725-445E-8F16-71A9ED44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2629</Words>
  <Characters>14464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17059</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Andrea Daniela Flores Chacon</cp:lastModifiedBy>
  <cp:revision>2</cp:revision>
  <cp:lastPrinted>2025-09-10T16:00:00Z</cp:lastPrinted>
  <dcterms:created xsi:type="dcterms:W3CDTF">2025-09-10T17:39:00Z</dcterms:created>
  <dcterms:modified xsi:type="dcterms:W3CDTF">2025-09-10T17:39:00Z</dcterms:modified>
</cp:coreProperties>
</file>