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7C1B" w14:textId="77777777" w:rsidR="00272369" w:rsidRPr="00414B59" w:rsidRDefault="00272369" w:rsidP="00272369">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5B29CF08" w14:textId="77777777" w:rsidR="00272369" w:rsidRPr="00414B59" w:rsidRDefault="00272369" w:rsidP="00272369">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6DF83ABA" w14:textId="77777777" w:rsidR="00272369" w:rsidRPr="00414B59" w:rsidRDefault="00272369" w:rsidP="00272369">
      <w:pPr>
        <w:pStyle w:val="Normal1"/>
        <w:spacing w:line="360" w:lineRule="auto"/>
        <w:contextualSpacing/>
        <w:jc w:val="both"/>
        <w:rPr>
          <w:rFonts w:ascii="Century Gothic" w:eastAsia="Arial" w:hAnsi="Century Gothic" w:cs="Arial"/>
          <w:b/>
          <w:color w:val="auto"/>
          <w:szCs w:val="24"/>
          <w:lang w:val="es-MX"/>
        </w:rPr>
      </w:pPr>
    </w:p>
    <w:p w14:paraId="66F1D3B9" w14:textId="77777777" w:rsidR="00272369" w:rsidRPr="00414B59" w:rsidRDefault="00272369" w:rsidP="00272369">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Pr>
          <w:rFonts w:ascii="Century Gothic" w:eastAsia="Arial" w:hAnsi="Century Gothic" w:cs="Arial"/>
          <w:color w:val="auto"/>
          <w:szCs w:val="24"/>
          <w:lang w:val="es-MX"/>
        </w:rPr>
        <w:t>todos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66545E9C" w14:textId="77777777" w:rsidR="00272369" w:rsidRPr="00414B59" w:rsidRDefault="00272369" w:rsidP="00272369">
      <w:pPr>
        <w:pStyle w:val="Normal1"/>
        <w:spacing w:line="360" w:lineRule="auto"/>
        <w:contextualSpacing/>
        <w:jc w:val="both"/>
        <w:rPr>
          <w:rFonts w:ascii="Century Gothic" w:eastAsia="Arial" w:hAnsi="Century Gothic" w:cs="Arial"/>
          <w:b/>
          <w:color w:val="auto"/>
          <w:szCs w:val="24"/>
          <w:lang w:val="es-MX"/>
        </w:rPr>
      </w:pPr>
    </w:p>
    <w:p w14:paraId="4DBE70EB" w14:textId="77777777" w:rsidR="00272369" w:rsidRPr="00414B59" w:rsidRDefault="00272369" w:rsidP="00272369">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DFED6F1" w14:textId="77777777" w:rsidR="00272369" w:rsidRPr="00414B59" w:rsidRDefault="00272369" w:rsidP="00272369">
      <w:pPr>
        <w:pStyle w:val="Normal1"/>
        <w:spacing w:line="360" w:lineRule="auto"/>
        <w:contextualSpacing/>
        <w:jc w:val="center"/>
        <w:rPr>
          <w:rFonts w:ascii="Century Gothic" w:eastAsia="Arial" w:hAnsi="Century Gothic" w:cs="Arial"/>
          <w:b/>
          <w:color w:val="auto"/>
          <w:szCs w:val="24"/>
          <w:lang w:val="es-MX"/>
        </w:rPr>
      </w:pPr>
    </w:p>
    <w:p w14:paraId="5488A0C9" w14:textId="688E28AE" w:rsidR="00272369" w:rsidRDefault="00272369" w:rsidP="00272369">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Con fecha</w:t>
      </w:r>
      <w:r>
        <w:rPr>
          <w:rFonts w:ascii="Century Gothic" w:eastAsia="Arial" w:hAnsi="Century Gothic" w:cs="Arial"/>
          <w:color w:val="auto"/>
          <w:szCs w:val="24"/>
          <w:lang w:val="es-MX"/>
        </w:rPr>
        <w:t xml:space="preserve"> </w:t>
      </w:r>
      <w:r w:rsidR="00E6678F">
        <w:rPr>
          <w:rFonts w:ascii="Century Gothic" w:eastAsia="Arial" w:hAnsi="Century Gothic" w:cs="Arial"/>
          <w:color w:val="auto"/>
          <w:szCs w:val="24"/>
          <w:lang w:val="es-MX"/>
        </w:rPr>
        <w:t>19</w:t>
      </w:r>
      <w:r>
        <w:rPr>
          <w:rFonts w:ascii="Century Gothic" w:eastAsia="Arial" w:hAnsi="Century Gothic" w:cs="Arial"/>
          <w:color w:val="auto"/>
          <w:szCs w:val="24"/>
          <w:lang w:val="es-MX"/>
        </w:rPr>
        <w:t xml:space="preserve"> de </w:t>
      </w:r>
      <w:r w:rsidR="00E6678F">
        <w:rPr>
          <w:rFonts w:ascii="Century Gothic" w:eastAsia="Arial" w:hAnsi="Century Gothic" w:cs="Arial"/>
          <w:color w:val="auto"/>
          <w:szCs w:val="24"/>
          <w:lang w:val="es-MX"/>
        </w:rPr>
        <w:t>marzo</w:t>
      </w:r>
      <w:r>
        <w:rPr>
          <w:rFonts w:ascii="Century Gothic" w:eastAsia="Arial" w:hAnsi="Century Gothic" w:cs="Arial"/>
          <w:color w:val="auto"/>
          <w:szCs w:val="24"/>
          <w:lang w:val="es-MX"/>
        </w:rPr>
        <w:t xml:space="preserve"> del año 202</w:t>
      </w:r>
      <w:r w:rsidR="00E6678F">
        <w:rPr>
          <w:rFonts w:ascii="Century Gothic" w:eastAsia="Arial" w:hAnsi="Century Gothic" w:cs="Arial"/>
          <w:color w:val="auto"/>
          <w:szCs w:val="24"/>
          <w:lang w:val="es-MX"/>
        </w:rPr>
        <w:t>5</w:t>
      </w:r>
      <w:r w:rsidRPr="00414B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la</w:t>
      </w:r>
      <w:r w:rsidR="00E6678F">
        <w:rPr>
          <w:rFonts w:ascii="Century Gothic" w:eastAsia="Arial" w:hAnsi="Century Gothic" w:cs="Arial"/>
          <w:color w:val="auto"/>
          <w:szCs w:val="24"/>
          <w:lang w:val="es-MX"/>
        </w:rPr>
        <w:t>s Diputadas y los</w:t>
      </w:r>
      <w:r>
        <w:rPr>
          <w:rFonts w:ascii="Century Gothic" w:eastAsia="Arial" w:hAnsi="Century Gothic" w:cs="Arial"/>
          <w:color w:val="auto"/>
          <w:szCs w:val="24"/>
          <w:lang w:val="es-MX"/>
        </w:rPr>
        <w:t xml:space="preserve"> Diputad</w:t>
      </w:r>
      <w:r w:rsidR="00E6678F">
        <w:rPr>
          <w:rFonts w:ascii="Century Gothic" w:eastAsia="Arial" w:hAnsi="Century Gothic" w:cs="Arial"/>
          <w:color w:val="auto"/>
          <w:szCs w:val="24"/>
          <w:lang w:val="es-MX"/>
        </w:rPr>
        <w:t>os</w:t>
      </w:r>
      <w:r w:rsidRPr="00DA2A80">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integrante</w:t>
      </w:r>
      <w:r w:rsidR="00E6678F">
        <w:rPr>
          <w:rFonts w:ascii="Century Gothic" w:eastAsia="Arial" w:hAnsi="Century Gothic" w:cs="Arial"/>
          <w:color w:val="auto"/>
          <w:szCs w:val="24"/>
          <w:lang w:val="es-MX"/>
        </w:rPr>
        <w:t>s</w:t>
      </w:r>
      <w:r>
        <w:rPr>
          <w:rFonts w:ascii="Century Gothic" w:eastAsia="Arial" w:hAnsi="Century Gothic" w:cs="Arial"/>
          <w:color w:val="auto"/>
          <w:szCs w:val="24"/>
          <w:lang w:val="es-MX"/>
        </w:rPr>
        <w:t xml:space="preserve"> del Grupo Parlamentario de</w:t>
      </w:r>
      <w:r w:rsidR="009B1FE7">
        <w:rPr>
          <w:rFonts w:ascii="Century Gothic" w:eastAsia="Arial" w:hAnsi="Century Gothic" w:cs="Arial"/>
          <w:color w:val="auto"/>
          <w:szCs w:val="24"/>
          <w:lang w:val="es-MX"/>
        </w:rPr>
        <w:t xml:space="preserve"> MORENA</w:t>
      </w:r>
      <w:r w:rsidRPr="006C0094">
        <w:rPr>
          <w:rFonts w:ascii="Century Gothic" w:eastAsia="Arial" w:hAnsi="Century Gothic" w:cs="Arial"/>
          <w:color w:val="auto"/>
          <w:szCs w:val="24"/>
          <w:lang w:val="es-MX"/>
        </w:rPr>
        <w:t>, present</w:t>
      </w:r>
      <w:r w:rsidR="00E6678F">
        <w:rPr>
          <w:rFonts w:ascii="Century Gothic" w:eastAsia="Arial" w:hAnsi="Century Gothic" w:cs="Arial"/>
          <w:color w:val="auto"/>
          <w:szCs w:val="24"/>
          <w:lang w:val="es-MX"/>
        </w:rPr>
        <w:t>aron</w:t>
      </w:r>
      <w:r w:rsidRPr="006C0094">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i</w:t>
      </w:r>
      <w:r w:rsidRPr="006C0094">
        <w:rPr>
          <w:rFonts w:ascii="Century Gothic" w:eastAsia="Arial" w:hAnsi="Century Gothic" w:cs="Arial"/>
          <w:color w:val="auto"/>
          <w:szCs w:val="24"/>
          <w:lang w:val="es-MX"/>
        </w:rPr>
        <w:t>niciativa con carácter de Decreto</w:t>
      </w:r>
      <w:r w:rsidR="009B1FE7">
        <w:rPr>
          <w:rFonts w:ascii="Century Gothic" w:eastAsia="Arial" w:hAnsi="Century Gothic" w:cs="Arial"/>
          <w:color w:val="auto"/>
          <w:szCs w:val="24"/>
          <w:lang w:val="es-MX"/>
        </w:rPr>
        <w:t xml:space="preserve"> </w:t>
      </w:r>
      <w:r w:rsidR="00E6678F">
        <w:rPr>
          <w:rFonts w:ascii="Century Gothic" w:eastAsia="Arial" w:hAnsi="Century Gothic" w:cs="Arial"/>
          <w:color w:val="auto"/>
          <w:szCs w:val="24"/>
          <w:lang w:val="es-MX"/>
        </w:rPr>
        <w:t xml:space="preserve">para </w:t>
      </w:r>
      <w:r w:rsidR="00E6678F" w:rsidRPr="00E6678F">
        <w:rPr>
          <w:rFonts w:ascii="Century Gothic" w:eastAsia="Arial" w:hAnsi="Century Gothic" w:cs="Arial"/>
          <w:color w:val="auto"/>
          <w:szCs w:val="24"/>
          <w:lang w:val="es-MX"/>
        </w:rPr>
        <w:t>reformar el artículo 34 de la Ley Estatal de Salud, con el fin de considerar la atención médica a las personas adultas mayores, como un servicio esencial de salud.</w:t>
      </w:r>
      <w:r w:rsidR="006569D4">
        <w:rPr>
          <w:rStyle w:val="Refdenotaalpie"/>
          <w:rFonts w:ascii="Century Gothic" w:eastAsia="Arial" w:hAnsi="Century Gothic" w:cs="Arial"/>
          <w:color w:val="auto"/>
          <w:szCs w:val="24"/>
          <w:lang w:val="es-MX"/>
        </w:rPr>
        <w:footnoteReference w:id="1"/>
      </w:r>
    </w:p>
    <w:p w14:paraId="188D1291" w14:textId="77777777" w:rsidR="00272369" w:rsidRPr="006C0094" w:rsidRDefault="00272369" w:rsidP="00272369">
      <w:pPr>
        <w:pStyle w:val="Normal1"/>
        <w:spacing w:line="360" w:lineRule="auto"/>
        <w:contextualSpacing/>
        <w:jc w:val="both"/>
        <w:rPr>
          <w:rFonts w:ascii="Century Gothic" w:eastAsia="Arial" w:hAnsi="Century Gothic" w:cs="Arial"/>
          <w:b/>
          <w:color w:val="auto"/>
          <w:szCs w:val="24"/>
        </w:rPr>
      </w:pPr>
    </w:p>
    <w:p w14:paraId="770E0C74" w14:textId="1A512A8B"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E6678F">
        <w:rPr>
          <w:rFonts w:ascii="Century Gothic" w:eastAsia="Arial" w:hAnsi="Century Gothic" w:cs="Arial"/>
          <w:color w:val="auto"/>
          <w:szCs w:val="24"/>
          <w:lang w:val="es-MX"/>
        </w:rPr>
        <w:t>25</w:t>
      </w:r>
      <w:r w:rsidRPr="00E56955">
        <w:rPr>
          <w:rFonts w:ascii="Century Gothic" w:eastAsia="Arial" w:hAnsi="Century Gothic" w:cs="Arial"/>
          <w:color w:val="auto"/>
          <w:szCs w:val="24"/>
          <w:lang w:val="es-MX"/>
        </w:rPr>
        <w:t xml:space="preserve"> de </w:t>
      </w:r>
      <w:r w:rsidR="00E6678F">
        <w:rPr>
          <w:rFonts w:ascii="Century Gothic" w:eastAsia="Arial" w:hAnsi="Century Gothic" w:cs="Arial"/>
          <w:color w:val="auto"/>
          <w:szCs w:val="24"/>
          <w:lang w:val="es-MX"/>
        </w:rPr>
        <w:t>marzo</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w:t>
      </w:r>
      <w:r w:rsidR="00E6678F">
        <w:rPr>
          <w:rFonts w:ascii="Century Gothic" w:eastAsia="Arial" w:hAnsi="Century Gothic" w:cs="Arial"/>
          <w:color w:val="auto"/>
          <w:szCs w:val="24"/>
          <w:lang w:val="es-MX"/>
        </w:rPr>
        <w:t>5</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w:t>
      </w:r>
      <w:r w:rsidRPr="00414B59">
        <w:rPr>
          <w:rFonts w:ascii="Century Gothic" w:eastAsia="Arial" w:hAnsi="Century Gothic" w:cs="Arial"/>
          <w:color w:val="auto"/>
          <w:szCs w:val="24"/>
          <w:lang w:val="es-MX"/>
        </w:rPr>
        <w:lastRenderedPageBreak/>
        <w:t>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la Iniciativa de mérito, a efecto de proceder a</w:t>
      </w:r>
      <w:r w:rsidR="001778D7">
        <w:rPr>
          <w:rFonts w:ascii="Century Gothic" w:eastAsia="Arial" w:hAnsi="Century Gothic" w:cs="Arial"/>
          <w:color w:val="auto"/>
          <w:szCs w:val="24"/>
          <w:lang w:val="es-MX"/>
        </w:rPr>
        <w:t xml:space="preserve"> su </w:t>
      </w:r>
      <w:r w:rsidRPr="00414B59">
        <w:rPr>
          <w:rFonts w:ascii="Century Gothic" w:eastAsia="Arial" w:hAnsi="Century Gothic" w:cs="Arial"/>
          <w:color w:val="auto"/>
          <w:szCs w:val="24"/>
          <w:lang w:val="es-MX"/>
        </w:rPr>
        <w:t xml:space="preserve">estudio, análisis y elaboración del correspondiente dictamen. </w:t>
      </w:r>
    </w:p>
    <w:p w14:paraId="7100BECA" w14:textId="77777777"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p>
    <w:p w14:paraId="44A446F1" w14:textId="77777777" w:rsidR="00272369" w:rsidRDefault="00272369" w:rsidP="00272369">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Iniciativa en comento, </w:t>
      </w:r>
      <w:r w:rsidRPr="00414B59">
        <w:rPr>
          <w:rFonts w:ascii="Century Gothic" w:eastAsia="Arial" w:hAnsi="Century Gothic" w:cs="Arial"/>
          <w:color w:val="auto"/>
          <w:szCs w:val="24"/>
        </w:rPr>
        <w:t xml:space="preserve">se sustenta </w:t>
      </w:r>
      <w:r>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6D425341" w14:textId="77777777" w:rsidR="00272369" w:rsidRDefault="00272369" w:rsidP="00272369">
      <w:pPr>
        <w:spacing w:line="360" w:lineRule="auto"/>
        <w:ind w:right="82"/>
        <w:jc w:val="both"/>
        <w:rPr>
          <w:rFonts w:ascii="Century Gothic" w:eastAsia="Arial" w:hAnsi="Century Gothic" w:cs="Arial"/>
        </w:rPr>
      </w:pPr>
    </w:p>
    <w:p w14:paraId="0C1112F9" w14:textId="61888A2A" w:rsidR="00E6678F" w:rsidRPr="00E6678F" w:rsidRDefault="00272369" w:rsidP="00E6678F">
      <w:pPr>
        <w:ind w:left="284" w:right="333"/>
        <w:jc w:val="both"/>
        <w:rPr>
          <w:rFonts w:ascii="Century Gothic" w:eastAsia="Arial" w:hAnsi="Century Gothic" w:cs="Arial"/>
          <w:i/>
        </w:rPr>
      </w:pPr>
      <w:r w:rsidRPr="00A56D96">
        <w:rPr>
          <w:rFonts w:ascii="Century Gothic" w:eastAsia="Arial" w:hAnsi="Century Gothic" w:cs="Arial"/>
          <w:i/>
        </w:rPr>
        <w:t>“</w:t>
      </w:r>
      <w:r w:rsidR="00E6678F" w:rsidRPr="00E6678F">
        <w:rPr>
          <w:rFonts w:ascii="Century Gothic" w:eastAsia="Arial" w:hAnsi="Century Gothic" w:cs="Arial"/>
          <w:i/>
        </w:rPr>
        <w:t xml:space="preserve">En México, se considera persona adulta mayor a aquella que tiene 60 años o más y se refiere a la etapa que suma todas las experiencias de la vida y pasa por la mayoría de las metas familiares, profesionales y sociales. No obstante, también marca el inicio de una etapa donde las personas presentan condiciones de vulnerabilidad física, social y económica, por lo cual, atender las necesidades este sector de la población se convierte en un gran reto en términos de salud y oportunidades. </w:t>
      </w:r>
    </w:p>
    <w:p w14:paraId="0611882B" w14:textId="77777777" w:rsidR="00E6678F" w:rsidRPr="00E6678F" w:rsidRDefault="00E6678F" w:rsidP="00E6678F">
      <w:pPr>
        <w:ind w:left="284" w:right="333"/>
        <w:jc w:val="both"/>
        <w:rPr>
          <w:rFonts w:ascii="Century Gothic" w:eastAsia="Arial" w:hAnsi="Century Gothic" w:cs="Arial"/>
          <w:i/>
        </w:rPr>
      </w:pPr>
    </w:p>
    <w:p w14:paraId="69A18574" w14:textId="77777777" w:rsidR="00E6678F" w:rsidRPr="00E6678F" w:rsidRDefault="00E6678F" w:rsidP="00E6678F">
      <w:pPr>
        <w:ind w:left="284" w:right="333"/>
        <w:jc w:val="both"/>
        <w:rPr>
          <w:rFonts w:ascii="Century Gothic" w:eastAsia="Arial" w:hAnsi="Century Gothic" w:cs="Arial"/>
          <w:i/>
        </w:rPr>
      </w:pPr>
      <w:r w:rsidRPr="00E6678F">
        <w:rPr>
          <w:rFonts w:ascii="Century Gothic" w:eastAsia="Arial" w:hAnsi="Century Gothic" w:cs="Arial"/>
          <w:i/>
        </w:rPr>
        <w:t xml:space="preserve">Desde 1970, la proporción de personas de 60 años o más ha experimentado un crecimiento constante tanto en términos relativos como absolutos, resultado de descensos significativos en las tasas de fecundidad y mortalidad. En 1970, se estimaba que la población de personas adultas mayores era de 2.9 millones, representando el 5.7% del total poblacional. En la segunda década del presente siglo, este grupo demográfico registraba 14.4 millones, constituyendo el 11.2%. Se estima que para el año 2030, esta población alcance los 20.6 millones, representando el 15.0%, y para el 2070 esta proporción ascenderá a 48.3 millones, lo que representará el 34.2% de la población total, según datos del Consejo Nacional de Población (CONAPO).  </w:t>
      </w:r>
    </w:p>
    <w:p w14:paraId="748996F1" w14:textId="77777777" w:rsidR="00E6678F" w:rsidRPr="00E6678F" w:rsidRDefault="00E6678F" w:rsidP="00E6678F">
      <w:pPr>
        <w:ind w:left="284" w:right="333"/>
        <w:jc w:val="both"/>
        <w:rPr>
          <w:rFonts w:ascii="Century Gothic" w:eastAsia="Arial" w:hAnsi="Century Gothic" w:cs="Arial"/>
          <w:i/>
        </w:rPr>
      </w:pPr>
    </w:p>
    <w:p w14:paraId="5D7099A7" w14:textId="77777777" w:rsidR="00E6678F" w:rsidRPr="00E6678F" w:rsidRDefault="00E6678F" w:rsidP="00E6678F">
      <w:pPr>
        <w:ind w:left="284" w:right="333"/>
        <w:jc w:val="both"/>
        <w:rPr>
          <w:rFonts w:ascii="Century Gothic" w:eastAsia="Arial" w:hAnsi="Century Gothic" w:cs="Arial"/>
          <w:i/>
        </w:rPr>
      </w:pPr>
      <w:r w:rsidRPr="00E6678F">
        <w:rPr>
          <w:rFonts w:ascii="Century Gothic" w:eastAsia="Arial" w:hAnsi="Century Gothic" w:cs="Arial"/>
          <w:i/>
        </w:rPr>
        <w:t xml:space="preserve">Se calcula que la dinámica demográfica de cada estado experimentará cambios significativos a lo largo de estas décadas. En este contexto, Chihuahua también experimentará en futuras décadas, un aumento acelerado en la proporción de personas adultas mayores respecto a su población total, pasará de registrar 10.5% en 2020 a 15.1% en 2030 y 36.9% en 2070, según las estimaciones del CONAPO. </w:t>
      </w:r>
    </w:p>
    <w:p w14:paraId="43C3907B" w14:textId="77777777" w:rsidR="00E6678F" w:rsidRPr="00E6678F" w:rsidRDefault="00E6678F" w:rsidP="00E6678F">
      <w:pPr>
        <w:ind w:left="284" w:right="333"/>
        <w:jc w:val="both"/>
        <w:rPr>
          <w:rFonts w:ascii="Century Gothic" w:eastAsia="Arial" w:hAnsi="Century Gothic" w:cs="Arial"/>
          <w:i/>
        </w:rPr>
      </w:pPr>
    </w:p>
    <w:p w14:paraId="498D8547" w14:textId="4E2960B9" w:rsidR="00E6678F" w:rsidRPr="00E6678F" w:rsidRDefault="00E6678F" w:rsidP="00E6678F">
      <w:pPr>
        <w:ind w:left="284" w:right="333"/>
        <w:jc w:val="both"/>
        <w:rPr>
          <w:rFonts w:ascii="Century Gothic" w:eastAsia="Arial" w:hAnsi="Century Gothic" w:cs="Arial"/>
          <w:i/>
        </w:rPr>
      </w:pPr>
      <w:r w:rsidRPr="00E6678F">
        <w:rPr>
          <w:rFonts w:ascii="Century Gothic" w:eastAsia="Arial" w:hAnsi="Century Gothic" w:cs="Arial"/>
          <w:i/>
        </w:rPr>
        <w:t>Aunado al crecimiento exponencial de este rango etario de la población, es menester mencionar que, las personas de edad avanzada están predispuestas al padecimiento de enfermedades como la diabetes mellitus, misma que es representativa entre las más frecuentes en la senectud, el 44% de los diabéticos tienen más de 65 años; le sigue la artrosis o enfermedad degenerativa articular, el 70% de las personas mayores de 70 años muestran evidencia radiológica de esta enfermedad; la hipertensión arterial aumenta notoriamente con la edad, su prevalencia se sitúa en el 65% en los pacientes mayores de 65 años, asimismo las enfermedades cardiovasculares son la principal causa de muerte en las personas mayores de 65 años; las cataratas en nuestro país, son responsables del 45% de la ceguera, la mayoría de ellas están directamente relacionadas con el envejecimiento, y las padecen personas mayores de 60 años.</w:t>
      </w:r>
    </w:p>
    <w:p w14:paraId="553ED29A" w14:textId="77777777" w:rsidR="00E6678F" w:rsidRPr="00E6678F" w:rsidRDefault="00E6678F" w:rsidP="00E6678F">
      <w:pPr>
        <w:ind w:left="284" w:right="333"/>
        <w:jc w:val="both"/>
        <w:rPr>
          <w:rFonts w:ascii="Century Gothic" w:eastAsia="Arial" w:hAnsi="Century Gothic" w:cs="Arial"/>
          <w:i/>
        </w:rPr>
      </w:pPr>
    </w:p>
    <w:p w14:paraId="662247AB" w14:textId="77777777" w:rsidR="00E6678F" w:rsidRPr="00E6678F" w:rsidRDefault="00E6678F" w:rsidP="00E6678F">
      <w:pPr>
        <w:ind w:left="284" w:right="333"/>
        <w:jc w:val="both"/>
        <w:rPr>
          <w:rFonts w:ascii="Century Gothic" w:eastAsia="Arial" w:hAnsi="Century Gothic" w:cs="Arial"/>
          <w:i/>
        </w:rPr>
      </w:pPr>
      <w:r w:rsidRPr="00E6678F">
        <w:rPr>
          <w:rFonts w:ascii="Century Gothic" w:eastAsia="Arial" w:hAnsi="Century Gothic" w:cs="Arial"/>
          <w:i/>
        </w:rPr>
        <w:t>Estas circunstancias demandan políticas a nivel nacional y estatal que aborden las implicaciones de contar con una proporción significativa de personas adultas mayores y a propiciar el envejecimiento con calidad de vida, sobre todo en el área de la salud.</w:t>
      </w:r>
    </w:p>
    <w:p w14:paraId="4C245046" w14:textId="77777777" w:rsidR="00E6678F" w:rsidRPr="00E6678F" w:rsidRDefault="00E6678F" w:rsidP="00E6678F">
      <w:pPr>
        <w:ind w:left="284" w:right="333"/>
        <w:jc w:val="both"/>
        <w:rPr>
          <w:rFonts w:ascii="Century Gothic" w:eastAsia="Arial" w:hAnsi="Century Gothic" w:cs="Arial"/>
          <w:i/>
        </w:rPr>
      </w:pPr>
    </w:p>
    <w:p w14:paraId="28286F83" w14:textId="77777777" w:rsidR="00E6678F" w:rsidRPr="00E6678F" w:rsidRDefault="00E6678F" w:rsidP="00E6678F">
      <w:pPr>
        <w:ind w:left="284" w:right="333"/>
        <w:jc w:val="both"/>
        <w:rPr>
          <w:rFonts w:ascii="Century Gothic" w:eastAsia="Arial" w:hAnsi="Century Gothic" w:cs="Arial"/>
          <w:i/>
        </w:rPr>
      </w:pPr>
      <w:r w:rsidRPr="00E6678F">
        <w:rPr>
          <w:rFonts w:ascii="Century Gothic" w:eastAsia="Arial" w:hAnsi="Century Gothic" w:cs="Arial"/>
          <w:i/>
        </w:rPr>
        <w:t xml:space="preserve">En este sentido, la Ley de los Derechos de las Personas Adultas Mayores, en su Artículo 5°, fracción III, garantiza la protección del derecho a la salud, y el acceso a los satisfactores necesarios, para su atención integral. </w:t>
      </w:r>
    </w:p>
    <w:p w14:paraId="324AC583" w14:textId="77777777" w:rsidR="00E6678F" w:rsidRPr="00E6678F" w:rsidRDefault="00E6678F" w:rsidP="00E6678F">
      <w:pPr>
        <w:ind w:left="284" w:right="333"/>
        <w:jc w:val="both"/>
        <w:rPr>
          <w:rFonts w:ascii="Century Gothic" w:eastAsia="Arial" w:hAnsi="Century Gothic" w:cs="Arial"/>
          <w:i/>
        </w:rPr>
      </w:pPr>
    </w:p>
    <w:p w14:paraId="79881305" w14:textId="77777777" w:rsidR="00E6678F" w:rsidRPr="00E6678F" w:rsidRDefault="00E6678F" w:rsidP="00E6678F">
      <w:pPr>
        <w:ind w:left="284" w:right="333"/>
        <w:jc w:val="both"/>
        <w:rPr>
          <w:rFonts w:ascii="Century Gothic" w:eastAsia="Arial" w:hAnsi="Century Gothic" w:cs="Arial"/>
          <w:i/>
        </w:rPr>
      </w:pPr>
      <w:r w:rsidRPr="00E6678F">
        <w:rPr>
          <w:rFonts w:ascii="Century Gothic" w:eastAsia="Arial" w:hAnsi="Century Gothic" w:cs="Arial"/>
          <w:i/>
        </w:rPr>
        <w:t xml:space="preserve">Como legisladoras y legisladores es nuestra obligación extremar la protección de los derechos humanos y crear un entorno lo más seguro posible para la mayoría de la población, especialmente para las personas consideradas más vulnerables, como lo son las personas adultas mayores. </w:t>
      </w:r>
    </w:p>
    <w:p w14:paraId="744E9E40" w14:textId="77777777" w:rsidR="00E6678F" w:rsidRPr="00E6678F" w:rsidRDefault="00E6678F" w:rsidP="00E6678F">
      <w:pPr>
        <w:ind w:left="284" w:right="333"/>
        <w:jc w:val="both"/>
        <w:rPr>
          <w:rFonts w:ascii="Century Gothic" w:eastAsia="Arial" w:hAnsi="Century Gothic" w:cs="Arial"/>
          <w:i/>
        </w:rPr>
      </w:pPr>
    </w:p>
    <w:p w14:paraId="110BAB86" w14:textId="24706F87" w:rsidR="00E6678F" w:rsidRPr="00E6678F" w:rsidRDefault="00E6678F" w:rsidP="00E6678F">
      <w:pPr>
        <w:ind w:left="284" w:right="333"/>
        <w:jc w:val="both"/>
        <w:rPr>
          <w:rFonts w:ascii="Century Gothic" w:eastAsia="Arial" w:hAnsi="Century Gothic" w:cs="Arial"/>
          <w:i/>
        </w:rPr>
      </w:pPr>
      <w:r w:rsidRPr="00E6678F">
        <w:rPr>
          <w:rFonts w:ascii="Century Gothic" w:eastAsia="Arial" w:hAnsi="Century Gothic" w:cs="Arial"/>
          <w:i/>
        </w:rPr>
        <w:t xml:space="preserve">Es por ello, que la presente Iniciativa busca establecer que la atención médica a las personas adultas mayores, sea considerado un servicio esencial de salud, en nuestro Estado. </w:t>
      </w:r>
    </w:p>
    <w:p w14:paraId="0E5C9286" w14:textId="77777777" w:rsidR="00E6678F" w:rsidRPr="00E6678F" w:rsidRDefault="00E6678F" w:rsidP="00E6678F">
      <w:pPr>
        <w:ind w:right="333"/>
        <w:jc w:val="both"/>
        <w:rPr>
          <w:rFonts w:ascii="Century Gothic" w:eastAsia="Arial" w:hAnsi="Century Gothic" w:cs="Arial"/>
          <w:i/>
        </w:rPr>
      </w:pPr>
    </w:p>
    <w:p w14:paraId="00D2D768" w14:textId="4A154C6F" w:rsidR="00272369" w:rsidRPr="00DA2A80" w:rsidRDefault="00E6678F" w:rsidP="00E6678F">
      <w:pPr>
        <w:ind w:left="284" w:right="333"/>
        <w:jc w:val="both"/>
        <w:rPr>
          <w:rFonts w:ascii="Century Gothic" w:eastAsia="Arial" w:hAnsi="Century Gothic" w:cs="Arial"/>
          <w:i/>
        </w:rPr>
      </w:pPr>
      <w:r w:rsidRPr="00E6678F">
        <w:rPr>
          <w:rFonts w:ascii="Century Gothic" w:eastAsia="Arial" w:hAnsi="Century Gothic" w:cs="Arial"/>
          <w:i/>
        </w:rPr>
        <w:lastRenderedPageBreak/>
        <w:t>Estoy convencido que, de aprobarse en sus términos el texto propuesto, se acercaría un poco más a la población adulta mayor a un mejor goce del derecho a la salud, el que no solo implica el acceso a la atención médica y medicamentos, sino también, la capacidad de contar con todos los bienes y servicios para atender, desde los primeros síntomas de un malestar, hasta la completa restitución de la salud</w:t>
      </w:r>
      <w:r w:rsidR="00272369" w:rsidRPr="00A4484E">
        <w:rPr>
          <w:rFonts w:ascii="Century Gothic" w:eastAsia="Arial" w:hAnsi="Century Gothic" w:cs="Arial"/>
          <w:i/>
        </w:rPr>
        <w:t>.</w:t>
      </w:r>
      <w:r w:rsidR="00272369">
        <w:rPr>
          <w:rFonts w:ascii="Century Gothic" w:hAnsi="Century Gothic"/>
          <w:i/>
        </w:rPr>
        <w:t>”</w:t>
      </w:r>
    </w:p>
    <w:p w14:paraId="339E4E4E" w14:textId="77777777" w:rsidR="00272369" w:rsidRPr="00A30C36" w:rsidRDefault="00272369" w:rsidP="00272369">
      <w:pPr>
        <w:spacing w:line="360" w:lineRule="auto"/>
        <w:ind w:right="82"/>
        <w:jc w:val="both"/>
        <w:rPr>
          <w:rFonts w:ascii="Century Gothic" w:eastAsia="Arial" w:hAnsi="Century Gothic" w:cs="Arial"/>
          <w:i/>
        </w:rPr>
      </w:pPr>
    </w:p>
    <w:p w14:paraId="5B2ECF8A" w14:textId="77777777"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Iniciativa en comento, quienes integramos 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2DDCD83C" w14:textId="77777777"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p>
    <w:p w14:paraId="0C603198" w14:textId="77777777" w:rsidR="00272369" w:rsidRPr="00414B59" w:rsidRDefault="00272369" w:rsidP="00272369">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615B45BF" w14:textId="77777777" w:rsidR="00272369" w:rsidRPr="00414B59" w:rsidRDefault="00272369" w:rsidP="00272369">
      <w:pPr>
        <w:pStyle w:val="Normal1"/>
        <w:spacing w:line="360" w:lineRule="auto"/>
        <w:contextualSpacing/>
        <w:jc w:val="center"/>
        <w:rPr>
          <w:rFonts w:ascii="Century Gothic" w:eastAsia="Arial" w:hAnsi="Century Gothic" w:cs="Arial"/>
          <w:color w:val="auto"/>
          <w:szCs w:val="24"/>
          <w:lang w:val="es-MX"/>
        </w:rPr>
      </w:pPr>
    </w:p>
    <w:p w14:paraId="61546033" w14:textId="784AD23D" w:rsidR="001C4C77" w:rsidRDefault="001C4C77" w:rsidP="001C4C77">
      <w:pPr>
        <w:pStyle w:val="Normal1"/>
        <w:spacing w:line="360" w:lineRule="auto"/>
        <w:contextualSpacing/>
        <w:jc w:val="both"/>
        <w:rPr>
          <w:rFonts w:ascii="Century Gothic" w:eastAsia="Arial" w:hAnsi="Century Gothic" w:cs="Arial"/>
          <w:szCs w:val="24"/>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Pr="0090301A">
        <w:rPr>
          <w:rFonts w:ascii="Century Gothic" w:eastAsia="Arial" w:hAnsi="Century Gothic" w:cs="Arial"/>
          <w:szCs w:val="24"/>
        </w:rPr>
        <w:t xml:space="preserve">El H. Congreso del Estado, a </w:t>
      </w:r>
      <w:r w:rsidRPr="002D67A7">
        <w:rPr>
          <w:rFonts w:ascii="Century Gothic" w:eastAsia="Arial" w:hAnsi="Century Gothic" w:cs="Arial"/>
          <w:szCs w:val="24"/>
        </w:rPr>
        <w:t xml:space="preserve">través de esta Comisión de </w:t>
      </w:r>
      <w:r>
        <w:rPr>
          <w:rFonts w:ascii="Century Gothic" w:eastAsia="Arial" w:hAnsi="Century Gothic" w:cs="Arial"/>
          <w:szCs w:val="24"/>
        </w:rPr>
        <w:t>Dictamen Legislativo</w:t>
      </w:r>
      <w:r w:rsidRPr="0090301A">
        <w:rPr>
          <w:rFonts w:ascii="Century Gothic" w:eastAsia="Arial" w:hAnsi="Century Gothic" w:cs="Arial"/>
          <w:szCs w:val="24"/>
        </w:rPr>
        <w:t xml:space="preserve">, es competente para conocer y resolver sobre </w:t>
      </w:r>
      <w:r>
        <w:rPr>
          <w:rFonts w:ascii="Century Gothic" w:eastAsia="Arial" w:hAnsi="Century Gothic" w:cs="Arial"/>
          <w:szCs w:val="24"/>
        </w:rPr>
        <w:t xml:space="preserve">el asunto descrito </w:t>
      </w:r>
      <w:r w:rsidRPr="0090301A">
        <w:rPr>
          <w:rFonts w:ascii="Century Gothic" w:eastAsia="Arial" w:hAnsi="Century Gothic" w:cs="Arial"/>
          <w:szCs w:val="24"/>
        </w:rPr>
        <w:t>en el apartado de antecedentes.</w:t>
      </w:r>
    </w:p>
    <w:p w14:paraId="69705DE0" w14:textId="16CE53FD" w:rsidR="00C90CBF" w:rsidRDefault="00C90CBF" w:rsidP="001C4C77">
      <w:pPr>
        <w:pStyle w:val="Normal1"/>
        <w:spacing w:line="360" w:lineRule="auto"/>
        <w:contextualSpacing/>
        <w:jc w:val="both"/>
        <w:rPr>
          <w:rFonts w:ascii="Century Gothic" w:eastAsia="Arial" w:hAnsi="Century Gothic" w:cs="Arial"/>
          <w:szCs w:val="24"/>
        </w:rPr>
      </w:pPr>
    </w:p>
    <w:p w14:paraId="7CFB7764" w14:textId="2EE4E2E4" w:rsidR="001C4C77" w:rsidRDefault="00C90CBF" w:rsidP="001C4C77">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szCs w:val="24"/>
        </w:rPr>
        <w:t xml:space="preserve">Tal como lo señala la </w:t>
      </w:r>
      <w:r w:rsidRPr="00455216">
        <w:rPr>
          <w:rFonts w:ascii="Century Gothic" w:eastAsia="Arial" w:hAnsi="Century Gothic" w:cs="Arial"/>
          <w:b/>
          <w:bCs/>
          <w:szCs w:val="24"/>
        </w:rPr>
        <w:t>Constitución Política del Estado Libre y Soberano de Chihuahua</w:t>
      </w:r>
      <w:r w:rsidR="00F71565">
        <w:rPr>
          <w:rFonts w:ascii="Century Gothic" w:eastAsia="Arial" w:hAnsi="Century Gothic" w:cs="Arial"/>
          <w:b/>
          <w:bCs/>
          <w:szCs w:val="24"/>
        </w:rPr>
        <w:t>,</w:t>
      </w:r>
      <w:r w:rsidR="00455216">
        <w:rPr>
          <w:rStyle w:val="Refdenotaalpie"/>
          <w:rFonts w:ascii="Century Gothic" w:eastAsia="Arial" w:hAnsi="Century Gothic" w:cs="Arial"/>
          <w:b/>
          <w:bCs/>
          <w:szCs w:val="24"/>
        </w:rPr>
        <w:footnoteReference w:id="2"/>
      </w:r>
      <w:r>
        <w:rPr>
          <w:rFonts w:ascii="Century Gothic" w:eastAsia="Arial" w:hAnsi="Century Gothic" w:cs="Arial"/>
          <w:szCs w:val="24"/>
        </w:rPr>
        <w:t xml:space="preserve"> en su artículo 160: </w:t>
      </w:r>
      <w:r w:rsidRPr="00C90CBF">
        <w:rPr>
          <w:rFonts w:ascii="Century Gothic" w:eastAsia="Arial" w:hAnsi="Century Gothic" w:cs="Arial"/>
          <w:i/>
          <w:iCs/>
          <w:szCs w:val="24"/>
        </w:rPr>
        <w:t xml:space="preserve">“La Legislatura del Estado establecerá las normas sobre salud que no sean de la competencia exclusiva del Congreso de la Unión”. </w:t>
      </w:r>
    </w:p>
    <w:p w14:paraId="4CA49BE7" w14:textId="77777777" w:rsidR="00455216" w:rsidRPr="00455216" w:rsidRDefault="00455216" w:rsidP="001C4C77">
      <w:pPr>
        <w:pStyle w:val="Normal1"/>
        <w:spacing w:line="360" w:lineRule="auto"/>
        <w:contextualSpacing/>
        <w:jc w:val="both"/>
        <w:rPr>
          <w:rFonts w:ascii="Century Gothic" w:eastAsia="Arial" w:hAnsi="Century Gothic" w:cs="Arial"/>
          <w:i/>
          <w:iCs/>
          <w:color w:val="auto"/>
          <w:szCs w:val="24"/>
          <w:lang w:val="es-MX"/>
        </w:rPr>
      </w:pPr>
    </w:p>
    <w:p w14:paraId="29DD3229" w14:textId="3AABAE43" w:rsidR="001C4C77" w:rsidRDefault="001C4C77" w:rsidP="001C4C77">
      <w:pPr>
        <w:pStyle w:val="Normal1"/>
        <w:spacing w:line="360" w:lineRule="auto"/>
        <w:contextualSpacing/>
        <w:jc w:val="both"/>
        <w:rPr>
          <w:rFonts w:ascii="Century Gothic" w:eastAsia="Arial" w:hAnsi="Century Gothic" w:cs="Arial"/>
          <w:szCs w:val="24"/>
          <w:lang w:val="es-MX"/>
        </w:rPr>
      </w:pPr>
      <w:r w:rsidRPr="00414B59">
        <w:rPr>
          <w:rFonts w:ascii="Century Gothic" w:eastAsia="Arial" w:hAnsi="Century Gothic" w:cs="Arial"/>
          <w:b/>
          <w:color w:val="auto"/>
          <w:szCs w:val="24"/>
          <w:lang w:val="es-MX"/>
        </w:rPr>
        <w:lastRenderedPageBreak/>
        <w:t xml:space="preserve">II.- </w:t>
      </w:r>
      <w:r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Pr>
          <w:rFonts w:ascii="Century Gothic" w:eastAsia="Arial" w:hAnsi="Century Gothic" w:cs="Arial"/>
          <w:szCs w:val="24"/>
          <w:lang w:val="es-MX"/>
        </w:rPr>
        <w:t xml:space="preserve">se pretende </w:t>
      </w:r>
      <w:r w:rsidRPr="00353185">
        <w:rPr>
          <w:rFonts w:ascii="Century Gothic" w:eastAsia="Arial" w:hAnsi="Century Gothic" w:cs="Arial"/>
          <w:szCs w:val="24"/>
          <w:lang w:val="es-MX"/>
        </w:rPr>
        <w:t xml:space="preserve">reformar </w:t>
      </w:r>
      <w:r w:rsidR="005D5E80">
        <w:rPr>
          <w:rFonts w:ascii="Century Gothic" w:eastAsia="Arial" w:hAnsi="Century Gothic" w:cs="Arial"/>
          <w:szCs w:val="24"/>
          <w:lang w:val="es-MX"/>
        </w:rPr>
        <w:t>el artículo 3</w:t>
      </w:r>
      <w:r w:rsidR="002B64F2">
        <w:rPr>
          <w:rFonts w:ascii="Century Gothic" w:eastAsia="Arial" w:hAnsi="Century Gothic" w:cs="Arial"/>
          <w:szCs w:val="24"/>
          <w:lang w:val="es-MX"/>
        </w:rPr>
        <w:t>4</w:t>
      </w:r>
      <w:r w:rsidR="005D5E80">
        <w:rPr>
          <w:rFonts w:ascii="Century Gothic" w:eastAsia="Arial" w:hAnsi="Century Gothic" w:cs="Arial"/>
          <w:szCs w:val="24"/>
          <w:lang w:val="es-MX"/>
        </w:rPr>
        <w:t xml:space="preserve"> de </w:t>
      </w:r>
      <w:r w:rsidRPr="004C3533">
        <w:rPr>
          <w:rFonts w:ascii="Century Gothic" w:eastAsia="Arial" w:hAnsi="Century Gothic" w:cs="Arial"/>
          <w:szCs w:val="24"/>
          <w:lang w:val="es-MX"/>
        </w:rPr>
        <w:t xml:space="preserve">la </w:t>
      </w:r>
      <w:r w:rsidRPr="00455216">
        <w:rPr>
          <w:rFonts w:ascii="Century Gothic" w:eastAsia="Arial" w:hAnsi="Century Gothic" w:cs="Arial"/>
          <w:b/>
          <w:bCs/>
          <w:szCs w:val="24"/>
          <w:lang w:val="es-MX"/>
        </w:rPr>
        <w:t xml:space="preserve">Ley Estatal de </w:t>
      </w:r>
      <w:r w:rsidR="005D5E80">
        <w:rPr>
          <w:rFonts w:ascii="Century Gothic" w:eastAsia="Arial" w:hAnsi="Century Gothic" w:cs="Arial"/>
          <w:b/>
          <w:bCs/>
          <w:szCs w:val="24"/>
          <w:lang w:val="es-MX"/>
        </w:rPr>
        <w:t>Salud</w:t>
      </w:r>
      <w:r w:rsidR="00455216">
        <w:rPr>
          <w:rFonts w:ascii="Century Gothic" w:eastAsia="Arial" w:hAnsi="Century Gothic" w:cs="Arial"/>
          <w:b/>
          <w:bCs/>
          <w:szCs w:val="24"/>
          <w:lang w:val="es-MX"/>
        </w:rPr>
        <w:t>,</w:t>
      </w:r>
      <w:r w:rsidR="00455216">
        <w:rPr>
          <w:rStyle w:val="Refdenotaalpie"/>
          <w:rFonts w:ascii="Century Gothic" w:eastAsia="Arial" w:hAnsi="Century Gothic" w:cs="Arial"/>
          <w:b/>
          <w:bCs/>
          <w:szCs w:val="24"/>
          <w:lang w:val="es-MX"/>
        </w:rPr>
        <w:footnoteReference w:id="3"/>
      </w:r>
      <w:r>
        <w:rPr>
          <w:rFonts w:ascii="Century Gothic" w:eastAsia="Arial" w:hAnsi="Century Gothic" w:cs="Arial"/>
          <w:szCs w:val="24"/>
          <w:lang w:val="es-MX"/>
        </w:rPr>
        <w:t xml:space="preserve"> </w:t>
      </w:r>
      <w:r w:rsidR="00321AAC">
        <w:rPr>
          <w:rFonts w:ascii="Century Gothic" w:eastAsia="Arial" w:hAnsi="Century Gothic" w:cs="Arial"/>
          <w:szCs w:val="24"/>
          <w:lang w:val="es-MX"/>
        </w:rPr>
        <w:t xml:space="preserve">a </w:t>
      </w:r>
      <w:r w:rsidR="00321AAC" w:rsidRPr="00321AAC">
        <w:rPr>
          <w:rFonts w:ascii="Century Gothic" w:eastAsia="Arial" w:hAnsi="Century Gothic" w:cs="Arial"/>
          <w:szCs w:val="24"/>
          <w:lang w:val="es-MX"/>
        </w:rPr>
        <w:t>fin de considerar la atención médica a las personas adultas mayores, como un servicio esencial de salud.</w:t>
      </w:r>
    </w:p>
    <w:p w14:paraId="47EA7CAC" w14:textId="77777777" w:rsidR="00DB734A" w:rsidRPr="00DB734A" w:rsidRDefault="00DB734A" w:rsidP="001C4C77">
      <w:pPr>
        <w:pStyle w:val="Normal1"/>
        <w:spacing w:line="360" w:lineRule="auto"/>
        <w:contextualSpacing/>
        <w:jc w:val="both"/>
        <w:rPr>
          <w:rFonts w:ascii="Century Gothic" w:eastAsia="Arial" w:hAnsi="Century Gothic" w:cs="Arial"/>
          <w:szCs w:val="24"/>
          <w:lang w:val="es-MX"/>
        </w:rPr>
      </w:pPr>
    </w:p>
    <w:p w14:paraId="3CD3ADB8" w14:textId="531E2C02" w:rsidR="00DB734A" w:rsidRDefault="001C4C77" w:rsidP="00B51B5D">
      <w:pPr>
        <w:pStyle w:val="Normal1"/>
        <w:spacing w:line="360" w:lineRule="auto"/>
        <w:contextualSpacing/>
        <w:jc w:val="both"/>
        <w:rPr>
          <w:rFonts w:ascii="Century Gothic" w:eastAsia="Arial" w:hAnsi="Century Gothic" w:cs="Arial"/>
          <w:b/>
          <w:bCs/>
          <w:color w:val="auto"/>
          <w:szCs w:val="24"/>
          <w:lang w:val="es-MX"/>
        </w:rPr>
      </w:pPr>
      <w:r w:rsidRPr="001E0785">
        <w:rPr>
          <w:rFonts w:ascii="Century Gothic" w:eastAsia="Arial" w:hAnsi="Century Gothic" w:cs="Arial"/>
          <w:b/>
          <w:bCs/>
          <w:color w:val="auto"/>
          <w:szCs w:val="24"/>
          <w:lang w:val="es-MX"/>
        </w:rPr>
        <w:t>III.-</w:t>
      </w:r>
      <w:r>
        <w:rPr>
          <w:rFonts w:ascii="Century Gothic" w:eastAsia="Arial" w:hAnsi="Century Gothic" w:cs="Arial"/>
          <w:b/>
          <w:bCs/>
          <w:color w:val="auto"/>
          <w:szCs w:val="24"/>
          <w:lang w:val="es-MX"/>
        </w:rPr>
        <w:t xml:space="preserve"> </w:t>
      </w:r>
      <w:r w:rsidR="00DB734A" w:rsidRPr="000852EF">
        <w:rPr>
          <w:rFonts w:ascii="Century Gothic" w:eastAsia="Arial" w:hAnsi="Century Gothic" w:cs="Arial"/>
          <w:color w:val="auto"/>
          <w:szCs w:val="24"/>
          <w:lang w:val="es-MX"/>
        </w:rPr>
        <w:t xml:space="preserve">Como antecedente a la propuesta en estudio, </w:t>
      </w:r>
      <w:r w:rsidR="00DB734A">
        <w:rPr>
          <w:rFonts w:ascii="Century Gothic" w:eastAsia="Arial" w:hAnsi="Century Gothic" w:cs="Arial"/>
          <w:color w:val="auto"/>
          <w:szCs w:val="24"/>
          <w:lang w:val="es-MX"/>
        </w:rPr>
        <w:t>es necesario señalar que en el ámbito del derecho internacional, las personas adultas mayores</w:t>
      </w:r>
      <w:r w:rsidR="00DB734A" w:rsidRPr="00DB734A">
        <w:rPr>
          <w:rFonts w:ascii="Century Gothic" w:eastAsia="Arial" w:hAnsi="Century Gothic" w:cs="Arial"/>
          <w:color w:val="auto"/>
          <w:szCs w:val="24"/>
          <w:lang w:val="es-MX"/>
        </w:rPr>
        <w:t xml:space="preserve"> gozan de la protección establecida en la </w:t>
      </w:r>
      <w:r w:rsidR="00DB734A" w:rsidRPr="00DB734A">
        <w:rPr>
          <w:rFonts w:ascii="Century Gothic" w:eastAsia="Arial" w:hAnsi="Century Gothic" w:cs="Arial"/>
          <w:b/>
          <w:bCs/>
          <w:color w:val="auto"/>
          <w:szCs w:val="24"/>
          <w:lang w:val="es-MX"/>
        </w:rPr>
        <w:t>Declaración Universal de Derechos</w:t>
      </w:r>
      <w:r w:rsidR="00DB734A">
        <w:rPr>
          <w:rFonts w:ascii="Century Gothic" w:eastAsia="Arial" w:hAnsi="Century Gothic" w:cs="Arial"/>
          <w:b/>
          <w:bCs/>
          <w:color w:val="auto"/>
          <w:szCs w:val="24"/>
          <w:lang w:val="es-MX"/>
        </w:rPr>
        <w:t xml:space="preserve"> </w:t>
      </w:r>
      <w:r w:rsidR="00DB734A" w:rsidRPr="00DB734A">
        <w:rPr>
          <w:rFonts w:ascii="Century Gothic" w:eastAsia="Arial" w:hAnsi="Century Gothic" w:cs="Arial"/>
          <w:b/>
          <w:bCs/>
          <w:color w:val="auto"/>
          <w:szCs w:val="24"/>
          <w:lang w:val="es-MX"/>
        </w:rPr>
        <w:t>Humanos</w:t>
      </w:r>
      <w:r w:rsidR="00DB734A">
        <w:rPr>
          <w:rStyle w:val="Refdenotaalpie"/>
          <w:rFonts w:ascii="Century Gothic" w:eastAsia="Arial" w:hAnsi="Century Gothic" w:cs="Arial"/>
          <w:color w:val="auto"/>
          <w:szCs w:val="24"/>
          <w:lang w:val="es-MX"/>
        </w:rPr>
        <w:footnoteReference w:id="4"/>
      </w:r>
      <w:r w:rsidR="00DB734A" w:rsidRPr="00DB734A">
        <w:rPr>
          <w:rFonts w:ascii="Century Gothic" w:eastAsia="Arial" w:hAnsi="Century Gothic" w:cs="Arial"/>
          <w:color w:val="auto"/>
          <w:szCs w:val="24"/>
          <w:lang w:val="es-MX"/>
        </w:rPr>
        <w:t xml:space="preserve">; la </w:t>
      </w:r>
      <w:r w:rsidR="00DB734A" w:rsidRPr="00DB734A">
        <w:rPr>
          <w:rFonts w:ascii="Century Gothic" w:eastAsia="Arial" w:hAnsi="Century Gothic" w:cs="Arial"/>
          <w:b/>
          <w:bCs/>
          <w:color w:val="auto"/>
          <w:szCs w:val="24"/>
          <w:lang w:val="es-MX"/>
        </w:rPr>
        <w:t>Convención Americana sobre</w:t>
      </w:r>
      <w:r w:rsidR="00DB734A">
        <w:rPr>
          <w:rFonts w:ascii="Century Gothic" w:eastAsia="Arial" w:hAnsi="Century Gothic" w:cs="Arial"/>
          <w:b/>
          <w:bCs/>
          <w:color w:val="auto"/>
          <w:szCs w:val="24"/>
          <w:lang w:val="es-MX"/>
        </w:rPr>
        <w:t xml:space="preserve"> </w:t>
      </w:r>
      <w:r w:rsidR="00DB734A" w:rsidRPr="00DB734A">
        <w:rPr>
          <w:rFonts w:ascii="Century Gothic" w:eastAsia="Arial" w:hAnsi="Century Gothic" w:cs="Arial"/>
          <w:b/>
          <w:bCs/>
          <w:color w:val="auto"/>
          <w:szCs w:val="24"/>
          <w:lang w:val="es-MX"/>
        </w:rPr>
        <w:t>Derechos Humanos</w:t>
      </w:r>
      <w:r w:rsidR="00DB734A">
        <w:rPr>
          <w:rStyle w:val="Refdenotaalpie"/>
          <w:rFonts w:ascii="Century Gothic" w:eastAsia="Arial" w:hAnsi="Century Gothic" w:cs="Arial"/>
          <w:b/>
          <w:bCs/>
          <w:color w:val="auto"/>
          <w:szCs w:val="24"/>
          <w:lang w:val="es-MX"/>
        </w:rPr>
        <w:footnoteReference w:id="5"/>
      </w:r>
      <w:r w:rsidR="00DB734A" w:rsidRPr="00DB734A">
        <w:rPr>
          <w:rFonts w:ascii="Century Gothic" w:eastAsia="Arial" w:hAnsi="Century Gothic" w:cs="Arial"/>
          <w:color w:val="auto"/>
          <w:szCs w:val="24"/>
          <w:lang w:val="es-MX"/>
        </w:rPr>
        <w:t xml:space="preserve">; el </w:t>
      </w:r>
      <w:r w:rsidR="00DB734A" w:rsidRPr="00DB734A">
        <w:rPr>
          <w:rFonts w:ascii="Century Gothic" w:eastAsia="Arial" w:hAnsi="Century Gothic" w:cs="Arial"/>
          <w:b/>
          <w:bCs/>
          <w:color w:val="auto"/>
          <w:szCs w:val="24"/>
          <w:lang w:val="es-MX"/>
        </w:rPr>
        <w:t>Pacto Internacional de Derechos Económicos, Sociales y Culturales</w:t>
      </w:r>
      <w:r w:rsidR="00DB734A">
        <w:rPr>
          <w:rStyle w:val="Refdenotaalpie"/>
          <w:rFonts w:ascii="Century Gothic" w:eastAsia="Arial" w:hAnsi="Century Gothic" w:cs="Arial"/>
          <w:b/>
          <w:bCs/>
          <w:color w:val="auto"/>
          <w:szCs w:val="24"/>
          <w:lang w:val="es-MX"/>
        </w:rPr>
        <w:footnoteReference w:id="6"/>
      </w:r>
      <w:r w:rsidR="00DB734A" w:rsidRPr="00DB734A">
        <w:rPr>
          <w:rFonts w:ascii="Century Gothic" w:eastAsia="Arial" w:hAnsi="Century Gothic" w:cs="Arial"/>
          <w:color w:val="auto"/>
          <w:szCs w:val="24"/>
          <w:lang w:val="es-MX"/>
        </w:rPr>
        <w:t>; el</w:t>
      </w:r>
      <w:r w:rsidR="00DB734A">
        <w:rPr>
          <w:rFonts w:ascii="Century Gothic" w:eastAsia="Arial" w:hAnsi="Century Gothic" w:cs="Arial"/>
          <w:color w:val="auto"/>
          <w:szCs w:val="24"/>
          <w:lang w:val="es-MX"/>
        </w:rPr>
        <w:t xml:space="preserve"> </w:t>
      </w:r>
      <w:r w:rsidR="00DB734A" w:rsidRPr="00DB734A">
        <w:rPr>
          <w:rFonts w:ascii="Century Gothic" w:eastAsia="Arial" w:hAnsi="Century Gothic" w:cs="Arial"/>
          <w:b/>
          <w:bCs/>
          <w:color w:val="auto"/>
          <w:szCs w:val="24"/>
          <w:lang w:val="es-MX"/>
        </w:rPr>
        <w:t>Pacto Internacional de Derechos Civiles y Políticos</w:t>
      </w:r>
      <w:r w:rsidR="00DB734A">
        <w:rPr>
          <w:rStyle w:val="Refdenotaalpie"/>
          <w:rFonts w:ascii="Century Gothic" w:eastAsia="Arial" w:hAnsi="Century Gothic" w:cs="Arial"/>
          <w:b/>
          <w:bCs/>
          <w:color w:val="auto"/>
          <w:szCs w:val="24"/>
          <w:lang w:val="es-MX"/>
        </w:rPr>
        <w:footnoteReference w:id="7"/>
      </w:r>
      <w:r w:rsidR="00DB734A" w:rsidRPr="00DB734A">
        <w:rPr>
          <w:rFonts w:ascii="Century Gothic" w:eastAsia="Arial" w:hAnsi="Century Gothic" w:cs="Arial"/>
          <w:color w:val="auto"/>
          <w:szCs w:val="24"/>
          <w:lang w:val="es-MX"/>
        </w:rPr>
        <w:t xml:space="preserve">; la </w:t>
      </w:r>
      <w:r w:rsidR="00DB734A" w:rsidRPr="00DB734A">
        <w:rPr>
          <w:rFonts w:ascii="Century Gothic" w:eastAsia="Arial" w:hAnsi="Century Gothic" w:cs="Arial"/>
          <w:b/>
          <w:bCs/>
          <w:color w:val="auto"/>
          <w:szCs w:val="24"/>
          <w:lang w:val="es-MX"/>
        </w:rPr>
        <w:t>Recomendación 162 de la Organización Internacional del Trabajo (OIT) sobre los trabajadores de edad</w:t>
      </w:r>
      <w:r w:rsidR="00DB734A">
        <w:rPr>
          <w:rStyle w:val="Refdenotaalpie"/>
          <w:rFonts w:ascii="Century Gothic" w:eastAsia="Arial" w:hAnsi="Century Gothic" w:cs="Arial"/>
          <w:b/>
          <w:bCs/>
          <w:color w:val="auto"/>
          <w:szCs w:val="24"/>
          <w:lang w:val="es-MX"/>
        </w:rPr>
        <w:footnoteReference w:id="8"/>
      </w:r>
      <w:r w:rsidR="00DB734A" w:rsidRPr="00DB734A">
        <w:rPr>
          <w:rFonts w:ascii="Century Gothic" w:eastAsia="Arial" w:hAnsi="Century Gothic" w:cs="Arial"/>
          <w:color w:val="auto"/>
          <w:szCs w:val="24"/>
          <w:lang w:val="es-MX"/>
        </w:rPr>
        <w:t xml:space="preserve">; el </w:t>
      </w:r>
      <w:r w:rsidR="00DB734A" w:rsidRPr="00DB734A">
        <w:rPr>
          <w:rFonts w:ascii="Century Gothic" w:eastAsia="Arial" w:hAnsi="Century Gothic" w:cs="Arial"/>
          <w:b/>
          <w:bCs/>
          <w:color w:val="auto"/>
          <w:szCs w:val="24"/>
          <w:lang w:val="es-MX"/>
        </w:rPr>
        <w:t>Protocolo de San Salvador</w:t>
      </w:r>
      <w:r w:rsidR="00DB734A">
        <w:rPr>
          <w:rStyle w:val="Refdenotaalpie"/>
          <w:rFonts w:ascii="Century Gothic" w:eastAsia="Arial" w:hAnsi="Century Gothic" w:cs="Arial"/>
          <w:b/>
          <w:bCs/>
          <w:color w:val="auto"/>
          <w:szCs w:val="24"/>
          <w:lang w:val="es-MX"/>
        </w:rPr>
        <w:footnoteReference w:id="9"/>
      </w:r>
      <w:r w:rsidR="00DB734A" w:rsidRPr="00DB734A">
        <w:rPr>
          <w:rFonts w:ascii="Century Gothic" w:eastAsia="Arial" w:hAnsi="Century Gothic" w:cs="Arial"/>
          <w:color w:val="auto"/>
          <w:szCs w:val="24"/>
          <w:lang w:val="es-MX"/>
        </w:rPr>
        <w:t>;</w:t>
      </w:r>
      <w:r w:rsidR="00DB734A">
        <w:rPr>
          <w:rFonts w:ascii="Century Gothic" w:eastAsia="Arial" w:hAnsi="Century Gothic" w:cs="Arial"/>
          <w:color w:val="auto"/>
          <w:szCs w:val="24"/>
          <w:lang w:val="es-MX"/>
        </w:rPr>
        <w:t xml:space="preserve"> </w:t>
      </w:r>
      <w:r w:rsidR="00B51B5D">
        <w:rPr>
          <w:rFonts w:ascii="Century Gothic" w:eastAsia="Arial" w:hAnsi="Century Gothic" w:cs="Arial"/>
          <w:color w:val="auto"/>
          <w:szCs w:val="24"/>
          <w:lang w:val="es-MX"/>
        </w:rPr>
        <w:t xml:space="preserve">y en </w:t>
      </w:r>
      <w:r w:rsidR="00DB734A" w:rsidRPr="00DB734A">
        <w:rPr>
          <w:rFonts w:ascii="Century Gothic" w:eastAsia="Arial" w:hAnsi="Century Gothic" w:cs="Arial"/>
          <w:color w:val="auto"/>
          <w:szCs w:val="24"/>
          <w:lang w:val="es-MX"/>
        </w:rPr>
        <w:t xml:space="preserve">la </w:t>
      </w:r>
      <w:r w:rsidR="00DB734A" w:rsidRPr="00B51B5D">
        <w:rPr>
          <w:rFonts w:ascii="Century Gothic" w:eastAsia="Arial" w:hAnsi="Century Gothic" w:cs="Arial"/>
          <w:b/>
          <w:bCs/>
          <w:color w:val="auto"/>
          <w:szCs w:val="24"/>
          <w:lang w:val="es-MX"/>
        </w:rPr>
        <w:t>Convención Interamericana sobre la Protección de los Derechos Humanos</w:t>
      </w:r>
      <w:r w:rsidR="00B51B5D" w:rsidRPr="00B51B5D">
        <w:rPr>
          <w:rFonts w:ascii="Century Gothic" w:eastAsia="Arial" w:hAnsi="Century Gothic" w:cs="Arial"/>
          <w:b/>
          <w:bCs/>
          <w:color w:val="auto"/>
          <w:szCs w:val="24"/>
          <w:lang w:val="es-MX"/>
        </w:rPr>
        <w:t xml:space="preserve"> </w:t>
      </w:r>
      <w:r w:rsidR="00DB734A" w:rsidRPr="00B51B5D">
        <w:rPr>
          <w:rFonts w:ascii="Century Gothic" w:eastAsia="Arial" w:hAnsi="Century Gothic" w:cs="Arial"/>
          <w:b/>
          <w:bCs/>
          <w:color w:val="auto"/>
          <w:szCs w:val="24"/>
          <w:lang w:val="es-MX"/>
        </w:rPr>
        <w:t>de las Personas Mayores</w:t>
      </w:r>
      <w:r w:rsidR="00B51B5D">
        <w:rPr>
          <w:rStyle w:val="Refdenotaalpie"/>
          <w:rFonts w:ascii="Century Gothic" w:eastAsia="Arial" w:hAnsi="Century Gothic" w:cs="Arial"/>
          <w:b/>
          <w:bCs/>
          <w:color w:val="auto"/>
          <w:szCs w:val="24"/>
          <w:lang w:val="es-MX"/>
        </w:rPr>
        <w:footnoteReference w:id="10"/>
      </w:r>
      <w:r w:rsidR="00B51B5D">
        <w:rPr>
          <w:rFonts w:ascii="Century Gothic" w:eastAsia="Arial" w:hAnsi="Century Gothic" w:cs="Arial"/>
          <w:b/>
          <w:bCs/>
          <w:color w:val="auto"/>
          <w:szCs w:val="24"/>
          <w:lang w:val="es-MX"/>
        </w:rPr>
        <w:t xml:space="preserve">. </w:t>
      </w:r>
    </w:p>
    <w:p w14:paraId="15347777" w14:textId="478B1CB9" w:rsidR="00DB734A" w:rsidRDefault="00DB734A" w:rsidP="0071498B">
      <w:pPr>
        <w:pStyle w:val="Normal1"/>
        <w:spacing w:line="360" w:lineRule="auto"/>
        <w:contextualSpacing/>
        <w:jc w:val="both"/>
        <w:rPr>
          <w:rFonts w:ascii="Century Gothic" w:eastAsia="Arial" w:hAnsi="Century Gothic" w:cs="Arial"/>
          <w:b/>
          <w:bCs/>
          <w:color w:val="auto"/>
          <w:szCs w:val="24"/>
          <w:lang w:val="es-MX"/>
        </w:rPr>
      </w:pPr>
    </w:p>
    <w:p w14:paraId="3ED9B06F" w14:textId="2E58B80D" w:rsidR="00B51B5D" w:rsidRDefault="00125057" w:rsidP="0012505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Esta última</w:t>
      </w:r>
      <w:r w:rsidR="00B51B5D" w:rsidRPr="00B51B5D">
        <w:rPr>
          <w:rFonts w:ascii="Century Gothic" w:eastAsia="Arial" w:hAnsi="Century Gothic" w:cs="Arial"/>
          <w:color w:val="auto"/>
          <w:szCs w:val="24"/>
          <w:lang w:val="es-MX"/>
        </w:rPr>
        <w:t xml:space="preserve"> </w:t>
      </w:r>
      <w:r w:rsidR="00B51B5D">
        <w:rPr>
          <w:rFonts w:ascii="Century Gothic" w:eastAsia="Arial" w:hAnsi="Century Gothic" w:cs="Arial"/>
          <w:color w:val="auto"/>
          <w:szCs w:val="24"/>
          <w:lang w:val="es-MX"/>
        </w:rPr>
        <w:t>Convención</w:t>
      </w:r>
      <w:r>
        <w:rPr>
          <w:rFonts w:ascii="Century Gothic" w:eastAsia="Arial" w:hAnsi="Century Gothic" w:cs="Arial"/>
          <w:color w:val="auto"/>
          <w:szCs w:val="24"/>
          <w:lang w:val="es-MX"/>
        </w:rPr>
        <w:t xml:space="preserve"> resalta </w:t>
      </w:r>
      <w:r w:rsidRPr="00125057">
        <w:rPr>
          <w:rFonts w:ascii="Century Gothic" w:eastAsia="Arial" w:hAnsi="Century Gothic" w:cs="Arial"/>
          <w:color w:val="auto"/>
          <w:szCs w:val="24"/>
          <w:lang w:val="es-MX"/>
        </w:rPr>
        <w:t>que la persona, a medida que envejece, debe seguir disfrutando de una vida plena,</w:t>
      </w:r>
      <w:r>
        <w:rPr>
          <w:rFonts w:ascii="Century Gothic" w:eastAsia="Arial" w:hAnsi="Century Gothic" w:cs="Arial"/>
          <w:color w:val="auto"/>
          <w:szCs w:val="24"/>
          <w:lang w:val="es-MX"/>
        </w:rPr>
        <w:t xml:space="preserve"> </w:t>
      </w:r>
      <w:r w:rsidRPr="00125057">
        <w:rPr>
          <w:rFonts w:ascii="Century Gothic" w:eastAsia="Arial" w:hAnsi="Century Gothic" w:cs="Arial"/>
          <w:color w:val="auto"/>
          <w:szCs w:val="24"/>
          <w:lang w:val="es-MX"/>
        </w:rPr>
        <w:t>independiente y autónoma, con salud, seguridad, integración y participación activa en las esferas</w:t>
      </w:r>
      <w:r>
        <w:rPr>
          <w:rFonts w:ascii="Century Gothic" w:eastAsia="Arial" w:hAnsi="Century Gothic" w:cs="Arial"/>
          <w:color w:val="auto"/>
          <w:szCs w:val="24"/>
          <w:lang w:val="es-MX"/>
        </w:rPr>
        <w:t xml:space="preserve"> </w:t>
      </w:r>
      <w:r w:rsidRPr="00125057">
        <w:rPr>
          <w:rFonts w:ascii="Century Gothic" w:eastAsia="Arial" w:hAnsi="Century Gothic" w:cs="Arial"/>
          <w:color w:val="auto"/>
          <w:szCs w:val="24"/>
          <w:lang w:val="es-MX"/>
        </w:rPr>
        <w:t>económica, social, cultural y política de sus sociedades</w:t>
      </w:r>
      <w:r>
        <w:rPr>
          <w:rFonts w:ascii="Century Gothic" w:eastAsia="Arial" w:hAnsi="Century Gothic" w:cs="Arial"/>
          <w:color w:val="auto"/>
          <w:szCs w:val="24"/>
          <w:lang w:val="es-MX"/>
        </w:rPr>
        <w:t>.</w:t>
      </w:r>
    </w:p>
    <w:p w14:paraId="1C99A3E4" w14:textId="4D313227" w:rsidR="00125057" w:rsidRDefault="00125057" w:rsidP="00125057">
      <w:pPr>
        <w:pStyle w:val="Normal1"/>
        <w:spacing w:line="360" w:lineRule="auto"/>
        <w:contextualSpacing/>
        <w:jc w:val="both"/>
        <w:rPr>
          <w:rFonts w:ascii="Century Gothic" w:eastAsia="Arial" w:hAnsi="Century Gothic" w:cs="Arial"/>
          <w:color w:val="auto"/>
          <w:szCs w:val="24"/>
          <w:lang w:val="es-MX"/>
        </w:rPr>
      </w:pPr>
    </w:p>
    <w:p w14:paraId="735DD137" w14:textId="7FDEAC10" w:rsidR="00125057" w:rsidRDefault="00125057" w:rsidP="0012505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Establece </w:t>
      </w:r>
      <w:r w:rsidRPr="00125057">
        <w:rPr>
          <w:rFonts w:ascii="Century Gothic" w:eastAsia="Arial" w:hAnsi="Century Gothic" w:cs="Arial"/>
          <w:color w:val="auto"/>
          <w:szCs w:val="24"/>
          <w:lang w:val="es-MX"/>
        </w:rPr>
        <w:t>también la necesidad de abordar los asuntos de la vejez y el envejecimiento desde una</w:t>
      </w:r>
      <w:r>
        <w:rPr>
          <w:rFonts w:ascii="Century Gothic" w:eastAsia="Arial" w:hAnsi="Century Gothic" w:cs="Arial"/>
          <w:color w:val="auto"/>
          <w:szCs w:val="24"/>
          <w:lang w:val="es-MX"/>
        </w:rPr>
        <w:t xml:space="preserve"> </w:t>
      </w:r>
      <w:r w:rsidRPr="00125057">
        <w:rPr>
          <w:rFonts w:ascii="Century Gothic" w:eastAsia="Arial" w:hAnsi="Century Gothic" w:cs="Arial"/>
          <w:color w:val="auto"/>
          <w:szCs w:val="24"/>
          <w:lang w:val="es-MX"/>
        </w:rPr>
        <w:t>perspectiva de derechos humanos que reconoce las valiosas contribuciones actuales y potenciales de</w:t>
      </w:r>
      <w:r>
        <w:rPr>
          <w:rFonts w:ascii="Century Gothic" w:eastAsia="Arial" w:hAnsi="Century Gothic" w:cs="Arial"/>
          <w:color w:val="auto"/>
          <w:szCs w:val="24"/>
          <w:lang w:val="es-MX"/>
        </w:rPr>
        <w:t xml:space="preserve"> </w:t>
      </w:r>
      <w:r w:rsidRPr="00125057">
        <w:rPr>
          <w:rFonts w:ascii="Century Gothic" w:eastAsia="Arial" w:hAnsi="Century Gothic" w:cs="Arial"/>
          <w:color w:val="auto"/>
          <w:szCs w:val="24"/>
          <w:lang w:val="es-MX"/>
        </w:rPr>
        <w:t>la persona mayor al bienestar común, a la identidad cultural, a la diversidad de sus comunidades, al</w:t>
      </w:r>
      <w:r>
        <w:rPr>
          <w:rFonts w:ascii="Century Gothic" w:eastAsia="Arial" w:hAnsi="Century Gothic" w:cs="Arial"/>
          <w:color w:val="auto"/>
          <w:szCs w:val="24"/>
          <w:lang w:val="es-MX"/>
        </w:rPr>
        <w:t xml:space="preserve"> </w:t>
      </w:r>
      <w:r w:rsidRPr="00125057">
        <w:rPr>
          <w:rFonts w:ascii="Century Gothic" w:eastAsia="Arial" w:hAnsi="Century Gothic" w:cs="Arial"/>
          <w:color w:val="auto"/>
          <w:szCs w:val="24"/>
          <w:lang w:val="es-MX"/>
        </w:rPr>
        <w:t>desarrollo humano, social y económico y a la erradicación de la pobreza</w:t>
      </w:r>
      <w:r>
        <w:rPr>
          <w:rFonts w:ascii="Century Gothic" w:eastAsia="Arial" w:hAnsi="Century Gothic" w:cs="Arial"/>
          <w:color w:val="auto"/>
          <w:szCs w:val="24"/>
          <w:lang w:val="es-MX"/>
        </w:rPr>
        <w:t xml:space="preserve">. </w:t>
      </w:r>
    </w:p>
    <w:p w14:paraId="1C7BF19A" w14:textId="59F06A4D" w:rsidR="00125057" w:rsidRDefault="00125057" w:rsidP="00125057">
      <w:pPr>
        <w:pStyle w:val="Normal1"/>
        <w:spacing w:line="360" w:lineRule="auto"/>
        <w:contextualSpacing/>
        <w:jc w:val="both"/>
        <w:rPr>
          <w:rFonts w:ascii="Century Gothic" w:eastAsia="Arial" w:hAnsi="Century Gothic" w:cs="Arial"/>
          <w:color w:val="auto"/>
          <w:szCs w:val="24"/>
          <w:lang w:val="es-MX"/>
        </w:rPr>
      </w:pPr>
    </w:p>
    <w:p w14:paraId="772ADF24" w14:textId="6CED397E" w:rsidR="00125057" w:rsidRDefault="00341ECE" w:rsidP="0012505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I</w:t>
      </w:r>
      <w:r w:rsidR="00125057">
        <w:rPr>
          <w:rFonts w:ascii="Century Gothic" w:eastAsia="Arial" w:hAnsi="Century Gothic" w:cs="Arial"/>
          <w:color w:val="auto"/>
          <w:szCs w:val="24"/>
          <w:lang w:val="es-MX"/>
        </w:rPr>
        <w:t>nsta, a los Estados Parte a</w:t>
      </w:r>
      <w:r w:rsidR="00125057" w:rsidRPr="00125057">
        <w:rPr>
          <w:rFonts w:ascii="Century Gothic" w:eastAsia="Arial" w:hAnsi="Century Gothic" w:cs="Arial"/>
          <w:color w:val="auto"/>
          <w:szCs w:val="24"/>
          <w:lang w:val="es-MX"/>
        </w:rPr>
        <w:t xml:space="preserve"> incorporar y dar prioridad al tema del envejecimiento en las políticas públicas, así como</w:t>
      </w:r>
      <w:r w:rsidR="00125057">
        <w:rPr>
          <w:rFonts w:ascii="Century Gothic" w:eastAsia="Arial" w:hAnsi="Century Gothic" w:cs="Arial"/>
          <w:color w:val="auto"/>
          <w:szCs w:val="24"/>
          <w:lang w:val="es-MX"/>
        </w:rPr>
        <w:t xml:space="preserve"> </w:t>
      </w:r>
      <w:r w:rsidR="00125057" w:rsidRPr="00125057">
        <w:rPr>
          <w:rFonts w:ascii="Century Gothic" w:eastAsia="Arial" w:hAnsi="Century Gothic" w:cs="Arial"/>
          <w:color w:val="auto"/>
          <w:szCs w:val="24"/>
          <w:lang w:val="es-MX"/>
        </w:rPr>
        <w:t>a destinar y gestionar los recursos humanos, materiales y financieros para lograr una adecuada</w:t>
      </w:r>
      <w:r w:rsidR="00125057">
        <w:rPr>
          <w:rFonts w:ascii="Century Gothic" w:eastAsia="Arial" w:hAnsi="Century Gothic" w:cs="Arial"/>
          <w:color w:val="auto"/>
          <w:szCs w:val="24"/>
          <w:lang w:val="es-MX"/>
        </w:rPr>
        <w:t xml:space="preserve"> </w:t>
      </w:r>
      <w:r w:rsidR="00125057" w:rsidRPr="00125057">
        <w:rPr>
          <w:rFonts w:ascii="Century Gothic" w:eastAsia="Arial" w:hAnsi="Century Gothic" w:cs="Arial"/>
          <w:color w:val="auto"/>
          <w:szCs w:val="24"/>
          <w:lang w:val="es-MX"/>
        </w:rPr>
        <w:t>implementación y evaluación de las medidas especiales puestas en práctica</w:t>
      </w:r>
      <w:r w:rsidR="00125057">
        <w:rPr>
          <w:rFonts w:ascii="Century Gothic" w:eastAsia="Arial" w:hAnsi="Century Gothic" w:cs="Arial"/>
          <w:color w:val="auto"/>
          <w:szCs w:val="24"/>
          <w:lang w:val="es-MX"/>
        </w:rPr>
        <w:t xml:space="preserve">. </w:t>
      </w:r>
    </w:p>
    <w:p w14:paraId="148F0E3F" w14:textId="4F2248E6" w:rsidR="00341ECE" w:rsidRDefault="00341ECE" w:rsidP="00125057">
      <w:pPr>
        <w:pStyle w:val="Normal1"/>
        <w:spacing w:line="360" w:lineRule="auto"/>
        <w:contextualSpacing/>
        <w:jc w:val="both"/>
        <w:rPr>
          <w:rFonts w:ascii="Century Gothic" w:eastAsia="Arial" w:hAnsi="Century Gothic" w:cs="Arial"/>
          <w:color w:val="auto"/>
          <w:szCs w:val="24"/>
          <w:lang w:val="es-MX"/>
        </w:rPr>
      </w:pPr>
    </w:p>
    <w:p w14:paraId="2A8A47AF" w14:textId="42E059F4" w:rsidR="00341ECE" w:rsidRPr="00DB734A" w:rsidRDefault="00321AAC" w:rsidP="00341ECE">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También</w:t>
      </w:r>
      <w:r w:rsidR="0014750B">
        <w:rPr>
          <w:rFonts w:ascii="Century Gothic" w:eastAsia="Arial" w:hAnsi="Century Gothic" w:cs="Arial"/>
          <w:color w:val="auto"/>
          <w:szCs w:val="24"/>
          <w:lang w:val="es-MX"/>
        </w:rPr>
        <w:t xml:space="preserve"> los exhorta a a</w:t>
      </w:r>
      <w:r w:rsidR="00341ECE" w:rsidRPr="00DB734A">
        <w:rPr>
          <w:rFonts w:ascii="Century Gothic" w:eastAsia="Arial" w:hAnsi="Century Gothic" w:cs="Arial"/>
          <w:color w:val="auto"/>
          <w:szCs w:val="24"/>
          <w:lang w:val="es-MX"/>
        </w:rPr>
        <w:t>doptar y fortalecer todas las medidas legislativas, administrativas, judiciales,</w:t>
      </w:r>
      <w:r w:rsidR="00341ECE">
        <w:rPr>
          <w:rFonts w:ascii="Century Gothic" w:eastAsia="Arial" w:hAnsi="Century Gothic" w:cs="Arial"/>
          <w:color w:val="auto"/>
          <w:szCs w:val="24"/>
          <w:lang w:val="es-MX"/>
        </w:rPr>
        <w:t xml:space="preserve"> </w:t>
      </w:r>
      <w:r w:rsidR="00341ECE" w:rsidRPr="00DB734A">
        <w:rPr>
          <w:rFonts w:ascii="Century Gothic" w:eastAsia="Arial" w:hAnsi="Century Gothic" w:cs="Arial"/>
          <w:color w:val="auto"/>
          <w:szCs w:val="24"/>
          <w:lang w:val="es-MX"/>
        </w:rPr>
        <w:t>presupuestarias y de cualquier otra índole, a fin</w:t>
      </w:r>
      <w:r w:rsidR="00341ECE">
        <w:rPr>
          <w:rFonts w:ascii="Century Gothic" w:eastAsia="Arial" w:hAnsi="Century Gothic" w:cs="Arial"/>
          <w:color w:val="auto"/>
          <w:szCs w:val="24"/>
          <w:lang w:val="es-MX"/>
        </w:rPr>
        <w:t xml:space="preserve"> </w:t>
      </w:r>
      <w:r w:rsidR="00341ECE" w:rsidRPr="00DB734A">
        <w:rPr>
          <w:rFonts w:ascii="Century Gothic" w:eastAsia="Arial" w:hAnsi="Century Gothic" w:cs="Arial"/>
          <w:color w:val="auto"/>
          <w:szCs w:val="24"/>
          <w:lang w:val="es-MX"/>
        </w:rPr>
        <w:t>garantizar a la persona mayor un trato diferenciado y preferencial en todos los ámbitos.</w:t>
      </w:r>
    </w:p>
    <w:p w14:paraId="4A4D6BB3" w14:textId="17298BA5" w:rsidR="00341ECE" w:rsidRDefault="00341ECE" w:rsidP="00125057">
      <w:pPr>
        <w:pStyle w:val="Normal1"/>
        <w:spacing w:line="360" w:lineRule="auto"/>
        <w:contextualSpacing/>
        <w:jc w:val="both"/>
        <w:rPr>
          <w:rFonts w:ascii="Century Gothic" w:eastAsia="Arial" w:hAnsi="Century Gothic" w:cs="Arial"/>
          <w:color w:val="auto"/>
          <w:szCs w:val="24"/>
          <w:lang w:val="es-MX"/>
        </w:rPr>
      </w:pPr>
    </w:p>
    <w:p w14:paraId="2FDEF5B6" w14:textId="46D34D4F" w:rsidR="00341ECE" w:rsidRDefault="00341ECE" w:rsidP="0012505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 xml:space="preserve">Finalmente, define el derecho a la salud de las personas adultas mayores de la siguiente manera: </w:t>
      </w:r>
    </w:p>
    <w:p w14:paraId="28788A04" w14:textId="3353851C" w:rsidR="00341ECE" w:rsidRDefault="00341ECE" w:rsidP="00125057">
      <w:pPr>
        <w:pStyle w:val="Normal1"/>
        <w:spacing w:line="360" w:lineRule="auto"/>
        <w:contextualSpacing/>
        <w:jc w:val="both"/>
        <w:rPr>
          <w:rFonts w:ascii="Century Gothic" w:eastAsia="Arial" w:hAnsi="Century Gothic" w:cs="Arial"/>
          <w:color w:val="auto"/>
          <w:szCs w:val="24"/>
          <w:lang w:val="es-MX"/>
        </w:rPr>
      </w:pPr>
    </w:p>
    <w:p w14:paraId="0271E0C3" w14:textId="7FB6CE94" w:rsidR="00341ECE" w:rsidRPr="00341ECE" w:rsidRDefault="00341ECE" w:rsidP="00341ECE">
      <w:pPr>
        <w:pStyle w:val="Normal1"/>
        <w:spacing w:line="360" w:lineRule="auto"/>
        <w:ind w:left="709" w:right="616"/>
        <w:contextualSpacing/>
        <w:jc w:val="both"/>
        <w:rPr>
          <w:rFonts w:ascii="Century Gothic" w:eastAsia="Arial" w:hAnsi="Century Gothic" w:cs="Arial"/>
          <w:b/>
          <w:bCs/>
          <w:i/>
          <w:iCs/>
          <w:color w:val="auto"/>
          <w:szCs w:val="24"/>
          <w:lang w:val="es-MX"/>
        </w:rPr>
      </w:pPr>
      <w:r>
        <w:rPr>
          <w:rFonts w:ascii="Century Gothic" w:eastAsia="Arial" w:hAnsi="Century Gothic" w:cs="Arial"/>
          <w:i/>
          <w:iCs/>
          <w:color w:val="auto"/>
          <w:szCs w:val="24"/>
          <w:lang w:val="es-MX"/>
        </w:rPr>
        <w:t>“</w:t>
      </w:r>
      <w:r w:rsidRPr="00341ECE">
        <w:rPr>
          <w:rFonts w:ascii="Century Gothic" w:eastAsia="Arial" w:hAnsi="Century Gothic" w:cs="Arial"/>
          <w:b/>
          <w:bCs/>
          <w:i/>
          <w:iCs/>
          <w:color w:val="auto"/>
          <w:szCs w:val="24"/>
          <w:lang w:val="es-MX"/>
        </w:rPr>
        <w:t>Artículo 19</w:t>
      </w:r>
    </w:p>
    <w:p w14:paraId="65C8572E" w14:textId="77777777" w:rsidR="00341ECE" w:rsidRPr="00341ECE" w:rsidRDefault="00341ECE" w:rsidP="00341ECE">
      <w:pPr>
        <w:pStyle w:val="Normal1"/>
        <w:spacing w:line="360" w:lineRule="auto"/>
        <w:ind w:left="709" w:right="616"/>
        <w:contextualSpacing/>
        <w:jc w:val="both"/>
        <w:rPr>
          <w:rFonts w:ascii="Century Gothic" w:eastAsia="Arial" w:hAnsi="Century Gothic" w:cs="Arial"/>
          <w:b/>
          <w:bCs/>
          <w:i/>
          <w:iCs/>
          <w:color w:val="auto"/>
          <w:szCs w:val="24"/>
          <w:lang w:val="es-MX"/>
        </w:rPr>
      </w:pPr>
      <w:r w:rsidRPr="00341ECE">
        <w:rPr>
          <w:rFonts w:ascii="Century Gothic" w:eastAsia="Arial" w:hAnsi="Century Gothic" w:cs="Arial"/>
          <w:b/>
          <w:bCs/>
          <w:i/>
          <w:iCs/>
          <w:color w:val="auto"/>
          <w:szCs w:val="24"/>
          <w:lang w:val="es-MX"/>
        </w:rPr>
        <w:t>Derecho a la salud</w:t>
      </w:r>
    </w:p>
    <w:p w14:paraId="51C55E59" w14:textId="77777777" w:rsidR="00341ECE" w:rsidRPr="00341ECE" w:rsidRDefault="00341ECE" w:rsidP="00341ECE">
      <w:pPr>
        <w:pStyle w:val="Normal1"/>
        <w:spacing w:line="360" w:lineRule="auto"/>
        <w:ind w:left="709" w:right="616"/>
        <w:contextualSpacing/>
        <w:jc w:val="both"/>
        <w:rPr>
          <w:rFonts w:ascii="Century Gothic" w:eastAsia="Arial" w:hAnsi="Century Gothic" w:cs="Arial"/>
          <w:i/>
          <w:iCs/>
          <w:color w:val="auto"/>
          <w:szCs w:val="24"/>
          <w:lang w:val="es-MX"/>
        </w:rPr>
      </w:pPr>
      <w:r w:rsidRPr="00341ECE">
        <w:rPr>
          <w:rFonts w:ascii="Century Gothic" w:eastAsia="Arial" w:hAnsi="Century Gothic" w:cs="Arial"/>
          <w:i/>
          <w:iCs/>
          <w:color w:val="auto"/>
          <w:szCs w:val="24"/>
          <w:lang w:val="es-MX"/>
        </w:rPr>
        <w:t>La persona mayor tiene derecho a su salud física y mental, sin ningún tipo de discriminación.</w:t>
      </w:r>
    </w:p>
    <w:p w14:paraId="361C68D6" w14:textId="31BB2F75" w:rsidR="00341ECE" w:rsidRPr="00341ECE" w:rsidRDefault="00341ECE" w:rsidP="00341ECE">
      <w:pPr>
        <w:pStyle w:val="Normal1"/>
        <w:spacing w:line="360" w:lineRule="auto"/>
        <w:ind w:left="709" w:right="616"/>
        <w:contextualSpacing/>
        <w:jc w:val="both"/>
        <w:rPr>
          <w:rFonts w:ascii="Century Gothic" w:eastAsia="Arial" w:hAnsi="Century Gothic" w:cs="Arial"/>
          <w:i/>
          <w:iCs/>
          <w:color w:val="auto"/>
          <w:szCs w:val="24"/>
          <w:lang w:val="es-MX"/>
        </w:rPr>
      </w:pPr>
      <w:r w:rsidRPr="00341ECE">
        <w:rPr>
          <w:rFonts w:ascii="Century Gothic" w:eastAsia="Arial" w:hAnsi="Century Gothic" w:cs="Arial"/>
          <w:i/>
          <w:iCs/>
          <w:color w:val="auto"/>
          <w:szCs w:val="24"/>
          <w:lang w:val="es-MX"/>
        </w:rPr>
        <w:t>Los Estados Parte deberán diseñar e implementar políticas públicas intersectoriales de salud orientadas a una atención integral que incluya la promoción de la salud, la prevención y la atención de la enfermedad en todas las etapas, y la rehabilitación y los cuidados paliativos de la persona mayor a fin de propiciar el disfrute del más alto nivel de bienestar, físico, mental y social. Para hacer efectivo este derecho, los Estados Parte se comprometen a tomar las siguientes medidas:</w:t>
      </w:r>
    </w:p>
    <w:p w14:paraId="5ED358C1" w14:textId="31A8AE69" w:rsidR="00341ECE" w:rsidRPr="00341ECE" w:rsidRDefault="00341ECE" w:rsidP="00341ECE">
      <w:pPr>
        <w:pStyle w:val="Normal1"/>
        <w:spacing w:line="360" w:lineRule="auto"/>
        <w:ind w:left="709" w:right="616"/>
        <w:contextualSpacing/>
        <w:jc w:val="both"/>
        <w:rPr>
          <w:rFonts w:ascii="Century Gothic" w:eastAsia="Arial" w:hAnsi="Century Gothic" w:cs="Arial"/>
          <w:i/>
          <w:iCs/>
          <w:color w:val="auto"/>
          <w:szCs w:val="24"/>
          <w:lang w:val="es-MX"/>
        </w:rPr>
      </w:pPr>
      <w:r w:rsidRPr="00341ECE">
        <w:rPr>
          <w:rFonts w:ascii="Century Gothic" w:eastAsia="Arial" w:hAnsi="Century Gothic" w:cs="Arial"/>
          <w:i/>
          <w:iCs/>
          <w:color w:val="auto"/>
          <w:szCs w:val="24"/>
          <w:lang w:val="es-MX"/>
        </w:rPr>
        <w:t>a) Asegurar la atención preferencial y el acceso universal, equitativo y oportuno en los servicios integrales de salud de calidad basados en la atención primaria, y aprovechar la medicina tradicional, alternativa y complementaria, de conformidad con la legislación nacional y con los usos y costumbres.</w:t>
      </w:r>
    </w:p>
    <w:p w14:paraId="505BCD1F" w14:textId="096B81CD" w:rsidR="00341ECE" w:rsidRPr="00341ECE" w:rsidRDefault="00341ECE" w:rsidP="00341ECE">
      <w:pPr>
        <w:pStyle w:val="Normal1"/>
        <w:spacing w:line="360" w:lineRule="auto"/>
        <w:ind w:left="709" w:right="616"/>
        <w:contextualSpacing/>
        <w:jc w:val="both"/>
        <w:rPr>
          <w:rFonts w:ascii="Century Gothic" w:eastAsia="Arial" w:hAnsi="Century Gothic" w:cs="Arial"/>
          <w:i/>
          <w:iCs/>
          <w:color w:val="auto"/>
          <w:szCs w:val="24"/>
          <w:lang w:val="es-MX"/>
        </w:rPr>
      </w:pPr>
      <w:r w:rsidRPr="00341ECE">
        <w:rPr>
          <w:rFonts w:ascii="Century Gothic" w:eastAsia="Arial" w:hAnsi="Century Gothic" w:cs="Arial"/>
          <w:i/>
          <w:iCs/>
          <w:color w:val="auto"/>
          <w:szCs w:val="24"/>
          <w:lang w:val="es-MX"/>
        </w:rPr>
        <w:t>b) Formular, implementar, fortalecer y evaluar políticas públicas, planes y estrategias para fomentar un envejecimiento activo y saludable.</w:t>
      </w:r>
    </w:p>
    <w:p w14:paraId="6CD90AFB" w14:textId="77777777" w:rsidR="00341ECE" w:rsidRPr="00341ECE" w:rsidRDefault="00341ECE" w:rsidP="00341ECE">
      <w:pPr>
        <w:pStyle w:val="Normal1"/>
        <w:spacing w:line="360" w:lineRule="auto"/>
        <w:ind w:left="709" w:right="616"/>
        <w:contextualSpacing/>
        <w:jc w:val="both"/>
        <w:rPr>
          <w:rFonts w:ascii="Century Gothic" w:eastAsia="Arial" w:hAnsi="Century Gothic" w:cs="Arial"/>
          <w:i/>
          <w:iCs/>
          <w:color w:val="auto"/>
          <w:szCs w:val="24"/>
          <w:lang w:val="es-MX"/>
        </w:rPr>
      </w:pPr>
      <w:r w:rsidRPr="00341ECE">
        <w:rPr>
          <w:rFonts w:ascii="Century Gothic" w:eastAsia="Arial" w:hAnsi="Century Gothic" w:cs="Arial"/>
          <w:i/>
          <w:iCs/>
          <w:color w:val="auto"/>
          <w:szCs w:val="24"/>
          <w:lang w:val="es-MX"/>
        </w:rPr>
        <w:lastRenderedPageBreak/>
        <w:t>c) Fomentar políticas públicas sobre salud sexual y reproductiva de la persona mayor.</w:t>
      </w:r>
    </w:p>
    <w:p w14:paraId="2C6A26B2" w14:textId="739B7A64" w:rsidR="00341ECE" w:rsidRPr="00341ECE" w:rsidRDefault="00341ECE" w:rsidP="00341ECE">
      <w:pPr>
        <w:pStyle w:val="Normal1"/>
        <w:spacing w:line="360" w:lineRule="auto"/>
        <w:ind w:left="709" w:right="616"/>
        <w:contextualSpacing/>
        <w:jc w:val="both"/>
        <w:rPr>
          <w:rFonts w:ascii="Century Gothic" w:eastAsia="Arial" w:hAnsi="Century Gothic" w:cs="Arial"/>
          <w:i/>
          <w:iCs/>
          <w:color w:val="auto"/>
          <w:szCs w:val="24"/>
          <w:lang w:val="es-MX"/>
        </w:rPr>
      </w:pPr>
      <w:r w:rsidRPr="00341ECE">
        <w:rPr>
          <w:rFonts w:ascii="Century Gothic" w:eastAsia="Arial" w:hAnsi="Century Gothic" w:cs="Arial"/>
          <w:i/>
          <w:iCs/>
          <w:color w:val="auto"/>
          <w:szCs w:val="24"/>
          <w:lang w:val="es-MX"/>
        </w:rPr>
        <w:t>d) Fomentar, cuando corresponda, la cooperación internacional en cuanto al diseño de políticas públicas, planes, estrategias y legislación, y el intercambio de capacidades y recursos para ejecutar planes de salud para la persona mayor y su proceso de envejecimiento.</w:t>
      </w:r>
    </w:p>
    <w:p w14:paraId="4FC6C257" w14:textId="1447DD43" w:rsidR="00341ECE" w:rsidRPr="00341ECE" w:rsidRDefault="00341ECE" w:rsidP="00341ECE">
      <w:pPr>
        <w:pStyle w:val="Normal1"/>
        <w:spacing w:line="360" w:lineRule="auto"/>
        <w:ind w:left="709" w:right="616"/>
        <w:contextualSpacing/>
        <w:jc w:val="both"/>
        <w:rPr>
          <w:rFonts w:ascii="Century Gothic" w:eastAsia="Arial" w:hAnsi="Century Gothic" w:cs="Arial"/>
          <w:i/>
          <w:iCs/>
          <w:color w:val="auto"/>
          <w:szCs w:val="24"/>
          <w:lang w:val="es-MX"/>
        </w:rPr>
      </w:pPr>
      <w:r w:rsidRPr="00341ECE">
        <w:rPr>
          <w:rFonts w:ascii="Century Gothic" w:eastAsia="Arial" w:hAnsi="Century Gothic" w:cs="Arial"/>
          <w:i/>
          <w:iCs/>
          <w:color w:val="auto"/>
          <w:szCs w:val="24"/>
          <w:lang w:val="es-MX"/>
        </w:rPr>
        <w:t>e) Fortalecer las acciones de prevención a través de las autoridades de salud y la prevención de enfermedades, incluyendo la realización de cursos de educación, el conocimiento de las patologías y opinión informada de la persona mayor en el tratamiento de enfermedades crónicas y otros problemas de salud.</w:t>
      </w:r>
    </w:p>
    <w:p w14:paraId="50BA622A" w14:textId="41B2523C" w:rsidR="00341ECE" w:rsidRPr="00341ECE" w:rsidRDefault="00341ECE" w:rsidP="00341ECE">
      <w:pPr>
        <w:pStyle w:val="Normal1"/>
        <w:spacing w:line="360" w:lineRule="auto"/>
        <w:ind w:left="709" w:right="616"/>
        <w:contextualSpacing/>
        <w:jc w:val="both"/>
        <w:rPr>
          <w:rFonts w:ascii="Century Gothic" w:eastAsia="Arial" w:hAnsi="Century Gothic" w:cs="Arial"/>
          <w:i/>
          <w:iCs/>
          <w:color w:val="auto"/>
          <w:szCs w:val="24"/>
          <w:lang w:val="es-MX"/>
        </w:rPr>
      </w:pPr>
      <w:r w:rsidRPr="00341ECE">
        <w:rPr>
          <w:rFonts w:ascii="Century Gothic" w:eastAsia="Arial" w:hAnsi="Century Gothic" w:cs="Arial"/>
          <w:i/>
          <w:iCs/>
          <w:color w:val="auto"/>
          <w:szCs w:val="24"/>
          <w:lang w:val="es-MX"/>
        </w:rPr>
        <w:t>f) Garantizar el acceso a beneficios y servicios de salud asequibles y de calidad para la persona mayor con enfermedades no transmisibles y transmisibles, incluidas aquellas por transmisión sexual.</w:t>
      </w:r>
    </w:p>
    <w:p w14:paraId="652AFD1F" w14:textId="1AAA2EF5" w:rsidR="00341ECE" w:rsidRPr="00341ECE" w:rsidRDefault="00341ECE" w:rsidP="00341ECE">
      <w:pPr>
        <w:pStyle w:val="Normal1"/>
        <w:spacing w:line="360" w:lineRule="auto"/>
        <w:ind w:left="709" w:right="616"/>
        <w:contextualSpacing/>
        <w:jc w:val="both"/>
        <w:rPr>
          <w:rFonts w:ascii="Century Gothic" w:eastAsia="Arial" w:hAnsi="Century Gothic" w:cs="Arial"/>
          <w:i/>
          <w:iCs/>
          <w:color w:val="auto"/>
          <w:szCs w:val="24"/>
          <w:lang w:val="es-MX"/>
        </w:rPr>
      </w:pPr>
      <w:r w:rsidRPr="00341ECE">
        <w:rPr>
          <w:rFonts w:ascii="Century Gothic" w:eastAsia="Arial" w:hAnsi="Century Gothic" w:cs="Arial"/>
          <w:i/>
          <w:iCs/>
          <w:color w:val="auto"/>
          <w:szCs w:val="24"/>
          <w:lang w:val="es-MX"/>
        </w:rPr>
        <w:t>g) Fortalecer la implementación de políticas públicas orientadas a mejorar el estado nutricional de la persona mayor.</w:t>
      </w:r>
    </w:p>
    <w:p w14:paraId="36FA9AAF" w14:textId="244F0FF5" w:rsidR="00341ECE" w:rsidRPr="00341ECE" w:rsidRDefault="00341ECE" w:rsidP="00341ECE">
      <w:pPr>
        <w:pStyle w:val="Normal1"/>
        <w:spacing w:line="360" w:lineRule="auto"/>
        <w:ind w:left="709" w:right="616"/>
        <w:contextualSpacing/>
        <w:jc w:val="both"/>
        <w:rPr>
          <w:rFonts w:ascii="Century Gothic" w:eastAsia="Arial" w:hAnsi="Century Gothic" w:cs="Arial"/>
          <w:i/>
          <w:iCs/>
          <w:color w:val="auto"/>
          <w:szCs w:val="24"/>
          <w:lang w:val="es-MX"/>
        </w:rPr>
      </w:pPr>
      <w:r w:rsidRPr="00341ECE">
        <w:rPr>
          <w:rFonts w:ascii="Century Gothic" w:eastAsia="Arial" w:hAnsi="Century Gothic" w:cs="Arial"/>
          <w:i/>
          <w:iCs/>
          <w:color w:val="auto"/>
          <w:szCs w:val="24"/>
          <w:lang w:val="es-MX"/>
        </w:rPr>
        <w:t>h) Promover el desarrollo de servicios socio-sanitarios integrados especializados para atender a la persona mayor con enfermedades que generan dependencia, incluidas las crónico-degenerativas, las demencias y la enfermedad de Alzheimer.</w:t>
      </w:r>
    </w:p>
    <w:p w14:paraId="025EC22D" w14:textId="565E7596" w:rsidR="00341ECE" w:rsidRPr="00341ECE" w:rsidRDefault="00341ECE" w:rsidP="00341ECE">
      <w:pPr>
        <w:pStyle w:val="Normal1"/>
        <w:spacing w:line="360" w:lineRule="auto"/>
        <w:ind w:left="709" w:right="616"/>
        <w:contextualSpacing/>
        <w:jc w:val="both"/>
        <w:rPr>
          <w:rFonts w:ascii="Century Gothic" w:eastAsia="Arial" w:hAnsi="Century Gothic" w:cs="Arial"/>
          <w:i/>
          <w:iCs/>
          <w:color w:val="auto"/>
          <w:szCs w:val="24"/>
          <w:lang w:val="es-MX"/>
        </w:rPr>
      </w:pPr>
      <w:r w:rsidRPr="00341ECE">
        <w:rPr>
          <w:rFonts w:ascii="Century Gothic" w:eastAsia="Arial" w:hAnsi="Century Gothic" w:cs="Arial"/>
          <w:i/>
          <w:iCs/>
          <w:color w:val="auto"/>
          <w:szCs w:val="24"/>
          <w:lang w:val="es-MX"/>
        </w:rPr>
        <w:lastRenderedPageBreak/>
        <w:t>i) Fortalecer las capacidades de los trabajadores de los servicios de salud, sociales y socio-sanitarios integrados y de otros actores, en relación con la atención de la persona mayor, teniendo en consideración los principios contenidos en la presente Convención.</w:t>
      </w:r>
    </w:p>
    <w:p w14:paraId="6488C4FB" w14:textId="0E679EBE" w:rsidR="00341ECE" w:rsidRPr="00341ECE" w:rsidRDefault="00341ECE" w:rsidP="00341ECE">
      <w:pPr>
        <w:pStyle w:val="Normal1"/>
        <w:spacing w:line="360" w:lineRule="auto"/>
        <w:ind w:left="709" w:right="616"/>
        <w:contextualSpacing/>
        <w:jc w:val="both"/>
        <w:rPr>
          <w:rFonts w:ascii="Century Gothic" w:eastAsia="Arial" w:hAnsi="Century Gothic" w:cs="Arial"/>
          <w:i/>
          <w:iCs/>
          <w:color w:val="auto"/>
          <w:szCs w:val="24"/>
          <w:lang w:val="es-MX"/>
        </w:rPr>
      </w:pPr>
      <w:r w:rsidRPr="00341ECE">
        <w:rPr>
          <w:rFonts w:ascii="Century Gothic" w:eastAsia="Arial" w:hAnsi="Century Gothic" w:cs="Arial"/>
          <w:i/>
          <w:iCs/>
          <w:color w:val="auto"/>
          <w:szCs w:val="24"/>
          <w:lang w:val="es-MX"/>
        </w:rPr>
        <w:t>j) Promover y fortalecer la investigación y la formación académica profesional y técnica especializada en geriatría, gerontología y cuidados paliativos.</w:t>
      </w:r>
    </w:p>
    <w:p w14:paraId="60FC23CC" w14:textId="3033E8D1" w:rsidR="00341ECE" w:rsidRPr="00341ECE" w:rsidRDefault="00341ECE" w:rsidP="00341ECE">
      <w:pPr>
        <w:pStyle w:val="Normal1"/>
        <w:spacing w:line="360" w:lineRule="auto"/>
        <w:ind w:left="709" w:right="616"/>
        <w:contextualSpacing/>
        <w:jc w:val="both"/>
        <w:rPr>
          <w:rFonts w:ascii="Century Gothic" w:eastAsia="Arial" w:hAnsi="Century Gothic" w:cs="Arial"/>
          <w:i/>
          <w:iCs/>
          <w:color w:val="auto"/>
          <w:szCs w:val="24"/>
          <w:lang w:val="es-MX"/>
        </w:rPr>
      </w:pPr>
      <w:r w:rsidRPr="00341ECE">
        <w:rPr>
          <w:rFonts w:ascii="Century Gothic" w:eastAsia="Arial" w:hAnsi="Century Gothic" w:cs="Arial"/>
          <w:i/>
          <w:iCs/>
          <w:color w:val="auto"/>
          <w:szCs w:val="24"/>
          <w:lang w:val="es-MX"/>
        </w:rPr>
        <w:t>k) Formular, adecuar e implementar, según la legislación vigente en cada país, políticas referidas a la capacitación y aplicación de la medicina tradicional, alternativa y complementaria, en relación con la atención integral de la persona mayor.</w:t>
      </w:r>
    </w:p>
    <w:p w14:paraId="590B8362" w14:textId="493CB36C" w:rsidR="00341ECE" w:rsidRPr="00341ECE" w:rsidRDefault="00341ECE" w:rsidP="00341ECE">
      <w:pPr>
        <w:pStyle w:val="Normal1"/>
        <w:spacing w:line="360" w:lineRule="auto"/>
        <w:ind w:left="709" w:right="616"/>
        <w:contextualSpacing/>
        <w:jc w:val="both"/>
        <w:rPr>
          <w:rFonts w:ascii="Century Gothic" w:eastAsia="Arial" w:hAnsi="Century Gothic" w:cs="Arial"/>
          <w:i/>
          <w:iCs/>
          <w:color w:val="auto"/>
          <w:szCs w:val="24"/>
          <w:lang w:val="es-MX"/>
        </w:rPr>
      </w:pPr>
      <w:r w:rsidRPr="00341ECE">
        <w:rPr>
          <w:rFonts w:ascii="Century Gothic" w:eastAsia="Arial" w:hAnsi="Century Gothic" w:cs="Arial"/>
          <w:i/>
          <w:iCs/>
          <w:color w:val="auto"/>
          <w:szCs w:val="24"/>
          <w:lang w:val="es-MX"/>
        </w:rPr>
        <w:t>l) Promover las medidas necesarias para que los servicios de cuidados paliativos estén disponibles y accesibles para la persona mayor, así como para apoyar a sus familias.</w:t>
      </w:r>
    </w:p>
    <w:p w14:paraId="63DF8D5C" w14:textId="25186663" w:rsidR="00341ECE" w:rsidRPr="00341ECE" w:rsidRDefault="00341ECE" w:rsidP="00341ECE">
      <w:pPr>
        <w:pStyle w:val="Normal1"/>
        <w:spacing w:line="360" w:lineRule="auto"/>
        <w:ind w:left="709" w:right="616"/>
        <w:contextualSpacing/>
        <w:jc w:val="both"/>
        <w:rPr>
          <w:rFonts w:ascii="Century Gothic" w:eastAsia="Arial" w:hAnsi="Century Gothic" w:cs="Arial"/>
          <w:i/>
          <w:iCs/>
          <w:color w:val="auto"/>
          <w:szCs w:val="24"/>
          <w:lang w:val="es-MX"/>
        </w:rPr>
      </w:pPr>
      <w:r w:rsidRPr="00341ECE">
        <w:rPr>
          <w:rFonts w:ascii="Century Gothic" w:eastAsia="Arial" w:hAnsi="Century Gothic" w:cs="Arial"/>
          <w:i/>
          <w:iCs/>
          <w:color w:val="auto"/>
          <w:szCs w:val="24"/>
          <w:lang w:val="es-MX"/>
        </w:rPr>
        <w:t>m) Garantizar a la persona mayor la disponibilidad y el acceso a los medicamentos reconocidos como esenciales por la Organización Mundial de la Salud, incluyendo los fiscalizados necesarios para los cuidados paliativos.</w:t>
      </w:r>
    </w:p>
    <w:p w14:paraId="14325E5F" w14:textId="4C6B47DD" w:rsidR="00341ECE" w:rsidRPr="00341ECE" w:rsidRDefault="00341ECE" w:rsidP="00341ECE">
      <w:pPr>
        <w:pStyle w:val="Normal1"/>
        <w:spacing w:line="360" w:lineRule="auto"/>
        <w:ind w:left="709" w:right="616"/>
        <w:contextualSpacing/>
        <w:jc w:val="both"/>
        <w:rPr>
          <w:rFonts w:ascii="Century Gothic" w:eastAsia="Arial" w:hAnsi="Century Gothic" w:cs="Arial"/>
          <w:i/>
          <w:iCs/>
          <w:color w:val="auto"/>
          <w:szCs w:val="24"/>
          <w:lang w:val="es-MX"/>
        </w:rPr>
      </w:pPr>
      <w:r w:rsidRPr="00341ECE">
        <w:rPr>
          <w:rFonts w:ascii="Century Gothic" w:eastAsia="Arial" w:hAnsi="Century Gothic" w:cs="Arial"/>
          <w:i/>
          <w:iCs/>
          <w:color w:val="auto"/>
          <w:szCs w:val="24"/>
          <w:lang w:val="es-MX"/>
        </w:rPr>
        <w:t>n) Garantizar a la persona mayor el acceso a la información contenida en sus expedientes personales, sean físicos o digitales.</w:t>
      </w:r>
    </w:p>
    <w:p w14:paraId="26264BDB" w14:textId="41BA9935" w:rsidR="00341ECE" w:rsidRPr="00341ECE" w:rsidRDefault="00341ECE" w:rsidP="00341ECE">
      <w:pPr>
        <w:pStyle w:val="Normal1"/>
        <w:spacing w:line="360" w:lineRule="auto"/>
        <w:ind w:left="709" w:right="616"/>
        <w:contextualSpacing/>
        <w:jc w:val="both"/>
        <w:rPr>
          <w:rFonts w:ascii="Century Gothic" w:eastAsia="Arial" w:hAnsi="Century Gothic" w:cs="Arial"/>
          <w:i/>
          <w:iCs/>
          <w:color w:val="auto"/>
          <w:szCs w:val="24"/>
          <w:lang w:val="es-MX"/>
        </w:rPr>
      </w:pPr>
      <w:r w:rsidRPr="00341ECE">
        <w:rPr>
          <w:rFonts w:ascii="Century Gothic" w:eastAsia="Arial" w:hAnsi="Century Gothic" w:cs="Arial"/>
          <w:i/>
          <w:iCs/>
          <w:color w:val="auto"/>
          <w:szCs w:val="24"/>
          <w:lang w:val="es-MX"/>
        </w:rPr>
        <w:t xml:space="preserve">o) Promover y garantizar progresivamente, y de acuerdo con sus capacidades, el acompañamiento y la capacitación a </w:t>
      </w:r>
      <w:r w:rsidRPr="00341ECE">
        <w:rPr>
          <w:rFonts w:ascii="Century Gothic" w:eastAsia="Arial" w:hAnsi="Century Gothic" w:cs="Arial"/>
          <w:i/>
          <w:iCs/>
          <w:color w:val="auto"/>
          <w:szCs w:val="24"/>
          <w:lang w:val="es-MX"/>
        </w:rPr>
        <w:lastRenderedPageBreak/>
        <w:t>personas que ejerzan tareas de cuidado de la persona mayor, incluyendo familiares, con el fin de procurar su salud y bienestar</w:t>
      </w:r>
      <w:r>
        <w:rPr>
          <w:rFonts w:ascii="Century Gothic" w:eastAsia="Arial" w:hAnsi="Century Gothic" w:cs="Arial"/>
          <w:i/>
          <w:iCs/>
          <w:color w:val="auto"/>
          <w:szCs w:val="24"/>
          <w:lang w:val="es-MX"/>
        </w:rPr>
        <w:t>”</w:t>
      </w:r>
      <w:r w:rsidRPr="00341ECE">
        <w:rPr>
          <w:rFonts w:ascii="Century Gothic" w:eastAsia="Arial" w:hAnsi="Century Gothic" w:cs="Arial"/>
          <w:i/>
          <w:iCs/>
          <w:color w:val="auto"/>
          <w:szCs w:val="24"/>
          <w:lang w:val="es-MX"/>
        </w:rPr>
        <w:t>.</w:t>
      </w:r>
    </w:p>
    <w:p w14:paraId="45A6E3EB" w14:textId="77777777" w:rsidR="00DB734A" w:rsidRDefault="00DB734A" w:rsidP="0071498B">
      <w:pPr>
        <w:pStyle w:val="Normal1"/>
        <w:spacing w:line="360" w:lineRule="auto"/>
        <w:contextualSpacing/>
        <w:jc w:val="both"/>
        <w:rPr>
          <w:rFonts w:ascii="Century Gothic" w:eastAsia="Arial" w:hAnsi="Century Gothic" w:cs="Arial"/>
          <w:b/>
          <w:bCs/>
          <w:color w:val="auto"/>
          <w:szCs w:val="24"/>
          <w:lang w:val="es-MX"/>
        </w:rPr>
      </w:pPr>
    </w:p>
    <w:p w14:paraId="11A1CFBC" w14:textId="046339A0" w:rsidR="00295E36" w:rsidRDefault="00295E36" w:rsidP="00295E36">
      <w:pPr>
        <w:pStyle w:val="Normal1"/>
        <w:spacing w:line="360" w:lineRule="auto"/>
        <w:contextualSpacing/>
        <w:jc w:val="both"/>
        <w:rPr>
          <w:rFonts w:ascii="Century Gothic" w:eastAsia="Arial" w:hAnsi="Century Gothic" w:cs="Arial"/>
          <w:color w:val="auto"/>
          <w:szCs w:val="24"/>
          <w:lang w:val="es-MX"/>
        </w:rPr>
      </w:pPr>
      <w:r w:rsidRPr="00295E36">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Ahora bien, es necesario atender al contenido del marco normativo nacional referente al derecho a la salud de las personas adultas mayores. </w:t>
      </w:r>
    </w:p>
    <w:p w14:paraId="1D7FAA28" w14:textId="2DFE9E21" w:rsidR="00295E36" w:rsidRDefault="00295E36" w:rsidP="0071498B">
      <w:pPr>
        <w:pStyle w:val="Normal1"/>
        <w:spacing w:line="360" w:lineRule="auto"/>
        <w:contextualSpacing/>
        <w:jc w:val="both"/>
        <w:rPr>
          <w:rFonts w:ascii="Century Gothic" w:eastAsia="Arial" w:hAnsi="Century Gothic" w:cs="Arial"/>
          <w:color w:val="auto"/>
          <w:szCs w:val="24"/>
          <w:lang w:val="es-MX"/>
        </w:rPr>
      </w:pPr>
    </w:p>
    <w:p w14:paraId="0BAF0236" w14:textId="436354C4" w:rsidR="00295E36" w:rsidRPr="00EF532F" w:rsidRDefault="00295E36" w:rsidP="00295E3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Siguiendo la línea de reconocimiento y protección del derecho a la salud, tenemos que la </w:t>
      </w:r>
      <w:r w:rsidRPr="00215F4F">
        <w:rPr>
          <w:rFonts w:ascii="Century Gothic" w:eastAsia="Arial" w:hAnsi="Century Gothic" w:cs="Arial"/>
          <w:b/>
          <w:color w:val="auto"/>
          <w:szCs w:val="24"/>
          <w:lang w:val="es-MX"/>
        </w:rPr>
        <w:t>Constitución Política de los Estados Unidos Mexicanos</w:t>
      </w:r>
      <w:r>
        <w:rPr>
          <w:rFonts w:ascii="Century Gothic" w:eastAsia="Arial" w:hAnsi="Century Gothic" w:cs="Arial"/>
          <w:b/>
          <w:color w:val="auto"/>
          <w:szCs w:val="24"/>
          <w:lang w:val="es-MX"/>
        </w:rPr>
        <w:t>,</w:t>
      </w:r>
      <w:r>
        <w:rPr>
          <w:rStyle w:val="Refdenotaalpie"/>
          <w:rFonts w:ascii="Century Gothic" w:eastAsia="Arial" w:hAnsi="Century Gothic" w:cs="Arial"/>
          <w:b/>
          <w:color w:val="auto"/>
          <w:szCs w:val="24"/>
          <w:lang w:val="es-MX"/>
        </w:rPr>
        <w:footnoteReference w:id="11"/>
      </w:r>
      <w:r>
        <w:rPr>
          <w:rFonts w:ascii="Century Gothic" w:eastAsia="Arial" w:hAnsi="Century Gothic" w:cs="Arial"/>
          <w:color w:val="auto"/>
          <w:szCs w:val="24"/>
          <w:lang w:val="es-MX"/>
        </w:rPr>
        <w:t xml:space="preserve"> </w:t>
      </w:r>
      <w:r w:rsidRPr="00EF532F">
        <w:rPr>
          <w:rFonts w:ascii="Century Gothic" w:eastAsia="Arial" w:hAnsi="Century Gothic" w:cs="Arial"/>
          <w:color w:val="auto"/>
          <w:szCs w:val="24"/>
          <w:lang w:val="es-MX"/>
        </w:rPr>
        <w:t xml:space="preserve">consagra el derecho a la salud en </w:t>
      </w:r>
      <w:r>
        <w:rPr>
          <w:rFonts w:ascii="Century Gothic" w:eastAsia="Arial" w:hAnsi="Century Gothic" w:cs="Arial"/>
          <w:color w:val="auto"/>
          <w:szCs w:val="24"/>
          <w:lang w:val="es-MX"/>
        </w:rPr>
        <w:t>el</w:t>
      </w:r>
      <w:r w:rsidRPr="00EF532F">
        <w:rPr>
          <w:rFonts w:ascii="Century Gothic" w:eastAsia="Arial" w:hAnsi="Century Gothic" w:cs="Arial"/>
          <w:color w:val="auto"/>
          <w:szCs w:val="24"/>
          <w:lang w:val="es-MX"/>
        </w:rPr>
        <w:t xml:space="preserve"> párrafo tercero del artíc</w:t>
      </w:r>
      <w:r>
        <w:rPr>
          <w:rFonts w:ascii="Century Gothic" w:eastAsia="Arial" w:hAnsi="Century Gothic" w:cs="Arial"/>
          <w:color w:val="auto"/>
          <w:szCs w:val="24"/>
          <w:lang w:val="es-MX"/>
        </w:rPr>
        <w:t>ulo 4°</w:t>
      </w:r>
      <w:r w:rsidRPr="00EF532F">
        <w:rPr>
          <w:rFonts w:ascii="Century Gothic" w:eastAsia="Arial" w:hAnsi="Century Gothic" w:cs="Arial"/>
          <w:color w:val="auto"/>
          <w:szCs w:val="24"/>
          <w:lang w:val="es-MX"/>
        </w:rPr>
        <w:t>:</w:t>
      </w:r>
    </w:p>
    <w:p w14:paraId="53F49221" w14:textId="77777777" w:rsidR="00295E36" w:rsidRPr="00EF532F" w:rsidRDefault="00295E36" w:rsidP="00295E36">
      <w:pPr>
        <w:pStyle w:val="Normal1"/>
        <w:spacing w:line="360" w:lineRule="auto"/>
        <w:contextualSpacing/>
        <w:jc w:val="both"/>
        <w:rPr>
          <w:rFonts w:ascii="Century Gothic" w:eastAsia="Arial" w:hAnsi="Century Gothic" w:cs="Arial"/>
          <w:color w:val="auto"/>
          <w:szCs w:val="24"/>
          <w:lang w:val="es-MX"/>
        </w:rPr>
      </w:pPr>
    </w:p>
    <w:p w14:paraId="6896E4E3" w14:textId="77777777" w:rsidR="00295E36" w:rsidRPr="00EF532F" w:rsidRDefault="00295E36" w:rsidP="00295E36">
      <w:pPr>
        <w:pStyle w:val="Normal1"/>
        <w:spacing w:line="360" w:lineRule="auto"/>
        <w:ind w:left="851" w:right="900"/>
        <w:contextualSpacing/>
        <w:jc w:val="both"/>
        <w:rPr>
          <w:rFonts w:ascii="Century Gothic" w:eastAsia="Arial" w:hAnsi="Century Gothic" w:cs="Arial"/>
          <w:i/>
          <w:color w:val="auto"/>
          <w:szCs w:val="24"/>
          <w:lang w:val="es-MX"/>
        </w:rPr>
      </w:pPr>
      <w:r w:rsidRPr="00EF532F">
        <w:rPr>
          <w:rFonts w:ascii="Century Gothic" w:eastAsia="Arial" w:hAnsi="Century Gothic" w:cs="Arial"/>
          <w:i/>
          <w:color w:val="auto"/>
          <w:szCs w:val="24"/>
          <w:lang w:val="es-MX"/>
        </w:rPr>
        <w:t>“Toda persona tiene derecho a la protección de la salud</w:t>
      </w:r>
      <w:r>
        <w:rPr>
          <w:rFonts w:ascii="Century Gothic" w:eastAsia="Arial" w:hAnsi="Century Gothic" w:cs="Arial"/>
          <w:i/>
          <w:color w:val="auto"/>
          <w:szCs w:val="24"/>
          <w:lang w:val="es-MX"/>
        </w:rPr>
        <w:t>, …</w:t>
      </w:r>
      <w:r w:rsidRPr="00EF532F">
        <w:rPr>
          <w:rFonts w:ascii="Century Gothic" w:eastAsia="Arial" w:hAnsi="Century Gothic" w:cs="Arial"/>
          <w:i/>
          <w:color w:val="auto"/>
          <w:szCs w:val="24"/>
          <w:lang w:val="es-MX"/>
        </w:rPr>
        <w:t>”.</w:t>
      </w:r>
    </w:p>
    <w:p w14:paraId="1C052026" w14:textId="77777777" w:rsidR="00295E36" w:rsidRDefault="00295E36" w:rsidP="0071498B">
      <w:pPr>
        <w:pStyle w:val="Normal1"/>
        <w:spacing w:line="360" w:lineRule="auto"/>
        <w:contextualSpacing/>
        <w:jc w:val="both"/>
        <w:rPr>
          <w:rFonts w:ascii="Century Gothic" w:eastAsia="Arial" w:hAnsi="Century Gothic" w:cs="Arial"/>
          <w:color w:val="auto"/>
          <w:szCs w:val="24"/>
          <w:lang w:val="es-MX"/>
        </w:rPr>
      </w:pPr>
    </w:p>
    <w:p w14:paraId="7DAF1066" w14:textId="77777777" w:rsidR="00AA2798" w:rsidRDefault="00295E36" w:rsidP="00295E3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este tenor, y e</w:t>
      </w:r>
      <w:r w:rsidRPr="00542D48">
        <w:rPr>
          <w:rFonts w:ascii="Century Gothic" w:eastAsia="Arial" w:hAnsi="Century Gothic" w:cs="Arial"/>
          <w:color w:val="auto"/>
          <w:szCs w:val="24"/>
          <w:lang w:val="es-MX"/>
        </w:rPr>
        <w:t>n el marco del cumplimiento de las obligaciones</w:t>
      </w:r>
      <w:r>
        <w:rPr>
          <w:rFonts w:ascii="Century Gothic" w:eastAsia="Arial" w:hAnsi="Century Gothic" w:cs="Arial"/>
          <w:color w:val="auto"/>
          <w:szCs w:val="24"/>
          <w:lang w:val="es-MX"/>
        </w:rPr>
        <w:t xml:space="preserve"> internacionales</w:t>
      </w:r>
      <w:r w:rsidRPr="00542D48">
        <w:rPr>
          <w:rFonts w:ascii="Century Gothic" w:eastAsia="Arial" w:hAnsi="Century Gothic" w:cs="Arial"/>
          <w:color w:val="auto"/>
          <w:szCs w:val="24"/>
          <w:lang w:val="es-MX"/>
        </w:rPr>
        <w:t xml:space="preserve"> del Estado mexicano, </w:t>
      </w:r>
      <w:r>
        <w:rPr>
          <w:rFonts w:ascii="Century Gothic" w:eastAsia="Arial" w:hAnsi="Century Gothic" w:cs="Arial"/>
          <w:color w:val="auto"/>
          <w:szCs w:val="24"/>
          <w:lang w:val="es-MX"/>
        </w:rPr>
        <w:t>l</w:t>
      </w:r>
      <w:r w:rsidRPr="00507496">
        <w:rPr>
          <w:rFonts w:ascii="Century Gothic" w:eastAsia="Arial" w:hAnsi="Century Gothic" w:cs="Arial"/>
          <w:color w:val="auto"/>
          <w:szCs w:val="24"/>
          <w:lang w:val="es-MX"/>
        </w:rPr>
        <w:t>a</w:t>
      </w:r>
      <w:r>
        <w:rPr>
          <w:rFonts w:ascii="Century Gothic" w:eastAsia="Arial" w:hAnsi="Century Gothic" w:cs="Arial"/>
          <w:color w:val="auto"/>
          <w:szCs w:val="24"/>
          <w:lang w:val="es-MX"/>
        </w:rPr>
        <w:t xml:space="preserve"> </w:t>
      </w:r>
      <w:r w:rsidRPr="00295E36">
        <w:rPr>
          <w:rFonts w:ascii="Century Gothic" w:eastAsia="Arial" w:hAnsi="Century Gothic" w:cs="Arial"/>
          <w:b/>
          <w:bCs/>
          <w:color w:val="auto"/>
          <w:szCs w:val="24"/>
          <w:lang w:val="es-MX"/>
        </w:rPr>
        <w:t>Ley de los Derechos de las Personas Adultas Mayores</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12"/>
      </w:r>
      <w:r>
        <w:rPr>
          <w:rFonts w:ascii="Century Gothic" w:eastAsia="Arial" w:hAnsi="Century Gothic" w:cs="Arial"/>
          <w:color w:val="auto"/>
          <w:szCs w:val="24"/>
          <w:lang w:val="es-MX"/>
        </w:rPr>
        <w:t xml:space="preserve"> </w:t>
      </w:r>
      <w:r w:rsidRPr="00295E36">
        <w:rPr>
          <w:rFonts w:ascii="Century Gothic" w:eastAsia="Arial" w:hAnsi="Century Gothic" w:cs="Arial"/>
          <w:color w:val="auto"/>
          <w:szCs w:val="24"/>
          <w:lang w:val="es-MX"/>
        </w:rPr>
        <w:t>reconoce de manera específica la</w:t>
      </w:r>
      <w:r>
        <w:rPr>
          <w:rFonts w:ascii="Century Gothic" w:eastAsia="Arial" w:hAnsi="Century Gothic" w:cs="Arial"/>
          <w:color w:val="auto"/>
          <w:szCs w:val="24"/>
          <w:lang w:val="es-MX"/>
        </w:rPr>
        <w:t xml:space="preserve"> </w:t>
      </w:r>
      <w:r w:rsidRPr="00295E36">
        <w:rPr>
          <w:rFonts w:ascii="Century Gothic" w:eastAsia="Arial" w:hAnsi="Century Gothic" w:cs="Arial"/>
          <w:color w:val="auto"/>
          <w:szCs w:val="24"/>
          <w:lang w:val="es-MX"/>
        </w:rPr>
        <w:t>protección del derecho a la salud para este sector. El derecho implica que este</w:t>
      </w:r>
      <w:r>
        <w:rPr>
          <w:rFonts w:ascii="Century Gothic" w:eastAsia="Arial" w:hAnsi="Century Gothic" w:cs="Arial"/>
          <w:color w:val="auto"/>
          <w:szCs w:val="24"/>
          <w:lang w:val="es-MX"/>
        </w:rPr>
        <w:t xml:space="preserve"> </w:t>
      </w:r>
      <w:r w:rsidRPr="00295E36">
        <w:rPr>
          <w:rFonts w:ascii="Century Gothic" w:eastAsia="Arial" w:hAnsi="Century Gothic" w:cs="Arial"/>
          <w:color w:val="auto"/>
          <w:szCs w:val="24"/>
          <w:lang w:val="es-MX"/>
        </w:rPr>
        <w:t>grupo poblacional tenga acceso preferente a los servicios de salud, a recibir</w:t>
      </w:r>
      <w:r>
        <w:rPr>
          <w:rFonts w:ascii="Century Gothic" w:eastAsia="Arial" w:hAnsi="Century Gothic" w:cs="Arial"/>
          <w:color w:val="auto"/>
          <w:szCs w:val="24"/>
          <w:lang w:val="es-MX"/>
        </w:rPr>
        <w:t xml:space="preserve"> </w:t>
      </w:r>
      <w:r w:rsidRPr="00295E36">
        <w:rPr>
          <w:rFonts w:ascii="Century Gothic" w:eastAsia="Arial" w:hAnsi="Century Gothic" w:cs="Arial"/>
          <w:color w:val="auto"/>
          <w:szCs w:val="24"/>
          <w:lang w:val="es-MX"/>
        </w:rPr>
        <w:t>orientación y capacitación en materia de salud, y a desarrollar y fomentar la capacidad funcional que les permita ejecutar sus tareas y desempeñar sus roles</w:t>
      </w:r>
      <w:r>
        <w:rPr>
          <w:rFonts w:ascii="Century Gothic" w:eastAsia="Arial" w:hAnsi="Century Gothic" w:cs="Arial"/>
          <w:color w:val="auto"/>
          <w:szCs w:val="24"/>
          <w:lang w:val="es-MX"/>
        </w:rPr>
        <w:t xml:space="preserve"> </w:t>
      </w:r>
      <w:r w:rsidRPr="00295E36">
        <w:rPr>
          <w:rFonts w:ascii="Century Gothic" w:eastAsia="Arial" w:hAnsi="Century Gothic" w:cs="Arial"/>
          <w:color w:val="auto"/>
          <w:szCs w:val="24"/>
          <w:lang w:val="es-MX"/>
        </w:rPr>
        <w:t xml:space="preserve">sociales. </w:t>
      </w:r>
    </w:p>
    <w:p w14:paraId="05A77D05" w14:textId="77777777" w:rsidR="00AA2798" w:rsidRDefault="00AA2798" w:rsidP="00295E36">
      <w:pPr>
        <w:pStyle w:val="Normal1"/>
        <w:spacing w:line="360" w:lineRule="auto"/>
        <w:contextualSpacing/>
        <w:jc w:val="both"/>
        <w:rPr>
          <w:rFonts w:ascii="Century Gothic" w:eastAsia="Arial" w:hAnsi="Century Gothic" w:cs="Arial"/>
          <w:color w:val="auto"/>
          <w:szCs w:val="24"/>
          <w:lang w:val="es-MX"/>
        </w:rPr>
      </w:pPr>
    </w:p>
    <w:p w14:paraId="7B71AF50" w14:textId="73B39F92" w:rsidR="00295E36" w:rsidRDefault="00295E36" w:rsidP="00295E36">
      <w:pPr>
        <w:pStyle w:val="Normal1"/>
        <w:spacing w:line="360" w:lineRule="auto"/>
        <w:contextualSpacing/>
        <w:jc w:val="both"/>
        <w:rPr>
          <w:rFonts w:ascii="Century Gothic" w:eastAsia="Arial" w:hAnsi="Century Gothic" w:cs="Arial"/>
          <w:color w:val="auto"/>
          <w:szCs w:val="24"/>
          <w:lang w:val="es-MX"/>
        </w:rPr>
      </w:pPr>
      <w:r w:rsidRPr="00295E36">
        <w:rPr>
          <w:rFonts w:ascii="Century Gothic" w:eastAsia="Arial" w:hAnsi="Century Gothic" w:cs="Arial"/>
          <w:color w:val="auto"/>
          <w:szCs w:val="24"/>
          <w:lang w:val="es-MX"/>
        </w:rPr>
        <w:lastRenderedPageBreak/>
        <w:t>El mismo instrumento impone obligaciones adicionales para las instituciones públicas del sector salud en su artículo 18. En este sentido, las autoridades deben garantizar el derecho a la prestación de servicios públicos de salud</w:t>
      </w:r>
      <w:r>
        <w:rPr>
          <w:rFonts w:ascii="Century Gothic" w:eastAsia="Arial" w:hAnsi="Century Gothic" w:cs="Arial"/>
          <w:color w:val="auto"/>
          <w:szCs w:val="24"/>
          <w:lang w:val="es-MX"/>
        </w:rPr>
        <w:t xml:space="preserve"> </w:t>
      </w:r>
      <w:r w:rsidRPr="00295E36">
        <w:rPr>
          <w:rFonts w:ascii="Century Gothic" w:eastAsia="Arial" w:hAnsi="Century Gothic" w:cs="Arial"/>
          <w:color w:val="auto"/>
          <w:szCs w:val="24"/>
          <w:lang w:val="es-MX"/>
        </w:rPr>
        <w:t>integrales y de calidad, generar de manera prioritaria los programas de detección</w:t>
      </w:r>
      <w:r>
        <w:rPr>
          <w:rFonts w:ascii="Century Gothic" w:eastAsia="Arial" w:hAnsi="Century Gothic" w:cs="Arial"/>
          <w:color w:val="auto"/>
          <w:szCs w:val="24"/>
          <w:lang w:val="es-MX"/>
        </w:rPr>
        <w:t xml:space="preserve"> </w:t>
      </w:r>
      <w:r w:rsidRPr="00295E36">
        <w:rPr>
          <w:rFonts w:ascii="Century Gothic" w:eastAsia="Arial" w:hAnsi="Century Gothic" w:cs="Arial"/>
          <w:color w:val="auto"/>
          <w:szCs w:val="24"/>
          <w:lang w:val="es-MX"/>
        </w:rPr>
        <w:t>oportuna y tratamiento temprano de enfermedades crónicas y neoplasias entre</w:t>
      </w:r>
      <w:r>
        <w:rPr>
          <w:rFonts w:ascii="Century Gothic" w:eastAsia="Arial" w:hAnsi="Century Gothic" w:cs="Arial"/>
          <w:color w:val="auto"/>
          <w:szCs w:val="24"/>
          <w:lang w:val="es-MX"/>
        </w:rPr>
        <w:t xml:space="preserve"> </w:t>
      </w:r>
      <w:r w:rsidRPr="00295E36">
        <w:rPr>
          <w:rFonts w:ascii="Century Gothic" w:eastAsia="Arial" w:hAnsi="Century Gothic" w:cs="Arial"/>
          <w:color w:val="auto"/>
          <w:szCs w:val="24"/>
          <w:lang w:val="es-MX"/>
        </w:rPr>
        <w:t xml:space="preserve">las personas mayores, </w:t>
      </w:r>
      <w:r w:rsidR="00F71565">
        <w:rPr>
          <w:rFonts w:ascii="Century Gothic" w:eastAsia="Arial" w:hAnsi="Century Gothic" w:cs="Arial"/>
          <w:color w:val="auto"/>
          <w:szCs w:val="24"/>
          <w:lang w:val="es-MX"/>
        </w:rPr>
        <w:t xml:space="preserve">así como </w:t>
      </w:r>
      <w:r w:rsidRPr="00295E36">
        <w:rPr>
          <w:rFonts w:ascii="Century Gothic" w:eastAsia="Arial" w:hAnsi="Century Gothic" w:cs="Arial"/>
          <w:color w:val="auto"/>
          <w:szCs w:val="24"/>
          <w:lang w:val="es-MX"/>
        </w:rPr>
        <w:t xml:space="preserve">garantizar </w:t>
      </w:r>
      <w:r w:rsidR="00F71565">
        <w:rPr>
          <w:rFonts w:ascii="Century Gothic" w:eastAsia="Arial" w:hAnsi="Century Gothic" w:cs="Arial"/>
          <w:color w:val="auto"/>
          <w:szCs w:val="24"/>
          <w:lang w:val="es-MX"/>
        </w:rPr>
        <w:t>su</w:t>
      </w:r>
      <w:r w:rsidRPr="00295E36">
        <w:rPr>
          <w:rFonts w:ascii="Century Gothic" w:eastAsia="Arial" w:hAnsi="Century Gothic" w:cs="Arial"/>
          <w:color w:val="auto"/>
          <w:szCs w:val="24"/>
          <w:lang w:val="es-MX"/>
        </w:rPr>
        <w:t xml:space="preserve"> acceso a la atención médica en las clínicas y hospitales, con el establecimiento de áreas geriátricas en</w:t>
      </w:r>
      <w:r>
        <w:rPr>
          <w:rFonts w:ascii="Century Gothic" w:eastAsia="Arial" w:hAnsi="Century Gothic" w:cs="Arial"/>
          <w:color w:val="auto"/>
          <w:szCs w:val="24"/>
          <w:lang w:val="es-MX"/>
        </w:rPr>
        <w:t xml:space="preserve"> </w:t>
      </w:r>
      <w:r w:rsidRPr="00295E36">
        <w:rPr>
          <w:rFonts w:ascii="Century Gothic" w:eastAsia="Arial" w:hAnsi="Century Gothic" w:cs="Arial"/>
          <w:color w:val="auto"/>
          <w:szCs w:val="24"/>
          <w:lang w:val="es-MX"/>
        </w:rPr>
        <w:t>las unidades médicas de segundo y tercer nivel públicas y privadas</w:t>
      </w:r>
      <w:r>
        <w:rPr>
          <w:rFonts w:ascii="Century Gothic" w:eastAsia="Arial" w:hAnsi="Century Gothic" w:cs="Arial"/>
          <w:color w:val="auto"/>
          <w:szCs w:val="24"/>
          <w:lang w:val="es-MX"/>
        </w:rPr>
        <w:t xml:space="preserve">. </w:t>
      </w:r>
    </w:p>
    <w:p w14:paraId="35319783" w14:textId="4A8E5D3F" w:rsidR="0000694B" w:rsidRDefault="0000694B" w:rsidP="00295E36">
      <w:pPr>
        <w:pStyle w:val="Normal1"/>
        <w:spacing w:line="360" w:lineRule="auto"/>
        <w:contextualSpacing/>
        <w:jc w:val="both"/>
        <w:rPr>
          <w:rFonts w:ascii="Century Gothic" w:eastAsia="Arial" w:hAnsi="Century Gothic" w:cs="Arial"/>
          <w:color w:val="auto"/>
          <w:szCs w:val="24"/>
          <w:lang w:val="es-MX"/>
        </w:rPr>
      </w:pPr>
    </w:p>
    <w:p w14:paraId="4A7F434B" w14:textId="77777777" w:rsidR="0000694B" w:rsidRDefault="0000694B" w:rsidP="0000694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No omitimos mencionar que uno de los criterios orientadores en la materia, emitidos por la </w:t>
      </w:r>
      <w:r w:rsidRPr="009112DC">
        <w:rPr>
          <w:rFonts w:ascii="Century Gothic" w:eastAsia="Arial" w:hAnsi="Century Gothic" w:cs="Arial"/>
          <w:b/>
          <w:bCs/>
          <w:color w:val="auto"/>
          <w:szCs w:val="24"/>
          <w:lang w:val="es-MX"/>
        </w:rPr>
        <w:t>Suprema Corte de Justicia de la Nación</w:t>
      </w:r>
      <w:r w:rsidRPr="009112DC">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13"/>
      </w:r>
      <w:r>
        <w:rPr>
          <w:rFonts w:ascii="Century Gothic" w:eastAsia="Arial" w:hAnsi="Century Gothic" w:cs="Arial"/>
          <w:color w:val="auto"/>
          <w:szCs w:val="24"/>
          <w:lang w:val="es-MX"/>
        </w:rPr>
        <w:t xml:space="preserve"> es que </w:t>
      </w:r>
      <w:r w:rsidRPr="009112DC">
        <w:rPr>
          <w:rFonts w:ascii="Century Gothic" w:eastAsia="Arial" w:hAnsi="Century Gothic" w:cs="Arial"/>
          <w:i/>
          <w:iCs/>
          <w:color w:val="auto"/>
          <w:szCs w:val="24"/>
          <w:lang w:val="es-MX"/>
        </w:rPr>
        <w:t>“el parámetro de garantía del derecho a la salud de las personas mayores debe enmarcarse dentro de los principios generales de no discriminación y las consideraciones específicas de protección de los derechos de las personas mayores</w:t>
      </w:r>
      <w:r>
        <w:rPr>
          <w:rFonts w:ascii="Century Gothic" w:eastAsia="Arial" w:hAnsi="Century Gothic" w:cs="Arial"/>
          <w:i/>
          <w:iCs/>
          <w:color w:val="auto"/>
          <w:szCs w:val="24"/>
          <w:lang w:val="es-MX"/>
        </w:rPr>
        <w:t xml:space="preserve">. … </w:t>
      </w:r>
      <w:r w:rsidRPr="009112DC">
        <w:rPr>
          <w:rFonts w:ascii="Century Gothic" w:eastAsia="Arial" w:hAnsi="Century Gothic" w:cs="Arial"/>
          <w:i/>
          <w:iCs/>
          <w:color w:val="auto"/>
          <w:szCs w:val="24"/>
          <w:lang w:val="es-MX"/>
        </w:rPr>
        <w:t>Por tal motivo, se deben tomar medidas que ofrezcan a las personas</w:t>
      </w:r>
      <w:r>
        <w:rPr>
          <w:rFonts w:ascii="Century Gothic" w:eastAsia="Arial" w:hAnsi="Century Gothic" w:cs="Arial"/>
          <w:i/>
          <w:iCs/>
          <w:color w:val="auto"/>
          <w:szCs w:val="24"/>
          <w:lang w:val="es-MX"/>
        </w:rPr>
        <w:t xml:space="preserve"> </w:t>
      </w:r>
      <w:r w:rsidRPr="009112DC">
        <w:rPr>
          <w:rFonts w:ascii="Century Gothic" w:eastAsia="Arial" w:hAnsi="Century Gothic" w:cs="Arial"/>
          <w:i/>
          <w:iCs/>
          <w:color w:val="auto"/>
          <w:szCs w:val="24"/>
          <w:lang w:val="es-MX"/>
        </w:rPr>
        <w:t xml:space="preserve">acceso no discriminatorio a cuidados integrales”. </w:t>
      </w:r>
      <w:r w:rsidRPr="009112DC">
        <w:rPr>
          <w:rFonts w:ascii="Century Gothic" w:eastAsia="Arial" w:hAnsi="Century Gothic" w:cs="Arial"/>
          <w:i/>
          <w:iCs/>
          <w:color w:val="auto"/>
          <w:szCs w:val="24"/>
          <w:lang w:val="es-MX"/>
        </w:rPr>
        <w:cr/>
      </w:r>
    </w:p>
    <w:p w14:paraId="0F455E34" w14:textId="77777777" w:rsidR="0000694B" w:rsidRPr="009112DC" w:rsidRDefault="0000694B" w:rsidP="0000694B">
      <w:pPr>
        <w:pStyle w:val="Normal1"/>
        <w:spacing w:line="360" w:lineRule="auto"/>
        <w:contextualSpacing/>
        <w:jc w:val="both"/>
        <w:rPr>
          <w:rFonts w:ascii="Century Gothic" w:eastAsia="Arial" w:hAnsi="Century Gothic" w:cs="Arial"/>
          <w:color w:val="auto"/>
          <w:szCs w:val="24"/>
          <w:lang w:val="es-MX"/>
        </w:rPr>
      </w:pPr>
      <w:r w:rsidRPr="009112DC">
        <w:rPr>
          <w:rFonts w:ascii="Century Gothic" w:eastAsia="Arial" w:hAnsi="Century Gothic" w:cs="Arial"/>
          <w:color w:val="auto"/>
          <w:szCs w:val="24"/>
          <w:lang w:val="es-MX"/>
        </w:rPr>
        <w:t xml:space="preserve">Respecto al derecho a la salud, la </w:t>
      </w:r>
      <w:r w:rsidRPr="0000694B">
        <w:rPr>
          <w:rFonts w:ascii="Century Gothic" w:eastAsia="Arial" w:hAnsi="Century Gothic" w:cs="Arial"/>
          <w:b/>
          <w:bCs/>
          <w:color w:val="auto"/>
          <w:szCs w:val="24"/>
          <w:lang w:val="es-MX"/>
        </w:rPr>
        <w:t>Corte</w:t>
      </w:r>
      <w:r w:rsidRPr="009112DC">
        <w:rPr>
          <w:rFonts w:ascii="Century Gothic" w:eastAsia="Arial" w:hAnsi="Century Gothic" w:cs="Arial"/>
          <w:color w:val="auto"/>
          <w:szCs w:val="24"/>
          <w:lang w:val="es-MX"/>
        </w:rPr>
        <w:t xml:space="preserve"> señaló que en muchas ocasiones las personas mayores enfrentan vulnerabilidad</w:t>
      </w:r>
      <w:r>
        <w:rPr>
          <w:rFonts w:ascii="Century Gothic" w:eastAsia="Arial" w:hAnsi="Century Gothic" w:cs="Arial"/>
          <w:color w:val="auto"/>
          <w:szCs w:val="24"/>
          <w:lang w:val="es-MX"/>
        </w:rPr>
        <w:t xml:space="preserve"> </w:t>
      </w:r>
      <w:r w:rsidRPr="009112DC">
        <w:rPr>
          <w:rFonts w:ascii="Century Gothic" w:eastAsia="Arial" w:hAnsi="Century Gothic" w:cs="Arial"/>
          <w:color w:val="auto"/>
          <w:szCs w:val="24"/>
          <w:lang w:val="es-MX"/>
        </w:rPr>
        <w:t>frente al acceso a la salud, lo cual se puede incrementar debido a la existencia de</w:t>
      </w:r>
      <w:r>
        <w:rPr>
          <w:rFonts w:ascii="Century Gothic" w:eastAsia="Arial" w:hAnsi="Century Gothic" w:cs="Arial"/>
          <w:color w:val="auto"/>
          <w:szCs w:val="24"/>
          <w:lang w:val="es-MX"/>
        </w:rPr>
        <w:t xml:space="preserve"> </w:t>
      </w:r>
      <w:r w:rsidRPr="009112DC">
        <w:rPr>
          <w:rFonts w:ascii="Century Gothic" w:eastAsia="Arial" w:hAnsi="Century Gothic" w:cs="Arial"/>
          <w:color w:val="auto"/>
          <w:szCs w:val="24"/>
          <w:lang w:val="es-MX"/>
        </w:rPr>
        <w:t xml:space="preserve">factores tales como </w:t>
      </w:r>
      <w:r w:rsidRPr="009112DC">
        <w:rPr>
          <w:rFonts w:ascii="Century Gothic" w:eastAsia="Arial" w:hAnsi="Century Gothic" w:cs="Arial"/>
          <w:color w:val="auto"/>
          <w:szCs w:val="24"/>
          <w:lang w:val="es-MX"/>
        </w:rPr>
        <w:lastRenderedPageBreak/>
        <w:t>limitaciones físicas, de movilidad, la condición económica o</w:t>
      </w:r>
      <w:r>
        <w:rPr>
          <w:rFonts w:ascii="Century Gothic" w:eastAsia="Arial" w:hAnsi="Century Gothic" w:cs="Arial"/>
          <w:color w:val="auto"/>
          <w:szCs w:val="24"/>
          <w:lang w:val="es-MX"/>
        </w:rPr>
        <w:t xml:space="preserve"> </w:t>
      </w:r>
      <w:r w:rsidRPr="009112DC">
        <w:rPr>
          <w:rFonts w:ascii="Century Gothic" w:eastAsia="Arial" w:hAnsi="Century Gothic" w:cs="Arial"/>
          <w:color w:val="auto"/>
          <w:szCs w:val="24"/>
          <w:lang w:val="es-MX"/>
        </w:rPr>
        <w:t>la gravedad de la enfermedad y posibilidades de recuperación. Además, dicha</w:t>
      </w:r>
      <w:r>
        <w:rPr>
          <w:rFonts w:ascii="Century Gothic" w:eastAsia="Arial" w:hAnsi="Century Gothic" w:cs="Arial"/>
          <w:color w:val="auto"/>
          <w:szCs w:val="24"/>
          <w:lang w:val="es-MX"/>
        </w:rPr>
        <w:t xml:space="preserve"> </w:t>
      </w:r>
      <w:r w:rsidRPr="009112DC">
        <w:rPr>
          <w:rFonts w:ascii="Century Gothic" w:eastAsia="Arial" w:hAnsi="Century Gothic" w:cs="Arial"/>
          <w:color w:val="auto"/>
          <w:szCs w:val="24"/>
          <w:lang w:val="es-MX"/>
        </w:rPr>
        <w:t>vulnerabilidad se encuentra incrementada debido al desequilibrio de poder que</w:t>
      </w:r>
      <w:r>
        <w:rPr>
          <w:rFonts w:ascii="Century Gothic" w:eastAsia="Arial" w:hAnsi="Century Gothic" w:cs="Arial"/>
          <w:color w:val="auto"/>
          <w:szCs w:val="24"/>
          <w:lang w:val="es-MX"/>
        </w:rPr>
        <w:t xml:space="preserve"> </w:t>
      </w:r>
      <w:r w:rsidRPr="009112DC">
        <w:rPr>
          <w:rFonts w:ascii="Century Gothic" w:eastAsia="Arial" w:hAnsi="Century Gothic" w:cs="Arial"/>
          <w:color w:val="auto"/>
          <w:szCs w:val="24"/>
          <w:lang w:val="es-MX"/>
        </w:rPr>
        <w:t>existe en la relación médico-paciente. En consecuencia, debido a la vulnerabilidad que enfrentan, en este sector “</w:t>
      </w:r>
      <w:r w:rsidRPr="002432FF">
        <w:rPr>
          <w:rFonts w:ascii="Century Gothic" w:eastAsia="Arial" w:hAnsi="Century Gothic" w:cs="Arial"/>
          <w:i/>
          <w:iCs/>
          <w:color w:val="auto"/>
          <w:szCs w:val="24"/>
          <w:lang w:val="es-MX"/>
        </w:rPr>
        <w:t>son sujetos de derechos con especial protección y por ende de cuidado integral, lo cual conlleva una obligación reforzada de respeto y garantía de su derecho a la salud</w:t>
      </w:r>
      <w:r w:rsidRPr="009112DC">
        <w:rPr>
          <w:rFonts w:ascii="Century Gothic" w:eastAsia="Arial" w:hAnsi="Century Gothic" w:cs="Arial"/>
          <w:color w:val="auto"/>
          <w:szCs w:val="24"/>
          <w:lang w:val="es-MX"/>
        </w:rPr>
        <w:t>”.</w:t>
      </w:r>
    </w:p>
    <w:p w14:paraId="1D455A8F" w14:textId="08AFF2F9" w:rsidR="00AA2798" w:rsidRDefault="00AA2798" w:rsidP="00295E36">
      <w:pPr>
        <w:pStyle w:val="Normal1"/>
        <w:spacing w:line="360" w:lineRule="auto"/>
        <w:contextualSpacing/>
        <w:jc w:val="both"/>
        <w:rPr>
          <w:rFonts w:ascii="Century Gothic" w:eastAsia="Arial" w:hAnsi="Century Gothic" w:cs="Arial"/>
          <w:color w:val="auto"/>
          <w:szCs w:val="24"/>
          <w:lang w:val="es-MX"/>
        </w:rPr>
      </w:pPr>
    </w:p>
    <w:p w14:paraId="51AE8991" w14:textId="60060918" w:rsidR="005833E3" w:rsidRDefault="0000694B" w:rsidP="005833E3">
      <w:pPr>
        <w:pStyle w:val="Normal1"/>
        <w:spacing w:line="360" w:lineRule="auto"/>
        <w:contextualSpacing/>
        <w:jc w:val="both"/>
        <w:rPr>
          <w:rFonts w:ascii="Century Gothic" w:eastAsia="Arial" w:hAnsi="Century Gothic" w:cs="Arial"/>
          <w:szCs w:val="24"/>
          <w:lang w:val="es-MX"/>
        </w:rPr>
      </w:pPr>
      <w:r w:rsidRPr="0000694B">
        <w:rPr>
          <w:rFonts w:ascii="Century Gothic" w:eastAsia="Arial" w:hAnsi="Century Gothic" w:cs="Arial"/>
          <w:b/>
          <w:bCs/>
          <w:color w:val="auto"/>
          <w:szCs w:val="24"/>
          <w:lang w:val="es-MX"/>
        </w:rPr>
        <w:t>V.-</w:t>
      </w:r>
      <w:r>
        <w:rPr>
          <w:rFonts w:ascii="Century Gothic" w:eastAsia="Arial" w:hAnsi="Century Gothic" w:cs="Arial"/>
          <w:color w:val="auto"/>
          <w:szCs w:val="24"/>
          <w:lang w:val="es-MX"/>
        </w:rPr>
        <w:t xml:space="preserve"> </w:t>
      </w:r>
      <w:r w:rsidR="00AA2798">
        <w:rPr>
          <w:rFonts w:ascii="Century Gothic" w:eastAsia="Arial" w:hAnsi="Century Gothic" w:cs="Arial"/>
          <w:color w:val="auto"/>
          <w:szCs w:val="24"/>
          <w:lang w:val="es-MX"/>
        </w:rPr>
        <w:t xml:space="preserve">Lo anterior reviste importancia ya que el objetivo de la iniciativa en estudio, </w:t>
      </w:r>
      <w:r w:rsidR="005833E3">
        <w:rPr>
          <w:rFonts w:ascii="Century Gothic" w:eastAsia="Arial" w:hAnsi="Century Gothic" w:cs="Arial"/>
          <w:color w:val="auto"/>
          <w:szCs w:val="24"/>
          <w:lang w:val="es-MX"/>
        </w:rPr>
        <w:t>se</w:t>
      </w:r>
      <w:r w:rsidR="00AA2798">
        <w:rPr>
          <w:rFonts w:ascii="Century Gothic" w:eastAsia="Arial" w:hAnsi="Century Gothic" w:cs="Arial"/>
          <w:color w:val="auto"/>
          <w:szCs w:val="24"/>
          <w:lang w:val="es-MX"/>
        </w:rPr>
        <w:t xml:space="preserve"> concreta en</w:t>
      </w:r>
      <w:r w:rsidR="00AA2798" w:rsidRPr="00E223D6">
        <w:rPr>
          <w:rFonts w:ascii="Century Gothic" w:eastAsia="Arial" w:hAnsi="Century Gothic" w:cs="Arial"/>
          <w:color w:val="auto"/>
          <w:szCs w:val="24"/>
          <w:lang w:val="es-MX"/>
        </w:rPr>
        <w:t xml:space="preserve">: </w:t>
      </w:r>
      <w:r w:rsidR="005833E3" w:rsidRPr="00321AAC">
        <w:rPr>
          <w:rFonts w:ascii="Century Gothic" w:eastAsia="Arial" w:hAnsi="Century Gothic" w:cs="Arial"/>
          <w:szCs w:val="24"/>
          <w:lang w:val="es-MX"/>
        </w:rPr>
        <w:t xml:space="preserve">considerar la atención médica </w:t>
      </w:r>
      <w:r w:rsidR="005833E3">
        <w:rPr>
          <w:rFonts w:ascii="Century Gothic" w:eastAsia="Arial" w:hAnsi="Century Gothic" w:cs="Arial"/>
          <w:szCs w:val="24"/>
          <w:lang w:val="es-MX"/>
        </w:rPr>
        <w:t>de</w:t>
      </w:r>
      <w:r w:rsidR="005833E3" w:rsidRPr="00321AAC">
        <w:rPr>
          <w:rFonts w:ascii="Century Gothic" w:eastAsia="Arial" w:hAnsi="Century Gothic" w:cs="Arial"/>
          <w:szCs w:val="24"/>
          <w:lang w:val="es-MX"/>
        </w:rPr>
        <w:t xml:space="preserve"> las personas adultas mayores, como un servicio esencial de salud.</w:t>
      </w:r>
    </w:p>
    <w:p w14:paraId="5FB62F3B" w14:textId="79D7BD3D" w:rsidR="0071498B" w:rsidRDefault="0071498B" w:rsidP="0071498B">
      <w:pPr>
        <w:pStyle w:val="Normal1"/>
        <w:spacing w:line="360" w:lineRule="auto"/>
        <w:contextualSpacing/>
        <w:jc w:val="both"/>
        <w:rPr>
          <w:rFonts w:ascii="Century Gothic" w:eastAsia="Arial" w:hAnsi="Century Gothic" w:cs="Arial"/>
          <w:color w:val="auto"/>
          <w:szCs w:val="24"/>
          <w:lang w:val="es-MX"/>
        </w:rPr>
      </w:pPr>
    </w:p>
    <w:p w14:paraId="128F4A04" w14:textId="30927AFE" w:rsidR="005833E3" w:rsidRPr="005833E3" w:rsidRDefault="0071498B" w:rsidP="0071498B">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 xml:space="preserve">En este tenor, </w:t>
      </w:r>
      <w:r w:rsidRPr="00FA1793">
        <w:rPr>
          <w:rFonts w:ascii="Century Gothic" w:eastAsia="Arial" w:hAnsi="Century Gothic" w:cs="Arial"/>
          <w:color w:val="auto"/>
          <w:szCs w:val="24"/>
          <w:lang w:val="es-MX"/>
        </w:rPr>
        <w:t xml:space="preserve">la </w:t>
      </w:r>
      <w:r w:rsidRPr="008C0A91">
        <w:rPr>
          <w:rFonts w:ascii="Century Gothic" w:eastAsia="Arial" w:hAnsi="Century Gothic" w:cs="Arial"/>
          <w:b/>
          <w:bCs/>
          <w:color w:val="auto"/>
          <w:szCs w:val="24"/>
          <w:lang w:val="es-MX"/>
        </w:rPr>
        <w:t>Ley General de Salud</w:t>
      </w:r>
      <w:r>
        <w:rPr>
          <w:rFonts w:ascii="Century Gothic" w:eastAsia="Arial" w:hAnsi="Century Gothic" w:cs="Arial"/>
          <w:b/>
          <w:bCs/>
          <w:color w:val="auto"/>
          <w:szCs w:val="24"/>
          <w:lang w:val="es-MX"/>
        </w:rPr>
        <w:t>,</w:t>
      </w:r>
      <w:r>
        <w:rPr>
          <w:rStyle w:val="Refdenotaalpie"/>
          <w:rFonts w:ascii="Century Gothic" w:eastAsia="Arial" w:hAnsi="Century Gothic" w:cs="Arial"/>
          <w:b/>
          <w:bCs/>
          <w:color w:val="auto"/>
          <w:szCs w:val="24"/>
          <w:lang w:val="es-MX"/>
        </w:rPr>
        <w:footnoteReference w:id="14"/>
      </w:r>
      <w:r w:rsidRPr="00FA1793">
        <w:rPr>
          <w:rFonts w:ascii="Century Gothic" w:eastAsia="Arial" w:hAnsi="Century Gothic" w:cs="Arial"/>
          <w:color w:val="auto"/>
          <w:szCs w:val="24"/>
          <w:lang w:val="es-MX"/>
        </w:rPr>
        <w:t xml:space="preserve"> </w:t>
      </w:r>
      <w:r w:rsidR="005833E3">
        <w:rPr>
          <w:rFonts w:ascii="Century Gothic" w:eastAsia="Arial" w:hAnsi="Century Gothic" w:cs="Arial"/>
          <w:color w:val="auto"/>
          <w:szCs w:val="24"/>
          <w:lang w:val="es-MX"/>
        </w:rPr>
        <w:t>en su artículo 23, define los</w:t>
      </w:r>
      <w:r w:rsidR="005833E3" w:rsidRPr="005833E3">
        <w:rPr>
          <w:rFonts w:ascii="Century Gothic" w:eastAsia="Arial" w:hAnsi="Century Gothic" w:cs="Arial"/>
          <w:color w:val="auto"/>
          <w:szCs w:val="24"/>
          <w:lang w:val="es-MX"/>
        </w:rPr>
        <w:t xml:space="preserve"> servicios de salud </w:t>
      </w:r>
      <w:r w:rsidR="005833E3">
        <w:rPr>
          <w:rFonts w:ascii="Century Gothic" w:eastAsia="Arial" w:hAnsi="Century Gothic" w:cs="Arial"/>
          <w:color w:val="auto"/>
          <w:szCs w:val="24"/>
          <w:lang w:val="es-MX"/>
        </w:rPr>
        <w:t xml:space="preserve">como </w:t>
      </w:r>
      <w:r w:rsidR="005833E3" w:rsidRPr="005833E3">
        <w:rPr>
          <w:rFonts w:ascii="Century Gothic" w:eastAsia="Arial" w:hAnsi="Century Gothic" w:cs="Arial"/>
          <w:i/>
          <w:iCs/>
          <w:color w:val="auto"/>
          <w:szCs w:val="24"/>
          <w:lang w:val="es-MX"/>
        </w:rPr>
        <w:t>“todas aquellas acciones realizadas en beneficio del individuo y de la sociedad en general, dirigidas a proteger, promover y restaurar la salud de la persona y de la colectividad”.</w:t>
      </w:r>
    </w:p>
    <w:p w14:paraId="78EC2397" w14:textId="77777777" w:rsidR="005833E3" w:rsidRDefault="005833E3" w:rsidP="0071498B">
      <w:pPr>
        <w:pStyle w:val="Normal1"/>
        <w:spacing w:line="360" w:lineRule="auto"/>
        <w:contextualSpacing/>
        <w:jc w:val="both"/>
        <w:rPr>
          <w:rFonts w:ascii="Century Gothic" w:eastAsia="Arial" w:hAnsi="Century Gothic" w:cs="Arial"/>
          <w:color w:val="auto"/>
          <w:szCs w:val="24"/>
          <w:lang w:val="es-MX"/>
        </w:rPr>
      </w:pPr>
    </w:p>
    <w:p w14:paraId="4EAF8849" w14:textId="77777777" w:rsidR="005833E3" w:rsidRDefault="005833E3" w:rsidP="005833E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Así mismo, </w:t>
      </w:r>
      <w:r w:rsidRPr="005833E3">
        <w:rPr>
          <w:rFonts w:ascii="Century Gothic" w:eastAsia="Arial" w:hAnsi="Century Gothic" w:cs="Arial"/>
          <w:color w:val="auto"/>
          <w:szCs w:val="24"/>
          <w:lang w:val="es-MX"/>
        </w:rPr>
        <w:t xml:space="preserve">clasifica a </w:t>
      </w:r>
      <w:r>
        <w:rPr>
          <w:rFonts w:ascii="Century Gothic" w:eastAsia="Arial" w:hAnsi="Century Gothic" w:cs="Arial"/>
          <w:color w:val="auto"/>
          <w:szCs w:val="24"/>
          <w:lang w:val="es-MX"/>
        </w:rPr>
        <w:t>dichos</w:t>
      </w:r>
      <w:r w:rsidRPr="005833E3">
        <w:rPr>
          <w:rFonts w:ascii="Century Gothic" w:eastAsia="Arial" w:hAnsi="Century Gothic" w:cs="Arial"/>
          <w:color w:val="auto"/>
          <w:szCs w:val="24"/>
          <w:lang w:val="es-MX"/>
        </w:rPr>
        <w:t xml:space="preserve"> servicios de salud en tres tipos: </w:t>
      </w:r>
    </w:p>
    <w:p w14:paraId="371183F8" w14:textId="6FD7E637" w:rsidR="005833E3" w:rsidRDefault="005833E3" w:rsidP="005833E3">
      <w:pPr>
        <w:pStyle w:val="Normal1"/>
        <w:numPr>
          <w:ilvl w:val="0"/>
          <w:numId w:val="32"/>
        </w:numPr>
        <w:spacing w:line="360" w:lineRule="auto"/>
        <w:contextualSpacing/>
        <w:jc w:val="both"/>
        <w:rPr>
          <w:rFonts w:ascii="Century Gothic" w:eastAsia="Arial" w:hAnsi="Century Gothic" w:cs="Arial"/>
          <w:color w:val="auto"/>
          <w:szCs w:val="24"/>
          <w:lang w:val="es-MX"/>
        </w:rPr>
      </w:pPr>
      <w:r w:rsidRPr="005833E3">
        <w:rPr>
          <w:rFonts w:ascii="Century Gothic" w:eastAsia="Arial" w:hAnsi="Century Gothic" w:cs="Arial"/>
          <w:color w:val="auto"/>
          <w:szCs w:val="24"/>
          <w:lang w:val="es-MX"/>
        </w:rPr>
        <w:t>De atención médica</w:t>
      </w:r>
      <w:r>
        <w:rPr>
          <w:rFonts w:ascii="Century Gothic" w:eastAsia="Arial" w:hAnsi="Century Gothic" w:cs="Arial"/>
          <w:color w:val="auto"/>
          <w:szCs w:val="24"/>
          <w:lang w:val="es-MX"/>
        </w:rPr>
        <w:t>.</w:t>
      </w:r>
      <w:r w:rsidRPr="005833E3">
        <w:rPr>
          <w:rFonts w:ascii="Century Gothic" w:eastAsia="Arial" w:hAnsi="Century Gothic" w:cs="Arial"/>
          <w:color w:val="auto"/>
          <w:szCs w:val="24"/>
          <w:lang w:val="es-MX"/>
        </w:rPr>
        <w:t xml:space="preserve"> </w:t>
      </w:r>
    </w:p>
    <w:p w14:paraId="67A08E53" w14:textId="6AB663B5" w:rsidR="005833E3" w:rsidRDefault="005833E3" w:rsidP="005833E3">
      <w:pPr>
        <w:pStyle w:val="Normal1"/>
        <w:numPr>
          <w:ilvl w:val="0"/>
          <w:numId w:val="32"/>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w:t>
      </w:r>
      <w:r w:rsidRPr="005833E3">
        <w:rPr>
          <w:rFonts w:ascii="Century Gothic" w:eastAsia="Arial" w:hAnsi="Century Gothic" w:cs="Arial"/>
          <w:color w:val="auto"/>
          <w:szCs w:val="24"/>
          <w:lang w:val="es-MX"/>
        </w:rPr>
        <w:t>e salud pública</w:t>
      </w:r>
      <w:r>
        <w:rPr>
          <w:rFonts w:ascii="Century Gothic" w:eastAsia="Arial" w:hAnsi="Century Gothic" w:cs="Arial"/>
          <w:color w:val="auto"/>
          <w:szCs w:val="24"/>
          <w:lang w:val="es-MX"/>
        </w:rPr>
        <w:t>,</w:t>
      </w:r>
      <w:r w:rsidRPr="005833E3">
        <w:rPr>
          <w:rFonts w:ascii="Century Gothic" w:eastAsia="Arial" w:hAnsi="Century Gothic" w:cs="Arial"/>
          <w:color w:val="auto"/>
          <w:szCs w:val="24"/>
          <w:lang w:val="es-MX"/>
        </w:rPr>
        <w:t xml:space="preserve"> y </w:t>
      </w:r>
    </w:p>
    <w:p w14:paraId="6F387180" w14:textId="721C0E69" w:rsidR="005833E3" w:rsidRDefault="005833E3" w:rsidP="005833E3">
      <w:pPr>
        <w:pStyle w:val="Normal1"/>
        <w:numPr>
          <w:ilvl w:val="0"/>
          <w:numId w:val="32"/>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w:t>
      </w:r>
      <w:r w:rsidRPr="005833E3">
        <w:rPr>
          <w:rFonts w:ascii="Century Gothic" w:eastAsia="Arial" w:hAnsi="Century Gothic" w:cs="Arial"/>
          <w:color w:val="auto"/>
          <w:szCs w:val="24"/>
          <w:lang w:val="es-MX"/>
        </w:rPr>
        <w:t xml:space="preserve">e asistencia social; </w:t>
      </w:r>
    </w:p>
    <w:p w14:paraId="067387DE" w14:textId="77777777" w:rsidR="005833E3" w:rsidRDefault="005833E3" w:rsidP="005833E3">
      <w:pPr>
        <w:pStyle w:val="Normal1"/>
        <w:spacing w:line="360" w:lineRule="auto"/>
        <w:contextualSpacing/>
        <w:jc w:val="both"/>
        <w:rPr>
          <w:rFonts w:ascii="Century Gothic" w:eastAsia="Arial" w:hAnsi="Century Gothic" w:cs="Arial"/>
          <w:color w:val="auto"/>
          <w:szCs w:val="24"/>
          <w:lang w:val="es-MX"/>
        </w:rPr>
      </w:pPr>
    </w:p>
    <w:p w14:paraId="217E769E" w14:textId="0821F0EA" w:rsidR="005833E3" w:rsidRDefault="00927ADD" w:rsidP="005833E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 xml:space="preserve">Se </w:t>
      </w:r>
      <w:r w:rsidR="005833E3" w:rsidRPr="005833E3">
        <w:rPr>
          <w:rFonts w:ascii="Century Gothic" w:eastAsia="Arial" w:hAnsi="Century Gothic" w:cs="Arial"/>
          <w:color w:val="auto"/>
          <w:szCs w:val="24"/>
          <w:lang w:val="es-MX"/>
        </w:rPr>
        <w:t>ent</w:t>
      </w:r>
      <w:r>
        <w:rPr>
          <w:rFonts w:ascii="Century Gothic" w:eastAsia="Arial" w:hAnsi="Century Gothic" w:cs="Arial"/>
          <w:color w:val="auto"/>
          <w:szCs w:val="24"/>
          <w:lang w:val="es-MX"/>
        </w:rPr>
        <w:t>iende</w:t>
      </w:r>
      <w:r w:rsidR="005833E3" w:rsidRPr="005833E3">
        <w:rPr>
          <w:rFonts w:ascii="Century Gothic" w:eastAsia="Arial" w:hAnsi="Century Gothic" w:cs="Arial"/>
          <w:color w:val="auto"/>
          <w:szCs w:val="24"/>
          <w:lang w:val="es-MX"/>
        </w:rPr>
        <w:t xml:space="preserve"> por</w:t>
      </w:r>
      <w:r>
        <w:rPr>
          <w:rFonts w:ascii="Century Gothic" w:eastAsia="Arial" w:hAnsi="Century Gothic" w:cs="Arial"/>
          <w:color w:val="auto"/>
          <w:szCs w:val="24"/>
          <w:lang w:val="es-MX"/>
        </w:rPr>
        <w:t xml:space="preserve"> servicios de</w:t>
      </w:r>
      <w:r w:rsidR="005833E3" w:rsidRPr="005833E3">
        <w:rPr>
          <w:rFonts w:ascii="Century Gothic" w:eastAsia="Arial" w:hAnsi="Century Gothic" w:cs="Arial"/>
          <w:color w:val="auto"/>
          <w:szCs w:val="24"/>
          <w:lang w:val="es-MX"/>
        </w:rPr>
        <w:t xml:space="preserve"> atención médica</w:t>
      </w:r>
      <w:r>
        <w:rPr>
          <w:rFonts w:ascii="Century Gothic" w:eastAsia="Arial" w:hAnsi="Century Gothic" w:cs="Arial"/>
          <w:color w:val="auto"/>
          <w:szCs w:val="24"/>
          <w:lang w:val="es-MX"/>
        </w:rPr>
        <w:t>,</w:t>
      </w:r>
      <w:r w:rsidR="005833E3" w:rsidRPr="005833E3">
        <w:rPr>
          <w:rFonts w:ascii="Century Gothic" w:eastAsia="Arial" w:hAnsi="Century Gothic" w:cs="Arial"/>
          <w:color w:val="auto"/>
          <w:szCs w:val="24"/>
          <w:lang w:val="es-MX"/>
        </w:rPr>
        <w:t xml:space="preserve"> el conjunto de servicios que se proporcion</w:t>
      </w:r>
      <w:r>
        <w:rPr>
          <w:rFonts w:ascii="Century Gothic" w:eastAsia="Arial" w:hAnsi="Century Gothic" w:cs="Arial"/>
          <w:color w:val="auto"/>
          <w:szCs w:val="24"/>
          <w:lang w:val="es-MX"/>
        </w:rPr>
        <w:t>a</w:t>
      </w:r>
      <w:r w:rsidR="005833E3" w:rsidRPr="005833E3">
        <w:rPr>
          <w:rFonts w:ascii="Century Gothic" w:eastAsia="Arial" w:hAnsi="Century Gothic" w:cs="Arial"/>
          <w:color w:val="auto"/>
          <w:szCs w:val="24"/>
          <w:lang w:val="es-MX"/>
        </w:rPr>
        <w:t>n al individuo con el fin de proteger, promover y restaurar su salud.</w:t>
      </w:r>
      <w:r>
        <w:rPr>
          <w:rFonts w:ascii="Century Gothic" w:eastAsia="Arial" w:hAnsi="Century Gothic" w:cs="Arial"/>
          <w:color w:val="auto"/>
          <w:szCs w:val="24"/>
          <w:lang w:val="es-MX"/>
        </w:rPr>
        <w:t xml:space="preserve"> Estos </w:t>
      </w:r>
      <w:r w:rsidR="005833E3" w:rsidRPr="005833E3">
        <w:rPr>
          <w:rFonts w:ascii="Century Gothic" w:eastAsia="Arial" w:hAnsi="Century Gothic" w:cs="Arial"/>
          <w:color w:val="auto"/>
          <w:szCs w:val="24"/>
          <w:lang w:val="es-MX"/>
        </w:rPr>
        <w:t>representan un medio para la conservación y protección de la salud de las personas, involucrando actividades de prevención, curación y rehabilitación.</w:t>
      </w:r>
      <w:r>
        <w:rPr>
          <w:rFonts w:ascii="Century Gothic" w:eastAsia="Arial" w:hAnsi="Century Gothic" w:cs="Arial"/>
          <w:color w:val="auto"/>
          <w:szCs w:val="24"/>
          <w:lang w:val="es-MX"/>
        </w:rPr>
        <w:t xml:space="preserve"> Corresponde a las Secretarías de Salud, Federal y locales, </w:t>
      </w:r>
      <w:r w:rsidR="005833E3" w:rsidRPr="005833E3">
        <w:rPr>
          <w:rFonts w:ascii="Century Gothic" w:eastAsia="Arial" w:hAnsi="Century Gothic" w:cs="Arial"/>
          <w:color w:val="auto"/>
          <w:szCs w:val="24"/>
          <w:lang w:val="es-MX"/>
        </w:rPr>
        <w:t>el control de la prestación de</w:t>
      </w:r>
      <w:r>
        <w:rPr>
          <w:rFonts w:ascii="Century Gothic" w:eastAsia="Arial" w:hAnsi="Century Gothic" w:cs="Arial"/>
          <w:color w:val="auto"/>
          <w:szCs w:val="24"/>
          <w:lang w:val="es-MX"/>
        </w:rPr>
        <w:t xml:space="preserve"> dichos</w:t>
      </w:r>
      <w:r w:rsidR="005833E3" w:rsidRPr="005833E3">
        <w:rPr>
          <w:rFonts w:ascii="Century Gothic" w:eastAsia="Arial" w:hAnsi="Century Gothic" w:cs="Arial"/>
          <w:color w:val="auto"/>
          <w:szCs w:val="24"/>
          <w:lang w:val="es-MX"/>
        </w:rPr>
        <w:t xml:space="preserve"> servicios, como materia de salubridad general, siendo necesario que esta</w:t>
      </w:r>
      <w:r>
        <w:rPr>
          <w:rFonts w:ascii="Century Gothic" w:eastAsia="Arial" w:hAnsi="Century Gothic" w:cs="Arial"/>
          <w:color w:val="auto"/>
          <w:szCs w:val="24"/>
          <w:lang w:val="es-MX"/>
        </w:rPr>
        <w:t>s</w:t>
      </w:r>
      <w:r w:rsidR="005833E3" w:rsidRPr="005833E3">
        <w:rPr>
          <w:rFonts w:ascii="Century Gothic" w:eastAsia="Arial" w:hAnsi="Century Gothic" w:cs="Arial"/>
          <w:color w:val="auto"/>
          <w:szCs w:val="24"/>
          <w:lang w:val="es-MX"/>
        </w:rPr>
        <w:t xml:space="preserve"> dependencia</w:t>
      </w:r>
      <w:r>
        <w:rPr>
          <w:rFonts w:ascii="Century Gothic" w:eastAsia="Arial" w:hAnsi="Century Gothic" w:cs="Arial"/>
          <w:color w:val="auto"/>
          <w:szCs w:val="24"/>
          <w:lang w:val="es-MX"/>
        </w:rPr>
        <w:t>s</w:t>
      </w:r>
      <w:r w:rsidR="005833E3" w:rsidRPr="005833E3">
        <w:rPr>
          <w:rFonts w:ascii="Century Gothic" w:eastAsia="Arial" w:hAnsi="Century Gothic" w:cs="Arial"/>
          <w:color w:val="auto"/>
          <w:szCs w:val="24"/>
          <w:lang w:val="es-MX"/>
        </w:rPr>
        <w:t xml:space="preserve"> cuente</w:t>
      </w:r>
      <w:r>
        <w:rPr>
          <w:rFonts w:ascii="Century Gothic" w:eastAsia="Arial" w:hAnsi="Century Gothic" w:cs="Arial"/>
          <w:color w:val="auto"/>
          <w:szCs w:val="24"/>
          <w:lang w:val="es-MX"/>
        </w:rPr>
        <w:t>n</w:t>
      </w:r>
      <w:r w:rsidR="005833E3" w:rsidRPr="005833E3">
        <w:rPr>
          <w:rFonts w:ascii="Century Gothic" w:eastAsia="Arial" w:hAnsi="Century Gothic" w:cs="Arial"/>
          <w:color w:val="auto"/>
          <w:szCs w:val="24"/>
          <w:lang w:val="es-MX"/>
        </w:rPr>
        <w:t xml:space="preserve"> con los instrumentos legales y reglamentarios para realizar específicamente sus atribuciones.</w:t>
      </w:r>
    </w:p>
    <w:p w14:paraId="13DC88B8" w14:textId="1923E414" w:rsidR="005833E3" w:rsidRDefault="005833E3" w:rsidP="0071498B">
      <w:pPr>
        <w:pStyle w:val="Normal1"/>
        <w:spacing w:line="360" w:lineRule="auto"/>
        <w:contextualSpacing/>
        <w:jc w:val="both"/>
        <w:rPr>
          <w:rFonts w:ascii="Century Gothic" w:eastAsia="Arial" w:hAnsi="Century Gothic" w:cs="Arial"/>
          <w:color w:val="auto"/>
          <w:szCs w:val="24"/>
          <w:lang w:val="es-MX"/>
        </w:rPr>
      </w:pPr>
    </w:p>
    <w:p w14:paraId="10F1870B" w14:textId="52B7E224" w:rsidR="00927ADD" w:rsidRDefault="00BA28FB" w:rsidP="00BA28FB">
      <w:pPr>
        <w:pStyle w:val="Normal1"/>
        <w:spacing w:line="360" w:lineRule="auto"/>
        <w:contextualSpacing/>
        <w:jc w:val="both"/>
        <w:rPr>
          <w:rFonts w:ascii="Century Gothic" w:eastAsia="Arial" w:hAnsi="Century Gothic" w:cs="Arial"/>
          <w:color w:val="auto"/>
          <w:szCs w:val="24"/>
          <w:lang w:val="es-MX"/>
        </w:rPr>
      </w:pPr>
      <w:r w:rsidRPr="00BA28FB">
        <w:rPr>
          <w:rFonts w:ascii="Century Gothic" w:eastAsia="Arial" w:hAnsi="Century Gothic" w:cs="Arial"/>
          <w:color w:val="auto"/>
          <w:szCs w:val="24"/>
          <w:lang w:val="es-MX"/>
        </w:rPr>
        <w:t>En este orden de ideas, es que coincidimos con los promoventes en el sentido de</w:t>
      </w:r>
      <w:r>
        <w:rPr>
          <w:rFonts w:ascii="Century Gothic" w:eastAsia="Arial" w:hAnsi="Century Gothic" w:cs="Arial"/>
          <w:color w:val="auto"/>
          <w:szCs w:val="24"/>
          <w:lang w:val="es-MX"/>
        </w:rPr>
        <w:t xml:space="preserve"> </w:t>
      </w:r>
      <w:r w:rsidRPr="00BA28FB">
        <w:rPr>
          <w:rFonts w:ascii="Century Gothic" w:eastAsia="Arial" w:hAnsi="Century Gothic" w:cs="Arial"/>
          <w:color w:val="auto"/>
          <w:szCs w:val="24"/>
          <w:lang w:val="es-MX"/>
        </w:rPr>
        <w:t>que se debe armonizar nuestro marco normativo local con el nacional, ya que la</w:t>
      </w:r>
      <w:r>
        <w:rPr>
          <w:rFonts w:ascii="Century Gothic" w:eastAsia="Arial" w:hAnsi="Century Gothic" w:cs="Arial"/>
          <w:color w:val="auto"/>
          <w:szCs w:val="24"/>
          <w:lang w:val="es-MX"/>
        </w:rPr>
        <w:t xml:space="preserve"> </w:t>
      </w:r>
      <w:r w:rsidRPr="00BA28FB">
        <w:rPr>
          <w:rFonts w:ascii="Century Gothic" w:eastAsia="Arial" w:hAnsi="Century Gothic" w:cs="Arial"/>
          <w:b/>
          <w:bCs/>
          <w:color w:val="auto"/>
          <w:szCs w:val="24"/>
          <w:lang w:val="es-MX"/>
        </w:rPr>
        <w:t>Ley General de Salud</w:t>
      </w:r>
      <w:r w:rsidRPr="00BA28FB">
        <w:rPr>
          <w:rFonts w:ascii="Century Gothic" w:eastAsia="Arial" w:hAnsi="Century Gothic" w:cs="Arial"/>
          <w:color w:val="auto"/>
          <w:szCs w:val="24"/>
          <w:lang w:val="es-MX"/>
        </w:rPr>
        <w:t xml:space="preserve"> contempla </w:t>
      </w:r>
      <w:r>
        <w:rPr>
          <w:rFonts w:ascii="Century Gothic" w:eastAsia="Arial" w:hAnsi="Century Gothic" w:cs="Arial"/>
          <w:color w:val="auto"/>
          <w:szCs w:val="24"/>
          <w:lang w:val="es-MX"/>
        </w:rPr>
        <w:t xml:space="preserve">en su artículo 27 </w:t>
      </w:r>
      <w:r w:rsidRPr="00BA28FB">
        <w:rPr>
          <w:rFonts w:ascii="Century Gothic" w:eastAsia="Arial" w:hAnsi="Century Gothic" w:cs="Arial"/>
          <w:color w:val="auto"/>
          <w:szCs w:val="24"/>
          <w:lang w:val="es-MX"/>
        </w:rPr>
        <w:t>a la atención geriátrica como un servicio básico</w:t>
      </w:r>
      <w:r>
        <w:rPr>
          <w:rFonts w:ascii="Century Gothic" w:eastAsia="Arial" w:hAnsi="Century Gothic" w:cs="Arial"/>
          <w:color w:val="auto"/>
          <w:szCs w:val="24"/>
          <w:lang w:val="es-MX"/>
        </w:rPr>
        <w:t xml:space="preserve"> </w:t>
      </w:r>
      <w:r w:rsidRPr="00BA28FB">
        <w:rPr>
          <w:rFonts w:ascii="Century Gothic" w:eastAsia="Arial" w:hAnsi="Century Gothic" w:cs="Arial"/>
          <w:color w:val="auto"/>
          <w:szCs w:val="24"/>
          <w:lang w:val="es-MX"/>
        </w:rPr>
        <w:t xml:space="preserve">de salud, que la Federación y </w:t>
      </w:r>
      <w:r>
        <w:rPr>
          <w:rFonts w:ascii="Century Gothic" w:eastAsia="Arial" w:hAnsi="Century Gothic" w:cs="Arial"/>
          <w:color w:val="auto"/>
          <w:szCs w:val="24"/>
          <w:lang w:val="es-MX"/>
        </w:rPr>
        <w:t>l</w:t>
      </w:r>
      <w:r w:rsidRPr="00BA28FB">
        <w:rPr>
          <w:rFonts w:ascii="Century Gothic" w:eastAsia="Arial" w:hAnsi="Century Gothic" w:cs="Arial"/>
          <w:color w:val="auto"/>
          <w:szCs w:val="24"/>
          <w:lang w:val="es-MX"/>
        </w:rPr>
        <w:t>as Entidades Federativas deben proveer de forma</w:t>
      </w:r>
      <w:r>
        <w:rPr>
          <w:rFonts w:ascii="Century Gothic" w:eastAsia="Arial" w:hAnsi="Century Gothic" w:cs="Arial"/>
          <w:color w:val="auto"/>
          <w:szCs w:val="24"/>
          <w:lang w:val="es-MX"/>
        </w:rPr>
        <w:t xml:space="preserve"> </w:t>
      </w:r>
      <w:r w:rsidRPr="00BA28FB">
        <w:rPr>
          <w:rFonts w:ascii="Century Gothic" w:eastAsia="Arial" w:hAnsi="Century Gothic" w:cs="Arial"/>
          <w:color w:val="auto"/>
          <w:szCs w:val="24"/>
          <w:lang w:val="es-MX"/>
        </w:rPr>
        <w:t>integral, obligatoria y de calidad.</w:t>
      </w:r>
    </w:p>
    <w:p w14:paraId="5229E161" w14:textId="55608D5F" w:rsidR="00C342F6" w:rsidRDefault="00C342F6" w:rsidP="00C342F6">
      <w:pPr>
        <w:pStyle w:val="Normal1"/>
        <w:spacing w:line="360" w:lineRule="auto"/>
        <w:contextualSpacing/>
        <w:jc w:val="both"/>
        <w:rPr>
          <w:rFonts w:ascii="Century Gothic" w:eastAsia="Arial" w:hAnsi="Century Gothic" w:cs="Arial"/>
          <w:color w:val="auto"/>
          <w:szCs w:val="24"/>
          <w:lang w:val="es-MX"/>
        </w:rPr>
      </w:pPr>
    </w:p>
    <w:p w14:paraId="70B2B8D6" w14:textId="62C52B20" w:rsidR="00445AF5" w:rsidRPr="00202FE4" w:rsidRDefault="00445AF5" w:rsidP="00445AF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Cabe señalar que tal propuesta es acorde al eje 1 relativos a la materia de Salud, de la Agenda Legislativa de esta </w:t>
      </w:r>
      <w:r w:rsidRPr="00072168">
        <w:rPr>
          <w:rFonts w:ascii="Century Gothic" w:eastAsia="Arial" w:hAnsi="Century Gothic" w:cs="Arial"/>
          <w:color w:val="auto"/>
          <w:szCs w:val="24"/>
          <w:lang w:val="es-MX"/>
        </w:rPr>
        <w:t>Sexagésima Octava Legislatura del H. Congreso del Estado de Chihuahua</w:t>
      </w:r>
      <w:r>
        <w:rPr>
          <w:rFonts w:ascii="Century Gothic" w:eastAsia="Arial" w:hAnsi="Century Gothic" w:cs="Arial"/>
          <w:color w:val="auto"/>
          <w:szCs w:val="24"/>
          <w:lang w:val="es-MX"/>
        </w:rPr>
        <w:t xml:space="preserve">, por lo que al aprobarse este Dictamen contribuimos no solo con el perfeccionamiento de nuestro orden normativo local, sino también con el cumplimiento de nuestros compromisos legislativos. </w:t>
      </w:r>
    </w:p>
    <w:p w14:paraId="5841D5C5" w14:textId="77777777" w:rsidR="00445AF5" w:rsidRDefault="00445AF5" w:rsidP="00C342F6">
      <w:pPr>
        <w:pStyle w:val="Normal1"/>
        <w:spacing w:line="360" w:lineRule="auto"/>
        <w:contextualSpacing/>
        <w:jc w:val="both"/>
        <w:rPr>
          <w:rFonts w:ascii="Century Gothic" w:eastAsia="Arial" w:hAnsi="Century Gothic" w:cs="Arial"/>
          <w:color w:val="auto"/>
          <w:szCs w:val="24"/>
          <w:lang w:val="es-MX"/>
        </w:rPr>
      </w:pPr>
    </w:p>
    <w:p w14:paraId="41523D5D" w14:textId="7640A2E1" w:rsidR="001C4C77" w:rsidRPr="0000694B" w:rsidRDefault="00C104A0" w:rsidP="001C4C77">
      <w:pPr>
        <w:pStyle w:val="Normal1"/>
        <w:spacing w:line="360" w:lineRule="auto"/>
        <w:contextualSpacing/>
        <w:jc w:val="both"/>
        <w:rPr>
          <w:rFonts w:ascii="Century Gothic" w:eastAsia="Arial" w:hAnsi="Century Gothic" w:cs="Arial"/>
          <w:color w:val="auto"/>
          <w:szCs w:val="24"/>
          <w:lang w:val="es-MX"/>
        </w:rPr>
      </w:pPr>
      <w:r w:rsidRPr="00C104A0">
        <w:rPr>
          <w:rFonts w:ascii="Century Gothic" w:eastAsia="Arial" w:hAnsi="Century Gothic" w:cs="Arial"/>
          <w:b/>
          <w:bCs/>
          <w:color w:val="auto"/>
          <w:szCs w:val="24"/>
          <w:lang w:val="es-MX"/>
        </w:rPr>
        <w:lastRenderedPageBreak/>
        <w:t>VI.-</w:t>
      </w:r>
      <w:r>
        <w:rPr>
          <w:rFonts w:ascii="Century Gothic" w:eastAsia="Arial" w:hAnsi="Century Gothic" w:cs="Arial"/>
          <w:color w:val="auto"/>
          <w:szCs w:val="24"/>
          <w:lang w:val="es-MX"/>
        </w:rPr>
        <w:t xml:space="preserve"> </w:t>
      </w:r>
      <w:r w:rsidR="00D354CF">
        <w:rPr>
          <w:rFonts w:ascii="Century Gothic" w:eastAsia="Arial" w:hAnsi="Century Gothic" w:cs="Arial"/>
          <w:bCs/>
          <w:szCs w:val="24"/>
          <w:lang w:val="es-MX"/>
        </w:rPr>
        <w:t>E</w:t>
      </w:r>
      <w:r w:rsidR="001C4C77">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0B08EA16" w14:textId="77777777" w:rsidR="001C4C77" w:rsidRDefault="001C4C77" w:rsidP="001C4C77">
      <w:pPr>
        <w:pStyle w:val="Normal1"/>
        <w:spacing w:line="360" w:lineRule="auto"/>
        <w:contextualSpacing/>
        <w:jc w:val="both"/>
        <w:rPr>
          <w:rFonts w:ascii="Century Gothic" w:eastAsia="Arial" w:hAnsi="Century Gothic" w:cs="Arial"/>
          <w:bCs/>
          <w:szCs w:val="24"/>
          <w:lang w:val="es-MX"/>
        </w:rPr>
      </w:pPr>
    </w:p>
    <w:p w14:paraId="7009048A" w14:textId="570222FD" w:rsidR="001C4C77" w:rsidRDefault="001C4C77" w:rsidP="001C4C77">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w:t>
      </w:r>
      <w:r w:rsidR="003919EE">
        <w:rPr>
          <w:rFonts w:ascii="Century Gothic" w:hAnsi="Century Gothic"/>
          <w:bCs/>
          <w:szCs w:val="24"/>
        </w:rPr>
        <w:t xml:space="preserve">fin de consolidar las acciones que fortalezcan el derecho a la salud de las personas adultas mayores, </w:t>
      </w:r>
      <w:r w:rsidRPr="00884D05">
        <w:rPr>
          <w:rFonts w:ascii="Century Gothic" w:hAnsi="Century Gothic"/>
          <w:bCs/>
          <w:szCs w:val="24"/>
        </w:rPr>
        <w:t xml:space="preserve">nos permitimos someter a la consideración de este Alto Cuerpo Colegiado el siguiente proyecto de: </w:t>
      </w:r>
    </w:p>
    <w:p w14:paraId="5974659B" w14:textId="77777777" w:rsidR="001C4C77" w:rsidRDefault="001C4C77" w:rsidP="001C4C77">
      <w:pPr>
        <w:pStyle w:val="Normal1"/>
        <w:spacing w:line="360" w:lineRule="auto"/>
        <w:jc w:val="both"/>
        <w:rPr>
          <w:rFonts w:ascii="Century Gothic" w:hAnsi="Century Gothic"/>
          <w:bCs/>
          <w:szCs w:val="24"/>
        </w:rPr>
      </w:pPr>
    </w:p>
    <w:p w14:paraId="616AC2C0" w14:textId="77777777" w:rsidR="001C4C77" w:rsidRPr="001447FE" w:rsidRDefault="001C4C77" w:rsidP="001C4C77">
      <w:pPr>
        <w:autoSpaceDE w:val="0"/>
        <w:autoSpaceDN w:val="0"/>
        <w:adjustRightInd w:val="0"/>
        <w:spacing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57BE189D" w14:textId="77777777" w:rsidR="001C4C77" w:rsidRPr="0047670F" w:rsidRDefault="001C4C77" w:rsidP="001C4C77">
      <w:pPr>
        <w:tabs>
          <w:tab w:val="left" w:pos="7170"/>
        </w:tabs>
        <w:rPr>
          <w:rFonts w:ascii="Century Gothic" w:eastAsia="Yu Gothic UI Light" w:hAnsi="Century Gothic" w:cs="Arial"/>
          <w:sz w:val="28"/>
        </w:rPr>
      </w:pPr>
    </w:p>
    <w:p w14:paraId="32C32936" w14:textId="5C272FAB" w:rsidR="001C4C77" w:rsidRDefault="001C4C77" w:rsidP="001C4C77">
      <w:pPr>
        <w:spacing w:line="360" w:lineRule="auto"/>
        <w:jc w:val="both"/>
        <w:rPr>
          <w:rFonts w:ascii="Century Gothic" w:hAnsi="Century Gothic"/>
        </w:rPr>
      </w:pPr>
      <w:r w:rsidRPr="00A405E7">
        <w:rPr>
          <w:rFonts w:ascii="Century Gothic" w:eastAsia="Yu Gothic UI Light" w:hAnsi="Century Gothic" w:cs="Arial"/>
          <w:b/>
          <w:sz w:val="28"/>
        </w:rPr>
        <w:t xml:space="preserve">ARTÍCULO </w:t>
      </w:r>
      <w:proofErr w:type="gramStart"/>
      <w:r>
        <w:rPr>
          <w:rFonts w:ascii="Century Gothic" w:eastAsia="Yu Gothic UI Light" w:hAnsi="Century Gothic" w:cs="Arial"/>
          <w:b/>
          <w:sz w:val="28"/>
        </w:rPr>
        <w:t>ÚNICO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Pr="00931976">
        <w:rPr>
          <w:rFonts w:ascii="Century Gothic" w:hAnsi="Century Gothic"/>
        </w:rPr>
        <w:t xml:space="preserve">Se </w:t>
      </w:r>
      <w:r w:rsidR="0064352B">
        <w:rPr>
          <w:rFonts w:ascii="Century Gothic" w:hAnsi="Century Gothic"/>
          <w:b/>
          <w:bCs/>
        </w:rPr>
        <w:t>REFORMA</w:t>
      </w:r>
      <w:r>
        <w:rPr>
          <w:rFonts w:ascii="Century Gothic" w:hAnsi="Century Gothic"/>
        </w:rPr>
        <w:t xml:space="preserve"> </w:t>
      </w:r>
      <w:r w:rsidR="0064352B">
        <w:rPr>
          <w:rFonts w:ascii="Century Gothic" w:hAnsi="Century Gothic"/>
        </w:rPr>
        <w:t>e</w:t>
      </w:r>
      <w:r>
        <w:rPr>
          <w:rFonts w:ascii="Century Gothic" w:hAnsi="Century Gothic"/>
        </w:rPr>
        <w:t xml:space="preserve">l artículo </w:t>
      </w:r>
      <w:r w:rsidR="0064352B">
        <w:rPr>
          <w:rFonts w:ascii="Century Gothic" w:hAnsi="Century Gothic"/>
        </w:rPr>
        <w:t>3</w:t>
      </w:r>
      <w:r w:rsidR="003919EE">
        <w:rPr>
          <w:rFonts w:ascii="Century Gothic" w:hAnsi="Century Gothic"/>
        </w:rPr>
        <w:t>4</w:t>
      </w:r>
      <w:r>
        <w:rPr>
          <w:rFonts w:ascii="Century Gothic" w:hAnsi="Century Gothic"/>
        </w:rPr>
        <w:t xml:space="preserve">, </w:t>
      </w:r>
      <w:r w:rsidR="003919EE">
        <w:rPr>
          <w:rFonts w:ascii="Century Gothic" w:hAnsi="Century Gothic"/>
        </w:rPr>
        <w:t>fracción XI; y se</w:t>
      </w:r>
      <w:r w:rsidR="000C4C90">
        <w:rPr>
          <w:rFonts w:ascii="Century Gothic" w:hAnsi="Century Gothic"/>
        </w:rPr>
        <w:t xml:space="preserve"> le</w:t>
      </w:r>
      <w:r w:rsidR="003919EE">
        <w:rPr>
          <w:rFonts w:ascii="Century Gothic" w:hAnsi="Century Gothic"/>
        </w:rPr>
        <w:t xml:space="preserve"> </w:t>
      </w:r>
      <w:r w:rsidR="003919EE" w:rsidRPr="003919EE">
        <w:rPr>
          <w:rFonts w:ascii="Century Gothic" w:hAnsi="Century Gothic"/>
          <w:b/>
          <w:bCs/>
        </w:rPr>
        <w:t>ADICIONA</w:t>
      </w:r>
      <w:r>
        <w:rPr>
          <w:rFonts w:ascii="Century Gothic" w:hAnsi="Century Gothic"/>
        </w:rPr>
        <w:t>,</w:t>
      </w:r>
      <w:r w:rsidR="003919EE">
        <w:rPr>
          <w:rFonts w:ascii="Century Gothic" w:hAnsi="Century Gothic"/>
        </w:rPr>
        <w:t xml:space="preserve"> la fracción XII,</w:t>
      </w:r>
      <w:r>
        <w:rPr>
          <w:rFonts w:ascii="Century Gothic" w:hAnsi="Century Gothic"/>
        </w:rPr>
        <w:t xml:space="preserve"> de la Ley Estatal de </w:t>
      </w:r>
      <w:r w:rsidR="0064352B">
        <w:rPr>
          <w:rFonts w:ascii="Century Gothic" w:hAnsi="Century Gothic"/>
        </w:rPr>
        <w:t>Salud</w:t>
      </w:r>
      <w:r w:rsidRPr="00931976">
        <w:rPr>
          <w:rFonts w:ascii="Century Gothic" w:hAnsi="Century Gothic"/>
        </w:rPr>
        <w:t xml:space="preserve">, para quedar </w:t>
      </w:r>
      <w:r w:rsidRPr="002D3326">
        <w:rPr>
          <w:rFonts w:ascii="Century Gothic" w:hAnsi="Century Gothic"/>
        </w:rPr>
        <w:t>redactad</w:t>
      </w:r>
      <w:r>
        <w:rPr>
          <w:rFonts w:ascii="Century Gothic" w:hAnsi="Century Gothic"/>
        </w:rPr>
        <w:t xml:space="preserve">o </w:t>
      </w:r>
      <w:r w:rsidRPr="00931976">
        <w:rPr>
          <w:rFonts w:ascii="Century Gothic" w:hAnsi="Century Gothic"/>
        </w:rPr>
        <w:t>de la siguiente manera:</w:t>
      </w:r>
      <w:r>
        <w:rPr>
          <w:rFonts w:ascii="Century Gothic" w:hAnsi="Century Gothic"/>
        </w:rPr>
        <w:t xml:space="preserve">  </w:t>
      </w:r>
    </w:p>
    <w:p w14:paraId="5C5639BA" w14:textId="72F17573" w:rsidR="00E54338" w:rsidRDefault="00E54338" w:rsidP="001C4C77">
      <w:pPr>
        <w:spacing w:line="360" w:lineRule="auto"/>
        <w:jc w:val="both"/>
        <w:rPr>
          <w:rFonts w:ascii="Century Gothic" w:hAnsi="Century Gothic"/>
        </w:rPr>
      </w:pPr>
    </w:p>
    <w:p w14:paraId="6554BD56" w14:textId="053C85BD" w:rsidR="00E54338" w:rsidRDefault="00E54338" w:rsidP="00E54338">
      <w:pPr>
        <w:spacing w:line="360" w:lineRule="auto"/>
        <w:jc w:val="both"/>
        <w:rPr>
          <w:rFonts w:ascii="Century Gothic" w:hAnsi="Century Gothic"/>
        </w:rPr>
      </w:pPr>
      <w:r w:rsidRPr="00E54338">
        <w:rPr>
          <w:rFonts w:ascii="Century Gothic" w:hAnsi="Century Gothic"/>
          <w:b/>
          <w:bCs/>
        </w:rPr>
        <w:t>Artículo 34.</w:t>
      </w:r>
      <w:r w:rsidRPr="00E54338">
        <w:rPr>
          <w:rFonts w:ascii="Century Gothic" w:hAnsi="Century Gothic"/>
        </w:rPr>
        <w:t xml:space="preserve"> </w:t>
      </w:r>
      <w:r w:rsidR="002014B6">
        <w:rPr>
          <w:rFonts w:ascii="Century Gothic" w:hAnsi="Century Gothic"/>
        </w:rPr>
        <w:t xml:space="preserve">… </w:t>
      </w:r>
    </w:p>
    <w:p w14:paraId="38F1322A" w14:textId="77777777" w:rsidR="00E54338" w:rsidRPr="00E54338" w:rsidRDefault="00E54338" w:rsidP="00E54338">
      <w:pPr>
        <w:spacing w:line="360" w:lineRule="auto"/>
        <w:jc w:val="both"/>
        <w:rPr>
          <w:rFonts w:ascii="Century Gothic" w:hAnsi="Century Gothic"/>
        </w:rPr>
      </w:pPr>
    </w:p>
    <w:p w14:paraId="5DEA0276" w14:textId="673EB09A" w:rsidR="00E54338" w:rsidRDefault="00E54338" w:rsidP="00E54338">
      <w:pPr>
        <w:pStyle w:val="Prrafodelista"/>
        <w:numPr>
          <w:ilvl w:val="0"/>
          <w:numId w:val="34"/>
        </w:numPr>
        <w:spacing w:line="360" w:lineRule="auto"/>
        <w:jc w:val="both"/>
        <w:rPr>
          <w:rFonts w:ascii="Century Gothic" w:hAnsi="Century Gothic"/>
        </w:rPr>
      </w:pPr>
      <w:r w:rsidRPr="008A54BB">
        <w:rPr>
          <w:rFonts w:ascii="Century Gothic" w:hAnsi="Century Gothic"/>
        </w:rPr>
        <w:t xml:space="preserve">a X. … </w:t>
      </w:r>
    </w:p>
    <w:p w14:paraId="6B09FC6D" w14:textId="77777777" w:rsidR="008A54BB" w:rsidRPr="008A54BB" w:rsidRDefault="008A54BB" w:rsidP="008A54BB">
      <w:pPr>
        <w:pStyle w:val="Prrafodelista"/>
        <w:spacing w:line="360" w:lineRule="auto"/>
        <w:ind w:left="1428"/>
        <w:jc w:val="both"/>
        <w:rPr>
          <w:rFonts w:ascii="Century Gothic" w:hAnsi="Century Gothic"/>
        </w:rPr>
      </w:pPr>
    </w:p>
    <w:p w14:paraId="536DE842" w14:textId="1C06AF46" w:rsidR="00E54338" w:rsidRDefault="00E54338" w:rsidP="007F68FF">
      <w:pPr>
        <w:pStyle w:val="Prrafodelista"/>
        <w:numPr>
          <w:ilvl w:val="0"/>
          <w:numId w:val="35"/>
        </w:numPr>
        <w:ind w:right="-234"/>
        <w:rPr>
          <w:rFonts w:ascii="Century Gothic" w:hAnsi="Century Gothic"/>
        </w:rPr>
      </w:pPr>
      <w:r w:rsidRPr="00E54338">
        <w:rPr>
          <w:rFonts w:ascii="Century Gothic" w:hAnsi="Century Gothic"/>
          <w:b/>
          <w:bCs/>
        </w:rPr>
        <w:t>La atención médica a las personas adultas mayores en áreas de salud geriátrica.</w:t>
      </w:r>
      <w:r w:rsidRPr="00E54338">
        <w:rPr>
          <w:rFonts w:ascii="Century Gothic" w:hAnsi="Century Gothic"/>
        </w:rPr>
        <w:t xml:space="preserve"> </w:t>
      </w:r>
    </w:p>
    <w:p w14:paraId="6DB1A420" w14:textId="77777777" w:rsidR="00F21DCF" w:rsidRPr="008A54BB" w:rsidRDefault="00F21DCF" w:rsidP="008A54BB">
      <w:pPr>
        <w:spacing w:line="360" w:lineRule="auto"/>
        <w:rPr>
          <w:rFonts w:ascii="Century Gothic" w:hAnsi="Century Gothic"/>
        </w:rPr>
      </w:pPr>
    </w:p>
    <w:p w14:paraId="3433B7A9" w14:textId="336615B3" w:rsidR="00E54338" w:rsidRPr="00F21DCF" w:rsidRDefault="00F21DCF" w:rsidP="007F68FF">
      <w:pPr>
        <w:pStyle w:val="Prrafodelista"/>
        <w:spacing w:line="360" w:lineRule="auto"/>
        <w:ind w:left="1430" w:right="-93" w:hanging="721"/>
        <w:jc w:val="both"/>
        <w:rPr>
          <w:rFonts w:ascii="Century Gothic" w:hAnsi="Century Gothic"/>
        </w:rPr>
      </w:pPr>
      <w:r>
        <w:rPr>
          <w:rFonts w:ascii="Century Gothic" w:hAnsi="Century Gothic"/>
          <w:b/>
          <w:bCs/>
        </w:rPr>
        <w:t xml:space="preserve">XII.       </w:t>
      </w:r>
      <w:r w:rsidR="00E54338" w:rsidRPr="00F21DCF">
        <w:rPr>
          <w:rFonts w:ascii="Century Gothic" w:hAnsi="Century Gothic"/>
          <w:b/>
          <w:bCs/>
        </w:rPr>
        <w:t>Las demás que establezca esta Ley y otras disposiciones legales aplicables</w:t>
      </w:r>
      <w:r w:rsidR="00E54338" w:rsidRPr="00F21DCF">
        <w:rPr>
          <w:rFonts w:ascii="Century Gothic" w:hAnsi="Century Gothic"/>
        </w:rPr>
        <w:t>.</w:t>
      </w:r>
    </w:p>
    <w:p w14:paraId="09694047" w14:textId="0D175332" w:rsidR="001C4C77" w:rsidRDefault="001C4C77" w:rsidP="005D7A1D">
      <w:pPr>
        <w:spacing w:line="360" w:lineRule="auto"/>
        <w:ind w:right="-34"/>
        <w:outlineLvl w:val="0"/>
        <w:rPr>
          <w:rFonts w:ascii="Century Gothic" w:hAnsi="Century Gothic" w:cstheme="minorHAnsi"/>
          <w:bCs/>
          <w:lang w:val="es-MX"/>
        </w:rPr>
      </w:pPr>
    </w:p>
    <w:p w14:paraId="52DF5305" w14:textId="77777777" w:rsidR="00B73074" w:rsidRDefault="00B73074" w:rsidP="005D7A1D">
      <w:pPr>
        <w:spacing w:line="360" w:lineRule="auto"/>
        <w:ind w:right="-34"/>
        <w:outlineLvl w:val="0"/>
        <w:rPr>
          <w:rFonts w:ascii="Century Gothic" w:hAnsi="Century Gothic" w:cs="Arial"/>
          <w:b/>
          <w:sz w:val="28"/>
          <w:lang w:val="en-US"/>
        </w:rPr>
      </w:pPr>
    </w:p>
    <w:p w14:paraId="4111673B" w14:textId="535D33D7" w:rsidR="001C4C77" w:rsidRDefault="001C4C77" w:rsidP="00B73074">
      <w:pPr>
        <w:spacing w:line="360" w:lineRule="auto"/>
        <w:ind w:right="-34"/>
        <w:jc w:val="center"/>
        <w:outlineLvl w:val="0"/>
        <w:rPr>
          <w:rFonts w:ascii="Century Gothic" w:hAnsi="Century Gothic" w:cs="Arial"/>
          <w:b/>
          <w:bCs/>
          <w:spacing w:val="-11"/>
          <w:kern w:val="32"/>
          <w:sz w:val="28"/>
          <w:lang w:val="en-US"/>
        </w:rPr>
      </w:pPr>
      <w:r w:rsidRPr="00A8418F">
        <w:rPr>
          <w:rFonts w:ascii="Century Gothic" w:hAnsi="Century Gothic" w:cs="Arial"/>
          <w:b/>
          <w:sz w:val="28"/>
          <w:lang w:val="en-US"/>
        </w:rPr>
        <w:t>T R A N S I T O R I O</w:t>
      </w:r>
      <w:r>
        <w:rPr>
          <w:rFonts w:ascii="Century Gothic" w:hAnsi="Century Gothic" w:cs="Arial"/>
          <w:b/>
          <w:sz w:val="28"/>
          <w:lang w:val="en-US"/>
        </w:rPr>
        <w:t xml:space="preserve"> </w:t>
      </w:r>
    </w:p>
    <w:p w14:paraId="399A9799" w14:textId="77777777" w:rsidR="00B73074" w:rsidRPr="00B73074" w:rsidRDefault="00B73074" w:rsidP="00B73074">
      <w:pPr>
        <w:spacing w:line="360" w:lineRule="auto"/>
        <w:ind w:right="-34"/>
        <w:jc w:val="center"/>
        <w:outlineLvl w:val="0"/>
        <w:rPr>
          <w:rFonts w:ascii="Century Gothic" w:hAnsi="Century Gothic" w:cs="Arial"/>
          <w:b/>
          <w:bCs/>
          <w:spacing w:val="-11"/>
          <w:kern w:val="32"/>
          <w:sz w:val="28"/>
          <w:lang w:val="en-US"/>
        </w:rPr>
      </w:pPr>
    </w:p>
    <w:p w14:paraId="53B21800" w14:textId="04F0AA56" w:rsidR="001C4C77" w:rsidRDefault="001C4C77" w:rsidP="001C4C77">
      <w:pPr>
        <w:spacing w:line="360" w:lineRule="auto"/>
        <w:ind w:right="-34"/>
        <w:jc w:val="both"/>
        <w:rPr>
          <w:rFonts w:ascii="Century Gothic" w:eastAsia="Yu Gothic UI Light" w:hAnsi="Century Gothic" w:cs="Arial"/>
        </w:rPr>
      </w:pPr>
      <w:r w:rsidRPr="003539A7">
        <w:rPr>
          <w:rFonts w:ascii="Century Gothic" w:eastAsia="Yu Gothic UI Light" w:hAnsi="Century Gothic" w:cs="Arial"/>
          <w:b/>
          <w:sz w:val="28"/>
        </w:rPr>
        <w:t xml:space="preserve">ARTÍCULO </w:t>
      </w:r>
      <w:proofErr w:type="gramStart"/>
      <w:r w:rsidR="005D7A1D">
        <w:rPr>
          <w:rFonts w:ascii="Century Gothic" w:eastAsia="Yu Gothic UI Light" w:hAnsi="Century Gothic" w:cs="Arial"/>
          <w:b/>
          <w:sz w:val="28"/>
        </w:rPr>
        <w:t>ÚNICO</w:t>
      </w:r>
      <w:r w:rsidRPr="003539A7">
        <w:rPr>
          <w:rFonts w:ascii="Century Gothic" w:eastAsia="Yu Gothic UI Light" w:hAnsi="Century Gothic" w:cs="Arial"/>
          <w:b/>
          <w:sz w:val="28"/>
        </w:rPr>
        <w:t>.</w:t>
      </w:r>
      <w:r>
        <w:rPr>
          <w:rFonts w:ascii="Century Gothic" w:eastAsia="Yu Gothic UI Light" w:hAnsi="Century Gothic" w:cs="Arial"/>
          <w:b/>
          <w:sz w:val="28"/>
        </w:rPr>
        <w:t>-</w:t>
      </w:r>
      <w:proofErr w:type="gramEnd"/>
      <w:r w:rsidRPr="003539A7">
        <w:rPr>
          <w:rFonts w:ascii="Century Gothic" w:eastAsia="Yu Gothic UI Light" w:hAnsi="Century Gothic" w:cs="Arial"/>
          <w:b/>
          <w:sz w:val="28"/>
        </w:rPr>
        <w:t xml:space="preserve"> </w:t>
      </w:r>
      <w:r w:rsidRPr="00A405E7">
        <w:rPr>
          <w:rFonts w:ascii="Century Gothic" w:eastAsia="Yu Gothic UI Light" w:hAnsi="Century Gothic" w:cs="Arial"/>
        </w:rPr>
        <w:t xml:space="preserve">El presente Decreto entrará en vigor </w:t>
      </w:r>
      <w:r>
        <w:rPr>
          <w:rFonts w:ascii="Century Gothic" w:eastAsia="Yu Gothic UI Light" w:hAnsi="Century Gothic" w:cs="Arial"/>
        </w:rPr>
        <w:t>a</w:t>
      </w:r>
      <w:r w:rsidRPr="00A405E7">
        <w:rPr>
          <w:rFonts w:ascii="Century Gothic" w:eastAsia="Yu Gothic UI Light" w:hAnsi="Century Gothic" w:cs="Arial"/>
        </w:rPr>
        <w:t xml:space="preserve">l día </w:t>
      </w:r>
      <w:r>
        <w:rPr>
          <w:rFonts w:ascii="Century Gothic" w:eastAsia="Yu Gothic UI Light" w:hAnsi="Century Gothic" w:cs="Arial"/>
        </w:rPr>
        <w:t xml:space="preserve">siguiente </w:t>
      </w:r>
      <w:r w:rsidRPr="00A405E7">
        <w:rPr>
          <w:rFonts w:ascii="Century Gothic" w:eastAsia="Yu Gothic UI Light" w:hAnsi="Century Gothic" w:cs="Arial"/>
        </w:rPr>
        <w:t>de su publicación en el Periódico Oficial del Estado.</w:t>
      </w:r>
    </w:p>
    <w:p w14:paraId="78729D68" w14:textId="77777777" w:rsidR="001C4C77" w:rsidRPr="00DB5AA7" w:rsidRDefault="001C4C77" w:rsidP="001C4C77">
      <w:pPr>
        <w:spacing w:line="360" w:lineRule="auto"/>
        <w:jc w:val="both"/>
        <w:rPr>
          <w:rFonts w:ascii="Century Gothic" w:hAnsi="Century Gothic" w:cs="Arial"/>
          <w:b/>
        </w:rPr>
      </w:pPr>
    </w:p>
    <w:p w14:paraId="600D99E3" w14:textId="77777777" w:rsidR="001C4C77" w:rsidRDefault="001C4C77" w:rsidP="001C4C77">
      <w:pPr>
        <w:spacing w:line="360" w:lineRule="auto"/>
        <w:jc w:val="both"/>
        <w:rPr>
          <w:rFonts w:ascii="Century Gothic" w:hAnsi="Century Gothic" w:cs="Arial"/>
        </w:rPr>
      </w:pPr>
      <w:proofErr w:type="gramStart"/>
      <w:r w:rsidRPr="0061716E">
        <w:rPr>
          <w:rFonts w:ascii="Century Gothic" w:hAnsi="Century Gothic" w:cs="Arial"/>
          <w:b/>
          <w:sz w:val="28"/>
          <w:szCs w:val="28"/>
        </w:rPr>
        <w:t>ECONÓMICO.-</w:t>
      </w:r>
      <w:proofErr w:type="gramEnd"/>
      <w:r w:rsidRPr="00DB5AA7">
        <w:rPr>
          <w:rFonts w:ascii="Century Gothic" w:hAnsi="Century Gothic" w:cs="Arial"/>
        </w:rPr>
        <w:t> Aprobado que sea, túrnese a la Secretaría para que elabore la Minuta de Decreto en los términos en que deba publicarse.</w:t>
      </w:r>
    </w:p>
    <w:p w14:paraId="04D58417" w14:textId="77777777" w:rsidR="001C4C77" w:rsidRDefault="001C4C77" w:rsidP="001C4C77">
      <w:pPr>
        <w:spacing w:line="360" w:lineRule="auto"/>
        <w:jc w:val="both"/>
        <w:rPr>
          <w:rFonts w:ascii="Century Gothic" w:hAnsi="Century Gothic"/>
        </w:rPr>
      </w:pPr>
    </w:p>
    <w:p w14:paraId="40D783B5" w14:textId="69DAFF88" w:rsidR="001C4C77" w:rsidRDefault="001C4C77" w:rsidP="005D7A1D">
      <w:pPr>
        <w:spacing w:line="360" w:lineRule="auto"/>
        <w:jc w:val="both"/>
        <w:rPr>
          <w:rFonts w:ascii="Century Gothic" w:hAnsi="Century Gothic"/>
        </w:rPr>
      </w:pPr>
      <w:r w:rsidRPr="00414B59">
        <w:rPr>
          <w:rFonts w:ascii="Century Gothic" w:hAnsi="Century Gothic"/>
        </w:rPr>
        <w:t xml:space="preserve">Dado en el </w:t>
      </w:r>
      <w:r>
        <w:rPr>
          <w:rFonts w:ascii="Century Gothic" w:hAnsi="Century Gothic"/>
        </w:rPr>
        <w:t>Recinto Oficial del Poder Legislativo, en la Ciudad de Chihuahua,</w:t>
      </w:r>
      <w:r w:rsidRPr="00414B59">
        <w:rPr>
          <w:rFonts w:ascii="Century Gothic" w:hAnsi="Century Gothic"/>
        </w:rPr>
        <w:t xml:space="preserve"> Chihuahua</w:t>
      </w:r>
      <w:r>
        <w:rPr>
          <w:rFonts w:ascii="Century Gothic" w:hAnsi="Century Gothic"/>
        </w:rPr>
        <w:t>,</w:t>
      </w:r>
      <w:r w:rsidRPr="00414B59">
        <w:rPr>
          <w:rFonts w:ascii="Century Gothic" w:hAnsi="Century Gothic"/>
        </w:rPr>
        <w:t xml:space="preserve"> a</w:t>
      </w:r>
      <w:r>
        <w:rPr>
          <w:rFonts w:ascii="Century Gothic" w:hAnsi="Century Gothic"/>
        </w:rPr>
        <w:t xml:space="preserve"> los </w:t>
      </w:r>
      <w:r w:rsidR="00EA29B9">
        <w:rPr>
          <w:rFonts w:ascii="Century Gothic" w:hAnsi="Century Gothic"/>
        </w:rPr>
        <w:t>veintinueve</w:t>
      </w:r>
      <w:r>
        <w:rPr>
          <w:rFonts w:ascii="Century Gothic" w:hAnsi="Century Gothic"/>
        </w:rPr>
        <w:t xml:space="preserve"> </w:t>
      </w:r>
      <w:r w:rsidRPr="00414B59">
        <w:rPr>
          <w:rFonts w:ascii="Century Gothic" w:hAnsi="Century Gothic"/>
        </w:rPr>
        <w:t>día</w:t>
      </w:r>
      <w:r>
        <w:rPr>
          <w:rFonts w:ascii="Century Gothic" w:hAnsi="Century Gothic"/>
        </w:rPr>
        <w:t>s</w:t>
      </w:r>
      <w:r w:rsidRPr="00414B59">
        <w:rPr>
          <w:rFonts w:ascii="Century Gothic" w:hAnsi="Century Gothic"/>
        </w:rPr>
        <w:t xml:space="preserve"> del mes de </w:t>
      </w:r>
      <w:r w:rsidR="008A54BB">
        <w:rPr>
          <w:rFonts w:ascii="Century Gothic" w:hAnsi="Century Gothic"/>
        </w:rPr>
        <w:t>abril</w:t>
      </w:r>
      <w:r w:rsidRPr="00414B59">
        <w:rPr>
          <w:rFonts w:ascii="Century Gothic" w:hAnsi="Century Gothic"/>
        </w:rPr>
        <w:t xml:space="preserve"> del año dos mil </w:t>
      </w:r>
      <w:r>
        <w:rPr>
          <w:rFonts w:ascii="Century Gothic" w:hAnsi="Century Gothic"/>
        </w:rPr>
        <w:t>veintic</w:t>
      </w:r>
      <w:r w:rsidR="005D7A1D">
        <w:rPr>
          <w:rFonts w:ascii="Century Gothic" w:hAnsi="Century Gothic"/>
        </w:rPr>
        <w:t>inco</w:t>
      </w:r>
      <w:r>
        <w:rPr>
          <w:rFonts w:ascii="Century Gothic" w:hAnsi="Century Gothic"/>
        </w:rPr>
        <w:t>.</w:t>
      </w:r>
    </w:p>
    <w:p w14:paraId="526AD5E6" w14:textId="77777777" w:rsidR="005D7A1D" w:rsidRPr="005D7A1D" w:rsidRDefault="005D7A1D" w:rsidP="005D7A1D">
      <w:pPr>
        <w:spacing w:line="360" w:lineRule="auto"/>
        <w:jc w:val="both"/>
        <w:rPr>
          <w:rFonts w:ascii="Century Gothic" w:hAnsi="Century Gothic"/>
        </w:rPr>
      </w:pPr>
    </w:p>
    <w:p w14:paraId="0F3BD0FD"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4D86E9D1"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5C133823"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64911F4C"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4AED7DFC"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6FCB9042"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580D3E48"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22D8CE46"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033C7640"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7689D3A0"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31C4E62B"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561A1E89"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2F8E5AA1"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085115E9"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1A4A6475"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5FC62C46" w14:textId="77777777" w:rsidR="007C0057" w:rsidRDefault="007C0057" w:rsidP="006569D4">
      <w:pPr>
        <w:pStyle w:val="Normal1"/>
        <w:contextualSpacing/>
        <w:rPr>
          <w:rFonts w:ascii="Century Gothic" w:eastAsia="Arial" w:hAnsi="Century Gothic" w:cs="Arial"/>
          <w:b/>
          <w:smallCaps/>
          <w:color w:val="auto"/>
          <w:sz w:val="20"/>
          <w:lang w:val="es-MX"/>
        </w:rPr>
      </w:pPr>
    </w:p>
    <w:p w14:paraId="46D1216B" w14:textId="0179E7BB" w:rsidR="00EA0BC6" w:rsidRPr="002D3326" w:rsidRDefault="00EA0BC6" w:rsidP="00EA0BC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 xml:space="preserve">ASÍ LO APROBÓ LA COMISIÓN DE SALUD, EN REUNIÓN DE FECHA </w:t>
      </w:r>
      <w:r w:rsidR="0044458D">
        <w:rPr>
          <w:rFonts w:ascii="Century Gothic" w:eastAsia="Arial" w:hAnsi="Century Gothic" w:cs="Arial"/>
          <w:b/>
          <w:smallCaps/>
          <w:color w:val="auto"/>
          <w:sz w:val="20"/>
          <w:lang w:val="es-MX"/>
        </w:rPr>
        <w:t>VEINTIDÓS</w:t>
      </w:r>
      <w:r w:rsidRPr="0061716E">
        <w:rPr>
          <w:rFonts w:ascii="Century Gothic" w:eastAsia="Arial" w:hAnsi="Century Gothic" w:cs="Arial"/>
          <w:b/>
          <w:smallCaps/>
          <w:color w:val="auto"/>
          <w:sz w:val="20"/>
          <w:lang w:val="es-MX"/>
        </w:rPr>
        <w:t xml:space="preserve"> DE </w:t>
      </w:r>
      <w:r w:rsidR="008A54BB">
        <w:rPr>
          <w:rFonts w:ascii="Century Gothic" w:eastAsia="Arial" w:hAnsi="Century Gothic" w:cs="Arial"/>
          <w:b/>
          <w:smallCaps/>
          <w:color w:val="auto"/>
          <w:sz w:val="20"/>
          <w:lang w:val="es-MX"/>
        </w:rPr>
        <w:t>ABRIL</w:t>
      </w:r>
      <w:r w:rsidRPr="0061716E">
        <w:rPr>
          <w:rFonts w:ascii="Century Gothic" w:eastAsia="Arial" w:hAnsi="Century Gothic" w:cs="Arial"/>
          <w:b/>
          <w:smallCaps/>
          <w:color w:val="auto"/>
          <w:sz w:val="20"/>
          <w:lang w:val="es-MX"/>
        </w:rPr>
        <w:t xml:space="preserve"> DE DOS MIL VEINTI</w:t>
      </w:r>
      <w:r>
        <w:rPr>
          <w:rFonts w:ascii="Century Gothic" w:eastAsia="Arial" w:hAnsi="Century Gothic" w:cs="Arial"/>
          <w:b/>
          <w:smallCaps/>
          <w:color w:val="auto"/>
          <w:sz w:val="20"/>
          <w:lang w:val="es-MX"/>
        </w:rPr>
        <w:t>C</w:t>
      </w:r>
      <w:r w:rsidR="007060CF">
        <w:rPr>
          <w:rFonts w:ascii="Century Gothic" w:eastAsia="Arial" w:hAnsi="Century Gothic" w:cs="Arial"/>
          <w:b/>
          <w:smallCaps/>
          <w:color w:val="auto"/>
          <w:sz w:val="20"/>
          <w:lang w:val="es-MX"/>
        </w:rPr>
        <w:t>INCO</w:t>
      </w:r>
      <w:r w:rsidRPr="0061716E">
        <w:rPr>
          <w:rFonts w:ascii="Century Gothic" w:eastAsia="Arial" w:hAnsi="Century Gothic" w:cs="Arial"/>
          <w:b/>
          <w:smallCaps/>
          <w:color w:val="auto"/>
          <w:sz w:val="20"/>
          <w:lang w:val="es-MX"/>
        </w:rPr>
        <w:t>.</w:t>
      </w:r>
    </w:p>
    <w:p w14:paraId="5FFBE002" w14:textId="77777777" w:rsidR="00EA0BC6" w:rsidRPr="0061716E" w:rsidRDefault="00EA0BC6" w:rsidP="00EA0BC6">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DE 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847222" w14:paraId="5F13A182" w14:textId="77777777" w:rsidTr="00452368">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5CCD9A45" w14:textId="77777777" w:rsidR="00EA0BC6" w:rsidRDefault="00EA0BC6" w:rsidP="00452368">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6A43855"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5120AF7"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503B89C2"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720C433" w14:textId="77777777" w:rsidR="00EA0BC6" w:rsidRDefault="00EA0BC6" w:rsidP="00452368">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847222" w14:paraId="7ED1D56A" w14:textId="77777777" w:rsidTr="00452368">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F27CEEC" w14:textId="77777777" w:rsidR="00EA0BC6" w:rsidRDefault="00EA0BC6" w:rsidP="00452368">
            <w:pPr>
              <w:jc w:val="center"/>
              <w:rPr>
                <w:b/>
                <w:color w:val="000000"/>
              </w:rPr>
            </w:pPr>
            <w:r w:rsidRPr="000F7395">
              <w:rPr>
                <w:noProof/>
                <w:lang w:eastAsia="es-MX"/>
              </w:rPr>
              <w:drawing>
                <wp:inline distT="0" distB="0" distL="0" distR="0" wp14:anchorId="65298D1B" wp14:editId="30CA3F00">
                  <wp:extent cx="725577" cy="961390"/>
                  <wp:effectExtent l="0" t="0" r="0" b="0"/>
                  <wp:docPr id="1"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9"/>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5577"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539ED49"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1A50A9D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238F756B"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1985014"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B44F0AC" w14:textId="77777777" w:rsidR="00EA0BC6" w:rsidRDefault="00EA0BC6" w:rsidP="00452368">
            <w:pPr>
              <w:spacing w:line="360" w:lineRule="auto"/>
              <w:rPr>
                <w:rFonts w:ascii="Century Gothic" w:hAnsi="Century Gothic" w:cs="Arial"/>
                <w:b/>
                <w:color w:val="000000"/>
                <w:sz w:val="20"/>
                <w:szCs w:val="20"/>
              </w:rPr>
            </w:pPr>
          </w:p>
        </w:tc>
      </w:tr>
      <w:tr w:rsidR="00847222" w14:paraId="75E655CC" w14:textId="77777777" w:rsidTr="00452368">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2F54907"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3E7EAF9" wp14:editId="21DA3700">
                  <wp:extent cx="740913" cy="981710"/>
                  <wp:effectExtent l="0" t="0" r="2540" b="0"/>
                  <wp:docPr id="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4"/>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40913"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FF85C2" w14:textId="6FB91A4E"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w:t>
            </w:r>
            <w:r w:rsidR="0018610B">
              <w:rPr>
                <w:rFonts w:ascii="Century Gothic" w:hAnsi="Century Gothic" w:cs="Arial"/>
                <w:b/>
                <w:sz w:val="20"/>
                <w:szCs w:val="20"/>
              </w:rPr>
              <w:t xml:space="preserve">A JAEL ARGÜELLES DÍAZ </w:t>
            </w:r>
          </w:p>
          <w:p w14:paraId="33BB32C0" w14:textId="25FE4924" w:rsidR="00EA0BC6" w:rsidRDefault="00EA0BC6" w:rsidP="00452368">
            <w:pPr>
              <w:jc w:val="center"/>
              <w:rPr>
                <w:rFonts w:ascii="Century Gothic" w:hAnsi="Century Gothic" w:cs="Arial"/>
                <w:b/>
                <w:sz w:val="20"/>
                <w:szCs w:val="20"/>
              </w:rPr>
            </w:pPr>
            <w:r>
              <w:rPr>
                <w:rFonts w:ascii="Century Gothic" w:hAnsi="Century Gothic" w:cs="Arial"/>
                <w:b/>
                <w:sz w:val="20"/>
                <w:szCs w:val="20"/>
              </w:rPr>
              <w:t>SECRETARI</w:t>
            </w:r>
            <w:r w:rsidR="0018610B">
              <w:rPr>
                <w:rFonts w:ascii="Century Gothic" w:hAnsi="Century Gothic" w:cs="Arial"/>
                <w:b/>
                <w:sz w:val="20"/>
                <w:szCs w:val="20"/>
              </w:rPr>
              <w:t>A</w:t>
            </w:r>
          </w:p>
        </w:tc>
        <w:tc>
          <w:tcPr>
            <w:tcW w:w="2128" w:type="dxa"/>
            <w:tcBorders>
              <w:top w:val="single" w:sz="4" w:space="0" w:color="auto"/>
              <w:left w:val="single" w:sz="4" w:space="0" w:color="auto"/>
              <w:bottom w:val="single" w:sz="4" w:space="0" w:color="auto"/>
              <w:right w:val="single" w:sz="4" w:space="0" w:color="auto"/>
            </w:tcBorders>
            <w:vAlign w:val="center"/>
          </w:tcPr>
          <w:p w14:paraId="2F96D055"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7C32BE3"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5778998" w14:textId="77777777" w:rsidR="00EA0BC6" w:rsidRDefault="00EA0BC6" w:rsidP="00452368">
            <w:pPr>
              <w:spacing w:line="360" w:lineRule="auto"/>
              <w:rPr>
                <w:rFonts w:ascii="Century Gothic" w:hAnsi="Century Gothic" w:cs="Arial"/>
                <w:b/>
                <w:color w:val="000000"/>
                <w:sz w:val="20"/>
                <w:szCs w:val="20"/>
              </w:rPr>
            </w:pPr>
          </w:p>
        </w:tc>
      </w:tr>
      <w:tr w:rsidR="00847222" w14:paraId="35F1DC3B" w14:textId="77777777" w:rsidTr="00452368">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0765B30"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218B69" wp14:editId="579F7064">
                  <wp:extent cx="746664" cy="989330"/>
                  <wp:effectExtent l="0" t="0" r="0" b="127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46664"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7794FF73" w14:textId="46A1ADAC"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w:t>
            </w:r>
            <w:r w:rsidR="0018610B">
              <w:rPr>
                <w:rFonts w:ascii="Century Gothic" w:hAnsi="Century Gothic" w:cs="Arial"/>
                <w:b/>
                <w:sz w:val="20"/>
                <w:szCs w:val="20"/>
              </w:rPr>
              <w:t xml:space="preserve">O </w:t>
            </w:r>
            <w:r w:rsidR="0018610B" w:rsidRPr="0018610B">
              <w:rPr>
                <w:rFonts w:ascii="Century Gothic" w:hAnsi="Century Gothic" w:cs="Arial"/>
                <w:b/>
                <w:sz w:val="20"/>
                <w:szCs w:val="20"/>
              </w:rPr>
              <w:t>CARLOS ALFREDO OLSON SAN VICENTE</w:t>
            </w:r>
          </w:p>
          <w:p w14:paraId="2A18D5C4"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5CD84C4"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86B0E66" w14:textId="43907E6B"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E142591" w14:textId="194EAE08" w:rsidR="00EA0BC6" w:rsidRDefault="00EA0BC6" w:rsidP="00452368">
            <w:pPr>
              <w:spacing w:line="360" w:lineRule="auto"/>
              <w:rPr>
                <w:rFonts w:ascii="Century Gothic" w:hAnsi="Century Gothic" w:cs="Arial"/>
                <w:b/>
                <w:color w:val="000000"/>
                <w:sz w:val="20"/>
                <w:szCs w:val="20"/>
              </w:rPr>
            </w:pPr>
          </w:p>
        </w:tc>
      </w:tr>
      <w:tr w:rsidR="00847222" w14:paraId="4DC12CC1" w14:textId="77777777" w:rsidTr="00452368">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1A9A91E3"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11C3020" wp14:editId="0BD34A59">
                  <wp:extent cx="752475" cy="884555"/>
                  <wp:effectExtent l="0" t="0" r="9525" b="0"/>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2"/>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4530" cy="886971"/>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36DB6BC3" w14:textId="2CCD5B2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EDNA XÓCHITL CONTRERAS HERRERA</w:t>
            </w:r>
          </w:p>
          <w:p w14:paraId="1AC1D775"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9735F26"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A15FEC1"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38DB3D08" w14:textId="77777777" w:rsidR="00EA0BC6" w:rsidRDefault="00EA0BC6" w:rsidP="00452368">
            <w:pPr>
              <w:spacing w:line="360" w:lineRule="auto"/>
              <w:rPr>
                <w:rFonts w:ascii="Century Gothic" w:hAnsi="Century Gothic" w:cs="Arial"/>
                <w:b/>
                <w:color w:val="000000"/>
                <w:sz w:val="20"/>
                <w:szCs w:val="20"/>
              </w:rPr>
            </w:pPr>
          </w:p>
        </w:tc>
      </w:tr>
      <w:tr w:rsidR="00847222" w14:paraId="233E4484"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6DEC195"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E99FC43" wp14:editId="21D6C1B3">
                  <wp:extent cx="704850" cy="875030"/>
                  <wp:effectExtent l="0" t="0" r="0" b="127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5362" cy="875666"/>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AB51FF6" w14:textId="69661206"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HERMINIA GÓMEZ CARRASCO</w:t>
            </w:r>
          </w:p>
          <w:p w14:paraId="0197E80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BAC145A"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3959E0E"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DDD70D4" w14:textId="77777777" w:rsidR="00EA0BC6" w:rsidRDefault="00EA0BC6" w:rsidP="00452368">
            <w:pPr>
              <w:spacing w:line="360" w:lineRule="auto"/>
              <w:rPr>
                <w:rFonts w:ascii="Century Gothic" w:hAnsi="Century Gothic" w:cs="Arial"/>
                <w:b/>
                <w:color w:val="000000"/>
                <w:sz w:val="20"/>
                <w:szCs w:val="20"/>
              </w:rPr>
            </w:pPr>
          </w:p>
        </w:tc>
      </w:tr>
      <w:tr w:rsidR="00847222" w14:paraId="026F0310" w14:textId="77777777" w:rsidTr="00452368">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6D74B14" w14:textId="2109D76E"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lastRenderedPageBreak/>
              <w:drawing>
                <wp:inline distT="0" distB="0" distL="0" distR="0" wp14:anchorId="119A5049" wp14:editId="4AB8ECB9">
                  <wp:extent cx="771525" cy="1021907"/>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1453" cy="1035057"/>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C6810EA" w14:textId="1874B16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DIPUTADO </w:t>
            </w:r>
            <w:r w:rsidR="0018610B" w:rsidRPr="0018610B">
              <w:rPr>
                <w:rFonts w:ascii="Century Gothic" w:hAnsi="Century Gothic" w:cs="Arial"/>
                <w:b/>
                <w:sz w:val="20"/>
                <w:szCs w:val="20"/>
              </w:rPr>
              <w:t>FRANCISCO ADRIÁN SÁNCHEZ VILLEGAS</w:t>
            </w:r>
          </w:p>
          <w:p w14:paraId="2F5DA1E6"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618B392"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CADB8A9"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921651" w14:textId="77777777" w:rsidR="00EA0BC6" w:rsidRDefault="00EA0BC6" w:rsidP="00452368">
            <w:pPr>
              <w:spacing w:line="360" w:lineRule="auto"/>
              <w:rPr>
                <w:rFonts w:ascii="Century Gothic" w:hAnsi="Century Gothic" w:cs="Arial"/>
                <w:b/>
                <w:color w:val="000000"/>
                <w:sz w:val="20"/>
                <w:szCs w:val="20"/>
              </w:rPr>
            </w:pPr>
          </w:p>
        </w:tc>
      </w:tr>
      <w:tr w:rsidR="00847222" w14:paraId="68DBC170"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7D523EC" w14:textId="12EA0F68"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drawing>
                <wp:inline distT="0" distB="0" distL="0" distR="0" wp14:anchorId="385DD6A2" wp14:editId="4E26DC80">
                  <wp:extent cx="781050" cy="9207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1508" cy="933079"/>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6D00DE5" w14:textId="77777777" w:rsidR="00EA0BC6" w:rsidRDefault="00EA0BC6" w:rsidP="00452368">
            <w:pPr>
              <w:jc w:val="center"/>
              <w:rPr>
                <w:rFonts w:ascii="Century Gothic" w:hAnsi="Century Gothic" w:cs="Arial"/>
                <w:b/>
                <w:sz w:val="20"/>
                <w:szCs w:val="20"/>
              </w:rPr>
            </w:pPr>
          </w:p>
          <w:p w14:paraId="36B1F005" w14:textId="17D34882"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ROSANA DÍAZ REYES</w:t>
            </w:r>
          </w:p>
          <w:p w14:paraId="6351C3E2"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52D4ADA9" w14:textId="5959B019"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4171033" w14:textId="17A0BAB3"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3D54C45" w14:textId="77777777" w:rsidR="00EA0BC6" w:rsidRDefault="00EA0BC6" w:rsidP="00452368">
            <w:pPr>
              <w:spacing w:line="360" w:lineRule="auto"/>
              <w:rPr>
                <w:rFonts w:ascii="Century Gothic" w:hAnsi="Century Gothic" w:cs="Arial"/>
                <w:b/>
                <w:color w:val="000000"/>
                <w:sz w:val="20"/>
                <w:szCs w:val="20"/>
              </w:rPr>
            </w:pPr>
          </w:p>
        </w:tc>
      </w:tr>
    </w:tbl>
    <w:p w14:paraId="5198E5BD" w14:textId="77777777" w:rsidR="00EA0BC6" w:rsidRDefault="00EA0BC6" w:rsidP="00EA0BC6">
      <w:pPr>
        <w:jc w:val="both"/>
        <w:rPr>
          <w:rFonts w:ascii="Century Gothic" w:hAnsi="Century Gothic" w:cs="Arial"/>
          <w:sz w:val="16"/>
          <w:szCs w:val="16"/>
        </w:rPr>
      </w:pPr>
    </w:p>
    <w:p w14:paraId="71B26DC2" w14:textId="4EE2A869" w:rsidR="00EA0BC6" w:rsidRPr="003E791D" w:rsidRDefault="00EA0BC6" w:rsidP="00EA0BC6">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F21DCF">
        <w:rPr>
          <w:rFonts w:ascii="Century Gothic" w:hAnsi="Century Gothic" w:cs="Arial"/>
          <w:sz w:val="16"/>
          <w:szCs w:val="16"/>
        </w:rPr>
        <w:t>712</w:t>
      </w:r>
      <w:r w:rsidRPr="003E791D">
        <w:rPr>
          <w:rFonts w:ascii="Century Gothic" w:hAnsi="Century Gothic" w:cs="Arial"/>
          <w:sz w:val="16"/>
          <w:szCs w:val="16"/>
        </w:rPr>
        <w:t xml:space="preserve">. </w:t>
      </w:r>
    </w:p>
    <w:p w14:paraId="4141D730" w14:textId="6E6ED53C" w:rsidR="006E0940" w:rsidRDefault="006E0940" w:rsidP="00EA0BC6">
      <w:pPr>
        <w:pStyle w:val="Encabezado"/>
        <w:tabs>
          <w:tab w:val="right" w:pos="9356"/>
        </w:tabs>
        <w:spacing w:line="276" w:lineRule="auto"/>
        <w:jc w:val="both"/>
        <w:rPr>
          <w:rFonts w:ascii="Century Gothic" w:hAnsi="Century Gothic"/>
          <w:b/>
          <w:sz w:val="28"/>
          <w:szCs w:val="28"/>
          <w:lang w:val="es-MX"/>
        </w:rPr>
      </w:pPr>
    </w:p>
    <w:p w14:paraId="2CF760CD" w14:textId="294951A5" w:rsidR="001E6921" w:rsidRDefault="001E6921" w:rsidP="00EA0BC6">
      <w:pPr>
        <w:pStyle w:val="Encabezado"/>
        <w:tabs>
          <w:tab w:val="right" w:pos="9356"/>
        </w:tabs>
        <w:spacing w:line="276" w:lineRule="auto"/>
        <w:jc w:val="both"/>
        <w:rPr>
          <w:rFonts w:ascii="Century Gothic" w:hAnsi="Century Gothic"/>
          <w:b/>
          <w:sz w:val="28"/>
          <w:szCs w:val="28"/>
          <w:lang w:val="es-MX"/>
        </w:rPr>
      </w:pPr>
    </w:p>
    <w:p w14:paraId="2C15277A" w14:textId="77777777" w:rsidR="006E0940" w:rsidRDefault="006E0940" w:rsidP="006E0940">
      <w:pPr>
        <w:pStyle w:val="Encabezado"/>
        <w:tabs>
          <w:tab w:val="right" w:pos="9356"/>
        </w:tabs>
        <w:spacing w:line="276" w:lineRule="auto"/>
        <w:jc w:val="right"/>
        <w:rPr>
          <w:rFonts w:ascii="Century Gothic" w:hAnsi="Century Gothic"/>
          <w:b/>
          <w:sz w:val="28"/>
          <w:szCs w:val="28"/>
          <w:lang w:val="es-MX"/>
        </w:rPr>
      </w:pPr>
    </w:p>
    <w:p w14:paraId="0869172B" w14:textId="3B31FCAD" w:rsidR="007F665E" w:rsidRPr="00F5305D" w:rsidRDefault="007F665E" w:rsidP="007F665E">
      <w:pPr>
        <w:ind w:left="1985"/>
        <w:jc w:val="right"/>
        <w:rPr>
          <w:rFonts w:ascii="Century Gothic" w:hAnsi="Century Gothic" w:cs="Arial"/>
        </w:rPr>
      </w:pPr>
    </w:p>
    <w:sectPr w:rsidR="007F665E" w:rsidRPr="00F5305D" w:rsidSect="00272369">
      <w:headerReference w:type="default" r:id="rId15"/>
      <w:footerReference w:type="default" r:id="rId16"/>
      <w:pgSz w:w="12240" w:h="15840"/>
      <w:pgMar w:top="2092"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18A9" w14:textId="77777777" w:rsidR="000603F1" w:rsidRDefault="000603F1" w:rsidP="007F665E">
      <w:r>
        <w:separator/>
      </w:r>
    </w:p>
  </w:endnote>
  <w:endnote w:type="continuationSeparator" w:id="0">
    <w:p w14:paraId="21535BA1" w14:textId="77777777" w:rsidR="000603F1" w:rsidRDefault="000603F1"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3512" w14:textId="4FD93FDA" w:rsidR="00EA0BC6" w:rsidRPr="00EA0BC6" w:rsidRDefault="00EA0BC6" w:rsidP="00EA0BC6">
    <w:pPr>
      <w:pStyle w:val="Piedepgina"/>
      <w:jc w:val="right"/>
      <w:rPr>
        <w:sz w:val="16"/>
        <w:szCs w:val="16"/>
      </w:rPr>
    </w:pPr>
    <w:r w:rsidRPr="00EA0BC6">
      <w:rPr>
        <w:rFonts w:ascii="Century Gothic" w:hAnsi="Century Gothic"/>
        <w:sz w:val="16"/>
        <w:szCs w:val="16"/>
        <w:lang w:val="en-US"/>
      </w:rPr>
      <w:t>A</w:t>
    </w:r>
    <w:r w:rsidR="00F21DCF">
      <w:rPr>
        <w:rFonts w:ascii="Century Gothic" w:hAnsi="Century Gothic"/>
        <w:sz w:val="16"/>
        <w:szCs w:val="16"/>
        <w:lang w:val="en-US"/>
      </w:rPr>
      <w:t>712</w:t>
    </w:r>
    <w:r w:rsidRPr="00EA0BC6">
      <w:rPr>
        <w:rFonts w:ascii="Century Gothic" w:hAnsi="Century Gothic"/>
        <w:sz w:val="16"/>
        <w:szCs w:val="16"/>
        <w:lang w:val="en-US"/>
      </w:rPr>
      <w:t>/OIDS/GAOR/NTRP/FCLC</w:t>
    </w:r>
  </w:p>
  <w:p w14:paraId="59432C59" w14:textId="77777777" w:rsidR="00EA0BC6" w:rsidRDefault="00EA0B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5639" w14:textId="77777777" w:rsidR="000603F1" w:rsidRDefault="000603F1" w:rsidP="007F665E">
      <w:r>
        <w:separator/>
      </w:r>
    </w:p>
  </w:footnote>
  <w:footnote w:type="continuationSeparator" w:id="0">
    <w:p w14:paraId="0D1AF99B" w14:textId="77777777" w:rsidR="000603F1" w:rsidRDefault="000603F1" w:rsidP="007F665E">
      <w:r>
        <w:continuationSeparator/>
      </w:r>
    </w:p>
  </w:footnote>
  <w:footnote w:id="1">
    <w:p w14:paraId="30BB84C9" w14:textId="3C030701" w:rsidR="006569D4" w:rsidRDefault="006569D4">
      <w:pPr>
        <w:pStyle w:val="Textonotapie"/>
      </w:pPr>
      <w:r>
        <w:rPr>
          <w:rStyle w:val="Refdenotaalpie"/>
        </w:rPr>
        <w:footnoteRef/>
      </w:r>
      <w:r>
        <w:t xml:space="preserve"> </w:t>
      </w:r>
      <w:hyperlink r:id="rId1" w:history="1">
        <w:r w:rsidRPr="00936A67">
          <w:rPr>
            <w:rStyle w:val="Hipervnculo"/>
          </w:rPr>
          <w:t>https://www.congresochihuahua2.gob.mx/biblioteca/iniciativas/archivosIniciativas/23570.pdf</w:t>
        </w:r>
      </w:hyperlink>
      <w:r>
        <w:t xml:space="preserve"> </w:t>
      </w:r>
    </w:p>
  </w:footnote>
  <w:footnote w:id="2">
    <w:p w14:paraId="68BF98C5" w14:textId="615CC419" w:rsidR="00455216" w:rsidRDefault="00455216">
      <w:pPr>
        <w:pStyle w:val="Textonotapie"/>
      </w:pPr>
      <w:r>
        <w:rPr>
          <w:rStyle w:val="Refdenotaalpie"/>
        </w:rPr>
        <w:footnoteRef/>
      </w:r>
      <w:r>
        <w:t xml:space="preserve"> </w:t>
      </w:r>
      <w:hyperlink r:id="rId2" w:history="1">
        <w:r w:rsidRPr="00F36AA2">
          <w:rPr>
            <w:rStyle w:val="Hipervnculo"/>
          </w:rPr>
          <w:t>https://www.congresochihuahua2.gob.mx/biblioteca/constitucion/archivosConstitucion/actual.pdf</w:t>
        </w:r>
      </w:hyperlink>
      <w:r>
        <w:t xml:space="preserve"> </w:t>
      </w:r>
    </w:p>
  </w:footnote>
  <w:footnote w:id="3">
    <w:p w14:paraId="13FC181F" w14:textId="6DD3DD26" w:rsidR="00455216" w:rsidRDefault="00455216">
      <w:pPr>
        <w:pStyle w:val="Textonotapie"/>
      </w:pPr>
      <w:r>
        <w:rPr>
          <w:rStyle w:val="Refdenotaalpie"/>
        </w:rPr>
        <w:footnoteRef/>
      </w:r>
      <w:r>
        <w:t xml:space="preserve"> </w:t>
      </w:r>
      <w:hyperlink r:id="rId3" w:history="1">
        <w:r w:rsidR="005D5E80" w:rsidRPr="00910469">
          <w:rPr>
            <w:rStyle w:val="Hipervnculo"/>
          </w:rPr>
          <w:t>https://www.congresochihuahua2.gob.mx/biblioteca/leyes/archivosLeyes/894.pdf</w:t>
        </w:r>
      </w:hyperlink>
      <w:r w:rsidR="005D5E80">
        <w:t xml:space="preserve"> </w:t>
      </w:r>
    </w:p>
  </w:footnote>
  <w:footnote w:id="4">
    <w:p w14:paraId="2E44BAAD" w14:textId="4F3ACE2B" w:rsidR="00DB734A" w:rsidRDefault="00DB734A">
      <w:pPr>
        <w:pStyle w:val="Textonotapie"/>
      </w:pPr>
      <w:r>
        <w:rPr>
          <w:rStyle w:val="Refdenotaalpie"/>
        </w:rPr>
        <w:footnoteRef/>
      </w:r>
      <w:r>
        <w:t xml:space="preserve"> </w:t>
      </w:r>
      <w:hyperlink r:id="rId4" w:history="1">
        <w:r w:rsidRPr="000260CE">
          <w:rPr>
            <w:rStyle w:val="Hipervnculo"/>
          </w:rPr>
          <w:t>https://www.un.org/es/about-us/universal-declaration-of-human-rights</w:t>
        </w:r>
      </w:hyperlink>
      <w:r>
        <w:t xml:space="preserve"> </w:t>
      </w:r>
    </w:p>
  </w:footnote>
  <w:footnote w:id="5">
    <w:p w14:paraId="7014CC47" w14:textId="596EEA71" w:rsidR="00DB734A" w:rsidRDefault="00DB734A">
      <w:pPr>
        <w:pStyle w:val="Textonotapie"/>
      </w:pPr>
      <w:r>
        <w:rPr>
          <w:rStyle w:val="Refdenotaalpie"/>
        </w:rPr>
        <w:footnoteRef/>
      </w:r>
      <w:r>
        <w:t xml:space="preserve"> </w:t>
      </w:r>
      <w:hyperlink r:id="rId5" w:history="1">
        <w:r w:rsidRPr="000260CE">
          <w:rPr>
            <w:rStyle w:val="Hipervnculo"/>
          </w:rPr>
          <w:t>https://www.oas.org/dil/esp/1969_Convenci%C3%B3n_Americana_sobre_Derechos_Humanos.pdf</w:t>
        </w:r>
      </w:hyperlink>
      <w:r>
        <w:t xml:space="preserve"> </w:t>
      </w:r>
    </w:p>
  </w:footnote>
  <w:footnote w:id="6">
    <w:p w14:paraId="7D3DA2AD" w14:textId="053B0CC1" w:rsidR="00DB734A" w:rsidRDefault="00DB734A">
      <w:pPr>
        <w:pStyle w:val="Textonotapie"/>
      </w:pPr>
      <w:r>
        <w:rPr>
          <w:rStyle w:val="Refdenotaalpie"/>
        </w:rPr>
        <w:footnoteRef/>
      </w:r>
      <w:r>
        <w:t xml:space="preserve"> </w:t>
      </w:r>
      <w:hyperlink r:id="rId6" w:history="1">
        <w:r w:rsidRPr="000260CE">
          <w:rPr>
            <w:rStyle w:val="Hipervnculo"/>
          </w:rPr>
          <w:t>https://www.ohchr.org/es/instruments-mechanisms/instruments/international-covenant-economic-social-and-cultural-rights</w:t>
        </w:r>
      </w:hyperlink>
      <w:r>
        <w:t xml:space="preserve"> </w:t>
      </w:r>
    </w:p>
  </w:footnote>
  <w:footnote w:id="7">
    <w:p w14:paraId="201D47F8" w14:textId="45BFB75F" w:rsidR="00DB734A" w:rsidRDefault="00DB734A">
      <w:pPr>
        <w:pStyle w:val="Textonotapie"/>
      </w:pPr>
      <w:r>
        <w:rPr>
          <w:rStyle w:val="Refdenotaalpie"/>
        </w:rPr>
        <w:footnoteRef/>
      </w:r>
      <w:r>
        <w:t xml:space="preserve"> </w:t>
      </w:r>
      <w:hyperlink r:id="rId7" w:history="1">
        <w:r w:rsidRPr="000260CE">
          <w:rPr>
            <w:rStyle w:val="Hipervnculo"/>
          </w:rPr>
          <w:t>https://www.ohchr.org/es/instruments-mechanisms/instruments/international-covenant-civil-and-political-rights</w:t>
        </w:r>
      </w:hyperlink>
      <w:r>
        <w:t xml:space="preserve"> </w:t>
      </w:r>
    </w:p>
  </w:footnote>
  <w:footnote w:id="8">
    <w:p w14:paraId="55B796F9" w14:textId="5CF87A83" w:rsidR="00DB734A" w:rsidRDefault="00DB734A">
      <w:pPr>
        <w:pStyle w:val="Textonotapie"/>
      </w:pPr>
      <w:r>
        <w:rPr>
          <w:rStyle w:val="Refdenotaalpie"/>
        </w:rPr>
        <w:footnoteRef/>
      </w:r>
      <w:r>
        <w:t xml:space="preserve"> </w:t>
      </w:r>
      <w:hyperlink r:id="rId8" w:history="1">
        <w:r w:rsidRPr="000260CE">
          <w:rPr>
            <w:rStyle w:val="Hipervnculo"/>
          </w:rPr>
          <w:t>https://normlex.ilo.org/dyn/nrmlx_es/f?p=NORMLEXPUB:12100:0::NO::P12100_ILO_CODE:R162</w:t>
        </w:r>
      </w:hyperlink>
      <w:r>
        <w:t xml:space="preserve"> </w:t>
      </w:r>
    </w:p>
  </w:footnote>
  <w:footnote w:id="9">
    <w:p w14:paraId="181800F8" w14:textId="2BF748B1" w:rsidR="00DB734A" w:rsidRDefault="00DB734A">
      <w:pPr>
        <w:pStyle w:val="Textonotapie"/>
      </w:pPr>
      <w:r>
        <w:rPr>
          <w:rStyle w:val="Refdenotaalpie"/>
        </w:rPr>
        <w:footnoteRef/>
      </w:r>
      <w:r>
        <w:t xml:space="preserve"> </w:t>
      </w:r>
      <w:hyperlink r:id="rId9" w:history="1">
        <w:r w:rsidRPr="000260CE">
          <w:rPr>
            <w:rStyle w:val="Hipervnculo"/>
          </w:rPr>
          <w:t>https://www.oas.org/es/sadye/inclusion-social/protocolo-ssv/docs/protocolo-san-salvador-es.pdf</w:t>
        </w:r>
      </w:hyperlink>
      <w:r>
        <w:t xml:space="preserve"> </w:t>
      </w:r>
    </w:p>
  </w:footnote>
  <w:footnote w:id="10">
    <w:p w14:paraId="0E20D4FA" w14:textId="313BA598" w:rsidR="00B51B5D" w:rsidRDefault="00B51B5D">
      <w:pPr>
        <w:pStyle w:val="Textonotapie"/>
      </w:pPr>
      <w:r>
        <w:rPr>
          <w:rStyle w:val="Refdenotaalpie"/>
        </w:rPr>
        <w:footnoteRef/>
      </w:r>
      <w:r>
        <w:t xml:space="preserve"> </w:t>
      </w:r>
      <w:hyperlink r:id="rId10" w:history="1">
        <w:r w:rsidRPr="000260CE">
          <w:rPr>
            <w:rStyle w:val="Hipervnculo"/>
          </w:rPr>
          <w:t>https://www.oas.org/es/sla/ddi/docs/tratados_multilaterales_interamericanos_a-70_derechos_humanos_personas_mayores.pdf</w:t>
        </w:r>
      </w:hyperlink>
      <w:r>
        <w:t xml:space="preserve"> </w:t>
      </w:r>
    </w:p>
  </w:footnote>
  <w:footnote w:id="11">
    <w:p w14:paraId="7FD7BDB0" w14:textId="77777777" w:rsidR="00295E36" w:rsidRPr="00A167DE" w:rsidRDefault="00295E36" w:rsidP="00295E36">
      <w:pPr>
        <w:pStyle w:val="Textonotapie"/>
        <w:rPr>
          <w:rFonts w:asciiTheme="minorHAnsi" w:hAnsiTheme="minorHAnsi" w:cstheme="minorHAnsi"/>
        </w:rPr>
      </w:pPr>
      <w:r w:rsidRPr="00EF532F">
        <w:rPr>
          <w:rStyle w:val="Refdenotaalpie"/>
          <w:rFonts w:ascii="Century Gothic" w:hAnsi="Century Gothic"/>
          <w:sz w:val="18"/>
          <w:szCs w:val="18"/>
        </w:rPr>
        <w:footnoteRef/>
      </w:r>
      <w:r w:rsidRPr="00EF532F">
        <w:rPr>
          <w:rFonts w:ascii="Century Gothic" w:hAnsi="Century Gothic"/>
          <w:sz w:val="18"/>
          <w:szCs w:val="18"/>
        </w:rPr>
        <w:t xml:space="preserve"> </w:t>
      </w:r>
      <w:hyperlink r:id="rId11" w:history="1">
        <w:r w:rsidRPr="00A167DE">
          <w:rPr>
            <w:rStyle w:val="Hipervnculo"/>
            <w:rFonts w:asciiTheme="minorHAnsi" w:hAnsiTheme="minorHAnsi" w:cstheme="minorHAnsi"/>
          </w:rPr>
          <w:t>https://www.diputados.gob.mx/LeyesBiblio/pdf/CPEUM.pdf</w:t>
        </w:r>
      </w:hyperlink>
      <w:r w:rsidRPr="00A167DE">
        <w:rPr>
          <w:rFonts w:asciiTheme="minorHAnsi" w:hAnsiTheme="minorHAnsi" w:cstheme="minorHAnsi"/>
        </w:rPr>
        <w:t xml:space="preserve"> </w:t>
      </w:r>
    </w:p>
  </w:footnote>
  <w:footnote w:id="12">
    <w:p w14:paraId="495EE569" w14:textId="77B15B2D" w:rsidR="00295E36" w:rsidRDefault="00295E36">
      <w:pPr>
        <w:pStyle w:val="Textonotapie"/>
      </w:pPr>
      <w:r>
        <w:rPr>
          <w:rStyle w:val="Refdenotaalpie"/>
        </w:rPr>
        <w:footnoteRef/>
      </w:r>
      <w:r>
        <w:t xml:space="preserve"> </w:t>
      </w:r>
      <w:hyperlink r:id="rId12" w:history="1">
        <w:r w:rsidRPr="007141E4">
          <w:rPr>
            <w:rStyle w:val="Hipervnculo"/>
          </w:rPr>
          <w:t>https://www.diputados.gob.mx/LeyesBiblio/pdf/LDPAM.pdf</w:t>
        </w:r>
      </w:hyperlink>
      <w:r>
        <w:t xml:space="preserve"> </w:t>
      </w:r>
    </w:p>
  </w:footnote>
  <w:footnote w:id="13">
    <w:p w14:paraId="733BAF14" w14:textId="77777777" w:rsidR="0000694B" w:rsidRDefault="0000694B" w:rsidP="0000694B">
      <w:pPr>
        <w:pStyle w:val="Textonotapie"/>
      </w:pPr>
      <w:r>
        <w:rPr>
          <w:rStyle w:val="Refdenotaalpie"/>
        </w:rPr>
        <w:footnoteRef/>
      </w:r>
      <w:r>
        <w:t xml:space="preserve"> </w:t>
      </w:r>
      <w:r w:rsidRPr="009112DC">
        <w:t>Manual para juzgar casos de personas mayores</w:t>
      </w:r>
      <w:r>
        <w:t xml:space="preserve">. Pág. 356. </w:t>
      </w:r>
      <w:r w:rsidRPr="009112DC">
        <w:t>Suprema Corte de Justicia de la Nación</w:t>
      </w:r>
      <w:r>
        <w:t xml:space="preserve">. </w:t>
      </w:r>
      <w:hyperlink r:id="rId13" w:history="1">
        <w:r w:rsidRPr="007141E4">
          <w:rPr>
            <w:rStyle w:val="Hipervnculo"/>
          </w:rPr>
          <w:t>https://sistemabibliotecario.scjn.gob.mx/exlibris/aleph/a23_1/apache_media/UECI1J58V7TYQ5QB2QAM4QDPXG38VS.pdf</w:t>
        </w:r>
      </w:hyperlink>
      <w:r>
        <w:t xml:space="preserve"> </w:t>
      </w:r>
    </w:p>
  </w:footnote>
  <w:footnote w:id="14">
    <w:p w14:paraId="17A880C9" w14:textId="77777777" w:rsidR="0071498B" w:rsidRDefault="0071498B" w:rsidP="0071498B">
      <w:pPr>
        <w:pStyle w:val="Textonotapie"/>
      </w:pPr>
      <w:r>
        <w:rPr>
          <w:rStyle w:val="Refdenotaalpie"/>
        </w:rPr>
        <w:footnoteRef/>
      </w:r>
      <w:r>
        <w:t xml:space="preserve"> </w:t>
      </w:r>
      <w:hyperlink r:id="rId14" w:history="1">
        <w:r w:rsidRPr="00E264F5">
          <w:rPr>
            <w:rStyle w:val="Hipervnculo"/>
          </w:rPr>
          <w:t>https://www.diputados.gob.mx/LeyesBiblio/pdf/LGS.pdf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353917C1" w:rsidR="007F665E" w:rsidRDefault="007F665E" w:rsidP="00272369">
    <w:pPr>
      <w:pStyle w:val="Encabezado"/>
      <w:tabs>
        <w:tab w:val="clear" w:pos="8838"/>
      </w:tabs>
      <w:jc w:val="center"/>
    </w:pPr>
    <w:r>
      <w:rPr>
        <w:noProof/>
        <w:lang w:val="es-MX" w:eastAsia="es-MX"/>
      </w:rPr>
      <w:drawing>
        <wp:anchor distT="0" distB="0" distL="114300" distR="114300" simplePos="0" relativeHeight="251658240" behindDoc="1" locked="0" layoutInCell="1" allowOverlap="1" wp14:anchorId="046EAEB8" wp14:editId="33E7B1D1">
          <wp:simplePos x="0" y="0"/>
          <wp:positionH relativeFrom="column">
            <wp:posOffset>-1080135</wp:posOffset>
          </wp:positionH>
          <wp:positionV relativeFrom="paragraph">
            <wp:posOffset>-449580</wp:posOffset>
          </wp:positionV>
          <wp:extent cx="7772400" cy="1005840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E1A5A">
      <w:tab/>
    </w:r>
  </w:p>
  <w:p w14:paraId="768BD5EA" w14:textId="4630E9B7" w:rsidR="00272369" w:rsidRPr="00272369" w:rsidRDefault="00272369" w:rsidP="008060BB">
    <w:pPr>
      <w:pStyle w:val="Encabezado"/>
      <w:tabs>
        <w:tab w:val="clear" w:pos="8838"/>
      </w:tabs>
      <w:jc w:val="right"/>
      <w:rPr>
        <w:rFonts w:ascii="Century Gothic" w:hAnsi="Century Gothic"/>
        <w:i/>
        <w:iCs/>
        <w:sz w:val="20"/>
        <w:szCs w:val="20"/>
      </w:rPr>
    </w:pPr>
    <w:r w:rsidRPr="00272369">
      <w:rPr>
        <w:rFonts w:ascii="Century Gothic" w:hAnsi="Century Gothic"/>
        <w:i/>
        <w:iCs/>
        <w:sz w:val="20"/>
        <w:szCs w:val="20"/>
      </w:rPr>
      <w:t>“2025, Año del Bicentenario de la Primera Constitución del Estado de Chihuahua”</w:t>
    </w:r>
  </w:p>
  <w:p w14:paraId="668783F9" w14:textId="77777777" w:rsidR="00272369" w:rsidRDefault="00272369" w:rsidP="008060BB">
    <w:pPr>
      <w:pStyle w:val="Encabezado"/>
      <w:tabs>
        <w:tab w:val="clear" w:pos="8838"/>
      </w:tabs>
      <w:jc w:val="right"/>
    </w:pPr>
  </w:p>
  <w:p w14:paraId="427113CC" w14:textId="23A3C141" w:rsidR="00EA0BC6" w:rsidRDefault="00EA0BC6" w:rsidP="00272369">
    <w:pPr>
      <w:pStyle w:val="Encabezado"/>
      <w:tabs>
        <w:tab w:val="clear" w:pos="8838"/>
      </w:tabs>
    </w:pPr>
  </w:p>
  <w:p w14:paraId="7724193C" w14:textId="3EE8FFBE" w:rsidR="00272369" w:rsidRPr="00272369" w:rsidRDefault="00EA0BC6" w:rsidP="00272369">
    <w:pPr>
      <w:tabs>
        <w:tab w:val="center" w:pos="4419"/>
        <w:tab w:val="right" w:pos="8838"/>
      </w:tabs>
      <w:jc w:val="right"/>
      <w:rPr>
        <w:rFonts w:ascii="Century Gothic" w:hAnsi="Century Gothic"/>
        <w:smallCaps/>
        <w:sz w:val="28"/>
        <w:szCs w:val="28"/>
      </w:rPr>
    </w:pPr>
    <w:r w:rsidRPr="00272369">
      <w:rPr>
        <w:rFonts w:ascii="Century Gothic" w:hAnsi="Century Gothic" w:cs="Tahoma"/>
        <w:b/>
        <w:bCs/>
        <w:smallCaps/>
        <w:sz w:val="28"/>
        <w:szCs w:val="28"/>
        <w:shd w:val="clear" w:color="auto" w:fill="FFFFFF"/>
      </w:rPr>
      <w:t>Comisión de Salud</w:t>
    </w:r>
  </w:p>
  <w:p w14:paraId="3995FDD2" w14:textId="198E5D21" w:rsidR="00EA0BC6" w:rsidRPr="00272369" w:rsidRDefault="00EA0BC6" w:rsidP="00EA0BC6">
    <w:pPr>
      <w:spacing w:line="360" w:lineRule="auto"/>
      <w:jc w:val="right"/>
      <w:rPr>
        <w:rFonts w:ascii="Century Gothic" w:hAnsi="Century Gothic" w:cs="Arial"/>
        <w:b/>
        <w:smallCaps/>
        <w:color w:val="000000"/>
        <w:sz w:val="22"/>
      </w:rPr>
    </w:pPr>
    <w:r w:rsidRPr="00272369">
      <w:rPr>
        <w:rFonts w:ascii="Century Gothic" w:hAnsi="Century Gothic" w:cs="Arial"/>
        <w:b/>
        <w:smallCaps/>
        <w:color w:val="000000"/>
        <w:sz w:val="22"/>
      </w:rPr>
      <w:t>LXVIII LEGISLATURA</w:t>
    </w:r>
  </w:p>
  <w:p w14:paraId="4A373EA6" w14:textId="03B6EC2D" w:rsidR="00EA0BC6" w:rsidRDefault="00EA0BC6" w:rsidP="00EA0BC6">
    <w:pPr>
      <w:spacing w:line="360" w:lineRule="auto"/>
      <w:ind w:left="720"/>
      <w:contextualSpacing/>
      <w:jc w:val="right"/>
      <w:rPr>
        <w:rFonts w:ascii="Century Gothic" w:hAnsi="Century Gothic" w:cs="Calibri"/>
        <w:b/>
      </w:rPr>
    </w:pPr>
    <w:r w:rsidRPr="009F0514">
      <w:rPr>
        <w:rFonts w:ascii="Century Gothic" w:hAnsi="Century Gothic" w:cs="Calibri"/>
        <w:b/>
      </w:rPr>
      <w:t>DCS/</w:t>
    </w:r>
    <w:r w:rsidR="00E6678F">
      <w:rPr>
        <w:rFonts w:ascii="Century Gothic" w:hAnsi="Century Gothic" w:cs="Calibri"/>
        <w:b/>
      </w:rPr>
      <w:t>1</w:t>
    </w:r>
    <w:r w:rsidR="004359E0">
      <w:rPr>
        <w:rFonts w:ascii="Century Gothic" w:hAnsi="Century Gothic" w:cs="Calibri"/>
        <w:b/>
      </w:rPr>
      <w:t>1</w:t>
    </w:r>
    <w:r w:rsidRPr="009F0514">
      <w:rPr>
        <w:rFonts w:ascii="Century Gothic" w:hAnsi="Century Gothic" w:cs="Calibri"/>
        <w:b/>
      </w:rPr>
      <w:t>/202</w:t>
    </w:r>
    <w:r w:rsidR="00272369">
      <w:rPr>
        <w:rFonts w:ascii="Century Gothic" w:hAnsi="Century Gothic" w:cs="Calibri"/>
        <w:b/>
      </w:rPr>
      <w:t>5</w:t>
    </w:r>
  </w:p>
  <w:p w14:paraId="782C5156" w14:textId="573947FA" w:rsidR="00EA0BC6" w:rsidRDefault="00EA0BC6" w:rsidP="00EA0BC6">
    <w:pPr>
      <w:spacing w:line="360" w:lineRule="auto"/>
      <w:ind w:left="720"/>
      <w:contextualSpacing/>
      <w:jc w:val="right"/>
      <w:rPr>
        <w:rFonts w:ascii="Century Gothic" w:hAnsi="Century Gothic" w:cs="Calibri"/>
        <w:b/>
      </w:rPr>
    </w:pPr>
  </w:p>
  <w:p w14:paraId="4B8B25D9" w14:textId="77777777" w:rsidR="00EA0BC6" w:rsidRDefault="00EA0BC6" w:rsidP="00EA0BC6">
    <w:pPr>
      <w:spacing w:line="360" w:lineRule="auto"/>
      <w:ind w:left="720"/>
      <w:contextualSpacing/>
      <w:jc w:val="right"/>
      <w:rPr>
        <w:rFonts w:ascii="Century Gothic" w:hAnsi="Century Gothic"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86"/>
    <w:multiLevelType w:val="hybridMultilevel"/>
    <w:tmpl w:val="D298B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3228C9"/>
    <w:multiLevelType w:val="hybridMultilevel"/>
    <w:tmpl w:val="D45C455E"/>
    <w:lvl w:ilvl="0" w:tplc="F41A12B4">
      <w:start w:val="11"/>
      <w:numFmt w:val="upperRoman"/>
      <w:lvlText w:val="%1."/>
      <w:lvlJc w:val="left"/>
      <w:pPr>
        <w:ind w:left="143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3276BE"/>
    <w:multiLevelType w:val="hybridMultilevel"/>
    <w:tmpl w:val="5D98EB3C"/>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D6A4C91"/>
    <w:multiLevelType w:val="hybridMultilevel"/>
    <w:tmpl w:val="2918E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490A8A"/>
    <w:multiLevelType w:val="hybridMultilevel"/>
    <w:tmpl w:val="90B6FB76"/>
    <w:lvl w:ilvl="0" w:tplc="8EFC02D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9336B7"/>
    <w:multiLevelType w:val="hybridMultilevel"/>
    <w:tmpl w:val="8520C4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0C68A0"/>
    <w:multiLevelType w:val="hybridMultilevel"/>
    <w:tmpl w:val="B470D66C"/>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D210C5"/>
    <w:multiLevelType w:val="hybridMultilevel"/>
    <w:tmpl w:val="3DE4E62A"/>
    <w:lvl w:ilvl="0" w:tplc="90103CCC">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AB1BDD"/>
    <w:multiLevelType w:val="hybridMultilevel"/>
    <w:tmpl w:val="E9D084DE"/>
    <w:lvl w:ilvl="0" w:tplc="BB1C953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C87254"/>
    <w:multiLevelType w:val="hybridMultilevel"/>
    <w:tmpl w:val="BDF63D5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73C2603"/>
    <w:multiLevelType w:val="hybridMultilevel"/>
    <w:tmpl w:val="ED1251F8"/>
    <w:lvl w:ilvl="0" w:tplc="7A28DA6E">
      <w:start w:val="18"/>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6243E9"/>
    <w:multiLevelType w:val="hybridMultilevel"/>
    <w:tmpl w:val="250EEABC"/>
    <w:lvl w:ilvl="0" w:tplc="DF86B33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A767BA"/>
    <w:multiLevelType w:val="hybridMultilevel"/>
    <w:tmpl w:val="48F2C6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8E4854"/>
    <w:multiLevelType w:val="hybridMultilevel"/>
    <w:tmpl w:val="2C529B28"/>
    <w:lvl w:ilvl="0" w:tplc="6CC411B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7F34449"/>
    <w:multiLevelType w:val="hybridMultilevel"/>
    <w:tmpl w:val="A89E5FF2"/>
    <w:lvl w:ilvl="0" w:tplc="4FB64FB2">
      <w:start w:val="26"/>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5D2D95"/>
    <w:multiLevelType w:val="hybridMultilevel"/>
    <w:tmpl w:val="1D2219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5D2E65"/>
    <w:multiLevelType w:val="hybridMultilevel"/>
    <w:tmpl w:val="E40C360E"/>
    <w:lvl w:ilvl="0" w:tplc="D92290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0010F0"/>
    <w:multiLevelType w:val="hybridMultilevel"/>
    <w:tmpl w:val="3266E820"/>
    <w:lvl w:ilvl="0" w:tplc="B8B221E4">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E484B67"/>
    <w:multiLevelType w:val="hybridMultilevel"/>
    <w:tmpl w:val="CB645CCE"/>
    <w:lvl w:ilvl="0" w:tplc="A2041FA0">
      <w:start w:val="4"/>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6F1617"/>
    <w:multiLevelType w:val="hybridMultilevel"/>
    <w:tmpl w:val="5D9456F6"/>
    <w:lvl w:ilvl="0" w:tplc="5DD2B748">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FDA6684"/>
    <w:multiLevelType w:val="hybridMultilevel"/>
    <w:tmpl w:val="6C347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385F5E"/>
    <w:multiLevelType w:val="hybridMultilevel"/>
    <w:tmpl w:val="AC62C164"/>
    <w:lvl w:ilvl="0" w:tplc="0F384E3C">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90FFC"/>
    <w:multiLevelType w:val="hybridMultilevel"/>
    <w:tmpl w:val="DFA200CC"/>
    <w:lvl w:ilvl="0" w:tplc="59D6FE5C">
      <w:start w:val="4"/>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0A3E09"/>
    <w:multiLevelType w:val="hybridMultilevel"/>
    <w:tmpl w:val="65B09CE0"/>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1D346E"/>
    <w:multiLevelType w:val="hybridMultilevel"/>
    <w:tmpl w:val="4C4A0EBE"/>
    <w:lvl w:ilvl="0" w:tplc="B33A3C0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6334D4"/>
    <w:multiLevelType w:val="hybridMultilevel"/>
    <w:tmpl w:val="8C6EF384"/>
    <w:lvl w:ilvl="0" w:tplc="30A0F5A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930213E"/>
    <w:multiLevelType w:val="hybridMultilevel"/>
    <w:tmpl w:val="D5EEB6C4"/>
    <w:lvl w:ilvl="0" w:tplc="EE5CF452">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3B5268"/>
    <w:multiLevelType w:val="hybridMultilevel"/>
    <w:tmpl w:val="4AB43A7C"/>
    <w:lvl w:ilvl="0" w:tplc="FC8C2538">
      <w:start w:val="5"/>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2642ACE"/>
    <w:multiLevelType w:val="hybridMultilevel"/>
    <w:tmpl w:val="F3EC274E"/>
    <w:lvl w:ilvl="0" w:tplc="1E589E9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3D3A48"/>
    <w:multiLevelType w:val="hybridMultilevel"/>
    <w:tmpl w:val="9454EB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770EA7"/>
    <w:multiLevelType w:val="hybridMultilevel"/>
    <w:tmpl w:val="FF1C7E2A"/>
    <w:lvl w:ilvl="0" w:tplc="B63818E8">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8F22C40"/>
    <w:multiLevelType w:val="hybridMultilevel"/>
    <w:tmpl w:val="0CF2DCF8"/>
    <w:lvl w:ilvl="0" w:tplc="D9AC34E2">
      <w:start w:val="4"/>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E21E60"/>
    <w:multiLevelType w:val="hybridMultilevel"/>
    <w:tmpl w:val="DCEA9A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BC341D7"/>
    <w:multiLevelType w:val="hybridMultilevel"/>
    <w:tmpl w:val="5BCAE4E4"/>
    <w:lvl w:ilvl="0" w:tplc="B6626714">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F30FDF"/>
    <w:multiLevelType w:val="hybridMultilevel"/>
    <w:tmpl w:val="C254B1CA"/>
    <w:lvl w:ilvl="0" w:tplc="12F0BF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1"/>
  </w:num>
  <w:num w:numId="3">
    <w:abstractNumId w:val="19"/>
  </w:num>
  <w:num w:numId="4">
    <w:abstractNumId w:val="17"/>
  </w:num>
  <w:num w:numId="5">
    <w:abstractNumId w:val="28"/>
  </w:num>
  <w:num w:numId="6">
    <w:abstractNumId w:val="34"/>
  </w:num>
  <w:num w:numId="7">
    <w:abstractNumId w:val="24"/>
  </w:num>
  <w:num w:numId="8">
    <w:abstractNumId w:val="0"/>
  </w:num>
  <w:num w:numId="9">
    <w:abstractNumId w:val="11"/>
  </w:num>
  <w:num w:numId="10">
    <w:abstractNumId w:val="15"/>
  </w:num>
  <w:num w:numId="11">
    <w:abstractNumId w:val="20"/>
  </w:num>
  <w:num w:numId="12">
    <w:abstractNumId w:val="29"/>
  </w:num>
  <w:num w:numId="13">
    <w:abstractNumId w:val="4"/>
  </w:num>
  <w:num w:numId="14">
    <w:abstractNumId w:val="16"/>
  </w:num>
  <w:num w:numId="15">
    <w:abstractNumId w:val="9"/>
  </w:num>
  <w:num w:numId="16">
    <w:abstractNumId w:val="10"/>
  </w:num>
  <w:num w:numId="17">
    <w:abstractNumId w:val="8"/>
  </w:num>
  <w:num w:numId="18">
    <w:abstractNumId w:val="26"/>
  </w:num>
  <w:num w:numId="19">
    <w:abstractNumId w:val="7"/>
  </w:num>
  <w:num w:numId="20">
    <w:abstractNumId w:val="33"/>
  </w:num>
  <w:num w:numId="21">
    <w:abstractNumId w:val="18"/>
  </w:num>
  <w:num w:numId="22">
    <w:abstractNumId w:val="31"/>
  </w:num>
  <w:num w:numId="23">
    <w:abstractNumId w:val="30"/>
  </w:num>
  <w:num w:numId="24">
    <w:abstractNumId w:val="27"/>
  </w:num>
  <w:num w:numId="25">
    <w:abstractNumId w:val="6"/>
  </w:num>
  <w:num w:numId="26">
    <w:abstractNumId w:val="5"/>
  </w:num>
  <w:num w:numId="27">
    <w:abstractNumId w:val="2"/>
  </w:num>
  <w:num w:numId="28">
    <w:abstractNumId w:val="22"/>
  </w:num>
  <w:num w:numId="29">
    <w:abstractNumId w:val="32"/>
  </w:num>
  <w:num w:numId="30">
    <w:abstractNumId w:val="14"/>
  </w:num>
  <w:num w:numId="31">
    <w:abstractNumId w:val="23"/>
  </w:num>
  <w:num w:numId="32">
    <w:abstractNumId w:val="3"/>
  </w:num>
  <w:num w:numId="33">
    <w:abstractNumId w:val="12"/>
  </w:num>
  <w:num w:numId="34">
    <w:abstractNumId w:val="2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0694B"/>
    <w:rsid w:val="00006D61"/>
    <w:rsid w:val="00022B87"/>
    <w:rsid w:val="00022E40"/>
    <w:rsid w:val="0002665B"/>
    <w:rsid w:val="00034AF4"/>
    <w:rsid w:val="0004485F"/>
    <w:rsid w:val="00044E47"/>
    <w:rsid w:val="00050403"/>
    <w:rsid w:val="00053FA5"/>
    <w:rsid w:val="000560F2"/>
    <w:rsid w:val="000603F1"/>
    <w:rsid w:val="000654AB"/>
    <w:rsid w:val="00072168"/>
    <w:rsid w:val="00074520"/>
    <w:rsid w:val="00081D6E"/>
    <w:rsid w:val="000A06FE"/>
    <w:rsid w:val="000A585C"/>
    <w:rsid w:val="000C0379"/>
    <w:rsid w:val="000C101E"/>
    <w:rsid w:val="000C4C90"/>
    <w:rsid w:val="000F729B"/>
    <w:rsid w:val="0010747B"/>
    <w:rsid w:val="001121CB"/>
    <w:rsid w:val="0011389C"/>
    <w:rsid w:val="00117A58"/>
    <w:rsid w:val="001202A9"/>
    <w:rsid w:val="001216BD"/>
    <w:rsid w:val="00125057"/>
    <w:rsid w:val="0012705C"/>
    <w:rsid w:val="0012757E"/>
    <w:rsid w:val="00127A2C"/>
    <w:rsid w:val="0014750B"/>
    <w:rsid w:val="00152056"/>
    <w:rsid w:val="00161DF9"/>
    <w:rsid w:val="001778D7"/>
    <w:rsid w:val="0018476C"/>
    <w:rsid w:val="00185F8D"/>
    <w:rsid w:val="0018610B"/>
    <w:rsid w:val="001911AA"/>
    <w:rsid w:val="001918B1"/>
    <w:rsid w:val="001A0E60"/>
    <w:rsid w:val="001A7107"/>
    <w:rsid w:val="001B4319"/>
    <w:rsid w:val="001B6E73"/>
    <w:rsid w:val="001C4C77"/>
    <w:rsid w:val="001E3F48"/>
    <w:rsid w:val="001E6921"/>
    <w:rsid w:val="001F7989"/>
    <w:rsid w:val="002014B6"/>
    <w:rsid w:val="00202FE4"/>
    <w:rsid w:val="00233BEC"/>
    <w:rsid w:val="00233EB4"/>
    <w:rsid w:val="0024233B"/>
    <w:rsid w:val="002432FF"/>
    <w:rsid w:val="002445C8"/>
    <w:rsid w:val="00272369"/>
    <w:rsid w:val="002738ED"/>
    <w:rsid w:val="00281847"/>
    <w:rsid w:val="00282878"/>
    <w:rsid w:val="002842BA"/>
    <w:rsid w:val="00284FCA"/>
    <w:rsid w:val="002905D9"/>
    <w:rsid w:val="00291896"/>
    <w:rsid w:val="00295E36"/>
    <w:rsid w:val="002A6A3A"/>
    <w:rsid w:val="002B4BCB"/>
    <w:rsid w:val="002B64F2"/>
    <w:rsid w:val="002D1CF0"/>
    <w:rsid w:val="0030679F"/>
    <w:rsid w:val="00312942"/>
    <w:rsid w:val="00314587"/>
    <w:rsid w:val="003148B1"/>
    <w:rsid w:val="00321AAC"/>
    <w:rsid w:val="00326670"/>
    <w:rsid w:val="0033347D"/>
    <w:rsid w:val="00341ECE"/>
    <w:rsid w:val="00370A32"/>
    <w:rsid w:val="003919EE"/>
    <w:rsid w:val="003B0106"/>
    <w:rsid w:val="003B5CE3"/>
    <w:rsid w:val="003B7F5D"/>
    <w:rsid w:val="003D3DCB"/>
    <w:rsid w:val="003D7E91"/>
    <w:rsid w:val="003E495D"/>
    <w:rsid w:val="003F338C"/>
    <w:rsid w:val="003F60D9"/>
    <w:rsid w:val="003F7AD3"/>
    <w:rsid w:val="00405DCA"/>
    <w:rsid w:val="00430592"/>
    <w:rsid w:val="004359E0"/>
    <w:rsid w:val="0044458D"/>
    <w:rsid w:val="00444C92"/>
    <w:rsid w:val="00445AF5"/>
    <w:rsid w:val="0045496B"/>
    <w:rsid w:val="00455216"/>
    <w:rsid w:val="00480B2B"/>
    <w:rsid w:val="004A1FC5"/>
    <w:rsid w:val="004A2EF4"/>
    <w:rsid w:val="004A3D59"/>
    <w:rsid w:val="004B6236"/>
    <w:rsid w:val="004C1D83"/>
    <w:rsid w:val="004C60C5"/>
    <w:rsid w:val="004D5B3F"/>
    <w:rsid w:val="00500C45"/>
    <w:rsid w:val="00502A9C"/>
    <w:rsid w:val="0050441B"/>
    <w:rsid w:val="0052599D"/>
    <w:rsid w:val="005264E4"/>
    <w:rsid w:val="00545FB9"/>
    <w:rsid w:val="00561A86"/>
    <w:rsid w:val="00566463"/>
    <w:rsid w:val="005714BE"/>
    <w:rsid w:val="005833E3"/>
    <w:rsid w:val="0059206D"/>
    <w:rsid w:val="00592EA7"/>
    <w:rsid w:val="00594194"/>
    <w:rsid w:val="005B61BB"/>
    <w:rsid w:val="005D0F47"/>
    <w:rsid w:val="005D1FEA"/>
    <w:rsid w:val="005D5E80"/>
    <w:rsid w:val="005D747F"/>
    <w:rsid w:val="005D7A1D"/>
    <w:rsid w:val="005F7DB5"/>
    <w:rsid w:val="00601CEF"/>
    <w:rsid w:val="0061710B"/>
    <w:rsid w:val="00636FD1"/>
    <w:rsid w:val="0064352B"/>
    <w:rsid w:val="00652673"/>
    <w:rsid w:val="00654809"/>
    <w:rsid w:val="0065511F"/>
    <w:rsid w:val="006569D4"/>
    <w:rsid w:val="00657FC6"/>
    <w:rsid w:val="006718BB"/>
    <w:rsid w:val="006854F0"/>
    <w:rsid w:val="006A339C"/>
    <w:rsid w:val="006B205C"/>
    <w:rsid w:val="006B3E72"/>
    <w:rsid w:val="006D243E"/>
    <w:rsid w:val="006D43E2"/>
    <w:rsid w:val="006D6856"/>
    <w:rsid w:val="006E0940"/>
    <w:rsid w:val="00703F2E"/>
    <w:rsid w:val="0070484A"/>
    <w:rsid w:val="007060CF"/>
    <w:rsid w:val="0071498B"/>
    <w:rsid w:val="007331D4"/>
    <w:rsid w:val="00740515"/>
    <w:rsid w:val="00740750"/>
    <w:rsid w:val="007563DB"/>
    <w:rsid w:val="007659A7"/>
    <w:rsid w:val="007765E5"/>
    <w:rsid w:val="0078173B"/>
    <w:rsid w:val="00782B47"/>
    <w:rsid w:val="007926CD"/>
    <w:rsid w:val="007953BA"/>
    <w:rsid w:val="007C0057"/>
    <w:rsid w:val="007C3F39"/>
    <w:rsid w:val="007D3A56"/>
    <w:rsid w:val="007E1A5A"/>
    <w:rsid w:val="007F28E6"/>
    <w:rsid w:val="007F3F81"/>
    <w:rsid w:val="007F50B0"/>
    <w:rsid w:val="007F5B54"/>
    <w:rsid w:val="007F665E"/>
    <w:rsid w:val="007F68FF"/>
    <w:rsid w:val="008060BB"/>
    <w:rsid w:val="0081066B"/>
    <w:rsid w:val="00844954"/>
    <w:rsid w:val="00847222"/>
    <w:rsid w:val="0086012B"/>
    <w:rsid w:val="00863E8D"/>
    <w:rsid w:val="00873C6C"/>
    <w:rsid w:val="00874831"/>
    <w:rsid w:val="00874CFD"/>
    <w:rsid w:val="008818DB"/>
    <w:rsid w:val="00882C4C"/>
    <w:rsid w:val="00887C40"/>
    <w:rsid w:val="008A54BB"/>
    <w:rsid w:val="008A782C"/>
    <w:rsid w:val="008B0872"/>
    <w:rsid w:val="008B0A51"/>
    <w:rsid w:val="008B51A7"/>
    <w:rsid w:val="008B57E2"/>
    <w:rsid w:val="008D5E91"/>
    <w:rsid w:val="008F5B3E"/>
    <w:rsid w:val="008F5B89"/>
    <w:rsid w:val="008F6A06"/>
    <w:rsid w:val="0090046C"/>
    <w:rsid w:val="009024CC"/>
    <w:rsid w:val="00902605"/>
    <w:rsid w:val="009062B5"/>
    <w:rsid w:val="009112DC"/>
    <w:rsid w:val="00922D04"/>
    <w:rsid w:val="009250AF"/>
    <w:rsid w:val="00927ADD"/>
    <w:rsid w:val="009412B1"/>
    <w:rsid w:val="0094205F"/>
    <w:rsid w:val="009715A5"/>
    <w:rsid w:val="009730AE"/>
    <w:rsid w:val="009804D0"/>
    <w:rsid w:val="009A541E"/>
    <w:rsid w:val="009B1FE7"/>
    <w:rsid w:val="009B57CD"/>
    <w:rsid w:val="009C5C23"/>
    <w:rsid w:val="009E7951"/>
    <w:rsid w:val="009F4E22"/>
    <w:rsid w:val="009F77E3"/>
    <w:rsid w:val="00A167DE"/>
    <w:rsid w:val="00A24119"/>
    <w:rsid w:val="00A4474A"/>
    <w:rsid w:val="00A51A0B"/>
    <w:rsid w:val="00A757AE"/>
    <w:rsid w:val="00A7639A"/>
    <w:rsid w:val="00A80379"/>
    <w:rsid w:val="00A81866"/>
    <w:rsid w:val="00A971C0"/>
    <w:rsid w:val="00AA2798"/>
    <w:rsid w:val="00AA4742"/>
    <w:rsid w:val="00AB2C52"/>
    <w:rsid w:val="00AC09FF"/>
    <w:rsid w:val="00AC19FE"/>
    <w:rsid w:val="00AC3C71"/>
    <w:rsid w:val="00AE1CED"/>
    <w:rsid w:val="00AF3AF7"/>
    <w:rsid w:val="00AF69F9"/>
    <w:rsid w:val="00B03E99"/>
    <w:rsid w:val="00B17BAC"/>
    <w:rsid w:val="00B23F0F"/>
    <w:rsid w:val="00B27F72"/>
    <w:rsid w:val="00B439E5"/>
    <w:rsid w:val="00B444BC"/>
    <w:rsid w:val="00B51B5D"/>
    <w:rsid w:val="00B6258D"/>
    <w:rsid w:val="00B679E1"/>
    <w:rsid w:val="00B73074"/>
    <w:rsid w:val="00B757A4"/>
    <w:rsid w:val="00BA28A3"/>
    <w:rsid w:val="00BA28FB"/>
    <w:rsid w:val="00BA6F58"/>
    <w:rsid w:val="00BC453D"/>
    <w:rsid w:val="00BC7284"/>
    <w:rsid w:val="00BD2B00"/>
    <w:rsid w:val="00BF2CA7"/>
    <w:rsid w:val="00BF624F"/>
    <w:rsid w:val="00C02F26"/>
    <w:rsid w:val="00C051DC"/>
    <w:rsid w:val="00C104A0"/>
    <w:rsid w:val="00C12C90"/>
    <w:rsid w:val="00C17A1B"/>
    <w:rsid w:val="00C22921"/>
    <w:rsid w:val="00C27764"/>
    <w:rsid w:val="00C305C5"/>
    <w:rsid w:val="00C33326"/>
    <w:rsid w:val="00C342F6"/>
    <w:rsid w:val="00C36F27"/>
    <w:rsid w:val="00C446D8"/>
    <w:rsid w:val="00C45C52"/>
    <w:rsid w:val="00C466FC"/>
    <w:rsid w:val="00C61D35"/>
    <w:rsid w:val="00C646F5"/>
    <w:rsid w:val="00C711A0"/>
    <w:rsid w:val="00C90CBF"/>
    <w:rsid w:val="00CA7A7C"/>
    <w:rsid w:val="00CB1F2D"/>
    <w:rsid w:val="00CC0491"/>
    <w:rsid w:val="00CE37E6"/>
    <w:rsid w:val="00CE53B7"/>
    <w:rsid w:val="00CE5C19"/>
    <w:rsid w:val="00D03976"/>
    <w:rsid w:val="00D05746"/>
    <w:rsid w:val="00D05E40"/>
    <w:rsid w:val="00D06775"/>
    <w:rsid w:val="00D13276"/>
    <w:rsid w:val="00D354CF"/>
    <w:rsid w:val="00D6231F"/>
    <w:rsid w:val="00D65DAA"/>
    <w:rsid w:val="00D85647"/>
    <w:rsid w:val="00DA686A"/>
    <w:rsid w:val="00DA6925"/>
    <w:rsid w:val="00DB3F45"/>
    <w:rsid w:val="00DB734A"/>
    <w:rsid w:val="00DD3B93"/>
    <w:rsid w:val="00DE13E9"/>
    <w:rsid w:val="00DE57CE"/>
    <w:rsid w:val="00DE65FF"/>
    <w:rsid w:val="00DF3FFF"/>
    <w:rsid w:val="00E27A2E"/>
    <w:rsid w:val="00E405EE"/>
    <w:rsid w:val="00E508DE"/>
    <w:rsid w:val="00E54338"/>
    <w:rsid w:val="00E630EA"/>
    <w:rsid w:val="00E6450C"/>
    <w:rsid w:val="00E6678F"/>
    <w:rsid w:val="00E67E48"/>
    <w:rsid w:val="00E953FE"/>
    <w:rsid w:val="00E97C44"/>
    <w:rsid w:val="00EA0BC6"/>
    <w:rsid w:val="00EA0FF1"/>
    <w:rsid w:val="00EA2941"/>
    <w:rsid w:val="00EA29B9"/>
    <w:rsid w:val="00EB012D"/>
    <w:rsid w:val="00ED0E08"/>
    <w:rsid w:val="00EE6B48"/>
    <w:rsid w:val="00EF64CB"/>
    <w:rsid w:val="00F21DCF"/>
    <w:rsid w:val="00F26006"/>
    <w:rsid w:val="00F33C2B"/>
    <w:rsid w:val="00F5196A"/>
    <w:rsid w:val="00F5305D"/>
    <w:rsid w:val="00F634D9"/>
    <w:rsid w:val="00F71565"/>
    <w:rsid w:val="00F81D38"/>
    <w:rsid w:val="00F839B1"/>
    <w:rsid w:val="00F85652"/>
    <w:rsid w:val="00F87860"/>
    <w:rsid w:val="00F9100E"/>
    <w:rsid w:val="00FA1793"/>
    <w:rsid w:val="00FA1C24"/>
    <w:rsid w:val="00FA32B3"/>
    <w:rsid w:val="00FA55B6"/>
    <w:rsid w:val="00FA768C"/>
    <w:rsid w:val="00FE1BA9"/>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character" w:styleId="Hipervnculo">
    <w:name w:val="Hyperlink"/>
    <w:uiPriority w:val="99"/>
    <w:rsid w:val="007E1A5A"/>
    <w:rPr>
      <w:color w:val="0563C1"/>
      <w:u w:val="single"/>
    </w:rPr>
  </w:style>
  <w:style w:type="character" w:customStyle="1" w:styleId="NOMBRES">
    <w:name w:val="NOMBRES"/>
    <w:basedOn w:val="Fuentedeprrafopredeter"/>
    <w:uiPriority w:val="1"/>
    <w:rsid w:val="007E1A5A"/>
    <w:rPr>
      <w:rFonts w:ascii="Arial" w:hAnsi="Arial" w:cs="Arial" w:hint="default"/>
      <w:b/>
      <w:bCs w:val="0"/>
      <w:sz w:val="24"/>
    </w:rPr>
  </w:style>
  <w:style w:type="paragraph" w:styleId="Sinespaciado">
    <w:name w:val="No Spacing"/>
    <w:uiPriority w:val="1"/>
    <w:qFormat/>
    <w:rsid w:val="007E1A5A"/>
    <w:pPr>
      <w:spacing w:after="0" w:line="240" w:lineRule="auto"/>
    </w:pPr>
  </w:style>
  <w:style w:type="paragraph" w:styleId="Ttulo">
    <w:name w:val="Title"/>
    <w:basedOn w:val="Normal"/>
    <w:link w:val="TtuloCar"/>
    <w:qFormat/>
    <w:rsid w:val="006E0940"/>
    <w:pPr>
      <w:jc w:val="center"/>
    </w:pPr>
    <w:rPr>
      <w:rFonts w:ascii="Arial" w:hAnsi="Arial"/>
      <w:b/>
      <w:szCs w:val="20"/>
    </w:rPr>
  </w:style>
  <w:style w:type="character" w:customStyle="1" w:styleId="TtuloCar">
    <w:name w:val="Título Car"/>
    <w:basedOn w:val="Fuentedeprrafopredeter"/>
    <w:link w:val="Ttulo"/>
    <w:rsid w:val="006E0940"/>
    <w:rPr>
      <w:rFonts w:ascii="Arial" w:eastAsia="Times New Roman" w:hAnsi="Arial" w:cs="Times New Roman"/>
      <w:b/>
      <w:sz w:val="24"/>
      <w:szCs w:val="20"/>
      <w:lang w:val="es-ES" w:eastAsia="es-ES"/>
    </w:rPr>
  </w:style>
  <w:style w:type="paragraph" w:styleId="Prrafodelista">
    <w:name w:val="List Paragraph"/>
    <w:aliases w:val="Imagen,Tabla de contenido"/>
    <w:basedOn w:val="Normal"/>
    <w:link w:val="PrrafodelistaCar"/>
    <w:uiPriority w:val="34"/>
    <w:qFormat/>
    <w:rsid w:val="0030679F"/>
    <w:pPr>
      <w:ind w:left="720"/>
      <w:contextualSpacing/>
    </w:pPr>
  </w:style>
  <w:style w:type="paragraph" w:customStyle="1" w:styleId="Normal1">
    <w:name w:val="Normal1"/>
    <w:rsid w:val="00EA0BC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2">
    <w:name w:val="Normal2"/>
    <w:rsid w:val="00EA0BC6"/>
    <w:pPr>
      <w:spacing w:after="0" w:line="240" w:lineRule="auto"/>
    </w:pPr>
    <w:rPr>
      <w:rFonts w:ascii="Times New Roman" w:eastAsia="Times New Roman" w:hAnsi="Times New Roman" w:cs="Times New Roman"/>
      <w:color w:val="000000"/>
      <w:sz w:val="24"/>
      <w:szCs w:val="20"/>
      <w:lang w:val="es-ES" w:eastAsia="es-ES"/>
    </w:rPr>
  </w:style>
  <w:style w:type="paragraph" w:styleId="Textonotapie">
    <w:name w:val="footnote text"/>
    <w:basedOn w:val="Normal"/>
    <w:link w:val="TextonotapieCar"/>
    <w:uiPriority w:val="99"/>
    <w:semiHidden/>
    <w:unhideWhenUsed/>
    <w:rsid w:val="00EA0BC6"/>
    <w:pPr>
      <w:spacing w:after="160" w:line="259"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semiHidden/>
    <w:rsid w:val="00EA0BC6"/>
    <w:rPr>
      <w:rFonts w:ascii="Calibri" w:eastAsia="Calibri" w:hAnsi="Calibri" w:cs="Times New Roman"/>
      <w:sz w:val="20"/>
      <w:szCs w:val="20"/>
    </w:rPr>
  </w:style>
  <w:style w:type="character" w:styleId="Refdenotaalpie">
    <w:name w:val="footnote reference"/>
    <w:uiPriority w:val="99"/>
    <w:semiHidden/>
    <w:unhideWhenUsed/>
    <w:rsid w:val="00EA0BC6"/>
    <w:rPr>
      <w:vertAlign w:val="superscript"/>
    </w:rPr>
  </w:style>
  <w:style w:type="character" w:customStyle="1" w:styleId="PrrafodelistaCar">
    <w:name w:val="Párrafo de lista Car"/>
    <w:aliases w:val="Imagen Car,Tabla de contenido Car"/>
    <w:link w:val="Prrafodelista"/>
    <w:uiPriority w:val="34"/>
    <w:locked/>
    <w:rsid w:val="00EA0BC6"/>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6.jf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f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f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fif"/><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7.jfif"/></Relationships>
</file>

<file path=word/_rels/footnotes.xml.rels><?xml version="1.0" encoding="UTF-8" standalone="yes"?>
<Relationships xmlns="http://schemas.openxmlformats.org/package/2006/relationships"><Relationship Id="rId8" Type="http://schemas.openxmlformats.org/officeDocument/2006/relationships/hyperlink" Target="https://normlex.ilo.org/dyn/nrmlx_es/f?p=NORMLEXPUB:12100:0::NO::P12100_ILO_CODE:R162" TargetMode="External"/><Relationship Id="rId13" Type="http://schemas.openxmlformats.org/officeDocument/2006/relationships/hyperlink" Target="https://sistemabibliotecario.scjn.gob.mx/exlibris/aleph/a23_1/apache_media/UECI1J58V7TYQ5QB2QAM4QDPXG38VS.pdf" TargetMode="External"/><Relationship Id="rId3" Type="http://schemas.openxmlformats.org/officeDocument/2006/relationships/hyperlink" Target="https://www.congresochihuahua2.gob.mx/biblioteca/leyes/archivosLeyes/894.pdf" TargetMode="External"/><Relationship Id="rId7" Type="http://schemas.openxmlformats.org/officeDocument/2006/relationships/hyperlink" Target="https://www.ohchr.org/es/instruments-mechanisms/instruments/international-covenant-civil-and-political-rights" TargetMode="External"/><Relationship Id="rId12" Type="http://schemas.openxmlformats.org/officeDocument/2006/relationships/hyperlink" Target="https://www.diputados.gob.mx/LeyesBiblio/pdf/LDPAM.pdf" TargetMode="External"/><Relationship Id="rId2" Type="http://schemas.openxmlformats.org/officeDocument/2006/relationships/hyperlink" Target="https://www.congresochihuahua2.gob.mx/biblioteca/constitucion/archivosConstitucion/actual.pdf" TargetMode="External"/><Relationship Id="rId1" Type="http://schemas.openxmlformats.org/officeDocument/2006/relationships/hyperlink" Target="https://www.congresochihuahua2.gob.mx/biblioteca/iniciativas/archivosIniciativas/23570.pdf" TargetMode="External"/><Relationship Id="rId6" Type="http://schemas.openxmlformats.org/officeDocument/2006/relationships/hyperlink" Target="https://www.ohchr.org/es/instruments-mechanisms/instruments/international-covenant-economic-social-and-cultural-rights" TargetMode="External"/><Relationship Id="rId11" Type="http://schemas.openxmlformats.org/officeDocument/2006/relationships/hyperlink" Target="https://www.diputados.gob.mx/LeyesBiblio/pdf/CPEUM.pdf" TargetMode="External"/><Relationship Id="rId5" Type="http://schemas.openxmlformats.org/officeDocument/2006/relationships/hyperlink" Target="https://www.oas.org/dil/esp/1969_Convenci%C3%B3n_Americana_sobre_Derechos_Humanos.pdf" TargetMode="External"/><Relationship Id="rId10" Type="http://schemas.openxmlformats.org/officeDocument/2006/relationships/hyperlink" Target="https://www.oas.org/es/sla/ddi/docs/tratados_multilaterales_interamericanos_a-70_derechos_humanos_personas_mayores.pdf" TargetMode="External"/><Relationship Id="rId4" Type="http://schemas.openxmlformats.org/officeDocument/2006/relationships/hyperlink" Target="https://www.un.org/es/about-us/universal-declaration-of-human-rights" TargetMode="External"/><Relationship Id="rId9" Type="http://schemas.openxmlformats.org/officeDocument/2006/relationships/hyperlink" Target="https://www.oas.org/es/sadye/inclusion-social/protocolo-ssv/docs/protocolo-san-salvador-es.pdf" TargetMode="External"/><Relationship Id="rId14" Type="http://schemas.openxmlformats.org/officeDocument/2006/relationships/hyperlink" Target="https://www.diputados.gob.mx/LeyesBiblio/pdf/LG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29E92-EA49-4B60-A5B4-3298AE1A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2819</Words>
  <Characters>15506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cp:lastPrinted>2025-04-22T17:13:00Z</cp:lastPrinted>
  <dcterms:created xsi:type="dcterms:W3CDTF">2025-04-28T15:28:00Z</dcterms:created>
  <dcterms:modified xsi:type="dcterms:W3CDTF">2025-04-28T15:28:00Z</dcterms:modified>
</cp:coreProperties>
</file>