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6EE3" w14:textId="51E26C71" w:rsidR="005D14CE" w:rsidRPr="004174F1" w:rsidRDefault="005D14CE" w:rsidP="005D14CE">
      <w:pPr>
        <w:pStyle w:val="Normal1"/>
        <w:keepNext/>
        <w:spacing w:after="120"/>
        <w:jc w:val="both"/>
        <w:rPr>
          <w:rFonts w:ascii="Century Gothic" w:hAnsi="Century Gothic"/>
          <w:color w:val="auto"/>
          <w:lang w:val="es-MX"/>
        </w:rPr>
      </w:pPr>
      <w:r w:rsidRPr="004174F1">
        <w:rPr>
          <w:rFonts w:ascii="Century Gothic" w:eastAsia="Arial" w:hAnsi="Century Gothic" w:cs="Arial"/>
          <w:b/>
          <w:color w:val="auto"/>
          <w:lang w:val="es-MX"/>
        </w:rPr>
        <w:t>H. CONGRESO DEL ESTADO.</w:t>
      </w:r>
    </w:p>
    <w:p w14:paraId="5C92B19C" w14:textId="77777777" w:rsidR="005D14CE" w:rsidRPr="004174F1" w:rsidRDefault="005D14CE" w:rsidP="005D14CE">
      <w:pPr>
        <w:pStyle w:val="Normal1"/>
        <w:spacing w:after="120"/>
        <w:jc w:val="both"/>
        <w:rPr>
          <w:rFonts w:ascii="Century Gothic" w:hAnsi="Century Gothic"/>
          <w:color w:val="auto"/>
          <w:lang w:val="es-MX"/>
        </w:rPr>
      </w:pPr>
      <w:r w:rsidRPr="004174F1">
        <w:rPr>
          <w:rFonts w:ascii="Century Gothic" w:eastAsia="Arial" w:hAnsi="Century Gothic" w:cs="Arial"/>
          <w:b/>
          <w:color w:val="auto"/>
          <w:lang w:val="es-MX"/>
        </w:rPr>
        <w:t>P R E S E N T E. –</w:t>
      </w:r>
    </w:p>
    <w:p w14:paraId="02B4A1E4" w14:textId="77777777" w:rsidR="005D14CE" w:rsidRPr="004174F1" w:rsidRDefault="005D14CE" w:rsidP="005D14CE">
      <w:pPr>
        <w:pStyle w:val="Normal1"/>
        <w:spacing w:after="160" w:line="360" w:lineRule="auto"/>
        <w:jc w:val="both"/>
        <w:rPr>
          <w:rFonts w:ascii="Century Gothic" w:hAnsi="Century Gothic"/>
          <w:color w:val="auto"/>
          <w:sz w:val="16"/>
          <w:lang w:val="es-MX"/>
        </w:rPr>
      </w:pPr>
    </w:p>
    <w:p w14:paraId="66B350BD" w14:textId="4A9FF8A2" w:rsidR="005D14CE" w:rsidRDefault="005D14CE" w:rsidP="005D14CE">
      <w:pPr>
        <w:pStyle w:val="Normal1"/>
        <w:spacing w:after="160" w:line="360" w:lineRule="auto"/>
        <w:ind w:right="51"/>
        <w:jc w:val="both"/>
        <w:rPr>
          <w:rFonts w:ascii="Century Gothic" w:eastAsia="Arial" w:hAnsi="Century Gothic" w:cs="Arial"/>
          <w:color w:val="auto"/>
          <w:lang w:val="es-MX"/>
        </w:rPr>
      </w:pPr>
      <w:r w:rsidRPr="004174F1">
        <w:rPr>
          <w:rFonts w:ascii="Century Gothic" w:eastAsia="Arial" w:hAnsi="Century Gothic" w:cs="Arial"/>
          <w:color w:val="auto"/>
          <w:lang w:val="es-MX"/>
        </w:rPr>
        <w:t xml:space="preserve">La Comisión de </w:t>
      </w:r>
      <w:r>
        <w:rPr>
          <w:rFonts w:ascii="Century Gothic" w:eastAsia="Arial" w:hAnsi="Century Gothic" w:cs="Arial"/>
          <w:color w:val="auto"/>
          <w:lang w:val="es-MX"/>
        </w:rPr>
        <w:t>Just</w:t>
      </w:r>
      <w:r w:rsidR="00C769EA">
        <w:rPr>
          <w:rFonts w:ascii="Century Gothic" w:eastAsia="Arial" w:hAnsi="Century Gothic" w:cs="Arial"/>
          <w:color w:val="auto"/>
          <w:lang w:val="es-MX"/>
        </w:rPr>
        <w:t>i</w:t>
      </w:r>
      <w:r>
        <w:rPr>
          <w:rFonts w:ascii="Century Gothic" w:eastAsia="Arial" w:hAnsi="Century Gothic" w:cs="Arial"/>
          <w:color w:val="auto"/>
          <w:lang w:val="es-MX"/>
        </w:rPr>
        <w:t>cia</w:t>
      </w:r>
      <w:r w:rsidRPr="004174F1">
        <w:rPr>
          <w:rFonts w:ascii="Century Gothic" w:eastAsia="Arial" w:hAnsi="Century Gothic" w:cs="Arial"/>
          <w:color w:val="auto"/>
          <w:lang w:val="es-MX"/>
        </w:rPr>
        <w:t xml:space="preserve">, </w:t>
      </w:r>
      <w:r w:rsidRPr="004174F1">
        <w:rPr>
          <w:rFonts w:ascii="Century Gothic" w:hAnsi="Century Gothic" w:cs="Arial"/>
          <w:color w:val="auto"/>
        </w:rPr>
        <w:t xml:space="preserve">con fundamento en lo dispuesto por los artículos </w:t>
      </w:r>
      <w:r w:rsidRPr="004174F1">
        <w:rPr>
          <w:rFonts w:ascii="Century Gothic" w:hAnsi="Century Gothic" w:cs="Arial"/>
          <w:color w:val="auto"/>
          <w:lang w:val="es-MX"/>
        </w:rPr>
        <w:t>57</w:t>
      </w:r>
      <w:r w:rsidR="00D71549">
        <w:rPr>
          <w:rFonts w:ascii="Century Gothic" w:hAnsi="Century Gothic" w:cs="Arial"/>
          <w:color w:val="auto"/>
          <w:lang w:val="es-MX"/>
        </w:rPr>
        <w:t xml:space="preserve">, </w:t>
      </w:r>
      <w:r w:rsidRPr="004174F1">
        <w:rPr>
          <w:rFonts w:ascii="Century Gothic" w:hAnsi="Century Gothic" w:cs="Arial"/>
          <w:color w:val="auto"/>
          <w:lang w:val="es-MX"/>
        </w:rPr>
        <w:t xml:space="preserve">58 </w:t>
      </w:r>
      <w:r w:rsidR="00D71549">
        <w:rPr>
          <w:rFonts w:ascii="Century Gothic" w:hAnsi="Century Gothic" w:cs="Arial"/>
          <w:color w:val="auto"/>
          <w:lang w:val="es-MX"/>
        </w:rPr>
        <w:t xml:space="preserve">y 64, fracción I </w:t>
      </w:r>
      <w:r w:rsidRPr="004174F1">
        <w:rPr>
          <w:rFonts w:ascii="Century Gothic" w:hAnsi="Century Gothic" w:cs="Arial"/>
          <w:color w:val="auto"/>
          <w:lang w:val="es-MX"/>
        </w:rPr>
        <w:t>de la Constitución Política del Estado de Chihuahua; 87, 88 y 111 de la Ley Orgánica del Poder Legislativo, así como 80 y 81 del Reglamento Interior y de Prácticas Parlamentarias</w:t>
      </w:r>
      <w:r w:rsidRPr="004174F1">
        <w:rPr>
          <w:rFonts w:ascii="Century Gothic" w:hAnsi="Century Gothic" w:cs="Arial"/>
          <w:color w:val="auto"/>
        </w:rPr>
        <w:t>, ambos ordenamientos del Poder Legislativo del Estado de Chihuahua, somete a la consideración del Pleno el presente Dictamen</w:t>
      </w:r>
      <w:r w:rsidRPr="004174F1">
        <w:rPr>
          <w:rFonts w:ascii="Century Gothic" w:eastAsia="Arial" w:hAnsi="Century Gothic" w:cs="Arial"/>
          <w:color w:val="auto"/>
          <w:lang w:val="es-MX"/>
        </w:rPr>
        <w:t>, elaborado con base en los siguientes:</w:t>
      </w:r>
    </w:p>
    <w:p w14:paraId="082D4340" w14:textId="77777777" w:rsidR="005D14CE" w:rsidRPr="004174F1" w:rsidRDefault="005D14CE" w:rsidP="005D14CE">
      <w:pPr>
        <w:pStyle w:val="Normal1"/>
        <w:spacing w:after="160" w:line="360" w:lineRule="auto"/>
        <w:ind w:right="51"/>
        <w:jc w:val="both"/>
        <w:rPr>
          <w:rFonts w:ascii="Century Gothic" w:eastAsia="Arial" w:hAnsi="Century Gothic" w:cs="Arial"/>
          <w:color w:val="auto"/>
          <w:lang w:val="es-MX"/>
        </w:rPr>
      </w:pPr>
    </w:p>
    <w:p w14:paraId="4B799789" w14:textId="77777777" w:rsidR="005D14CE" w:rsidRDefault="005D14CE" w:rsidP="005D14CE">
      <w:pPr>
        <w:pStyle w:val="Normal1"/>
        <w:keepNext/>
        <w:spacing w:after="160" w:line="360" w:lineRule="auto"/>
        <w:jc w:val="center"/>
        <w:rPr>
          <w:rFonts w:ascii="Century Gothic" w:eastAsia="Arial" w:hAnsi="Century Gothic" w:cs="Arial"/>
          <w:b/>
          <w:color w:val="auto"/>
          <w:lang w:val="es-MX"/>
        </w:rPr>
      </w:pPr>
      <w:r w:rsidRPr="004174F1">
        <w:rPr>
          <w:rFonts w:ascii="Century Gothic" w:eastAsia="Arial" w:hAnsi="Century Gothic" w:cs="Arial"/>
          <w:b/>
          <w:color w:val="auto"/>
          <w:lang w:val="es-MX"/>
        </w:rPr>
        <w:t>A N T E C E D E N T E S</w:t>
      </w:r>
    </w:p>
    <w:p w14:paraId="12B73FD5" w14:textId="77777777" w:rsidR="005D14CE" w:rsidRPr="004174F1" w:rsidRDefault="005D14CE" w:rsidP="005D14CE">
      <w:pPr>
        <w:pStyle w:val="Normal1"/>
        <w:keepNext/>
        <w:spacing w:after="160" w:line="360" w:lineRule="auto"/>
        <w:jc w:val="center"/>
        <w:rPr>
          <w:rFonts w:ascii="Century Gothic" w:hAnsi="Century Gothic"/>
          <w:color w:val="auto"/>
          <w:lang w:val="es-MX"/>
        </w:rPr>
      </w:pPr>
    </w:p>
    <w:p w14:paraId="67D2F3BF" w14:textId="51E61ECB" w:rsidR="00EA2B2E" w:rsidRDefault="005D14CE" w:rsidP="005D14CE">
      <w:pPr>
        <w:spacing w:after="160" w:line="360" w:lineRule="auto"/>
        <w:ind w:right="50"/>
        <w:jc w:val="both"/>
        <w:rPr>
          <w:rFonts w:ascii="Century Gothic" w:hAnsi="Century Gothic" w:cs="Arial"/>
        </w:rPr>
      </w:pPr>
      <w:r w:rsidRPr="004174F1">
        <w:rPr>
          <w:rFonts w:ascii="Century Gothic" w:eastAsia="Arial" w:hAnsi="Century Gothic" w:cs="Arial"/>
          <w:b/>
          <w:color w:val="auto"/>
        </w:rPr>
        <w:t xml:space="preserve">I.- </w:t>
      </w:r>
      <w:r w:rsidR="00141840">
        <w:rPr>
          <w:rFonts w:ascii="Century Gothic" w:eastAsia="Arial" w:hAnsi="Century Gothic" w:cs="Arial"/>
          <w:bCs/>
          <w:color w:val="auto"/>
        </w:rPr>
        <w:t xml:space="preserve">Con fecha </w:t>
      </w:r>
      <w:r w:rsidR="00D315AC">
        <w:rPr>
          <w:rFonts w:ascii="Century Gothic" w:eastAsia="Arial" w:hAnsi="Century Gothic" w:cs="Arial"/>
          <w:bCs/>
          <w:color w:val="auto"/>
        </w:rPr>
        <w:t>05 de septiembre de 2023</w:t>
      </w:r>
      <w:r w:rsidR="00141840">
        <w:rPr>
          <w:rFonts w:ascii="Century Gothic" w:eastAsia="Arial" w:hAnsi="Century Gothic" w:cs="Arial"/>
          <w:bCs/>
          <w:color w:val="auto"/>
        </w:rPr>
        <w:t xml:space="preserve">, las y los diputados </w:t>
      </w:r>
      <w:r w:rsidR="00D315AC" w:rsidRPr="00D315AC">
        <w:rPr>
          <w:rFonts w:ascii="Century Gothic" w:eastAsia="Arial" w:hAnsi="Century Gothic" w:cs="Arial"/>
          <w:bCs/>
          <w:color w:val="auto"/>
        </w:rPr>
        <w:t>Andrea Daniela Flores Chacón, Carlos Alfredo Olson San Vicente</w:t>
      </w:r>
      <w:r w:rsidR="00D315AC">
        <w:rPr>
          <w:rFonts w:ascii="Century Gothic" w:eastAsia="Arial" w:hAnsi="Century Gothic" w:cs="Arial"/>
          <w:bCs/>
          <w:color w:val="auto"/>
        </w:rPr>
        <w:t xml:space="preserve">, </w:t>
      </w:r>
      <w:r w:rsidR="00D315AC" w:rsidRPr="00D315AC">
        <w:rPr>
          <w:rFonts w:ascii="Century Gothic" w:eastAsia="Arial" w:hAnsi="Century Gothic" w:cs="Arial"/>
          <w:bCs/>
          <w:color w:val="auto"/>
        </w:rPr>
        <w:t>Diana Ivette Pereda Gutiérrez</w:t>
      </w:r>
      <w:r w:rsidR="00D315AC">
        <w:rPr>
          <w:rFonts w:ascii="Century Gothic" w:eastAsia="Arial" w:hAnsi="Century Gothic" w:cs="Arial"/>
          <w:bCs/>
          <w:color w:val="auto"/>
        </w:rPr>
        <w:t xml:space="preserve">, </w:t>
      </w:r>
      <w:r w:rsidR="00D315AC" w:rsidRPr="00D315AC">
        <w:rPr>
          <w:rFonts w:ascii="Century Gothic" w:eastAsia="Arial" w:hAnsi="Century Gothic" w:cs="Arial"/>
          <w:bCs/>
          <w:color w:val="auto"/>
        </w:rPr>
        <w:t>Gabriel Ángel García Cantú</w:t>
      </w:r>
      <w:r w:rsidR="00D315AC">
        <w:rPr>
          <w:rFonts w:ascii="Century Gothic" w:eastAsia="Arial" w:hAnsi="Century Gothic" w:cs="Arial"/>
          <w:bCs/>
          <w:color w:val="auto"/>
        </w:rPr>
        <w:t xml:space="preserve">, </w:t>
      </w:r>
      <w:r w:rsidR="00D315AC" w:rsidRPr="00D315AC">
        <w:rPr>
          <w:rFonts w:ascii="Century Gothic" w:eastAsia="Arial" w:hAnsi="Century Gothic" w:cs="Arial"/>
          <w:bCs/>
          <w:color w:val="auto"/>
        </w:rPr>
        <w:t>Georgina Alejandra Bujanda Ríos</w:t>
      </w:r>
      <w:r w:rsidR="00D315AC">
        <w:rPr>
          <w:rFonts w:ascii="Century Gothic" w:eastAsia="Arial" w:hAnsi="Century Gothic" w:cs="Arial"/>
          <w:bCs/>
          <w:color w:val="auto"/>
        </w:rPr>
        <w:t xml:space="preserve">, </w:t>
      </w:r>
      <w:r w:rsidR="00D315AC" w:rsidRPr="00D315AC">
        <w:rPr>
          <w:rFonts w:ascii="Century Gothic" w:eastAsia="Arial" w:hAnsi="Century Gothic" w:cs="Arial"/>
          <w:bCs/>
          <w:color w:val="auto"/>
        </w:rPr>
        <w:t>Ismael Pérez Pavía</w:t>
      </w:r>
      <w:r w:rsidR="00D315AC">
        <w:rPr>
          <w:rFonts w:ascii="Century Gothic" w:eastAsia="Arial" w:hAnsi="Century Gothic" w:cs="Arial"/>
          <w:bCs/>
          <w:color w:val="auto"/>
        </w:rPr>
        <w:t>,</w:t>
      </w:r>
      <w:r w:rsidR="00D315AC" w:rsidRPr="00D315AC">
        <w:rPr>
          <w:rFonts w:ascii="Century Gothic" w:eastAsia="Arial" w:hAnsi="Century Gothic" w:cs="Arial"/>
          <w:bCs/>
          <w:color w:val="auto"/>
        </w:rPr>
        <w:t xml:space="preserve"> Ismael Mario Rodríguez Saldaña</w:t>
      </w:r>
      <w:r w:rsidR="00D315AC">
        <w:rPr>
          <w:rFonts w:ascii="Century Gothic" w:eastAsia="Arial" w:hAnsi="Century Gothic" w:cs="Arial"/>
          <w:bCs/>
          <w:color w:val="auto"/>
        </w:rPr>
        <w:t>,</w:t>
      </w:r>
      <w:r w:rsidR="00D315AC" w:rsidRPr="00D315AC">
        <w:rPr>
          <w:rFonts w:ascii="Century Gothic" w:eastAsia="Arial" w:hAnsi="Century Gothic" w:cs="Arial"/>
          <w:bCs/>
          <w:color w:val="auto"/>
        </w:rPr>
        <w:t xml:space="preserve"> José Alfredo Chávez Madrid</w:t>
      </w:r>
      <w:r w:rsidR="00D315AC">
        <w:rPr>
          <w:rFonts w:ascii="Century Gothic" w:eastAsia="Arial" w:hAnsi="Century Gothic" w:cs="Arial"/>
          <w:bCs/>
          <w:color w:val="auto"/>
        </w:rPr>
        <w:t>,</w:t>
      </w:r>
      <w:r w:rsidR="00D315AC" w:rsidRPr="00D315AC">
        <w:rPr>
          <w:rFonts w:ascii="Century Gothic" w:eastAsia="Arial" w:hAnsi="Century Gothic" w:cs="Arial"/>
          <w:bCs/>
          <w:color w:val="auto"/>
        </w:rPr>
        <w:t xml:space="preserve"> Luis Alberto Aguilar Lozoya</w:t>
      </w:r>
      <w:r w:rsidR="00D315AC">
        <w:rPr>
          <w:rFonts w:ascii="Century Gothic" w:eastAsia="Arial" w:hAnsi="Century Gothic" w:cs="Arial"/>
          <w:bCs/>
          <w:color w:val="auto"/>
        </w:rPr>
        <w:t xml:space="preserve">, </w:t>
      </w:r>
      <w:r w:rsidR="00D315AC" w:rsidRPr="00D315AC">
        <w:rPr>
          <w:rFonts w:ascii="Century Gothic" w:eastAsia="Arial" w:hAnsi="Century Gothic" w:cs="Arial"/>
          <w:bCs/>
          <w:color w:val="auto"/>
        </w:rPr>
        <w:t>Marisela Terrazas Muñoz</w:t>
      </w:r>
      <w:r w:rsidR="00D315AC">
        <w:rPr>
          <w:rFonts w:ascii="Century Gothic" w:eastAsia="Arial" w:hAnsi="Century Gothic" w:cs="Arial"/>
          <w:bCs/>
          <w:color w:val="auto"/>
        </w:rPr>
        <w:t xml:space="preserve">, </w:t>
      </w:r>
      <w:r w:rsidR="00D315AC" w:rsidRPr="00D315AC">
        <w:rPr>
          <w:rFonts w:ascii="Century Gothic" w:eastAsia="Arial" w:hAnsi="Century Gothic" w:cs="Arial"/>
          <w:bCs/>
          <w:color w:val="auto"/>
        </w:rPr>
        <w:t>Roberto Marcelino Carreón Huitrón</w:t>
      </w:r>
      <w:r w:rsidR="00D315AC">
        <w:rPr>
          <w:rFonts w:ascii="Century Gothic" w:eastAsia="Arial" w:hAnsi="Century Gothic" w:cs="Arial"/>
          <w:bCs/>
          <w:color w:val="auto"/>
        </w:rPr>
        <w:t xml:space="preserve">, </w:t>
      </w:r>
      <w:proofErr w:type="spellStart"/>
      <w:r w:rsidR="00D315AC" w:rsidRPr="00D315AC">
        <w:rPr>
          <w:rFonts w:ascii="Century Gothic" w:eastAsia="Arial" w:hAnsi="Century Gothic" w:cs="Arial"/>
          <w:bCs/>
          <w:color w:val="auto"/>
        </w:rPr>
        <w:t>Rocio</w:t>
      </w:r>
      <w:proofErr w:type="spellEnd"/>
      <w:r w:rsidR="00D315AC" w:rsidRPr="00D315AC">
        <w:rPr>
          <w:rFonts w:ascii="Century Gothic" w:eastAsia="Arial" w:hAnsi="Century Gothic" w:cs="Arial"/>
          <w:bCs/>
          <w:color w:val="auto"/>
        </w:rPr>
        <w:t xml:space="preserve"> Guadalupe Sarmiento Rufino</w:t>
      </w:r>
      <w:r w:rsidR="00D315AC">
        <w:rPr>
          <w:rFonts w:ascii="Century Gothic" w:eastAsia="Arial" w:hAnsi="Century Gothic" w:cs="Arial"/>
          <w:bCs/>
          <w:color w:val="auto"/>
        </w:rPr>
        <w:t xml:space="preserve">, </w:t>
      </w:r>
      <w:r w:rsidR="00D315AC" w:rsidRPr="00D315AC">
        <w:rPr>
          <w:rFonts w:ascii="Century Gothic" w:eastAsia="Arial" w:hAnsi="Century Gothic" w:cs="Arial"/>
          <w:bCs/>
          <w:color w:val="auto"/>
        </w:rPr>
        <w:t>Rosa Isela Martínez Díaz</w:t>
      </w:r>
      <w:r w:rsidR="00D315AC">
        <w:rPr>
          <w:rFonts w:ascii="Century Gothic" w:eastAsia="Arial" w:hAnsi="Century Gothic" w:cs="Arial"/>
          <w:bCs/>
          <w:color w:val="auto"/>
        </w:rPr>
        <w:t xml:space="preserve">, </w:t>
      </w:r>
      <w:r w:rsidR="00D315AC" w:rsidRPr="00D315AC">
        <w:rPr>
          <w:rFonts w:ascii="Century Gothic" w:eastAsia="Arial" w:hAnsi="Century Gothic" w:cs="Arial"/>
          <w:bCs/>
          <w:color w:val="auto"/>
        </w:rPr>
        <w:t>Saúl Mireles Corral</w:t>
      </w:r>
      <w:r w:rsidR="00D315AC">
        <w:rPr>
          <w:rFonts w:ascii="Century Gothic" w:eastAsia="Arial" w:hAnsi="Century Gothic" w:cs="Arial"/>
          <w:bCs/>
          <w:color w:val="auto"/>
        </w:rPr>
        <w:t xml:space="preserve">, y </w:t>
      </w:r>
      <w:r w:rsidR="00D315AC" w:rsidRPr="00D315AC">
        <w:rPr>
          <w:rFonts w:ascii="Century Gothic" w:eastAsia="Arial" w:hAnsi="Century Gothic" w:cs="Arial"/>
          <w:bCs/>
          <w:color w:val="auto"/>
        </w:rPr>
        <w:t xml:space="preserve">Yesenia Guadalupe Reyes </w:t>
      </w:r>
      <w:proofErr w:type="spellStart"/>
      <w:r w:rsidR="00D315AC" w:rsidRPr="00D315AC">
        <w:rPr>
          <w:rFonts w:ascii="Century Gothic" w:eastAsia="Arial" w:hAnsi="Century Gothic" w:cs="Arial"/>
          <w:bCs/>
          <w:color w:val="auto"/>
        </w:rPr>
        <w:t>Calzadías</w:t>
      </w:r>
      <w:proofErr w:type="spellEnd"/>
      <w:r w:rsidR="00141840">
        <w:rPr>
          <w:rFonts w:ascii="Century Gothic" w:eastAsia="Arial" w:hAnsi="Century Gothic" w:cs="Arial"/>
          <w:bCs/>
          <w:color w:val="auto"/>
        </w:rPr>
        <w:t xml:space="preserve">, </w:t>
      </w:r>
      <w:r w:rsidR="00141840">
        <w:rPr>
          <w:rFonts w:ascii="Century Gothic" w:hAnsi="Century Gothic" w:cs="Arial"/>
        </w:rPr>
        <w:t>integrantes del Grupo Parlamentario de</w:t>
      </w:r>
      <w:r w:rsidR="00D315AC">
        <w:rPr>
          <w:rFonts w:ascii="Century Gothic" w:hAnsi="Century Gothic" w:cs="Arial"/>
        </w:rPr>
        <w:t>l Partido Acción Nacional</w:t>
      </w:r>
      <w:r w:rsidR="00141840">
        <w:rPr>
          <w:rFonts w:ascii="Century Gothic" w:hAnsi="Century Gothic" w:cs="Arial"/>
        </w:rPr>
        <w:t xml:space="preserve">, presentaron iniciativa </w:t>
      </w:r>
      <w:r w:rsidR="00141840" w:rsidRPr="00A633F3">
        <w:rPr>
          <w:rFonts w:ascii="Century Gothic" w:hAnsi="Century Gothic" w:cs="Arial"/>
        </w:rPr>
        <w:t>con carácter de decreto</w:t>
      </w:r>
      <w:r w:rsidR="00141840">
        <w:rPr>
          <w:rFonts w:ascii="Century Gothic" w:hAnsi="Century Gothic" w:cs="Arial"/>
        </w:rPr>
        <w:t xml:space="preserve"> </w:t>
      </w:r>
      <w:r w:rsidR="00141840" w:rsidRPr="00141840">
        <w:rPr>
          <w:rFonts w:ascii="Century Gothic" w:hAnsi="Century Gothic" w:cs="Arial"/>
        </w:rPr>
        <w:t xml:space="preserve">a efecto de </w:t>
      </w:r>
      <w:r w:rsidR="00D315AC" w:rsidRPr="00D315AC">
        <w:rPr>
          <w:rFonts w:ascii="Century Gothic" w:hAnsi="Century Gothic" w:cs="Arial"/>
        </w:rPr>
        <w:t>reformar el artículo 180 Bis del Código Penal del Estado de Chihuahua, con el propósito de incrementar la pena por los delitos en contra de la intimidad sexual.</w:t>
      </w:r>
    </w:p>
    <w:p w14:paraId="043835DB" w14:textId="77777777" w:rsidR="00D315AC" w:rsidRPr="0074653E" w:rsidRDefault="00D315AC" w:rsidP="005D14CE">
      <w:pPr>
        <w:spacing w:after="160" w:line="360" w:lineRule="auto"/>
        <w:ind w:right="50"/>
        <w:jc w:val="both"/>
        <w:rPr>
          <w:rFonts w:ascii="Century Gothic" w:hAnsi="Century Gothic" w:cs="Arial"/>
          <w:bCs/>
          <w:color w:val="auto"/>
        </w:rPr>
      </w:pPr>
    </w:p>
    <w:p w14:paraId="4C37B180" w14:textId="14B52EAC" w:rsidR="006C4E65" w:rsidRPr="007E7F92" w:rsidRDefault="005D14CE" w:rsidP="00945419">
      <w:pPr>
        <w:pStyle w:val="Normal1"/>
        <w:spacing w:after="200" w:line="360" w:lineRule="auto"/>
        <w:jc w:val="both"/>
        <w:rPr>
          <w:rFonts w:ascii="Century Gothic" w:eastAsia="Arial" w:hAnsi="Century Gothic" w:cs="Arial"/>
        </w:rPr>
      </w:pPr>
      <w:r w:rsidRPr="004174F1">
        <w:rPr>
          <w:rFonts w:ascii="Century Gothic" w:eastAsia="Arial" w:hAnsi="Century Gothic" w:cs="Arial"/>
          <w:b/>
          <w:color w:val="auto"/>
          <w:lang w:val="es-MX"/>
        </w:rPr>
        <w:lastRenderedPageBreak/>
        <w:t>II.-</w:t>
      </w:r>
      <w:r w:rsidR="004A6DAD">
        <w:rPr>
          <w:rFonts w:ascii="Century Gothic" w:eastAsia="Arial" w:hAnsi="Century Gothic" w:cs="Arial"/>
          <w:color w:val="auto"/>
          <w:lang w:val="es-MX"/>
        </w:rPr>
        <w:t xml:space="preserve"> </w:t>
      </w:r>
      <w:r w:rsidR="006C4E65">
        <w:rPr>
          <w:rFonts w:ascii="Century Gothic" w:hAnsi="Century Gothic" w:cs="Arial"/>
        </w:rPr>
        <w:t>La Presidencia del H. Congreso del Estado, en</w:t>
      </w:r>
      <w:r w:rsidR="00D315AC">
        <w:rPr>
          <w:rFonts w:ascii="Century Gothic" w:hAnsi="Century Gothic" w:cs="Arial"/>
        </w:rPr>
        <w:t xml:space="preserve"> fecha 07 de septiembre de 2023, </w:t>
      </w:r>
      <w:r w:rsidR="006C4E65">
        <w:rPr>
          <w:rFonts w:ascii="Century Gothic" w:hAnsi="Century Gothic" w:cs="Arial"/>
        </w:rPr>
        <w:t xml:space="preserve">en </w:t>
      </w:r>
      <w:r w:rsidR="006C4E65">
        <w:rPr>
          <w:rFonts w:ascii="Century Gothic" w:eastAsia="Arial" w:hAnsi="Century Gothic" w:cs="Arial"/>
        </w:rPr>
        <w:t>uso de las facultades que le confiere el artículo 75, fracción XIII, de la Ley Orgánica del Poder Legislativo, tuvo a bien turnar a la Comisión de Justicia, la iniciativa de mérito a efecto de proceder al estudio, análisis y elaboración del dictamen correspondiente.</w:t>
      </w:r>
    </w:p>
    <w:p w14:paraId="72E4A585" w14:textId="7C5DC7BB" w:rsidR="005D14CE" w:rsidRDefault="005D14CE" w:rsidP="005D14CE">
      <w:pPr>
        <w:pStyle w:val="Normal1"/>
        <w:spacing w:after="200" w:line="360" w:lineRule="auto"/>
        <w:ind w:right="50"/>
        <w:jc w:val="both"/>
        <w:rPr>
          <w:rFonts w:ascii="Century Gothic" w:hAnsi="Century Gothic" w:cs="Arial"/>
          <w:color w:val="auto"/>
          <w:lang w:val="es-MX"/>
        </w:rPr>
      </w:pPr>
    </w:p>
    <w:p w14:paraId="1C7DD75A" w14:textId="569918D6" w:rsidR="00A024F1" w:rsidRDefault="00EC0D31" w:rsidP="00A024F1">
      <w:pPr>
        <w:shd w:val="clear" w:color="auto" w:fill="FFFFFF"/>
        <w:tabs>
          <w:tab w:val="left" w:pos="9763"/>
        </w:tabs>
        <w:spacing w:line="360" w:lineRule="auto"/>
        <w:ind w:right="332"/>
        <w:jc w:val="both"/>
        <w:rPr>
          <w:rFonts w:ascii="Century Gothic" w:hAnsi="Century Gothic" w:cs="Arial"/>
          <w:bCs/>
        </w:rPr>
      </w:pPr>
      <w:bookmarkStart w:id="0" w:name="_Hlk159247569"/>
      <w:r>
        <w:rPr>
          <w:rFonts w:ascii="Century Gothic" w:hAnsi="Century Gothic" w:cs="Arial"/>
          <w:b/>
          <w:bCs/>
          <w:color w:val="auto"/>
        </w:rPr>
        <w:t>I</w:t>
      </w:r>
      <w:r w:rsidR="00D315AC">
        <w:rPr>
          <w:rFonts w:ascii="Century Gothic" w:hAnsi="Century Gothic" w:cs="Arial"/>
          <w:b/>
          <w:bCs/>
          <w:color w:val="auto"/>
        </w:rPr>
        <w:t>II</w:t>
      </w:r>
      <w:r w:rsidR="00A024F1" w:rsidRPr="00A024F1">
        <w:rPr>
          <w:rFonts w:ascii="Century Gothic" w:hAnsi="Century Gothic" w:cs="Arial"/>
          <w:b/>
          <w:bCs/>
          <w:color w:val="auto"/>
        </w:rPr>
        <w:t>.</w:t>
      </w:r>
      <w:r w:rsidR="00A024F1">
        <w:rPr>
          <w:rFonts w:ascii="Century Gothic" w:hAnsi="Century Gothic" w:cs="Arial"/>
          <w:color w:val="auto"/>
        </w:rPr>
        <w:t xml:space="preserve"> </w:t>
      </w:r>
      <w:r w:rsidR="00A024F1">
        <w:rPr>
          <w:rFonts w:ascii="Century Gothic" w:hAnsi="Century Gothic" w:cs="Arial"/>
          <w:bCs/>
        </w:rPr>
        <w:t>La iniciativa</w:t>
      </w:r>
      <w:r w:rsidR="00761A2E">
        <w:rPr>
          <w:rFonts w:ascii="Century Gothic" w:hAnsi="Century Gothic" w:cs="Arial"/>
          <w:bCs/>
        </w:rPr>
        <w:t xml:space="preserve"> enunciada como asunto </w:t>
      </w:r>
      <w:r w:rsidR="00D315AC">
        <w:rPr>
          <w:rFonts w:ascii="Century Gothic" w:hAnsi="Century Gothic" w:cs="Arial"/>
          <w:bCs/>
        </w:rPr>
        <w:t>2179</w:t>
      </w:r>
      <w:r w:rsidR="00761A2E">
        <w:rPr>
          <w:rFonts w:ascii="Century Gothic" w:hAnsi="Century Gothic" w:cs="Arial"/>
          <w:bCs/>
        </w:rPr>
        <w:t xml:space="preserve">, </w:t>
      </w:r>
      <w:r w:rsidR="00A024F1">
        <w:rPr>
          <w:rFonts w:ascii="Century Gothic" w:hAnsi="Century Gothic" w:cs="Arial"/>
          <w:bCs/>
        </w:rPr>
        <w:t>se sustenta en los siguientes argumentos:</w:t>
      </w:r>
    </w:p>
    <w:bookmarkEnd w:id="0"/>
    <w:p w14:paraId="57F8F21B" w14:textId="046CE1A2" w:rsidR="00761A2E" w:rsidRDefault="00761A2E" w:rsidP="00A024F1">
      <w:pPr>
        <w:shd w:val="clear" w:color="auto" w:fill="FFFFFF"/>
        <w:tabs>
          <w:tab w:val="left" w:pos="9763"/>
        </w:tabs>
        <w:spacing w:line="360" w:lineRule="auto"/>
        <w:ind w:right="332"/>
        <w:jc w:val="both"/>
        <w:rPr>
          <w:rFonts w:ascii="Century Gothic" w:hAnsi="Century Gothic" w:cs="Arial"/>
          <w:bCs/>
        </w:rPr>
      </w:pPr>
    </w:p>
    <w:p w14:paraId="7347272D"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r w:rsidRPr="00D315AC">
        <w:rPr>
          <w:rFonts w:ascii="Century Gothic" w:hAnsi="Century Gothic" w:cs="Arial"/>
          <w:bCs/>
          <w:i/>
          <w:iCs/>
          <w:sz w:val="22"/>
          <w:szCs w:val="22"/>
        </w:rPr>
        <w:t xml:space="preserve">La violencia digital, se desentraña como aquel conjunto de acciones en las que se exponga, difundan o reproduzcan imágenes, audios o videos, que tengan </w:t>
      </w:r>
      <w:proofErr w:type="spellStart"/>
      <w:r w:rsidRPr="00D315AC">
        <w:rPr>
          <w:rFonts w:ascii="Century Gothic" w:hAnsi="Century Gothic" w:cs="Arial"/>
          <w:bCs/>
          <w:i/>
          <w:iCs/>
          <w:sz w:val="22"/>
          <w:szCs w:val="22"/>
        </w:rPr>
        <w:t>contendio</w:t>
      </w:r>
      <w:proofErr w:type="spellEnd"/>
      <w:r w:rsidRPr="00D315AC">
        <w:rPr>
          <w:rFonts w:ascii="Century Gothic" w:hAnsi="Century Gothic" w:cs="Arial"/>
          <w:bCs/>
          <w:i/>
          <w:iCs/>
          <w:sz w:val="22"/>
          <w:szCs w:val="22"/>
        </w:rPr>
        <w:t xml:space="preserve"> de </w:t>
      </w:r>
      <w:proofErr w:type="spellStart"/>
      <w:r w:rsidRPr="00D315AC">
        <w:rPr>
          <w:rFonts w:ascii="Century Gothic" w:hAnsi="Century Gothic" w:cs="Arial"/>
          <w:bCs/>
          <w:i/>
          <w:iCs/>
          <w:sz w:val="22"/>
          <w:szCs w:val="22"/>
        </w:rPr>
        <w:t>indole</w:t>
      </w:r>
      <w:proofErr w:type="spellEnd"/>
      <w:r w:rsidRPr="00D315AC">
        <w:rPr>
          <w:rFonts w:ascii="Century Gothic" w:hAnsi="Century Gothic" w:cs="Arial"/>
          <w:bCs/>
          <w:i/>
          <w:iCs/>
          <w:sz w:val="22"/>
          <w:szCs w:val="22"/>
        </w:rPr>
        <w:t xml:space="preserve"> sexual </w:t>
      </w:r>
      <w:proofErr w:type="spellStart"/>
      <w:r w:rsidRPr="00D315AC">
        <w:rPr>
          <w:rFonts w:ascii="Century Gothic" w:hAnsi="Century Gothic" w:cs="Arial"/>
          <w:bCs/>
          <w:i/>
          <w:iCs/>
          <w:sz w:val="22"/>
          <w:szCs w:val="22"/>
        </w:rPr>
        <w:t>intimo</w:t>
      </w:r>
      <w:proofErr w:type="spellEnd"/>
      <w:r w:rsidRPr="00D315AC">
        <w:rPr>
          <w:rFonts w:ascii="Century Gothic" w:hAnsi="Century Gothic" w:cs="Arial"/>
          <w:bCs/>
          <w:i/>
          <w:iCs/>
          <w:sz w:val="22"/>
          <w:szCs w:val="22"/>
        </w:rPr>
        <w:t xml:space="preserve"> de una persona sin su consentimiento. De lo anterior se colige que estas acciones o actividades realizadas, atentan claramente contra la integridad, dignidad y la vida privada de las mujeres, generando un daño psicológico, económico o sexual, mismo que pudiese ser irreparable, esto generando de igual manera un daño en su entorno familiar, laboral o cualquiera que fuere su entorno de desarrollo. </w:t>
      </w:r>
    </w:p>
    <w:p w14:paraId="0BB6D326"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p>
    <w:p w14:paraId="7FCF1E8F"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r w:rsidRPr="00D315AC">
        <w:rPr>
          <w:rFonts w:ascii="Century Gothic" w:hAnsi="Century Gothic" w:cs="Arial"/>
          <w:bCs/>
          <w:i/>
          <w:iCs/>
          <w:sz w:val="22"/>
          <w:szCs w:val="22"/>
        </w:rPr>
        <w:t xml:space="preserve">En México el caso de la violencia digital no es ajeno, según datos y </w:t>
      </w:r>
      <w:proofErr w:type="spellStart"/>
      <w:r w:rsidRPr="00D315AC">
        <w:rPr>
          <w:rFonts w:ascii="Century Gothic" w:hAnsi="Century Gothic" w:cs="Arial"/>
          <w:bCs/>
          <w:i/>
          <w:iCs/>
          <w:sz w:val="22"/>
          <w:szCs w:val="22"/>
        </w:rPr>
        <w:t>estadisticas</w:t>
      </w:r>
      <w:proofErr w:type="spellEnd"/>
      <w:r w:rsidRPr="00D315AC">
        <w:rPr>
          <w:rFonts w:ascii="Century Gothic" w:hAnsi="Century Gothic" w:cs="Arial"/>
          <w:bCs/>
          <w:i/>
          <w:iCs/>
          <w:sz w:val="22"/>
          <w:szCs w:val="22"/>
        </w:rPr>
        <w:t xml:space="preserve"> del INEGI, 9.7 millones de mujeres de 12 años y más, fueron víctimas de ciberacoso, a diferencia de 8 millones de hombres.  Esta práctica se ha intensificado después de la pandemia, puesto que ha llevado a nuestra sociedad a una nueva forma de vida más digital, misma situación genera un constante estado de vulnerabilidad para las mujeres que pudiesen posibles </w:t>
      </w:r>
      <w:proofErr w:type="spellStart"/>
      <w:r w:rsidRPr="00D315AC">
        <w:rPr>
          <w:rFonts w:ascii="Century Gothic" w:hAnsi="Century Gothic" w:cs="Arial"/>
          <w:bCs/>
          <w:i/>
          <w:iCs/>
          <w:sz w:val="22"/>
          <w:szCs w:val="22"/>
        </w:rPr>
        <w:t>victimas</w:t>
      </w:r>
      <w:proofErr w:type="spellEnd"/>
      <w:r w:rsidRPr="00D315AC">
        <w:rPr>
          <w:rFonts w:ascii="Century Gothic" w:hAnsi="Century Gothic" w:cs="Arial"/>
          <w:bCs/>
          <w:i/>
          <w:iCs/>
          <w:sz w:val="22"/>
          <w:szCs w:val="22"/>
        </w:rPr>
        <w:t xml:space="preserve"> del delito.</w:t>
      </w:r>
    </w:p>
    <w:p w14:paraId="47D45846"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p>
    <w:p w14:paraId="384B46E1"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r w:rsidRPr="00D315AC">
        <w:rPr>
          <w:rFonts w:ascii="Century Gothic" w:hAnsi="Century Gothic" w:cs="Arial"/>
          <w:bCs/>
          <w:i/>
          <w:iCs/>
          <w:sz w:val="22"/>
          <w:szCs w:val="22"/>
        </w:rPr>
        <w:t xml:space="preserve">La denominada “Ley Olimpia” surge como consecuencia de la difusión de un video de contenido sexual, el cual fue grabado y publicado sin autorización de la mujer que aparece en el mismo, hecho ocurrido en el estado de Puebla; de lo anterior se impulsó la </w:t>
      </w:r>
      <w:proofErr w:type="spellStart"/>
      <w:r w:rsidRPr="00D315AC">
        <w:rPr>
          <w:rFonts w:ascii="Century Gothic" w:hAnsi="Century Gothic" w:cs="Arial"/>
          <w:bCs/>
          <w:i/>
          <w:iCs/>
          <w:sz w:val="22"/>
          <w:szCs w:val="22"/>
        </w:rPr>
        <w:t>inciativa</w:t>
      </w:r>
      <w:proofErr w:type="spellEnd"/>
      <w:r w:rsidRPr="00D315AC">
        <w:rPr>
          <w:rFonts w:ascii="Century Gothic" w:hAnsi="Century Gothic" w:cs="Arial"/>
          <w:bCs/>
          <w:i/>
          <w:iCs/>
          <w:sz w:val="22"/>
          <w:szCs w:val="22"/>
        </w:rPr>
        <w:t xml:space="preserve"> que tenía como objetivo reformar el Código Penal de la mencionada entidad, tipificando     estas conductas como una violación clara al derecho a la intimidad, por lo que se fue replicando en todas las entidades federativas e inclusive a nivel internacional.</w:t>
      </w:r>
    </w:p>
    <w:p w14:paraId="3AEAEA39"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p>
    <w:p w14:paraId="6128674B"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r w:rsidRPr="00D315AC">
        <w:rPr>
          <w:rFonts w:ascii="Century Gothic" w:hAnsi="Century Gothic" w:cs="Arial"/>
          <w:bCs/>
          <w:i/>
          <w:iCs/>
          <w:sz w:val="22"/>
          <w:szCs w:val="22"/>
        </w:rPr>
        <w:t xml:space="preserve">Es importante señalar que el término ‘’Ley Olimpia’’ no hace una referencia en una ley como tal, </w:t>
      </w:r>
      <w:proofErr w:type="spellStart"/>
      <w:r w:rsidRPr="00D315AC">
        <w:rPr>
          <w:rFonts w:ascii="Century Gothic" w:hAnsi="Century Gothic" w:cs="Arial"/>
          <w:bCs/>
          <w:i/>
          <w:iCs/>
          <w:sz w:val="22"/>
          <w:szCs w:val="22"/>
        </w:rPr>
        <w:t>si no</w:t>
      </w:r>
      <w:proofErr w:type="spellEnd"/>
      <w:r w:rsidRPr="00D315AC">
        <w:rPr>
          <w:rFonts w:ascii="Century Gothic" w:hAnsi="Century Gothic" w:cs="Arial"/>
          <w:bCs/>
          <w:i/>
          <w:iCs/>
          <w:sz w:val="22"/>
          <w:szCs w:val="22"/>
        </w:rPr>
        <w:t xml:space="preserve"> que se refiere al conjunto de reformas, que tienen como objetivo reconocer a la violencia digital como un delito, que viola la intimidad sexual de las personas a través de los medios digitales. </w:t>
      </w:r>
    </w:p>
    <w:p w14:paraId="660F993C"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p>
    <w:p w14:paraId="7F768FB3"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r w:rsidRPr="00D315AC">
        <w:rPr>
          <w:rFonts w:ascii="Century Gothic" w:hAnsi="Century Gothic" w:cs="Arial"/>
          <w:bCs/>
          <w:i/>
          <w:iCs/>
          <w:sz w:val="22"/>
          <w:szCs w:val="22"/>
        </w:rPr>
        <w:t>La importancia de esta serie de reformas a nuestra legislación ha venido a visualizar la violencia digital como un delito, y se reconoce en la Ley de Acceso de las Mujeres a una Vida Libre de Violencia, lo que implica que se genere una obligación por parte del Estado, en emplear sus recursos para combatir y prevenir este tipo de violencia.</w:t>
      </w:r>
    </w:p>
    <w:p w14:paraId="0273BE5E"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p>
    <w:p w14:paraId="2D5AC4D6"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r w:rsidRPr="00D315AC">
        <w:rPr>
          <w:rFonts w:ascii="Century Gothic" w:hAnsi="Century Gothic" w:cs="Arial"/>
          <w:bCs/>
          <w:i/>
          <w:iCs/>
          <w:sz w:val="22"/>
          <w:szCs w:val="22"/>
        </w:rPr>
        <w:t xml:space="preserve">En Chihuahua esta situación se atendió el 27 de enero de 2021, dentro del Código Penal del Estado, en su numeral 180 Bis, mismo que en su primer párrafo menciona a la letra: </w:t>
      </w:r>
    </w:p>
    <w:p w14:paraId="0E3E116D"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r w:rsidRPr="00D315AC">
        <w:rPr>
          <w:rFonts w:ascii="Century Gothic" w:hAnsi="Century Gothic" w:cs="Arial"/>
          <w:bCs/>
          <w:i/>
          <w:iCs/>
          <w:sz w:val="22"/>
          <w:szCs w:val="22"/>
        </w:rPr>
        <w:t xml:space="preserve">A quien reciba u obtenga de una persona, </w:t>
      </w:r>
      <w:proofErr w:type="spellStart"/>
      <w:r w:rsidRPr="00D315AC">
        <w:rPr>
          <w:rFonts w:ascii="Century Gothic" w:hAnsi="Century Gothic" w:cs="Arial"/>
          <w:bCs/>
          <w:i/>
          <w:iCs/>
          <w:sz w:val="22"/>
          <w:szCs w:val="22"/>
        </w:rPr>
        <w:t>imágenes</w:t>
      </w:r>
      <w:proofErr w:type="spellEnd"/>
      <w:r w:rsidRPr="00D315AC">
        <w:rPr>
          <w:rFonts w:ascii="Century Gothic" w:hAnsi="Century Gothic" w:cs="Arial"/>
          <w:bCs/>
          <w:i/>
          <w:iCs/>
          <w:sz w:val="22"/>
          <w:szCs w:val="22"/>
        </w:rPr>
        <w:t xml:space="preserve">, textos o grabaciones de voz o audiovisuales de contenido </w:t>
      </w:r>
      <w:proofErr w:type="spellStart"/>
      <w:r w:rsidRPr="00D315AC">
        <w:rPr>
          <w:rFonts w:ascii="Century Gothic" w:hAnsi="Century Gothic" w:cs="Arial"/>
          <w:bCs/>
          <w:i/>
          <w:iCs/>
          <w:sz w:val="22"/>
          <w:szCs w:val="22"/>
        </w:rPr>
        <w:t>erótico</w:t>
      </w:r>
      <w:proofErr w:type="spellEnd"/>
      <w:r w:rsidRPr="00D315AC">
        <w:rPr>
          <w:rFonts w:ascii="Century Gothic" w:hAnsi="Century Gothic" w:cs="Arial"/>
          <w:bCs/>
          <w:i/>
          <w:iCs/>
          <w:sz w:val="22"/>
          <w:szCs w:val="22"/>
        </w:rPr>
        <w:t xml:space="preserve"> o sexual y las revele o difunda sin su consentimiento y en perjuicio de su </w:t>
      </w:r>
      <w:r w:rsidRPr="00D315AC">
        <w:rPr>
          <w:rFonts w:ascii="Century Gothic" w:hAnsi="Century Gothic" w:cs="Arial"/>
          <w:bCs/>
          <w:i/>
          <w:iCs/>
          <w:sz w:val="22"/>
          <w:szCs w:val="22"/>
        </w:rPr>
        <w:lastRenderedPageBreak/>
        <w:t xml:space="preserve">intimidad, </w:t>
      </w:r>
      <w:r w:rsidRPr="00D315AC">
        <w:rPr>
          <w:rFonts w:ascii="Century Gothic" w:hAnsi="Century Gothic" w:cs="Arial"/>
          <w:bCs/>
          <w:i/>
          <w:iCs/>
          <w:sz w:val="22"/>
          <w:szCs w:val="22"/>
          <w:u w:val="single"/>
        </w:rPr>
        <w:t xml:space="preserve">se le </w:t>
      </w:r>
      <w:proofErr w:type="spellStart"/>
      <w:r w:rsidRPr="00D315AC">
        <w:rPr>
          <w:rFonts w:ascii="Century Gothic" w:hAnsi="Century Gothic" w:cs="Arial"/>
          <w:bCs/>
          <w:i/>
          <w:iCs/>
          <w:sz w:val="22"/>
          <w:szCs w:val="22"/>
          <w:u w:val="single"/>
        </w:rPr>
        <w:t>impondra</w:t>
      </w:r>
      <w:proofErr w:type="spellEnd"/>
      <w:r w:rsidRPr="00D315AC">
        <w:rPr>
          <w:rFonts w:ascii="Century Gothic" w:hAnsi="Century Gothic" w:cs="Arial"/>
          <w:bCs/>
          <w:i/>
          <w:iCs/>
          <w:sz w:val="22"/>
          <w:szCs w:val="22"/>
          <w:u w:val="single"/>
        </w:rPr>
        <w:t xml:space="preserve">́ de seis meses a cuatro </w:t>
      </w:r>
      <w:proofErr w:type="spellStart"/>
      <w:r w:rsidRPr="00D315AC">
        <w:rPr>
          <w:rFonts w:ascii="Century Gothic" w:hAnsi="Century Gothic" w:cs="Arial"/>
          <w:bCs/>
          <w:i/>
          <w:iCs/>
          <w:sz w:val="22"/>
          <w:szCs w:val="22"/>
          <w:u w:val="single"/>
        </w:rPr>
        <w:t>años</w:t>
      </w:r>
      <w:proofErr w:type="spellEnd"/>
      <w:r w:rsidRPr="00D315AC">
        <w:rPr>
          <w:rFonts w:ascii="Century Gothic" w:hAnsi="Century Gothic" w:cs="Arial"/>
          <w:bCs/>
          <w:i/>
          <w:iCs/>
          <w:sz w:val="22"/>
          <w:szCs w:val="22"/>
          <w:u w:val="single"/>
        </w:rPr>
        <w:t xml:space="preserve"> de </w:t>
      </w:r>
      <w:proofErr w:type="spellStart"/>
      <w:r w:rsidRPr="00D315AC">
        <w:rPr>
          <w:rFonts w:ascii="Century Gothic" w:hAnsi="Century Gothic" w:cs="Arial"/>
          <w:bCs/>
          <w:i/>
          <w:iCs/>
          <w:sz w:val="22"/>
          <w:szCs w:val="22"/>
          <w:u w:val="single"/>
        </w:rPr>
        <w:t>prisión</w:t>
      </w:r>
      <w:proofErr w:type="spellEnd"/>
      <w:r w:rsidRPr="00D315AC">
        <w:rPr>
          <w:rFonts w:ascii="Century Gothic" w:hAnsi="Century Gothic" w:cs="Arial"/>
          <w:bCs/>
          <w:i/>
          <w:iCs/>
          <w:sz w:val="22"/>
          <w:szCs w:val="22"/>
          <w:u w:val="single"/>
        </w:rPr>
        <w:t xml:space="preserve"> y de cien a doscientos </w:t>
      </w:r>
      <w:proofErr w:type="spellStart"/>
      <w:r w:rsidRPr="00D315AC">
        <w:rPr>
          <w:rFonts w:ascii="Century Gothic" w:hAnsi="Century Gothic" w:cs="Arial"/>
          <w:bCs/>
          <w:i/>
          <w:iCs/>
          <w:sz w:val="22"/>
          <w:szCs w:val="22"/>
          <w:u w:val="single"/>
        </w:rPr>
        <w:t>días</w:t>
      </w:r>
      <w:proofErr w:type="spellEnd"/>
      <w:r w:rsidRPr="00D315AC">
        <w:rPr>
          <w:rFonts w:ascii="Century Gothic" w:hAnsi="Century Gothic" w:cs="Arial"/>
          <w:bCs/>
          <w:i/>
          <w:iCs/>
          <w:sz w:val="22"/>
          <w:szCs w:val="22"/>
          <w:u w:val="single"/>
        </w:rPr>
        <w:t xml:space="preserve"> de multa</w:t>
      </w:r>
      <w:r w:rsidRPr="00D315AC">
        <w:rPr>
          <w:rFonts w:ascii="Century Gothic" w:hAnsi="Century Gothic" w:cs="Arial"/>
          <w:bCs/>
          <w:i/>
          <w:iCs/>
          <w:sz w:val="22"/>
          <w:szCs w:val="22"/>
        </w:rPr>
        <w:t>. (subrayado propio)</w:t>
      </w:r>
    </w:p>
    <w:p w14:paraId="7E2F383E"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p>
    <w:p w14:paraId="748DA4D2"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r w:rsidRPr="00D315AC">
        <w:rPr>
          <w:rFonts w:ascii="Century Gothic" w:hAnsi="Century Gothic" w:cs="Arial"/>
          <w:bCs/>
          <w:i/>
          <w:iCs/>
          <w:sz w:val="22"/>
          <w:szCs w:val="22"/>
        </w:rPr>
        <w:t xml:space="preserve">En este tenor de ideas debemos señalar que la Ley Olimpia tiene como objetivo castigar el acoso digital y </w:t>
      </w:r>
      <w:proofErr w:type="spellStart"/>
      <w:r w:rsidRPr="00D315AC">
        <w:rPr>
          <w:rFonts w:ascii="Century Gothic" w:hAnsi="Century Gothic" w:cs="Arial"/>
          <w:bCs/>
          <w:i/>
          <w:iCs/>
          <w:sz w:val="22"/>
          <w:szCs w:val="22"/>
        </w:rPr>
        <w:t>tipicar</w:t>
      </w:r>
      <w:proofErr w:type="spellEnd"/>
      <w:r w:rsidRPr="00D315AC">
        <w:rPr>
          <w:rFonts w:ascii="Century Gothic" w:hAnsi="Century Gothic" w:cs="Arial"/>
          <w:bCs/>
          <w:i/>
          <w:iCs/>
          <w:sz w:val="22"/>
          <w:szCs w:val="22"/>
        </w:rPr>
        <w:t xml:space="preserve"> como delito contra la intimidad sexual grabar o difundir contenido sexual por medios digitales sin consentimiento. </w:t>
      </w:r>
    </w:p>
    <w:p w14:paraId="78F907B1"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p>
    <w:p w14:paraId="04A917CD"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r w:rsidRPr="00D315AC">
        <w:rPr>
          <w:rFonts w:ascii="Century Gothic" w:hAnsi="Century Gothic" w:cs="Arial"/>
          <w:bCs/>
          <w:i/>
          <w:iCs/>
          <w:sz w:val="22"/>
          <w:szCs w:val="22"/>
        </w:rPr>
        <w:t xml:space="preserve">Por otra parte, debemos contemplar que para la persona que se observa como </w:t>
      </w:r>
      <w:proofErr w:type="spellStart"/>
      <w:r w:rsidRPr="00D315AC">
        <w:rPr>
          <w:rFonts w:ascii="Century Gothic" w:hAnsi="Century Gothic" w:cs="Arial"/>
          <w:bCs/>
          <w:i/>
          <w:iCs/>
          <w:sz w:val="22"/>
          <w:szCs w:val="22"/>
        </w:rPr>
        <w:t>vícitima</w:t>
      </w:r>
      <w:proofErr w:type="spellEnd"/>
      <w:r w:rsidRPr="00D315AC">
        <w:rPr>
          <w:rFonts w:ascii="Century Gothic" w:hAnsi="Century Gothic" w:cs="Arial"/>
          <w:bCs/>
          <w:i/>
          <w:iCs/>
          <w:sz w:val="22"/>
          <w:szCs w:val="22"/>
        </w:rPr>
        <w:t xml:space="preserve"> de este delito encontrará un daño irreversible, esto por el daño causado a su dignidad como persona. </w:t>
      </w:r>
    </w:p>
    <w:p w14:paraId="6602C8BF"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p>
    <w:p w14:paraId="13DC26D9"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r w:rsidRPr="00D315AC">
        <w:rPr>
          <w:rFonts w:ascii="Century Gothic" w:hAnsi="Century Gothic" w:cs="Arial"/>
          <w:bCs/>
          <w:i/>
          <w:iCs/>
          <w:sz w:val="22"/>
          <w:szCs w:val="22"/>
        </w:rPr>
        <w:t xml:space="preserve">Por esto, a nivel federal se </w:t>
      </w:r>
      <w:proofErr w:type="spellStart"/>
      <w:r w:rsidRPr="00D315AC">
        <w:rPr>
          <w:rFonts w:ascii="Century Gothic" w:hAnsi="Century Gothic" w:cs="Arial"/>
          <w:bCs/>
          <w:i/>
          <w:iCs/>
          <w:sz w:val="22"/>
          <w:szCs w:val="22"/>
        </w:rPr>
        <w:t>genero</w:t>
      </w:r>
      <w:proofErr w:type="spellEnd"/>
      <w:r w:rsidRPr="00D315AC">
        <w:rPr>
          <w:rFonts w:ascii="Century Gothic" w:hAnsi="Century Gothic" w:cs="Arial"/>
          <w:bCs/>
          <w:i/>
          <w:iCs/>
          <w:sz w:val="22"/>
          <w:szCs w:val="22"/>
        </w:rPr>
        <w:t xml:space="preserve"> esta serie de reformas imponiendo una pena más elevada a quien fuese la persona que generase este agravio al difundir este contenido, esta porción normativa dentro del Código Penal Federal exige una pena de 3 a 6 años de prisión y una multa de 500 a mil unidades de medida y actualización. </w:t>
      </w:r>
    </w:p>
    <w:p w14:paraId="7FCB160A"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p>
    <w:p w14:paraId="2D197B37"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r w:rsidRPr="00D315AC">
        <w:rPr>
          <w:rFonts w:ascii="Century Gothic" w:hAnsi="Century Gothic" w:cs="Arial"/>
          <w:bCs/>
          <w:i/>
          <w:iCs/>
          <w:sz w:val="22"/>
          <w:szCs w:val="22"/>
        </w:rPr>
        <w:t xml:space="preserve">Es en atención a que Chihuahua fue uno de los últimos estados en atender a esta problemática, y precisando de igual manera que es uno de los que considera una penalidad más baja dentro de los </w:t>
      </w:r>
      <w:proofErr w:type="spellStart"/>
      <w:r w:rsidRPr="00D315AC">
        <w:rPr>
          <w:rFonts w:ascii="Century Gothic" w:hAnsi="Century Gothic" w:cs="Arial"/>
          <w:bCs/>
          <w:i/>
          <w:iCs/>
          <w:sz w:val="22"/>
          <w:szCs w:val="22"/>
        </w:rPr>
        <w:t>demas</w:t>
      </w:r>
      <w:proofErr w:type="spellEnd"/>
      <w:r w:rsidRPr="00D315AC">
        <w:rPr>
          <w:rFonts w:ascii="Century Gothic" w:hAnsi="Century Gothic" w:cs="Arial"/>
          <w:bCs/>
          <w:i/>
          <w:iCs/>
          <w:sz w:val="22"/>
          <w:szCs w:val="22"/>
        </w:rPr>
        <w:t xml:space="preserve"> ordenamientos a nivel estatal, se considera necesaria la modificación a la misma </w:t>
      </w:r>
    </w:p>
    <w:p w14:paraId="4598B0F1"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p>
    <w:p w14:paraId="0DC8DDBA"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r w:rsidRPr="00D315AC">
        <w:rPr>
          <w:rFonts w:ascii="Century Gothic" w:hAnsi="Century Gothic" w:cs="Arial"/>
          <w:bCs/>
          <w:i/>
          <w:iCs/>
          <w:sz w:val="22"/>
          <w:szCs w:val="22"/>
        </w:rPr>
        <w:t xml:space="preserve">De este modo, lo que pretende esta iniciativa es armonizar el </w:t>
      </w:r>
      <w:proofErr w:type="spellStart"/>
      <w:r w:rsidRPr="00D315AC">
        <w:rPr>
          <w:rFonts w:ascii="Century Gothic" w:hAnsi="Century Gothic" w:cs="Arial"/>
          <w:bCs/>
          <w:i/>
          <w:iCs/>
          <w:sz w:val="22"/>
          <w:szCs w:val="22"/>
        </w:rPr>
        <w:t>articulo</w:t>
      </w:r>
      <w:proofErr w:type="spellEnd"/>
      <w:r w:rsidRPr="00D315AC">
        <w:rPr>
          <w:rFonts w:ascii="Century Gothic" w:hAnsi="Century Gothic" w:cs="Arial"/>
          <w:bCs/>
          <w:i/>
          <w:iCs/>
          <w:sz w:val="22"/>
          <w:szCs w:val="22"/>
        </w:rPr>
        <w:t xml:space="preserve"> 180 BIS de nuestro marco jurídico con el articulo 199 </w:t>
      </w:r>
      <w:proofErr w:type="spellStart"/>
      <w:r w:rsidRPr="00D315AC">
        <w:rPr>
          <w:rFonts w:ascii="Century Gothic" w:hAnsi="Century Gothic" w:cs="Arial"/>
          <w:bCs/>
          <w:i/>
          <w:iCs/>
          <w:sz w:val="22"/>
          <w:szCs w:val="22"/>
        </w:rPr>
        <w:t>Octies</w:t>
      </w:r>
      <w:proofErr w:type="spellEnd"/>
      <w:r w:rsidRPr="00D315AC">
        <w:rPr>
          <w:rFonts w:ascii="Century Gothic" w:hAnsi="Century Gothic" w:cs="Arial"/>
          <w:bCs/>
          <w:i/>
          <w:iCs/>
          <w:sz w:val="22"/>
          <w:szCs w:val="22"/>
        </w:rPr>
        <w:t xml:space="preserve"> del Código Penal Federal, esto en relación a la pena que se encuentra en el tercer </w:t>
      </w:r>
      <w:proofErr w:type="spellStart"/>
      <w:r w:rsidRPr="00D315AC">
        <w:rPr>
          <w:rFonts w:ascii="Century Gothic" w:hAnsi="Century Gothic" w:cs="Arial"/>
          <w:bCs/>
          <w:i/>
          <w:iCs/>
          <w:sz w:val="22"/>
          <w:szCs w:val="22"/>
        </w:rPr>
        <w:t>parrafo</w:t>
      </w:r>
      <w:proofErr w:type="spellEnd"/>
      <w:r w:rsidRPr="00D315AC">
        <w:rPr>
          <w:rFonts w:ascii="Century Gothic" w:hAnsi="Century Gothic" w:cs="Arial"/>
          <w:bCs/>
          <w:i/>
          <w:iCs/>
          <w:sz w:val="22"/>
          <w:szCs w:val="22"/>
        </w:rPr>
        <w:t xml:space="preserve"> de esta </w:t>
      </w:r>
      <w:proofErr w:type="spellStart"/>
      <w:r w:rsidRPr="00D315AC">
        <w:rPr>
          <w:rFonts w:ascii="Century Gothic" w:hAnsi="Century Gothic" w:cs="Arial"/>
          <w:bCs/>
          <w:i/>
          <w:iCs/>
          <w:sz w:val="22"/>
          <w:szCs w:val="22"/>
        </w:rPr>
        <w:t>proción</w:t>
      </w:r>
      <w:proofErr w:type="spellEnd"/>
      <w:r w:rsidRPr="00D315AC">
        <w:rPr>
          <w:rFonts w:ascii="Century Gothic" w:hAnsi="Century Gothic" w:cs="Arial"/>
          <w:bCs/>
          <w:i/>
          <w:iCs/>
          <w:sz w:val="22"/>
          <w:szCs w:val="22"/>
        </w:rPr>
        <w:t xml:space="preserve"> normativa.</w:t>
      </w:r>
    </w:p>
    <w:p w14:paraId="6DEEE9AE"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p>
    <w:p w14:paraId="0187B27F"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p>
    <w:tbl>
      <w:tblPr>
        <w:tblStyle w:val="Tablaconcuadrcula"/>
        <w:tblW w:w="7654" w:type="dxa"/>
        <w:tblInd w:w="421" w:type="dxa"/>
        <w:tblLook w:val="04A0" w:firstRow="1" w:lastRow="0" w:firstColumn="1" w:lastColumn="0" w:noHBand="0" w:noVBand="1"/>
      </w:tblPr>
      <w:tblGrid>
        <w:gridCol w:w="3969"/>
        <w:gridCol w:w="3685"/>
      </w:tblGrid>
      <w:tr w:rsidR="00D315AC" w:rsidRPr="00D315AC" w14:paraId="58B7F11D" w14:textId="77777777" w:rsidTr="00D315AC">
        <w:trPr>
          <w:trHeight w:val="568"/>
        </w:trPr>
        <w:tc>
          <w:tcPr>
            <w:tcW w:w="3969" w:type="dxa"/>
          </w:tcPr>
          <w:p w14:paraId="4DD77665"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
                <w:bCs/>
                <w:i/>
                <w:iCs/>
                <w:sz w:val="22"/>
                <w:szCs w:val="22"/>
              </w:rPr>
            </w:pPr>
            <w:r w:rsidRPr="00D315AC">
              <w:rPr>
                <w:rFonts w:ascii="Century Gothic" w:hAnsi="Century Gothic" w:cs="Arial"/>
                <w:b/>
                <w:bCs/>
                <w:i/>
                <w:iCs/>
                <w:sz w:val="22"/>
                <w:szCs w:val="22"/>
              </w:rPr>
              <w:t>TEXTO VIGENTE</w:t>
            </w:r>
          </w:p>
        </w:tc>
        <w:tc>
          <w:tcPr>
            <w:tcW w:w="3685" w:type="dxa"/>
          </w:tcPr>
          <w:p w14:paraId="5DE5ECBD"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
                <w:bCs/>
                <w:i/>
                <w:iCs/>
                <w:sz w:val="22"/>
                <w:szCs w:val="22"/>
              </w:rPr>
            </w:pPr>
            <w:r w:rsidRPr="00D315AC">
              <w:rPr>
                <w:rFonts w:ascii="Century Gothic" w:hAnsi="Century Gothic" w:cs="Arial"/>
                <w:b/>
                <w:bCs/>
                <w:i/>
                <w:iCs/>
                <w:sz w:val="22"/>
                <w:szCs w:val="22"/>
              </w:rPr>
              <w:t>PROPUESTA</w:t>
            </w:r>
          </w:p>
        </w:tc>
      </w:tr>
      <w:tr w:rsidR="00D315AC" w:rsidRPr="00D315AC" w14:paraId="2B33B5D9" w14:textId="77777777" w:rsidTr="00D315AC">
        <w:trPr>
          <w:trHeight w:val="3112"/>
        </w:trPr>
        <w:tc>
          <w:tcPr>
            <w:tcW w:w="3969" w:type="dxa"/>
          </w:tcPr>
          <w:p w14:paraId="23A9D94D"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r w:rsidRPr="00D315AC">
              <w:rPr>
                <w:rFonts w:ascii="Century Gothic" w:hAnsi="Century Gothic" w:cs="Arial"/>
                <w:bCs/>
                <w:i/>
                <w:iCs/>
                <w:sz w:val="22"/>
                <w:szCs w:val="22"/>
              </w:rPr>
              <w:t>ARTICULO 180 BIS</w:t>
            </w:r>
          </w:p>
          <w:p w14:paraId="46022ACD"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p>
          <w:p w14:paraId="5C30CD6B" w14:textId="77777777" w:rsidR="00D315AC" w:rsidRPr="00D315AC" w:rsidRDefault="00D315AC" w:rsidP="00D315AC">
            <w:pPr>
              <w:numPr>
                <w:ilvl w:val="0"/>
                <w:numId w:val="13"/>
              </w:numPr>
              <w:shd w:val="clear" w:color="auto" w:fill="FFFFFF"/>
              <w:tabs>
                <w:tab w:val="left" w:pos="9763"/>
              </w:tabs>
              <w:spacing w:line="360" w:lineRule="auto"/>
              <w:ind w:left="567" w:right="900"/>
              <w:jc w:val="both"/>
              <w:rPr>
                <w:rFonts w:ascii="Century Gothic" w:hAnsi="Century Gothic" w:cs="Arial"/>
                <w:bCs/>
                <w:i/>
                <w:iCs/>
                <w:sz w:val="22"/>
                <w:szCs w:val="22"/>
              </w:rPr>
            </w:pPr>
            <w:r w:rsidRPr="00D315AC">
              <w:rPr>
                <w:rFonts w:ascii="Century Gothic" w:hAnsi="Century Gothic" w:cs="Arial"/>
                <w:bCs/>
                <w:i/>
                <w:iCs/>
                <w:sz w:val="22"/>
                <w:szCs w:val="22"/>
              </w:rPr>
              <w:t xml:space="preserve">A quien reciba u obtenga de una persona, </w:t>
            </w:r>
            <w:proofErr w:type="spellStart"/>
            <w:r w:rsidRPr="00D315AC">
              <w:rPr>
                <w:rFonts w:ascii="Century Gothic" w:hAnsi="Century Gothic" w:cs="Arial"/>
                <w:bCs/>
                <w:i/>
                <w:iCs/>
                <w:sz w:val="22"/>
                <w:szCs w:val="22"/>
              </w:rPr>
              <w:t>imágenes</w:t>
            </w:r>
            <w:proofErr w:type="spellEnd"/>
            <w:r w:rsidRPr="00D315AC">
              <w:rPr>
                <w:rFonts w:ascii="Century Gothic" w:hAnsi="Century Gothic" w:cs="Arial"/>
                <w:bCs/>
                <w:i/>
                <w:iCs/>
                <w:sz w:val="22"/>
                <w:szCs w:val="22"/>
              </w:rPr>
              <w:t xml:space="preserve">, textos o grabaciones de voz o audiovisuales de contenido </w:t>
            </w:r>
            <w:proofErr w:type="spellStart"/>
            <w:r w:rsidRPr="00D315AC">
              <w:rPr>
                <w:rFonts w:ascii="Century Gothic" w:hAnsi="Century Gothic" w:cs="Arial"/>
                <w:bCs/>
                <w:i/>
                <w:iCs/>
                <w:sz w:val="22"/>
                <w:szCs w:val="22"/>
              </w:rPr>
              <w:t>erótico</w:t>
            </w:r>
            <w:proofErr w:type="spellEnd"/>
            <w:r w:rsidRPr="00D315AC">
              <w:rPr>
                <w:rFonts w:ascii="Century Gothic" w:hAnsi="Century Gothic" w:cs="Arial"/>
                <w:bCs/>
                <w:i/>
                <w:iCs/>
                <w:sz w:val="22"/>
                <w:szCs w:val="22"/>
              </w:rPr>
              <w:t xml:space="preserve"> o sexual y las revele o difunda sin su consentimiento y en perjuicio de su intimidad, se le </w:t>
            </w:r>
            <w:proofErr w:type="spellStart"/>
            <w:r w:rsidRPr="00D315AC">
              <w:rPr>
                <w:rFonts w:ascii="Century Gothic" w:hAnsi="Century Gothic" w:cs="Arial"/>
                <w:bCs/>
                <w:i/>
                <w:iCs/>
                <w:sz w:val="22"/>
                <w:szCs w:val="22"/>
              </w:rPr>
              <w:t>impondra</w:t>
            </w:r>
            <w:proofErr w:type="spellEnd"/>
            <w:r w:rsidRPr="00D315AC">
              <w:rPr>
                <w:rFonts w:ascii="Century Gothic" w:hAnsi="Century Gothic" w:cs="Arial"/>
                <w:bCs/>
                <w:i/>
                <w:iCs/>
                <w:sz w:val="22"/>
                <w:szCs w:val="22"/>
              </w:rPr>
              <w:t xml:space="preserve">́ de seis meses a cuatro </w:t>
            </w:r>
            <w:proofErr w:type="spellStart"/>
            <w:r w:rsidRPr="00D315AC">
              <w:rPr>
                <w:rFonts w:ascii="Century Gothic" w:hAnsi="Century Gothic" w:cs="Arial"/>
                <w:bCs/>
                <w:i/>
                <w:iCs/>
                <w:sz w:val="22"/>
                <w:szCs w:val="22"/>
              </w:rPr>
              <w:t>años</w:t>
            </w:r>
            <w:proofErr w:type="spellEnd"/>
            <w:r w:rsidRPr="00D315AC">
              <w:rPr>
                <w:rFonts w:ascii="Century Gothic" w:hAnsi="Century Gothic" w:cs="Arial"/>
                <w:bCs/>
                <w:i/>
                <w:iCs/>
                <w:sz w:val="22"/>
                <w:szCs w:val="22"/>
              </w:rPr>
              <w:t xml:space="preserve"> de </w:t>
            </w:r>
            <w:proofErr w:type="spellStart"/>
            <w:r w:rsidRPr="00D315AC">
              <w:rPr>
                <w:rFonts w:ascii="Century Gothic" w:hAnsi="Century Gothic" w:cs="Arial"/>
                <w:bCs/>
                <w:i/>
                <w:iCs/>
                <w:sz w:val="22"/>
                <w:szCs w:val="22"/>
              </w:rPr>
              <w:t>prisión</w:t>
            </w:r>
            <w:proofErr w:type="spellEnd"/>
            <w:r w:rsidRPr="00D315AC">
              <w:rPr>
                <w:rFonts w:ascii="Century Gothic" w:hAnsi="Century Gothic" w:cs="Arial"/>
                <w:bCs/>
                <w:i/>
                <w:iCs/>
                <w:sz w:val="22"/>
                <w:szCs w:val="22"/>
              </w:rPr>
              <w:t xml:space="preserve"> y de cien a doscientos </w:t>
            </w:r>
            <w:proofErr w:type="spellStart"/>
            <w:r w:rsidRPr="00D315AC">
              <w:rPr>
                <w:rFonts w:ascii="Century Gothic" w:hAnsi="Century Gothic" w:cs="Arial"/>
                <w:bCs/>
                <w:i/>
                <w:iCs/>
                <w:sz w:val="22"/>
                <w:szCs w:val="22"/>
              </w:rPr>
              <w:t>días</w:t>
            </w:r>
            <w:proofErr w:type="spellEnd"/>
            <w:r w:rsidRPr="00D315AC">
              <w:rPr>
                <w:rFonts w:ascii="Century Gothic" w:hAnsi="Century Gothic" w:cs="Arial"/>
                <w:bCs/>
                <w:i/>
                <w:iCs/>
                <w:sz w:val="22"/>
                <w:szCs w:val="22"/>
              </w:rPr>
              <w:t xml:space="preserve"> de multa. </w:t>
            </w:r>
          </w:p>
          <w:p w14:paraId="57455EA2"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p>
        </w:tc>
        <w:tc>
          <w:tcPr>
            <w:tcW w:w="3685" w:type="dxa"/>
          </w:tcPr>
          <w:p w14:paraId="1B4C41BF"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r w:rsidRPr="00D315AC">
              <w:rPr>
                <w:rFonts w:ascii="Century Gothic" w:hAnsi="Century Gothic" w:cs="Arial"/>
                <w:bCs/>
                <w:i/>
                <w:iCs/>
                <w:sz w:val="22"/>
                <w:szCs w:val="22"/>
              </w:rPr>
              <w:t xml:space="preserve">ARTICULO 180 BIS </w:t>
            </w:r>
          </w:p>
          <w:p w14:paraId="59D06E10" w14:textId="77777777" w:rsidR="00D315AC" w:rsidRPr="00D315AC" w:rsidRDefault="00D315AC" w:rsidP="00D315AC">
            <w:pPr>
              <w:shd w:val="clear" w:color="auto" w:fill="FFFFFF"/>
              <w:tabs>
                <w:tab w:val="left" w:pos="9763"/>
              </w:tabs>
              <w:spacing w:line="360" w:lineRule="auto"/>
              <w:ind w:left="567" w:right="900"/>
              <w:jc w:val="both"/>
              <w:rPr>
                <w:rFonts w:ascii="Century Gothic" w:hAnsi="Century Gothic" w:cs="Arial"/>
                <w:bCs/>
                <w:i/>
                <w:iCs/>
                <w:sz w:val="22"/>
                <w:szCs w:val="22"/>
              </w:rPr>
            </w:pPr>
          </w:p>
          <w:p w14:paraId="2C1B37AD" w14:textId="77777777" w:rsidR="00D315AC" w:rsidRPr="00D315AC" w:rsidRDefault="00D315AC" w:rsidP="00D315AC">
            <w:pPr>
              <w:numPr>
                <w:ilvl w:val="0"/>
                <w:numId w:val="13"/>
              </w:numPr>
              <w:shd w:val="clear" w:color="auto" w:fill="FFFFFF"/>
              <w:tabs>
                <w:tab w:val="left" w:pos="9763"/>
              </w:tabs>
              <w:spacing w:line="360" w:lineRule="auto"/>
              <w:ind w:left="567" w:right="900"/>
              <w:jc w:val="both"/>
              <w:rPr>
                <w:rFonts w:ascii="Century Gothic" w:hAnsi="Century Gothic" w:cs="Arial"/>
                <w:bCs/>
                <w:i/>
                <w:iCs/>
                <w:sz w:val="22"/>
                <w:szCs w:val="22"/>
              </w:rPr>
            </w:pPr>
            <w:r w:rsidRPr="00D315AC">
              <w:rPr>
                <w:rFonts w:ascii="Century Gothic" w:hAnsi="Century Gothic" w:cs="Arial"/>
                <w:bCs/>
                <w:i/>
                <w:iCs/>
                <w:sz w:val="22"/>
                <w:szCs w:val="22"/>
              </w:rPr>
              <w:t xml:space="preserve">A quien reciba u obtenga de una persona, </w:t>
            </w:r>
            <w:proofErr w:type="spellStart"/>
            <w:r w:rsidRPr="00D315AC">
              <w:rPr>
                <w:rFonts w:ascii="Century Gothic" w:hAnsi="Century Gothic" w:cs="Arial"/>
                <w:bCs/>
                <w:i/>
                <w:iCs/>
                <w:sz w:val="22"/>
                <w:szCs w:val="22"/>
              </w:rPr>
              <w:t>imágenes</w:t>
            </w:r>
            <w:proofErr w:type="spellEnd"/>
            <w:r w:rsidRPr="00D315AC">
              <w:rPr>
                <w:rFonts w:ascii="Century Gothic" w:hAnsi="Century Gothic" w:cs="Arial"/>
                <w:bCs/>
                <w:i/>
                <w:iCs/>
                <w:sz w:val="22"/>
                <w:szCs w:val="22"/>
              </w:rPr>
              <w:t xml:space="preserve">, textos o grabaciones de voz o audiovisuales de contenido </w:t>
            </w:r>
            <w:proofErr w:type="spellStart"/>
            <w:r w:rsidRPr="00D315AC">
              <w:rPr>
                <w:rFonts w:ascii="Century Gothic" w:hAnsi="Century Gothic" w:cs="Arial"/>
                <w:bCs/>
                <w:i/>
                <w:iCs/>
                <w:sz w:val="22"/>
                <w:szCs w:val="22"/>
              </w:rPr>
              <w:t>erótico</w:t>
            </w:r>
            <w:proofErr w:type="spellEnd"/>
            <w:r w:rsidRPr="00D315AC">
              <w:rPr>
                <w:rFonts w:ascii="Century Gothic" w:hAnsi="Century Gothic" w:cs="Arial"/>
                <w:bCs/>
                <w:i/>
                <w:iCs/>
                <w:sz w:val="22"/>
                <w:szCs w:val="22"/>
              </w:rPr>
              <w:t xml:space="preserve"> o sexual y las revele o difunda sin su consentimiento y en perjuicio de su intimidad, se le </w:t>
            </w:r>
            <w:proofErr w:type="spellStart"/>
            <w:r w:rsidRPr="00D315AC">
              <w:rPr>
                <w:rFonts w:ascii="Century Gothic" w:hAnsi="Century Gothic" w:cs="Arial"/>
                <w:bCs/>
                <w:i/>
                <w:iCs/>
                <w:sz w:val="22"/>
                <w:szCs w:val="22"/>
              </w:rPr>
              <w:t>impondra</w:t>
            </w:r>
            <w:proofErr w:type="spellEnd"/>
            <w:r w:rsidRPr="00D315AC">
              <w:rPr>
                <w:rFonts w:ascii="Century Gothic" w:hAnsi="Century Gothic" w:cs="Arial"/>
                <w:bCs/>
                <w:i/>
                <w:iCs/>
                <w:sz w:val="22"/>
                <w:szCs w:val="22"/>
              </w:rPr>
              <w:t xml:space="preserve">́ </w:t>
            </w:r>
            <w:r w:rsidRPr="00D315AC">
              <w:rPr>
                <w:rFonts w:ascii="Century Gothic" w:hAnsi="Century Gothic" w:cs="Arial"/>
                <w:b/>
                <w:bCs/>
                <w:i/>
                <w:iCs/>
                <w:sz w:val="22"/>
                <w:szCs w:val="22"/>
                <w:u w:val="single"/>
              </w:rPr>
              <w:t xml:space="preserve">de tres a seis </w:t>
            </w:r>
            <w:proofErr w:type="spellStart"/>
            <w:r w:rsidRPr="00D315AC">
              <w:rPr>
                <w:rFonts w:ascii="Century Gothic" w:hAnsi="Century Gothic" w:cs="Arial"/>
                <w:b/>
                <w:bCs/>
                <w:i/>
                <w:iCs/>
                <w:sz w:val="22"/>
                <w:szCs w:val="22"/>
                <w:u w:val="single"/>
              </w:rPr>
              <w:t>años</w:t>
            </w:r>
            <w:proofErr w:type="spellEnd"/>
            <w:r w:rsidRPr="00D315AC">
              <w:rPr>
                <w:rFonts w:ascii="Century Gothic" w:hAnsi="Century Gothic" w:cs="Arial"/>
                <w:b/>
                <w:bCs/>
                <w:i/>
                <w:iCs/>
                <w:sz w:val="22"/>
                <w:szCs w:val="22"/>
                <w:u w:val="single"/>
              </w:rPr>
              <w:t xml:space="preserve"> de </w:t>
            </w:r>
            <w:proofErr w:type="spellStart"/>
            <w:r w:rsidRPr="00D315AC">
              <w:rPr>
                <w:rFonts w:ascii="Century Gothic" w:hAnsi="Century Gothic" w:cs="Arial"/>
                <w:b/>
                <w:bCs/>
                <w:i/>
                <w:iCs/>
                <w:sz w:val="22"/>
                <w:szCs w:val="22"/>
                <w:u w:val="single"/>
              </w:rPr>
              <w:t>prisión</w:t>
            </w:r>
            <w:proofErr w:type="spellEnd"/>
            <w:r w:rsidRPr="00D315AC">
              <w:rPr>
                <w:rFonts w:ascii="Century Gothic" w:hAnsi="Century Gothic" w:cs="Arial"/>
                <w:b/>
                <w:bCs/>
                <w:i/>
                <w:iCs/>
                <w:sz w:val="22"/>
                <w:szCs w:val="22"/>
                <w:u w:val="single"/>
              </w:rPr>
              <w:t xml:space="preserve"> y multa de quinientos a mil unidades de medida y actualización</w:t>
            </w:r>
            <w:r w:rsidRPr="00D315AC">
              <w:rPr>
                <w:rFonts w:ascii="Century Gothic" w:hAnsi="Century Gothic" w:cs="Arial"/>
                <w:bCs/>
                <w:i/>
                <w:iCs/>
                <w:sz w:val="22"/>
                <w:szCs w:val="22"/>
                <w:u w:val="single"/>
              </w:rPr>
              <w:t>.</w:t>
            </w:r>
          </w:p>
        </w:tc>
      </w:tr>
    </w:tbl>
    <w:p w14:paraId="4B924D6F" w14:textId="77777777" w:rsidR="00516E55" w:rsidRPr="00516E55" w:rsidRDefault="00516E55" w:rsidP="00D315AC">
      <w:pPr>
        <w:shd w:val="clear" w:color="auto" w:fill="FFFFFF"/>
        <w:tabs>
          <w:tab w:val="left" w:pos="9763"/>
        </w:tabs>
        <w:spacing w:line="360" w:lineRule="auto"/>
        <w:ind w:right="616"/>
        <w:jc w:val="both"/>
        <w:rPr>
          <w:rFonts w:ascii="Century Gothic" w:hAnsi="Century Gothic" w:cs="Arial"/>
          <w:bCs/>
          <w:i/>
          <w:iCs/>
          <w:sz w:val="22"/>
          <w:szCs w:val="22"/>
        </w:rPr>
      </w:pPr>
    </w:p>
    <w:p w14:paraId="48AEC73E" w14:textId="6422393A" w:rsidR="005D14CE" w:rsidRDefault="00D315AC" w:rsidP="005D14CE">
      <w:pPr>
        <w:pStyle w:val="Normal1"/>
        <w:spacing w:after="200" w:line="360" w:lineRule="auto"/>
        <w:ind w:right="50"/>
        <w:jc w:val="both"/>
        <w:rPr>
          <w:rFonts w:ascii="Century Gothic" w:eastAsia="Arial" w:hAnsi="Century Gothic" w:cs="Arial"/>
          <w:color w:val="auto"/>
          <w:lang w:val="es-MX"/>
        </w:rPr>
      </w:pPr>
      <w:r>
        <w:rPr>
          <w:rFonts w:ascii="Century Gothic" w:hAnsi="Century Gothic" w:cs="Arial"/>
          <w:b/>
          <w:bCs/>
          <w:color w:val="auto"/>
          <w:lang w:val="es-MX"/>
        </w:rPr>
        <w:lastRenderedPageBreak/>
        <w:t>I</w:t>
      </w:r>
      <w:r w:rsidR="00516E55" w:rsidRPr="00516E55">
        <w:rPr>
          <w:rFonts w:ascii="Century Gothic" w:hAnsi="Century Gothic" w:cs="Arial"/>
          <w:b/>
          <w:bCs/>
          <w:color w:val="auto"/>
          <w:lang w:val="es-MX"/>
        </w:rPr>
        <w:t xml:space="preserve">V. </w:t>
      </w:r>
      <w:r w:rsidR="005D14CE" w:rsidRPr="004174F1">
        <w:rPr>
          <w:rFonts w:ascii="Century Gothic" w:hAnsi="Century Gothic" w:cs="Arial"/>
          <w:color w:val="auto"/>
          <w:lang w:val="es-MX"/>
        </w:rPr>
        <w:t>Ahora bien, al entrar al estudio y análisis de la iniciativa en comento, quienes integramos esta Comisión dictaminadora, formulamos las siguientes:</w:t>
      </w:r>
    </w:p>
    <w:p w14:paraId="741E6CF6" w14:textId="77777777" w:rsidR="005D14CE" w:rsidRPr="0060679D" w:rsidRDefault="005D14CE" w:rsidP="005D14CE">
      <w:pPr>
        <w:pStyle w:val="Normal1"/>
        <w:spacing w:after="200" w:line="360" w:lineRule="auto"/>
        <w:ind w:right="50"/>
        <w:jc w:val="both"/>
        <w:rPr>
          <w:rFonts w:ascii="Century Gothic" w:hAnsi="Century Gothic"/>
          <w:color w:val="auto"/>
          <w:lang w:val="es-MX"/>
        </w:rPr>
      </w:pPr>
    </w:p>
    <w:p w14:paraId="0CF063C6" w14:textId="5710575D" w:rsidR="00E863EF" w:rsidRDefault="005D14CE" w:rsidP="0047226D">
      <w:pPr>
        <w:pStyle w:val="Normal1"/>
        <w:spacing w:after="200" w:line="360" w:lineRule="auto"/>
        <w:ind w:right="50"/>
        <w:jc w:val="center"/>
        <w:rPr>
          <w:rFonts w:ascii="Century Gothic" w:eastAsia="Arial" w:hAnsi="Century Gothic" w:cs="Arial"/>
          <w:b/>
          <w:color w:val="auto"/>
          <w:lang w:val="es-MX"/>
        </w:rPr>
      </w:pPr>
      <w:r w:rsidRPr="004174F1">
        <w:rPr>
          <w:rFonts w:ascii="Century Gothic" w:eastAsia="Arial" w:hAnsi="Century Gothic" w:cs="Arial"/>
          <w:b/>
          <w:color w:val="auto"/>
          <w:lang w:val="es-MX"/>
        </w:rPr>
        <w:t>C O N S I D E R A C I O N E S</w:t>
      </w:r>
    </w:p>
    <w:p w14:paraId="28F468AC" w14:textId="77777777" w:rsidR="00D315AC" w:rsidRPr="00E863EF" w:rsidRDefault="00D315AC" w:rsidP="0047226D">
      <w:pPr>
        <w:pStyle w:val="Normal1"/>
        <w:spacing w:after="200" w:line="360" w:lineRule="auto"/>
        <w:ind w:right="50"/>
        <w:jc w:val="center"/>
        <w:rPr>
          <w:rFonts w:ascii="Century Gothic" w:eastAsia="Arial" w:hAnsi="Century Gothic" w:cs="Arial"/>
          <w:b/>
          <w:color w:val="auto"/>
          <w:lang w:val="es-MX"/>
        </w:rPr>
      </w:pPr>
    </w:p>
    <w:p w14:paraId="6EA30864" w14:textId="0F59C12C" w:rsidR="00A375EC" w:rsidRDefault="005D14CE" w:rsidP="0078432D">
      <w:pPr>
        <w:pStyle w:val="Normal1"/>
        <w:spacing w:line="360" w:lineRule="auto"/>
        <w:ind w:right="51"/>
        <w:contextualSpacing/>
        <w:jc w:val="both"/>
        <w:rPr>
          <w:rFonts w:ascii="Century Gothic" w:eastAsia="Calibri" w:hAnsi="Century Gothic" w:cs="Arial"/>
          <w:color w:val="auto"/>
        </w:rPr>
      </w:pPr>
      <w:r w:rsidRPr="004174F1">
        <w:rPr>
          <w:rFonts w:ascii="Century Gothic" w:eastAsia="Calibri" w:hAnsi="Century Gothic" w:cs="Arial"/>
          <w:b/>
          <w:bCs/>
          <w:color w:val="auto"/>
          <w:lang w:val="es-MX"/>
        </w:rPr>
        <w:t xml:space="preserve">I.- </w:t>
      </w:r>
      <w:r w:rsidR="0078432D" w:rsidRPr="0078432D">
        <w:rPr>
          <w:rFonts w:ascii="Century Gothic" w:eastAsia="Calibri" w:hAnsi="Century Gothic" w:cs="Arial"/>
          <w:color w:val="auto"/>
          <w:lang w:val="es-MX"/>
        </w:rPr>
        <w:t xml:space="preserve">Como se aprecia, </w:t>
      </w:r>
      <w:r w:rsidR="0078432D">
        <w:rPr>
          <w:rFonts w:ascii="Century Gothic" w:eastAsia="Calibri" w:hAnsi="Century Gothic" w:cs="Arial"/>
          <w:color w:val="auto"/>
          <w:lang w:val="es-MX"/>
        </w:rPr>
        <w:t>l</w:t>
      </w:r>
      <w:r w:rsidR="0078432D" w:rsidRPr="0078432D">
        <w:rPr>
          <w:rFonts w:ascii="Century Gothic" w:eastAsia="Calibri" w:hAnsi="Century Gothic" w:cs="Arial"/>
          <w:color w:val="auto"/>
          <w:lang w:val="es-MX"/>
        </w:rPr>
        <w:t xml:space="preserve">a </w:t>
      </w:r>
      <w:r w:rsidR="00A375EC" w:rsidRPr="00A375EC">
        <w:rPr>
          <w:rFonts w:ascii="Century Gothic" w:eastAsia="Calibri" w:hAnsi="Century Gothic" w:cs="Arial"/>
          <w:color w:val="auto"/>
        </w:rPr>
        <w:t xml:space="preserve">Iniciativa </w:t>
      </w:r>
      <w:r w:rsidR="0078432D">
        <w:rPr>
          <w:rFonts w:ascii="Century Gothic" w:eastAsia="Calibri" w:hAnsi="Century Gothic" w:cs="Arial"/>
          <w:color w:val="auto"/>
        </w:rPr>
        <w:t>pretende</w:t>
      </w:r>
      <w:r w:rsidR="00A375EC" w:rsidRPr="00A375EC">
        <w:rPr>
          <w:rFonts w:ascii="Century Gothic" w:eastAsia="Calibri" w:hAnsi="Century Gothic" w:cs="Arial"/>
          <w:color w:val="auto"/>
        </w:rPr>
        <w:t xml:space="preserve"> reformar el artículo 180 Bis del Código Penal del Estado de Chihuahua, con el propósito de incrementar la pena </w:t>
      </w:r>
      <w:r w:rsidR="00C37C12">
        <w:rPr>
          <w:rFonts w:ascii="Century Gothic" w:eastAsia="Calibri" w:hAnsi="Century Gothic" w:cs="Arial"/>
          <w:color w:val="auto"/>
        </w:rPr>
        <w:t>en</w:t>
      </w:r>
      <w:r w:rsidR="00A375EC" w:rsidRPr="00A375EC">
        <w:rPr>
          <w:rFonts w:ascii="Century Gothic" w:eastAsia="Calibri" w:hAnsi="Century Gothic" w:cs="Arial"/>
          <w:color w:val="auto"/>
        </w:rPr>
        <w:t xml:space="preserve"> los delitos en contra de la intimidad sexual.</w:t>
      </w:r>
    </w:p>
    <w:p w14:paraId="6766068D" w14:textId="501647EE" w:rsidR="0078432D" w:rsidRDefault="0078432D" w:rsidP="0078432D">
      <w:pPr>
        <w:pStyle w:val="Normal1"/>
        <w:spacing w:line="360" w:lineRule="auto"/>
        <w:ind w:right="51"/>
        <w:contextualSpacing/>
        <w:jc w:val="both"/>
        <w:rPr>
          <w:rFonts w:ascii="Century Gothic" w:eastAsia="Calibri" w:hAnsi="Century Gothic" w:cs="Arial"/>
          <w:color w:val="auto"/>
        </w:rPr>
      </w:pPr>
    </w:p>
    <w:p w14:paraId="01D26735" w14:textId="57AC88A5" w:rsidR="0078432D" w:rsidRDefault="0078432D" w:rsidP="0078432D">
      <w:pPr>
        <w:pStyle w:val="Normal1"/>
        <w:spacing w:line="360" w:lineRule="auto"/>
        <w:ind w:right="51"/>
        <w:contextualSpacing/>
        <w:jc w:val="both"/>
        <w:rPr>
          <w:rFonts w:ascii="Century Gothic" w:eastAsia="Calibri" w:hAnsi="Century Gothic" w:cs="Arial"/>
          <w:color w:val="auto"/>
        </w:rPr>
      </w:pPr>
      <w:r>
        <w:rPr>
          <w:rFonts w:ascii="Century Gothic" w:eastAsia="Calibri" w:hAnsi="Century Gothic" w:cs="Arial"/>
          <w:color w:val="auto"/>
        </w:rPr>
        <w:t xml:space="preserve">Exponiendo entre otras cuestiones, que el despliegue conductual delictivo en contra de la intimidad de las personas, vulnera el bien jurídico de forma tal que el daño puede llegar a ser irreparable. </w:t>
      </w:r>
    </w:p>
    <w:p w14:paraId="38164D1A" w14:textId="4A98B8F5" w:rsidR="0078432D" w:rsidRDefault="0078432D" w:rsidP="0078432D">
      <w:pPr>
        <w:pStyle w:val="Normal1"/>
        <w:spacing w:line="360" w:lineRule="auto"/>
        <w:ind w:right="51"/>
        <w:contextualSpacing/>
        <w:jc w:val="both"/>
        <w:rPr>
          <w:rFonts w:ascii="Century Gothic" w:eastAsia="Calibri" w:hAnsi="Century Gothic" w:cs="Arial"/>
          <w:color w:val="auto"/>
        </w:rPr>
      </w:pPr>
    </w:p>
    <w:p w14:paraId="67C198B8" w14:textId="3FEA1322" w:rsidR="0078432D" w:rsidRDefault="0078432D" w:rsidP="0078432D">
      <w:pPr>
        <w:pStyle w:val="Normal1"/>
        <w:spacing w:line="360" w:lineRule="auto"/>
        <w:ind w:right="51"/>
        <w:contextualSpacing/>
        <w:jc w:val="both"/>
        <w:rPr>
          <w:rFonts w:ascii="Century Gothic" w:eastAsia="Calibri" w:hAnsi="Century Gothic" w:cs="Arial"/>
          <w:color w:val="auto"/>
        </w:rPr>
      </w:pPr>
      <w:r>
        <w:rPr>
          <w:rFonts w:ascii="Century Gothic" w:eastAsia="Calibri" w:hAnsi="Century Gothic" w:cs="Arial"/>
          <w:color w:val="auto"/>
        </w:rPr>
        <w:t>De igual forma refiere que, s</w:t>
      </w:r>
      <w:r w:rsidRPr="00A375EC">
        <w:rPr>
          <w:rFonts w:ascii="Century Gothic" w:eastAsia="Calibri" w:hAnsi="Century Gothic" w:cs="Arial"/>
          <w:color w:val="auto"/>
        </w:rPr>
        <w:t xml:space="preserve">egún datos del </w:t>
      </w:r>
      <w:r>
        <w:rPr>
          <w:rFonts w:ascii="Century Gothic" w:eastAsia="Calibri" w:hAnsi="Century Gothic" w:cs="Arial"/>
          <w:color w:val="auto"/>
        </w:rPr>
        <w:t>INEGI, en México</w:t>
      </w:r>
      <w:r w:rsidRPr="00A375EC">
        <w:rPr>
          <w:rFonts w:ascii="Century Gothic" w:eastAsia="Calibri" w:hAnsi="Century Gothic" w:cs="Arial"/>
          <w:color w:val="auto"/>
        </w:rPr>
        <w:t xml:space="preserve"> 9.7 millones de mujeres de 12 años en delante</w:t>
      </w:r>
      <w:r>
        <w:rPr>
          <w:rFonts w:ascii="Century Gothic" w:eastAsia="Calibri" w:hAnsi="Century Gothic" w:cs="Arial"/>
          <w:color w:val="auto"/>
        </w:rPr>
        <w:t xml:space="preserve"> y</w:t>
      </w:r>
      <w:r w:rsidRPr="00A375EC">
        <w:rPr>
          <w:rFonts w:ascii="Century Gothic" w:eastAsia="Calibri" w:hAnsi="Century Gothic" w:cs="Arial"/>
          <w:color w:val="auto"/>
        </w:rPr>
        <w:t xml:space="preserve"> 8 millones de hombres</w:t>
      </w:r>
      <w:r>
        <w:rPr>
          <w:rFonts w:ascii="Century Gothic" w:eastAsia="Calibri" w:hAnsi="Century Gothic" w:cs="Arial"/>
          <w:color w:val="auto"/>
        </w:rPr>
        <w:t xml:space="preserve"> </w:t>
      </w:r>
      <w:r w:rsidRPr="00A375EC">
        <w:rPr>
          <w:rFonts w:ascii="Century Gothic" w:eastAsia="Calibri" w:hAnsi="Century Gothic" w:cs="Arial"/>
          <w:color w:val="auto"/>
        </w:rPr>
        <w:t>fueron v</w:t>
      </w:r>
      <w:r>
        <w:rPr>
          <w:rFonts w:ascii="Century Gothic" w:eastAsia="Calibri" w:hAnsi="Century Gothic" w:cs="Arial"/>
          <w:color w:val="auto"/>
        </w:rPr>
        <w:t>í</w:t>
      </w:r>
      <w:r w:rsidRPr="00A375EC">
        <w:rPr>
          <w:rFonts w:ascii="Century Gothic" w:eastAsia="Calibri" w:hAnsi="Century Gothic" w:cs="Arial"/>
          <w:color w:val="auto"/>
        </w:rPr>
        <w:t>ctimas de ciber acoso</w:t>
      </w:r>
      <w:r>
        <w:rPr>
          <w:rFonts w:ascii="Century Gothic" w:eastAsia="Calibri" w:hAnsi="Century Gothic" w:cs="Arial"/>
          <w:color w:val="auto"/>
        </w:rPr>
        <w:t xml:space="preserve">. </w:t>
      </w:r>
    </w:p>
    <w:p w14:paraId="49D51891" w14:textId="77777777" w:rsidR="0078432D" w:rsidRDefault="0078432D" w:rsidP="0078432D">
      <w:pPr>
        <w:pStyle w:val="Normal1"/>
        <w:spacing w:line="360" w:lineRule="auto"/>
        <w:ind w:right="51"/>
        <w:contextualSpacing/>
        <w:jc w:val="both"/>
        <w:rPr>
          <w:rFonts w:ascii="Century Gothic" w:eastAsia="Calibri" w:hAnsi="Century Gothic" w:cs="Arial"/>
          <w:color w:val="auto"/>
        </w:rPr>
      </w:pPr>
    </w:p>
    <w:p w14:paraId="7215B43D" w14:textId="77777777" w:rsidR="0078432D" w:rsidRDefault="0078432D" w:rsidP="0078432D">
      <w:pPr>
        <w:pStyle w:val="Normal1"/>
        <w:spacing w:line="360" w:lineRule="auto"/>
        <w:ind w:right="51"/>
        <w:contextualSpacing/>
        <w:jc w:val="both"/>
        <w:rPr>
          <w:rFonts w:ascii="Century Gothic" w:eastAsia="Calibri" w:hAnsi="Century Gothic" w:cs="Arial"/>
          <w:color w:val="auto"/>
        </w:rPr>
      </w:pPr>
      <w:r>
        <w:rPr>
          <w:rFonts w:ascii="Century Gothic" w:eastAsia="Calibri" w:hAnsi="Century Gothic" w:cs="Arial"/>
          <w:color w:val="auto"/>
        </w:rPr>
        <w:t xml:space="preserve">Aunado, expresa que la penalidad privativa de libertad que contempla actualmente la legislación de Chihuahua para este delito, es muy baja, en comparación con lo establecido en el Código Penal Federal. </w:t>
      </w:r>
    </w:p>
    <w:p w14:paraId="1CE87217" w14:textId="77777777" w:rsidR="0078432D" w:rsidRDefault="0078432D" w:rsidP="0078432D">
      <w:pPr>
        <w:pStyle w:val="Normal1"/>
        <w:spacing w:line="360" w:lineRule="auto"/>
        <w:ind w:right="51"/>
        <w:contextualSpacing/>
        <w:jc w:val="both"/>
        <w:rPr>
          <w:rFonts w:ascii="Century Gothic" w:eastAsia="Calibri" w:hAnsi="Century Gothic" w:cs="Arial"/>
          <w:color w:val="auto"/>
        </w:rPr>
      </w:pPr>
    </w:p>
    <w:p w14:paraId="20585B2E" w14:textId="77777777" w:rsidR="0078432D" w:rsidRDefault="0078432D" w:rsidP="0078432D">
      <w:pPr>
        <w:pStyle w:val="Normal1"/>
        <w:spacing w:line="360" w:lineRule="auto"/>
        <w:ind w:right="51"/>
        <w:contextualSpacing/>
        <w:jc w:val="both"/>
        <w:rPr>
          <w:rFonts w:ascii="Century Gothic" w:eastAsia="Calibri" w:hAnsi="Century Gothic" w:cs="Arial"/>
          <w:color w:val="auto"/>
        </w:rPr>
      </w:pPr>
      <w:r>
        <w:rPr>
          <w:rFonts w:ascii="Century Gothic" w:eastAsia="Calibri" w:hAnsi="Century Gothic" w:cs="Arial"/>
          <w:color w:val="auto"/>
        </w:rPr>
        <w:t xml:space="preserve">Por ello propone armonizarse con el Código Penal Federal en su parte punitiva. </w:t>
      </w:r>
    </w:p>
    <w:p w14:paraId="5FEEC6FF" w14:textId="77777777" w:rsidR="0078432D" w:rsidRDefault="0078432D" w:rsidP="0078432D">
      <w:pPr>
        <w:pStyle w:val="Normal1"/>
        <w:spacing w:line="360" w:lineRule="auto"/>
        <w:ind w:right="51"/>
        <w:contextualSpacing/>
        <w:jc w:val="both"/>
        <w:rPr>
          <w:rFonts w:ascii="Century Gothic" w:eastAsia="Calibri" w:hAnsi="Century Gothic" w:cs="Arial"/>
          <w:color w:val="auto"/>
        </w:rPr>
      </w:pPr>
    </w:p>
    <w:p w14:paraId="393B3549" w14:textId="14FFDC7A" w:rsidR="00A375EC" w:rsidRPr="00A375EC" w:rsidRDefault="0078432D" w:rsidP="0078432D">
      <w:pPr>
        <w:pStyle w:val="Normal1"/>
        <w:spacing w:line="360" w:lineRule="auto"/>
        <w:ind w:right="51"/>
        <w:contextualSpacing/>
        <w:jc w:val="both"/>
        <w:rPr>
          <w:rFonts w:ascii="Century Gothic" w:eastAsia="Calibri" w:hAnsi="Century Gothic" w:cs="Arial"/>
          <w:color w:val="auto"/>
        </w:rPr>
      </w:pPr>
      <w:r w:rsidRPr="0078432D">
        <w:rPr>
          <w:rFonts w:ascii="Century Gothic" w:eastAsia="Calibri" w:hAnsi="Century Gothic" w:cs="Arial"/>
          <w:b/>
          <w:bCs/>
          <w:color w:val="auto"/>
        </w:rPr>
        <w:lastRenderedPageBreak/>
        <w:t xml:space="preserve">II.- </w:t>
      </w:r>
      <w:r w:rsidR="00A375EC" w:rsidRPr="00A375EC">
        <w:rPr>
          <w:rFonts w:ascii="Century Gothic" w:eastAsia="Calibri" w:hAnsi="Century Gothic" w:cs="Arial"/>
          <w:color w:val="auto"/>
        </w:rPr>
        <w:t>Si bien es cierto que el Código Penal Federal contempla una punibilidad</w:t>
      </w:r>
      <w:r>
        <w:rPr>
          <w:rFonts w:ascii="Century Gothic" w:eastAsia="Calibri" w:hAnsi="Century Gothic" w:cs="Arial"/>
          <w:color w:val="auto"/>
        </w:rPr>
        <w:t xml:space="preserve"> privativa de libertad</w:t>
      </w:r>
      <w:r w:rsidR="00A375EC" w:rsidRPr="00A375EC">
        <w:rPr>
          <w:rFonts w:ascii="Century Gothic" w:eastAsia="Calibri" w:hAnsi="Century Gothic" w:cs="Arial"/>
          <w:color w:val="auto"/>
        </w:rPr>
        <w:t xml:space="preserve"> </w:t>
      </w:r>
      <w:r w:rsidRPr="00A375EC">
        <w:rPr>
          <w:rFonts w:ascii="Century Gothic" w:eastAsia="Calibri" w:hAnsi="Century Gothic" w:cs="Arial"/>
          <w:color w:val="auto"/>
        </w:rPr>
        <w:t>más</w:t>
      </w:r>
      <w:r w:rsidR="00A375EC" w:rsidRPr="00A375EC">
        <w:rPr>
          <w:rFonts w:ascii="Century Gothic" w:eastAsia="Calibri" w:hAnsi="Century Gothic" w:cs="Arial"/>
          <w:color w:val="auto"/>
        </w:rPr>
        <w:t xml:space="preserve"> alta</w:t>
      </w:r>
      <w:r w:rsidR="00503A3B">
        <w:rPr>
          <w:rFonts w:ascii="Century Gothic" w:eastAsia="Calibri" w:hAnsi="Century Gothic" w:cs="Arial"/>
          <w:color w:val="auto"/>
        </w:rPr>
        <w:t xml:space="preserve"> para este delito</w:t>
      </w:r>
      <w:r w:rsidR="00A375EC" w:rsidRPr="00A375EC">
        <w:rPr>
          <w:rFonts w:ascii="Century Gothic" w:eastAsia="Calibri" w:hAnsi="Century Gothic" w:cs="Arial"/>
          <w:color w:val="auto"/>
        </w:rPr>
        <w:t xml:space="preserve">, también es cierto que </w:t>
      </w:r>
      <w:r w:rsidR="00503A3B">
        <w:rPr>
          <w:rFonts w:ascii="Century Gothic" w:eastAsia="Calibri" w:hAnsi="Century Gothic" w:cs="Arial"/>
          <w:color w:val="auto"/>
        </w:rPr>
        <w:t>las penas establecidas en nuestra legislación local,</w:t>
      </w:r>
      <w:r w:rsidR="00A375EC" w:rsidRPr="00A375EC">
        <w:rPr>
          <w:rFonts w:ascii="Century Gothic" w:eastAsia="Calibri" w:hAnsi="Century Gothic" w:cs="Arial"/>
          <w:color w:val="auto"/>
        </w:rPr>
        <w:t xml:space="preserve"> obedecen a un principio de proporcionalidad basado en un sistema punitivo en relación al bien jurídico tutelado y la magnitud del daño causado</w:t>
      </w:r>
      <w:r w:rsidR="00503A3B">
        <w:rPr>
          <w:rFonts w:ascii="Century Gothic" w:eastAsia="Calibri" w:hAnsi="Century Gothic" w:cs="Arial"/>
          <w:color w:val="auto"/>
        </w:rPr>
        <w:t>,</w:t>
      </w:r>
      <w:r w:rsidR="00A375EC" w:rsidRPr="00A375EC">
        <w:rPr>
          <w:rFonts w:ascii="Century Gothic" w:eastAsia="Calibri" w:hAnsi="Century Gothic" w:cs="Arial"/>
          <w:color w:val="auto"/>
        </w:rPr>
        <w:t xml:space="preserve"> y no necesariamente a las penas que se impongan en otras latitudes. </w:t>
      </w:r>
    </w:p>
    <w:p w14:paraId="2F77F69B" w14:textId="77777777" w:rsidR="00A375EC" w:rsidRPr="00A375EC" w:rsidRDefault="00A375EC" w:rsidP="0078432D">
      <w:pPr>
        <w:pStyle w:val="Normal1"/>
        <w:spacing w:line="360" w:lineRule="auto"/>
        <w:ind w:right="51"/>
        <w:contextualSpacing/>
        <w:jc w:val="both"/>
        <w:rPr>
          <w:rFonts w:ascii="Century Gothic" w:eastAsia="Calibri" w:hAnsi="Century Gothic" w:cs="Arial"/>
          <w:color w:val="auto"/>
        </w:rPr>
      </w:pPr>
    </w:p>
    <w:p w14:paraId="153E2EC1" w14:textId="4B13903D" w:rsidR="00503A3B" w:rsidRDefault="00A375EC" w:rsidP="0078432D">
      <w:pPr>
        <w:pStyle w:val="Normal1"/>
        <w:spacing w:line="360" w:lineRule="auto"/>
        <w:ind w:right="51"/>
        <w:contextualSpacing/>
        <w:jc w:val="both"/>
        <w:rPr>
          <w:rFonts w:ascii="Century Gothic" w:eastAsia="Calibri" w:hAnsi="Century Gothic" w:cs="Arial"/>
          <w:color w:val="auto"/>
        </w:rPr>
      </w:pPr>
      <w:r w:rsidRPr="00A375EC">
        <w:rPr>
          <w:rFonts w:ascii="Century Gothic" w:eastAsia="Calibri" w:hAnsi="Century Gothic" w:cs="Arial"/>
          <w:color w:val="auto"/>
        </w:rPr>
        <w:t xml:space="preserve">Sin </w:t>
      </w:r>
      <w:r w:rsidR="00503A3B" w:rsidRPr="00A375EC">
        <w:rPr>
          <w:rFonts w:ascii="Century Gothic" w:eastAsia="Calibri" w:hAnsi="Century Gothic" w:cs="Arial"/>
          <w:color w:val="auto"/>
        </w:rPr>
        <w:t>embargo,</w:t>
      </w:r>
      <w:r w:rsidRPr="00A375EC">
        <w:rPr>
          <w:rFonts w:ascii="Century Gothic" w:eastAsia="Calibri" w:hAnsi="Century Gothic" w:cs="Arial"/>
          <w:color w:val="auto"/>
        </w:rPr>
        <w:t xml:space="preserve"> basado en nuestro sistema punitivo en donde se ha considerado el abuso sexual como una conducta que daña </w:t>
      </w:r>
      <w:r w:rsidR="00503A3B" w:rsidRPr="00A375EC">
        <w:rPr>
          <w:rFonts w:ascii="Century Gothic" w:eastAsia="Calibri" w:hAnsi="Century Gothic" w:cs="Arial"/>
          <w:color w:val="auto"/>
        </w:rPr>
        <w:t>más</w:t>
      </w:r>
      <w:r w:rsidRPr="00A375EC">
        <w:rPr>
          <w:rFonts w:ascii="Century Gothic" w:eastAsia="Calibri" w:hAnsi="Century Gothic" w:cs="Arial"/>
          <w:color w:val="auto"/>
        </w:rPr>
        <w:t xml:space="preserve"> el bien jurídico que lo delitos contra la intimidad</w:t>
      </w:r>
      <w:r w:rsidR="00503A3B">
        <w:rPr>
          <w:rStyle w:val="Refdenotaalpie"/>
          <w:rFonts w:ascii="Century Gothic" w:eastAsia="Calibri" w:hAnsi="Century Gothic" w:cs="Arial"/>
          <w:color w:val="auto"/>
        </w:rPr>
        <w:footnoteReference w:id="1"/>
      </w:r>
      <w:r w:rsidR="00503A3B">
        <w:rPr>
          <w:rFonts w:ascii="Century Gothic" w:eastAsia="Calibri" w:hAnsi="Century Gothic" w:cs="Arial"/>
          <w:color w:val="auto"/>
        </w:rPr>
        <w:t xml:space="preserve"> -</w:t>
      </w:r>
      <w:r w:rsidRPr="00A375EC">
        <w:rPr>
          <w:rFonts w:ascii="Century Gothic" w:eastAsia="Calibri" w:hAnsi="Century Gothic" w:cs="Arial"/>
          <w:color w:val="auto"/>
        </w:rPr>
        <w:t>lo cual sería motivo de otro debate el cuestionar está estructura en los delitos sexuales en virtud de las consecuencias generadas al desplegar la conducta lesiva</w:t>
      </w:r>
      <w:r w:rsidR="00503A3B">
        <w:rPr>
          <w:rFonts w:ascii="Century Gothic" w:eastAsia="Calibri" w:hAnsi="Century Gothic" w:cs="Arial"/>
          <w:color w:val="auto"/>
        </w:rPr>
        <w:t xml:space="preserve">, en torno a la difícil reparación del daño en las </w:t>
      </w:r>
      <w:r w:rsidR="00487C9F">
        <w:rPr>
          <w:rFonts w:ascii="Century Gothic" w:eastAsia="Calibri" w:hAnsi="Century Gothic" w:cs="Arial"/>
          <w:color w:val="auto"/>
        </w:rPr>
        <w:t>víctimas</w:t>
      </w:r>
      <w:r w:rsidR="00503A3B">
        <w:rPr>
          <w:rFonts w:ascii="Century Gothic" w:eastAsia="Calibri" w:hAnsi="Century Gothic" w:cs="Arial"/>
          <w:color w:val="auto"/>
        </w:rPr>
        <w:t xml:space="preserve"> de</w:t>
      </w:r>
      <w:r w:rsidR="00487C9F">
        <w:rPr>
          <w:rFonts w:ascii="Century Gothic" w:eastAsia="Calibri" w:hAnsi="Century Gothic" w:cs="Arial"/>
          <w:color w:val="auto"/>
        </w:rPr>
        <w:t xml:space="preserve">l </w:t>
      </w:r>
      <w:r w:rsidR="00503A3B">
        <w:rPr>
          <w:rFonts w:ascii="Century Gothic" w:eastAsia="Calibri" w:hAnsi="Century Gothic" w:cs="Arial"/>
          <w:color w:val="auto"/>
        </w:rPr>
        <w:t>delito contra la intimidad-</w:t>
      </w:r>
      <w:r w:rsidR="00487C9F">
        <w:rPr>
          <w:rFonts w:ascii="Century Gothic" w:eastAsia="Calibri" w:hAnsi="Century Gothic" w:cs="Arial"/>
          <w:color w:val="auto"/>
        </w:rPr>
        <w:t>, difícilmente podríamos aumentar las penas y sobrepasar las contempladas para el abuso sexual y la violación</w:t>
      </w:r>
      <w:r w:rsidR="00503A3B">
        <w:rPr>
          <w:rFonts w:ascii="Century Gothic" w:eastAsia="Calibri" w:hAnsi="Century Gothic" w:cs="Arial"/>
          <w:color w:val="auto"/>
        </w:rPr>
        <w:t>.</w:t>
      </w:r>
    </w:p>
    <w:p w14:paraId="1008C37F" w14:textId="77777777" w:rsidR="00503A3B" w:rsidRPr="00A375EC" w:rsidRDefault="00503A3B" w:rsidP="0078432D">
      <w:pPr>
        <w:pStyle w:val="Normal1"/>
        <w:spacing w:line="360" w:lineRule="auto"/>
        <w:ind w:right="51"/>
        <w:contextualSpacing/>
        <w:jc w:val="both"/>
        <w:rPr>
          <w:rFonts w:ascii="Century Gothic" w:eastAsia="Calibri" w:hAnsi="Century Gothic" w:cs="Arial"/>
          <w:color w:val="auto"/>
        </w:rPr>
      </w:pPr>
    </w:p>
    <w:p w14:paraId="7725D392" w14:textId="01546ED5" w:rsidR="00487C9F" w:rsidRDefault="00A375EC" w:rsidP="0078432D">
      <w:pPr>
        <w:pStyle w:val="Normal1"/>
        <w:spacing w:line="360" w:lineRule="auto"/>
        <w:ind w:right="51"/>
        <w:contextualSpacing/>
        <w:jc w:val="both"/>
        <w:rPr>
          <w:rFonts w:ascii="Century Gothic" w:eastAsia="Calibri" w:hAnsi="Century Gothic" w:cs="Arial"/>
          <w:color w:val="auto"/>
        </w:rPr>
      </w:pPr>
      <w:r w:rsidRPr="00A375EC">
        <w:rPr>
          <w:rFonts w:ascii="Century Gothic" w:eastAsia="Calibri" w:hAnsi="Century Gothic" w:cs="Arial"/>
          <w:color w:val="auto"/>
        </w:rPr>
        <w:t xml:space="preserve">Aun así, para el estudio que hoy nos atañe, tomando en consideración parte de las consecuencias de este delito y que visibiliza la iniciativa, es decir, que este tipo de </w:t>
      </w:r>
      <w:r w:rsidR="00487C9F">
        <w:rPr>
          <w:rFonts w:ascii="Century Gothic" w:eastAsia="Calibri" w:hAnsi="Century Gothic" w:cs="Arial"/>
          <w:color w:val="auto"/>
        </w:rPr>
        <w:t>conductas</w:t>
      </w:r>
      <w:r w:rsidRPr="00A375EC">
        <w:rPr>
          <w:rFonts w:ascii="Century Gothic" w:eastAsia="Calibri" w:hAnsi="Century Gothic" w:cs="Arial"/>
          <w:color w:val="auto"/>
        </w:rPr>
        <w:t xml:space="preserve"> podrían generar consecuencias irreparables; en algunos casos, cuando menos, las v</w:t>
      </w:r>
      <w:r w:rsidR="00487C9F">
        <w:rPr>
          <w:rFonts w:ascii="Century Gothic" w:eastAsia="Calibri" w:hAnsi="Century Gothic" w:cs="Arial"/>
          <w:color w:val="auto"/>
        </w:rPr>
        <w:t>í</w:t>
      </w:r>
      <w:r w:rsidRPr="00A375EC">
        <w:rPr>
          <w:rFonts w:ascii="Century Gothic" w:eastAsia="Calibri" w:hAnsi="Century Gothic" w:cs="Arial"/>
          <w:color w:val="auto"/>
        </w:rPr>
        <w:t>ctimas han intentado suicidarse</w:t>
      </w:r>
      <w:r w:rsidR="00487C9F">
        <w:rPr>
          <w:rFonts w:ascii="Century Gothic" w:eastAsia="Calibri" w:hAnsi="Century Gothic" w:cs="Arial"/>
          <w:color w:val="auto"/>
        </w:rPr>
        <w:t>;</w:t>
      </w:r>
      <w:r w:rsidRPr="00A375EC">
        <w:rPr>
          <w:rFonts w:ascii="Century Gothic" w:eastAsia="Calibri" w:hAnsi="Century Gothic" w:cs="Arial"/>
          <w:color w:val="auto"/>
        </w:rPr>
        <w:t xml:space="preserve"> y las niñas, niños y adolescentes son v</w:t>
      </w:r>
      <w:r w:rsidR="00487C9F">
        <w:rPr>
          <w:rFonts w:ascii="Century Gothic" w:eastAsia="Calibri" w:hAnsi="Century Gothic" w:cs="Arial"/>
          <w:color w:val="auto"/>
        </w:rPr>
        <w:t>í</w:t>
      </w:r>
      <w:r w:rsidRPr="00A375EC">
        <w:rPr>
          <w:rFonts w:ascii="Century Gothic" w:eastAsia="Calibri" w:hAnsi="Century Gothic" w:cs="Arial"/>
          <w:color w:val="auto"/>
        </w:rPr>
        <w:t>ctimas de est</w:t>
      </w:r>
      <w:r w:rsidR="00487C9F">
        <w:rPr>
          <w:rFonts w:ascii="Century Gothic" w:eastAsia="Calibri" w:hAnsi="Century Gothic" w:cs="Arial"/>
          <w:color w:val="auto"/>
        </w:rPr>
        <w:t>a vulneración</w:t>
      </w:r>
      <w:r w:rsidR="00C37C12">
        <w:rPr>
          <w:rFonts w:ascii="Century Gothic" w:eastAsia="Calibri" w:hAnsi="Century Gothic" w:cs="Arial"/>
          <w:color w:val="auto"/>
        </w:rPr>
        <w:t>,</w:t>
      </w:r>
      <w:r w:rsidR="00487C9F">
        <w:rPr>
          <w:rFonts w:ascii="Century Gothic" w:eastAsia="Calibri" w:hAnsi="Century Gothic" w:cs="Arial"/>
          <w:color w:val="auto"/>
        </w:rPr>
        <w:t xml:space="preserve"> </w:t>
      </w:r>
      <w:r w:rsidR="00487C9F">
        <w:rPr>
          <w:rFonts w:ascii="Century Gothic" w:eastAsia="Calibri" w:hAnsi="Century Gothic" w:cs="Arial"/>
          <w:color w:val="auto"/>
        </w:rPr>
        <w:lastRenderedPageBreak/>
        <w:t xml:space="preserve">es se podría justificar el aumento de penas, respetando el principio de proporcionalidad, sin necesidad de restructurar la gama de delitos sexuales. </w:t>
      </w:r>
    </w:p>
    <w:p w14:paraId="0BC0EF29" w14:textId="03A3B93C" w:rsidR="00487C9F" w:rsidRDefault="00487C9F" w:rsidP="0078432D">
      <w:pPr>
        <w:pStyle w:val="Normal1"/>
        <w:spacing w:line="360" w:lineRule="auto"/>
        <w:ind w:right="51"/>
        <w:contextualSpacing/>
        <w:jc w:val="both"/>
        <w:rPr>
          <w:rFonts w:ascii="Century Gothic" w:eastAsia="Calibri" w:hAnsi="Century Gothic" w:cs="Arial"/>
          <w:color w:val="auto"/>
        </w:rPr>
      </w:pPr>
    </w:p>
    <w:p w14:paraId="3B05F542" w14:textId="77824B28" w:rsidR="00487C9F" w:rsidRDefault="00903348" w:rsidP="0078432D">
      <w:pPr>
        <w:pStyle w:val="Normal1"/>
        <w:spacing w:line="360" w:lineRule="auto"/>
        <w:ind w:right="51"/>
        <w:contextualSpacing/>
        <w:jc w:val="both"/>
        <w:rPr>
          <w:rFonts w:ascii="Century Gothic" w:eastAsia="Calibri" w:hAnsi="Century Gothic" w:cs="Arial"/>
          <w:color w:val="auto"/>
        </w:rPr>
      </w:pPr>
      <w:r w:rsidRPr="00903348">
        <w:rPr>
          <w:rFonts w:ascii="Century Gothic" w:eastAsia="Calibri" w:hAnsi="Century Gothic" w:cs="Arial"/>
          <w:b/>
          <w:bCs/>
          <w:color w:val="auto"/>
        </w:rPr>
        <w:t xml:space="preserve">III.- </w:t>
      </w:r>
      <w:r w:rsidR="00487C9F">
        <w:rPr>
          <w:rFonts w:ascii="Century Gothic" w:eastAsia="Calibri" w:hAnsi="Century Gothic" w:cs="Arial"/>
          <w:color w:val="auto"/>
        </w:rPr>
        <w:t xml:space="preserve">Por ello, es importante visibilizar </w:t>
      </w:r>
      <w:r>
        <w:rPr>
          <w:rFonts w:ascii="Century Gothic" w:eastAsia="Calibri" w:hAnsi="Century Gothic" w:cs="Arial"/>
          <w:color w:val="auto"/>
        </w:rPr>
        <w:t xml:space="preserve">dos reflexiones de la Suprema Corte de Justicia de la Nación. </w:t>
      </w:r>
    </w:p>
    <w:p w14:paraId="07152D24" w14:textId="77777777" w:rsidR="00487C9F" w:rsidRDefault="00487C9F" w:rsidP="0078432D">
      <w:pPr>
        <w:pStyle w:val="Normal1"/>
        <w:spacing w:line="360" w:lineRule="auto"/>
        <w:ind w:right="51"/>
        <w:contextualSpacing/>
        <w:jc w:val="both"/>
        <w:rPr>
          <w:rFonts w:ascii="Century Gothic" w:eastAsia="Calibri" w:hAnsi="Century Gothic" w:cs="Arial"/>
          <w:color w:val="auto"/>
        </w:rPr>
      </w:pPr>
    </w:p>
    <w:p w14:paraId="2EEBD065" w14:textId="73C42189" w:rsidR="00A375EC" w:rsidRDefault="00903348" w:rsidP="0078432D">
      <w:pPr>
        <w:pStyle w:val="Normal1"/>
        <w:spacing w:line="360" w:lineRule="auto"/>
        <w:ind w:right="51"/>
        <w:contextualSpacing/>
        <w:jc w:val="both"/>
        <w:rPr>
          <w:rFonts w:ascii="Century Gothic" w:hAnsi="Century Gothic" w:cs="Arial"/>
          <w:lang w:val="es-MX"/>
        </w:rPr>
      </w:pPr>
      <w:r>
        <w:rPr>
          <w:rFonts w:ascii="Century Gothic" w:eastAsia="Calibri" w:hAnsi="Century Gothic" w:cs="Arial"/>
          <w:color w:val="auto"/>
        </w:rPr>
        <w:t xml:space="preserve">La primera, deriva de </w:t>
      </w:r>
      <w:r w:rsidR="00ED1ED3">
        <w:rPr>
          <w:rFonts w:ascii="Century Gothic" w:eastAsia="Calibri" w:hAnsi="Century Gothic" w:cs="Arial"/>
          <w:color w:val="auto"/>
        </w:rPr>
        <w:t>la</w:t>
      </w:r>
      <w:r>
        <w:rPr>
          <w:rFonts w:ascii="Century Gothic" w:eastAsia="Calibri" w:hAnsi="Century Gothic" w:cs="Arial"/>
          <w:color w:val="auto"/>
        </w:rPr>
        <w:t xml:space="preserve"> Jurisprudencia </w:t>
      </w:r>
      <w:r w:rsidR="00ED1ED3">
        <w:rPr>
          <w:rFonts w:ascii="Century Gothic" w:eastAsia="Calibri" w:hAnsi="Century Gothic" w:cs="Arial"/>
          <w:color w:val="auto"/>
        </w:rPr>
        <w:t>bajo la voz “</w:t>
      </w:r>
      <w:r w:rsidR="00ED1ED3" w:rsidRPr="00ED1ED3">
        <w:rPr>
          <w:rFonts w:ascii="Century Gothic" w:hAnsi="Century Gothic" w:cs="Arial"/>
          <w:lang w:val="x-none"/>
        </w:rPr>
        <w:t>SUSPENSIÓN CONDICIONAL DEL PROCESO. LA LIMITANTE PARA CONCEDERLA, RELATIVA A QUE EL AUTO DE VINCULACIÓN A PROCESO SE HAYA DICTADO POR UN DELITO CUYA MEDIA ARITMÉTICA NO EXCEDA LOS CINCO AÑOS DE PRISIÓN, NO VULNERA EL DERECHO DE ACCESO A LA JUSTICIA</w:t>
      </w:r>
      <w:r w:rsidR="00ED1ED3">
        <w:rPr>
          <w:rFonts w:ascii="Century Gothic" w:hAnsi="Century Gothic" w:cs="Arial"/>
          <w:lang w:val="es-MX"/>
        </w:rPr>
        <w:t>”</w:t>
      </w:r>
      <w:r w:rsidR="00ED1ED3" w:rsidRPr="00ED1ED3">
        <w:rPr>
          <w:rFonts w:ascii="Century Gothic" w:hAnsi="Century Gothic" w:cs="Arial"/>
          <w:lang w:val="x-none"/>
        </w:rPr>
        <w:t>.</w:t>
      </w:r>
      <w:r w:rsidR="00ED1ED3">
        <w:rPr>
          <w:rStyle w:val="Refdenotaalpie"/>
          <w:rFonts w:ascii="Century Gothic" w:eastAsia="Calibri" w:hAnsi="Century Gothic" w:cs="Arial"/>
          <w:color w:val="auto"/>
        </w:rPr>
        <w:footnoteReference w:id="2"/>
      </w:r>
      <w:r w:rsidR="00ED1ED3">
        <w:rPr>
          <w:rFonts w:ascii="Century Gothic" w:hAnsi="Century Gothic" w:cs="Arial"/>
          <w:lang w:val="es-MX"/>
        </w:rPr>
        <w:t xml:space="preserve"> De la cual se resalta la siguiente reflexión: </w:t>
      </w:r>
    </w:p>
    <w:p w14:paraId="46478054" w14:textId="4012DE39" w:rsidR="00ED1ED3" w:rsidRDefault="00ED1ED3" w:rsidP="0078432D">
      <w:pPr>
        <w:pStyle w:val="Normal1"/>
        <w:spacing w:line="360" w:lineRule="auto"/>
        <w:ind w:right="51"/>
        <w:contextualSpacing/>
        <w:jc w:val="both"/>
        <w:rPr>
          <w:rFonts w:ascii="Century Gothic" w:hAnsi="Century Gothic" w:cs="Arial"/>
          <w:lang w:val="es-MX"/>
        </w:rPr>
      </w:pPr>
    </w:p>
    <w:p w14:paraId="2EE40407" w14:textId="7C7A5C96" w:rsidR="00ED1ED3" w:rsidRPr="00A375EC" w:rsidRDefault="00ED1ED3" w:rsidP="0078432D">
      <w:pPr>
        <w:pStyle w:val="Normal1"/>
        <w:spacing w:line="360" w:lineRule="auto"/>
        <w:ind w:right="51"/>
        <w:contextualSpacing/>
        <w:jc w:val="both"/>
        <w:rPr>
          <w:rFonts w:ascii="Century Gothic" w:hAnsi="Century Gothic" w:cs="Arial"/>
          <w:lang w:val="es-MX"/>
        </w:rPr>
      </w:pPr>
      <w:r>
        <w:rPr>
          <w:rFonts w:ascii="Century Gothic" w:hAnsi="Century Gothic" w:cs="Arial"/>
          <w:lang w:val="es-MX"/>
        </w:rPr>
        <w:t xml:space="preserve">“... </w:t>
      </w:r>
      <w:r w:rsidRPr="00ED1ED3">
        <w:rPr>
          <w:rFonts w:ascii="Century Gothic" w:hAnsi="Century Gothic" w:cs="Arial"/>
          <w:i/>
          <w:iCs/>
          <w:lang w:val="es-MX"/>
        </w:rPr>
        <w:t xml:space="preserve">de la Constitución Política de los Estados Unidos Mexicanos deriva una forma de administración de justicia más ágil a través de la utilización de mecanismos alternos de solución de controversias, el cual no se previó como un derecho generalizado, sino que delegó en el legislador secundario la instrumentación de su aplicación en atención a la naturaleza de los derechos tutelados en la norma penal. Ese tipo de mecanismos busca conseguir una restauración efectiva a los efectos producidos por el delito, la cual debe permitir a las partes en conflicto el conciliar sus intereses </w:t>
      </w:r>
      <w:r>
        <w:rPr>
          <w:rFonts w:ascii="Century Gothic" w:hAnsi="Century Gothic" w:cs="Arial"/>
          <w:lang w:val="es-MX"/>
        </w:rPr>
        <w:t>...”</w:t>
      </w:r>
    </w:p>
    <w:p w14:paraId="7C546440" w14:textId="7D3ED7EE" w:rsidR="00A375EC" w:rsidRDefault="00A375EC" w:rsidP="0078432D">
      <w:pPr>
        <w:pStyle w:val="Normal1"/>
        <w:spacing w:line="360" w:lineRule="auto"/>
        <w:ind w:right="51"/>
        <w:contextualSpacing/>
        <w:jc w:val="both"/>
        <w:rPr>
          <w:rFonts w:ascii="Century Gothic" w:eastAsia="Calibri" w:hAnsi="Century Gothic" w:cs="Arial"/>
          <w:color w:val="auto"/>
        </w:rPr>
      </w:pPr>
    </w:p>
    <w:p w14:paraId="4328794B" w14:textId="56C192F3" w:rsidR="00ED1ED3" w:rsidRPr="00ED1ED3" w:rsidRDefault="00ED1ED3" w:rsidP="0078432D">
      <w:pPr>
        <w:pStyle w:val="Normal1"/>
        <w:spacing w:line="360" w:lineRule="auto"/>
        <w:ind w:right="51"/>
        <w:contextualSpacing/>
        <w:jc w:val="both"/>
        <w:rPr>
          <w:rFonts w:ascii="Century Gothic" w:eastAsia="Calibri" w:hAnsi="Century Gothic" w:cs="Arial"/>
          <w:color w:val="auto"/>
        </w:rPr>
      </w:pPr>
      <w:r>
        <w:rPr>
          <w:rFonts w:ascii="Century Gothic" w:eastAsia="Calibri" w:hAnsi="Century Gothic" w:cs="Arial"/>
          <w:color w:val="auto"/>
        </w:rPr>
        <w:t xml:space="preserve">La segunda reflexión, proviene de la </w:t>
      </w:r>
      <w:bookmarkStart w:id="1" w:name="_Hlk171611065"/>
      <w:r w:rsidR="00A375EC" w:rsidRPr="00A375EC">
        <w:rPr>
          <w:rFonts w:ascii="Century Gothic" w:eastAsia="Calibri" w:hAnsi="Century Gothic" w:cs="Arial"/>
          <w:color w:val="auto"/>
        </w:rPr>
        <w:t>Acción de Inconstitucionalidad 39/2015</w:t>
      </w:r>
      <w:bookmarkEnd w:id="1"/>
      <w:r w:rsidR="00A375EC" w:rsidRPr="00A375EC">
        <w:rPr>
          <w:rFonts w:ascii="Century Gothic" w:eastAsia="Calibri" w:hAnsi="Century Gothic" w:cs="Arial"/>
          <w:color w:val="auto"/>
        </w:rPr>
        <w:t xml:space="preserve">, </w:t>
      </w:r>
      <w:r>
        <w:rPr>
          <w:rFonts w:ascii="Century Gothic" w:eastAsia="Calibri" w:hAnsi="Century Gothic" w:cs="Arial"/>
          <w:color w:val="auto"/>
        </w:rPr>
        <w:t xml:space="preserve">cuando se cuestiona si </w:t>
      </w:r>
      <w:r>
        <w:rPr>
          <w:rFonts w:ascii="Century Gothic" w:eastAsia="Calibri" w:hAnsi="Century Gothic" w:cs="Arial"/>
          <w:color w:val="auto"/>
          <w:lang w:val="es-MX"/>
        </w:rPr>
        <w:t>e</w:t>
      </w:r>
      <w:r w:rsidRPr="00A375EC">
        <w:rPr>
          <w:rFonts w:ascii="Century Gothic" w:eastAsia="Calibri" w:hAnsi="Century Gothic" w:cs="Arial"/>
          <w:color w:val="auto"/>
          <w:lang w:val="es-MX"/>
        </w:rPr>
        <w:t xml:space="preserve">xponer en medios de comunicación a </w:t>
      </w:r>
      <w:r w:rsidRPr="00A375EC">
        <w:rPr>
          <w:rFonts w:ascii="Century Gothic" w:eastAsia="Calibri" w:hAnsi="Century Gothic" w:cs="Arial"/>
          <w:color w:val="auto"/>
          <w:lang w:val="es-MX"/>
        </w:rPr>
        <w:lastRenderedPageBreak/>
        <w:t>menores de edad sujetos al sistema integral de justicia para adolescentes cuando exista el consentimiento respectivo, ¿vulnera el interés superior de la niñez en relación con el principio de autonomía personal?</w:t>
      </w:r>
      <w:r>
        <w:rPr>
          <w:rFonts w:ascii="Century Gothic" w:eastAsia="Calibri" w:hAnsi="Century Gothic" w:cs="Arial"/>
          <w:color w:val="auto"/>
          <w:lang w:val="es-MX"/>
        </w:rPr>
        <w:t xml:space="preserve">, a lo que responde el Pleno de la Suprema Corte de Justicia lo siguiente: </w:t>
      </w:r>
    </w:p>
    <w:p w14:paraId="32BD228C" w14:textId="77777777" w:rsidR="00A375EC" w:rsidRPr="00A375EC" w:rsidRDefault="00A375EC" w:rsidP="0078432D">
      <w:pPr>
        <w:pStyle w:val="Normal1"/>
        <w:spacing w:line="360" w:lineRule="auto"/>
        <w:ind w:right="51"/>
        <w:contextualSpacing/>
        <w:jc w:val="both"/>
        <w:rPr>
          <w:rFonts w:ascii="Century Gothic" w:eastAsia="Calibri" w:hAnsi="Century Gothic" w:cs="Arial"/>
          <w:color w:val="auto"/>
        </w:rPr>
      </w:pPr>
    </w:p>
    <w:p w14:paraId="1CE32197" w14:textId="1233DA1D" w:rsidR="00A375EC" w:rsidRDefault="00A375EC" w:rsidP="0078432D">
      <w:pPr>
        <w:pStyle w:val="Normal1"/>
        <w:spacing w:line="360" w:lineRule="auto"/>
        <w:ind w:right="51"/>
        <w:contextualSpacing/>
        <w:jc w:val="both"/>
        <w:rPr>
          <w:rFonts w:ascii="Century Gothic" w:eastAsia="Calibri" w:hAnsi="Century Gothic" w:cs="Arial"/>
          <w:color w:val="auto"/>
        </w:rPr>
      </w:pPr>
      <w:r w:rsidRPr="00A375EC">
        <w:rPr>
          <w:rFonts w:ascii="Century Gothic" w:eastAsia="Calibri" w:hAnsi="Century Gothic" w:cs="Arial"/>
          <w:color w:val="auto"/>
        </w:rPr>
        <w:t xml:space="preserve"> </w:t>
      </w:r>
      <w:r w:rsidR="00CC382B">
        <w:rPr>
          <w:rFonts w:ascii="Century Gothic" w:eastAsia="Calibri" w:hAnsi="Century Gothic" w:cs="Arial"/>
          <w:color w:val="auto"/>
        </w:rPr>
        <w:t>“</w:t>
      </w:r>
      <w:r w:rsidRPr="00A375EC">
        <w:rPr>
          <w:rFonts w:ascii="Century Gothic" w:eastAsia="Calibri" w:hAnsi="Century Gothic" w:cs="Arial"/>
          <w:color w:val="auto"/>
        </w:rPr>
        <w:t xml:space="preserve">... </w:t>
      </w:r>
      <w:r w:rsidRPr="00A375EC">
        <w:rPr>
          <w:rFonts w:ascii="Century Gothic" w:eastAsia="Calibri" w:hAnsi="Century Gothic" w:cs="Arial"/>
          <w:i/>
          <w:iCs/>
          <w:color w:val="auto"/>
        </w:rPr>
        <w:t>al permitir su exposición a los medios de comunicación como presunto autor de un hecho delictivo, le estigmatiza de una manera difícil o imposible de reparar, esto es, deja en su historia de vida una marca prácticamente indeleble que con seguridad tendrá un impacto intenso en las posibilidades del menor de gozar en el futuro de autonomía personal, pues a raíz de esa exposición, el abanico de opciones de vida que puede elegir y materializar libremente se habrá cerrado considerablemente</w:t>
      </w:r>
      <w:r w:rsidRPr="00A375EC">
        <w:rPr>
          <w:rFonts w:ascii="Century Gothic" w:eastAsia="Calibri" w:hAnsi="Century Gothic" w:cs="Arial"/>
          <w:color w:val="auto"/>
        </w:rPr>
        <w:t>".</w:t>
      </w:r>
      <w:r w:rsidR="00CC382B">
        <w:rPr>
          <w:rStyle w:val="Refdenotaalpie"/>
          <w:rFonts w:ascii="Century Gothic" w:eastAsia="Calibri" w:hAnsi="Century Gothic" w:cs="Arial"/>
          <w:color w:val="auto"/>
        </w:rPr>
        <w:footnoteReference w:id="3"/>
      </w:r>
      <w:r w:rsidRPr="00A375EC">
        <w:rPr>
          <w:rFonts w:ascii="Century Gothic" w:eastAsia="Calibri" w:hAnsi="Century Gothic" w:cs="Arial"/>
          <w:color w:val="auto"/>
        </w:rPr>
        <w:t xml:space="preserve"> </w:t>
      </w:r>
    </w:p>
    <w:p w14:paraId="28413804" w14:textId="690EB93B" w:rsidR="00CC382B" w:rsidRDefault="00CC382B" w:rsidP="0078432D">
      <w:pPr>
        <w:pStyle w:val="Normal1"/>
        <w:spacing w:line="360" w:lineRule="auto"/>
        <w:ind w:right="51"/>
        <w:contextualSpacing/>
        <w:jc w:val="both"/>
        <w:rPr>
          <w:rFonts w:ascii="Century Gothic" w:eastAsia="Calibri" w:hAnsi="Century Gothic" w:cs="Arial"/>
          <w:color w:val="auto"/>
        </w:rPr>
      </w:pPr>
    </w:p>
    <w:p w14:paraId="3218FB8D" w14:textId="368E1D52" w:rsidR="00A375EC" w:rsidRPr="00A375EC" w:rsidRDefault="00CC382B" w:rsidP="00CC382B">
      <w:pPr>
        <w:pStyle w:val="Normal1"/>
        <w:spacing w:line="360" w:lineRule="auto"/>
        <w:ind w:right="51"/>
        <w:contextualSpacing/>
        <w:jc w:val="both"/>
        <w:rPr>
          <w:rFonts w:ascii="Century Gothic" w:eastAsia="Calibri" w:hAnsi="Century Gothic" w:cs="Arial"/>
          <w:color w:val="auto"/>
        </w:rPr>
      </w:pPr>
      <w:r w:rsidRPr="00CC382B">
        <w:rPr>
          <w:rFonts w:ascii="Century Gothic" w:eastAsia="Calibri" w:hAnsi="Century Gothic" w:cs="Arial"/>
          <w:b/>
          <w:bCs/>
          <w:color w:val="auto"/>
        </w:rPr>
        <w:t>IV.-</w:t>
      </w:r>
      <w:r>
        <w:rPr>
          <w:rFonts w:ascii="Century Gothic" w:eastAsia="Calibri" w:hAnsi="Century Gothic" w:cs="Arial"/>
          <w:color w:val="auto"/>
        </w:rPr>
        <w:t xml:space="preserve"> Las anteriores dos reflexiones, </w:t>
      </w:r>
      <w:r w:rsidR="00A375EC" w:rsidRPr="00A375EC">
        <w:rPr>
          <w:rFonts w:ascii="Century Gothic" w:eastAsia="Calibri" w:hAnsi="Century Gothic" w:cs="Arial"/>
          <w:color w:val="auto"/>
        </w:rPr>
        <w:t xml:space="preserve">con el aumento de penas en los delitos contra la intimidad, </w:t>
      </w:r>
      <w:r>
        <w:rPr>
          <w:rFonts w:ascii="Century Gothic" w:eastAsia="Calibri" w:hAnsi="Century Gothic" w:cs="Arial"/>
          <w:color w:val="auto"/>
        </w:rPr>
        <w:t>cobran relevancia por lo siguiente.</w:t>
      </w:r>
      <w:r w:rsidR="00A375EC" w:rsidRPr="00A375EC">
        <w:rPr>
          <w:rFonts w:ascii="Century Gothic" w:eastAsia="Calibri" w:hAnsi="Century Gothic" w:cs="Arial"/>
          <w:color w:val="auto"/>
        </w:rPr>
        <w:t xml:space="preserve"> </w:t>
      </w:r>
    </w:p>
    <w:p w14:paraId="0377299E" w14:textId="77777777" w:rsidR="00A375EC" w:rsidRPr="00A375EC" w:rsidRDefault="00A375EC" w:rsidP="0078432D">
      <w:pPr>
        <w:pStyle w:val="Normal1"/>
        <w:spacing w:line="360" w:lineRule="auto"/>
        <w:ind w:right="51"/>
        <w:contextualSpacing/>
        <w:jc w:val="both"/>
        <w:rPr>
          <w:rFonts w:ascii="Century Gothic" w:eastAsia="Calibri" w:hAnsi="Century Gothic" w:cs="Arial"/>
          <w:color w:val="auto"/>
        </w:rPr>
      </w:pPr>
    </w:p>
    <w:p w14:paraId="0D843A44" w14:textId="2BB4714E" w:rsidR="00A375EC" w:rsidRDefault="00A375EC" w:rsidP="0078432D">
      <w:pPr>
        <w:pStyle w:val="Normal1"/>
        <w:spacing w:line="360" w:lineRule="auto"/>
        <w:ind w:right="51"/>
        <w:contextualSpacing/>
        <w:jc w:val="both"/>
        <w:rPr>
          <w:rFonts w:ascii="Century Gothic" w:eastAsia="Calibri" w:hAnsi="Century Gothic" w:cs="Arial"/>
          <w:color w:val="auto"/>
        </w:rPr>
      </w:pPr>
      <w:r w:rsidRPr="00A375EC">
        <w:rPr>
          <w:rFonts w:ascii="Century Gothic" w:eastAsia="Calibri" w:hAnsi="Century Gothic" w:cs="Arial"/>
          <w:color w:val="auto"/>
        </w:rPr>
        <w:t xml:space="preserve">Sabemos que </w:t>
      </w:r>
      <w:r w:rsidR="00CC382B">
        <w:rPr>
          <w:rFonts w:ascii="Century Gothic" w:eastAsia="Calibri" w:hAnsi="Century Gothic" w:cs="Arial"/>
          <w:color w:val="auto"/>
        </w:rPr>
        <w:t xml:space="preserve">en </w:t>
      </w:r>
      <w:r w:rsidRPr="00A375EC">
        <w:rPr>
          <w:rFonts w:ascii="Century Gothic" w:eastAsia="Calibri" w:hAnsi="Century Gothic" w:cs="Arial"/>
          <w:color w:val="auto"/>
        </w:rPr>
        <w:t xml:space="preserve">este tipo de delitos </w:t>
      </w:r>
      <w:r w:rsidR="00CC382B">
        <w:rPr>
          <w:rFonts w:ascii="Century Gothic" w:eastAsia="Calibri" w:hAnsi="Century Gothic" w:cs="Arial"/>
          <w:color w:val="auto"/>
        </w:rPr>
        <w:t>es</w:t>
      </w:r>
      <w:r w:rsidRPr="00A375EC">
        <w:rPr>
          <w:rFonts w:ascii="Century Gothic" w:eastAsia="Calibri" w:hAnsi="Century Gothic" w:cs="Arial"/>
          <w:color w:val="auto"/>
        </w:rPr>
        <w:t xml:space="preserve"> difícil </w:t>
      </w:r>
      <w:r w:rsidR="00CC382B">
        <w:rPr>
          <w:rFonts w:ascii="Century Gothic" w:eastAsia="Calibri" w:hAnsi="Century Gothic" w:cs="Arial"/>
          <w:color w:val="auto"/>
        </w:rPr>
        <w:t xml:space="preserve">la </w:t>
      </w:r>
      <w:r w:rsidRPr="00A375EC">
        <w:rPr>
          <w:rFonts w:ascii="Century Gothic" w:eastAsia="Calibri" w:hAnsi="Century Gothic" w:cs="Arial"/>
          <w:color w:val="auto"/>
        </w:rPr>
        <w:t>reparación</w:t>
      </w:r>
      <w:r w:rsidR="00CC382B">
        <w:rPr>
          <w:rFonts w:ascii="Century Gothic" w:eastAsia="Calibri" w:hAnsi="Century Gothic" w:cs="Arial"/>
          <w:color w:val="auto"/>
        </w:rPr>
        <w:t xml:space="preserve"> del daño</w:t>
      </w:r>
      <w:r w:rsidRPr="00A375EC">
        <w:rPr>
          <w:rFonts w:ascii="Century Gothic" w:eastAsia="Calibri" w:hAnsi="Century Gothic" w:cs="Arial"/>
          <w:color w:val="auto"/>
        </w:rPr>
        <w:t xml:space="preserve">, y dejan </w:t>
      </w:r>
      <w:r w:rsidR="00CC382B">
        <w:rPr>
          <w:rFonts w:ascii="Century Gothic" w:eastAsia="Calibri" w:hAnsi="Century Gothic" w:cs="Arial"/>
          <w:color w:val="auto"/>
        </w:rPr>
        <w:t>en la</w:t>
      </w:r>
      <w:r w:rsidRPr="00A375EC">
        <w:rPr>
          <w:rFonts w:ascii="Century Gothic" w:eastAsia="Calibri" w:hAnsi="Century Gothic" w:cs="Arial"/>
          <w:color w:val="auto"/>
        </w:rPr>
        <w:t xml:space="preserve"> historia de vida</w:t>
      </w:r>
      <w:r w:rsidR="00CC382B">
        <w:rPr>
          <w:rFonts w:ascii="Century Gothic" w:eastAsia="Calibri" w:hAnsi="Century Gothic" w:cs="Arial"/>
          <w:color w:val="auto"/>
        </w:rPr>
        <w:t xml:space="preserve"> de la víctima</w:t>
      </w:r>
      <w:r w:rsidRPr="00A375EC">
        <w:rPr>
          <w:rFonts w:ascii="Century Gothic" w:eastAsia="Calibri" w:hAnsi="Century Gothic" w:cs="Arial"/>
          <w:color w:val="auto"/>
        </w:rPr>
        <w:t xml:space="preserve"> una marca prácticamente indeleble que con seguridad tendrá un impacto intenso en las posibilidades de gozar en el futuro de autonomía personal</w:t>
      </w:r>
      <w:r w:rsidR="000D47B2">
        <w:rPr>
          <w:rFonts w:ascii="Century Gothic" w:eastAsia="Calibri" w:hAnsi="Century Gothic" w:cs="Arial"/>
          <w:color w:val="auto"/>
        </w:rPr>
        <w:t xml:space="preserve">; ya que se expone públicamente su intimidad sexual. </w:t>
      </w:r>
    </w:p>
    <w:p w14:paraId="2CE6431D" w14:textId="77777777" w:rsidR="00CC382B" w:rsidRPr="00A375EC" w:rsidRDefault="00CC382B" w:rsidP="0078432D">
      <w:pPr>
        <w:pStyle w:val="Normal1"/>
        <w:spacing w:line="360" w:lineRule="auto"/>
        <w:ind w:right="51"/>
        <w:contextualSpacing/>
        <w:jc w:val="both"/>
        <w:rPr>
          <w:rFonts w:ascii="Century Gothic" w:eastAsia="Calibri" w:hAnsi="Century Gothic" w:cs="Arial"/>
          <w:color w:val="auto"/>
        </w:rPr>
      </w:pPr>
    </w:p>
    <w:p w14:paraId="1059605F" w14:textId="2AE4B916" w:rsidR="00CC382B" w:rsidRPr="00CC382B" w:rsidRDefault="00A375EC" w:rsidP="0078432D">
      <w:pPr>
        <w:pStyle w:val="Normal1"/>
        <w:spacing w:line="360" w:lineRule="auto"/>
        <w:ind w:right="51"/>
        <w:contextualSpacing/>
        <w:jc w:val="both"/>
        <w:rPr>
          <w:rFonts w:ascii="Century Gothic" w:eastAsia="Calibri" w:hAnsi="Century Gothic" w:cs="Arial"/>
          <w:color w:val="auto"/>
        </w:rPr>
      </w:pPr>
      <w:r w:rsidRPr="00A375EC">
        <w:rPr>
          <w:rFonts w:ascii="Century Gothic" w:eastAsia="Calibri" w:hAnsi="Century Gothic" w:cs="Arial"/>
          <w:color w:val="auto"/>
        </w:rPr>
        <w:t xml:space="preserve">Y actualmente, nuestro sistema punitivo, contempla una agravante cuando el delito se comete en contra </w:t>
      </w:r>
      <w:r w:rsidR="00CC382B" w:rsidRPr="00CC382B">
        <w:rPr>
          <w:rFonts w:ascii="Century Gothic" w:eastAsia="Calibri" w:hAnsi="Century Gothic" w:cs="Arial"/>
          <w:bCs/>
          <w:color w:val="auto"/>
          <w:lang w:val="es-ES_tradnl"/>
        </w:rPr>
        <w:t xml:space="preserve">de una persona menor de catorce años o que no tenga la capacidad de comprender el significado del hecho o que </w:t>
      </w:r>
      <w:r w:rsidR="00CC382B" w:rsidRPr="00CC382B">
        <w:rPr>
          <w:rFonts w:ascii="Century Gothic" w:eastAsia="Calibri" w:hAnsi="Century Gothic" w:cs="Arial"/>
          <w:bCs/>
          <w:color w:val="auto"/>
          <w:lang w:val="es-ES_tradnl"/>
        </w:rPr>
        <w:lastRenderedPageBreak/>
        <w:t>por cualquier causa no pueda resistirlo, a</w:t>
      </w:r>
      <w:r w:rsidR="00C37C12">
        <w:rPr>
          <w:rFonts w:ascii="Century Gothic" w:eastAsia="Calibri" w:hAnsi="Century Gothic" w:cs="Arial"/>
          <w:bCs/>
          <w:color w:val="auto"/>
          <w:lang w:val="es-ES_tradnl"/>
        </w:rPr>
        <w:t>ú</w:t>
      </w:r>
      <w:r w:rsidR="00CC382B" w:rsidRPr="00CC382B">
        <w:rPr>
          <w:rFonts w:ascii="Century Gothic" w:eastAsia="Calibri" w:hAnsi="Century Gothic" w:cs="Arial"/>
          <w:bCs/>
          <w:color w:val="auto"/>
          <w:lang w:val="es-ES_tradnl"/>
        </w:rPr>
        <w:t>n y cuando mediare su consentimiento</w:t>
      </w:r>
      <w:r w:rsidR="00CC382B">
        <w:rPr>
          <w:rFonts w:ascii="Century Gothic" w:eastAsia="Calibri" w:hAnsi="Century Gothic" w:cs="Arial"/>
          <w:bCs/>
          <w:color w:val="auto"/>
          <w:lang w:val="es-ES_tradnl"/>
        </w:rPr>
        <w:t>.</w:t>
      </w:r>
      <w:r w:rsidRPr="00A375EC">
        <w:rPr>
          <w:rFonts w:ascii="Century Gothic" w:eastAsia="Calibri" w:hAnsi="Century Gothic" w:cs="Arial"/>
          <w:color w:val="auto"/>
        </w:rPr>
        <w:t xml:space="preserve"> </w:t>
      </w:r>
      <w:r w:rsidR="00CC382B">
        <w:rPr>
          <w:rFonts w:ascii="Century Gothic" w:eastAsia="Calibri" w:hAnsi="Century Gothic" w:cs="Arial"/>
          <w:color w:val="auto"/>
        </w:rPr>
        <w:t>P</w:t>
      </w:r>
      <w:r w:rsidRPr="00A375EC">
        <w:rPr>
          <w:rFonts w:ascii="Century Gothic" w:eastAsia="Calibri" w:hAnsi="Century Gothic" w:cs="Arial"/>
          <w:color w:val="auto"/>
        </w:rPr>
        <w:t>ero esa agravante, permite, de acuerdo al</w:t>
      </w:r>
      <w:r w:rsidR="00CC382B">
        <w:rPr>
          <w:rFonts w:ascii="Century Gothic" w:eastAsia="Calibri" w:hAnsi="Century Gothic" w:cs="Arial"/>
          <w:color w:val="auto"/>
        </w:rPr>
        <w:t xml:space="preserve"> Código Nacional de Procedimientos Penales, </w:t>
      </w:r>
      <w:r w:rsidRPr="00A375EC">
        <w:rPr>
          <w:rFonts w:ascii="Century Gothic" w:eastAsia="Calibri" w:hAnsi="Century Gothic" w:cs="Arial"/>
          <w:color w:val="auto"/>
        </w:rPr>
        <w:t xml:space="preserve">la procedencia de la Suspensión </w:t>
      </w:r>
      <w:r w:rsidR="00CC382B">
        <w:rPr>
          <w:rFonts w:ascii="Century Gothic" w:eastAsia="Calibri" w:hAnsi="Century Gothic" w:cs="Arial"/>
          <w:color w:val="auto"/>
        </w:rPr>
        <w:t>C</w:t>
      </w:r>
      <w:r w:rsidRPr="00A375EC">
        <w:rPr>
          <w:rFonts w:ascii="Century Gothic" w:eastAsia="Calibri" w:hAnsi="Century Gothic" w:cs="Arial"/>
          <w:color w:val="auto"/>
        </w:rPr>
        <w:t>ondicional</w:t>
      </w:r>
      <w:r w:rsidR="00CC382B">
        <w:rPr>
          <w:rFonts w:ascii="Century Gothic" w:eastAsia="Calibri" w:hAnsi="Century Gothic" w:cs="Arial"/>
          <w:color w:val="auto"/>
        </w:rPr>
        <w:t xml:space="preserve"> del Proceso</w:t>
      </w:r>
      <w:r w:rsidRPr="00A375EC">
        <w:rPr>
          <w:rFonts w:ascii="Century Gothic" w:eastAsia="Calibri" w:hAnsi="Century Gothic" w:cs="Arial"/>
          <w:color w:val="auto"/>
        </w:rPr>
        <w:t>,</w:t>
      </w:r>
      <w:r w:rsidR="00CC382B">
        <w:rPr>
          <w:rFonts w:ascii="Century Gothic" w:eastAsia="Calibri" w:hAnsi="Century Gothic" w:cs="Arial"/>
          <w:color w:val="auto"/>
        </w:rPr>
        <w:t xml:space="preserve"> debido a que, de acuerdo a la fracción I del artículo 192, la salida alterna procedería cuando </w:t>
      </w:r>
      <w:r w:rsidR="00CC382B" w:rsidRPr="00CC382B">
        <w:rPr>
          <w:rFonts w:ascii="Century Gothic" w:eastAsia="Calibri" w:hAnsi="Century Gothic" w:cs="Arial"/>
          <w:i/>
          <w:iCs/>
          <w:color w:val="auto"/>
          <w:lang w:val="es-MX"/>
        </w:rPr>
        <w:t>el auto de vinculación a proceso del imputado se haya dictado por un delito cuya media aritmética de la pena de prisión no exceda de cinco años</w:t>
      </w:r>
      <w:r w:rsidR="00CC382B">
        <w:rPr>
          <w:rStyle w:val="Refdenotaalpie"/>
          <w:rFonts w:ascii="Century Gothic" w:eastAsia="Calibri" w:hAnsi="Century Gothic" w:cs="Arial"/>
          <w:color w:val="auto"/>
        </w:rPr>
        <w:footnoteReference w:id="4"/>
      </w:r>
      <w:r w:rsidR="00CC382B">
        <w:rPr>
          <w:rFonts w:ascii="Century Gothic" w:eastAsia="Calibri" w:hAnsi="Century Gothic" w:cs="Arial"/>
          <w:i/>
          <w:iCs/>
          <w:color w:val="auto"/>
          <w:lang w:val="es-MX"/>
        </w:rPr>
        <w:t xml:space="preserve">, </w:t>
      </w:r>
      <w:r w:rsidR="00CC382B">
        <w:rPr>
          <w:rFonts w:ascii="Century Gothic" w:eastAsia="Calibri" w:hAnsi="Century Gothic" w:cs="Arial"/>
          <w:color w:val="auto"/>
          <w:lang w:val="es-MX"/>
        </w:rPr>
        <w:t xml:space="preserve">y si tomamos de referencia la actual pena privativa de libertad </w:t>
      </w:r>
      <w:r w:rsidR="000463DC">
        <w:rPr>
          <w:rFonts w:ascii="Century Gothic" w:eastAsia="Calibri" w:hAnsi="Century Gothic" w:cs="Arial"/>
          <w:color w:val="auto"/>
          <w:lang w:val="es-MX"/>
        </w:rPr>
        <w:t>establecida</w:t>
      </w:r>
      <w:r w:rsidR="00CC382B">
        <w:rPr>
          <w:rFonts w:ascii="Century Gothic" w:eastAsia="Calibri" w:hAnsi="Century Gothic" w:cs="Arial"/>
          <w:color w:val="auto"/>
          <w:lang w:val="es-MX"/>
        </w:rPr>
        <w:t xml:space="preserve"> en el tipo básico y agravante del delito contra la intimidad para el Estado de Chihuahua</w:t>
      </w:r>
      <w:r w:rsidR="000A4DA7">
        <w:rPr>
          <w:rFonts w:ascii="Century Gothic" w:eastAsia="Calibri" w:hAnsi="Century Gothic" w:cs="Arial"/>
          <w:color w:val="auto"/>
          <w:lang w:val="es-MX"/>
        </w:rPr>
        <w:t>,</w:t>
      </w:r>
      <w:r w:rsidR="000463DC">
        <w:rPr>
          <w:rFonts w:ascii="Century Gothic" w:eastAsia="Calibri" w:hAnsi="Century Gothic" w:cs="Arial"/>
          <w:color w:val="auto"/>
          <w:lang w:val="es-MX"/>
        </w:rPr>
        <w:t xml:space="preserve"> en los casos en que las víctimas sean niñas, niños o adolescentes...</w:t>
      </w:r>
      <w:r w:rsidR="000D47B2">
        <w:rPr>
          <w:rFonts w:ascii="Century Gothic" w:eastAsia="Calibri" w:hAnsi="Century Gothic" w:cs="Arial"/>
          <w:color w:val="auto"/>
          <w:lang w:val="es-MX"/>
        </w:rPr>
        <w:t>,</w:t>
      </w:r>
      <w:r w:rsidR="000463DC">
        <w:rPr>
          <w:rFonts w:ascii="Century Gothic" w:eastAsia="Calibri" w:hAnsi="Century Gothic" w:cs="Arial"/>
          <w:color w:val="auto"/>
          <w:lang w:val="es-MX"/>
        </w:rPr>
        <w:t xml:space="preserve"> la </w:t>
      </w:r>
      <w:proofErr w:type="spellStart"/>
      <w:r w:rsidR="000463DC">
        <w:rPr>
          <w:rFonts w:ascii="Century Gothic" w:eastAsia="Calibri" w:hAnsi="Century Gothic" w:cs="Arial"/>
          <w:color w:val="auto"/>
          <w:lang w:val="es-MX"/>
        </w:rPr>
        <w:t>medía</w:t>
      </w:r>
      <w:proofErr w:type="spellEnd"/>
      <w:r w:rsidR="000463DC">
        <w:rPr>
          <w:rFonts w:ascii="Century Gothic" w:eastAsia="Calibri" w:hAnsi="Century Gothic" w:cs="Arial"/>
          <w:color w:val="auto"/>
          <w:lang w:val="es-MX"/>
        </w:rPr>
        <w:t xml:space="preserve"> aritmética sería de 4 años 6 meses, lo que permitiría su procedencia. </w:t>
      </w:r>
      <w:r w:rsidR="00CC382B">
        <w:rPr>
          <w:rFonts w:ascii="Century Gothic" w:eastAsia="Calibri" w:hAnsi="Century Gothic" w:cs="Arial"/>
          <w:color w:val="auto"/>
          <w:lang w:val="es-MX"/>
        </w:rPr>
        <w:t xml:space="preserve"> </w:t>
      </w:r>
    </w:p>
    <w:p w14:paraId="14D486F9" w14:textId="77777777" w:rsidR="00CC382B" w:rsidRDefault="00CC382B" w:rsidP="0078432D">
      <w:pPr>
        <w:pStyle w:val="Normal1"/>
        <w:spacing w:line="360" w:lineRule="auto"/>
        <w:ind w:right="51"/>
        <w:contextualSpacing/>
        <w:jc w:val="both"/>
        <w:rPr>
          <w:rFonts w:ascii="Century Gothic" w:eastAsia="Calibri" w:hAnsi="Century Gothic" w:cs="Arial"/>
          <w:color w:val="auto"/>
        </w:rPr>
      </w:pPr>
    </w:p>
    <w:p w14:paraId="3B808C85" w14:textId="322794AD" w:rsidR="000463DC" w:rsidRDefault="000463DC" w:rsidP="0078432D">
      <w:pPr>
        <w:pStyle w:val="Normal1"/>
        <w:spacing w:line="360" w:lineRule="auto"/>
        <w:ind w:right="51"/>
        <w:contextualSpacing/>
        <w:jc w:val="both"/>
        <w:rPr>
          <w:rFonts w:ascii="Century Gothic" w:eastAsia="Calibri" w:hAnsi="Century Gothic" w:cs="Arial"/>
          <w:color w:val="auto"/>
        </w:rPr>
      </w:pPr>
      <w:r>
        <w:rPr>
          <w:rFonts w:ascii="Century Gothic" w:eastAsia="Calibri" w:hAnsi="Century Gothic" w:cs="Arial"/>
          <w:color w:val="auto"/>
        </w:rPr>
        <w:t>E</w:t>
      </w:r>
      <w:r w:rsidR="00A375EC" w:rsidRPr="00A375EC">
        <w:rPr>
          <w:rFonts w:ascii="Century Gothic" w:eastAsia="Calibri" w:hAnsi="Century Gothic" w:cs="Arial"/>
          <w:color w:val="auto"/>
        </w:rPr>
        <w:t xml:space="preserve">s decir, si seguimos la narrativa de la </w:t>
      </w:r>
      <w:r>
        <w:rPr>
          <w:rFonts w:ascii="Century Gothic" w:eastAsia="Calibri" w:hAnsi="Century Gothic" w:cs="Arial"/>
          <w:color w:val="auto"/>
        </w:rPr>
        <w:t>Suprema Corte de Justicia de la Nación en la</w:t>
      </w:r>
      <w:r w:rsidR="00A375EC" w:rsidRPr="00A375EC">
        <w:rPr>
          <w:rFonts w:ascii="Century Gothic" w:eastAsia="Calibri" w:hAnsi="Century Gothic" w:cs="Arial"/>
          <w:color w:val="auto"/>
        </w:rPr>
        <w:t xml:space="preserve"> jurisprudencia</w:t>
      </w:r>
      <w:r>
        <w:rPr>
          <w:rFonts w:ascii="Century Gothic" w:eastAsia="Calibri" w:hAnsi="Century Gothic" w:cs="Arial"/>
          <w:color w:val="auto"/>
        </w:rPr>
        <w:t xml:space="preserve"> antes mencionada, e</w:t>
      </w:r>
      <w:r w:rsidR="00A375EC" w:rsidRPr="00A375EC">
        <w:rPr>
          <w:rFonts w:ascii="Century Gothic" w:eastAsia="Calibri" w:hAnsi="Century Gothic" w:cs="Arial"/>
          <w:color w:val="auto"/>
        </w:rPr>
        <w:t>stamos permitiendo que las</w:t>
      </w:r>
      <w:r>
        <w:rPr>
          <w:rFonts w:ascii="Century Gothic" w:eastAsia="Calibri" w:hAnsi="Century Gothic" w:cs="Arial"/>
          <w:color w:val="auto"/>
        </w:rPr>
        <w:t xml:space="preserve"> niñas, niños y adolescentes ... </w:t>
      </w:r>
      <w:r w:rsidR="00A375EC" w:rsidRPr="00A375EC">
        <w:rPr>
          <w:rFonts w:ascii="Century Gothic" w:eastAsia="Calibri" w:hAnsi="Century Gothic" w:cs="Arial"/>
          <w:color w:val="auto"/>
        </w:rPr>
        <w:t xml:space="preserve">concilien con su victimario, esto es, les estamos permitido que se sienten a </w:t>
      </w:r>
      <w:r>
        <w:rPr>
          <w:rFonts w:ascii="Century Gothic" w:eastAsia="Calibri" w:hAnsi="Century Gothic" w:cs="Arial"/>
          <w:color w:val="auto"/>
        </w:rPr>
        <w:t>“</w:t>
      </w:r>
      <w:r w:rsidR="00A375EC" w:rsidRPr="00A375EC">
        <w:rPr>
          <w:rFonts w:ascii="Century Gothic" w:eastAsia="Calibri" w:hAnsi="Century Gothic" w:cs="Arial"/>
          <w:color w:val="auto"/>
        </w:rPr>
        <w:t>negociar</w:t>
      </w:r>
      <w:r>
        <w:rPr>
          <w:rFonts w:ascii="Century Gothic" w:eastAsia="Calibri" w:hAnsi="Century Gothic" w:cs="Arial"/>
          <w:color w:val="auto"/>
        </w:rPr>
        <w:t>” de acuerdo a sus intereses</w:t>
      </w:r>
      <w:r w:rsidR="00A375EC" w:rsidRPr="00A375EC">
        <w:rPr>
          <w:rFonts w:ascii="Century Gothic" w:eastAsia="Calibri" w:hAnsi="Century Gothic" w:cs="Arial"/>
          <w:color w:val="auto"/>
        </w:rPr>
        <w:t xml:space="preserve">, cuando </w:t>
      </w:r>
      <w:r>
        <w:rPr>
          <w:rFonts w:ascii="Century Gothic" w:eastAsia="Calibri" w:hAnsi="Century Gothic" w:cs="Arial"/>
          <w:color w:val="auto"/>
        </w:rPr>
        <w:t>con</w:t>
      </w:r>
      <w:r w:rsidR="00A375EC" w:rsidRPr="00A375EC">
        <w:rPr>
          <w:rFonts w:ascii="Century Gothic" w:eastAsia="Calibri" w:hAnsi="Century Gothic" w:cs="Arial"/>
          <w:color w:val="auto"/>
        </w:rPr>
        <w:t xml:space="preserve"> la</w:t>
      </w:r>
      <w:r>
        <w:rPr>
          <w:rFonts w:ascii="Century Gothic" w:eastAsia="Calibri" w:hAnsi="Century Gothic" w:cs="Arial"/>
          <w:color w:val="auto"/>
        </w:rPr>
        <w:t xml:space="preserve"> Acción de Inconstitucionalidad </w:t>
      </w:r>
      <w:r w:rsidR="00A375EC" w:rsidRPr="00A375EC">
        <w:rPr>
          <w:rFonts w:ascii="Century Gothic" w:eastAsia="Calibri" w:hAnsi="Century Gothic" w:cs="Arial"/>
          <w:color w:val="auto"/>
        </w:rPr>
        <w:t>39/2015</w:t>
      </w:r>
      <w:r>
        <w:rPr>
          <w:rFonts w:ascii="Century Gothic" w:eastAsia="Calibri" w:hAnsi="Century Gothic" w:cs="Arial"/>
          <w:color w:val="auto"/>
        </w:rPr>
        <w:t>,</w:t>
      </w:r>
      <w:r w:rsidR="00A375EC" w:rsidRPr="00A375EC">
        <w:rPr>
          <w:rFonts w:ascii="Century Gothic" w:eastAsia="Calibri" w:hAnsi="Century Gothic" w:cs="Arial"/>
          <w:color w:val="auto"/>
        </w:rPr>
        <w:t xml:space="preserve"> sabemos que hay conductas que imposibilitan </w:t>
      </w:r>
      <w:r>
        <w:rPr>
          <w:rFonts w:ascii="Century Gothic" w:eastAsia="Calibri" w:hAnsi="Century Gothic" w:cs="Arial"/>
          <w:color w:val="auto"/>
        </w:rPr>
        <w:t xml:space="preserve">a las niñas, niños y adolescentes </w:t>
      </w:r>
      <w:r w:rsidR="00A375EC" w:rsidRPr="00A375EC">
        <w:rPr>
          <w:rFonts w:ascii="Century Gothic" w:eastAsia="Calibri" w:hAnsi="Century Gothic" w:cs="Arial"/>
          <w:color w:val="auto"/>
        </w:rPr>
        <w:t>de gozar en el futuro</w:t>
      </w:r>
      <w:r w:rsidR="000D47B2">
        <w:rPr>
          <w:rFonts w:ascii="Century Gothic" w:eastAsia="Calibri" w:hAnsi="Century Gothic" w:cs="Arial"/>
          <w:color w:val="auto"/>
        </w:rPr>
        <w:t>,</w:t>
      </w:r>
      <w:r w:rsidR="00A375EC" w:rsidRPr="00A375EC">
        <w:rPr>
          <w:rFonts w:ascii="Century Gothic" w:eastAsia="Calibri" w:hAnsi="Century Gothic" w:cs="Arial"/>
          <w:color w:val="auto"/>
        </w:rPr>
        <w:t xml:space="preserve"> de autonomía personal</w:t>
      </w:r>
      <w:r w:rsidR="000D47B2">
        <w:rPr>
          <w:rFonts w:ascii="Century Gothic" w:eastAsia="Calibri" w:hAnsi="Century Gothic" w:cs="Arial"/>
          <w:color w:val="auto"/>
        </w:rPr>
        <w:t>, en virtud de la conducta lesiva que deja en su historia de vida una marca prácticamente indeleble</w:t>
      </w:r>
      <w:r w:rsidR="00A375EC" w:rsidRPr="00A375EC">
        <w:rPr>
          <w:rFonts w:ascii="Century Gothic" w:eastAsia="Calibri" w:hAnsi="Century Gothic" w:cs="Arial"/>
          <w:color w:val="auto"/>
        </w:rPr>
        <w:t xml:space="preserve">, </w:t>
      </w:r>
      <w:r w:rsidR="000D47B2">
        <w:rPr>
          <w:rFonts w:ascii="Century Gothic" w:eastAsia="Calibri" w:hAnsi="Century Gothic" w:cs="Arial"/>
          <w:color w:val="auto"/>
        </w:rPr>
        <w:t>obligando</w:t>
      </w:r>
      <w:r w:rsidR="00A375EC" w:rsidRPr="00A375EC">
        <w:rPr>
          <w:rFonts w:ascii="Century Gothic" w:eastAsia="Calibri" w:hAnsi="Century Gothic" w:cs="Arial"/>
          <w:color w:val="auto"/>
        </w:rPr>
        <w:t xml:space="preserve"> al Estado a actuar en tutela de estos derechos. </w:t>
      </w:r>
    </w:p>
    <w:p w14:paraId="08C5098D" w14:textId="77777777" w:rsidR="00A375EC" w:rsidRPr="00A375EC" w:rsidRDefault="00A375EC" w:rsidP="0078432D">
      <w:pPr>
        <w:pStyle w:val="Normal1"/>
        <w:spacing w:line="360" w:lineRule="auto"/>
        <w:ind w:right="51"/>
        <w:contextualSpacing/>
        <w:jc w:val="both"/>
        <w:rPr>
          <w:rFonts w:ascii="Century Gothic" w:eastAsia="Calibri" w:hAnsi="Century Gothic" w:cs="Arial"/>
          <w:color w:val="auto"/>
        </w:rPr>
      </w:pPr>
    </w:p>
    <w:p w14:paraId="6B0E6FED" w14:textId="2E050620" w:rsidR="000A4DA7" w:rsidRDefault="00A375EC" w:rsidP="0078432D">
      <w:pPr>
        <w:pStyle w:val="Normal1"/>
        <w:spacing w:line="360" w:lineRule="auto"/>
        <w:ind w:right="51"/>
        <w:contextualSpacing/>
        <w:jc w:val="both"/>
        <w:rPr>
          <w:rFonts w:ascii="Century Gothic" w:eastAsia="Calibri" w:hAnsi="Century Gothic" w:cs="Arial"/>
          <w:color w:val="auto"/>
        </w:rPr>
      </w:pPr>
      <w:r w:rsidRPr="00A375EC">
        <w:rPr>
          <w:rFonts w:ascii="Century Gothic" w:eastAsia="Calibri" w:hAnsi="Century Gothic" w:cs="Arial"/>
          <w:color w:val="auto"/>
        </w:rPr>
        <w:lastRenderedPageBreak/>
        <w:t xml:space="preserve">Por ello y siguiendo la vertiente </w:t>
      </w:r>
      <w:r w:rsidR="000A4DA7">
        <w:rPr>
          <w:rFonts w:ascii="Century Gothic" w:eastAsia="Calibri" w:hAnsi="Century Gothic" w:cs="Arial"/>
          <w:color w:val="auto"/>
        </w:rPr>
        <w:t xml:space="preserve">que ha tenido esta Comisión de Dictamen, respecto a la </w:t>
      </w:r>
      <w:r w:rsidRPr="00A375EC">
        <w:rPr>
          <w:rFonts w:ascii="Century Gothic" w:eastAsia="Calibri" w:hAnsi="Century Gothic" w:cs="Arial"/>
          <w:color w:val="auto"/>
        </w:rPr>
        <w:t xml:space="preserve">protección a los derechos de las </w:t>
      </w:r>
      <w:r w:rsidR="000A4DA7">
        <w:rPr>
          <w:rFonts w:ascii="Century Gothic" w:eastAsia="Calibri" w:hAnsi="Century Gothic" w:cs="Arial"/>
          <w:color w:val="auto"/>
        </w:rPr>
        <w:t xml:space="preserve">niñas, niños y adolescentes, de aquellas personas que no tienen la capacidad de comprender el acto o que por cualquier motivo no pueden resistirlo, </w:t>
      </w:r>
      <w:r w:rsidRPr="00A375EC">
        <w:rPr>
          <w:rFonts w:ascii="Century Gothic" w:eastAsia="Calibri" w:hAnsi="Century Gothic" w:cs="Arial"/>
          <w:color w:val="auto"/>
        </w:rPr>
        <w:t xml:space="preserve">es que se propone aumentar 1 año la </w:t>
      </w:r>
      <w:r w:rsidR="000A4DA7">
        <w:rPr>
          <w:rFonts w:ascii="Century Gothic" w:eastAsia="Calibri" w:hAnsi="Century Gothic" w:cs="Arial"/>
          <w:color w:val="auto"/>
        </w:rPr>
        <w:t xml:space="preserve">pena privativa de libertad </w:t>
      </w:r>
      <w:r w:rsidRPr="00A375EC">
        <w:rPr>
          <w:rFonts w:ascii="Century Gothic" w:eastAsia="Calibri" w:hAnsi="Century Gothic" w:cs="Arial"/>
          <w:color w:val="auto"/>
        </w:rPr>
        <w:t>mínima en el</w:t>
      </w:r>
      <w:r w:rsidR="000A4DA7">
        <w:rPr>
          <w:rFonts w:ascii="Century Gothic" w:eastAsia="Calibri" w:hAnsi="Century Gothic" w:cs="Arial"/>
          <w:color w:val="auto"/>
        </w:rPr>
        <w:t xml:space="preserve"> tipo básico del</w:t>
      </w:r>
      <w:r w:rsidRPr="00A375EC">
        <w:rPr>
          <w:rFonts w:ascii="Century Gothic" w:eastAsia="Calibri" w:hAnsi="Century Gothic" w:cs="Arial"/>
          <w:color w:val="auto"/>
        </w:rPr>
        <w:t xml:space="preserve"> delito</w:t>
      </w:r>
      <w:r w:rsidR="000A4DA7">
        <w:rPr>
          <w:rFonts w:ascii="Century Gothic" w:eastAsia="Calibri" w:hAnsi="Century Gothic" w:cs="Arial"/>
          <w:color w:val="auto"/>
        </w:rPr>
        <w:t xml:space="preserve"> contra la intimidad</w:t>
      </w:r>
      <w:r w:rsidRPr="00A375EC">
        <w:rPr>
          <w:rFonts w:ascii="Century Gothic" w:eastAsia="Calibri" w:hAnsi="Century Gothic" w:cs="Arial"/>
          <w:color w:val="auto"/>
        </w:rPr>
        <w:t xml:space="preserve"> y est</w:t>
      </w:r>
      <w:r w:rsidR="000A4DA7">
        <w:rPr>
          <w:rFonts w:ascii="Century Gothic" w:eastAsia="Calibri" w:hAnsi="Century Gothic" w:cs="Arial"/>
          <w:color w:val="auto"/>
        </w:rPr>
        <w:t>á</w:t>
      </w:r>
      <w:r w:rsidRPr="00A375EC">
        <w:rPr>
          <w:rFonts w:ascii="Century Gothic" w:eastAsia="Calibri" w:hAnsi="Century Gothic" w:cs="Arial"/>
          <w:color w:val="auto"/>
        </w:rPr>
        <w:t xml:space="preserve"> impactaría en la agravante superando la media aritmética de 5 años (requisito de procedencia  para la condicional) aunado a que de acuerdo al ar</w:t>
      </w:r>
      <w:r w:rsidR="000A4DA7">
        <w:rPr>
          <w:rFonts w:ascii="Century Gothic" w:eastAsia="Calibri" w:hAnsi="Century Gothic" w:cs="Arial"/>
          <w:color w:val="auto"/>
        </w:rPr>
        <w:t xml:space="preserve">tículo </w:t>
      </w:r>
      <w:r w:rsidRPr="00A375EC">
        <w:rPr>
          <w:rFonts w:ascii="Century Gothic" w:eastAsia="Calibri" w:hAnsi="Century Gothic" w:cs="Arial"/>
          <w:color w:val="auto"/>
        </w:rPr>
        <w:t xml:space="preserve">98 </w:t>
      </w:r>
      <w:r w:rsidR="000A4DA7">
        <w:rPr>
          <w:rFonts w:ascii="Century Gothic" w:eastAsia="Calibri" w:hAnsi="Century Gothic" w:cs="Arial"/>
          <w:color w:val="auto"/>
        </w:rPr>
        <w:t xml:space="preserve">del Código Penal del Estado de Chihuahua, </w:t>
      </w:r>
      <w:r w:rsidR="000D47B2">
        <w:rPr>
          <w:rFonts w:ascii="Century Gothic" w:eastAsia="Calibri" w:hAnsi="Century Gothic" w:cs="Arial"/>
          <w:color w:val="auto"/>
        </w:rPr>
        <w:t>esta</w:t>
      </w:r>
      <w:r w:rsidR="000A4DA7">
        <w:rPr>
          <w:rFonts w:ascii="Century Gothic" w:eastAsia="Calibri" w:hAnsi="Century Gothic" w:cs="Arial"/>
          <w:color w:val="auto"/>
        </w:rPr>
        <w:t xml:space="preserve"> conducta agravada es perseguida de oficio (lo cual cierra la puerta a que procedan bajo esta hipótesis los acuerdos reparatorios).</w:t>
      </w:r>
    </w:p>
    <w:p w14:paraId="35BB20C1" w14:textId="77777777" w:rsidR="000A4DA7" w:rsidRDefault="000A4DA7" w:rsidP="0078432D">
      <w:pPr>
        <w:pStyle w:val="Normal1"/>
        <w:spacing w:line="360" w:lineRule="auto"/>
        <w:ind w:right="51"/>
        <w:contextualSpacing/>
        <w:jc w:val="both"/>
        <w:rPr>
          <w:rFonts w:ascii="Century Gothic" w:eastAsia="Calibri" w:hAnsi="Century Gothic" w:cs="Arial"/>
          <w:color w:val="auto"/>
        </w:rPr>
      </w:pPr>
    </w:p>
    <w:p w14:paraId="0A0C1462" w14:textId="04C54854" w:rsidR="00A375EC" w:rsidRPr="00A375EC" w:rsidRDefault="000A4DA7" w:rsidP="0078432D">
      <w:pPr>
        <w:pStyle w:val="Normal1"/>
        <w:spacing w:line="360" w:lineRule="auto"/>
        <w:ind w:right="51"/>
        <w:contextualSpacing/>
        <w:jc w:val="both"/>
        <w:rPr>
          <w:rFonts w:ascii="Century Gothic" w:eastAsia="Calibri" w:hAnsi="Century Gothic" w:cs="Arial"/>
          <w:color w:val="auto"/>
        </w:rPr>
      </w:pPr>
      <w:r>
        <w:rPr>
          <w:rFonts w:ascii="Century Gothic" w:eastAsia="Calibri" w:hAnsi="Century Gothic" w:cs="Arial"/>
          <w:color w:val="auto"/>
        </w:rPr>
        <w:t xml:space="preserve">Es por todo lo anterior que está Comisión de Dictamen Legislativo, propone aumentar la pena mínima en el tipo básico del delito contra la intimidad, con la intención de que incida en los requisitos de procedencia de la suspensión condicional y con ello, </w:t>
      </w:r>
      <w:r w:rsidR="00C37C12">
        <w:rPr>
          <w:rFonts w:ascii="Century Gothic" w:eastAsia="Calibri" w:hAnsi="Century Gothic" w:cs="Arial"/>
          <w:color w:val="auto"/>
        </w:rPr>
        <w:t xml:space="preserve">prevengamos la posible doble victimización de niñas, niños y adolescentes ..., al permitirle al victimario conciliar de acuerdo a sus intereses. </w:t>
      </w:r>
      <w:r>
        <w:rPr>
          <w:rFonts w:ascii="Century Gothic" w:eastAsia="Calibri" w:hAnsi="Century Gothic" w:cs="Arial"/>
          <w:color w:val="auto"/>
        </w:rPr>
        <w:t xml:space="preserve"> </w:t>
      </w:r>
    </w:p>
    <w:p w14:paraId="0C76A2E3" w14:textId="77777777" w:rsidR="00A375EC" w:rsidRPr="00A375EC" w:rsidRDefault="00A375EC" w:rsidP="0078432D">
      <w:pPr>
        <w:pStyle w:val="Normal1"/>
        <w:spacing w:line="360" w:lineRule="auto"/>
        <w:ind w:right="51"/>
        <w:contextualSpacing/>
        <w:jc w:val="both"/>
        <w:rPr>
          <w:rFonts w:ascii="Century Gothic" w:eastAsia="Calibri" w:hAnsi="Century Gothic" w:cs="Arial"/>
          <w:color w:val="auto"/>
        </w:rPr>
      </w:pPr>
    </w:p>
    <w:p w14:paraId="545EF54C" w14:textId="62F8D3D0" w:rsidR="003B39DE" w:rsidRDefault="00C37C12" w:rsidP="00C37C12">
      <w:pPr>
        <w:pStyle w:val="Normal1"/>
        <w:spacing w:line="360" w:lineRule="auto"/>
        <w:ind w:right="51"/>
        <w:contextualSpacing/>
        <w:jc w:val="both"/>
        <w:rPr>
          <w:rFonts w:ascii="Century Gothic" w:hAnsi="Century Gothic" w:cs="Arial"/>
          <w:bCs/>
        </w:rPr>
      </w:pPr>
      <w:r w:rsidRPr="00C37C12">
        <w:rPr>
          <w:rFonts w:ascii="Century Gothic" w:eastAsia="Calibri" w:hAnsi="Century Gothic" w:cs="Arial"/>
          <w:b/>
          <w:bCs/>
          <w:color w:val="auto"/>
        </w:rPr>
        <w:t xml:space="preserve">V.- </w:t>
      </w:r>
      <w:r w:rsidR="003B39DE" w:rsidRPr="003B39DE">
        <w:rPr>
          <w:rFonts w:ascii="Century Gothic" w:hAnsi="Century Gothic" w:cs="Arial"/>
          <w:bCs/>
        </w:rPr>
        <w:t xml:space="preserve">En base a todo lo expuesto, </w:t>
      </w:r>
      <w:r w:rsidR="00AB22F5">
        <w:rPr>
          <w:rFonts w:ascii="Century Gothic" w:hAnsi="Century Gothic" w:cs="Arial"/>
          <w:bCs/>
        </w:rPr>
        <w:t xml:space="preserve">y </w:t>
      </w:r>
      <w:r w:rsidR="003B39DE" w:rsidRPr="003B39DE">
        <w:rPr>
          <w:rFonts w:ascii="Century Gothic" w:hAnsi="Century Gothic" w:cs="Arial"/>
          <w:bCs/>
        </w:rPr>
        <w:t>haciendo constar que no existi</w:t>
      </w:r>
      <w:r w:rsidR="001A33C3">
        <w:rPr>
          <w:rFonts w:ascii="Century Gothic" w:hAnsi="Century Gothic" w:cs="Arial"/>
          <w:bCs/>
        </w:rPr>
        <w:t>eron</w:t>
      </w:r>
      <w:r w:rsidR="003B39DE" w:rsidRPr="003B39DE">
        <w:rPr>
          <w:rFonts w:ascii="Century Gothic" w:hAnsi="Century Gothic" w:cs="Arial"/>
          <w:bCs/>
        </w:rPr>
        <w:t xml:space="preserve"> propuesta</w:t>
      </w:r>
      <w:r w:rsidR="001A33C3">
        <w:rPr>
          <w:rFonts w:ascii="Century Gothic" w:hAnsi="Century Gothic" w:cs="Arial"/>
          <w:bCs/>
        </w:rPr>
        <w:t>s</w:t>
      </w:r>
      <w:r w:rsidR="003B39DE" w:rsidRPr="003B39DE">
        <w:rPr>
          <w:rFonts w:ascii="Century Gothic" w:hAnsi="Century Gothic" w:cs="Arial"/>
          <w:bCs/>
        </w:rPr>
        <w:t xml:space="preserve"> u </w:t>
      </w:r>
      <w:r w:rsidR="001A33C3" w:rsidRPr="003B39DE">
        <w:rPr>
          <w:rFonts w:ascii="Century Gothic" w:hAnsi="Century Gothic" w:cs="Arial"/>
          <w:bCs/>
        </w:rPr>
        <w:t>opinion</w:t>
      </w:r>
      <w:r w:rsidR="001A33C3">
        <w:rPr>
          <w:rFonts w:ascii="Century Gothic" w:hAnsi="Century Gothic" w:cs="Arial"/>
          <w:bCs/>
        </w:rPr>
        <w:t>es</w:t>
      </w:r>
      <w:r w:rsidR="00D85130">
        <w:rPr>
          <w:rFonts w:ascii="Century Gothic" w:hAnsi="Century Gothic" w:cs="Arial"/>
          <w:bCs/>
        </w:rPr>
        <w:t xml:space="preserve"> de la iniciativa de mérito</w:t>
      </w:r>
      <w:r w:rsidR="003B39DE" w:rsidRPr="003B39DE">
        <w:rPr>
          <w:rFonts w:ascii="Century Gothic" w:hAnsi="Century Gothic" w:cs="Arial"/>
          <w:bCs/>
        </w:rPr>
        <w:t xml:space="preserve"> a través del Buzón Legislativo Ciudadano, las diputadas y diputados que integramos la Comisión de Justicia, sometemos a la consideración del Pleno el siguiente proyecto de:</w:t>
      </w:r>
    </w:p>
    <w:p w14:paraId="10366425" w14:textId="77777777" w:rsidR="003B39DE" w:rsidRDefault="003B39DE" w:rsidP="00642479">
      <w:pPr>
        <w:spacing w:line="360" w:lineRule="auto"/>
        <w:ind w:right="335"/>
        <w:jc w:val="both"/>
        <w:rPr>
          <w:rFonts w:ascii="Century Gothic" w:hAnsi="Century Gothic" w:cs="Arial"/>
          <w:bCs/>
        </w:rPr>
      </w:pPr>
    </w:p>
    <w:p w14:paraId="5CCB313F" w14:textId="77777777" w:rsidR="007D7C04" w:rsidRDefault="007D7C04" w:rsidP="00642479">
      <w:pPr>
        <w:spacing w:line="360" w:lineRule="auto"/>
        <w:ind w:right="332"/>
        <w:jc w:val="center"/>
        <w:rPr>
          <w:rFonts w:ascii="Century Gothic" w:hAnsi="Century Gothic"/>
          <w:b/>
          <w:bCs/>
          <w:spacing w:val="20"/>
          <w:sz w:val="28"/>
        </w:rPr>
      </w:pPr>
      <w:bookmarkStart w:id="3" w:name="_Hlk152588726"/>
    </w:p>
    <w:p w14:paraId="32412639" w14:textId="77777777" w:rsidR="007D7C04" w:rsidRDefault="007D7C04" w:rsidP="00642479">
      <w:pPr>
        <w:spacing w:line="360" w:lineRule="auto"/>
        <w:ind w:right="332"/>
        <w:jc w:val="center"/>
        <w:rPr>
          <w:rFonts w:ascii="Century Gothic" w:hAnsi="Century Gothic"/>
          <w:b/>
          <w:bCs/>
          <w:spacing w:val="20"/>
          <w:sz w:val="28"/>
        </w:rPr>
      </w:pPr>
    </w:p>
    <w:p w14:paraId="4DA93F53" w14:textId="7A2D2DC0" w:rsidR="00642479" w:rsidRPr="00295EDE" w:rsidRDefault="00642479" w:rsidP="00642479">
      <w:pPr>
        <w:spacing w:line="360" w:lineRule="auto"/>
        <w:ind w:right="332"/>
        <w:jc w:val="center"/>
        <w:rPr>
          <w:rFonts w:ascii="Century Gothic" w:hAnsi="Century Gothic"/>
          <w:b/>
          <w:bCs/>
          <w:spacing w:val="20"/>
          <w:sz w:val="28"/>
        </w:rPr>
      </w:pPr>
      <w:r w:rsidRPr="00295EDE">
        <w:rPr>
          <w:rFonts w:ascii="Century Gothic" w:hAnsi="Century Gothic"/>
          <w:b/>
          <w:bCs/>
          <w:spacing w:val="20"/>
          <w:sz w:val="28"/>
        </w:rPr>
        <w:lastRenderedPageBreak/>
        <w:t>DECRETO</w:t>
      </w:r>
    </w:p>
    <w:p w14:paraId="36F7C439" w14:textId="43641541" w:rsidR="008E1E41" w:rsidRDefault="00642479" w:rsidP="00642479">
      <w:pPr>
        <w:pStyle w:val="Normal1"/>
        <w:spacing w:after="200" w:line="360" w:lineRule="auto"/>
        <w:ind w:right="50"/>
        <w:contextualSpacing/>
        <w:jc w:val="both"/>
        <w:rPr>
          <w:rFonts w:ascii="Century Gothic" w:hAnsi="Century Gothic"/>
        </w:rPr>
      </w:pPr>
      <w:r w:rsidRPr="00295EDE">
        <w:rPr>
          <w:rFonts w:ascii="Century Gothic" w:hAnsi="Century Gothic"/>
          <w:b/>
          <w:bCs/>
          <w:sz w:val="28"/>
        </w:rPr>
        <w:t xml:space="preserve">ARTÍCULO </w:t>
      </w:r>
      <w:proofErr w:type="gramStart"/>
      <w:r w:rsidR="00C37C12">
        <w:rPr>
          <w:rFonts w:ascii="Century Gothic" w:hAnsi="Century Gothic"/>
          <w:b/>
          <w:bCs/>
          <w:sz w:val="28"/>
        </w:rPr>
        <w:t>ÚNICO</w:t>
      </w:r>
      <w:r w:rsidRPr="00295EDE">
        <w:rPr>
          <w:rFonts w:ascii="Century Gothic" w:hAnsi="Century Gothic"/>
          <w:b/>
          <w:bCs/>
          <w:sz w:val="28"/>
        </w:rPr>
        <w:t>.-</w:t>
      </w:r>
      <w:proofErr w:type="gramEnd"/>
      <w:r w:rsidRPr="00295EDE">
        <w:rPr>
          <w:rFonts w:ascii="Century Gothic" w:hAnsi="Century Gothic"/>
          <w:b/>
          <w:bCs/>
          <w:sz w:val="28"/>
        </w:rPr>
        <w:t xml:space="preserve"> </w:t>
      </w:r>
      <w:r w:rsidR="009E7368" w:rsidRPr="009E7368">
        <w:rPr>
          <w:rFonts w:ascii="Century Gothic" w:hAnsi="Century Gothic"/>
        </w:rPr>
        <w:t>Se</w:t>
      </w:r>
      <w:r w:rsidR="00295EDE">
        <w:rPr>
          <w:rFonts w:ascii="Century Gothic" w:hAnsi="Century Gothic"/>
        </w:rPr>
        <w:t xml:space="preserve"> </w:t>
      </w:r>
      <w:r w:rsidR="00295EDE" w:rsidRPr="0055489F">
        <w:rPr>
          <w:rFonts w:ascii="Century Gothic" w:hAnsi="Century Gothic"/>
          <w:b/>
          <w:bCs/>
        </w:rPr>
        <w:t xml:space="preserve">REFORMA </w:t>
      </w:r>
      <w:r w:rsidR="009E7368" w:rsidRPr="009E7368">
        <w:rPr>
          <w:rFonts w:ascii="Century Gothic" w:hAnsi="Century Gothic"/>
        </w:rPr>
        <w:t xml:space="preserve">el artículo </w:t>
      </w:r>
      <w:r w:rsidR="00C37C12">
        <w:rPr>
          <w:rFonts w:ascii="Century Gothic" w:hAnsi="Century Gothic"/>
        </w:rPr>
        <w:t xml:space="preserve">180 </w:t>
      </w:r>
      <w:r w:rsidR="00076680">
        <w:rPr>
          <w:rFonts w:ascii="Century Gothic" w:hAnsi="Century Gothic"/>
        </w:rPr>
        <w:t>B</w:t>
      </w:r>
      <w:r w:rsidR="00C37C12">
        <w:rPr>
          <w:rFonts w:ascii="Century Gothic" w:hAnsi="Century Gothic"/>
        </w:rPr>
        <w:t>is, párrafo primero</w:t>
      </w:r>
      <w:r w:rsidR="009545FB">
        <w:rPr>
          <w:rFonts w:ascii="Century Gothic" w:hAnsi="Century Gothic"/>
        </w:rPr>
        <w:t>,</w:t>
      </w:r>
      <w:r w:rsidR="00383AE9">
        <w:rPr>
          <w:rFonts w:ascii="Century Gothic" w:hAnsi="Century Gothic"/>
        </w:rPr>
        <w:t xml:space="preserve"> del Código </w:t>
      </w:r>
      <w:r w:rsidR="00C37C12">
        <w:rPr>
          <w:rFonts w:ascii="Century Gothic" w:hAnsi="Century Gothic"/>
        </w:rPr>
        <w:t>Penal</w:t>
      </w:r>
      <w:r w:rsidR="00383AE9">
        <w:rPr>
          <w:rFonts w:ascii="Century Gothic" w:hAnsi="Century Gothic"/>
        </w:rPr>
        <w:t xml:space="preserve"> del Estado de Chihuahua, para quedar redactado de la siguiente manera: </w:t>
      </w:r>
    </w:p>
    <w:p w14:paraId="12D98927" w14:textId="3E6F6254" w:rsidR="00C37C12" w:rsidRDefault="00C37C12" w:rsidP="00642479">
      <w:pPr>
        <w:pStyle w:val="Normal1"/>
        <w:spacing w:after="200" w:line="360" w:lineRule="auto"/>
        <w:ind w:right="50"/>
        <w:contextualSpacing/>
        <w:jc w:val="both"/>
        <w:rPr>
          <w:rFonts w:ascii="Century Gothic" w:hAnsi="Century Gothic"/>
        </w:rPr>
      </w:pPr>
    </w:p>
    <w:p w14:paraId="5E0E137C" w14:textId="77777777" w:rsidR="00C37C12" w:rsidRPr="00C37C12" w:rsidRDefault="00C37C12" w:rsidP="00C37C12">
      <w:pPr>
        <w:pStyle w:val="Normal1"/>
        <w:spacing w:after="200" w:line="360" w:lineRule="auto"/>
        <w:ind w:right="50"/>
        <w:contextualSpacing/>
        <w:jc w:val="both"/>
        <w:rPr>
          <w:rFonts w:ascii="Century Gothic" w:hAnsi="Century Gothic"/>
          <w:b/>
          <w:lang w:val="es-MX"/>
        </w:rPr>
      </w:pPr>
      <w:r w:rsidRPr="00C37C12">
        <w:rPr>
          <w:rFonts w:ascii="Century Gothic" w:hAnsi="Century Gothic"/>
          <w:b/>
          <w:lang w:val="es-MX"/>
        </w:rPr>
        <w:t>Artículo 180 Bis.</w:t>
      </w:r>
    </w:p>
    <w:p w14:paraId="5D0E77AD" w14:textId="71F303FA" w:rsidR="00C37C12" w:rsidRPr="00C37C12" w:rsidRDefault="00C37C12" w:rsidP="00C37C12">
      <w:pPr>
        <w:pStyle w:val="Normal1"/>
        <w:spacing w:after="200" w:line="360" w:lineRule="auto"/>
        <w:ind w:right="50"/>
        <w:contextualSpacing/>
        <w:jc w:val="both"/>
        <w:rPr>
          <w:rFonts w:ascii="Century Gothic" w:hAnsi="Century Gothic"/>
          <w:bCs/>
          <w:lang w:val="es-MX"/>
        </w:rPr>
      </w:pPr>
      <w:r w:rsidRPr="00C37C12">
        <w:rPr>
          <w:rFonts w:ascii="Century Gothic" w:hAnsi="Century Gothic"/>
          <w:bCs/>
          <w:lang w:val="es-MX"/>
        </w:rPr>
        <w:t xml:space="preserve">A quien reciba u obtenga de una persona, imágenes, textos o grabaciones de voz o audiovisuales de contenido erótico o sexual y las revele o difunda sin su consentimiento y en perjuicio de su intimidad, se le impondrá de </w:t>
      </w:r>
      <w:r>
        <w:rPr>
          <w:rFonts w:ascii="Century Gothic" w:hAnsi="Century Gothic"/>
          <w:b/>
          <w:lang w:val="es-MX"/>
        </w:rPr>
        <w:t>dos</w:t>
      </w:r>
      <w:r w:rsidRPr="00C37C12">
        <w:rPr>
          <w:rFonts w:ascii="Century Gothic" w:hAnsi="Century Gothic"/>
          <w:bCs/>
          <w:lang w:val="es-MX"/>
        </w:rPr>
        <w:t xml:space="preserve"> a cinco años de prisión y de cien a doscientos días de multa.</w:t>
      </w:r>
    </w:p>
    <w:p w14:paraId="0F121CD0" w14:textId="77777777" w:rsidR="00C37C12" w:rsidRPr="00C37C12" w:rsidRDefault="00C37C12" w:rsidP="00C37C12">
      <w:pPr>
        <w:pStyle w:val="Normal1"/>
        <w:spacing w:after="200" w:line="360" w:lineRule="auto"/>
        <w:ind w:right="50"/>
        <w:contextualSpacing/>
        <w:jc w:val="both"/>
        <w:rPr>
          <w:rFonts w:ascii="Century Gothic" w:hAnsi="Century Gothic"/>
          <w:bCs/>
          <w:lang w:val="es-ES_tradnl"/>
        </w:rPr>
      </w:pPr>
    </w:p>
    <w:p w14:paraId="44E81FCB" w14:textId="181B3836" w:rsidR="00C37C12" w:rsidRPr="00C37C12" w:rsidRDefault="00C37C12" w:rsidP="00C37C12">
      <w:pPr>
        <w:pStyle w:val="Normal1"/>
        <w:spacing w:after="200" w:line="360" w:lineRule="auto"/>
        <w:ind w:right="50"/>
        <w:contextualSpacing/>
        <w:jc w:val="both"/>
        <w:rPr>
          <w:rFonts w:ascii="Century Gothic" w:hAnsi="Century Gothic"/>
          <w:bCs/>
          <w:lang w:val="es-ES_tradnl"/>
        </w:rPr>
      </w:pPr>
      <w:r>
        <w:rPr>
          <w:rFonts w:ascii="Century Gothic" w:hAnsi="Century Gothic"/>
          <w:bCs/>
          <w:lang w:val="es-ES_tradnl"/>
        </w:rPr>
        <w:t>..</w:t>
      </w:r>
      <w:r w:rsidRPr="00C37C12">
        <w:rPr>
          <w:rFonts w:ascii="Century Gothic" w:hAnsi="Century Gothic"/>
          <w:bCs/>
          <w:lang w:val="es-ES_tradnl"/>
        </w:rPr>
        <w:t xml:space="preserve">. </w:t>
      </w:r>
    </w:p>
    <w:p w14:paraId="18188C7C" w14:textId="77777777" w:rsidR="00C37C12" w:rsidRPr="00C37C12" w:rsidRDefault="00C37C12" w:rsidP="00C37C12">
      <w:pPr>
        <w:pStyle w:val="Normal1"/>
        <w:spacing w:after="200" w:line="360" w:lineRule="auto"/>
        <w:ind w:right="50"/>
        <w:contextualSpacing/>
        <w:jc w:val="both"/>
        <w:rPr>
          <w:rFonts w:ascii="Century Gothic" w:hAnsi="Century Gothic"/>
          <w:bCs/>
          <w:lang w:val="es-ES_tradnl"/>
        </w:rPr>
      </w:pPr>
    </w:p>
    <w:p w14:paraId="521BFD17" w14:textId="42893B70" w:rsidR="00C37C12" w:rsidRDefault="00C37C12" w:rsidP="00C37C12">
      <w:pPr>
        <w:pStyle w:val="Normal1"/>
        <w:spacing w:after="200" w:line="360" w:lineRule="auto"/>
        <w:ind w:right="50"/>
        <w:contextualSpacing/>
        <w:jc w:val="both"/>
        <w:rPr>
          <w:rFonts w:ascii="Century Gothic" w:hAnsi="Century Gothic"/>
        </w:rPr>
      </w:pPr>
      <w:r>
        <w:rPr>
          <w:rFonts w:ascii="Century Gothic" w:hAnsi="Century Gothic"/>
          <w:lang w:val="es-MX"/>
        </w:rPr>
        <w:t>..</w:t>
      </w:r>
      <w:r w:rsidRPr="00C37C12">
        <w:rPr>
          <w:rFonts w:ascii="Century Gothic" w:hAnsi="Century Gothic"/>
          <w:lang w:val="es-MX"/>
        </w:rPr>
        <w:t>.</w:t>
      </w:r>
    </w:p>
    <w:bookmarkEnd w:id="3"/>
    <w:p w14:paraId="0F5B6457" w14:textId="77777777" w:rsidR="000269D4" w:rsidRDefault="000269D4" w:rsidP="000269D4">
      <w:pPr>
        <w:spacing w:line="360" w:lineRule="auto"/>
        <w:ind w:left="567" w:right="48"/>
        <w:jc w:val="center"/>
        <w:rPr>
          <w:rFonts w:ascii="Century Gothic" w:hAnsi="Century Gothic"/>
          <w:b/>
          <w:bCs/>
          <w:spacing w:val="20"/>
          <w:sz w:val="28"/>
          <w:szCs w:val="28"/>
        </w:rPr>
      </w:pPr>
    </w:p>
    <w:p w14:paraId="064D27B2" w14:textId="59988B66" w:rsidR="000269D4" w:rsidRPr="00295EDE" w:rsidRDefault="000269D4" w:rsidP="000269D4">
      <w:pPr>
        <w:spacing w:line="360" w:lineRule="auto"/>
        <w:ind w:left="567" w:right="48"/>
        <w:jc w:val="center"/>
        <w:rPr>
          <w:rFonts w:ascii="Century Gothic" w:hAnsi="Century Gothic"/>
          <w:b/>
          <w:bCs/>
          <w:spacing w:val="20"/>
          <w:sz w:val="28"/>
        </w:rPr>
      </w:pPr>
      <w:r w:rsidRPr="00295EDE">
        <w:rPr>
          <w:rFonts w:ascii="Century Gothic" w:hAnsi="Century Gothic"/>
          <w:b/>
          <w:bCs/>
          <w:spacing w:val="20"/>
          <w:sz w:val="28"/>
        </w:rPr>
        <w:t>TRANSITORIO</w:t>
      </w:r>
    </w:p>
    <w:p w14:paraId="543D9BE2" w14:textId="77777777" w:rsidR="000269D4" w:rsidRPr="00483BD7" w:rsidRDefault="000269D4" w:rsidP="00431220">
      <w:pPr>
        <w:tabs>
          <w:tab w:val="left" w:pos="8080"/>
        </w:tabs>
        <w:spacing w:line="360" w:lineRule="auto"/>
        <w:ind w:right="49"/>
        <w:jc w:val="both"/>
        <w:rPr>
          <w:rFonts w:ascii="Century Gothic" w:hAnsi="Century Gothic"/>
          <w:bCs/>
        </w:rPr>
      </w:pPr>
      <w:r w:rsidRPr="00295EDE">
        <w:rPr>
          <w:rFonts w:ascii="Century Gothic" w:hAnsi="Century Gothic"/>
          <w:b/>
          <w:bCs/>
          <w:sz w:val="28"/>
        </w:rPr>
        <w:t xml:space="preserve">ARTÍCULO </w:t>
      </w:r>
      <w:proofErr w:type="gramStart"/>
      <w:r w:rsidRPr="00295EDE">
        <w:rPr>
          <w:rFonts w:ascii="Century Gothic" w:hAnsi="Century Gothic"/>
          <w:b/>
          <w:bCs/>
          <w:sz w:val="28"/>
        </w:rPr>
        <w:t>ÚNICO.-</w:t>
      </w:r>
      <w:proofErr w:type="gramEnd"/>
      <w:r w:rsidRPr="00295EDE">
        <w:rPr>
          <w:rFonts w:ascii="Century Gothic" w:hAnsi="Century Gothic"/>
          <w:bCs/>
          <w:sz w:val="28"/>
        </w:rPr>
        <w:t xml:space="preserve"> </w:t>
      </w:r>
      <w:r w:rsidRPr="00483BD7">
        <w:rPr>
          <w:rFonts w:ascii="Century Gothic" w:hAnsi="Century Gothic"/>
          <w:bCs/>
        </w:rPr>
        <w:t>El presente Decreto entrará en vigor al día siguiente de su publicación en el Periódico Oficial del Estado.</w:t>
      </w:r>
    </w:p>
    <w:p w14:paraId="5A921A45" w14:textId="77777777" w:rsidR="000269D4" w:rsidRPr="000B39D1" w:rsidRDefault="000269D4" w:rsidP="000269D4">
      <w:pPr>
        <w:spacing w:line="360" w:lineRule="auto"/>
        <w:ind w:right="332"/>
        <w:jc w:val="both"/>
        <w:rPr>
          <w:rFonts w:ascii="Century Gothic" w:hAnsi="Century Gothic"/>
          <w:bCs/>
          <w:sz w:val="28"/>
          <w:szCs w:val="28"/>
        </w:rPr>
      </w:pPr>
    </w:p>
    <w:p w14:paraId="3206BBDC" w14:textId="418A6D1F" w:rsidR="000269D4" w:rsidRDefault="000269D4" w:rsidP="00431220">
      <w:pPr>
        <w:tabs>
          <w:tab w:val="left" w:pos="8080"/>
        </w:tabs>
        <w:spacing w:line="360" w:lineRule="auto"/>
        <w:ind w:right="49"/>
        <w:jc w:val="both"/>
        <w:rPr>
          <w:rFonts w:ascii="Century Gothic" w:hAnsi="Century Gothic"/>
        </w:rPr>
      </w:pPr>
      <w:proofErr w:type="gramStart"/>
      <w:r w:rsidRPr="00135B1B">
        <w:rPr>
          <w:rFonts w:ascii="Century Gothic" w:hAnsi="Century Gothic"/>
          <w:b/>
        </w:rPr>
        <w:t>Económico.-</w:t>
      </w:r>
      <w:proofErr w:type="gramEnd"/>
      <w:r w:rsidRPr="006E73CB">
        <w:rPr>
          <w:rFonts w:ascii="Century Gothic" w:hAnsi="Century Gothic"/>
        </w:rPr>
        <w:t xml:space="preserve"> </w:t>
      </w:r>
      <w:r w:rsidRPr="001C66B6">
        <w:rPr>
          <w:rFonts w:ascii="Century Gothic" w:hAnsi="Century Gothic"/>
        </w:rPr>
        <w:t>Aprobado que sea, túrnese a la Secretaría para los efectos legales correspondientes.</w:t>
      </w:r>
    </w:p>
    <w:p w14:paraId="76890DD5" w14:textId="51FBFA2D" w:rsidR="00295EDE" w:rsidRDefault="00295EDE" w:rsidP="00431220">
      <w:pPr>
        <w:tabs>
          <w:tab w:val="left" w:pos="8080"/>
        </w:tabs>
        <w:spacing w:line="360" w:lineRule="auto"/>
        <w:ind w:right="49"/>
        <w:jc w:val="both"/>
        <w:rPr>
          <w:rFonts w:ascii="Century Gothic" w:hAnsi="Century Gothic"/>
        </w:rPr>
      </w:pPr>
    </w:p>
    <w:p w14:paraId="4AB97A25" w14:textId="77777777" w:rsidR="00295EDE" w:rsidRDefault="00295EDE" w:rsidP="00431220">
      <w:pPr>
        <w:tabs>
          <w:tab w:val="left" w:pos="8080"/>
        </w:tabs>
        <w:spacing w:line="360" w:lineRule="auto"/>
        <w:ind w:right="49"/>
        <w:jc w:val="both"/>
        <w:rPr>
          <w:rFonts w:ascii="Century Gothic" w:hAnsi="Century Gothic"/>
        </w:rPr>
      </w:pPr>
    </w:p>
    <w:p w14:paraId="5F2B985C" w14:textId="3E6C2259" w:rsidR="00295EDE" w:rsidRDefault="000269D4" w:rsidP="00431220">
      <w:pPr>
        <w:tabs>
          <w:tab w:val="left" w:pos="8080"/>
        </w:tabs>
        <w:spacing w:line="360" w:lineRule="auto"/>
        <w:ind w:right="49"/>
        <w:jc w:val="both"/>
        <w:rPr>
          <w:rFonts w:ascii="Century Gothic" w:hAnsi="Century Gothic"/>
        </w:rPr>
      </w:pPr>
      <w:r w:rsidRPr="006618E1">
        <w:rPr>
          <w:rFonts w:ascii="Century Gothic" w:hAnsi="Century Gothic"/>
          <w:b/>
        </w:rPr>
        <w:t xml:space="preserve">D A D O </w:t>
      </w:r>
      <w:r w:rsidRPr="006618E1">
        <w:rPr>
          <w:rFonts w:ascii="Century Gothic" w:hAnsi="Century Gothic"/>
        </w:rPr>
        <w:t xml:space="preserve">en el Salón de Sesiones del Poder Legislativo, </w:t>
      </w:r>
      <w:r>
        <w:rPr>
          <w:rFonts w:ascii="Century Gothic" w:hAnsi="Century Gothic"/>
        </w:rPr>
        <w:t>en la ciudad de Chihuahua, Chihuahua</w:t>
      </w:r>
      <w:r w:rsidRPr="006618E1">
        <w:rPr>
          <w:rFonts w:ascii="Century Gothic" w:hAnsi="Century Gothic"/>
        </w:rPr>
        <w:t xml:space="preserve">, a los </w:t>
      </w:r>
      <w:r w:rsidR="008F1289">
        <w:rPr>
          <w:rFonts w:ascii="Century Gothic" w:hAnsi="Century Gothic"/>
        </w:rPr>
        <w:t>1</w:t>
      </w:r>
      <w:r w:rsidR="00951EB2">
        <w:rPr>
          <w:rFonts w:ascii="Century Gothic" w:hAnsi="Century Gothic"/>
        </w:rPr>
        <w:t>2</w:t>
      </w:r>
      <w:r w:rsidR="00A83430">
        <w:rPr>
          <w:rFonts w:ascii="Century Gothic" w:hAnsi="Century Gothic"/>
        </w:rPr>
        <w:t xml:space="preserve"> </w:t>
      </w:r>
      <w:r w:rsidRPr="006618E1">
        <w:rPr>
          <w:rFonts w:ascii="Century Gothic" w:hAnsi="Century Gothic"/>
        </w:rPr>
        <w:t>días del mes de</w:t>
      </w:r>
      <w:r w:rsidR="001E18F0">
        <w:rPr>
          <w:rFonts w:ascii="Century Gothic" w:hAnsi="Century Gothic"/>
        </w:rPr>
        <w:t xml:space="preserve"> </w:t>
      </w:r>
      <w:r w:rsidR="008F1289">
        <w:rPr>
          <w:rFonts w:ascii="Century Gothic" w:hAnsi="Century Gothic"/>
        </w:rPr>
        <w:t>agosto</w:t>
      </w:r>
      <w:r w:rsidRPr="006618E1">
        <w:rPr>
          <w:rFonts w:ascii="Century Gothic" w:hAnsi="Century Gothic"/>
        </w:rPr>
        <w:t xml:space="preserve"> del año </w:t>
      </w:r>
      <w:r>
        <w:rPr>
          <w:rFonts w:ascii="Century Gothic" w:hAnsi="Century Gothic"/>
        </w:rPr>
        <w:t>202</w:t>
      </w:r>
      <w:r w:rsidR="00B65D5C">
        <w:rPr>
          <w:rFonts w:ascii="Century Gothic" w:hAnsi="Century Gothic"/>
        </w:rPr>
        <w:t>4</w:t>
      </w:r>
      <w:r>
        <w:rPr>
          <w:rFonts w:ascii="Century Gothic" w:hAnsi="Century Gothic"/>
        </w:rPr>
        <w:t>.</w:t>
      </w:r>
    </w:p>
    <w:p w14:paraId="28895AEA" w14:textId="19F9B6ED" w:rsidR="00295EDE" w:rsidRDefault="00295EDE" w:rsidP="00431220">
      <w:pPr>
        <w:tabs>
          <w:tab w:val="left" w:pos="8080"/>
        </w:tabs>
        <w:spacing w:line="360" w:lineRule="auto"/>
        <w:ind w:right="49"/>
        <w:jc w:val="both"/>
        <w:rPr>
          <w:rFonts w:ascii="Century Gothic" w:hAnsi="Century Gothic"/>
        </w:rPr>
      </w:pPr>
    </w:p>
    <w:p w14:paraId="74A3D7C7" w14:textId="77777777" w:rsidR="00295EDE" w:rsidRDefault="00295EDE" w:rsidP="005D6321">
      <w:pPr>
        <w:ind w:right="-94"/>
        <w:rPr>
          <w:rFonts w:ascii="Century Gothic" w:eastAsia="Arial" w:hAnsi="Century Gothic" w:cs="Arial"/>
          <w:b/>
          <w:szCs w:val="20"/>
          <w:lang w:eastAsia="es-MX"/>
        </w:rPr>
      </w:pPr>
    </w:p>
    <w:p w14:paraId="053E836E" w14:textId="3A0B7AAA" w:rsidR="00295EDE" w:rsidRDefault="000269D4" w:rsidP="00295EDE">
      <w:pPr>
        <w:ind w:right="-94"/>
        <w:jc w:val="center"/>
        <w:rPr>
          <w:rFonts w:ascii="Century Gothic" w:eastAsia="Arial" w:hAnsi="Century Gothic" w:cs="Arial"/>
          <w:b/>
          <w:szCs w:val="20"/>
          <w:lang w:eastAsia="es-MX"/>
        </w:rPr>
      </w:pPr>
      <w:r w:rsidRPr="00295EDE">
        <w:rPr>
          <w:rFonts w:ascii="Century Gothic" w:eastAsia="Arial" w:hAnsi="Century Gothic" w:cs="Arial"/>
          <w:b/>
          <w:szCs w:val="20"/>
          <w:lang w:eastAsia="es-MX"/>
        </w:rPr>
        <w:t xml:space="preserve">Así lo aprobó la Comisión de Justicia, en la reunión de fecha </w:t>
      </w:r>
      <w:r w:rsidR="00C37C12">
        <w:rPr>
          <w:rFonts w:ascii="Century Gothic" w:eastAsia="Arial" w:hAnsi="Century Gothic" w:cs="Arial"/>
          <w:b/>
          <w:szCs w:val="20"/>
          <w:lang w:eastAsia="es-MX"/>
        </w:rPr>
        <w:t>12</w:t>
      </w:r>
      <w:r w:rsidRPr="00295EDE">
        <w:rPr>
          <w:rFonts w:ascii="Century Gothic" w:eastAsia="Arial" w:hAnsi="Century Gothic" w:cs="Arial"/>
          <w:b/>
          <w:szCs w:val="20"/>
          <w:lang w:eastAsia="es-MX"/>
        </w:rPr>
        <w:t xml:space="preserve"> de </w:t>
      </w:r>
      <w:r w:rsidR="00C37C12">
        <w:rPr>
          <w:rFonts w:ascii="Century Gothic" w:eastAsia="Arial" w:hAnsi="Century Gothic" w:cs="Arial"/>
          <w:b/>
          <w:szCs w:val="20"/>
          <w:lang w:eastAsia="es-MX"/>
        </w:rPr>
        <w:t>julio</w:t>
      </w:r>
      <w:r w:rsidR="00B65D5C">
        <w:rPr>
          <w:rFonts w:ascii="Century Gothic" w:eastAsia="Arial" w:hAnsi="Century Gothic" w:cs="Arial"/>
          <w:b/>
          <w:szCs w:val="20"/>
          <w:lang w:eastAsia="es-MX"/>
        </w:rPr>
        <w:t xml:space="preserve"> </w:t>
      </w:r>
      <w:r w:rsidRPr="00295EDE">
        <w:rPr>
          <w:rFonts w:ascii="Century Gothic" w:eastAsia="Arial" w:hAnsi="Century Gothic" w:cs="Arial"/>
          <w:b/>
          <w:szCs w:val="20"/>
          <w:lang w:eastAsia="es-MX"/>
        </w:rPr>
        <w:t>del año 202</w:t>
      </w:r>
      <w:r w:rsidR="00B65D5C">
        <w:rPr>
          <w:rFonts w:ascii="Century Gothic" w:eastAsia="Arial" w:hAnsi="Century Gothic" w:cs="Arial"/>
          <w:b/>
          <w:szCs w:val="20"/>
          <w:lang w:eastAsia="es-MX"/>
        </w:rPr>
        <w:t>4</w:t>
      </w:r>
      <w:r w:rsidRPr="00295EDE">
        <w:rPr>
          <w:rFonts w:ascii="Century Gothic" w:eastAsia="Arial" w:hAnsi="Century Gothic" w:cs="Arial"/>
          <w:b/>
          <w:szCs w:val="20"/>
          <w:lang w:eastAsia="es-MX"/>
        </w:rPr>
        <w:t>.</w:t>
      </w:r>
    </w:p>
    <w:p w14:paraId="4B0DF8D3" w14:textId="347F8A04" w:rsidR="00295EDE" w:rsidRDefault="00295EDE" w:rsidP="00295EDE">
      <w:pPr>
        <w:ind w:right="-94"/>
        <w:jc w:val="center"/>
        <w:rPr>
          <w:rFonts w:ascii="Century Gothic" w:eastAsia="Arial" w:hAnsi="Century Gothic" w:cs="Arial"/>
          <w:b/>
          <w:szCs w:val="20"/>
          <w:lang w:eastAsia="es-MX"/>
        </w:rPr>
      </w:pPr>
    </w:p>
    <w:p w14:paraId="1BDE7DD8" w14:textId="77777777" w:rsidR="00295EDE" w:rsidRPr="00295EDE" w:rsidRDefault="00295EDE" w:rsidP="00295EDE">
      <w:pPr>
        <w:ind w:right="-94"/>
        <w:jc w:val="center"/>
        <w:rPr>
          <w:rFonts w:ascii="Century Gothic" w:eastAsia="Arial" w:hAnsi="Century Gothic" w:cs="Arial"/>
          <w:b/>
          <w:szCs w:val="20"/>
          <w:lang w:eastAsia="es-MX"/>
        </w:rPr>
      </w:pPr>
    </w:p>
    <w:p w14:paraId="202F787E" w14:textId="77777777" w:rsidR="00295EDE" w:rsidRPr="00295EDE" w:rsidRDefault="00295EDE" w:rsidP="00295EDE">
      <w:pPr>
        <w:ind w:right="-94"/>
        <w:jc w:val="center"/>
        <w:rPr>
          <w:rFonts w:ascii="Century Gothic" w:eastAsia="Arial" w:hAnsi="Century Gothic" w:cs="Arial"/>
          <w:b/>
          <w:szCs w:val="20"/>
          <w:lang w:eastAsia="es-MX"/>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979"/>
        <w:gridCol w:w="2249"/>
        <w:gridCol w:w="2251"/>
        <w:gridCol w:w="1979"/>
      </w:tblGrid>
      <w:tr w:rsidR="000269D4" w:rsidRPr="00C52A9F" w14:paraId="07D17491" w14:textId="77777777" w:rsidTr="00AC5225">
        <w:tc>
          <w:tcPr>
            <w:tcW w:w="1702" w:type="dxa"/>
          </w:tcPr>
          <w:p w14:paraId="37F79B6A" w14:textId="77777777" w:rsidR="000269D4" w:rsidRPr="00C52A9F" w:rsidRDefault="000269D4" w:rsidP="00AC5225">
            <w:pPr>
              <w:jc w:val="both"/>
              <w:rPr>
                <w:rFonts w:ascii="Century Gothic" w:hAnsi="Century Gothic" w:cs="Arial"/>
                <w:b/>
                <w:sz w:val="22"/>
                <w:szCs w:val="22"/>
              </w:rPr>
            </w:pPr>
          </w:p>
        </w:tc>
        <w:tc>
          <w:tcPr>
            <w:tcW w:w="1984" w:type="dxa"/>
          </w:tcPr>
          <w:p w14:paraId="3111F612" w14:textId="77777777" w:rsidR="000269D4" w:rsidRPr="00C52A9F" w:rsidRDefault="000269D4" w:rsidP="00AC5225">
            <w:pPr>
              <w:jc w:val="center"/>
              <w:rPr>
                <w:rFonts w:ascii="Century Gothic" w:hAnsi="Century Gothic" w:cs="Arial"/>
                <w:b/>
                <w:sz w:val="22"/>
                <w:szCs w:val="22"/>
              </w:rPr>
            </w:pPr>
            <w:r w:rsidRPr="00C52A9F">
              <w:rPr>
                <w:rFonts w:ascii="Century Gothic" w:hAnsi="Century Gothic" w:cs="Arial"/>
                <w:b/>
                <w:sz w:val="22"/>
                <w:szCs w:val="22"/>
              </w:rPr>
              <w:t>INTEGRANTES</w:t>
            </w:r>
          </w:p>
        </w:tc>
        <w:tc>
          <w:tcPr>
            <w:tcW w:w="2268" w:type="dxa"/>
          </w:tcPr>
          <w:p w14:paraId="1919CBBC" w14:textId="77777777" w:rsidR="000269D4" w:rsidRPr="00C52A9F" w:rsidRDefault="000269D4" w:rsidP="00AC5225">
            <w:pPr>
              <w:jc w:val="center"/>
              <w:rPr>
                <w:rFonts w:ascii="Century Gothic" w:hAnsi="Century Gothic" w:cs="Arial"/>
                <w:b/>
                <w:sz w:val="22"/>
                <w:szCs w:val="22"/>
              </w:rPr>
            </w:pPr>
            <w:r w:rsidRPr="00C52A9F">
              <w:rPr>
                <w:rFonts w:ascii="Century Gothic" w:hAnsi="Century Gothic" w:cs="Arial"/>
                <w:b/>
                <w:sz w:val="22"/>
                <w:szCs w:val="22"/>
              </w:rPr>
              <w:t>A FAVOR</w:t>
            </w:r>
          </w:p>
        </w:tc>
        <w:tc>
          <w:tcPr>
            <w:tcW w:w="2268" w:type="dxa"/>
          </w:tcPr>
          <w:p w14:paraId="0DA9B1CF" w14:textId="77777777" w:rsidR="000269D4" w:rsidRPr="00C52A9F" w:rsidRDefault="000269D4" w:rsidP="00AC5225">
            <w:pPr>
              <w:jc w:val="center"/>
              <w:rPr>
                <w:rFonts w:ascii="Century Gothic" w:hAnsi="Century Gothic" w:cs="Arial"/>
                <w:b/>
                <w:sz w:val="22"/>
                <w:szCs w:val="22"/>
              </w:rPr>
            </w:pPr>
            <w:r w:rsidRPr="00C52A9F">
              <w:rPr>
                <w:rFonts w:ascii="Century Gothic" w:hAnsi="Century Gothic" w:cs="Arial"/>
                <w:b/>
                <w:sz w:val="22"/>
                <w:szCs w:val="22"/>
              </w:rPr>
              <w:t>EN CONTRA</w:t>
            </w:r>
          </w:p>
        </w:tc>
        <w:tc>
          <w:tcPr>
            <w:tcW w:w="1985" w:type="dxa"/>
          </w:tcPr>
          <w:p w14:paraId="421702C1" w14:textId="77777777" w:rsidR="000269D4" w:rsidRPr="00C52A9F" w:rsidRDefault="000269D4" w:rsidP="00AC5225">
            <w:pPr>
              <w:jc w:val="center"/>
              <w:rPr>
                <w:rFonts w:ascii="Century Gothic" w:hAnsi="Century Gothic" w:cs="Arial"/>
                <w:b/>
                <w:sz w:val="22"/>
                <w:szCs w:val="22"/>
              </w:rPr>
            </w:pPr>
            <w:r w:rsidRPr="00C52A9F">
              <w:rPr>
                <w:rFonts w:ascii="Century Gothic" w:hAnsi="Century Gothic" w:cs="Arial"/>
                <w:b/>
                <w:sz w:val="22"/>
                <w:szCs w:val="22"/>
              </w:rPr>
              <w:t>ABSTENCIÓN</w:t>
            </w:r>
          </w:p>
        </w:tc>
      </w:tr>
      <w:tr w:rsidR="000269D4" w:rsidRPr="00C52A9F" w14:paraId="2D6DAB9C" w14:textId="77777777" w:rsidTr="00AC5225">
        <w:tc>
          <w:tcPr>
            <w:tcW w:w="1702" w:type="dxa"/>
          </w:tcPr>
          <w:p w14:paraId="097198F9" w14:textId="1BD4C535" w:rsidR="000269D4" w:rsidRPr="00C52A9F" w:rsidRDefault="00C0553F" w:rsidP="00AC5225">
            <w:pPr>
              <w:jc w:val="both"/>
              <w:rPr>
                <w:rFonts w:ascii="Century Gothic" w:hAnsi="Century Gothic" w:cs="Arial"/>
                <w:b/>
                <w:noProof/>
                <w:lang w:eastAsia="es-MX"/>
              </w:rPr>
            </w:pPr>
            <w:r>
              <w:rPr>
                <w:rFonts w:ascii="Century Gothic" w:hAnsi="Century Gothic" w:cs="Arial"/>
                <w:b/>
                <w:noProof/>
                <w:lang w:eastAsia="es-MX"/>
              </w:rPr>
              <w:drawing>
                <wp:inline distT="0" distB="0" distL="0" distR="0" wp14:anchorId="06003F13" wp14:editId="5C783BDB">
                  <wp:extent cx="895350" cy="11885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7642" cy="1191560"/>
                          </a:xfrm>
                          <a:prstGeom prst="rect">
                            <a:avLst/>
                          </a:prstGeom>
                          <a:noFill/>
                        </pic:spPr>
                      </pic:pic>
                    </a:graphicData>
                  </a:graphic>
                </wp:inline>
              </w:drawing>
            </w:r>
          </w:p>
        </w:tc>
        <w:tc>
          <w:tcPr>
            <w:tcW w:w="1984" w:type="dxa"/>
          </w:tcPr>
          <w:p w14:paraId="35D910D1" w14:textId="360B9D8F" w:rsidR="000269D4" w:rsidRPr="00C52A9F" w:rsidRDefault="000269D4" w:rsidP="00C0553F">
            <w:pPr>
              <w:contextualSpacing/>
              <w:jc w:val="center"/>
              <w:rPr>
                <w:rFonts w:ascii="Century Gothic" w:hAnsi="Century Gothic" w:cs="Arial"/>
                <w:b/>
                <w:lang w:eastAsia="es-MX"/>
              </w:rPr>
            </w:pPr>
            <w:r w:rsidRPr="002F698D">
              <w:rPr>
                <w:rFonts w:ascii="Century Gothic" w:hAnsi="Century Gothic" w:cs="Arial"/>
                <w:b/>
                <w:bCs/>
                <w:lang w:eastAsia="es-MX"/>
              </w:rPr>
              <w:t xml:space="preserve">DIP. </w:t>
            </w:r>
            <w:r w:rsidR="00C0553F">
              <w:rPr>
                <w:rFonts w:ascii="Century Gothic" w:hAnsi="Century Gothic" w:cs="Arial"/>
                <w:b/>
                <w:bCs/>
                <w:lang w:eastAsia="es-MX"/>
              </w:rPr>
              <w:t>GEORGINA ALEJANDRA BUJANDA RÍOS</w:t>
            </w:r>
          </w:p>
        </w:tc>
        <w:tc>
          <w:tcPr>
            <w:tcW w:w="2268" w:type="dxa"/>
          </w:tcPr>
          <w:p w14:paraId="6366E01D" w14:textId="77777777" w:rsidR="000269D4" w:rsidRPr="00C52A9F" w:rsidRDefault="000269D4" w:rsidP="00AC5225">
            <w:pPr>
              <w:jc w:val="both"/>
              <w:rPr>
                <w:rFonts w:ascii="Century Gothic" w:hAnsi="Century Gothic" w:cs="Arial"/>
                <w:b/>
              </w:rPr>
            </w:pPr>
          </w:p>
        </w:tc>
        <w:tc>
          <w:tcPr>
            <w:tcW w:w="2268" w:type="dxa"/>
          </w:tcPr>
          <w:p w14:paraId="7CB0AF98" w14:textId="77777777" w:rsidR="000269D4" w:rsidRPr="00C52A9F" w:rsidRDefault="000269D4" w:rsidP="00AC5225">
            <w:pPr>
              <w:jc w:val="both"/>
              <w:rPr>
                <w:rFonts w:ascii="Century Gothic" w:hAnsi="Century Gothic" w:cs="Arial"/>
                <w:b/>
              </w:rPr>
            </w:pPr>
          </w:p>
        </w:tc>
        <w:tc>
          <w:tcPr>
            <w:tcW w:w="1985" w:type="dxa"/>
          </w:tcPr>
          <w:p w14:paraId="214D4C1D" w14:textId="77777777" w:rsidR="000269D4" w:rsidRPr="00C52A9F" w:rsidRDefault="000269D4" w:rsidP="00AC5225">
            <w:pPr>
              <w:jc w:val="both"/>
              <w:rPr>
                <w:rFonts w:ascii="Century Gothic" w:hAnsi="Century Gothic" w:cs="Arial"/>
                <w:b/>
              </w:rPr>
            </w:pPr>
          </w:p>
        </w:tc>
      </w:tr>
      <w:tr w:rsidR="000269D4" w:rsidRPr="00C52A9F" w14:paraId="054BC6CD" w14:textId="77777777" w:rsidTr="00AC5225">
        <w:tc>
          <w:tcPr>
            <w:tcW w:w="1702" w:type="dxa"/>
          </w:tcPr>
          <w:p w14:paraId="635D468D" w14:textId="77777777" w:rsidR="000269D4" w:rsidRPr="00C52A9F" w:rsidRDefault="000269D4" w:rsidP="00AC5225">
            <w:pPr>
              <w:jc w:val="both"/>
              <w:rPr>
                <w:rFonts w:ascii="Century Gothic" w:hAnsi="Century Gothic" w:cs="Arial"/>
                <w:b/>
              </w:rPr>
            </w:pPr>
            <w:r w:rsidRPr="00C52A9F">
              <w:rPr>
                <w:rFonts w:ascii="Century Gothic" w:hAnsi="Century Gothic" w:cs="Arial"/>
                <w:b/>
                <w:noProof/>
                <w:lang w:eastAsia="es-MX"/>
              </w:rPr>
              <w:drawing>
                <wp:anchor distT="0" distB="0" distL="114300" distR="114300" simplePos="0" relativeHeight="251659264" behindDoc="1" locked="0" layoutInCell="1" allowOverlap="1" wp14:anchorId="332D9484" wp14:editId="4B0DEE46">
                  <wp:simplePos x="0" y="0"/>
                  <wp:positionH relativeFrom="column">
                    <wp:posOffset>-8255</wp:posOffset>
                  </wp:positionH>
                  <wp:positionV relativeFrom="paragraph">
                    <wp:posOffset>12700</wp:posOffset>
                  </wp:positionV>
                  <wp:extent cx="976006" cy="11049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congresochihuahua.gob.mx/TimThumb.php?src=diputados/imagenes/fotos/1186.jpg&amp;w=260&amp;h=260&amp;zc=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76006" cy="1104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tcPr>
          <w:p w14:paraId="215BE565" w14:textId="77777777" w:rsidR="000269D4" w:rsidRPr="00C52A9F" w:rsidRDefault="000269D4" w:rsidP="00C0553F">
            <w:pPr>
              <w:contextualSpacing/>
              <w:jc w:val="center"/>
              <w:rPr>
                <w:rFonts w:ascii="Century Gothic" w:hAnsi="Century Gothic" w:cs="Arial"/>
                <w:b/>
                <w:bCs/>
                <w:smallCaps/>
                <w:lang w:eastAsia="es-MX"/>
              </w:rPr>
            </w:pPr>
            <w:r w:rsidRPr="00C52A9F">
              <w:rPr>
                <w:rFonts w:ascii="Century Gothic" w:hAnsi="Century Gothic" w:cs="Arial"/>
                <w:b/>
                <w:bCs/>
                <w:smallCaps/>
                <w:lang w:eastAsia="es-MX"/>
              </w:rPr>
              <w:t>DIP. DAVID OSCAR CASTREJÓN RIVAS</w:t>
            </w:r>
          </w:p>
          <w:p w14:paraId="5D7C0FDB" w14:textId="707ADAE7" w:rsidR="000269D4" w:rsidRPr="00C52A9F" w:rsidRDefault="000269D4" w:rsidP="00C0553F">
            <w:pPr>
              <w:contextualSpacing/>
              <w:jc w:val="center"/>
              <w:rPr>
                <w:rFonts w:ascii="Century Gothic" w:hAnsi="Century Gothic" w:cs="Arial"/>
                <w:b/>
                <w:bCs/>
                <w:smallCaps/>
                <w:lang w:eastAsia="es-MX"/>
              </w:rPr>
            </w:pPr>
            <w:r w:rsidRPr="00C52A9F">
              <w:rPr>
                <w:rFonts w:ascii="Century Gothic" w:hAnsi="Century Gothic" w:cs="Arial"/>
                <w:b/>
                <w:bCs/>
                <w:smallCaps/>
                <w:lang w:eastAsia="es-MX"/>
              </w:rPr>
              <w:t>SECRETARIO</w:t>
            </w:r>
          </w:p>
          <w:p w14:paraId="7B793F4A" w14:textId="77777777" w:rsidR="000269D4" w:rsidRPr="00C52A9F" w:rsidRDefault="000269D4" w:rsidP="00C0553F">
            <w:pPr>
              <w:jc w:val="center"/>
              <w:rPr>
                <w:rFonts w:ascii="Century Gothic" w:hAnsi="Century Gothic" w:cs="Arial"/>
                <w:b/>
                <w:sz w:val="22"/>
                <w:szCs w:val="22"/>
              </w:rPr>
            </w:pPr>
          </w:p>
        </w:tc>
        <w:tc>
          <w:tcPr>
            <w:tcW w:w="2268" w:type="dxa"/>
          </w:tcPr>
          <w:p w14:paraId="757DE7F3" w14:textId="77777777" w:rsidR="000269D4" w:rsidRPr="00C52A9F" w:rsidRDefault="000269D4" w:rsidP="00AC5225">
            <w:pPr>
              <w:jc w:val="both"/>
              <w:rPr>
                <w:rFonts w:ascii="Century Gothic" w:hAnsi="Century Gothic" w:cs="Arial"/>
                <w:b/>
              </w:rPr>
            </w:pPr>
          </w:p>
        </w:tc>
        <w:tc>
          <w:tcPr>
            <w:tcW w:w="2268" w:type="dxa"/>
          </w:tcPr>
          <w:p w14:paraId="7A384F08" w14:textId="77777777" w:rsidR="000269D4" w:rsidRPr="00C52A9F" w:rsidRDefault="000269D4" w:rsidP="00AC5225">
            <w:pPr>
              <w:jc w:val="both"/>
              <w:rPr>
                <w:rFonts w:ascii="Century Gothic" w:hAnsi="Century Gothic" w:cs="Arial"/>
                <w:b/>
              </w:rPr>
            </w:pPr>
          </w:p>
        </w:tc>
        <w:tc>
          <w:tcPr>
            <w:tcW w:w="1985" w:type="dxa"/>
          </w:tcPr>
          <w:p w14:paraId="5D3CEC8D" w14:textId="77777777" w:rsidR="000269D4" w:rsidRPr="00C52A9F" w:rsidRDefault="000269D4" w:rsidP="00AC5225">
            <w:pPr>
              <w:jc w:val="both"/>
              <w:rPr>
                <w:rFonts w:ascii="Century Gothic" w:hAnsi="Century Gothic" w:cs="Arial"/>
                <w:b/>
              </w:rPr>
            </w:pPr>
          </w:p>
        </w:tc>
      </w:tr>
      <w:tr w:rsidR="000269D4" w:rsidRPr="00C52A9F" w14:paraId="78876D71" w14:textId="77777777" w:rsidTr="00C0553F">
        <w:trPr>
          <w:trHeight w:val="1746"/>
        </w:trPr>
        <w:tc>
          <w:tcPr>
            <w:tcW w:w="1702" w:type="dxa"/>
          </w:tcPr>
          <w:p w14:paraId="4CFE2472" w14:textId="340B8EC1" w:rsidR="00C0553F" w:rsidRDefault="00C0553F" w:rsidP="00AC5225">
            <w:pPr>
              <w:jc w:val="both"/>
              <w:rPr>
                <w:szCs w:val="20"/>
              </w:rPr>
            </w:pPr>
            <w:r w:rsidRPr="00C52A9F">
              <w:rPr>
                <w:noProof/>
                <w:szCs w:val="20"/>
                <w:lang w:eastAsia="es-MX"/>
              </w:rPr>
              <w:drawing>
                <wp:anchor distT="0" distB="0" distL="114300" distR="114300" simplePos="0" relativeHeight="251660288" behindDoc="1" locked="0" layoutInCell="1" allowOverlap="1" wp14:anchorId="0F4F2A8B" wp14:editId="3B45472F">
                  <wp:simplePos x="0" y="0"/>
                  <wp:positionH relativeFrom="column">
                    <wp:posOffset>29210</wp:posOffset>
                  </wp:positionH>
                  <wp:positionV relativeFrom="paragraph">
                    <wp:posOffset>-15240</wp:posOffset>
                  </wp:positionV>
                  <wp:extent cx="913765" cy="1046480"/>
                  <wp:effectExtent l="0" t="0" r="635"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isela.jpg"/>
                          <pic:cNvPicPr/>
                        </pic:nvPicPr>
                        <pic:blipFill>
                          <a:blip r:embed="rId10">
                            <a:extLst>
                              <a:ext uri="{28A0092B-C50C-407E-A947-70E740481C1C}">
                                <a14:useLocalDpi xmlns:a14="http://schemas.microsoft.com/office/drawing/2010/main" val="0"/>
                              </a:ext>
                            </a:extLst>
                          </a:blip>
                          <a:stretch>
                            <a:fillRect/>
                          </a:stretch>
                        </pic:blipFill>
                        <pic:spPr>
                          <a:xfrm>
                            <a:off x="0" y="0"/>
                            <a:ext cx="913765" cy="1046480"/>
                          </a:xfrm>
                          <a:prstGeom prst="rect">
                            <a:avLst/>
                          </a:prstGeom>
                        </pic:spPr>
                      </pic:pic>
                    </a:graphicData>
                  </a:graphic>
                  <wp14:sizeRelH relativeFrom="page">
                    <wp14:pctWidth>0</wp14:pctWidth>
                  </wp14:sizeRelH>
                  <wp14:sizeRelV relativeFrom="page">
                    <wp14:pctHeight>0</wp14:pctHeight>
                  </wp14:sizeRelV>
                </wp:anchor>
              </w:drawing>
            </w:r>
          </w:p>
          <w:p w14:paraId="47165753" w14:textId="3B868E3D" w:rsidR="000269D4" w:rsidRPr="00C52A9F" w:rsidRDefault="000269D4" w:rsidP="00AC5225">
            <w:pPr>
              <w:jc w:val="both"/>
              <w:rPr>
                <w:szCs w:val="20"/>
              </w:rPr>
            </w:pPr>
          </w:p>
          <w:p w14:paraId="3F20F57A" w14:textId="77777777" w:rsidR="000269D4" w:rsidRPr="00C52A9F" w:rsidRDefault="000269D4" w:rsidP="00AC5225">
            <w:pPr>
              <w:jc w:val="both"/>
              <w:rPr>
                <w:rFonts w:ascii="Century Gothic" w:hAnsi="Century Gothic" w:cs="Arial"/>
                <w:b/>
              </w:rPr>
            </w:pPr>
          </w:p>
        </w:tc>
        <w:tc>
          <w:tcPr>
            <w:tcW w:w="1984" w:type="dxa"/>
          </w:tcPr>
          <w:p w14:paraId="3FA7113F" w14:textId="77777777" w:rsidR="000269D4" w:rsidRPr="00C52A9F" w:rsidRDefault="000269D4" w:rsidP="00C0553F">
            <w:pPr>
              <w:contextualSpacing/>
              <w:jc w:val="center"/>
              <w:rPr>
                <w:rFonts w:ascii="Century Gothic" w:hAnsi="Century Gothic" w:cs="Arial"/>
                <w:b/>
                <w:lang w:eastAsia="es-MX"/>
              </w:rPr>
            </w:pPr>
            <w:r w:rsidRPr="00C52A9F">
              <w:rPr>
                <w:rFonts w:ascii="Century Gothic" w:hAnsi="Century Gothic" w:cs="Arial"/>
                <w:b/>
                <w:lang w:eastAsia="es-MX"/>
              </w:rPr>
              <w:t>DIP. ILSE AMÉRICA GARCÍA SOTO</w:t>
            </w:r>
          </w:p>
          <w:p w14:paraId="074D691E" w14:textId="77777777" w:rsidR="000269D4" w:rsidRPr="00C52A9F" w:rsidRDefault="000269D4" w:rsidP="00C0553F">
            <w:pPr>
              <w:contextualSpacing/>
              <w:jc w:val="center"/>
              <w:rPr>
                <w:rFonts w:ascii="Century Gothic" w:hAnsi="Century Gothic" w:cs="Arial"/>
                <w:b/>
                <w:lang w:eastAsia="es-MX"/>
              </w:rPr>
            </w:pPr>
            <w:r w:rsidRPr="00C52A9F">
              <w:rPr>
                <w:rFonts w:ascii="Century Gothic" w:hAnsi="Century Gothic" w:cs="Arial"/>
                <w:b/>
                <w:lang w:eastAsia="es-MX"/>
              </w:rPr>
              <w:t>VOCAL</w:t>
            </w:r>
          </w:p>
          <w:p w14:paraId="3FC66576" w14:textId="77777777" w:rsidR="000269D4" w:rsidRPr="00C52A9F" w:rsidRDefault="000269D4" w:rsidP="00C0553F">
            <w:pPr>
              <w:contextualSpacing/>
              <w:jc w:val="center"/>
              <w:rPr>
                <w:rFonts w:ascii="Century Gothic" w:hAnsi="Century Gothic" w:cs="Arial"/>
                <w:b/>
                <w:lang w:eastAsia="es-MX"/>
              </w:rPr>
            </w:pPr>
          </w:p>
        </w:tc>
        <w:tc>
          <w:tcPr>
            <w:tcW w:w="2268" w:type="dxa"/>
          </w:tcPr>
          <w:p w14:paraId="392F373C" w14:textId="77777777" w:rsidR="000269D4" w:rsidRPr="00C52A9F" w:rsidRDefault="000269D4" w:rsidP="00AC5225">
            <w:pPr>
              <w:jc w:val="both"/>
              <w:rPr>
                <w:rFonts w:ascii="Century Gothic" w:hAnsi="Century Gothic" w:cs="Arial"/>
                <w:b/>
              </w:rPr>
            </w:pPr>
          </w:p>
        </w:tc>
        <w:tc>
          <w:tcPr>
            <w:tcW w:w="2268" w:type="dxa"/>
          </w:tcPr>
          <w:p w14:paraId="6366CAB1" w14:textId="77777777" w:rsidR="000269D4" w:rsidRPr="00C52A9F" w:rsidRDefault="000269D4" w:rsidP="00AC5225">
            <w:pPr>
              <w:jc w:val="both"/>
              <w:rPr>
                <w:rFonts w:ascii="Century Gothic" w:hAnsi="Century Gothic" w:cs="Arial"/>
                <w:b/>
              </w:rPr>
            </w:pPr>
          </w:p>
        </w:tc>
        <w:tc>
          <w:tcPr>
            <w:tcW w:w="1985" w:type="dxa"/>
          </w:tcPr>
          <w:p w14:paraId="797AD698" w14:textId="77777777" w:rsidR="000269D4" w:rsidRPr="00C52A9F" w:rsidRDefault="000269D4" w:rsidP="00AC5225">
            <w:pPr>
              <w:jc w:val="both"/>
              <w:rPr>
                <w:rFonts w:ascii="Century Gothic" w:hAnsi="Century Gothic" w:cs="Arial"/>
                <w:b/>
              </w:rPr>
            </w:pPr>
          </w:p>
        </w:tc>
      </w:tr>
      <w:tr w:rsidR="000269D4" w:rsidRPr="00C52A9F" w14:paraId="215E8DF0" w14:textId="77777777" w:rsidTr="00C0553F">
        <w:trPr>
          <w:trHeight w:val="1969"/>
        </w:trPr>
        <w:tc>
          <w:tcPr>
            <w:tcW w:w="1702" w:type="dxa"/>
          </w:tcPr>
          <w:p w14:paraId="39AF13C2" w14:textId="45FFA09E" w:rsidR="000269D4" w:rsidRPr="00C52A9F" w:rsidRDefault="000269D4" w:rsidP="00AC5225">
            <w:pPr>
              <w:jc w:val="both"/>
              <w:rPr>
                <w:rFonts w:ascii="Century Gothic" w:hAnsi="Century Gothic" w:cs="Arial"/>
                <w:b/>
              </w:rPr>
            </w:pPr>
            <w:r w:rsidRPr="00C52A9F">
              <w:rPr>
                <w:rFonts w:ascii="Century Gothic" w:hAnsi="Century Gothic" w:cs="Arial"/>
                <w:b/>
                <w:noProof/>
                <w:lang w:eastAsia="es-MX"/>
              </w:rPr>
              <w:drawing>
                <wp:anchor distT="0" distB="0" distL="114300" distR="114300" simplePos="0" relativeHeight="251661312" behindDoc="1" locked="0" layoutInCell="1" allowOverlap="1" wp14:anchorId="3C3B36A6" wp14:editId="2A210AFF">
                  <wp:simplePos x="0" y="0"/>
                  <wp:positionH relativeFrom="margin">
                    <wp:posOffset>-15875</wp:posOffset>
                  </wp:positionH>
                  <wp:positionV relativeFrom="margin">
                    <wp:posOffset>85725</wp:posOffset>
                  </wp:positionV>
                  <wp:extent cx="973455" cy="1171575"/>
                  <wp:effectExtent l="0" t="0" r="0"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yanira.jpg"/>
                          <pic:cNvPicPr/>
                        </pic:nvPicPr>
                        <pic:blipFill>
                          <a:blip r:embed="rId11">
                            <a:extLst>
                              <a:ext uri="{28A0092B-C50C-407E-A947-70E740481C1C}">
                                <a14:useLocalDpi xmlns:a14="http://schemas.microsoft.com/office/drawing/2010/main" val="0"/>
                              </a:ext>
                            </a:extLst>
                          </a:blip>
                          <a:stretch>
                            <a:fillRect/>
                          </a:stretch>
                        </pic:blipFill>
                        <pic:spPr>
                          <a:xfrm>
                            <a:off x="0" y="0"/>
                            <a:ext cx="973455" cy="1171575"/>
                          </a:xfrm>
                          <a:prstGeom prst="rect">
                            <a:avLst/>
                          </a:prstGeom>
                        </pic:spPr>
                      </pic:pic>
                    </a:graphicData>
                  </a:graphic>
                  <wp14:sizeRelH relativeFrom="page">
                    <wp14:pctWidth>0</wp14:pctWidth>
                  </wp14:sizeRelH>
                  <wp14:sizeRelV relativeFrom="page">
                    <wp14:pctHeight>0</wp14:pctHeight>
                  </wp14:sizeRelV>
                </wp:anchor>
              </w:drawing>
            </w:r>
          </w:p>
        </w:tc>
        <w:tc>
          <w:tcPr>
            <w:tcW w:w="1984" w:type="dxa"/>
          </w:tcPr>
          <w:p w14:paraId="07BE264E" w14:textId="77777777" w:rsidR="000269D4" w:rsidRPr="00C52A9F" w:rsidRDefault="000269D4" w:rsidP="00C0553F">
            <w:pPr>
              <w:contextualSpacing/>
              <w:jc w:val="center"/>
              <w:rPr>
                <w:rFonts w:ascii="Century Gothic" w:hAnsi="Century Gothic" w:cs="Arial"/>
                <w:b/>
                <w:lang w:eastAsia="es-MX"/>
              </w:rPr>
            </w:pPr>
            <w:r w:rsidRPr="00C52A9F">
              <w:rPr>
                <w:rFonts w:ascii="Century Gothic" w:hAnsi="Century Gothic" w:cs="Arial"/>
                <w:b/>
                <w:lang w:eastAsia="es-MX"/>
              </w:rPr>
              <w:t>DIP. JOSÉ ALFREDO CHÁVEZ MADRID</w:t>
            </w:r>
          </w:p>
          <w:p w14:paraId="63E85527" w14:textId="588D8DD8" w:rsidR="000269D4" w:rsidRPr="00C52A9F" w:rsidRDefault="000269D4" w:rsidP="00C0553F">
            <w:pPr>
              <w:contextualSpacing/>
              <w:jc w:val="center"/>
              <w:rPr>
                <w:rFonts w:ascii="Century Gothic" w:hAnsi="Century Gothic" w:cs="Arial"/>
                <w:b/>
                <w:lang w:eastAsia="es-MX"/>
              </w:rPr>
            </w:pPr>
            <w:r w:rsidRPr="00C52A9F">
              <w:rPr>
                <w:rFonts w:ascii="Century Gothic" w:hAnsi="Century Gothic" w:cs="Arial"/>
                <w:b/>
                <w:lang w:eastAsia="es-MX"/>
              </w:rPr>
              <w:t>VOCAL</w:t>
            </w:r>
          </w:p>
        </w:tc>
        <w:tc>
          <w:tcPr>
            <w:tcW w:w="2268" w:type="dxa"/>
          </w:tcPr>
          <w:p w14:paraId="6317A55D" w14:textId="77777777" w:rsidR="000269D4" w:rsidRPr="00C52A9F" w:rsidRDefault="000269D4" w:rsidP="00AC5225">
            <w:pPr>
              <w:jc w:val="both"/>
              <w:rPr>
                <w:rFonts w:ascii="Century Gothic" w:hAnsi="Century Gothic" w:cs="Arial"/>
                <w:b/>
              </w:rPr>
            </w:pPr>
          </w:p>
        </w:tc>
        <w:tc>
          <w:tcPr>
            <w:tcW w:w="2268" w:type="dxa"/>
          </w:tcPr>
          <w:p w14:paraId="1D2FC5B7" w14:textId="77777777" w:rsidR="000269D4" w:rsidRPr="00C52A9F" w:rsidRDefault="000269D4" w:rsidP="00AC5225">
            <w:pPr>
              <w:jc w:val="both"/>
              <w:rPr>
                <w:rFonts w:ascii="Century Gothic" w:hAnsi="Century Gothic" w:cs="Arial"/>
                <w:b/>
              </w:rPr>
            </w:pPr>
          </w:p>
        </w:tc>
        <w:tc>
          <w:tcPr>
            <w:tcW w:w="1985" w:type="dxa"/>
          </w:tcPr>
          <w:p w14:paraId="4CC0CAA8" w14:textId="77777777" w:rsidR="000269D4" w:rsidRPr="00C52A9F" w:rsidRDefault="000269D4" w:rsidP="00AC5225">
            <w:pPr>
              <w:jc w:val="both"/>
              <w:rPr>
                <w:rFonts w:ascii="Century Gothic" w:hAnsi="Century Gothic" w:cs="Arial"/>
                <w:b/>
              </w:rPr>
            </w:pPr>
          </w:p>
          <w:p w14:paraId="1B2B6C52" w14:textId="77777777" w:rsidR="000269D4" w:rsidRPr="00C52A9F" w:rsidRDefault="000269D4" w:rsidP="00AC5225">
            <w:pPr>
              <w:spacing w:after="200" w:line="276" w:lineRule="auto"/>
              <w:rPr>
                <w:rFonts w:ascii="Calibri" w:hAnsi="Calibri"/>
                <w:sz w:val="22"/>
                <w:szCs w:val="22"/>
              </w:rPr>
            </w:pPr>
          </w:p>
          <w:p w14:paraId="6BE73EBB" w14:textId="77777777" w:rsidR="000269D4" w:rsidRPr="00C52A9F" w:rsidRDefault="000269D4" w:rsidP="00AC5225">
            <w:pPr>
              <w:spacing w:after="200" w:line="276" w:lineRule="auto"/>
              <w:rPr>
                <w:rFonts w:ascii="Calibri" w:hAnsi="Calibri"/>
                <w:sz w:val="22"/>
                <w:szCs w:val="22"/>
              </w:rPr>
            </w:pPr>
          </w:p>
        </w:tc>
      </w:tr>
      <w:tr w:rsidR="000269D4" w:rsidRPr="00C52A9F" w14:paraId="7C369AF8" w14:textId="77777777" w:rsidTr="00AC5225">
        <w:tc>
          <w:tcPr>
            <w:tcW w:w="1702" w:type="dxa"/>
          </w:tcPr>
          <w:p w14:paraId="4377E95C" w14:textId="77777777" w:rsidR="000269D4" w:rsidRPr="00C52A9F" w:rsidRDefault="000269D4" w:rsidP="00AC5225">
            <w:pPr>
              <w:jc w:val="both"/>
              <w:rPr>
                <w:rFonts w:ascii="Century Gothic" w:hAnsi="Century Gothic" w:cs="Arial"/>
                <w:b/>
              </w:rPr>
            </w:pPr>
            <w:r w:rsidRPr="00C52A9F">
              <w:rPr>
                <w:rFonts w:ascii="Century Gothic" w:hAnsi="Century Gothic" w:cs="Arial"/>
                <w:b/>
                <w:noProof/>
                <w:lang w:eastAsia="es-MX"/>
              </w:rPr>
              <w:lastRenderedPageBreak/>
              <w:drawing>
                <wp:inline distT="0" distB="0" distL="0" distR="0" wp14:anchorId="5C11DCDF" wp14:editId="41671F13">
                  <wp:extent cx="923290" cy="122335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érez.jpg"/>
                          <pic:cNvPicPr/>
                        </pic:nvPicPr>
                        <pic:blipFill>
                          <a:blip r:embed="rId12">
                            <a:extLst>
                              <a:ext uri="{28A0092B-C50C-407E-A947-70E740481C1C}">
                                <a14:useLocalDpi xmlns:a14="http://schemas.microsoft.com/office/drawing/2010/main" val="0"/>
                              </a:ext>
                            </a:extLst>
                          </a:blip>
                          <a:stretch>
                            <a:fillRect/>
                          </a:stretch>
                        </pic:blipFill>
                        <pic:spPr>
                          <a:xfrm>
                            <a:off x="0" y="0"/>
                            <a:ext cx="942556" cy="1248886"/>
                          </a:xfrm>
                          <a:prstGeom prst="rect">
                            <a:avLst/>
                          </a:prstGeom>
                        </pic:spPr>
                      </pic:pic>
                    </a:graphicData>
                  </a:graphic>
                </wp:inline>
              </w:drawing>
            </w:r>
          </w:p>
        </w:tc>
        <w:tc>
          <w:tcPr>
            <w:tcW w:w="1984" w:type="dxa"/>
          </w:tcPr>
          <w:p w14:paraId="6A403899" w14:textId="77777777" w:rsidR="000269D4" w:rsidRPr="00C52A9F" w:rsidRDefault="000269D4" w:rsidP="00AC5225">
            <w:pPr>
              <w:contextualSpacing/>
              <w:jc w:val="center"/>
              <w:rPr>
                <w:rFonts w:ascii="Century Gothic" w:hAnsi="Century Gothic" w:cs="Arial"/>
                <w:b/>
                <w:lang w:eastAsia="es-MX"/>
              </w:rPr>
            </w:pPr>
          </w:p>
          <w:p w14:paraId="3CC83F0B" w14:textId="77777777" w:rsidR="000269D4" w:rsidRPr="00C52A9F" w:rsidRDefault="000269D4" w:rsidP="00AC5225">
            <w:pPr>
              <w:contextualSpacing/>
              <w:jc w:val="center"/>
              <w:rPr>
                <w:rFonts w:ascii="Century Gothic" w:hAnsi="Century Gothic" w:cs="Arial"/>
                <w:b/>
                <w:lang w:eastAsia="es-MX"/>
              </w:rPr>
            </w:pPr>
          </w:p>
          <w:p w14:paraId="69274D54" w14:textId="77777777" w:rsidR="000269D4" w:rsidRPr="00C52A9F" w:rsidRDefault="000269D4" w:rsidP="00AC5225">
            <w:pPr>
              <w:contextualSpacing/>
              <w:jc w:val="center"/>
              <w:rPr>
                <w:rFonts w:ascii="Century Gothic" w:hAnsi="Century Gothic" w:cs="Arial"/>
                <w:b/>
                <w:lang w:eastAsia="es-MX"/>
              </w:rPr>
            </w:pPr>
            <w:r w:rsidRPr="00C52A9F">
              <w:rPr>
                <w:rFonts w:ascii="Century Gothic" w:hAnsi="Century Gothic" w:cs="Arial"/>
                <w:b/>
                <w:lang w:eastAsia="es-MX"/>
              </w:rPr>
              <w:t>DIP. ISMAEL PÉREZ PAVÍA</w:t>
            </w:r>
          </w:p>
          <w:p w14:paraId="23CE8288" w14:textId="77777777" w:rsidR="000269D4" w:rsidRPr="00C52A9F" w:rsidRDefault="000269D4" w:rsidP="00AC5225">
            <w:pPr>
              <w:contextualSpacing/>
              <w:jc w:val="center"/>
              <w:rPr>
                <w:rFonts w:ascii="Century Gothic" w:hAnsi="Century Gothic" w:cs="Arial"/>
                <w:b/>
                <w:lang w:eastAsia="es-MX"/>
              </w:rPr>
            </w:pPr>
            <w:r w:rsidRPr="00C52A9F">
              <w:rPr>
                <w:rFonts w:ascii="Century Gothic" w:hAnsi="Century Gothic" w:cs="Arial"/>
                <w:b/>
                <w:lang w:eastAsia="es-MX"/>
              </w:rPr>
              <w:t>VOCAL</w:t>
            </w:r>
          </w:p>
        </w:tc>
        <w:tc>
          <w:tcPr>
            <w:tcW w:w="2268" w:type="dxa"/>
          </w:tcPr>
          <w:p w14:paraId="44726E47" w14:textId="77777777" w:rsidR="000269D4" w:rsidRPr="00C52A9F" w:rsidRDefault="000269D4" w:rsidP="00AC5225">
            <w:pPr>
              <w:jc w:val="both"/>
              <w:rPr>
                <w:rFonts w:ascii="Century Gothic" w:hAnsi="Century Gothic" w:cs="Arial"/>
                <w:b/>
              </w:rPr>
            </w:pPr>
          </w:p>
        </w:tc>
        <w:tc>
          <w:tcPr>
            <w:tcW w:w="2268" w:type="dxa"/>
          </w:tcPr>
          <w:p w14:paraId="74FD6F95" w14:textId="77777777" w:rsidR="000269D4" w:rsidRPr="00C52A9F" w:rsidRDefault="000269D4" w:rsidP="00AC5225">
            <w:pPr>
              <w:jc w:val="both"/>
              <w:rPr>
                <w:rFonts w:ascii="Century Gothic" w:hAnsi="Century Gothic" w:cs="Arial"/>
                <w:b/>
              </w:rPr>
            </w:pPr>
          </w:p>
        </w:tc>
        <w:tc>
          <w:tcPr>
            <w:tcW w:w="1985" w:type="dxa"/>
          </w:tcPr>
          <w:p w14:paraId="39AEA682" w14:textId="77777777" w:rsidR="000269D4" w:rsidRPr="00C52A9F" w:rsidRDefault="000269D4" w:rsidP="00AC5225">
            <w:pPr>
              <w:jc w:val="both"/>
              <w:rPr>
                <w:rFonts w:ascii="Century Gothic" w:hAnsi="Century Gothic" w:cs="Arial"/>
                <w:b/>
              </w:rPr>
            </w:pPr>
          </w:p>
        </w:tc>
      </w:tr>
      <w:tr w:rsidR="000269D4" w:rsidRPr="00C52A9F" w14:paraId="6852E2F3" w14:textId="77777777" w:rsidTr="00AC5225">
        <w:tc>
          <w:tcPr>
            <w:tcW w:w="1702" w:type="dxa"/>
            <w:tcBorders>
              <w:top w:val="single" w:sz="4" w:space="0" w:color="auto"/>
              <w:left w:val="single" w:sz="4" w:space="0" w:color="auto"/>
              <w:bottom w:val="single" w:sz="4" w:space="0" w:color="auto"/>
              <w:right w:val="single" w:sz="4" w:space="0" w:color="auto"/>
            </w:tcBorders>
          </w:tcPr>
          <w:p w14:paraId="55E422D0" w14:textId="77777777" w:rsidR="000269D4" w:rsidRPr="00C52A9F" w:rsidRDefault="000269D4" w:rsidP="00AC5225">
            <w:pPr>
              <w:jc w:val="both"/>
              <w:rPr>
                <w:rFonts w:ascii="Century Gothic" w:hAnsi="Century Gothic" w:cs="Arial"/>
                <w:b/>
                <w:noProof/>
                <w:lang w:eastAsia="es-MX"/>
              </w:rPr>
            </w:pPr>
            <w:r w:rsidRPr="00C52A9F">
              <w:rPr>
                <w:rFonts w:ascii="Century Gothic" w:hAnsi="Century Gothic" w:cs="Arial"/>
                <w:b/>
                <w:noProof/>
                <w:lang w:eastAsia="es-MX"/>
              </w:rPr>
              <w:drawing>
                <wp:anchor distT="0" distB="0" distL="114300" distR="114300" simplePos="0" relativeHeight="251662336" behindDoc="1" locked="0" layoutInCell="1" allowOverlap="1" wp14:anchorId="79041027" wp14:editId="3A086625">
                  <wp:simplePos x="0" y="0"/>
                  <wp:positionH relativeFrom="column">
                    <wp:posOffset>67310</wp:posOffset>
                  </wp:positionH>
                  <wp:positionV relativeFrom="paragraph">
                    <wp:posOffset>88900</wp:posOffset>
                  </wp:positionV>
                  <wp:extent cx="829310" cy="1099185"/>
                  <wp:effectExtent l="0" t="0" r="8890" b="571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yanir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9310" cy="1099185"/>
                          </a:xfrm>
                          <a:prstGeom prst="rect">
                            <a:avLst/>
                          </a:prstGeom>
                        </pic:spPr>
                      </pic:pic>
                    </a:graphicData>
                  </a:graphic>
                  <wp14:sizeRelH relativeFrom="page">
                    <wp14:pctWidth>0</wp14:pctWidth>
                  </wp14:sizeRelH>
                  <wp14:sizeRelV relativeFrom="page">
                    <wp14:pctHeight>0</wp14:pctHeight>
                  </wp14:sizeRelV>
                </wp:anchor>
              </w:drawing>
            </w:r>
          </w:p>
        </w:tc>
        <w:tc>
          <w:tcPr>
            <w:tcW w:w="1984" w:type="dxa"/>
            <w:tcBorders>
              <w:top w:val="single" w:sz="4" w:space="0" w:color="auto"/>
              <w:left w:val="single" w:sz="4" w:space="0" w:color="auto"/>
              <w:bottom w:val="single" w:sz="4" w:space="0" w:color="auto"/>
              <w:right w:val="single" w:sz="4" w:space="0" w:color="auto"/>
            </w:tcBorders>
          </w:tcPr>
          <w:p w14:paraId="2C18762E" w14:textId="77777777" w:rsidR="000269D4" w:rsidRPr="00C52A9F" w:rsidRDefault="000269D4" w:rsidP="00AC5225">
            <w:pPr>
              <w:contextualSpacing/>
              <w:jc w:val="center"/>
              <w:rPr>
                <w:rFonts w:ascii="Century Gothic" w:hAnsi="Century Gothic" w:cs="Arial"/>
                <w:b/>
                <w:lang w:eastAsia="es-MX"/>
              </w:rPr>
            </w:pPr>
          </w:p>
          <w:p w14:paraId="417A9CC6" w14:textId="77777777" w:rsidR="000269D4" w:rsidRPr="00C52A9F" w:rsidRDefault="000269D4" w:rsidP="00AC5225">
            <w:pPr>
              <w:contextualSpacing/>
              <w:jc w:val="center"/>
              <w:rPr>
                <w:rFonts w:ascii="Century Gothic" w:hAnsi="Century Gothic" w:cs="Arial"/>
                <w:b/>
                <w:lang w:eastAsia="es-MX"/>
              </w:rPr>
            </w:pPr>
            <w:r w:rsidRPr="00C52A9F">
              <w:rPr>
                <w:rFonts w:ascii="Century Gothic" w:hAnsi="Century Gothic" w:cs="Arial"/>
                <w:b/>
                <w:lang w:eastAsia="es-MX"/>
              </w:rPr>
              <w:t>DIP. GUSTAVO DE LA ROSA HICKERSON</w:t>
            </w:r>
          </w:p>
          <w:p w14:paraId="17DD3E82" w14:textId="77777777" w:rsidR="000269D4" w:rsidRPr="00C52A9F" w:rsidRDefault="000269D4" w:rsidP="00AC5225">
            <w:pPr>
              <w:contextualSpacing/>
              <w:jc w:val="center"/>
              <w:rPr>
                <w:rFonts w:ascii="Century Gothic" w:hAnsi="Century Gothic" w:cs="Arial"/>
                <w:b/>
                <w:lang w:eastAsia="es-MX"/>
              </w:rPr>
            </w:pPr>
            <w:r w:rsidRPr="00C52A9F">
              <w:rPr>
                <w:rFonts w:ascii="Century Gothic" w:hAnsi="Century Gothic" w:cs="Arial"/>
                <w:b/>
                <w:lang w:eastAsia="es-MX"/>
              </w:rPr>
              <w:t>VOCAL</w:t>
            </w:r>
          </w:p>
          <w:p w14:paraId="1DB3CE41" w14:textId="77777777" w:rsidR="000269D4" w:rsidRPr="00C52A9F" w:rsidRDefault="000269D4" w:rsidP="00AC5225">
            <w:pPr>
              <w:contextualSpacing/>
              <w:jc w:val="center"/>
              <w:rPr>
                <w:rFonts w:ascii="Century Gothic" w:hAnsi="Century Gothic" w:cs="Arial"/>
                <w:b/>
                <w:lang w:eastAsia="es-MX"/>
              </w:rPr>
            </w:pPr>
          </w:p>
          <w:p w14:paraId="15FC62F7" w14:textId="77777777" w:rsidR="000269D4" w:rsidRPr="00C52A9F" w:rsidRDefault="000269D4" w:rsidP="00AC5225">
            <w:pPr>
              <w:contextualSpacing/>
              <w:jc w:val="center"/>
              <w:rPr>
                <w:rFonts w:ascii="Century Gothic" w:hAnsi="Century Gothic" w:cs="Arial"/>
                <w:b/>
                <w:lang w:eastAsia="es-MX"/>
              </w:rPr>
            </w:pPr>
          </w:p>
        </w:tc>
        <w:tc>
          <w:tcPr>
            <w:tcW w:w="2268" w:type="dxa"/>
            <w:tcBorders>
              <w:top w:val="single" w:sz="4" w:space="0" w:color="auto"/>
              <w:left w:val="single" w:sz="4" w:space="0" w:color="auto"/>
              <w:bottom w:val="single" w:sz="4" w:space="0" w:color="auto"/>
              <w:right w:val="single" w:sz="4" w:space="0" w:color="auto"/>
            </w:tcBorders>
          </w:tcPr>
          <w:p w14:paraId="0E6D5EEC" w14:textId="77777777" w:rsidR="000269D4" w:rsidRPr="00C52A9F" w:rsidRDefault="000269D4" w:rsidP="00AC5225">
            <w:pPr>
              <w:jc w:val="both"/>
              <w:rPr>
                <w:rFonts w:ascii="Century Gothic" w:hAnsi="Century Gothic" w:cs="Arial"/>
                <w:b/>
              </w:rPr>
            </w:pPr>
          </w:p>
        </w:tc>
        <w:tc>
          <w:tcPr>
            <w:tcW w:w="2268" w:type="dxa"/>
            <w:tcBorders>
              <w:top w:val="single" w:sz="4" w:space="0" w:color="auto"/>
              <w:left w:val="single" w:sz="4" w:space="0" w:color="auto"/>
              <w:bottom w:val="single" w:sz="4" w:space="0" w:color="auto"/>
              <w:right w:val="single" w:sz="4" w:space="0" w:color="auto"/>
            </w:tcBorders>
          </w:tcPr>
          <w:p w14:paraId="14DF3843" w14:textId="77777777" w:rsidR="000269D4" w:rsidRPr="00C52A9F" w:rsidRDefault="000269D4" w:rsidP="00AC5225">
            <w:pPr>
              <w:jc w:val="both"/>
              <w:rPr>
                <w:rFonts w:ascii="Century Gothic" w:hAnsi="Century Gothic" w:cs="Arial"/>
                <w:b/>
              </w:rPr>
            </w:pPr>
          </w:p>
        </w:tc>
        <w:tc>
          <w:tcPr>
            <w:tcW w:w="1985" w:type="dxa"/>
            <w:tcBorders>
              <w:top w:val="single" w:sz="4" w:space="0" w:color="auto"/>
              <w:left w:val="single" w:sz="4" w:space="0" w:color="auto"/>
              <w:bottom w:val="single" w:sz="4" w:space="0" w:color="auto"/>
              <w:right w:val="single" w:sz="4" w:space="0" w:color="auto"/>
            </w:tcBorders>
          </w:tcPr>
          <w:p w14:paraId="527E227A" w14:textId="77777777" w:rsidR="000269D4" w:rsidRPr="00C52A9F" w:rsidRDefault="000269D4" w:rsidP="00AC5225">
            <w:pPr>
              <w:jc w:val="both"/>
              <w:rPr>
                <w:rFonts w:ascii="Century Gothic" w:hAnsi="Century Gothic" w:cs="Arial"/>
                <w:b/>
              </w:rPr>
            </w:pPr>
          </w:p>
          <w:p w14:paraId="4BFD8EBE" w14:textId="77777777" w:rsidR="000269D4" w:rsidRPr="00C52A9F" w:rsidRDefault="000269D4" w:rsidP="00AC5225">
            <w:pPr>
              <w:jc w:val="both"/>
              <w:rPr>
                <w:rFonts w:ascii="Century Gothic" w:hAnsi="Century Gothic" w:cs="Arial"/>
                <w:b/>
              </w:rPr>
            </w:pPr>
          </w:p>
          <w:p w14:paraId="5959E27E" w14:textId="77777777" w:rsidR="000269D4" w:rsidRPr="00C52A9F" w:rsidRDefault="000269D4" w:rsidP="00AC5225">
            <w:pPr>
              <w:jc w:val="both"/>
              <w:rPr>
                <w:rFonts w:ascii="Century Gothic" w:hAnsi="Century Gothic" w:cs="Arial"/>
                <w:b/>
              </w:rPr>
            </w:pPr>
          </w:p>
        </w:tc>
      </w:tr>
      <w:tr w:rsidR="000269D4" w:rsidRPr="00C52A9F" w14:paraId="14B906F6" w14:textId="77777777" w:rsidTr="00AC5225">
        <w:tc>
          <w:tcPr>
            <w:tcW w:w="1702" w:type="dxa"/>
            <w:tcBorders>
              <w:top w:val="single" w:sz="4" w:space="0" w:color="auto"/>
              <w:left w:val="single" w:sz="4" w:space="0" w:color="auto"/>
              <w:bottom w:val="single" w:sz="4" w:space="0" w:color="auto"/>
              <w:right w:val="single" w:sz="4" w:space="0" w:color="auto"/>
            </w:tcBorders>
          </w:tcPr>
          <w:p w14:paraId="4ED962B0" w14:textId="77777777" w:rsidR="000269D4" w:rsidRPr="00C52A9F" w:rsidRDefault="000269D4" w:rsidP="00AC5225">
            <w:pPr>
              <w:jc w:val="both"/>
              <w:rPr>
                <w:rFonts w:ascii="Century Gothic" w:hAnsi="Century Gothic" w:cs="Arial"/>
                <w:b/>
                <w:noProof/>
                <w:lang w:eastAsia="es-MX"/>
              </w:rPr>
            </w:pPr>
            <w:r w:rsidRPr="00C52A9F">
              <w:rPr>
                <w:rFonts w:ascii="Century Gothic" w:hAnsi="Century Gothic" w:cs="Arial"/>
                <w:b/>
                <w:noProof/>
                <w:lang w:eastAsia="es-MX"/>
              </w:rPr>
              <w:drawing>
                <wp:inline distT="0" distB="0" distL="0" distR="0" wp14:anchorId="31D30CF3" wp14:editId="08A48A77">
                  <wp:extent cx="920151" cy="1219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lson.jpg"/>
                          <pic:cNvPicPr/>
                        </pic:nvPicPr>
                        <pic:blipFill>
                          <a:blip r:embed="rId14">
                            <a:extLst>
                              <a:ext uri="{28A0092B-C50C-407E-A947-70E740481C1C}">
                                <a14:useLocalDpi xmlns:a14="http://schemas.microsoft.com/office/drawing/2010/main" val="0"/>
                              </a:ext>
                            </a:extLst>
                          </a:blip>
                          <a:stretch>
                            <a:fillRect/>
                          </a:stretch>
                        </pic:blipFill>
                        <pic:spPr>
                          <a:xfrm>
                            <a:off x="0" y="0"/>
                            <a:ext cx="941714" cy="1247771"/>
                          </a:xfrm>
                          <a:prstGeom prst="rect">
                            <a:avLst/>
                          </a:prstGeom>
                        </pic:spPr>
                      </pic:pic>
                    </a:graphicData>
                  </a:graphic>
                </wp:inline>
              </w:drawing>
            </w:r>
          </w:p>
        </w:tc>
        <w:tc>
          <w:tcPr>
            <w:tcW w:w="1984" w:type="dxa"/>
            <w:tcBorders>
              <w:top w:val="single" w:sz="4" w:space="0" w:color="auto"/>
              <w:left w:val="single" w:sz="4" w:space="0" w:color="auto"/>
              <w:bottom w:val="single" w:sz="4" w:space="0" w:color="auto"/>
              <w:right w:val="single" w:sz="4" w:space="0" w:color="auto"/>
            </w:tcBorders>
          </w:tcPr>
          <w:p w14:paraId="04ABCEAF" w14:textId="77777777" w:rsidR="000269D4" w:rsidRPr="00C52A9F" w:rsidRDefault="000269D4" w:rsidP="00AC5225">
            <w:pPr>
              <w:contextualSpacing/>
              <w:jc w:val="center"/>
              <w:rPr>
                <w:rFonts w:ascii="Century Gothic" w:hAnsi="Century Gothic" w:cs="Arial"/>
                <w:b/>
                <w:lang w:eastAsia="es-MX"/>
              </w:rPr>
            </w:pPr>
          </w:p>
          <w:p w14:paraId="4E24D3C2" w14:textId="77777777" w:rsidR="000269D4" w:rsidRPr="00C52A9F" w:rsidRDefault="000269D4" w:rsidP="00AC5225">
            <w:pPr>
              <w:contextualSpacing/>
              <w:jc w:val="center"/>
              <w:rPr>
                <w:rFonts w:ascii="Century Gothic" w:hAnsi="Century Gothic" w:cs="Arial"/>
                <w:b/>
                <w:lang w:eastAsia="es-MX"/>
              </w:rPr>
            </w:pPr>
            <w:r w:rsidRPr="00C52A9F">
              <w:rPr>
                <w:rFonts w:ascii="Century Gothic" w:hAnsi="Century Gothic" w:cs="Arial"/>
                <w:b/>
                <w:lang w:eastAsia="es-MX"/>
              </w:rPr>
              <w:t>DIP. CARLOS ALFREDO OLSON SAN VICENTE</w:t>
            </w:r>
          </w:p>
          <w:p w14:paraId="75DC9E8D" w14:textId="77777777" w:rsidR="000269D4" w:rsidRPr="00C52A9F" w:rsidRDefault="000269D4" w:rsidP="00AC5225">
            <w:pPr>
              <w:contextualSpacing/>
              <w:jc w:val="center"/>
              <w:rPr>
                <w:rFonts w:ascii="Century Gothic" w:hAnsi="Century Gothic" w:cs="Arial"/>
                <w:b/>
                <w:lang w:eastAsia="es-MX"/>
              </w:rPr>
            </w:pPr>
            <w:r w:rsidRPr="00C52A9F">
              <w:rPr>
                <w:rFonts w:ascii="Century Gothic" w:hAnsi="Century Gothic" w:cs="Arial"/>
                <w:b/>
                <w:lang w:eastAsia="es-MX"/>
              </w:rPr>
              <w:t>VOCAL</w:t>
            </w:r>
          </w:p>
          <w:p w14:paraId="2BBB88B3" w14:textId="77777777" w:rsidR="000269D4" w:rsidRPr="00C52A9F" w:rsidRDefault="000269D4" w:rsidP="00AC5225">
            <w:pPr>
              <w:contextualSpacing/>
              <w:jc w:val="center"/>
              <w:rPr>
                <w:rFonts w:ascii="Century Gothic" w:hAnsi="Century Gothic" w:cs="Arial"/>
                <w:b/>
                <w:lang w:eastAsia="es-MX"/>
              </w:rPr>
            </w:pPr>
          </w:p>
        </w:tc>
        <w:tc>
          <w:tcPr>
            <w:tcW w:w="2268" w:type="dxa"/>
            <w:tcBorders>
              <w:top w:val="single" w:sz="4" w:space="0" w:color="auto"/>
              <w:left w:val="single" w:sz="4" w:space="0" w:color="auto"/>
              <w:bottom w:val="single" w:sz="4" w:space="0" w:color="auto"/>
              <w:right w:val="single" w:sz="4" w:space="0" w:color="auto"/>
            </w:tcBorders>
          </w:tcPr>
          <w:p w14:paraId="54781012" w14:textId="77777777" w:rsidR="000269D4" w:rsidRPr="00C52A9F" w:rsidRDefault="000269D4" w:rsidP="00AC5225">
            <w:pPr>
              <w:jc w:val="both"/>
              <w:rPr>
                <w:rFonts w:ascii="Century Gothic" w:hAnsi="Century Gothic" w:cs="Arial"/>
                <w:b/>
              </w:rPr>
            </w:pPr>
          </w:p>
        </w:tc>
        <w:tc>
          <w:tcPr>
            <w:tcW w:w="2268" w:type="dxa"/>
            <w:tcBorders>
              <w:top w:val="single" w:sz="4" w:space="0" w:color="auto"/>
              <w:left w:val="single" w:sz="4" w:space="0" w:color="auto"/>
              <w:bottom w:val="single" w:sz="4" w:space="0" w:color="auto"/>
              <w:right w:val="single" w:sz="4" w:space="0" w:color="auto"/>
            </w:tcBorders>
          </w:tcPr>
          <w:p w14:paraId="1D0D6299" w14:textId="77777777" w:rsidR="000269D4" w:rsidRPr="00C52A9F" w:rsidRDefault="000269D4" w:rsidP="00AC5225">
            <w:pPr>
              <w:jc w:val="both"/>
              <w:rPr>
                <w:rFonts w:ascii="Century Gothic" w:hAnsi="Century Gothic" w:cs="Arial"/>
                <w:b/>
              </w:rPr>
            </w:pPr>
          </w:p>
        </w:tc>
        <w:tc>
          <w:tcPr>
            <w:tcW w:w="1985" w:type="dxa"/>
            <w:tcBorders>
              <w:top w:val="single" w:sz="4" w:space="0" w:color="auto"/>
              <w:left w:val="single" w:sz="4" w:space="0" w:color="auto"/>
              <w:bottom w:val="single" w:sz="4" w:space="0" w:color="auto"/>
              <w:right w:val="single" w:sz="4" w:space="0" w:color="auto"/>
            </w:tcBorders>
          </w:tcPr>
          <w:p w14:paraId="258C5C2E" w14:textId="77777777" w:rsidR="000269D4" w:rsidRPr="00C52A9F" w:rsidRDefault="000269D4" w:rsidP="00AC5225">
            <w:pPr>
              <w:jc w:val="both"/>
              <w:rPr>
                <w:rFonts w:ascii="Century Gothic" w:hAnsi="Century Gothic" w:cs="Arial"/>
                <w:b/>
              </w:rPr>
            </w:pPr>
          </w:p>
        </w:tc>
      </w:tr>
    </w:tbl>
    <w:p w14:paraId="4096E45E" w14:textId="671D9FC7" w:rsidR="000269D4" w:rsidRPr="00295EDE" w:rsidRDefault="000269D4" w:rsidP="005D6321">
      <w:pPr>
        <w:contextualSpacing/>
        <w:jc w:val="center"/>
        <w:rPr>
          <w:rFonts w:ascii="Century Gothic" w:eastAsia="Arial" w:hAnsi="Century Gothic" w:cs="Arial"/>
          <w:sz w:val="18"/>
          <w:szCs w:val="20"/>
          <w:lang w:eastAsia="es-MX"/>
        </w:rPr>
      </w:pPr>
      <w:r w:rsidRPr="00116DFF">
        <w:rPr>
          <w:rFonts w:ascii="Century Gothic" w:eastAsia="Arial" w:hAnsi="Century Gothic" w:cs="Arial"/>
          <w:sz w:val="18"/>
          <w:szCs w:val="20"/>
          <w:lang w:eastAsia="es-MX"/>
        </w:rPr>
        <w:t xml:space="preserve">LA PRESENTE HOJA DE FIRMAS CORRESPONDE AL DICTAMEN RECAÍDO EN </w:t>
      </w:r>
      <w:r w:rsidR="00A26E3C">
        <w:rPr>
          <w:rFonts w:ascii="Century Gothic" w:eastAsia="Arial" w:hAnsi="Century Gothic" w:cs="Arial"/>
          <w:sz w:val="18"/>
          <w:szCs w:val="20"/>
          <w:lang w:eastAsia="es-MX"/>
        </w:rPr>
        <w:t>EL</w:t>
      </w:r>
      <w:r>
        <w:rPr>
          <w:rFonts w:ascii="Century Gothic" w:eastAsia="Arial" w:hAnsi="Century Gothic" w:cs="Arial"/>
          <w:sz w:val="18"/>
          <w:szCs w:val="20"/>
          <w:lang w:eastAsia="es-MX"/>
        </w:rPr>
        <w:t xml:space="preserve"> ASUNTO</w:t>
      </w:r>
      <w:r w:rsidR="00A26E3C">
        <w:rPr>
          <w:rFonts w:ascii="Century Gothic" w:eastAsia="Arial" w:hAnsi="Century Gothic" w:cs="Arial"/>
          <w:sz w:val="18"/>
          <w:szCs w:val="20"/>
          <w:lang w:eastAsia="es-MX"/>
        </w:rPr>
        <w:t xml:space="preserve"> 2179.</w:t>
      </w:r>
    </w:p>
    <w:sectPr w:rsidR="000269D4" w:rsidRPr="00295EDE">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C97D3" w14:textId="77777777" w:rsidR="00C63468" w:rsidRDefault="00C63468" w:rsidP="005D14CE">
      <w:r>
        <w:separator/>
      </w:r>
    </w:p>
  </w:endnote>
  <w:endnote w:type="continuationSeparator" w:id="0">
    <w:p w14:paraId="3493BC54" w14:textId="77777777" w:rsidR="00C63468" w:rsidRDefault="00C63468" w:rsidP="005D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040363"/>
      <w:docPartObj>
        <w:docPartGallery w:val="Page Numbers (Bottom of Page)"/>
        <w:docPartUnique/>
      </w:docPartObj>
    </w:sdtPr>
    <w:sdtEndPr/>
    <w:sdtContent>
      <w:p w14:paraId="66769936" w14:textId="562C9356" w:rsidR="00431220" w:rsidRDefault="00431220">
        <w:pPr>
          <w:pStyle w:val="Piedepgina"/>
          <w:jc w:val="right"/>
        </w:pPr>
        <w:r>
          <w:fldChar w:fldCharType="begin"/>
        </w:r>
        <w:r>
          <w:instrText>PAGE   \* MERGEFORMAT</w:instrText>
        </w:r>
        <w:r>
          <w:fldChar w:fldCharType="separate"/>
        </w:r>
        <w:r w:rsidR="008F1289" w:rsidRPr="008F1289">
          <w:rPr>
            <w:noProof/>
            <w:lang w:val="es-ES"/>
          </w:rPr>
          <w:t>14</w:t>
        </w:r>
        <w:r>
          <w:fldChar w:fldCharType="end"/>
        </w:r>
      </w:p>
    </w:sdtContent>
  </w:sdt>
  <w:p w14:paraId="51491729" w14:textId="73C64B18" w:rsidR="00431220" w:rsidRDefault="00431220">
    <w:pPr>
      <w:pStyle w:val="Piedepgina"/>
    </w:pPr>
    <w:r w:rsidRPr="00A405FF">
      <w:rPr>
        <w:rFonts w:ascii="Arial" w:hAnsi="Arial" w:cs="Arial"/>
        <w:sz w:val="16"/>
        <w:szCs w:val="16"/>
      </w:rPr>
      <w:t xml:space="preserve">A </w:t>
    </w:r>
    <w:r w:rsidR="00C37C12">
      <w:rPr>
        <w:rFonts w:ascii="Arial" w:hAnsi="Arial" w:cs="Arial"/>
        <w:sz w:val="16"/>
        <w:szCs w:val="16"/>
      </w:rPr>
      <w:t>2179</w:t>
    </w:r>
    <w:r w:rsidRPr="00A405FF">
      <w:rPr>
        <w:rFonts w:ascii="Arial" w:hAnsi="Arial" w:cs="Arial"/>
        <w:sz w:val="16"/>
        <w:szCs w:val="16"/>
      </w:rPr>
      <w:t xml:space="preserve"> </w:t>
    </w:r>
    <w:r w:rsidRPr="003C0E97">
      <w:rPr>
        <w:rFonts w:ascii="Arial" w:hAnsi="Arial" w:cs="Arial"/>
        <w:sz w:val="16"/>
        <w:szCs w:val="16"/>
        <w:lang w:val="en-US"/>
      </w:rPr>
      <w:t>GAOR/NTRP/GTN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1F6A" w14:textId="77777777" w:rsidR="00C63468" w:rsidRDefault="00C63468" w:rsidP="005D14CE">
      <w:r>
        <w:separator/>
      </w:r>
    </w:p>
  </w:footnote>
  <w:footnote w:type="continuationSeparator" w:id="0">
    <w:p w14:paraId="16B71070" w14:textId="77777777" w:rsidR="00C63468" w:rsidRDefault="00C63468" w:rsidP="005D14CE">
      <w:r>
        <w:continuationSeparator/>
      </w:r>
    </w:p>
  </w:footnote>
  <w:footnote w:id="1">
    <w:p w14:paraId="38AD4E09" w14:textId="42D6FF83" w:rsidR="00503A3B" w:rsidRDefault="00503A3B" w:rsidP="00C37C12">
      <w:pPr>
        <w:pStyle w:val="Textonotapie"/>
        <w:jc w:val="both"/>
        <w:rPr>
          <w:lang w:val="es-MX"/>
        </w:rPr>
      </w:pPr>
      <w:r>
        <w:rPr>
          <w:rStyle w:val="Refdenotaalpie"/>
        </w:rPr>
        <w:footnoteRef/>
      </w:r>
      <w:r>
        <w:t xml:space="preserve"> </w:t>
      </w:r>
      <w:r>
        <w:rPr>
          <w:lang w:val="es-MX"/>
        </w:rPr>
        <w:t>Código Penal del Estado de Chihuahua. Artículo 173 Abuso Sexual. Tiene una pena privativa de liberta de 6 meses a 6 años y en el artículo 174, se encuentra la pena agravada en el delito de abuso sexual cuando sea cometido en contra de una persona menor de 14 años, con una pena privativa de libertad de 3 a 10 años.</w:t>
      </w:r>
    </w:p>
    <w:p w14:paraId="50B1BB8F" w14:textId="4A42810C" w:rsidR="00503A3B" w:rsidRPr="00503A3B" w:rsidRDefault="00503A3B" w:rsidP="00C37C12">
      <w:pPr>
        <w:pStyle w:val="Textonotapie"/>
        <w:jc w:val="both"/>
        <w:rPr>
          <w:bCs/>
          <w:lang w:val="es-ES_tradnl"/>
        </w:rPr>
      </w:pPr>
      <w:r>
        <w:rPr>
          <w:lang w:val="es-MX"/>
        </w:rPr>
        <w:t xml:space="preserve">En cambio, en los delitos contra la intimidad contemplado en el artículo 180 bis, la pena privativa de libertad es de 1 a 5 años y se agrava con una mitad más del tipo básico, cuando </w:t>
      </w:r>
      <w:r w:rsidRPr="00503A3B">
        <w:rPr>
          <w:bCs/>
          <w:lang w:val="es-ES_tradnl"/>
        </w:rPr>
        <w:t>se cometa en contra de una persona menor de catorce años o que no tenga la capacidad de comprender el significado del hecho o que por cualquier causa no pueda resistirlo, aun y cuando mediare su consentimiento</w:t>
      </w:r>
      <w:r>
        <w:rPr>
          <w:bCs/>
          <w:lang w:val="es-ES_tradnl"/>
        </w:rPr>
        <w:t xml:space="preserve">. </w:t>
      </w:r>
    </w:p>
    <w:p w14:paraId="4D151BF5" w14:textId="4D753E48" w:rsidR="00503A3B" w:rsidRPr="00503A3B" w:rsidRDefault="00503A3B" w:rsidP="00C37C12">
      <w:pPr>
        <w:pStyle w:val="Textonotapie"/>
        <w:jc w:val="both"/>
        <w:rPr>
          <w:lang w:val="es-MX"/>
        </w:rPr>
      </w:pPr>
    </w:p>
  </w:footnote>
  <w:footnote w:id="2">
    <w:p w14:paraId="7DD73A26" w14:textId="7B6DABAA" w:rsidR="00ED1ED3" w:rsidRPr="00ED1ED3" w:rsidRDefault="00ED1ED3" w:rsidP="00C37C12">
      <w:pPr>
        <w:pStyle w:val="Textonotapie"/>
        <w:jc w:val="both"/>
      </w:pPr>
      <w:r>
        <w:rPr>
          <w:rStyle w:val="Refdenotaalpie"/>
        </w:rPr>
        <w:footnoteRef/>
      </w:r>
      <w:r>
        <w:t xml:space="preserve"> </w:t>
      </w:r>
      <w:r w:rsidRPr="00ED1ED3">
        <w:t>Instancia: Primera Sala</w:t>
      </w:r>
      <w:r>
        <w:rPr>
          <w:lang w:val="es-MX"/>
        </w:rPr>
        <w:t xml:space="preserve">. </w:t>
      </w:r>
      <w:r w:rsidRPr="00ED1ED3">
        <w:t>Registro digital: 2027837</w:t>
      </w:r>
      <w:r>
        <w:rPr>
          <w:lang w:val="es-MX"/>
        </w:rPr>
        <w:t xml:space="preserve">. </w:t>
      </w:r>
      <w:r w:rsidRPr="00ED1ED3">
        <w:t>Undécima Época</w:t>
      </w:r>
      <w:r>
        <w:rPr>
          <w:lang w:val="es-MX"/>
        </w:rPr>
        <w:t xml:space="preserve">. </w:t>
      </w:r>
      <w:r w:rsidRPr="00ED1ED3">
        <w:t>Materias(s): Penal, Constitucional</w:t>
      </w:r>
    </w:p>
    <w:p w14:paraId="0D32BA84" w14:textId="09CB2718" w:rsidR="00ED1ED3" w:rsidRPr="00ED1ED3" w:rsidRDefault="00ED1ED3" w:rsidP="00C37C12">
      <w:pPr>
        <w:pStyle w:val="Textonotapie"/>
        <w:jc w:val="both"/>
      </w:pPr>
      <w:r w:rsidRPr="00ED1ED3">
        <w:t>Tesis: 1a./J. 190/2023 (11a.)</w:t>
      </w:r>
      <w:r>
        <w:rPr>
          <w:lang w:val="es-MX"/>
        </w:rPr>
        <w:t xml:space="preserve">. </w:t>
      </w:r>
      <w:r w:rsidRPr="00ED1ED3">
        <w:t>Fuente: Gaceta del Semanario Judicial de la Federación. Libro 32, Diciembre de 2023, Tomo II, página 1770</w:t>
      </w:r>
      <w:r>
        <w:rPr>
          <w:lang w:val="es-MX"/>
        </w:rPr>
        <w:t xml:space="preserve">. </w:t>
      </w:r>
      <w:r w:rsidRPr="00ED1ED3">
        <w:t>Tipo: Jurisprudencia</w:t>
      </w:r>
      <w:r>
        <w:rPr>
          <w:lang w:val="es-MX"/>
        </w:rPr>
        <w:t xml:space="preserve">. </w:t>
      </w:r>
      <w:r w:rsidRPr="00ED1ED3">
        <w:t>SUSPENSIÓN CONDICIONAL DEL PROCESO. LA LIMITANTE PARA CONCEDERLA, RELATIVA A QUE EL AUTO DE VINCULACIÓN A PROCESO SE HAYA DICTADO POR UN DELITO CUYA MEDIA ARITMÉTICA NO EXCEDA LOS CINCO AÑOS DE PRISIÓN, NO VULNERA EL DERECHO DE ACCESO A LA JUSTICIA.</w:t>
      </w:r>
    </w:p>
    <w:p w14:paraId="6E2A08EE" w14:textId="77777777" w:rsidR="00ED1ED3" w:rsidRPr="00ED1ED3" w:rsidRDefault="00ED1ED3" w:rsidP="00C37C12">
      <w:pPr>
        <w:pStyle w:val="Textonotapie"/>
        <w:jc w:val="both"/>
      </w:pPr>
    </w:p>
    <w:p w14:paraId="5DA58E64" w14:textId="77777777" w:rsidR="00ED1ED3" w:rsidRPr="00ED1ED3" w:rsidRDefault="00ED1ED3" w:rsidP="00C37C12">
      <w:pPr>
        <w:pStyle w:val="Textonotapie"/>
        <w:jc w:val="both"/>
      </w:pPr>
      <w:r w:rsidRPr="00ED1ED3">
        <w:t>Hechos: Una persona sujeta a un procedimiento adversarial y oral por la comisión de un delito de robo calificado solicitó la suspensión condicional del proceso antes de que se dictara el auto de apertura a juicio oral. El Juez de Control negó esa salida alterna de solución a la controversia penal porque la pena de prisión aplicable al delito fijado en el auto de vinculación a proceso, incluyendo la circunstancia agravante, sobrepasaba el término medio aritmético de cinco años de prisión exigido para su concesión por el artículo 192, fracción I, del Código Nacional del Procedimientos Penales. Inconforme con esa resolución, la persona imputada promovió un juicio de amparo indirecto en el que reclamó la inconstitucionalidad de ese precepto, pero le fue negada la protección constitucional. La parte quejosa interpuso recurso de revisión que fue remitido a esta Suprema Corte para conocer del problema de constitucionalidad planteado.</w:t>
      </w:r>
    </w:p>
    <w:p w14:paraId="33547CF4" w14:textId="77777777" w:rsidR="00ED1ED3" w:rsidRPr="00ED1ED3" w:rsidRDefault="00ED1ED3" w:rsidP="00C37C12">
      <w:pPr>
        <w:pStyle w:val="Textonotapie"/>
        <w:jc w:val="both"/>
      </w:pPr>
    </w:p>
    <w:p w14:paraId="4B4A6253" w14:textId="77777777" w:rsidR="00ED1ED3" w:rsidRPr="00ED1ED3" w:rsidRDefault="00ED1ED3" w:rsidP="00C37C12">
      <w:pPr>
        <w:pStyle w:val="Textonotapie"/>
        <w:jc w:val="both"/>
      </w:pPr>
      <w:r w:rsidRPr="00ED1ED3">
        <w:t>Criterio jurídico: La limitante para conceder la suspensión condicional del proceso, relativa a que la media aritmética de la pena del delito fijado en el auto de vinculación a proceso no exceda los cinco años de prisión, no vulnera el derecho de acceso a la justicia. Ello debido a que se trata de un requisito que es razonable para la procedencia de esa forma de solución alterna de la controversia penal que está diseñada para resolver asuntos de una gravedad menor a través de una efectiva restitución, de tal forma que la respuesta penal pueda considerarse prescindible.</w:t>
      </w:r>
    </w:p>
    <w:p w14:paraId="7FAAE124" w14:textId="77777777" w:rsidR="00ED1ED3" w:rsidRPr="00ED1ED3" w:rsidRDefault="00ED1ED3" w:rsidP="00C37C12">
      <w:pPr>
        <w:pStyle w:val="Textonotapie"/>
        <w:jc w:val="both"/>
      </w:pPr>
    </w:p>
    <w:p w14:paraId="598C1DDC" w14:textId="77777777" w:rsidR="00ED1ED3" w:rsidRPr="00ED1ED3" w:rsidRDefault="00ED1ED3" w:rsidP="00C37C12">
      <w:pPr>
        <w:pStyle w:val="Textonotapie"/>
        <w:jc w:val="both"/>
      </w:pPr>
      <w:r w:rsidRPr="00ED1ED3">
        <w:t>Justificación: Del contenido del artículo 17, párrafo quinto, de la Constitución Política de los Estados Unidos Mexicanos deriva una forma de administración de justicia más ágil a través de la utilización de mecanismos alternos de solución de controversias, el cual no se previó como un derecho generalizado, sino que delegó en el legislador secundario la instrumentación de su aplicación en atención a la naturaleza de los derechos tutelados en la norma penal. Ese tipo de mecanismos busca conseguir una restauración efectiva a los efectos producidos por el delito, la cual debe permitir a las partes en conflicto el conciliar sus intereses y que, mediante su aplicación que requiere de autorización judicial previa, se tenga por concluida la controversia penal.</w:t>
      </w:r>
    </w:p>
    <w:p w14:paraId="6F625D75" w14:textId="77777777" w:rsidR="00ED1ED3" w:rsidRPr="00ED1ED3" w:rsidRDefault="00ED1ED3" w:rsidP="00C37C12">
      <w:pPr>
        <w:pStyle w:val="Textonotapie"/>
        <w:jc w:val="both"/>
      </w:pPr>
      <w:r w:rsidRPr="00ED1ED3">
        <w:t>Ahora bien, el artículo 192 del Código Nacional de Procedimientos Penales establece los requisitos para conceder la suspensión condicional del proceso como mecanismo para concluir alternativamente la controversia penal. Al respecto, la fracción I de ese precepto dispone su procedencia cuando el auto de vinculación a proceso se haya dictado por un delito cuya media aritmética no exceda de cinco años de prisión.</w:t>
      </w:r>
    </w:p>
    <w:p w14:paraId="2BA837DC" w14:textId="77777777" w:rsidR="00ED1ED3" w:rsidRPr="00ED1ED3" w:rsidRDefault="00ED1ED3" w:rsidP="00C37C12">
      <w:pPr>
        <w:pStyle w:val="Textonotapie"/>
        <w:jc w:val="both"/>
      </w:pPr>
      <w:r w:rsidRPr="00ED1ED3">
        <w:t>Esa limitante es razonable y compatible con el referido precepto constitucional, pues garantiza que la implementación de los mecanismos alternos de solución de controversias sea procedente exclusivamente en aquellos casos en los que no se afecten de manera importante los bienes jurídicos tutelados por las normas penales y que de esta manera pueda lograrse una efectiva restitución, de tal forma que la respuesta penal pueda considerarse prescindible. Fuera de esos supuestos debe continuarse el trámite ordinario del procedimiento penal.</w:t>
      </w:r>
    </w:p>
    <w:p w14:paraId="6F73AB31" w14:textId="77777777" w:rsidR="00ED1ED3" w:rsidRPr="00ED1ED3" w:rsidRDefault="00ED1ED3" w:rsidP="00C37C12">
      <w:pPr>
        <w:pStyle w:val="Textonotapie"/>
        <w:jc w:val="both"/>
      </w:pPr>
      <w:r w:rsidRPr="00ED1ED3">
        <w:t>Por lo tanto, la limitante establecida en el artículo 192 en mención obedece a un principio de razonabilidad jurídica que forma parte de la libertad configurativa delegada al legislador secundario con el propósito de establecer los requisitos legales para la procedencia de la suspensión condicional del proceso y que está reservado a los casos en los que se afecta en menor medida a los bienes jurídicos tutelados en la norma penal, lo cual no vulnera el derecho humano de acceso a la justicia.</w:t>
      </w:r>
    </w:p>
    <w:p w14:paraId="48F4EDD6" w14:textId="437B6073" w:rsidR="00ED1ED3" w:rsidRPr="00ED1ED3" w:rsidRDefault="00ED1ED3" w:rsidP="00C37C12">
      <w:pPr>
        <w:pStyle w:val="Textonotapie"/>
        <w:jc w:val="both"/>
        <w:rPr>
          <w:lang w:val="es-MX"/>
        </w:rPr>
      </w:pPr>
    </w:p>
  </w:footnote>
  <w:footnote w:id="3">
    <w:p w14:paraId="6A434B32" w14:textId="026FAB33" w:rsidR="00CC382B" w:rsidRPr="00CC382B" w:rsidRDefault="00CC382B" w:rsidP="00C37C12">
      <w:pPr>
        <w:pStyle w:val="Textonotapie"/>
        <w:jc w:val="both"/>
        <w:rPr>
          <w:lang w:val="es-MX"/>
        </w:rPr>
      </w:pPr>
      <w:r>
        <w:rPr>
          <w:rStyle w:val="Refdenotaalpie"/>
        </w:rPr>
        <w:footnoteRef/>
      </w:r>
      <w:r>
        <w:t xml:space="preserve"> </w:t>
      </w:r>
      <w:r>
        <w:rPr>
          <w:lang w:val="es-MX"/>
        </w:rPr>
        <w:t xml:space="preserve">Suprema Corte de Justicia de la Nación. Pleno. </w:t>
      </w:r>
      <w:r w:rsidRPr="00A375EC">
        <w:rPr>
          <w:lang w:val="es-MX"/>
        </w:rPr>
        <w:t>Acción de Inconstitucionalidad 39/2015</w:t>
      </w:r>
      <w:r>
        <w:rPr>
          <w:lang w:val="es-MX"/>
        </w:rPr>
        <w:t>. Párrafo 77</w:t>
      </w:r>
    </w:p>
  </w:footnote>
  <w:footnote w:id="4">
    <w:p w14:paraId="734E818F" w14:textId="77777777" w:rsidR="00CC382B" w:rsidRDefault="00CC382B" w:rsidP="00C37C12">
      <w:pPr>
        <w:pStyle w:val="Textonotapie"/>
        <w:jc w:val="both"/>
        <w:rPr>
          <w:lang w:val="es-MX"/>
        </w:rPr>
      </w:pPr>
      <w:r>
        <w:rPr>
          <w:rStyle w:val="Refdenotaalpie"/>
        </w:rPr>
        <w:footnoteRef/>
      </w:r>
      <w:r>
        <w:t xml:space="preserve"> </w:t>
      </w:r>
      <w:r>
        <w:rPr>
          <w:lang w:val="es-MX"/>
        </w:rPr>
        <w:t xml:space="preserve">Código Nacional de Procedimientos Penales. </w:t>
      </w:r>
      <w:r w:rsidRPr="00CC382B">
        <w:rPr>
          <w:lang w:val="es-MX"/>
        </w:rPr>
        <w:t>Artículo 192. Procedencia</w:t>
      </w:r>
      <w:r>
        <w:rPr>
          <w:lang w:val="es-MX"/>
        </w:rPr>
        <w:t>.</w:t>
      </w:r>
      <w:r w:rsidRPr="00CC382B">
        <w:rPr>
          <w:lang w:val="es-MX"/>
        </w:rPr>
        <w:t xml:space="preserve"> La suspensión condicional del proceso, a solicitud del imputado o del Ministerio Público con acuerdo de aquél, procederá en los casos en que se cubran los requisitos siguientes: </w:t>
      </w:r>
    </w:p>
    <w:p w14:paraId="2AA1AE65" w14:textId="25CD31E7" w:rsidR="00CC382B" w:rsidRDefault="00CC382B" w:rsidP="00C37C12">
      <w:pPr>
        <w:pStyle w:val="Textonotapie"/>
        <w:jc w:val="both"/>
        <w:rPr>
          <w:lang w:val="es-MX"/>
        </w:rPr>
      </w:pPr>
      <w:r w:rsidRPr="00CC382B">
        <w:rPr>
          <w:lang w:val="es-MX"/>
        </w:rPr>
        <w:t xml:space="preserve">I. Que </w:t>
      </w:r>
      <w:bookmarkStart w:id="2" w:name="_Hlk171611507"/>
      <w:r w:rsidRPr="00CC382B">
        <w:rPr>
          <w:lang w:val="es-MX"/>
        </w:rPr>
        <w:t>el auto de vinculación a proceso del imputado se haya dictado por un delito cuya media aritmética de la pena de prisión no exceda de cinco años</w:t>
      </w:r>
      <w:bookmarkEnd w:id="2"/>
      <w:r w:rsidRPr="00CC382B">
        <w:rPr>
          <w:lang w:val="es-MX"/>
        </w:rPr>
        <w:t>;</w:t>
      </w:r>
    </w:p>
    <w:p w14:paraId="4C003492" w14:textId="691211E9" w:rsidR="00CC382B" w:rsidRPr="00CC382B" w:rsidRDefault="00CC382B" w:rsidP="00C37C12">
      <w:pPr>
        <w:pStyle w:val="Textonotapie"/>
        <w:jc w:val="both"/>
        <w:rPr>
          <w:lang w:val="es-MX"/>
        </w:rPr>
      </w:pPr>
      <w:r>
        <w:rPr>
          <w:lang w:val="es-MX"/>
        </w:rPr>
        <w:t>(...) vigente al 11 de julio de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42E6" w14:textId="77777777" w:rsidR="00431220" w:rsidRPr="003C0E97" w:rsidRDefault="00431220" w:rsidP="003C0E97">
    <w:pPr>
      <w:jc w:val="right"/>
      <w:rPr>
        <w:rFonts w:ascii="Century Gothic" w:hAnsi="Century Gothic"/>
        <w:i/>
      </w:rPr>
    </w:pPr>
    <w:r w:rsidRPr="003C0E97">
      <w:rPr>
        <w:rFonts w:ascii="Century Gothic" w:hAnsi="Century Gothic"/>
        <w:b/>
      </w:rPr>
      <w:tab/>
    </w:r>
    <w:r w:rsidRPr="003C0E97">
      <w:rPr>
        <w:rFonts w:ascii="Century Gothic" w:hAnsi="Century Gothic"/>
        <w:i/>
      </w:rPr>
      <w:t>"2024, Año del Bicentenario de la fundación del Estado de Chihuahua"</w:t>
    </w:r>
  </w:p>
  <w:p w14:paraId="775A5388" w14:textId="77777777" w:rsidR="00431220" w:rsidRDefault="00431220" w:rsidP="005D14CE">
    <w:pPr>
      <w:pStyle w:val="Encabezado"/>
      <w:jc w:val="right"/>
      <w:rPr>
        <w:rFonts w:ascii="Century Gothic" w:hAnsi="Century Gothic"/>
        <w:b/>
      </w:rPr>
    </w:pPr>
    <w:r>
      <w:rPr>
        <w:rFonts w:ascii="Century Gothic" w:hAnsi="Century Gothic"/>
        <w:b/>
      </w:rPr>
      <w:tab/>
      <w:t xml:space="preserve">                                                               </w:t>
    </w:r>
  </w:p>
  <w:p w14:paraId="284C5766" w14:textId="0AE1111E" w:rsidR="00431220" w:rsidRPr="007F3266" w:rsidRDefault="00431220" w:rsidP="005D14CE">
    <w:pPr>
      <w:pStyle w:val="Encabezado"/>
      <w:jc w:val="right"/>
      <w:rPr>
        <w:rFonts w:ascii="Century Gothic" w:hAnsi="Century Gothic"/>
        <w:b/>
      </w:rPr>
    </w:pPr>
    <w:r>
      <w:rPr>
        <w:rFonts w:ascii="Century Gothic" w:hAnsi="Century Gothic"/>
        <w:b/>
      </w:rPr>
      <w:t xml:space="preserve"> </w:t>
    </w:r>
    <w:r w:rsidRPr="007F3266">
      <w:rPr>
        <w:rFonts w:ascii="Century Gothic" w:hAnsi="Century Gothic"/>
        <w:b/>
        <w:szCs w:val="28"/>
      </w:rPr>
      <w:t xml:space="preserve">Comisión de </w:t>
    </w:r>
    <w:r>
      <w:rPr>
        <w:rFonts w:ascii="Century Gothic" w:hAnsi="Century Gothic"/>
        <w:b/>
        <w:szCs w:val="28"/>
      </w:rPr>
      <w:t>Justicia</w:t>
    </w:r>
  </w:p>
  <w:p w14:paraId="07EA0B09" w14:textId="4978BE62" w:rsidR="00431220" w:rsidRPr="007C5615" w:rsidRDefault="00431220" w:rsidP="005D14CE">
    <w:pPr>
      <w:pStyle w:val="Encabezado"/>
      <w:jc w:val="right"/>
      <w:rPr>
        <w:rFonts w:ascii="Century Gothic" w:hAnsi="Century Gothic"/>
        <w:b/>
      </w:rPr>
    </w:pPr>
    <w:r w:rsidRPr="007F3266">
      <w:rPr>
        <w:rFonts w:ascii="Century Gothic" w:hAnsi="Century Gothic"/>
        <w:b/>
      </w:rPr>
      <w:t>LXVII LEGISLATURA</w:t>
    </w:r>
  </w:p>
  <w:p w14:paraId="38B60707" w14:textId="12710A54" w:rsidR="00431220" w:rsidRPr="007266F6" w:rsidRDefault="00431220" w:rsidP="005D14CE">
    <w:pPr>
      <w:pStyle w:val="Encabezado"/>
      <w:jc w:val="right"/>
      <w:rPr>
        <w:rFonts w:ascii="Century Gothic" w:hAnsi="Century Gothic" w:cs="Arial"/>
        <w:b/>
      </w:rPr>
    </w:pPr>
    <w:r w:rsidRPr="00B2389D">
      <w:rPr>
        <w:rFonts w:ascii="Century Gothic" w:hAnsi="Century Gothic" w:cs="Arial"/>
        <w:b/>
      </w:rPr>
      <w:t>DC</w:t>
    </w:r>
    <w:r>
      <w:rPr>
        <w:rFonts w:ascii="Century Gothic" w:hAnsi="Century Gothic" w:cs="Arial"/>
        <w:b/>
      </w:rPr>
      <w:t>J</w:t>
    </w:r>
    <w:r w:rsidRPr="004174F1">
      <w:rPr>
        <w:rFonts w:ascii="Century Gothic" w:hAnsi="Century Gothic" w:cs="Arial"/>
        <w:b/>
      </w:rPr>
      <w:t>/</w:t>
    </w:r>
    <w:r w:rsidR="00D71549">
      <w:rPr>
        <w:rFonts w:ascii="Century Gothic" w:hAnsi="Century Gothic" w:cs="Arial"/>
        <w:b/>
        <w:lang w:val="es-ES"/>
      </w:rPr>
      <w:t>0</w:t>
    </w:r>
    <w:r w:rsidR="00D315AC">
      <w:rPr>
        <w:rFonts w:ascii="Century Gothic" w:hAnsi="Century Gothic" w:cs="Arial"/>
        <w:b/>
        <w:lang w:val="es-ES"/>
      </w:rPr>
      <w:t>34</w:t>
    </w:r>
    <w:r>
      <w:rPr>
        <w:rFonts w:ascii="Century Gothic" w:hAnsi="Century Gothic" w:cs="Arial"/>
        <w:b/>
      </w:rPr>
      <w:t>/202</w:t>
    </w:r>
    <w:r w:rsidR="005E24C4">
      <w:rPr>
        <w:rFonts w:ascii="Century Gothic" w:hAnsi="Century Gothic" w:cs="Arial"/>
        <w:b/>
      </w:rPr>
      <w:t>4</w:t>
    </w:r>
  </w:p>
  <w:p w14:paraId="0497215C" w14:textId="77777777" w:rsidR="00431220" w:rsidRDefault="004312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A77"/>
    <w:multiLevelType w:val="multilevel"/>
    <w:tmpl w:val="BD980E64"/>
    <w:lvl w:ilvl="0">
      <w:start w:val="1"/>
      <w:numFmt w:val="lowerLetter"/>
      <w:lvlText w:val="%1)"/>
      <w:lvlJc w:val="left"/>
      <w:pPr>
        <w:ind w:left="1068" w:hanging="360"/>
      </w:pPr>
      <w:rPr>
        <w:rFonts w:ascii="Century Gothic" w:hAnsi="Century Gothic" w:cs="Times New Roman" w:hint="default"/>
      </w:rPr>
    </w:lvl>
    <w:lvl w:ilvl="1">
      <w:start w:val="1"/>
      <w:numFmt w:val="lowerLetter"/>
      <w:lvlText w:val="%2."/>
      <w:lvlJc w:val="left"/>
      <w:pPr>
        <w:ind w:left="1788" w:hanging="360"/>
      </w:pPr>
      <w:rPr>
        <w:rFonts w:ascii="Times New Roman" w:hAnsi="Times New Roman" w:cs="Times New Roman" w:hint="default"/>
      </w:rPr>
    </w:lvl>
    <w:lvl w:ilvl="2">
      <w:start w:val="1"/>
      <w:numFmt w:val="lowerRoman"/>
      <w:lvlText w:val="%3."/>
      <w:lvlJc w:val="right"/>
      <w:pPr>
        <w:ind w:left="2508" w:hanging="180"/>
      </w:pPr>
      <w:rPr>
        <w:rFonts w:ascii="Times New Roman" w:hAnsi="Times New Roman" w:cs="Times New Roman" w:hint="default"/>
      </w:rPr>
    </w:lvl>
    <w:lvl w:ilvl="3">
      <w:start w:val="1"/>
      <w:numFmt w:val="decimal"/>
      <w:lvlText w:val="%4."/>
      <w:lvlJc w:val="left"/>
      <w:pPr>
        <w:ind w:left="3228" w:hanging="360"/>
      </w:pPr>
      <w:rPr>
        <w:rFonts w:ascii="Times New Roman" w:hAnsi="Times New Roman" w:cs="Times New Roman" w:hint="default"/>
      </w:rPr>
    </w:lvl>
    <w:lvl w:ilvl="4">
      <w:start w:val="1"/>
      <w:numFmt w:val="lowerLetter"/>
      <w:lvlText w:val="%5."/>
      <w:lvlJc w:val="left"/>
      <w:pPr>
        <w:ind w:left="3948" w:hanging="360"/>
      </w:pPr>
      <w:rPr>
        <w:rFonts w:ascii="Times New Roman" w:hAnsi="Times New Roman" w:cs="Times New Roman" w:hint="default"/>
      </w:rPr>
    </w:lvl>
    <w:lvl w:ilvl="5">
      <w:start w:val="1"/>
      <w:numFmt w:val="lowerRoman"/>
      <w:lvlText w:val="%6."/>
      <w:lvlJc w:val="right"/>
      <w:pPr>
        <w:ind w:left="4668" w:hanging="180"/>
      </w:pPr>
      <w:rPr>
        <w:rFonts w:ascii="Times New Roman" w:hAnsi="Times New Roman" w:cs="Times New Roman" w:hint="default"/>
      </w:rPr>
    </w:lvl>
    <w:lvl w:ilvl="6">
      <w:start w:val="1"/>
      <w:numFmt w:val="decimal"/>
      <w:lvlText w:val="%7."/>
      <w:lvlJc w:val="left"/>
      <w:pPr>
        <w:ind w:left="5388" w:hanging="360"/>
      </w:pPr>
      <w:rPr>
        <w:rFonts w:ascii="Times New Roman" w:hAnsi="Times New Roman" w:cs="Times New Roman" w:hint="default"/>
      </w:rPr>
    </w:lvl>
    <w:lvl w:ilvl="7">
      <w:start w:val="1"/>
      <w:numFmt w:val="lowerLetter"/>
      <w:lvlText w:val="%8."/>
      <w:lvlJc w:val="left"/>
      <w:pPr>
        <w:ind w:left="6108" w:hanging="360"/>
      </w:pPr>
      <w:rPr>
        <w:rFonts w:ascii="Times New Roman" w:hAnsi="Times New Roman" w:cs="Times New Roman" w:hint="default"/>
      </w:rPr>
    </w:lvl>
    <w:lvl w:ilvl="8">
      <w:start w:val="1"/>
      <w:numFmt w:val="lowerRoman"/>
      <w:lvlText w:val="%9."/>
      <w:lvlJc w:val="right"/>
      <w:pPr>
        <w:ind w:left="6828" w:hanging="180"/>
      </w:pPr>
      <w:rPr>
        <w:rFonts w:ascii="Times New Roman" w:hAnsi="Times New Roman" w:cs="Times New Roman" w:hint="default"/>
      </w:rPr>
    </w:lvl>
  </w:abstractNum>
  <w:abstractNum w:abstractNumId="1" w15:restartNumberingAfterBreak="0">
    <w:nsid w:val="037D02ED"/>
    <w:multiLevelType w:val="hybridMultilevel"/>
    <w:tmpl w:val="942E3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CF7EB7"/>
    <w:multiLevelType w:val="hybridMultilevel"/>
    <w:tmpl w:val="7D5A5EA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8800E82"/>
    <w:multiLevelType w:val="multilevel"/>
    <w:tmpl w:val="8334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D2E2E"/>
    <w:multiLevelType w:val="hybridMultilevel"/>
    <w:tmpl w:val="0130D9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441C8E"/>
    <w:multiLevelType w:val="hybridMultilevel"/>
    <w:tmpl w:val="55227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627E72"/>
    <w:multiLevelType w:val="multilevel"/>
    <w:tmpl w:val="71147F8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15:restartNumberingAfterBreak="0">
    <w:nsid w:val="3FB845A1"/>
    <w:multiLevelType w:val="hybridMultilevel"/>
    <w:tmpl w:val="F98C2120"/>
    <w:lvl w:ilvl="0" w:tplc="A32C7CC4">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A6F0C31"/>
    <w:multiLevelType w:val="multilevel"/>
    <w:tmpl w:val="B9848B30"/>
    <w:lvl w:ilvl="0">
      <w:start w:val="1"/>
      <w:numFmt w:val="upperRoman"/>
      <w:lvlText w:val="%1."/>
      <w:lvlJc w:val="left"/>
      <w:pPr>
        <w:ind w:left="1429" w:hanging="720"/>
      </w:pPr>
      <w:rPr>
        <w:rFonts w:ascii="Century Gothic" w:hAnsi="Century Gothic" w:cs="Times New Roman" w:hint="default"/>
        <w:b w:val="0"/>
      </w:rPr>
    </w:lvl>
    <w:lvl w:ilvl="1">
      <w:start w:val="1"/>
      <w:numFmt w:val="lowerLetter"/>
      <w:lvlText w:val="%2."/>
      <w:lvlJc w:val="left"/>
      <w:pPr>
        <w:ind w:left="1789" w:hanging="360"/>
      </w:pPr>
      <w:rPr>
        <w:rFonts w:ascii="Times New Roman" w:hAnsi="Times New Roman" w:cs="Times New Roman" w:hint="default"/>
      </w:rPr>
    </w:lvl>
    <w:lvl w:ilvl="2">
      <w:start w:val="1"/>
      <w:numFmt w:val="lowerRoman"/>
      <w:lvlText w:val="%3."/>
      <w:lvlJc w:val="right"/>
      <w:pPr>
        <w:ind w:left="2509" w:hanging="180"/>
      </w:pPr>
      <w:rPr>
        <w:rFonts w:ascii="Times New Roman" w:hAnsi="Times New Roman" w:cs="Times New Roman" w:hint="default"/>
      </w:rPr>
    </w:lvl>
    <w:lvl w:ilvl="3">
      <w:start w:val="1"/>
      <w:numFmt w:val="decimal"/>
      <w:lvlText w:val="%4."/>
      <w:lvlJc w:val="left"/>
      <w:pPr>
        <w:ind w:left="3229" w:hanging="360"/>
      </w:pPr>
      <w:rPr>
        <w:rFonts w:ascii="Times New Roman" w:hAnsi="Times New Roman" w:cs="Times New Roman" w:hint="default"/>
      </w:rPr>
    </w:lvl>
    <w:lvl w:ilvl="4">
      <w:start w:val="1"/>
      <w:numFmt w:val="lowerLetter"/>
      <w:lvlText w:val="%5."/>
      <w:lvlJc w:val="left"/>
      <w:pPr>
        <w:ind w:left="3949" w:hanging="360"/>
      </w:pPr>
      <w:rPr>
        <w:rFonts w:ascii="Times New Roman" w:hAnsi="Times New Roman" w:cs="Times New Roman" w:hint="default"/>
      </w:rPr>
    </w:lvl>
    <w:lvl w:ilvl="5">
      <w:start w:val="1"/>
      <w:numFmt w:val="lowerRoman"/>
      <w:lvlText w:val="%6."/>
      <w:lvlJc w:val="right"/>
      <w:pPr>
        <w:ind w:left="4669" w:hanging="180"/>
      </w:pPr>
      <w:rPr>
        <w:rFonts w:ascii="Times New Roman" w:hAnsi="Times New Roman" w:cs="Times New Roman" w:hint="default"/>
      </w:rPr>
    </w:lvl>
    <w:lvl w:ilvl="6">
      <w:start w:val="1"/>
      <w:numFmt w:val="decimal"/>
      <w:lvlText w:val="%7."/>
      <w:lvlJc w:val="left"/>
      <w:pPr>
        <w:ind w:left="5389" w:hanging="360"/>
      </w:pPr>
      <w:rPr>
        <w:rFonts w:ascii="Times New Roman" w:hAnsi="Times New Roman" w:cs="Times New Roman" w:hint="default"/>
      </w:rPr>
    </w:lvl>
    <w:lvl w:ilvl="7">
      <w:start w:val="1"/>
      <w:numFmt w:val="lowerLetter"/>
      <w:lvlText w:val="%8."/>
      <w:lvlJc w:val="left"/>
      <w:pPr>
        <w:ind w:left="6109" w:hanging="360"/>
      </w:pPr>
      <w:rPr>
        <w:rFonts w:ascii="Times New Roman" w:hAnsi="Times New Roman" w:cs="Times New Roman" w:hint="default"/>
      </w:rPr>
    </w:lvl>
    <w:lvl w:ilvl="8">
      <w:start w:val="1"/>
      <w:numFmt w:val="lowerRoman"/>
      <w:lvlText w:val="%9."/>
      <w:lvlJc w:val="right"/>
      <w:pPr>
        <w:ind w:left="6829" w:hanging="180"/>
      </w:pPr>
      <w:rPr>
        <w:rFonts w:ascii="Times New Roman" w:hAnsi="Times New Roman" w:cs="Times New Roman" w:hint="default"/>
      </w:rPr>
    </w:lvl>
  </w:abstractNum>
  <w:abstractNum w:abstractNumId="9" w15:restartNumberingAfterBreak="0">
    <w:nsid w:val="68211768"/>
    <w:multiLevelType w:val="hybridMultilevel"/>
    <w:tmpl w:val="E82C9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1C2F41"/>
    <w:multiLevelType w:val="multilevel"/>
    <w:tmpl w:val="237E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B74678"/>
    <w:multiLevelType w:val="multilevel"/>
    <w:tmpl w:val="68E8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3736E"/>
    <w:multiLevelType w:val="hybridMultilevel"/>
    <w:tmpl w:val="3FAC0D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5"/>
  </w:num>
  <w:num w:numId="5">
    <w:abstractNumId w:val="9"/>
  </w:num>
  <w:num w:numId="6">
    <w:abstractNumId w:val="2"/>
  </w:num>
  <w:num w:numId="7">
    <w:abstractNumId w:val="10"/>
  </w:num>
  <w:num w:numId="8">
    <w:abstractNumId w:val="11"/>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4CE"/>
    <w:rsid w:val="00011138"/>
    <w:rsid w:val="000269D4"/>
    <w:rsid w:val="000463DC"/>
    <w:rsid w:val="00053BB0"/>
    <w:rsid w:val="00063A11"/>
    <w:rsid w:val="00063BF9"/>
    <w:rsid w:val="0007233C"/>
    <w:rsid w:val="00076680"/>
    <w:rsid w:val="000A4DA7"/>
    <w:rsid w:val="000A5092"/>
    <w:rsid w:val="000B138C"/>
    <w:rsid w:val="000C0495"/>
    <w:rsid w:val="000D47B2"/>
    <w:rsid w:val="000D568A"/>
    <w:rsid w:val="000F46F4"/>
    <w:rsid w:val="00131FEA"/>
    <w:rsid w:val="00141840"/>
    <w:rsid w:val="00150C73"/>
    <w:rsid w:val="00176B19"/>
    <w:rsid w:val="001934F3"/>
    <w:rsid w:val="001A33C3"/>
    <w:rsid w:val="001C43DA"/>
    <w:rsid w:val="001C7D7F"/>
    <w:rsid w:val="001D487D"/>
    <w:rsid w:val="001E18F0"/>
    <w:rsid w:val="001F74AF"/>
    <w:rsid w:val="00210559"/>
    <w:rsid w:val="0027332F"/>
    <w:rsid w:val="0028427C"/>
    <w:rsid w:val="00292B62"/>
    <w:rsid w:val="00295EDE"/>
    <w:rsid w:val="002D0A17"/>
    <w:rsid w:val="002D1586"/>
    <w:rsid w:val="002D7BE0"/>
    <w:rsid w:val="0030206D"/>
    <w:rsid w:val="00351587"/>
    <w:rsid w:val="00352FB6"/>
    <w:rsid w:val="003604C4"/>
    <w:rsid w:val="00383AE9"/>
    <w:rsid w:val="0038714D"/>
    <w:rsid w:val="0039048D"/>
    <w:rsid w:val="00395D5E"/>
    <w:rsid w:val="003A5682"/>
    <w:rsid w:val="003A769F"/>
    <w:rsid w:val="003A78BA"/>
    <w:rsid w:val="003B39DE"/>
    <w:rsid w:val="003C0E97"/>
    <w:rsid w:val="003F7D8F"/>
    <w:rsid w:val="00431220"/>
    <w:rsid w:val="004720DF"/>
    <w:rsid w:val="0047226D"/>
    <w:rsid w:val="00487C9F"/>
    <w:rsid w:val="004A3E49"/>
    <w:rsid w:val="004A6DAD"/>
    <w:rsid w:val="004B33D0"/>
    <w:rsid w:val="004B4974"/>
    <w:rsid w:val="004F69FE"/>
    <w:rsid w:val="00503A3B"/>
    <w:rsid w:val="00516E55"/>
    <w:rsid w:val="00554666"/>
    <w:rsid w:val="0055489F"/>
    <w:rsid w:val="0058559D"/>
    <w:rsid w:val="005A75EA"/>
    <w:rsid w:val="005D14CE"/>
    <w:rsid w:val="005D6321"/>
    <w:rsid w:val="005E24C4"/>
    <w:rsid w:val="005F6ED4"/>
    <w:rsid w:val="00615295"/>
    <w:rsid w:val="0061700C"/>
    <w:rsid w:val="006200AB"/>
    <w:rsid w:val="00642479"/>
    <w:rsid w:val="006506A4"/>
    <w:rsid w:val="00651A95"/>
    <w:rsid w:val="00662E9E"/>
    <w:rsid w:val="00693A68"/>
    <w:rsid w:val="00693EC2"/>
    <w:rsid w:val="0069679C"/>
    <w:rsid w:val="006B2028"/>
    <w:rsid w:val="006C4E65"/>
    <w:rsid w:val="006D5689"/>
    <w:rsid w:val="00717FCA"/>
    <w:rsid w:val="0073641F"/>
    <w:rsid w:val="007369E4"/>
    <w:rsid w:val="00742AED"/>
    <w:rsid w:val="0074653E"/>
    <w:rsid w:val="00761A2E"/>
    <w:rsid w:val="00781CE1"/>
    <w:rsid w:val="0078432D"/>
    <w:rsid w:val="00785DA5"/>
    <w:rsid w:val="007953BF"/>
    <w:rsid w:val="007A767D"/>
    <w:rsid w:val="007B7406"/>
    <w:rsid w:val="007C6755"/>
    <w:rsid w:val="007D1882"/>
    <w:rsid w:val="007D7C04"/>
    <w:rsid w:val="008245E9"/>
    <w:rsid w:val="008306C9"/>
    <w:rsid w:val="008625E7"/>
    <w:rsid w:val="00877A6B"/>
    <w:rsid w:val="008A6EAB"/>
    <w:rsid w:val="008B2792"/>
    <w:rsid w:val="008D1730"/>
    <w:rsid w:val="008D602C"/>
    <w:rsid w:val="008E1E41"/>
    <w:rsid w:val="008E472F"/>
    <w:rsid w:val="008F1289"/>
    <w:rsid w:val="0090292A"/>
    <w:rsid w:val="00903348"/>
    <w:rsid w:val="00930A7C"/>
    <w:rsid w:val="00941D2B"/>
    <w:rsid w:val="00942A48"/>
    <w:rsid w:val="00945419"/>
    <w:rsid w:val="00951EB2"/>
    <w:rsid w:val="009545FB"/>
    <w:rsid w:val="00955BA9"/>
    <w:rsid w:val="00986DCB"/>
    <w:rsid w:val="009938F8"/>
    <w:rsid w:val="009A2761"/>
    <w:rsid w:val="009C052B"/>
    <w:rsid w:val="009D7E55"/>
    <w:rsid w:val="009E7368"/>
    <w:rsid w:val="009F506A"/>
    <w:rsid w:val="00A024F1"/>
    <w:rsid w:val="00A034B0"/>
    <w:rsid w:val="00A06985"/>
    <w:rsid w:val="00A11F1F"/>
    <w:rsid w:val="00A13A55"/>
    <w:rsid w:val="00A26E3C"/>
    <w:rsid w:val="00A375EC"/>
    <w:rsid w:val="00A405FF"/>
    <w:rsid w:val="00A40788"/>
    <w:rsid w:val="00A42F1C"/>
    <w:rsid w:val="00A449EF"/>
    <w:rsid w:val="00A709CD"/>
    <w:rsid w:val="00A72E1C"/>
    <w:rsid w:val="00A83430"/>
    <w:rsid w:val="00A90C64"/>
    <w:rsid w:val="00A943D1"/>
    <w:rsid w:val="00A9752F"/>
    <w:rsid w:val="00AB22F5"/>
    <w:rsid w:val="00AB4C67"/>
    <w:rsid w:val="00AC5225"/>
    <w:rsid w:val="00AD0FB6"/>
    <w:rsid w:val="00AF5D60"/>
    <w:rsid w:val="00B02542"/>
    <w:rsid w:val="00B24145"/>
    <w:rsid w:val="00B5091F"/>
    <w:rsid w:val="00B62AC0"/>
    <w:rsid w:val="00B65D5C"/>
    <w:rsid w:val="00B66E28"/>
    <w:rsid w:val="00B72B75"/>
    <w:rsid w:val="00B801A6"/>
    <w:rsid w:val="00B92598"/>
    <w:rsid w:val="00BD3FAB"/>
    <w:rsid w:val="00BD7ADB"/>
    <w:rsid w:val="00C0553F"/>
    <w:rsid w:val="00C239F4"/>
    <w:rsid w:val="00C37C12"/>
    <w:rsid w:val="00C63468"/>
    <w:rsid w:val="00C769EA"/>
    <w:rsid w:val="00C82E7B"/>
    <w:rsid w:val="00CA0BC8"/>
    <w:rsid w:val="00CA7616"/>
    <w:rsid w:val="00CC382B"/>
    <w:rsid w:val="00CD6BB2"/>
    <w:rsid w:val="00CF64BB"/>
    <w:rsid w:val="00D06212"/>
    <w:rsid w:val="00D15B57"/>
    <w:rsid w:val="00D315AC"/>
    <w:rsid w:val="00D4326E"/>
    <w:rsid w:val="00D46DDD"/>
    <w:rsid w:val="00D46E28"/>
    <w:rsid w:val="00D646BC"/>
    <w:rsid w:val="00D71549"/>
    <w:rsid w:val="00D7598D"/>
    <w:rsid w:val="00D85130"/>
    <w:rsid w:val="00DA4310"/>
    <w:rsid w:val="00DD09AE"/>
    <w:rsid w:val="00DD259D"/>
    <w:rsid w:val="00DF3E08"/>
    <w:rsid w:val="00E010C1"/>
    <w:rsid w:val="00E01F59"/>
    <w:rsid w:val="00E03F6F"/>
    <w:rsid w:val="00E07404"/>
    <w:rsid w:val="00E07B9C"/>
    <w:rsid w:val="00E13CCF"/>
    <w:rsid w:val="00E23430"/>
    <w:rsid w:val="00E30E76"/>
    <w:rsid w:val="00E648CF"/>
    <w:rsid w:val="00E747EC"/>
    <w:rsid w:val="00E863EF"/>
    <w:rsid w:val="00E86A96"/>
    <w:rsid w:val="00E87220"/>
    <w:rsid w:val="00E9382D"/>
    <w:rsid w:val="00EA2B2E"/>
    <w:rsid w:val="00EB4B4F"/>
    <w:rsid w:val="00EC0D31"/>
    <w:rsid w:val="00EC6301"/>
    <w:rsid w:val="00ED1ED3"/>
    <w:rsid w:val="00EE232B"/>
    <w:rsid w:val="00F109DC"/>
    <w:rsid w:val="00F150B9"/>
    <w:rsid w:val="00F22F30"/>
    <w:rsid w:val="00F45D73"/>
    <w:rsid w:val="00F46E2C"/>
    <w:rsid w:val="00F8069B"/>
    <w:rsid w:val="00F84034"/>
    <w:rsid w:val="00F90C26"/>
    <w:rsid w:val="00F95265"/>
    <w:rsid w:val="00F9623B"/>
    <w:rsid w:val="00FC045C"/>
    <w:rsid w:val="00FC750B"/>
    <w:rsid w:val="00FF39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AECC"/>
  <w15:chartTrackingRefBased/>
  <w15:docId w15:val="{A0D611F5-AA78-47A8-8897-72F0E0C9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4CE"/>
    <w:pPr>
      <w:spacing w:after="0" w:line="240" w:lineRule="auto"/>
    </w:pPr>
    <w:rPr>
      <w:rFonts w:ascii="Times New Roman" w:eastAsia="Times New Roman" w:hAnsi="Times New Roman" w:cs="Times New Roman"/>
      <w:color w:val="0000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4CE"/>
    <w:pPr>
      <w:tabs>
        <w:tab w:val="center" w:pos="4419"/>
        <w:tab w:val="right" w:pos="8838"/>
      </w:tabs>
    </w:pPr>
    <w:rPr>
      <w:rFonts w:asciiTheme="minorHAnsi" w:eastAsiaTheme="minorHAnsi" w:hAnsiTheme="minorHAnsi" w:cstheme="minorBidi"/>
      <w:color w:val="auto"/>
      <w:sz w:val="22"/>
      <w:szCs w:val="22"/>
      <w:lang w:eastAsia="en-US"/>
    </w:rPr>
  </w:style>
  <w:style w:type="character" w:customStyle="1" w:styleId="EncabezadoCar">
    <w:name w:val="Encabezado Car"/>
    <w:basedOn w:val="Fuentedeprrafopredeter"/>
    <w:link w:val="Encabezado"/>
    <w:uiPriority w:val="99"/>
    <w:rsid w:val="005D14CE"/>
  </w:style>
  <w:style w:type="paragraph" w:styleId="Piedepgina">
    <w:name w:val="footer"/>
    <w:basedOn w:val="Normal"/>
    <w:link w:val="PiedepginaCar"/>
    <w:uiPriority w:val="99"/>
    <w:unhideWhenUsed/>
    <w:rsid w:val="005D14CE"/>
    <w:pPr>
      <w:tabs>
        <w:tab w:val="center" w:pos="4419"/>
        <w:tab w:val="right" w:pos="8838"/>
      </w:tabs>
    </w:pPr>
    <w:rPr>
      <w:rFonts w:asciiTheme="minorHAnsi" w:eastAsiaTheme="minorHAnsi" w:hAnsiTheme="minorHAnsi" w:cstheme="minorBidi"/>
      <w:color w:val="auto"/>
      <w:sz w:val="22"/>
      <w:szCs w:val="22"/>
      <w:lang w:eastAsia="en-US"/>
    </w:rPr>
  </w:style>
  <w:style w:type="character" w:customStyle="1" w:styleId="PiedepginaCar">
    <w:name w:val="Pie de página Car"/>
    <w:basedOn w:val="Fuentedeprrafopredeter"/>
    <w:link w:val="Piedepgina"/>
    <w:uiPriority w:val="99"/>
    <w:rsid w:val="005D14CE"/>
  </w:style>
  <w:style w:type="paragraph" w:customStyle="1" w:styleId="Normal1">
    <w:name w:val="Normal1"/>
    <w:rsid w:val="005D14CE"/>
    <w:pPr>
      <w:spacing w:after="0" w:line="240" w:lineRule="auto"/>
    </w:pPr>
    <w:rPr>
      <w:rFonts w:ascii="Times New Roman" w:eastAsia="Times New Roman" w:hAnsi="Times New Roman" w:cs="Times New Roman"/>
      <w:color w:val="000000"/>
      <w:sz w:val="24"/>
      <w:szCs w:val="24"/>
      <w:lang w:val="es-ES" w:eastAsia="es-ES"/>
    </w:rPr>
  </w:style>
  <w:style w:type="paragraph" w:styleId="Textonotapie">
    <w:name w:val="footnote text"/>
    <w:basedOn w:val="Normal"/>
    <w:link w:val="TextonotapieCar"/>
    <w:uiPriority w:val="99"/>
    <w:unhideWhenUsed/>
    <w:rsid w:val="005D14CE"/>
    <w:rPr>
      <w:rFonts w:ascii="Calibri" w:eastAsia="Calibri" w:hAnsi="Calibri"/>
      <w:color w:val="auto"/>
      <w:sz w:val="20"/>
      <w:szCs w:val="20"/>
      <w:lang w:val="x-none" w:eastAsia="en-US"/>
    </w:rPr>
  </w:style>
  <w:style w:type="character" w:customStyle="1" w:styleId="TextonotapieCar">
    <w:name w:val="Texto nota pie Car"/>
    <w:basedOn w:val="Fuentedeprrafopredeter"/>
    <w:link w:val="Textonotapie"/>
    <w:uiPriority w:val="99"/>
    <w:rsid w:val="005D14CE"/>
    <w:rPr>
      <w:rFonts w:ascii="Calibri" w:eastAsia="Calibri" w:hAnsi="Calibri" w:cs="Times New Roman"/>
      <w:sz w:val="20"/>
      <w:szCs w:val="20"/>
      <w:lang w:val="x-none"/>
    </w:rPr>
  </w:style>
  <w:style w:type="character" w:styleId="Refdenotaalpie">
    <w:name w:val="footnote reference"/>
    <w:uiPriority w:val="99"/>
    <w:semiHidden/>
    <w:unhideWhenUsed/>
    <w:rsid w:val="005D14CE"/>
    <w:rPr>
      <w:vertAlign w:val="superscript"/>
    </w:rPr>
  </w:style>
  <w:style w:type="character" w:styleId="Hipervnculo">
    <w:name w:val="Hyperlink"/>
    <w:basedOn w:val="Fuentedeprrafopredeter"/>
    <w:uiPriority w:val="99"/>
    <w:unhideWhenUsed/>
    <w:rsid w:val="007953BF"/>
    <w:rPr>
      <w:color w:val="0563C1" w:themeColor="hyperlink"/>
      <w:u w:val="single"/>
    </w:rPr>
  </w:style>
  <w:style w:type="character" w:customStyle="1" w:styleId="Ninguno">
    <w:name w:val="Ninguno"/>
    <w:rsid w:val="007953BF"/>
  </w:style>
  <w:style w:type="paragraph" w:styleId="Prrafodelista">
    <w:name w:val="List Paragraph"/>
    <w:basedOn w:val="Normal"/>
    <w:uiPriority w:val="34"/>
    <w:qFormat/>
    <w:rsid w:val="00A449EF"/>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customStyle="1" w:styleId="Normal2">
    <w:name w:val="Normal2"/>
    <w:rsid w:val="00A90C64"/>
    <w:pPr>
      <w:spacing w:after="0" w:line="240" w:lineRule="auto"/>
    </w:pPr>
    <w:rPr>
      <w:rFonts w:ascii="Times New Roman" w:eastAsia="Times New Roman" w:hAnsi="Times New Roman" w:cs="Times New Roman"/>
      <w:color w:val="000000"/>
      <w:sz w:val="24"/>
      <w:szCs w:val="24"/>
      <w:lang w:val="es-ES" w:eastAsia="es-ES"/>
    </w:rPr>
  </w:style>
  <w:style w:type="character" w:styleId="Refdecomentario">
    <w:name w:val="annotation reference"/>
    <w:basedOn w:val="Fuentedeprrafopredeter"/>
    <w:uiPriority w:val="99"/>
    <w:semiHidden/>
    <w:unhideWhenUsed/>
    <w:rsid w:val="00E010C1"/>
    <w:rPr>
      <w:sz w:val="16"/>
      <w:szCs w:val="16"/>
    </w:rPr>
  </w:style>
  <w:style w:type="paragraph" w:styleId="Textocomentario">
    <w:name w:val="annotation text"/>
    <w:basedOn w:val="Normal"/>
    <w:link w:val="TextocomentarioCar"/>
    <w:uiPriority w:val="99"/>
    <w:semiHidden/>
    <w:unhideWhenUsed/>
    <w:rsid w:val="00E010C1"/>
    <w:rPr>
      <w:sz w:val="20"/>
      <w:szCs w:val="20"/>
    </w:rPr>
  </w:style>
  <w:style w:type="character" w:customStyle="1" w:styleId="TextocomentarioCar">
    <w:name w:val="Texto comentario Car"/>
    <w:basedOn w:val="Fuentedeprrafopredeter"/>
    <w:link w:val="Textocomentario"/>
    <w:uiPriority w:val="99"/>
    <w:semiHidden/>
    <w:rsid w:val="00E010C1"/>
    <w:rPr>
      <w:rFonts w:ascii="Times New Roman" w:eastAsia="Times New Roman" w:hAnsi="Times New Roman" w:cs="Times New Roman"/>
      <w:color w:val="0000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010C1"/>
    <w:rPr>
      <w:b/>
      <w:bCs/>
    </w:rPr>
  </w:style>
  <w:style w:type="character" w:customStyle="1" w:styleId="AsuntodelcomentarioCar">
    <w:name w:val="Asunto del comentario Car"/>
    <w:basedOn w:val="TextocomentarioCar"/>
    <w:link w:val="Asuntodelcomentario"/>
    <w:uiPriority w:val="99"/>
    <w:semiHidden/>
    <w:rsid w:val="00E010C1"/>
    <w:rPr>
      <w:rFonts w:ascii="Times New Roman" w:eastAsia="Times New Roman" w:hAnsi="Times New Roman" w:cs="Times New Roman"/>
      <w:b/>
      <w:bCs/>
      <w:color w:val="000000"/>
      <w:sz w:val="20"/>
      <w:szCs w:val="20"/>
      <w:lang w:eastAsia="es-ES"/>
    </w:rPr>
  </w:style>
  <w:style w:type="character" w:customStyle="1" w:styleId="Mencinsinresolver1">
    <w:name w:val="Mención sin resolver1"/>
    <w:basedOn w:val="Fuentedeprrafopredeter"/>
    <w:uiPriority w:val="99"/>
    <w:semiHidden/>
    <w:unhideWhenUsed/>
    <w:rsid w:val="004A3E49"/>
    <w:rPr>
      <w:color w:val="605E5C"/>
      <w:shd w:val="clear" w:color="auto" w:fill="E1DFDD"/>
    </w:rPr>
  </w:style>
  <w:style w:type="table" w:styleId="Tablaconcuadrcula">
    <w:name w:val="Table Grid"/>
    <w:basedOn w:val="Tablanormal"/>
    <w:uiPriority w:val="39"/>
    <w:rsid w:val="00516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326379">
      <w:bodyDiv w:val="1"/>
      <w:marLeft w:val="0"/>
      <w:marRight w:val="0"/>
      <w:marTop w:val="0"/>
      <w:marBottom w:val="0"/>
      <w:divBdr>
        <w:top w:val="none" w:sz="0" w:space="0" w:color="auto"/>
        <w:left w:val="none" w:sz="0" w:space="0" w:color="auto"/>
        <w:bottom w:val="none" w:sz="0" w:space="0" w:color="auto"/>
        <w:right w:val="none" w:sz="0" w:space="0" w:color="auto"/>
      </w:divBdr>
    </w:div>
    <w:div w:id="658733569">
      <w:bodyDiv w:val="1"/>
      <w:marLeft w:val="0"/>
      <w:marRight w:val="0"/>
      <w:marTop w:val="0"/>
      <w:marBottom w:val="0"/>
      <w:divBdr>
        <w:top w:val="none" w:sz="0" w:space="0" w:color="auto"/>
        <w:left w:val="none" w:sz="0" w:space="0" w:color="auto"/>
        <w:bottom w:val="none" w:sz="0" w:space="0" w:color="auto"/>
        <w:right w:val="none" w:sz="0" w:space="0" w:color="auto"/>
      </w:divBdr>
    </w:div>
    <w:div w:id="862092708">
      <w:bodyDiv w:val="1"/>
      <w:marLeft w:val="0"/>
      <w:marRight w:val="0"/>
      <w:marTop w:val="0"/>
      <w:marBottom w:val="0"/>
      <w:divBdr>
        <w:top w:val="none" w:sz="0" w:space="0" w:color="auto"/>
        <w:left w:val="none" w:sz="0" w:space="0" w:color="auto"/>
        <w:bottom w:val="none" w:sz="0" w:space="0" w:color="auto"/>
        <w:right w:val="none" w:sz="0" w:space="0" w:color="auto"/>
      </w:divBdr>
    </w:div>
    <w:div w:id="1067846940">
      <w:bodyDiv w:val="1"/>
      <w:marLeft w:val="0"/>
      <w:marRight w:val="0"/>
      <w:marTop w:val="0"/>
      <w:marBottom w:val="0"/>
      <w:divBdr>
        <w:top w:val="none" w:sz="0" w:space="0" w:color="auto"/>
        <w:left w:val="none" w:sz="0" w:space="0" w:color="auto"/>
        <w:bottom w:val="none" w:sz="0" w:space="0" w:color="auto"/>
        <w:right w:val="none" w:sz="0" w:space="0" w:color="auto"/>
      </w:divBdr>
    </w:div>
    <w:div w:id="1116558063">
      <w:bodyDiv w:val="1"/>
      <w:marLeft w:val="0"/>
      <w:marRight w:val="0"/>
      <w:marTop w:val="0"/>
      <w:marBottom w:val="0"/>
      <w:divBdr>
        <w:top w:val="none" w:sz="0" w:space="0" w:color="auto"/>
        <w:left w:val="none" w:sz="0" w:space="0" w:color="auto"/>
        <w:bottom w:val="none" w:sz="0" w:space="0" w:color="auto"/>
        <w:right w:val="none" w:sz="0" w:space="0" w:color="auto"/>
      </w:divBdr>
    </w:div>
    <w:div w:id="1296525423">
      <w:bodyDiv w:val="1"/>
      <w:marLeft w:val="0"/>
      <w:marRight w:val="0"/>
      <w:marTop w:val="0"/>
      <w:marBottom w:val="0"/>
      <w:divBdr>
        <w:top w:val="none" w:sz="0" w:space="0" w:color="auto"/>
        <w:left w:val="none" w:sz="0" w:space="0" w:color="auto"/>
        <w:bottom w:val="none" w:sz="0" w:space="0" w:color="auto"/>
        <w:right w:val="none" w:sz="0" w:space="0" w:color="auto"/>
      </w:divBdr>
    </w:div>
    <w:div w:id="1297179019">
      <w:bodyDiv w:val="1"/>
      <w:marLeft w:val="0"/>
      <w:marRight w:val="0"/>
      <w:marTop w:val="0"/>
      <w:marBottom w:val="0"/>
      <w:divBdr>
        <w:top w:val="none" w:sz="0" w:space="0" w:color="auto"/>
        <w:left w:val="none" w:sz="0" w:space="0" w:color="auto"/>
        <w:bottom w:val="none" w:sz="0" w:space="0" w:color="auto"/>
        <w:right w:val="none" w:sz="0" w:space="0" w:color="auto"/>
      </w:divBdr>
    </w:div>
    <w:div w:id="1508061222">
      <w:bodyDiv w:val="1"/>
      <w:marLeft w:val="0"/>
      <w:marRight w:val="0"/>
      <w:marTop w:val="0"/>
      <w:marBottom w:val="0"/>
      <w:divBdr>
        <w:top w:val="none" w:sz="0" w:space="0" w:color="auto"/>
        <w:left w:val="none" w:sz="0" w:space="0" w:color="auto"/>
        <w:bottom w:val="none" w:sz="0" w:space="0" w:color="auto"/>
        <w:right w:val="none" w:sz="0" w:space="0" w:color="auto"/>
      </w:divBdr>
    </w:div>
    <w:div w:id="1602058232">
      <w:bodyDiv w:val="1"/>
      <w:marLeft w:val="0"/>
      <w:marRight w:val="0"/>
      <w:marTop w:val="0"/>
      <w:marBottom w:val="0"/>
      <w:divBdr>
        <w:top w:val="none" w:sz="0" w:space="0" w:color="auto"/>
        <w:left w:val="none" w:sz="0" w:space="0" w:color="auto"/>
        <w:bottom w:val="none" w:sz="0" w:space="0" w:color="auto"/>
        <w:right w:val="none" w:sz="0" w:space="0" w:color="auto"/>
      </w:divBdr>
    </w:div>
    <w:div w:id="181340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CA45D-E35D-4116-9791-33BDA3F2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2430</Words>
  <Characters>13369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Jocelyne Ruelas Juárez</dc:creator>
  <cp:keywords/>
  <dc:description/>
  <cp:lastModifiedBy>Brenda Sarahi Gonzalez Dominguez</cp:lastModifiedBy>
  <cp:revision>2</cp:revision>
  <cp:lastPrinted>2023-05-09T18:23:00Z</cp:lastPrinted>
  <dcterms:created xsi:type="dcterms:W3CDTF">2024-08-14T18:03:00Z</dcterms:created>
  <dcterms:modified xsi:type="dcterms:W3CDTF">2024-08-14T18:03:00Z</dcterms:modified>
</cp:coreProperties>
</file>