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5C74847F"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w:t>
      </w:r>
      <w:r w:rsidR="00605CA9">
        <w:rPr>
          <w:rFonts w:ascii="Century Gothic" w:eastAsia="Arial" w:hAnsi="Century Gothic" w:cs="Arial"/>
          <w:color w:val="auto"/>
          <w:szCs w:val="24"/>
          <w:lang w:val="es-MX"/>
        </w:rPr>
        <w:t>s Comisiones Unidas</w:t>
      </w:r>
      <w:r w:rsidRPr="00414B59">
        <w:rPr>
          <w:rFonts w:ascii="Century Gothic" w:eastAsia="Arial" w:hAnsi="Century Gothic" w:cs="Arial"/>
          <w:color w:val="auto"/>
          <w:szCs w:val="24"/>
          <w:lang w:val="es-MX"/>
        </w:rPr>
        <w:t xml:space="preserve"> de</w:t>
      </w:r>
      <w:r w:rsidR="00605CA9">
        <w:rPr>
          <w:rFonts w:ascii="Century Gothic" w:eastAsia="Arial" w:hAnsi="Century Gothic" w:cs="Arial"/>
          <w:color w:val="auto"/>
          <w:szCs w:val="24"/>
          <w:lang w:val="es-MX"/>
        </w:rPr>
        <w:t xml:space="preserve"> Igualdad</w:t>
      </w:r>
      <w:r w:rsidRPr="00414B59">
        <w:rPr>
          <w:rFonts w:ascii="Century Gothic" w:eastAsia="Arial" w:hAnsi="Century Gothic" w:cs="Arial"/>
          <w:color w:val="auto"/>
          <w:szCs w:val="24"/>
          <w:lang w:val="es-MX"/>
        </w:rPr>
        <w:t>,</w:t>
      </w:r>
      <w:r w:rsidR="00605CA9">
        <w:rPr>
          <w:rFonts w:ascii="Century Gothic" w:eastAsia="Arial" w:hAnsi="Century Gothic" w:cs="Arial"/>
          <w:color w:val="auto"/>
          <w:szCs w:val="24"/>
          <w:lang w:val="es-MX"/>
        </w:rPr>
        <w:t xml:space="preserve"> y de Familia, Asuntos Religiosos y Valores,</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w:t>
      </w:r>
      <w:r w:rsidR="00605CA9">
        <w:rPr>
          <w:rFonts w:ascii="Century Gothic" w:eastAsia="Arial" w:hAnsi="Century Gothic" w:cs="Arial"/>
          <w:color w:val="auto"/>
          <w:szCs w:val="24"/>
          <w:lang w:val="es-MX"/>
        </w:rPr>
        <w:t>n</w:t>
      </w:r>
      <w:r w:rsidRPr="00414B59">
        <w:rPr>
          <w:rFonts w:ascii="Century Gothic" w:eastAsia="Arial" w:hAnsi="Century Gothic" w:cs="Arial"/>
          <w:color w:val="auto"/>
          <w:szCs w:val="24"/>
          <w:lang w:val="es-MX"/>
        </w:rPr>
        <w:t xml:space="preserv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1404BD15"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605CA9">
        <w:rPr>
          <w:rFonts w:ascii="Century Gothic" w:eastAsia="Arial" w:hAnsi="Century Gothic" w:cs="Arial"/>
          <w:color w:val="auto"/>
          <w:szCs w:val="24"/>
          <w:lang w:val="es-MX"/>
        </w:rPr>
        <w:t>12</w:t>
      </w:r>
      <w:r w:rsidR="00513A9D">
        <w:rPr>
          <w:rFonts w:ascii="Century Gothic" w:eastAsia="Arial" w:hAnsi="Century Gothic" w:cs="Arial"/>
          <w:color w:val="auto"/>
          <w:szCs w:val="24"/>
          <w:lang w:val="es-MX"/>
        </w:rPr>
        <w:t xml:space="preserve"> de </w:t>
      </w:r>
      <w:r w:rsidR="00605CA9">
        <w:rPr>
          <w:rFonts w:ascii="Century Gothic" w:eastAsia="Arial" w:hAnsi="Century Gothic" w:cs="Arial"/>
          <w:color w:val="auto"/>
          <w:szCs w:val="24"/>
          <w:lang w:val="es-MX"/>
        </w:rPr>
        <w:t>junio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605CA9">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605CA9">
        <w:rPr>
          <w:rFonts w:ascii="Century Gothic" w:eastAsia="Arial" w:hAnsi="Century Gothic" w:cs="Arial"/>
          <w:color w:val="auto"/>
          <w:szCs w:val="24"/>
          <w:lang w:val="es-MX"/>
        </w:rPr>
        <w:t>la Diputada Ivón Salazar Morales</w:t>
      </w:r>
      <w:r w:rsidR="00191CD4">
        <w:rPr>
          <w:rFonts w:ascii="Century Gothic" w:eastAsia="Arial" w:hAnsi="Century Gothic" w:cs="Arial"/>
          <w:color w:val="auto"/>
          <w:szCs w:val="24"/>
          <w:lang w:val="es-MX"/>
        </w:rPr>
        <w:t xml:space="preserve"> integrante del Grupo Parlamentario del Partido</w:t>
      </w:r>
      <w:r w:rsidR="00605CA9">
        <w:rPr>
          <w:rFonts w:ascii="Century Gothic" w:eastAsia="Arial" w:hAnsi="Century Gothic" w:cs="Arial"/>
          <w:color w:val="auto"/>
          <w:szCs w:val="24"/>
          <w:lang w:val="es-MX"/>
        </w:rPr>
        <w:t xml:space="preserve"> Revolucionario Institucional</w:t>
      </w:r>
      <w:r w:rsidR="005828AB">
        <w:rPr>
          <w:rFonts w:ascii="Century Gothic" w:eastAsia="Arial" w:hAnsi="Century Gothic" w:cs="Arial"/>
          <w:color w:val="auto"/>
          <w:szCs w:val="24"/>
          <w:lang w:val="es-MX"/>
        </w:rPr>
        <w:t>, present</w:t>
      </w:r>
      <w:r w:rsidR="00605CA9">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5828AB">
        <w:rPr>
          <w:rFonts w:ascii="Century Gothic" w:eastAsia="Arial" w:hAnsi="Century Gothic" w:cs="Arial"/>
          <w:color w:val="auto"/>
          <w:szCs w:val="24"/>
          <w:lang w:val="es-MX"/>
        </w:rPr>
        <w:t xml:space="preserve"> </w:t>
      </w:r>
      <w:r w:rsidR="00F7345C" w:rsidRPr="00F7345C">
        <w:rPr>
          <w:rFonts w:ascii="Century Gothic" w:eastAsia="Arial" w:hAnsi="Century Gothic" w:cs="Arial"/>
          <w:color w:val="auto"/>
          <w:szCs w:val="24"/>
          <w:lang w:val="es-MX"/>
        </w:rPr>
        <w:t xml:space="preserve">a efecto de </w:t>
      </w:r>
      <w:r w:rsidR="00605CA9" w:rsidRPr="00605CA9">
        <w:rPr>
          <w:rFonts w:ascii="Century Gothic" w:eastAsia="Arial" w:hAnsi="Century Gothic" w:cs="Arial"/>
          <w:color w:val="auto"/>
          <w:szCs w:val="24"/>
          <w:lang w:val="es-MX"/>
        </w:rPr>
        <w:t>reformar los artículos 268 Bis y 279 del Código Civil del Estado de Chihuahua, en materia del otorgamiento de pensión compensatoria, en los casos de disolución del vínculo matrimonial y concubinato, cuando alguna de las partes quede en desventaja económica.</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4E3772CA"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w:t>
      </w:r>
      <w:r w:rsidRPr="00414B59">
        <w:rPr>
          <w:rFonts w:ascii="Century Gothic" w:eastAsia="Arial" w:hAnsi="Century Gothic" w:cs="Arial"/>
          <w:color w:val="auto"/>
          <w:szCs w:val="24"/>
          <w:lang w:val="es-MX"/>
        </w:rPr>
        <w:lastRenderedPageBreak/>
        <w:t xml:space="preserve">Legislativo, el día </w:t>
      </w:r>
      <w:r w:rsidR="00435263">
        <w:rPr>
          <w:rFonts w:ascii="Century Gothic" w:eastAsia="Arial" w:hAnsi="Century Gothic" w:cs="Arial"/>
          <w:color w:val="auto"/>
          <w:szCs w:val="24"/>
          <w:lang w:val="es-MX"/>
        </w:rPr>
        <w:t>21</w:t>
      </w:r>
      <w:r w:rsidR="00E56955" w:rsidRPr="00E56955">
        <w:rPr>
          <w:rFonts w:ascii="Century Gothic" w:eastAsia="Arial" w:hAnsi="Century Gothic" w:cs="Arial"/>
          <w:color w:val="auto"/>
          <w:szCs w:val="24"/>
          <w:lang w:val="es-MX"/>
        </w:rPr>
        <w:t xml:space="preserve"> de </w:t>
      </w:r>
      <w:r w:rsidR="00435263">
        <w:rPr>
          <w:rFonts w:ascii="Century Gothic" w:eastAsia="Arial" w:hAnsi="Century Gothic" w:cs="Arial"/>
          <w:color w:val="auto"/>
          <w:szCs w:val="24"/>
          <w:lang w:val="es-MX"/>
        </w:rPr>
        <w:t>junio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435263">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00435263">
        <w:rPr>
          <w:rFonts w:ascii="Century Gothic" w:eastAsia="Arial" w:hAnsi="Century Gothic" w:cs="Arial"/>
          <w:color w:val="auto"/>
          <w:szCs w:val="24"/>
          <w:lang w:val="es-MX"/>
        </w:rPr>
        <w:t xml:space="preserve"> turnó</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la Iniciativa d</w:t>
      </w:r>
      <w:r w:rsidR="00435263">
        <w:rPr>
          <w:rFonts w:ascii="Century Gothic" w:eastAsia="Arial" w:hAnsi="Century Gothic" w:cs="Arial"/>
          <w:color w:val="auto"/>
          <w:szCs w:val="24"/>
          <w:lang w:val="es-MX"/>
        </w:rPr>
        <w:t>e mérito, a la Comisión de Justicia</w:t>
      </w:r>
      <w:r w:rsidRPr="00414B59">
        <w:rPr>
          <w:rFonts w:ascii="Century Gothic" w:eastAsia="Arial" w:hAnsi="Century Gothic" w:cs="Arial"/>
          <w:color w:val="auto"/>
          <w:szCs w:val="24"/>
          <w:lang w:val="es-MX"/>
        </w:rPr>
        <w:t xml:space="preserve">. </w:t>
      </w:r>
    </w:p>
    <w:p w14:paraId="403B8DCB" w14:textId="77777777" w:rsidR="00435263" w:rsidRDefault="00435263" w:rsidP="009F3B35">
      <w:pPr>
        <w:pStyle w:val="Normal1"/>
        <w:spacing w:line="360" w:lineRule="auto"/>
        <w:contextualSpacing/>
        <w:jc w:val="both"/>
        <w:rPr>
          <w:rFonts w:ascii="Century Gothic" w:eastAsia="Arial" w:hAnsi="Century Gothic" w:cs="Arial"/>
          <w:color w:val="auto"/>
          <w:szCs w:val="24"/>
          <w:lang w:val="es-MX"/>
        </w:rPr>
      </w:pPr>
    </w:p>
    <w:p w14:paraId="49F6F220" w14:textId="6FE65FF0" w:rsidR="00435263" w:rsidRDefault="00435263" w:rsidP="0043526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Ahora bien, l</w:t>
      </w:r>
      <w:r w:rsidRPr="00414B59">
        <w:rPr>
          <w:rFonts w:ascii="Century Gothic" w:eastAsia="Arial" w:hAnsi="Century Gothic" w:cs="Arial"/>
          <w:color w:val="auto"/>
          <w:szCs w:val="24"/>
          <w:lang w:val="es-MX"/>
        </w:rPr>
        <w:t>a Presidencia del H. Congreso del Estado, en uso de las facultades</w:t>
      </w:r>
      <w:r>
        <w:rPr>
          <w:rFonts w:ascii="Century Gothic" w:eastAsia="Arial" w:hAnsi="Century Gothic" w:cs="Arial"/>
          <w:color w:val="auto"/>
          <w:szCs w:val="24"/>
          <w:lang w:val="es-MX"/>
        </w:rPr>
        <w:t xml:space="preserve"> anteriormente invocadas</w:t>
      </w:r>
      <w:r w:rsidRPr="00414B59">
        <w:rPr>
          <w:rFonts w:ascii="Century Gothic" w:eastAsia="Arial" w:hAnsi="Century Gothic" w:cs="Arial"/>
          <w:color w:val="auto"/>
          <w:szCs w:val="24"/>
          <w:lang w:val="es-MX"/>
        </w:rPr>
        <w:t xml:space="preserve">, </w:t>
      </w:r>
      <w:r w:rsidR="0012705B">
        <w:rPr>
          <w:rFonts w:ascii="Century Gothic" w:eastAsia="Arial" w:hAnsi="Century Gothic" w:cs="Arial"/>
          <w:color w:val="auto"/>
          <w:szCs w:val="24"/>
          <w:lang w:val="es-MX"/>
        </w:rPr>
        <w:t>el 1</w:t>
      </w:r>
      <w:r w:rsidR="0080484F" w:rsidRPr="0012705B">
        <w:rPr>
          <w:rFonts w:ascii="Century Gothic" w:eastAsia="Arial" w:hAnsi="Century Gothic" w:cs="Arial"/>
          <w:color w:val="auto"/>
          <w:szCs w:val="24"/>
          <w:lang w:val="es-MX"/>
        </w:rPr>
        <w:t>9 de diciembre de 2023</w:t>
      </w:r>
      <w:r>
        <w:rPr>
          <w:rFonts w:ascii="Century Gothic" w:eastAsia="Arial" w:hAnsi="Century Gothic" w:cs="Arial"/>
          <w:color w:val="auto"/>
          <w:szCs w:val="24"/>
          <w:lang w:val="es-MX"/>
        </w:rPr>
        <w:t xml:space="preserve"> tuvo a bien </w:t>
      </w:r>
      <w:proofErr w:type="spellStart"/>
      <w:r w:rsidR="00986323">
        <w:rPr>
          <w:rFonts w:ascii="Century Gothic" w:eastAsia="Arial" w:hAnsi="Century Gothic" w:cs="Arial"/>
          <w:color w:val="auto"/>
          <w:szCs w:val="24"/>
          <w:lang w:val="es-MX"/>
        </w:rPr>
        <w:t>re</w:t>
      </w:r>
      <w:r>
        <w:rPr>
          <w:rFonts w:ascii="Century Gothic" w:eastAsia="Arial" w:hAnsi="Century Gothic" w:cs="Arial"/>
          <w:color w:val="auto"/>
          <w:szCs w:val="24"/>
          <w:lang w:val="es-MX"/>
        </w:rPr>
        <w:t>turnar</w:t>
      </w:r>
      <w:proofErr w:type="spellEnd"/>
      <w:r>
        <w:rPr>
          <w:rFonts w:ascii="Century Gothic" w:eastAsia="Arial" w:hAnsi="Century Gothic" w:cs="Arial"/>
          <w:color w:val="auto"/>
          <w:szCs w:val="24"/>
          <w:lang w:val="es-MX"/>
        </w:rPr>
        <w:t xml:space="preserve"> a quienes integramos las Comisiones Unidas de Igualdad</w:t>
      </w:r>
      <w:r w:rsidR="00986323">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y de Familia, Asuntos Religiosos y Valores, la</w:t>
      </w:r>
      <w:r w:rsidRPr="00414B59">
        <w:rPr>
          <w:rFonts w:ascii="Century Gothic" w:eastAsia="Arial" w:hAnsi="Century Gothic" w:cs="Arial"/>
          <w:color w:val="auto"/>
          <w:szCs w:val="24"/>
          <w:lang w:val="es-MX"/>
        </w:rPr>
        <w:t xml:space="preserve"> Iniciativa d</w:t>
      </w:r>
      <w:r>
        <w:rPr>
          <w:rFonts w:ascii="Century Gothic" w:eastAsia="Arial" w:hAnsi="Century Gothic" w:cs="Arial"/>
          <w:color w:val="auto"/>
          <w:szCs w:val="24"/>
          <w:lang w:val="es-MX"/>
        </w:rPr>
        <w:t>e mérito, a efecto de proceder a su estudio, análisis y elaboración del correspondiente dictamen</w:t>
      </w:r>
      <w:r w:rsidRPr="00414B59">
        <w:rPr>
          <w:rFonts w:ascii="Century Gothic" w:eastAsia="Arial" w:hAnsi="Century Gothic" w:cs="Arial"/>
          <w:color w:val="auto"/>
          <w:szCs w:val="24"/>
          <w:lang w:val="es-MX"/>
        </w:rPr>
        <w:t xml:space="preserve">.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27B1C169" w14:textId="77777777" w:rsidR="00435263" w:rsidRPr="00435263" w:rsidRDefault="00A30C36" w:rsidP="00435263">
      <w:pPr>
        <w:spacing w:after="0" w:line="240" w:lineRule="auto"/>
        <w:ind w:left="426" w:right="474"/>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435263" w:rsidRPr="00435263">
        <w:rPr>
          <w:rFonts w:ascii="Century Gothic" w:eastAsia="Arial" w:hAnsi="Century Gothic" w:cs="Arial"/>
          <w:i/>
          <w:sz w:val="24"/>
          <w:szCs w:val="24"/>
        </w:rPr>
        <w:t>Antes se decía o se pensaba que el matrimonio era para toda la vida, y en ese sentido lo que ocurría al interior del hogar se quedaba prácticamente como un secreto entre los cónyuges, a menos claro, que las evidencias físicas de la violencia fuera visible a los demás.</w:t>
      </w:r>
    </w:p>
    <w:p w14:paraId="085A62ED"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6955A27F"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Como sabemos el concepto de violencia ha evolucionado mucho hasta nuestros días, a tal grado que a Ley General de Acceso de las Mujeres a una Vida Libre de Violencia definió por primera vez los tipos de violencia en: psicológica, física, económica, patrimonial y sexual, para dejar claro que la violencia no necesariamente produce lesiones físicas. </w:t>
      </w:r>
    </w:p>
    <w:p w14:paraId="0E91DADE"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1547DBAC"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En ese sentido, hoy reconocemos que la violencia física es quizá la cúspide o el iceberg en la escala de violencia, ya que detrás de esta seguramente hay otros tipos de violencia, y una que casi no es conocida, es la violencia económica, la que se vive un gran </w:t>
      </w:r>
      <w:proofErr w:type="spellStart"/>
      <w:r w:rsidRPr="00435263">
        <w:rPr>
          <w:rFonts w:ascii="Century Gothic" w:eastAsia="Arial" w:hAnsi="Century Gothic" w:cs="Arial"/>
          <w:i/>
          <w:sz w:val="24"/>
          <w:szCs w:val="24"/>
        </w:rPr>
        <w:t>numero</w:t>
      </w:r>
      <w:proofErr w:type="spellEnd"/>
      <w:r w:rsidRPr="00435263">
        <w:rPr>
          <w:rFonts w:ascii="Century Gothic" w:eastAsia="Arial" w:hAnsi="Century Gothic" w:cs="Arial"/>
          <w:i/>
          <w:sz w:val="24"/>
          <w:szCs w:val="24"/>
        </w:rPr>
        <w:t xml:space="preserve"> </w:t>
      </w:r>
      <w:r w:rsidRPr="00435263">
        <w:rPr>
          <w:rFonts w:ascii="Century Gothic" w:eastAsia="Arial" w:hAnsi="Century Gothic" w:cs="Arial"/>
          <w:i/>
          <w:sz w:val="24"/>
          <w:szCs w:val="24"/>
        </w:rPr>
        <w:lastRenderedPageBreak/>
        <w:t xml:space="preserve">de mujeres dentro del matrimonio y que se agrava cuando disolviéndose el vínculo matrimonial la mujer, se queda, literalmente, de la noche a la mañana sin pareja, sin hogar, sin trabajo, sin una profesión y por ende sin dinero, ya que durante el tiempo que duró su matrimonio o concubinato se dedicaron preponderantemente al hogar y cuidado de las hijas e hijos. </w:t>
      </w:r>
    </w:p>
    <w:p w14:paraId="0C86360B"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00C320CB"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Según el INEGI, durante 2021, se registraron 149 675 divorcios, lo que representa un incremento de 61.4 % con respecto a 2020. Del total de divorcios, el 10 % se resolvió vía administrativa y 90 % vía judicial.</w:t>
      </w:r>
    </w:p>
    <w:p w14:paraId="13D3EABD"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58CDADEA"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Las entidades que registraron las mayores tasas de divorcios por cada 10 000 habitantes de 18 años o más fueron: Campeche, con 46.6; Sinaloa, con 40.2 y Coahuila de Zaragoza, con 37.4. Chihuahua se ubica en el sexto lugar, con un 31.8%. mientras que Veracruz ocupa el último con un 6.4%, mientras que la media nacional fue de 16.9 %, siendo las principales causas de divorcio a nivel nacional fueron: el divorcio </w:t>
      </w:r>
      <w:proofErr w:type="spellStart"/>
      <w:r w:rsidRPr="00435263">
        <w:rPr>
          <w:rFonts w:ascii="Century Gothic" w:eastAsia="Arial" w:hAnsi="Century Gothic" w:cs="Arial"/>
          <w:i/>
          <w:sz w:val="24"/>
          <w:szCs w:val="24"/>
        </w:rPr>
        <w:t>incausado</w:t>
      </w:r>
      <w:proofErr w:type="spellEnd"/>
      <w:r w:rsidRPr="00435263">
        <w:rPr>
          <w:rFonts w:ascii="Century Gothic" w:eastAsia="Arial" w:hAnsi="Century Gothic" w:cs="Arial"/>
          <w:i/>
          <w:sz w:val="24"/>
          <w:szCs w:val="24"/>
        </w:rPr>
        <w:t>, con 65.9 %, que aquí es el divorcio contencioso, y el mutuo consentimiento, con 32.7 por ciento.</w:t>
      </w:r>
    </w:p>
    <w:p w14:paraId="43E1049D"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6595BD41"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Actualmente la Suprema Corte de Justicia de la Nación ya se ha pronunciado en diferentes sentencias respecto al derechos de las mujeres a recibir una pensión compensatoria o de alimentos a las mujeres que después del matrimonio quedan en desventaja económica respecto de los hombres, ya que todavía es una costumbre muy arraigada en la población mexicana, que la mujer, se queda mayormente al cuidado del hogar y de las hijas e hijos, mientras que el hombre se dedica a buscar el sustento para su familia, por lo que este asume el control económico y en muchas de las ocasiones, ejerce violencia económica contra su familia y particularmente de su esposa.</w:t>
      </w:r>
    </w:p>
    <w:p w14:paraId="2A7ADE77"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3C8A4459"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Esta situación, como ya lo he expresado, se agrava al momento de que se disuelve el vínculo matrimonial, ya que, por lo regular, la mujer </w:t>
      </w:r>
      <w:r w:rsidRPr="00435263">
        <w:rPr>
          <w:rFonts w:ascii="Century Gothic" w:eastAsia="Arial" w:hAnsi="Century Gothic" w:cs="Arial"/>
          <w:i/>
          <w:sz w:val="24"/>
          <w:szCs w:val="24"/>
        </w:rPr>
        <w:lastRenderedPageBreak/>
        <w:t>queda en una desventaja, ya que su calidad o “rol” de madre y esposa le negó la posibilidad de desempeñarse como profesionista y que en última instancia incida negativamente en su capacidad para hacerse de los medios suficientes para sufragar sus necesidades y, consecuentemente, le impida el acceso a un nivel de vida adecuado.</w:t>
      </w:r>
    </w:p>
    <w:p w14:paraId="46B5567E"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1F6CED17"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En ese sentido, la Corte ha definido algunos criterios que se deben tomar en cuenta a la hora de otorgar una pensión compensatoria y que esta se haga con base en una perspectiva de género, que es indispensable tomar en cuenta su carácter resarcitorio y asistencial, porque solo de esta manera se podrá identificar, en un caso concreto, cuáles elementos comprenden el concepto de vida digna del acreedor alimentario. </w:t>
      </w:r>
    </w:p>
    <w:p w14:paraId="35C402C1"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30D04E45"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De acuerdo a lo anterior, el carácter resarcitorio de una pensión compensatoria se refiere a los perjuicios ocasionados por la dedicación al cuidado de los hijos y a las labores del hogar, entendidos como: 1) Las pérdidas económicas derivadas de no haber podido, durante el matrimonio o concubinato, dedicarse uno de los cónyuges o concubinos a una actividad remunerada, o no haber podido desarrollarse en el mercado del trabajo convencional con igual tiempo, intensidad y diligencia que el otro cónyuge; y, 2) Los perjuicios derivados del costo de oportunidad, que se traducen en el impedimento de formación o capacitación profesional o técnica; disminución o impedimento de la inserción en el mercado laboral y la correlativa pérdida de los derechos a la seguridad social, entre otros supuestos. El carácter asistencial de una pensión compensatoria prospera ante: a) la falta de ingresos derivados de una fuente laboral que le permitan subsistir; o, b) la insuficiencia de sus ingresos para satisfacer sus necesidades más apremiantes. Por tanto, se concluye que el monto de la pensión compensatoria debe comprender: la aportación al cónyuge o concubino que benefició a la familia durante el tiempo de duración del matrimonio o </w:t>
      </w:r>
      <w:r w:rsidRPr="00435263">
        <w:rPr>
          <w:rFonts w:ascii="Century Gothic" w:eastAsia="Arial" w:hAnsi="Century Gothic" w:cs="Arial"/>
          <w:i/>
          <w:sz w:val="24"/>
          <w:szCs w:val="24"/>
        </w:rPr>
        <w:lastRenderedPageBreak/>
        <w:t xml:space="preserve">concubinato, el costo de oportunidad por asumir la carga doméstica y/o las necesidades para su subsistencia, así como, en su caso, la precaria situación económica derivada de carecer de fuentes de ingresos o que éstos resultan insuficientes para satisfacer sus necesidades más apremiantes. </w:t>
      </w:r>
    </w:p>
    <w:p w14:paraId="3BAA7DEE"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42576869"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En el caso de nuestro Estado, tenemos regulado en el Artículo 279, la figura de una pensión alimenticia entre cónyuges, haciendo especial énfasis a la que debe otorgar el hombre a la mujer con la que haya vivido como si fuera su esposa durante los últimos 5 años, es decir su concubina, siempre que esta permanezca libre de matrimonio y carezca de bienes propios para proveer su subsistencia, lo que sin lugar a dudas, contempla la forma de garantizar, de alguna forma la subsistencia de la mujer que quede en desventaja económica, pero también lo hace de forma muy limitada, ya que se sujeta solo a ciertos supuestos y estableciendo requisitos que podrían ser considerados como violatorios a los derechos humanos de la mujer.</w:t>
      </w:r>
    </w:p>
    <w:p w14:paraId="16ADE8CF"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2E4D5897" w14:textId="77777777" w:rsidR="00435263" w:rsidRPr="00435263"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Debemos considerar pues, que a la mujer que pasa por una disolución matrimonial o concubinato, no se le puede negar la posibilidad de que reanude una relación o que conforme un patrimonio para que se le pueda otorgar una pensión compensatoria, ya que esta obedece a resarcir el tiempo que ella dedicó a los hijos y al hogar mientras estuvo unida a otra persona, y no debe porque restringirse su actuar o patrimonio después de disuelto el vínculo que la unió a otra persona. </w:t>
      </w:r>
    </w:p>
    <w:p w14:paraId="28C8FC68" w14:textId="77777777" w:rsidR="00435263" w:rsidRDefault="00435263" w:rsidP="00435263">
      <w:pPr>
        <w:spacing w:after="0" w:line="240" w:lineRule="auto"/>
        <w:ind w:left="426" w:right="474"/>
        <w:jc w:val="both"/>
        <w:rPr>
          <w:rFonts w:ascii="Century Gothic" w:eastAsia="Arial" w:hAnsi="Century Gothic" w:cs="Arial"/>
          <w:i/>
          <w:sz w:val="24"/>
          <w:szCs w:val="24"/>
        </w:rPr>
      </w:pPr>
    </w:p>
    <w:p w14:paraId="089DFC5A" w14:textId="0EA7FDEE" w:rsidR="00A30C36" w:rsidRPr="009C7856" w:rsidRDefault="00435263" w:rsidP="00435263">
      <w:pPr>
        <w:spacing w:after="0" w:line="240" w:lineRule="auto"/>
        <w:ind w:left="426" w:right="474"/>
        <w:jc w:val="both"/>
        <w:rPr>
          <w:rFonts w:ascii="Century Gothic" w:eastAsia="Arial" w:hAnsi="Century Gothic" w:cs="Arial"/>
          <w:i/>
          <w:sz w:val="24"/>
          <w:szCs w:val="24"/>
        </w:rPr>
      </w:pPr>
      <w:r w:rsidRPr="00435263">
        <w:rPr>
          <w:rFonts w:ascii="Century Gothic" w:eastAsia="Arial" w:hAnsi="Century Gothic" w:cs="Arial"/>
          <w:i/>
          <w:sz w:val="24"/>
          <w:szCs w:val="24"/>
        </w:rPr>
        <w:t xml:space="preserve">De ahí que vemos necesario reformar el citado Artículo 279, a efecto de que la mujer no pueda verse limitada en ser beneficiada por una pensión compensatoria en los casos de disolución del matrimonio o concubinato, así como el 268 Bis, que la autoridad jurisdiccional deberá resolver con perspectiva de género sobre los bienes con que </w:t>
      </w:r>
      <w:r w:rsidRPr="00435263">
        <w:rPr>
          <w:rFonts w:ascii="Century Gothic" w:eastAsia="Arial" w:hAnsi="Century Gothic" w:cs="Arial"/>
          <w:i/>
          <w:sz w:val="24"/>
          <w:szCs w:val="24"/>
        </w:rPr>
        <w:lastRenderedPageBreak/>
        <w:t>cuenten los cónyuges; la custodia de la descendencia; y las demás circunstan</w:t>
      </w:r>
      <w:r>
        <w:rPr>
          <w:rFonts w:ascii="Century Gothic" w:eastAsia="Arial" w:hAnsi="Century Gothic" w:cs="Arial"/>
          <w:i/>
          <w:sz w:val="24"/>
          <w:szCs w:val="24"/>
        </w:rPr>
        <w:t>cias especiales de cada caso</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33CD348B" w:rsidR="00A30C36" w:rsidRDefault="00A30C36" w:rsidP="00B26A9F">
      <w:pPr>
        <w:spacing w:after="0" w:line="360" w:lineRule="auto"/>
        <w:ind w:right="82"/>
        <w:jc w:val="both"/>
        <w:rPr>
          <w:rFonts w:ascii="Century Gothic" w:eastAsia="Arial" w:hAnsi="Century Gothic" w:cs="Arial"/>
          <w:i/>
          <w:sz w:val="24"/>
          <w:szCs w:val="24"/>
        </w:rPr>
      </w:pPr>
    </w:p>
    <w:p w14:paraId="6265987A" w14:textId="77777777" w:rsidR="00F7345C" w:rsidRPr="00A30C36" w:rsidRDefault="00F7345C" w:rsidP="00B26A9F">
      <w:pPr>
        <w:spacing w:after="0" w:line="360" w:lineRule="auto"/>
        <w:ind w:right="82"/>
        <w:jc w:val="both"/>
        <w:rPr>
          <w:rFonts w:ascii="Century Gothic" w:eastAsia="Arial" w:hAnsi="Century Gothic" w:cs="Arial"/>
          <w:i/>
          <w:sz w:val="24"/>
          <w:szCs w:val="24"/>
        </w:rPr>
      </w:pPr>
    </w:p>
    <w:p w14:paraId="40CDE12B" w14:textId="5B13D5CF"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w:t>
      </w:r>
      <w:r w:rsidR="00986323">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Comisi</w:t>
      </w:r>
      <w:r w:rsidR="00986323">
        <w:rPr>
          <w:rFonts w:ascii="Century Gothic" w:eastAsia="Arial" w:hAnsi="Century Gothic" w:cs="Arial"/>
          <w:color w:val="auto"/>
          <w:szCs w:val="24"/>
          <w:lang w:val="es-MX"/>
        </w:rPr>
        <w:t>ones Unidas de Igualdad, y de Familia, Asuntos Religiosos y Valores</w:t>
      </w:r>
      <w:r w:rsidRPr="00414B59">
        <w:rPr>
          <w:rFonts w:ascii="Century Gothic" w:eastAsia="Arial" w:hAnsi="Century Gothic" w:cs="Arial"/>
          <w:color w:val="auto"/>
          <w:szCs w:val="24"/>
          <w:lang w:val="es-MX"/>
        </w:rPr>
        <w:t>, formulamos las siguientes:</w:t>
      </w:r>
    </w:p>
    <w:p w14:paraId="3543F727" w14:textId="0AA45903"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5DF783A8" w14:textId="77777777" w:rsidR="00FD75F2" w:rsidRPr="00414B59" w:rsidRDefault="00FD75F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B82AD61"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F424AE9" w14:textId="77777777" w:rsidR="00FD75F2" w:rsidRPr="00414B59" w:rsidRDefault="00FD75F2" w:rsidP="00B26A9F">
      <w:pPr>
        <w:pStyle w:val="Normal1"/>
        <w:spacing w:line="360" w:lineRule="auto"/>
        <w:contextualSpacing/>
        <w:jc w:val="center"/>
        <w:rPr>
          <w:rFonts w:ascii="Century Gothic" w:eastAsia="Arial" w:hAnsi="Century Gothic" w:cs="Arial"/>
          <w:color w:val="auto"/>
          <w:szCs w:val="24"/>
          <w:lang w:val="es-MX"/>
        </w:rPr>
      </w:pPr>
    </w:p>
    <w:p w14:paraId="0E833712" w14:textId="089D12E0"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través de esta</w:t>
      </w:r>
      <w:r w:rsidR="009554EF">
        <w:rPr>
          <w:rFonts w:ascii="Century Gothic" w:eastAsia="Arial" w:hAnsi="Century Gothic" w:cs="Arial"/>
          <w:szCs w:val="24"/>
        </w:rPr>
        <w:t>s Comisiones</w:t>
      </w:r>
      <w:r w:rsidR="00A23D2B" w:rsidRPr="002D67A7">
        <w:rPr>
          <w:rFonts w:ascii="Century Gothic" w:eastAsia="Arial" w:hAnsi="Century Gothic" w:cs="Arial"/>
          <w:szCs w:val="24"/>
        </w:rPr>
        <w:t xml:space="preserve">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w:t>
      </w:r>
      <w:r w:rsidR="00986323">
        <w:rPr>
          <w:rFonts w:ascii="Century Gothic" w:eastAsia="Arial" w:hAnsi="Century Gothic" w:cs="Arial"/>
          <w:szCs w:val="24"/>
        </w:rPr>
        <w:t>somos</w:t>
      </w:r>
      <w:r w:rsidR="00A23D2B" w:rsidRPr="0090301A">
        <w:rPr>
          <w:rFonts w:ascii="Century Gothic" w:eastAsia="Arial" w:hAnsi="Century Gothic" w:cs="Arial"/>
          <w:szCs w:val="24"/>
        </w:rPr>
        <w:t xml:space="preserve"> competente</w:t>
      </w:r>
      <w:r w:rsidR="00986323">
        <w:rPr>
          <w:rFonts w:ascii="Century Gothic" w:eastAsia="Arial" w:hAnsi="Century Gothic" w:cs="Arial"/>
          <w:szCs w:val="24"/>
        </w:rPr>
        <w:t>s</w:t>
      </w:r>
      <w:r w:rsidR="00A23D2B" w:rsidRPr="0090301A">
        <w:rPr>
          <w:rFonts w:ascii="Century Gothic" w:eastAsia="Arial" w:hAnsi="Century Gothic" w:cs="Arial"/>
          <w:szCs w:val="24"/>
        </w:rPr>
        <w:t xml:space="preserv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564FF0C3"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pretende</w:t>
      </w:r>
      <w:r w:rsidR="0047702D">
        <w:rPr>
          <w:rFonts w:ascii="Century Gothic" w:eastAsia="Arial" w:hAnsi="Century Gothic" w:cs="Arial"/>
          <w:szCs w:val="24"/>
          <w:lang w:val="es-MX"/>
        </w:rPr>
        <w:t xml:space="preserve"> </w:t>
      </w:r>
      <w:r w:rsidR="0047702D" w:rsidRPr="0047702D">
        <w:rPr>
          <w:rFonts w:ascii="Century Gothic" w:eastAsia="Arial" w:hAnsi="Century Gothic" w:cs="Arial"/>
          <w:szCs w:val="24"/>
          <w:lang w:val="es-MX"/>
        </w:rPr>
        <w:t>reformar el Código Civil del Estado de Chihuahua, en materia del otorgamiento de pensión compensatoria</w:t>
      </w:r>
      <w:r w:rsidR="00AF7362" w:rsidRPr="00AF7362">
        <w:rPr>
          <w:rFonts w:ascii="Century Gothic" w:eastAsia="Arial" w:hAnsi="Century Gothic" w:cs="Arial"/>
          <w:szCs w:val="24"/>
          <w:lang w:val="es-MX"/>
        </w:rPr>
        <w:t>.</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18F99107" w14:textId="5F480007" w:rsidR="00FE6576" w:rsidRPr="008C3628" w:rsidRDefault="001E0785" w:rsidP="008C3628">
      <w:pPr>
        <w:pStyle w:val="Normal1"/>
        <w:spacing w:line="360" w:lineRule="auto"/>
        <w:contextualSpacing/>
        <w:jc w:val="both"/>
        <w:rPr>
          <w:rFonts w:ascii="Century Gothic" w:eastAsia="Arial" w:hAnsi="Century Gothic" w:cs="Arial"/>
          <w:i/>
          <w:iCs/>
          <w:color w:val="auto"/>
          <w:szCs w:val="24"/>
          <w:lang w:val="es-MX"/>
        </w:rPr>
      </w:pPr>
      <w:bookmarkStart w:id="0" w:name="_Hlk161740514"/>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5C7E8C">
        <w:rPr>
          <w:rFonts w:ascii="Century Gothic" w:eastAsia="Arial" w:hAnsi="Century Gothic" w:cs="Arial"/>
          <w:color w:val="auto"/>
          <w:szCs w:val="24"/>
          <w:lang w:val="es-MX"/>
        </w:rPr>
        <w:t xml:space="preserve">es </w:t>
      </w:r>
      <w:r w:rsidR="00FE6576">
        <w:rPr>
          <w:rFonts w:ascii="Century Gothic" w:eastAsia="Arial" w:hAnsi="Century Gothic" w:cs="Arial"/>
          <w:color w:val="auto"/>
          <w:szCs w:val="24"/>
          <w:lang w:val="es-MX"/>
        </w:rPr>
        <w:t xml:space="preserve">necesario atender al contenido de la </w:t>
      </w:r>
      <w:r w:rsidR="00FE6576" w:rsidRPr="00FE6576">
        <w:rPr>
          <w:rFonts w:ascii="Century Gothic" w:eastAsia="Arial" w:hAnsi="Century Gothic" w:cs="Arial"/>
          <w:b/>
          <w:bCs/>
          <w:color w:val="auto"/>
          <w:szCs w:val="24"/>
          <w:lang w:val="es-MX"/>
        </w:rPr>
        <w:t>Declaración Universal de Derechos Humanos</w:t>
      </w:r>
      <w:r w:rsidR="00FE6576">
        <w:rPr>
          <w:rStyle w:val="Refdenotaalpie"/>
          <w:rFonts w:ascii="Century Gothic" w:eastAsia="Arial" w:hAnsi="Century Gothic" w:cs="Arial"/>
          <w:b/>
          <w:bCs/>
          <w:color w:val="auto"/>
          <w:szCs w:val="24"/>
          <w:lang w:val="es-MX"/>
        </w:rPr>
        <w:footnoteReference w:id="1"/>
      </w:r>
      <w:r w:rsidR="00FE6576">
        <w:rPr>
          <w:rFonts w:ascii="Century Gothic" w:eastAsia="Arial" w:hAnsi="Century Gothic" w:cs="Arial"/>
          <w:b/>
          <w:bCs/>
          <w:color w:val="auto"/>
          <w:szCs w:val="24"/>
          <w:lang w:val="es-MX"/>
        </w:rPr>
        <w:t xml:space="preserve">, </w:t>
      </w:r>
      <w:r w:rsidR="00FE6576" w:rsidRPr="00FE6576">
        <w:rPr>
          <w:rFonts w:ascii="Century Gothic" w:eastAsia="Arial" w:hAnsi="Century Gothic" w:cs="Arial"/>
          <w:color w:val="auto"/>
          <w:szCs w:val="24"/>
          <w:lang w:val="es-MX"/>
        </w:rPr>
        <w:lastRenderedPageBreak/>
        <w:t xml:space="preserve">misma </w:t>
      </w:r>
      <w:r w:rsidR="00FE6576">
        <w:rPr>
          <w:rFonts w:ascii="Century Gothic" w:eastAsia="Arial" w:hAnsi="Century Gothic" w:cs="Arial"/>
          <w:color w:val="auto"/>
          <w:szCs w:val="24"/>
          <w:lang w:val="es-MX"/>
        </w:rPr>
        <w:t xml:space="preserve">que en su artículo </w:t>
      </w:r>
      <w:r w:rsidR="008C3628">
        <w:rPr>
          <w:rFonts w:ascii="Century Gothic" w:eastAsia="Arial" w:hAnsi="Century Gothic" w:cs="Arial"/>
          <w:color w:val="auto"/>
          <w:szCs w:val="24"/>
          <w:lang w:val="es-MX"/>
        </w:rPr>
        <w:t>16</w:t>
      </w:r>
      <w:r w:rsidR="00FE6576">
        <w:rPr>
          <w:rFonts w:ascii="Century Gothic" w:eastAsia="Arial" w:hAnsi="Century Gothic" w:cs="Arial"/>
          <w:color w:val="auto"/>
          <w:szCs w:val="24"/>
          <w:lang w:val="es-MX"/>
        </w:rPr>
        <w:t>, señala que “</w:t>
      </w:r>
      <w:r w:rsidR="008C3628" w:rsidRPr="008C3628">
        <w:rPr>
          <w:rFonts w:ascii="Century Gothic" w:eastAsia="Arial" w:hAnsi="Century Gothic" w:cs="Arial"/>
          <w:i/>
          <w:iCs/>
          <w:color w:val="auto"/>
          <w:szCs w:val="24"/>
          <w:lang w:val="es-MX"/>
        </w:rPr>
        <w:t>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r w:rsidR="00FE6576" w:rsidRPr="008C3628">
        <w:rPr>
          <w:rFonts w:ascii="Century Gothic" w:eastAsia="Arial" w:hAnsi="Century Gothic" w:cs="Arial"/>
          <w:i/>
          <w:iCs/>
          <w:color w:val="auto"/>
          <w:szCs w:val="24"/>
          <w:lang w:val="es-MX"/>
        </w:rPr>
        <w:t>.”</w:t>
      </w:r>
    </w:p>
    <w:p w14:paraId="06639548" w14:textId="1952AABA" w:rsidR="00FE6576" w:rsidRDefault="00FE6576" w:rsidP="009D018B">
      <w:pPr>
        <w:pStyle w:val="Normal1"/>
        <w:spacing w:line="360" w:lineRule="auto"/>
        <w:contextualSpacing/>
        <w:jc w:val="both"/>
        <w:rPr>
          <w:rFonts w:ascii="Century Gothic" w:eastAsia="Arial" w:hAnsi="Century Gothic" w:cs="Arial"/>
          <w:color w:val="auto"/>
          <w:szCs w:val="24"/>
          <w:lang w:val="es-MX"/>
        </w:rPr>
      </w:pPr>
    </w:p>
    <w:p w14:paraId="136C6E86" w14:textId="790B9EAC" w:rsidR="006D395C" w:rsidRDefault="006D395C" w:rsidP="009D018B">
      <w:pPr>
        <w:pStyle w:val="Normal1"/>
        <w:spacing w:line="360" w:lineRule="auto"/>
        <w:contextualSpacing/>
        <w:jc w:val="both"/>
        <w:rPr>
          <w:rFonts w:ascii="Century Gothic" w:hAnsi="Century Gothic" w:cs="Arial"/>
          <w:i/>
          <w:iCs/>
          <w:szCs w:val="24"/>
        </w:rPr>
      </w:pPr>
      <w:r w:rsidRPr="0075291A">
        <w:rPr>
          <w:rFonts w:ascii="Century Gothic" w:hAnsi="Century Gothic" w:cs="Arial"/>
          <w:szCs w:val="24"/>
        </w:rPr>
        <w:t xml:space="preserve">En ese sentido, el </w:t>
      </w:r>
      <w:r w:rsidRPr="0075291A">
        <w:rPr>
          <w:rFonts w:ascii="Century Gothic" w:hAnsi="Century Gothic" w:cs="Arial"/>
          <w:b/>
          <w:szCs w:val="24"/>
        </w:rPr>
        <w:t>Pacto Internacional de Derechos Civiles y Políticos</w:t>
      </w:r>
      <w:r w:rsidRPr="0075291A">
        <w:rPr>
          <w:rStyle w:val="Refdenotaalpie"/>
          <w:rFonts w:ascii="Century Gothic" w:hAnsi="Century Gothic" w:cs="Arial"/>
          <w:szCs w:val="24"/>
        </w:rPr>
        <w:footnoteReference w:id="2"/>
      </w:r>
      <w:r w:rsidRPr="0075291A">
        <w:rPr>
          <w:rFonts w:ascii="Century Gothic" w:hAnsi="Century Gothic" w:cs="Arial"/>
          <w:szCs w:val="24"/>
        </w:rPr>
        <w:t xml:space="preserve"> establece que los Estados Partes </w:t>
      </w:r>
      <w:r>
        <w:rPr>
          <w:rFonts w:ascii="Century Gothic" w:hAnsi="Century Gothic" w:cs="Arial"/>
          <w:szCs w:val="24"/>
        </w:rPr>
        <w:t>reconocen que:</w:t>
      </w:r>
      <w:r w:rsidRPr="0075291A">
        <w:rPr>
          <w:rFonts w:ascii="Century Gothic" w:hAnsi="Century Gothic" w:cs="Arial"/>
          <w:szCs w:val="24"/>
        </w:rPr>
        <w:t xml:space="preserve"> “</w:t>
      </w:r>
      <w:r w:rsidRPr="006D395C">
        <w:rPr>
          <w:rFonts w:ascii="Century Gothic" w:hAnsi="Century Gothic" w:cs="Arial"/>
          <w:i/>
          <w:iCs/>
          <w:szCs w:val="24"/>
        </w:rPr>
        <w:t>Se debe conceder a la familia, que es el elemento natural y fundamental de la sociedad, la más amplia protección y asistencia posibles, especialmente para su constitución y mientras sea responsable del cuidado y la educación de los hijos a su cargo.”</w:t>
      </w:r>
    </w:p>
    <w:p w14:paraId="44CD866E" w14:textId="1BAB0D05" w:rsidR="006D395C" w:rsidRDefault="006D395C" w:rsidP="009D018B">
      <w:pPr>
        <w:pStyle w:val="Normal1"/>
        <w:spacing w:line="360" w:lineRule="auto"/>
        <w:contextualSpacing/>
        <w:jc w:val="both"/>
        <w:rPr>
          <w:rFonts w:ascii="Century Gothic" w:hAnsi="Century Gothic" w:cs="Arial"/>
          <w:i/>
          <w:iCs/>
          <w:szCs w:val="24"/>
        </w:rPr>
      </w:pPr>
    </w:p>
    <w:p w14:paraId="0C1F313E" w14:textId="1B0125D0" w:rsidR="006D395C" w:rsidRDefault="006D395C" w:rsidP="006D395C">
      <w:pPr>
        <w:pStyle w:val="Normal1"/>
        <w:spacing w:line="360" w:lineRule="auto"/>
        <w:contextualSpacing/>
        <w:jc w:val="both"/>
        <w:rPr>
          <w:rFonts w:ascii="Century Gothic" w:hAnsi="Century Gothic" w:cs="Arial"/>
          <w:i/>
          <w:iCs/>
          <w:szCs w:val="24"/>
        </w:rPr>
      </w:pPr>
      <w:r>
        <w:rPr>
          <w:rFonts w:ascii="Century Gothic" w:hAnsi="Century Gothic" w:cs="Arial"/>
          <w:szCs w:val="24"/>
        </w:rPr>
        <w:t xml:space="preserve">Por su parte, la </w:t>
      </w:r>
      <w:r w:rsidRPr="006D395C">
        <w:rPr>
          <w:rFonts w:ascii="Century Gothic" w:hAnsi="Century Gothic" w:cs="Arial"/>
          <w:b/>
          <w:bCs/>
          <w:szCs w:val="24"/>
        </w:rPr>
        <w:t>Convención Americana sobre Derechos Humanos (Pacto de San José)</w:t>
      </w:r>
      <w:r>
        <w:rPr>
          <w:rStyle w:val="Refdenotaalpie"/>
          <w:rFonts w:ascii="Century Gothic" w:hAnsi="Century Gothic" w:cs="Arial"/>
          <w:szCs w:val="24"/>
        </w:rPr>
        <w:footnoteReference w:id="3"/>
      </w:r>
      <w:r>
        <w:rPr>
          <w:rFonts w:ascii="Century Gothic" w:hAnsi="Century Gothic" w:cs="Arial"/>
          <w:szCs w:val="24"/>
        </w:rPr>
        <w:t xml:space="preserve"> al referirse a la protección a la familia, señala: </w:t>
      </w:r>
      <w:r w:rsidRPr="006D395C">
        <w:rPr>
          <w:rFonts w:ascii="Century Gothic" w:hAnsi="Century Gothic" w:cs="Arial"/>
          <w:i/>
          <w:iCs/>
          <w:szCs w:val="24"/>
        </w:rPr>
        <w:t xml:space="preserve">“Los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w:t>
      </w:r>
      <w:r w:rsidRPr="006D395C">
        <w:rPr>
          <w:rFonts w:ascii="Century Gothic" w:hAnsi="Century Gothic" w:cs="Arial"/>
          <w:i/>
          <w:iCs/>
          <w:szCs w:val="24"/>
        </w:rPr>
        <w:lastRenderedPageBreak/>
        <w:t>protección necesaria a los hijos, sobre la base única del interés y conveniencia de ellos.”</w:t>
      </w:r>
    </w:p>
    <w:p w14:paraId="02E1ED78" w14:textId="77777777" w:rsidR="00137AB8" w:rsidRDefault="00137AB8" w:rsidP="00137AB8">
      <w:pPr>
        <w:spacing w:after="0" w:line="360" w:lineRule="auto"/>
        <w:jc w:val="both"/>
        <w:rPr>
          <w:rFonts w:ascii="Century Gothic" w:hAnsi="Century Gothic" w:cs="Arial"/>
          <w:szCs w:val="24"/>
        </w:rPr>
      </w:pPr>
    </w:p>
    <w:p w14:paraId="39A4E6E8" w14:textId="77777777" w:rsidR="005B037A" w:rsidRPr="005B037A" w:rsidRDefault="00137AB8" w:rsidP="005B037A">
      <w:pPr>
        <w:spacing w:after="0" w:line="360" w:lineRule="auto"/>
        <w:jc w:val="both"/>
        <w:rPr>
          <w:rFonts w:ascii="Century Gothic" w:hAnsi="Century Gothic" w:cs="Arial"/>
          <w:sz w:val="24"/>
          <w:szCs w:val="24"/>
        </w:rPr>
      </w:pPr>
      <w:r>
        <w:rPr>
          <w:rFonts w:ascii="Century Gothic" w:hAnsi="Century Gothic" w:cs="Arial"/>
          <w:szCs w:val="24"/>
        </w:rPr>
        <w:t xml:space="preserve">No omitimos citar </w:t>
      </w:r>
      <w:r w:rsidRPr="0075291A">
        <w:rPr>
          <w:rFonts w:ascii="Century Gothic" w:hAnsi="Century Gothic" w:cs="Arial"/>
          <w:sz w:val="24"/>
          <w:szCs w:val="24"/>
        </w:rPr>
        <w:t xml:space="preserve">la </w:t>
      </w:r>
      <w:r w:rsidRPr="0075291A">
        <w:rPr>
          <w:rFonts w:ascii="Century Gothic" w:hAnsi="Century Gothic" w:cs="Arial"/>
          <w:b/>
          <w:sz w:val="24"/>
          <w:szCs w:val="24"/>
        </w:rPr>
        <w:t>Convención sobre la Eliminación de Todas las Formas de Discriminación contra la Mujer (CEDAW)</w:t>
      </w:r>
      <w:r w:rsidRPr="0075291A">
        <w:rPr>
          <w:rStyle w:val="Refdenotaalpie"/>
          <w:rFonts w:ascii="Century Gothic" w:hAnsi="Century Gothic" w:cs="Arial"/>
          <w:sz w:val="24"/>
          <w:szCs w:val="24"/>
        </w:rPr>
        <w:footnoteReference w:id="4"/>
      </w:r>
      <w:r w:rsidRPr="0075291A">
        <w:rPr>
          <w:rFonts w:ascii="Century Gothic" w:hAnsi="Century Gothic" w:cs="Arial"/>
          <w:sz w:val="24"/>
          <w:szCs w:val="24"/>
        </w:rPr>
        <w:t xml:space="preserve"> </w:t>
      </w:r>
      <w:r>
        <w:rPr>
          <w:rFonts w:ascii="Century Gothic" w:hAnsi="Century Gothic" w:cs="Arial"/>
          <w:sz w:val="24"/>
          <w:szCs w:val="24"/>
        </w:rPr>
        <w:t xml:space="preserve">la cual </w:t>
      </w:r>
      <w:r w:rsidR="005B037A">
        <w:rPr>
          <w:rFonts w:ascii="Century Gothic" w:hAnsi="Century Gothic" w:cs="Arial"/>
          <w:sz w:val="24"/>
          <w:szCs w:val="24"/>
        </w:rPr>
        <w:t xml:space="preserve">en su artículo 2, </w:t>
      </w:r>
      <w:r w:rsidR="005B037A" w:rsidRPr="005B037A">
        <w:rPr>
          <w:rFonts w:ascii="Century Gothic" w:hAnsi="Century Gothic" w:cs="Arial"/>
          <w:sz w:val="24"/>
          <w:szCs w:val="24"/>
        </w:rPr>
        <w:t>señala:</w:t>
      </w:r>
    </w:p>
    <w:p w14:paraId="063B1E90" w14:textId="3ED4FB56" w:rsidR="005B037A" w:rsidRPr="00914B68" w:rsidRDefault="005B037A" w:rsidP="005B037A">
      <w:pPr>
        <w:spacing w:after="0" w:line="360" w:lineRule="auto"/>
        <w:ind w:left="709" w:right="616"/>
        <w:jc w:val="both"/>
        <w:rPr>
          <w:rFonts w:ascii="Century Gothic" w:hAnsi="Century Gothic" w:cs="Arial"/>
          <w:i/>
          <w:iCs/>
          <w:sz w:val="24"/>
          <w:szCs w:val="24"/>
        </w:rPr>
      </w:pPr>
      <w:r w:rsidRPr="00914B68">
        <w:rPr>
          <w:rFonts w:ascii="Century Gothic" w:hAnsi="Century Gothic" w:cs="Arial"/>
          <w:i/>
          <w:iCs/>
          <w:sz w:val="24"/>
          <w:szCs w:val="24"/>
        </w:rPr>
        <w:t>“</w:t>
      </w:r>
      <w:r w:rsidRPr="00914B68">
        <w:rPr>
          <w:rFonts w:ascii="Century Gothic" w:hAnsi="Century Gothic" w:cs="Arial"/>
          <w:b/>
          <w:bCs/>
          <w:i/>
          <w:iCs/>
          <w:sz w:val="24"/>
          <w:szCs w:val="24"/>
        </w:rPr>
        <w:t>Artículo 2</w:t>
      </w:r>
    </w:p>
    <w:p w14:paraId="3A43BF64" w14:textId="77777777" w:rsidR="005B037A" w:rsidRPr="00914B68" w:rsidRDefault="005B037A" w:rsidP="005B037A">
      <w:pPr>
        <w:spacing w:after="0" w:line="360" w:lineRule="auto"/>
        <w:ind w:left="709" w:right="616"/>
        <w:jc w:val="both"/>
        <w:rPr>
          <w:rFonts w:ascii="Century Gothic" w:hAnsi="Century Gothic" w:cs="Arial"/>
          <w:i/>
          <w:iCs/>
          <w:sz w:val="24"/>
          <w:szCs w:val="24"/>
        </w:rPr>
      </w:pPr>
      <w:r w:rsidRPr="00914B68">
        <w:rPr>
          <w:rFonts w:ascii="Century Gothic" w:hAnsi="Century Gothic" w:cs="Arial"/>
          <w:i/>
          <w:iCs/>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14:paraId="54122ED3" w14:textId="4E34F821" w:rsidR="005B037A" w:rsidRPr="00914B68" w:rsidRDefault="005B037A" w:rsidP="005B037A">
      <w:pPr>
        <w:spacing w:after="0" w:line="360" w:lineRule="auto"/>
        <w:ind w:left="709" w:right="616"/>
        <w:jc w:val="both"/>
        <w:rPr>
          <w:rFonts w:ascii="Century Gothic" w:hAnsi="Century Gothic" w:cs="Arial"/>
          <w:i/>
          <w:iCs/>
          <w:sz w:val="24"/>
          <w:szCs w:val="24"/>
        </w:rPr>
      </w:pPr>
    </w:p>
    <w:p w14:paraId="589B4A24" w14:textId="77777777" w:rsidR="005B037A" w:rsidRPr="00914B68" w:rsidRDefault="005B037A" w:rsidP="005B037A">
      <w:pPr>
        <w:spacing w:after="0" w:line="360" w:lineRule="auto"/>
        <w:ind w:left="709" w:right="616"/>
        <w:jc w:val="both"/>
        <w:rPr>
          <w:rFonts w:ascii="Century Gothic" w:hAnsi="Century Gothic" w:cs="Arial"/>
          <w:i/>
          <w:iCs/>
          <w:sz w:val="24"/>
          <w:szCs w:val="24"/>
        </w:rPr>
      </w:pPr>
      <w:r w:rsidRPr="00914B68">
        <w:rPr>
          <w:rFonts w:ascii="Century Gothic" w:hAnsi="Century Gothic" w:cs="Arial"/>
          <w:i/>
          <w:iCs/>
          <w:sz w:val="24"/>
          <w:szCs w:val="24"/>
        </w:rP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14:paraId="587819B9" w14:textId="20928D11" w:rsidR="005B037A" w:rsidRPr="00914B68" w:rsidRDefault="005B037A" w:rsidP="005B037A">
      <w:pPr>
        <w:spacing w:after="0" w:line="360" w:lineRule="auto"/>
        <w:ind w:left="709" w:right="616"/>
        <w:jc w:val="both"/>
        <w:rPr>
          <w:rFonts w:ascii="Century Gothic" w:hAnsi="Century Gothic" w:cs="Arial"/>
          <w:i/>
          <w:iCs/>
          <w:sz w:val="24"/>
          <w:szCs w:val="24"/>
        </w:rPr>
      </w:pPr>
    </w:p>
    <w:p w14:paraId="00AA015D" w14:textId="026E7BA3" w:rsidR="005B037A" w:rsidRPr="00914B68" w:rsidRDefault="005B037A" w:rsidP="005B037A">
      <w:pPr>
        <w:spacing w:after="0" w:line="360" w:lineRule="auto"/>
        <w:ind w:left="709" w:right="616"/>
        <w:jc w:val="both"/>
        <w:rPr>
          <w:rFonts w:ascii="Century Gothic" w:hAnsi="Century Gothic" w:cs="Arial"/>
          <w:i/>
          <w:iCs/>
          <w:sz w:val="24"/>
          <w:szCs w:val="24"/>
        </w:rPr>
      </w:pPr>
      <w:r w:rsidRPr="00914B68">
        <w:rPr>
          <w:rFonts w:ascii="Century Gothic" w:hAnsi="Century Gothic" w:cs="Arial"/>
          <w:i/>
          <w:iCs/>
          <w:sz w:val="24"/>
          <w:szCs w:val="24"/>
        </w:rPr>
        <w:lastRenderedPageBreak/>
        <w:t>f) Adoptar todas las medidas adecuadas, incluso de carácter legislativo, para modificar o derogar leyes, reglamentos, usos y prácticas que constituyan discriminación contra la mujer;”</w:t>
      </w:r>
    </w:p>
    <w:p w14:paraId="2FA6AD94" w14:textId="77777777" w:rsidR="005B037A" w:rsidRDefault="005B037A" w:rsidP="003E123A">
      <w:pPr>
        <w:spacing w:after="0" w:line="360" w:lineRule="auto"/>
        <w:jc w:val="both"/>
        <w:rPr>
          <w:rFonts w:ascii="Century Gothic" w:hAnsi="Century Gothic" w:cs="Arial"/>
          <w:sz w:val="24"/>
          <w:szCs w:val="24"/>
        </w:rPr>
      </w:pPr>
    </w:p>
    <w:p w14:paraId="093A72B5" w14:textId="4163058C" w:rsidR="00137AB8" w:rsidRDefault="005B037A" w:rsidP="003E123A">
      <w:pPr>
        <w:spacing w:after="0" w:line="360" w:lineRule="auto"/>
        <w:jc w:val="both"/>
        <w:rPr>
          <w:rFonts w:ascii="Century Gothic" w:hAnsi="Century Gothic" w:cs="Arial"/>
          <w:i/>
          <w:iCs/>
          <w:sz w:val="24"/>
          <w:szCs w:val="24"/>
        </w:rPr>
      </w:pPr>
      <w:r>
        <w:rPr>
          <w:rFonts w:ascii="Century Gothic" w:hAnsi="Century Gothic" w:cs="Arial"/>
          <w:sz w:val="24"/>
          <w:szCs w:val="24"/>
        </w:rPr>
        <w:t xml:space="preserve">De igual manera, en su artículo 16, </w:t>
      </w:r>
      <w:r w:rsidR="00137AB8">
        <w:rPr>
          <w:rFonts w:ascii="Century Gothic" w:hAnsi="Century Gothic" w:cs="Arial"/>
          <w:sz w:val="24"/>
          <w:szCs w:val="24"/>
        </w:rPr>
        <w:t>enuncia la obligación de los Estados Partes de adoptar</w:t>
      </w:r>
      <w:r w:rsidR="003E123A">
        <w:rPr>
          <w:rFonts w:ascii="Century Gothic" w:hAnsi="Century Gothic" w:cs="Arial"/>
          <w:sz w:val="24"/>
          <w:szCs w:val="24"/>
        </w:rPr>
        <w:t xml:space="preserve">: </w:t>
      </w:r>
      <w:r w:rsidR="003E123A" w:rsidRPr="003E123A">
        <w:rPr>
          <w:rFonts w:ascii="Century Gothic" w:hAnsi="Century Gothic" w:cs="Arial"/>
          <w:i/>
          <w:iCs/>
          <w:sz w:val="24"/>
          <w:szCs w:val="24"/>
        </w:rPr>
        <w:t>“</w:t>
      </w:r>
      <w:r w:rsidR="00137AB8" w:rsidRPr="003E123A">
        <w:rPr>
          <w:rFonts w:ascii="Century Gothic" w:hAnsi="Century Gothic" w:cs="Arial"/>
          <w:i/>
          <w:iCs/>
          <w:sz w:val="24"/>
          <w:szCs w:val="24"/>
        </w:rPr>
        <w:t>todas las medidas adecuadas para eliminar la discriminación contra la mujer en todos los asuntos relacionados con el matrimonio y las relaciones familiares y, en particular, asegurarán en condiciones de igualdad entre hombres y mujeres:</w:t>
      </w:r>
    </w:p>
    <w:p w14:paraId="2FC7E2DB" w14:textId="2256BE5B" w:rsidR="003E123A" w:rsidRDefault="003E123A" w:rsidP="003E123A">
      <w:pPr>
        <w:spacing w:after="0" w:line="360" w:lineRule="auto"/>
        <w:jc w:val="both"/>
        <w:rPr>
          <w:rFonts w:ascii="Century Gothic" w:hAnsi="Century Gothic" w:cs="Arial"/>
          <w:i/>
          <w:iCs/>
          <w:sz w:val="24"/>
          <w:szCs w:val="24"/>
        </w:rPr>
      </w:pPr>
    </w:p>
    <w:p w14:paraId="74D177E1" w14:textId="7B601116" w:rsidR="003E123A" w:rsidRDefault="003E123A" w:rsidP="003E123A">
      <w:pPr>
        <w:spacing w:after="0" w:line="360" w:lineRule="auto"/>
        <w:ind w:left="709" w:right="616"/>
        <w:jc w:val="both"/>
        <w:rPr>
          <w:rFonts w:ascii="Century Gothic" w:hAnsi="Century Gothic" w:cs="Arial"/>
          <w:i/>
          <w:iCs/>
          <w:sz w:val="24"/>
          <w:szCs w:val="24"/>
        </w:rPr>
      </w:pPr>
      <w:r w:rsidRPr="003E123A">
        <w:rPr>
          <w:rFonts w:ascii="Century Gothic" w:hAnsi="Century Gothic" w:cs="Arial"/>
          <w:i/>
          <w:iCs/>
          <w:sz w:val="24"/>
          <w:szCs w:val="24"/>
        </w:rPr>
        <w:t>c) Los mismos derechos y responsabilidades durante el matrimonio y con ocasión de su disolución;</w:t>
      </w:r>
    </w:p>
    <w:p w14:paraId="2F7C839C" w14:textId="56D1D302" w:rsidR="003E123A" w:rsidRDefault="003E123A" w:rsidP="003E123A">
      <w:pPr>
        <w:spacing w:after="0" w:line="360" w:lineRule="auto"/>
        <w:ind w:left="709" w:right="616"/>
        <w:jc w:val="both"/>
        <w:rPr>
          <w:rFonts w:ascii="Century Gothic" w:hAnsi="Century Gothic" w:cs="Arial"/>
          <w:i/>
          <w:iCs/>
          <w:sz w:val="24"/>
          <w:szCs w:val="24"/>
        </w:rPr>
      </w:pPr>
    </w:p>
    <w:p w14:paraId="4A98DDAD" w14:textId="12AA30C9" w:rsidR="003E123A" w:rsidRPr="003E123A" w:rsidRDefault="003E123A" w:rsidP="003E123A">
      <w:pPr>
        <w:spacing w:after="0" w:line="360" w:lineRule="auto"/>
        <w:ind w:left="709" w:right="616"/>
        <w:jc w:val="both"/>
        <w:rPr>
          <w:rFonts w:ascii="Century Gothic" w:hAnsi="Century Gothic" w:cs="Arial"/>
          <w:i/>
          <w:iCs/>
          <w:sz w:val="24"/>
          <w:szCs w:val="24"/>
        </w:rPr>
      </w:pPr>
      <w:r w:rsidRPr="003E123A">
        <w:rPr>
          <w:rFonts w:ascii="Century Gothic" w:hAnsi="Century Gothic" w:cs="Arial"/>
          <w:i/>
          <w:iCs/>
          <w:sz w:val="24"/>
          <w:szCs w:val="24"/>
        </w:rPr>
        <w:t>h) Los mismos derechos a cada uno de los cónyuges en materia de propiedad, compras, gestión, administración, goce y disposición de los bienes, tanto a título gratuito como oneroso.</w:t>
      </w:r>
      <w:r>
        <w:rPr>
          <w:rFonts w:ascii="Century Gothic" w:hAnsi="Century Gothic" w:cs="Arial"/>
          <w:i/>
          <w:iCs/>
          <w:sz w:val="24"/>
          <w:szCs w:val="24"/>
        </w:rPr>
        <w:t>”</w:t>
      </w:r>
    </w:p>
    <w:bookmarkEnd w:id="0"/>
    <w:p w14:paraId="769328B4" w14:textId="77777777" w:rsidR="00783F23" w:rsidRPr="00783F23" w:rsidRDefault="00783F23" w:rsidP="00783F23">
      <w:pPr>
        <w:pStyle w:val="Normal1"/>
        <w:spacing w:line="360" w:lineRule="auto"/>
        <w:contextualSpacing/>
        <w:jc w:val="both"/>
        <w:rPr>
          <w:rFonts w:ascii="Century Gothic" w:eastAsia="Arial" w:hAnsi="Century Gothic" w:cs="Arial"/>
          <w:color w:val="auto"/>
          <w:szCs w:val="24"/>
          <w:lang w:val="es-MX"/>
        </w:rPr>
      </w:pPr>
    </w:p>
    <w:p w14:paraId="2C08898A" w14:textId="32AE100C" w:rsidR="00B33811" w:rsidRPr="00252154" w:rsidRDefault="005C70E1" w:rsidP="00B33811">
      <w:pPr>
        <w:pStyle w:val="Normal1"/>
        <w:spacing w:line="360" w:lineRule="auto"/>
        <w:contextualSpacing/>
        <w:jc w:val="both"/>
        <w:rPr>
          <w:rFonts w:ascii="Century Gothic" w:eastAsia="Arial" w:hAnsi="Century Gothic" w:cs="Arial"/>
          <w:i/>
          <w:color w:val="auto"/>
          <w:szCs w:val="24"/>
          <w:lang w:val="es-MX"/>
        </w:rPr>
      </w:pPr>
      <w:r w:rsidRPr="005C70E1">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B33811">
        <w:rPr>
          <w:rFonts w:ascii="Century Gothic" w:eastAsia="Arial" w:hAnsi="Century Gothic" w:cs="Arial"/>
          <w:color w:val="auto"/>
          <w:szCs w:val="24"/>
          <w:lang w:val="es-MX"/>
        </w:rPr>
        <w:t xml:space="preserve">Ahora bien, es de importancia </w:t>
      </w:r>
      <w:r w:rsidR="00B33811" w:rsidRPr="00B33811">
        <w:rPr>
          <w:rFonts w:ascii="Century Gothic" w:eastAsia="Arial" w:hAnsi="Century Gothic" w:cs="Arial"/>
          <w:color w:val="auto"/>
          <w:szCs w:val="24"/>
          <w:lang w:val="es-MX"/>
        </w:rPr>
        <w:t xml:space="preserve">mencionar las disposiciones inherentes a la </w:t>
      </w:r>
      <w:r w:rsidR="007A30BB">
        <w:rPr>
          <w:rFonts w:ascii="Century Gothic" w:eastAsia="Arial" w:hAnsi="Century Gothic" w:cs="Arial"/>
          <w:color w:val="auto"/>
          <w:szCs w:val="24"/>
          <w:lang w:val="es-MX"/>
        </w:rPr>
        <w:t>propuesta</w:t>
      </w:r>
      <w:r w:rsidR="00B33811" w:rsidRPr="00B33811">
        <w:rPr>
          <w:rFonts w:ascii="Century Gothic" w:eastAsia="Arial" w:hAnsi="Century Gothic" w:cs="Arial"/>
          <w:color w:val="auto"/>
          <w:szCs w:val="24"/>
          <w:lang w:val="es-MX"/>
        </w:rPr>
        <w:t xml:space="preserve"> en</w:t>
      </w:r>
      <w:r w:rsidR="00B33811">
        <w:rPr>
          <w:rFonts w:ascii="Century Gothic" w:eastAsia="Arial" w:hAnsi="Century Gothic" w:cs="Arial"/>
          <w:color w:val="auto"/>
          <w:szCs w:val="24"/>
          <w:lang w:val="es-MX"/>
        </w:rPr>
        <w:t xml:space="preserve"> </w:t>
      </w:r>
      <w:r w:rsidR="00B33811" w:rsidRPr="00B33811">
        <w:rPr>
          <w:rFonts w:ascii="Century Gothic" w:eastAsia="Arial" w:hAnsi="Century Gothic" w:cs="Arial"/>
          <w:color w:val="auto"/>
          <w:szCs w:val="24"/>
          <w:lang w:val="es-MX"/>
        </w:rPr>
        <w:t>estudio, contenidas en nuestro ordenamiento jurídico nacional</w:t>
      </w:r>
      <w:r w:rsidR="005231B7">
        <w:rPr>
          <w:rFonts w:ascii="Century Gothic" w:eastAsia="Arial" w:hAnsi="Century Gothic" w:cs="Arial"/>
          <w:color w:val="auto"/>
          <w:szCs w:val="24"/>
          <w:lang w:val="es-MX"/>
        </w:rPr>
        <w:t xml:space="preserve"> y estatal</w:t>
      </w:r>
      <w:r w:rsidR="00364122">
        <w:rPr>
          <w:rFonts w:ascii="Century Gothic" w:eastAsia="Arial" w:hAnsi="Century Gothic" w:cs="Arial"/>
          <w:color w:val="auto"/>
          <w:szCs w:val="24"/>
          <w:lang w:val="es-MX"/>
        </w:rPr>
        <w:t xml:space="preserve">. </w:t>
      </w:r>
    </w:p>
    <w:p w14:paraId="75F6855A" w14:textId="0D66CD9A" w:rsidR="00B33811" w:rsidRDefault="00B33811" w:rsidP="00B33811">
      <w:pPr>
        <w:pStyle w:val="Normal1"/>
        <w:spacing w:line="360" w:lineRule="auto"/>
        <w:contextualSpacing/>
        <w:jc w:val="both"/>
        <w:rPr>
          <w:rFonts w:ascii="Century Gothic" w:eastAsia="Arial" w:hAnsi="Century Gothic" w:cs="Arial"/>
          <w:color w:val="auto"/>
          <w:szCs w:val="24"/>
          <w:lang w:val="es-MX"/>
        </w:rPr>
      </w:pPr>
    </w:p>
    <w:p w14:paraId="7D2E4909" w14:textId="2E41C391" w:rsidR="00EF532F" w:rsidRPr="00EF532F" w:rsidRDefault="007A30BB" w:rsidP="00EF532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De esta manera, tenemos que la </w:t>
      </w:r>
      <w:r w:rsidR="00063459" w:rsidRPr="00215F4F">
        <w:rPr>
          <w:rFonts w:ascii="Century Gothic" w:eastAsia="Arial" w:hAnsi="Century Gothic" w:cs="Arial"/>
          <w:b/>
          <w:color w:val="auto"/>
          <w:szCs w:val="24"/>
          <w:lang w:val="es-MX"/>
        </w:rPr>
        <w:t>Constitución Política de los Estados Unidos Mexicanos</w:t>
      </w:r>
      <w:r w:rsidR="00EF532F">
        <w:rPr>
          <w:rFonts w:ascii="Century Gothic" w:eastAsia="Arial" w:hAnsi="Century Gothic" w:cs="Arial"/>
          <w:b/>
          <w:color w:val="auto"/>
          <w:szCs w:val="24"/>
          <w:lang w:val="es-MX"/>
        </w:rPr>
        <w:t>,</w:t>
      </w:r>
      <w:r w:rsidR="00EF532F">
        <w:rPr>
          <w:rStyle w:val="Refdenotaalpie"/>
          <w:rFonts w:ascii="Century Gothic" w:eastAsia="Arial" w:hAnsi="Century Gothic" w:cs="Arial"/>
          <w:b/>
          <w:color w:val="auto"/>
          <w:szCs w:val="24"/>
          <w:lang w:val="es-MX"/>
        </w:rPr>
        <w:footnoteReference w:id="5"/>
      </w:r>
      <w:r w:rsidR="00063459">
        <w:rPr>
          <w:rFonts w:ascii="Century Gothic" w:eastAsia="Arial" w:hAnsi="Century Gothic" w:cs="Arial"/>
          <w:color w:val="auto"/>
          <w:szCs w:val="24"/>
          <w:lang w:val="es-MX"/>
        </w:rPr>
        <w:t xml:space="preserve"> </w:t>
      </w:r>
      <w:r w:rsidR="00F81C7D">
        <w:rPr>
          <w:rFonts w:ascii="Century Gothic" w:eastAsia="Arial" w:hAnsi="Century Gothic" w:cs="Arial"/>
          <w:color w:val="auto"/>
          <w:szCs w:val="24"/>
          <w:lang w:val="es-MX"/>
        </w:rPr>
        <w:t>en su</w:t>
      </w:r>
      <w:r w:rsidR="003E123A">
        <w:rPr>
          <w:rFonts w:ascii="Century Gothic" w:eastAsia="Arial" w:hAnsi="Century Gothic" w:cs="Arial"/>
          <w:color w:val="auto"/>
          <w:szCs w:val="24"/>
          <w:lang w:val="es-MX"/>
        </w:rPr>
        <w:t>s</w:t>
      </w:r>
      <w:r w:rsidR="00F81C7D">
        <w:rPr>
          <w:rFonts w:ascii="Century Gothic" w:eastAsia="Arial" w:hAnsi="Century Gothic" w:cs="Arial"/>
          <w:color w:val="auto"/>
          <w:szCs w:val="24"/>
          <w:lang w:val="es-MX"/>
        </w:rPr>
        <w:t xml:space="preserve"> </w:t>
      </w:r>
      <w:r w:rsidR="00EF532F" w:rsidRPr="00EF532F">
        <w:rPr>
          <w:rFonts w:ascii="Century Gothic" w:eastAsia="Arial" w:hAnsi="Century Gothic" w:cs="Arial"/>
          <w:color w:val="auto"/>
          <w:szCs w:val="24"/>
          <w:lang w:val="es-MX"/>
        </w:rPr>
        <w:t>artíc</w:t>
      </w:r>
      <w:r w:rsidR="00EF532F">
        <w:rPr>
          <w:rFonts w:ascii="Century Gothic" w:eastAsia="Arial" w:hAnsi="Century Gothic" w:cs="Arial"/>
          <w:color w:val="auto"/>
          <w:szCs w:val="24"/>
          <w:lang w:val="es-MX"/>
        </w:rPr>
        <w:t>ulo</w:t>
      </w:r>
      <w:r w:rsidR="003E123A">
        <w:rPr>
          <w:rFonts w:ascii="Century Gothic" w:eastAsia="Arial" w:hAnsi="Century Gothic" w:cs="Arial"/>
          <w:color w:val="auto"/>
          <w:szCs w:val="24"/>
          <w:lang w:val="es-MX"/>
        </w:rPr>
        <w:t>s</w:t>
      </w:r>
      <w:r w:rsidR="00EF532F">
        <w:rPr>
          <w:rFonts w:ascii="Century Gothic" w:eastAsia="Arial" w:hAnsi="Century Gothic" w:cs="Arial"/>
          <w:color w:val="auto"/>
          <w:szCs w:val="24"/>
          <w:lang w:val="es-MX"/>
        </w:rPr>
        <w:t xml:space="preserve"> </w:t>
      </w:r>
      <w:r w:rsidR="003E123A">
        <w:rPr>
          <w:rFonts w:ascii="Century Gothic" w:eastAsia="Arial" w:hAnsi="Century Gothic" w:cs="Arial"/>
          <w:color w:val="auto"/>
          <w:szCs w:val="24"/>
          <w:lang w:val="es-MX"/>
        </w:rPr>
        <w:t>1</w:t>
      </w:r>
      <w:r w:rsidR="00EF532F">
        <w:rPr>
          <w:rFonts w:ascii="Century Gothic" w:eastAsia="Arial" w:hAnsi="Century Gothic" w:cs="Arial"/>
          <w:color w:val="auto"/>
          <w:szCs w:val="24"/>
          <w:lang w:val="es-MX"/>
        </w:rPr>
        <w:t>°</w:t>
      </w:r>
      <w:r w:rsidR="003E123A">
        <w:rPr>
          <w:rFonts w:ascii="Century Gothic" w:eastAsia="Arial" w:hAnsi="Century Gothic" w:cs="Arial"/>
          <w:color w:val="auto"/>
          <w:szCs w:val="24"/>
          <w:lang w:val="es-MX"/>
        </w:rPr>
        <w:t xml:space="preserve"> y 4°</w:t>
      </w:r>
      <w:r w:rsidR="00F81C7D">
        <w:rPr>
          <w:rFonts w:ascii="Century Gothic" w:eastAsia="Arial" w:hAnsi="Century Gothic" w:cs="Arial"/>
          <w:color w:val="auto"/>
          <w:szCs w:val="24"/>
          <w:lang w:val="es-MX"/>
        </w:rPr>
        <w:t xml:space="preserve"> </w:t>
      </w:r>
      <w:r w:rsidR="003E123A">
        <w:rPr>
          <w:rFonts w:ascii="Century Gothic" w:eastAsia="Arial" w:hAnsi="Century Gothic" w:cs="Arial"/>
          <w:color w:val="auto"/>
          <w:szCs w:val="24"/>
          <w:lang w:val="es-MX"/>
        </w:rPr>
        <w:t>dispone</w:t>
      </w:r>
      <w:r w:rsidR="00EF532F" w:rsidRPr="00EF532F">
        <w:rPr>
          <w:rFonts w:ascii="Century Gothic" w:eastAsia="Arial" w:hAnsi="Century Gothic" w:cs="Arial"/>
          <w:color w:val="auto"/>
          <w:szCs w:val="24"/>
          <w:lang w:val="es-MX"/>
        </w:rPr>
        <w:t>:</w:t>
      </w:r>
    </w:p>
    <w:p w14:paraId="73B4E237" w14:textId="77777777" w:rsidR="00EF532F" w:rsidRPr="00EF532F" w:rsidRDefault="00EF532F" w:rsidP="00EF532F">
      <w:pPr>
        <w:pStyle w:val="Normal1"/>
        <w:spacing w:line="360" w:lineRule="auto"/>
        <w:contextualSpacing/>
        <w:jc w:val="both"/>
        <w:rPr>
          <w:rFonts w:ascii="Century Gothic" w:eastAsia="Arial" w:hAnsi="Century Gothic" w:cs="Arial"/>
          <w:color w:val="auto"/>
          <w:szCs w:val="24"/>
          <w:lang w:val="es-MX"/>
        </w:rPr>
      </w:pPr>
    </w:p>
    <w:p w14:paraId="73F6BBFC" w14:textId="77777777" w:rsidR="003E123A" w:rsidRDefault="003E123A" w:rsidP="003E123A">
      <w:pPr>
        <w:pStyle w:val="Normal1"/>
        <w:spacing w:line="360" w:lineRule="auto"/>
        <w:ind w:left="709" w:right="616"/>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Pr="003E123A">
        <w:rPr>
          <w:rFonts w:ascii="Century Gothic" w:eastAsia="Arial" w:hAnsi="Century Gothic" w:cs="Arial"/>
          <w:i/>
          <w:color w:val="auto"/>
          <w:szCs w:val="24"/>
          <w:lang w:val="es-MX"/>
        </w:rPr>
        <w:t>Artículo 1o. En los Estados Unidos Mexicanos todas las personas gozarán de los derechos humanos</w:t>
      </w:r>
      <w:r>
        <w:rPr>
          <w:rFonts w:ascii="Century Gothic" w:eastAsia="Arial" w:hAnsi="Century Gothic" w:cs="Arial"/>
          <w:i/>
          <w:color w:val="auto"/>
          <w:szCs w:val="24"/>
          <w:lang w:val="es-MX"/>
        </w:rPr>
        <w:t xml:space="preserve"> </w:t>
      </w:r>
      <w:r w:rsidRPr="003E123A">
        <w:rPr>
          <w:rFonts w:ascii="Century Gothic" w:eastAsia="Arial" w:hAnsi="Century Gothic" w:cs="Arial"/>
          <w:i/>
          <w:color w:val="auto"/>
          <w:szCs w:val="24"/>
          <w:lang w:val="es-MX"/>
        </w:rPr>
        <w:t>reconocidos en esta Constitución y en los tratados internacionales de los que el Estado Mexicano sea</w:t>
      </w:r>
      <w:r>
        <w:rPr>
          <w:rFonts w:ascii="Century Gothic" w:eastAsia="Arial" w:hAnsi="Century Gothic" w:cs="Arial"/>
          <w:i/>
          <w:color w:val="auto"/>
          <w:szCs w:val="24"/>
          <w:lang w:val="es-MX"/>
        </w:rPr>
        <w:t xml:space="preserve"> </w:t>
      </w:r>
      <w:r w:rsidRPr="003E123A">
        <w:rPr>
          <w:rFonts w:ascii="Century Gothic" w:eastAsia="Arial" w:hAnsi="Century Gothic" w:cs="Arial"/>
          <w:i/>
          <w:color w:val="auto"/>
          <w:szCs w:val="24"/>
          <w:lang w:val="es-MX"/>
        </w:rPr>
        <w:t>parte, así como de las garantías para su protección, cuyo ejercicio no podrá restringirse ni suspenderse,</w:t>
      </w:r>
      <w:r>
        <w:rPr>
          <w:rFonts w:ascii="Century Gothic" w:eastAsia="Arial" w:hAnsi="Century Gothic" w:cs="Arial"/>
          <w:i/>
          <w:color w:val="auto"/>
          <w:szCs w:val="24"/>
          <w:lang w:val="es-MX"/>
        </w:rPr>
        <w:t xml:space="preserve"> </w:t>
      </w:r>
      <w:r w:rsidRPr="003E123A">
        <w:rPr>
          <w:rFonts w:ascii="Century Gothic" w:eastAsia="Arial" w:hAnsi="Century Gothic" w:cs="Arial"/>
          <w:i/>
          <w:color w:val="auto"/>
          <w:szCs w:val="24"/>
          <w:lang w:val="es-MX"/>
        </w:rPr>
        <w:t>salvo en los casos y bajo las condiciones que esta Constitución establece.</w:t>
      </w:r>
    </w:p>
    <w:p w14:paraId="3E124FFB" w14:textId="77777777" w:rsidR="003E123A" w:rsidRDefault="003E123A" w:rsidP="003E123A">
      <w:pPr>
        <w:pStyle w:val="Normal1"/>
        <w:spacing w:line="360" w:lineRule="auto"/>
        <w:ind w:left="709" w:right="616"/>
        <w:contextualSpacing/>
        <w:jc w:val="both"/>
        <w:rPr>
          <w:rFonts w:ascii="Century Gothic" w:eastAsia="Arial" w:hAnsi="Century Gothic" w:cs="Arial"/>
          <w:i/>
          <w:color w:val="auto"/>
          <w:szCs w:val="24"/>
          <w:lang w:val="es-MX"/>
        </w:rPr>
      </w:pPr>
    </w:p>
    <w:p w14:paraId="55B5E44B" w14:textId="67C614AD" w:rsidR="00147620" w:rsidRPr="00EF532F" w:rsidRDefault="003E123A" w:rsidP="003E123A">
      <w:pPr>
        <w:pStyle w:val="Normal1"/>
        <w:spacing w:line="360" w:lineRule="auto"/>
        <w:ind w:left="709" w:right="616"/>
        <w:contextualSpacing/>
        <w:jc w:val="both"/>
        <w:rPr>
          <w:rFonts w:ascii="Century Gothic" w:eastAsia="Arial" w:hAnsi="Century Gothic" w:cs="Arial"/>
          <w:i/>
          <w:color w:val="auto"/>
          <w:szCs w:val="24"/>
          <w:lang w:val="es-MX"/>
        </w:rPr>
      </w:pPr>
      <w:r w:rsidRPr="003E123A">
        <w:rPr>
          <w:rFonts w:ascii="Century Gothic" w:eastAsia="Arial" w:hAnsi="Century Gothic" w:cs="Arial"/>
          <w:i/>
          <w:color w:val="auto"/>
          <w:szCs w:val="24"/>
          <w:lang w:val="es-MX"/>
        </w:rPr>
        <w:t>Artículo 4o.- La mujer y el hombre son iguales ante la ley. Ésta protegerá la organización y el</w:t>
      </w:r>
      <w:r>
        <w:rPr>
          <w:rFonts w:ascii="Century Gothic" w:eastAsia="Arial" w:hAnsi="Century Gothic" w:cs="Arial"/>
          <w:i/>
          <w:color w:val="auto"/>
          <w:szCs w:val="24"/>
          <w:lang w:val="es-MX"/>
        </w:rPr>
        <w:t xml:space="preserve"> </w:t>
      </w:r>
      <w:r w:rsidRPr="003E123A">
        <w:rPr>
          <w:rFonts w:ascii="Century Gothic" w:eastAsia="Arial" w:hAnsi="Century Gothic" w:cs="Arial"/>
          <w:i/>
          <w:color w:val="auto"/>
          <w:szCs w:val="24"/>
          <w:lang w:val="es-MX"/>
        </w:rPr>
        <w:t>desarrollo de la familia.</w:t>
      </w:r>
      <w:r w:rsidR="00EF532F" w:rsidRPr="00EF532F">
        <w:rPr>
          <w:rFonts w:ascii="Century Gothic" w:eastAsia="Arial" w:hAnsi="Century Gothic" w:cs="Arial"/>
          <w:i/>
          <w:color w:val="auto"/>
          <w:szCs w:val="24"/>
          <w:lang w:val="es-MX"/>
        </w:rPr>
        <w:t>”</w:t>
      </w:r>
    </w:p>
    <w:p w14:paraId="2B6007DD" w14:textId="2BF11693" w:rsidR="003C4313" w:rsidRDefault="003C4313" w:rsidP="00063459">
      <w:pPr>
        <w:pStyle w:val="Normal1"/>
        <w:spacing w:line="360" w:lineRule="auto"/>
        <w:contextualSpacing/>
        <w:jc w:val="both"/>
        <w:rPr>
          <w:rFonts w:ascii="Century Gothic" w:eastAsia="Arial" w:hAnsi="Century Gothic" w:cs="Arial"/>
          <w:color w:val="auto"/>
          <w:szCs w:val="24"/>
          <w:lang w:val="es-MX"/>
        </w:rPr>
      </w:pPr>
    </w:p>
    <w:p w14:paraId="44B8A0D3" w14:textId="007FF102" w:rsidR="005231B7" w:rsidRDefault="005231B7" w:rsidP="005231B7">
      <w:pPr>
        <w:spacing w:after="0" w:line="360" w:lineRule="auto"/>
        <w:jc w:val="both"/>
        <w:rPr>
          <w:rFonts w:ascii="Century Gothic" w:hAnsi="Century Gothic" w:cs="Arial"/>
          <w:i/>
          <w:sz w:val="24"/>
          <w:szCs w:val="24"/>
        </w:rPr>
      </w:pPr>
      <w:r w:rsidRPr="0075291A">
        <w:rPr>
          <w:rFonts w:ascii="Century Gothic" w:hAnsi="Century Gothic" w:cs="Arial"/>
          <w:sz w:val="24"/>
          <w:szCs w:val="24"/>
        </w:rPr>
        <w:t xml:space="preserve">En lo referente al marco jurídico estatal, es importante resaltar el contenido de la </w:t>
      </w:r>
      <w:r w:rsidRPr="0075291A">
        <w:rPr>
          <w:rFonts w:ascii="Century Gothic" w:hAnsi="Century Gothic" w:cs="Arial"/>
          <w:b/>
          <w:sz w:val="24"/>
          <w:szCs w:val="24"/>
        </w:rPr>
        <w:t>Constitución Política del Estado de Chihuahua</w:t>
      </w:r>
      <w:r w:rsidR="007346D4">
        <w:rPr>
          <w:rFonts w:ascii="Century Gothic" w:hAnsi="Century Gothic" w:cs="Arial"/>
          <w:b/>
          <w:sz w:val="24"/>
          <w:szCs w:val="24"/>
        </w:rPr>
        <w:t>.</w:t>
      </w:r>
      <w:r>
        <w:rPr>
          <w:rStyle w:val="Refdenotaalpie"/>
          <w:rFonts w:ascii="Century Gothic" w:hAnsi="Century Gothic" w:cs="Arial"/>
          <w:b/>
          <w:sz w:val="24"/>
          <w:szCs w:val="24"/>
        </w:rPr>
        <w:footnoteReference w:id="6"/>
      </w:r>
      <w:r w:rsidRPr="0075291A">
        <w:rPr>
          <w:rFonts w:ascii="Century Gothic" w:hAnsi="Century Gothic" w:cs="Arial"/>
          <w:sz w:val="24"/>
          <w:szCs w:val="24"/>
        </w:rPr>
        <w:t xml:space="preserve"> En el artículo 4° se establece el </w:t>
      </w:r>
      <w:r w:rsidRPr="0075291A">
        <w:rPr>
          <w:rFonts w:ascii="Century Gothic" w:hAnsi="Century Gothic" w:cs="Arial"/>
          <w:i/>
          <w:sz w:val="24"/>
          <w:szCs w:val="24"/>
        </w:rPr>
        <w:t>principio de igualdad y no discriminación</w:t>
      </w:r>
      <w:r w:rsidRPr="0075291A">
        <w:rPr>
          <w:rFonts w:ascii="Century Gothic" w:hAnsi="Century Gothic" w:cs="Arial"/>
          <w:sz w:val="24"/>
          <w:szCs w:val="24"/>
        </w:rPr>
        <w:t xml:space="preserve">, entre otras razones, </w:t>
      </w:r>
      <w:r w:rsidRPr="0075291A">
        <w:rPr>
          <w:rFonts w:ascii="Century Gothic" w:hAnsi="Century Gothic" w:cs="Arial"/>
          <w:i/>
          <w:sz w:val="24"/>
          <w:szCs w:val="24"/>
        </w:rPr>
        <w:t xml:space="preserve">por motivos de género. </w:t>
      </w:r>
    </w:p>
    <w:p w14:paraId="20E02B03" w14:textId="52DEE70F" w:rsidR="00A805D3" w:rsidRDefault="00A805D3" w:rsidP="005231B7">
      <w:pPr>
        <w:spacing w:after="0" w:line="360" w:lineRule="auto"/>
        <w:jc w:val="both"/>
        <w:rPr>
          <w:rFonts w:ascii="Century Gothic" w:hAnsi="Century Gothic" w:cs="Arial"/>
          <w:i/>
          <w:sz w:val="24"/>
          <w:szCs w:val="24"/>
        </w:rPr>
      </w:pPr>
    </w:p>
    <w:p w14:paraId="32AB3BD0" w14:textId="2B57A5F4" w:rsidR="00A805D3" w:rsidRDefault="00A805D3" w:rsidP="00A805D3">
      <w:pPr>
        <w:spacing w:after="0" w:line="360" w:lineRule="auto"/>
        <w:jc w:val="both"/>
        <w:rPr>
          <w:rFonts w:ascii="Century Gothic" w:hAnsi="Century Gothic" w:cs="Arial"/>
          <w:iCs/>
          <w:sz w:val="24"/>
          <w:szCs w:val="24"/>
        </w:rPr>
      </w:pPr>
      <w:r>
        <w:rPr>
          <w:rFonts w:ascii="Century Gothic" w:hAnsi="Century Gothic" w:cs="Arial"/>
          <w:iCs/>
          <w:sz w:val="24"/>
          <w:szCs w:val="24"/>
        </w:rPr>
        <w:lastRenderedPageBreak/>
        <w:t xml:space="preserve">Igualmente, resulta relevante atender a lo dispuesto en el </w:t>
      </w:r>
      <w:r w:rsidRPr="00A805D3">
        <w:rPr>
          <w:rFonts w:ascii="Century Gothic" w:hAnsi="Century Gothic" w:cs="Arial"/>
          <w:b/>
          <w:bCs/>
          <w:iCs/>
          <w:sz w:val="24"/>
          <w:szCs w:val="24"/>
        </w:rPr>
        <w:t>Código Civil del Estado de Chihuahua</w:t>
      </w:r>
      <w:r>
        <w:rPr>
          <w:rFonts w:ascii="Century Gothic" w:hAnsi="Century Gothic" w:cs="Arial"/>
          <w:iCs/>
          <w:sz w:val="24"/>
          <w:szCs w:val="24"/>
        </w:rPr>
        <w:t>,</w:t>
      </w:r>
      <w:r>
        <w:rPr>
          <w:rStyle w:val="Refdenotaalpie"/>
          <w:rFonts w:ascii="Century Gothic" w:hAnsi="Century Gothic" w:cs="Arial"/>
          <w:iCs/>
          <w:sz w:val="24"/>
          <w:szCs w:val="24"/>
        </w:rPr>
        <w:footnoteReference w:id="7"/>
      </w:r>
      <w:r>
        <w:rPr>
          <w:rFonts w:ascii="Century Gothic" w:hAnsi="Century Gothic" w:cs="Arial"/>
          <w:iCs/>
          <w:sz w:val="24"/>
          <w:szCs w:val="24"/>
        </w:rPr>
        <w:t xml:space="preserve"> mismo que en el contenido de su </w:t>
      </w:r>
      <w:r w:rsidRPr="00A805D3">
        <w:rPr>
          <w:rFonts w:ascii="Century Gothic" w:hAnsi="Century Gothic" w:cs="Arial"/>
          <w:iCs/>
          <w:sz w:val="24"/>
          <w:szCs w:val="24"/>
        </w:rPr>
        <w:t>artículo 19</w:t>
      </w:r>
      <w:r>
        <w:rPr>
          <w:rFonts w:ascii="Century Gothic" w:hAnsi="Century Gothic" w:cs="Arial"/>
          <w:iCs/>
          <w:sz w:val="24"/>
          <w:szCs w:val="24"/>
        </w:rPr>
        <w:t xml:space="preserve"> señala que:</w:t>
      </w:r>
      <w:r w:rsidRPr="00A805D3">
        <w:rPr>
          <w:rFonts w:ascii="Century Gothic" w:hAnsi="Century Gothic" w:cs="Arial"/>
          <w:iCs/>
          <w:sz w:val="24"/>
          <w:szCs w:val="24"/>
        </w:rPr>
        <w:t xml:space="preserve"> </w:t>
      </w:r>
    </w:p>
    <w:p w14:paraId="3A096E67" w14:textId="77777777" w:rsidR="00A805D3" w:rsidRDefault="00A805D3" w:rsidP="00A805D3">
      <w:pPr>
        <w:spacing w:after="0" w:line="360" w:lineRule="auto"/>
        <w:jc w:val="both"/>
        <w:rPr>
          <w:rFonts w:ascii="Century Gothic" w:hAnsi="Century Gothic" w:cs="Arial"/>
          <w:iCs/>
          <w:sz w:val="24"/>
          <w:szCs w:val="24"/>
        </w:rPr>
      </w:pPr>
    </w:p>
    <w:p w14:paraId="2E1904A8" w14:textId="77777777" w:rsidR="00A805D3" w:rsidRPr="00A805D3" w:rsidRDefault="00A805D3" w:rsidP="00A805D3">
      <w:pPr>
        <w:spacing w:after="0" w:line="360" w:lineRule="auto"/>
        <w:ind w:left="709" w:right="616"/>
        <w:jc w:val="both"/>
        <w:rPr>
          <w:rFonts w:ascii="Century Gothic" w:hAnsi="Century Gothic" w:cs="Arial"/>
          <w:i/>
          <w:sz w:val="24"/>
          <w:szCs w:val="24"/>
        </w:rPr>
      </w:pPr>
      <w:r w:rsidRPr="00A805D3">
        <w:rPr>
          <w:rFonts w:ascii="Century Gothic" w:hAnsi="Century Gothic" w:cs="Arial"/>
          <w:i/>
          <w:sz w:val="24"/>
          <w:szCs w:val="24"/>
        </w:rPr>
        <w:t xml:space="preserve">“Cuando se presente conflicto de derechos, de la misma especie o de igual interés para las partes, el juez deberá decidir observando la mayor igualdad posible entre los interesados. </w:t>
      </w:r>
    </w:p>
    <w:p w14:paraId="3FE577EE" w14:textId="77777777" w:rsidR="00A805D3" w:rsidRPr="00A805D3" w:rsidRDefault="00A805D3" w:rsidP="00A805D3">
      <w:pPr>
        <w:spacing w:after="0" w:line="360" w:lineRule="auto"/>
        <w:ind w:left="709" w:right="616"/>
        <w:jc w:val="both"/>
        <w:rPr>
          <w:rFonts w:ascii="Century Gothic" w:hAnsi="Century Gothic" w:cs="Arial"/>
          <w:i/>
          <w:sz w:val="24"/>
          <w:szCs w:val="24"/>
        </w:rPr>
      </w:pPr>
    </w:p>
    <w:p w14:paraId="32AA2776" w14:textId="3BD7FF3C" w:rsidR="005231B7" w:rsidRPr="00021412" w:rsidRDefault="00A805D3" w:rsidP="00021412">
      <w:pPr>
        <w:spacing w:after="0" w:line="360" w:lineRule="auto"/>
        <w:ind w:left="709" w:right="616"/>
        <w:jc w:val="both"/>
        <w:rPr>
          <w:rFonts w:ascii="Century Gothic" w:hAnsi="Century Gothic" w:cs="Arial"/>
          <w:iCs/>
          <w:sz w:val="24"/>
          <w:szCs w:val="24"/>
        </w:rPr>
      </w:pPr>
      <w:r w:rsidRPr="00A805D3">
        <w:rPr>
          <w:rFonts w:ascii="Century Gothic" w:hAnsi="Century Gothic" w:cs="Arial"/>
          <w:i/>
          <w:sz w:val="24"/>
          <w:szCs w:val="24"/>
        </w:rPr>
        <w:t>A falta de ley expresa, la controversia se decidirá a favor del que trate de evitarse perjuicios frente a quien pretenda obtener un lucro.”</w:t>
      </w:r>
      <w:r w:rsidRPr="00A805D3">
        <w:rPr>
          <w:rFonts w:ascii="Century Gothic" w:hAnsi="Century Gothic" w:cs="Arial"/>
          <w:i/>
          <w:sz w:val="24"/>
          <w:szCs w:val="24"/>
        </w:rPr>
        <w:cr/>
      </w:r>
    </w:p>
    <w:p w14:paraId="6950C39A" w14:textId="099F8EC1" w:rsidR="0091730C" w:rsidRPr="00361D51" w:rsidRDefault="0017214A" w:rsidP="0017214A">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bCs/>
          <w:color w:val="auto"/>
          <w:szCs w:val="24"/>
          <w:lang w:val="es-MX"/>
        </w:rPr>
        <w:t xml:space="preserve">V.- </w:t>
      </w:r>
      <w:r w:rsidR="0091730C">
        <w:rPr>
          <w:rFonts w:ascii="Century Gothic" w:eastAsia="Arial" w:hAnsi="Century Gothic" w:cs="Arial"/>
          <w:color w:val="auto"/>
          <w:szCs w:val="24"/>
          <w:lang w:val="es-MX"/>
        </w:rPr>
        <w:t xml:space="preserve">Una vez señalados los preceptos normativos internacionales, </w:t>
      </w:r>
      <w:r>
        <w:rPr>
          <w:rFonts w:ascii="Century Gothic" w:eastAsia="Arial" w:hAnsi="Century Gothic" w:cs="Arial"/>
          <w:color w:val="auto"/>
          <w:szCs w:val="24"/>
          <w:lang w:val="es-MX"/>
        </w:rPr>
        <w:t xml:space="preserve">constitucionales y </w:t>
      </w:r>
      <w:r w:rsidR="00021412">
        <w:rPr>
          <w:rFonts w:ascii="Century Gothic" w:eastAsia="Arial" w:hAnsi="Century Gothic" w:cs="Arial"/>
          <w:color w:val="auto"/>
          <w:szCs w:val="24"/>
          <w:lang w:val="es-MX"/>
        </w:rPr>
        <w:t>locales</w:t>
      </w:r>
      <w:r>
        <w:rPr>
          <w:rFonts w:ascii="Century Gothic" w:eastAsia="Arial" w:hAnsi="Century Gothic" w:cs="Arial"/>
          <w:color w:val="auto"/>
          <w:szCs w:val="24"/>
          <w:lang w:val="es-MX"/>
        </w:rPr>
        <w:t xml:space="preserve"> </w:t>
      </w:r>
      <w:r w:rsidR="0091730C">
        <w:rPr>
          <w:rFonts w:ascii="Century Gothic" w:eastAsia="Arial" w:hAnsi="Century Gothic" w:cs="Arial"/>
          <w:color w:val="auto"/>
          <w:szCs w:val="24"/>
          <w:lang w:val="es-MX"/>
        </w:rPr>
        <w:t>inherentes a la iniciativa en estudio, corresponde concretar la propuesta de reforma que nos atañe, la cual, consiste en</w:t>
      </w:r>
      <w:r w:rsidR="00193F4F">
        <w:rPr>
          <w:rFonts w:ascii="Century Gothic" w:eastAsia="Arial" w:hAnsi="Century Gothic" w:cs="Arial"/>
          <w:color w:val="auto"/>
          <w:szCs w:val="24"/>
          <w:lang w:val="es-MX"/>
        </w:rPr>
        <w:t xml:space="preserve"> incorporar la figura de la pensión compensatoria en el Código Civil</w:t>
      </w:r>
      <w:r w:rsidR="00361D51">
        <w:rPr>
          <w:rFonts w:ascii="Century Gothic" w:eastAsia="Arial" w:hAnsi="Century Gothic" w:cs="Arial"/>
          <w:color w:val="auto"/>
          <w:szCs w:val="24"/>
          <w:lang w:val="es-MX"/>
        </w:rPr>
        <w:t xml:space="preserve"> del Estado, </w:t>
      </w:r>
      <w:r w:rsidR="00361D51" w:rsidRPr="00605CA9">
        <w:rPr>
          <w:rFonts w:ascii="Century Gothic" w:eastAsia="Arial" w:hAnsi="Century Gothic" w:cs="Arial"/>
          <w:color w:val="auto"/>
          <w:szCs w:val="24"/>
          <w:lang w:val="es-MX"/>
        </w:rPr>
        <w:t>en los casos de disolución del vínculo matrimonial y concubinato, cuando alguna de las parte</w:t>
      </w:r>
      <w:r w:rsidR="00A35ACD">
        <w:rPr>
          <w:rFonts w:ascii="Century Gothic" w:eastAsia="Arial" w:hAnsi="Century Gothic" w:cs="Arial"/>
          <w:color w:val="auto"/>
          <w:szCs w:val="24"/>
          <w:lang w:val="es-MX"/>
        </w:rPr>
        <w:t xml:space="preserve">s quede en desventaja económica; así como establecer la obligatoriedad del órgano jurisdiccional de resolver estas controversias con perspectiva de género. </w:t>
      </w:r>
    </w:p>
    <w:p w14:paraId="01DCDE86" w14:textId="5A6CE3F4" w:rsidR="0091730C" w:rsidRDefault="0091730C" w:rsidP="0091730C">
      <w:pPr>
        <w:pStyle w:val="Normal1"/>
        <w:spacing w:line="360" w:lineRule="auto"/>
        <w:contextualSpacing/>
        <w:jc w:val="both"/>
        <w:rPr>
          <w:rFonts w:ascii="Century Gothic" w:eastAsia="Arial" w:hAnsi="Century Gothic" w:cs="Arial"/>
          <w:color w:val="auto"/>
          <w:szCs w:val="24"/>
          <w:lang w:val="es-MX"/>
        </w:rPr>
      </w:pPr>
    </w:p>
    <w:p w14:paraId="4AF47146" w14:textId="519F28F8" w:rsidR="005B7A8D" w:rsidRDefault="003806D2" w:rsidP="006D7CC4">
      <w:pPr>
        <w:pStyle w:val="Normal1"/>
        <w:spacing w:line="360" w:lineRule="auto"/>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lastRenderedPageBreak/>
        <w:t xml:space="preserve">Para resolver la </w:t>
      </w:r>
      <w:r w:rsidR="00A35ACD">
        <w:rPr>
          <w:rFonts w:ascii="Century Gothic" w:eastAsia="Arial" w:hAnsi="Century Gothic" w:cs="Arial"/>
          <w:bCs/>
          <w:szCs w:val="24"/>
          <w:lang w:val="es-MX"/>
        </w:rPr>
        <w:t xml:space="preserve">primera </w:t>
      </w:r>
      <w:r w:rsidRPr="003806D2">
        <w:rPr>
          <w:rFonts w:ascii="Century Gothic" w:eastAsia="Arial" w:hAnsi="Century Gothic" w:cs="Arial"/>
          <w:bCs/>
          <w:szCs w:val="24"/>
          <w:lang w:val="es-MX"/>
        </w:rPr>
        <w:t>disyuntiva plant</w:t>
      </w:r>
      <w:r w:rsidR="00A35ACD">
        <w:rPr>
          <w:rFonts w:ascii="Century Gothic" w:eastAsia="Arial" w:hAnsi="Century Gothic" w:cs="Arial"/>
          <w:bCs/>
          <w:szCs w:val="24"/>
          <w:lang w:val="es-MX"/>
        </w:rPr>
        <w:t>eada en el párrafo anterior</w:t>
      </w:r>
      <w:r w:rsidRPr="003806D2">
        <w:rPr>
          <w:rFonts w:ascii="Century Gothic" w:eastAsia="Arial" w:hAnsi="Century Gothic" w:cs="Arial"/>
          <w:bCs/>
          <w:szCs w:val="24"/>
          <w:lang w:val="es-MX"/>
        </w:rPr>
        <w:t xml:space="preserve">, es necesario remitirnos al desarrollo jurisprudencial que ha tenido la figura de la pensión compensatoria en </w:t>
      </w:r>
      <w:r>
        <w:rPr>
          <w:rFonts w:ascii="Century Gothic" w:eastAsia="Arial" w:hAnsi="Century Gothic" w:cs="Arial"/>
          <w:bCs/>
          <w:szCs w:val="24"/>
          <w:lang w:val="es-MX"/>
        </w:rPr>
        <w:t>l</w:t>
      </w:r>
      <w:r w:rsidR="00A35ACD">
        <w:rPr>
          <w:rFonts w:ascii="Century Gothic" w:eastAsia="Arial" w:hAnsi="Century Gothic" w:cs="Arial"/>
          <w:bCs/>
          <w:szCs w:val="24"/>
          <w:lang w:val="es-MX"/>
        </w:rPr>
        <w:t>os criterios emitidos por la</w:t>
      </w:r>
      <w:r w:rsidRPr="003806D2">
        <w:rPr>
          <w:rFonts w:ascii="Century Gothic" w:eastAsia="Arial" w:hAnsi="Century Gothic" w:cs="Arial"/>
          <w:bCs/>
          <w:szCs w:val="24"/>
          <w:lang w:val="es-MX"/>
        </w:rPr>
        <w:t xml:space="preserve"> Suprema Corte de Justicia</w:t>
      </w:r>
      <w:r>
        <w:rPr>
          <w:rFonts w:ascii="Century Gothic" w:eastAsia="Arial" w:hAnsi="Century Gothic" w:cs="Arial"/>
          <w:bCs/>
          <w:szCs w:val="24"/>
          <w:lang w:val="es-MX"/>
        </w:rPr>
        <w:t xml:space="preserve"> de la Nación. </w:t>
      </w:r>
    </w:p>
    <w:p w14:paraId="50D6ED21" w14:textId="6053E460" w:rsidR="003806D2" w:rsidRDefault="003806D2" w:rsidP="006D7CC4">
      <w:pPr>
        <w:pStyle w:val="Normal1"/>
        <w:spacing w:line="360" w:lineRule="auto"/>
        <w:contextualSpacing/>
        <w:jc w:val="both"/>
        <w:rPr>
          <w:rFonts w:ascii="Century Gothic" w:eastAsia="Arial" w:hAnsi="Century Gothic" w:cs="Arial"/>
          <w:bCs/>
          <w:szCs w:val="24"/>
          <w:lang w:val="es-MX"/>
        </w:rPr>
      </w:pPr>
    </w:p>
    <w:p w14:paraId="0D6D2B78" w14:textId="3138AC8B" w:rsidR="003806D2" w:rsidRDefault="003806D2" w:rsidP="006D7CC4">
      <w:pPr>
        <w:pStyle w:val="Normal1"/>
        <w:spacing w:line="360" w:lineRule="auto"/>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t xml:space="preserve">Una primera aproximación puede encontrarse en el </w:t>
      </w:r>
      <w:r w:rsidRPr="007346D4">
        <w:rPr>
          <w:rFonts w:ascii="Century Gothic" w:eastAsia="Arial" w:hAnsi="Century Gothic" w:cs="Arial"/>
          <w:b/>
          <w:szCs w:val="24"/>
          <w:lang w:val="es-MX"/>
        </w:rPr>
        <w:t>Amparo Directo en Revisión 269/2014</w:t>
      </w:r>
      <w:r>
        <w:rPr>
          <w:rFonts w:ascii="Century Gothic" w:eastAsia="Arial" w:hAnsi="Century Gothic" w:cs="Arial"/>
          <w:bCs/>
          <w:szCs w:val="24"/>
          <w:lang w:val="es-MX"/>
        </w:rPr>
        <w:t>, e</w:t>
      </w:r>
      <w:r w:rsidRPr="003806D2">
        <w:rPr>
          <w:rFonts w:ascii="Century Gothic" w:eastAsia="Arial" w:hAnsi="Century Gothic" w:cs="Arial"/>
          <w:bCs/>
          <w:szCs w:val="24"/>
          <w:lang w:val="es-MX"/>
        </w:rPr>
        <w:t xml:space="preserve">n él, se analizó el sentido y alcances del artículo 288 del Código Familiar para el Estado de Michoacán, llegando </w:t>
      </w:r>
      <w:r>
        <w:rPr>
          <w:rFonts w:ascii="Century Gothic" w:eastAsia="Arial" w:hAnsi="Century Gothic" w:cs="Arial"/>
          <w:bCs/>
          <w:szCs w:val="24"/>
          <w:lang w:val="es-MX"/>
        </w:rPr>
        <w:t>l</w:t>
      </w:r>
      <w:r w:rsidRPr="003806D2">
        <w:rPr>
          <w:rFonts w:ascii="Century Gothic" w:eastAsia="Arial" w:hAnsi="Century Gothic" w:cs="Arial"/>
          <w:bCs/>
          <w:szCs w:val="24"/>
          <w:lang w:val="es-MX"/>
        </w:rPr>
        <w:t>a Primera Sala a las siguientes conclusiones:</w:t>
      </w:r>
    </w:p>
    <w:p w14:paraId="1EDB785D" w14:textId="64A55B8E" w:rsidR="003806D2" w:rsidRDefault="003806D2" w:rsidP="006D7CC4">
      <w:pPr>
        <w:pStyle w:val="Normal1"/>
        <w:spacing w:line="360" w:lineRule="auto"/>
        <w:contextualSpacing/>
        <w:jc w:val="both"/>
        <w:rPr>
          <w:rFonts w:ascii="Century Gothic" w:eastAsia="Arial" w:hAnsi="Century Gothic" w:cs="Arial"/>
          <w:bCs/>
          <w:szCs w:val="24"/>
          <w:lang w:val="es-MX"/>
        </w:rPr>
      </w:pPr>
    </w:p>
    <w:p w14:paraId="357504C1" w14:textId="2398805B" w:rsidR="003806D2" w:rsidRPr="003806D2" w:rsidRDefault="003806D2" w:rsidP="003806D2">
      <w:pPr>
        <w:pStyle w:val="Normal1"/>
        <w:spacing w:line="360" w:lineRule="auto"/>
        <w:ind w:left="709" w:right="616"/>
        <w:contextualSpacing/>
        <w:jc w:val="both"/>
        <w:rPr>
          <w:rFonts w:ascii="Century Gothic" w:eastAsia="Arial" w:hAnsi="Century Gothic" w:cs="Arial"/>
          <w:bCs/>
          <w:szCs w:val="24"/>
          <w:lang w:val="es-MX"/>
        </w:rPr>
      </w:pPr>
      <w:r>
        <w:rPr>
          <w:rFonts w:ascii="Century Gothic" w:eastAsia="Arial" w:hAnsi="Century Gothic" w:cs="Arial"/>
          <w:bCs/>
          <w:szCs w:val="24"/>
          <w:lang w:val="es-MX"/>
        </w:rPr>
        <w:t>“U</w:t>
      </w:r>
      <w:r w:rsidRPr="003806D2">
        <w:rPr>
          <w:rFonts w:ascii="Century Gothic" w:eastAsia="Arial" w:hAnsi="Century Gothic" w:cs="Arial"/>
          <w:bCs/>
          <w:szCs w:val="24"/>
          <w:lang w:val="es-MX"/>
        </w:rPr>
        <w:t xml:space="preserve">no de los supuestos por los que surge la obligación de dar alimentos son las relaciones de matrimonio o concubinato; sin embargo, como también se señaló, esta obligación responde a presupuestos y fundamentos distintos a aquella que surge propiamente de la disolución del vínculo matrimonial, la cual doctrinariamente ha recibido el nombre de </w:t>
      </w:r>
      <w:r w:rsidRPr="003806D2">
        <w:rPr>
          <w:rFonts w:ascii="Century Gothic" w:eastAsia="Arial" w:hAnsi="Century Gothic" w:cs="Arial"/>
          <w:b/>
          <w:szCs w:val="24"/>
          <w:lang w:val="es-MX"/>
        </w:rPr>
        <w:t>“pensión compensatoria”</w:t>
      </w:r>
      <w:r w:rsidRPr="003806D2">
        <w:rPr>
          <w:rFonts w:ascii="Century Gothic" w:eastAsia="Arial" w:hAnsi="Century Gothic" w:cs="Arial"/>
          <w:bCs/>
          <w:szCs w:val="24"/>
          <w:lang w:val="es-MX"/>
        </w:rPr>
        <w:t>.</w:t>
      </w:r>
    </w:p>
    <w:p w14:paraId="654432C2" w14:textId="77777777" w:rsidR="003806D2" w:rsidRPr="003806D2" w:rsidRDefault="003806D2" w:rsidP="003806D2">
      <w:pPr>
        <w:pStyle w:val="Normal1"/>
        <w:spacing w:line="360" w:lineRule="auto"/>
        <w:ind w:left="709" w:right="616"/>
        <w:contextualSpacing/>
        <w:jc w:val="both"/>
        <w:rPr>
          <w:rFonts w:ascii="Century Gothic" w:eastAsia="Arial" w:hAnsi="Century Gothic" w:cs="Arial"/>
          <w:b/>
          <w:szCs w:val="24"/>
          <w:lang w:val="es-MX"/>
        </w:rPr>
      </w:pPr>
      <w:r w:rsidRPr="003806D2">
        <w:rPr>
          <w:rFonts w:ascii="Century Gothic" w:eastAsia="Arial" w:hAnsi="Century Gothic" w:cs="Arial"/>
          <w:bCs/>
          <w:szCs w:val="24"/>
          <w:lang w:val="es-MX"/>
        </w:rPr>
        <w:t xml:space="preserve">En efecto, esta Primera Sala advierte que la pensión compensatoria fue originalmente concebida por el legislador como un medio de protección a la mujer, la cual tradicionalmente no realizaba actividades remuneradas durante el matrimonio, y se enfocaba únicamente en las tareas de mantenimiento del hogar y cuidado de los hijos. Por tanto, esta </w:t>
      </w:r>
      <w:r w:rsidRPr="003806D2">
        <w:rPr>
          <w:rFonts w:ascii="Century Gothic" w:eastAsia="Arial" w:hAnsi="Century Gothic" w:cs="Arial"/>
          <w:bCs/>
          <w:szCs w:val="24"/>
          <w:lang w:val="es-MX"/>
        </w:rPr>
        <w:lastRenderedPageBreak/>
        <w:t xml:space="preserve">obligación surgió como una forma de </w:t>
      </w:r>
      <w:r w:rsidRPr="003806D2">
        <w:rPr>
          <w:rFonts w:ascii="Century Gothic" w:eastAsia="Arial" w:hAnsi="Century Gothic" w:cs="Arial"/>
          <w:b/>
          <w:szCs w:val="24"/>
          <w:lang w:val="es-MX"/>
        </w:rPr>
        <w:t>"compensar" a la mujer las actividades domésticas realizadas durante el tiempo que duró el matrimonio y por las que se vio impedida para realizar otro tipo de actividades mediante las que hubiera podido obtener ingresos propios.</w:t>
      </w:r>
    </w:p>
    <w:p w14:paraId="19A8A287" w14:textId="04D5FB92" w:rsidR="003806D2" w:rsidRPr="003806D2" w:rsidRDefault="003806D2" w:rsidP="003806D2">
      <w:pPr>
        <w:pStyle w:val="Normal1"/>
        <w:spacing w:line="360" w:lineRule="auto"/>
        <w:ind w:left="709" w:right="616"/>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t xml:space="preserve">Así las cosas, se advierte que a diferencia de la obligación de alimentos con motivo de una relación matrimonial o de concubinato, la cual como se señaló </w:t>
      </w:r>
      <w:r w:rsidRPr="00FE5018">
        <w:rPr>
          <w:rFonts w:ascii="Century Gothic" w:eastAsia="Arial" w:hAnsi="Century Gothic" w:cs="Arial"/>
          <w:b/>
          <w:szCs w:val="24"/>
          <w:lang w:val="es-MX"/>
        </w:rPr>
        <w:t>encuentra su fundamento en los deberes de solidaridad y asistencia mutuos de la pareja</w:t>
      </w:r>
      <w:r w:rsidRPr="003806D2">
        <w:rPr>
          <w:rFonts w:ascii="Century Gothic" w:eastAsia="Arial" w:hAnsi="Century Gothic" w:cs="Arial"/>
          <w:bCs/>
          <w:szCs w:val="24"/>
          <w:lang w:val="es-MX"/>
        </w:rPr>
        <w:t>, la pensión</w:t>
      </w:r>
      <w:r>
        <w:rPr>
          <w:rFonts w:ascii="Century Gothic" w:eastAsia="Arial" w:hAnsi="Century Gothic" w:cs="Arial"/>
          <w:bCs/>
          <w:szCs w:val="24"/>
          <w:lang w:val="es-MX"/>
        </w:rPr>
        <w:t xml:space="preserve"> </w:t>
      </w:r>
      <w:r w:rsidRPr="003806D2">
        <w:rPr>
          <w:rFonts w:ascii="Century Gothic" w:eastAsia="Arial" w:hAnsi="Century Gothic" w:cs="Arial"/>
          <w:bCs/>
          <w:szCs w:val="24"/>
          <w:lang w:val="es-MX"/>
        </w:rPr>
        <w:t xml:space="preserve">compensatoria encuentra su razón de ser en un </w:t>
      </w:r>
      <w:r w:rsidRPr="00FE5018">
        <w:rPr>
          <w:rFonts w:ascii="Century Gothic" w:eastAsia="Arial" w:hAnsi="Century Gothic" w:cs="Arial"/>
          <w:b/>
          <w:szCs w:val="24"/>
          <w:lang w:val="es-MX"/>
        </w:rPr>
        <w:t>deber tanto asistencial como resarcitorio derivado del desequilibrio económico</w:t>
      </w:r>
      <w:r w:rsidRPr="003806D2">
        <w:rPr>
          <w:rFonts w:ascii="Century Gothic" w:eastAsia="Arial" w:hAnsi="Century Gothic" w:cs="Arial"/>
          <w:bCs/>
          <w:szCs w:val="24"/>
          <w:lang w:val="es-MX"/>
        </w:rPr>
        <w:t xml:space="preserve"> que suele presentarse entre los cónyuges al momento de disolverse el vínculo matrimonial. </w:t>
      </w:r>
    </w:p>
    <w:p w14:paraId="756FC226" w14:textId="77777777" w:rsidR="003806D2" w:rsidRPr="003806D2" w:rsidRDefault="003806D2" w:rsidP="003806D2">
      <w:pPr>
        <w:pStyle w:val="Normal1"/>
        <w:spacing w:line="360" w:lineRule="auto"/>
        <w:ind w:left="709" w:right="616"/>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t>[…]</w:t>
      </w:r>
    </w:p>
    <w:p w14:paraId="5B7812FB" w14:textId="77777777" w:rsidR="003806D2" w:rsidRPr="003806D2" w:rsidRDefault="003806D2" w:rsidP="003806D2">
      <w:pPr>
        <w:pStyle w:val="Normal1"/>
        <w:spacing w:line="360" w:lineRule="auto"/>
        <w:ind w:left="709" w:right="616"/>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t xml:space="preserve">Así, en estos casos, es claro que </w:t>
      </w:r>
      <w:r w:rsidRPr="00FE5018">
        <w:rPr>
          <w:rFonts w:ascii="Century Gothic" w:eastAsia="Arial" w:hAnsi="Century Gothic" w:cs="Arial"/>
          <w:b/>
          <w:szCs w:val="24"/>
          <w:lang w:val="es-MX"/>
        </w:rPr>
        <w:t>el fracaso de la convivencia conyugal genera un desequilibrio económico</w:t>
      </w:r>
      <w:r w:rsidRPr="003806D2">
        <w:rPr>
          <w:rFonts w:ascii="Century Gothic" w:eastAsia="Arial" w:hAnsi="Century Gothic" w:cs="Arial"/>
          <w:bCs/>
          <w:szCs w:val="24"/>
          <w:lang w:val="es-MX"/>
        </w:rPr>
        <w:t xml:space="preserve"> que coloca al cónyuge que se dedicó preponderantemente a las labores del hogar y al cuidado de los hijos en una situación de desventaja, pues su posición en la estructura familiar </w:t>
      </w:r>
      <w:r w:rsidRPr="00FE5018">
        <w:rPr>
          <w:rFonts w:ascii="Century Gothic" w:eastAsia="Arial" w:hAnsi="Century Gothic" w:cs="Arial"/>
          <w:b/>
          <w:szCs w:val="24"/>
          <w:lang w:val="es-MX"/>
        </w:rPr>
        <w:t>le impidió dedicarse a una actividad remunerada que le permitiera hacerse de recursos propios e inclusive, en muchos casos, de realizar o terminar estudios profesionales</w:t>
      </w:r>
      <w:r w:rsidRPr="003806D2">
        <w:rPr>
          <w:rFonts w:ascii="Century Gothic" w:eastAsia="Arial" w:hAnsi="Century Gothic" w:cs="Arial"/>
          <w:bCs/>
          <w:szCs w:val="24"/>
          <w:lang w:val="es-MX"/>
        </w:rPr>
        <w:t xml:space="preserve"> que en momento dado le facilitarían la entrada al mundo laboral.</w:t>
      </w:r>
    </w:p>
    <w:p w14:paraId="287D05AC" w14:textId="628FF5F4" w:rsidR="003806D2" w:rsidRPr="003806D2" w:rsidRDefault="003806D2" w:rsidP="003806D2">
      <w:pPr>
        <w:pStyle w:val="Normal1"/>
        <w:spacing w:line="360" w:lineRule="auto"/>
        <w:ind w:left="709" w:right="616"/>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lastRenderedPageBreak/>
        <w:t xml:space="preserve">Por lo anterior, y siguiendo la línea argumentativa expuesta en apartados anteriores, el presupuesto básico para que surja la obligación de pagar una pensión compensatoria consiste en que, derivado de las circunstancias particulares de cada caso concreto, la disolución del vínculo matrimonial </w:t>
      </w:r>
      <w:r w:rsidRPr="00FE5018">
        <w:rPr>
          <w:rFonts w:ascii="Century Gothic" w:eastAsia="Arial" w:hAnsi="Century Gothic" w:cs="Arial"/>
          <w:b/>
          <w:szCs w:val="24"/>
          <w:lang w:val="es-MX"/>
        </w:rPr>
        <w:t>coloque a uno de los cónyuges en una situación de desventaja económica que en última instancia incida en su capacidad para hacerse de los medios suficientes para sufragar sus necesidades</w:t>
      </w:r>
      <w:r w:rsidRPr="003806D2">
        <w:rPr>
          <w:rFonts w:ascii="Century Gothic" w:eastAsia="Arial" w:hAnsi="Century Gothic" w:cs="Arial"/>
          <w:bCs/>
          <w:szCs w:val="24"/>
          <w:lang w:val="es-MX"/>
        </w:rPr>
        <w:t xml:space="preserve"> y, consecuentemente, le impida el acceso a un nivel de vida adecuado, en los términos que ya hemos expresado anteriormente. </w:t>
      </w:r>
    </w:p>
    <w:p w14:paraId="5F4F4CD5" w14:textId="77777777" w:rsidR="003806D2" w:rsidRPr="003806D2" w:rsidRDefault="003806D2" w:rsidP="003806D2">
      <w:pPr>
        <w:pStyle w:val="Normal1"/>
        <w:spacing w:line="360" w:lineRule="auto"/>
        <w:ind w:left="709" w:right="616"/>
        <w:contextualSpacing/>
        <w:jc w:val="both"/>
        <w:rPr>
          <w:rFonts w:ascii="Century Gothic" w:eastAsia="Arial" w:hAnsi="Century Gothic" w:cs="Arial"/>
          <w:bCs/>
          <w:szCs w:val="24"/>
          <w:lang w:val="es-MX"/>
        </w:rPr>
      </w:pPr>
      <w:r w:rsidRPr="003806D2">
        <w:rPr>
          <w:rFonts w:ascii="Century Gothic" w:eastAsia="Arial" w:hAnsi="Century Gothic" w:cs="Arial"/>
          <w:bCs/>
          <w:szCs w:val="24"/>
          <w:lang w:val="es-MX"/>
        </w:rPr>
        <w:t>[…]</w:t>
      </w:r>
    </w:p>
    <w:p w14:paraId="7FE7D6F0" w14:textId="77777777" w:rsidR="00FE5018" w:rsidRPr="00FE5018" w:rsidRDefault="00FE5018" w:rsidP="00FE5018">
      <w:pPr>
        <w:pStyle w:val="Normal1"/>
        <w:spacing w:line="360" w:lineRule="auto"/>
        <w:ind w:left="709" w:right="616"/>
        <w:contextualSpacing/>
        <w:jc w:val="both"/>
        <w:rPr>
          <w:rFonts w:ascii="Century Gothic" w:eastAsia="Arial" w:hAnsi="Century Gothic" w:cs="Arial"/>
          <w:bCs/>
          <w:szCs w:val="24"/>
          <w:lang w:val="es-MX"/>
        </w:rPr>
      </w:pPr>
      <w:r w:rsidRPr="00FE5018">
        <w:rPr>
          <w:rFonts w:ascii="Century Gothic" w:eastAsia="Arial" w:hAnsi="Century Gothic" w:cs="Arial"/>
          <w:bCs/>
          <w:szCs w:val="24"/>
          <w:lang w:val="es-MX"/>
        </w:rPr>
        <w:t xml:space="preserve">La pensión compensatoria </w:t>
      </w:r>
      <w:r w:rsidRPr="00FE5018">
        <w:rPr>
          <w:rFonts w:ascii="Century Gothic" w:eastAsia="Arial" w:hAnsi="Century Gothic" w:cs="Arial"/>
          <w:b/>
          <w:szCs w:val="24"/>
          <w:lang w:val="es-MX"/>
        </w:rPr>
        <w:t>no tiene una naturaleza de sanción civil impuesta al cónyuge considerado como culpable</w:t>
      </w:r>
      <w:r w:rsidRPr="00FE5018">
        <w:rPr>
          <w:rFonts w:ascii="Century Gothic" w:eastAsia="Arial" w:hAnsi="Century Gothic" w:cs="Arial"/>
          <w:bCs/>
          <w:szCs w:val="24"/>
          <w:lang w:val="es-MX"/>
        </w:rPr>
        <w:t xml:space="preserve"> del quebrantamiento de la relación marital y, por lo tanto, </w:t>
      </w:r>
      <w:r w:rsidRPr="00FE5018">
        <w:rPr>
          <w:rFonts w:ascii="Century Gothic" w:eastAsia="Arial" w:hAnsi="Century Gothic" w:cs="Arial"/>
          <w:b/>
          <w:szCs w:val="24"/>
          <w:lang w:val="es-MX"/>
        </w:rPr>
        <w:t>no surge como consecuencia del acto jurídico que disuelve dicha unión</w:t>
      </w:r>
      <w:r>
        <w:rPr>
          <w:rFonts w:ascii="Century Gothic" w:eastAsia="Arial" w:hAnsi="Century Gothic" w:cs="Arial"/>
          <w:b/>
          <w:szCs w:val="24"/>
          <w:lang w:val="es-MX"/>
        </w:rPr>
        <w:t xml:space="preserve"> </w:t>
      </w:r>
      <w:r w:rsidRPr="00FE5018">
        <w:rPr>
          <w:rFonts w:ascii="Century Gothic" w:eastAsia="Arial" w:hAnsi="Century Gothic" w:cs="Arial"/>
          <w:b/>
          <w:szCs w:val="24"/>
          <w:lang w:val="es-MX"/>
        </w:rPr>
        <w:t>familiar</w:t>
      </w:r>
      <w:r w:rsidRPr="00FE5018">
        <w:rPr>
          <w:rFonts w:ascii="Century Gothic" w:eastAsia="Arial" w:hAnsi="Century Gothic" w:cs="Arial"/>
          <w:bCs/>
          <w:szCs w:val="24"/>
          <w:lang w:val="es-MX"/>
        </w:rPr>
        <w:t>,</w:t>
      </w:r>
      <w:r>
        <w:rPr>
          <w:rFonts w:ascii="Century Gothic" w:eastAsia="Arial" w:hAnsi="Century Gothic" w:cs="Arial"/>
          <w:bCs/>
          <w:szCs w:val="24"/>
          <w:lang w:val="es-MX"/>
        </w:rPr>
        <w:t xml:space="preserve"> </w:t>
      </w:r>
      <w:r w:rsidRPr="00FE5018">
        <w:rPr>
          <w:rFonts w:ascii="Century Gothic" w:eastAsia="Arial" w:hAnsi="Century Gothic" w:cs="Arial"/>
          <w:bCs/>
          <w:szCs w:val="24"/>
          <w:lang w:val="es-MX"/>
        </w:rPr>
        <w:t>sino que surge de una realidad económica que coloca al acreedor de la pensión en un estado de necesidad e imposibilidad de allegarse de los medios suficientes para su subsistencia.</w:t>
      </w:r>
    </w:p>
    <w:p w14:paraId="36B63346" w14:textId="6250EF50" w:rsidR="003806D2" w:rsidRDefault="00FE5018" w:rsidP="00FE5018">
      <w:pPr>
        <w:pStyle w:val="Normal1"/>
        <w:spacing w:line="360" w:lineRule="auto"/>
        <w:ind w:left="709" w:right="616"/>
        <w:contextualSpacing/>
        <w:jc w:val="both"/>
        <w:rPr>
          <w:rFonts w:ascii="Century Gothic" w:eastAsia="Arial" w:hAnsi="Century Gothic" w:cs="Arial"/>
          <w:bCs/>
          <w:szCs w:val="24"/>
          <w:lang w:val="es-MX"/>
        </w:rPr>
      </w:pPr>
      <w:r w:rsidRPr="00FE5018">
        <w:rPr>
          <w:rFonts w:ascii="Century Gothic" w:eastAsia="Arial" w:hAnsi="Century Gothic" w:cs="Arial"/>
          <w:bCs/>
          <w:szCs w:val="24"/>
          <w:lang w:val="es-MX"/>
        </w:rPr>
        <w:t xml:space="preserve">Por tanto, podemos concluir que la imposición de una pensión compensatoria en estos casos </w:t>
      </w:r>
      <w:r w:rsidRPr="00FE5018">
        <w:rPr>
          <w:rFonts w:ascii="Century Gothic" w:eastAsia="Arial" w:hAnsi="Century Gothic" w:cs="Arial"/>
          <w:b/>
          <w:szCs w:val="24"/>
          <w:lang w:val="es-MX"/>
        </w:rPr>
        <w:t xml:space="preserve">no se constriñe sencillamente a un deber de ayuda mutua, sino que además tiene como objetivo </w:t>
      </w:r>
      <w:r w:rsidRPr="00FE5018">
        <w:rPr>
          <w:rFonts w:ascii="Century Gothic" w:eastAsia="Arial" w:hAnsi="Century Gothic" w:cs="Arial"/>
          <w:b/>
          <w:szCs w:val="24"/>
          <w:lang w:val="es-MX"/>
        </w:rPr>
        <w:lastRenderedPageBreak/>
        <w:t>compensar al cónyuge</w:t>
      </w:r>
      <w:r w:rsidRPr="00FE5018">
        <w:rPr>
          <w:rFonts w:ascii="Century Gothic" w:eastAsia="Arial" w:hAnsi="Century Gothic" w:cs="Arial"/>
          <w:bCs/>
          <w:szCs w:val="24"/>
          <w:lang w:val="es-MX"/>
        </w:rPr>
        <w:t xml:space="preserve"> que durante el matrimonio se vio imposibilitado para hacerse de una independencia económica, dotándolo de un ingreso suficiente hasta en tanto esta persona se encuentre en posibilidades de proporcionarse a sí misma los medios necesarios para su subsistencia.</w:t>
      </w:r>
      <w:r>
        <w:rPr>
          <w:rStyle w:val="Refdenotaalpie"/>
          <w:rFonts w:ascii="Century Gothic" w:eastAsia="Arial" w:hAnsi="Century Gothic" w:cs="Arial"/>
          <w:bCs/>
          <w:szCs w:val="24"/>
          <w:lang w:val="es-MX"/>
        </w:rPr>
        <w:footnoteReference w:id="8"/>
      </w:r>
    </w:p>
    <w:p w14:paraId="31053B01" w14:textId="47DB81BC" w:rsidR="003806D2" w:rsidRDefault="003806D2" w:rsidP="006D7CC4">
      <w:pPr>
        <w:pStyle w:val="Normal1"/>
        <w:spacing w:line="360" w:lineRule="auto"/>
        <w:contextualSpacing/>
        <w:jc w:val="both"/>
        <w:rPr>
          <w:rFonts w:ascii="Century Gothic" w:eastAsia="Arial" w:hAnsi="Century Gothic" w:cs="Arial"/>
          <w:bCs/>
          <w:szCs w:val="24"/>
          <w:lang w:val="es-MX"/>
        </w:rPr>
      </w:pPr>
    </w:p>
    <w:p w14:paraId="5CB7964C" w14:textId="04DCD8EE" w:rsidR="007346D4" w:rsidRPr="007346D4" w:rsidRDefault="007346D4" w:rsidP="007346D4">
      <w:pPr>
        <w:pStyle w:val="Normal1"/>
        <w:spacing w:line="360" w:lineRule="auto"/>
        <w:contextualSpacing/>
        <w:jc w:val="both"/>
        <w:rPr>
          <w:rFonts w:ascii="Century Gothic" w:eastAsia="Arial" w:hAnsi="Century Gothic" w:cs="Arial"/>
          <w:bCs/>
          <w:szCs w:val="24"/>
          <w:lang w:val="es-MX"/>
        </w:rPr>
      </w:pPr>
      <w:r w:rsidRPr="007346D4">
        <w:rPr>
          <w:rFonts w:ascii="Century Gothic" w:eastAsia="Arial" w:hAnsi="Century Gothic" w:cs="Arial"/>
          <w:bCs/>
          <w:szCs w:val="24"/>
          <w:lang w:val="es-MX"/>
        </w:rPr>
        <w:t xml:space="preserve">Con posterioridad, </w:t>
      </w:r>
      <w:r>
        <w:rPr>
          <w:rFonts w:ascii="Century Gothic" w:eastAsia="Arial" w:hAnsi="Century Gothic" w:cs="Arial"/>
          <w:bCs/>
          <w:szCs w:val="24"/>
          <w:lang w:val="es-MX"/>
        </w:rPr>
        <w:t>l</w:t>
      </w:r>
      <w:r w:rsidRPr="007346D4">
        <w:rPr>
          <w:rFonts w:ascii="Century Gothic" w:eastAsia="Arial" w:hAnsi="Century Gothic" w:cs="Arial"/>
          <w:bCs/>
          <w:szCs w:val="24"/>
          <w:lang w:val="es-MX"/>
        </w:rPr>
        <w:t xml:space="preserve">a Primera Sala </w:t>
      </w:r>
      <w:r>
        <w:rPr>
          <w:rFonts w:ascii="Century Gothic" w:eastAsia="Arial" w:hAnsi="Century Gothic" w:cs="Arial"/>
          <w:bCs/>
          <w:szCs w:val="24"/>
          <w:lang w:val="es-MX"/>
        </w:rPr>
        <w:t xml:space="preserve">de la Suprema Corte de Justicia de la Nación, </w:t>
      </w:r>
      <w:r w:rsidRPr="007346D4">
        <w:rPr>
          <w:rFonts w:ascii="Century Gothic" w:eastAsia="Arial" w:hAnsi="Century Gothic" w:cs="Arial"/>
          <w:bCs/>
          <w:szCs w:val="24"/>
          <w:lang w:val="es-MX"/>
        </w:rPr>
        <w:t xml:space="preserve">ha delineado con mayor precisión los alcances de esta figura, determinando, en el </w:t>
      </w:r>
      <w:r w:rsidRPr="007346D4">
        <w:rPr>
          <w:rFonts w:ascii="Century Gothic" w:eastAsia="Arial" w:hAnsi="Century Gothic" w:cs="Arial"/>
          <w:b/>
          <w:szCs w:val="24"/>
          <w:lang w:val="es-MX"/>
        </w:rPr>
        <w:t>Amparo Directo en Revisión 1754/2015</w:t>
      </w:r>
      <w:r w:rsidRPr="007346D4">
        <w:rPr>
          <w:rFonts w:ascii="Century Gothic" w:eastAsia="Arial" w:hAnsi="Century Gothic" w:cs="Arial"/>
          <w:bCs/>
          <w:szCs w:val="24"/>
          <w:lang w:val="es-MX"/>
        </w:rPr>
        <w:t xml:space="preserve"> que:</w:t>
      </w:r>
    </w:p>
    <w:p w14:paraId="72961A92" w14:textId="77777777" w:rsidR="007346D4" w:rsidRDefault="007346D4" w:rsidP="007346D4">
      <w:pPr>
        <w:pStyle w:val="Normal1"/>
        <w:spacing w:line="360" w:lineRule="auto"/>
        <w:contextualSpacing/>
        <w:jc w:val="both"/>
        <w:rPr>
          <w:rFonts w:ascii="Century Gothic" w:eastAsia="Arial" w:hAnsi="Century Gothic" w:cs="Arial"/>
          <w:bCs/>
          <w:szCs w:val="24"/>
          <w:lang w:val="es-MX"/>
        </w:rPr>
      </w:pPr>
    </w:p>
    <w:p w14:paraId="4B0CE469" w14:textId="5469728B" w:rsidR="007346D4" w:rsidRDefault="007346D4" w:rsidP="007346D4">
      <w:pPr>
        <w:pStyle w:val="Normal1"/>
        <w:spacing w:line="360" w:lineRule="auto"/>
        <w:ind w:left="709" w:right="616"/>
        <w:contextualSpacing/>
        <w:jc w:val="both"/>
        <w:rPr>
          <w:rFonts w:ascii="Century Gothic" w:eastAsia="Arial" w:hAnsi="Century Gothic" w:cs="Arial"/>
          <w:bCs/>
          <w:szCs w:val="24"/>
          <w:lang w:val="es-MX"/>
        </w:rPr>
      </w:pPr>
      <w:r>
        <w:rPr>
          <w:rFonts w:ascii="Century Gothic" w:eastAsia="Arial" w:hAnsi="Century Gothic" w:cs="Arial"/>
          <w:bCs/>
          <w:szCs w:val="24"/>
          <w:lang w:val="es-MX"/>
        </w:rPr>
        <w:t>“</w:t>
      </w:r>
      <w:r w:rsidRPr="007346D4">
        <w:rPr>
          <w:rFonts w:ascii="Century Gothic" w:eastAsia="Arial" w:hAnsi="Century Gothic" w:cs="Arial"/>
          <w:bCs/>
          <w:szCs w:val="24"/>
          <w:lang w:val="es-MX"/>
        </w:rPr>
        <w:t>Una resolución que considera que la “doble jornada” no amerita compensación en el caso de que el cónyuge que la realizó requiera del apoyo para tener un nivel de vida adecuado, implica un trato discriminatorio, pues niega un derecho por no haber realizado las tareas domésticas de manera exclusiva y asume que éstas corresponden a la mujer, por el solo hecho de serlo.”</w:t>
      </w:r>
    </w:p>
    <w:p w14:paraId="36710E14" w14:textId="2A35DC86" w:rsidR="00FE5018" w:rsidRDefault="00FE5018" w:rsidP="006D7CC4">
      <w:pPr>
        <w:pStyle w:val="Normal1"/>
        <w:spacing w:line="360" w:lineRule="auto"/>
        <w:contextualSpacing/>
        <w:jc w:val="both"/>
        <w:rPr>
          <w:rFonts w:ascii="Century Gothic" w:eastAsia="Arial" w:hAnsi="Century Gothic" w:cs="Arial"/>
          <w:bCs/>
          <w:szCs w:val="24"/>
          <w:lang w:val="es-MX"/>
        </w:rPr>
      </w:pPr>
    </w:p>
    <w:p w14:paraId="2F466A4C" w14:textId="31808B10" w:rsidR="002D4EAC" w:rsidRDefault="002D4EAC" w:rsidP="002D4EAC">
      <w:pPr>
        <w:pStyle w:val="Normal1"/>
        <w:spacing w:line="360" w:lineRule="auto"/>
        <w:contextualSpacing/>
        <w:jc w:val="both"/>
        <w:rPr>
          <w:rFonts w:ascii="Century Gothic" w:eastAsia="Arial" w:hAnsi="Century Gothic" w:cs="Arial"/>
          <w:bCs/>
          <w:szCs w:val="24"/>
          <w:lang w:val="es-MX"/>
        </w:rPr>
      </w:pPr>
      <w:r w:rsidRPr="002D4EAC">
        <w:rPr>
          <w:rFonts w:ascii="Century Gothic" w:eastAsia="Arial" w:hAnsi="Century Gothic" w:cs="Arial"/>
          <w:bCs/>
          <w:szCs w:val="24"/>
          <w:lang w:val="es-MX"/>
        </w:rPr>
        <w:t>Así</w:t>
      </w:r>
      <w:r>
        <w:rPr>
          <w:rFonts w:ascii="Century Gothic" w:eastAsia="Arial" w:hAnsi="Century Gothic" w:cs="Arial"/>
          <w:bCs/>
          <w:szCs w:val="24"/>
          <w:lang w:val="es-MX"/>
        </w:rPr>
        <w:t xml:space="preserve"> </w:t>
      </w:r>
      <w:r w:rsidRPr="002D4EAC">
        <w:rPr>
          <w:rFonts w:ascii="Century Gothic" w:eastAsia="Arial" w:hAnsi="Century Gothic" w:cs="Arial"/>
          <w:bCs/>
          <w:szCs w:val="24"/>
          <w:lang w:val="es-MX"/>
        </w:rPr>
        <w:t xml:space="preserve">mismo, en el </w:t>
      </w:r>
      <w:r w:rsidRPr="002D4EAC">
        <w:rPr>
          <w:rFonts w:ascii="Century Gothic" w:eastAsia="Arial" w:hAnsi="Century Gothic" w:cs="Arial"/>
          <w:b/>
          <w:szCs w:val="24"/>
          <w:lang w:val="es-MX"/>
        </w:rPr>
        <w:t>Amparo Directo en Revisión 1340/2015</w:t>
      </w:r>
      <w:r w:rsidRPr="002D4EAC">
        <w:rPr>
          <w:rFonts w:ascii="Century Gothic" w:eastAsia="Arial" w:hAnsi="Century Gothic" w:cs="Arial"/>
          <w:bCs/>
          <w:szCs w:val="24"/>
          <w:lang w:val="es-MX"/>
        </w:rPr>
        <w:t xml:space="preserve">, </w:t>
      </w:r>
      <w:r>
        <w:rPr>
          <w:rFonts w:ascii="Century Gothic" w:eastAsia="Arial" w:hAnsi="Century Gothic" w:cs="Arial"/>
          <w:bCs/>
          <w:szCs w:val="24"/>
          <w:lang w:val="es-MX"/>
        </w:rPr>
        <w:t>l</w:t>
      </w:r>
      <w:r w:rsidRPr="002D4EAC">
        <w:rPr>
          <w:rFonts w:ascii="Century Gothic" w:eastAsia="Arial" w:hAnsi="Century Gothic" w:cs="Arial"/>
          <w:bCs/>
          <w:szCs w:val="24"/>
          <w:lang w:val="es-MX"/>
        </w:rPr>
        <w:t>a</w:t>
      </w:r>
      <w:r>
        <w:rPr>
          <w:rFonts w:ascii="Century Gothic" w:eastAsia="Arial" w:hAnsi="Century Gothic" w:cs="Arial"/>
          <w:bCs/>
          <w:szCs w:val="24"/>
          <w:lang w:val="es-MX"/>
        </w:rPr>
        <w:t xml:space="preserve"> misma</w:t>
      </w:r>
      <w:r w:rsidRPr="002D4EAC">
        <w:rPr>
          <w:rFonts w:ascii="Century Gothic" w:eastAsia="Arial" w:hAnsi="Century Gothic" w:cs="Arial"/>
          <w:bCs/>
          <w:szCs w:val="24"/>
          <w:lang w:val="es-MX"/>
        </w:rPr>
        <w:t xml:space="preserve"> Primera Sala determinó la inconstitucionalidad de la exigencia contenida en el artículo 476 Ter del Código de Procedimientos Familiares de Hidalgo de que </w:t>
      </w:r>
      <w:r w:rsidRPr="002D4EAC">
        <w:rPr>
          <w:rFonts w:ascii="Century Gothic" w:eastAsia="Arial" w:hAnsi="Century Gothic" w:cs="Arial"/>
          <w:bCs/>
          <w:szCs w:val="24"/>
          <w:lang w:val="es-MX"/>
        </w:rPr>
        <w:lastRenderedPageBreak/>
        <w:t xml:space="preserve">el acreedor de la pensión compensatoria se encontrara incapacitado para obtener lo necesario para su subsistencia y careciera de bienes inmuebles, determinando, </w:t>
      </w:r>
      <w:r>
        <w:rPr>
          <w:rFonts w:ascii="Century Gothic" w:eastAsia="Arial" w:hAnsi="Century Gothic" w:cs="Arial"/>
          <w:bCs/>
          <w:szCs w:val="24"/>
          <w:lang w:val="es-MX"/>
        </w:rPr>
        <w:t>lo siguiente</w:t>
      </w:r>
      <w:r w:rsidRPr="002D4EAC">
        <w:rPr>
          <w:rFonts w:ascii="Century Gothic" w:eastAsia="Arial" w:hAnsi="Century Gothic" w:cs="Arial"/>
          <w:bCs/>
          <w:szCs w:val="24"/>
          <w:lang w:val="es-MX"/>
        </w:rPr>
        <w:t>:</w:t>
      </w:r>
    </w:p>
    <w:p w14:paraId="2B63C027" w14:textId="77777777" w:rsidR="002D4EAC" w:rsidRPr="002D4EAC" w:rsidRDefault="002D4EAC" w:rsidP="002D4EAC">
      <w:pPr>
        <w:pStyle w:val="Normal1"/>
        <w:spacing w:line="360" w:lineRule="auto"/>
        <w:contextualSpacing/>
        <w:jc w:val="both"/>
        <w:rPr>
          <w:rFonts w:ascii="Century Gothic" w:eastAsia="Arial" w:hAnsi="Century Gothic" w:cs="Arial"/>
          <w:bCs/>
          <w:szCs w:val="24"/>
          <w:lang w:val="es-MX"/>
        </w:rPr>
      </w:pPr>
    </w:p>
    <w:p w14:paraId="6F59D08D" w14:textId="0FB121B8" w:rsidR="00FE5018" w:rsidRDefault="002D4EAC" w:rsidP="002D4EAC">
      <w:pPr>
        <w:pStyle w:val="Normal1"/>
        <w:spacing w:line="360" w:lineRule="auto"/>
        <w:ind w:left="709" w:right="616"/>
        <w:contextualSpacing/>
        <w:jc w:val="both"/>
        <w:rPr>
          <w:rFonts w:ascii="Century Gothic" w:eastAsia="Arial" w:hAnsi="Century Gothic" w:cs="Arial"/>
          <w:bCs/>
          <w:szCs w:val="24"/>
          <w:lang w:val="es-MX"/>
        </w:rPr>
      </w:pPr>
      <w:r>
        <w:rPr>
          <w:rFonts w:ascii="Century Gothic" w:eastAsia="Arial" w:hAnsi="Century Gothic" w:cs="Arial"/>
          <w:bCs/>
          <w:szCs w:val="24"/>
          <w:lang w:val="es-MX"/>
        </w:rPr>
        <w:t>“</w:t>
      </w:r>
      <w:r w:rsidRPr="002D4EAC">
        <w:rPr>
          <w:rFonts w:ascii="Century Gothic" w:eastAsia="Arial" w:hAnsi="Century Gothic" w:cs="Arial"/>
          <w:bCs/>
          <w:szCs w:val="24"/>
          <w:lang w:val="es-MX"/>
        </w:rPr>
        <w:t>El artículo impugnado sí es violatorio de los derechos a la igualdad y no discriminación y a gozar de un nivel de vida adecuado o digno. Ello</w:t>
      </w:r>
      <w:r>
        <w:rPr>
          <w:rFonts w:ascii="Century Gothic" w:eastAsia="Arial" w:hAnsi="Century Gothic" w:cs="Arial"/>
          <w:bCs/>
          <w:szCs w:val="24"/>
          <w:lang w:val="es-MX"/>
        </w:rPr>
        <w:t xml:space="preserve"> </w:t>
      </w:r>
      <w:r w:rsidRPr="002D4EAC">
        <w:rPr>
          <w:rFonts w:ascii="Century Gothic" w:eastAsia="Arial" w:hAnsi="Century Gothic" w:cs="Arial"/>
          <w:bCs/>
          <w:szCs w:val="24"/>
          <w:lang w:val="es-MX"/>
        </w:rPr>
        <w:t xml:space="preserve">porque, de interpretarse dicho precepto como lo hicieron los órganos jurisdiccionales durante la secuela procesal en el presente asunto, esto es, limitando la procedencia de una pensión alimenticia únicamente a la hipótesis consistente en que el acreedor se encuentre incapacitado física o mentalmente para obtener lo necesario para subsistir y carezca de bienes, se invisibiliza la eventual vulnerabilidad generada durante el matrimonio a partir de determinada división del trabajo, que igualmente puede constituir una causa objetiva, real y legítima de necesidad alimentaria. En consecuencia, resulta un imperativo de igualdad y justicia contrarrestar dicha construcción hermenéutica a fin de garantizar el derecho fundamental de acceso a un nivel de vida adecuado del cónyuge que, por asumir preponderantemente las cargas domésticas y de cuidado durante el matrimonio, sufre una </w:t>
      </w:r>
      <w:r w:rsidRPr="002D4EAC">
        <w:rPr>
          <w:rFonts w:ascii="Century Gothic" w:eastAsia="Arial" w:hAnsi="Century Gothic" w:cs="Arial"/>
          <w:bCs/>
          <w:szCs w:val="24"/>
          <w:lang w:val="es-MX"/>
        </w:rPr>
        <w:lastRenderedPageBreak/>
        <w:t>desventaja económica tal que incide en su capacidad para hacerse de los medios suficientes para allegarse alimentos</w:t>
      </w:r>
      <w:r>
        <w:rPr>
          <w:rFonts w:ascii="Century Gothic" w:eastAsia="Arial" w:hAnsi="Century Gothic" w:cs="Arial"/>
          <w:bCs/>
          <w:szCs w:val="24"/>
          <w:lang w:val="es-MX"/>
        </w:rPr>
        <w:t xml:space="preserve">. </w:t>
      </w:r>
      <w:r>
        <w:rPr>
          <w:rStyle w:val="Refdenotaalpie"/>
          <w:rFonts w:ascii="Century Gothic" w:eastAsia="Arial" w:hAnsi="Century Gothic" w:cs="Arial"/>
          <w:bCs/>
          <w:szCs w:val="24"/>
          <w:lang w:val="es-MX"/>
        </w:rPr>
        <w:footnoteReference w:id="9"/>
      </w:r>
    </w:p>
    <w:p w14:paraId="3BD04AE4" w14:textId="3EEA26C5" w:rsidR="002D4EAC" w:rsidRDefault="002D4EAC" w:rsidP="006D7CC4">
      <w:pPr>
        <w:pStyle w:val="Normal1"/>
        <w:spacing w:line="360" w:lineRule="auto"/>
        <w:contextualSpacing/>
        <w:jc w:val="both"/>
        <w:rPr>
          <w:rFonts w:ascii="Century Gothic" w:eastAsia="Arial" w:hAnsi="Century Gothic" w:cs="Arial"/>
          <w:bCs/>
          <w:szCs w:val="24"/>
          <w:lang w:val="es-MX"/>
        </w:rPr>
      </w:pPr>
    </w:p>
    <w:p w14:paraId="37DE1F52" w14:textId="35520E96" w:rsidR="002D4EAC" w:rsidRDefault="00B12A5F" w:rsidP="006D7CC4">
      <w:pPr>
        <w:pStyle w:val="Normal1"/>
        <w:spacing w:line="360" w:lineRule="auto"/>
        <w:contextualSpacing/>
        <w:jc w:val="both"/>
        <w:rPr>
          <w:rFonts w:ascii="Century Gothic" w:eastAsia="Arial" w:hAnsi="Century Gothic" w:cs="Arial"/>
          <w:bCs/>
          <w:szCs w:val="24"/>
          <w:lang w:val="es-MX"/>
        </w:rPr>
      </w:pPr>
      <w:r w:rsidRPr="00B12A5F">
        <w:rPr>
          <w:rFonts w:ascii="Century Gothic" w:eastAsia="Arial" w:hAnsi="Century Gothic" w:cs="Arial"/>
          <w:b/>
          <w:szCs w:val="24"/>
          <w:lang w:val="es-MX"/>
        </w:rPr>
        <w:t>VI.-</w:t>
      </w:r>
      <w:r>
        <w:rPr>
          <w:rFonts w:ascii="Century Gothic" w:eastAsia="Arial" w:hAnsi="Century Gothic" w:cs="Arial"/>
          <w:bCs/>
          <w:szCs w:val="24"/>
          <w:lang w:val="es-MX"/>
        </w:rPr>
        <w:t xml:space="preserve"> </w:t>
      </w:r>
      <w:r w:rsidR="002D4EAC" w:rsidRPr="002D4EAC">
        <w:rPr>
          <w:rFonts w:ascii="Century Gothic" w:eastAsia="Arial" w:hAnsi="Century Gothic" w:cs="Arial"/>
          <w:bCs/>
          <w:szCs w:val="24"/>
          <w:lang w:val="es-MX"/>
        </w:rPr>
        <w:t>De lo</w:t>
      </w:r>
      <w:r w:rsidR="00497866">
        <w:rPr>
          <w:rFonts w:ascii="Century Gothic" w:eastAsia="Arial" w:hAnsi="Century Gothic" w:cs="Arial"/>
          <w:bCs/>
          <w:szCs w:val="24"/>
          <w:lang w:val="es-MX"/>
        </w:rPr>
        <w:t xml:space="preserve"> anterior se concluye que</w:t>
      </w:r>
      <w:r w:rsidR="002D4EAC" w:rsidRPr="002D4EAC">
        <w:rPr>
          <w:rFonts w:ascii="Century Gothic" w:eastAsia="Arial" w:hAnsi="Century Gothic" w:cs="Arial"/>
          <w:bCs/>
          <w:szCs w:val="24"/>
          <w:lang w:val="es-MX"/>
        </w:rPr>
        <w:t xml:space="preserve">, según la postura de </w:t>
      </w:r>
      <w:r w:rsidR="002D4EAC">
        <w:rPr>
          <w:rFonts w:ascii="Century Gothic" w:eastAsia="Arial" w:hAnsi="Century Gothic" w:cs="Arial"/>
          <w:bCs/>
          <w:szCs w:val="24"/>
          <w:lang w:val="es-MX"/>
        </w:rPr>
        <w:t>l</w:t>
      </w:r>
      <w:r w:rsidR="002D4EAC" w:rsidRPr="002D4EAC">
        <w:rPr>
          <w:rFonts w:ascii="Century Gothic" w:eastAsia="Arial" w:hAnsi="Century Gothic" w:cs="Arial"/>
          <w:bCs/>
          <w:szCs w:val="24"/>
          <w:lang w:val="es-MX"/>
        </w:rPr>
        <w:t>a Primera Sala, la pensión compensatoria tiene una finalidad específica, distinta de otros derechos de carácter asistencial derivados de las relaciones familiares, y, derivado de su naturaleza resarcitoria, tiene presupuestos de procedencia distintos de aquéllos.</w:t>
      </w:r>
    </w:p>
    <w:p w14:paraId="4409DC11" w14:textId="494C63D9" w:rsidR="00497866" w:rsidRDefault="00497866" w:rsidP="006D7CC4">
      <w:pPr>
        <w:pStyle w:val="Normal1"/>
        <w:spacing w:line="360" w:lineRule="auto"/>
        <w:contextualSpacing/>
        <w:jc w:val="both"/>
        <w:rPr>
          <w:rFonts w:ascii="Century Gothic" w:eastAsia="Arial" w:hAnsi="Century Gothic" w:cs="Arial"/>
          <w:bCs/>
          <w:szCs w:val="24"/>
          <w:lang w:val="es-MX"/>
        </w:rPr>
      </w:pPr>
    </w:p>
    <w:p w14:paraId="129F5659" w14:textId="40B4A258" w:rsidR="00497866" w:rsidRDefault="00AA5708" w:rsidP="006D7CC4">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Atendiendo pues, a los desarrollos jurisprudenciales, algunos puntos a resaltar en materia de pensión compensatoria, son que la misma: </w:t>
      </w:r>
    </w:p>
    <w:p w14:paraId="0840E1E2" w14:textId="3C2655D9" w:rsidR="00AA5708" w:rsidRDefault="00AA5708" w:rsidP="006D7CC4">
      <w:pPr>
        <w:pStyle w:val="Normal1"/>
        <w:spacing w:line="360" w:lineRule="auto"/>
        <w:contextualSpacing/>
        <w:jc w:val="both"/>
        <w:rPr>
          <w:rFonts w:ascii="Century Gothic" w:eastAsia="Arial" w:hAnsi="Century Gothic" w:cs="Arial"/>
          <w:bCs/>
          <w:szCs w:val="24"/>
          <w:lang w:val="es-MX"/>
        </w:rPr>
      </w:pPr>
    </w:p>
    <w:p w14:paraId="25B828E5" w14:textId="0ED53DDF" w:rsidR="00AA5708" w:rsidRDefault="00AA5708" w:rsidP="006D7CC4">
      <w:pPr>
        <w:pStyle w:val="Normal1"/>
        <w:spacing w:line="360" w:lineRule="auto"/>
        <w:contextualSpacing/>
        <w:jc w:val="both"/>
        <w:rPr>
          <w:rFonts w:ascii="Century Gothic" w:eastAsia="Arial" w:hAnsi="Century Gothic" w:cs="Arial"/>
          <w:bCs/>
          <w:szCs w:val="24"/>
          <w:lang w:val="es-MX"/>
        </w:rPr>
      </w:pPr>
      <w:proofErr w:type="gramStart"/>
      <w:r w:rsidRPr="00AA5708">
        <w:rPr>
          <w:rFonts w:ascii="Century Gothic" w:eastAsia="Arial" w:hAnsi="Century Gothic" w:cs="Arial"/>
          <w:b/>
          <w:i/>
          <w:iCs/>
          <w:szCs w:val="24"/>
          <w:lang w:val="es-MX"/>
        </w:rPr>
        <w:t>Primero.-</w:t>
      </w:r>
      <w:proofErr w:type="gramEnd"/>
      <w:r>
        <w:rPr>
          <w:rFonts w:ascii="Century Gothic" w:eastAsia="Arial" w:hAnsi="Century Gothic" w:cs="Arial"/>
          <w:bCs/>
          <w:szCs w:val="24"/>
          <w:lang w:val="es-MX"/>
        </w:rPr>
        <w:t xml:space="preserve"> No se encuentra sujeta a la determinación de un cónyuge culpable.</w:t>
      </w:r>
      <w:r>
        <w:rPr>
          <w:rStyle w:val="Refdenotaalpie"/>
          <w:rFonts w:ascii="Century Gothic" w:eastAsia="Arial" w:hAnsi="Century Gothic" w:cs="Arial"/>
          <w:bCs/>
          <w:szCs w:val="24"/>
          <w:lang w:val="es-MX"/>
        </w:rPr>
        <w:footnoteReference w:id="10"/>
      </w:r>
    </w:p>
    <w:p w14:paraId="65CAC000" w14:textId="2E349FE9" w:rsidR="00AA5708" w:rsidRDefault="00AA5708" w:rsidP="006D7CC4">
      <w:pPr>
        <w:pStyle w:val="Normal1"/>
        <w:spacing w:line="360" w:lineRule="auto"/>
        <w:contextualSpacing/>
        <w:jc w:val="both"/>
        <w:rPr>
          <w:rFonts w:ascii="Century Gothic" w:eastAsia="Arial" w:hAnsi="Century Gothic" w:cs="Arial"/>
          <w:bCs/>
          <w:szCs w:val="24"/>
          <w:lang w:val="es-MX"/>
        </w:rPr>
      </w:pPr>
    </w:p>
    <w:p w14:paraId="33E7744E" w14:textId="374AF0EB" w:rsidR="00AA5708" w:rsidRDefault="00AA5708" w:rsidP="006D7CC4">
      <w:pPr>
        <w:pStyle w:val="Normal1"/>
        <w:spacing w:line="360" w:lineRule="auto"/>
        <w:contextualSpacing/>
        <w:jc w:val="both"/>
        <w:rPr>
          <w:rFonts w:ascii="Century Gothic" w:eastAsia="Arial" w:hAnsi="Century Gothic" w:cs="Arial"/>
          <w:bCs/>
          <w:szCs w:val="24"/>
          <w:lang w:val="es-MX"/>
        </w:rPr>
      </w:pPr>
      <w:proofErr w:type="gramStart"/>
      <w:r w:rsidRPr="00AA5708">
        <w:rPr>
          <w:rFonts w:ascii="Century Gothic" w:eastAsia="Arial" w:hAnsi="Century Gothic" w:cs="Arial"/>
          <w:b/>
          <w:i/>
          <w:iCs/>
          <w:szCs w:val="24"/>
          <w:lang w:val="es-MX"/>
        </w:rPr>
        <w:t>Segundo.-</w:t>
      </w:r>
      <w:proofErr w:type="gramEnd"/>
      <w:r w:rsidRPr="00AA5708">
        <w:rPr>
          <w:rFonts w:ascii="Century Gothic" w:eastAsia="Arial" w:hAnsi="Century Gothic" w:cs="Arial"/>
          <w:b/>
          <w:i/>
          <w:iCs/>
          <w:szCs w:val="24"/>
          <w:lang w:val="es-MX"/>
        </w:rPr>
        <w:t xml:space="preserve"> </w:t>
      </w:r>
      <w:r>
        <w:rPr>
          <w:rFonts w:ascii="Century Gothic" w:eastAsia="Arial" w:hAnsi="Century Gothic" w:cs="Arial"/>
          <w:bCs/>
          <w:szCs w:val="24"/>
          <w:lang w:val="es-MX"/>
        </w:rPr>
        <w:t>N</w:t>
      </w:r>
      <w:r w:rsidRPr="00AA5708">
        <w:rPr>
          <w:rFonts w:ascii="Century Gothic" w:eastAsia="Arial" w:hAnsi="Century Gothic" w:cs="Arial"/>
          <w:bCs/>
          <w:szCs w:val="24"/>
          <w:lang w:val="es-MX"/>
        </w:rPr>
        <w:t>i a la imposibilidad de uno de ellos para allegarse de los medios necesarios para subsistir</w:t>
      </w:r>
      <w:r w:rsidR="00390650">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11"/>
      </w:r>
      <w:r w:rsidR="00390650">
        <w:rPr>
          <w:rFonts w:ascii="Century Gothic" w:eastAsia="Arial" w:hAnsi="Century Gothic" w:cs="Arial"/>
          <w:bCs/>
          <w:szCs w:val="24"/>
          <w:lang w:val="es-MX"/>
        </w:rPr>
        <w:t xml:space="preserve"> </w:t>
      </w:r>
    </w:p>
    <w:p w14:paraId="52D358B8" w14:textId="10FF72FF" w:rsidR="00AA5708" w:rsidRDefault="00AA5708" w:rsidP="006D7CC4">
      <w:pPr>
        <w:pStyle w:val="Normal1"/>
        <w:spacing w:line="360" w:lineRule="auto"/>
        <w:contextualSpacing/>
        <w:jc w:val="both"/>
        <w:rPr>
          <w:rFonts w:ascii="Century Gothic" w:eastAsia="Arial" w:hAnsi="Century Gothic" w:cs="Arial"/>
          <w:bCs/>
          <w:szCs w:val="24"/>
          <w:lang w:val="es-MX"/>
        </w:rPr>
      </w:pPr>
    </w:p>
    <w:p w14:paraId="32EB668C" w14:textId="1BCD70B7" w:rsidR="00AA5708" w:rsidRDefault="00AA5708" w:rsidP="006D7CC4">
      <w:pPr>
        <w:pStyle w:val="Normal1"/>
        <w:spacing w:line="360" w:lineRule="auto"/>
        <w:contextualSpacing/>
        <w:jc w:val="both"/>
        <w:rPr>
          <w:rFonts w:ascii="Century Gothic" w:eastAsia="Arial" w:hAnsi="Century Gothic" w:cs="Arial"/>
          <w:bCs/>
          <w:szCs w:val="24"/>
          <w:lang w:val="es-MX"/>
        </w:rPr>
      </w:pPr>
      <w:proofErr w:type="gramStart"/>
      <w:r w:rsidRPr="00AA5708">
        <w:rPr>
          <w:rFonts w:ascii="Century Gothic" w:eastAsia="Arial" w:hAnsi="Century Gothic" w:cs="Arial"/>
          <w:b/>
          <w:i/>
          <w:iCs/>
          <w:szCs w:val="24"/>
          <w:lang w:val="es-MX"/>
        </w:rPr>
        <w:lastRenderedPageBreak/>
        <w:t>Tercero.-</w:t>
      </w:r>
      <w:proofErr w:type="gramEnd"/>
      <w:r>
        <w:rPr>
          <w:rFonts w:ascii="Century Gothic" w:eastAsia="Arial" w:hAnsi="Century Gothic" w:cs="Arial"/>
          <w:bCs/>
          <w:szCs w:val="24"/>
          <w:lang w:val="es-MX"/>
        </w:rPr>
        <w:t xml:space="preserve"> C</w:t>
      </w:r>
      <w:r w:rsidRPr="00AA5708">
        <w:rPr>
          <w:rFonts w:ascii="Century Gothic" w:eastAsia="Arial" w:hAnsi="Century Gothic" w:cs="Arial"/>
          <w:bCs/>
          <w:szCs w:val="24"/>
          <w:lang w:val="es-MX"/>
        </w:rPr>
        <w:t xml:space="preserve">omo tampoco verse mermado por el hecho de que la </w:t>
      </w:r>
      <w:r>
        <w:rPr>
          <w:rFonts w:ascii="Century Gothic" w:eastAsia="Arial" w:hAnsi="Century Gothic" w:cs="Arial"/>
          <w:bCs/>
          <w:szCs w:val="24"/>
          <w:lang w:val="es-MX"/>
        </w:rPr>
        <w:t xml:space="preserve">parte </w:t>
      </w:r>
      <w:r w:rsidRPr="00AA5708">
        <w:rPr>
          <w:rFonts w:ascii="Century Gothic" w:eastAsia="Arial" w:hAnsi="Century Gothic" w:cs="Arial"/>
          <w:bCs/>
          <w:szCs w:val="24"/>
          <w:lang w:val="es-MX"/>
        </w:rPr>
        <w:t>acreedora haya asumido, durante el matrimonio o parte de éste, una doble jornada</w:t>
      </w:r>
      <w:r>
        <w:rPr>
          <w:rFonts w:ascii="Century Gothic" w:eastAsia="Arial" w:hAnsi="Century Gothic" w:cs="Arial"/>
          <w:bCs/>
          <w:szCs w:val="24"/>
          <w:lang w:val="es-MX"/>
        </w:rPr>
        <w:t>.</w:t>
      </w:r>
      <w:r>
        <w:rPr>
          <w:rStyle w:val="Refdenotaalpie"/>
          <w:rFonts w:ascii="Century Gothic" w:eastAsia="Arial" w:hAnsi="Century Gothic" w:cs="Arial"/>
          <w:bCs/>
          <w:szCs w:val="24"/>
          <w:lang w:val="es-MX"/>
        </w:rPr>
        <w:footnoteReference w:id="12"/>
      </w:r>
      <w:r>
        <w:rPr>
          <w:rFonts w:ascii="Century Gothic" w:eastAsia="Arial" w:hAnsi="Century Gothic" w:cs="Arial"/>
          <w:bCs/>
          <w:szCs w:val="24"/>
          <w:lang w:val="es-MX"/>
        </w:rPr>
        <w:t xml:space="preserve"> </w:t>
      </w:r>
    </w:p>
    <w:p w14:paraId="3369EB88" w14:textId="017D8C17" w:rsidR="004C06E7" w:rsidRDefault="004C06E7" w:rsidP="006D7CC4">
      <w:pPr>
        <w:pStyle w:val="Normal1"/>
        <w:spacing w:line="360" w:lineRule="auto"/>
        <w:contextualSpacing/>
        <w:jc w:val="both"/>
        <w:rPr>
          <w:rFonts w:ascii="Century Gothic" w:eastAsia="Arial" w:hAnsi="Century Gothic" w:cs="Arial"/>
          <w:bCs/>
          <w:szCs w:val="24"/>
          <w:lang w:val="es-MX"/>
        </w:rPr>
      </w:pPr>
    </w:p>
    <w:p w14:paraId="4873ED00" w14:textId="4A4A98EC" w:rsidR="004C06E7" w:rsidRDefault="004C06E7" w:rsidP="006D7CC4">
      <w:pPr>
        <w:pStyle w:val="Normal1"/>
        <w:spacing w:line="360" w:lineRule="auto"/>
        <w:contextualSpacing/>
        <w:jc w:val="both"/>
        <w:rPr>
          <w:rFonts w:ascii="Century Gothic" w:eastAsia="Arial" w:hAnsi="Century Gothic" w:cs="Arial"/>
          <w:bCs/>
          <w:szCs w:val="24"/>
          <w:lang w:val="es-MX"/>
        </w:rPr>
      </w:pPr>
      <w:proofErr w:type="gramStart"/>
      <w:r w:rsidRPr="004C06E7">
        <w:rPr>
          <w:rFonts w:ascii="Century Gothic" w:eastAsia="Arial" w:hAnsi="Century Gothic" w:cs="Arial"/>
          <w:b/>
          <w:i/>
          <w:iCs/>
          <w:szCs w:val="24"/>
          <w:lang w:val="es-MX"/>
        </w:rPr>
        <w:t>Cuarto.-</w:t>
      </w:r>
      <w:proofErr w:type="gramEnd"/>
      <w:r>
        <w:rPr>
          <w:rFonts w:ascii="Century Gothic" w:eastAsia="Arial" w:hAnsi="Century Gothic" w:cs="Arial"/>
          <w:bCs/>
          <w:szCs w:val="24"/>
          <w:lang w:val="es-MX"/>
        </w:rPr>
        <w:t xml:space="preserve"> El derecho a obtenerla no puede depender del reconocimiento expreso que haga cada legislación estatal, </w:t>
      </w:r>
      <w:r w:rsidRPr="004C06E7">
        <w:rPr>
          <w:rFonts w:ascii="Century Gothic" w:eastAsia="Arial" w:hAnsi="Century Gothic" w:cs="Arial"/>
          <w:bCs/>
          <w:szCs w:val="24"/>
          <w:lang w:val="es-MX"/>
        </w:rPr>
        <w:t xml:space="preserve">sino que, atiende a los principios constitucionales y convencionales de los cuales deriva </w:t>
      </w:r>
      <w:r w:rsidR="00BA4181">
        <w:rPr>
          <w:rFonts w:ascii="Century Gothic" w:eastAsia="Arial" w:hAnsi="Century Gothic" w:cs="Arial"/>
          <w:bCs/>
          <w:szCs w:val="24"/>
          <w:lang w:val="es-MX"/>
        </w:rPr>
        <w:t xml:space="preserve">la protección a la familia, la </w:t>
      </w:r>
      <w:r w:rsidRPr="004C06E7">
        <w:rPr>
          <w:rFonts w:ascii="Century Gothic" w:eastAsia="Arial" w:hAnsi="Century Gothic" w:cs="Arial"/>
          <w:bCs/>
          <w:szCs w:val="24"/>
          <w:lang w:val="es-MX"/>
        </w:rPr>
        <w:t>igualdad sustantiva e igualdad entre cónyuges.</w:t>
      </w:r>
      <w:r w:rsidR="00BA4181">
        <w:rPr>
          <w:rStyle w:val="Refdenotaalpie"/>
          <w:rFonts w:ascii="Century Gothic" w:eastAsia="Arial" w:hAnsi="Century Gothic" w:cs="Arial"/>
          <w:bCs/>
          <w:szCs w:val="24"/>
          <w:lang w:val="es-MX"/>
        </w:rPr>
        <w:footnoteReference w:id="13"/>
      </w:r>
    </w:p>
    <w:p w14:paraId="2AD97E30" w14:textId="74CAB2DA" w:rsidR="00390650" w:rsidRDefault="00390650" w:rsidP="006D7CC4">
      <w:pPr>
        <w:pStyle w:val="Normal1"/>
        <w:spacing w:line="360" w:lineRule="auto"/>
        <w:contextualSpacing/>
        <w:jc w:val="both"/>
        <w:rPr>
          <w:rFonts w:ascii="Century Gothic" w:eastAsia="Arial" w:hAnsi="Century Gothic" w:cs="Arial"/>
          <w:bCs/>
          <w:szCs w:val="24"/>
          <w:lang w:val="es-MX"/>
        </w:rPr>
      </w:pPr>
    </w:p>
    <w:p w14:paraId="1F3C56F9" w14:textId="6B313C4A" w:rsidR="00390650" w:rsidRDefault="00F77851" w:rsidP="00F77851">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No omitimos mencionar que el artículo 268 Bis., vigente regula la </w:t>
      </w:r>
      <w:r w:rsidRPr="00F77851">
        <w:rPr>
          <w:rFonts w:ascii="Century Gothic" w:eastAsia="Arial" w:hAnsi="Century Gothic" w:cs="Arial"/>
          <w:b/>
          <w:bCs/>
          <w:szCs w:val="24"/>
          <w:lang w:val="es-MX"/>
        </w:rPr>
        <w:t>“compensación”</w:t>
      </w:r>
      <w:r>
        <w:rPr>
          <w:rFonts w:ascii="Century Gothic" w:eastAsia="Arial" w:hAnsi="Century Gothic" w:cs="Arial"/>
          <w:bCs/>
          <w:szCs w:val="24"/>
          <w:lang w:val="es-MX"/>
        </w:rPr>
        <w:t xml:space="preserve">, misma que difiere de la figura de </w:t>
      </w:r>
      <w:r w:rsidRPr="00F77851">
        <w:rPr>
          <w:rFonts w:ascii="Century Gothic" w:eastAsia="Arial" w:hAnsi="Century Gothic" w:cs="Arial"/>
          <w:b/>
          <w:bCs/>
          <w:szCs w:val="24"/>
          <w:lang w:val="es-MX"/>
        </w:rPr>
        <w:t>“pensión compensatoria”</w:t>
      </w:r>
      <w:r>
        <w:rPr>
          <w:rFonts w:ascii="Century Gothic" w:eastAsia="Arial" w:hAnsi="Century Gothic" w:cs="Arial"/>
          <w:bCs/>
          <w:szCs w:val="24"/>
          <w:lang w:val="es-MX"/>
        </w:rPr>
        <w:t xml:space="preserve"> que se pretende adicionar a través de la iniciativa en estudio, para lo cual, destacamos </w:t>
      </w:r>
      <w:r w:rsidRPr="00F77851">
        <w:rPr>
          <w:rFonts w:ascii="Century Gothic" w:eastAsia="Arial" w:hAnsi="Century Gothic" w:cs="Arial"/>
          <w:bCs/>
          <w:szCs w:val="24"/>
          <w:lang w:val="es-MX"/>
        </w:rPr>
        <w:t>una distin</w:t>
      </w:r>
      <w:r>
        <w:rPr>
          <w:rFonts w:ascii="Century Gothic" w:eastAsia="Arial" w:hAnsi="Century Gothic" w:cs="Arial"/>
          <w:bCs/>
          <w:szCs w:val="24"/>
          <w:lang w:val="es-MX"/>
        </w:rPr>
        <w:t xml:space="preserve">ción importante entre estas dos </w:t>
      </w:r>
      <w:r w:rsidRPr="00F77851">
        <w:rPr>
          <w:rFonts w:ascii="Century Gothic" w:eastAsia="Arial" w:hAnsi="Century Gothic" w:cs="Arial"/>
          <w:bCs/>
          <w:szCs w:val="24"/>
          <w:lang w:val="es-MX"/>
        </w:rPr>
        <w:t>figuras en cuanto a sus respectivas modal</w:t>
      </w:r>
      <w:r>
        <w:rPr>
          <w:rFonts w:ascii="Century Gothic" w:eastAsia="Arial" w:hAnsi="Century Gothic" w:cs="Arial"/>
          <w:bCs/>
          <w:szCs w:val="24"/>
          <w:lang w:val="es-MX"/>
        </w:rPr>
        <w:t xml:space="preserve">idades de cumplimiento, pues la </w:t>
      </w:r>
      <w:r w:rsidRPr="00F77851">
        <w:rPr>
          <w:rFonts w:ascii="Century Gothic" w:eastAsia="Arial" w:hAnsi="Century Gothic" w:cs="Arial"/>
          <w:b/>
          <w:bCs/>
          <w:szCs w:val="24"/>
          <w:lang w:val="es-MX"/>
        </w:rPr>
        <w:t>“compensación”</w:t>
      </w:r>
      <w:r w:rsidRPr="00F77851">
        <w:rPr>
          <w:rFonts w:ascii="Century Gothic" w:eastAsia="Arial" w:hAnsi="Century Gothic" w:cs="Arial"/>
          <w:bCs/>
          <w:szCs w:val="24"/>
          <w:lang w:val="es-MX"/>
        </w:rPr>
        <w:t xml:space="preserve"> se agota de forma insta</w:t>
      </w:r>
      <w:r>
        <w:rPr>
          <w:rFonts w:ascii="Century Gothic" w:eastAsia="Arial" w:hAnsi="Century Gothic" w:cs="Arial"/>
          <w:bCs/>
          <w:szCs w:val="24"/>
          <w:lang w:val="es-MX"/>
        </w:rPr>
        <w:t xml:space="preserve">ntánea, en una sola exhibición, </w:t>
      </w:r>
      <w:r w:rsidRPr="00F77851">
        <w:rPr>
          <w:rFonts w:ascii="Century Gothic" w:eastAsia="Arial" w:hAnsi="Century Gothic" w:cs="Arial"/>
          <w:bCs/>
          <w:szCs w:val="24"/>
          <w:lang w:val="es-MX"/>
        </w:rPr>
        <w:t xml:space="preserve">mientras que la </w:t>
      </w:r>
      <w:r w:rsidRPr="00F77851">
        <w:rPr>
          <w:rFonts w:ascii="Century Gothic" w:eastAsia="Arial" w:hAnsi="Century Gothic" w:cs="Arial"/>
          <w:b/>
          <w:bCs/>
          <w:szCs w:val="24"/>
          <w:lang w:val="es-MX"/>
        </w:rPr>
        <w:t>“pensión compensatoria”</w:t>
      </w:r>
      <w:r w:rsidRPr="00F77851">
        <w:rPr>
          <w:rFonts w:ascii="Century Gothic" w:eastAsia="Arial" w:hAnsi="Century Gothic" w:cs="Arial"/>
          <w:bCs/>
          <w:szCs w:val="24"/>
          <w:lang w:val="es-MX"/>
        </w:rPr>
        <w:t>, al ser d</w:t>
      </w:r>
      <w:r>
        <w:rPr>
          <w:rFonts w:ascii="Century Gothic" w:eastAsia="Arial" w:hAnsi="Century Gothic" w:cs="Arial"/>
          <w:bCs/>
          <w:szCs w:val="24"/>
          <w:lang w:val="es-MX"/>
        </w:rPr>
        <w:t xml:space="preserve">e tracto sucesivo, se satisface </w:t>
      </w:r>
      <w:r w:rsidRPr="00F77851">
        <w:rPr>
          <w:rFonts w:ascii="Century Gothic" w:eastAsia="Arial" w:hAnsi="Century Gothic" w:cs="Arial"/>
          <w:bCs/>
          <w:szCs w:val="24"/>
          <w:lang w:val="es-MX"/>
        </w:rPr>
        <w:t>periódicamente.</w:t>
      </w:r>
    </w:p>
    <w:p w14:paraId="5AE2D5AC" w14:textId="77777777" w:rsidR="00F77851" w:rsidRDefault="00F77851" w:rsidP="00F77851">
      <w:pPr>
        <w:pStyle w:val="Normal1"/>
        <w:spacing w:line="360" w:lineRule="auto"/>
        <w:contextualSpacing/>
        <w:jc w:val="both"/>
        <w:rPr>
          <w:rFonts w:ascii="Century Gothic" w:eastAsia="Arial" w:hAnsi="Century Gothic" w:cs="Arial"/>
          <w:bCs/>
          <w:szCs w:val="24"/>
          <w:lang w:val="es-MX"/>
        </w:rPr>
      </w:pPr>
    </w:p>
    <w:p w14:paraId="4B2C0BD0" w14:textId="0AD9C59F" w:rsidR="00F77851" w:rsidRDefault="00F77851" w:rsidP="00F77851">
      <w:pPr>
        <w:pStyle w:val="Normal1"/>
        <w:spacing w:line="360" w:lineRule="auto"/>
        <w:contextualSpacing/>
        <w:jc w:val="both"/>
        <w:rPr>
          <w:rFonts w:ascii="Century Gothic" w:eastAsia="Arial" w:hAnsi="Century Gothic" w:cs="Arial"/>
          <w:bCs/>
          <w:szCs w:val="24"/>
          <w:lang w:val="es-MX"/>
        </w:rPr>
      </w:pPr>
      <w:r w:rsidRPr="00F77851">
        <w:rPr>
          <w:rFonts w:ascii="Century Gothic" w:eastAsia="Arial" w:hAnsi="Century Gothic" w:cs="Arial"/>
          <w:bCs/>
          <w:szCs w:val="24"/>
          <w:lang w:val="es-MX"/>
        </w:rPr>
        <w:t xml:space="preserve">Esta diferencia no es accidental, sino que </w:t>
      </w:r>
      <w:r>
        <w:rPr>
          <w:rFonts w:ascii="Century Gothic" w:eastAsia="Arial" w:hAnsi="Century Gothic" w:cs="Arial"/>
          <w:bCs/>
          <w:szCs w:val="24"/>
          <w:lang w:val="es-MX"/>
        </w:rPr>
        <w:t xml:space="preserve">incide directamente en la parte </w:t>
      </w:r>
      <w:r w:rsidRPr="00F77851">
        <w:rPr>
          <w:rFonts w:ascii="Century Gothic" w:eastAsia="Arial" w:hAnsi="Century Gothic" w:cs="Arial"/>
          <w:bCs/>
          <w:szCs w:val="24"/>
          <w:lang w:val="es-MX"/>
        </w:rPr>
        <w:t>sustantiva de la obligación, pues de es</w:t>
      </w:r>
      <w:r>
        <w:rPr>
          <w:rFonts w:ascii="Century Gothic" w:eastAsia="Arial" w:hAnsi="Century Gothic" w:cs="Arial"/>
          <w:bCs/>
          <w:szCs w:val="24"/>
          <w:lang w:val="es-MX"/>
        </w:rPr>
        <w:t xml:space="preserve">te elemento temporal depende el </w:t>
      </w:r>
      <w:r w:rsidRPr="00F77851">
        <w:rPr>
          <w:rFonts w:ascii="Century Gothic" w:eastAsia="Arial" w:hAnsi="Century Gothic" w:cs="Arial"/>
          <w:bCs/>
          <w:szCs w:val="24"/>
          <w:lang w:val="es-MX"/>
        </w:rPr>
        <w:lastRenderedPageBreak/>
        <w:t>objeto que opera como base para su cuantificación: la compensación, al</w:t>
      </w:r>
      <w:r>
        <w:rPr>
          <w:rFonts w:ascii="Century Gothic" w:eastAsia="Arial" w:hAnsi="Century Gothic" w:cs="Arial"/>
          <w:bCs/>
          <w:szCs w:val="24"/>
          <w:lang w:val="es-MX"/>
        </w:rPr>
        <w:t xml:space="preserve"> </w:t>
      </w:r>
      <w:r w:rsidRPr="00F77851">
        <w:rPr>
          <w:rFonts w:ascii="Century Gothic" w:eastAsia="Arial" w:hAnsi="Century Gothic" w:cs="Arial"/>
          <w:bCs/>
          <w:szCs w:val="24"/>
          <w:lang w:val="es-MX"/>
        </w:rPr>
        <w:t>computarse sobre el patrimonio adquirido dur</w:t>
      </w:r>
      <w:r>
        <w:rPr>
          <w:rFonts w:ascii="Century Gothic" w:eastAsia="Arial" w:hAnsi="Century Gothic" w:cs="Arial"/>
          <w:bCs/>
          <w:szCs w:val="24"/>
          <w:lang w:val="es-MX"/>
        </w:rPr>
        <w:t xml:space="preserve">ante el matrimonio, opera </w:t>
      </w:r>
      <w:r w:rsidRPr="00F77851">
        <w:rPr>
          <w:rFonts w:ascii="Century Gothic" w:eastAsia="Arial" w:hAnsi="Century Gothic" w:cs="Arial"/>
          <w:bCs/>
          <w:i/>
          <w:szCs w:val="24"/>
          <w:lang w:val="es-MX"/>
        </w:rPr>
        <w:t>hacia el pasado</w:t>
      </w:r>
      <w:r w:rsidRPr="00F77851">
        <w:rPr>
          <w:rFonts w:ascii="Century Gothic" w:eastAsia="Arial" w:hAnsi="Century Gothic" w:cs="Arial"/>
          <w:bCs/>
          <w:szCs w:val="24"/>
          <w:lang w:val="es-MX"/>
        </w:rPr>
        <w:t>, mientras que la pensión se cuan</w:t>
      </w:r>
      <w:r>
        <w:rPr>
          <w:rFonts w:ascii="Century Gothic" w:eastAsia="Arial" w:hAnsi="Century Gothic" w:cs="Arial"/>
          <w:bCs/>
          <w:szCs w:val="24"/>
          <w:lang w:val="es-MX"/>
        </w:rPr>
        <w:t xml:space="preserve">tifica con base en los ingresos </w:t>
      </w:r>
      <w:r w:rsidRPr="00F77851">
        <w:rPr>
          <w:rFonts w:ascii="Century Gothic" w:eastAsia="Arial" w:hAnsi="Century Gothic" w:cs="Arial"/>
          <w:bCs/>
          <w:i/>
          <w:szCs w:val="24"/>
          <w:lang w:val="es-MX"/>
        </w:rPr>
        <w:t>futuros</w:t>
      </w:r>
      <w:r w:rsidRPr="00F77851">
        <w:rPr>
          <w:rFonts w:ascii="Century Gothic" w:eastAsia="Arial" w:hAnsi="Century Gothic" w:cs="Arial"/>
          <w:bCs/>
          <w:szCs w:val="24"/>
          <w:lang w:val="es-MX"/>
        </w:rPr>
        <w:t xml:space="preserve"> del deudor.</w:t>
      </w:r>
    </w:p>
    <w:p w14:paraId="4ACC7D12" w14:textId="77777777" w:rsidR="00A23CCA" w:rsidRDefault="00A23CCA" w:rsidP="00F77851">
      <w:pPr>
        <w:pStyle w:val="Normal1"/>
        <w:spacing w:line="360" w:lineRule="auto"/>
        <w:contextualSpacing/>
        <w:jc w:val="both"/>
        <w:rPr>
          <w:rFonts w:ascii="Century Gothic" w:eastAsia="Arial" w:hAnsi="Century Gothic" w:cs="Arial"/>
          <w:bCs/>
          <w:szCs w:val="24"/>
          <w:lang w:val="es-MX"/>
        </w:rPr>
      </w:pPr>
    </w:p>
    <w:p w14:paraId="21E6FBAD" w14:textId="459FAA54" w:rsidR="00A23CCA" w:rsidRDefault="00A23CCA" w:rsidP="00A23CCA">
      <w:pPr>
        <w:pStyle w:val="Normal1"/>
        <w:spacing w:line="360" w:lineRule="auto"/>
        <w:contextualSpacing/>
        <w:jc w:val="both"/>
        <w:rPr>
          <w:rFonts w:ascii="Century Gothic" w:eastAsia="Arial" w:hAnsi="Century Gothic" w:cs="Arial"/>
          <w:bCs/>
          <w:szCs w:val="24"/>
          <w:lang w:val="es-MX"/>
        </w:rPr>
      </w:pPr>
      <w:r w:rsidRPr="00A23CCA">
        <w:rPr>
          <w:rFonts w:ascii="Century Gothic" w:eastAsia="Arial" w:hAnsi="Century Gothic" w:cs="Arial"/>
          <w:bCs/>
          <w:szCs w:val="24"/>
          <w:lang w:val="es-MX"/>
        </w:rPr>
        <w:t>E</w:t>
      </w:r>
      <w:r>
        <w:rPr>
          <w:rFonts w:ascii="Century Gothic" w:eastAsia="Arial" w:hAnsi="Century Gothic" w:cs="Arial"/>
          <w:bCs/>
          <w:szCs w:val="24"/>
          <w:lang w:val="es-MX"/>
        </w:rPr>
        <w:t xml:space="preserve">n este sentido, la congruencia de tal medida tiene su base en que una de </w:t>
      </w:r>
      <w:r w:rsidRPr="00A23CCA">
        <w:rPr>
          <w:rFonts w:ascii="Century Gothic" w:eastAsia="Arial" w:hAnsi="Century Gothic" w:cs="Arial"/>
          <w:bCs/>
          <w:szCs w:val="24"/>
          <w:lang w:val="es-MX"/>
        </w:rPr>
        <w:t>las partes asumió de manera preponderante las tareas domésticas,</w:t>
      </w:r>
      <w:r>
        <w:rPr>
          <w:rFonts w:ascii="Century Gothic" w:eastAsia="Arial" w:hAnsi="Century Gothic" w:cs="Arial"/>
          <w:bCs/>
          <w:szCs w:val="24"/>
          <w:lang w:val="es-MX"/>
        </w:rPr>
        <w:t xml:space="preserve"> </w:t>
      </w:r>
      <w:r w:rsidRPr="00A23CCA">
        <w:rPr>
          <w:rFonts w:ascii="Century Gothic" w:eastAsia="Arial" w:hAnsi="Century Gothic" w:cs="Arial"/>
          <w:bCs/>
          <w:szCs w:val="24"/>
          <w:lang w:val="es-MX"/>
        </w:rPr>
        <w:t>permitiendo así que su contraparte adquiriera</w:t>
      </w:r>
      <w:r>
        <w:rPr>
          <w:rFonts w:ascii="Century Gothic" w:eastAsia="Arial" w:hAnsi="Century Gothic" w:cs="Arial"/>
          <w:bCs/>
          <w:szCs w:val="24"/>
          <w:lang w:val="es-MX"/>
        </w:rPr>
        <w:t xml:space="preserve"> los conocimientos, preparación </w:t>
      </w:r>
      <w:r w:rsidRPr="00A23CCA">
        <w:rPr>
          <w:rFonts w:ascii="Century Gothic" w:eastAsia="Arial" w:hAnsi="Century Gothic" w:cs="Arial"/>
          <w:bCs/>
          <w:szCs w:val="24"/>
          <w:lang w:val="es-MX"/>
        </w:rPr>
        <w:t>y experiencia necesarios para poseer, a</w:t>
      </w:r>
      <w:r>
        <w:rPr>
          <w:rFonts w:ascii="Century Gothic" w:eastAsia="Arial" w:hAnsi="Century Gothic" w:cs="Arial"/>
          <w:bCs/>
          <w:szCs w:val="24"/>
          <w:lang w:val="es-MX"/>
        </w:rPr>
        <w:t xml:space="preserve"> futuro, una mayor capacidad de </w:t>
      </w:r>
      <w:r w:rsidRPr="00A23CCA">
        <w:rPr>
          <w:rFonts w:ascii="Century Gothic" w:eastAsia="Arial" w:hAnsi="Century Gothic" w:cs="Arial"/>
          <w:bCs/>
          <w:szCs w:val="24"/>
          <w:lang w:val="es-MX"/>
        </w:rPr>
        <w:t>generación de ingresos. En esta hipóte</w:t>
      </w:r>
      <w:r>
        <w:rPr>
          <w:rFonts w:ascii="Century Gothic" w:eastAsia="Arial" w:hAnsi="Century Gothic" w:cs="Arial"/>
          <w:bCs/>
          <w:szCs w:val="24"/>
          <w:lang w:val="es-MX"/>
        </w:rPr>
        <w:t xml:space="preserve">sis, una compensación calculada </w:t>
      </w:r>
      <w:r w:rsidRPr="00A23CCA">
        <w:rPr>
          <w:rFonts w:ascii="Century Gothic" w:eastAsia="Arial" w:hAnsi="Century Gothic" w:cs="Arial"/>
          <w:bCs/>
          <w:szCs w:val="24"/>
          <w:lang w:val="es-MX"/>
        </w:rPr>
        <w:t xml:space="preserve">sobre el patrimonio adquirido en el pasado </w:t>
      </w:r>
      <w:r>
        <w:rPr>
          <w:rFonts w:ascii="Century Gothic" w:eastAsia="Arial" w:hAnsi="Century Gothic" w:cs="Arial"/>
          <w:bCs/>
          <w:szCs w:val="24"/>
          <w:lang w:val="es-MX"/>
        </w:rPr>
        <w:t xml:space="preserve">no necesariamente reflejaría el </w:t>
      </w:r>
      <w:r w:rsidRPr="00A23CCA">
        <w:rPr>
          <w:rFonts w:ascii="Century Gothic" w:eastAsia="Arial" w:hAnsi="Century Gothic" w:cs="Arial"/>
          <w:bCs/>
          <w:szCs w:val="24"/>
          <w:lang w:val="es-MX"/>
        </w:rPr>
        <w:t>desequilibrio generado entre los potenciales adquisitivos de las partes.</w:t>
      </w:r>
      <w:r w:rsidRPr="00A23CCA">
        <w:rPr>
          <w:rFonts w:ascii="Century Gothic" w:eastAsia="Arial" w:hAnsi="Century Gothic" w:cs="Arial"/>
          <w:bCs/>
          <w:szCs w:val="24"/>
          <w:lang w:val="es-MX"/>
        </w:rPr>
        <w:cr/>
      </w:r>
    </w:p>
    <w:p w14:paraId="19562F5C" w14:textId="1F84D0DC" w:rsidR="00A23CCA" w:rsidRDefault="00A23CCA" w:rsidP="00A23CCA">
      <w:pPr>
        <w:pStyle w:val="Normal1"/>
        <w:spacing w:line="360" w:lineRule="auto"/>
        <w:contextualSpacing/>
        <w:jc w:val="both"/>
        <w:rPr>
          <w:rFonts w:ascii="Century Gothic" w:eastAsia="Arial" w:hAnsi="Century Gothic" w:cs="Arial"/>
          <w:bCs/>
          <w:szCs w:val="24"/>
          <w:lang w:val="es-MX"/>
        </w:rPr>
      </w:pPr>
      <w:r w:rsidRPr="00A23CCA">
        <w:rPr>
          <w:rFonts w:ascii="Century Gothic" w:eastAsia="Arial" w:hAnsi="Century Gothic" w:cs="Arial"/>
          <w:bCs/>
          <w:szCs w:val="24"/>
          <w:lang w:val="es-MX"/>
        </w:rPr>
        <w:t xml:space="preserve">La anterior reflexión conduce </w:t>
      </w:r>
      <w:r>
        <w:rPr>
          <w:rFonts w:ascii="Century Gothic" w:eastAsia="Arial" w:hAnsi="Century Gothic" w:cs="Arial"/>
          <w:bCs/>
          <w:szCs w:val="24"/>
          <w:lang w:val="es-MX"/>
        </w:rPr>
        <w:t xml:space="preserve">a concluir que, si bien la compensación, no es incompatible </w:t>
      </w:r>
      <w:r w:rsidRPr="00A23CCA">
        <w:rPr>
          <w:rFonts w:ascii="Century Gothic" w:eastAsia="Arial" w:hAnsi="Century Gothic" w:cs="Arial"/>
          <w:bCs/>
          <w:szCs w:val="24"/>
          <w:lang w:val="es-MX"/>
        </w:rPr>
        <w:t>con el otorgamiento de una</w:t>
      </w:r>
      <w:r>
        <w:rPr>
          <w:rFonts w:ascii="Century Gothic" w:eastAsia="Arial" w:hAnsi="Century Gothic" w:cs="Arial"/>
          <w:bCs/>
          <w:szCs w:val="24"/>
          <w:lang w:val="es-MX"/>
        </w:rPr>
        <w:t xml:space="preserve"> pensión compensatoria, tampoco </w:t>
      </w:r>
      <w:r w:rsidRPr="00A23CCA">
        <w:rPr>
          <w:rFonts w:ascii="Century Gothic" w:eastAsia="Arial" w:hAnsi="Century Gothic" w:cs="Arial"/>
          <w:bCs/>
          <w:szCs w:val="24"/>
          <w:lang w:val="es-MX"/>
        </w:rPr>
        <w:t>puede decirse que no estén relacionadas.</w:t>
      </w:r>
      <w:r>
        <w:rPr>
          <w:rFonts w:ascii="Century Gothic" w:eastAsia="Arial" w:hAnsi="Century Gothic" w:cs="Arial"/>
          <w:bCs/>
          <w:szCs w:val="24"/>
          <w:lang w:val="es-MX"/>
        </w:rPr>
        <w:t xml:space="preserve"> Por el contrario, la autoridad </w:t>
      </w:r>
      <w:r w:rsidRPr="00A23CCA">
        <w:rPr>
          <w:rFonts w:ascii="Century Gothic" w:eastAsia="Arial" w:hAnsi="Century Gothic" w:cs="Arial"/>
          <w:bCs/>
          <w:szCs w:val="24"/>
          <w:lang w:val="es-MX"/>
        </w:rPr>
        <w:t>jurisdiccional deberá evaluar cada caso conf</w:t>
      </w:r>
      <w:r>
        <w:rPr>
          <w:rFonts w:ascii="Century Gothic" w:eastAsia="Arial" w:hAnsi="Century Gothic" w:cs="Arial"/>
          <w:bCs/>
          <w:szCs w:val="24"/>
          <w:lang w:val="es-MX"/>
        </w:rPr>
        <w:t xml:space="preserve">orme a una perspectiva completa </w:t>
      </w:r>
      <w:r w:rsidRPr="00A23CCA">
        <w:rPr>
          <w:rFonts w:ascii="Century Gothic" w:eastAsia="Arial" w:hAnsi="Century Gothic" w:cs="Arial"/>
          <w:bCs/>
          <w:szCs w:val="24"/>
          <w:lang w:val="es-MX"/>
        </w:rPr>
        <w:t>de la situación patrimonial de las partes a fi</w:t>
      </w:r>
      <w:r>
        <w:rPr>
          <w:rFonts w:ascii="Century Gothic" w:eastAsia="Arial" w:hAnsi="Century Gothic" w:cs="Arial"/>
          <w:bCs/>
          <w:szCs w:val="24"/>
          <w:lang w:val="es-MX"/>
        </w:rPr>
        <w:t xml:space="preserve">n de confeccionar el remedio (o </w:t>
      </w:r>
      <w:r w:rsidRPr="00A23CCA">
        <w:rPr>
          <w:rFonts w:ascii="Century Gothic" w:eastAsia="Arial" w:hAnsi="Century Gothic" w:cs="Arial"/>
          <w:bCs/>
          <w:szCs w:val="24"/>
          <w:lang w:val="es-MX"/>
        </w:rPr>
        <w:t>combinación de remedios) idóneo para satisfa</w:t>
      </w:r>
      <w:r>
        <w:rPr>
          <w:rFonts w:ascii="Century Gothic" w:eastAsia="Arial" w:hAnsi="Century Gothic" w:cs="Arial"/>
          <w:bCs/>
          <w:szCs w:val="24"/>
          <w:lang w:val="es-MX"/>
        </w:rPr>
        <w:t xml:space="preserve">cer los imperativos de justicia </w:t>
      </w:r>
      <w:r w:rsidRPr="00A23CCA">
        <w:rPr>
          <w:rFonts w:ascii="Century Gothic" w:eastAsia="Arial" w:hAnsi="Century Gothic" w:cs="Arial"/>
          <w:bCs/>
          <w:szCs w:val="24"/>
          <w:lang w:val="es-MX"/>
        </w:rPr>
        <w:t>y protección a la familia en el caso específico.</w:t>
      </w:r>
    </w:p>
    <w:p w14:paraId="7D762ADD" w14:textId="77777777" w:rsidR="00DA5A6A" w:rsidRDefault="00DA5A6A" w:rsidP="00A23CCA">
      <w:pPr>
        <w:pStyle w:val="Normal1"/>
        <w:spacing w:line="360" w:lineRule="auto"/>
        <w:contextualSpacing/>
        <w:jc w:val="both"/>
        <w:rPr>
          <w:rFonts w:ascii="Century Gothic" w:eastAsia="Arial" w:hAnsi="Century Gothic" w:cs="Arial"/>
          <w:bCs/>
          <w:szCs w:val="24"/>
          <w:lang w:val="es-MX"/>
        </w:rPr>
      </w:pPr>
    </w:p>
    <w:p w14:paraId="39575CE4" w14:textId="4B4ADB8A" w:rsidR="00DA5A6A" w:rsidRDefault="00DA5A6A" w:rsidP="00A23CCA">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lastRenderedPageBreak/>
        <w:t>Al respecto, resulta confirmante la J</w:t>
      </w:r>
      <w:r w:rsidRPr="00DA5A6A">
        <w:rPr>
          <w:rFonts w:ascii="Century Gothic" w:eastAsia="Arial" w:hAnsi="Century Gothic" w:cs="Arial"/>
          <w:bCs/>
          <w:szCs w:val="24"/>
          <w:lang w:val="es-MX"/>
        </w:rPr>
        <w:t>urisprudencia 1a./J. 36/2024 (11a.)</w:t>
      </w:r>
      <w:r>
        <w:rPr>
          <w:rFonts w:ascii="Century Gothic" w:eastAsia="Arial" w:hAnsi="Century Gothic" w:cs="Arial"/>
          <w:bCs/>
          <w:szCs w:val="24"/>
          <w:lang w:val="es-MX"/>
        </w:rPr>
        <w:t xml:space="preserve"> sostenida por la Primera Sala en materia civil</w:t>
      </w:r>
      <w:r w:rsidRPr="00DA5A6A">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aprobada </w:t>
      </w:r>
      <w:r w:rsidRPr="00DA5A6A">
        <w:rPr>
          <w:rFonts w:ascii="Century Gothic" w:eastAsia="Arial" w:hAnsi="Century Gothic" w:cs="Arial"/>
          <w:bCs/>
          <w:szCs w:val="24"/>
          <w:lang w:val="es-MX"/>
        </w:rPr>
        <w:t xml:space="preserve">en sesión privada de veintiocho de febrero de dos mil veinticuatro, publicada en </w:t>
      </w:r>
      <w:r>
        <w:rPr>
          <w:rFonts w:ascii="Century Gothic" w:eastAsia="Arial" w:hAnsi="Century Gothic" w:cs="Arial"/>
          <w:bCs/>
          <w:szCs w:val="24"/>
          <w:lang w:val="es-MX"/>
        </w:rPr>
        <w:t>el Semanario Judicial de la Federación, Undécima Época, cuyos hechos, criterio jurídico y justificación</w:t>
      </w:r>
      <w:r w:rsidRPr="00DA5A6A">
        <w:rPr>
          <w:rFonts w:ascii="Century Gothic" w:eastAsia="Arial" w:hAnsi="Century Gothic" w:cs="Arial"/>
          <w:bCs/>
          <w:szCs w:val="24"/>
          <w:lang w:val="es-MX"/>
        </w:rPr>
        <w:t xml:space="preserve"> se invocan a continuación:  </w:t>
      </w:r>
    </w:p>
    <w:p w14:paraId="11D51314" w14:textId="77777777" w:rsidR="00DA5A6A" w:rsidRDefault="00DA5A6A" w:rsidP="00A23CCA">
      <w:pPr>
        <w:pStyle w:val="Normal1"/>
        <w:spacing w:line="360" w:lineRule="auto"/>
        <w:contextualSpacing/>
        <w:jc w:val="both"/>
        <w:rPr>
          <w:rFonts w:ascii="Century Gothic" w:eastAsia="Arial" w:hAnsi="Century Gothic" w:cs="Arial"/>
          <w:bCs/>
          <w:szCs w:val="24"/>
          <w:lang w:val="es-MX"/>
        </w:rPr>
      </w:pPr>
    </w:p>
    <w:p w14:paraId="0EC478AD" w14:textId="77777777" w:rsidR="00DA5A6A" w:rsidRPr="00DA5A6A" w:rsidRDefault="00DA5A6A" w:rsidP="00C55BA2">
      <w:pPr>
        <w:pStyle w:val="Normal1"/>
        <w:spacing w:line="360" w:lineRule="auto"/>
        <w:ind w:left="709" w:right="616"/>
        <w:contextualSpacing/>
        <w:jc w:val="both"/>
        <w:rPr>
          <w:rFonts w:ascii="Century Gothic" w:eastAsia="Arial" w:hAnsi="Century Gothic" w:cs="Arial"/>
          <w:b/>
          <w:bCs/>
          <w:szCs w:val="24"/>
          <w:lang w:val="es-MX"/>
        </w:rPr>
      </w:pPr>
      <w:r w:rsidRPr="00DA5A6A">
        <w:rPr>
          <w:rFonts w:ascii="Century Gothic" w:eastAsia="Arial" w:hAnsi="Century Gothic" w:cs="Arial"/>
          <w:b/>
          <w:bCs/>
          <w:szCs w:val="24"/>
          <w:lang w:val="es-MX"/>
        </w:rPr>
        <w:t>COMPENSACIÓN ECONÓMICA. FINALIDADES, CARACTERÍSTICAS Y DIFERENCIAS CON LA PENSIÓN ALIMENTICIA COMPENSATORIA.</w:t>
      </w:r>
    </w:p>
    <w:p w14:paraId="628D44DF" w14:textId="77777777" w:rsidR="00DA5A6A" w:rsidRP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p>
    <w:p w14:paraId="3649A6DB" w14:textId="60980F54" w:rsid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r w:rsidRPr="00DA5A6A">
        <w:rPr>
          <w:rFonts w:ascii="Century Gothic" w:eastAsia="Arial" w:hAnsi="Century Gothic" w:cs="Arial"/>
          <w:b/>
          <w:bCs/>
          <w:szCs w:val="24"/>
          <w:lang w:val="es-MX"/>
        </w:rPr>
        <w:t>Hechos:</w:t>
      </w:r>
      <w:r w:rsidRPr="00DA5A6A">
        <w:rPr>
          <w:rFonts w:ascii="Century Gothic" w:eastAsia="Arial" w:hAnsi="Century Gothic" w:cs="Arial"/>
          <w:bCs/>
          <w:szCs w:val="24"/>
          <w:lang w:val="es-MX"/>
        </w:rPr>
        <w:t xml:space="preserve"> En un juicio de divorcio </w:t>
      </w:r>
      <w:proofErr w:type="spellStart"/>
      <w:r w:rsidRPr="00DA5A6A">
        <w:rPr>
          <w:rFonts w:ascii="Century Gothic" w:eastAsia="Arial" w:hAnsi="Century Gothic" w:cs="Arial"/>
          <w:bCs/>
          <w:szCs w:val="24"/>
          <w:lang w:val="es-MX"/>
        </w:rPr>
        <w:t>incausado</w:t>
      </w:r>
      <w:proofErr w:type="spellEnd"/>
      <w:r w:rsidRPr="00DA5A6A">
        <w:rPr>
          <w:rFonts w:ascii="Century Gothic" w:eastAsia="Arial" w:hAnsi="Century Gothic" w:cs="Arial"/>
          <w:bCs/>
          <w:szCs w:val="24"/>
          <w:lang w:val="es-MX"/>
        </w:rPr>
        <w:t xml:space="preserve">, una mujer demandó el pago de una compensación económica (hasta por el 50% de los bienes habidos durante el matrimonio) por haberse dedicado al hogar y a la crianza, lo que implicó un costo de oportunidad en su desarrollo personal y profesional, así como de una pensión alimenticia compensatoria porque esa dedicación al trabajo doméstico le impidió obtener ingresos que le permitieran subsistir. Previa tramitación de dos juicios de amparo directo, el tribunal de apelación fijó una pensión alimenticia compensatoria a su favor, al tener por acreditado su estado de necesidad, pero negó la procedencia de la compensación económica porque en ese momento la legislación civil de Veracruz no contemplaba esta figura. La solicitante se inconformó con esta decisión en un juicio de amparo y planteó que el artículo 162 del Código Civil </w:t>
      </w:r>
      <w:r w:rsidRPr="00DA5A6A">
        <w:rPr>
          <w:rFonts w:ascii="Century Gothic" w:eastAsia="Arial" w:hAnsi="Century Gothic" w:cs="Arial"/>
          <w:bCs/>
          <w:szCs w:val="24"/>
          <w:lang w:val="es-MX"/>
        </w:rPr>
        <w:lastRenderedPageBreak/>
        <w:t>para el Estado de Veracruz de Ignacio de la Llave, vigente hasta el diez de junio de dos mil veinte, que contemplaba el pago de una pensión para aquella cónyuge que necesitara los alimentos al terminar el matrimonio, era inconstitucional por no prever la compensación económica, a fin de que pudiera establecerse también a su favor un porcentaje de los bienes adquiridos durante el matrimonio para revertir los costos de oportunidad que se generaron en su ámbito personal y profesional. El Tribunal Colegiado le negó la protección constitucional porque consideró que la norma no se había aplicado en su perjuicio. Inconforme, la quejosa interpuso un recurso de revisión en el que insistió en la inconstitucionalidad de dicho precepto por vulnerar el principio de igualdad entre cónyuges.</w:t>
      </w:r>
    </w:p>
    <w:p w14:paraId="4490EE12" w14:textId="77777777" w:rsid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p>
    <w:p w14:paraId="0709F93E" w14:textId="5571FCD1" w:rsid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r w:rsidRPr="00DA5A6A">
        <w:rPr>
          <w:rFonts w:ascii="Century Gothic" w:eastAsia="Arial" w:hAnsi="Century Gothic" w:cs="Arial"/>
          <w:b/>
          <w:bCs/>
          <w:szCs w:val="24"/>
          <w:lang w:val="es-MX"/>
        </w:rPr>
        <w:t>Criterio jurídico:</w:t>
      </w:r>
      <w:r w:rsidRPr="00DA5A6A">
        <w:rPr>
          <w:rFonts w:ascii="Century Gothic" w:eastAsia="Arial" w:hAnsi="Century Gothic" w:cs="Arial"/>
          <w:bCs/>
          <w:szCs w:val="24"/>
          <w:lang w:val="es-MX"/>
        </w:rPr>
        <w:t xml:space="preserve"> La compensación económica constituye un mecanismo resarcitorio que opera en el ámbito familiar para subsanar el desequilibrio patrimonial generado al interior de la familia derivado de que uno de los cónyuges asumió determinadas cargas domésticas y de cuidado en mayor medida que el otro. Sin embargo, presenta diferentes características y persigue distintos fines a otras figuras jurídicas creadas para proteger a los miembros de la familia, como es la pensión alimenticia compensatoria, la cual no sólo tiene como </w:t>
      </w:r>
      <w:r w:rsidRPr="00DA5A6A">
        <w:rPr>
          <w:rFonts w:ascii="Century Gothic" w:eastAsia="Arial" w:hAnsi="Century Gothic" w:cs="Arial"/>
          <w:bCs/>
          <w:szCs w:val="24"/>
          <w:lang w:val="es-MX"/>
        </w:rPr>
        <w:lastRenderedPageBreak/>
        <w:t>objeto reivindicar el trabajo doméstico y de cuidado, sino que también busca satisfacer las necesidades inmediatas de subsistencia de la persona acreedora.</w:t>
      </w:r>
    </w:p>
    <w:p w14:paraId="10FCB8D1" w14:textId="77777777" w:rsid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p>
    <w:p w14:paraId="678290FF" w14:textId="77777777" w:rsidR="00DA5A6A" w:rsidRP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r w:rsidRPr="00DA5A6A">
        <w:rPr>
          <w:rFonts w:ascii="Century Gothic" w:eastAsia="Arial" w:hAnsi="Century Gothic" w:cs="Arial"/>
          <w:b/>
          <w:bCs/>
          <w:szCs w:val="24"/>
          <w:lang w:val="es-MX"/>
        </w:rPr>
        <w:t>Justificación:</w:t>
      </w:r>
      <w:r w:rsidRPr="00DA5A6A">
        <w:rPr>
          <w:rFonts w:ascii="Century Gothic" w:eastAsia="Arial" w:hAnsi="Century Gothic" w:cs="Arial"/>
          <w:bCs/>
          <w:szCs w:val="24"/>
          <w:lang w:val="es-MX"/>
        </w:rPr>
        <w:t xml:space="preserve"> La compensación económica se basa en la función social y familiar de la propiedad sobre los bienes de los cónyuges y su relación con las prestaciones económicas consistentes en el trabajo del hogar y el cuidado de los hijos e hijas, y tiene como finalidad resarcir el desequilibrio económico suscitado en los patrimonios de ambos cónyuges con base en un criterio de justicia distributiva.</w:t>
      </w:r>
    </w:p>
    <w:p w14:paraId="17017229" w14:textId="77777777" w:rsidR="00DA5A6A" w:rsidRP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p>
    <w:p w14:paraId="2D855B79" w14:textId="77777777" w:rsidR="00DA5A6A" w:rsidRPr="00DA5A6A" w:rsidRDefault="00DA5A6A" w:rsidP="00C55BA2">
      <w:pPr>
        <w:pStyle w:val="Normal1"/>
        <w:spacing w:line="360" w:lineRule="auto"/>
        <w:ind w:left="709" w:right="616"/>
        <w:contextualSpacing/>
        <w:jc w:val="both"/>
        <w:rPr>
          <w:rFonts w:ascii="Century Gothic" w:eastAsia="Arial" w:hAnsi="Century Gothic" w:cs="Arial"/>
          <w:bCs/>
          <w:szCs w:val="24"/>
          <w:lang w:val="es-MX"/>
        </w:rPr>
      </w:pPr>
      <w:r w:rsidRPr="00DA5A6A">
        <w:rPr>
          <w:rFonts w:ascii="Century Gothic" w:eastAsia="Arial" w:hAnsi="Century Gothic" w:cs="Arial"/>
          <w:bCs/>
          <w:szCs w:val="24"/>
          <w:lang w:val="es-MX"/>
        </w:rPr>
        <w:t xml:space="preserve">Este mecanismo compensatorio tiene las siguientes características: 1) surge a partir de la asimetría económica en que se encuentra uno de los cónyuges al momento de disolverse el matrimonio, que por no dedicar su tiempo al desarrollo profesional, reportó ciertos costos de oportunidad en su patrimonio; 2) funge como mecanismo compensatorio reparador, no sancionador; 3) atiende a un derecho a la indemnización para resarcir el perjuicio económico ocasionado; 4) opera sobre los bienes, derechos o haberes adquiridos durante el tiempo de duración del matrimonio, periodo en el que se dio la interacción de los dos tipos de trabajo, el del hogar y el </w:t>
      </w:r>
      <w:r w:rsidRPr="00DA5A6A">
        <w:rPr>
          <w:rFonts w:ascii="Century Gothic" w:eastAsia="Arial" w:hAnsi="Century Gothic" w:cs="Arial"/>
          <w:bCs/>
          <w:szCs w:val="24"/>
          <w:lang w:val="es-MX"/>
        </w:rPr>
        <w:lastRenderedPageBreak/>
        <w:t>del mercado convencional; 5) su finalidad no es igualar las masas patrimoniales; 6) busca resarcir a la parte que se vio imposibilitada para crear un patrimonio propio o lo hizo en una forma notablemente menor que la otra. Esto es, remediar la asimetría en que se encuentran los cónyuges al momento de disolverse el vínculo matrimonial y corregir situaciones de enriquecimiento y empobrecimiento injustos; 7) pretende reivindicar el valor del trabajo doméstico y de cuidado históricamente invisibilizado en nuestra sociedad, que ha sido vinculado con la igualdad de derechos y de responsabilidades de los cónyuges durante el matrimonio y su disolución; y, 8) no aplica en la disolución del matrimonio celebrado en sociedad conyugal.</w:t>
      </w:r>
    </w:p>
    <w:p w14:paraId="7012FCDB" w14:textId="77777777" w:rsidR="00DA5A6A" w:rsidRPr="00DA5A6A" w:rsidRDefault="00DA5A6A" w:rsidP="00DA5A6A">
      <w:pPr>
        <w:pStyle w:val="Normal1"/>
        <w:spacing w:line="360" w:lineRule="auto"/>
        <w:contextualSpacing/>
        <w:jc w:val="both"/>
        <w:rPr>
          <w:rFonts w:ascii="Century Gothic" w:eastAsia="Arial" w:hAnsi="Century Gothic" w:cs="Arial"/>
          <w:bCs/>
          <w:szCs w:val="24"/>
          <w:lang w:val="es-MX"/>
        </w:rPr>
      </w:pPr>
    </w:p>
    <w:p w14:paraId="4A4AEA10" w14:textId="23462758" w:rsidR="00DA5A6A" w:rsidRDefault="00DA5A6A" w:rsidP="00DA5A6A">
      <w:pPr>
        <w:pStyle w:val="Normal1"/>
        <w:spacing w:line="360" w:lineRule="auto"/>
        <w:contextualSpacing/>
        <w:jc w:val="both"/>
        <w:rPr>
          <w:rFonts w:ascii="Century Gothic" w:eastAsia="Arial" w:hAnsi="Century Gothic" w:cs="Arial"/>
          <w:b/>
          <w:bCs/>
          <w:szCs w:val="24"/>
          <w:lang w:val="es-MX"/>
        </w:rPr>
      </w:pPr>
      <w:r w:rsidRPr="00DA5A6A">
        <w:rPr>
          <w:rFonts w:ascii="Century Gothic" w:eastAsia="Arial" w:hAnsi="Century Gothic" w:cs="Arial"/>
          <w:bCs/>
          <w:szCs w:val="24"/>
          <w:lang w:val="es-MX"/>
        </w:rPr>
        <w:t xml:space="preserve">Por ende, la compensación económica es una figura distinta a la pensión alimenticia compensatoria porque si bien ambas tienen como origen la disolución del vínculo matrimonial, esta última tiene como objeto no sólo resarcir los perjuicios que se le ocasionaron al cónyuge que se dedicó al trabajo del hogar y de cuidado, sino también satisfacer las necesidades básicas de subsistencia de la persona acreedora, atendiendo a que se vio impedida para desarrollarse profesionalmente y obtener ingresos que le permitan subsistir. En ese sentido, </w:t>
      </w:r>
      <w:r w:rsidRPr="00DA5A6A">
        <w:rPr>
          <w:rFonts w:ascii="Century Gothic" w:eastAsia="Arial" w:hAnsi="Century Gothic" w:cs="Arial"/>
          <w:b/>
          <w:bCs/>
          <w:szCs w:val="24"/>
          <w:lang w:val="es-MX"/>
        </w:rPr>
        <w:t xml:space="preserve">la pensión alimenticia compensatoria se otorga de forma periódica, temporal o vitalicia, mientras que la </w:t>
      </w:r>
      <w:r w:rsidRPr="00DA5A6A">
        <w:rPr>
          <w:rFonts w:ascii="Century Gothic" w:eastAsia="Arial" w:hAnsi="Century Gothic" w:cs="Arial"/>
          <w:b/>
          <w:bCs/>
          <w:szCs w:val="24"/>
          <w:lang w:val="es-MX"/>
        </w:rPr>
        <w:lastRenderedPageBreak/>
        <w:t>compensación económica opera sobre un porcentaje de los bienes adquiridos.</w:t>
      </w:r>
      <w:r>
        <w:rPr>
          <w:rFonts w:ascii="Century Gothic" w:eastAsia="Arial" w:hAnsi="Century Gothic" w:cs="Arial"/>
          <w:b/>
          <w:bCs/>
          <w:szCs w:val="24"/>
          <w:lang w:val="es-MX"/>
        </w:rPr>
        <w:t xml:space="preserve"> </w:t>
      </w:r>
      <w:r>
        <w:rPr>
          <w:rStyle w:val="Refdenotaalpie"/>
          <w:rFonts w:ascii="Century Gothic" w:eastAsia="Arial" w:hAnsi="Century Gothic" w:cs="Arial"/>
          <w:b/>
          <w:bCs/>
          <w:szCs w:val="24"/>
          <w:lang w:val="es-MX"/>
        </w:rPr>
        <w:footnoteReference w:id="14"/>
      </w:r>
    </w:p>
    <w:p w14:paraId="72C56B94" w14:textId="77777777" w:rsidR="00C31BFD" w:rsidRDefault="00C31BFD" w:rsidP="00DA5A6A">
      <w:pPr>
        <w:pStyle w:val="Normal1"/>
        <w:spacing w:line="360" w:lineRule="auto"/>
        <w:contextualSpacing/>
        <w:jc w:val="both"/>
        <w:rPr>
          <w:rFonts w:ascii="Century Gothic" w:eastAsia="Arial" w:hAnsi="Century Gothic" w:cs="Arial"/>
          <w:b/>
          <w:bCs/>
          <w:szCs w:val="24"/>
          <w:lang w:val="es-MX"/>
        </w:rPr>
      </w:pPr>
    </w:p>
    <w:p w14:paraId="00B9167B" w14:textId="0FBD106A" w:rsidR="00C31BFD" w:rsidRDefault="00C31BFD" w:rsidP="00DA5A6A">
      <w:pPr>
        <w:pStyle w:val="Normal1"/>
        <w:spacing w:line="360" w:lineRule="auto"/>
        <w:contextualSpacing/>
        <w:jc w:val="both"/>
        <w:rPr>
          <w:rFonts w:ascii="Century Gothic" w:eastAsia="Arial" w:hAnsi="Century Gothic" w:cs="Arial"/>
          <w:bCs/>
          <w:szCs w:val="24"/>
          <w:lang w:val="es-MX"/>
        </w:rPr>
      </w:pPr>
      <w:r w:rsidRPr="00C31BFD">
        <w:rPr>
          <w:rFonts w:ascii="Century Gothic" w:eastAsia="Arial" w:hAnsi="Century Gothic" w:cs="Arial"/>
          <w:bCs/>
          <w:szCs w:val="24"/>
          <w:lang w:val="es-MX"/>
        </w:rPr>
        <w:t xml:space="preserve">Así pues, </w:t>
      </w:r>
      <w:r>
        <w:rPr>
          <w:rFonts w:ascii="Century Gothic" w:eastAsia="Arial" w:hAnsi="Century Gothic" w:cs="Arial"/>
          <w:bCs/>
          <w:szCs w:val="24"/>
          <w:lang w:val="es-MX"/>
        </w:rPr>
        <w:t>tenemos que la pensión compensatoria nace con el propósito de reparar las consecuencias económicas en caso de divorcio, esto, como un deber resarcitorio, derivado del desequilibrio económico que se presenta entre los cónyuges al momento de la disolución matrimonial. El objetivo resarcitorio implica compensar el menoscabo económico y el costo de oportunidad sufridos por el cónyuge que, en aras del funcionamiento del matrimonio, asumió las cargas domésticas y familiares, sin recibir remuneración a cambio, lo cual comprende dos aspectos:</w:t>
      </w:r>
    </w:p>
    <w:p w14:paraId="11CE4E98" w14:textId="77777777" w:rsidR="00C31BFD" w:rsidRDefault="00C31BFD" w:rsidP="00DA5A6A">
      <w:pPr>
        <w:pStyle w:val="Normal1"/>
        <w:spacing w:line="360" w:lineRule="auto"/>
        <w:contextualSpacing/>
        <w:jc w:val="both"/>
        <w:rPr>
          <w:rFonts w:ascii="Century Gothic" w:eastAsia="Arial" w:hAnsi="Century Gothic" w:cs="Arial"/>
          <w:bCs/>
          <w:szCs w:val="24"/>
          <w:lang w:val="es-MX"/>
        </w:rPr>
      </w:pPr>
    </w:p>
    <w:p w14:paraId="38A6A39A" w14:textId="425823F4" w:rsidR="00C31BFD" w:rsidRDefault="00C31BFD" w:rsidP="00C31BFD">
      <w:pPr>
        <w:pStyle w:val="Normal1"/>
        <w:numPr>
          <w:ilvl w:val="0"/>
          <w:numId w:val="14"/>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Las pérdidas económicas de uno de </w:t>
      </w:r>
      <w:proofErr w:type="gramStart"/>
      <w:r>
        <w:rPr>
          <w:rFonts w:ascii="Century Gothic" w:eastAsia="Arial" w:hAnsi="Century Gothic" w:cs="Arial"/>
          <w:bCs/>
          <w:szCs w:val="24"/>
          <w:lang w:val="es-MX"/>
        </w:rPr>
        <w:t>los cónyuges derivadas</w:t>
      </w:r>
      <w:proofErr w:type="gramEnd"/>
      <w:r>
        <w:rPr>
          <w:rFonts w:ascii="Century Gothic" w:eastAsia="Arial" w:hAnsi="Century Gothic" w:cs="Arial"/>
          <w:bCs/>
          <w:szCs w:val="24"/>
          <w:lang w:val="es-MX"/>
        </w:rPr>
        <w:t xml:space="preserve"> de no haber podido, durante el matrimonio, dedicarse a una actividad remunerada, o no haber podido desarrollarse en el mercado del trabajo convencional con igual tiempo, intensidad y diligencia que el otro cónyuge; y, </w:t>
      </w:r>
    </w:p>
    <w:p w14:paraId="0592DB40" w14:textId="77777777" w:rsidR="00A35ACD" w:rsidRDefault="00A35ACD" w:rsidP="00A35ACD">
      <w:pPr>
        <w:pStyle w:val="Normal1"/>
        <w:spacing w:line="360" w:lineRule="auto"/>
        <w:ind w:left="720"/>
        <w:contextualSpacing/>
        <w:jc w:val="both"/>
        <w:rPr>
          <w:rFonts w:ascii="Century Gothic" w:eastAsia="Arial" w:hAnsi="Century Gothic" w:cs="Arial"/>
          <w:bCs/>
          <w:szCs w:val="24"/>
          <w:lang w:val="es-MX"/>
        </w:rPr>
      </w:pPr>
    </w:p>
    <w:p w14:paraId="35275E44" w14:textId="228F0896" w:rsidR="00C31BFD" w:rsidRDefault="00C31BFD" w:rsidP="00C31BFD">
      <w:pPr>
        <w:pStyle w:val="Normal1"/>
        <w:numPr>
          <w:ilvl w:val="0"/>
          <w:numId w:val="14"/>
        </w:numPr>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Los perjuicios derivados del costo oportunidad, que se traducen en el impedimento de formación o capacitación profesional o técnica; disminución o impedimento de la inserción en el mercado laboral y la </w:t>
      </w:r>
      <w:r>
        <w:rPr>
          <w:rFonts w:ascii="Century Gothic" w:eastAsia="Arial" w:hAnsi="Century Gothic" w:cs="Arial"/>
          <w:bCs/>
          <w:szCs w:val="24"/>
          <w:lang w:val="es-MX"/>
        </w:rPr>
        <w:lastRenderedPageBreak/>
        <w:t xml:space="preserve">correlativa pérdida de los derechos a la seguridad social, entre otros supuestos. </w:t>
      </w:r>
    </w:p>
    <w:p w14:paraId="64491A16" w14:textId="77777777" w:rsidR="00C31BFD" w:rsidRDefault="00C31BFD" w:rsidP="00C31BFD">
      <w:pPr>
        <w:pStyle w:val="Normal1"/>
        <w:spacing w:line="360" w:lineRule="auto"/>
        <w:contextualSpacing/>
        <w:jc w:val="both"/>
        <w:rPr>
          <w:rFonts w:ascii="Century Gothic" w:eastAsia="Arial" w:hAnsi="Century Gothic" w:cs="Arial"/>
          <w:bCs/>
          <w:szCs w:val="24"/>
          <w:lang w:val="es-MX"/>
        </w:rPr>
      </w:pPr>
    </w:p>
    <w:p w14:paraId="637AB5A7" w14:textId="4D330C13" w:rsidR="00C31BFD" w:rsidRDefault="00C31BFD" w:rsidP="00C31BF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sentido, la obligación de </w:t>
      </w:r>
      <w:r w:rsidR="002018D7">
        <w:rPr>
          <w:rFonts w:ascii="Century Gothic" w:eastAsia="Arial" w:hAnsi="Century Gothic" w:cs="Arial"/>
          <w:bCs/>
          <w:szCs w:val="24"/>
          <w:lang w:val="es-MX"/>
        </w:rPr>
        <w:t xml:space="preserve">otorgar una pensión compensatoria, surge ante un acreedor que, como consecuencia del divorcio, se encuentra en una situación evidente de desequilibrio económico. </w:t>
      </w:r>
    </w:p>
    <w:p w14:paraId="3A6318EF" w14:textId="77777777" w:rsidR="002018D7" w:rsidRDefault="002018D7" w:rsidP="00C31BFD">
      <w:pPr>
        <w:pStyle w:val="Normal1"/>
        <w:spacing w:line="360" w:lineRule="auto"/>
        <w:contextualSpacing/>
        <w:jc w:val="both"/>
        <w:rPr>
          <w:rFonts w:ascii="Century Gothic" w:eastAsia="Arial" w:hAnsi="Century Gothic" w:cs="Arial"/>
          <w:bCs/>
          <w:szCs w:val="24"/>
          <w:lang w:val="es-MX"/>
        </w:rPr>
      </w:pPr>
    </w:p>
    <w:p w14:paraId="265481DC" w14:textId="1998C138" w:rsidR="002018D7" w:rsidRDefault="00B12A5F" w:rsidP="00C31BFD">
      <w:pPr>
        <w:pStyle w:val="Normal1"/>
        <w:spacing w:line="360" w:lineRule="auto"/>
        <w:contextualSpacing/>
        <w:jc w:val="both"/>
        <w:rPr>
          <w:rFonts w:ascii="Century Gothic" w:eastAsia="Arial" w:hAnsi="Century Gothic" w:cs="Arial"/>
          <w:bCs/>
          <w:szCs w:val="24"/>
          <w:lang w:val="es-MX"/>
        </w:rPr>
      </w:pPr>
      <w:r w:rsidRPr="00B12A5F">
        <w:rPr>
          <w:rFonts w:ascii="Century Gothic" w:eastAsia="Arial" w:hAnsi="Century Gothic" w:cs="Arial"/>
          <w:b/>
          <w:szCs w:val="24"/>
          <w:lang w:val="es-MX"/>
        </w:rPr>
        <w:t>VII.-</w:t>
      </w:r>
      <w:r>
        <w:rPr>
          <w:rFonts w:ascii="Century Gothic" w:eastAsia="Arial" w:hAnsi="Century Gothic" w:cs="Arial"/>
          <w:bCs/>
          <w:szCs w:val="24"/>
          <w:lang w:val="es-MX"/>
        </w:rPr>
        <w:t xml:space="preserve"> </w:t>
      </w:r>
      <w:r w:rsidR="002018D7">
        <w:rPr>
          <w:rFonts w:ascii="Century Gothic" w:eastAsia="Arial" w:hAnsi="Century Gothic" w:cs="Arial"/>
          <w:bCs/>
          <w:szCs w:val="24"/>
          <w:lang w:val="es-MX"/>
        </w:rPr>
        <w:t xml:space="preserve">Destacamos que, </w:t>
      </w:r>
      <w:r w:rsidR="00A35ACD">
        <w:rPr>
          <w:rFonts w:ascii="Century Gothic" w:eastAsia="Arial" w:hAnsi="Century Gothic" w:cs="Arial"/>
          <w:bCs/>
          <w:szCs w:val="24"/>
          <w:lang w:val="es-MX"/>
        </w:rPr>
        <w:t xml:space="preserve">como ya hemos mencionado, y </w:t>
      </w:r>
      <w:r w:rsidR="002018D7">
        <w:rPr>
          <w:rFonts w:ascii="Century Gothic" w:eastAsia="Arial" w:hAnsi="Century Gothic" w:cs="Arial"/>
          <w:bCs/>
          <w:szCs w:val="24"/>
          <w:lang w:val="es-MX"/>
        </w:rPr>
        <w:t xml:space="preserve">con la finalidad de garantizar y asegurar la igualdad de derechos y una adecuada equivalencia de responsabilidad de las personas cónyuges o concubinas, complementaria a la pensión compensatoria que se propone, nuestro Código Civil contiene vigente la figura de la compensación  patrimonial que podrá consistir en hasta el cincuenta por ciento de la propiedad de los bienes inmuebles adquiridos durante la vigencia del matrimonio con el trabajo conjunto de la familia, cuando éstos sean propiedad de la o el otro cónyuge. Esta figura compensa al cónyuge que se dedicó durante la vigencia del matrimonio al desempeño de las labores del hogar y en su caso al cuidado de los hijos, razones por las cuales se vio imposibilitado para adquirir bienes propios o que habiéndolos adquirido sean notoriamente menores a los del ex cónyuge. </w:t>
      </w:r>
    </w:p>
    <w:p w14:paraId="0088563E" w14:textId="77777777" w:rsidR="002018D7" w:rsidRDefault="002018D7" w:rsidP="00C31BFD">
      <w:pPr>
        <w:pStyle w:val="Normal1"/>
        <w:spacing w:line="360" w:lineRule="auto"/>
        <w:contextualSpacing/>
        <w:jc w:val="both"/>
        <w:rPr>
          <w:rFonts w:ascii="Century Gothic" w:eastAsia="Arial" w:hAnsi="Century Gothic" w:cs="Arial"/>
          <w:bCs/>
          <w:szCs w:val="24"/>
          <w:lang w:val="es-MX"/>
        </w:rPr>
      </w:pPr>
    </w:p>
    <w:p w14:paraId="066CD83C" w14:textId="77777777" w:rsidR="00B50F1F" w:rsidRDefault="002018D7" w:rsidP="00C31BF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Así pues, la pensión compensatoria se relaciona con el derecho de acceso a una vida digna, en la hipótesis que el divorcio coloque a uno de los </w:t>
      </w:r>
      <w:r>
        <w:rPr>
          <w:rFonts w:ascii="Century Gothic" w:eastAsia="Arial" w:hAnsi="Century Gothic" w:cs="Arial"/>
          <w:bCs/>
          <w:szCs w:val="24"/>
          <w:lang w:val="es-MX"/>
        </w:rPr>
        <w:lastRenderedPageBreak/>
        <w:t xml:space="preserve">cónyuges en desventaja económica que le impida el acceso a un nivel de vida adecuado. </w:t>
      </w:r>
    </w:p>
    <w:p w14:paraId="38BEF904" w14:textId="77777777" w:rsidR="00B50F1F" w:rsidRDefault="00B50F1F" w:rsidP="00C31BFD">
      <w:pPr>
        <w:pStyle w:val="Normal1"/>
        <w:spacing w:line="360" w:lineRule="auto"/>
        <w:contextualSpacing/>
        <w:jc w:val="both"/>
        <w:rPr>
          <w:rFonts w:ascii="Century Gothic" w:eastAsia="Arial" w:hAnsi="Century Gothic" w:cs="Arial"/>
          <w:bCs/>
          <w:szCs w:val="24"/>
          <w:lang w:val="es-MX"/>
        </w:rPr>
      </w:pPr>
    </w:p>
    <w:p w14:paraId="413AD243" w14:textId="408A932B" w:rsidR="00B50F1F" w:rsidRDefault="00B50F1F" w:rsidP="00C31BF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En definitiva, l</w:t>
      </w:r>
      <w:r w:rsidRPr="00B50F1F">
        <w:rPr>
          <w:rFonts w:ascii="Century Gothic" w:eastAsia="Arial" w:hAnsi="Century Gothic" w:cs="Arial"/>
          <w:bCs/>
          <w:szCs w:val="24"/>
          <w:lang w:val="es-MX"/>
        </w:rPr>
        <w:t>a Suprema Corte</w:t>
      </w:r>
      <w:r>
        <w:rPr>
          <w:rFonts w:ascii="Century Gothic" w:eastAsia="Arial" w:hAnsi="Century Gothic" w:cs="Arial"/>
          <w:bCs/>
          <w:szCs w:val="24"/>
          <w:lang w:val="es-MX"/>
        </w:rPr>
        <w:t xml:space="preserve"> de Justicia de la Nación</w:t>
      </w:r>
      <w:r w:rsidRPr="00B50F1F">
        <w:rPr>
          <w:rFonts w:ascii="Century Gothic" w:eastAsia="Arial" w:hAnsi="Century Gothic" w:cs="Arial"/>
          <w:bCs/>
          <w:szCs w:val="24"/>
          <w:lang w:val="es-MX"/>
        </w:rPr>
        <w:t xml:space="preserve">, al ir resolviendo juicios de amparo y contradicciones de tesis respecto de demandas de pensión compensatoria, nos ha </w:t>
      </w:r>
      <w:r>
        <w:rPr>
          <w:rFonts w:ascii="Century Gothic" w:eastAsia="Arial" w:hAnsi="Century Gothic" w:cs="Arial"/>
          <w:bCs/>
          <w:szCs w:val="24"/>
          <w:lang w:val="es-MX"/>
        </w:rPr>
        <w:t>brindado</w:t>
      </w:r>
      <w:r w:rsidRPr="00B50F1F">
        <w:rPr>
          <w:rFonts w:ascii="Century Gothic" w:eastAsia="Arial" w:hAnsi="Century Gothic" w:cs="Arial"/>
          <w:bCs/>
          <w:szCs w:val="24"/>
          <w:lang w:val="es-MX"/>
        </w:rPr>
        <w:t xml:space="preserve"> la pauta para armonizar nuestro Código Civil, en el sentido de que quienes cuidaron de su familia no vean afectad</w:t>
      </w:r>
      <w:r w:rsidR="00D75843">
        <w:rPr>
          <w:rFonts w:ascii="Century Gothic" w:eastAsia="Arial" w:hAnsi="Century Gothic" w:cs="Arial"/>
          <w:bCs/>
          <w:szCs w:val="24"/>
          <w:lang w:val="es-MX"/>
        </w:rPr>
        <w:t>a</w:t>
      </w:r>
      <w:r w:rsidRPr="00B50F1F">
        <w:rPr>
          <w:rFonts w:ascii="Century Gothic" w:eastAsia="Arial" w:hAnsi="Century Gothic" w:cs="Arial"/>
          <w:bCs/>
          <w:szCs w:val="24"/>
          <w:lang w:val="es-MX"/>
        </w:rPr>
        <w:t xml:space="preserve"> la organización y desarrollo familiar </w:t>
      </w:r>
      <w:r>
        <w:rPr>
          <w:rFonts w:ascii="Century Gothic" w:eastAsia="Arial" w:hAnsi="Century Gothic" w:cs="Arial"/>
          <w:bCs/>
          <w:szCs w:val="24"/>
          <w:lang w:val="es-MX"/>
        </w:rPr>
        <w:t xml:space="preserve">al momento de la disolución matrimonial, </w:t>
      </w:r>
      <w:r w:rsidRPr="00B50F1F">
        <w:rPr>
          <w:rFonts w:ascii="Century Gothic" w:eastAsia="Arial" w:hAnsi="Century Gothic" w:cs="Arial"/>
          <w:bCs/>
          <w:szCs w:val="24"/>
          <w:lang w:val="es-MX"/>
        </w:rPr>
        <w:t>con base en la igualdad entre mujeres y hombres, como lo señala el artículo cuarto de nuestra Carta Magna.</w:t>
      </w:r>
    </w:p>
    <w:p w14:paraId="680120E1" w14:textId="77777777" w:rsidR="00B50F1F" w:rsidRDefault="00B50F1F" w:rsidP="00C31BFD">
      <w:pPr>
        <w:pStyle w:val="Normal1"/>
        <w:spacing w:line="360" w:lineRule="auto"/>
        <w:contextualSpacing/>
        <w:jc w:val="both"/>
        <w:rPr>
          <w:rFonts w:ascii="Century Gothic" w:eastAsia="Arial" w:hAnsi="Century Gothic" w:cs="Arial"/>
          <w:bCs/>
          <w:szCs w:val="24"/>
          <w:lang w:val="es-MX"/>
        </w:rPr>
      </w:pPr>
    </w:p>
    <w:p w14:paraId="06C04F1C" w14:textId="338DEAE3" w:rsidR="002018D7" w:rsidRPr="00C31BFD" w:rsidRDefault="002018D7" w:rsidP="00C31BFD">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Por lo que, quienes integramos estas Comisiones Unidas, consideramos justo y acertado, incorporar la pensión compensatoria al artículo 268 Bis, mismo que contiene la figura de la compensación, con la finalidad de que ambas medidas </w:t>
      </w:r>
      <w:r w:rsidR="00A35ACD">
        <w:rPr>
          <w:rFonts w:ascii="Century Gothic" w:eastAsia="Arial" w:hAnsi="Century Gothic" w:cs="Arial"/>
          <w:bCs/>
          <w:szCs w:val="24"/>
          <w:lang w:val="es-MX"/>
        </w:rPr>
        <w:t xml:space="preserve">en su conjunto, </w:t>
      </w:r>
      <w:r>
        <w:rPr>
          <w:rFonts w:ascii="Century Gothic" w:eastAsia="Arial" w:hAnsi="Century Gothic" w:cs="Arial"/>
          <w:bCs/>
          <w:szCs w:val="24"/>
          <w:lang w:val="es-MX"/>
        </w:rPr>
        <w:t>cuiden el equilibrio económico y patrimonial de quienes estuvieron unidos en matrimonio o concubinato, a fin de asegurar la igualdad de derechos y una adecuada equivalencia de responsabilidades de los cónyuges</w:t>
      </w:r>
      <w:r w:rsidR="00B50F1F">
        <w:rPr>
          <w:rFonts w:ascii="Century Gothic" w:eastAsia="Arial" w:hAnsi="Century Gothic" w:cs="Arial"/>
          <w:bCs/>
          <w:szCs w:val="24"/>
          <w:lang w:val="es-MX"/>
        </w:rPr>
        <w:t xml:space="preserve"> o concubinos. </w:t>
      </w:r>
    </w:p>
    <w:p w14:paraId="27AE3816" w14:textId="4BFD8CAD" w:rsidR="002D4EAC" w:rsidRDefault="002D4EAC" w:rsidP="006D7CC4">
      <w:pPr>
        <w:pStyle w:val="Normal1"/>
        <w:spacing w:line="360" w:lineRule="auto"/>
        <w:contextualSpacing/>
        <w:jc w:val="both"/>
        <w:rPr>
          <w:rFonts w:ascii="Century Gothic" w:eastAsia="Arial" w:hAnsi="Century Gothic" w:cs="Arial"/>
          <w:bCs/>
          <w:szCs w:val="24"/>
          <w:lang w:val="es-MX"/>
        </w:rPr>
      </w:pPr>
    </w:p>
    <w:p w14:paraId="410328E2" w14:textId="1341C38C" w:rsidR="00A35ACD" w:rsidRDefault="00A35ACD" w:rsidP="006D7CC4">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Ahora bien, respecto de la propuesta de </w:t>
      </w:r>
      <w:r>
        <w:rPr>
          <w:rFonts w:ascii="Century Gothic" w:eastAsia="Arial" w:hAnsi="Century Gothic" w:cs="Arial"/>
          <w:color w:val="auto"/>
          <w:szCs w:val="24"/>
          <w:lang w:val="es-MX"/>
        </w:rPr>
        <w:t xml:space="preserve">establecer la obligatoriedad del órgano jurisdiccional de resolver estas controversias con perspectiva de género, es dable subrayar que dicha perspectiva </w:t>
      </w:r>
      <w:r w:rsidR="002D56E1" w:rsidRPr="002D56E1">
        <w:rPr>
          <w:rFonts w:ascii="Century Gothic" w:eastAsia="Arial" w:hAnsi="Century Gothic" w:cs="Arial"/>
          <w:bCs/>
          <w:szCs w:val="24"/>
          <w:lang w:val="es-MX"/>
        </w:rPr>
        <w:t xml:space="preserve">resulta crucial cuando la </w:t>
      </w:r>
      <w:r w:rsidR="002D56E1" w:rsidRPr="002D56E1">
        <w:rPr>
          <w:rFonts w:ascii="Century Gothic" w:eastAsia="Arial" w:hAnsi="Century Gothic" w:cs="Arial"/>
          <w:bCs/>
          <w:szCs w:val="24"/>
          <w:lang w:val="es-MX"/>
        </w:rPr>
        <w:lastRenderedPageBreak/>
        <w:t>afectación recae en el acceso a una medida encaminada a remediar una situación de desigualdad vigente</w:t>
      </w:r>
      <w:r w:rsidR="002D56E1">
        <w:rPr>
          <w:rFonts w:ascii="Century Gothic" w:eastAsia="Arial" w:hAnsi="Century Gothic" w:cs="Arial"/>
          <w:bCs/>
          <w:szCs w:val="24"/>
          <w:lang w:val="es-MX"/>
        </w:rPr>
        <w:t xml:space="preserve">. </w:t>
      </w:r>
    </w:p>
    <w:p w14:paraId="1FDA8ECE" w14:textId="77777777" w:rsidR="00A35ACD" w:rsidRDefault="00A35ACD" w:rsidP="006D7CC4">
      <w:pPr>
        <w:pStyle w:val="Normal1"/>
        <w:spacing w:line="360" w:lineRule="auto"/>
        <w:contextualSpacing/>
        <w:jc w:val="both"/>
        <w:rPr>
          <w:rFonts w:ascii="Century Gothic" w:eastAsia="Arial" w:hAnsi="Century Gothic" w:cs="Arial"/>
          <w:bCs/>
          <w:szCs w:val="24"/>
          <w:lang w:val="es-MX"/>
        </w:rPr>
      </w:pPr>
    </w:p>
    <w:p w14:paraId="590A9499" w14:textId="4AC6B32C" w:rsidR="002D56E1" w:rsidRPr="00A35ACD" w:rsidRDefault="00C467AC" w:rsidP="006D7CC4">
      <w:pPr>
        <w:pStyle w:val="Normal1"/>
        <w:spacing w:line="360" w:lineRule="auto"/>
        <w:contextualSpacing/>
        <w:jc w:val="both"/>
        <w:rPr>
          <w:rFonts w:ascii="Century Gothic" w:eastAsia="Arial" w:hAnsi="Century Gothic" w:cs="Arial"/>
          <w:color w:val="auto"/>
          <w:szCs w:val="24"/>
          <w:lang w:val="es-MX"/>
        </w:rPr>
      </w:pPr>
      <w:r w:rsidRPr="00C467AC">
        <w:rPr>
          <w:rFonts w:ascii="Century Gothic" w:eastAsia="Arial" w:hAnsi="Century Gothic" w:cs="Arial"/>
          <w:bCs/>
          <w:szCs w:val="24"/>
          <w:lang w:val="es-MX"/>
        </w:rPr>
        <w:t xml:space="preserve">En esta tesitura, es necesario destacar que el </w:t>
      </w:r>
      <w:r w:rsidR="00A35ACD">
        <w:rPr>
          <w:rFonts w:ascii="Century Gothic" w:eastAsia="Arial" w:hAnsi="Century Gothic" w:cs="Arial"/>
          <w:bCs/>
          <w:szCs w:val="24"/>
          <w:lang w:val="es-MX"/>
        </w:rPr>
        <w:t xml:space="preserve">derecho a recibir justicia bajo </w:t>
      </w:r>
      <w:r w:rsidRPr="00C467AC">
        <w:rPr>
          <w:rFonts w:ascii="Century Gothic" w:eastAsia="Arial" w:hAnsi="Century Gothic" w:cs="Arial"/>
          <w:bCs/>
          <w:szCs w:val="24"/>
          <w:lang w:val="es-MX"/>
        </w:rPr>
        <w:t xml:space="preserve">un método de perspectiva de género tiene su origen en los artículos 1º y 4º de la </w:t>
      </w:r>
      <w:r w:rsidRPr="00A35ACD">
        <w:rPr>
          <w:rFonts w:ascii="Century Gothic" w:eastAsia="Arial" w:hAnsi="Century Gothic" w:cs="Arial"/>
          <w:b/>
          <w:bCs/>
          <w:szCs w:val="24"/>
          <w:lang w:val="es-MX"/>
        </w:rPr>
        <w:t>Constitución Política de los Estados Unidos Mexicanos</w:t>
      </w:r>
      <w:r w:rsidRPr="00C467AC">
        <w:rPr>
          <w:rFonts w:ascii="Century Gothic" w:eastAsia="Arial" w:hAnsi="Century Gothic" w:cs="Arial"/>
          <w:bCs/>
          <w:szCs w:val="24"/>
          <w:lang w:val="es-MX"/>
        </w:rPr>
        <w:t>, así como en los</w:t>
      </w:r>
      <w:r>
        <w:rPr>
          <w:rFonts w:ascii="Century Gothic" w:eastAsia="Arial" w:hAnsi="Century Gothic" w:cs="Arial"/>
          <w:bCs/>
          <w:szCs w:val="24"/>
          <w:lang w:val="es-MX"/>
        </w:rPr>
        <w:t xml:space="preserve"> </w:t>
      </w:r>
      <w:r w:rsidRPr="00C467AC">
        <w:rPr>
          <w:rFonts w:ascii="Century Gothic" w:eastAsia="Arial" w:hAnsi="Century Gothic" w:cs="Arial"/>
          <w:bCs/>
          <w:szCs w:val="24"/>
          <w:lang w:val="es-MX"/>
        </w:rPr>
        <w:t xml:space="preserve">artículos 2, 6 y 7 de la </w:t>
      </w:r>
      <w:r w:rsidRPr="00A35ACD">
        <w:rPr>
          <w:rFonts w:ascii="Century Gothic" w:eastAsia="Arial" w:hAnsi="Century Gothic" w:cs="Arial"/>
          <w:b/>
          <w:bCs/>
          <w:szCs w:val="24"/>
          <w:lang w:val="es-MX"/>
        </w:rPr>
        <w:t>Convención Interamericana para Prevenir, Sancionar y Erradicar la Violencia contra la Mujer</w:t>
      </w:r>
      <w:r w:rsidR="00A35ACD">
        <w:rPr>
          <w:rFonts w:ascii="Century Gothic" w:eastAsia="Arial" w:hAnsi="Century Gothic" w:cs="Arial"/>
          <w:bCs/>
          <w:szCs w:val="24"/>
          <w:lang w:val="es-MX"/>
        </w:rPr>
        <w:t>, cuyo contenido ya ha sido desglosado en los considerandos anteriores del presente documento.</w:t>
      </w:r>
    </w:p>
    <w:p w14:paraId="5004487E" w14:textId="77777777" w:rsidR="00B27D31" w:rsidRDefault="00B27D31" w:rsidP="006D7CC4">
      <w:pPr>
        <w:pStyle w:val="Normal1"/>
        <w:spacing w:line="360" w:lineRule="auto"/>
        <w:contextualSpacing/>
        <w:jc w:val="both"/>
        <w:rPr>
          <w:rFonts w:ascii="Century Gothic" w:eastAsia="Arial" w:hAnsi="Century Gothic" w:cs="Arial"/>
          <w:bCs/>
          <w:szCs w:val="24"/>
          <w:lang w:val="es-MX"/>
        </w:rPr>
      </w:pPr>
    </w:p>
    <w:p w14:paraId="347E916E" w14:textId="067FDB34" w:rsidR="00B27D31" w:rsidRDefault="00C55BA2" w:rsidP="00B27D31">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Siguiendo esta misma línea normativa</w:t>
      </w:r>
      <w:r w:rsidR="00B27D31" w:rsidRPr="00B27D31">
        <w:rPr>
          <w:rFonts w:ascii="Century Gothic" w:eastAsia="Arial" w:hAnsi="Century Gothic" w:cs="Arial"/>
          <w:bCs/>
          <w:szCs w:val="24"/>
          <w:lang w:val="es-MX"/>
        </w:rPr>
        <w:t xml:space="preserve">, la </w:t>
      </w:r>
      <w:r w:rsidR="00B27D31" w:rsidRPr="00A35ACD">
        <w:rPr>
          <w:rFonts w:ascii="Century Gothic" w:eastAsia="Arial" w:hAnsi="Century Gothic" w:cs="Arial"/>
          <w:b/>
          <w:bCs/>
          <w:szCs w:val="24"/>
          <w:lang w:val="es-MX"/>
        </w:rPr>
        <w:t>Corte Interamericana de Derechos Humanos</w:t>
      </w:r>
      <w:r w:rsidR="00B27D31" w:rsidRPr="00B27D31">
        <w:rPr>
          <w:rFonts w:ascii="Century Gothic" w:eastAsia="Arial" w:hAnsi="Century Gothic" w:cs="Arial"/>
          <w:bCs/>
          <w:szCs w:val="24"/>
          <w:lang w:val="es-MX"/>
        </w:rPr>
        <w:t xml:space="preserve"> ha</w:t>
      </w:r>
      <w:r w:rsidR="00B27D31">
        <w:rPr>
          <w:rFonts w:ascii="Century Gothic" w:eastAsia="Arial" w:hAnsi="Century Gothic" w:cs="Arial"/>
          <w:bCs/>
          <w:szCs w:val="24"/>
          <w:lang w:val="es-MX"/>
        </w:rPr>
        <w:t xml:space="preserve"> </w:t>
      </w:r>
      <w:r w:rsidR="00B27D31" w:rsidRPr="00B27D31">
        <w:rPr>
          <w:rFonts w:ascii="Century Gothic" w:eastAsia="Arial" w:hAnsi="Century Gothic" w:cs="Arial"/>
          <w:bCs/>
          <w:szCs w:val="24"/>
          <w:lang w:val="es-MX"/>
        </w:rPr>
        <w:t>destacado la importancia de identificar</w:t>
      </w:r>
      <w:r w:rsidR="00B27D31">
        <w:rPr>
          <w:rFonts w:ascii="Century Gothic" w:eastAsia="Arial" w:hAnsi="Century Gothic" w:cs="Arial"/>
          <w:bCs/>
          <w:szCs w:val="24"/>
          <w:lang w:val="es-MX"/>
        </w:rPr>
        <w:t xml:space="preserve">, en cualquier controversia, la </w:t>
      </w:r>
      <w:r w:rsidR="00B27D31" w:rsidRPr="00B27D31">
        <w:rPr>
          <w:rFonts w:ascii="Century Gothic" w:eastAsia="Arial" w:hAnsi="Century Gothic" w:cs="Arial"/>
          <w:bCs/>
          <w:szCs w:val="24"/>
          <w:lang w:val="es-MX"/>
        </w:rPr>
        <w:t>existencia de posibles desventajas derivadas de estereotipos culturales</w:t>
      </w:r>
      <w:r w:rsidR="00B27D31">
        <w:rPr>
          <w:rFonts w:ascii="Century Gothic" w:eastAsia="Arial" w:hAnsi="Century Gothic" w:cs="Arial"/>
          <w:bCs/>
          <w:szCs w:val="24"/>
          <w:lang w:val="es-MX"/>
        </w:rPr>
        <w:t xml:space="preserve"> </w:t>
      </w:r>
      <w:r w:rsidR="00B27D31" w:rsidRPr="00B27D31">
        <w:rPr>
          <w:rFonts w:ascii="Century Gothic" w:eastAsia="Arial" w:hAnsi="Century Gothic" w:cs="Arial"/>
          <w:bCs/>
          <w:szCs w:val="24"/>
          <w:lang w:val="es-MX"/>
        </w:rPr>
        <w:t>(entendidos como preconcepciones de atributo</w:t>
      </w:r>
      <w:r w:rsidR="00B27D31">
        <w:rPr>
          <w:rFonts w:ascii="Century Gothic" w:eastAsia="Arial" w:hAnsi="Century Gothic" w:cs="Arial"/>
          <w:bCs/>
          <w:szCs w:val="24"/>
          <w:lang w:val="es-MX"/>
        </w:rPr>
        <w:t xml:space="preserve">s, conductas, características o </w:t>
      </w:r>
      <w:r w:rsidR="00B27D31" w:rsidRPr="00B27D31">
        <w:rPr>
          <w:rFonts w:ascii="Century Gothic" w:eastAsia="Arial" w:hAnsi="Century Gothic" w:cs="Arial"/>
          <w:bCs/>
          <w:szCs w:val="24"/>
          <w:lang w:val="es-MX"/>
        </w:rPr>
        <w:t>papeles propios de uno u otro género)</w:t>
      </w:r>
      <w:r w:rsidR="00B27D31">
        <w:rPr>
          <w:rFonts w:ascii="Century Gothic" w:eastAsia="Arial" w:hAnsi="Century Gothic" w:cs="Arial"/>
          <w:bCs/>
          <w:szCs w:val="24"/>
          <w:lang w:val="es-MX"/>
        </w:rPr>
        <w:t xml:space="preserve">, para lo cual las autoridades </w:t>
      </w:r>
      <w:r w:rsidR="00B27D31" w:rsidRPr="00B27D31">
        <w:rPr>
          <w:rFonts w:ascii="Century Gothic" w:eastAsia="Arial" w:hAnsi="Century Gothic" w:cs="Arial"/>
          <w:bCs/>
          <w:szCs w:val="24"/>
          <w:lang w:val="es-MX"/>
        </w:rPr>
        <w:t>competentes del Estado deben implementar un</w:t>
      </w:r>
      <w:r w:rsidR="00B27D31">
        <w:rPr>
          <w:rFonts w:ascii="Century Gothic" w:eastAsia="Arial" w:hAnsi="Century Gothic" w:cs="Arial"/>
          <w:bCs/>
          <w:szCs w:val="24"/>
          <w:lang w:val="es-MX"/>
        </w:rPr>
        <w:t xml:space="preserve"> protocolo para el ejercicio de </w:t>
      </w:r>
      <w:r w:rsidR="00B27D31" w:rsidRPr="00B27D31">
        <w:rPr>
          <w:rFonts w:ascii="Century Gothic" w:eastAsia="Arial" w:hAnsi="Century Gothic" w:cs="Arial"/>
          <w:bCs/>
          <w:szCs w:val="24"/>
          <w:lang w:val="es-MX"/>
        </w:rPr>
        <w:t>sus facultades a la luz de una perspectiva de género.</w:t>
      </w:r>
      <w:r w:rsidR="00B27D31">
        <w:rPr>
          <w:rStyle w:val="Refdenotaalpie"/>
          <w:rFonts w:ascii="Century Gothic" w:eastAsia="Arial" w:hAnsi="Century Gothic" w:cs="Arial"/>
          <w:bCs/>
          <w:szCs w:val="24"/>
          <w:lang w:val="es-MX"/>
        </w:rPr>
        <w:footnoteReference w:id="15"/>
      </w:r>
    </w:p>
    <w:p w14:paraId="2FFA35B0" w14:textId="77777777" w:rsidR="00B27D31" w:rsidRDefault="00B27D31" w:rsidP="00B27D31">
      <w:pPr>
        <w:pStyle w:val="Normal1"/>
        <w:spacing w:line="360" w:lineRule="auto"/>
        <w:contextualSpacing/>
        <w:jc w:val="both"/>
        <w:rPr>
          <w:rFonts w:ascii="Century Gothic" w:eastAsia="Arial" w:hAnsi="Century Gothic" w:cs="Arial"/>
          <w:bCs/>
          <w:szCs w:val="24"/>
          <w:lang w:val="es-MX"/>
        </w:rPr>
      </w:pPr>
    </w:p>
    <w:p w14:paraId="4E61A4D1" w14:textId="16DF79F5" w:rsidR="00A17862" w:rsidRDefault="00A17862" w:rsidP="00A17862">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Al respecto, resulta confirmante la J</w:t>
      </w:r>
      <w:r w:rsidRPr="00DA5A6A">
        <w:rPr>
          <w:rFonts w:ascii="Century Gothic" w:eastAsia="Arial" w:hAnsi="Century Gothic" w:cs="Arial"/>
          <w:bCs/>
          <w:szCs w:val="24"/>
          <w:lang w:val="es-MX"/>
        </w:rPr>
        <w:t xml:space="preserve">urisprudencia </w:t>
      </w:r>
      <w:r w:rsidRPr="00A17862">
        <w:rPr>
          <w:rFonts w:ascii="Century Gothic" w:eastAsia="Arial" w:hAnsi="Century Gothic" w:cs="Arial"/>
          <w:bCs/>
          <w:szCs w:val="24"/>
          <w:lang w:val="es-MX"/>
        </w:rPr>
        <w:t>1a./J. 22/2016 (10a.)</w:t>
      </w:r>
      <w:r>
        <w:rPr>
          <w:rFonts w:ascii="Century Gothic" w:eastAsia="Arial" w:hAnsi="Century Gothic" w:cs="Arial"/>
          <w:bCs/>
          <w:szCs w:val="24"/>
          <w:lang w:val="es-MX"/>
        </w:rPr>
        <w:t xml:space="preserve"> sostenida por la Primera Sala en materia constitucional</w:t>
      </w:r>
      <w:r w:rsidRPr="00DA5A6A">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visible en la página </w:t>
      </w:r>
      <w:r>
        <w:rPr>
          <w:rFonts w:ascii="Century Gothic" w:eastAsia="Arial" w:hAnsi="Century Gothic" w:cs="Arial"/>
          <w:bCs/>
          <w:szCs w:val="24"/>
          <w:lang w:val="es-MX"/>
        </w:rPr>
        <w:lastRenderedPageBreak/>
        <w:t>836, del Tomo II, Libro 29</w:t>
      </w:r>
      <w:r w:rsidR="00C55BA2">
        <w:rPr>
          <w:rFonts w:ascii="Century Gothic" w:eastAsia="Arial" w:hAnsi="Century Gothic" w:cs="Arial"/>
          <w:bCs/>
          <w:szCs w:val="24"/>
          <w:lang w:val="es-MX"/>
        </w:rPr>
        <w:t xml:space="preserve">, de abril de 2016, publicada en la </w:t>
      </w:r>
      <w:r w:rsidR="00C55BA2" w:rsidRPr="00C55BA2">
        <w:rPr>
          <w:rFonts w:ascii="Century Gothic" w:eastAsia="Arial" w:hAnsi="Century Gothic" w:cs="Arial"/>
          <w:bCs/>
          <w:szCs w:val="24"/>
          <w:lang w:val="es-MX"/>
        </w:rPr>
        <w:t>Gaceta del Semanario Judicial de la Federación</w:t>
      </w:r>
      <w:r w:rsidR="00C55BA2">
        <w:rPr>
          <w:rFonts w:ascii="Century Gothic" w:eastAsia="Arial" w:hAnsi="Century Gothic" w:cs="Arial"/>
          <w:bCs/>
          <w:szCs w:val="24"/>
          <w:lang w:val="es-MX"/>
        </w:rPr>
        <w:t xml:space="preserve">, Décima Época, </w:t>
      </w:r>
      <w:r w:rsidR="00C55BA2" w:rsidRPr="00C55BA2">
        <w:rPr>
          <w:rFonts w:ascii="Century Gothic" w:eastAsia="Arial" w:hAnsi="Century Gothic" w:cs="Arial"/>
          <w:bCs/>
          <w:szCs w:val="24"/>
          <w:lang w:val="es-MX"/>
        </w:rPr>
        <w:t xml:space="preserve">cuyos rubros y textos se invocan a continuación:  </w:t>
      </w:r>
    </w:p>
    <w:p w14:paraId="16567057" w14:textId="0D208643" w:rsidR="00C55BA2" w:rsidRDefault="00C55BA2" w:rsidP="00A17862">
      <w:pPr>
        <w:pStyle w:val="Normal1"/>
        <w:spacing w:line="360" w:lineRule="auto"/>
        <w:contextualSpacing/>
        <w:jc w:val="both"/>
        <w:rPr>
          <w:rFonts w:ascii="Century Gothic" w:eastAsia="Arial" w:hAnsi="Century Gothic" w:cs="Arial"/>
          <w:bCs/>
          <w:szCs w:val="24"/>
          <w:lang w:val="es-MX"/>
        </w:rPr>
      </w:pPr>
    </w:p>
    <w:p w14:paraId="61D1FC01" w14:textId="77777777" w:rsidR="00C55BA2" w:rsidRPr="00C55BA2" w:rsidRDefault="00C55BA2" w:rsidP="00C55BA2">
      <w:pPr>
        <w:pStyle w:val="Normal1"/>
        <w:spacing w:line="360" w:lineRule="auto"/>
        <w:ind w:left="709" w:right="616"/>
        <w:contextualSpacing/>
        <w:jc w:val="both"/>
        <w:rPr>
          <w:rFonts w:ascii="Century Gothic" w:eastAsia="Arial" w:hAnsi="Century Gothic" w:cs="Arial"/>
          <w:b/>
          <w:szCs w:val="24"/>
          <w:lang w:val="es-MX"/>
        </w:rPr>
      </w:pPr>
      <w:r w:rsidRPr="00C55BA2">
        <w:rPr>
          <w:rFonts w:ascii="Century Gothic" w:eastAsia="Arial" w:hAnsi="Century Gothic" w:cs="Arial"/>
          <w:b/>
          <w:szCs w:val="24"/>
          <w:lang w:val="es-MX"/>
        </w:rPr>
        <w:t>ACCESO A LA JUSTICIA EN CONDICIONES DE IGUALDAD. ELEMENTOS PARA JUZGAR CON PERSPECTIVA DE GÉNERO.</w:t>
      </w:r>
    </w:p>
    <w:p w14:paraId="371CE887" w14:textId="77777777" w:rsidR="00C55BA2" w:rsidRPr="00C55BA2" w:rsidRDefault="00C55BA2" w:rsidP="00C55BA2">
      <w:pPr>
        <w:pStyle w:val="Normal1"/>
        <w:spacing w:line="360" w:lineRule="auto"/>
        <w:ind w:left="709" w:right="616"/>
        <w:contextualSpacing/>
        <w:jc w:val="both"/>
        <w:rPr>
          <w:rFonts w:ascii="Century Gothic" w:eastAsia="Arial" w:hAnsi="Century Gothic" w:cs="Arial"/>
          <w:bCs/>
          <w:szCs w:val="24"/>
          <w:lang w:val="es-MX"/>
        </w:rPr>
      </w:pPr>
    </w:p>
    <w:p w14:paraId="33CB64D9" w14:textId="6B115024" w:rsidR="00C55BA2" w:rsidRDefault="00C55BA2" w:rsidP="00C55BA2">
      <w:pPr>
        <w:pStyle w:val="Normal1"/>
        <w:spacing w:line="360" w:lineRule="auto"/>
        <w:ind w:left="709" w:right="616"/>
        <w:contextualSpacing/>
        <w:jc w:val="both"/>
        <w:rPr>
          <w:rFonts w:ascii="Century Gothic" w:eastAsia="Arial" w:hAnsi="Century Gothic" w:cs="Arial"/>
          <w:bCs/>
          <w:szCs w:val="24"/>
          <w:lang w:val="es-MX"/>
        </w:rPr>
      </w:pPr>
      <w:r w:rsidRPr="00C55BA2">
        <w:rPr>
          <w:rFonts w:ascii="Century Gothic" w:eastAsia="Arial" w:hAnsi="Century Gothic" w:cs="Arial"/>
          <w:bCs/>
          <w:szCs w:val="24"/>
          <w:lang w:val="es-MX"/>
        </w:rPr>
        <w:t xml:space="preserve">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las partes no lo soliciten, a fin de verificar si existe una situación de violencia o vulnerabilidad que, por cuestiones de género, impida impartir justicia de manera completa e igualitaria. Para ello, el juzgador debe tomar en cuenta lo siguiente: i) identificar primeramente si existen situaciones de poder que por cuestiones de género den cuenta de un desequilibrio entre las partes de la controversia; </w:t>
      </w:r>
      <w:proofErr w:type="spellStart"/>
      <w:r w:rsidRPr="00C55BA2">
        <w:rPr>
          <w:rFonts w:ascii="Century Gothic" w:eastAsia="Arial" w:hAnsi="Century Gothic" w:cs="Arial"/>
          <w:bCs/>
          <w:szCs w:val="24"/>
          <w:lang w:val="es-MX"/>
        </w:rPr>
        <w:t>ii</w:t>
      </w:r>
      <w:proofErr w:type="spellEnd"/>
      <w:r w:rsidRPr="00C55BA2">
        <w:rPr>
          <w:rFonts w:ascii="Century Gothic" w:eastAsia="Arial" w:hAnsi="Century Gothic" w:cs="Arial"/>
          <w:bCs/>
          <w:szCs w:val="24"/>
          <w:lang w:val="es-MX"/>
        </w:rPr>
        <w:t xml:space="preserve">) cuestionar los hechos y valorar las pruebas desechando cualquier estereotipo o prejuicio de género, a fin de visualizar las situaciones de desventaja provocadas por condiciones de sexo o género; </w:t>
      </w:r>
      <w:proofErr w:type="spellStart"/>
      <w:r w:rsidRPr="00C55BA2">
        <w:rPr>
          <w:rFonts w:ascii="Century Gothic" w:eastAsia="Arial" w:hAnsi="Century Gothic" w:cs="Arial"/>
          <w:bCs/>
          <w:szCs w:val="24"/>
          <w:lang w:val="es-MX"/>
        </w:rPr>
        <w:t>iii</w:t>
      </w:r>
      <w:proofErr w:type="spellEnd"/>
      <w:r w:rsidRPr="00C55BA2">
        <w:rPr>
          <w:rFonts w:ascii="Century Gothic" w:eastAsia="Arial" w:hAnsi="Century Gothic" w:cs="Arial"/>
          <w:bCs/>
          <w:szCs w:val="24"/>
          <w:lang w:val="es-MX"/>
        </w:rPr>
        <w:t xml:space="preserve">) en caso de que el material probatorio no sea suficiente para aclarar la situación de violencia, vulnerabilidad o </w:t>
      </w:r>
      <w:r w:rsidRPr="00C55BA2">
        <w:rPr>
          <w:rFonts w:ascii="Century Gothic" w:eastAsia="Arial" w:hAnsi="Century Gothic" w:cs="Arial"/>
          <w:bCs/>
          <w:szCs w:val="24"/>
          <w:lang w:val="es-MX"/>
        </w:rPr>
        <w:lastRenderedPageBreak/>
        <w:t xml:space="preserve">discriminación por razones de género, ordenar las pruebas necesarias para visibilizar dichas situaciones; </w:t>
      </w:r>
      <w:proofErr w:type="spellStart"/>
      <w:r w:rsidRPr="00C55BA2">
        <w:rPr>
          <w:rFonts w:ascii="Century Gothic" w:eastAsia="Arial" w:hAnsi="Century Gothic" w:cs="Arial"/>
          <w:bCs/>
          <w:szCs w:val="24"/>
          <w:lang w:val="es-MX"/>
        </w:rPr>
        <w:t>iv</w:t>
      </w:r>
      <w:proofErr w:type="spellEnd"/>
      <w:r w:rsidRPr="00C55BA2">
        <w:rPr>
          <w:rFonts w:ascii="Century Gothic" w:eastAsia="Arial" w:hAnsi="Century Gothic" w:cs="Arial"/>
          <w:bCs/>
          <w:szCs w:val="24"/>
          <w:lang w:val="es-MX"/>
        </w:rPr>
        <w:t>)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14:paraId="2CEA76BB" w14:textId="77777777" w:rsidR="00B27D31" w:rsidRDefault="00B27D31" w:rsidP="00B27D31">
      <w:pPr>
        <w:pStyle w:val="Normal1"/>
        <w:spacing w:line="360" w:lineRule="auto"/>
        <w:contextualSpacing/>
        <w:jc w:val="both"/>
        <w:rPr>
          <w:rFonts w:ascii="Century Gothic" w:eastAsia="Arial" w:hAnsi="Century Gothic" w:cs="Arial"/>
          <w:bCs/>
          <w:szCs w:val="24"/>
          <w:lang w:val="es-MX"/>
        </w:rPr>
      </w:pPr>
    </w:p>
    <w:p w14:paraId="5CABF4FB" w14:textId="5CF77D8B" w:rsidR="00D0729D" w:rsidRPr="00AF49E5" w:rsidRDefault="00176C70" w:rsidP="00AF49E5">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sidR="00B27D31">
        <w:rPr>
          <w:rFonts w:ascii="Century Gothic" w:hAnsi="Century Gothic" w:cs="Calibri"/>
          <w:b/>
          <w:bCs/>
          <w:sz w:val="24"/>
          <w:szCs w:val="24"/>
        </w:rPr>
        <w:t>I</w:t>
      </w:r>
      <w:r w:rsidR="00B12A5F">
        <w:rPr>
          <w:rFonts w:ascii="Century Gothic" w:hAnsi="Century Gothic" w:cs="Calibri"/>
          <w:b/>
          <w:bCs/>
          <w:sz w:val="24"/>
          <w:szCs w:val="24"/>
        </w:rPr>
        <w:t>I</w:t>
      </w:r>
      <w:r w:rsidR="00A24BD4">
        <w:rPr>
          <w:rFonts w:ascii="Century Gothic" w:hAnsi="Century Gothic" w:cs="Calibri"/>
          <w:b/>
          <w:bCs/>
          <w:sz w:val="24"/>
          <w:szCs w:val="24"/>
        </w:rPr>
        <w:t>I</w:t>
      </w:r>
      <w:r w:rsidRPr="00176C70">
        <w:rPr>
          <w:rFonts w:ascii="Century Gothic" w:hAnsi="Century Gothic" w:cs="Calibri"/>
          <w:b/>
          <w:bCs/>
          <w:sz w:val="24"/>
          <w:szCs w:val="24"/>
        </w:rPr>
        <w:t>.-</w:t>
      </w:r>
      <w:r>
        <w:rPr>
          <w:rFonts w:ascii="Century Gothic" w:hAnsi="Century Gothic" w:cs="Calibri"/>
          <w:sz w:val="24"/>
          <w:szCs w:val="24"/>
        </w:rPr>
        <w:t xml:space="preserve"> </w:t>
      </w:r>
      <w:r w:rsidR="007946B7" w:rsidRPr="00AF49E5">
        <w:rPr>
          <w:rFonts w:ascii="Century Gothic" w:eastAsia="Arial" w:hAnsi="Century Gothic" w:cs="Arial"/>
          <w:bCs/>
          <w:sz w:val="24"/>
          <w:szCs w:val="24"/>
        </w:rPr>
        <w:t>Finalmente, e</w:t>
      </w:r>
      <w:r w:rsidR="00D0729D" w:rsidRPr="00AF49E5">
        <w:rPr>
          <w:rFonts w:ascii="Century Gothic" w:hAnsi="Century Gothic"/>
          <w:sz w:val="24"/>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52A91EF7"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w:t>
      </w:r>
      <w:r w:rsidR="00801915">
        <w:rPr>
          <w:rFonts w:ascii="Century Gothic" w:hAnsi="Century Gothic"/>
          <w:bCs/>
          <w:szCs w:val="24"/>
        </w:rPr>
        <w:t>s Comisiones Unidas</w:t>
      </w:r>
      <w:r>
        <w:rPr>
          <w:rFonts w:ascii="Century Gothic" w:hAnsi="Century Gothic"/>
          <w:bCs/>
          <w:szCs w:val="24"/>
        </w:rPr>
        <w:t xml:space="preserve"> de</w:t>
      </w:r>
      <w:r w:rsidR="00801915">
        <w:rPr>
          <w:rFonts w:ascii="Century Gothic" w:hAnsi="Century Gothic"/>
          <w:bCs/>
          <w:szCs w:val="24"/>
        </w:rPr>
        <w:t xml:space="preserve"> Igualdad, y de Familia, Asuntos Religiosos y Valores</w:t>
      </w:r>
      <w:r w:rsidR="00940656">
        <w:rPr>
          <w:rFonts w:ascii="Century Gothic" w:hAnsi="Century Gothic"/>
          <w:bCs/>
          <w:szCs w:val="24"/>
        </w:rPr>
        <w:t xml:space="preserve">, </w:t>
      </w:r>
      <w:r w:rsidR="00B12A5F">
        <w:rPr>
          <w:rFonts w:ascii="Century Gothic" w:hAnsi="Century Gothic"/>
          <w:bCs/>
          <w:szCs w:val="24"/>
        </w:rPr>
        <w:t xml:space="preserve">y además, </w:t>
      </w:r>
      <w:r w:rsidR="00446B94">
        <w:rPr>
          <w:rFonts w:ascii="Century Gothic" w:hAnsi="Century Gothic"/>
          <w:bCs/>
          <w:szCs w:val="24"/>
        </w:rPr>
        <w:t xml:space="preserve">en cumplimiento al exhorto que el Senado de la República del H. Congreso de </w:t>
      </w:r>
      <w:r w:rsidR="00446B94">
        <w:rPr>
          <w:rFonts w:ascii="Century Gothic" w:hAnsi="Century Gothic"/>
          <w:bCs/>
          <w:szCs w:val="24"/>
        </w:rPr>
        <w:lastRenderedPageBreak/>
        <w:t xml:space="preserve">la Unión en fecha 22 de septiembre de 2016, emitió a los Congresos estatales a fin de realizar las medidas legislativas necesarias para la incorporación de la pensión compensatoria en su normatividad civil, </w:t>
      </w:r>
      <w:r w:rsidRPr="00884D05">
        <w:rPr>
          <w:rFonts w:ascii="Century Gothic" w:hAnsi="Century Gothic"/>
          <w:bCs/>
          <w:szCs w:val="24"/>
        </w:rPr>
        <w:t xml:space="preserve">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0D8EF407" w:rsidR="0071427C" w:rsidRDefault="0071427C" w:rsidP="00BA46FC">
      <w:pPr>
        <w:spacing w:after="0" w:line="360" w:lineRule="auto"/>
        <w:jc w:val="both"/>
        <w:rPr>
          <w:rFonts w:ascii="Century Gothic" w:eastAsia="Yu Gothic UI Light" w:hAnsi="Century Gothic" w:cs="Arial"/>
          <w:b/>
          <w:sz w:val="28"/>
          <w:szCs w:val="24"/>
        </w:rPr>
      </w:pPr>
    </w:p>
    <w:p w14:paraId="1FC50672" w14:textId="64950FC4" w:rsidR="0047670F" w:rsidRPr="0047670F" w:rsidRDefault="0047670F" w:rsidP="0047670F">
      <w:pPr>
        <w:tabs>
          <w:tab w:val="left" w:pos="7170"/>
        </w:tabs>
        <w:rPr>
          <w:rFonts w:ascii="Century Gothic" w:eastAsia="Yu Gothic UI Light" w:hAnsi="Century Gothic" w:cs="Arial"/>
          <w:sz w:val="28"/>
          <w:szCs w:val="24"/>
        </w:rPr>
      </w:pPr>
      <w:r>
        <w:rPr>
          <w:rFonts w:ascii="Century Gothic" w:eastAsia="Yu Gothic UI Light" w:hAnsi="Century Gothic" w:cs="Arial"/>
          <w:sz w:val="28"/>
          <w:szCs w:val="24"/>
        </w:rPr>
        <w:tab/>
      </w:r>
    </w:p>
    <w:p w14:paraId="59DDC3E9" w14:textId="1AD1C82E"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021412">
        <w:rPr>
          <w:rFonts w:ascii="Century Gothic" w:hAnsi="Century Gothic"/>
          <w:b/>
          <w:bCs/>
          <w:sz w:val="24"/>
          <w:szCs w:val="24"/>
        </w:rPr>
        <w:t>REFORMA</w:t>
      </w:r>
      <w:r w:rsidR="00773F50">
        <w:rPr>
          <w:rFonts w:ascii="Century Gothic" w:hAnsi="Century Gothic"/>
          <w:sz w:val="24"/>
          <w:szCs w:val="24"/>
        </w:rPr>
        <w:t xml:space="preserve"> </w:t>
      </w:r>
      <w:r w:rsidR="00021412">
        <w:rPr>
          <w:rFonts w:ascii="Century Gothic" w:hAnsi="Century Gothic"/>
          <w:sz w:val="24"/>
          <w:szCs w:val="24"/>
        </w:rPr>
        <w:t>e</w:t>
      </w:r>
      <w:r w:rsidR="00A26977">
        <w:rPr>
          <w:rFonts w:ascii="Century Gothic" w:hAnsi="Century Gothic"/>
          <w:sz w:val="24"/>
          <w:szCs w:val="24"/>
        </w:rPr>
        <w:t>l artículo</w:t>
      </w:r>
      <w:r w:rsidR="00773F50">
        <w:rPr>
          <w:rFonts w:ascii="Century Gothic" w:hAnsi="Century Gothic"/>
          <w:sz w:val="24"/>
          <w:szCs w:val="24"/>
        </w:rPr>
        <w:t xml:space="preserve"> </w:t>
      </w:r>
      <w:r w:rsidR="00021412">
        <w:rPr>
          <w:rFonts w:ascii="Century Gothic" w:hAnsi="Century Gothic"/>
          <w:sz w:val="24"/>
          <w:szCs w:val="24"/>
        </w:rPr>
        <w:t>268 Bis</w:t>
      </w:r>
      <w:r w:rsidR="004C06D2">
        <w:rPr>
          <w:rFonts w:ascii="Century Gothic" w:hAnsi="Century Gothic"/>
          <w:sz w:val="24"/>
          <w:szCs w:val="24"/>
        </w:rPr>
        <w:t xml:space="preserve">, </w:t>
      </w:r>
      <w:r w:rsidR="00021412">
        <w:rPr>
          <w:rFonts w:ascii="Century Gothic" w:hAnsi="Century Gothic"/>
          <w:sz w:val="24"/>
          <w:szCs w:val="24"/>
        </w:rPr>
        <w:t>primer y segundo párrafo</w:t>
      </w:r>
      <w:r w:rsidR="00074BD5" w:rsidRPr="00D75843">
        <w:rPr>
          <w:rFonts w:ascii="Century Gothic" w:hAnsi="Century Gothic"/>
          <w:sz w:val="24"/>
          <w:szCs w:val="24"/>
        </w:rPr>
        <w:t>s</w:t>
      </w:r>
      <w:r w:rsidR="00021412">
        <w:rPr>
          <w:rFonts w:ascii="Century Gothic" w:hAnsi="Century Gothic"/>
          <w:sz w:val="24"/>
          <w:szCs w:val="24"/>
        </w:rPr>
        <w:t xml:space="preserve"> </w:t>
      </w:r>
      <w:r w:rsidR="00773F50">
        <w:rPr>
          <w:rFonts w:ascii="Century Gothic" w:hAnsi="Century Gothic"/>
          <w:sz w:val="24"/>
          <w:szCs w:val="24"/>
        </w:rPr>
        <w:t>de</w:t>
      </w:r>
      <w:r w:rsidR="00021412">
        <w:rPr>
          <w:rFonts w:ascii="Century Gothic" w:hAnsi="Century Gothic"/>
          <w:sz w:val="24"/>
          <w:szCs w:val="24"/>
        </w:rPr>
        <w:t>l Código Civil del Estado de Chihuahua</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6386E4E4" w14:textId="77777777" w:rsidR="000F386A" w:rsidRDefault="000F386A" w:rsidP="00021412">
      <w:pPr>
        <w:spacing w:after="0" w:line="360" w:lineRule="auto"/>
        <w:jc w:val="both"/>
        <w:rPr>
          <w:rFonts w:ascii="Century Gothic" w:hAnsi="Century Gothic"/>
          <w:b/>
          <w:bCs/>
          <w:sz w:val="24"/>
          <w:szCs w:val="24"/>
        </w:rPr>
      </w:pPr>
    </w:p>
    <w:p w14:paraId="651FE622" w14:textId="25A90D84" w:rsidR="00021412" w:rsidRPr="00F24CAE" w:rsidRDefault="00021412" w:rsidP="00021412">
      <w:pPr>
        <w:spacing w:after="0" w:line="360" w:lineRule="auto"/>
        <w:jc w:val="both"/>
        <w:rPr>
          <w:rFonts w:ascii="Century Gothic" w:hAnsi="Century Gothic"/>
          <w:b/>
          <w:bCs/>
          <w:sz w:val="24"/>
          <w:szCs w:val="24"/>
        </w:rPr>
      </w:pPr>
      <w:r w:rsidRPr="00021412">
        <w:rPr>
          <w:rFonts w:ascii="Century Gothic" w:hAnsi="Century Gothic"/>
          <w:b/>
          <w:bCs/>
          <w:sz w:val="24"/>
          <w:szCs w:val="24"/>
        </w:rPr>
        <w:t>ARTÍCULO 268 Bis.</w:t>
      </w:r>
      <w:r w:rsidRPr="00021412">
        <w:rPr>
          <w:rFonts w:ascii="Century Gothic" w:hAnsi="Century Gothic"/>
          <w:sz w:val="24"/>
          <w:szCs w:val="24"/>
        </w:rPr>
        <w:t xml:space="preserve"> En la disolución del concubinato o del matrimonio contraído bajo el régimen de</w:t>
      </w:r>
      <w:r>
        <w:rPr>
          <w:rFonts w:ascii="Century Gothic" w:hAnsi="Century Gothic"/>
          <w:sz w:val="24"/>
          <w:szCs w:val="24"/>
        </w:rPr>
        <w:t xml:space="preserve"> </w:t>
      </w:r>
      <w:r w:rsidRPr="00021412">
        <w:rPr>
          <w:rFonts w:ascii="Century Gothic" w:hAnsi="Century Gothic"/>
          <w:sz w:val="24"/>
          <w:szCs w:val="24"/>
        </w:rPr>
        <w:t>separación de bienes, cualquiera de las personas concubinarias o cónyuges que haya realizado</w:t>
      </w:r>
      <w:r w:rsidR="0050551E" w:rsidRPr="0050551E">
        <w:rPr>
          <w:rFonts w:ascii="Century Gothic" w:hAnsi="Century Gothic"/>
          <w:b/>
          <w:bCs/>
          <w:sz w:val="24"/>
          <w:szCs w:val="24"/>
        </w:rPr>
        <w:t>,</w:t>
      </w:r>
      <w:r w:rsidR="0050551E">
        <w:rPr>
          <w:rFonts w:ascii="Century Gothic" w:hAnsi="Century Gothic"/>
          <w:sz w:val="24"/>
          <w:szCs w:val="24"/>
        </w:rPr>
        <w:t xml:space="preserve"> </w:t>
      </w:r>
      <w:r w:rsidR="0050551E" w:rsidRPr="0050551E">
        <w:rPr>
          <w:rFonts w:ascii="Century Gothic" w:hAnsi="Century Gothic"/>
          <w:b/>
          <w:bCs/>
          <w:sz w:val="24"/>
          <w:szCs w:val="24"/>
        </w:rPr>
        <w:t>preponderantemente,</w:t>
      </w:r>
      <w:r w:rsidRPr="00021412">
        <w:rPr>
          <w:rFonts w:ascii="Century Gothic" w:hAnsi="Century Gothic"/>
          <w:sz w:val="24"/>
          <w:szCs w:val="24"/>
        </w:rPr>
        <w:t xml:space="preserve"> trabajo del</w:t>
      </w:r>
      <w:r>
        <w:rPr>
          <w:rFonts w:ascii="Century Gothic" w:hAnsi="Century Gothic"/>
          <w:sz w:val="24"/>
          <w:szCs w:val="24"/>
        </w:rPr>
        <w:t xml:space="preserve"> </w:t>
      </w:r>
      <w:r w:rsidRPr="00021412">
        <w:rPr>
          <w:rFonts w:ascii="Century Gothic" w:hAnsi="Century Gothic"/>
          <w:sz w:val="24"/>
          <w:szCs w:val="24"/>
        </w:rPr>
        <w:t>hogar consistente en tareas de administración, dirección, atención del mismo o cuidado de la familia de</w:t>
      </w:r>
      <w:r>
        <w:rPr>
          <w:rFonts w:ascii="Century Gothic" w:hAnsi="Century Gothic"/>
          <w:sz w:val="24"/>
          <w:szCs w:val="24"/>
        </w:rPr>
        <w:t xml:space="preserve"> </w:t>
      </w:r>
      <w:r w:rsidRPr="00021412">
        <w:rPr>
          <w:rFonts w:ascii="Century Gothic" w:hAnsi="Century Gothic"/>
          <w:sz w:val="24"/>
          <w:szCs w:val="24"/>
        </w:rPr>
        <w:t>manera cotidiana</w:t>
      </w:r>
      <w:r w:rsidRPr="00B54A74">
        <w:rPr>
          <w:rFonts w:ascii="Century Gothic" w:hAnsi="Century Gothic"/>
          <w:b/>
          <w:bCs/>
          <w:sz w:val="24"/>
          <w:szCs w:val="24"/>
        </w:rPr>
        <w:t>,</w:t>
      </w:r>
      <w:r w:rsidR="0050551E">
        <w:rPr>
          <w:rFonts w:ascii="Century Gothic" w:hAnsi="Century Gothic"/>
          <w:sz w:val="24"/>
          <w:szCs w:val="24"/>
        </w:rPr>
        <w:t xml:space="preserve"> </w:t>
      </w:r>
      <w:r w:rsidR="0050551E" w:rsidRPr="0050551E">
        <w:rPr>
          <w:rFonts w:ascii="Century Gothic" w:hAnsi="Century Gothic"/>
          <w:b/>
          <w:bCs/>
          <w:sz w:val="24"/>
          <w:szCs w:val="24"/>
        </w:rPr>
        <w:t>y que</w:t>
      </w:r>
      <w:r w:rsidR="00B54A74">
        <w:rPr>
          <w:rFonts w:ascii="Century Gothic" w:hAnsi="Century Gothic"/>
          <w:b/>
          <w:bCs/>
          <w:sz w:val="24"/>
          <w:szCs w:val="24"/>
        </w:rPr>
        <w:t>,</w:t>
      </w:r>
      <w:r w:rsidR="0050551E" w:rsidRPr="0050551E">
        <w:rPr>
          <w:rFonts w:ascii="Century Gothic" w:hAnsi="Century Gothic"/>
          <w:b/>
          <w:bCs/>
          <w:sz w:val="24"/>
          <w:szCs w:val="24"/>
        </w:rPr>
        <w:t xml:space="preserve"> debido a ello,</w:t>
      </w:r>
      <w:r w:rsidR="0050551E">
        <w:rPr>
          <w:rFonts w:ascii="Century Gothic" w:hAnsi="Century Gothic"/>
          <w:sz w:val="24"/>
          <w:szCs w:val="24"/>
        </w:rPr>
        <w:t xml:space="preserve"> </w:t>
      </w:r>
      <w:r w:rsidR="0050551E" w:rsidRPr="0050551E">
        <w:rPr>
          <w:rFonts w:ascii="Century Gothic" w:hAnsi="Century Gothic"/>
          <w:b/>
          <w:bCs/>
          <w:sz w:val="24"/>
          <w:szCs w:val="24"/>
        </w:rPr>
        <w:t>se encuentre en desventaja económica</w:t>
      </w:r>
      <w:r w:rsidRPr="0050551E">
        <w:rPr>
          <w:rFonts w:ascii="Century Gothic" w:hAnsi="Century Gothic"/>
          <w:b/>
          <w:bCs/>
          <w:sz w:val="24"/>
          <w:szCs w:val="24"/>
        </w:rPr>
        <w:t xml:space="preserve"> </w:t>
      </w:r>
      <w:r w:rsidR="0050551E" w:rsidRPr="0050551E">
        <w:rPr>
          <w:rFonts w:ascii="Century Gothic" w:hAnsi="Century Gothic"/>
          <w:b/>
          <w:bCs/>
          <w:sz w:val="24"/>
          <w:szCs w:val="24"/>
        </w:rPr>
        <w:t xml:space="preserve"> respecto de la otra parte,</w:t>
      </w:r>
      <w:r w:rsidR="0050551E">
        <w:rPr>
          <w:rFonts w:ascii="Century Gothic" w:hAnsi="Century Gothic"/>
          <w:sz w:val="24"/>
          <w:szCs w:val="24"/>
        </w:rPr>
        <w:t xml:space="preserve"> </w:t>
      </w:r>
      <w:r w:rsidRPr="00021412">
        <w:rPr>
          <w:rFonts w:ascii="Century Gothic" w:hAnsi="Century Gothic"/>
          <w:sz w:val="24"/>
          <w:szCs w:val="24"/>
        </w:rPr>
        <w:t>tendrá derecho a la repartición de los bienes adquiridos durante el matrimonio o el</w:t>
      </w:r>
      <w:r>
        <w:rPr>
          <w:rFonts w:ascii="Century Gothic" w:hAnsi="Century Gothic"/>
          <w:sz w:val="24"/>
          <w:szCs w:val="24"/>
        </w:rPr>
        <w:t xml:space="preserve"> </w:t>
      </w:r>
      <w:r w:rsidRPr="00021412">
        <w:rPr>
          <w:rFonts w:ascii="Century Gothic" w:hAnsi="Century Gothic"/>
          <w:sz w:val="24"/>
          <w:szCs w:val="24"/>
        </w:rPr>
        <w:t xml:space="preserve">concubinato hasta por el </w:t>
      </w:r>
      <w:r w:rsidRPr="00021412">
        <w:rPr>
          <w:rFonts w:ascii="Century Gothic" w:hAnsi="Century Gothic"/>
          <w:sz w:val="24"/>
          <w:szCs w:val="24"/>
        </w:rPr>
        <w:lastRenderedPageBreak/>
        <w:t>cincuenta por ciento</w:t>
      </w:r>
      <w:r>
        <w:rPr>
          <w:rFonts w:ascii="Century Gothic" w:hAnsi="Century Gothic"/>
          <w:sz w:val="24"/>
          <w:szCs w:val="24"/>
        </w:rPr>
        <w:t xml:space="preserve">; </w:t>
      </w:r>
      <w:r w:rsidRPr="00F24CAE">
        <w:rPr>
          <w:rFonts w:ascii="Century Gothic" w:hAnsi="Century Gothic"/>
          <w:b/>
          <w:bCs/>
          <w:sz w:val="24"/>
          <w:szCs w:val="24"/>
        </w:rPr>
        <w:t xml:space="preserve">y en los casos en que proceda, </w:t>
      </w:r>
      <w:r w:rsidR="00B54A74">
        <w:rPr>
          <w:rFonts w:ascii="Century Gothic" w:hAnsi="Century Gothic"/>
          <w:b/>
          <w:bCs/>
          <w:sz w:val="24"/>
          <w:szCs w:val="24"/>
        </w:rPr>
        <w:t>a</w:t>
      </w:r>
      <w:r w:rsidR="00D75843">
        <w:rPr>
          <w:rFonts w:ascii="Century Gothic" w:hAnsi="Century Gothic"/>
          <w:b/>
          <w:bCs/>
          <w:sz w:val="24"/>
          <w:szCs w:val="24"/>
        </w:rPr>
        <w:t xml:space="preserve">l </w:t>
      </w:r>
      <w:r w:rsidRPr="00F24CAE">
        <w:rPr>
          <w:rFonts w:ascii="Century Gothic" w:hAnsi="Century Gothic"/>
          <w:b/>
          <w:bCs/>
          <w:sz w:val="24"/>
          <w:szCs w:val="24"/>
        </w:rPr>
        <w:t xml:space="preserve">otorgamiento de una pensión compensatoria. </w:t>
      </w:r>
    </w:p>
    <w:p w14:paraId="7DEEB0A3" w14:textId="77777777" w:rsidR="00021412" w:rsidRDefault="00021412" w:rsidP="00021412">
      <w:pPr>
        <w:spacing w:after="0" w:line="360" w:lineRule="auto"/>
        <w:jc w:val="both"/>
        <w:rPr>
          <w:rFonts w:ascii="Century Gothic" w:hAnsi="Century Gothic"/>
          <w:sz w:val="24"/>
          <w:szCs w:val="24"/>
        </w:rPr>
      </w:pPr>
    </w:p>
    <w:p w14:paraId="6B7A5A7E" w14:textId="746DA191" w:rsidR="00021412" w:rsidRPr="00021412" w:rsidRDefault="00021412" w:rsidP="00021412">
      <w:pPr>
        <w:spacing w:after="0" w:line="360" w:lineRule="auto"/>
        <w:jc w:val="both"/>
        <w:rPr>
          <w:rFonts w:ascii="Century Gothic" w:hAnsi="Century Gothic"/>
          <w:sz w:val="24"/>
          <w:szCs w:val="24"/>
        </w:rPr>
      </w:pPr>
      <w:r w:rsidRPr="00021412">
        <w:rPr>
          <w:rFonts w:ascii="Century Gothic" w:hAnsi="Century Gothic"/>
          <w:sz w:val="24"/>
          <w:szCs w:val="24"/>
        </w:rPr>
        <w:t xml:space="preserve">La autoridad jurisdiccional habrá de resolver </w:t>
      </w:r>
      <w:r w:rsidRPr="00021412">
        <w:rPr>
          <w:rFonts w:ascii="Century Gothic" w:hAnsi="Century Gothic"/>
          <w:b/>
          <w:bCs/>
          <w:sz w:val="24"/>
          <w:szCs w:val="24"/>
        </w:rPr>
        <w:t>con perspectiva de género,</w:t>
      </w:r>
      <w:r>
        <w:rPr>
          <w:rFonts w:ascii="Century Gothic" w:hAnsi="Century Gothic"/>
          <w:sz w:val="24"/>
          <w:szCs w:val="24"/>
        </w:rPr>
        <w:t xml:space="preserve"> </w:t>
      </w:r>
      <w:r w:rsidRPr="00021412">
        <w:rPr>
          <w:rFonts w:ascii="Century Gothic" w:hAnsi="Century Gothic"/>
          <w:sz w:val="24"/>
          <w:szCs w:val="24"/>
        </w:rPr>
        <w:t>atendiendo al tiempo que duró el matrimonio o el concubinato;</w:t>
      </w:r>
      <w:r>
        <w:rPr>
          <w:rFonts w:ascii="Century Gothic" w:hAnsi="Century Gothic"/>
          <w:sz w:val="24"/>
          <w:szCs w:val="24"/>
        </w:rPr>
        <w:t xml:space="preserve"> </w:t>
      </w:r>
      <w:r w:rsidRPr="00021412">
        <w:rPr>
          <w:rFonts w:ascii="Century Gothic" w:hAnsi="Century Gothic"/>
          <w:b/>
          <w:bCs/>
          <w:sz w:val="24"/>
          <w:szCs w:val="24"/>
        </w:rPr>
        <w:t>al tiempo que tome resarcir el desequilibrio económico entre las partes;</w:t>
      </w:r>
      <w:r>
        <w:rPr>
          <w:rFonts w:ascii="Century Gothic" w:hAnsi="Century Gothic"/>
          <w:sz w:val="24"/>
          <w:szCs w:val="24"/>
        </w:rPr>
        <w:t xml:space="preserve"> los</w:t>
      </w:r>
      <w:r w:rsidRPr="00021412">
        <w:rPr>
          <w:rFonts w:ascii="Century Gothic" w:hAnsi="Century Gothic"/>
          <w:sz w:val="24"/>
          <w:szCs w:val="24"/>
        </w:rPr>
        <w:t xml:space="preserve"> bienes con que cuenten los cónyuges; la custodia de la descendencia; y las demás circunstancias</w:t>
      </w:r>
      <w:r>
        <w:rPr>
          <w:rFonts w:ascii="Century Gothic" w:hAnsi="Century Gothic"/>
          <w:sz w:val="24"/>
          <w:szCs w:val="24"/>
        </w:rPr>
        <w:t xml:space="preserve"> </w:t>
      </w:r>
      <w:r w:rsidRPr="00021412">
        <w:rPr>
          <w:rFonts w:ascii="Century Gothic" w:hAnsi="Century Gothic"/>
          <w:sz w:val="24"/>
          <w:szCs w:val="24"/>
        </w:rPr>
        <w:t>especiales de cada caso.</w:t>
      </w:r>
    </w:p>
    <w:p w14:paraId="6E866041" w14:textId="77777777" w:rsidR="00021412" w:rsidRDefault="00021412" w:rsidP="00021412">
      <w:pPr>
        <w:spacing w:after="0" w:line="360" w:lineRule="auto"/>
        <w:jc w:val="both"/>
        <w:rPr>
          <w:rFonts w:ascii="Century Gothic" w:hAnsi="Century Gothic"/>
          <w:sz w:val="24"/>
          <w:szCs w:val="24"/>
        </w:rPr>
      </w:pPr>
    </w:p>
    <w:p w14:paraId="4867FF16" w14:textId="0715D9B7" w:rsidR="00021412" w:rsidRDefault="00021412" w:rsidP="00021412">
      <w:pPr>
        <w:spacing w:after="0" w:line="360" w:lineRule="auto"/>
        <w:jc w:val="both"/>
        <w:rPr>
          <w:rFonts w:ascii="Century Gothic" w:hAnsi="Century Gothic"/>
          <w:sz w:val="24"/>
          <w:szCs w:val="24"/>
        </w:rPr>
      </w:pPr>
      <w:r>
        <w:rPr>
          <w:rFonts w:ascii="Century Gothic" w:hAnsi="Century Gothic"/>
          <w:sz w:val="24"/>
          <w:szCs w:val="24"/>
        </w:rPr>
        <w:t>..</w:t>
      </w:r>
      <w:r w:rsidRPr="00021412">
        <w:rPr>
          <w:rFonts w:ascii="Century Gothic" w:hAnsi="Century Gothic"/>
          <w:sz w:val="24"/>
          <w:szCs w:val="24"/>
        </w:rPr>
        <w:t>.</w:t>
      </w:r>
    </w:p>
    <w:p w14:paraId="28F6E975" w14:textId="77777777" w:rsidR="00EF7293" w:rsidRDefault="00EF7293" w:rsidP="006C39DC">
      <w:pPr>
        <w:spacing w:after="0" w:line="360" w:lineRule="auto"/>
        <w:ind w:right="-34"/>
        <w:jc w:val="both"/>
        <w:outlineLvl w:val="0"/>
        <w:rPr>
          <w:rFonts w:ascii="Century Gothic" w:hAnsi="Century Gothic" w:cs="Arial"/>
          <w:sz w:val="24"/>
          <w:szCs w:val="24"/>
        </w:rPr>
      </w:pPr>
    </w:p>
    <w:p w14:paraId="6D44370C" w14:textId="77777777" w:rsidR="00773F50" w:rsidRPr="000F6D60" w:rsidRDefault="00773F50" w:rsidP="000F6D60">
      <w:pPr>
        <w:spacing w:after="0" w:line="360" w:lineRule="auto"/>
        <w:ind w:right="-34"/>
        <w:jc w:val="both"/>
        <w:outlineLvl w:val="0"/>
        <w:rPr>
          <w:rFonts w:ascii="Century Gothic" w:hAnsi="Century Gothic" w:cs="Arial"/>
          <w:b/>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3F5E7E35" w14:textId="06852CFA" w:rsidR="00AA37CB" w:rsidRPr="00AA37CB" w:rsidRDefault="00445EC3" w:rsidP="00AA37CB">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D75843">
        <w:rPr>
          <w:rFonts w:ascii="Century Gothic" w:hAnsi="Century Gothic"/>
          <w:sz w:val="24"/>
          <w:szCs w:val="24"/>
        </w:rPr>
        <w:t>veinti</w:t>
      </w:r>
      <w:r w:rsidR="000E4D35">
        <w:rPr>
          <w:rFonts w:ascii="Century Gothic" w:hAnsi="Century Gothic"/>
          <w:sz w:val="24"/>
          <w:szCs w:val="24"/>
        </w:rPr>
        <w:t>dós</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021412">
        <w:rPr>
          <w:rFonts w:ascii="Century Gothic" w:hAnsi="Century Gothic"/>
          <w:sz w:val="24"/>
          <w:szCs w:val="24"/>
        </w:rPr>
        <w:t>abril</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6288C64D" w14:textId="6A11542E"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w:t>
      </w:r>
      <w:r w:rsidR="00A97CB1">
        <w:rPr>
          <w:rFonts w:ascii="Century Gothic" w:eastAsia="Arial" w:hAnsi="Century Gothic" w:cs="Arial"/>
          <w:b/>
          <w:smallCaps/>
          <w:color w:val="auto"/>
          <w:sz w:val="20"/>
          <w:lang w:val="es-MX"/>
        </w:rPr>
        <w:t>ARON</w:t>
      </w:r>
      <w:r w:rsidRPr="0061716E">
        <w:rPr>
          <w:rFonts w:ascii="Century Gothic" w:eastAsia="Arial" w:hAnsi="Century Gothic" w:cs="Arial"/>
          <w:b/>
          <w:smallCaps/>
          <w:color w:val="auto"/>
          <w:sz w:val="20"/>
          <w:lang w:val="es-MX"/>
        </w:rPr>
        <w:t xml:space="preserve"> LA</w:t>
      </w:r>
      <w:r w:rsidR="00A97CB1">
        <w:rPr>
          <w:rFonts w:ascii="Century Gothic" w:eastAsia="Arial" w:hAnsi="Century Gothic" w:cs="Arial"/>
          <w:b/>
          <w:smallCaps/>
          <w:color w:val="auto"/>
          <w:sz w:val="20"/>
          <w:lang w:val="es-MX"/>
        </w:rPr>
        <w:t>S</w:t>
      </w:r>
      <w:r w:rsidRPr="0061716E">
        <w:rPr>
          <w:rFonts w:ascii="Century Gothic" w:eastAsia="Arial" w:hAnsi="Century Gothic" w:cs="Arial"/>
          <w:b/>
          <w:smallCaps/>
          <w:color w:val="auto"/>
          <w:sz w:val="20"/>
          <w:lang w:val="es-MX"/>
        </w:rPr>
        <w:t xml:space="preserve"> COMIS</w:t>
      </w:r>
      <w:r w:rsidR="00A97CB1">
        <w:rPr>
          <w:rFonts w:ascii="Century Gothic" w:eastAsia="Arial" w:hAnsi="Century Gothic" w:cs="Arial"/>
          <w:b/>
          <w:smallCaps/>
          <w:color w:val="auto"/>
          <w:sz w:val="20"/>
          <w:lang w:val="es-MX"/>
        </w:rPr>
        <w:t>ONES UNIDAS</w:t>
      </w:r>
      <w:r w:rsidRPr="0061716E">
        <w:rPr>
          <w:rFonts w:ascii="Century Gothic" w:eastAsia="Arial" w:hAnsi="Century Gothic" w:cs="Arial"/>
          <w:b/>
          <w:smallCaps/>
          <w:color w:val="auto"/>
          <w:sz w:val="20"/>
          <w:lang w:val="es-MX"/>
        </w:rPr>
        <w:t xml:space="preserve"> DE</w:t>
      </w:r>
      <w:r w:rsidR="000F7395" w:rsidRPr="0061716E">
        <w:rPr>
          <w:rFonts w:ascii="Century Gothic" w:eastAsia="Arial" w:hAnsi="Century Gothic" w:cs="Arial"/>
          <w:b/>
          <w:smallCaps/>
          <w:color w:val="auto"/>
          <w:sz w:val="20"/>
          <w:lang w:val="es-MX"/>
        </w:rPr>
        <w:t xml:space="preserve"> </w:t>
      </w:r>
      <w:r w:rsidR="00A97CB1">
        <w:rPr>
          <w:rFonts w:ascii="Century Gothic" w:eastAsia="Arial" w:hAnsi="Century Gothic" w:cs="Arial"/>
          <w:b/>
          <w:smallCaps/>
          <w:color w:val="auto"/>
          <w:sz w:val="20"/>
          <w:lang w:val="es-MX"/>
        </w:rPr>
        <w:t>IGUALDAD</w:t>
      </w:r>
      <w:r w:rsidR="000F7395" w:rsidRPr="0061716E">
        <w:rPr>
          <w:rFonts w:ascii="Century Gothic" w:eastAsia="Arial" w:hAnsi="Century Gothic" w:cs="Arial"/>
          <w:b/>
          <w:smallCaps/>
          <w:color w:val="auto"/>
          <w:sz w:val="20"/>
          <w:lang w:val="es-MX"/>
        </w:rPr>
        <w:t>,</w:t>
      </w:r>
      <w:r w:rsidR="00A97CB1">
        <w:rPr>
          <w:rFonts w:ascii="Century Gothic" w:eastAsia="Arial" w:hAnsi="Century Gothic" w:cs="Arial"/>
          <w:b/>
          <w:smallCaps/>
          <w:color w:val="auto"/>
          <w:sz w:val="20"/>
          <w:lang w:val="es-MX"/>
        </w:rPr>
        <w:t xml:space="preserve"> </w:t>
      </w:r>
      <w:r w:rsidR="00B12A5F">
        <w:rPr>
          <w:rFonts w:ascii="Century Gothic" w:eastAsia="Arial" w:hAnsi="Century Gothic" w:cs="Arial"/>
          <w:b/>
          <w:smallCaps/>
          <w:color w:val="auto"/>
          <w:sz w:val="20"/>
          <w:lang w:val="es-MX"/>
        </w:rPr>
        <w:t xml:space="preserve">Y </w:t>
      </w:r>
      <w:r w:rsidR="00A97CB1">
        <w:rPr>
          <w:rFonts w:ascii="Century Gothic" w:eastAsia="Arial" w:hAnsi="Century Gothic" w:cs="Arial"/>
          <w:b/>
          <w:smallCaps/>
          <w:color w:val="auto"/>
          <w:sz w:val="20"/>
          <w:lang w:val="es-MX"/>
        </w:rPr>
        <w:t>DE FAMILIA Y ASUNTOS RELIGIOSOS Y VALORES,</w:t>
      </w:r>
      <w:r w:rsidR="000F7395" w:rsidRPr="0061716E">
        <w:rPr>
          <w:rFonts w:ascii="Century Gothic" w:eastAsia="Arial" w:hAnsi="Century Gothic" w:cs="Arial"/>
          <w:b/>
          <w:smallCaps/>
          <w:color w:val="auto"/>
          <w:sz w:val="20"/>
          <w:lang w:val="es-MX"/>
        </w:rPr>
        <w:t xml:space="preserve"> EN REUNIÓN DE </w:t>
      </w:r>
      <w:r w:rsidR="00034F62" w:rsidRPr="0061716E">
        <w:rPr>
          <w:rFonts w:ascii="Century Gothic" w:eastAsia="Arial" w:hAnsi="Century Gothic" w:cs="Arial"/>
          <w:b/>
          <w:smallCaps/>
          <w:color w:val="auto"/>
          <w:sz w:val="20"/>
          <w:lang w:val="es-MX"/>
        </w:rPr>
        <w:t xml:space="preserve">FECHA </w:t>
      </w:r>
      <w:r w:rsidR="00D75843">
        <w:rPr>
          <w:rFonts w:ascii="Century Gothic" w:eastAsia="Arial" w:hAnsi="Century Gothic" w:cs="Arial"/>
          <w:b/>
          <w:smallCaps/>
          <w:color w:val="auto"/>
          <w:sz w:val="20"/>
          <w:lang w:val="es-MX"/>
        </w:rPr>
        <w:t>DIECISIETE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021412">
        <w:rPr>
          <w:rFonts w:ascii="Century Gothic" w:eastAsia="Arial" w:hAnsi="Century Gothic" w:cs="Arial"/>
          <w:b/>
          <w:smallCaps/>
          <w:color w:val="auto"/>
          <w:sz w:val="20"/>
          <w:lang w:val="es-MX"/>
        </w:rPr>
        <w:t>ABRIL</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83EE608" w14:textId="77777777" w:rsidR="003D219A" w:rsidRDefault="003D219A" w:rsidP="00D75843">
      <w:pPr>
        <w:pStyle w:val="Normal2"/>
        <w:rPr>
          <w:rFonts w:ascii="Century Gothic" w:eastAsia="Arial" w:hAnsi="Century Gothic" w:cs="Arial"/>
          <w:b/>
          <w:sz w:val="20"/>
          <w:lang w:val="es-MX"/>
        </w:rPr>
      </w:pPr>
    </w:p>
    <w:p w14:paraId="35738322" w14:textId="77777777" w:rsidR="003D219A" w:rsidRDefault="003D219A" w:rsidP="0061716E">
      <w:pPr>
        <w:pStyle w:val="Normal2"/>
        <w:jc w:val="center"/>
        <w:rPr>
          <w:rFonts w:ascii="Century Gothic" w:eastAsia="Arial" w:hAnsi="Century Gothic" w:cs="Arial"/>
          <w:b/>
          <w:sz w:val="20"/>
          <w:lang w:val="es-MX"/>
        </w:rPr>
      </w:pPr>
    </w:p>
    <w:p w14:paraId="342C5C87" w14:textId="600B8829" w:rsidR="00F56E8F" w:rsidRDefault="00445EC3" w:rsidP="0061716E">
      <w:pPr>
        <w:pStyle w:val="Normal2"/>
        <w:jc w:val="center"/>
        <w:rPr>
          <w:rFonts w:ascii="Century Gothic" w:eastAsia="Arial" w:hAnsi="Century Gothic" w:cs="Arial"/>
          <w:b/>
          <w:smallCaps/>
          <w:sz w:val="20"/>
          <w:lang w:val="es-MX"/>
        </w:rPr>
      </w:pPr>
      <w:r w:rsidRPr="0061716E">
        <w:rPr>
          <w:rFonts w:ascii="Century Gothic" w:eastAsia="Arial" w:hAnsi="Century Gothic" w:cs="Arial"/>
          <w:b/>
          <w:sz w:val="20"/>
          <w:lang w:val="es-MX"/>
        </w:rPr>
        <w:t>POR LA</w:t>
      </w:r>
      <w:r w:rsidR="00A97CB1">
        <w:rPr>
          <w:rFonts w:ascii="Century Gothic" w:eastAsia="Arial" w:hAnsi="Century Gothic" w:cs="Arial"/>
          <w:b/>
          <w:sz w:val="20"/>
          <w:lang w:val="es-MX"/>
        </w:rPr>
        <w:t>S</w:t>
      </w:r>
      <w:r w:rsidRPr="0061716E">
        <w:rPr>
          <w:rFonts w:ascii="Century Gothic" w:eastAsia="Arial" w:hAnsi="Century Gothic" w:cs="Arial"/>
          <w:b/>
          <w:sz w:val="20"/>
          <w:lang w:val="es-MX"/>
        </w:rPr>
        <w:t xml:space="preserve"> </w:t>
      </w:r>
      <w:r w:rsidRPr="0061716E">
        <w:rPr>
          <w:rFonts w:ascii="Century Gothic" w:eastAsia="Arial" w:hAnsi="Century Gothic" w:cs="Arial"/>
          <w:b/>
          <w:smallCaps/>
          <w:sz w:val="20"/>
          <w:lang w:val="es-MX"/>
        </w:rPr>
        <w:t>COMISI</w:t>
      </w:r>
      <w:r w:rsidR="00A97CB1">
        <w:rPr>
          <w:rFonts w:ascii="Century Gothic" w:eastAsia="Arial" w:hAnsi="Century Gothic" w:cs="Arial"/>
          <w:b/>
          <w:smallCaps/>
          <w:sz w:val="20"/>
          <w:lang w:val="es-MX"/>
        </w:rPr>
        <w:t>ONES UNIDAS DE IGUALDAD Y DE FAMILIA, ASUNTOS RELIGIOSOS Y VALORES</w:t>
      </w:r>
    </w:p>
    <w:p w14:paraId="57643228" w14:textId="77777777" w:rsidR="0018102E" w:rsidRPr="0061716E" w:rsidRDefault="0018102E" w:rsidP="0061716E">
      <w:pPr>
        <w:pStyle w:val="Normal2"/>
        <w:jc w:val="center"/>
        <w:rPr>
          <w:rFonts w:ascii="Century Gothic" w:eastAsia="Arial" w:hAnsi="Century Gothic" w:cs="Arial"/>
          <w:b/>
          <w:sz w:val="20"/>
          <w:lang w:val="es-MX"/>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6848C44E" w:rsidR="000F7395" w:rsidRDefault="0018102E" w:rsidP="003E791D">
            <w:pPr>
              <w:jc w:val="center"/>
              <w:rPr>
                <w:b/>
                <w:color w:val="000000"/>
              </w:rPr>
            </w:pPr>
            <w:r>
              <w:rPr>
                <w:noProof/>
                <w:lang w:eastAsia="es-MX"/>
              </w:rPr>
              <w:drawing>
                <wp:anchor distT="0" distB="0" distL="114300" distR="114300" simplePos="0" relativeHeight="251664384" behindDoc="1" locked="0" layoutInCell="1" allowOverlap="1" wp14:anchorId="4A9FC644" wp14:editId="08E8F69A">
                  <wp:simplePos x="0" y="0"/>
                  <wp:positionH relativeFrom="column">
                    <wp:posOffset>76200</wp:posOffset>
                  </wp:positionH>
                  <wp:positionV relativeFrom="paragraph">
                    <wp:posOffset>15875</wp:posOffset>
                  </wp:positionV>
                  <wp:extent cx="941705" cy="1018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6F0EB27C" w:rsidR="000F7395" w:rsidRDefault="000F7395" w:rsidP="004B6669">
            <w:pPr>
              <w:jc w:val="center"/>
              <w:rPr>
                <w:rFonts w:ascii="Century Gothic" w:hAnsi="Century Gothic" w:cs="Arial"/>
                <w:b/>
                <w:sz w:val="20"/>
                <w:szCs w:val="20"/>
              </w:rPr>
            </w:pPr>
            <w:r>
              <w:rPr>
                <w:rFonts w:ascii="Century Gothic" w:hAnsi="Century Gothic" w:cs="Arial"/>
                <w:b/>
                <w:sz w:val="20"/>
                <w:szCs w:val="20"/>
              </w:rPr>
              <w:t xml:space="preserve">DIPUTADA </w:t>
            </w:r>
            <w:r w:rsidR="00D97BB5">
              <w:rPr>
                <w:rFonts w:ascii="Century Gothic" w:hAnsi="Century Gothic" w:cs="Arial"/>
                <w:b/>
                <w:sz w:val="20"/>
                <w:szCs w:val="20"/>
              </w:rPr>
              <w:t>IVÓN SALAZAR MORALES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159CFF51" w:rsidR="000F7395" w:rsidRDefault="0018102E" w:rsidP="004B6669">
            <w:pPr>
              <w:jc w:val="center"/>
              <w:rPr>
                <w:rFonts w:ascii="Century Gothic" w:hAnsi="Century Gothic" w:cs="Arial"/>
                <w:b/>
                <w:sz w:val="20"/>
                <w:szCs w:val="20"/>
              </w:rPr>
            </w:pPr>
            <w:r>
              <w:rPr>
                <w:rFonts w:ascii="Century Gothic" w:hAnsi="Century Gothic" w:cs="Arial"/>
                <w:b/>
                <w:sz w:val="20"/>
                <w:szCs w:val="20"/>
              </w:rPr>
              <w:t>SECRETARIA</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18102E" w:rsidRPr="00270555" w14:paraId="06CC89C4"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5CFA15D"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drawing>
                <wp:anchor distT="0" distB="0" distL="114300" distR="114300" simplePos="0" relativeHeight="251659264" behindDoc="1" locked="0" layoutInCell="1" allowOverlap="1" wp14:anchorId="6CD8B593" wp14:editId="50BAC888">
                  <wp:simplePos x="0" y="0"/>
                  <wp:positionH relativeFrom="column">
                    <wp:posOffset>1270</wp:posOffset>
                  </wp:positionH>
                  <wp:positionV relativeFrom="paragraph">
                    <wp:posOffset>-3810</wp:posOffset>
                  </wp:positionV>
                  <wp:extent cx="933450" cy="10560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96E456D" w14:textId="77777777" w:rsidR="0018102E" w:rsidRPr="0018102E" w:rsidRDefault="0018102E" w:rsidP="0018102E">
            <w:pPr>
              <w:jc w:val="center"/>
              <w:rPr>
                <w:rFonts w:ascii="Century Gothic" w:hAnsi="Century Gothic" w:cs="Arial"/>
                <w:b/>
                <w:sz w:val="20"/>
                <w:szCs w:val="20"/>
              </w:rPr>
            </w:pPr>
          </w:p>
          <w:p w14:paraId="066A3BDF"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MARÍA ANTONIETA PÉREZ REYES</w:t>
            </w:r>
          </w:p>
          <w:p w14:paraId="34878240" w14:textId="5D6571F8" w:rsidR="0018102E" w:rsidRPr="0018102E" w:rsidRDefault="0018102E" w:rsidP="0018102E">
            <w:pPr>
              <w:jc w:val="center"/>
              <w:rPr>
                <w:rFonts w:ascii="Century Gothic" w:hAnsi="Century Gothic" w:cs="Arial"/>
                <w:b/>
                <w:sz w:val="20"/>
                <w:szCs w:val="20"/>
              </w:rPr>
            </w:pPr>
            <w:r>
              <w:rPr>
                <w:rFonts w:ascii="Century Gothic" w:hAnsi="Century Gothic" w:cs="Arial"/>
                <w:b/>
                <w:sz w:val="20"/>
                <w:szCs w:val="20"/>
              </w:rPr>
              <w:t>VOCAL</w:t>
            </w:r>
          </w:p>
          <w:p w14:paraId="4D9C997B" w14:textId="77777777" w:rsidR="0018102E" w:rsidRPr="0018102E" w:rsidRDefault="0018102E" w:rsidP="0018102E">
            <w:pPr>
              <w:jc w:val="center"/>
              <w:rPr>
                <w:rFonts w:ascii="Century Gothic" w:hAnsi="Century Gothic"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B8E16C"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ACA8A0"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0CDEB66"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270555" w14:paraId="1603F7AB"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FCDD248"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drawing>
                <wp:anchor distT="0" distB="0" distL="114300" distR="114300" simplePos="0" relativeHeight="251660288" behindDoc="1" locked="0" layoutInCell="1" allowOverlap="1" wp14:anchorId="28ABEB30" wp14:editId="666A6BD9">
                  <wp:simplePos x="0" y="0"/>
                  <wp:positionH relativeFrom="column">
                    <wp:posOffset>1270</wp:posOffset>
                  </wp:positionH>
                  <wp:positionV relativeFrom="paragraph">
                    <wp:posOffset>36195</wp:posOffset>
                  </wp:positionV>
                  <wp:extent cx="933450" cy="1047115"/>
                  <wp:effectExtent l="0" t="0" r="0" b="63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90932" w14:textId="77777777" w:rsidR="0018102E" w:rsidRPr="0018102E" w:rsidRDefault="0018102E" w:rsidP="0018102E">
            <w:pPr>
              <w:spacing w:line="360" w:lineRule="auto"/>
              <w:jc w:val="center"/>
              <w:rPr>
                <w:rFonts w:ascii="Century Gothic" w:hAnsi="Century Gothic" w:cs="Arial"/>
                <w:noProof/>
                <w:sz w:val="20"/>
                <w:szCs w:val="20"/>
                <w:lang w:eastAsia="es-MX"/>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63B29283" w14:textId="77777777" w:rsidR="0018102E" w:rsidRPr="0018102E" w:rsidRDefault="0018102E" w:rsidP="0018102E">
            <w:pPr>
              <w:jc w:val="center"/>
              <w:rPr>
                <w:rFonts w:ascii="Century Gothic" w:hAnsi="Century Gothic" w:cs="Arial"/>
                <w:b/>
                <w:sz w:val="20"/>
                <w:szCs w:val="20"/>
              </w:rPr>
            </w:pPr>
          </w:p>
          <w:p w14:paraId="54AB9324"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MARISELA TERRAZAS MUÑOZ</w:t>
            </w:r>
          </w:p>
          <w:p w14:paraId="5538A6F7"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96A383B"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FC1BDA"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34C5741B"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270555" w14:paraId="4251EAA2"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31411604"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lastRenderedPageBreak/>
              <w:drawing>
                <wp:inline distT="0" distB="0" distL="0" distR="0" wp14:anchorId="1BB854C0" wp14:editId="09981954">
                  <wp:extent cx="885825" cy="1066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r w:rsidRPr="0018102E">
              <w:rPr>
                <w:rFonts w:ascii="Century Gothic" w:hAnsi="Century Gothic" w:cs="Arial"/>
                <w:noProof/>
                <w:sz w:val="20"/>
                <w:szCs w:val="20"/>
                <w:lang w:eastAsia="es-MX"/>
              </w:rPr>
              <w:drawing>
                <wp:anchor distT="0" distB="0" distL="114300" distR="114300" simplePos="0" relativeHeight="251661312" behindDoc="1" locked="0" layoutInCell="1" allowOverlap="1" wp14:anchorId="2B105B3F" wp14:editId="2D894E6A">
                  <wp:simplePos x="0" y="0"/>
                  <wp:positionH relativeFrom="column">
                    <wp:posOffset>1270</wp:posOffset>
                  </wp:positionH>
                  <wp:positionV relativeFrom="paragraph">
                    <wp:posOffset>-5715</wp:posOffset>
                  </wp:positionV>
                  <wp:extent cx="885825" cy="104076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8F66874" w14:textId="77777777" w:rsidR="0018102E" w:rsidRPr="0018102E" w:rsidRDefault="0018102E" w:rsidP="0018102E">
            <w:pPr>
              <w:jc w:val="center"/>
              <w:rPr>
                <w:rFonts w:ascii="Century Gothic" w:hAnsi="Century Gothic" w:cs="Arial"/>
                <w:b/>
                <w:sz w:val="20"/>
                <w:szCs w:val="20"/>
              </w:rPr>
            </w:pPr>
          </w:p>
          <w:p w14:paraId="1011EB2E"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 xml:space="preserve">DIP. JAEL </w:t>
            </w:r>
            <w:proofErr w:type="gramStart"/>
            <w:r w:rsidRPr="0018102E">
              <w:rPr>
                <w:rFonts w:ascii="Century Gothic" w:hAnsi="Century Gothic" w:cs="Arial"/>
                <w:b/>
                <w:sz w:val="20"/>
                <w:szCs w:val="20"/>
              </w:rPr>
              <w:t>ARGÜELLES  DÍAZ</w:t>
            </w:r>
            <w:proofErr w:type="gramEnd"/>
          </w:p>
          <w:p w14:paraId="1A7810AA"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p w14:paraId="0B241224" w14:textId="77777777" w:rsidR="0018102E" w:rsidRPr="0018102E" w:rsidRDefault="0018102E" w:rsidP="0018102E">
            <w:pPr>
              <w:jc w:val="center"/>
              <w:rPr>
                <w:rFonts w:ascii="Century Gothic" w:hAnsi="Century Gothic"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D8B464"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8D147A"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C577659" w14:textId="77777777" w:rsidR="0018102E" w:rsidRPr="0018102E" w:rsidRDefault="0018102E" w:rsidP="0018102E">
            <w:pPr>
              <w:spacing w:line="360" w:lineRule="auto"/>
              <w:rPr>
                <w:rFonts w:ascii="Century Gothic" w:hAnsi="Century Gothic" w:cs="Arial"/>
                <w:b/>
                <w:color w:val="000000"/>
                <w:sz w:val="20"/>
                <w:szCs w:val="20"/>
              </w:rPr>
            </w:pPr>
          </w:p>
          <w:p w14:paraId="5263FFA2" w14:textId="77777777" w:rsidR="0018102E" w:rsidRPr="0018102E" w:rsidRDefault="0018102E" w:rsidP="0018102E">
            <w:pPr>
              <w:spacing w:line="360" w:lineRule="auto"/>
              <w:rPr>
                <w:rFonts w:ascii="Century Gothic" w:hAnsi="Century Gothic" w:cs="Arial"/>
                <w:b/>
                <w:color w:val="000000"/>
                <w:sz w:val="20"/>
                <w:szCs w:val="20"/>
              </w:rPr>
            </w:pPr>
          </w:p>
          <w:p w14:paraId="6152D8BE"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270555" w14:paraId="2DB66BEF"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5BA31B1F"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drawing>
                <wp:inline distT="0" distB="0" distL="0" distR="0" wp14:anchorId="0791F9C6" wp14:editId="0627DC6D">
                  <wp:extent cx="93345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B545F09"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ANA GEORGINA ZAPATA LUCERO</w:t>
            </w:r>
          </w:p>
          <w:p w14:paraId="0ECEAFE5"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2A3E8C94"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A3DFEF"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5D2A950"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E45883" w14:paraId="7798D5E3"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A576BB1"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drawing>
                <wp:anchor distT="0" distB="0" distL="114300" distR="114300" simplePos="0" relativeHeight="251662336" behindDoc="1" locked="0" layoutInCell="1" allowOverlap="1" wp14:anchorId="423FFD9E" wp14:editId="2BF15CD5">
                  <wp:simplePos x="0" y="0"/>
                  <wp:positionH relativeFrom="column">
                    <wp:posOffset>-17780</wp:posOffset>
                  </wp:positionH>
                  <wp:positionV relativeFrom="paragraph">
                    <wp:posOffset>25400</wp:posOffset>
                  </wp:positionV>
                  <wp:extent cx="1000125" cy="1038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CB442A" w14:textId="77777777" w:rsidR="0018102E" w:rsidRPr="0018102E" w:rsidRDefault="0018102E" w:rsidP="0018102E">
            <w:pPr>
              <w:jc w:val="center"/>
              <w:rPr>
                <w:rFonts w:ascii="Century Gothic" w:hAnsi="Century Gothic" w:cs="Arial"/>
                <w:b/>
                <w:sz w:val="20"/>
                <w:szCs w:val="20"/>
              </w:rPr>
            </w:pPr>
          </w:p>
          <w:p w14:paraId="0F02B117"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ROSA ISELA MARTÍNEZ DÍAZ</w:t>
            </w:r>
          </w:p>
          <w:p w14:paraId="75506AD0"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291E94E4"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42B4E4"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3B223BF0" w14:textId="77777777" w:rsidR="0018102E" w:rsidRPr="0018102E" w:rsidRDefault="0018102E" w:rsidP="0018102E">
            <w:pPr>
              <w:spacing w:line="360" w:lineRule="auto"/>
              <w:rPr>
                <w:rFonts w:ascii="Century Gothic" w:hAnsi="Century Gothic" w:cs="Arial"/>
                <w:b/>
                <w:color w:val="000000"/>
                <w:sz w:val="20"/>
                <w:szCs w:val="20"/>
              </w:rPr>
            </w:pPr>
          </w:p>
          <w:p w14:paraId="2B622701" w14:textId="77777777" w:rsidR="0018102E" w:rsidRPr="0018102E" w:rsidRDefault="0018102E" w:rsidP="0018102E">
            <w:pPr>
              <w:spacing w:line="360" w:lineRule="auto"/>
              <w:rPr>
                <w:rFonts w:ascii="Century Gothic" w:hAnsi="Century Gothic" w:cs="Arial"/>
                <w:b/>
                <w:color w:val="000000"/>
                <w:sz w:val="20"/>
                <w:szCs w:val="20"/>
              </w:rPr>
            </w:pPr>
          </w:p>
          <w:p w14:paraId="6F7F0968"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270555" w14:paraId="029A19B4"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3D525017"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drawing>
                <wp:inline distT="0" distB="0" distL="0" distR="0" wp14:anchorId="65832753" wp14:editId="73889415">
                  <wp:extent cx="9429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9D7481E" w14:textId="77777777" w:rsidR="0018102E" w:rsidRPr="0018102E" w:rsidRDefault="0018102E" w:rsidP="0018102E">
            <w:pPr>
              <w:jc w:val="center"/>
              <w:rPr>
                <w:rFonts w:ascii="Century Gothic" w:hAnsi="Century Gothic" w:cs="Arial"/>
                <w:b/>
                <w:sz w:val="20"/>
                <w:szCs w:val="20"/>
              </w:rPr>
            </w:pPr>
          </w:p>
          <w:p w14:paraId="72F65E7E"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LETICIA ORTEGA MÁYNEZ</w:t>
            </w:r>
          </w:p>
          <w:p w14:paraId="7093FF6E"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8BB224F"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201A93"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0A84634"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875A43" w14:paraId="54CCF3B1"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F3D7351"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drawing>
                <wp:inline distT="0" distB="0" distL="0" distR="0" wp14:anchorId="2E6CB6BF" wp14:editId="1BAB9701">
                  <wp:extent cx="913765" cy="1000125"/>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216" cy="1024698"/>
                          </a:xfrm>
                          <a:prstGeom prst="rect">
                            <a:avLst/>
                          </a:prstGeom>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37DCA43"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ADRIANA TERRAZAS PORRAS</w:t>
            </w:r>
          </w:p>
          <w:p w14:paraId="2BC52C1B"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4639D163" w14:textId="77777777" w:rsidR="0018102E" w:rsidRPr="0018102E" w:rsidRDefault="0018102E" w:rsidP="0018102E">
            <w:pPr>
              <w:spacing w:line="360" w:lineRule="auto"/>
              <w:rPr>
                <w:rFonts w:ascii="Century Gothic" w:hAnsi="Century Gothic" w:cs="Arial"/>
                <w:b/>
                <w:color w:val="000000"/>
                <w:sz w:val="20"/>
                <w:szCs w:val="20"/>
              </w:rPr>
            </w:pPr>
          </w:p>
          <w:p w14:paraId="3322AB0B" w14:textId="77777777" w:rsidR="0018102E" w:rsidRPr="0018102E" w:rsidRDefault="0018102E" w:rsidP="0018102E">
            <w:pPr>
              <w:spacing w:line="360" w:lineRule="auto"/>
              <w:rPr>
                <w:rFonts w:ascii="Century Gothic" w:hAnsi="Century Gothic" w:cs="Arial"/>
                <w:b/>
                <w:color w:val="000000"/>
                <w:sz w:val="20"/>
                <w:szCs w:val="20"/>
              </w:rPr>
            </w:pPr>
          </w:p>
          <w:p w14:paraId="08CD0CFE"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780FF1"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20855B6" w14:textId="77777777" w:rsidR="0018102E" w:rsidRPr="0018102E" w:rsidRDefault="0018102E" w:rsidP="0018102E">
            <w:pPr>
              <w:spacing w:line="360" w:lineRule="auto"/>
              <w:rPr>
                <w:rFonts w:ascii="Century Gothic" w:hAnsi="Century Gothic" w:cs="Arial"/>
                <w:b/>
                <w:color w:val="000000"/>
                <w:sz w:val="20"/>
                <w:szCs w:val="20"/>
              </w:rPr>
            </w:pPr>
          </w:p>
        </w:tc>
      </w:tr>
      <w:tr w:rsidR="0018102E" w:rsidRPr="00875A43" w14:paraId="3BB874FC" w14:textId="77777777" w:rsidTr="0018102E">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55ADBF91" w14:textId="77777777" w:rsidR="0018102E" w:rsidRPr="0018102E" w:rsidRDefault="0018102E" w:rsidP="0018102E">
            <w:pPr>
              <w:spacing w:line="360" w:lineRule="auto"/>
              <w:jc w:val="center"/>
              <w:rPr>
                <w:rFonts w:ascii="Century Gothic" w:hAnsi="Century Gothic" w:cs="Arial"/>
                <w:noProof/>
                <w:sz w:val="20"/>
                <w:szCs w:val="20"/>
                <w:lang w:eastAsia="es-MX"/>
              </w:rPr>
            </w:pPr>
            <w:r w:rsidRPr="0018102E">
              <w:rPr>
                <w:rFonts w:ascii="Century Gothic" w:hAnsi="Century Gothic" w:cs="Arial"/>
                <w:noProof/>
                <w:sz w:val="20"/>
                <w:szCs w:val="20"/>
                <w:lang w:eastAsia="es-MX"/>
              </w:rPr>
              <w:lastRenderedPageBreak/>
              <w:drawing>
                <wp:inline distT="0" distB="0" distL="0" distR="0" wp14:anchorId="20CCBE22" wp14:editId="69A6DDBD">
                  <wp:extent cx="942340" cy="1057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8962" cy="1064705"/>
                          </a:xfrm>
                          <a:prstGeom prst="rect">
                            <a:avLst/>
                          </a:prstGeom>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059AF798"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DIP. SAÚL MIRELES CORRAL</w:t>
            </w:r>
          </w:p>
          <w:p w14:paraId="2519347F" w14:textId="77777777" w:rsidR="0018102E" w:rsidRPr="0018102E" w:rsidRDefault="0018102E" w:rsidP="0018102E">
            <w:pPr>
              <w:jc w:val="center"/>
              <w:rPr>
                <w:rFonts w:ascii="Century Gothic" w:hAnsi="Century Gothic" w:cs="Arial"/>
                <w:b/>
                <w:sz w:val="20"/>
                <w:szCs w:val="20"/>
              </w:rPr>
            </w:pPr>
            <w:r w:rsidRPr="0018102E">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2FFC167" w14:textId="77777777" w:rsidR="0018102E" w:rsidRPr="0018102E" w:rsidRDefault="0018102E" w:rsidP="0018102E">
            <w:pPr>
              <w:spacing w:line="360" w:lineRule="auto"/>
              <w:rPr>
                <w:rFonts w:ascii="Century Gothic" w:hAnsi="Century Gothic" w:cs="Arial"/>
                <w:b/>
                <w:color w:val="000000"/>
                <w:sz w:val="20"/>
                <w:szCs w:val="20"/>
              </w:rPr>
            </w:pPr>
          </w:p>
          <w:p w14:paraId="63B9344A" w14:textId="77777777" w:rsidR="0018102E" w:rsidRPr="0018102E" w:rsidRDefault="0018102E" w:rsidP="0018102E">
            <w:pPr>
              <w:spacing w:line="360" w:lineRule="auto"/>
              <w:rPr>
                <w:rFonts w:ascii="Century Gothic" w:hAnsi="Century Gothic" w:cs="Arial"/>
                <w:b/>
                <w:color w:val="000000"/>
                <w:sz w:val="20"/>
                <w:szCs w:val="20"/>
              </w:rPr>
            </w:pPr>
          </w:p>
          <w:p w14:paraId="5317E428" w14:textId="77777777" w:rsidR="0018102E" w:rsidRPr="0018102E" w:rsidRDefault="0018102E" w:rsidP="0018102E">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98B43D" w14:textId="77777777" w:rsidR="0018102E" w:rsidRPr="0018102E" w:rsidRDefault="0018102E" w:rsidP="0018102E">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3B475C9B" w14:textId="77777777" w:rsidR="0018102E" w:rsidRPr="0018102E" w:rsidRDefault="0018102E" w:rsidP="0018102E">
            <w:pPr>
              <w:spacing w:line="360" w:lineRule="auto"/>
              <w:rPr>
                <w:rFonts w:ascii="Century Gothic" w:hAnsi="Century Gothic" w:cs="Arial"/>
                <w:b/>
                <w:color w:val="000000"/>
                <w:sz w:val="20"/>
                <w:szCs w:val="20"/>
              </w:rPr>
            </w:pPr>
          </w:p>
        </w:tc>
      </w:tr>
    </w:tbl>
    <w:p w14:paraId="182A0EB1" w14:textId="2E89865C" w:rsidR="00A30C36" w:rsidRDefault="00034F62" w:rsidP="0061716E">
      <w:pPr>
        <w:jc w:val="both"/>
        <w:rPr>
          <w:rFonts w:ascii="Century Gothic" w:hAnsi="Century Gothic" w:cs="Arial"/>
          <w:sz w:val="16"/>
          <w:szCs w:val="16"/>
        </w:rPr>
      </w:pPr>
      <w:r w:rsidRPr="003E791D">
        <w:rPr>
          <w:rFonts w:ascii="Century Gothic" w:hAnsi="Century Gothic" w:cs="Arial"/>
          <w:sz w:val="16"/>
          <w:szCs w:val="16"/>
        </w:rPr>
        <w:t>Nota: La presente hoja de firmas corresponde al Dictamen de la</w:t>
      </w:r>
      <w:r w:rsidR="00801915">
        <w:rPr>
          <w:rFonts w:ascii="Century Gothic" w:hAnsi="Century Gothic" w:cs="Arial"/>
          <w:sz w:val="16"/>
          <w:szCs w:val="16"/>
        </w:rPr>
        <w:t>s Comisiones Unidas de Igualdad</w:t>
      </w:r>
      <w:r w:rsidR="00B12A5F">
        <w:rPr>
          <w:rFonts w:ascii="Century Gothic" w:hAnsi="Century Gothic" w:cs="Arial"/>
          <w:sz w:val="16"/>
          <w:szCs w:val="16"/>
        </w:rPr>
        <w:t>,</w:t>
      </w:r>
      <w:r w:rsidR="00801915">
        <w:rPr>
          <w:rFonts w:ascii="Century Gothic" w:hAnsi="Century Gothic" w:cs="Arial"/>
          <w:sz w:val="16"/>
          <w:szCs w:val="16"/>
        </w:rPr>
        <w:t xml:space="preserve"> y de Familia, Asuntos Religiosos y Valores</w:t>
      </w:r>
      <w:r w:rsidRPr="003E791D">
        <w:rPr>
          <w:rFonts w:ascii="Century Gothic" w:hAnsi="Century Gothic" w:cs="Arial"/>
          <w:sz w:val="16"/>
          <w:szCs w:val="16"/>
        </w:rPr>
        <w:t xml:space="preserve">, que recae en la iniciativa identificada con el número </w:t>
      </w:r>
      <w:r w:rsidR="00801915">
        <w:rPr>
          <w:rFonts w:ascii="Century Gothic" w:hAnsi="Century Gothic" w:cs="Arial"/>
          <w:sz w:val="16"/>
          <w:szCs w:val="16"/>
        </w:rPr>
        <w:t>2041</w:t>
      </w:r>
      <w:r w:rsidRPr="003E791D">
        <w:rPr>
          <w:rFonts w:ascii="Century Gothic" w:hAnsi="Century Gothic" w:cs="Arial"/>
          <w:sz w:val="16"/>
          <w:szCs w:val="16"/>
        </w:rPr>
        <w:t xml:space="preserve">. </w:t>
      </w:r>
    </w:p>
    <w:sectPr w:rsidR="00A30C36" w:rsidSect="00250D55">
      <w:headerReference w:type="default" r:id="rId19"/>
      <w:footerReference w:type="default" r:id="rId20"/>
      <w:pgSz w:w="12240" w:h="15840"/>
      <w:pgMar w:top="1417" w:right="1701" w:bottom="1417" w:left="1701"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C7BB" w14:textId="77777777" w:rsidR="00E22C5A" w:rsidRDefault="00E22C5A">
      <w:pPr>
        <w:spacing w:after="0" w:line="240" w:lineRule="auto"/>
      </w:pPr>
      <w:r>
        <w:separator/>
      </w:r>
    </w:p>
  </w:endnote>
  <w:endnote w:type="continuationSeparator" w:id="0">
    <w:p w14:paraId="7E388BD0" w14:textId="77777777" w:rsidR="00E22C5A" w:rsidRDefault="00E2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69D8DDC1" w:rsidR="00C31BFD" w:rsidRPr="00AD2DAC" w:rsidRDefault="00C31BFD" w:rsidP="00AD2DAC">
    <w:pPr>
      <w:pStyle w:val="Piedepgina"/>
      <w:jc w:val="right"/>
    </w:pPr>
    <w:r>
      <w:fldChar w:fldCharType="begin"/>
    </w:r>
    <w:r>
      <w:instrText>PAGE   \* MERGEFORMAT</w:instrText>
    </w:r>
    <w:r>
      <w:fldChar w:fldCharType="separate"/>
    </w:r>
    <w:r w:rsidR="00697730" w:rsidRPr="00697730">
      <w:rPr>
        <w:noProof/>
        <w:lang w:val="es-ES"/>
      </w:rPr>
      <w:t>1</w:t>
    </w:r>
    <w:r>
      <w:fldChar w:fldCharType="end"/>
    </w:r>
    <w:r>
      <w:t xml:space="preserve">                                                </w:t>
    </w:r>
    <w:r w:rsidRPr="00163A58">
      <w:rPr>
        <w:rFonts w:ascii="Century Gothic" w:hAnsi="Century Gothic"/>
        <w:sz w:val="16"/>
        <w:szCs w:val="16"/>
        <w:lang w:val="en-US"/>
      </w:rPr>
      <w:t>A</w:t>
    </w:r>
    <w:r>
      <w:rPr>
        <w:rFonts w:ascii="Century Gothic" w:hAnsi="Century Gothic"/>
        <w:sz w:val="16"/>
        <w:szCs w:val="16"/>
        <w:lang w:val="en-US"/>
      </w:rPr>
      <w:t>2041</w:t>
    </w:r>
    <w:r w:rsidRPr="00163A58">
      <w:rPr>
        <w:rFonts w:ascii="Century Gothic" w:hAnsi="Century Gothic"/>
        <w:sz w:val="16"/>
        <w:szCs w:val="16"/>
        <w:lang w:val="en-US"/>
      </w:rPr>
      <w:t>//ERS/GAOR/NTRP/FCLC</w:t>
    </w:r>
  </w:p>
  <w:p w14:paraId="407000A8" w14:textId="77777777" w:rsidR="00C31BFD" w:rsidRDefault="00C31BF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73A1" w14:textId="77777777" w:rsidR="00E22C5A" w:rsidRDefault="00E22C5A">
      <w:pPr>
        <w:spacing w:after="0" w:line="240" w:lineRule="auto"/>
      </w:pPr>
      <w:r>
        <w:separator/>
      </w:r>
    </w:p>
  </w:footnote>
  <w:footnote w:type="continuationSeparator" w:id="0">
    <w:p w14:paraId="33FDF92D" w14:textId="77777777" w:rsidR="00E22C5A" w:rsidRDefault="00E22C5A">
      <w:pPr>
        <w:spacing w:after="0" w:line="240" w:lineRule="auto"/>
      </w:pPr>
      <w:r>
        <w:continuationSeparator/>
      </w:r>
    </w:p>
  </w:footnote>
  <w:footnote w:id="1">
    <w:p w14:paraId="35457058" w14:textId="6002238E" w:rsidR="00C31BFD" w:rsidRPr="00163A58" w:rsidRDefault="00C31BFD">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1" w:history="1">
        <w:r w:rsidRPr="00163A58">
          <w:rPr>
            <w:rStyle w:val="Hipervnculo"/>
            <w:rFonts w:ascii="Century Gothic" w:hAnsi="Century Gothic"/>
            <w:sz w:val="18"/>
            <w:szCs w:val="18"/>
          </w:rPr>
          <w:t>https://www.un.org/es/about-us/universal-declaration-of-human-rights</w:t>
        </w:r>
      </w:hyperlink>
      <w:r w:rsidRPr="00163A58">
        <w:rPr>
          <w:rFonts w:ascii="Century Gothic" w:hAnsi="Century Gothic"/>
          <w:sz w:val="18"/>
          <w:szCs w:val="18"/>
        </w:rPr>
        <w:t xml:space="preserve"> </w:t>
      </w:r>
    </w:p>
  </w:footnote>
  <w:footnote w:id="2">
    <w:p w14:paraId="3625D21F" w14:textId="29BAB071" w:rsidR="00C31BFD" w:rsidRDefault="00C31BFD" w:rsidP="006D395C">
      <w:pPr>
        <w:pStyle w:val="Textonotapie"/>
      </w:pPr>
      <w:r>
        <w:rPr>
          <w:rStyle w:val="Refdenotaalpie"/>
        </w:rPr>
        <w:footnoteRef/>
      </w:r>
      <w:r>
        <w:t xml:space="preserve"> Pacto Internacional de Derechos Civiles y Políticos. Artículo 10. </w:t>
      </w:r>
      <w:hyperlink r:id="rId2" w:history="1">
        <w:r w:rsidRPr="000F2516">
          <w:rPr>
            <w:rStyle w:val="Hipervnculo"/>
          </w:rPr>
          <w:t>https://www.ohchr.org/es/instruments-mechanisms/instruments/international-covenant-civil-and-political-rights</w:t>
        </w:r>
      </w:hyperlink>
      <w:r>
        <w:t xml:space="preserve"> </w:t>
      </w:r>
    </w:p>
  </w:footnote>
  <w:footnote w:id="3">
    <w:p w14:paraId="3A07A709" w14:textId="24668A12" w:rsidR="00C31BFD" w:rsidRDefault="00C31BFD">
      <w:pPr>
        <w:pStyle w:val="Textonotapie"/>
      </w:pPr>
      <w:r>
        <w:rPr>
          <w:rStyle w:val="Refdenotaalpie"/>
        </w:rPr>
        <w:footnoteRef/>
      </w:r>
      <w:r>
        <w:t xml:space="preserve"> </w:t>
      </w:r>
      <w:r w:rsidRPr="00137AB8">
        <w:t>Convención Americana sobre Derechos Humanos (Pacto de San José</w:t>
      </w:r>
      <w:r>
        <w:t xml:space="preserve">) Artículo 17. 4 </w:t>
      </w:r>
      <w:hyperlink r:id="rId3" w:history="1">
        <w:r w:rsidRPr="000F2516">
          <w:rPr>
            <w:rStyle w:val="Hipervnculo"/>
          </w:rPr>
          <w:t>https://www.oas.org/dil/esp/1969_Convenci%C3%B3n_Americana_sobre_Derechos_Humanos.pdf</w:t>
        </w:r>
      </w:hyperlink>
      <w:r>
        <w:t xml:space="preserve"> </w:t>
      </w:r>
    </w:p>
  </w:footnote>
  <w:footnote w:id="4">
    <w:p w14:paraId="52E76962" w14:textId="34119B97" w:rsidR="00C31BFD" w:rsidRDefault="00C31BFD" w:rsidP="00137AB8">
      <w:pPr>
        <w:pStyle w:val="Textonotapie"/>
      </w:pPr>
      <w:r>
        <w:rPr>
          <w:rStyle w:val="Refdenotaalpie"/>
        </w:rPr>
        <w:footnoteRef/>
      </w:r>
      <w:r>
        <w:t xml:space="preserve"> Convención sobre la eliminación de todas las formas de discriminación contra la mujer. </w:t>
      </w:r>
      <w:hyperlink r:id="rId4" w:history="1">
        <w:r w:rsidRPr="000F2516">
          <w:rPr>
            <w:rStyle w:val="Hipervnculo"/>
          </w:rPr>
          <w:t>https://www.ohchr.org/es/instruments-mechanisms/instruments/convention-elimination-all-forms-discrimination-against-women</w:t>
        </w:r>
      </w:hyperlink>
      <w:r>
        <w:t xml:space="preserve"> </w:t>
      </w:r>
    </w:p>
  </w:footnote>
  <w:footnote w:id="5">
    <w:p w14:paraId="7D2048E5" w14:textId="79E77F0E" w:rsidR="00C31BFD" w:rsidRPr="00163A58" w:rsidRDefault="00C31BFD">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5" w:history="1">
        <w:r w:rsidRPr="00163A58">
          <w:rPr>
            <w:rStyle w:val="Hipervnculo"/>
            <w:rFonts w:ascii="Century Gothic" w:hAnsi="Century Gothic"/>
            <w:sz w:val="18"/>
            <w:szCs w:val="18"/>
          </w:rPr>
          <w:t>https://www.diputados.gob.mx/LeyesBiblio/pdf/CPEUM.pdf</w:t>
        </w:r>
      </w:hyperlink>
      <w:r w:rsidRPr="00163A58">
        <w:rPr>
          <w:rFonts w:ascii="Century Gothic" w:hAnsi="Century Gothic"/>
          <w:sz w:val="18"/>
          <w:szCs w:val="18"/>
        </w:rPr>
        <w:t xml:space="preserve"> </w:t>
      </w:r>
    </w:p>
  </w:footnote>
  <w:footnote w:id="6">
    <w:p w14:paraId="56D067DB" w14:textId="1D47D4E5" w:rsidR="00C31BFD" w:rsidRDefault="00C31BFD">
      <w:pPr>
        <w:pStyle w:val="Textonotapie"/>
      </w:pPr>
      <w:r>
        <w:rPr>
          <w:rStyle w:val="Refdenotaalpie"/>
        </w:rPr>
        <w:footnoteRef/>
      </w:r>
      <w:r>
        <w:t xml:space="preserve"> </w:t>
      </w:r>
      <w:hyperlink r:id="rId6" w:history="1">
        <w:r w:rsidRPr="000F2516">
          <w:rPr>
            <w:rStyle w:val="Hipervnculo"/>
          </w:rPr>
          <w:t>https://www.congresochihuahua2.gob.mx/biblioteca/constitucion/archivosConstitucion/actual.pdf</w:t>
        </w:r>
      </w:hyperlink>
      <w:r>
        <w:t xml:space="preserve"> </w:t>
      </w:r>
    </w:p>
  </w:footnote>
  <w:footnote w:id="7">
    <w:p w14:paraId="5C863903" w14:textId="04DEDDEF" w:rsidR="00C31BFD" w:rsidRDefault="00C31BFD">
      <w:pPr>
        <w:pStyle w:val="Textonotapie"/>
      </w:pPr>
      <w:r>
        <w:rPr>
          <w:rStyle w:val="Refdenotaalpie"/>
        </w:rPr>
        <w:footnoteRef/>
      </w:r>
      <w:r>
        <w:t xml:space="preserve"> </w:t>
      </w:r>
      <w:hyperlink r:id="rId7" w:history="1">
        <w:r w:rsidRPr="000F2516">
          <w:rPr>
            <w:rStyle w:val="Hipervnculo"/>
          </w:rPr>
          <w:t>https://www.congresochihuahua2.gob.mx/biblioteca/codigos/archivosCodigos/13.pdf</w:t>
        </w:r>
      </w:hyperlink>
      <w:r>
        <w:t xml:space="preserve"> </w:t>
      </w:r>
    </w:p>
  </w:footnote>
  <w:footnote w:id="8">
    <w:p w14:paraId="55F9B72A" w14:textId="1140DF37" w:rsidR="00C31BFD" w:rsidRDefault="00C31BFD">
      <w:pPr>
        <w:pStyle w:val="Textonotapie"/>
      </w:pPr>
      <w:r>
        <w:rPr>
          <w:rStyle w:val="Refdenotaalpie"/>
        </w:rPr>
        <w:footnoteRef/>
      </w:r>
      <w:r>
        <w:t xml:space="preserve"> </w:t>
      </w:r>
      <w:r w:rsidRPr="00FE5018">
        <w:t>PRIMERA SALA, Amparo Directo en Revisión 269/2014, pp. 33-3</w:t>
      </w:r>
      <w:r>
        <w:t>6</w:t>
      </w:r>
      <w:r w:rsidRPr="00FE5018">
        <w:t>.</w:t>
      </w:r>
      <w:r>
        <w:t xml:space="preserve"> Énfasis añadido. </w:t>
      </w:r>
    </w:p>
  </w:footnote>
  <w:footnote w:id="9">
    <w:p w14:paraId="19674CE5" w14:textId="4B70BC07" w:rsidR="00C31BFD" w:rsidRDefault="00C31BFD">
      <w:pPr>
        <w:pStyle w:val="Textonotapie"/>
      </w:pPr>
      <w:r>
        <w:rPr>
          <w:rStyle w:val="Refdenotaalpie"/>
        </w:rPr>
        <w:footnoteRef/>
      </w:r>
      <w:r>
        <w:t xml:space="preserve"> </w:t>
      </w:r>
      <w:r w:rsidRPr="002D4EAC">
        <w:t>PRIMERA SALA, Amparo Directo en Revisión 1340/2015, párr. 62.</w:t>
      </w:r>
      <w:r>
        <w:t xml:space="preserve"> </w:t>
      </w:r>
    </w:p>
  </w:footnote>
  <w:footnote w:id="10">
    <w:p w14:paraId="2624A2D0" w14:textId="1B3C1E1E" w:rsidR="00C31BFD" w:rsidRDefault="00C31BFD">
      <w:pPr>
        <w:pStyle w:val="Textonotapie"/>
      </w:pPr>
      <w:r>
        <w:rPr>
          <w:rStyle w:val="Refdenotaalpie"/>
        </w:rPr>
        <w:footnoteRef/>
      </w:r>
      <w:r>
        <w:t xml:space="preserve"> </w:t>
      </w:r>
      <w:r w:rsidRPr="00AA5708">
        <w:t>PRIMERA SALA, Amparo Directo en Revisión 4465/2015, pp. 1</w:t>
      </w:r>
      <w:r>
        <w:t>6</w:t>
      </w:r>
      <w:r w:rsidRPr="00AA5708">
        <w:t>-1</w:t>
      </w:r>
      <w:r>
        <w:t>7</w:t>
      </w:r>
      <w:r w:rsidRPr="00AA5708">
        <w:t>.</w:t>
      </w:r>
    </w:p>
  </w:footnote>
  <w:footnote w:id="11">
    <w:p w14:paraId="783DFF5D" w14:textId="6AB25434" w:rsidR="00C31BFD" w:rsidRDefault="00C31BFD">
      <w:pPr>
        <w:pStyle w:val="Textonotapie"/>
      </w:pPr>
      <w:r>
        <w:rPr>
          <w:rStyle w:val="Refdenotaalpie"/>
        </w:rPr>
        <w:footnoteRef/>
      </w:r>
      <w:r>
        <w:t xml:space="preserve"> </w:t>
      </w:r>
      <w:r w:rsidRPr="00AA5708">
        <w:t>PRIMERA SALA, Amparo Directo en Revisión 1340/2015, párr. 62.</w:t>
      </w:r>
      <w:r>
        <w:t xml:space="preserve"> </w:t>
      </w:r>
    </w:p>
  </w:footnote>
  <w:footnote w:id="12">
    <w:p w14:paraId="7CB07440" w14:textId="64A6D3DA" w:rsidR="00C31BFD" w:rsidRDefault="00C31BFD">
      <w:pPr>
        <w:pStyle w:val="Textonotapie"/>
      </w:pPr>
      <w:r>
        <w:rPr>
          <w:rStyle w:val="Refdenotaalpie"/>
        </w:rPr>
        <w:footnoteRef/>
      </w:r>
      <w:r>
        <w:t xml:space="preserve"> </w:t>
      </w:r>
      <w:r w:rsidRPr="00AA5708">
        <w:t>PRIMERA SALA, Amparo Directo en Revisión 1754/2015, párr. 140.</w:t>
      </w:r>
      <w:r>
        <w:t xml:space="preserve"> </w:t>
      </w:r>
    </w:p>
  </w:footnote>
  <w:footnote w:id="13">
    <w:p w14:paraId="492B9F08" w14:textId="262F02DB" w:rsidR="00C31BFD" w:rsidRDefault="00C31BFD">
      <w:pPr>
        <w:pStyle w:val="Textonotapie"/>
      </w:pPr>
      <w:r>
        <w:rPr>
          <w:rStyle w:val="Refdenotaalpie"/>
        </w:rPr>
        <w:footnoteRef/>
      </w:r>
      <w:r>
        <w:t xml:space="preserve"> </w:t>
      </w:r>
      <w:r w:rsidRPr="00AA5708">
        <w:t xml:space="preserve">PRIMERA SALA, </w:t>
      </w:r>
      <w:r w:rsidRPr="00BA4181">
        <w:t>Amparo Directo en Revisión 7653/2019</w:t>
      </w:r>
      <w:r>
        <w:t xml:space="preserve">, </w:t>
      </w:r>
      <w:proofErr w:type="spellStart"/>
      <w:r>
        <w:t>párrs</w:t>
      </w:r>
      <w:proofErr w:type="spellEnd"/>
      <w:r>
        <w:t xml:space="preserve">. 116-177.  </w:t>
      </w:r>
    </w:p>
  </w:footnote>
  <w:footnote w:id="14">
    <w:p w14:paraId="5560194F" w14:textId="71E9F445" w:rsidR="00C31BFD" w:rsidRDefault="00C31BFD">
      <w:pPr>
        <w:pStyle w:val="Textonotapie"/>
      </w:pPr>
      <w:r>
        <w:rPr>
          <w:rStyle w:val="Refdenotaalpie"/>
        </w:rPr>
        <w:footnoteRef/>
      </w:r>
      <w:r>
        <w:t xml:space="preserve"> Resaltado propio. </w:t>
      </w:r>
    </w:p>
  </w:footnote>
  <w:footnote w:id="15">
    <w:p w14:paraId="71328805" w14:textId="1534614E" w:rsidR="00C31BFD" w:rsidRDefault="00C31BFD" w:rsidP="00B27D31">
      <w:pPr>
        <w:pStyle w:val="Textonotapie"/>
      </w:pPr>
      <w:r>
        <w:rPr>
          <w:rStyle w:val="Refdenotaalpie"/>
        </w:rPr>
        <w:footnoteRef/>
      </w:r>
      <w:r>
        <w:t xml:space="preserve"> Ver CORTE IDH. Caso González y otras ("Campo Algodonero") vs. México. Excepción Preliminar, Fondo, Reparaciones y Costas. Sentencia de 16 de noviembre de 2009. Serie C No. 205, Párrafos 396 y 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6433700F" w:rsidR="00C31BFD" w:rsidRPr="0038025E" w:rsidRDefault="00C31BFD" w:rsidP="00F53513">
    <w:pPr>
      <w:spacing w:after="0" w:line="240" w:lineRule="auto"/>
      <w:jc w:val="right"/>
      <w:rPr>
        <w:rFonts w:ascii="Arial" w:hAnsi="Arial" w:cs="Arial"/>
        <w:b/>
        <w:bCs/>
        <w:i/>
        <w:sz w:val="20"/>
        <w:szCs w:val="18"/>
      </w:rPr>
    </w:pPr>
    <w:r>
      <w:rPr>
        <w:rFonts w:ascii="Arial" w:hAnsi="Arial" w:cs="Arial"/>
        <w:b/>
        <w:bCs/>
        <w:i/>
        <w:sz w:val="20"/>
        <w:szCs w:val="18"/>
      </w:rPr>
      <w:t>“2024, Año del Bicentenario de la fundación del Estado de Chihuahua”</w:t>
    </w:r>
  </w:p>
  <w:p w14:paraId="0CD91D73" w14:textId="77777777" w:rsidR="00C31BFD" w:rsidRDefault="00C31BFD" w:rsidP="00A30C36">
    <w:pPr>
      <w:spacing w:after="0" w:line="240" w:lineRule="auto"/>
      <w:jc w:val="right"/>
      <w:rPr>
        <w:rFonts w:ascii="Arial" w:hAnsi="Arial" w:cs="Arial"/>
        <w:b/>
        <w:sz w:val="24"/>
        <w:szCs w:val="18"/>
      </w:rPr>
    </w:pPr>
  </w:p>
  <w:p w14:paraId="004B69B9" w14:textId="77777777" w:rsidR="00C31BFD" w:rsidRPr="00F53513" w:rsidRDefault="00C31BFD" w:rsidP="00A30C36">
    <w:pPr>
      <w:spacing w:after="0" w:line="240" w:lineRule="auto"/>
      <w:jc w:val="right"/>
      <w:rPr>
        <w:rFonts w:ascii="Arial" w:hAnsi="Arial" w:cs="Arial"/>
        <w:b/>
        <w:sz w:val="24"/>
        <w:szCs w:val="18"/>
      </w:rPr>
    </w:pPr>
  </w:p>
  <w:p w14:paraId="6823805F" w14:textId="77777777" w:rsidR="00C31BFD" w:rsidRPr="00F53513" w:rsidRDefault="00C31BFD" w:rsidP="00A30C36">
    <w:pPr>
      <w:spacing w:after="0" w:line="240" w:lineRule="auto"/>
      <w:jc w:val="right"/>
      <w:rPr>
        <w:rFonts w:ascii="Century Gothic" w:hAnsi="Century Gothic"/>
        <w:sz w:val="24"/>
        <w:szCs w:val="18"/>
      </w:rPr>
    </w:pPr>
  </w:p>
  <w:p w14:paraId="6D451CF0" w14:textId="0606D208" w:rsidR="00C31BFD" w:rsidRDefault="00C31BFD" w:rsidP="00A30C36">
    <w:pPr>
      <w:tabs>
        <w:tab w:val="center" w:pos="4419"/>
        <w:tab w:val="right" w:pos="8838"/>
      </w:tabs>
      <w:spacing w:after="0" w:line="240" w:lineRule="auto"/>
      <w:jc w:val="right"/>
      <w:rPr>
        <w:rFonts w:ascii="Century Gothic" w:hAnsi="Century Gothic" w:cs="Tahoma"/>
        <w:b/>
        <w:bCs/>
        <w:sz w:val="28"/>
        <w:szCs w:val="28"/>
        <w:shd w:val="clear" w:color="auto" w:fill="FFFFFF"/>
      </w:rPr>
    </w:pPr>
    <w:r>
      <w:rPr>
        <w:rFonts w:ascii="Century Gothic" w:hAnsi="Century Gothic" w:cs="Tahoma"/>
        <w:b/>
        <w:bCs/>
        <w:sz w:val="28"/>
        <w:szCs w:val="28"/>
        <w:shd w:val="clear" w:color="auto" w:fill="FFFFFF"/>
      </w:rPr>
      <w:t>Comisiones Unidas</w:t>
    </w:r>
    <w:r w:rsidRPr="002D05D2">
      <w:rPr>
        <w:rFonts w:ascii="Century Gothic" w:hAnsi="Century Gothic" w:cs="Tahoma"/>
        <w:b/>
        <w:bCs/>
        <w:sz w:val="28"/>
        <w:szCs w:val="28"/>
        <w:shd w:val="clear" w:color="auto" w:fill="FFFFFF"/>
      </w:rPr>
      <w:t xml:space="preserve"> de </w:t>
    </w:r>
    <w:r>
      <w:rPr>
        <w:rFonts w:ascii="Century Gothic" w:hAnsi="Century Gothic" w:cs="Tahoma"/>
        <w:b/>
        <w:bCs/>
        <w:sz w:val="28"/>
        <w:szCs w:val="28"/>
        <w:shd w:val="clear" w:color="auto" w:fill="FFFFFF"/>
      </w:rPr>
      <w:t>Igualdad</w:t>
    </w:r>
    <w:r w:rsidR="00986323">
      <w:rPr>
        <w:rFonts w:ascii="Century Gothic" w:hAnsi="Century Gothic" w:cs="Tahoma"/>
        <w:b/>
        <w:bCs/>
        <w:sz w:val="28"/>
        <w:szCs w:val="28"/>
        <w:shd w:val="clear" w:color="auto" w:fill="FFFFFF"/>
      </w:rPr>
      <w:t>,</w:t>
    </w:r>
    <w:r>
      <w:rPr>
        <w:rFonts w:ascii="Century Gothic" w:hAnsi="Century Gothic" w:cs="Tahoma"/>
        <w:b/>
        <w:bCs/>
        <w:sz w:val="28"/>
        <w:szCs w:val="28"/>
        <w:shd w:val="clear" w:color="auto" w:fill="FFFFFF"/>
      </w:rPr>
      <w:t xml:space="preserve"> y de </w:t>
    </w:r>
  </w:p>
  <w:p w14:paraId="3500B61F" w14:textId="0F741981" w:rsidR="00C31BFD" w:rsidRPr="002D05D2" w:rsidRDefault="00C31BFD" w:rsidP="00A30C36">
    <w:pPr>
      <w:tabs>
        <w:tab w:val="center" w:pos="4419"/>
        <w:tab w:val="right" w:pos="8838"/>
      </w:tabs>
      <w:spacing w:after="0" w:line="240" w:lineRule="auto"/>
      <w:jc w:val="right"/>
      <w:rPr>
        <w:rFonts w:ascii="Century Gothic" w:hAnsi="Century Gothic"/>
        <w:sz w:val="28"/>
        <w:szCs w:val="28"/>
      </w:rPr>
    </w:pPr>
    <w:r>
      <w:rPr>
        <w:rFonts w:ascii="Century Gothic" w:hAnsi="Century Gothic" w:cs="Tahoma"/>
        <w:b/>
        <w:bCs/>
        <w:sz w:val="28"/>
        <w:szCs w:val="28"/>
        <w:shd w:val="clear" w:color="auto" w:fill="FFFFFF"/>
      </w:rPr>
      <w:t>Familia, Asuntos Religiosos y Valores</w:t>
    </w:r>
  </w:p>
  <w:p w14:paraId="7757A3EB" w14:textId="77777777" w:rsidR="00C31BFD" w:rsidRPr="002D05D2" w:rsidRDefault="00C31BFD"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5DEA9E69" w:rsidR="00C31BFD" w:rsidRDefault="00C31BFD" w:rsidP="002B6562">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DCI</w:t>
    </w:r>
    <w:r w:rsidRPr="009F0514">
      <w:rPr>
        <w:rFonts w:ascii="Century Gothic" w:hAnsi="Century Gothic" w:cs="Calibri"/>
        <w:b/>
        <w:sz w:val="24"/>
        <w:szCs w:val="24"/>
      </w:rPr>
      <w:t>/</w:t>
    </w:r>
    <w:r>
      <w:rPr>
        <w:rFonts w:ascii="Century Gothic" w:hAnsi="Century Gothic" w:cs="Calibri"/>
        <w:b/>
        <w:sz w:val="24"/>
        <w:szCs w:val="24"/>
      </w:rPr>
      <w:t>19</w:t>
    </w:r>
    <w:r w:rsidRPr="009F0514">
      <w:rPr>
        <w:rFonts w:ascii="Century Gothic" w:hAnsi="Century Gothic" w:cs="Calibri"/>
        <w:b/>
        <w:sz w:val="24"/>
        <w:szCs w:val="24"/>
      </w:rPr>
      <w:t>/202</w:t>
    </w:r>
    <w:r>
      <w:rPr>
        <w:rFonts w:ascii="Century Gothic" w:hAnsi="Century Gothic" w:cs="Calibri"/>
        <w:b/>
        <w:sz w:val="24"/>
        <w:szCs w:val="24"/>
      </w:rPr>
      <w:t>4</w:t>
    </w:r>
  </w:p>
  <w:p w14:paraId="1285CEA2" w14:textId="5517C0CA" w:rsidR="00C31BFD" w:rsidRDefault="00C31BFD" w:rsidP="00605CA9">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DCFARV</w:t>
    </w:r>
    <w:r w:rsidRPr="0012705B">
      <w:rPr>
        <w:rFonts w:ascii="Century Gothic" w:hAnsi="Century Gothic" w:cs="Calibri"/>
        <w:b/>
        <w:sz w:val="24"/>
        <w:szCs w:val="24"/>
      </w:rPr>
      <w:t>/0</w:t>
    </w:r>
    <w:r w:rsidR="000E4D35">
      <w:rPr>
        <w:rFonts w:ascii="Century Gothic" w:hAnsi="Century Gothic" w:cs="Calibri"/>
        <w:b/>
        <w:sz w:val="24"/>
        <w:szCs w:val="24"/>
      </w:rPr>
      <w:t>7</w:t>
    </w:r>
    <w:r w:rsidRPr="0012705B">
      <w:rPr>
        <w:rFonts w:ascii="Century Gothic" w:hAnsi="Century Gothic" w:cs="Calibri"/>
        <w:b/>
        <w:sz w:val="24"/>
        <w:szCs w:val="24"/>
      </w:rPr>
      <w:t>/20</w:t>
    </w:r>
    <w:r w:rsidRPr="009F0514">
      <w:rPr>
        <w:rFonts w:ascii="Century Gothic" w:hAnsi="Century Gothic" w:cs="Calibri"/>
        <w:b/>
        <w:sz w:val="24"/>
        <w:szCs w:val="24"/>
      </w:rPr>
      <w:t>2</w:t>
    </w:r>
    <w:r>
      <w:rPr>
        <w:rFonts w:ascii="Century Gothic" w:hAnsi="Century Gothic" w:cs="Calibri"/>
        <w:b/>
        <w:sz w:val="24"/>
        <w:szCs w:val="24"/>
      </w:rPr>
      <w:t>4</w:t>
    </w:r>
  </w:p>
  <w:p w14:paraId="3BE4D591" w14:textId="1EED9931" w:rsidR="006F1E2A" w:rsidRPr="002B6562" w:rsidRDefault="006F1E2A" w:rsidP="00605CA9">
    <w:pPr>
      <w:spacing w:after="0" w:line="360" w:lineRule="auto"/>
      <w:ind w:left="720"/>
      <w:contextualSpacing/>
      <w:jc w:val="right"/>
      <w:rPr>
        <w:rFonts w:ascii="Century Gothic" w:hAnsi="Century Gothic"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2"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20058A"/>
    <w:multiLevelType w:val="hybridMultilevel"/>
    <w:tmpl w:val="53008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AF7750"/>
    <w:multiLevelType w:val="hybridMultilevel"/>
    <w:tmpl w:val="39944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6A4408"/>
    <w:multiLevelType w:val="hybridMultilevel"/>
    <w:tmpl w:val="EAB01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544CBB"/>
    <w:multiLevelType w:val="hybridMultilevel"/>
    <w:tmpl w:val="435EFF56"/>
    <w:lvl w:ilvl="0" w:tplc="520CE6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13B0277"/>
    <w:multiLevelType w:val="hybridMultilevel"/>
    <w:tmpl w:val="9EDA8DAC"/>
    <w:lvl w:ilvl="0" w:tplc="8488D414">
      <w:start w:val="8"/>
      <w:numFmt w:val="upperRoman"/>
      <w:lvlText w:val="%1."/>
      <w:lvlJc w:val="left"/>
      <w:pPr>
        <w:ind w:left="2912" w:hanging="360"/>
      </w:pPr>
      <w:rPr>
        <w:rFonts w:hint="default"/>
        <w:b/>
        <w:bCs/>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DFA3276"/>
    <w:multiLevelType w:val="hybridMultilevel"/>
    <w:tmpl w:val="53DEF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1"/>
  </w:num>
  <w:num w:numId="6">
    <w:abstractNumId w:val="4"/>
  </w:num>
  <w:num w:numId="7">
    <w:abstractNumId w:val="6"/>
  </w:num>
  <w:num w:numId="8">
    <w:abstractNumId w:val="11"/>
  </w:num>
  <w:num w:numId="9">
    <w:abstractNumId w:val="5"/>
  </w:num>
  <w:num w:numId="10">
    <w:abstractNumId w:val="3"/>
  </w:num>
  <w:num w:numId="11">
    <w:abstractNumId w:val="7"/>
  </w:num>
  <w:num w:numId="12">
    <w:abstractNumId w:val="8"/>
  </w:num>
  <w:num w:numId="13">
    <w:abstractNumId w:val="10"/>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1412"/>
    <w:rsid w:val="000230FE"/>
    <w:rsid w:val="000231DF"/>
    <w:rsid w:val="00027243"/>
    <w:rsid w:val="00031742"/>
    <w:rsid w:val="00033B8F"/>
    <w:rsid w:val="00034D6C"/>
    <w:rsid w:val="00034F62"/>
    <w:rsid w:val="00034F6B"/>
    <w:rsid w:val="00040933"/>
    <w:rsid w:val="000416E1"/>
    <w:rsid w:val="00044724"/>
    <w:rsid w:val="00046842"/>
    <w:rsid w:val="0005225D"/>
    <w:rsid w:val="00053B76"/>
    <w:rsid w:val="00063459"/>
    <w:rsid w:val="0006685A"/>
    <w:rsid w:val="00066AC4"/>
    <w:rsid w:val="00067BC9"/>
    <w:rsid w:val="00067E20"/>
    <w:rsid w:val="00072083"/>
    <w:rsid w:val="000745E1"/>
    <w:rsid w:val="00074BD5"/>
    <w:rsid w:val="00082211"/>
    <w:rsid w:val="00082974"/>
    <w:rsid w:val="00083DB0"/>
    <w:rsid w:val="000852EF"/>
    <w:rsid w:val="00085EB6"/>
    <w:rsid w:val="00092AD2"/>
    <w:rsid w:val="000A1FDA"/>
    <w:rsid w:val="000A711D"/>
    <w:rsid w:val="000A7394"/>
    <w:rsid w:val="000A7702"/>
    <w:rsid w:val="000B19C5"/>
    <w:rsid w:val="000B1D09"/>
    <w:rsid w:val="000B1E72"/>
    <w:rsid w:val="000B7F3E"/>
    <w:rsid w:val="000C2789"/>
    <w:rsid w:val="000C2986"/>
    <w:rsid w:val="000C664B"/>
    <w:rsid w:val="000D0B79"/>
    <w:rsid w:val="000D1833"/>
    <w:rsid w:val="000D2B1D"/>
    <w:rsid w:val="000D593B"/>
    <w:rsid w:val="000D622F"/>
    <w:rsid w:val="000E4D35"/>
    <w:rsid w:val="000E4E83"/>
    <w:rsid w:val="000E7559"/>
    <w:rsid w:val="000F1CC5"/>
    <w:rsid w:val="000F29A2"/>
    <w:rsid w:val="000F2B5C"/>
    <w:rsid w:val="000F386A"/>
    <w:rsid w:val="000F4EAF"/>
    <w:rsid w:val="000F6D60"/>
    <w:rsid w:val="000F7395"/>
    <w:rsid w:val="001035DF"/>
    <w:rsid w:val="00107830"/>
    <w:rsid w:val="00111F8F"/>
    <w:rsid w:val="00113B96"/>
    <w:rsid w:val="00115EFF"/>
    <w:rsid w:val="0011639E"/>
    <w:rsid w:val="0012705B"/>
    <w:rsid w:val="001275B1"/>
    <w:rsid w:val="0013026F"/>
    <w:rsid w:val="001303BF"/>
    <w:rsid w:val="00132440"/>
    <w:rsid w:val="0013256B"/>
    <w:rsid w:val="00136423"/>
    <w:rsid w:val="00137754"/>
    <w:rsid w:val="00137AB8"/>
    <w:rsid w:val="00141FCF"/>
    <w:rsid w:val="001447FE"/>
    <w:rsid w:val="00147620"/>
    <w:rsid w:val="00150C29"/>
    <w:rsid w:val="00150C52"/>
    <w:rsid w:val="00151072"/>
    <w:rsid w:val="00152292"/>
    <w:rsid w:val="00163A58"/>
    <w:rsid w:val="00163C8D"/>
    <w:rsid w:val="0016679B"/>
    <w:rsid w:val="0017214A"/>
    <w:rsid w:val="001724C0"/>
    <w:rsid w:val="00176C70"/>
    <w:rsid w:val="0018102E"/>
    <w:rsid w:val="00182BBA"/>
    <w:rsid w:val="00183BF8"/>
    <w:rsid w:val="00184774"/>
    <w:rsid w:val="00185125"/>
    <w:rsid w:val="00191CD4"/>
    <w:rsid w:val="00193CBE"/>
    <w:rsid w:val="00193F4F"/>
    <w:rsid w:val="00197695"/>
    <w:rsid w:val="001A0219"/>
    <w:rsid w:val="001A1C67"/>
    <w:rsid w:val="001A2424"/>
    <w:rsid w:val="001A4E03"/>
    <w:rsid w:val="001B655C"/>
    <w:rsid w:val="001C0DE2"/>
    <w:rsid w:val="001C1BCF"/>
    <w:rsid w:val="001D155A"/>
    <w:rsid w:val="001D4F15"/>
    <w:rsid w:val="001D6533"/>
    <w:rsid w:val="001E0785"/>
    <w:rsid w:val="001F0084"/>
    <w:rsid w:val="001F0B3F"/>
    <w:rsid w:val="001F4554"/>
    <w:rsid w:val="001F6275"/>
    <w:rsid w:val="001F66CC"/>
    <w:rsid w:val="002018D7"/>
    <w:rsid w:val="00202FFB"/>
    <w:rsid w:val="00211FB4"/>
    <w:rsid w:val="00215365"/>
    <w:rsid w:val="0023099F"/>
    <w:rsid w:val="00234B04"/>
    <w:rsid w:val="00243494"/>
    <w:rsid w:val="002463C8"/>
    <w:rsid w:val="00247123"/>
    <w:rsid w:val="00247B5A"/>
    <w:rsid w:val="002501F1"/>
    <w:rsid w:val="00250D55"/>
    <w:rsid w:val="00252154"/>
    <w:rsid w:val="00252DD9"/>
    <w:rsid w:val="002545A6"/>
    <w:rsid w:val="002567BB"/>
    <w:rsid w:val="00257D9E"/>
    <w:rsid w:val="00262129"/>
    <w:rsid w:val="00265D3C"/>
    <w:rsid w:val="00272064"/>
    <w:rsid w:val="0027251D"/>
    <w:rsid w:val="002756D5"/>
    <w:rsid w:val="002811BF"/>
    <w:rsid w:val="00284731"/>
    <w:rsid w:val="0028549B"/>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D4381"/>
    <w:rsid w:val="002D4EAC"/>
    <w:rsid w:val="002D56E1"/>
    <w:rsid w:val="002F6846"/>
    <w:rsid w:val="002F6CAE"/>
    <w:rsid w:val="00303818"/>
    <w:rsid w:val="00307F23"/>
    <w:rsid w:val="00312DDC"/>
    <w:rsid w:val="00315AE5"/>
    <w:rsid w:val="00315C47"/>
    <w:rsid w:val="00320109"/>
    <w:rsid w:val="003201D1"/>
    <w:rsid w:val="003261AB"/>
    <w:rsid w:val="0033074C"/>
    <w:rsid w:val="00336A74"/>
    <w:rsid w:val="00343348"/>
    <w:rsid w:val="00351F6C"/>
    <w:rsid w:val="003539A7"/>
    <w:rsid w:val="00356B3E"/>
    <w:rsid w:val="0036106F"/>
    <w:rsid w:val="00361D51"/>
    <w:rsid w:val="00361FA8"/>
    <w:rsid w:val="00364122"/>
    <w:rsid w:val="00371B4F"/>
    <w:rsid w:val="00371E84"/>
    <w:rsid w:val="003723C4"/>
    <w:rsid w:val="00376FFD"/>
    <w:rsid w:val="0038025E"/>
    <w:rsid w:val="003806D2"/>
    <w:rsid w:val="00382625"/>
    <w:rsid w:val="00382B2D"/>
    <w:rsid w:val="0038408D"/>
    <w:rsid w:val="00390650"/>
    <w:rsid w:val="00393DE7"/>
    <w:rsid w:val="0039517B"/>
    <w:rsid w:val="003959C1"/>
    <w:rsid w:val="003A165C"/>
    <w:rsid w:val="003A78A5"/>
    <w:rsid w:val="003B054B"/>
    <w:rsid w:val="003B22F4"/>
    <w:rsid w:val="003B4E13"/>
    <w:rsid w:val="003B5EA4"/>
    <w:rsid w:val="003B7B44"/>
    <w:rsid w:val="003C4313"/>
    <w:rsid w:val="003C796A"/>
    <w:rsid w:val="003D10A8"/>
    <w:rsid w:val="003D219A"/>
    <w:rsid w:val="003E123A"/>
    <w:rsid w:val="003E3F45"/>
    <w:rsid w:val="003E791D"/>
    <w:rsid w:val="003F0776"/>
    <w:rsid w:val="003F579C"/>
    <w:rsid w:val="00401A19"/>
    <w:rsid w:val="004034A1"/>
    <w:rsid w:val="0040351D"/>
    <w:rsid w:val="00403545"/>
    <w:rsid w:val="00405A73"/>
    <w:rsid w:val="00407787"/>
    <w:rsid w:val="00410F27"/>
    <w:rsid w:val="00411586"/>
    <w:rsid w:val="00412AB5"/>
    <w:rsid w:val="00412EE9"/>
    <w:rsid w:val="00413DAB"/>
    <w:rsid w:val="004141B2"/>
    <w:rsid w:val="00422120"/>
    <w:rsid w:val="00423ACB"/>
    <w:rsid w:val="004245D9"/>
    <w:rsid w:val="00425B38"/>
    <w:rsid w:val="00426877"/>
    <w:rsid w:val="004322FE"/>
    <w:rsid w:val="00433962"/>
    <w:rsid w:val="00435263"/>
    <w:rsid w:val="00435D0F"/>
    <w:rsid w:val="00441037"/>
    <w:rsid w:val="00441186"/>
    <w:rsid w:val="0044220E"/>
    <w:rsid w:val="00444C6F"/>
    <w:rsid w:val="00445EC3"/>
    <w:rsid w:val="00446B94"/>
    <w:rsid w:val="00451AF3"/>
    <w:rsid w:val="0045351F"/>
    <w:rsid w:val="00457D11"/>
    <w:rsid w:val="00460449"/>
    <w:rsid w:val="00461DC4"/>
    <w:rsid w:val="0046582F"/>
    <w:rsid w:val="00466959"/>
    <w:rsid w:val="0047022A"/>
    <w:rsid w:val="004762B4"/>
    <w:rsid w:val="0047670F"/>
    <w:rsid w:val="0047702D"/>
    <w:rsid w:val="00481C3C"/>
    <w:rsid w:val="00482FE7"/>
    <w:rsid w:val="004855C1"/>
    <w:rsid w:val="00486F03"/>
    <w:rsid w:val="0048713C"/>
    <w:rsid w:val="00497866"/>
    <w:rsid w:val="004A28F3"/>
    <w:rsid w:val="004A46ED"/>
    <w:rsid w:val="004A60B3"/>
    <w:rsid w:val="004B0A50"/>
    <w:rsid w:val="004B183B"/>
    <w:rsid w:val="004B28AF"/>
    <w:rsid w:val="004B2E68"/>
    <w:rsid w:val="004B51E4"/>
    <w:rsid w:val="004B6669"/>
    <w:rsid w:val="004C06D2"/>
    <w:rsid w:val="004C06E7"/>
    <w:rsid w:val="004C4F41"/>
    <w:rsid w:val="004D08CC"/>
    <w:rsid w:val="004D35DE"/>
    <w:rsid w:val="004E011D"/>
    <w:rsid w:val="004E024C"/>
    <w:rsid w:val="004E1AFD"/>
    <w:rsid w:val="004E468D"/>
    <w:rsid w:val="004F1DE1"/>
    <w:rsid w:val="004F6C17"/>
    <w:rsid w:val="00501331"/>
    <w:rsid w:val="0050551E"/>
    <w:rsid w:val="005064DB"/>
    <w:rsid w:val="005118A0"/>
    <w:rsid w:val="00511EEE"/>
    <w:rsid w:val="00513A9D"/>
    <w:rsid w:val="00513E3B"/>
    <w:rsid w:val="005231B7"/>
    <w:rsid w:val="005321A0"/>
    <w:rsid w:val="00534A7F"/>
    <w:rsid w:val="00534C63"/>
    <w:rsid w:val="005355B9"/>
    <w:rsid w:val="0053588F"/>
    <w:rsid w:val="00535AFB"/>
    <w:rsid w:val="00542E06"/>
    <w:rsid w:val="00545F6B"/>
    <w:rsid w:val="005467BA"/>
    <w:rsid w:val="0055325E"/>
    <w:rsid w:val="00553D65"/>
    <w:rsid w:val="00555012"/>
    <w:rsid w:val="005669F0"/>
    <w:rsid w:val="005710B8"/>
    <w:rsid w:val="005762CC"/>
    <w:rsid w:val="005828AB"/>
    <w:rsid w:val="00585E1C"/>
    <w:rsid w:val="0059118B"/>
    <w:rsid w:val="005923C2"/>
    <w:rsid w:val="00594ED5"/>
    <w:rsid w:val="005B037A"/>
    <w:rsid w:val="005B3775"/>
    <w:rsid w:val="005B7A8D"/>
    <w:rsid w:val="005C2CA1"/>
    <w:rsid w:val="005C70E1"/>
    <w:rsid w:val="005C7E8C"/>
    <w:rsid w:val="005D3CFC"/>
    <w:rsid w:val="005D44E4"/>
    <w:rsid w:val="005F08B0"/>
    <w:rsid w:val="005F099D"/>
    <w:rsid w:val="005F1876"/>
    <w:rsid w:val="00605CA9"/>
    <w:rsid w:val="00611334"/>
    <w:rsid w:val="00614230"/>
    <w:rsid w:val="0061716E"/>
    <w:rsid w:val="00620905"/>
    <w:rsid w:val="0062095D"/>
    <w:rsid w:val="0062155A"/>
    <w:rsid w:val="00621A01"/>
    <w:rsid w:val="00622B70"/>
    <w:rsid w:val="00623785"/>
    <w:rsid w:val="00624474"/>
    <w:rsid w:val="00630AF7"/>
    <w:rsid w:val="006339DF"/>
    <w:rsid w:val="006340F3"/>
    <w:rsid w:val="006343B9"/>
    <w:rsid w:val="006365D9"/>
    <w:rsid w:val="00644156"/>
    <w:rsid w:val="00652B86"/>
    <w:rsid w:val="0065375F"/>
    <w:rsid w:val="00653A49"/>
    <w:rsid w:val="00661B4F"/>
    <w:rsid w:val="00663AAE"/>
    <w:rsid w:val="00665953"/>
    <w:rsid w:val="00666DD5"/>
    <w:rsid w:val="00667125"/>
    <w:rsid w:val="00671233"/>
    <w:rsid w:val="006774DA"/>
    <w:rsid w:val="006774E7"/>
    <w:rsid w:val="00685F0D"/>
    <w:rsid w:val="0068630A"/>
    <w:rsid w:val="0069091B"/>
    <w:rsid w:val="0069125D"/>
    <w:rsid w:val="00693892"/>
    <w:rsid w:val="0069444A"/>
    <w:rsid w:val="00697730"/>
    <w:rsid w:val="006A0E8B"/>
    <w:rsid w:val="006A1680"/>
    <w:rsid w:val="006A522B"/>
    <w:rsid w:val="006A645A"/>
    <w:rsid w:val="006B7928"/>
    <w:rsid w:val="006C214E"/>
    <w:rsid w:val="006C39DC"/>
    <w:rsid w:val="006C5DF8"/>
    <w:rsid w:val="006D35CD"/>
    <w:rsid w:val="006D395C"/>
    <w:rsid w:val="006D7BAA"/>
    <w:rsid w:val="006D7CC4"/>
    <w:rsid w:val="006E23B6"/>
    <w:rsid w:val="006E3063"/>
    <w:rsid w:val="006E43EA"/>
    <w:rsid w:val="006F1E2A"/>
    <w:rsid w:val="006F31A6"/>
    <w:rsid w:val="006F5533"/>
    <w:rsid w:val="00701AC1"/>
    <w:rsid w:val="00702FF7"/>
    <w:rsid w:val="007032EB"/>
    <w:rsid w:val="00703CEC"/>
    <w:rsid w:val="007051AA"/>
    <w:rsid w:val="0071427C"/>
    <w:rsid w:val="00717A7A"/>
    <w:rsid w:val="00720E51"/>
    <w:rsid w:val="00726347"/>
    <w:rsid w:val="00726E11"/>
    <w:rsid w:val="007346D4"/>
    <w:rsid w:val="00744494"/>
    <w:rsid w:val="00745159"/>
    <w:rsid w:val="00746C81"/>
    <w:rsid w:val="00752979"/>
    <w:rsid w:val="00754F95"/>
    <w:rsid w:val="00764D90"/>
    <w:rsid w:val="007678EE"/>
    <w:rsid w:val="00770439"/>
    <w:rsid w:val="00773F50"/>
    <w:rsid w:val="007805DC"/>
    <w:rsid w:val="00780CDD"/>
    <w:rsid w:val="00783F23"/>
    <w:rsid w:val="007905D6"/>
    <w:rsid w:val="00790990"/>
    <w:rsid w:val="00791856"/>
    <w:rsid w:val="007946B7"/>
    <w:rsid w:val="00797A71"/>
    <w:rsid w:val="00797D4B"/>
    <w:rsid w:val="007A0DE5"/>
    <w:rsid w:val="007A1C16"/>
    <w:rsid w:val="007A30BB"/>
    <w:rsid w:val="007A509F"/>
    <w:rsid w:val="007A6E2B"/>
    <w:rsid w:val="007B01E4"/>
    <w:rsid w:val="007B17F4"/>
    <w:rsid w:val="007B29A0"/>
    <w:rsid w:val="007B339B"/>
    <w:rsid w:val="007C5760"/>
    <w:rsid w:val="007D2283"/>
    <w:rsid w:val="007D46B0"/>
    <w:rsid w:val="007D5EF6"/>
    <w:rsid w:val="007D5FEC"/>
    <w:rsid w:val="007D7327"/>
    <w:rsid w:val="007E04AE"/>
    <w:rsid w:val="007E1B0D"/>
    <w:rsid w:val="007E3B26"/>
    <w:rsid w:val="007E486A"/>
    <w:rsid w:val="007E5282"/>
    <w:rsid w:val="007E7FA7"/>
    <w:rsid w:val="007F070D"/>
    <w:rsid w:val="007F5BDD"/>
    <w:rsid w:val="007F7608"/>
    <w:rsid w:val="00801915"/>
    <w:rsid w:val="0080484F"/>
    <w:rsid w:val="008071C9"/>
    <w:rsid w:val="00817569"/>
    <w:rsid w:val="00833FAA"/>
    <w:rsid w:val="00834C4A"/>
    <w:rsid w:val="008379BE"/>
    <w:rsid w:val="00840BFD"/>
    <w:rsid w:val="00842579"/>
    <w:rsid w:val="00845A35"/>
    <w:rsid w:val="008476FA"/>
    <w:rsid w:val="00851798"/>
    <w:rsid w:val="008541DB"/>
    <w:rsid w:val="00854945"/>
    <w:rsid w:val="008567D5"/>
    <w:rsid w:val="008637D5"/>
    <w:rsid w:val="00867A0F"/>
    <w:rsid w:val="008735EA"/>
    <w:rsid w:val="00873D22"/>
    <w:rsid w:val="008772BC"/>
    <w:rsid w:val="00885AF4"/>
    <w:rsid w:val="008861A4"/>
    <w:rsid w:val="008873FF"/>
    <w:rsid w:val="00887961"/>
    <w:rsid w:val="0089155C"/>
    <w:rsid w:val="0089222F"/>
    <w:rsid w:val="008929FD"/>
    <w:rsid w:val="008A23CF"/>
    <w:rsid w:val="008A6D25"/>
    <w:rsid w:val="008A7605"/>
    <w:rsid w:val="008A7CF7"/>
    <w:rsid w:val="008C3628"/>
    <w:rsid w:val="008C3BEE"/>
    <w:rsid w:val="008C5FFD"/>
    <w:rsid w:val="008C76E5"/>
    <w:rsid w:val="008D1EF3"/>
    <w:rsid w:val="008D5474"/>
    <w:rsid w:val="008E3B68"/>
    <w:rsid w:val="008E4E0B"/>
    <w:rsid w:val="008E56C3"/>
    <w:rsid w:val="008E5907"/>
    <w:rsid w:val="008F4BFF"/>
    <w:rsid w:val="00900F8E"/>
    <w:rsid w:val="009018A8"/>
    <w:rsid w:val="0090429D"/>
    <w:rsid w:val="0091018C"/>
    <w:rsid w:val="00913953"/>
    <w:rsid w:val="00914B68"/>
    <w:rsid w:val="00915916"/>
    <w:rsid w:val="00916CA8"/>
    <w:rsid w:val="0091730C"/>
    <w:rsid w:val="00926C3C"/>
    <w:rsid w:val="00936A12"/>
    <w:rsid w:val="00937A8A"/>
    <w:rsid w:val="00940656"/>
    <w:rsid w:val="00941053"/>
    <w:rsid w:val="00942679"/>
    <w:rsid w:val="009433B2"/>
    <w:rsid w:val="00943871"/>
    <w:rsid w:val="00945446"/>
    <w:rsid w:val="009468B9"/>
    <w:rsid w:val="00946A9C"/>
    <w:rsid w:val="00947C62"/>
    <w:rsid w:val="009500C9"/>
    <w:rsid w:val="00953147"/>
    <w:rsid w:val="00953CE6"/>
    <w:rsid w:val="00954F2B"/>
    <w:rsid w:val="009554EF"/>
    <w:rsid w:val="00961391"/>
    <w:rsid w:val="009613A0"/>
    <w:rsid w:val="00961655"/>
    <w:rsid w:val="00963CA8"/>
    <w:rsid w:val="0096613C"/>
    <w:rsid w:val="00966E73"/>
    <w:rsid w:val="00973A3F"/>
    <w:rsid w:val="00975105"/>
    <w:rsid w:val="0097753B"/>
    <w:rsid w:val="009810C0"/>
    <w:rsid w:val="009813E5"/>
    <w:rsid w:val="00982C3C"/>
    <w:rsid w:val="00986323"/>
    <w:rsid w:val="00986CC0"/>
    <w:rsid w:val="00990B87"/>
    <w:rsid w:val="00992829"/>
    <w:rsid w:val="009A0226"/>
    <w:rsid w:val="009A57B2"/>
    <w:rsid w:val="009A6107"/>
    <w:rsid w:val="009A676F"/>
    <w:rsid w:val="009B5DA5"/>
    <w:rsid w:val="009C77F9"/>
    <w:rsid w:val="009C7856"/>
    <w:rsid w:val="009D018B"/>
    <w:rsid w:val="009D0F15"/>
    <w:rsid w:val="009D7366"/>
    <w:rsid w:val="009D7A3A"/>
    <w:rsid w:val="009E588D"/>
    <w:rsid w:val="009F0080"/>
    <w:rsid w:val="009F0514"/>
    <w:rsid w:val="009F3B35"/>
    <w:rsid w:val="009F7470"/>
    <w:rsid w:val="00A0271A"/>
    <w:rsid w:val="00A03E02"/>
    <w:rsid w:val="00A06A33"/>
    <w:rsid w:val="00A17862"/>
    <w:rsid w:val="00A23CCA"/>
    <w:rsid w:val="00A23D2B"/>
    <w:rsid w:val="00A23EF0"/>
    <w:rsid w:val="00A24BD4"/>
    <w:rsid w:val="00A24FBA"/>
    <w:rsid w:val="00A25B5F"/>
    <w:rsid w:val="00A26977"/>
    <w:rsid w:val="00A27F89"/>
    <w:rsid w:val="00A30C36"/>
    <w:rsid w:val="00A3389C"/>
    <w:rsid w:val="00A35ACD"/>
    <w:rsid w:val="00A400D8"/>
    <w:rsid w:val="00A405E7"/>
    <w:rsid w:val="00A41514"/>
    <w:rsid w:val="00A439F2"/>
    <w:rsid w:val="00A44571"/>
    <w:rsid w:val="00A45101"/>
    <w:rsid w:val="00A46EE7"/>
    <w:rsid w:val="00A551FC"/>
    <w:rsid w:val="00A56CC8"/>
    <w:rsid w:val="00A56D96"/>
    <w:rsid w:val="00A640A7"/>
    <w:rsid w:val="00A805D3"/>
    <w:rsid w:val="00A81888"/>
    <w:rsid w:val="00A84E1E"/>
    <w:rsid w:val="00A911AF"/>
    <w:rsid w:val="00A93C71"/>
    <w:rsid w:val="00A94F10"/>
    <w:rsid w:val="00A97BDB"/>
    <w:rsid w:val="00A97CB1"/>
    <w:rsid w:val="00AA08C8"/>
    <w:rsid w:val="00AA1C01"/>
    <w:rsid w:val="00AA37CB"/>
    <w:rsid w:val="00AA5708"/>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4E9D"/>
    <w:rsid w:val="00AE5B39"/>
    <w:rsid w:val="00AE64D7"/>
    <w:rsid w:val="00AF49E5"/>
    <w:rsid w:val="00AF6F8F"/>
    <w:rsid w:val="00AF7362"/>
    <w:rsid w:val="00AF76AF"/>
    <w:rsid w:val="00B04581"/>
    <w:rsid w:val="00B10D19"/>
    <w:rsid w:val="00B12A5F"/>
    <w:rsid w:val="00B158E9"/>
    <w:rsid w:val="00B21035"/>
    <w:rsid w:val="00B21AFB"/>
    <w:rsid w:val="00B25800"/>
    <w:rsid w:val="00B25C1C"/>
    <w:rsid w:val="00B26A9F"/>
    <w:rsid w:val="00B27D31"/>
    <w:rsid w:val="00B33811"/>
    <w:rsid w:val="00B361EE"/>
    <w:rsid w:val="00B403FB"/>
    <w:rsid w:val="00B41979"/>
    <w:rsid w:val="00B45F8A"/>
    <w:rsid w:val="00B46100"/>
    <w:rsid w:val="00B4688E"/>
    <w:rsid w:val="00B47459"/>
    <w:rsid w:val="00B50F1F"/>
    <w:rsid w:val="00B51C1D"/>
    <w:rsid w:val="00B527EB"/>
    <w:rsid w:val="00B54A74"/>
    <w:rsid w:val="00B64682"/>
    <w:rsid w:val="00B7606B"/>
    <w:rsid w:val="00B77107"/>
    <w:rsid w:val="00B8078A"/>
    <w:rsid w:val="00B8326A"/>
    <w:rsid w:val="00B850D7"/>
    <w:rsid w:val="00B87353"/>
    <w:rsid w:val="00B877D7"/>
    <w:rsid w:val="00BA07DB"/>
    <w:rsid w:val="00BA16F1"/>
    <w:rsid w:val="00BA1F1A"/>
    <w:rsid w:val="00BA4181"/>
    <w:rsid w:val="00BA46FC"/>
    <w:rsid w:val="00BA5E90"/>
    <w:rsid w:val="00BB09BF"/>
    <w:rsid w:val="00BB21F3"/>
    <w:rsid w:val="00BB2444"/>
    <w:rsid w:val="00BB4F3F"/>
    <w:rsid w:val="00BB74C1"/>
    <w:rsid w:val="00BC3385"/>
    <w:rsid w:val="00BC4800"/>
    <w:rsid w:val="00BD0C35"/>
    <w:rsid w:val="00BE10C8"/>
    <w:rsid w:val="00BE20AB"/>
    <w:rsid w:val="00BE4E30"/>
    <w:rsid w:val="00BE4F26"/>
    <w:rsid w:val="00BE65C7"/>
    <w:rsid w:val="00BF0A80"/>
    <w:rsid w:val="00BF32DF"/>
    <w:rsid w:val="00BF48D9"/>
    <w:rsid w:val="00C002D6"/>
    <w:rsid w:val="00C025C8"/>
    <w:rsid w:val="00C12DFD"/>
    <w:rsid w:val="00C12EA6"/>
    <w:rsid w:val="00C14304"/>
    <w:rsid w:val="00C151B2"/>
    <w:rsid w:val="00C15AD4"/>
    <w:rsid w:val="00C21CB4"/>
    <w:rsid w:val="00C240CB"/>
    <w:rsid w:val="00C27D7C"/>
    <w:rsid w:val="00C31BFD"/>
    <w:rsid w:val="00C327EF"/>
    <w:rsid w:val="00C3449C"/>
    <w:rsid w:val="00C37AB4"/>
    <w:rsid w:val="00C41BA1"/>
    <w:rsid w:val="00C41D89"/>
    <w:rsid w:val="00C467AC"/>
    <w:rsid w:val="00C46A4E"/>
    <w:rsid w:val="00C515DB"/>
    <w:rsid w:val="00C55BA2"/>
    <w:rsid w:val="00C630F1"/>
    <w:rsid w:val="00C64A1D"/>
    <w:rsid w:val="00C6550E"/>
    <w:rsid w:val="00C67ECD"/>
    <w:rsid w:val="00C721BF"/>
    <w:rsid w:val="00C76418"/>
    <w:rsid w:val="00C82310"/>
    <w:rsid w:val="00C83BFC"/>
    <w:rsid w:val="00CA4346"/>
    <w:rsid w:val="00CC45C4"/>
    <w:rsid w:val="00CC5BAE"/>
    <w:rsid w:val="00CC74AF"/>
    <w:rsid w:val="00CD6A01"/>
    <w:rsid w:val="00CE2963"/>
    <w:rsid w:val="00CE3953"/>
    <w:rsid w:val="00CE755D"/>
    <w:rsid w:val="00CF4561"/>
    <w:rsid w:val="00D01CCA"/>
    <w:rsid w:val="00D02EB5"/>
    <w:rsid w:val="00D0480D"/>
    <w:rsid w:val="00D07215"/>
    <w:rsid w:val="00D0729D"/>
    <w:rsid w:val="00D11737"/>
    <w:rsid w:val="00D21EDB"/>
    <w:rsid w:val="00D22233"/>
    <w:rsid w:val="00D25E21"/>
    <w:rsid w:val="00D26255"/>
    <w:rsid w:val="00D27588"/>
    <w:rsid w:val="00D27630"/>
    <w:rsid w:val="00D31CA0"/>
    <w:rsid w:val="00D34DEF"/>
    <w:rsid w:val="00D41E42"/>
    <w:rsid w:val="00D44A16"/>
    <w:rsid w:val="00D55E14"/>
    <w:rsid w:val="00D70846"/>
    <w:rsid w:val="00D7212F"/>
    <w:rsid w:val="00D72795"/>
    <w:rsid w:val="00D74726"/>
    <w:rsid w:val="00D75843"/>
    <w:rsid w:val="00D75E7E"/>
    <w:rsid w:val="00D80AB1"/>
    <w:rsid w:val="00D90A4D"/>
    <w:rsid w:val="00D91B69"/>
    <w:rsid w:val="00D91EE2"/>
    <w:rsid w:val="00D930AD"/>
    <w:rsid w:val="00D95326"/>
    <w:rsid w:val="00D96879"/>
    <w:rsid w:val="00D96FCE"/>
    <w:rsid w:val="00D97BB5"/>
    <w:rsid w:val="00DA5A6A"/>
    <w:rsid w:val="00DA7A64"/>
    <w:rsid w:val="00DB29F8"/>
    <w:rsid w:val="00DB49FA"/>
    <w:rsid w:val="00DB64F7"/>
    <w:rsid w:val="00DC3D39"/>
    <w:rsid w:val="00DC4028"/>
    <w:rsid w:val="00DC42CB"/>
    <w:rsid w:val="00DC659B"/>
    <w:rsid w:val="00DD1C7F"/>
    <w:rsid w:val="00DD33E3"/>
    <w:rsid w:val="00DE164F"/>
    <w:rsid w:val="00DE575B"/>
    <w:rsid w:val="00DF3B77"/>
    <w:rsid w:val="00DF7FC9"/>
    <w:rsid w:val="00E02618"/>
    <w:rsid w:val="00E02774"/>
    <w:rsid w:val="00E02A68"/>
    <w:rsid w:val="00E04831"/>
    <w:rsid w:val="00E13BE9"/>
    <w:rsid w:val="00E17239"/>
    <w:rsid w:val="00E20F6D"/>
    <w:rsid w:val="00E22050"/>
    <w:rsid w:val="00E22C5A"/>
    <w:rsid w:val="00E23C2B"/>
    <w:rsid w:val="00E252B0"/>
    <w:rsid w:val="00E26FE8"/>
    <w:rsid w:val="00E2793B"/>
    <w:rsid w:val="00E308AF"/>
    <w:rsid w:val="00E33B5C"/>
    <w:rsid w:val="00E35313"/>
    <w:rsid w:val="00E36039"/>
    <w:rsid w:val="00E368FC"/>
    <w:rsid w:val="00E37102"/>
    <w:rsid w:val="00E51C88"/>
    <w:rsid w:val="00E546A4"/>
    <w:rsid w:val="00E56955"/>
    <w:rsid w:val="00E61C46"/>
    <w:rsid w:val="00E626CF"/>
    <w:rsid w:val="00E64331"/>
    <w:rsid w:val="00E6706C"/>
    <w:rsid w:val="00E73C3D"/>
    <w:rsid w:val="00E73E07"/>
    <w:rsid w:val="00E76D68"/>
    <w:rsid w:val="00E81091"/>
    <w:rsid w:val="00E81783"/>
    <w:rsid w:val="00E84F47"/>
    <w:rsid w:val="00E85AFF"/>
    <w:rsid w:val="00E86DB9"/>
    <w:rsid w:val="00E93097"/>
    <w:rsid w:val="00E933C1"/>
    <w:rsid w:val="00E96FEE"/>
    <w:rsid w:val="00EA3E51"/>
    <w:rsid w:val="00EA49F1"/>
    <w:rsid w:val="00EB16C5"/>
    <w:rsid w:val="00EB56CE"/>
    <w:rsid w:val="00EC144D"/>
    <w:rsid w:val="00EC1B2A"/>
    <w:rsid w:val="00EC203D"/>
    <w:rsid w:val="00EC22A3"/>
    <w:rsid w:val="00EC3514"/>
    <w:rsid w:val="00ED3951"/>
    <w:rsid w:val="00ED4837"/>
    <w:rsid w:val="00EE1208"/>
    <w:rsid w:val="00EE4B2E"/>
    <w:rsid w:val="00EE5BF8"/>
    <w:rsid w:val="00EE5F54"/>
    <w:rsid w:val="00EF2623"/>
    <w:rsid w:val="00EF2690"/>
    <w:rsid w:val="00EF30DB"/>
    <w:rsid w:val="00EF3854"/>
    <w:rsid w:val="00EF44D4"/>
    <w:rsid w:val="00EF532F"/>
    <w:rsid w:val="00EF7293"/>
    <w:rsid w:val="00EF7C61"/>
    <w:rsid w:val="00F05B3F"/>
    <w:rsid w:val="00F05D67"/>
    <w:rsid w:val="00F10004"/>
    <w:rsid w:val="00F171F7"/>
    <w:rsid w:val="00F2129A"/>
    <w:rsid w:val="00F24CAE"/>
    <w:rsid w:val="00F30FE6"/>
    <w:rsid w:val="00F4034B"/>
    <w:rsid w:val="00F44614"/>
    <w:rsid w:val="00F46D96"/>
    <w:rsid w:val="00F53513"/>
    <w:rsid w:val="00F53851"/>
    <w:rsid w:val="00F56E8F"/>
    <w:rsid w:val="00F5734F"/>
    <w:rsid w:val="00F57B0E"/>
    <w:rsid w:val="00F669FB"/>
    <w:rsid w:val="00F7345C"/>
    <w:rsid w:val="00F74A99"/>
    <w:rsid w:val="00F7662D"/>
    <w:rsid w:val="00F77851"/>
    <w:rsid w:val="00F81C7D"/>
    <w:rsid w:val="00F83EE1"/>
    <w:rsid w:val="00F869D3"/>
    <w:rsid w:val="00F94AD1"/>
    <w:rsid w:val="00F95F18"/>
    <w:rsid w:val="00F97420"/>
    <w:rsid w:val="00FA2751"/>
    <w:rsid w:val="00FA2C89"/>
    <w:rsid w:val="00FA329B"/>
    <w:rsid w:val="00FA401B"/>
    <w:rsid w:val="00FB2FBA"/>
    <w:rsid w:val="00FB7224"/>
    <w:rsid w:val="00FC05A7"/>
    <w:rsid w:val="00FC0C09"/>
    <w:rsid w:val="00FC7BF5"/>
    <w:rsid w:val="00FD07DE"/>
    <w:rsid w:val="00FD75F2"/>
    <w:rsid w:val="00FE5018"/>
    <w:rsid w:val="00FE6576"/>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 w:type="character" w:customStyle="1" w:styleId="Mencinsinresolver3">
    <w:name w:val="Mención sin resolver3"/>
    <w:basedOn w:val="Fuentedeprrafopredeter"/>
    <w:uiPriority w:val="99"/>
    <w:semiHidden/>
    <w:unhideWhenUsed/>
    <w:rsid w:val="00936A12"/>
    <w:rPr>
      <w:color w:val="605E5C"/>
      <w:shd w:val="clear" w:color="auto" w:fill="E1DFDD"/>
    </w:rPr>
  </w:style>
  <w:style w:type="character" w:customStyle="1" w:styleId="Mencinsinresolver4">
    <w:name w:val="Mención sin resolver4"/>
    <w:basedOn w:val="Fuentedeprrafopredeter"/>
    <w:uiPriority w:val="99"/>
    <w:semiHidden/>
    <w:unhideWhenUsed/>
    <w:rsid w:val="006D3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dil/esp/1969_Convenci%C3%B3n_Americana_sobre_Derechos_Humanos.pdf" TargetMode="External"/><Relationship Id="rId7" Type="http://schemas.openxmlformats.org/officeDocument/2006/relationships/hyperlink" Target="https://www.congresochihuahua2.gob.mx/biblioteca/codigos/archivosCodigos/13.pdf" TargetMode="External"/><Relationship Id="rId2" Type="http://schemas.openxmlformats.org/officeDocument/2006/relationships/hyperlink" Target="https://www.ohchr.org/es/instruments-mechanisms/instruments/international-covenant-civil-and-politic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congresochihuahua2.gob.mx/biblioteca/constitucion/archivosConstitucion/actual.pdf" TargetMode="External"/><Relationship Id="rId5" Type="http://schemas.openxmlformats.org/officeDocument/2006/relationships/hyperlink" Target="https://www.diputados.gob.mx/LeyesBiblio/pdf/CPEUM.pdf" TargetMode="External"/><Relationship Id="rId4" Type="http://schemas.openxmlformats.org/officeDocument/2006/relationships/hyperlink" Target="https://www.ohchr.org/es/instruments-mechanisms/instruments/convention-elimination-all-forms-discrimination-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CF14-3E9D-4944-9C4A-3628A676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5934</Words>
  <Characters>32642</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38500</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2024-04-16T20:00:00Z</cp:lastPrinted>
  <dcterms:created xsi:type="dcterms:W3CDTF">2024-04-23T16:24:00Z</dcterms:created>
  <dcterms:modified xsi:type="dcterms:W3CDTF">2024-04-23T16:24:00Z</dcterms:modified>
</cp:coreProperties>
</file>