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30E00350"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9C7856">
        <w:rPr>
          <w:rFonts w:ascii="Century Gothic" w:eastAsia="Arial" w:hAnsi="Century Gothic" w:cs="Arial"/>
          <w:color w:val="auto"/>
          <w:szCs w:val="24"/>
          <w:lang w:val="es-MX"/>
        </w:rPr>
        <w:t>20</w:t>
      </w:r>
      <w:r w:rsidR="00513A9D">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junio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9C7856">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9C7856">
        <w:rPr>
          <w:rFonts w:ascii="Century Gothic" w:eastAsia="Arial" w:hAnsi="Century Gothic" w:cs="Arial"/>
          <w:color w:val="auto"/>
          <w:szCs w:val="24"/>
          <w:lang w:val="es-MX"/>
        </w:rPr>
        <w:t xml:space="preserve">o Omar Bazán Flores integrante del </w:t>
      </w:r>
      <w:r w:rsidR="00EF30DB">
        <w:rPr>
          <w:rFonts w:ascii="Century Gothic" w:eastAsia="Arial" w:hAnsi="Century Gothic" w:cs="Arial"/>
          <w:color w:val="auto"/>
          <w:szCs w:val="24"/>
          <w:lang w:val="es-MX"/>
        </w:rPr>
        <w:t>G</w:t>
      </w:r>
      <w:r w:rsidR="009C7856">
        <w:rPr>
          <w:rFonts w:ascii="Century Gothic" w:eastAsia="Arial" w:hAnsi="Century Gothic" w:cs="Arial"/>
          <w:color w:val="auto"/>
          <w:szCs w:val="24"/>
          <w:lang w:val="es-MX"/>
        </w:rPr>
        <w:t xml:space="preserve">rupo </w:t>
      </w:r>
      <w:r w:rsidR="00EF30DB">
        <w:rPr>
          <w:rFonts w:ascii="Century Gothic" w:eastAsia="Arial" w:hAnsi="Century Gothic" w:cs="Arial"/>
          <w:color w:val="auto"/>
          <w:szCs w:val="24"/>
          <w:lang w:val="es-MX"/>
        </w:rPr>
        <w:t>P</w:t>
      </w:r>
      <w:r w:rsidR="009C7856">
        <w:rPr>
          <w:rFonts w:ascii="Century Gothic" w:eastAsia="Arial" w:hAnsi="Century Gothic" w:cs="Arial"/>
          <w:color w:val="auto"/>
          <w:szCs w:val="24"/>
          <w:lang w:val="es-MX"/>
        </w:rPr>
        <w:t xml:space="preserve">arlamentario del Partido Revolucionario Institucional, </w:t>
      </w:r>
      <w:r w:rsidRPr="006C0094">
        <w:rPr>
          <w:rFonts w:ascii="Century Gothic" w:eastAsia="Arial" w:hAnsi="Century Gothic" w:cs="Arial"/>
          <w:color w:val="auto"/>
          <w:szCs w:val="24"/>
          <w:lang w:val="es-MX"/>
        </w:rPr>
        <w:t>present</w:t>
      </w:r>
      <w:r w:rsidR="007B01E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9C7856" w:rsidRPr="009C7856">
        <w:rPr>
          <w:rFonts w:ascii="Century Gothic" w:eastAsia="Arial" w:hAnsi="Century Gothic" w:cs="Arial"/>
          <w:color w:val="auto"/>
          <w:szCs w:val="24"/>
          <w:lang w:val="es-MX"/>
        </w:rPr>
        <w:t>a efecto de adicionar una fracción IV al inciso D del artículo 202, de la Ley Estatal de Salud, con la finalidad de promover y crear grupos para dejar la adicción al juego.</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441472C"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297BC4">
        <w:rPr>
          <w:rFonts w:ascii="Century Gothic" w:eastAsia="Arial" w:hAnsi="Century Gothic" w:cs="Arial"/>
          <w:color w:val="auto"/>
          <w:szCs w:val="24"/>
          <w:lang w:val="es-MX"/>
        </w:rPr>
        <w:t>2</w:t>
      </w:r>
      <w:r w:rsidR="009C7856">
        <w:rPr>
          <w:rFonts w:ascii="Century Gothic" w:eastAsia="Arial" w:hAnsi="Century Gothic" w:cs="Arial"/>
          <w:color w:val="auto"/>
          <w:szCs w:val="24"/>
          <w:lang w:val="es-MX"/>
        </w:rPr>
        <w:t>1</w:t>
      </w:r>
      <w:r w:rsidR="00E56955" w:rsidRPr="00E56955">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junio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048AB29C" w:rsidR="00445EC3" w:rsidRPr="00414B59" w:rsidRDefault="009C7856" w:rsidP="009C7856">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1640828D" w14:textId="77777777" w:rsidR="009C7856" w:rsidRPr="009C7856" w:rsidRDefault="00A30C36" w:rsidP="009C7856">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9C7856" w:rsidRPr="009C7856">
        <w:rPr>
          <w:rFonts w:ascii="Century Gothic" w:eastAsia="Arial" w:hAnsi="Century Gothic" w:cs="Arial"/>
          <w:i/>
          <w:sz w:val="24"/>
          <w:szCs w:val="24"/>
        </w:rPr>
        <w:t>El juego compulsivo, que también se conoce como trastorno del juego, es el impulso incontrolable de seguir apostando sin importar las consecuencias que eso tenga en tu vida. Apostar significa que estás dispuesto a arriesgar algo que valoras con la esperanza de ganar algo de mayor valor.</w:t>
      </w:r>
    </w:p>
    <w:p w14:paraId="0CA3622F"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3DD25B4" w14:textId="6493940B"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Esto puede estimular el sistema de recompensa del cerebro de forma similar a como lo hacen las drogas ilícitas o el alcohol, lo que genera adicción. Si tienes un problema con el juego compulsivo, es posible que hagas apuestas continuamente que te lleven a perder, agotar tus ahorros y endeudarte. Es posible que ocultes tu comportamiento e incluso recurras al robo o al fraude para alimentar tu adicción.</w:t>
      </w:r>
    </w:p>
    <w:p w14:paraId="0B29539F"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15FC3300" w14:textId="72FA6609"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El juego compulsivo es una afección grave que puede destruir vidas. Aunque tratar el juego compulsivo puede ser desafiante, muchas personas que luchan contra este han encontrado ayuda mediante el tratamiento profesional.</w:t>
      </w:r>
    </w:p>
    <w:p w14:paraId="14244299"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073D3ADB" w14:textId="4B79A10D"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No todas las personas que juegan desarrollan una adicción al juego, del mismo modo que no todas las personas que beben terminan siendo alcohólicas, existen personas no adictas que hacen un uso problemático de los juegos de azar. </w:t>
      </w:r>
    </w:p>
    <w:p w14:paraId="137D271C"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53078B58" w14:textId="4E1B9703"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El juego se puede desarrollar en locales físicos y en sus versiones virtuales en Internet: casinos, salas de apuestas deportivas, bingos, etc. </w:t>
      </w:r>
    </w:p>
    <w:p w14:paraId="63799A1D" w14:textId="77777777"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Las apuestas causan estragos en las personas y las familias desde hace siglos en casi todas las civilizaciones. </w:t>
      </w:r>
    </w:p>
    <w:p w14:paraId="3D1F0FF2"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B1A40FF" w14:textId="4352088E"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En las últimas décadas la ludopatía es la adicción sin sustancia más atendida en los centros de salud, sobre todo las relacionadas con máquinas tragaperras y el bingo. En los casos del juego patológico o ludopatía suele producirse un efecto dominó que afecta a todas las </w:t>
      </w:r>
      <w:r w:rsidRPr="009C7856">
        <w:rPr>
          <w:rFonts w:ascii="Century Gothic" w:eastAsia="Arial" w:hAnsi="Century Gothic" w:cs="Arial"/>
          <w:i/>
          <w:sz w:val="24"/>
          <w:szCs w:val="24"/>
        </w:rPr>
        <w:lastRenderedPageBreak/>
        <w:t xml:space="preserve">áreas significativas de la persona: pareja y familia, escolar, laboral y social. </w:t>
      </w:r>
    </w:p>
    <w:p w14:paraId="606968F1"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93C5725" w14:textId="6BB38104"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Observamos que la edad de inicio es cada vez más temprana sobre todo en el juego en Internet. </w:t>
      </w:r>
    </w:p>
    <w:p w14:paraId="603F0CC9"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2AE7FE7C" w14:textId="46EBD45F"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Personas influyentes, como presentadores y futbolistas, prestan su imagen para asociar el juego a una actividad sin riesgo y asociada a la diversión. </w:t>
      </w:r>
    </w:p>
    <w:p w14:paraId="7131D153"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211A9EEF" w14:textId="6DDA77C6"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Las adicciones sin sustancia (compras, juego, trabajo, Internet, móvil…) son más aceptadas por la sociedad y pasan más inadvertidas que las adicciones a sustancias.</w:t>
      </w:r>
    </w:p>
    <w:p w14:paraId="4FFAC276"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15500008" w14:textId="1F385AA9"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Actualmente la ludopatía afecta a personas de todas las edades, desde niños hasta adultos mayores, tampoco hay una distinción entre clases sociales o nivel económico, y aunque la llegada a ello es multifactorial las afectaciones llegan a ser muy similares en las conductas que en los peores casos los orillan a cometer incluso ilícitos como robos, para poder continuar con los mecanismos de juego.</w:t>
      </w:r>
    </w:p>
    <w:p w14:paraId="28C248F8"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391DF824" w14:textId="62030421"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Los signos y síntomas del juego compulsivo (trastorno del juego) pueden incluir los siguientes:</w:t>
      </w:r>
    </w:p>
    <w:p w14:paraId="1032A4FE"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DC5509F" w14:textId="407629E9"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Estar preocupado por apostar, como planificar actividades con apuestas constantemente, y por cómo obtener más dinero para apostar.</w:t>
      </w:r>
    </w:p>
    <w:p w14:paraId="7BBF59CA"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25B2D1E9" w14:textId="01F0537B"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Necesidad de apostar cantidades cada vez mayores de dinero para sentir la misma emoción.</w:t>
      </w:r>
    </w:p>
    <w:p w14:paraId="3BAF2DDF"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582B8B92" w14:textId="76E49EDB"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Intentar controlar, corregir o abandonar las apuestas y no poder hacerlo.</w:t>
      </w:r>
    </w:p>
    <w:p w14:paraId="1BC39249"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19963529" w14:textId="4A7F96A8"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Sentirse intranquilo o irritable cuando se intenta dejar las apuestas.</w:t>
      </w:r>
    </w:p>
    <w:p w14:paraId="140D8D65"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093D8DAD"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3282268F" w14:textId="350483B5"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lastRenderedPageBreak/>
        <w:t>•</w:t>
      </w:r>
      <w:r w:rsidRPr="009C7856">
        <w:rPr>
          <w:rFonts w:ascii="Century Gothic" w:eastAsia="Arial" w:hAnsi="Century Gothic" w:cs="Arial"/>
          <w:i/>
          <w:sz w:val="24"/>
          <w:szCs w:val="24"/>
        </w:rPr>
        <w:tab/>
        <w:t>Apostar para evadir los problemas o aliviar sentimientos de impotencia, culpa, ansiedad o depresión.</w:t>
      </w:r>
    </w:p>
    <w:p w14:paraId="0B4018CF"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60E0C6C" w14:textId="66F62040"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Intentar recuperar el dinero perdido apostando más (recuperar las pérdidas).</w:t>
      </w:r>
    </w:p>
    <w:p w14:paraId="17992A7C"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23FF6839" w14:textId="1970CDF0"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Mentir a tus familiares o a otras personas para ocultar la gravedad de la manera en que juegas compulsivamente.</w:t>
      </w:r>
    </w:p>
    <w:p w14:paraId="0D43B367"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184E1625" w14:textId="69FF96A9"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Poner en riesgo o perder relaciones importantes, un trabajo u oportunidades educativas o laborales debido al juego compulsivo.</w:t>
      </w:r>
    </w:p>
    <w:p w14:paraId="17206111"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06B44F34" w14:textId="7946405E"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w:t>
      </w:r>
      <w:r w:rsidRPr="009C7856">
        <w:rPr>
          <w:rFonts w:ascii="Century Gothic" w:eastAsia="Arial" w:hAnsi="Century Gothic" w:cs="Arial"/>
          <w:i/>
          <w:sz w:val="24"/>
          <w:szCs w:val="24"/>
        </w:rPr>
        <w:tab/>
        <w:t>Pedirles a otras personas que te saquen de apuros financieros porque perdiste tu dinero apostando.</w:t>
      </w:r>
    </w:p>
    <w:p w14:paraId="2679B1A5"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E4F357D" w14:textId="50389A06"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La mayoría de los apostadores casuales dejan de apostar cuando pierden o establecen un límite de cuánto dinero están dispuestos a perder. Sin embargo, las personas con un problema de juego compulsivo sienten el impulso de seguir jugando para recuperar su dinero, un patrón que se vuelve cada vez más destructivo con el tiempo. Algunas personas pueden recurrir al robo o al fraude para obtener dinero para apostar.</w:t>
      </w:r>
    </w:p>
    <w:p w14:paraId="2729F259"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4FC3CDB5" w14:textId="25A0DC23"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El problema de la ludopatía no sólo es neurobiológico, sino que contribuyen al problema diversos factores sociales.</w:t>
      </w:r>
    </w:p>
    <w:p w14:paraId="1A4A72F0"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25B775AB" w14:textId="0F430CB0"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En México existen alrededor de 300 centros de apuesta legales, pero también hay casinos clandestinos y en Internet se puede apostar libremente por lo que un ludópata tiene un mundo donde se puede perder.</w:t>
      </w:r>
    </w:p>
    <w:p w14:paraId="5F8AB9F6"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0A29DD98" w14:textId="3528211A"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Antes en México la ludopatía ni siquiera era considerado como un problema para la salud pública. Fue hasta el 2012 que la Lotería Nacional firmó un convenio con la Comisión Nacional Contra las Adicciones (</w:t>
      </w:r>
      <w:proofErr w:type="spellStart"/>
      <w:r w:rsidRPr="009C7856">
        <w:rPr>
          <w:rFonts w:ascii="Century Gothic" w:eastAsia="Arial" w:hAnsi="Century Gothic" w:cs="Arial"/>
          <w:i/>
          <w:sz w:val="24"/>
          <w:szCs w:val="24"/>
        </w:rPr>
        <w:t>Conadic</w:t>
      </w:r>
      <w:proofErr w:type="spellEnd"/>
      <w:r w:rsidRPr="009C7856">
        <w:rPr>
          <w:rFonts w:ascii="Century Gothic" w:eastAsia="Arial" w:hAnsi="Century Gothic" w:cs="Arial"/>
          <w:i/>
          <w:sz w:val="24"/>
          <w:szCs w:val="24"/>
        </w:rPr>
        <w:t>) y el Centro Nacional para la Prevención y el Control de las Adicciones (</w:t>
      </w:r>
      <w:proofErr w:type="spellStart"/>
      <w:r w:rsidRPr="009C7856">
        <w:rPr>
          <w:rFonts w:ascii="Century Gothic" w:eastAsia="Arial" w:hAnsi="Century Gothic" w:cs="Arial"/>
          <w:i/>
          <w:sz w:val="24"/>
          <w:szCs w:val="24"/>
        </w:rPr>
        <w:t>Cenadic</w:t>
      </w:r>
      <w:proofErr w:type="spellEnd"/>
      <w:r w:rsidRPr="009C7856">
        <w:rPr>
          <w:rFonts w:ascii="Century Gothic" w:eastAsia="Arial" w:hAnsi="Century Gothic" w:cs="Arial"/>
          <w:i/>
          <w:sz w:val="24"/>
          <w:szCs w:val="24"/>
        </w:rPr>
        <w:t xml:space="preserve">) para que comenzara a tratarse. Cabe mencionar que la ludopatía fue catalogada como enfermedad </w:t>
      </w:r>
      <w:r w:rsidRPr="009C7856">
        <w:rPr>
          <w:rFonts w:ascii="Century Gothic" w:eastAsia="Arial" w:hAnsi="Century Gothic" w:cs="Arial"/>
          <w:i/>
          <w:sz w:val="24"/>
          <w:szCs w:val="24"/>
        </w:rPr>
        <w:lastRenderedPageBreak/>
        <w:t>por la OMS desde 1992. Sí, decidimos hacer caso hasta 10 años después.</w:t>
      </w:r>
    </w:p>
    <w:p w14:paraId="53B47494"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0326B3BD" w14:textId="680CF233"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De acuerdo con el Centro de Atención de Ludopatía y Crecimiento Integral, en el 2017 en México ya había más de 4 millones de personas adictas al juego. Sin embargo, aún en la actualidad, las cifras sobre esta enfermedad en nuestro país no son muy claras debido a que ninguna Institución de salud la trata ni la registra como se debería.</w:t>
      </w:r>
    </w:p>
    <w:p w14:paraId="2A7F50DC"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7ECA10E1" w14:textId="4CE93ABD"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 xml:space="preserve">Se estima que en nuestro país pueden existir en torno a más de 6 millones de habitantes directamente afectados. Al impacto económico que supone el trastorno sobre el paciente y sus familiares se suma el absentismo laboral y académico, que agrava la situación. </w:t>
      </w:r>
    </w:p>
    <w:p w14:paraId="4FC47696"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28F682ED" w14:textId="714DC67C"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Es de señalar que en torno a la mitad de las personas en tratamiento por juego patológico tiene ideación suicida, y casi un 20% ha intentado suicidarse, dato que sugiere la importancia y gravedad del trastorno y que por tanto no debe tenderse a la banalización del mismo o a demorar su tratamiento por profesionales.</w:t>
      </w:r>
    </w:p>
    <w:p w14:paraId="6C4FB257"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140979F8" w14:textId="3F0635EE" w:rsidR="009C785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Aunque no se ha demostrado que exista una forma de prevenir la ludopatía, los programas educativos dirigidos a las personas y los grupos con mayor riesgo pueden resultar de utilidad.</w:t>
      </w:r>
    </w:p>
    <w:p w14:paraId="7EFCA911" w14:textId="77777777" w:rsidR="009C7856" w:rsidRDefault="009C7856" w:rsidP="009C7856">
      <w:pPr>
        <w:spacing w:after="0" w:line="240" w:lineRule="auto"/>
        <w:ind w:left="284" w:right="333"/>
        <w:jc w:val="both"/>
        <w:rPr>
          <w:rFonts w:ascii="Century Gothic" w:eastAsia="Arial" w:hAnsi="Century Gothic" w:cs="Arial"/>
          <w:i/>
          <w:sz w:val="24"/>
          <w:szCs w:val="24"/>
        </w:rPr>
      </w:pPr>
    </w:p>
    <w:p w14:paraId="089DFC5A" w14:textId="500BCD0E" w:rsidR="00A30C36" w:rsidRPr="009C7856" w:rsidRDefault="009C7856" w:rsidP="009C7856">
      <w:pPr>
        <w:spacing w:after="0" w:line="240" w:lineRule="auto"/>
        <w:ind w:left="284" w:right="333"/>
        <w:jc w:val="both"/>
        <w:rPr>
          <w:rFonts w:ascii="Century Gothic" w:eastAsia="Arial" w:hAnsi="Century Gothic" w:cs="Arial"/>
          <w:i/>
          <w:sz w:val="24"/>
          <w:szCs w:val="24"/>
        </w:rPr>
      </w:pPr>
      <w:r w:rsidRPr="009C7856">
        <w:rPr>
          <w:rFonts w:ascii="Century Gothic" w:eastAsia="Arial" w:hAnsi="Century Gothic" w:cs="Arial"/>
          <w:i/>
          <w:sz w:val="24"/>
          <w:szCs w:val="24"/>
        </w:rPr>
        <w:t>Si tienes factores de riesgo de sufrir ludopatía, considera la posibilidad de evitar las apuestas de todo tipo, las personas que apuestan y los lugares donde estas se realizan. Busca tratamiento ante el primer signo de un problema para ayudar a evitar que la ludopatía empeore</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6D104275"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 la respectiva norma local en materia de</w:t>
      </w:r>
      <w:r w:rsidR="003A165C">
        <w:rPr>
          <w:rFonts w:ascii="Century Gothic" w:eastAsia="Arial" w:hAnsi="Century Gothic" w:cs="Arial"/>
          <w:szCs w:val="24"/>
          <w:lang w:val="es-MX"/>
        </w:rPr>
        <w:t xml:space="preserve"> adicción al juego</w:t>
      </w:r>
      <w:r w:rsidR="004855C1">
        <w:rPr>
          <w:rFonts w:ascii="Century Gothic" w:eastAsia="Arial" w:hAnsi="Century Gothic" w:cs="Arial"/>
          <w:szCs w:val="24"/>
          <w:lang w:val="es-MX"/>
        </w:rPr>
        <w:t xml:space="preserve"> o ludopatía</w:t>
      </w:r>
      <w:r w:rsidR="008637D5">
        <w:rPr>
          <w:rFonts w:ascii="Century Gothic" w:eastAsia="Arial" w:hAnsi="Century Gothic" w:cs="Arial"/>
          <w:szCs w:val="24"/>
          <w:lang w:val="es-MX"/>
        </w:rPr>
        <w:t xml:space="preserve">. </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16B1EE7C" w14:textId="12078D10" w:rsidR="004855C1" w:rsidRPr="004855C1" w:rsidRDefault="001E0785" w:rsidP="004855C1">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Como antecedente al análisis de la propuesta de mérito, cabe señalar que,</w:t>
      </w:r>
      <w:r>
        <w:rPr>
          <w:rFonts w:ascii="Century Gothic" w:eastAsia="Arial" w:hAnsi="Century Gothic" w:cs="Arial"/>
          <w:color w:val="auto"/>
          <w:szCs w:val="24"/>
          <w:lang w:val="es-MX"/>
        </w:rPr>
        <w:t xml:space="preserve"> </w:t>
      </w:r>
      <w:r w:rsidR="004855C1">
        <w:rPr>
          <w:rFonts w:ascii="Century Gothic" w:eastAsia="Arial" w:hAnsi="Century Gothic" w:cs="Arial"/>
          <w:color w:val="auto"/>
          <w:szCs w:val="24"/>
          <w:lang w:val="es-MX"/>
        </w:rPr>
        <w:t>l</w:t>
      </w:r>
      <w:r w:rsidR="004855C1" w:rsidRPr="004855C1">
        <w:rPr>
          <w:rFonts w:ascii="Century Gothic" w:eastAsia="Arial" w:hAnsi="Century Gothic" w:cs="Arial"/>
          <w:color w:val="auto"/>
          <w:szCs w:val="24"/>
          <w:lang w:val="es-MX"/>
        </w:rPr>
        <w:t xml:space="preserve">a primera vez que la enfermedad </w:t>
      </w:r>
      <w:r w:rsidR="002B4062">
        <w:rPr>
          <w:rFonts w:ascii="Century Gothic" w:eastAsia="Arial" w:hAnsi="Century Gothic" w:cs="Arial"/>
          <w:color w:val="auto"/>
          <w:szCs w:val="24"/>
          <w:lang w:val="es-MX"/>
        </w:rPr>
        <w:t xml:space="preserve">referida </w:t>
      </w:r>
      <w:r w:rsidR="004855C1" w:rsidRPr="004855C1">
        <w:rPr>
          <w:rFonts w:ascii="Century Gothic" w:eastAsia="Arial" w:hAnsi="Century Gothic" w:cs="Arial"/>
          <w:color w:val="auto"/>
          <w:szCs w:val="24"/>
          <w:lang w:val="es-MX"/>
        </w:rPr>
        <w:t>fue reconocida</w:t>
      </w:r>
      <w:r w:rsidR="002B4062">
        <w:rPr>
          <w:rFonts w:ascii="Century Gothic" w:eastAsia="Arial" w:hAnsi="Century Gothic" w:cs="Arial"/>
          <w:color w:val="auto"/>
          <w:szCs w:val="24"/>
          <w:lang w:val="es-MX"/>
        </w:rPr>
        <w:t>,</w:t>
      </w:r>
      <w:r w:rsidR="003B22F4">
        <w:rPr>
          <w:rFonts w:ascii="Century Gothic" w:eastAsia="Arial" w:hAnsi="Century Gothic" w:cs="Arial"/>
          <w:color w:val="auto"/>
          <w:szCs w:val="24"/>
          <w:lang w:val="es-MX"/>
        </w:rPr>
        <w:t xml:space="preserve"> se le llamó</w:t>
      </w:r>
      <w:r w:rsidR="004855C1" w:rsidRPr="004855C1">
        <w:rPr>
          <w:rFonts w:ascii="Century Gothic" w:eastAsia="Arial" w:hAnsi="Century Gothic" w:cs="Arial"/>
          <w:color w:val="auto"/>
          <w:szCs w:val="24"/>
          <w:lang w:val="es-MX"/>
        </w:rPr>
        <w:t xml:space="preserve"> </w:t>
      </w:r>
      <w:r w:rsidR="004855C1">
        <w:rPr>
          <w:rFonts w:ascii="Century Gothic" w:eastAsia="Arial" w:hAnsi="Century Gothic" w:cs="Arial"/>
          <w:color w:val="auto"/>
          <w:szCs w:val="24"/>
          <w:lang w:val="es-MX"/>
        </w:rPr>
        <w:t>“</w:t>
      </w:r>
      <w:r w:rsidR="004855C1" w:rsidRPr="002B4062">
        <w:rPr>
          <w:rFonts w:ascii="Century Gothic" w:eastAsia="Arial" w:hAnsi="Century Gothic" w:cs="Arial"/>
          <w:i/>
          <w:iCs/>
          <w:color w:val="auto"/>
          <w:szCs w:val="24"/>
          <w:lang w:val="es-MX"/>
        </w:rPr>
        <w:t>Juego Patológico</w:t>
      </w:r>
      <w:r w:rsidR="004855C1">
        <w:rPr>
          <w:rFonts w:ascii="Century Gothic" w:eastAsia="Arial" w:hAnsi="Century Gothic" w:cs="Arial"/>
          <w:color w:val="auto"/>
          <w:szCs w:val="24"/>
          <w:lang w:val="es-MX"/>
        </w:rPr>
        <w:t>”</w:t>
      </w:r>
      <w:r w:rsidR="004855C1" w:rsidRPr="004855C1">
        <w:rPr>
          <w:rFonts w:ascii="Century Gothic" w:eastAsia="Arial" w:hAnsi="Century Gothic" w:cs="Arial"/>
          <w:color w:val="auto"/>
          <w:szCs w:val="24"/>
          <w:lang w:val="es-MX"/>
        </w:rPr>
        <w:t xml:space="preserve"> y fue establecida en el Manual Diagnóstico y Estadístico de la Asociación de Psiquiatría Americana</w:t>
      </w:r>
      <w:r w:rsidR="003B22F4">
        <w:rPr>
          <w:rFonts w:ascii="Century Gothic" w:eastAsia="Arial" w:hAnsi="Century Gothic" w:cs="Arial"/>
          <w:color w:val="auto"/>
          <w:szCs w:val="24"/>
          <w:lang w:val="es-MX"/>
        </w:rPr>
        <w:t xml:space="preserve"> </w:t>
      </w:r>
      <w:r w:rsidR="002B4062">
        <w:rPr>
          <w:rFonts w:ascii="Century Gothic" w:eastAsia="Arial" w:hAnsi="Century Gothic" w:cs="Arial"/>
          <w:color w:val="auto"/>
          <w:szCs w:val="24"/>
          <w:lang w:val="es-MX"/>
        </w:rPr>
        <w:t xml:space="preserve">en 1980 como </w:t>
      </w:r>
      <w:r w:rsidR="004855C1" w:rsidRPr="004855C1">
        <w:rPr>
          <w:rFonts w:ascii="Century Gothic" w:eastAsia="Arial" w:hAnsi="Century Gothic" w:cs="Arial"/>
          <w:color w:val="auto"/>
          <w:szCs w:val="24"/>
          <w:lang w:val="es-MX"/>
        </w:rPr>
        <w:t>una persistencia y un recurrente comportamiento adaptativo de apostar que desbarata entornos familiares, personales y vocacionales</w:t>
      </w:r>
      <w:r w:rsidR="002B4062">
        <w:rPr>
          <w:rFonts w:ascii="Century Gothic" w:eastAsia="Arial" w:hAnsi="Century Gothic" w:cs="Arial"/>
          <w:color w:val="auto"/>
          <w:szCs w:val="24"/>
          <w:lang w:val="es-MX"/>
        </w:rPr>
        <w:t xml:space="preserve">. </w:t>
      </w:r>
    </w:p>
    <w:p w14:paraId="02288AA7" w14:textId="685BD493" w:rsidR="002B4062" w:rsidRDefault="002B4062" w:rsidP="004855C1">
      <w:pPr>
        <w:pStyle w:val="Normal1"/>
        <w:spacing w:line="360" w:lineRule="auto"/>
        <w:contextualSpacing/>
        <w:jc w:val="both"/>
        <w:rPr>
          <w:rFonts w:ascii="Century Gothic" w:eastAsia="Arial" w:hAnsi="Century Gothic" w:cs="Arial"/>
          <w:color w:val="auto"/>
          <w:szCs w:val="24"/>
          <w:lang w:val="es-MX"/>
        </w:rPr>
      </w:pPr>
    </w:p>
    <w:p w14:paraId="25F6F62E" w14:textId="2F172F28" w:rsidR="002B4062" w:rsidRDefault="002B4062" w:rsidP="002B4062">
      <w:pPr>
        <w:pStyle w:val="Normal1"/>
        <w:spacing w:line="360" w:lineRule="auto"/>
        <w:contextualSpacing/>
        <w:jc w:val="both"/>
        <w:rPr>
          <w:rFonts w:ascii="Century Gothic" w:eastAsia="Arial" w:hAnsi="Century Gothic" w:cs="Arial"/>
          <w:color w:val="auto"/>
          <w:szCs w:val="24"/>
          <w:lang w:val="es-MX"/>
        </w:rPr>
      </w:pPr>
      <w:r w:rsidRPr="002B4062">
        <w:rPr>
          <w:rFonts w:ascii="Century Gothic" w:eastAsia="Arial" w:hAnsi="Century Gothic" w:cs="Arial"/>
          <w:color w:val="auto"/>
          <w:szCs w:val="24"/>
          <w:lang w:val="es-MX"/>
        </w:rPr>
        <w:t>De forma posterior, en 1992, la</w:t>
      </w:r>
      <w:r>
        <w:rPr>
          <w:rFonts w:ascii="Century Gothic" w:eastAsia="Arial" w:hAnsi="Century Gothic" w:cs="Arial"/>
          <w:color w:val="auto"/>
          <w:szCs w:val="24"/>
          <w:lang w:val="es-MX"/>
        </w:rPr>
        <w:t xml:space="preserve"> </w:t>
      </w:r>
      <w:r w:rsidRPr="002B4062">
        <w:rPr>
          <w:rFonts w:ascii="Century Gothic" w:eastAsia="Arial" w:hAnsi="Century Gothic" w:cs="Arial"/>
          <w:color w:val="auto"/>
          <w:szCs w:val="24"/>
          <w:lang w:val="es-MX"/>
        </w:rPr>
        <w:t>Organización Mundial de la Salud incluyó a la ludopatía en la Clasificación</w:t>
      </w:r>
      <w:r>
        <w:rPr>
          <w:rFonts w:ascii="Century Gothic" w:eastAsia="Arial" w:hAnsi="Century Gothic" w:cs="Arial"/>
          <w:color w:val="auto"/>
          <w:szCs w:val="24"/>
          <w:lang w:val="es-MX"/>
        </w:rPr>
        <w:t xml:space="preserve"> </w:t>
      </w:r>
      <w:r w:rsidRPr="002B4062">
        <w:rPr>
          <w:rFonts w:ascii="Century Gothic" w:eastAsia="Arial" w:hAnsi="Century Gothic" w:cs="Arial"/>
          <w:color w:val="auto"/>
          <w:szCs w:val="24"/>
          <w:lang w:val="es-MX"/>
        </w:rPr>
        <w:t xml:space="preserve">Internacional de Enfermedades, </w:t>
      </w:r>
      <w:r>
        <w:rPr>
          <w:rFonts w:ascii="Century Gothic" w:eastAsia="Arial" w:hAnsi="Century Gothic" w:cs="Arial"/>
          <w:color w:val="auto"/>
          <w:szCs w:val="24"/>
          <w:lang w:val="es-MX"/>
        </w:rPr>
        <w:t xml:space="preserve">registrándola </w:t>
      </w:r>
      <w:r w:rsidRPr="002B4062">
        <w:rPr>
          <w:rFonts w:ascii="Century Gothic" w:eastAsia="Arial" w:hAnsi="Century Gothic" w:cs="Arial"/>
          <w:color w:val="auto"/>
          <w:szCs w:val="24"/>
          <w:lang w:val="es-MX"/>
        </w:rPr>
        <w:t>como un trastorno de</w:t>
      </w:r>
      <w:r>
        <w:rPr>
          <w:rFonts w:ascii="Century Gothic" w:eastAsia="Arial" w:hAnsi="Century Gothic" w:cs="Arial"/>
          <w:color w:val="auto"/>
          <w:szCs w:val="24"/>
          <w:lang w:val="es-MX"/>
        </w:rPr>
        <w:t xml:space="preserve"> </w:t>
      </w:r>
      <w:r w:rsidRPr="002B4062">
        <w:rPr>
          <w:rFonts w:ascii="Century Gothic" w:eastAsia="Arial" w:hAnsi="Century Gothic" w:cs="Arial"/>
          <w:color w:val="auto"/>
          <w:szCs w:val="24"/>
          <w:lang w:val="es-MX"/>
        </w:rPr>
        <w:t>hábito o impulso consistente en episodios frecuentes y repetidos de juego</w:t>
      </w:r>
      <w:r>
        <w:rPr>
          <w:rFonts w:ascii="Century Gothic" w:eastAsia="Arial" w:hAnsi="Century Gothic" w:cs="Arial"/>
          <w:color w:val="auto"/>
          <w:szCs w:val="24"/>
          <w:lang w:val="es-MX"/>
        </w:rPr>
        <w:t xml:space="preserve"> </w:t>
      </w:r>
      <w:r w:rsidRPr="002B4062">
        <w:rPr>
          <w:rFonts w:ascii="Century Gothic" w:eastAsia="Arial" w:hAnsi="Century Gothic" w:cs="Arial"/>
          <w:color w:val="auto"/>
          <w:szCs w:val="24"/>
          <w:lang w:val="es-MX"/>
        </w:rPr>
        <w:t>que dominan la vida de</w:t>
      </w:r>
      <w:r w:rsidR="00FA401B">
        <w:rPr>
          <w:rFonts w:ascii="Century Gothic" w:eastAsia="Arial" w:hAnsi="Century Gothic" w:cs="Arial"/>
          <w:color w:val="auto"/>
          <w:szCs w:val="24"/>
          <w:lang w:val="es-MX"/>
        </w:rPr>
        <w:t xml:space="preserve"> </w:t>
      </w:r>
      <w:r w:rsidRPr="002B4062">
        <w:rPr>
          <w:rFonts w:ascii="Century Gothic" w:eastAsia="Arial" w:hAnsi="Century Gothic" w:cs="Arial"/>
          <w:color w:val="auto"/>
          <w:szCs w:val="24"/>
          <w:lang w:val="es-MX"/>
        </w:rPr>
        <w:t>l</w:t>
      </w:r>
      <w:r w:rsidR="00FA401B">
        <w:rPr>
          <w:rFonts w:ascii="Century Gothic" w:eastAsia="Arial" w:hAnsi="Century Gothic" w:cs="Arial"/>
          <w:color w:val="auto"/>
          <w:szCs w:val="24"/>
          <w:lang w:val="es-MX"/>
        </w:rPr>
        <w:t>a persona</w:t>
      </w:r>
      <w:r w:rsidRPr="002B4062">
        <w:rPr>
          <w:rFonts w:ascii="Century Gothic" w:eastAsia="Arial" w:hAnsi="Century Gothic" w:cs="Arial"/>
          <w:color w:val="auto"/>
          <w:szCs w:val="24"/>
          <w:lang w:val="es-MX"/>
        </w:rPr>
        <w:t xml:space="preserve"> paciente</w:t>
      </w:r>
      <w:r w:rsidR="00FA401B">
        <w:rPr>
          <w:rFonts w:ascii="Century Gothic" w:eastAsia="Arial" w:hAnsi="Century Gothic" w:cs="Arial"/>
          <w:color w:val="auto"/>
          <w:szCs w:val="24"/>
          <w:lang w:val="es-MX"/>
        </w:rPr>
        <w:t>,</w:t>
      </w:r>
      <w:r w:rsidRPr="002B4062">
        <w:rPr>
          <w:rFonts w:ascii="Century Gothic" w:eastAsia="Arial" w:hAnsi="Century Gothic" w:cs="Arial"/>
          <w:color w:val="auto"/>
          <w:szCs w:val="24"/>
          <w:lang w:val="es-MX"/>
        </w:rPr>
        <w:t xml:space="preserve"> en detrimento de sus lazos y valores</w:t>
      </w:r>
      <w:r>
        <w:rPr>
          <w:rFonts w:ascii="Century Gothic" w:eastAsia="Arial" w:hAnsi="Century Gothic" w:cs="Arial"/>
          <w:color w:val="auto"/>
          <w:szCs w:val="24"/>
          <w:lang w:val="es-MX"/>
        </w:rPr>
        <w:t xml:space="preserve"> </w:t>
      </w:r>
      <w:r w:rsidRPr="002B4062">
        <w:rPr>
          <w:rFonts w:ascii="Century Gothic" w:eastAsia="Arial" w:hAnsi="Century Gothic" w:cs="Arial"/>
          <w:color w:val="auto"/>
          <w:szCs w:val="24"/>
          <w:lang w:val="es-MX"/>
        </w:rPr>
        <w:t>sociales, ocupacionales, materiales y familiares</w:t>
      </w:r>
      <w:r>
        <w:rPr>
          <w:rFonts w:ascii="Century Gothic" w:eastAsia="Arial" w:hAnsi="Century Gothic" w:cs="Arial"/>
          <w:color w:val="auto"/>
          <w:szCs w:val="24"/>
          <w:lang w:val="es-MX"/>
        </w:rPr>
        <w:t>.</w:t>
      </w:r>
    </w:p>
    <w:p w14:paraId="560B877C" w14:textId="77777777" w:rsidR="004855C1" w:rsidRDefault="004855C1" w:rsidP="00BA16F1">
      <w:pPr>
        <w:pStyle w:val="Normal1"/>
        <w:spacing w:line="360" w:lineRule="auto"/>
        <w:contextualSpacing/>
        <w:jc w:val="both"/>
        <w:rPr>
          <w:rFonts w:ascii="Century Gothic" w:eastAsia="Arial" w:hAnsi="Century Gothic" w:cs="Arial"/>
          <w:color w:val="auto"/>
          <w:szCs w:val="24"/>
          <w:lang w:val="es-MX"/>
        </w:rPr>
      </w:pPr>
    </w:p>
    <w:p w14:paraId="0E90FAE0" w14:textId="7EC4E15D" w:rsidR="00EE5F54" w:rsidRPr="00EE5F54" w:rsidRDefault="00BA16F1" w:rsidP="00BA16F1">
      <w:pPr>
        <w:pStyle w:val="Normal1"/>
        <w:spacing w:line="360" w:lineRule="auto"/>
        <w:contextualSpacing/>
        <w:jc w:val="both"/>
        <w:rPr>
          <w:rFonts w:ascii="Century Gothic" w:eastAsia="Arial" w:hAnsi="Century Gothic" w:cs="Arial"/>
          <w:color w:val="auto"/>
          <w:szCs w:val="24"/>
          <w:lang w:val="es-MX"/>
        </w:rPr>
      </w:pPr>
      <w:r w:rsidRPr="00BA16F1">
        <w:rPr>
          <w:rFonts w:ascii="Century Gothic" w:eastAsia="Arial" w:hAnsi="Century Gothic" w:cs="Arial"/>
          <w:color w:val="auto"/>
          <w:szCs w:val="24"/>
          <w:lang w:val="es-MX"/>
        </w:rPr>
        <w:t>En años recientes</w:t>
      </w:r>
      <w:r w:rsidR="002B4062">
        <w:rPr>
          <w:rFonts w:ascii="Century Gothic" w:eastAsia="Arial" w:hAnsi="Century Gothic" w:cs="Arial"/>
          <w:color w:val="auto"/>
          <w:szCs w:val="24"/>
          <w:lang w:val="es-MX"/>
        </w:rPr>
        <w:t>,</w:t>
      </w:r>
      <w:r w:rsidRPr="00BA16F1">
        <w:rPr>
          <w:rFonts w:ascii="Century Gothic" w:eastAsia="Arial" w:hAnsi="Century Gothic" w:cs="Arial"/>
          <w:color w:val="auto"/>
          <w:szCs w:val="24"/>
          <w:lang w:val="es-MX"/>
        </w:rPr>
        <w:t xml:space="preserve"> </w:t>
      </w:r>
      <w:r w:rsidR="002B4062">
        <w:rPr>
          <w:rFonts w:ascii="Century Gothic" w:eastAsia="Arial" w:hAnsi="Century Gothic" w:cs="Arial"/>
          <w:color w:val="auto"/>
          <w:szCs w:val="24"/>
          <w:lang w:val="es-MX"/>
        </w:rPr>
        <w:t>la ludopatía</w:t>
      </w:r>
      <w:r w:rsidRPr="00BA16F1">
        <w:rPr>
          <w:rFonts w:ascii="Century Gothic" w:eastAsia="Arial" w:hAnsi="Century Gothic" w:cs="Arial"/>
          <w:color w:val="auto"/>
          <w:szCs w:val="24"/>
          <w:lang w:val="es-MX"/>
        </w:rPr>
        <w:t xml:space="preserve"> se ha convertido en un problema de relevancia social, con una clara</w:t>
      </w:r>
      <w:r>
        <w:rPr>
          <w:rFonts w:ascii="Century Gothic" w:eastAsia="Arial" w:hAnsi="Century Gothic" w:cs="Arial"/>
          <w:color w:val="auto"/>
          <w:szCs w:val="24"/>
          <w:lang w:val="es-MX"/>
        </w:rPr>
        <w:t xml:space="preserve"> </w:t>
      </w:r>
      <w:r w:rsidRPr="00BA16F1">
        <w:rPr>
          <w:rFonts w:ascii="Century Gothic" w:eastAsia="Arial" w:hAnsi="Century Gothic" w:cs="Arial"/>
          <w:color w:val="auto"/>
          <w:szCs w:val="24"/>
          <w:lang w:val="es-MX"/>
        </w:rPr>
        <w:t>repercusión clínica entre quienes lo presentan. D</w:t>
      </w:r>
      <w:r w:rsidR="003B22F4">
        <w:rPr>
          <w:rFonts w:ascii="Century Gothic" w:eastAsia="Arial" w:hAnsi="Century Gothic" w:cs="Arial"/>
          <w:color w:val="auto"/>
          <w:szCs w:val="24"/>
          <w:lang w:val="es-MX"/>
        </w:rPr>
        <w:t>esde que se ha identificado</w:t>
      </w:r>
      <w:r w:rsidRPr="00BA16F1">
        <w:rPr>
          <w:rFonts w:ascii="Century Gothic" w:eastAsia="Arial" w:hAnsi="Century Gothic" w:cs="Arial"/>
          <w:color w:val="auto"/>
          <w:szCs w:val="24"/>
          <w:lang w:val="es-MX"/>
        </w:rPr>
        <w:t xml:space="preserve"> como un problema de salud,</w:t>
      </w:r>
      <w:r w:rsidR="003B22F4">
        <w:rPr>
          <w:rFonts w:ascii="Century Gothic" w:eastAsia="Arial" w:hAnsi="Century Gothic" w:cs="Arial"/>
          <w:color w:val="auto"/>
          <w:szCs w:val="24"/>
          <w:lang w:val="es-MX"/>
        </w:rPr>
        <w:t xml:space="preserve"> </w:t>
      </w:r>
      <w:r w:rsidRPr="00BA16F1">
        <w:rPr>
          <w:rFonts w:ascii="Century Gothic" w:eastAsia="Arial" w:hAnsi="Century Gothic" w:cs="Arial"/>
          <w:color w:val="auto"/>
          <w:szCs w:val="24"/>
          <w:lang w:val="es-MX"/>
        </w:rPr>
        <w:t xml:space="preserve">se han realizado estudios para conocer sus características clínicas, su </w:t>
      </w:r>
      <w:r w:rsidRPr="00BA16F1">
        <w:rPr>
          <w:rFonts w:ascii="Century Gothic" w:eastAsia="Arial" w:hAnsi="Century Gothic" w:cs="Arial"/>
          <w:color w:val="auto"/>
          <w:szCs w:val="24"/>
          <w:lang w:val="es-MX"/>
        </w:rPr>
        <w:lastRenderedPageBreak/>
        <w:t>prevalencia y consecuencias negativas en</w:t>
      </w:r>
      <w:r>
        <w:rPr>
          <w:rFonts w:ascii="Century Gothic" w:eastAsia="Arial" w:hAnsi="Century Gothic" w:cs="Arial"/>
          <w:color w:val="auto"/>
          <w:szCs w:val="24"/>
          <w:lang w:val="es-MX"/>
        </w:rPr>
        <w:t xml:space="preserve"> </w:t>
      </w:r>
      <w:r w:rsidRPr="00BA16F1">
        <w:rPr>
          <w:rFonts w:ascii="Century Gothic" w:eastAsia="Arial" w:hAnsi="Century Gothic" w:cs="Arial"/>
          <w:color w:val="auto"/>
          <w:szCs w:val="24"/>
          <w:lang w:val="es-MX"/>
        </w:rPr>
        <w:t>la población, así como las mejores prácticas en torno a su prevención y atención.</w:t>
      </w:r>
    </w:p>
    <w:p w14:paraId="1ACB22DC" w14:textId="77777777"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21EF08C1" w14:textId="6C8948C9" w:rsidR="00CF4561" w:rsidRDefault="00D91B69" w:rsidP="001E0785">
      <w:pPr>
        <w:pStyle w:val="Normal1"/>
        <w:spacing w:line="360" w:lineRule="auto"/>
        <w:contextualSpacing/>
        <w:jc w:val="both"/>
        <w:rPr>
          <w:rFonts w:ascii="Century Gothic" w:eastAsia="Arial" w:hAnsi="Century Gothic" w:cs="Arial"/>
          <w:color w:val="auto"/>
          <w:szCs w:val="24"/>
          <w:lang w:val="es-MX"/>
        </w:rPr>
      </w:pPr>
      <w:r w:rsidRPr="00D91B69">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Para el ejercicio de</w:t>
      </w:r>
      <w:r w:rsidR="00BD0C35">
        <w:rPr>
          <w:rFonts w:ascii="Century Gothic" w:eastAsia="Arial" w:hAnsi="Century Gothic" w:cs="Arial"/>
          <w:color w:val="auto"/>
          <w:szCs w:val="24"/>
          <w:lang w:val="es-MX"/>
        </w:rPr>
        <w:t>l</w:t>
      </w:r>
      <w:r w:rsidR="00CF4561">
        <w:rPr>
          <w:rFonts w:ascii="Century Gothic" w:eastAsia="Arial" w:hAnsi="Century Gothic" w:cs="Arial"/>
          <w:color w:val="auto"/>
          <w:szCs w:val="24"/>
          <w:lang w:val="es-MX"/>
        </w:rPr>
        <w:t xml:space="preserve"> análisis correspondiente a la iniciativa que se dictamina, </w:t>
      </w:r>
      <w:r w:rsidR="000852EF">
        <w:rPr>
          <w:rFonts w:ascii="Century Gothic" w:eastAsia="Arial" w:hAnsi="Century Gothic" w:cs="Arial"/>
          <w:color w:val="auto"/>
          <w:szCs w:val="24"/>
          <w:lang w:val="es-MX"/>
        </w:rPr>
        <w:t xml:space="preserve">conviene destacar </w:t>
      </w:r>
      <w:r w:rsidR="004322FE">
        <w:rPr>
          <w:rFonts w:ascii="Century Gothic" w:eastAsia="Arial" w:hAnsi="Century Gothic" w:cs="Arial"/>
          <w:color w:val="auto"/>
          <w:szCs w:val="24"/>
          <w:lang w:val="es-MX"/>
        </w:rPr>
        <w:t xml:space="preserve">que con base en el artículo 4º de la </w:t>
      </w:r>
      <w:r w:rsidR="004322FE" w:rsidRPr="004322FE">
        <w:rPr>
          <w:rFonts w:ascii="Century Gothic" w:eastAsia="Arial" w:hAnsi="Century Gothic" w:cs="Arial"/>
          <w:b/>
          <w:bCs/>
          <w:color w:val="auto"/>
          <w:szCs w:val="24"/>
          <w:lang w:val="es-MX"/>
        </w:rPr>
        <w:t>Constitución Política de los Estados Unidos Mexicanos</w:t>
      </w:r>
      <w:r w:rsidR="00DB29F8">
        <w:rPr>
          <w:rFonts w:ascii="Century Gothic" w:eastAsia="Arial" w:hAnsi="Century Gothic" w:cs="Arial"/>
          <w:b/>
          <w:bCs/>
          <w:color w:val="auto"/>
          <w:szCs w:val="24"/>
          <w:lang w:val="es-MX"/>
        </w:rPr>
        <w:t>,</w:t>
      </w:r>
      <w:r w:rsidR="004322FE">
        <w:rPr>
          <w:rStyle w:val="Refdenotaalpie"/>
          <w:rFonts w:ascii="Century Gothic" w:eastAsia="Arial" w:hAnsi="Century Gothic" w:cs="Arial"/>
          <w:b/>
          <w:bCs/>
          <w:color w:val="auto"/>
          <w:szCs w:val="24"/>
          <w:lang w:val="es-MX"/>
        </w:rPr>
        <w:footnoteReference w:id="1"/>
      </w:r>
      <w:r w:rsidR="004322FE">
        <w:rPr>
          <w:rFonts w:ascii="Century Gothic" w:eastAsia="Arial" w:hAnsi="Century Gothic" w:cs="Arial"/>
          <w:color w:val="auto"/>
          <w:szCs w:val="24"/>
          <w:lang w:val="es-MX"/>
        </w:rPr>
        <w:t xml:space="preserve"> </w:t>
      </w:r>
      <w:r w:rsidR="004322FE" w:rsidRPr="00E02A68">
        <w:rPr>
          <w:rFonts w:ascii="Century Gothic" w:eastAsia="Arial" w:hAnsi="Century Gothic" w:cs="Arial"/>
          <w:color w:val="auto"/>
          <w:szCs w:val="24"/>
          <w:lang w:val="es-MX"/>
        </w:rPr>
        <w:t>por el que se establece el derecho de todas las personas a</w:t>
      </w:r>
      <w:r w:rsidR="004322FE">
        <w:rPr>
          <w:rFonts w:ascii="Century Gothic" w:eastAsia="Arial" w:hAnsi="Century Gothic" w:cs="Arial"/>
          <w:color w:val="auto"/>
          <w:szCs w:val="24"/>
          <w:lang w:val="es-MX"/>
        </w:rPr>
        <w:t xml:space="preserve"> </w:t>
      </w:r>
      <w:r w:rsidR="004322FE" w:rsidRPr="00E02A68">
        <w:rPr>
          <w:rFonts w:ascii="Century Gothic" w:eastAsia="Arial" w:hAnsi="Century Gothic" w:cs="Arial"/>
          <w:color w:val="auto"/>
          <w:szCs w:val="24"/>
          <w:lang w:val="es-MX"/>
        </w:rPr>
        <w:t>la protección de la salud</w:t>
      </w:r>
      <w:r w:rsidR="004322FE">
        <w:rPr>
          <w:rFonts w:ascii="Century Gothic" w:eastAsia="Arial" w:hAnsi="Century Gothic" w:cs="Arial"/>
          <w:color w:val="auto"/>
          <w:szCs w:val="24"/>
          <w:lang w:val="es-MX"/>
        </w:rPr>
        <w:t xml:space="preserve">, </w:t>
      </w:r>
      <w:r w:rsidR="00DB29F8">
        <w:rPr>
          <w:rFonts w:ascii="Century Gothic" w:eastAsia="Arial" w:hAnsi="Century Gothic" w:cs="Arial"/>
          <w:color w:val="auto"/>
          <w:szCs w:val="24"/>
          <w:lang w:val="es-MX"/>
        </w:rPr>
        <w:t xml:space="preserve">podemos afirmar que </w:t>
      </w:r>
      <w:r w:rsidR="004322FE">
        <w:rPr>
          <w:rFonts w:ascii="Century Gothic" w:eastAsia="Arial" w:hAnsi="Century Gothic" w:cs="Arial"/>
          <w:color w:val="auto"/>
          <w:szCs w:val="24"/>
          <w:lang w:val="es-MX"/>
        </w:rPr>
        <w:t>la ludopatía, debido a su impacto social, tiene que ser atendida por el Estado como un asunto de salud pública</w:t>
      </w:r>
      <w:r w:rsidR="00FA2C89">
        <w:rPr>
          <w:rFonts w:ascii="Century Gothic" w:eastAsia="Arial" w:hAnsi="Century Gothic" w:cs="Arial"/>
          <w:color w:val="auto"/>
          <w:szCs w:val="24"/>
          <w:lang w:val="es-MX"/>
        </w:rPr>
        <w:t xml:space="preserve">. </w:t>
      </w:r>
    </w:p>
    <w:p w14:paraId="628E2331" w14:textId="01E8FB87" w:rsidR="00FA2C89" w:rsidRDefault="00FA2C89" w:rsidP="001E0785">
      <w:pPr>
        <w:pStyle w:val="Normal1"/>
        <w:spacing w:line="360" w:lineRule="auto"/>
        <w:contextualSpacing/>
        <w:jc w:val="both"/>
        <w:rPr>
          <w:rFonts w:ascii="Century Gothic" w:eastAsia="Arial" w:hAnsi="Century Gothic" w:cs="Arial"/>
          <w:color w:val="auto"/>
          <w:szCs w:val="24"/>
          <w:lang w:val="es-MX"/>
        </w:rPr>
      </w:pPr>
    </w:p>
    <w:p w14:paraId="62060CA8" w14:textId="57463405" w:rsidR="00FA2C89" w:rsidRDefault="00EE5BF8"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d</w:t>
      </w:r>
      <w:r w:rsidR="00FA2C89">
        <w:rPr>
          <w:rFonts w:ascii="Century Gothic" w:eastAsia="Arial" w:hAnsi="Century Gothic" w:cs="Arial"/>
          <w:color w:val="auto"/>
          <w:szCs w:val="24"/>
          <w:lang w:val="es-MX"/>
        </w:rPr>
        <w:t xml:space="preserve">estacamos la corresponsabilidad en la materia entre la federación y las entidades federativas </w:t>
      </w:r>
      <w:r>
        <w:rPr>
          <w:rFonts w:ascii="Century Gothic" w:eastAsia="Arial" w:hAnsi="Century Gothic" w:cs="Arial"/>
          <w:color w:val="auto"/>
          <w:szCs w:val="24"/>
          <w:lang w:val="es-MX"/>
        </w:rPr>
        <w:t xml:space="preserve">establecida en el artículo 13, apartado C de la </w:t>
      </w:r>
      <w:r w:rsidRPr="00DB29F8">
        <w:rPr>
          <w:rFonts w:ascii="Century Gothic" w:eastAsia="Arial" w:hAnsi="Century Gothic" w:cs="Arial"/>
          <w:b/>
          <w:bCs/>
          <w:color w:val="auto"/>
          <w:szCs w:val="24"/>
          <w:lang w:val="es-MX"/>
        </w:rPr>
        <w:t>Ley General de Salud</w:t>
      </w:r>
      <w:r w:rsidR="00DB29F8">
        <w:rPr>
          <w:rFonts w:ascii="Century Gothic" w:eastAsia="Arial" w:hAnsi="Century Gothic" w:cs="Arial"/>
          <w:b/>
          <w:bCs/>
          <w:color w:val="auto"/>
          <w:szCs w:val="24"/>
          <w:lang w:val="es-MX"/>
        </w:rPr>
        <w:t>,</w:t>
      </w:r>
      <w:r w:rsidR="00DB29F8">
        <w:rPr>
          <w:rStyle w:val="Refdenotaalpie"/>
          <w:rFonts w:ascii="Century Gothic" w:eastAsia="Arial" w:hAnsi="Century Gothic" w:cs="Arial"/>
          <w:color w:val="auto"/>
          <w:szCs w:val="24"/>
          <w:lang w:val="es-MX"/>
        </w:rPr>
        <w:footnoteReference w:id="2"/>
      </w:r>
      <w:r w:rsidR="00DB29F8">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 que a la letra dice:</w:t>
      </w:r>
    </w:p>
    <w:p w14:paraId="4021D581" w14:textId="6D088968" w:rsidR="00EE5BF8" w:rsidRDefault="00EE5BF8" w:rsidP="001E0785">
      <w:pPr>
        <w:pStyle w:val="Normal1"/>
        <w:spacing w:line="360" w:lineRule="auto"/>
        <w:contextualSpacing/>
        <w:jc w:val="both"/>
        <w:rPr>
          <w:rFonts w:ascii="Century Gothic" w:eastAsia="Arial" w:hAnsi="Century Gothic" w:cs="Arial"/>
          <w:color w:val="auto"/>
          <w:szCs w:val="24"/>
          <w:lang w:val="es-MX"/>
        </w:rPr>
      </w:pPr>
    </w:p>
    <w:p w14:paraId="7B8C48EC" w14:textId="4C56B310" w:rsidR="00EE5BF8" w:rsidRPr="00EE5BF8" w:rsidRDefault="00EE5BF8" w:rsidP="00EE5BF8">
      <w:pPr>
        <w:pStyle w:val="Normal1"/>
        <w:spacing w:line="360" w:lineRule="auto"/>
        <w:ind w:left="851"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EE5BF8">
        <w:rPr>
          <w:rFonts w:ascii="Century Gothic" w:eastAsia="Arial" w:hAnsi="Century Gothic" w:cs="Arial"/>
          <w:i/>
          <w:iCs/>
          <w:color w:val="auto"/>
          <w:szCs w:val="24"/>
          <w:lang w:val="es-MX"/>
        </w:rPr>
        <w:t>Artículo 13. La competencia entre la Federación y las entidades federativas en materia de salubridad general quedará distribuida conforme a lo siguiente:</w:t>
      </w:r>
    </w:p>
    <w:p w14:paraId="4CC3C179" w14:textId="0CE22D8E" w:rsidR="00EE5BF8" w:rsidRPr="00EE5BF8" w:rsidRDefault="00EE5BF8" w:rsidP="00EE5BF8">
      <w:pPr>
        <w:pStyle w:val="Normal1"/>
        <w:spacing w:line="360" w:lineRule="auto"/>
        <w:ind w:left="851" w:right="758"/>
        <w:contextualSpacing/>
        <w:jc w:val="both"/>
        <w:rPr>
          <w:rFonts w:ascii="Century Gothic" w:eastAsia="Arial" w:hAnsi="Century Gothic" w:cs="Arial"/>
          <w:i/>
          <w:iCs/>
          <w:color w:val="auto"/>
          <w:szCs w:val="24"/>
          <w:lang w:val="es-MX"/>
        </w:rPr>
      </w:pPr>
    </w:p>
    <w:p w14:paraId="61CE0536" w14:textId="0DFAACAD" w:rsidR="000C664B" w:rsidRDefault="00EE5BF8" w:rsidP="000C664B">
      <w:pPr>
        <w:pStyle w:val="Normal1"/>
        <w:spacing w:line="360" w:lineRule="auto"/>
        <w:ind w:left="851" w:right="758"/>
        <w:contextualSpacing/>
        <w:jc w:val="both"/>
        <w:rPr>
          <w:rFonts w:ascii="Century Gothic" w:eastAsia="Arial" w:hAnsi="Century Gothic" w:cs="Arial"/>
          <w:color w:val="auto"/>
          <w:szCs w:val="24"/>
          <w:lang w:val="es-MX"/>
        </w:rPr>
      </w:pPr>
      <w:r w:rsidRPr="00EE5BF8">
        <w:rPr>
          <w:rFonts w:ascii="Century Gothic" w:eastAsia="Arial" w:hAnsi="Century Gothic" w:cs="Arial"/>
          <w:i/>
          <w:iCs/>
          <w:color w:val="auto"/>
          <w:szCs w:val="24"/>
          <w:lang w:val="es-MX"/>
        </w:rPr>
        <w:t xml:space="preserve">C. Corresponde a la Federación y a las entidades federativas la prevención del consumo de narcóticos, atención a las adicciones y persecución de los delitos contra la salud, en los </w:t>
      </w:r>
      <w:r w:rsidRPr="00EE5BF8">
        <w:rPr>
          <w:rFonts w:ascii="Century Gothic" w:eastAsia="Arial" w:hAnsi="Century Gothic" w:cs="Arial"/>
          <w:i/>
          <w:iCs/>
          <w:color w:val="auto"/>
          <w:szCs w:val="24"/>
          <w:lang w:val="es-MX"/>
        </w:rPr>
        <w:lastRenderedPageBreak/>
        <w:t>términos del artículo 474 de esta Ley.</w:t>
      </w:r>
      <w:r>
        <w:rPr>
          <w:rFonts w:ascii="Century Gothic" w:eastAsia="Arial" w:hAnsi="Century Gothic" w:cs="Arial"/>
          <w:i/>
          <w:iCs/>
          <w:color w:val="auto"/>
          <w:szCs w:val="24"/>
          <w:lang w:val="es-MX"/>
        </w:rPr>
        <w:t>”</w:t>
      </w:r>
      <w:r w:rsidRPr="00EE5BF8">
        <w:rPr>
          <w:rFonts w:ascii="Century Gothic" w:eastAsia="Arial" w:hAnsi="Century Gothic" w:cs="Arial"/>
          <w:color w:val="auto"/>
          <w:szCs w:val="24"/>
          <w:lang w:val="es-MX"/>
        </w:rPr>
        <w:cr/>
      </w:r>
    </w:p>
    <w:p w14:paraId="2E0C8781" w14:textId="046D8A0F" w:rsidR="000C664B" w:rsidRDefault="000C664B" w:rsidP="000C664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w:t>
      </w:r>
      <w:r w:rsidRPr="000C664B">
        <w:rPr>
          <w:rFonts w:ascii="Century Gothic" w:eastAsia="Arial" w:hAnsi="Century Gothic" w:cs="Arial"/>
          <w:color w:val="auto"/>
          <w:szCs w:val="24"/>
          <w:lang w:val="es-MX"/>
        </w:rPr>
        <w:t>a prevención de las adicciones</w:t>
      </w:r>
      <w:r>
        <w:rPr>
          <w:rFonts w:ascii="Century Gothic" w:eastAsia="Arial" w:hAnsi="Century Gothic" w:cs="Arial"/>
          <w:color w:val="auto"/>
          <w:szCs w:val="24"/>
          <w:lang w:val="es-MX"/>
        </w:rPr>
        <w:t>, entre las que se encuentra la ludopatía, deben</w:t>
      </w:r>
      <w:r w:rsidRPr="000C664B">
        <w:rPr>
          <w:rFonts w:ascii="Century Gothic" w:eastAsia="Arial" w:hAnsi="Century Gothic" w:cs="Arial"/>
          <w:color w:val="auto"/>
          <w:szCs w:val="24"/>
          <w:lang w:val="es-MX"/>
        </w:rPr>
        <w:t xml:space="preserve"> ten</w:t>
      </w:r>
      <w:r>
        <w:rPr>
          <w:rFonts w:ascii="Century Gothic" w:eastAsia="Arial" w:hAnsi="Century Gothic" w:cs="Arial"/>
          <w:color w:val="auto"/>
          <w:szCs w:val="24"/>
          <w:lang w:val="es-MX"/>
        </w:rPr>
        <w:t>er</w:t>
      </w:r>
      <w:r w:rsidRPr="000C664B">
        <w:rPr>
          <w:rFonts w:ascii="Century Gothic" w:eastAsia="Arial" w:hAnsi="Century Gothic" w:cs="Arial"/>
          <w:color w:val="auto"/>
          <w:szCs w:val="24"/>
          <w:lang w:val="es-MX"/>
        </w:rPr>
        <w:t xml:space="preserve"> carácter prioritario dentro de</w:t>
      </w:r>
      <w:r>
        <w:rPr>
          <w:rFonts w:ascii="Century Gothic" w:eastAsia="Arial" w:hAnsi="Century Gothic" w:cs="Arial"/>
          <w:color w:val="auto"/>
          <w:szCs w:val="24"/>
          <w:lang w:val="es-MX"/>
        </w:rPr>
        <w:t xml:space="preserve"> </w:t>
      </w:r>
      <w:r w:rsidRPr="000C664B">
        <w:rPr>
          <w:rFonts w:ascii="Century Gothic" w:eastAsia="Arial" w:hAnsi="Century Gothic" w:cs="Arial"/>
          <w:color w:val="auto"/>
          <w:szCs w:val="24"/>
          <w:lang w:val="es-MX"/>
        </w:rPr>
        <w:t xml:space="preserve">las políticas de salud </w:t>
      </w:r>
      <w:r w:rsidRPr="00DB29F8">
        <w:rPr>
          <w:rFonts w:ascii="Century Gothic" w:eastAsia="Arial" w:hAnsi="Century Gothic" w:cs="Arial"/>
          <w:color w:val="auto"/>
          <w:szCs w:val="24"/>
          <w:lang w:val="es-MX"/>
        </w:rPr>
        <w:t>de</w:t>
      </w:r>
      <w:r>
        <w:rPr>
          <w:rFonts w:ascii="Century Gothic" w:eastAsia="Arial" w:hAnsi="Century Gothic" w:cs="Arial"/>
          <w:color w:val="auto"/>
          <w:szCs w:val="24"/>
          <w:lang w:val="es-MX"/>
        </w:rPr>
        <w:t xml:space="preserve"> </w:t>
      </w:r>
      <w:r w:rsidRPr="00DB29F8">
        <w:rPr>
          <w:rFonts w:ascii="Century Gothic" w:eastAsia="Arial" w:hAnsi="Century Gothic" w:cs="Arial"/>
          <w:color w:val="auto"/>
          <w:szCs w:val="24"/>
          <w:lang w:val="es-MX"/>
        </w:rPr>
        <w:t>l</w:t>
      </w:r>
      <w:r>
        <w:rPr>
          <w:rFonts w:ascii="Century Gothic" w:eastAsia="Arial" w:hAnsi="Century Gothic" w:cs="Arial"/>
          <w:color w:val="auto"/>
          <w:szCs w:val="24"/>
          <w:lang w:val="es-MX"/>
        </w:rPr>
        <w:t>a Federación y de los</w:t>
      </w:r>
      <w:r w:rsidRPr="00DB29F8">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w:t>
      </w:r>
      <w:r w:rsidRPr="00DB29F8">
        <w:rPr>
          <w:rFonts w:ascii="Century Gothic" w:eastAsia="Arial" w:hAnsi="Century Gothic" w:cs="Arial"/>
          <w:color w:val="auto"/>
          <w:szCs w:val="24"/>
          <w:lang w:val="es-MX"/>
        </w:rPr>
        <w:t>stado</w:t>
      </w:r>
      <w:r>
        <w:rPr>
          <w:rFonts w:ascii="Century Gothic" w:eastAsia="Arial" w:hAnsi="Century Gothic" w:cs="Arial"/>
          <w:color w:val="auto"/>
          <w:szCs w:val="24"/>
          <w:lang w:val="es-MX"/>
        </w:rPr>
        <w:t xml:space="preserve">s; </w:t>
      </w:r>
      <w:r w:rsidRPr="000C664B">
        <w:rPr>
          <w:rFonts w:ascii="Century Gothic" w:eastAsia="Arial" w:hAnsi="Century Gothic" w:cs="Arial"/>
          <w:color w:val="auto"/>
          <w:szCs w:val="24"/>
          <w:lang w:val="es-MX"/>
        </w:rPr>
        <w:t>y deben brindarse conforme a lo establecido en la Constitución y en los tratados</w:t>
      </w:r>
      <w:r>
        <w:rPr>
          <w:rFonts w:ascii="Century Gothic" w:eastAsia="Arial" w:hAnsi="Century Gothic" w:cs="Arial"/>
          <w:color w:val="auto"/>
          <w:szCs w:val="24"/>
          <w:lang w:val="es-MX"/>
        </w:rPr>
        <w:t xml:space="preserve"> </w:t>
      </w:r>
      <w:r w:rsidRPr="000C664B">
        <w:rPr>
          <w:rFonts w:ascii="Century Gothic" w:eastAsia="Arial" w:hAnsi="Century Gothic" w:cs="Arial"/>
          <w:color w:val="auto"/>
          <w:szCs w:val="24"/>
          <w:lang w:val="es-MX"/>
        </w:rPr>
        <w:t>internacionales en materia de derechos humanos.</w:t>
      </w:r>
    </w:p>
    <w:p w14:paraId="79560BDB" w14:textId="7511C96A" w:rsidR="009A6107" w:rsidRDefault="009A6107" w:rsidP="000C664B">
      <w:pPr>
        <w:pStyle w:val="Normal1"/>
        <w:spacing w:line="360" w:lineRule="auto"/>
        <w:contextualSpacing/>
        <w:jc w:val="both"/>
        <w:rPr>
          <w:rFonts w:ascii="Century Gothic" w:eastAsia="Arial" w:hAnsi="Century Gothic" w:cs="Arial"/>
          <w:color w:val="auto"/>
          <w:szCs w:val="24"/>
          <w:lang w:val="es-MX"/>
        </w:rPr>
      </w:pPr>
    </w:p>
    <w:p w14:paraId="4668E743" w14:textId="55E0A239" w:rsidR="009A6107" w:rsidRDefault="009A6107" w:rsidP="009A6107">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En este tenor, la Ley General de Salud, determina en su numeral 73 que </w:t>
      </w:r>
      <w:r w:rsidRPr="009A6107">
        <w:rPr>
          <w:rFonts w:ascii="Century Gothic" w:eastAsia="Arial" w:hAnsi="Century Gothic" w:cs="Arial"/>
          <w:i/>
          <w:iCs/>
          <w:color w:val="auto"/>
          <w:szCs w:val="24"/>
          <w:lang w:val="es-MX"/>
        </w:rPr>
        <w:t>“los servicios y programas en materia de adicciones deberán privilegiar la atención comunitaria, integral, interdisciplinaria, intercultural, intersectorial, con perspectiva de género y participativa de las personas desde el primer nivel de atención y los hospitales generales.”</w:t>
      </w:r>
    </w:p>
    <w:p w14:paraId="25BC40CC" w14:textId="420E8EA7" w:rsidR="009A6107" w:rsidRDefault="009A6107" w:rsidP="009A6107">
      <w:pPr>
        <w:pStyle w:val="Normal1"/>
        <w:spacing w:line="360" w:lineRule="auto"/>
        <w:contextualSpacing/>
        <w:jc w:val="both"/>
        <w:rPr>
          <w:rFonts w:ascii="Century Gothic" w:eastAsia="Arial" w:hAnsi="Century Gothic" w:cs="Arial"/>
          <w:i/>
          <w:iCs/>
          <w:color w:val="auto"/>
          <w:szCs w:val="24"/>
          <w:lang w:val="es-MX"/>
        </w:rPr>
      </w:pPr>
    </w:p>
    <w:p w14:paraId="43836D84" w14:textId="772225CF" w:rsidR="009A6107" w:rsidRDefault="009A6107" w:rsidP="009A6107">
      <w:pPr>
        <w:pStyle w:val="Normal1"/>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t>La Secretaría de Salud</w:t>
      </w:r>
      <w:r w:rsidR="00FA401B">
        <w:rPr>
          <w:rFonts w:ascii="Century Gothic" w:eastAsia="Arial" w:hAnsi="Century Gothic" w:cs="Arial"/>
          <w:color w:val="auto"/>
          <w:szCs w:val="24"/>
          <w:lang w:val="es-MX"/>
        </w:rPr>
        <w:t xml:space="preserve"> Federal</w:t>
      </w:r>
      <w:r w:rsidRPr="009A6107">
        <w:rPr>
          <w:rFonts w:ascii="Century Gothic" w:eastAsia="Arial" w:hAnsi="Century Gothic" w:cs="Arial"/>
          <w:color w:val="auto"/>
          <w:szCs w:val="24"/>
          <w:lang w:val="es-MX"/>
        </w:rPr>
        <w:t>, las instituciones de salud y los gobiernos de las entidades federativas, en</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 xml:space="preserve">coordinación con las autoridades competentes en cada materia, </w:t>
      </w:r>
      <w:r w:rsidR="00BB4F3F">
        <w:rPr>
          <w:rFonts w:ascii="Century Gothic" w:eastAsia="Arial" w:hAnsi="Century Gothic" w:cs="Arial"/>
          <w:color w:val="auto"/>
          <w:szCs w:val="24"/>
          <w:lang w:val="es-MX"/>
        </w:rPr>
        <w:t xml:space="preserve">deben </w:t>
      </w:r>
      <w:r w:rsidRPr="009A6107">
        <w:rPr>
          <w:rFonts w:ascii="Century Gothic" w:eastAsia="Arial" w:hAnsi="Century Gothic" w:cs="Arial"/>
          <w:color w:val="auto"/>
          <w:szCs w:val="24"/>
          <w:lang w:val="es-MX"/>
        </w:rPr>
        <w:t>fomentar y apoyar</w:t>
      </w:r>
      <w:r>
        <w:rPr>
          <w:rFonts w:ascii="Century Gothic" w:eastAsia="Arial" w:hAnsi="Century Gothic" w:cs="Arial"/>
          <w:color w:val="auto"/>
          <w:szCs w:val="24"/>
          <w:lang w:val="es-MX"/>
        </w:rPr>
        <w:t>, entre otros puntos, los siguientes</w:t>
      </w:r>
      <w:r w:rsidRPr="009A6107">
        <w:rPr>
          <w:rFonts w:ascii="Century Gothic" w:eastAsia="Arial" w:hAnsi="Century Gothic" w:cs="Arial"/>
          <w:color w:val="auto"/>
          <w:szCs w:val="24"/>
          <w:lang w:val="es-MX"/>
        </w:rPr>
        <w:t>:</w:t>
      </w:r>
    </w:p>
    <w:p w14:paraId="1E796486" w14:textId="32122E24" w:rsidR="009A6107" w:rsidRDefault="009A6107" w:rsidP="009A6107">
      <w:pPr>
        <w:pStyle w:val="Normal1"/>
        <w:spacing w:line="360" w:lineRule="auto"/>
        <w:contextualSpacing/>
        <w:jc w:val="both"/>
        <w:rPr>
          <w:rFonts w:ascii="Century Gothic" w:eastAsia="Arial" w:hAnsi="Century Gothic" w:cs="Arial"/>
          <w:color w:val="auto"/>
          <w:szCs w:val="24"/>
          <w:lang w:val="es-MX"/>
        </w:rPr>
      </w:pPr>
    </w:p>
    <w:p w14:paraId="7E80DD29" w14:textId="6CC18BDD" w:rsidR="009A6107" w:rsidRDefault="009A6107" w:rsidP="009A6107">
      <w:pPr>
        <w:pStyle w:val="Normal1"/>
        <w:numPr>
          <w:ilvl w:val="0"/>
          <w:numId w:val="43"/>
        </w:numPr>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t>El desarrollo de actividades educativas, socioculturales y recreativas con carácter permanente que</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contribuyan a la prevención de adicciones, preferentemente a grupos en situación de</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vulnerabilidad;</w:t>
      </w:r>
    </w:p>
    <w:p w14:paraId="581F8E80" w14:textId="702F5732" w:rsidR="009A6107" w:rsidRDefault="009A6107" w:rsidP="009A6107">
      <w:pPr>
        <w:pStyle w:val="Normal1"/>
        <w:numPr>
          <w:ilvl w:val="0"/>
          <w:numId w:val="43"/>
        </w:numPr>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t>La difusión de las orientaciones para el conocimiento y</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prevención de adicciones;</w:t>
      </w:r>
    </w:p>
    <w:p w14:paraId="462763E0" w14:textId="6D40C0DF" w:rsidR="009A6107" w:rsidRDefault="009A6107" w:rsidP="009A6107">
      <w:pPr>
        <w:pStyle w:val="Normal1"/>
        <w:numPr>
          <w:ilvl w:val="0"/>
          <w:numId w:val="43"/>
        </w:numPr>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lastRenderedPageBreak/>
        <w:t>La realización de programas para la prevención y control de</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adicciones;</w:t>
      </w:r>
    </w:p>
    <w:p w14:paraId="68342DD6" w14:textId="58A4EE4C" w:rsidR="009A6107" w:rsidRDefault="009A6107" w:rsidP="009A6107">
      <w:pPr>
        <w:pStyle w:val="Normal1"/>
        <w:numPr>
          <w:ilvl w:val="0"/>
          <w:numId w:val="43"/>
        </w:numPr>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t>Las acciones y campañas de promoción de los derechos de la población, sobre adicciones, así como de sensibilización para reducir el estigma y la discriminación, a fin de favorecer el</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acceso oportuno de la atención;</w:t>
      </w:r>
    </w:p>
    <w:p w14:paraId="4A56B6F8" w14:textId="741169D0" w:rsidR="009A6107" w:rsidRDefault="009A6107" w:rsidP="009A6107">
      <w:pPr>
        <w:pStyle w:val="Normal1"/>
        <w:numPr>
          <w:ilvl w:val="0"/>
          <w:numId w:val="43"/>
        </w:numPr>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t>La implementación estratégica de servicios de atención de adicciones</w:t>
      </w:r>
      <w:r w:rsidR="00FA401B">
        <w:rPr>
          <w:rFonts w:ascii="Century Gothic" w:eastAsia="Arial" w:hAnsi="Century Gothic" w:cs="Arial"/>
          <w:color w:val="auto"/>
          <w:szCs w:val="24"/>
          <w:lang w:val="es-MX"/>
        </w:rPr>
        <w:t>,</w:t>
      </w:r>
      <w:r w:rsidRPr="009A6107">
        <w:rPr>
          <w:rFonts w:ascii="Century Gothic" w:eastAsia="Arial" w:hAnsi="Century Gothic" w:cs="Arial"/>
          <w:color w:val="auto"/>
          <w:szCs w:val="24"/>
          <w:lang w:val="es-MX"/>
        </w:rPr>
        <w:t xml:space="preserve"> en</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establecimientos de la red integral de servicios de salud del Sistema Nacional de Salud, que permita</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abatir la brecha de atención;</w:t>
      </w:r>
      <w:r w:rsidR="00BB4F3F">
        <w:rPr>
          <w:rFonts w:ascii="Century Gothic" w:eastAsia="Arial" w:hAnsi="Century Gothic" w:cs="Arial"/>
          <w:color w:val="auto"/>
          <w:szCs w:val="24"/>
          <w:lang w:val="es-MX"/>
        </w:rPr>
        <w:t xml:space="preserve"> y,</w:t>
      </w:r>
    </w:p>
    <w:p w14:paraId="75BDDE57" w14:textId="299ECDE4" w:rsidR="009A6107" w:rsidRPr="009A6107" w:rsidRDefault="009A6107" w:rsidP="009A6107">
      <w:pPr>
        <w:pStyle w:val="Normal1"/>
        <w:numPr>
          <w:ilvl w:val="0"/>
          <w:numId w:val="43"/>
        </w:numPr>
        <w:spacing w:line="360" w:lineRule="auto"/>
        <w:contextualSpacing/>
        <w:jc w:val="both"/>
        <w:rPr>
          <w:rFonts w:ascii="Century Gothic" w:eastAsia="Arial" w:hAnsi="Century Gothic" w:cs="Arial"/>
          <w:color w:val="auto"/>
          <w:szCs w:val="24"/>
          <w:lang w:val="es-MX"/>
        </w:rPr>
      </w:pPr>
      <w:r w:rsidRPr="009A6107">
        <w:rPr>
          <w:rFonts w:ascii="Century Gothic" w:eastAsia="Arial" w:hAnsi="Century Gothic" w:cs="Arial"/>
          <w:color w:val="auto"/>
          <w:szCs w:val="24"/>
          <w:lang w:val="es-MX"/>
        </w:rPr>
        <w:t>La detección de los grupos poblacionales en riesgo de presentar trastornos mentales por</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adicciones, preferentemente</w:t>
      </w:r>
      <w:r w:rsidR="00FA401B">
        <w:rPr>
          <w:rFonts w:ascii="Century Gothic" w:eastAsia="Arial" w:hAnsi="Century Gothic" w:cs="Arial"/>
          <w:color w:val="auto"/>
          <w:szCs w:val="24"/>
          <w:lang w:val="es-MX"/>
        </w:rPr>
        <w:t xml:space="preserve"> en</w:t>
      </w:r>
      <w:r w:rsidRPr="009A6107">
        <w:rPr>
          <w:rFonts w:ascii="Century Gothic" w:eastAsia="Arial" w:hAnsi="Century Gothic" w:cs="Arial"/>
          <w:color w:val="auto"/>
          <w:szCs w:val="24"/>
          <w:lang w:val="es-MX"/>
        </w:rPr>
        <w:t xml:space="preserve"> niñas, niños y adolescentes y</w:t>
      </w:r>
      <w:r>
        <w:rPr>
          <w:rFonts w:ascii="Century Gothic" w:eastAsia="Arial" w:hAnsi="Century Gothic" w:cs="Arial"/>
          <w:color w:val="auto"/>
          <w:szCs w:val="24"/>
          <w:lang w:val="es-MX"/>
        </w:rPr>
        <w:t xml:space="preserve"> </w:t>
      </w:r>
      <w:r w:rsidRPr="009A6107">
        <w:rPr>
          <w:rFonts w:ascii="Century Gothic" w:eastAsia="Arial" w:hAnsi="Century Gothic" w:cs="Arial"/>
          <w:color w:val="auto"/>
          <w:szCs w:val="24"/>
          <w:lang w:val="es-MX"/>
        </w:rPr>
        <w:t>grupos vulnerables</w:t>
      </w:r>
      <w:r w:rsidR="00BB4F3F">
        <w:rPr>
          <w:rFonts w:ascii="Century Gothic" w:eastAsia="Arial" w:hAnsi="Century Gothic" w:cs="Arial"/>
          <w:color w:val="auto"/>
          <w:szCs w:val="24"/>
          <w:lang w:val="es-MX"/>
        </w:rPr>
        <w:t>.</w:t>
      </w:r>
    </w:p>
    <w:p w14:paraId="3D886C6E" w14:textId="77777777" w:rsidR="00DB29F8" w:rsidRDefault="00DB29F8" w:rsidP="00AF76AF">
      <w:pPr>
        <w:pStyle w:val="Normal1"/>
        <w:spacing w:line="360" w:lineRule="auto"/>
        <w:contextualSpacing/>
        <w:jc w:val="both"/>
        <w:rPr>
          <w:rFonts w:ascii="Century Gothic" w:eastAsia="Arial" w:hAnsi="Century Gothic" w:cs="Arial"/>
          <w:b/>
          <w:bCs/>
          <w:color w:val="auto"/>
          <w:szCs w:val="24"/>
          <w:lang w:val="es-MX"/>
        </w:rPr>
      </w:pPr>
    </w:p>
    <w:p w14:paraId="0AF5B3AC" w14:textId="6206B4C7" w:rsidR="00ED4837" w:rsidRDefault="00770439" w:rsidP="00ED4837">
      <w:pPr>
        <w:pStyle w:val="Normal1"/>
        <w:spacing w:line="360" w:lineRule="auto"/>
        <w:contextualSpacing/>
        <w:jc w:val="both"/>
        <w:rPr>
          <w:rFonts w:ascii="Century Gothic" w:eastAsia="Arial" w:hAnsi="Century Gothic" w:cs="Arial"/>
          <w:color w:val="auto"/>
          <w:szCs w:val="24"/>
          <w:lang w:val="es-MX"/>
        </w:rPr>
      </w:pPr>
      <w:r w:rsidRPr="00AF76AF">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150C52">
        <w:rPr>
          <w:rFonts w:ascii="Century Gothic" w:eastAsia="Arial" w:hAnsi="Century Gothic" w:cs="Arial"/>
          <w:color w:val="auto"/>
          <w:szCs w:val="24"/>
          <w:lang w:val="es-MX"/>
        </w:rPr>
        <w:t xml:space="preserve">Por su parte, </w:t>
      </w:r>
      <w:r w:rsidR="00ED4837">
        <w:rPr>
          <w:rFonts w:ascii="Century Gothic" w:eastAsia="Arial" w:hAnsi="Century Gothic" w:cs="Arial"/>
          <w:color w:val="auto"/>
          <w:szCs w:val="24"/>
          <w:lang w:val="es-MX"/>
        </w:rPr>
        <w:t xml:space="preserve">a fin de atender esta problemática, el 12 de marzo de 2013, esta Soberanía aprobó el </w:t>
      </w:r>
      <w:r w:rsidR="00ED4837" w:rsidRPr="00ED4837">
        <w:rPr>
          <w:rFonts w:ascii="Century Gothic" w:eastAsia="Arial" w:hAnsi="Century Gothic" w:cs="Arial"/>
          <w:b/>
          <w:bCs/>
          <w:color w:val="auto"/>
          <w:szCs w:val="24"/>
          <w:lang w:val="es-MX"/>
        </w:rPr>
        <w:t>Decreto 1231/13 LXIII - III Año - II P.O.</w:t>
      </w:r>
      <w:r w:rsidR="003B22F4">
        <w:rPr>
          <w:rFonts w:ascii="Century Gothic" w:eastAsia="Arial" w:hAnsi="Century Gothic" w:cs="Arial"/>
          <w:b/>
          <w:bCs/>
          <w:color w:val="auto"/>
          <w:szCs w:val="24"/>
          <w:lang w:val="es-MX"/>
        </w:rPr>
        <w:t>,</w:t>
      </w:r>
      <w:r w:rsidR="00ED4837" w:rsidRPr="00ED4837">
        <w:rPr>
          <w:rFonts w:ascii="Century Gothic" w:eastAsia="Arial" w:hAnsi="Century Gothic" w:cs="Arial"/>
          <w:color w:val="auto"/>
          <w:szCs w:val="24"/>
          <w:lang w:val="es-MX"/>
        </w:rPr>
        <w:t xml:space="preserve"> para incorporar la prevención y atención de la ludopatía o adicción al juego</w:t>
      </w:r>
      <w:r w:rsidR="00ED4837">
        <w:rPr>
          <w:rFonts w:ascii="Century Gothic" w:eastAsia="Arial" w:hAnsi="Century Gothic" w:cs="Arial"/>
          <w:color w:val="auto"/>
          <w:szCs w:val="24"/>
          <w:lang w:val="es-MX"/>
        </w:rPr>
        <w:t xml:space="preserve">, en la Ley Estatal de Salud, colocando esta acción a nuestro Estado, dentro de las cuatro entidades federativas que visibilizan y atienden esta enfermedad en sus marcos normativos locales en materia de salud. </w:t>
      </w:r>
    </w:p>
    <w:p w14:paraId="3DAA9296" w14:textId="7697310C" w:rsidR="00ED4837" w:rsidRDefault="00ED4837" w:rsidP="00ED483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7200ABD9" w14:textId="45B03E11" w:rsidR="00ED4837" w:rsidRDefault="00913953" w:rsidP="00ED483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El objetivo principal de dicha reforma fue </w:t>
      </w:r>
      <w:r w:rsidR="00ED4837" w:rsidRPr="00ED4837">
        <w:rPr>
          <w:rFonts w:ascii="Century Gothic" w:eastAsia="Arial" w:hAnsi="Century Gothic" w:cs="Arial"/>
          <w:color w:val="auto"/>
          <w:szCs w:val="24"/>
          <w:lang w:val="es-MX"/>
        </w:rPr>
        <w:t>incluir, dentro del tema de adicciones,</w:t>
      </w:r>
      <w:r>
        <w:rPr>
          <w:rFonts w:ascii="Century Gothic" w:eastAsia="Arial" w:hAnsi="Century Gothic" w:cs="Arial"/>
          <w:color w:val="auto"/>
          <w:szCs w:val="24"/>
          <w:lang w:val="es-MX"/>
        </w:rPr>
        <w:t xml:space="preserve"> </w:t>
      </w:r>
      <w:r w:rsidR="00ED4837" w:rsidRPr="00ED4837">
        <w:rPr>
          <w:rFonts w:ascii="Century Gothic" w:eastAsia="Arial" w:hAnsi="Century Gothic" w:cs="Arial"/>
          <w:color w:val="auto"/>
          <w:szCs w:val="24"/>
          <w:lang w:val="es-MX"/>
        </w:rPr>
        <w:t>lo relativo a la ludopatía, a fin de que se promuevan medidas</w:t>
      </w:r>
      <w:r>
        <w:rPr>
          <w:rFonts w:ascii="Century Gothic" w:eastAsia="Arial" w:hAnsi="Century Gothic" w:cs="Arial"/>
          <w:color w:val="auto"/>
          <w:szCs w:val="24"/>
          <w:lang w:val="es-MX"/>
        </w:rPr>
        <w:t xml:space="preserve"> </w:t>
      </w:r>
      <w:r w:rsidR="00ED4837" w:rsidRPr="00ED4837">
        <w:rPr>
          <w:rFonts w:ascii="Century Gothic" w:eastAsia="Arial" w:hAnsi="Century Gothic" w:cs="Arial"/>
          <w:color w:val="auto"/>
          <w:szCs w:val="24"/>
          <w:lang w:val="es-MX"/>
        </w:rPr>
        <w:t xml:space="preserve">preventivas, </w:t>
      </w:r>
      <w:r>
        <w:rPr>
          <w:rFonts w:ascii="Century Gothic" w:eastAsia="Arial" w:hAnsi="Century Gothic" w:cs="Arial"/>
          <w:color w:val="auto"/>
          <w:szCs w:val="24"/>
          <w:lang w:val="es-MX"/>
        </w:rPr>
        <w:t xml:space="preserve">para que las </w:t>
      </w:r>
      <w:r w:rsidR="00ED4837" w:rsidRPr="00ED4837">
        <w:rPr>
          <w:rFonts w:ascii="Century Gothic" w:eastAsia="Arial" w:hAnsi="Century Gothic" w:cs="Arial"/>
          <w:color w:val="auto"/>
          <w:szCs w:val="24"/>
          <w:lang w:val="es-MX"/>
        </w:rPr>
        <w:t>personas tomen</w:t>
      </w:r>
      <w:r>
        <w:rPr>
          <w:rFonts w:ascii="Century Gothic" w:eastAsia="Arial" w:hAnsi="Century Gothic" w:cs="Arial"/>
          <w:color w:val="auto"/>
          <w:szCs w:val="24"/>
          <w:lang w:val="es-MX"/>
        </w:rPr>
        <w:t xml:space="preserve"> </w:t>
      </w:r>
      <w:r w:rsidR="00ED4837" w:rsidRPr="00ED4837">
        <w:rPr>
          <w:rFonts w:ascii="Century Gothic" w:eastAsia="Arial" w:hAnsi="Century Gothic" w:cs="Arial"/>
          <w:color w:val="auto"/>
          <w:szCs w:val="24"/>
          <w:lang w:val="es-MX"/>
        </w:rPr>
        <w:t xml:space="preserve">conciencia de la importancia de </w:t>
      </w:r>
      <w:r w:rsidR="00ED4837" w:rsidRPr="00ED4837">
        <w:rPr>
          <w:rFonts w:ascii="Century Gothic" w:eastAsia="Arial" w:hAnsi="Century Gothic" w:cs="Arial"/>
          <w:color w:val="auto"/>
          <w:szCs w:val="24"/>
          <w:lang w:val="es-MX"/>
        </w:rPr>
        <w:lastRenderedPageBreak/>
        <w:t>este tema y así evitar un sinfín de desgracias</w:t>
      </w:r>
      <w:r>
        <w:rPr>
          <w:rFonts w:ascii="Century Gothic" w:eastAsia="Arial" w:hAnsi="Century Gothic" w:cs="Arial"/>
          <w:color w:val="auto"/>
          <w:szCs w:val="24"/>
          <w:lang w:val="es-MX"/>
        </w:rPr>
        <w:t xml:space="preserve"> </w:t>
      </w:r>
      <w:r w:rsidR="00ED4837" w:rsidRPr="00ED4837">
        <w:rPr>
          <w:rFonts w:ascii="Century Gothic" w:eastAsia="Arial" w:hAnsi="Century Gothic" w:cs="Arial"/>
          <w:color w:val="auto"/>
          <w:szCs w:val="24"/>
          <w:lang w:val="es-MX"/>
        </w:rPr>
        <w:t xml:space="preserve">causadas por esta </w:t>
      </w:r>
      <w:r>
        <w:rPr>
          <w:rFonts w:ascii="Century Gothic" w:eastAsia="Arial" w:hAnsi="Century Gothic" w:cs="Arial"/>
          <w:color w:val="auto"/>
          <w:szCs w:val="24"/>
          <w:lang w:val="es-MX"/>
        </w:rPr>
        <w:t>afección</w:t>
      </w:r>
      <w:r w:rsidR="00ED4837" w:rsidRPr="00ED4837">
        <w:rPr>
          <w:rFonts w:ascii="Century Gothic" w:eastAsia="Arial" w:hAnsi="Century Gothic" w:cs="Arial"/>
          <w:color w:val="auto"/>
          <w:szCs w:val="24"/>
          <w:lang w:val="es-MX"/>
        </w:rPr>
        <w:t>.</w:t>
      </w:r>
      <w:r w:rsidR="00ED4837" w:rsidRPr="00ED4837">
        <w:rPr>
          <w:rFonts w:ascii="Century Gothic" w:eastAsia="Arial" w:hAnsi="Century Gothic" w:cs="Arial"/>
          <w:color w:val="auto"/>
          <w:szCs w:val="24"/>
          <w:lang w:val="es-MX"/>
        </w:rPr>
        <w:cr/>
      </w:r>
    </w:p>
    <w:p w14:paraId="50CA6E39" w14:textId="3FDEA1F5" w:rsidR="00ED4837" w:rsidRDefault="00913953" w:rsidP="00ED483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esta manera, el artículo 202, inciso D) de nuestra </w:t>
      </w:r>
      <w:r w:rsidRPr="009B5DA5">
        <w:rPr>
          <w:rFonts w:ascii="Century Gothic" w:eastAsia="Arial" w:hAnsi="Century Gothic" w:cs="Arial"/>
          <w:b/>
          <w:bCs/>
          <w:color w:val="auto"/>
          <w:szCs w:val="24"/>
          <w:lang w:val="es-MX"/>
        </w:rPr>
        <w:t>Ley Estatal de Salud</w:t>
      </w:r>
      <w:r w:rsidR="009B5DA5">
        <w:rPr>
          <w:rStyle w:val="Refdenotaalpie"/>
          <w:rFonts w:ascii="Century Gothic" w:eastAsia="Arial" w:hAnsi="Century Gothic" w:cs="Arial"/>
          <w:b/>
          <w:bCs/>
          <w:color w:val="auto"/>
          <w:szCs w:val="24"/>
          <w:lang w:val="es-MX"/>
        </w:rPr>
        <w:footnoteReference w:id="3"/>
      </w:r>
      <w:r>
        <w:rPr>
          <w:rFonts w:ascii="Century Gothic" w:eastAsia="Arial" w:hAnsi="Century Gothic" w:cs="Arial"/>
          <w:color w:val="auto"/>
          <w:szCs w:val="24"/>
          <w:lang w:val="es-MX"/>
        </w:rPr>
        <w:t xml:space="preserve"> establece: </w:t>
      </w:r>
    </w:p>
    <w:p w14:paraId="2C7EF8BE" w14:textId="1E194A59" w:rsidR="00913953" w:rsidRDefault="00913953" w:rsidP="00ED4837">
      <w:pPr>
        <w:pStyle w:val="Normal1"/>
        <w:spacing w:line="360" w:lineRule="auto"/>
        <w:contextualSpacing/>
        <w:jc w:val="both"/>
        <w:rPr>
          <w:rFonts w:ascii="Century Gothic" w:eastAsia="Arial" w:hAnsi="Century Gothic" w:cs="Arial"/>
          <w:color w:val="auto"/>
          <w:szCs w:val="24"/>
          <w:lang w:val="es-MX"/>
        </w:rPr>
      </w:pPr>
    </w:p>
    <w:p w14:paraId="4B45EA16" w14:textId="46E40AE8" w:rsidR="00913953" w:rsidRPr="00913953" w:rsidRDefault="00913953" w:rsidP="00913953">
      <w:pPr>
        <w:pStyle w:val="Normal1"/>
        <w:spacing w:line="360" w:lineRule="auto"/>
        <w:ind w:left="709" w:right="900"/>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913953">
        <w:rPr>
          <w:rFonts w:ascii="Century Gothic" w:eastAsia="Arial" w:hAnsi="Century Gothic" w:cs="Arial"/>
          <w:i/>
          <w:iCs/>
          <w:color w:val="auto"/>
          <w:szCs w:val="24"/>
          <w:lang w:val="es-MX"/>
        </w:rPr>
        <w:t>Artículo 202. El Ejecutivo del Estado implementará, coadyuvará y se coordinará con las autoridades sanitarias federales para la ejecución del programa contra las adicciones, como el alcoholismo, el abuso de bebidas alcohólicas, tabaquismo, farmacodependencia y ludopatía, que comprenderá, entre otras, las siguientes:</w:t>
      </w:r>
    </w:p>
    <w:p w14:paraId="7506D28C" w14:textId="6E9B4C6D" w:rsidR="00913953" w:rsidRPr="00913953" w:rsidRDefault="00913953" w:rsidP="00913953">
      <w:pPr>
        <w:pStyle w:val="Normal1"/>
        <w:spacing w:line="360" w:lineRule="auto"/>
        <w:ind w:left="709" w:right="900"/>
        <w:contextualSpacing/>
        <w:jc w:val="both"/>
        <w:rPr>
          <w:rFonts w:ascii="Century Gothic" w:eastAsia="Arial" w:hAnsi="Century Gothic" w:cs="Arial"/>
          <w:i/>
          <w:iCs/>
          <w:color w:val="auto"/>
          <w:szCs w:val="24"/>
          <w:lang w:val="es-MX"/>
        </w:rPr>
      </w:pPr>
    </w:p>
    <w:p w14:paraId="4A644062" w14:textId="77777777" w:rsidR="00913953" w:rsidRPr="00913953" w:rsidRDefault="00913953" w:rsidP="00913953">
      <w:pPr>
        <w:pStyle w:val="Normal1"/>
        <w:spacing w:line="360" w:lineRule="auto"/>
        <w:ind w:left="709" w:right="900"/>
        <w:contextualSpacing/>
        <w:jc w:val="both"/>
        <w:rPr>
          <w:rFonts w:ascii="Century Gothic" w:eastAsia="Arial" w:hAnsi="Century Gothic" w:cs="Arial"/>
          <w:i/>
          <w:iCs/>
          <w:color w:val="auto"/>
          <w:szCs w:val="24"/>
          <w:lang w:val="es-MX"/>
        </w:rPr>
      </w:pPr>
      <w:r w:rsidRPr="00913953">
        <w:rPr>
          <w:rFonts w:ascii="Century Gothic" w:eastAsia="Arial" w:hAnsi="Century Gothic" w:cs="Arial"/>
          <w:i/>
          <w:iCs/>
          <w:color w:val="auto"/>
          <w:szCs w:val="24"/>
          <w:lang w:val="es-MX"/>
        </w:rPr>
        <w:t>D) De Ludopatía:</w:t>
      </w:r>
    </w:p>
    <w:p w14:paraId="0306C014" w14:textId="1A949866" w:rsidR="00913953" w:rsidRPr="00913953" w:rsidRDefault="00913953" w:rsidP="00913953">
      <w:pPr>
        <w:pStyle w:val="Normal1"/>
        <w:numPr>
          <w:ilvl w:val="0"/>
          <w:numId w:val="42"/>
        </w:numPr>
        <w:spacing w:line="360" w:lineRule="auto"/>
        <w:ind w:left="2410" w:right="900"/>
        <w:contextualSpacing/>
        <w:jc w:val="both"/>
        <w:rPr>
          <w:rFonts w:ascii="Century Gothic" w:eastAsia="Arial" w:hAnsi="Century Gothic" w:cs="Arial"/>
          <w:i/>
          <w:iCs/>
          <w:color w:val="auto"/>
          <w:szCs w:val="24"/>
          <w:lang w:val="es-MX"/>
        </w:rPr>
      </w:pPr>
      <w:r w:rsidRPr="00913953">
        <w:rPr>
          <w:rFonts w:ascii="Century Gothic" w:eastAsia="Arial" w:hAnsi="Century Gothic" w:cs="Arial"/>
          <w:i/>
          <w:iCs/>
          <w:color w:val="auto"/>
          <w:szCs w:val="24"/>
          <w:lang w:val="es-MX"/>
        </w:rPr>
        <w:t>Prevención y tratamiento de la ludopatía y, en su caso, la rehabilitación de los adictos.</w:t>
      </w:r>
    </w:p>
    <w:p w14:paraId="350375E4" w14:textId="30E32114" w:rsidR="00913953" w:rsidRPr="00913953" w:rsidRDefault="00913953" w:rsidP="00913953">
      <w:pPr>
        <w:pStyle w:val="Normal1"/>
        <w:numPr>
          <w:ilvl w:val="0"/>
          <w:numId w:val="42"/>
        </w:numPr>
        <w:spacing w:line="360" w:lineRule="auto"/>
        <w:ind w:left="2410" w:right="900"/>
        <w:contextualSpacing/>
        <w:jc w:val="both"/>
        <w:rPr>
          <w:rFonts w:ascii="Century Gothic" w:eastAsia="Arial" w:hAnsi="Century Gothic" w:cs="Arial"/>
          <w:i/>
          <w:iCs/>
          <w:color w:val="auto"/>
          <w:szCs w:val="24"/>
          <w:lang w:val="es-MX"/>
        </w:rPr>
      </w:pPr>
      <w:r w:rsidRPr="00913953">
        <w:rPr>
          <w:rFonts w:ascii="Century Gothic" w:eastAsia="Arial" w:hAnsi="Century Gothic" w:cs="Arial"/>
          <w:i/>
          <w:iCs/>
          <w:color w:val="auto"/>
          <w:szCs w:val="24"/>
          <w:lang w:val="es-MX"/>
        </w:rPr>
        <w:t>Educación sobre los efectos de la ludopatía en la salud y en las relaciones sociales.</w:t>
      </w:r>
    </w:p>
    <w:p w14:paraId="4BE30A4D" w14:textId="579DD2D8" w:rsidR="00FF0A7B" w:rsidRPr="00D01CCA" w:rsidRDefault="00913953" w:rsidP="00D01CCA">
      <w:pPr>
        <w:pStyle w:val="Normal1"/>
        <w:numPr>
          <w:ilvl w:val="0"/>
          <w:numId w:val="42"/>
        </w:numPr>
        <w:spacing w:line="360" w:lineRule="auto"/>
        <w:ind w:left="2410" w:right="900"/>
        <w:contextualSpacing/>
        <w:jc w:val="both"/>
        <w:rPr>
          <w:rFonts w:ascii="Century Gothic" w:eastAsia="Arial" w:hAnsi="Century Gothic" w:cs="Arial"/>
          <w:color w:val="auto"/>
          <w:szCs w:val="24"/>
          <w:lang w:val="es-MX"/>
        </w:rPr>
      </w:pPr>
      <w:r w:rsidRPr="00913953">
        <w:rPr>
          <w:rFonts w:ascii="Century Gothic" w:eastAsia="Arial" w:hAnsi="Century Gothic" w:cs="Arial"/>
          <w:i/>
          <w:iCs/>
          <w:color w:val="auto"/>
          <w:szCs w:val="24"/>
          <w:lang w:val="es-MX"/>
        </w:rPr>
        <w:t>Fomento de actividades cívicas, deportivas y culturales, que coadyuven en la prevención de la ludopatía, en los grupos de población considerados de alto riesgo.</w:t>
      </w:r>
      <w:r>
        <w:rPr>
          <w:rFonts w:ascii="Century Gothic" w:eastAsia="Arial" w:hAnsi="Century Gothic" w:cs="Arial"/>
          <w:i/>
          <w:iCs/>
          <w:color w:val="auto"/>
          <w:szCs w:val="24"/>
          <w:lang w:val="es-MX"/>
        </w:rPr>
        <w:t>”</w:t>
      </w:r>
      <w:r w:rsidRPr="00913953">
        <w:rPr>
          <w:rFonts w:ascii="Century Gothic" w:eastAsia="Arial" w:hAnsi="Century Gothic" w:cs="Arial"/>
          <w:i/>
          <w:iCs/>
          <w:color w:val="auto"/>
          <w:szCs w:val="24"/>
          <w:lang w:val="es-MX"/>
        </w:rPr>
        <w:t xml:space="preserve"> </w:t>
      </w:r>
    </w:p>
    <w:p w14:paraId="1B1A4387" w14:textId="77777777" w:rsidR="00FF0A7B" w:rsidRDefault="00FF0A7B" w:rsidP="00082974">
      <w:pPr>
        <w:pStyle w:val="Normal1"/>
        <w:spacing w:line="360" w:lineRule="auto"/>
        <w:contextualSpacing/>
        <w:jc w:val="both"/>
        <w:rPr>
          <w:rFonts w:ascii="Century Gothic" w:eastAsia="Arial" w:hAnsi="Century Gothic" w:cs="Arial"/>
          <w:b/>
          <w:bCs/>
          <w:color w:val="auto"/>
          <w:szCs w:val="24"/>
          <w:lang w:val="es-MX"/>
        </w:rPr>
      </w:pPr>
    </w:p>
    <w:p w14:paraId="0A11908B" w14:textId="7657E0C2" w:rsidR="00986CC0" w:rsidRDefault="00D01CCA" w:rsidP="00986CC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lastRenderedPageBreak/>
        <w:t>VI</w:t>
      </w:r>
      <w:r w:rsidR="00986CC0" w:rsidRPr="00EC22A3">
        <w:rPr>
          <w:rFonts w:ascii="Century Gothic" w:eastAsia="Arial" w:hAnsi="Century Gothic" w:cs="Arial"/>
          <w:b/>
          <w:bCs/>
          <w:color w:val="auto"/>
          <w:szCs w:val="24"/>
          <w:lang w:val="es-MX"/>
        </w:rPr>
        <w:t>.-</w:t>
      </w:r>
      <w:r w:rsidR="00986CC0">
        <w:rPr>
          <w:rFonts w:ascii="Century Gothic" w:eastAsia="Arial" w:hAnsi="Century Gothic" w:cs="Arial"/>
          <w:color w:val="auto"/>
          <w:szCs w:val="24"/>
          <w:lang w:val="es-MX"/>
        </w:rPr>
        <w:t xml:space="preserve"> </w:t>
      </w:r>
      <w:bookmarkStart w:id="0" w:name="_Hlk138928982"/>
      <w:r w:rsidR="00986CC0">
        <w:rPr>
          <w:rFonts w:ascii="Century Gothic" w:eastAsia="Arial" w:hAnsi="Century Gothic" w:cs="Arial"/>
          <w:color w:val="auto"/>
          <w:szCs w:val="24"/>
          <w:lang w:val="es-MX"/>
        </w:rPr>
        <w:t xml:space="preserve">Atendiendo al análisis de los argumentos anteriormente vertidos, corresponde concretar la propuesta de reforma que nos atañe, la cual, se puede resumir en </w:t>
      </w:r>
      <w:r w:rsidR="00943871">
        <w:rPr>
          <w:rFonts w:ascii="Century Gothic" w:eastAsia="Arial" w:hAnsi="Century Gothic" w:cs="Arial"/>
          <w:color w:val="auto"/>
          <w:szCs w:val="24"/>
          <w:lang w:val="es-MX"/>
        </w:rPr>
        <w:t>tres</w:t>
      </w:r>
      <w:r w:rsidR="00986CC0">
        <w:rPr>
          <w:rFonts w:ascii="Century Gothic" w:eastAsia="Arial" w:hAnsi="Century Gothic" w:cs="Arial"/>
          <w:color w:val="auto"/>
          <w:szCs w:val="24"/>
          <w:lang w:val="es-MX"/>
        </w:rPr>
        <w:t xml:space="preserve"> puntos</w:t>
      </w:r>
      <w:r w:rsidR="00A45101">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a saber</w:t>
      </w:r>
      <w:r w:rsidR="00986CC0">
        <w:rPr>
          <w:rFonts w:ascii="Century Gothic" w:eastAsia="Arial" w:hAnsi="Century Gothic" w:cs="Arial"/>
          <w:color w:val="auto"/>
          <w:szCs w:val="24"/>
          <w:lang w:val="es-MX"/>
        </w:rPr>
        <w:t>:</w:t>
      </w:r>
    </w:p>
    <w:p w14:paraId="5EE2C889" w14:textId="77777777" w:rsidR="00986CC0" w:rsidRDefault="00986CC0" w:rsidP="00986CC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3D3417C5" w14:textId="1EFCDCA6" w:rsidR="00986CC0" w:rsidRDefault="00986CC0" w:rsidP="00D01CCA">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Primero.-</w:t>
      </w:r>
      <w:proofErr w:type="gramEnd"/>
      <w:r>
        <w:rPr>
          <w:rFonts w:ascii="Century Gothic" w:eastAsia="Arial" w:hAnsi="Century Gothic" w:cs="Arial"/>
          <w:color w:val="auto"/>
          <w:szCs w:val="24"/>
          <w:lang w:val="es-MX"/>
        </w:rPr>
        <w:t xml:space="preserve"> </w:t>
      </w:r>
      <w:r w:rsidR="00D01CCA">
        <w:rPr>
          <w:rFonts w:ascii="Century Gothic" w:eastAsia="Arial" w:hAnsi="Century Gothic" w:cs="Arial"/>
          <w:color w:val="auto"/>
          <w:szCs w:val="24"/>
          <w:lang w:val="es-MX"/>
        </w:rPr>
        <w:t xml:space="preserve">Que el Programa </w:t>
      </w:r>
      <w:r w:rsidR="00D01CCA" w:rsidRPr="00D01CCA">
        <w:rPr>
          <w:rFonts w:ascii="Century Gothic" w:eastAsia="Arial" w:hAnsi="Century Gothic" w:cs="Arial"/>
          <w:color w:val="auto"/>
          <w:szCs w:val="24"/>
          <w:lang w:val="es-MX"/>
        </w:rPr>
        <w:t xml:space="preserve">para la atención de la ludopatía comprenda: </w:t>
      </w:r>
      <w:r w:rsidR="00D01CCA">
        <w:rPr>
          <w:rFonts w:ascii="Century Gothic" w:eastAsia="Arial" w:hAnsi="Century Gothic" w:cs="Arial"/>
          <w:color w:val="auto"/>
          <w:szCs w:val="24"/>
          <w:lang w:val="es-MX"/>
        </w:rPr>
        <w:t>c</w:t>
      </w:r>
      <w:r w:rsidR="00D01CCA" w:rsidRPr="00D01CCA">
        <w:rPr>
          <w:rFonts w:ascii="Century Gothic" w:eastAsia="Arial" w:hAnsi="Century Gothic" w:cs="Arial"/>
          <w:color w:val="auto"/>
          <w:szCs w:val="24"/>
          <w:lang w:val="es-MX"/>
        </w:rPr>
        <w:t xml:space="preserve">ampañas permanentes de información y orientación al público en general y a </w:t>
      </w:r>
      <w:r w:rsidR="00F53851">
        <w:rPr>
          <w:rFonts w:ascii="Century Gothic" w:eastAsia="Arial" w:hAnsi="Century Gothic" w:cs="Arial"/>
          <w:color w:val="auto"/>
          <w:szCs w:val="24"/>
          <w:lang w:val="es-MX"/>
        </w:rPr>
        <w:t xml:space="preserve">personas </w:t>
      </w:r>
      <w:r w:rsidR="00D01CCA" w:rsidRPr="00D01CCA">
        <w:rPr>
          <w:rFonts w:ascii="Century Gothic" w:eastAsia="Arial" w:hAnsi="Century Gothic" w:cs="Arial"/>
          <w:color w:val="auto"/>
          <w:szCs w:val="24"/>
          <w:lang w:val="es-MX"/>
        </w:rPr>
        <w:t>jugador</w:t>
      </w:r>
      <w:r w:rsidR="00F53851">
        <w:rPr>
          <w:rFonts w:ascii="Century Gothic" w:eastAsia="Arial" w:hAnsi="Century Gothic" w:cs="Arial"/>
          <w:color w:val="auto"/>
          <w:szCs w:val="24"/>
          <w:lang w:val="es-MX"/>
        </w:rPr>
        <w:t>a</w:t>
      </w:r>
      <w:r w:rsidR="00D01CCA" w:rsidRPr="00D01CCA">
        <w:rPr>
          <w:rFonts w:ascii="Century Gothic" w:eastAsia="Arial" w:hAnsi="Century Gothic" w:cs="Arial"/>
          <w:color w:val="auto"/>
          <w:szCs w:val="24"/>
          <w:lang w:val="es-MX"/>
        </w:rPr>
        <w:t xml:space="preserve">s. </w:t>
      </w:r>
    </w:p>
    <w:p w14:paraId="1280BEE7" w14:textId="77777777" w:rsidR="00986CC0" w:rsidRDefault="00986CC0" w:rsidP="00986CC0">
      <w:pPr>
        <w:pStyle w:val="Normal1"/>
        <w:spacing w:line="360" w:lineRule="auto"/>
        <w:contextualSpacing/>
        <w:jc w:val="both"/>
        <w:rPr>
          <w:rFonts w:ascii="Century Gothic" w:eastAsia="Arial" w:hAnsi="Century Gothic" w:cs="Arial"/>
          <w:color w:val="auto"/>
          <w:szCs w:val="24"/>
          <w:lang w:val="es-MX"/>
        </w:rPr>
      </w:pPr>
    </w:p>
    <w:p w14:paraId="702871B1" w14:textId="482CD430" w:rsidR="00986CC0" w:rsidRDefault="00986CC0" w:rsidP="00986CC0">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Segundo.-</w:t>
      </w:r>
      <w:proofErr w:type="gramEnd"/>
      <w:r w:rsidR="00D01CCA">
        <w:rPr>
          <w:rFonts w:ascii="Century Gothic" w:eastAsia="Arial" w:hAnsi="Century Gothic" w:cs="Arial"/>
          <w:color w:val="auto"/>
          <w:szCs w:val="24"/>
          <w:lang w:val="es-MX"/>
        </w:rPr>
        <w:t xml:space="preserve"> </w:t>
      </w:r>
      <w:r w:rsidR="00D01CCA" w:rsidRPr="00D01CCA">
        <w:rPr>
          <w:rFonts w:ascii="Century Gothic" w:eastAsia="Arial" w:hAnsi="Century Gothic" w:cs="Arial"/>
          <w:color w:val="auto"/>
          <w:szCs w:val="24"/>
          <w:lang w:val="es-MX"/>
        </w:rPr>
        <w:t>La implementación de grupos para la prevención de daños provocados por la adicción al juego.</w:t>
      </w:r>
      <w:r w:rsidR="00F53851">
        <w:rPr>
          <w:rFonts w:ascii="Century Gothic" w:eastAsia="Arial" w:hAnsi="Century Gothic" w:cs="Arial"/>
          <w:color w:val="auto"/>
          <w:szCs w:val="24"/>
          <w:lang w:val="es-MX"/>
        </w:rPr>
        <w:t xml:space="preserve"> Y</w:t>
      </w:r>
      <w:r w:rsidR="00A640A7">
        <w:rPr>
          <w:rFonts w:ascii="Century Gothic" w:eastAsia="Arial" w:hAnsi="Century Gothic" w:cs="Arial"/>
          <w:color w:val="auto"/>
          <w:szCs w:val="24"/>
          <w:lang w:val="es-MX"/>
        </w:rPr>
        <w:t xml:space="preserve">, </w:t>
      </w:r>
    </w:p>
    <w:p w14:paraId="05AB3AC4" w14:textId="14FA1360" w:rsidR="00A640A7" w:rsidRDefault="00A640A7" w:rsidP="00986CC0">
      <w:pPr>
        <w:pStyle w:val="Normal1"/>
        <w:spacing w:line="360" w:lineRule="auto"/>
        <w:contextualSpacing/>
        <w:jc w:val="both"/>
        <w:rPr>
          <w:rFonts w:ascii="Century Gothic" w:eastAsia="Arial" w:hAnsi="Century Gothic" w:cs="Arial"/>
          <w:color w:val="auto"/>
          <w:szCs w:val="24"/>
          <w:lang w:val="es-MX"/>
        </w:rPr>
      </w:pPr>
    </w:p>
    <w:p w14:paraId="58C5F6C2" w14:textId="1FAF1C89" w:rsidR="00A640A7" w:rsidRDefault="00A640A7" w:rsidP="00986CC0">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Tercero.-</w:t>
      </w:r>
      <w:proofErr w:type="gramEnd"/>
      <w:r>
        <w:rPr>
          <w:rFonts w:ascii="Century Gothic" w:eastAsia="Arial" w:hAnsi="Century Gothic" w:cs="Arial"/>
          <w:color w:val="auto"/>
          <w:szCs w:val="24"/>
          <w:lang w:val="es-MX"/>
        </w:rPr>
        <w:t xml:space="preserve"> </w:t>
      </w:r>
      <w:r w:rsidR="00D01CCA">
        <w:rPr>
          <w:rFonts w:ascii="Century Gothic" w:eastAsia="Arial" w:hAnsi="Century Gothic" w:cs="Arial"/>
          <w:color w:val="auto"/>
          <w:szCs w:val="24"/>
          <w:lang w:val="es-MX"/>
        </w:rPr>
        <w:t>A</w:t>
      </w:r>
      <w:r w:rsidR="00D01CCA" w:rsidRPr="00D01CCA">
        <w:rPr>
          <w:rFonts w:ascii="Century Gothic" w:eastAsia="Arial" w:hAnsi="Century Gothic" w:cs="Arial"/>
          <w:color w:val="auto"/>
          <w:szCs w:val="24"/>
          <w:lang w:val="es-MX"/>
        </w:rPr>
        <w:t>dicionar un párrafo para que se fomente “</w:t>
      </w:r>
      <w:r w:rsidR="00F53851">
        <w:rPr>
          <w:rFonts w:ascii="Century Gothic" w:eastAsia="Arial" w:hAnsi="Century Gothic" w:cs="Arial"/>
          <w:color w:val="auto"/>
          <w:szCs w:val="24"/>
          <w:lang w:val="es-MX"/>
        </w:rPr>
        <w:t>L</w:t>
      </w:r>
      <w:r w:rsidR="00D01CCA" w:rsidRPr="00D01CCA">
        <w:rPr>
          <w:rFonts w:ascii="Century Gothic" w:eastAsia="Arial" w:hAnsi="Century Gothic" w:cs="Arial"/>
          <w:color w:val="auto"/>
          <w:szCs w:val="24"/>
          <w:lang w:val="es-MX"/>
        </w:rPr>
        <w:t>a educación e instrucción a la familia y a la comunidad sobre la forma de reconocer los síntomas de la ludopatía” y se adopten “</w:t>
      </w:r>
      <w:r w:rsidR="00F53851">
        <w:rPr>
          <w:rFonts w:ascii="Century Gothic" w:eastAsia="Arial" w:hAnsi="Century Gothic" w:cs="Arial"/>
          <w:color w:val="auto"/>
          <w:szCs w:val="24"/>
          <w:lang w:val="es-MX"/>
        </w:rPr>
        <w:t>L</w:t>
      </w:r>
      <w:r w:rsidR="00D01CCA" w:rsidRPr="00D01CCA">
        <w:rPr>
          <w:rFonts w:ascii="Century Gothic" w:eastAsia="Arial" w:hAnsi="Century Gothic" w:cs="Arial"/>
          <w:color w:val="auto"/>
          <w:szCs w:val="24"/>
          <w:lang w:val="es-MX"/>
        </w:rPr>
        <w:t>as medidas oportunas para su prevención y tratamiento.”</w:t>
      </w:r>
    </w:p>
    <w:bookmarkEnd w:id="0"/>
    <w:p w14:paraId="0096243B" w14:textId="77777777" w:rsidR="001E0785" w:rsidRDefault="001E0785" w:rsidP="00CD6A01">
      <w:pPr>
        <w:pStyle w:val="Normal1"/>
        <w:spacing w:line="360" w:lineRule="auto"/>
        <w:contextualSpacing/>
        <w:jc w:val="both"/>
        <w:rPr>
          <w:rFonts w:ascii="Century Gothic" w:eastAsia="Arial" w:hAnsi="Century Gothic" w:cs="Arial"/>
          <w:b/>
          <w:color w:val="auto"/>
          <w:szCs w:val="24"/>
          <w:lang w:val="es-MX"/>
        </w:rPr>
      </w:pPr>
    </w:p>
    <w:p w14:paraId="76434E6A" w14:textId="149EDA9B" w:rsidR="00D01CCA" w:rsidRPr="00D01CCA" w:rsidRDefault="00943871" w:rsidP="00D01CCA">
      <w:pPr>
        <w:pStyle w:val="Normal1"/>
        <w:spacing w:line="360" w:lineRule="auto"/>
        <w:contextualSpacing/>
        <w:jc w:val="both"/>
        <w:rPr>
          <w:rFonts w:ascii="Century Gothic" w:eastAsia="Arial" w:hAnsi="Century Gothic" w:cs="Arial"/>
          <w:color w:val="auto"/>
          <w:szCs w:val="24"/>
          <w:lang w:val="es-MX"/>
        </w:rPr>
      </w:pPr>
      <w:r w:rsidRPr="00943871">
        <w:rPr>
          <w:rFonts w:ascii="Century Gothic" w:eastAsia="Arial" w:hAnsi="Century Gothic" w:cs="Arial"/>
          <w:color w:val="auto"/>
          <w:szCs w:val="24"/>
          <w:lang w:val="es-MX"/>
        </w:rPr>
        <w:t>En ese contexto, esta Comisión Dictaminadora</w:t>
      </w:r>
      <w:r w:rsidR="00B158E9">
        <w:rPr>
          <w:rFonts w:ascii="Century Gothic" w:eastAsia="Arial" w:hAnsi="Century Gothic" w:cs="Arial"/>
          <w:color w:val="auto"/>
          <w:szCs w:val="24"/>
          <w:lang w:val="es-MX"/>
        </w:rPr>
        <w:t xml:space="preserve"> coincide con </w:t>
      </w:r>
      <w:r w:rsidR="00D01CCA">
        <w:rPr>
          <w:rFonts w:ascii="Century Gothic" w:eastAsia="Arial" w:hAnsi="Century Gothic" w:cs="Arial"/>
          <w:color w:val="auto"/>
          <w:szCs w:val="24"/>
          <w:lang w:val="es-MX"/>
        </w:rPr>
        <w:t>el</w:t>
      </w:r>
      <w:r w:rsidR="00B158E9">
        <w:rPr>
          <w:rFonts w:ascii="Century Gothic" w:eastAsia="Arial" w:hAnsi="Century Gothic" w:cs="Arial"/>
          <w:color w:val="auto"/>
          <w:szCs w:val="24"/>
          <w:lang w:val="es-MX"/>
        </w:rPr>
        <w:t xml:space="preserve"> iniciador en</w:t>
      </w:r>
      <w:r w:rsidR="00D01CCA">
        <w:rPr>
          <w:rFonts w:ascii="Century Gothic" w:eastAsia="Arial" w:hAnsi="Century Gothic" w:cs="Arial"/>
          <w:color w:val="auto"/>
          <w:szCs w:val="24"/>
          <w:lang w:val="es-MX"/>
        </w:rPr>
        <w:t xml:space="preserve"> que l</w:t>
      </w:r>
      <w:r w:rsidR="00D01CCA" w:rsidRPr="00D01CCA">
        <w:rPr>
          <w:rFonts w:ascii="Century Gothic" w:eastAsia="Arial" w:hAnsi="Century Gothic" w:cs="Arial"/>
          <w:color w:val="auto"/>
          <w:szCs w:val="24"/>
          <w:lang w:val="es-MX"/>
        </w:rPr>
        <w:t>a prevención del juego patológico</w:t>
      </w:r>
      <w:r w:rsidR="00D01CCA">
        <w:rPr>
          <w:rFonts w:ascii="Century Gothic" w:eastAsia="Arial" w:hAnsi="Century Gothic" w:cs="Arial"/>
          <w:color w:val="auto"/>
          <w:szCs w:val="24"/>
          <w:lang w:val="es-MX"/>
        </w:rPr>
        <w:t xml:space="preserve"> o ludopatía</w:t>
      </w:r>
      <w:r w:rsidR="00D01CCA" w:rsidRPr="00D01CCA">
        <w:rPr>
          <w:rFonts w:ascii="Century Gothic" w:eastAsia="Arial" w:hAnsi="Century Gothic" w:cs="Arial"/>
          <w:color w:val="auto"/>
          <w:szCs w:val="24"/>
          <w:lang w:val="es-MX"/>
        </w:rPr>
        <w:t xml:space="preserve"> debe contemplar la</w:t>
      </w:r>
      <w:r w:rsidR="00D01CCA">
        <w:rPr>
          <w:rFonts w:ascii="Century Gothic" w:eastAsia="Arial" w:hAnsi="Century Gothic" w:cs="Arial"/>
          <w:color w:val="auto"/>
          <w:szCs w:val="24"/>
          <w:lang w:val="es-MX"/>
        </w:rPr>
        <w:t xml:space="preserve"> </w:t>
      </w:r>
      <w:r w:rsidR="00D01CCA" w:rsidRPr="00D01CCA">
        <w:rPr>
          <w:rFonts w:ascii="Century Gothic" w:eastAsia="Arial" w:hAnsi="Century Gothic" w:cs="Arial"/>
          <w:color w:val="auto"/>
          <w:szCs w:val="24"/>
          <w:lang w:val="es-MX"/>
        </w:rPr>
        <w:t>delimitación de contextos de intervención estratégicos debido a</w:t>
      </w:r>
      <w:r w:rsidR="00D01CCA">
        <w:rPr>
          <w:rFonts w:ascii="Century Gothic" w:eastAsia="Arial" w:hAnsi="Century Gothic" w:cs="Arial"/>
          <w:color w:val="auto"/>
          <w:szCs w:val="24"/>
          <w:lang w:val="es-MX"/>
        </w:rPr>
        <w:t xml:space="preserve"> </w:t>
      </w:r>
      <w:r w:rsidR="00D01CCA" w:rsidRPr="00D01CCA">
        <w:rPr>
          <w:rFonts w:ascii="Century Gothic" w:eastAsia="Arial" w:hAnsi="Century Gothic" w:cs="Arial"/>
          <w:color w:val="auto"/>
          <w:szCs w:val="24"/>
          <w:lang w:val="es-MX"/>
        </w:rPr>
        <w:t>las ventajas que representan, por ejemplo, plantear la posibilidad</w:t>
      </w:r>
      <w:r w:rsidR="00D01CCA">
        <w:rPr>
          <w:rFonts w:ascii="Century Gothic" w:eastAsia="Arial" w:hAnsi="Century Gothic" w:cs="Arial"/>
          <w:color w:val="auto"/>
          <w:szCs w:val="24"/>
          <w:lang w:val="es-MX"/>
        </w:rPr>
        <w:t xml:space="preserve"> </w:t>
      </w:r>
      <w:r w:rsidR="00D01CCA" w:rsidRPr="00D01CCA">
        <w:rPr>
          <w:rFonts w:ascii="Century Gothic" w:eastAsia="Arial" w:hAnsi="Century Gothic" w:cs="Arial"/>
          <w:color w:val="auto"/>
          <w:szCs w:val="24"/>
          <w:lang w:val="es-MX"/>
        </w:rPr>
        <w:t>de focalizar a las personas con mayor posibilidad de presentar la</w:t>
      </w:r>
      <w:r w:rsidR="00D01CCA">
        <w:rPr>
          <w:rFonts w:ascii="Century Gothic" w:eastAsia="Arial" w:hAnsi="Century Gothic" w:cs="Arial"/>
          <w:color w:val="auto"/>
          <w:szCs w:val="24"/>
          <w:lang w:val="es-MX"/>
        </w:rPr>
        <w:t xml:space="preserve"> </w:t>
      </w:r>
      <w:r w:rsidR="00D01CCA" w:rsidRPr="00D01CCA">
        <w:rPr>
          <w:rFonts w:ascii="Century Gothic" w:eastAsia="Arial" w:hAnsi="Century Gothic" w:cs="Arial"/>
          <w:color w:val="auto"/>
          <w:szCs w:val="24"/>
          <w:lang w:val="es-MX"/>
        </w:rPr>
        <w:t>problemática y que, por lo tanto, requieren de forma prioritaria</w:t>
      </w:r>
      <w:r w:rsidR="00D01CCA">
        <w:rPr>
          <w:rFonts w:ascii="Century Gothic" w:eastAsia="Arial" w:hAnsi="Century Gothic" w:cs="Arial"/>
          <w:color w:val="auto"/>
          <w:szCs w:val="24"/>
          <w:lang w:val="es-MX"/>
        </w:rPr>
        <w:t xml:space="preserve"> </w:t>
      </w:r>
      <w:r w:rsidR="00D01CCA" w:rsidRPr="00D01CCA">
        <w:rPr>
          <w:rFonts w:ascii="Century Gothic" w:eastAsia="Arial" w:hAnsi="Century Gothic" w:cs="Arial"/>
          <w:color w:val="auto"/>
          <w:szCs w:val="24"/>
          <w:lang w:val="es-MX"/>
        </w:rPr>
        <w:t>este tipo de acciones preventivas.</w:t>
      </w:r>
    </w:p>
    <w:p w14:paraId="6D754CA2" w14:textId="77777777" w:rsidR="00D01CCA" w:rsidRDefault="00D01CCA" w:rsidP="00D01CCA">
      <w:pPr>
        <w:pStyle w:val="Normal1"/>
        <w:spacing w:line="360" w:lineRule="auto"/>
        <w:contextualSpacing/>
        <w:jc w:val="both"/>
        <w:rPr>
          <w:rFonts w:ascii="Century Gothic" w:eastAsia="Arial" w:hAnsi="Century Gothic" w:cs="Arial"/>
          <w:color w:val="auto"/>
          <w:szCs w:val="24"/>
          <w:lang w:val="es-MX"/>
        </w:rPr>
      </w:pPr>
    </w:p>
    <w:p w14:paraId="5D712291" w14:textId="0B912CC2" w:rsidR="00D01CCA" w:rsidRPr="00D01CCA" w:rsidRDefault="00D01CCA" w:rsidP="00D01CCA">
      <w:pPr>
        <w:pStyle w:val="Normal1"/>
        <w:spacing w:line="360" w:lineRule="auto"/>
        <w:contextualSpacing/>
        <w:jc w:val="both"/>
        <w:rPr>
          <w:rFonts w:ascii="Century Gothic" w:eastAsia="Arial" w:hAnsi="Century Gothic" w:cs="Arial"/>
          <w:color w:val="auto"/>
          <w:szCs w:val="24"/>
          <w:lang w:val="es-MX"/>
        </w:rPr>
      </w:pPr>
      <w:r w:rsidRPr="00D01CCA">
        <w:rPr>
          <w:rFonts w:ascii="Century Gothic" w:eastAsia="Arial" w:hAnsi="Century Gothic" w:cs="Arial"/>
          <w:color w:val="auto"/>
          <w:szCs w:val="24"/>
          <w:lang w:val="es-MX"/>
        </w:rPr>
        <w:t>Las intervenciones preventivas pueden diseñarse para</w:t>
      </w:r>
      <w:r>
        <w:rPr>
          <w:rFonts w:ascii="Century Gothic" w:eastAsia="Arial" w:hAnsi="Century Gothic" w:cs="Arial"/>
          <w:color w:val="auto"/>
          <w:szCs w:val="24"/>
          <w:lang w:val="es-MX"/>
        </w:rPr>
        <w:t xml:space="preserve"> </w:t>
      </w:r>
      <w:r w:rsidR="003B22F4">
        <w:rPr>
          <w:rFonts w:ascii="Century Gothic" w:eastAsia="Arial" w:hAnsi="Century Gothic" w:cs="Arial"/>
          <w:color w:val="auto"/>
          <w:szCs w:val="24"/>
          <w:lang w:val="es-MX"/>
        </w:rPr>
        <w:t>diferentes ambientes</w:t>
      </w:r>
      <w:r w:rsidR="00F53851">
        <w:rPr>
          <w:rFonts w:ascii="Century Gothic" w:eastAsia="Arial" w:hAnsi="Century Gothic" w:cs="Arial"/>
          <w:color w:val="auto"/>
          <w:szCs w:val="24"/>
          <w:lang w:val="es-MX"/>
        </w:rPr>
        <w:t xml:space="preserve"> como lo son,</w:t>
      </w:r>
      <w:r w:rsidR="003B22F4">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el hogar, la escuela, la comunidad o</w:t>
      </w:r>
      <w:r>
        <w:rPr>
          <w:rFonts w:ascii="Century Gothic" w:eastAsia="Arial" w:hAnsi="Century Gothic" w:cs="Arial"/>
          <w:color w:val="auto"/>
          <w:szCs w:val="24"/>
          <w:lang w:val="es-MX"/>
        </w:rPr>
        <w:t xml:space="preserve"> </w:t>
      </w:r>
      <w:r w:rsidR="003B22F4">
        <w:rPr>
          <w:rFonts w:ascii="Century Gothic" w:eastAsia="Arial" w:hAnsi="Century Gothic" w:cs="Arial"/>
          <w:color w:val="auto"/>
          <w:szCs w:val="24"/>
          <w:lang w:val="es-MX"/>
        </w:rPr>
        <w:t>el trabajo</w:t>
      </w:r>
      <w:r w:rsidRPr="00D01CCA">
        <w:rPr>
          <w:rFonts w:ascii="Century Gothic" w:eastAsia="Arial" w:hAnsi="Century Gothic" w:cs="Arial"/>
          <w:color w:val="auto"/>
          <w:szCs w:val="24"/>
          <w:lang w:val="es-MX"/>
        </w:rPr>
        <w:t xml:space="preserve"> con </w:t>
      </w:r>
      <w:r w:rsidRPr="00D01CCA">
        <w:rPr>
          <w:rFonts w:ascii="Century Gothic" w:eastAsia="Arial" w:hAnsi="Century Gothic" w:cs="Arial"/>
          <w:color w:val="auto"/>
          <w:szCs w:val="24"/>
          <w:lang w:val="es-MX"/>
        </w:rPr>
        <w:lastRenderedPageBreak/>
        <w:t>adecuaciones específicas. Además, deben</w:t>
      </w:r>
      <w:r>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 xml:space="preserve">desarrollarse contemplando a los grupos particulares de </w:t>
      </w:r>
      <w:r w:rsidR="00F53851">
        <w:rPr>
          <w:rFonts w:ascii="Century Gothic" w:eastAsia="Arial" w:hAnsi="Century Gothic" w:cs="Arial"/>
          <w:color w:val="auto"/>
          <w:szCs w:val="24"/>
          <w:lang w:val="es-MX"/>
        </w:rPr>
        <w:t xml:space="preserve">personas </w:t>
      </w:r>
      <w:r w:rsidRPr="00D01CCA">
        <w:rPr>
          <w:rFonts w:ascii="Century Gothic" w:eastAsia="Arial" w:hAnsi="Century Gothic" w:cs="Arial"/>
          <w:color w:val="auto"/>
          <w:szCs w:val="24"/>
          <w:lang w:val="es-MX"/>
        </w:rPr>
        <w:t>usuari</w:t>
      </w:r>
      <w:r w:rsidR="00F53851">
        <w:rPr>
          <w:rFonts w:ascii="Century Gothic" w:eastAsia="Arial" w:hAnsi="Century Gothic" w:cs="Arial"/>
          <w:color w:val="auto"/>
          <w:szCs w:val="24"/>
          <w:lang w:val="es-MX"/>
        </w:rPr>
        <w:t>a</w:t>
      </w:r>
      <w:r w:rsidRPr="00D01CCA">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hacia l</w:t>
      </w:r>
      <w:r w:rsidR="00F53851">
        <w:rPr>
          <w:rFonts w:ascii="Century Gothic" w:eastAsia="Arial" w:hAnsi="Century Gothic" w:cs="Arial"/>
          <w:color w:val="auto"/>
          <w:szCs w:val="24"/>
          <w:lang w:val="es-MX"/>
        </w:rPr>
        <w:t>a</w:t>
      </w:r>
      <w:r w:rsidRPr="00D01CCA">
        <w:rPr>
          <w:rFonts w:ascii="Century Gothic" w:eastAsia="Arial" w:hAnsi="Century Gothic" w:cs="Arial"/>
          <w:color w:val="auto"/>
          <w:szCs w:val="24"/>
          <w:lang w:val="es-MX"/>
        </w:rPr>
        <w:t>s cuales van dirigidas, es decir, pueden dirigirse a toda</w:t>
      </w:r>
      <w:r>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 xml:space="preserve">la población; para los que tienen mayor riesgo, o para aquellas personas que ya están involucradas con </w:t>
      </w:r>
      <w:r>
        <w:rPr>
          <w:rFonts w:ascii="Century Gothic" w:eastAsia="Arial" w:hAnsi="Century Gothic" w:cs="Arial"/>
          <w:color w:val="auto"/>
          <w:szCs w:val="24"/>
          <w:lang w:val="es-MX"/>
        </w:rPr>
        <w:t>la ludopatía</w:t>
      </w:r>
      <w:r w:rsidRPr="00D01CCA">
        <w:rPr>
          <w:rFonts w:ascii="Century Gothic" w:eastAsia="Arial" w:hAnsi="Century Gothic" w:cs="Arial"/>
          <w:color w:val="auto"/>
          <w:szCs w:val="24"/>
          <w:lang w:val="es-MX"/>
        </w:rPr>
        <w:t xml:space="preserve"> y que tienen otros problemas conductuales</w:t>
      </w:r>
      <w:r>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concomitantes. Algunas se pueden diseñar para más de un</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grupo. En este sentido, en la prevención del juego patológico</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se debe privilegiar la comprensión de los contextos culturales</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en el que se presenta, considerando además la edad de l</w:t>
      </w:r>
      <w:r w:rsidR="00F53851">
        <w:rPr>
          <w:rFonts w:ascii="Century Gothic" w:eastAsia="Arial" w:hAnsi="Century Gothic" w:cs="Arial"/>
          <w:color w:val="auto"/>
          <w:szCs w:val="24"/>
          <w:lang w:val="es-MX"/>
        </w:rPr>
        <w:t>a</w:t>
      </w:r>
      <w:r w:rsidRPr="00D01CCA">
        <w:rPr>
          <w:rFonts w:ascii="Century Gothic" w:eastAsia="Arial" w:hAnsi="Century Gothic" w:cs="Arial"/>
          <w:color w:val="auto"/>
          <w:szCs w:val="24"/>
          <w:lang w:val="es-MX"/>
        </w:rPr>
        <w:t>s</w:t>
      </w:r>
      <w:r w:rsidR="008D1EF3">
        <w:rPr>
          <w:rFonts w:ascii="Century Gothic" w:eastAsia="Arial" w:hAnsi="Century Gothic" w:cs="Arial"/>
          <w:color w:val="auto"/>
          <w:szCs w:val="24"/>
          <w:lang w:val="es-MX"/>
        </w:rPr>
        <w:t xml:space="preserve"> </w:t>
      </w:r>
      <w:r w:rsidR="00F53851">
        <w:rPr>
          <w:rFonts w:ascii="Century Gothic" w:eastAsia="Arial" w:hAnsi="Century Gothic" w:cs="Arial"/>
          <w:color w:val="auto"/>
          <w:szCs w:val="24"/>
          <w:lang w:val="es-MX"/>
        </w:rPr>
        <w:t xml:space="preserve">personas </w:t>
      </w:r>
      <w:r w:rsidRPr="00D01CCA">
        <w:rPr>
          <w:rFonts w:ascii="Century Gothic" w:eastAsia="Arial" w:hAnsi="Century Gothic" w:cs="Arial"/>
          <w:color w:val="auto"/>
          <w:szCs w:val="24"/>
          <w:lang w:val="es-MX"/>
        </w:rPr>
        <w:t>beneficiad</w:t>
      </w:r>
      <w:r w:rsidR="00F53851">
        <w:rPr>
          <w:rFonts w:ascii="Century Gothic" w:eastAsia="Arial" w:hAnsi="Century Gothic" w:cs="Arial"/>
          <w:color w:val="auto"/>
          <w:szCs w:val="24"/>
          <w:lang w:val="es-MX"/>
        </w:rPr>
        <w:t>a</w:t>
      </w:r>
      <w:r w:rsidRPr="00D01CCA">
        <w:rPr>
          <w:rFonts w:ascii="Century Gothic" w:eastAsia="Arial" w:hAnsi="Century Gothic" w:cs="Arial"/>
          <w:color w:val="auto"/>
          <w:szCs w:val="24"/>
          <w:lang w:val="es-MX"/>
        </w:rPr>
        <w:t>s.</w:t>
      </w:r>
    </w:p>
    <w:p w14:paraId="2477BF72" w14:textId="77777777" w:rsidR="008D1EF3" w:rsidRDefault="008D1EF3" w:rsidP="00D01CCA">
      <w:pPr>
        <w:pStyle w:val="Normal1"/>
        <w:spacing w:line="360" w:lineRule="auto"/>
        <w:contextualSpacing/>
        <w:jc w:val="both"/>
        <w:rPr>
          <w:rFonts w:ascii="Century Gothic" w:eastAsia="Arial" w:hAnsi="Century Gothic" w:cs="Arial"/>
          <w:color w:val="auto"/>
          <w:szCs w:val="24"/>
          <w:lang w:val="es-MX"/>
        </w:rPr>
      </w:pPr>
    </w:p>
    <w:p w14:paraId="3DA66ECB" w14:textId="6B06AEC3" w:rsidR="00D01CCA" w:rsidRDefault="00D01CCA" w:rsidP="00D01CCA">
      <w:pPr>
        <w:pStyle w:val="Normal1"/>
        <w:spacing w:line="360" w:lineRule="auto"/>
        <w:contextualSpacing/>
        <w:jc w:val="both"/>
        <w:rPr>
          <w:rFonts w:ascii="Century Gothic" w:eastAsia="Arial" w:hAnsi="Century Gothic" w:cs="Arial"/>
          <w:color w:val="auto"/>
          <w:szCs w:val="24"/>
          <w:lang w:val="es-MX"/>
        </w:rPr>
      </w:pPr>
      <w:r w:rsidRPr="00D01CCA">
        <w:rPr>
          <w:rFonts w:ascii="Century Gothic" w:eastAsia="Arial" w:hAnsi="Century Gothic" w:cs="Arial"/>
          <w:color w:val="auto"/>
          <w:szCs w:val="24"/>
          <w:lang w:val="es-MX"/>
        </w:rPr>
        <w:t>De manera general, todos los programas preventivos deben</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contener información científica, expuesta de forma clara y</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precisa, que realmente informe y sensibilice a la población</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sobre las características y consecuencias negativas del juego</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patológico. Esta información puede ser difundida a través de</w:t>
      </w:r>
      <w:r w:rsidR="008D1EF3">
        <w:rPr>
          <w:rFonts w:ascii="Century Gothic" w:eastAsia="Arial" w:hAnsi="Century Gothic" w:cs="Arial"/>
          <w:color w:val="auto"/>
          <w:szCs w:val="24"/>
          <w:lang w:val="es-MX"/>
        </w:rPr>
        <w:t xml:space="preserve"> </w:t>
      </w:r>
      <w:r w:rsidRPr="00D01CCA">
        <w:rPr>
          <w:rFonts w:ascii="Century Gothic" w:eastAsia="Arial" w:hAnsi="Century Gothic" w:cs="Arial"/>
          <w:color w:val="auto"/>
          <w:szCs w:val="24"/>
          <w:lang w:val="es-MX"/>
        </w:rPr>
        <w:t>los diversos medios de comunicación</w:t>
      </w:r>
      <w:r w:rsidR="008D1EF3">
        <w:rPr>
          <w:rFonts w:ascii="Century Gothic" w:eastAsia="Arial" w:hAnsi="Century Gothic" w:cs="Arial"/>
          <w:color w:val="auto"/>
          <w:szCs w:val="24"/>
          <w:lang w:val="es-MX"/>
        </w:rPr>
        <w:t xml:space="preserve"> y redes sociales oficiales de las dependencias del sector de salud público</w:t>
      </w:r>
      <w:r w:rsidRPr="00D01CCA">
        <w:rPr>
          <w:rFonts w:ascii="Century Gothic" w:eastAsia="Arial" w:hAnsi="Century Gothic" w:cs="Arial"/>
          <w:color w:val="auto"/>
          <w:szCs w:val="24"/>
          <w:lang w:val="es-MX"/>
        </w:rPr>
        <w:t>.</w:t>
      </w:r>
    </w:p>
    <w:p w14:paraId="7A6B569D" w14:textId="02E6B4E8" w:rsidR="008D1EF3" w:rsidRDefault="008D1EF3" w:rsidP="00D01CCA">
      <w:pPr>
        <w:pStyle w:val="Normal1"/>
        <w:spacing w:line="360" w:lineRule="auto"/>
        <w:contextualSpacing/>
        <w:jc w:val="both"/>
        <w:rPr>
          <w:rFonts w:ascii="Century Gothic" w:eastAsia="Arial" w:hAnsi="Century Gothic" w:cs="Arial"/>
          <w:color w:val="auto"/>
          <w:szCs w:val="24"/>
          <w:lang w:val="es-MX"/>
        </w:rPr>
      </w:pPr>
    </w:p>
    <w:p w14:paraId="67B6E319" w14:textId="4643DA95" w:rsidR="008D1EF3" w:rsidRDefault="008D1EF3" w:rsidP="00D01C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punto, cabe hacer referencia a que los planteamientos primero y segundo, presentados por el iniciador, respecto a campañas permanentes de información e imple</w:t>
      </w:r>
      <w:r w:rsidR="003B22F4">
        <w:rPr>
          <w:rFonts w:ascii="Century Gothic" w:eastAsia="Arial" w:hAnsi="Century Gothic" w:cs="Arial"/>
          <w:color w:val="auto"/>
          <w:szCs w:val="24"/>
          <w:lang w:val="es-MX"/>
        </w:rPr>
        <w:t>mentación de grupos,</w:t>
      </w:r>
      <w:r>
        <w:rPr>
          <w:rFonts w:ascii="Century Gothic" w:eastAsia="Arial" w:hAnsi="Century Gothic" w:cs="Arial"/>
          <w:color w:val="auto"/>
          <w:szCs w:val="24"/>
          <w:lang w:val="es-MX"/>
        </w:rPr>
        <w:t xml:space="preserve"> se encuentran ya regulados en los artículos 180 y 58, respectivamente de la </w:t>
      </w:r>
      <w:r w:rsidRPr="008D1EF3">
        <w:rPr>
          <w:rFonts w:ascii="Century Gothic" w:eastAsia="Arial" w:hAnsi="Century Gothic" w:cs="Arial"/>
          <w:b/>
          <w:bCs/>
          <w:color w:val="auto"/>
          <w:szCs w:val="24"/>
          <w:lang w:val="es-MX"/>
        </w:rPr>
        <w:t>Ley Estatal de Salud</w:t>
      </w:r>
      <w:r w:rsidR="00F53851">
        <w:rPr>
          <w:rFonts w:ascii="Century Gothic" w:eastAsia="Arial" w:hAnsi="Century Gothic" w:cs="Arial"/>
          <w:b/>
          <w:bCs/>
          <w:color w:val="auto"/>
          <w:szCs w:val="24"/>
          <w:lang w:val="es-MX"/>
        </w:rPr>
        <w:t>,</w:t>
      </w:r>
      <w:r w:rsidR="009B5DA5">
        <w:rPr>
          <w:rStyle w:val="Refdenotaalpie"/>
          <w:rFonts w:ascii="Century Gothic" w:eastAsia="Arial" w:hAnsi="Century Gothic" w:cs="Arial"/>
          <w:b/>
          <w:bCs/>
          <w:color w:val="auto"/>
          <w:szCs w:val="24"/>
          <w:lang w:val="es-MX"/>
        </w:rPr>
        <w:footnoteReference w:id="4"/>
      </w:r>
      <w:r w:rsidR="003B22F4">
        <w:rPr>
          <w:rFonts w:ascii="Century Gothic" w:eastAsia="Arial" w:hAnsi="Century Gothic" w:cs="Arial"/>
          <w:color w:val="auto"/>
          <w:szCs w:val="24"/>
          <w:lang w:val="es-MX"/>
        </w:rPr>
        <w:t xml:space="preserve"> mismos que</w:t>
      </w:r>
      <w:r>
        <w:rPr>
          <w:rFonts w:ascii="Century Gothic" w:eastAsia="Arial" w:hAnsi="Century Gothic" w:cs="Arial"/>
          <w:color w:val="auto"/>
          <w:szCs w:val="24"/>
          <w:lang w:val="es-MX"/>
        </w:rPr>
        <w:t xml:space="preserve"> se transcriben parcialmente a continuación: </w:t>
      </w:r>
    </w:p>
    <w:p w14:paraId="4C6F09DE" w14:textId="5ADA75FE" w:rsidR="008D1EF3" w:rsidRDefault="008D1EF3" w:rsidP="00D01CCA">
      <w:pPr>
        <w:pStyle w:val="Normal1"/>
        <w:spacing w:line="360" w:lineRule="auto"/>
        <w:contextualSpacing/>
        <w:jc w:val="both"/>
        <w:rPr>
          <w:rFonts w:ascii="Century Gothic" w:eastAsia="Arial" w:hAnsi="Century Gothic" w:cs="Arial"/>
          <w:color w:val="auto"/>
          <w:szCs w:val="24"/>
          <w:lang w:val="es-MX"/>
        </w:rPr>
      </w:pPr>
    </w:p>
    <w:p w14:paraId="09ED8424" w14:textId="1565EACD" w:rsidR="008D1EF3" w:rsidRDefault="008D1EF3" w:rsidP="008D1EF3">
      <w:pPr>
        <w:pStyle w:val="Normal1"/>
        <w:spacing w:line="360" w:lineRule="auto"/>
        <w:ind w:left="993" w:right="900"/>
        <w:contextualSpacing/>
        <w:jc w:val="both"/>
        <w:rPr>
          <w:rFonts w:ascii="Century Gothic" w:eastAsia="Arial" w:hAnsi="Century Gothic" w:cs="Arial"/>
          <w:i/>
          <w:iCs/>
          <w:color w:val="auto"/>
          <w:szCs w:val="24"/>
          <w:lang w:val="es-MX"/>
        </w:rPr>
      </w:pPr>
      <w:r w:rsidRPr="008D1EF3">
        <w:rPr>
          <w:rFonts w:ascii="Century Gothic" w:eastAsia="Arial" w:hAnsi="Century Gothic" w:cs="Arial"/>
          <w:i/>
          <w:iCs/>
          <w:color w:val="auto"/>
          <w:szCs w:val="24"/>
          <w:lang w:val="es-MX"/>
        </w:rPr>
        <w:lastRenderedPageBreak/>
        <w:t>“Artículo 180. Los programas para … adicciones, …, se promoverán a través de campañas permanentes de orientación, que permitan a las personas tener estilos de vida saludables y faculte a las comunidades a crear y consolidar ambientes saludables y se reduzcan los riesgos de enfermedad.”</w:t>
      </w:r>
    </w:p>
    <w:p w14:paraId="01ED6E8D" w14:textId="0CB6D3EB" w:rsidR="008D1EF3" w:rsidRDefault="008D1EF3" w:rsidP="008D1EF3">
      <w:pPr>
        <w:pStyle w:val="Normal1"/>
        <w:spacing w:line="360" w:lineRule="auto"/>
        <w:ind w:left="993" w:right="900"/>
        <w:contextualSpacing/>
        <w:jc w:val="both"/>
        <w:rPr>
          <w:rFonts w:ascii="Century Gothic" w:eastAsia="Arial" w:hAnsi="Century Gothic" w:cs="Arial"/>
          <w:i/>
          <w:iCs/>
          <w:color w:val="auto"/>
          <w:szCs w:val="24"/>
          <w:lang w:val="es-MX"/>
        </w:rPr>
      </w:pPr>
    </w:p>
    <w:p w14:paraId="6321DAE2" w14:textId="5BCAF903" w:rsidR="008D1EF3" w:rsidRPr="008D1EF3" w:rsidRDefault="008D1EF3" w:rsidP="008D1EF3">
      <w:pPr>
        <w:pStyle w:val="Normal1"/>
        <w:spacing w:line="360" w:lineRule="auto"/>
        <w:ind w:left="993" w:right="900"/>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8D1EF3">
        <w:rPr>
          <w:rFonts w:ascii="Century Gothic" w:eastAsia="Arial" w:hAnsi="Century Gothic" w:cs="Arial"/>
          <w:i/>
          <w:iCs/>
          <w:color w:val="auto"/>
          <w:szCs w:val="24"/>
          <w:lang w:val="es-MX"/>
        </w:rPr>
        <w:t>Artículo 58. La Secretaría y demás instituciones de salud estatales, promoverán y apoyarán la constitución de grupos, asociaciones y demás instituciones que tengan por objeto participar organizadamente en los programas de promoción y mejoramiento de la salud individual o colectiva.</w:t>
      </w:r>
    </w:p>
    <w:p w14:paraId="5CEC96CB" w14:textId="0C549AFE" w:rsidR="008D1EF3" w:rsidRPr="008D1EF3" w:rsidRDefault="008D1EF3" w:rsidP="008D1EF3">
      <w:pPr>
        <w:pStyle w:val="Normal1"/>
        <w:spacing w:line="360" w:lineRule="auto"/>
        <w:ind w:left="993" w:right="900"/>
        <w:contextualSpacing/>
        <w:jc w:val="both"/>
        <w:rPr>
          <w:rFonts w:ascii="Century Gothic" w:eastAsia="Arial" w:hAnsi="Century Gothic" w:cs="Arial"/>
          <w:i/>
          <w:iCs/>
          <w:color w:val="auto"/>
          <w:szCs w:val="24"/>
          <w:lang w:val="es-MX"/>
        </w:rPr>
      </w:pPr>
      <w:r w:rsidRPr="008D1EF3">
        <w:rPr>
          <w:rFonts w:ascii="Century Gothic" w:eastAsia="Arial" w:hAnsi="Century Gothic" w:cs="Arial"/>
          <w:i/>
          <w:iCs/>
          <w:color w:val="auto"/>
          <w:szCs w:val="24"/>
          <w:lang w:val="es-MX"/>
        </w:rPr>
        <w:t xml:space="preserve">Así mismo, participarán en la prevención de </w:t>
      </w:r>
      <w:r>
        <w:rPr>
          <w:rFonts w:ascii="Century Gothic" w:eastAsia="Arial" w:hAnsi="Century Gothic" w:cs="Arial"/>
          <w:i/>
          <w:iCs/>
          <w:color w:val="auto"/>
          <w:szCs w:val="24"/>
          <w:lang w:val="es-MX"/>
        </w:rPr>
        <w:t xml:space="preserve">… </w:t>
      </w:r>
      <w:r w:rsidRPr="008D1EF3">
        <w:rPr>
          <w:rFonts w:ascii="Century Gothic" w:eastAsia="Arial" w:hAnsi="Century Gothic" w:cs="Arial"/>
          <w:i/>
          <w:iCs/>
          <w:color w:val="auto"/>
          <w:szCs w:val="24"/>
          <w:lang w:val="es-MX"/>
        </w:rPr>
        <w:t xml:space="preserve">adicciones, en la rehabilitación de personas </w:t>
      </w:r>
      <w:r>
        <w:rPr>
          <w:rFonts w:ascii="Century Gothic" w:eastAsia="Arial" w:hAnsi="Century Gothic" w:cs="Arial"/>
          <w:i/>
          <w:iCs/>
          <w:color w:val="auto"/>
          <w:szCs w:val="24"/>
          <w:lang w:val="es-MX"/>
        </w:rPr>
        <w:t xml:space="preserve">… </w:t>
      </w:r>
      <w:r w:rsidRPr="008D1EF3">
        <w:rPr>
          <w:rFonts w:ascii="Century Gothic" w:eastAsia="Arial" w:hAnsi="Century Gothic" w:cs="Arial"/>
          <w:i/>
          <w:iCs/>
          <w:color w:val="auto"/>
          <w:szCs w:val="24"/>
          <w:lang w:val="es-MX"/>
        </w:rPr>
        <w:t>con adicción,</w:t>
      </w:r>
      <w:r w:rsidR="009B5DA5">
        <w:rPr>
          <w:rFonts w:ascii="Century Gothic" w:eastAsia="Arial" w:hAnsi="Century Gothic" w:cs="Arial"/>
          <w:i/>
          <w:iCs/>
          <w:color w:val="auto"/>
          <w:szCs w:val="24"/>
          <w:lang w:val="es-MX"/>
        </w:rPr>
        <w:t xml:space="preserve"> …</w:t>
      </w:r>
      <w:r>
        <w:rPr>
          <w:rFonts w:ascii="Century Gothic" w:eastAsia="Arial" w:hAnsi="Century Gothic" w:cs="Arial"/>
          <w:i/>
          <w:iCs/>
          <w:color w:val="auto"/>
          <w:szCs w:val="24"/>
          <w:lang w:val="es-MX"/>
        </w:rPr>
        <w:t>”</w:t>
      </w:r>
    </w:p>
    <w:p w14:paraId="77941CB2" w14:textId="0C9B152B" w:rsidR="008D1EF3" w:rsidRDefault="008D1EF3" w:rsidP="00943871">
      <w:pPr>
        <w:pStyle w:val="Normal1"/>
        <w:spacing w:line="360" w:lineRule="auto"/>
        <w:contextualSpacing/>
        <w:jc w:val="both"/>
        <w:rPr>
          <w:rFonts w:ascii="Century Gothic" w:eastAsia="Arial" w:hAnsi="Century Gothic" w:cs="Arial"/>
          <w:color w:val="auto"/>
          <w:szCs w:val="24"/>
          <w:lang w:val="es-MX"/>
        </w:rPr>
      </w:pPr>
    </w:p>
    <w:p w14:paraId="64524760" w14:textId="7E389480" w:rsidR="00943871" w:rsidRDefault="009B5DA5"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Ahora bien, r</w:t>
      </w:r>
      <w:r w:rsidRPr="009B5DA5">
        <w:rPr>
          <w:rFonts w:ascii="Century Gothic" w:eastAsia="Arial" w:hAnsi="Century Gothic" w:cs="Arial"/>
          <w:color w:val="auto"/>
          <w:szCs w:val="24"/>
          <w:lang w:val="es-MX"/>
        </w:rPr>
        <w:t>especto del planteamiento de adicionar un párrafo para que se fomente “</w:t>
      </w:r>
      <w:r w:rsidR="00F30FE6">
        <w:rPr>
          <w:rFonts w:ascii="Century Gothic" w:eastAsia="Arial" w:hAnsi="Century Gothic" w:cs="Arial"/>
          <w:i/>
          <w:iCs/>
          <w:color w:val="auto"/>
          <w:szCs w:val="24"/>
          <w:lang w:val="es-MX"/>
        </w:rPr>
        <w:t>L</w:t>
      </w:r>
      <w:r w:rsidRPr="009B5DA5">
        <w:rPr>
          <w:rFonts w:ascii="Century Gothic" w:eastAsia="Arial" w:hAnsi="Century Gothic" w:cs="Arial"/>
          <w:i/>
          <w:iCs/>
          <w:color w:val="auto"/>
          <w:szCs w:val="24"/>
          <w:lang w:val="es-MX"/>
        </w:rPr>
        <w:t>a educación e instrucción a la familia y a la comunidad sobre la forma de reconocer los síntomas de la ludopatía</w:t>
      </w:r>
      <w:r w:rsidRPr="009B5DA5">
        <w:rPr>
          <w:rFonts w:ascii="Century Gothic" w:eastAsia="Arial" w:hAnsi="Century Gothic" w:cs="Arial"/>
          <w:color w:val="auto"/>
          <w:szCs w:val="24"/>
          <w:lang w:val="es-MX"/>
        </w:rPr>
        <w:t>” y se adopten “</w:t>
      </w:r>
      <w:r w:rsidR="00F30FE6">
        <w:rPr>
          <w:rFonts w:ascii="Century Gothic" w:eastAsia="Arial" w:hAnsi="Century Gothic" w:cs="Arial"/>
          <w:i/>
          <w:iCs/>
          <w:color w:val="auto"/>
          <w:szCs w:val="24"/>
          <w:lang w:val="es-MX"/>
        </w:rPr>
        <w:t>L</w:t>
      </w:r>
      <w:r w:rsidRPr="009B5DA5">
        <w:rPr>
          <w:rFonts w:ascii="Century Gothic" w:eastAsia="Arial" w:hAnsi="Century Gothic" w:cs="Arial"/>
          <w:i/>
          <w:iCs/>
          <w:color w:val="auto"/>
          <w:szCs w:val="24"/>
          <w:lang w:val="es-MX"/>
        </w:rPr>
        <w:t>as medidas oportunas para su prevención y tratamiento</w:t>
      </w:r>
      <w:r w:rsidRPr="009B5DA5">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Concordamos en la conveniencia de seguir promoviendo las acciones adecuadas entre la población para disminuir los casos de esta enfermedad, mediante la promoción de hábitos preventivos adecuados; por lo que </w:t>
      </w:r>
      <w:r w:rsidRPr="009B5DA5">
        <w:rPr>
          <w:rFonts w:ascii="Century Gothic" w:eastAsia="Arial" w:hAnsi="Century Gothic" w:cs="Arial"/>
          <w:color w:val="auto"/>
          <w:szCs w:val="24"/>
          <w:lang w:val="es-MX"/>
        </w:rPr>
        <w:t>considera</w:t>
      </w:r>
      <w:r>
        <w:rPr>
          <w:rFonts w:ascii="Century Gothic" w:eastAsia="Arial" w:hAnsi="Century Gothic" w:cs="Arial"/>
          <w:color w:val="auto"/>
          <w:szCs w:val="24"/>
          <w:lang w:val="es-MX"/>
        </w:rPr>
        <w:t>mos</w:t>
      </w:r>
      <w:r w:rsidRPr="009B5DA5">
        <w:rPr>
          <w:rFonts w:ascii="Century Gothic" w:eastAsia="Arial" w:hAnsi="Century Gothic" w:cs="Arial"/>
          <w:color w:val="auto"/>
          <w:szCs w:val="24"/>
          <w:lang w:val="es-MX"/>
        </w:rPr>
        <w:t xml:space="preserve"> pertinente incluir</w:t>
      </w:r>
      <w:r>
        <w:rPr>
          <w:rFonts w:ascii="Century Gothic" w:eastAsia="Arial" w:hAnsi="Century Gothic" w:cs="Arial"/>
          <w:color w:val="auto"/>
          <w:szCs w:val="24"/>
          <w:lang w:val="es-MX"/>
        </w:rPr>
        <w:t xml:space="preserve"> dicha propuesta</w:t>
      </w:r>
      <w:r w:rsidRPr="009B5DA5">
        <w:rPr>
          <w:rFonts w:ascii="Century Gothic" w:eastAsia="Arial" w:hAnsi="Century Gothic" w:cs="Arial"/>
          <w:color w:val="auto"/>
          <w:szCs w:val="24"/>
          <w:lang w:val="es-MX"/>
        </w:rPr>
        <w:t xml:space="preserve"> dentro de la fracción II del </w:t>
      </w:r>
      <w:r>
        <w:rPr>
          <w:rFonts w:ascii="Century Gothic" w:eastAsia="Arial" w:hAnsi="Century Gothic" w:cs="Arial"/>
          <w:color w:val="auto"/>
          <w:szCs w:val="24"/>
          <w:lang w:val="es-MX"/>
        </w:rPr>
        <w:t xml:space="preserve">propio </w:t>
      </w:r>
      <w:r w:rsidRPr="009B5DA5">
        <w:rPr>
          <w:rFonts w:ascii="Century Gothic" w:eastAsia="Arial" w:hAnsi="Century Gothic" w:cs="Arial"/>
          <w:color w:val="auto"/>
          <w:szCs w:val="24"/>
          <w:lang w:val="es-MX"/>
        </w:rPr>
        <w:t xml:space="preserve">artículo, </w:t>
      </w:r>
      <w:r w:rsidRPr="009B5DA5">
        <w:rPr>
          <w:rFonts w:ascii="Century Gothic" w:eastAsia="Arial" w:hAnsi="Century Gothic" w:cs="Arial"/>
          <w:color w:val="auto"/>
          <w:szCs w:val="24"/>
          <w:lang w:val="es-MX"/>
        </w:rPr>
        <w:lastRenderedPageBreak/>
        <w:t>relativ</w:t>
      </w:r>
      <w:r w:rsidR="00F30FE6">
        <w:rPr>
          <w:rFonts w:ascii="Century Gothic" w:eastAsia="Arial" w:hAnsi="Century Gothic" w:cs="Arial"/>
          <w:color w:val="auto"/>
          <w:szCs w:val="24"/>
          <w:lang w:val="es-MX"/>
        </w:rPr>
        <w:t>o</w:t>
      </w:r>
      <w:r w:rsidRPr="009B5DA5">
        <w:rPr>
          <w:rFonts w:ascii="Century Gothic" w:eastAsia="Arial" w:hAnsi="Century Gothic" w:cs="Arial"/>
          <w:color w:val="auto"/>
          <w:szCs w:val="24"/>
          <w:lang w:val="es-MX"/>
        </w:rPr>
        <w:t xml:space="preserve"> a la educación sobre los efectos de la ludopatía en la salud y en las relaciones sociales.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200E45FE" w:rsidR="000069EE" w:rsidRDefault="000069EE" w:rsidP="000069EE">
      <w:pPr>
        <w:spacing w:after="0" w:line="360" w:lineRule="auto"/>
        <w:jc w:val="both"/>
        <w:rPr>
          <w:rFonts w:ascii="Century Gothic" w:hAnsi="Century Gothic" w:cs="Calibri"/>
          <w:sz w:val="24"/>
          <w:szCs w:val="24"/>
        </w:rPr>
      </w:pPr>
      <w:r w:rsidRPr="001E02D3">
        <w:rPr>
          <w:rFonts w:ascii="Century Gothic" w:hAnsi="Century Gothic" w:cs="Calibri"/>
          <w:sz w:val="24"/>
          <w:szCs w:val="24"/>
        </w:rPr>
        <w:t>A continuación,</w:t>
      </w:r>
      <w:r w:rsidRPr="007313CF">
        <w:rPr>
          <w:rFonts w:ascii="Century Gothic" w:hAnsi="Century Gothic" w:cs="Calibri"/>
          <w:sz w:val="24"/>
          <w:szCs w:val="24"/>
        </w:rPr>
        <w:t xml:space="preserve"> se inserta el siguiente cuadro comparativo para efecto de ilustrar la</w:t>
      </w:r>
      <w:r>
        <w:rPr>
          <w:rFonts w:ascii="Century Gothic" w:hAnsi="Century Gothic" w:cs="Calibri"/>
          <w:sz w:val="24"/>
          <w:szCs w:val="24"/>
        </w:rPr>
        <w:t>s</w:t>
      </w:r>
      <w:r w:rsidRPr="007313CF">
        <w:rPr>
          <w:rFonts w:ascii="Century Gothic" w:hAnsi="Century Gothic" w:cs="Calibri"/>
          <w:sz w:val="24"/>
          <w:szCs w:val="24"/>
        </w:rPr>
        <w:t xml:space="preserve"> reforma</w:t>
      </w:r>
      <w:r>
        <w:rPr>
          <w:rFonts w:ascii="Century Gothic" w:hAnsi="Century Gothic" w:cs="Calibri"/>
          <w:sz w:val="24"/>
          <w:szCs w:val="24"/>
        </w:rPr>
        <w:t>s</w:t>
      </w:r>
      <w:r w:rsidRPr="007313CF">
        <w:rPr>
          <w:rFonts w:ascii="Century Gothic" w:hAnsi="Century Gothic" w:cs="Calibri"/>
          <w:sz w:val="24"/>
          <w:szCs w:val="24"/>
        </w:rPr>
        <w:t xml:space="preserve"> que se propone</w:t>
      </w:r>
      <w:r>
        <w:rPr>
          <w:rFonts w:ascii="Century Gothic" w:hAnsi="Century Gothic" w:cs="Calibri"/>
          <w:sz w:val="24"/>
          <w:szCs w:val="24"/>
        </w:rPr>
        <w:t>n, así como los cambios de redacción</w:t>
      </w:r>
      <w:r w:rsidR="00701AC1">
        <w:rPr>
          <w:rFonts w:ascii="Century Gothic" w:hAnsi="Century Gothic" w:cs="Calibri"/>
          <w:sz w:val="24"/>
          <w:szCs w:val="24"/>
        </w:rPr>
        <w:t xml:space="preserve"> y ubicación</w:t>
      </w:r>
      <w:r>
        <w:rPr>
          <w:rFonts w:ascii="Century Gothic" w:hAnsi="Century Gothic" w:cs="Calibri"/>
          <w:sz w:val="24"/>
          <w:szCs w:val="24"/>
        </w:rPr>
        <w:t xml:space="preserve"> propuestos en la reunión de trabajo de la Comisión</w:t>
      </w:r>
      <w:r w:rsidRPr="007313CF">
        <w:rPr>
          <w:rFonts w:ascii="Century Gothic" w:hAnsi="Century Gothic" w:cs="Calibri"/>
          <w:sz w:val="24"/>
          <w:szCs w:val="24"/>
        </w:rPr>
        <w:t>:</w:t>
      </w:r>
    </w:p>
    <w:p w14:paraId="617F2C98" w14:textId="77777777" w:rsidR="000069EE" w:rsidRDefault="000069EE"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168"/>
        <w:gridCol w:w="3118"/>
        <w:gridCol w:w="2542"/>
      </w:tblGrid>
      <w:tr w:rsidR="00E35313" w14:paraId="15A4BB91" w14:textId="77777777" w:rsidTr="00910FBC">
        <w:tc>
          <w:tcPr>
            <w:tcW w:w="8828" w:type="dxa"/>
            <w:gridSpan w:val="3"/>
          </w:tcPr>
          <w:p w14:paraId="18C34117" w14:textId="77777777" w:rsidR="00E35313" w:rsidRPr="004762B4" w:rsidRDefault="00E35313" w:rsidP="00910FBC">
            <w:pPr>
              <w:jc w:val="center"/>
              <w:rPr>
                <w:b/>
                <w:bCs/>
              </w:rPr>
            </w:pPr>
            <w:r w:rsidRPr="004762B4">
              <w:rPr>
                <w:b/>
                <w:bCs/>
              </w:rPr>
              <w:t>Ley Estatal de Salud</w:t>
            </w:r>
          </w:p>
        </w:tc>
      </w:tr>
      <w:tr w:rsidR="00E35313" w14:paraId="506976CD" w14:textId="77777777" w:rsidTr="00910FBC">
        <w:tc>
          <w:tcPr>
            <w:tcW w:w="3168" w:type="dxa"/>
          </w:tcPr>
          <w:p w14:paraId="6BBC6398" w14:textId="77777777" w:rsidR="00E35313" w:rsidRPr="004762B4" w:rsidRDefault="00E35313" w:rsidP="00910FBC">
            <w:pPr>
              <w:jc w:val="center"/>
              <w:rPr>
                <w:b/>
                <w:bCs/>
              </w:rPr>
            </w:pPr>
            <w:r w:rsidRPr="004762B4">
              <w:rPr>
                <w:b/>
                <w:bCs/>
              </w:rPr>
              <w:t>Texto Vigente</w:t>
            </w:r>
          </w:p>
        </w:tc>
        <w:tc>
          <w:tcPr>
            <w:tcW w:w="3118" w:type="dxa"/>
          </w:tcPr>
          <w:p w14:paraId="3545A7B8" w14:textId="77777777" w:rsidR="00E35313" w:rsidRPr="004762B4" w:rsidRDefault="00E35313" w:rsidP="00910FBC">
            <w:pPr>
              <w:jc w:val="center"/>
              <w:rPr>
                <w:b/>
                <w:bCs/>
              </w:rPr>
            </w:pPr>
            <w:r w:rsidRPr="004762B4">
              <w:rPr>
                <w:b/>
                <w:bCs/>
              </w:rPr>
              <w:t>Iniciativa</w:t>
            </w:r>
          </w:p>
        </w:tc>
        <w:tc>
          <w:tcPr>
            <w:tcW w:w="2542" w:type="dxa"/>
          </w:tcPr>
          <w:p w14:paraId="4C400E17" w14:textId="77777777" w:rsidR="00E35313" w:rsidRPr="004762B4" w:rsidRDefault="00E35313" w:rsidP="00910FBC">
            <w:pPr>
              <w:jc w:val="center"/>
              <w:rPr>
                <w:b/>
                <w:bCs/>
              </w:rPr>
            </w:pPr>
            <w:r w:rsidRPr="004762B4">
              <w:rPr>
                <w:b/>
                <w:bCs/>
              </w:rPr>
              <w:t>Comisión</w:t>
            </w:r>
          </w:p>
        </w:tc>
      </w:tr>
      <w:tr w:rsidR="009B5DA5" w14:paraId="30650CE7" w14:textId="77777777" w:rsidTr="00910FBC">
        <w:tc>
          <w:tcPr>
            <w:tcW w:w="3168" w:type="dxa"/>
          </w:tcPr>
          <w:p w14:paraId="0B7F8547" w14:textId="77777777" w:rsidR="009B5DA5" w:rsidRPr="00D845A6" w:rsidRDefault="009B5DA5" w:rsidP="009B5DA5">
            <w:pPr>
              <w:jc w:val="center"/>
              <w:rPr>
                <w:rFonts w:cstheme="minorHAnsi"/>
              </w:rPr>
            </w:pPr>
            <w:bookmarkStart w:id="1" w:name="_Hlk144713988"/>
            <w:r w:rsidRPr="00D845A6">
              <w:rPr>
                <w:rFonts w:cstheme="minorHAnsi"/>
              </w:rPr>
              <w:t>CAPÍTULO IV</w:t>
            </w:r>
          </w:p>
          <w:p w14:paraId="3628B16A" w14:textId="77777777" w:rsidR="009B5DA5" w:rsidRPr="00D845A6" w:rsidRDefault="009B5DA5" w:rsidP="009B5DA5">
            <w:pPr>
              <w:jc w:val="center"/>
              <w:rPr>
                <w:rFonts w:cstheme="minorHAnsi"/>
              </w:rPr>
            </w:pPr>
            <w:r w:rsidRPr="00D845A6">
              <w:rPr>
                <w:rFonts w:cstheme="minorHAnsi"/>
              </w:rPr>
              <w:t>PROGRAMAS PARA LA ATENCIÓN DE LAS ADICCIONES</w:t>
            </w:r>
          </w:p>
          <w:p w14:paraId="1A18ECDA" w14:textId="77777777" w:rsidR="009B5DA5" w:rsidRDefault="009B5DA5" w:rsidP="009B5DA5">
            <w:pPr>
              <w:jc w:val="both"/>
              <w:rPr>
                <w:rFonts w:cstheme="minorHAnsi"/>
              </w:rPr>
            </w:pPr>
          </w:p>
          <w:p w14:paraId="522AEF56" w14:textId="484BAC2C" w:rsidR="009B5DA5" w:rsidRDefault="009B5DA5" w:rsidP="009B5DA5">
            <w:pPr>
              <w:jc w:val="both"/>
              <w:rPr>
                <w:rFonts w:cstheme="minorHAnsi"/>
              </w:rPr>
            </w:pPr>
            <w:r w:rsidRPr="00D845A6">
              <w:rPr>
                <w:rFonts w:cstheme="minorHAnsi"/>
              </w:rPr>
              <w:t>Artículo 202. El Ejecutivo del Estado implementará, coadyuvará y se coordinará con las autoridades sanitarias</w:t>
            </w:r>
            <w:r>
              <w:rPr>
                <w:rFonts w:cstheme="minorHAnsi"/>
              </w:rPr>
              <w:t xml:space="preserve"> </w:t>
            </w:r>
            <w:r w:rsidRPr="00D845A6">
              <w:rPr>
                <w:rFonts w:cstheme="minorHAnsi"/>
              </w:rPr>
              <w:t>federales para la ejecución del programa contra las adicciones, como el alcoholismo, el abuso de bebidas</w:t>
            </w:r>
            <w:r>
              <w:rPr>
                <w:rFonts w:cstheme="minorHAnsi"/>
              </w:rPr>
              <w:t xml:space="preserve"> </w:t>
            </w:r>
            <w:r w:rsidRPr="00D845A6">
              <w:rPr>
                <w:rFonts w:cstheme="minorHAnsi"/>
              </w:rPr>
              <w:t>alcohólicas, tabaquismo, farmacodependencia y ludopatía, que comprenderá, entre otras, las siguientes:</w:t>
            </w:r>
          </w:p>
          <w:p w14:paraId="542C9DDE" w14:textId="77777777" w:rsidR="009B5DA5" w:rsidRDefault="009B5DA5" w:rsidP="009B5DA5">
            <w:pPr>
              <w:jc w:val="both"/>
              <w:rPr>
                <w:rFonts w:cstheme="minorHAnsi"/>
              </w:rPr>
            </w:pPr>
            <w:r>
              <w:rPr>
                <w:rFonts w:cstheme="minorHAnsi"/>
              </w:rPr>
              <w:t>A) a C). …</w:t>
            </w:r>
          </w:p>
          <w:p w14:paraId="4EB12F81" w14:textId="77777777" w:rsidR="009B5DA5" w:rsidRPr="00E45CDE" w:rsidRDefault="009B5DA5" w:rsidP="009B5DA5">
            <w:pPr>
              <w:jc w:val="both"/>
              <w:rPr>
                <w:rFonts w:cstheme="minorHAnsi"/>
              </w:rPr>
            </w:pPr>
            <w:r w:rsidRPr="00E45CDE">
              <w:rPr>
                <w:rFonts w:cstheme="minorHAnsi"/>
              </w:rPr>
              <w:t>D) De Ludopatía:</w:t>
            </w:r>
          </w:p>
          <w:p w14:paraId="7E784A3E" w14:textId="77777777" w:rsidR="009B5DA5" w:rsidRPr="00E45CDE" w:rsidRDefault="009B5DA5" w:rsidP="009B5DA5">
            <w:pPr>
              <w:jc w:val="both"/>
              <w:rPr>
                <w:rFonts w:cstheme="minorHAnsi"/>
              </w:rPr>
            </w:pPr>
            <w:r w:rsidRPr="00E45CDE">
              <w:rPr>
                <w:rFonts w:cstheme="minorHAnsi"/>
              </w:rPr>
              <w:lastRenderedPageBreak/>
              <w:t>l. Prevención y tratamiento de la ludopatía y, en su caso, la rehabilitación de los adictos.</w:t>
            </w:r>
          </w:p>
          <w:p w14:paraId="67C51951" w14:textId="77777777" w:rsidR="009B5DA5" w:rsidRPr="00E45CDE" w:rsidRDefault="009B5DA5" w:rsidP="009B5DA5">
            <w:pPr>
              <w:jc w:val="both"/>
              <w:rPr>
                <w:rFonts w:cstheme="minorHAnsi"/>
              </w:rPr>
            </w:pPr>
            <w:r w:rsidRPr="00E45CDE">
              <w:rPr>
                <w:rFonts w:cstheme="minorHAnsi"/>
              </w:rPr>
              <w:t>ll. Educación sobre los efectos de la ludopatía en la salud y en las relaciones sociales.</w:t>
            </w:r>
          </w:p>
          <w:p w14:paraId="5132DB3B" w14:textId="7B7657D6" w:rsidR="009B5DA5" w:rsidRPr="00E45CDE" w:rsidRDefault="009B5DA5" w:rsidP="009B5DA5">
            <w:pPr>
              <w:jc w:val="both"/>
              <w:rPr>
                <w:rFonts w:cstheme="minorHAnsi"/>
              </w:rPr>
            </w:pPr>
            <w:proofErr w:type="spellStart"/>
            <w:r w:rsidRPr="00E45CDE">
              <w:rPr>
                <w:rFonts w:cstheme="minorHAnsi"/>
              </w:rPr>
              <w:t>lll</w:t>
            </w:r>
            <w:proofErr w:type="spellEnd"/>
            <w:r w:rsidRPr="00E45CDE">
              <w:rPr>
                <w:rFonts w:cstheme="minorHAnsi"/>
              </w:rPr>
              <w:t>. Fomento de actividades cívicas, deportivas y culturales, que coadyuven en la prevención de</w:t>
            </w:r>
            <w:r>
              <w:rPr>
                <w:rFonts w:cstheme="minorHAnsi"/>
              </w:rPr>
              <w:t xml:space="preserve"> </w:t>
            </w:r>
            <w:r w:rsidRPr="00E45CDE">
              <w:rPr>
                <w:rFonts w:cstheme="minorHAnsi"/>
              </w:rPr>
              <w:t>la ludopatía, en los grupos de población considerados de alto riesgo.</w:t>
            </w:r>
          </w:p>
          <w:p w14:paraId="420EB621" w14:textId="088B11AD" w:rsidR="009B5DA5" w:rsidRDefault="009B5DA5" w:rsidP="009B5DA5">
            <w:pPr>
              <w:jc w:val="both"/>
              <w:rPr>
                <w:sz w:val="20"/>
                <w:szCs w:val="20"/>
              </w:rPr>
            </w:pPr>
          </w:p>
        </w:tc>
        <w:tc>
          <w:tcPr>
            <w:tcW w:w="3118" w:type="dxa"/>
          </w:tcPr>
          <w:p w14:paraId="11A302DD" w14:textId="77777777" w:rsidR="009B5DA5" w:rsidRPr="00D845A6" w:rsidRDefault="009B5DA5" w:rsidP="009B5DA5">
            <w:pPr>
              <w:rPr>
                <w:rFonts w:cstheme="minorHAnsi"/>
              </w:rPr>
            </w:pPr>
            <w:r w:rsidRPr="00D845A6">
              <w:rPr>
                <w:rFonts w:cstheme="minorHAnsi"/>
              </w:rPr>
              <w:lastRenderedPageBreak/>
              <w:t>CAPÍTULO IV</w:t>
            </w:r>
          </w:p>
          <w:p w14:paraId="35B18AF0" w14:textId="77777777" w:rsidR="009B5DA5" w:rsidRPr="00D845A6" w:rsidRDefault="009B5DA5" w:rsidP="009B5DA5">
            <w:pPr>
              <w:jc w:val="center"/>
              <w:rPr>
                <w:rFonts w:cstheme="minorHAnsi"/>
              </w:rPr>
            </w:pPr>
            <w:r w:rsidRPr="00D845A6">
              <w:rPr>
                <w:rFonts w:cstheme="minorHAnsi"/>
              </w:rPr>
              <w:t>PROGRAMAS PARA LA ATENCIÓN DE LAS ADICCIONES</w:t>
            </w:r>
          </w:p>
          <w:p w14:paraId="604FAF8F" w14:textId="77777777" w:rsidR="009B5DA5" w:rsidRDefault="009B5DA5" w:rsidP="009B5DA5">
            <w:pPr>
              <w:jc w:val="both"/>
              <w:rPr>
                <w:rFonts w:cstheme="minorHAnsi"/>
              </w:rPr>
            </w:pPr>
          </w:p>
          <w:p w14:paraId="772BEAEE" w14:textId="0C136D2B" w:rsidR="009B5DA5" w:rsidRDefault="009B5DA5" w:rsidP="009B5DA5">
            <w:pPr>
              <w:jc w:val="both"/>
              <w:rPr>
                <w:rFonts w:cstheme="minorHAnsi"/>
              </w:rPr>
            </w:pPr>
            <w:r w:rsidRPr="00D845A6">
              <w:rPr>
                <w:rFonts w:cstheme="minorHAnsi"/>
              </w:rPr>
              <w:t>Artículo 202. El Ejecutivo del Estado implementará, coadyuvará y se coordinará con las autoridades sanitarias</w:t>
            </w:r>
            <w:r>
              <w:rPr>
                <w:rFonts w:cstheme="minorHAnsi"/>
              </w:rPr>
              <w:t xml:space="preserve"> </w:t>
            </w:r>
            <w:r w:rsidRPr="00D845A6">
              <w:rPr>
                <w:rFonts w:cstheme="minorHAnsi"/>
              </w:rPr>
              <w:t>federales para la ejecución del programa contra las adicciones, como el alcoholismo, el abuso de bebidas</w:t>
            </w:r>
            <w:r>
              <w:rPr>
                <w:rFonts w:cstheme="minorHAnsi"/>
              </w:rPr>
              <w:t xml:space="preserve"> </w:t>
            </w:r>
            <w:r w:rsidRPr="00D845A6">
              <w:rPr>
                <w:rFonts w:cstheme="minorHAnsi"/>
              </w:rPr>
              <w:t>alcohólicas, tabaquismo, farmacodependencia y ludopatía, que comprenderá, entre otras, las siguientes:</w:t>
            </w:r>
          </w:p>
          <w:p w14:paraId="6AE0B32E" w14:textId="77777777" w:rsidR="009B5DA5" w:rsidRDefault="009B5DA5" w:rsidP="009B5DA5">
            <w:pPr>
              <w:jc w:val="both"/>
              <w:rPr>
                <w:rFonts w:cstheme="minorHAnsi"/>
              </w:rPr>
            </w:pPr>
            <w:r>
              <w:rPr>
                <w:rFonts w:cstheme="minorHAnsi"/>
              </w:rPr>
              <w:t>A) a C). …</w:t>
            </w:r>
          </w:p>
          <w:p w14:paraId="4946DC54" w14:textId="77777777" w:rsidR="009B5DA5" w:rsidRPr="00E45CDE" w:rsidRDefault="009B5DA5" w:rsidP="009B5DA5">
            <w:pPr>
              <w:jc w:val="both"/>
              <w:rPr>
                <w:rFonts w:cstheme="minorHAnsi"/>
              </w:rPr>
            </w:pPr>
            <w:r w:rsidRPr="00E45CDE">
              <w:rPr>
                <w:rFonts w:cstheme="minorHAnsi"/>
              </w:rPr>
              <w:t>D) De Ludopatía:</w:t>
            </w:r>
          </w:p>
          <w:p w14:paraId="3E7F5CA8" w14:textId="77777777" w:rsidR="009B5DA5" w:rsidRPr="00E45CDE" w:rsidRDefault="009B5DA5" w:rsidP="009B5DA5">
            <w:pPr>
              <w:jc w:val="both"/>
              <w:rPr>
                <w:rFonts w:cstheme="minorHAnsi"/>
              </w:rPr>
            </w:pPr>
            <w:r w:rsidRPr="00E45CDE">
              <w:rPr>
                <w:rFonts w:cstheme="minorHAnsi"/>
              </w:rPr>
              <w:lastRenderedPageBreak/>
              <w:t>l. Prevención y tratamiento de la ludopatía y, en su caso, la rehabilitación de los adictos.</w:t>
            </w:r>
          </w:p>
          <w:p w14:paraId="37126037" w14:textId="77777777" w:rsidR="009B5DA5" w:rsidRPr="00E45CDE" w:rsidRDefault="009B5DA5" w:rsidP="009B5DA5">
            <w:pPr>
              <w:jc w:val="both"/>
              <w:rPr>
                <w:rFonts w:cstheme="minorHAnsi"/>
              </w:rPr>
            </w:pPr>
            <w:r w:rsidRPr="00E45CDE">
              <w:rPr>
                <w:rFonts w:cstheme="minorHAnsi"/>
              </w:rPr>
              <w:t>ll. Educación sobre los efectos de la ludopatía en la salud y en las relaciones sociales.</w:t>
            </w:r>
          </w:p>
          <w:p w14:paraId="7F03622F" w14:textId="665D7E61" w:rsidR="009B5DA5" w:rsidRDefault="009B5DA5" w:rsidP="009B5DA5">
            <w:pPr>
              <w:jc w:val="both"/>
              <w:rPr>
                <w:rFonts w:cstheme="minorHAnsi"/>
              </w:rPr>
            </w:pPr>
            <w:proofErr w:type="spellStart"/>
            <w:r w:rsidRPr="00E45CDE">
              <w:rPr>
                <w:rFonts w:cstheme="minorHAnsi"/>
              </w:rPr>
              <w:t>lll</w:t>
            </w:r>
            <w:proofErr w:type="spellEnd"/>
            <w:r w:rsidRPr="00E45CDE">
              <w:rPr>
                <w:rFonts w:cstheme="minorHAnsi"/>
              </w:rPr>
              <w:t>. Fomento de actividades cívicas, deportivas y culturales, que coadyuven en la prevención de</w:t>
            </w:r>
            <w:r>
              <w:rPr>
                <w:rFonts w:cstheme="minorHAnsi"/>
              </w:rPr>
              <w:t xml:space="preserve"> </w:t>
            </w:r>
            <w:r w:rsidRPr="00E45CDE">
              <w:rPr>
                <w:rFonts w:cstheme="minorHAnsi"/>
              </w:rPr>
              <w:t>la ludopatía, en los grupos de población considerados de alto riesgo.</w:t>
            </w:r>
          </w:p>
          <w:p w14:paraId="3FDAAF78" w14:textId="77777777" w:rsidR="009B5DA5" w:rsidRPr="00E45CDE" w:rsidRDefault="009B5DA5" w:rsidP="009B5DA5">
            <w:pPr>
              <w:jc w:val="both"/>
              <w:rPr>
                <w:rFonts w:cstheme="minorHAnsi"/>
                <w:b/>
                <w:bCs/>
              </w:rPr>
            </w:pPr>
            <w:r w:rsidRPr="00E45CDE">
              <w:rPr>
                <w:rFonts w:cstheme="minorHAnsi"/>
                <w:b/>
                <w:bCs/>
              </w:rPr>
              <w:t xml:space="preserve">IV. Promoverán y llevarán a cabo campañas permanentes de información y orientación al público en general como también a jugadores, de igual manera se implementarán grupos para la prevención de daños a la salud provocados por la adicción al juego. </w:t>
            </w:r>
          </w:p>
          <w:p w14:paraId="438A54F4" w14:textId="77777777" w:rsidR="009B5DA5" w:rsidRPr="00E45CDE" w:rsidRDefault="009B5DA5" w:rsidP="009B5DA5">
            <w:pPr>
              <w:jc w:val="both"/>
              <w:rPr>
                <w:rFonts w:cstheme="minorHAnsi"/>
                <w:b/>
                <w:bCs/>
              </w:rPr>
            </w:pPr>
            <w:r w:rsidRPr="00E45CDE">
              <w:rPr>
                <w:rFonts w:cstheme="minorHAnsi"/>
                <w:b/>
                <w:bCs/>
              </w:rPr>
              <w:t>Así mismo, fomentarán la educación e instrucción a la familia y a la comunidad sobre la forma de reconocer los síntomas de la ludopatía y adoptar las medidas oportunas para su prevención y tratamiento.</w:t>
            </w:r>
          </w:p>
          <w:p w14:paraId="1D974754" w14:textId="5CD2C3FA" w:rsidR="009B5DA5" w:rsidRDefault="009B5DA5" w:rsidP="009B5DA5">
            <w:pPr>
              <w:jc w:val="both"/>
              <w:rPr>
                <w:sz w:val="20"/>
                <w:szCs w:val="20"/>
              </w:rPr>
            </w:pPr>
          </w:p>
        </w:tc>
        <w:tc>
          <w:tcPr>
            <w:tcW w:w="2542" w:type="dxa"/>
          </w:tcPr>
          <w:p w14:paraId="6FE1E3B0" w14:textId="77777777" w:rsidR="009B5DA5" w:rsidRPr="00D845A6" w:rsidRDefault="009B5DA5" w:rsidP="009B5DA5">
            <w:pPr>
              <w:jc w:val="center"/>
              <w:rPr>
                <w:rFonts w:cstheme="minorHAnsi"/>
              </w:rPr>
            </w:pPr>
            <w:r w:rsidRPr="00D845A6">
              <w:rPr>
                <w:rFonts w:cstheme="minorHAnsi"/>
              </w:rPr>
              <w:lastRenderedPageBreak/>
              <w:t>CAPÍTULO IV</w:t>
            </w:r>
          </w:p>
          <w:p w14:paraId="47E8B80B" w14:textId="77777777" w:rsidR="009B5DA5" w:rsidRPr="00D845A6" w:rsidRDefault="009B5DA5" w:rsidP="009B5DA5">
            <w:pPr>
              <w:jc w:val="center"/>
              <w:rPr>
                <w:rFonts w:cstheme="minorHAnsi"/>
              </w:rPr>
            </w:pPr>
            <w:r w:rsidRPr="00D845A6">
              <w:rPr>
                <w:rFonts w:cstheme="minorHAnsi"/>
              </w:rPr>
              <w:t>PROGRAMAS PARA LA ATENCIÓN DE LAS ADICCIONES</w:t>
            </w:r>
          </w:p>
          <w:p w14:paraId="45E9676C" w14:textId="77777777" w:rsidR="009B5DA5" w:rsidRDefault="009B5DA5" w:rsidP="009B5DA5">
            <w:pPr>
              <w:jc w:val="both"/>
              <w:rPr>
                <w:rFonts w:cstheme="minorHAnsi"/>
              </w:rPr>
            </w:pPr>
            <w:r w:rsidRPr="00D845A6">
              <w:rPr>
                <w:rFonts w:cstheme="minorHAnsi"/>
              </w:rPr>
              <w:t>Artículo 202. El Ejecutivo del Estado implementará, coadyuvará y se coordinará con las autoridades sanitarias</w:t>
            </w:r>
            <w:r>
              <w:rPr>
                <w:rFonts w:cstheme="minorHAnsi"/>
              </w:rPr>
              <w:t xml:space="preserve"> </w:t>
            </w:r>
            <w:r w:rsidRPr="00D845A6">
              <w:rPr>
                <w:rFonts w:cstheme="minorHAnsi"/>
              </w:rPr>
              <w:t>federales para la ejecución del programa contra las adicciones, como el alcoholismo, el abuso de bebidas</w:t>
            </w:r>
            <w:r>
              <w:rPr>
                <w:rFonts w:cstheme="minorHAnsi"/>
              </w:rPr>
              <w:t xml:space="preserve"> </w:t>
            </w:r>
            <w:r w:rsidRPr="00D845A6">
              <w:rPr>
                <w:rFonts w:cstheme="minorHAnsi"/>
              </w:rPr>
              <w:t>alcohólicas, tabaquismo, farmacodependencia y ludopatía, que comprenderá, entre otras, las siguientes:</w:t>
            </w:r>
          </w:p>
          <w:p w14:paraId="26316384" w14:textId="77777777" w:rsidR="009B5DA5" w:rsidRDefault="009B5DA5" w:rsidP="009B5DA5">
            <w:pPr>
              <w:jc w:val="both"/>
              <w:rPr>
                <w:rFonts w:cstheme="minorHAnsi"/>
              </w:rPr>
            </w:pPr>
            <w:r>
              <w:rPr>
                <w:rFonts w:cstheme="minorHAnsi"/>
              </w:rPr>
              <w:t>A) a C). …</w:t>
            </w:r>
          </w:p>
          <w:p w14:paraId="4FC38B28" w14:textId="77777777" w:rsidR="009B5DA5" w:rsidRPr="00E45CDE" w:rsidRDefault="009B5DA5" w:rsidP="009B5DA5">
            <w:pPr>
              <w:jc w:val="both"/>
              <w:rPr>
                <w:rFonts w:cstheme="minorHAnsi"/>
              </w:rPr>
            </w:pPr>
            <w:r w:rsidRPr="00E45CDE">
              <w:rPr>
                <w:rFonts w:cstheme="minorHAnsi"/>
              </w:rPr>
              <w:t>D) De Ludopatía:</w:t>
            </w:r>
          </w:p>
          <w:p w14:paraId="1BBE4CF5" w14:textId="77777777" w:rsidR="009B5DA5" w:rsidRPr="00E45CDE" w:rsidRDefault="009B5DA5" w:rsidP="009B5DA5">
            <w:pPr>
              <w:jc w:val="both"/>
              <w:rPr>
                <w:rFonts w:cstheme="minorHAnsi"/>
              </w:rPr>
            </w:pPr>
            <w:r w:rsidRPr="00E45CDE">
              <w:rPr>
                <w:rFonts w:cstheme="minorHAnsi"/>
              </w:rPr>
              <w:lastRenderedPageBreak/>
              <w:t>l. Prevención y tratamiento de la ludopatía y, en su caso, la rehabilitación de los adictos.</w:t>
            </w:r>
          </w:p>
          <w:p w14:paraId="6E9B1B28" w14:textId="77777777" w:rsidR="009B5DA5" w:rsidRPr="00E45CDE" w:rsidRDefault="009B5DA5" w:rsidP="009B5DA5">
            <w:pPr>
              <w:jc w:val="both"/>
              <w:rPr>
                <w:rFonts w:cstheme="minorHAnsi"/>
                <w:b/>
                <w:bCs/>
              </w:rPr>
            </w:pPr>
            <w:r w:rsidRPr="00E45CDE">
              <w:rPr>
                <w:rFonts w:cstheme="minorHAnsi"/>
              </w:rPr>
              <w:t xml:space="preserve">ll. Educación sobre </w:t>
            </w:r>
            <w:r w:rsidRPr="00E45CDE">
              <w:rPr>
                <w:rFonts w:cstheme="minorHAnsi"/>
                <w:b/>
                <w:bCs/>
              </w:rPr>
              <w:t xml:space="preserve">la forma de reconocer los síntomas </w:t>
            </w:r>
            <w:r w:rsidRPr="00B877D7">
              <w:rPr>
                <w:rFonts w:cstheme="minorHAnsi"/>
              </w:rPr>
              <w:t>de la ludopatía</w:t>
            </w:r>
            <w:r>
              <w:rPr>
                <w:rFonts w:cstheme="minorHAnsi"/>
                <w:b/>
                <w:bCs/>
              </w:rPr>
              <w:t>,</w:t>
            </w:r>
            <w:r w:rsidRPr="00E45CDE">
              <w:rPr>
                <w:rFonts w:cstheme="minorHAnsi"/>
              </w:rPr>
              <w:t xml:space="preserve"> </w:t>
            </w:r>
            <w:r w:rsidRPr="00CF0AE9">
              <w:rPr>
                <w:rFonts w:cstheme="minorHAnsi"/>
                <w:b/>
                <w:bCs/>
              </w:rPr>
              <w:t xml:space="preserve">sus </w:t>
            </w:r>
            <w:r w:rsidRPr="00E45CDE">
              <w:rPr>
                <w:rFonts w:cstheme="minorHAnsi"/>
              </w:rPr>
              <w:t>efectos en la salud y en las relaciones sociales</w:t>
            </w:r>
            <w:r>
              <w:rPr>
                <w:rFonts w:cstheme="minorHAnsi"/>
              </w:rPr>
              <w:t xml:space="preserve">, </w:t>
            </w:r>
            <w:r w:rsidRPr="00F30FE6">
              <w:rPr>
                <w:rFonts w:cstheme="minorHAnsi"/>
                <w:b/>
                <w:bCs/>
              </w:rPr>
              <w:t>así como</w:t>
            </w:r>
            <w:r>
              <w:rPr>
                <w:rFonts w:cstheme="minorHAnsi"/>
              </w:rPr>
              <w:t xml:space="preserve"> </w:t>
            </w:r>
            <w:r w:rsidRPr="00E45CDE">
              <w:rPr>
                <w:rFonts w:cstheme="minorHAnsi"/>
                <w:b/>
                <w:bCs/>
              </w:rPr>
              <w:t>las medidas oportunas para su prevención y tratamiento.</w:t>
            </w:r>
          </w:p>
          <w:p w14:paraId="5230ACE1" w14:textId="242205F7" w:rsidR="009B5DA5" w:rsidRPr="00E35313" w:rsidRDefault="009B5DA5" w:rsidP="009B5DA5">
            <w:pPr>
              <w:jc w:val="both"/>
            </w:pPr>
            <w:r>
              <w:t xml:space="preserve">III. … </w:t>
            </w:r>
          </w:p>
        </w:tc>
      </w:tr>
      <w:bookmarkEnd w:id="1"/>
    </w:tbl>
    <w:p w14:paraId="366F3374" w14:textId="77777777" w:rsidR="00D96879" w:rsidRDefault="00D96879" w:rsidP="00797D4B">
      <w:pPr>
        <w:pStyle w:val="Normal1"/>
        <w:spacing w:line="360" w:lineRule="auto"/>
        <w:contextualSpacing/>
        <w:jc w:val="both"/>
        <w:rPr>
          <w:rFonts w:ascii="Century Gothic" w:eastAsia="Arial" w:hAnsi="Century Gothic" w:cs="Arial"/>
          <w:b/>
          <w:szCs w:val="24"/>
          <w:lang w:val="es-MX"/>
        </w:rPr>
      </w:pPr>
    </w:p>
    <w:p w14:paraId="6315C96C"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5CABF4FB" w14:textId="3D1D3222"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lastRenderedPageBreak/>
        <w:t>VI</w:t>
      </w:r>
      <w:r w:rsidR="007946B7" w:rsidRPr="007946B7">
        <w:rPr>
          <w:rFonts w:ascii="Century Gothic" w:eastAsia="Arial" w:hAnsi="Century Gothic" w:cs="Arial"/>
          <w:b/>
          <w:szCs w:val="24"/>
          <w:lang w:val="es-MX"/>
        </w:rPr>
        <w:t>I.-</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0B97552F"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 xml:space="preserve">Por lo anteriormente expuesto, </w:t>
      </w:r>
      <w:r>
        <w:rPr>
          <w:rFonts w:ascii="Century Gothic" w:hAnsi="Century Gothic"/>
          <w:bCs/>
          <w:szCs w:val="24"/>
        </w:rPr>
        <w:t>y</w:t>
      </w:r>
      <w:r w:rsidR="00D0729D">
        <w:rPr>
          <w:rFonts w:ascii="Century Gothic" w:hAnsi="Century Gothic"/>
          <w:bCs/>
          <w:szCs w:val="24"/>
        </w:rPr>
        <w:t xml:space="preserve"> a fin de fortalecer las estrategias de salud tendientes a promover la prevención, tratamiento y control de</w:t>
      </w:r>
      <w:r w:rsidR="00513E3B">
        <w:rPr>
          <w:rFonts w:ascii="Century Gothic" w:hAnsi="Century Gothic"/>
          <w:bCs/>
          <w:szCs w:val="24"/>
        </w:rPr>
        <w:t xml:space="preserve"> la ludopatía</w:t>
      </w:r>
      <w:r>
        <w:rPr>
          <w:rFonts w:ascii="Century Gothic" w:hAnsi="Century Gothic"/>
          <w:bCs/>
          <w:szCs w:val="24"/>
        </w:rPr>
        <w:t xml:space="preserve">, </w:t>
      </w:r>
      <w:r w:rsidRPr="00884D05">
        <w:rPr>
          <w:rFonts w:ascii="Century Gothic" w:hAnsi="Century Gothic"/>
          <w:bCs/>
          <w:szCs w:val="24"/>
        </w:rPr>
        <w:t>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59DDC3E9" w14:textId="5A0EC33D"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BA46FC">
        <w:rPr>
          <w:rFonts w:ascii="Century Gothic" w:hAnsi="Century Gothic"/>
          <w:sz w:val="24"/>
          <w:szCs w:val="24"/>
        </w:rPr>
        <w:t xml:space="preserve"> </w:t>
      </w:r>
      <w:r w:rsidR="00C002D6">
        <w:rPr>
          <w:rFonts w:ascii="Century Gothic" w:hAnsi="Century Gothic"/>
          <w:sz w:val="24"/>
          <w:szCs w:val="24"/>
        </w:rPr>
        <w:t>el</w:t>
      </w:r>
      <w:r w:rsidR="00BA46FC">
        <w:rPr>
          <w:rFonts w:ascii="Century Gothic" w:hAnsi="Century Gothic"/>
          <w:sz w:val="24"/>
          <w:szCs w:val="24"/>
        </w:rPr>
        <w:t xml:space="preserve"> artículo </w:t>
      </w:r>
      <w:r w:rsidR="00C002D6">
        <w:rPr>
          <w:rFonts w:ascii="Century Gothic" w:hAnsi="Century Gothic"/>
          <w:sz w:val="24"/>
          <w:szCs w:val="24"/>
        </w:rPr>
        <w:t>202</w:t>
      </w:r>
      <w:r w:rsidR="00B877D7">
        <w:rPr>
          <w:rFonts w:ascii="Century Gothic" w:hAnsi="Century Gothic"/>
          <w:sz w:val="24"/>
          <w:szCs w:val="24"/>
        </w:rPr>
        <w:t>,</w:t>
      </w:r>
      <w:r w:rsidR="00F30FE6">
        <w:rPr>
          <w:rFonts w:ascii="Century Gothic" w:hAnsi="Century Gothic"/>
          <w:sz w:val="24"/>
          <w:szCs w:val="24"/>
        </w:rPr>
        <w:t xml:space="preserve"> inciso D)</w:t>
      </w:r>
      <w:r w:rsidR="00BA46FC">
        <w:rPr>
          <w:rFonts w:ascii="Century Gothic" w:hAnsi="Century Gothic"/>
          <w:sz w:val="24"/>
          <w:szCs w:val="24"/>
        </w:rPr>
        <w:t>, fracci</w:t>
      </w:r>
      <w:r w:rsidR="00C002D6">
        <w:rPr>
          <w:rFonts w:ascii="Century Gothic" w:hAnsi="Century Gothic"/>
          <w:sz w:val="24"/>
          <w:szCs w:val="24"/>
        </w:rPr>
        <w:t>ón II</w:t>
      </w:r>
      <w:r w:rsidR="00C15AD4">
        <w:rPr>
          <w:rFonts w:ascii="Century Gothic" w:hAnsi="Century Gothic"/>
          <w:sz w:val="24"/>
          <w:szCs w:val="24"/>
        </w:rPr>
        <w:t>,</w:t>
      </w:r>
      <w:r w:rsidR="00BA46FC">
        <w:rPr>
          <w:rFonts w:ascii="Century Gothic" w:hAnsi="Century Gothic"/>
          <w:sz w:val="24"/>
          <w:szCs w:val="24"/>
        </w:rPr>
        <w:t xml:space="preserve"> </w:t>
      </w:r>
      <w:r w:rsidR="00BA46FC" w:rsidRPr="00931976">
        <w:rPr>
          <w:rFonts w:ascii="Century Gothic" w:hAnsi="Century Gothic"/>
          <w:sz w:val="24"/>
          <w:szCs w:val="24"/>
        </w:rPr>
        <w:t>de</w:t>
      </w:r>
      <w:r w:rsidR="00BA46FC">
        <w:rPr>
          <w:rFonts w:ascii="Century Gothic" w:hAnsi="Century Gothic"/>
          <w:sz w:val="24"/>
          <w:szCs w:val="24"/>
        </w:rPr>
        <w:t xml:space="preserve"> la Ley </w:t>
      </w:r>
      <w:r w:rsidR="008567D5">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508E2E5E" w:rsidR="00BA46FC" w:rsidRDefault="00BA46FC" w:rsidP="00BA46FC">
      <w:pPr>
        <w:spacing w:after="0" w:line="360" w:lineRule="auto"/>
        <w:jc w:val="both"/>
        <w:rPr>
          <w:rFonts w:ascii="Century Gothic" w:hAnsi="Century Gothic"/>
          <w:sz w:val="24"/>
          <w:szCs w:val="24"/>
        </w:rPr>
      </w:pPr>
    </w:p>
    <w:p w14:paraId="2BBC254F" w14:textId="027ADEA1" w:rsidR="00C002D6" w:rsidRPr="00C002D6" w:rsidRDefault="00C002D6" w:rsidP="00C002D6">
      <w:pPr>
        <w:spacing w:line="360" w:lineRule="auto"/>
        <w:jc w:val="both"/>
        <w:rPr>
          <w:rFonts w:ascii="Century Gothic" w:hAnsi="Century Gothic" w:cstheme="minorHAnsi"/>
          <w:sz w:val="24"/>
          <w:szCs w:val="24"/>
        </w:rPr>
      </w:pPr>
      <w:r w:rsidRPr="00C002D6">
        <w:rPr>
          <w:rFonts w:ascii="Century Gothic" w:hAnsi="Century Gothic" w:cstheme="minorHAnsi"/>
          <w:b/>
          <w:bCs/>
          <w:sz w:val="24"/>
          <w:szCs w:val="24"/>
        </w:rPr>
        <w:t>Artículo 202.</w:t>
      </w:r>
      <w:r w:rsidRPr="00C002D6">
        <w:rPr>
          <w:rFonts w:ascii="Century Gothic" w:hAnsi="Century Gothic" w:cstheme="minorHAnsi"/>
          <w:sz w:val="24"/>
          <w:szCs w:val="24"/>
        </w:rPr>
        <w:t xml:space="preserve"> </w:t>
      </w:r>
      <w:r>
        <w:rPr>
          <w:rFonts w:ascii="Century Gothic" w:hAnsi="Century Gothic" w:cstheme="minorHAnsi"/>
          <w:sz w:val="24"/>
          <w:szCs w:val="24"/>
        </w:rPr>
        <w:t xml:space="preserve">… </w:t>
      </w:r>
    </w:p>
    <w:p w14:paraId="75046B28" w14:textId="0364E856" w:rsidR="00C002D6" w:rsidRDefault="00C002D6" w:rsidP="00B877D7">
      <w:pPr>
        <w:pStyle w:val="Prrafodelista"/>
        <w:numPr>
          <w:ilvl w:val="0"/>
          <w:numId w:val="45"/>
        </w:numPr>
        <w:spacing w:line="360" w:lineRule="auto"/>
        <w:jc w:val="both"/>
        <w:rPr>
          <w:rFonts w:ascii="Century Gothic" w:hAnsi="Century Gothic" w:cstheme="minorHAnsi"/>
          <w:sz w:val="24"/>
          <w:szCs w:val="24"/>
        </w:rPr>
      </w:pPr>
      <w:r w:rsidRPr="00B877D7">
        <w:rPr>
          <w:rFonts w:ascii="Century Gothic" w:hAnsi="Century Gothic" w:cstheme="minorHAnsi"/>
          <w:sz w:val="24"/>
          <w:szCs w:val="24"/>
        </w:rPr>
        <w:t xml:space="preserve">a </w:t>
      </w:r>
      <w:r w:rsidR="00B877D7" w:rsidRPr="00B877D7">
        <w:rPr>
          <w:rFonts w:ascii="Century Gothic" w:hAnsi="Century Gothic" w:cstheme="minorHAnsi"/>
          <w:sz w:val="24"/>
          <w:szCs w:val="24"/>
        </w:rPr>
        <w:t>C</w:t>
      </w:r>
      <w:r w:rsidRPr="00B877D7">
        <w:rPr>
          <w:rFonts w:ascii="Century Gothic" w:hAnsi="Century Gothic" w:cstheme="minorHAnsi"/>
          <w:sz w:val="24"/>
          <w:szCs w:val="24"/>
        </w:rPr>
        <w:t>) …</w:t>
      </w:r>
    </w:p>
    <w:p w14:paraId="18B135AF" w14:textId="77777777" w:rsidR="00B877D7" w:rsidRPr="00B877D7" w:rsidRDefault="00B877D7" w:rsidP="00B877D7">
      <w:pPr>
        <w:pStyle w:val="Prrafodelista"/>
        <w:spacing w:line="360" w:lineRule="auto"/>
        <w:ind w:left="1068"/>
        <w:jc w:val="both"/>
        <w:rPr>
          <w:rFonts w:ascii="Century Gothic" w:hAnsi="Century Gothic" w:cstheme="minorHAnsi"/>
          <w:sz w:val="24"/>
          <w:szCs w:val="24"/>
        </w:rPr>
      </w:pPr>
    </w:p>
    <w:p w14:paraId="58F66A68" w14:textId="613ED3F1" w:rsidR="00B877D7" w:rsidRPr="00B877D7" w:rsidRDefault="00C15AD4" w:rsidP="00B877D7">
      <w:pPr>
        <w:pStyle w:val="Prrafodelista"/>
        <w:numPr>
          <w:ilvl w:val="0"/>
          <w:numId w:val="46"/>
        </w:numPr>
        <w:spacing w:line="360" w:lineRule="auto"/>
        <w:jc w:val="both"/>
        <w:rPr>
          <w:rFonts w:ascii="Century Gothic" w:hAnsi="Century Gothic" w:cstheme="minorHAnsi"/>
          <w:sz w:val="24"/>
          <w:szCs w:val="24"/>
        </w:rPr>
      </w:pPr>
      <w:r>
        <w:rPr>
          <w:rFonts w:ascii="Century Gothic" w:hAnsi="Century Gothic" w:cstheme="minorHAnsi"/>
          <w:sz w:val="24"/>
          <w:szCs w:val="24"/>
        </w:rPr>
        <w:t>…</w:t>
      </w:r>
    </w:p>
    <w:p w14:paraId="7EEF3777" w14:textId="44FA46A8" w:rsidR="00B877D7" w:rsidRDefault="00F30FE6" w:rsidP="00B877D7">
      <w:pPr>
        <w:pStyle w:val="Prrafodelista"/>
        <w:numPr>
          <w:ilvl w:val="0"/>
          <w:numId w:val="44"/>
        </w:numPr>
        <w:spacing w:line="360" w:lineRule="auto"/>
        <w:jc w:val="both"/>
        <w:rPr>
          <w:rFonts w:ascii="Century Gothic" w:hAnsi="Century Gothic" w:cstheme="minorHAnsi"/>
          <w:sz w:val="24"/>
          <w:szCs w:val="24"/>
        </w:rPr>
      </w:pPr>
      <w:r>
        <w:rPr>
          <w:rFonts w:ascii="Century Gothic" w:hAnsi="Century Gothic" w:cstheme="minorHAnsi"/>
          <w:sz w:val="24"/>
          <w:szCs w:val="24"/>
        </w:rPr>
        <w:t>..</w:t>
      </w:r>
      <w:r w:rsidR="00C002D6" w:rsidRPr="00C002D6">
        <w:rPr>
          <w:rFonts w:ascii="Century Gothic" w:hAnsi="Century Gothic" w:cstheme="minorHAnsi"/>
          <w:sz w:val="24"/>
          <w:szCs w:val="24"/>
        </w:rPr>
        <w:t>.</w:t>
      </w:r>
    </w:p>
    <w:p w14:paraId="5075764B" w14:textId="77777777" w:rsidR="00B877D7" w:rsidRPr="00B877D7" w:rsidRDefault="00B877D7" w:rsidP="00B877D7">
      <w:pPr>
        <w:pStyle w:val="Prrafodelista"/>
        <w:spacing w:line="360" w:lineRule="auto"/>
        <w:ind w:left="2136"/>
        <w:jc w:val="both"/>
        <w:rPr>
          <w:rFonts w:ascii="Century Gothic" w:hAnsi="Century Gothic" w:cstheme="minorHAnsi"/>
          <w:sz w:val="24"/>
          <w:szCs w:val="24"/>
        </w:rPr>
      </w:pPr>
    </w:p>
    <w:p w14:paraId="3ABBCCBC" w14:textId="4547FE3A" w:rsidR="00C002D6" w:rsidRDefault="00C002D6" w:rsidP="00C002D6">
      <w:pPr>
        <w:pStyle w:val="Prrafodelista"/>
        <w:numPr>
          <w:ilvl w:val="0"/>
          <w:numId w:val="44"/>
        </w:numPr>
        <w:spacing w:line="360" w:lineRule="auto"/>
        <w:jc w:val="both"/>
        <w:rPr>
          <w:rFonts w:ascii="Century Gothic" w:hAnsi="Century Gothic" w:cstheme="minorHAnsi"/>
          <w:b/>
          <w:bCs/>
          <w:sz w:val="24"/>
          <w:szCs w:val="24"/>
        </w:rPr>
      </w:pPr>
      <w:r w:rsidRPr="00C002D6">
        <w:rPr>
          <w:rFonts w:ascii="Century Gothic" w:hAnsi="Century Gothic" w:cstheme="minorHAnsi"/>
          <w:sz w:val="24"/>
          <w:szCs w:val="24"/>
        </w:rPr>
        <w:lastRenderedPageBreak/>
        <w:t xml:space="preserve">Educación sobre </w:t>
      </w:r>
      <w:r w:rsidRPr="00C002D6">
        <w:rPr>
          <w:rFonts w:ascii="Century Gothic" w:hAnsi="Century Gothic" w:cstheme="minorHAnsi"/>
          <w:b/>
          <w:bCs/>
          <w:sz w:val="24"/>
          <w:szCs w:val="24"/>
        </w:rPr>
        <w:t xml:space="preserve">la forma de reconocer los síntomas </w:t>
      </w:r>
      <w:r w:rsidRPr="00B877D7">
        <w:rPr>
          <w:rFonts w:ascii="Century Gothic" w:hAnsi="Century Gothic" w:cstheme="minorHAnsi"/>
          <w:sz w:val="24"/>
          <w:szCs w:val="24"/>
        </w:rPr>
        <w:t>de la ludopatía</w:t>
      </w:r>
      <w:r w:rsidRPr="00C002D6">
        <w:rPr>
          <w:rFonts w:ascii="Century Gothic" w:hAnsi="Century Gothic" w:cstheme="minorHAnsi"/>
          <w:b/>
          <w:bCs/>
          <w:sz w:val="24"/>
          <w:szCs w:val="24"/>
        </w:rPr>
        <w:t>,</w:t>
      </w:r>
      <w:r w:rsidRPr="00C002D6">
        <w:rPr>
          <w:rFonts w:ascii="Century Gothic" w:hAnsi="Century Gothic" w:cstheme="minorHAnsi"/>
          <w:sz w:val="24"/>
          <w:szCs w:val="24"/>
        </w:rPr>
        <w:t xml:space="preserve"> </w:t>
      </w:r>
      <w:r w:rsidRPr="00C002D6">
        <w:rPr>
          <w:rFonts w:ascii="Century Gothic" w:hAnsi="Century Gothic" w:cstheme="minorHAnsi"/>
          <w:b/>
          <w:bCs/>
          <w:sz w:val="24"/>
          <w:szCs w:val="24"/>
        </w:rPr>
        <w:t xml:space="preserve">sus </w:t>
      </w:r>
      <w:r w:rsidRPr="00C15AD4">
        <w:rPr>
          <w:rFonts w:ascii="Century Gothic" w:hAnsi="Century Gothic" w:cstheme="minorHAnsi"/>
          <w:b/>
          <w:bCs/>
          <w:sz w:val="24"/>
          <w:szCs w:val="24"/>
        </w:rPr>
        <w:t>efectos</w:t>
      </w:r>
      <w:r w:rsidRPr="00C002D6">
        <w:rPr>
          <w:rFonts w:ascii="Century Gothic" w:hAnsi="Century Gothic" w:cstheme="minorHAnsi"/>
          <w:sz w:val="24"/>
          <w:szCs w:val="24"/>
        </w:rPr>
        <w:t xml:space="preserve"> en la salud y en las relaciones sociales</w:t>
      </w:r>
      <w:r w:rsidRPr="00F30FE6">
        <w:rPr>
          <w:rFonts w:ascii="Century Gothic" w:hAnsi="Century Gothic" w:cstheme="minorHAnsi"/>
          <w:b/>
          <w:bCs/>
          <w:sz w:val="24"/>
          <w:szCs w:val="24"/>
        </w:rPr>
        <w:t>,</w:t>
      </w:r>
      <w:r w:rsidRPr="00C002D6">
        <w:rPr>
          <w:rFonts w:ascii="Century Gothic" w:hAnsi="Century Gothic" w:cstheme="minorHAnsi"/>
          <w:sz w:val="24"/>
          <w:szCs w:val="24"/>
        </w:rPr>
        <w:t xml:space="preserve"> </w:t>
      </w:r>
      <w:r w:rsidRPr="00F30FE6">
        <w:rPr>
          <w:rFonts w:ascii="Century Gothic" w:hAnsi="Century Gothic" w:cstheme="minorHAnsi"/>
          <w:b/>
          <w:bCs/>
          <w:sz w:val="24"/>
          <w:szCs w:val="24"/>
        </w:rPr>
        <w:t>así como</w:t>
      </w:r>
      <w:r w:rsidRPr="00C002D6">
        <w:rPr>
          <w:rFonts w:ascii="Century Gothic" w:hAnsi="Century Gothic" w:cstheme="minorHAnsi"/>
          <w:sz w:val="24"/>
          <w:szCs w:val="24"/>
        </w:rPr>
        <w:t xml:space="preserve"> </w:t>
      </w:r>
      <w:r w:rsidRPr="00C002D6">
        <w:rPr>
          <w:rFonts w:ascii="Century Gothic" w:hAnsi="Century Gothic" w:cstheme="minorHAnsi"/>
          <w:b/>
          <w:bCs/>
          <w:sz w:val="24"/>
          <w:szCs w:val="24"/>
        </w:rPr>
        <w:t>las medidas oportunas para su prevención y tratamiento.</w:t>
      </w:r>
    </w:p>
    <w:p w14:paraId="75F0CEE2" w14:textId="77777777" w:rsidR="00B877D7" w:rsidRPr="00B877D7" w:rsidRDefault="00B877D7" w:rsidP="00B877D7">
      <w:pPr>
        <w:spacing w:line="360" w:lineRule="auto"/>
        <w:jc w:val="both"/>
        <w:rPr>
          <w:rFonts w:ascii="Century Gothic" w:hAnsi="Century Gothic" w:cstheme="minorHAnsi"/>
          <w:b/>
          <w:bCs/>
          <w:sz w:val="24"/>
          <w:szCs w:val="24"/>
        </w:rPr>
      </w:pPr>
    </w:p>
    <w:p w14:paraId="79959D98" w14:textId="56DCB5BD" w:rsidR="00C002D6" w:rsidRPr="00C002D6" w:rsidRDefault="00C002D6" w:rsidP="00C002D6">
      <w:pPr>
        <w:pStyle w:val="Prrafodelista"/>
        <w:numPr>
          <w:ilvl w:val="0"/>
          <w:numId w:val="44"/>
        </w:numPr>
        <w:spacing w:line="360" w:lineRule="auto"/>
        <w:jc w:val="both"/>
        <w:rPr>
          <w:rFonts w:ascii="Century Gothic" w:hAnsi="Century Gothic"/>
          <w:sz w:val="24"/>
          <w:szCs w:val="24"/>
        </w:rPr>
      </w:pPr>
      <w:r w:rsidRPr="00C002D6">
        <w:rPr>
          <w:rFonts w:ascii="Century Gothic" w:hAnsi="Century Gothic"/>
          <w:sz w:val="24"/>
          <w:szCs w:val="24"/>
        </w:rPr>
        <w:t xml:space="preserve">… </w:t>
      </w:r>
    </w:p>
    <w:p w14:paraId="1F0C9311" w14:textId="19087C5A" w:rsidR="00555012" w:rsidRDefault="00555012" w:rsidP="00BA46FC">
      <w:pPr>
        <w:spacing w:after="0" w:line="360" w:lineRule="auto"/>
        <w:jc w:val="both"/>
        <w:rPr>
          <w:rFonts w:ascii="Century Gothic" w:hAnsi="Century Gothic"/>
          <w:b/>
          <w:bCs/>
          <w:sz w:val="24"/>
          <w:szCs w:val="24"/>
        </w:rPr>
      </w:pPr>
    </w:p>
    <w:p w14:paraId="75973A25" w14:textId="77777777" w:rsidR="0097753B" w:rsidRDefault="0097753B" w:rsidP="00BA46FC">
      <w:pPr>
        <w:spacing w:after="0" w:line="360" w:lineRule="auto"/>
        <w:jc w:val="both"/>
        <w:rPr>
          <w:rFonts w:ascii="Century Gothic" w:hAnsi="Century Gothic"/>
          <w:b/>
          <w:bCs/>
          <w:sz w:val="24"/>
          <w:szCs w:val="24"/>
        </w:rPr>
      </w:pPr>
    </w:p>
    <w:p w14:paraId="30810E69" w14:textId="77777777" w:rsidR="00555012" w:rsidRDefault="00555012" w:rsidP="008861A4">
      <w:pPr>
        <w:spacing w:after="0" w:line="360" w:lineRule="auto"/>
        <w:ind w:right="-34"/>
        <w:outlineLvl w:val="0"/>
        <w:rPr>
          <w:rFonts w:ascii="Century Gothic" w:hAnsi="Century Gothic" w:cs="Arial"/>
          <w:b/>
          <w:sz w:val="28"/>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42C8A2A0" w14:textId="400955A8" w:rsidR="00693892" w:rsidRPr="003E791D" w:rsidRDefault="00445EC3" w:rsidP="003E791D">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C327EF">
        <w:rPr>
          <w:rFonts w:ascii="Century Gothic" w:hAnsi="Century Gothic"/>
          <w:sz w:val="24"/>
          <w:szCs w:val="24"/>
        </w:rPr>
        <w:t>veintiocho</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82B2D">
        <w:rPr>
          <w:rFonts w:ascii="Century Gothic" w:hAnsi="Century Gothic"/>
          <w:sz w:val="24"/>
          <w:szCs w:val="24"/>
        </w:rPr>
        <w:t>septiembre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003B22F4">
        <w:rPr>
          <w:rFonts w:ascii="Century Gothic" w:hAnsi="Century Gothic"/>
          <w:sz w:val="24"/>
          <w:szCs w:val="24"/>
        </w:rPr>
        <w:t>.</w:t>
      </w:r>
    </w:p>
    <w:p w14:paraId="1A144C28" w14:textId="77777777" w:rsidR="00693892" w:rsidRDefault="00693892" w:rsidP="0061716E">
      <w:pPr>
        <w:pStyle w:val="Normal1"/>
        <w:contextualSpacing/>
        <w:jc w:val="center"/>
        <w:rPr>
          <w:rFonts w:ascii="Century Gothic" w:eastAsia="Arial" w:hAnsi="Century Gothic" w:cs="Arial"/>
          <w:b/>
          <w:smallCaps/>
          <w:color w:val="auto"/>
          <w:sz w:val="20"/>
          <w:lang w:val="es-MX"/>
        </w:rPr>
      </w:pPr>
    </w:p>
    <w:p w14:paraId="768692D5"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793FAF89" w14:textId="77777777" w:rsidR="00AD2DAC" w:rsidRDefault="00AD2DAC" w:rsidP="002D3326">
      <w:pPr>
        <w:pStyle w:val="Normal1"/>
        <w:contextualSpacing/>
        <w:jc w:val="center"/>
        <w:rPr>
          <w:rFonts w:ascii="Century Gothic" w:eastAsia="Arial" w:hAnsi="Century Gothic" w:cs="Arial"/>
          <w:b/>
          <w:smallCaps/>
          <w:color w:val="auto"/>
          <w:sz w:val="20"/>
          <w:lang w:val="es-MX"/>
        </w:rPr>
      </w:pPr>
    </w:p>
    <w:p w14:paraId="75E8CD90" w14:textId="77777777" w:rsidR="00F57B0E" w:rsidRDefault="00F57B0E" w:rsidP="00E626CF">
      <w:pPr>
        <w:pStyle w:val="Normal1"/>
        <w:contextualSpacing/>
        <w:rPr>
          <w:rFonts w:ascii="Century Gothic" w:eastAsia="Arial" w:hAnsi="Century Gothic" w:cs="Arial"/>
          <w:b/>
          <w:smallCaps/>
          <w:color w:val="auto"/>
          <w:sz w:val="20"/>
          <w:lang w:val="es-MX"/>
        </w:rPr>
      </w:pPr>
    </w:p>
    <w:p w14:paraId="6288C64D" w14:textId="1D6A7A53"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E626CF">
        <w:rPr>
          <w:rFonts w:ascii="Century Gothic" w:eastAsia="Arial" w:hAnsi="Century Gothic" w:cs="Arial"/>
          <w:b/>
          <w:smallCaps/>
          <w:color w:val="auto"/>
          <w:sz w:val="20"/>
          <w:lang w:val="es-MX"/>
        </w:rPr>
        <w:t>VEINTISIETE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D96FCE">
        <w:rPr>
          <w:rFonts w:ascii="Century Gothic" w:eastAsia="Arial" w:hAnsi="Century Gothic" w:cs="Arial"/>
          <w:b/>
          <w:smallCaps/>
          <w:color w:val="auto"/>
          <w:sz w:val="20"/>
          <w:lang w:val="es-MX"/>
        </w:rPr>
        <w:t>SEPTIEMBRE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27221C5D" w:rsidR="000F7395" w:rsidRDefault="00AC37B9"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62A6E3A4" wp14:editId="4504CDDA">
                      <wp:simplePos x="0" y="0"/>
                      <wp:positionH relativeFrom="column">
                        <wp:posOffset>1181734</wp:posOffset>
                      </wp:positionH>
                      <wp:positionV relativeFrom="paragraph">
                        <wp:posOffset>29845</wp:posOffset>
                      </wp:positionV>
                      <wp:extent cx="1323975" cy="113347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1323975"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A6D97"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05pt,2.35pt" to="197.3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2E5EDFCD" w:rsidR="000F7395" w:rsidRDefault="00AC37B9"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08BC95FE" wp14:editId="06C8DE39">
                      <wp:simplePos x="0" y="0"/>
                      <wp:positionH relativeFrom="column">
                        <wp:posOffset>1281430</wp:posOffset>
                      </wp:positionH>
                      <wp:positionV relativeFrom="paragraph">
                        <wp:posOffset>58420</wp:posOffset>
                      </wp:positionV>
                      <wp:extent cx="1276350" cy="110490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127635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F932F"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4.6pt" to="201.4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28A9FD4D" w:rsidR="000F7395" w:rsidRDefault="00AC37B9"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1C674E2A" wp14:editId="21F785E3">
                      <wp:simplePos x="0" y="0"/>
                      <wp:positionH relativeFrom="column">
                        <wp:posOffset>-58420</wp:posOffset>
                      </wp:positionH>
                      <wp:positionV relativeFrom="paragraph">
                        <wp:posOffset>29845</wp:posOffset>
                      </wp:positionV>
                      <wp:extent cx="1123950" cy="114300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112395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9F62E" id="Conector recto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pt,2.35pt" to="83.9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" strokecolor="#4472c4 [3204]" strokeweight=".5pt">
                      <v:stroke joinstyle="miter"/>
                    </v:line>
                  </w:pict>
                </mc:Fallback>
              </mc:AlternateContent>
            </w: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7777777"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6774DA">
        <w:trPr>
          <w:trHeight w:val="1709"/>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CD16EE">
              <w:rPr>
                <w:rFonts w:ascii="Century Gothic" w:hAnsi="Century Gothic" w:cs="Arial"/>
                <w:noProof/>
                <w:sz w:val="20"/>
                <w:szCs w:val="20"/>
                <w:lang w:eastAsia="es-MX"/>
              </w:rPr>
              <w:fldChar w:fldCharType="begin"/>
            </w:r>
            <w:r w:rsidR="00CD16EE">
              <w:rPr>
                <w:rFonts w:ascii="Century Gothic" w:hAnsi="Century Gothic" w:cs="Arial"/>
                <w:noProof/>
                <w:sz w:val="20"/>
                <w:szCs w:val="20"/>
                <w:lang w:eastAsia="es-MX"/>
              </w:rPr>
              <w:instrText xml:space="preserve"> </w:instrText>
            </w:r>
            <w:r w:rsidR="00CD16EE">
              <w:rPr>
                <w:rFonts w:ascii="Century Gothic" w:hAnsi="Century Gothic" w:cs="Arial"/>
                <w:noProof/>
                <w:sz w:val="20"/>
                <w:szCs w:val="20"/>
                <w:lang w:eastAsia="es-MX"/>
              </w:rPr>
              <w:instrText>INCLUDEPICTURE  "https://www.congresochihuahua</w:instrText>
            </w:r>
            <w:r w:rsidR="00CD16EE">
              <w:rPr>
                <w:rFonts w:ascii="Century Gothic" w:hAnsi="Century Gothic" w:cs="Arial"/>
                <w:noProof/>
                <w:sz w:val="20"/>
                <w:szCs w:val="20"/>
                <w:lang w:eastAsia="es-MX"/>
              </w:rPr>
              <w:instrText>.gob.mx/diputados/mthumb.php?src=imagenes/fotosOficiales/319.jpg&amp;w=200&amp;h=265&amp;zc=1" \* MERGEFORMATINET</w:instrText>
            </w:r>
            <w:r w:rsidR="00CD16EE">
              <w:rPr>
                <w:rFonts w:ascii="Century Gothic" w:hAnsi="Century Gothic" w:cs="Arial"/>
                <w:noProof/>
                <w:sz w:val="20"/>
                <w:szCs w:val="20"/>
                <w:lang w:eastAsia="es-MX"/>
              </w:rPr>
              <w:instrText xml:space="preserve"> </w:instrText>
            </w:r>
            <w:r w:rsidR="00CD16EE">
              <w:rPr>
                <w:rFonts w:ascii="Century Gothic" w:hAnsi="Century Gothic" w:cs="Arial"/>
                <w:noProof/>
                <w:sz w:val="20"/>
                <w:szCs w:val="20"/>
                <w:lang w:eastAsia="es-MX"/>
              </w:rPr>
              <w:fldChar w:fldCharType="separate"/>
            </w:r>
            <w:r w:rsidR="00CD16EE">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CD16EE">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86167">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CD16EE">
              <w:rPr>
                <w:rFonts w:ascii="Century Gothic" w:hAnsi="Century Gothic" w:cs="Arial"/>
                <w:noProof/>
                <w:sz w:val="20"/>
                <w:szCs w:val="20"/>
                <w:lang w:eastAsia="es-MX"/>
              </w:rPr>
              <w:fldChar w:fldCharType="begin"/>
            </w:r>
            <w:r w:rsidR="00CD16EE">
              <w:rPr>
                <w:rFonts w:ascii="Century Gothic" w:hAnsi="Century Gothic" w:cs="Arial"/>
                <w:noProof/>
                <w:sz w:val="20"/>
                <w:szCs w:val="20"/>
                <w:lang w:eastAsia="es-MX"/>
              </w:rPr>
              <w:instrText xml:space="preserve"> </w:instrText>
            </w:r>
            <w:r w:rsidR="00CD16EE">
              <w:rPr>
                <w:rFonts w:ascii="Century Gothic" w:hAnsi="Century Gothic" w:cs="Arial"/>
                <w:noProof/>
                <w:sz w:val="20"/>
                <w:szCs w:val="20"/>
                <w:lang w:eastAsia="es-MX"/>
              </w:rPr>
              <w:instrText>INCLUDEPICTURE  "https</w:instrText>
            </w:r>
            <w:r w:rsidR="00CD16EE">
              <w:rPr>
                <w:rFonts w:ascii="Century Gothic" w:hAnsi="Century Gothic" w:cs="Arial"/>
                <w:noProof/>
                <w:sz w:val="20"/>
                <w:szCs w:val="20"/>
                <w:lang w:eastAsia="es-MX"/>
              </w:rPr>
              <w:instrText>://www.congresochihuahua.gob.mx/diputados/mthumb.php?src=imagenes/fotosOficiales/327.jpg&amp;w=200&amp;h=265&amp;zc=1" \* MERGEFORMATINET</w:instrText>
            </w:r>
            <w:r w:rsidR="00CD16EE">
              <w:rPr>
                <w:rFonts w:ascii="Century Gothic" w:hAnsi="Century Gothic" w:cs="Arial"/>
                <w:noProof/>
                <w:sz w:val="20"/>
                <w:szCs w:val="20"/>
                <w:lang w:eastAsia="es-MX"/>
              </w:rPr>
              <w:instrText xml:space="preserve"> </w:instrText>
            </w:r>
            <w:r w:rsidR="00CD16EE">
              <w:rPr>
                <w:rFonts w:ascii="Century Gothic" w:hAnsi="Century Gothic" w:cs="Arial"/>
                <w:noProof/>
                <w:sz w:val="20"/>
                <w:szCs w:val="20"/>
                <w:lang w:eastAsia="es-MX"/>
              </w:rPr>
              <w:fldChar w:fldCharType="separate"/>
            </w:r>
            <w:r w:rsidR="00CD16EE">
              <w:rPr>
                <w:rFonts w:ascii="Century Gothic" w:hAnsi="Century Gothic" w:cs="Arial"/>
                <w:noProof/>
                <w:sz w:val="20"/>
                <w:szCs w:val="20"/>
                <w:lang w:eastAsia="es-MX"/>
              </w:rPr>
              <w:pict w14:anchorId="14969E99">
                <v:shape id="_x0000_i1026" type="#_x0000_t75" alt="" style="width:71.25pt;height:74.25pt">
                  <v:imagedata r:id="rId15" r:href="rId16"/>
                </v:shape>
              </w:pict>
            </w:r>
            <w:r w:rsidR="00CD16EE">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7C8AEEBF" w14:textId="25F7B2FA" w:rsidR="006774DA" w:rsidRDefault="00AC37B9" w:rsidP="00586167">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2A99EA54" wp14:editId="18DD2F6A">
                      <wp:simplePos x="0" y="0"/>
                      <wp:positionH relativeFrom="column">
                        <wp:posOffset>1181734</wp:posOffset>
                      </wp:positionH>
                      <wp:positionV relativeFrom="paragraph">
                        <wp:posOffset>20955</wp:posOffset>
                      </wp:positionV>
                      <wp:extent cx="1323975" cy="10858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1323975"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80DAC"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05pt,1.65pt" to="197.3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" strokecolor="#4472c4 [3204]" strokeweight=".5pt">
                      <v:stroke joinstyle="miter"/>
                    </v:line>
                  </w:pict>
                </mc:Fallback>
              </mc:AlternateContent>
            </w:r>
            <w:r w:rsidR="006774DA">
              <w:rPr>
                <w:rFonts w:ascii="Century Gothic" w:hAnsi="Century Gothic" w:cs="Arial"/>
                <w:b/>
                <w:sz w:val="20"/>
                <w:szCs w:val="20"/>
              </w:rPr>
              <w:t>DIPUTADA JAEL ARGÜELLES DÍAZ</w:t>
            </w:r>
          </w:p>
          <w:p w14:paraId="78F6192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77777777"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487F5C89" w:rsidR="006774DA" w:rsidRDefault="00AC37B9" w:rsidP="00586167">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3F0DB1B6" wp14:editId="1729A62C">
                      <wp:simplePos x="0" y="0"/>
                      <wp:positionH relativeFrom="column">
                        <wp:posOffset>-63500</wp:posOffset>
                      </wp:positionH>
                      <wp:positionV relativeFrom="paragraph">
                        <wp:posOffset>2540</wp:posOffset>
                      </wp:positionV>
                      <wp:extent cx="1333500" cy="111442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3350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A0594" id="Conector recto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pt" to="100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7FEC3E7B" w:rsidR="006774DA" w:rsidRDefault="00AC37B9" w:rsidP="00586167">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2525F08B" wp14:editId="129415D3">
                      <wp:simplePos x="0" y="0"/>
                      <wp:positionH relativeFrom="column">
                        <wp:posOffset>-58421</wp:posOffset>
                      </wp:positionH>
                      <wp:positionV relativeFrom="paragraph">
                        <wp:posOffset>40005</wp:posOffset>
                      </wp:positionV>
                      <wp:extent cx="1114425" cy="108585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14425"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ED5AF"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pt,3.15pt" to="83.1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" strokecolor="#4472c4 [3204]" strokeweight=".5pt">
                      <v:stroke joinstyle="miter"/>
                    </v:line>
                  </w:pict>
                </mc:Fallback>
              </mc:AlternateContent>
            </w:r>
          </w:p>
        </w:tc>
      </w:tr>
    </w:tbl>
    <w:p w14:paraId="182A0EB1" w14:textId="5CB2927C"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82BBA">
        <w:rPr>
          <w:rFonts w:ascii="Century Gothic" w:hAnsi="Century Gothic" w:cs="Arial"/>
          <w:sz w:val="16"/>
          <w:szCs w:val="16"/>
        </w:rPr>
        <w:t>2048</w:t>
      </w:r>
      <w:r w:rsidRPr="003E791D">
        <w:rPr>
          <w:rFonts w:ascii="Century Gothic" w:hAnsi="Century Gothic" w:cs="Arial"/>
          <w:sz w:val="16"/>
          <w:szCs w:val="16"/>
        </w:rPr>
        <w:t xml:space="preserve">. </w:t>
      </w:r>
    </w:p>
    <w:sectPr w:rsidR="00A30C36" w:rsidRPr="003E791D" w:rsidSect="00AD2DAC">
      <w:headerReference w:type="default" r:id="rId17"/>
      <w:footerReference w:type="default" r:id="rId18"/>
      <w:pgSz w:w="12240" w:h="15840"/>
      <w:pgMar w:top="1417" w:right="1701" w:bottom="1417" w:left="1701"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7A63" w14:textId="77777777" w:rsidR="00A06A33" w:rsidRDefault="00A06A33">
      <w:pPr>
        <w:spacing w:after="0" w:line="240" w:lineRule="auto"/>
      </w:pPr>
      <w:r>
        <w:separator/>
      </w:r>
    </w:p>
  </w:endnote>
  <w:endnote w:type="continuationSeparator" w:id="0">
    <w:p w14:paraId="67570329" w14:textId="77777777" w:rsidR="00A06A33" w:rsidRDefault="00A0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72E4C3F7" w:rsidR="00A56D96" w:rsidRPr="00AD2DAC" w:rsidRDefault="00A56D96" w:rsidP="00AD2DAC">
    <w:pPr>
      <w:pStyle w:val="Piedepgina"/>
      <w:jc w:val="right"/>
    </w:pPr>
    <w:r>
      <w:fldChar w:fldCharType="begin"/>
    </w:r>
    <w:r>
      <w:instrText>PAGE   \* MERGEFORMAT</w:instrText>
    </w:r>
    <w:r>
      <w:fldChar w:fldCharType="separate"/>
    </w:r>
    <w:r w:rsidR="00AC3812" w:rsidRPr="00AC3812">
      <w:rPr>
        <w:noProof/>
        <w:lang w:val="es-ES"/>
      </w:rPr>
      <w:t>1</w:t>
    </w:r>
    <w:r>
      <w:fldChar w:fldCharType="end"/>
    </w:r>
    <w:r w:rsidR="00AD2DAC">
      <w:t xml:space="preserve">                                                </w:t>
    </w:r>
    <w:r w:rsidRPr="002D05D2">
      <w:rPr>
        <w:sz w:val="16"/>
        <w:szCs w:val="16"/>
        <w:lang w:val="en-US"/>
      </w:rPr>
      <w:t>A</w:t>
    </w:r>
    <w:r w:rsidR="009C7856">
      <w:rPr>
        <w:sz w:val="16"/>
        <w:szCs w:val="16"/>
        <w:lang w:val="en-US"/>
      </w:rPr>
      <w:t>2048</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C5D0" w14:textId="77777777" w:rsidR="00A06A33" w:rsidRDefault="00A06A33">
      <w:pPr>
        <w:spacing w:after="0" w:line="240" w:lineRule="auto"/>
      </w:pPr>
      <w:r>
        <w:separator/>
      </w:r>
    </w:p>
  </w:footnote>
  <w:footnote w:type="continuationSeparator" w:id="0">
    <w:p w14:paraId="0C43E275" w14:textId="77777777" w:rsidR="00A06A33" w:rsidRDefault="00A06A33">
      <w:pPr>
        <w:spacing w:after="0" w:line="240" w:lineRule="auto"/>
      </w:pPr>
      <w:r>
        <w:continuationSeparator/>
      </w:r>
    </w:p>
  </w:footnote>
  <w:footnote w:id="1">
    <w:p w14:paraId="0B49E040" w14:textId="3116CCA2" w:rsidR="004322FE" w:rsidRDefault="004322FE">
      <w:pPr>
        <w:pStyle w:val="Textonotapie"/>
      </w:pPr>
      <w:r>
        <w:rPr>
          <w:rStyle w:val="Refdenotaalpie"/>
        </w:rPr>
        <w:footnoteRef/>
      </w:r>
      <w:r>
        <w:t xml:space="preserve"> Disponible en:  </w:t>
      </w:r>
      <w:hyperlink r:id="rId1" w:history="1">
        <w:r w:rsidRPr="00945F3B">
          <w:rPr>
            <w:rStyle w:val="Hipervnculo"/>
          </w:rPr>
          <w:t>https://www.diputados.gob.mx/LeyesBiblio/pdf/CPEUM.pdf</w:t>
        </w:r>
      </w:hyperlink>
      <w:r>
        <w:t xml:space="preserve"> </w:t>
      </w:r>
    </w:p>
  </w:footnote>
  <w:footnote w:id="2">
    <w:p w14:paraId="42B02E1E" w14:textId="11385537" w:rsidR="00DB29F8" w:rsidRDefault="00DB29F8">
      <w:pPr>
        <w:pStyle w:val="Textonotapie"/>
      </w:pPr>
      <w:r>
        <w:rPr>
          <w:rStyle w:val="Refdenotaalpie"/>
        </w:rPr>
        <w:footnoteRef/>
      </w:r>
      <w:r>
        <w:t xml:space="preserve"> Disponible en: </w:t>
      </w:r>
      <w:hyperlink r:id="rId2" w:history="1">
        <w:r w:rsidRPr="00945F3B">
          <w:rPr>
            <w:rStyle w:val="Hipervnculo"/>
          </w:rPr>
          <w:t>https://www.diputados.gob.mx/LeyesBiblio/pdf/LGS.pdf</w:t>
        </w:r>
      </w:hyperlink>
      <w:r>
        <w:t xml:space="preserve"> </w:t>
      </w:r>
    </w:p>
  </w:footnote>
  <w:footnote w:id="3">
    <w:p w14:paraId="5AF8108A" w14:textId="28DE8FCC" w:rsidR="009B5DA5" w:rsidRDefault="009B5DA5">
      <w:pPr>
        <w:pStyle w:val="Textonotapie"/>
      </w:pPr>
      <w:r>
        <w:rPr>
          <w:rStyle w:val="Refdenotaalpie"/>
        </w:rPr>
        <w:footnoteRef/>
      </w:r>
      <w:r>
        <w:t xml:space="preserve"> Disponible en: </w:t>
      </w:r>
      <w:hyperlink r:id="rId3" w:history="1">
        <w:r w:rsidRPr="00945F3B">
          <w:rPr>
            <w:rStyle w:val="Hipervnculo"/>
          </w:rPr>
          <w:t>https://www.congresochihuahua2.gob.mx/biblioteca/leyes/archivosLeyes/894.pdf</w:t>
        </w:r>
      </w:hyperlink>
      <w:r>
        <w:t xml:space="preserve"> </w:t>
      </w:r>
    </w:p>
  </w:footnote>
  <w:footnote w:id="4">
    <w:p w14:paraId="7FD4A85B" w14:textId="08452D36" w:rsidR="009B5DA5" w:rsidRDefault="009B5DA5">
      <w:pPr>
        <w:pStyle w:val="Textonotapie"/>
      </w:pPr>
      <w:r>
        <w:rPr>
          <w:rStyle w:val="Refdenotaalpie"/>
        </w:rPr>
        <w:footnoteRef/>
      </w:r>
      <w:r>
        <w:t xml:space="preserve"> 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36880402"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DD33E3">
      <w:rPr>
        <w:rFonts w:ascii="Century Gothic" w:hAnsi="Century Gothic" w:cs="Calibri"/>
        <w:b/>
        <w:sz w:val="24"/>
        <w:szCs w:val="24"/>
      </w:rPr>
      <w:t>4</w:t>
    </w:r>
    <w:r w:rsidR="00412AB5">
      <w:rPr>
        <w:rFonts w:ascii="Century Gothic" w:hAnsi="Century Gothic" w:cs="Calibri"/>
        <w:b/>
        <w:sz w:val="24"/>
        <w:szCs w:val="24"/>
      </w:rPr>
      <w:t>2</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61"/>
    <w:multiLevelType w:val="hybridMultilevel"/>
    <w:tmpl w:val="FF842616"/>
    <w:lvl w:ilvl="0" w:tplc="8304C418">
      <w:start w:val="1"/>
      <w:numFmt w:val="upperRoman"/>
      <w:lvlText w:val="%1."/>
      <w:lvlJc w:val="right"/>
      <w:pPr>
        <w:ind w:left="2136" w:hanging="360"/>
      </w:pPr>
      <w:rPr>
        <w:b w:val="0"/>
        <w:bCs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9CA430C"/>
    <w:multiLevelType w:val="hybridMultilevel"/>
    <w:tmpl w:val="08808572"/>
    <w:lvl w:ilvl="0" w:tplc="68F61AA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B52EAE"/>
    <w:multiLevelType w:val="hybridMultilevel"/>
    <w:tmpl w:val="F1CE0654"/>
    <w:lvl w:ilvl="0" w:tplc="080A0013">
      <w:start w:val="1"/>
      <w:numFmt w:val="upperRoman"/>
      <w:lvlText w:val="%1."/>
      <w:lvlJc w:val="righ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1"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4"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29"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31"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1C5507"/>
    <w:multiLevelType w:val="hybridMultilevel"/>
    <w:tmpl w:val="8E62F294"/>
    <w:lvl w:ilvl="0" w:tplc="181A2682">
      <w:start w:val="4"/>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953689"/>
    <w:multiLevelType w:val="hybridMultilevel"/>
    <w:tmpl w:val="E37A3CAA"/>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44"/>
  </w:num>
  <w:num w:numId="3">
    <w:abstractNumId w:val="3"/>
  </w:num>
  <w:num w:numId="4">
    <w:abstractNumId w:val="7"/>
  </w:num>
  <w:num w:numId="5">
    <w:abstractNumId w:val="43"/>
  </w:num>
  <w:num w:numId="6">
    <w:abstractNumId w:val="40"/>
  </w:num>
  <w:num w:numId="7">
    <w:abstractNumId w:val="22"/>
  </w:num>
  <w:num w:numId="8">
    <w:abstractNumId w:val="13"/>
  </w:num>
  <w:num w:numId="9">
    <w:abstractNumId w:val="8"/>
  </w:num>
  <w:num w:numId="10">
    <w:abstractNumId w:val="20"/>
  </w:num>
  <w:num w:numId="11">
    <w:abstractNumId w:val="42"/>
  </w:num>
  <w:num w:numId="12">
    <w:abstractNumId w:val="9"/>
  </w:num>
  <w:num w:numId="13">
    <w:abstractNumId w:val="38"/>
  </w:num>
  <w:num w:numId="14">
    <w:abstractNumId w:val="6"/>
  </w:num>
  <w:num w:numId="15">
    <w:abstractNumId w:val="17"/>
  </w:num>
  <w:num w:numId="16">
    <w:abstractNumId w:val="29"/>
  </w:num>
  <w:num w:numId="17">
    <w:abstractNumId w:val="12"/>
  </w:num>
  <w:num w:numId="18">
    <w:abstractNumId w:val="19"/>
  </w:num>
  <w:num w:numId="19">
    <w:abstractNumId w:val="25"/>
  </w:num>
  <w:num w:numId="20">
    <w:abstractNumId w:val="14"/>
  </w:num>
  <w:num w:numId="21">
    <w:abstractNumId w:val="4"/>
  </w:num>
  <w:num w:numId="22">
    <w:abstractNumId w:val="15"/>
  </w:num>
  <w:num w:numId="23">
    <w:abstractNumId w:val="34"/>
  </w:num>
  <w:num w:numId="24">
    <w:abstractNumId w:val="33"/>
  </w:num>
  <w:num w:numId="25">
    <w:abstractNumId w:val="28"/>
  </w:num>
  <w:num w:numId="26">
    <w:abstractNumId w:val="32"/>
  </w:num>
  <w:num w:numId="27">
    <w:abstractNumId w:val="45"/>
  </w:num>
  <w:num w:numId="28">
    <w:abstractNumId w:val="41"/>
  </w:num>
  <w:num w:numId="29">
    <w:abstractNumId w:val="30"/>
  </w:num>
  <w:num w:numId="30">
    <w:abstractNumId w:val="23"/>
  </w:num>
  <w:num w:numId="31">
    <w:abstractNumId w:val="24"/>
  </w:num>
  <w:num w:numId="32">
    <w:abstractNumId w:val="21"/>
  </w:num>
  <w:num w:numId="33">
    <w:abstractNumId w:val="31"/>
  </w:num>
  <w:num w:numId="34">
    <w:abstractNumId w:val="11"/>
  </w:num>
  <w:num w:numId="35">
    <w:abstractNumId w:val="5"/>
  </w:num>
  <w:num w:numId="36">
    <w:abstractNumId w:val="1"/>
  </w:num>
  <w:num w:numId="37">
    <w:abstractNumId w:val="26"/>
  </w:num>
  <w:num w:numId="38">
    <w:abstractNumId w:val="18"/>
  </w:num>
  <w:num w:numId="39">
    <w:abstractNumId w:val="35"/>
  </w:num>
  <w:num w:numId="40">
    <w:abstractNumId w:val="16"/>
  </w:num>
  <w:num w:numId="41">
    <w:abstractNumId w:val="37"/>
  </w:num>
  <w:num w:numId="42">
    <w:abstractNumId w:val="10"/>
  </w:num>
  <w:num w:numId="43">
    <w:abstractNumId w:val="39"/>
  </w:num>
  <w:num w:numId="44">
    <w:abstractNumId w:val="0"/>
  </w:num>
  <w:num w:numId="45">
    <w:abstractNumId w:val="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31742"/>
    <w:rsid w:val="00034D6C"/>
    <w:rsid w:val="00034F62"/>
    <w:rsid w:val="00040933"/>
    <w:rsid w:val="000416E1"/>
    <w:rsid w:val="0005225D"/>
    <w:rsid w:val="00066AC4"/>
    <w:rsid w:val="00067BC9"/>
    <w:rsid w:val="00072083"/>
    <w:rsid w:val="00082211"/>
    <w:rsid w:val="00082974"/>
    <w:rsid w:val="00083DB0"/>
    <w:rsid w:val="000852EF"/>
    <w:rsid w:val="000A7394"/>
    <w:rsid w:val="000B19C5"/>
    <w:rsid w:val="000B7F3E"/>
    <w:rsid w:val="000C2986"/>
    <w:rsid w:val="000C664B"/>
    <w:rsid w:val="000D0B79"/>
    <w:rsid w:val="000D622F"/>
    <w:rsid w:val="000E4E83"/>
    <w:rsid w:val="000E7559"/>
    <w:rsid w:val="000F29A2"/>
    <w:rsid w:val="000F2B5C"/>
    <w:rsid w:val="000F7395"/>
    <w:rsid w:val="001035DF"/>
    <w:rsid w:val="00107830"/>
    <w:rsid w:val="00115EFF"/>
    <w:rsid w:val="0011639E"/>
    <w:rsid w:val="001275B1"/>
    <w:rsid w:val="0013256B"/>
    <w:rsid w:val="00137754"/>
    <w:rsid w:val="00150C29"/>
    <w:rsid w:val="00150C52"/>
    <w:rsid w:val="00163C8D"/>
    <w:rsid w:val="0016679B"/>
    <w:rsid w:val="00182BBA"/>
    <w:rsid w:val="00183BF8"/>
    <w:rsid w:val="00185125"/>
    <w:rsid w:val="00197695"/>
    <w:rsid w:val="001A0219"/>
    <w:rsid w:val="001A1C67"/>
    <w:rsid w:val="001A2424"/>
    <w:rsid w:val="001A4E03"/>
    <w:rsid w:val="001B655C"/>
    <w:rsid w:val="001C0DE2"/>
    <w:rsid w:val="001C1BCF"/>
    <w:rsid w:val="001D4F15"/>
    <w:rsid w:val="001D6533"/>
    <w:rsid w:val="001E0785"/>
    <w:rsid w:val="001F0084"/>
    <w:rsid w:val="001F0B3F"/>
    <w:rsid w:val="001F4554"/>
    <w:rsid w:val="001F6275"/>
    <w:rsid w:val="00202FFB"/>
    <w:rsid w:val="00211FB4"/>
    <w:rsid w:val="00215365"/>
    <w:rsid w:val="00234B04"/>
    <w:rsid w:val="00243494"/>
    <w:rsid w:val="00247123"/>
    <w:rsid w:val="002501F1"/>
    <w:rsid w:val="00252DD9"/>
    <w:rsid w:val="002545A6"/>
    <w:rsid w:val="002567BB"/>
    <w:rsid w:val="00257D9E"/>
    <w:rsid w:val="00262129"/>
    <w:rsid w:val="00265D3C"/>
    <w:rsid w:val="00272064"/>
    <w:rsid w:val="0027251D"/>
    <w:rsid w:val="002756D5"/>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F6846"/>
    <w:rsid w:val="00307F23"/>
    <w:rsid w:val="00312DDC"/>
    <w:rsid w:val="00315C47"/>
    <w:rsid w:val="003201D1"/>
    <w:rsid w:val="003261AB"/>
    <w:rsid w:val="0033074C"/>
    <w:rsid w:val="00336A74"/>
    <w:rsid w:val="00343348"/>
    <w:rsid w:val="00351F6C"/>
    <w:rsid w:val="003539A7"/>
    <w:rsid w:val="00356B3E"/>
    <w:rsid w:val="0036106F"/>
    <w:rsid w:val="00361FA8"/>
    <w:rsid w:val="00371B4F"/>
    <w:rsid w:val="00371E84"/>
    <w:rsid w:val="003723C4"/>
    <w:rsid w:val="00376FFD"/>
    <w:rsid w:val="0038025E"/>
    <w:rsid w:val="00382625"/>
    <w:rsid w:val="00382B2D"/>
    <w:rsid w:val="003959C1"/>
    <w:rsid w:val="003A165C"/>
    <w:rsid w:val="003B054B"/>
    <w:rsid w:val="003B22F4"/>
    <w:rsid w:val="003B7B44"/>
    <w:rsid w:val="003D10A8"/>
    <w:rsid w:val="003E3F45"/>
    <w:rsid w:val="003E791D"/>
    <w:rsid w:val="003F0776"/>
    <w:rsid w:val="00401A19"/>
    <w:rsid w:val="0040351D"/>
    <w:rsid w:val="00403545"/>
    <w:rsid w:val="00405A73"/>
    <w:rsid w:val="00407787"/>
    <w:rsid w:val="00410F27"/>
    <w:rsid w:val="00412AB5"/>
    <w:rsid w:val="00412EE9"/>
    <w:rsid w:val="004141B2"/>
    <w:rsid w:val="00423ACB"/>
    <w:rsid w:val="004245D9"/>
    <w:rsid w:val="00426877"/>
    <w:rsid w:val="004322FE"/>
    <w:rsid w:val="00435D0F"/>
    <w:rsid w:val="00441037"/>
    <w:rsid w:val="00441186"/>
    <w:rsid w:val="00444C6F"/>
    <w:rsid w:val="00445EC3"/>
    <w:rsid w:val="00451AF3"/>
    <w:rsid w:val="00457D11"/>
    <w:rsid w:val="0046582F"/>
    <w:rsid w:val="0047022A"/>
    <w:rsid w:val="004762B4"/>
    <w:rsid w:val="00481C3C"/>
    <w:rsid w:val="00482FE7"/>
    <w:rsid w:val="004855C1"/>
    <w:rsid w:val="00486F03"/>
    <w:rsid w:val="004A28F3"/>
    <w:rsid w:val="004A46ED"/>
    <w:rsid w:val="004A60B3"/>
    <w:rsid w:val="004B0A50"/>
    <w:rsid w:val="004B28AF"/>
    <w:rsid w:val="004B2E68"/>
    <w:rsid w:val="004B6669"/>
    <w:rsid w:val="004C4F41"/>
    <w:rsid w:val="004E011D"/>
    <w:rsid w:val="004E024C"/>
    <w:rsid w:val="004F1DE1"/>
    <w:rsid w:val="004F6C17"/>
    <w:rsid w:val="005064DB"/>
    <w:rsid w:val="005118A0"/>
    <w:rsid w:val="00511EEE"/>
    <w:rsid w:val="00513A9D"/>
    <w:rsid w:val="00513E3B"/>
    <w:rsid w:val="005321A0"/>
    <w:rsid w:val="0053588F"/>
    <w:rsid w:val="00542E06"/>
    <w:rsid w:val="00555012"/>
    <w:rsid w:val="005669F0"/>
    <w:rsid w:val="005762CC"/>
    <w:rsid w:val="00585E1C"/>
    <w:rsid w:val="005923C2"/>
    <w:rsid w:val="005B3775"/>
    <w:rsid w:val="005B7A8D"/>
    <w:rsid w:val="005C2CA1"/>
    <w:rsid w:val="005D3CFC"/>
    <w:rsid w:val="005D44E4"/>
    <w:rsid w:val="005F08B0"/>
    <w:rsid w:val="005F099D"/>
    <w:rsid w:val="005F1876"/>
    <w:rsid w:val="00611334"/>
    <w:rsid w:val="0061716E"/>
    <w:rsid w:val="0062095D"/>
    <w:rsid w:val="0062155A"/>
    <w:rsid w:val="00622B70"/>
    <w:rsid w:val="00630AF7"/>
    <w:rsid w:val="006340F3"/>
    <w:rsid w:val="006365D9"/>
    <w:rsid w:val="00644156"/>
    <w:rsid w:val="00652B86"/>
    <w:rsid w:val="0065375F"/>
    <w:rsid w:val="00653A49"/>
    <w:rsid w:val="00663AAE"/>
    <w:rsid w:val="00666DD5"/>
    <w:rsid w:val="00667125"/>
    <w:rsid w:val="006774DA"/>
    <w:rsid w:val="006774E7"/>
    <w:rsid w:val="0068630A"/>
    <w:rsid w:val="0069091B"/>
    <w:rsid w:val="0069125D"/>
    <w:rsid w:val="00693892"/>
    <w:rsid w:val="0069444A"/>
    <w:rsid w:val="006A0E8B"/>
    <w:rsid w:val="006A1680"/>
    <w:rsid w:val="006A522B"/>
    <w:rsid w:val="006B7928"/>
    <w:rsid w:val="006C214E"/>
    <w:rsid w:val="006C5DF8"/>
    <w:rsid w:val="006D35CD"/>
    <w:rsid w:val="006D7CC4"/>
    <w:rsid w:val="006E3063"/>
    <w:rsid w:val="006E43EA"/>
    <w:rsid w:val="006F31A6"/>
    <w:rsid w:val="006F5533"/>
    <w:rsid w:val="00701AC1"/>
    <w:rsid w:val="00702FF7"/>
    <w:rsid w:val="007032EB"/>
    <w:rsid w:val="007051AA"/>
    <w:rsid w:val="00717A7A"/>
    <w:rsid w:val="00720E51"/>
    <w:rsid w:val="00726347"/>
    <w:rsid w:val="00726E11"/>
    <w:rsid w:val="00744494"/>
    <w:rsid w:val="00752979"/>
    <w:rsid w:val="00754F95"/>
    <w:rsid w:val="00764D90"/>
    <w:rsid w:val="007678EE"/>
    <w:rsid w:val="00770439"/>
    <w:rsid w:val="007805DC"/>
    <w:rsid w:val="00780CDD"/>
    <w:rsid w:val="00790990"/>
    <w:rsid w:val="007946B7"/>
    <w:rsid w:val="00797A71"/>
    <w:rsid w:val="00797D4B"/>
    <w:rsid w:val="007A0DE5"/>
    <w:rsid w:val="007A1C16"/>
    <w:rsid w:val="007A6E2B"/>
    <w:rsid w:val="007B01E4"/>
    <w:rsid w:val="007B29A0"/>
    <w:rsid w:val="007C5760"/>
    <w:rsid w:val="007D2283"/>
    <w:rsid w:val="007D46B0"/>
    <w:rsid w:val="007D5EF6"/>
    <w:rsid w:val="007D7327"/>
    <w:rsid w:val="007E04AE"/>
    <w:rsid w:val="007E1B0D"/>
    <w:rsid w:val="007E3B26"/>
    <w:rsid w:val="007E486A"/>
    <w:rsid w:val="007E5282"/>
    <w:rsid w:val="007F070D"/>
    <w:rsid w:val="007F5BDD"/>
    <w:rsid w:val="00817569"/>
    <w:rsid w:val="00833FAA"/>
    <w:rsid w:val="00840BFD"/>
    <w:rsid w:val="008476FA"/>
    <w:rsid w:val="00851798"/>
    <w:rsid w:val="008541DB"/>
    <w:rsid w:val="00854945"/>
    <w:rsid w:val="008567D5"/>
    <w:rsid w:val="008637D5"/>
    <w:rsid w:val="00867A0F"/>
    <w:rsid w:val="00873D22"/>
    <w:rsid w:val="008772BC"/>
    <w:rsid w:val="00885AF4"/>
    <w:rsid w:val="008861A4"/>
    <w:rsid w:val="00887961"/>
    <w:rsid w:val="0089155C"/>
    <w:rsid w:val="0089222F"/>
    <w:rsid w:val="008929FD"/>
    <w:rsid w:val="008A23CF"/>
    <w:rsid w:val="008A6D25"/>
    <w:rsid w:val="008A7605"/>
    <w:rsid w:val="008D1EF3"/>
    <w:rsid w:val="008D5474"/>
    <w:rsid w:val="008E3B68"/>
    <w:rsid w:val="008E4E0B"/>
    <w:rsid w:val="008E56C3"/>
    <w:rsid w:val="008F4BFF"/>
    <w:rsid w:val="009018A8"/>
    <w:rsid w:val="0090429D"/>
    <w:rsid w:val="0091018C"/>
    <w:rsid w:val="00913953"/>
    <w:rsid w:val="00915916"/>
    <w:rsid w:val="00916CA8"/>
    <w:rsid w:val="00926C3C"/>
    <w:rsid w:val="00937A8A"/>
    <w:rsid w:val="00941053"/>
    <w:rsid w:val="00942679"/>
    <w:rsid w:val="009433B2"/>
    <w:rsid w:val="00943871"/>
    <w:rsid w:val="00945446"/>
    <w:rsid w:val="009468B9"/>
    <w:rsid w:val="00946A9C"/>
    <w:rsid w:val="009500C9"/>
    <w:rsid w:val="00953147"/>
    <w:rsid w:val="00953CE6"/>
    <w:rsid w:val="009613A0"/>
    <w:rsid w:val="00961655"/>
    <w:rsid w:val="0096613C"/>
    <w:rsid w:val="00966E73"/>
    <w:rsid w:val="00973A3F"/>
    <w:rsid w:val="00975105"/>
    <w:rsid w:val="0097753B"/>
    <w:rsid w:val="009810C0"/>
    <w:rsid w:val="00982C3C"/>
    <w:rsid w:val="00986CC0"/>
    <w:rsid w:val="00990B87"/>
    <w:rsid w:val="00992829"/>
    <w:rsid w:val="009A6107"/>
    <w:rsid w:val="009B5DA5"/>
    <w:rsid w:val="009C77F9"/>
    <w:rsid w:val="009C7856"/>
    <w:rsid w:val="009D7366"/>
    <w:rsid w:val="009F0514"/>
    <w:rsid w:val="009F3B35"/>
    <w:rsid w:val="009F7470"/>
    <w:rsid w:val="00A03E02"/>
    <w:rsid w:val="00A06A33"/>
    <w:rsid w:val="00A23D2B"/>
    <w:rsid w:val="00A23EF0"/>
    <w:rsid w:val="00A30C36"/>
    <w:rsid w:val="00A3389C"/>
    <w:rsid w:val="00A405E7"/>
    <w:rsid w:val="00A439F2"/>
    <w:rsid w:val="00A45101"/>
    <w:rsid w:val="00A46EE7"/>
    <w:rsid w:val="00A551FC"/>
    <w:rsid w:val="00A56CC8"/>
    <w:rsid w:val="00A56D96"/>
    <w:rsid w:val="00A640A7"/>
    <w:rsid w:val="00A81888"/>
    <w:rsid w:val="00A84E1E"/>
    <w:rsid w:val="00A911AF"/>
    <w:rsid w:val="00A94F10"/>
    <w:rsid w:val="00A97BDB"/>
    <w:rsid w:val="00AA1C01"/>
    <w:rsid w:val="00AB0E0F"/>
    <w:rsid w:val="00AB3F04"/>
    <w:rsid w:val="00AB4E30"/>
    <w:rsid w:val="00AC025B"/>
    <w:rsid w:val="00AC3727"/>
    <w:rsid w:val="00AC37B9"/>
    <w:rsid w:val="00AC3812"/>
    <w:rsid w:val="00AC7EF6"/>
    <w:rsid w:val="00AD1AFC"/>
    <w:rsid w:val="00AD2DAC"/>
    <w:rsid w:val="00AD354E"/>
    <w:rsid w:val="00AD5459"/>
    <w:rsid w:val="00AE5B39"/>
    <w:rsid w:val="00AE64D7"/>
    <w:rsid w:val="00AF6F8F"/>
    <w:rsid w:val="00AF76AF"/>
    <w:rsid w:val="00B10D19"/>
    <w:rsid w:val="00B158E9"/>
    <w:rsid w:val="00B21035"/>
    <w:rsid w:val="00B21AFB"/>
    <w:rsid w:val="00B25800"/>
    <w:rsid w:val="00B25C1C"/>
    <w:rsid w:val="00B26A9F"/>
    <w:rsid w:val="00B361EE"/>
    <w:rsid w:val="00B403FB"/>
    <w:rsid w:val="00B41979"/>
    <w:rsid w:val="00B45F8A"/>
    <w:rsid w:val="00B46100"/>
    <w:rsid w:val="00B7606B"/>
    <w:rsid w:val="00B77107"/>
    <w:rsid w:val="00B8078A"/>
    <w:rsid w:val="00B8326A"/>
    <w:rsid w:val="00B877D7"/>
    <w:rsid w:val="00BA07DB"/>
    <w:rsid w:val="00BA16F1"/>
    <w:rsid w:val="00BA1F1A"/>
    <w:rsid w:val="00BA46FC"/>
    <w:rsid w:val="00BA5E90"/>
    <w:rsid w:val="00BB09BF"/>
    <w:rsid w:val="00BB21F3"/>
    <w:rsid w:val="00BB2444"/>
    <w:rsid w:val="00BB4F3F"/>
    <w:rsid w:val="00BC3385"/>
    <w:rsid w:val="00BC4800"/>
    <w:rsid w:val="00BD0C35"/>
    <w:rsid w:val="00BE20AB"/>
    <w:rsid w:val="00BE4E30"/>
    <w:rsid w:val="00BE65C7"/>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83BFC"/>
    <w:rsid w:val="00CC5BAE"/>
    <w:rsid w:val="00CC74AF"/>
    <w:rsid w:val="00CD16EE"/>
    <w:rsid w:val="00CD6A01"/>
    <w:rsid w:val="00CE2963"/>
    <w:rsid w:val="00CF4561"/>
    <w:rsid w:val="00D01CCA"/>
    <w:rsid w:val="00D07215"/>
    <w:rsid w:val="00D0729D"/>
    <w:rsid w:val="00D21EDB"/>
    <w:rsid w:val="00D26255"/>
    <w:rsid w:val="00D27588"/>
    <w:rsid w:val="00D27630"/>
    <w:rsid w:val="00D34DEF"/>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C4028"/>
    <w:rsid w:val="00DC659B"/>
    <w:rsid w:val="00DD1C7F"/>
    <w:rsid w:val="00DD33E3"/>
    <w:rsid w:val="00DE164F"/>
    <w:rsid w:val="00DE575B"/>
    <w:rsid w:val="00DF3B77"/>
    <w:rsid w:val="00DF7FC9"/>
    <w:rsid w:val="00E02618"/>
    <w:rsid w:val="00E02774"/>
    <w:rsid w:val="00E02A68"/>
    <w:rsid w:val="00E04831"/>
    <w:rsid w:val="00E17239"/>
    <w:rsid w:val="00E20F6D"/>
    <w:rsid w:val="00E23C2B"/>
    <w:rsid w:val="00E26FE8"/>
    <w:rsid w:val="00E2793B"/>
    <w:rsid w:val="00E308AF"/>
    <w:rsid w:val="00E35313"/>
    <w:rsid w:val="00E36039"/>
    <w:rsid w:val="00E37102"/>
    <w:rsid w:val="00E546A4"/>
    <w:rsid w:val="00E56955"/>
    <w:rsid w:val="00E626CF"/>
    <w:rsid w:val="00E64331"/>
    <w:rsid w:val="00E76D68"/>
    <w:rsid w:val="00E81091"/>
    <w:rsid w:val="00E84F47"/>
    <w:rsid w:val="00E85AFF"/>
    <w:rsid w:val="00E93097"/>
    <w:rsid w:val="00E933C1"/>
    <w:rsid w:val="00EB16C5"/>
    <w:rsid w:val="00EB56CE"/>
    <w:rsid w:val="00EC144D"/>
    <w:rsid w:val="00EC1B2A"/>
    <w:rsid w:val="00EC203D"/>
    <w:rsid w:val="00EC22A3"/>
    <w:rsid w:val="00ED4837"/>
    <w:rsid w:val="00EE1208"/>
    <w:rsid w:val="00EE4B2E"/>
    <w:rsid w:val="00EE5BF8"/>
    <w:rsid w:val="00EE5F54"/>
    <w:rsid w:val="00EF2623"/>
    <w:rsid w:val="00EF2690"/>
    <w:rsid w:val="00EF30DB"/>
    <w:rsid w:val="00EF3854"/>
    <w:rsid w:val="00EF7C61"/>
    <w:rsid w:val="00F05B3F"/>
    <w:rsid w:val="00F171F7"/>
    <w:rsid w:val="00F2129A"/>
    <w:rsid w:val="00F30FE6"/>
    <w:rsid w:val="00F4034B"/>
    <w:rsid w:val="00F44614"/>
    <w:rsid w:val="00F53513"/>
    <w:rsid w:val="00F53851"/>
    <w:rsid w:val="00F56E8F"/>
    <w:rsid w:val="00F57B0E"/>
    <w:rsid w:val="00F74A99"/>
    <w:rsid w:val="00F7662D"/>
    <w:rsid w:val="00F95F18"/>
    <w:rsid w:val="00FA2751"/>
    <w:rsid w:val="00FA2C89"/>
    <w:rsid w:val="00FA329B"/>
    <w:rsid w:val="00FA401B"/>
    <w:rsid w:val="00FB7224"/>
    <w:rsid w:val="00FC05A7"/>
    <w:rsid w:val="00FC7BF5"/>
    <w:rsid w:val="00FD07DE"/>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chihuahua2.gob.mx/biblioteca/leyes/archivosLeyes/894.pdf" TargetMode="External"/><Relationship Id="rId2" Type="http://schemas.openxmlformats.org/officeDocument/2006/relationships/hyperlink" Target="https://www.diputados.gob.mx/LeyesBiblio/pdf/LGS.pdf" TargetMode="External"/><Relationship Id="rId1" Type="http://schemas.openxmlformats.org/officeDocument/2006/relationships/hyperlink" Target="https://www.diputados.gob.mx/LeyesBiblio/pdf/CPEU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5E87-4192-4071-AD4F-D650678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3966</Words>
  <Characters>21818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25733</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2023-09-14T18:38:00Z</cp:lastPrinted>
  <dcterms:created xsi:type="dcterms:W3CDTF">2023-10-02T21:15:00Z</dcterms:created>
  <dcterms:modified xsi:type="dcterms:W3CDTF">2023-10-02T21:15:00Z</dcterms:modified>
</cp:coreProperties>
</file>