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EA3" w14:textId="77777777" w:rsidR="0019290D" w:rsidRDefault="0019290D" w:rsidP="000800D6">
      <w:pPr>
        <w:spacing w:after="0" w:line="360" w:lineRule="auto"/>
        <w:contextualSpacing/>
        <w:rPr>
          <w:rFonts w:ascii="Century Gothic" w:eastAsia="Arial Unicode MS" w:hAnsi="Century Gothic" w:cs="Arial"/>
          <w:b/>
          <w:sz w:val="24"/>
          <w:szCs w:val="24"/>
        </w:rPr>
      </w:pPr>
    </w:p>
    <w:p w14:paraId="648F1E7A" w14:textId="77777777" w:rsidR="00BE1438" w:rsidRDefault="00BE1438" w:rsidP="000800D6">
      <w:pPr>
        <w:spacing w:after="0" w:line="360" w:lineRule="auto"/>
        <w:contextualSpacing/>
        <w:rPr>
          <w:rFonts w:ascii="Century Gothic" w:eastAsia="Arial Unicode MS" w:hAnsi="Century Gothic" w:cs="Arial"/>
          <w:b/>
          <w:sz w:val="24"/>
          <w:szCs w:val="24"/>
        </w:rPr>
      </w:pPr>
    </w:p>
    <w:p w14:paraId="6191114D" w14:textId="77777777" w:rsidR="00BE1438"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448BA523"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3C4B1A57"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283E414A" w14:textId="4B588141" w:rsidR="000800D6" w:rsidRPr="00270555" w:rsidRDefault="000800D6" w:rsidP="000800D6">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 Comisión de</w:t>
      </w:r>
      <w:r w:rsidR="002C111A" w:rsidRPr="002C111A">
        <w:t xml:space="preserve"> </w:t>
      </w:r>
      <w:r w:rsidR="002C111A">
        <w:rPr>
          <w:rFonts w:ascii="Century Gothic" w:eastAsia="Arial Unicode MS" w:hAnsi="Century Gothic" w:cs="Arial"/>
          <w:sz w:val="24"/>
          <w:szCs w:val="24"/>
        </w:rPr>
        <w:t>Igualdad</w:t>
      </w:r>
      <w:r w:rsidR="002C111A" w:rsidRPr="002C111A">
        <w:rPr>
          <w:rFonts w:ascii="Century Gothic" w:eastAsia="Arial Unicode MS" w:hAnsi="Century Gothic" w:cs="Arial"/>
          <w:sz w:val="24"/>
          <w:szCs w:val="24"/>
        </w:rPr>
        <w:t>, 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775B8ADF"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1FEBB049"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14:paraId="2FD6A082" w14:textId="4BF7F827"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DD28AC">
        <w:rPr>
          <w:rFonts w:ascii="Century Gothic" w:eastAsia="Arial Unicode MS" w:hAnsi="Century Gothic" w:cs="Arial"/>
          <w:lang w:val="es-MX"/>
        </w:rPr>
        <w:t>Con fecha doce</w:t>
      </w:r>
      <w:r w:rsidR="00607AAA">
        <w:rPr>
          <w:rFonts w:ascii="Century Gothic" w:eastAsia="Arial Unicode MS" w:hAnsi="Century Gothic" w:cs="Arial"/>
          <w:lang w:val="es-MX"/>
        </w:rPr>
        <w:t xml:space="preserve"> de abril</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BE0139">
        <w:rPr>
          <w:rFonts w:ascii="Century Gothic" w:eastAsia="Arial Unicode MS" w:hAnsi="Century Gothic" w:cs="Arial"/>
          <w:lang w:val="es-MX"/>
        </w:rPr>
        <w:t>dós</w:t>
      </w:r>
      <w:r w:rsidR="000800D6" w:rsidRPr="00270555">
        <w:rPr>
          <w:rFonts w:ascii="Century Gothic" w:eastAsia="Arial Unicode MS" w:hAnsi="Century Gothic" w:cs="Arial"/>
          <w:lang w:val="es-MX"/>
        </w:rPr>
        <w:t>, la</w:t>
      </w:r>
      <w:r w:rsidR="00BE0139">
        <w:rPr>
          <w:rFonts w:ascii="Century Gothic" w:eastAsia="Arial Unicode MS" w:hAnsi="Century Gothic" w:cs="Arial"/>
          <w:lang w:val="es-MX"/>
        </w:rPr>
        <w:t xml:space="preserve">s </w:t>
      </w:r>
      <w:r w:rsidR="00353805">
        <w:rPr>
          <w:rFonts w:ascii="Century Gothic" w:eastAsia="Arial Unicode MS" w:hAnsi="Century Gothic" w:cs="Arial"/>
          <w:lang w:val="es-MX"/>
        </w:rPr>
        <w:t>D</w:t>
      </w:r>
      <w:r w:rsidR="00BE0139">
        <w:rPr>
          <w:rFonts w:ascii="Century Gothic" w:eastAsia="Arial Unicode MS" w:hAnsi="Century Gothic" w:cs="Arial"/>
          <w:lang w:val="es-MX"/>
        </w:rPr>
        <w:t xml:space="preserve">iputadas y </w:t>
      </w:r>
      <w:r w:rsidR="00353805">
        <w:rPr>
          <w:rFonts w:ascii="Century Gothic" w:eastAsia="Arial Unicode MS" w:hAnsi="Century Gothic" w:cs="Arial"/>
          <w:lang w:val="es-MX"/>
        </w:rPr>
        <w:t>D</w:t>
      </w:r>
      <w:r w:rsidR="00BE0139">
        <w:rPr>
          <w:rFonts w:ascii="Century Gothic" w:eastAsia="Arial Unicode MS" w:hAnsi="Century Gothic" w:cs="Arial"/>
          <w:lang w:val="es-MX"/>
        </w:rPr>
        <w:t>iputados</w:t>
      </w:r>
      <w:r w:rsidR="00982223">
        <w:rPr>
          <w:rFonts w:ascii="Century Gothic" w:eastAsia="Arial Unicode MS" w:hAnsi="Century Gothic" w:cs="Arial"/>
          <w:lang w:val="es-MX"/>
        </w:rPr>
        <w:t xml:space="preserve"> </w:t>
      </w:r>
      <w:r w:rsidR="000800D6" w:rsidRPr="00270555">
        <w:rPr>
          <w:rFonts w:ascii="Century Gothic" w:eastAsia="Arial Unicode MS" w:hAnsi="Century Gothic" w:cs="Arial"/>
          <w:lang w:val="es-MX"/>
        </w:rPr>
        <w:t>integrante</w:t>
      </w:r>
      <w:r w:rsidR="009C2C46">
        <w:rPr>
          <w:rFonts w:ascii="Century Gothic" w:eastAsia="Arial Unicode MS" w:hAnsi="Century Gothic" w:cs="Arial"/>
          <w:lang w:val="es-MX"/>
        </w:rPr>
        <w:t>s</w:t>
      </w:r>
      <w:r w:rsidR="00607AAA">
        <w:rPr>
          <w:rFonts w:ascii="Century Gothic" w:eastAsia="Arial Unicode MS" w:hAnsi="Century Gothic" w:cs="Arial"/>
          <w:lang w:val="es-MX"/>
        </w:rPr>
        <w:t xml:space="preserve"> del Grupo Parlamentario de MORENA</w:t>
      </w:r>
      <w:r w:rsidR="009C2C46">
        <w:rPr>
          <w:rFonts w:ascii="Century Gothic" w:eastAsia="Arial Unicode MS" w:hAnsi="Century Gothic" w:cs="Arial"/>
          <w:lang w:val="es-MX"/>
        </w:rPr>
        <w:t xml:space="preserve">, presentaron </w:t>
      </w:r>
      <w:r w:rsidR="00FF539B">
        <w:rPr>
          <w:rFonts w:ascii="Century Gothic" w:eastAsia="Arial Unicode MS" w:hAnsi="Century Gothic" w:cs="Arial"/>
          <w:lang w:val="es-MX"/>
        </w:rPr>
        <w:t xml:space="preserve">iniciativa con carácter de </w:t>
      </w:r>
      <w:r w:rsidR="009C2C46">
        <w:rPr>
          <w:rFonts w:ascii="Century Gothic" w:eastAsia="Arial Unicode MS" w:hAnsi="Century Gothic" w:cs="Arial"/>
          <w:lang w:val="es-MX"/>
        </w:rPr>
        <w:t>D</w:t>
      </w:r>
      <w:r w:rsidR="009C2C46" w:rsidRPr="009C2C46">
        <w:rPr>
          <w:rFonts w:ascii="Century Gothic" w:eastAsia="Arial Unicode MS" w:hAnsi="Century Gothic" w:cs="Arial"/>
          <w:lang w:val="es-MX"/>
        </w:rPr>
        <w:t>ecreto,</w:t>
      </w:r>
      <w:r w:rsidR="00607AAA">
        <w:rPr>
          <w:rFonts w:ascii="Century Gothic" w:eastAsia="Arial Unicode MS" w:hAnsi="Century Gothic" w:cs="Arial"/>
          <w:lang w:val="es-MX"/>
        </w:rPr>
        <w:t xml:space="preserve"> </w:t>
      </w:r>
      <w:r w:rsidR="00607AAA" w:rsidRPr="00607AAA">
        <w:rPr>
          <w:rFonts w:ascii="Century Gothic" w:eastAsia="Arial Unicode MS" w:hAnsi="Century Gothic" w:cs="Arial"/>
          <w:lang w:val="es-MX"/>
        </w:rPr>
        <w:t>a efecto de reformar diversas disposiciones de los artículos 28 y 32, de la Ley Estatal del Derecho de las Mujeres a una Vida Libre de Violencia, para establecer programas de otorgamiento de becas individuales para mujeres víctimas de violen</w:t>
      </w:r>
      <w:r w:rsidR="00607AAA">
        <w:rPr>
          <w:rFonts w:ascii="Century Gothic" w:eastAsia="Arial Unicode MS" w:hAnsi="Century Gothic" w:cs="Arial"/>
          <w:lang w:val="es-MX"/>
        </w:rPr>
        <w:t>cia y/o en situación de peligro</w:t>
      </w:r>
      <w:r w:rsidR="00982223" w:rsidRPr="00982223">
        <w:rPr>
          <w:rFonts w:ascii="Century Gothic" w:eastAsia="Arial Unicode MS" w:hAnsi="Century Gothic" w:cs="Arial"/>
          <w:lang w:val="es-MX"/>
        </w:rPr>
        <w:t>.</w:t>
      </w:r>
    </w:p>
    <w:p w14:paraId="57D879B6"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26C216D5"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w:t>
      </w:r>
      <w:r w:rsidRPr="00270555">
        <w:rPr>
          <w:rFonts w:ascii="Century Gothic" w:eastAsia="Arial Unicode MS" w:hAnsi="Century Gothic" w:cs="Arial"/>
          <w:sz w:val="24"/>
          <w:szCs w:val="24"/>
        </w:rPr>
        <w:t xml:space="preserve"> La Presidencia del H. Congreso </w:t>
      </w:r>
      <w:r w:rsidR="00113F37">
        <w:rPr>
          <w:rFonts w:ascii="Century Gothic" w:eastAsia="Arial Unicode MS" w:hAnsi="Century Gothic" w:cs="Arial"/>
          <w:sz w:val="24"/>
          <w:szCs w:val="24"/>
        </w:rPr>
        <w:t>del Estado, con fecha diecinueve</w:t>
      </w:r>
      <w:r w:rsidR="009C2C46">
        <w:rPr>
          <w:rFonts w:ascii="Century Gothic" w:eastAsia="Arial Unicode MS" w:hAnsi="Century Gothic" w:cs="Arial"/>
          <w:sz w:val="24"/>
          <w:szCs w:val="24"/>
        </w:rPr>
        <w:t xml:space="preserve"> de abril</w:t>
      </w:r>
      <w:r w:rsidRPr="00270555">
        <w:rPr>
          <w:rFonts w:ascii="Century Gothic" w:eastAsia="Arial Unicode MS" w:hAnsi="Century Gothic" w:cs="Arial"/>
          <w:sz w:val="24"/>
          <w:szCs w:val="24"/>
        </w:rPr>
        <w:t xml:space="preserve"> 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009C2C46">
        <w:rPr>
          <w:rFonts w:ascii="Century Gothic" w:eastAsia="Arial Unicode MS" w:hAnsi="Century Gothic" w:cs="Arial"/>
          <w:sz w:val="24"/>
          <w:szCs w:val="24"/>
        </w:rPr>
        <w:t>veintidós</w:t>
      </w:r>
      <w:r w:rsidRPr="00270555">
        <w:rPr>
          <w:rFonts w:ascii="Century Gothic" w:eastAsia="Arial Unicode MS" w:hAnsi="Century Gothic" w:cs="Arial"/>
          <w:sz w:val="24"/>
          <w:szCs w:val="24"/>
        </w:rPr>
        <w:t>, tuvo a bien turnar a esta Comis</w:t>
      </w:r>
      <w:r w:rsidR="00D25DFE">
        <w:rPr>
          <w:rFonts w:ascii="Century Gothic" w:eastAsia="Arial Unicode MS" w:hAnsi="Century Gothic" w:cs="Arial"/>
          <w:sz w:val="24"/>
          <w:szCs w:val="24"/>
        </w:rPr>
        <w:t xml:space="preserve">ión de Dictamen Legislativo la </w:t>
      </w:r>
      <w:r w:rsidR="00D25DFE">
        <w:rPr>
          <w:rFonts w:ascii="Century Gothic" w:eastAsia="Arial Unicode MS" w:hAnsi="Century Gothic" w:cs="Arial"/>
          <w:sz w:val="24"/>
          <w:szCs w:val="24"/>
        </w:rPr>
        <w:lastRenderedPageBreak/>
        <w:t>i</w:t>
      </w:r>
      <w:r w:rsidRPr="00270555">
        <w:rPr>
          <w:rFonts w:ascii="Century Gothic" w:eastAsia="Arial Unicode MS" w:hAnsi="Century Gothic" w:cs="Arial"/>
          <w:sz w:val="24"/>
          <w:szCs w:val="24"/>
        </w:rPr>
        <w:t>niciativa de mérito, a efecto de proceder al estudio, análisis y elaboración del Dictamen correspondiente.</w:t>
      </w:r>
    </w:p>
    <w:p w14:paraId="7EF2A970"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CB9E19B" w14:textId="6919806F" w:rsidR="000800D6" w:rsidRPr="009C53FD" w:rsidRDefault="000800D6" w:rsidP="009C53FD">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III.-</w:t>
      </w:r>
      <w:r w:rsidRPr="00270555">
        <w:rPr>
          <w:rFonts w:ascii="Century Gothic" w:eastAsia="Arial Unicode MS" w:hAnsi="Century Gothic" w:cs="Arial"/>
          <w:sz w:val="24"/>
          <w:szCs w:val="24"/>
        </w:rPr>
        <w:t xml:space="preserve"> La Iniciativa en mención se sustenta en los siguientes argumentos:</w:t>
      </w:r>
    </w:p>
    <w:p w14:paraId="1210C5B0" w14:textId="77777777" w:rsidR="00113F37" w:rsidRPr="00113F37" w:rsidRDefault="00956AC1"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w:t>
      </w:r>
      <w:r w:rsidR="00113F37" w:rsidRPr="00113F37">
        <w:rPr>
          <w:rFonts w:ascii="Century Gothic" w:hAnsi="Century Gothic"/>
          <w:i/>
        </w:rPr>
        <w:t>La violencia contra la mujer es todo acto de violencia de género que resulte, o pueda tener como resultado un daño físico, sexual o psicológico para la mujer, inclusive también es considerada violencia las amenazas de tales actos, la coacción o la privación arbitraria de libertad, tanto si se producen en la vida pública como en la privada, de acuerdo con las Naciones Unidas.</w:t>
      </w:r>
    </w:p>
    <w:p w14:paraId="287CA444"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Estas agresiones llegan a provocar en las mujeres graves problemas de salud física, mental, sexual y reproductiva a corto, mediano y largo plazo. Generando un elevado costo social y económico para las mujeres, sus familias y la sociedad. </w:t>
      </w:r>
    </w:p>
    <w:p w14:paraId="50B68870"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Asimismo, la violencia puede causar depresión, estrés postraumático y otros trastornos de ansiedad, insomnio, trastornos alimenticios e intentos de suicidio. Está comprobado que la violencia sexual, sobre todo en la infancia, </w:t>
      </w:r>
      <w:proofErr w:type="gramStart"/>
      <w:r w:rsidRPr="00113F37">
        <w:rPr>
          <w:rFonts w:ascii="Century Gothic" w:hAnsi="Century Gothic"/>
          <w:i/>
        </w:rPr>
        <w:t>incrementa</w:t>
      </w:r>
      <w:proofErr w:type="gramEnd"/>
      <w:r w:rsidRPr="00113F37">
        <w:rPr>
          <w:rFonts w:ascii="Century Gothic" w:hAnsi="Century Gothic"/>
          <w:i/>
        </w:rPr>
        <w:t xml:space="preserve"> además, el consumo de tabaco y drogas. </w:t>
      </w:r>
    </w:p>
    <w:p w14:paraId="059D1253"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Existe también una repercusión fuerte en los niños y niñas que crecen en familias donde se presenta la violencia intrafamiliar, pudiendo sufrir trastornos conductuales y emocionales que incluso pueden reflejarse en su vida adulta. </w:t>
      </w:r>
    </w:p>
    <w:p w14:paraId="75D4A143" w14:textId="48AAAFF2"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lastRenderedPageBreak/>
        <w:t xml:space="preserve">En el estado de Chihuahua, hasta finales de febrero del año 2022 la Fiscalía Especializada de la Mujer integró más de 2 mil carpetas </w:t>
      </w:r>
      <w:r w:rsidR="00E170E0" w:rsidRPr="00113F37">
        <w:rPr>
          <w:rFonts w:ascii="Century Gothic" w:hAnsi="Century Gothic"/>
          <w:i/>
        </w:rPr>
        <w:t>de delitos</w:t>
      </w:r>
      <w:r w:rsidRPr="00113F37">
        <w:rPr>
          <w:rFonts w:ascii="Century Gothic" w:hAnsi="Century Gothic"/>
          <w:i/>
        </w:rPr>
        <w:t xml:space="preserve"> en contra de mujeres. Teniendo como principal delito la violencia familiar, </w:t>
      </w:r>
      <w:proofErr w:type="gramStart"/>
      <w:r w:rsidRPr="00113F37">
        <w:rPr>
          <w:rFonts w:ascii="Century Gothic" w:hAnsi="Century Gothic"/>
          <w:i/>
        </w:rPr>
        <w:t>que</w:t>
      </w:r>
      <w:proofErr w:type="gramEnd"/>
      <w:r w:rsidRPr="00113F37">
        <w:rPr>
          <w:rFonts w:ascii="Century Gothic" w:hAnsi="Century Gothic"/>
          <w:i/>
        </w:rPr>
        <w:t xml:space="preserve"> en el 2021, contabilizó 12 mil 545 carpetas de investigación. </w:t>
      </w:r>
    </w:p>
    <w:p w14:paraId="793B807F" w14:textId="76E1076F"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Los costos sociales y económicos de la violencia contra la mujer, sobre</w:t>
      </w:r>
      <w:r w:rsidR="00A02B43">
        <w:rPr>
          <w:rFonts w:ascii="Century Gothic" w:hAnsi="Century Gothic"/>
          <w:i/>
        </w:rPr>
        <w:t xml:space="preserve"> </w:t>
      </w:r>
      <w:r w:rsidRPr="00113F37">
        <w:rPr>
          <w:rFonts w:ascii="Century Gothic" w:hAnsi="Century Gothic"/>
          <w:i/>
        </w:rPr>
        <w:t xml:space="preserve">todo la familiar y sexual, son enormes y tienen un efecto dominó en toda la sociedad. </w:t>
      </w:r>
    </w:p>
    <w:p w14:paraId="7ABD7D65"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Las mujeres pueden llegar a encontrarse aisladas e incapacitadas para trabajar, perder su sueldo, dejar de participar en actividades cotidianas y ver menguadas sus fuerzas para cuidar de sí mismas y de sus hijos.</w:t>
      </w:r>
    </w:p>
    <w:p w14:paraId="5280963C"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Es por esto, que el Estado debe atender de forma integral a las mujeres víctimas del delito, dando cumplimiento a lo que establece el marco jurídico internacional, así como nuestra legislación estatal y federal. </w:t>
      </w:r>
    </w:p>
    <w:p w14:paraId="2A105018"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La Constitución Política de los Estados Unidos Mexicanos establece en la fracción IV del inciso c) del artículo 20, la reparación del daño como derecho de la víctima u ofendido, mencionando lo siguiente: </w:t>
      </w:r>
    </w:p>
    <w:p w14:paraId="4EDD6975"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…En los casos en que sea procedente, el Ministerio Público estará obligado a solicitar la reparación del daño, sin menoscabo de que la víctima u ofendido lo pueda solicitar directamente, y el juzgador no podrá absolver al sentenciado de dicha reparación si ha emitido una </w:t>
      </w:r>
      <w:r w:rsidRPr="00113F37">
        <w:rPr>
          <w:rFonts w:ascii="Century Gothic" w:hAnsi="Century Gothic"/>
          <w:i/>
        </w:rPr>
        <w:lastRenderedPageBreak/>
        <w:t>sentencia condenatoria. La ley fijará procedimientos ágiles para ejecutar las sentencias en materia de reparación del daño;</w:t>
      </w:r>
    </w:p>
    <w:p w14:paraId="1F2384F3"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De igual manera, la Ley general para el acceso a una vida libre de violencia establece en su artículo 20 que: para cumplir con su obligación de garantizar el derecho de las mujeres a una vida libre de violencia, los tres órdenes de gobierno deben prevenir, atender, investigar, sancionar y reparar el daño que les inflige.</w:t>
      </w:r>
    </w:p>
    <w:p w14:paraId="30B010C8"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Y el artículo 26 de la misma Ley señala la obligación del Estado mexicano de resarcir el daño ante la violencia feminicida, conforme a los parámetros establecidos en el Derecho Internacional de los Derechos Humanos, considerando como reparación: el derecho a la justicia pronta, expedita e imparcial, la rehabilitación y la satisfacción. </w:t>
      </w:r>
    </w:p>
    <w:p w14:paraId="6D808C77"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Según los principios y directrices básicos de la Organización de las Naciones Unidas (ONU), la reparación “plena y efectiva” se expresa bajo las siguientes formas: restitución, indemnización, rehabilitación, satisfacción y garantías de no repetición.</w:t>
      </w:r>
    </w:p>
    <w:p w14:paraId="779999D4"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Uno de los trabajos más importantes y con mayor compromiso para el Estado es conseguir que esta reparación del daño sea efectiva, lograr la resiliencia, devolverles a las mujeres su seguridad, para que sean ellas las que puedan volver a tomar su camino, trabajar en sus metas y en su plan de vida. </w:t>
      </w:r>
    </w:p>
    <w:p w14:paraId="5AAF49BB"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lastRenderedPageBreak/>
        <w:t xml:space="preserve">Es evidente que en este camino las mujeres no deben ser revictimizadas, por el contrario, deben ser garantizados sus derechos por el Estado. Uno de los aspectos que consideramos importante para lograr esto, es que tengan la efectiva posibilidad de culminar la educación básica, media superior y en su caso, superior, en razón de </w:t>
      </w:r>
      <w:proofErr w:type="gramStart"/>
      <w:r w:rsidRPr="00113F37">
        <w:rPr>
          <w:rFonts w:ascii="Century Gothic" w:hAnsi="Century Gothic"/>
          <w:i/>
        </w:rPr>
        <w:t>que</w:t>
      </w:r>
      <w:proofErr w:type="gramEnd"/>
      <w:r w:rsidRPr="00113F37">
        <w:rPr>
          <w:rFonts w:ascii="Century Gothic" w:hAnsi="Century Gothic"/>
          <w:i/>
        </w:rPr>
        <w:t xml:space="preserve"> a consecuencia de haber sido violentadas, una gran parte, dejar de estudiar, lo que afecta de manera importante en su desarrollo integral.</w:t>
      </w:r>
    </w:p>
    <w:p w14:paraId="11AC848C"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Estamos convencidas, de que la mejora de los niveles de educación de las mujeres es un factor esencial para su bienestar y sus proyectos de vida; asimismo, dicha mejora guarda relación con las oportunidades de las que podrán disfrutar sus hijas e hijos.</w:t>
      </w:r>
    </w:p>
    <w:p w14:paraId="22659AC5" w14:textId="77777777" w:rsidR="00113F37"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La educación empodera a las niñas, adolescentes y mujeres, motivo por el cual, debemos buscar que aquellas que han pasado por una situación de violencia no deserten en su camino de preparación escolar y académica. </w:t>
      </w:r>
    </w:p>
    <w:p w14:paraId="2EEF3BFA" w14:textId="77777777" w:rsidR="00956AC1" w:rsidRPr="00113F37" w:rsidRDefault="00113F37" w:rsidP="00113F37">
      <w:pPr>
        <w:pStyle w:val="Normal1"/>
        <w:pBdr>
          <w:top w:val="nil"/>
          <w:left w:val="nil"/>
          <w:bottom w:val="nil"/>
          <w:right w:val="nil"/>
          <w:between w:val="nil"/>
        </w:pBdr>
        <w:spacing w:before="240" w:line="360" w:lineRule="auto"/>
        <w:ind w:left="1080" w:right="612"/>
        <w:jc w:val="both"/>
        <w:rPr>
          <w:rFonts w:ascii="Century Gothic" w:hAnsi="Century Gothic"/>
          <w:i/>
        </w:rPr>
      </w:pPr>
      <w:r w:rsidRPr="00113F37">
        <w:rPr>
          <w:rFonts w:ascii="Century Gothic" w:hAnsi="Century Gothic"/>
          <w:i/>
        </w:rPr>
        <w:t xml:space="preserve">La presente acción legislativa tiene por objeto ejecutar, impulsar y fortalecer, el ejercicio pleno del derecho de las mujeres, para alcanzar la superación personal y profesional en sus ciclos de la educación, a través del ejercicio de acciones afirmativas como lo es el otorgamiento de becas específicas, en virtud de la responsabilidad social que </w:t>
      </w:r>
      <w:r w:rsidRPr="00113F37">
        <w:rPr>
          <w:rFonts w:ascii="Century Gothic" w:hAnsi="Century Gothic"/>
          <w:i/>
        </w:rPr>
        <w:lastRenderedPageBreak/>
        <w:t>tenemos con las todas las mujeres que radican en el Estado de Chihuahua.</w:t>
      </w:r>
      <w:r w:rsidR="00956AC1">
        <w:rPr>
          <w:rFonts w:ascii="Century Gothic" w:hAnsi="Century Gothic"/>
          <w:i/>
        </w:rPr>
        <w:t>”</w:t>
      </w:r>
    </w:p>
    <w:p w14:paraId="70C2F2CC" w14:textId="77777777" w:rsidR="000800D6" w:rsidRPr="00270555" w:rsidRDefault="000800D6" w:rsidP="009C53FD">
      <w:pPr>
        <w:spacing w:after="0" w:line="360" w:lineRule="auto"/>
        <w:ind w:right="616"/>
        <w:jc w:val="both"/>
        <w:rPr>
          <w:rFonts w:ascii="Century Gothic" w:hAnsi="Century Gothic" w:cs="Arial"/>
          <w:i/>
          <w:sz w:val="24"/>
          <w:szCs w:val="24"/>
        </w:rPr>
      </w:pPr>
    </w:p>
    <w:p w14:paraId="01E978A5" w14:textId="77777777"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 referida i</w:t>
      </w:r>
      <w:r w:rsidRPr="00270555">
        <w:rPr>
          <w:rFonts w:ascii="Century Gothic" w:hAnsi="Century Gothic" w:cs="Arial"/>
          <w:sz w:val="24"/>
          <w:szCs w:val="24"/>
        </w:rPr>
        <w:t>niciativa, quienes integramos esta Comisión, formulamos las siguientes:</w:t>
      </w:r>
    </w:p>
    <w:p w14:paraId="74C60138" w14:textId="77777777" w:rsidR="00BD58B6" w:rsidRDefault="00BD58B6" w:rsidP="00645A5C">
      <w:pPr>
        <w:spacing w:after="0" w:line="360" w:lineRule="auto"/>
        <w:contextualSpacing/>
        <w:rPr>
          <w:rFonts w:ascii="Century Gothic" w:hAnsi="Century Gothic" w:cs="Arial"/>
          <w:b/>
          <w:bCs/>
          <w:sz w:val="16"/>
          <w:szCs w:val="16"/>
        </w:rPr>
      </w:pPr>
    </w:p>
    <w:p w14:paraId="6B29B2C9" w14:textId="77777777" w:rsidR="00652713" w:rsidRDefault="00652713" w:rsidP="00645A5C">
      <w:pPr>
        <w:spacing w:after="0" w:line="360" w:lineRule="auto"/>
        <w:contextualSpacing/>
        <w:rPr>
          <w:rFonts w:ascii="Century Gothic" w:hAnsi="Century Gothic" w:cs="Arial"/>
          <w:b/>
          <w:bCs/>
          <w:sz w:val="16"/>
          <w:szCs w:val="16"/>
        </w:rPr>
      </w:pPr>
    </w:p>
    <w:p w14:paraId="39BCBA16" w14:textId="77777777" w:rsidR="00BD58B6" w:rsidRPr="00270555" w:rsidRDefault="00BD58B6" w:rsidP="00645A5C">
      <w:pPr>
        <w:spacing w:after="0" w:line="360" w:lineRule="auto"/>
        <w:contextualSpacing/>
        <w:rPr>
          <w:rFonts w:ascii="Century Gothic" w:hAnsi="Century Gothic" w:cs="Arial"/>
          <w:b/>
          <w:bCs/>
          <w:sz w:val="16"/>
          <w:szCs w:val="16"/>
        </w:rPr>
      </w:pPr>
    </w:p>
    <w:p w14:paraId="183BBB95"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4697F196" w14:textId="77777777" w:rsidR="00645A5C" w:rsidRPr="00270555" w:rsidRDefault="00645A5C" w:rsidP="00645A5C">
      <w:pPr>
        <w:spacing w:after="0" w:line="360" w:lineRule="auto"/>
        <w:contextualSpacing/>
        <w:jc w:val="center"/>
        <w:rPr>
          <w:rFonts w:ascii="Century Gothic" w:hAnsi="Century Gothic" w:cs="Arial"/>
          <w:b/>
          <w:bCs/>
          <w:sz w:val="24"/>
          <w:szCs w:val="24"/>
        </w:rPr>
      </w:pPr>
    </w:p>
    <w:p w14:paraId="4E1BD2A5" w14:textId="77777777" w:rsidR="000800D6" w:rsidRPr="00270555" w:rsidRDefault="000800D6" w:rsidP="00645A5C">
      <w:pPr>
        <w:spacing w:after="0" w:line="360" w:lineRule="auto"/>
        <w:contextualSpacing/>
        <w:jc w:val="center"/>
        <w:rPr>
          <w:rFonts w:ascii="Century Gothic" w:hAnsi="Century Gothic"/>
          <w:i/>
          <w:sz w:val="14"/>
          <w:szCs w:val="14"/>
        </w:rPr>
      </w:pPr>
    </w:p>
    <w:p w14:paraId="1C6CE4E7" w14:textId="77777777" w:rsidR="000800D6" w:rsidRPr="00270555"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1896270B" w14:textId="77777777" w:rsidR="000800D6" w:rsidRPr="00270555" w:rsidRDefault="000800D6" w:rsidP="00645A5C">
      <w:pPr>
        <w:spacing w:after="0" w:line="360" w:lineRule="auto"/>
        <w:jc w:val="both"/>
        <w:rPr>
          <w:rFonts w:ascii="Century Gothic" w:hAnsi="Century Gothic" w:cs="Calibri"/>
          <w:b/>
          <w:sz w:val="24"/>
          <w:szCs w:val="24"/>
        </w:rPr>
      </w:pPr>
    </w:p>
    <w:p w14:paraId="5364A284" w14:textId="47DF3A4C" w:rsidR="00C23BD9" w:rsidRPr="00270555" w:rsidRDefault="000800D6" w:rsidP="005D2856">
      <w:pPr>
        <w:spacing w:after="0" w:line="360" w:lineRule="auto"/>
        <w:jc w:val="both"/>
        <w:rPr>
          <w:rFonts w:ascii="Century Gothic" w:eastAsia="Arial Unicode MS" w:hAnsi="Century Gothic" w:cs="Arial"/>
          <w:sz w:val="24"/>
          <w:szCs w:val="24"/>
        </w:rPr>
      </w:pPr>
      <w:r w:rsidRPr="00270555">
        <w:rPr>
          <w:rFonts w:ascii="Century Gothic" w:hAnsi="Century Gothic" w:cs="Calibri"/>
          <w:b/>
          <w:sz w:val="24"/>
          <w:szCs w:val="24"/>
        </w:rPr>
        <w:t xml:space="preserve">II.- </w:t>
      </w:r>
      <w:r w:rsidR="00A83498">
        <w:rPr>
          <w:rFonts w:ascii="Century Gothic" w:hAnsi="Century Gothic" w:cs="Calibri"/>
          <w:sz w:val="24"/>
          <w:szCs w:val="24"/>
        </w:rPr>
        <w:t>La intención de la presente iniciativa versa</w:t>
      </w:r>
      <w:r w:rsidRPr="00270555">
        <w:rPr>
          <w:rFonts w:ascii="Century Gothic" w:hAnsi="Century Gothic" w:cs="Calibri"/>
          <w:sz w:val="24"/>
          <w:szCs w:val="24"/>
        </w:rPr>
        <w:t xml:space="preserve"> en el sentido de</w:t>
      </w:r>
      <w:r w:rsidR="00577038">
        <w:rPr>
          <w:rFonts w:ascii="Century Gothic" w:hAnsi="Century Gothic" w:cs="Calibri"/>
          <w:sz w:val="24"/>
          <w:szCs w:val="24"/>
        </w:rPr>
        <w:t xml:space="preserve"> reformar la </w:t>
      </w:r>
      <w:r w:rsidR="00113F37" w:rsidRPr="00113F37">
        <w:rPr>
          <w:rFonts w:ascii="Century Gothic" w:eastAsia="Arial Unicode MS" w:hAnsi="Century Gothic" w:cs="Arial"/>
          <w:sz w:val="24"/>
          <w:szCs w:val="24"/>
        </w:rPr>
        <w:t xml:space="preserve">Ley Estatal del Derecho de las Mujeres a una Vida Libre de Violencia, con el fin de procurar, impulsar y apoyar el ejercicio pleno del derecho de las mujeres a culminar sus ciclos educativos de </w:t>
      </w:r>
      <w:r w:rsidR="00353805">
        <w:rPr>
          <w:rFonts w:ascii="Century Gothic" w:eastAsia="Arial Unicode MS" w:hAnsi="Century Gothic" w:cs="Arial"/>
          <w:sz w:val="24"/>
          <w:szCs w:val="24"/>
        </w:rPr>
        <w:t>nivel</w:t>
      </w:r>
      <w:r w:rsidR="00113F37" w:rsidRPr="00113F37">
        <w:rPr>
          <w:rFonts w:ascii="Century Gothic" w:eastAsia="Arial Unicode MS" w:hAnsi="Century Gothic" w:cs="Arial"/>
          <w:sz w:val="24"/>
          <w:szCs w:val="24"/>
        </w:rPr>
        <w:t xml:space="preserve"> básic</w:t>
      </w:r>
      <w:r w:rsidR="00353805">
        <w:rPr>
          <w:rFonts w:ascii="Century Gothic" w:eastAsia="Arial Unicode MS" w:hAnsi="Century Gothic" w:cs="Arial"/>
          <w:sz w:val="24"/>
          <w:szCs w:val="24"/>
        </w:rPr>
        <w:t>o</w:t>
      </w:r>
      <w:r w:rsidR="00113F37" w:rsidRPr="00113F37">
        <w:rPr>
          <w:rFonts w:ascii="Century Gothic" w:eastAsia="Arial Unicode MS" w:hAnsi="Century Gothic" w:cs="Arial"/>
          <w:sz w:val="24"/>
          <w:szCs w:val="24"/>
        </w:rPr>
        <w:t>, medi</w:t>
      </w:r>
      <w:r w:rsidR="00353805">
        <w:rPr>
          <w:rFonts w:ascii="Century Gothic" w:eastAsia="Arial Unicode MS" w:hAnsi="Century Gothic" w:cs="Arial"/>
          <w:sz w:val="24"/>
          <w:szCs w:val="24"/>
        </w:rPr>
        <w:t>o</w:t>
      </w:r>
      <w:r w:rsidR="00113F37" w:rsidRPr="00113F37">
        <w:rPr>
          <w:rFonts w:ascii="Century Gothic" w:eastAsia="Arial Unicode MS" w:hAnsi="Century Gothic" w:cs="Arial"/>
          <w:sz w:val="24"/>
          <w:szCs w:val="24"/>
        </w:rPr>
        <w:t xml:space="preserve"> superior y superior, mediante el ejercicio de acciones afirmativas y el otorgamiento de becas especiales.</w:t>
      </w:r>
      <w:r w:rsidR="00A83498">
        <w:rPr>
          <w:rFonts w:ascii="Century Gothic" w:eastAsia="Arial Unicode MS" w:hAnsi="Century Gothic" w:cs="Arial"/>
          <w:sz w:val="24"/>
          <w:szCs w:val="24"/>
        </w:rPr>
        <w:t xml:space="preserve"> </w:t>
      </w:r>
    </w:p>
    <w:p w14:paraId="56BB93C5" w14:textId="77777777" w:rsidR="001D7721" w:rsidRPr="00270555" w:rsidRDefault="001D7721" w:rsidP="005E7EDB">
      <w:pPr>
        <w:spacing w:after="0" w:line="360" w:lineRule="auto"/>
        <w:jc w:val="center"/>
        <w:rPr>
          <w:rFonts w:ascii="Century Gothic" w:eastAsia="Arial Unicode MS" w:hAnsi="Century Gothic" w:cs="Arial"/>
          <w:sz w:val="24"/>
          <w:szCs w:val="24"/>
        </w:rPr>
      </w:pPr>
    </w:p>
    <w:p w14:paraId="7520C308" w14:textId="77777777" w:rsidR="00A85106" w:rsidRDefault="00A32EA1" w:rsidP="00A85106">
      <w:pPr>
        <w:spacing w:after="0" w:line="360" w:lineRule="auto"/>
        <w:jc w:val="both"/>
        <w:rPr>
          <w:rFonts w:ascii="Century Gothic" w:hAnsi="Century Gothic" w:cs="Calibri"/>
          <w:sz w:val="24"/>
          <w:szCs w:val="24"/>
        </w:rPr>
      </w:pPr>
      <w:r w:rsidRPr="00270555">
        <w:rPr>
          <w:rFonts w:ascii="Century Gothic" w:hAnsi="Century Gothic" w:cs="Calibri"/>
          <w:b/>
          <w:sz w:val="24"/>
          <w:szCs w:val="24"/>
        </w:rPr>
        <w:t>III.-</w:t>
      </w:r>
      <w:r w:rsidR="00113F37">
        <w:rPr>
          <w:rFonts w:ascii="Century Gothic" w:hAnsi="Century Gothic" w:cs="Calibri"/>
          <w:sz w:val="24"/>
          <w:szCs w:val="24"/>
        </w:rPr>
        <w:t xml:space="preserve"> </w:t>
      </w:r>
      <w:r w:rsidR="00113F37" w:rsidRPr="00113F37">
        <w:rPr>
          <w:rFonts w:ascii="Century Gothic" w:hAnsi="Century Gothic" w:cs="Calibri"/>
          <w:sz w:val="24"/>
          <w:szCs w:val="24"/>
        </w:rPr>
        <w:t xml:space="preserve">La violencia contra las mujeres ha pasado de ser analizada como un problema del ámbito privado, a un asunto de Estado, por la grave afectación de los </w:t>
      </w:r>
      <w:r w:rsidR="00113F37">
        <w:rPr>
          <w:rFonts w:ascii="Century Gothic" w:hAnsi="Century Gothic" w:cs="Calibri"/>
          <w:sz w:val="24"/>
          <w:szCs w:val="24"/>
        </w:rPr>
        <w:t>derechos humanos de las mujeres</w:t>
      </w:r>
      <w:r w:rsidR="00A85106">
        <w:rPr>
          <w:rFonts w:ascii="Century Gothic" w:hAnsi="Century Gothic" w:cs="Calibri"/>
          <w:sz w:val="24"/>
          <w:szCs w:val="24"/>
        </w:rPr>
        <w:t>.</w:t>
      </w:r>
    </w:p>
    <w:p w14:paraId="04E6FB47" w14:textId="77777777" w:rsidR="00A85106" w:rsidRDefault="00A85106" w:rsidP="00AB322B">
      <w:pPr>
        <w:spacing w:after="0" w:line="360" w:lineRule="auto"/>
        <w:jc w:val="both"/>
        <w:rPr>
          <w:rFonts w:ascii="Century Gothic" w:hAnsi="Century Gothic" w:cs="Calibri"/>
          <w:sz w:val="24"/>
          <w:szCs w:val="24"/>
        </w:rPr>
      </w:pPr>
    </w:p>
    <w:p w14:paraId="2C427F87" w14:textId="77777777" w:rsidR="00377C1B" w:rsidRDefault="00396BB4" w:rsidP="00AB322B">
      <w:pPr>
        <w:spacing w:after="0" w:line="360" w:lineRule="auto"/>
        <w:jc w:val="both"/>
        <w:rPr>
          <w:rFonts w:ascii="Century Gothic" w:hAnsi="Century Gothic" w:cs="Calibri"/>
          <w:sz w:val="24"/>
          <w:szCs w:val="24"/>
        </w:rPr>
      </w:pPr>
      <w:r>
        <w:rPr>
          <w:rFonts w:ascii="Century Gothic" w:hAnsi="Century Gothic" w:cs="Calibri"/>
          <w:sz w:val="24"/>
          <w:szCs w:val="24"/>
        </w:rPr>
        <w:lastRenderedPageBreak/>
        <w:t>Esta Comisión</w:t>
      </w:r>
      <w:r w:rsidR="001773FF">
        <w:rPr>
          <w:rFonts w:ascii="Century Gothic" w:hAnsi="Century Gothic" w:cs="Calibri"/>
          <w:sz w:val="24"/>
          <w:szCs w:val="24"/>
        </w:rPr>
        <w:t xml:space="preserve"> es coincidente en </w:t>
      </w:r>
      <w:r w:rsidR="00AB322B" w:rsidRPr="00AB322B">
        <w:rPr>
          <w:rFonts w:ascii="Century Gothic" w:hAnsi="Century Gothic" w:cs="Calibri"/>
          <w:sz w:val="24"/>
          <w:szCs w:val="24"/>
        </w:rPr>
        <w:t>la</w:t>
      </w:r>
      <w:r w:rsidR="00856EBD">
        <w:rPr>
          <w:rFonts w:ascii="Century Gothic" w:hAnsi="Century Gothic" w:cs="Calibri"/>
          <w:sz w:val="24"/>
          <w:szCs w:val="24"/>
        </w:rPr>
        <w:t xml:space="preserve"> </w:t>
      </w:r>
      <w:r w:rsidR="00856EBD" w:rsidRPr="00856EBD">
        <w:rPr>
          <w:rFonts w:ascii="Century Gothic" w:hAnsi="Century Gothic" w:cs="Calibri"/>
          <w:sz w:val="24"/>
          <w:szCs w:val="24"/>
        </w:rPr>
        <w:t xml:space="preserve">alta responsabilidad social </w:t>
      </w:r>
      <w:r w:rsidR="00856EBD">
        <w:rPr>
          <w:rFonts w:ascii="Century Gothic" w:hAnsi="Century Gothic" w:cs="Calibri"/>
          <w:sz w:val="24"/>
          <w:szCs w:val="24"/>
        </w:rPr>
        <w:t xml:space="preserve">que tienen los poderes ejecutivo y legislativo </w:t>
      </w:r>
      <w:r w:rsidR="00856EBD" w:rsidRPr="00856EBD">
        <w:rPr>
          <w:rFonts w:ascii="Century Gothic" w:hAnsi="Century Gothic" w:cs="Calibri"/>
          <w:sz w:val="24"/>
          <w:szCs w:val="24"/>
        </w:rPr>
        <w:t>con las mujeres que por distintas razones vieron truncado el acceso a la educación en condiciones de igualdad con los hombres y más aun de las mujeres que al ser víctimas de violencia abandonaron sus estudios.</w:t>
      </w:r>
      <w:r w:rsidR="00377C1B">
        <w:rPr>
          <w:rFonts w:ascii="Century Gothic" w:hAnsi="Century Gothic" w:cs="Calibri"/>
          <w:sz w:val="24"/>
          <w:szCs w:val="24"/>
        </w:rPr>
        <w:t xml:space="preserve"> </w:t>
      </w:r>
    </w:p>
    <w:p w14:paraId="0E232262" w14:textId="77777777" w:rsidR="00BD58B6" w:rsidRDefault="00BD58B6" w:rsidP="00AB322B">
      <w:pPr>
        <w:spacing w:after="0" w:line="360" w:lineRule="auto"/>
        <w:jc w:val="both"/>
        <w:rPr>
          <w:rFonts w:ascii="Century Gothic" w:hAnsi="Century Gothic" w:cs="Calibri"/>
          <w:sz w:val="24"/>
          <w:szCs w:val="24"/>
        </w:rPr>
      </w:pPr>
    </w:p>
    <w:p w14:paraId="74EAAFE3" w14:textId="77777777" w:rsidR="00856EBD" w:rsidRDefault="003A5152" w:rsidP="002D4506">
      <w:pPr>
        <w:spacing w:after="0" w:line="360" w:lineRule="auto"/>
        <w:jc w:val="both"/>
        <w:rPr>
          <w:rFonts w:ascii="Century Gothic" w:hAnsi="Century Gothic" w:cs="Calibri"/>
          <w:sz w:val="24"/>
          <w:szCs w:val="24"/>
        </w:rPr>
      </w:pPr>
      <w:r w:rsidRPr="00420463">
        <w:rPr>
          <w:rFonts w:ascii="Century Gothic" w:hAnsi="Century Gothic" w:cs="Calibri"/>
          <w:b/>
          <w:sz w:val="24"/>
          <w:szCs w:val="24"/>
        </w:rPr>
        <w:t>IV.-</w:t>
      </w:r>
      <w:r w:rsidR="00B24BF4">
        <w:rPr>
          <w:rFonts w:ascii="Century Gothic" w:hAnsi="Century Gothic" w:cs="Calibri"/>
          <w:sz w:val="24"/>
          <w:szCs w:val="24"/>
        </w:rPr>
        <w:t xml:space="preserve"> </w:t>
      </w:r>
      <w:r w:rsidR="00856EBD">
        <w:rPr>
          <w:rFonts w:ascii="Century Gothic" w:hAnsi="Century Gothic" w:cs="Calibri"/>
          <w:sz w:val="24"/>
          <w:szCs w:val="24"/>
        </w:rPr>
        <w:t xml:space="preserve">En este sentido, cabe analizar la relación del derecho a la educación con el derecho a una vida libre de violencia, ambos como derechos humanos fundamentales. </w:t>
      </w:r>
    </w:p>
    <w:p w14:paraId="6A6A90B2" w14:textId="77777777" w:rsidR="00856EBD" w:rsidRDefault="00856EBD" w:rsidP="002D4506">
      <w:pPr>
        <w:spacing w:after="0" w:line="360" w:lineRule="auto"/>
        <w:jc w:val="both"/>
        <w:rPr>
          <w:rFonts w:ascii="Century Gothic" w:hAnsi="Century Gothic" w:cs="Calibri"/>
          <w:sz w:val="24"/>
          <w:szCs w:val="24"/>
        </w:rPr>
      </w:pPr>
    </w:p>
    <w:p w14:paraId="153DF8F9" w14:textId="0B6D3ED8" w:rsidR="00856EBD" w:rsidRPr="00856EBD" w:rsidRDefault="00856EBD" w:rsidP="00856EBD">
      <w:pPr>
        <w:spacing w:after="0" w:line="360" w:lineRule="auto"/>
        <w:jc w:val="both"/>
        <w:rPr>
          <w:rFonts w:ascii="Century Gothic" w:hAnsi="Century Gothic" w:cs="Calibri"/>
          <w:sz w:val="24"/>
          <w:szCs w:val="24"/>
        </w:rPr>
      </w:pPr>
      <w:r>
        <w:rPr>
          <w:rFonts w:ascii="Century Gothic" w:hAnsi="Century Gothic" w:cs="Calibri"/>
          <w:sz w:val="24"/>
          <w:szCs w:val="24"/>
        </w:rPr>
        <w:t xml:space="preserve">Para ello, entendemos al caso </w:t>
      </w:r>
      <w:r w:rsidRPr="00C321B1">
        <w:rPr>
          <w:rFonts w:ascii="Century Gothic" w:hAnsi="Century Gothic" w:cs="Calibri"/>
          <w:i/>
          <w:sz w:val="24"/>
          <w:szCs w:val="24"/>
        </w:rPr>
        <w:t>Fernández Ortega y otros contra México</w:t>
      </w:r>
      <w:r w:rsidRPr="00856EBD">
        <w:rPr>
          <w:rFonts w:ascii="Century Gothic" w:hAnsi="Century Gothic" w:cs="Calibri"/>
          <w:sz w:val="24"/>
          <w:szCs w:val="24"/>
        </w:rPr>
        <w:t>,</w:t>
      </w:r>
      <w:r w:rsidR="00C321B1">
        <w:rPr>
          <w:rFonts w:ascii="Century Gothic" w:hAnsi="Century Gothic" w:cs="Calibri"/>
          <w:sz w:val="24"/>
          <w:szCs w:val="24"/>
        </w:rPr>
        <w:t xml:space="preserve"> en el cual</w:t>
      </w:r>
      <w:r w:rsidRPr="00856EBD">
        <w:rPr>
          <w:rFonts w:ascii="Century Gothic" w:hAnsi="Century Gothic" w:cs="Calibri"/>
          <w:sz w:val="24"/>
          <w:szCs w:val="24"/>
        </w:rPr>
        <w:t xml:space="preserve"> el 30 de agosto de 2010,</w:t>
      </w:r>
      <w:r w:rsidR="00C321B1">
        <w:rPr>
          <w:rFonts w:ascii="Century Gothic" w:hAnsi="Century Gothic" w:cs="Calibri"/>
          <w:sz w:val="24"/>
          <w:szCs w:val="24"/>
        </w:rPr>
        <w:t xml:space="preserve"> la Corte Interamericana de Derechos Humanos</w:t>
      </w:r>
      <w:r w:rsidRPr="00856EBD">
        <w:rPr>
          <w:rFonts w:ascii="Century Gothic" w:hAnsi="Century Gothic" w:cs="Calibri"/>
          <w:sz w:val="24"/>
          <w:szCs w:val="24"/>
        </w:rPr>
        <w:t xml:space="preserve"> condenó al Estado Mexicano por la violación a los derechos humanos de integridad personal, dignidad, vida privada, garantías judiciales y protección judicial en perjuicio de la señora Inés Fernández Ortega, indígena del </w:t>
      </w:r>
      <w:r w:rsidR="00353805">
        <w:rPr>
          <w:rFonts w:ascii="Century Gothic" w:hAnsi="Century Gothic" w:cs="Calibri"/>
          <w:sz w:val="24"/>
          <w:szCs w:val="24"/>
        </w:rPr>
        <w:t>E</w:t>
      </w:r>
      <w:r w:rsidRPr="00856EBD">
        <w:rPr>
          <w:rFonts w:ascii="Century Gothic" w:hAnsi="Century Gothic" w:cs="Calibri"/>
          <w:sz w:val="24"/>
          <w:szCs w:val="24"/>
        </w:rPr>
        <w:t xml:space="preserve">stado de Guerrero, quien fue violada en su domicilio por un grupo de militares, </w:t>
      </w:r>
      <w:r w:rsidR="00C321B1">
        <w:rPr>
          <w:rFonts w:ascii="Century Gothic" w:hAnsi="Century Gothic" w:cs="Calibri"/>
          <w:sz w:val="24"/>
          <w:szCs w:val="24"/>
        </w:rPr>
        <w:t xml:space="preserve">en presencia de </w:t>
      </w:r>
      <w:r w:rsidRPr="00856EBD">
        <w:rPr>
          <w:rFonts w:ascii="Century Gothic" w:hAnsi="Century Gothic" w:cs="Calibri"/>
          <w:sz w:val="24"/>
          <w:szCs w:val="24"/>
        </w:rPr>
        <w:t>s</w:t>
      </w:r>
      <w:r w:rsidR="00C321B1">
        <w:rPr>
          <w:rFonts w:ascii="Century Gothic" w:hAnsi="Century Gothic" w:cs="Calibri"/>
          <w:sz w:val="24"/>
          <w:szCs w:val="24"/>
        </w:rPr>
        <w:t>us hijas e hijos menores de edad</w:t>
      </w:r>
      <w:r w:rsidRPr="00856EBD">
        <w:rPr>
          <w:rFonts w:ascii="Century Gothic" w:hAnsi="Century Gothic" w:cs="Calibri"/>
          <w:sz w:val="24"/>
          <w:szCs w:val="24"/>
        </w:rPr>
        <w:t xml:space="preserve">. </w:t>
      </w:r>
    </w:p>
    <w:p w14:paraId="0585290D" w14:textId="77777777" w:rsidR="00856EBD" w:rsidRPr="00856EBD" w:rsidRDefault="00856EBD" w:rsidP="00856EBD">
      <w:pPr>
        <w:spacing w:after="0" w:line="360" w:lineRule="auto"/>
        <w:jc w:val="both"/>
        <w:rPr>
          <w:rFonts w:ascii="Century Gothic" w:hAnsi="Century Gothic" w:cs="Calibri"/>
          <w:sz w:val="24"/>
          <w:szCs w:val="24"/>
        </w:rPr>
      </w:pPr>
    </w:p>
    <w:p w14:paraId="60847ADD" w14:textId="77777777" w:rsidR="00856EBD" w:rsidRPr="00856EBD" w:rsidRDefault="00856EBD" w:rsidP="00856EBD">
      <w:pPr>
        <w:spacing w:after="0" w:line="360" w:lineRule="auto"/>
        <w:jc w:val="both"/>
        <w:rPr>
          <w:rFonts w:ascii="Century Gothic" w:hAnsi="Century Gothic" w:cs="Calibri"/>
          <w:sz w:val="24"/>
          <w:szCs w:val="24"/>
        </w:rPr>
      </w:pPr>
      <w:r w:rsidRPr="00856EBD">
        <w:rPr>
          <w:rFonts w:ascii="Century Gothic" w:hAnsi="Century Gothic" w:cs="Calibri"/>
          <w:sz w:val="24"/>
          <w:szCs w:val="24"/>
        </w:rPr>
        <w:t xml:space="preserve">Al resolver este asunto, la </w:t>
      </w:r>
      <w:r w:rsidR="00C321B1">
        <w:rPr>
          <w:rFonts w:ascii="Century Gothic" w:hAnsi="Century Gothic" w:cs="Calibri"/>
          <w:sz w:val="24"/>
          <w:szCs w:val="24"/>
        </w:rPr>
        <w:t>C</w:t>
      </w:r>
      <w:r w:rsidRPr="00856EBD">
        <w:rPr>
          <w:rFonts w:ascii="Century Gothic" w:hAnsi="Century Gothic" w:cs="Calibri"/>
          <w:sz w:val="24"/>
          <w:szCs w:val="24"/>
        </w:rPr>
        <w:t xml:space="preserve">orte señaló que la violencia contra la mujer no solo constituye una violación de los derechos humanos, sino que es una ofensa a la dignidad humana que trasciende todos los sectores de la sociedad y afecta de manera negativa sus propias bases. </w:t>
      </w:r>
    </w:p>
    <w:p w14:paraId="556A5164" w14:textId="77777777" w:rsidR="00856EBD" w:rsidRPr="00856EBD" w:rsidRDefault="00856EBD" w:rsidP="00856EBD">
      <w:pPr>
        <w:spacing w:after="0" w:line="360" w:lineRule="auto"/>
        <w:jc w:val="both"/>
        <w:rPr>
          <w:rFonts w:ascii="Century Gothic" w:hAnsi="Century Gothic" w:cs="Calibri"/>
          <w:sz w:val="24"/>
          <w:szCs w:val="24"/>
        </w:rPr>
      </w:pPr>
    </w:p>
    <w:p w14:paraId="6AC152C0" w14:textId="77777777" w:rsidR="00856EBD" w:rsidRPr="00856EBD" w:rsidRDefault="00C321B1" w:rsidP="00856EBD">
      <w:pPr>
        <w:spacing w:after="0" w:line="360" w:lineRule="auto"/>
        <w:jc w:val="both"/>
        <w:rPr>
          <w:rFonts w:ascii="Century Gothic" w:hAnsi="Century Gothic" w:cs="Calibri"/>
          <w:sz w:val="24"/>
          <w:szCs w:val="24"/>
        </w:rPr>
      </w:pPr>
      <w:r>
        <w:rPr>
          <w:rFonts w:ascii="Century Gothic" w:hAnsi="Century Gothic" w:cs="Calibri"/>
          <w:sz w:val="24"/>
          <w:szCs w:val="24"/>
        </w:rPr>
        <w:t>La C</w:t>
      </w:r>
      <w:r w:rsidR="00856EBD" w:rsidRPr="00856EBD">
        <w:rPr>
          <w:rFonts w:ascii="Century Gothic" w:hAnsi="Century Gothic" w:cs="Calibri"/>
          <w:sz w:val="24"/>
          <w:szCs w:val="24"/>
        </w:rPr>
        <w:t>orte cons</w:t>
      </w:r>
      <w:r>
        <w:rPr>
          <w:rFonts w:ascii="Century Gothic" w:hAnsi="Century Gothic" w:cs="Calibri"/>
          <w:sz w:val="24"/>
          <w:szCs w:val="24"/>
        </w:rPr>
        <w:t>ideró que las mujeres y sus hija</w:t>
      </w:r>
      <w:r w:rsidR="00856EBD" w:rsidRPr="00856EBD">
        <w:rPr>
          <w:rFonts w:ascii="Century Gothic" w:hAnsi="Century Gothic" w:cs="Calibri"/>
          <w:sz w:val="24"/>
          <w:szCs w:val="24"/>
        </w:rPr>
        <w:t>s e h</w:t>
      </w:r>
      <w:r>
        <w:rPr>
          <w:rFonts w:ascii="Century Gothic" w:hAnsi="Century Gothic" w:cs="Calibri"/>
          <w:sz w:val="24"/>
          <w:szCs w:val="24"/>
        </w:rPr>
        <w:t>ijo</w:t>
      </w:r>
      <w:r w:rsidR="00856EBD" w:rsidRPr="00856EBD">
        <w:rPr>
          <w:rFonts w:ascii="Century Gothic" w:hAnsi="Century Gothic" w:cs="Calibri"/>
          <w:sz w:val="24"/>
          <w:szCs w:val="24"/>
        </w:rPr>
        <w:t xml:space="preserve">s, no deben ser revictimizadas en su camino hacia la reparación integral del daño por violencia de género, por el </w:t>
      </w:r>
      <w:r w:rsidR="00856EBD" w:rsidRPr="00856EBD">
        <w:rPr>
          <w:rFonts w:ascii="Century Gothic" w:hAnsi="Century Gothic" w:cs="Calibri"/>
          <w:sz w:val="24"/>
          <w:szCs w:val="24"/>
        </w:rPr>
        <w:lastRenderedPageBreak/>
        <w:t xml:space="preserve">contrario, deben ser garantizados sus derechos por el Estado, para que tengan la efectiva posibilidad de culminar la educación en todos sus niveles, en razón de </w:t>
      </w:r>
      <w:proofErr w:type="gramStart"/>
      <w:r w:rsidR="00856EBD" w:rsidRPr="00856EBD">
        <w:rPr>
          <w:rFonts w:ascii="Century Gothic" w:hAnsi="Century Gothic" w:cs="Calibri"/>
          <w:sz w:val="24"/>
          <w:szCs w:val="24"/>
        </w:rPr>
        <w:t>que</w:t>
      </w:r>
      <w:proofErr w:type="gramEnd"/>
      <w:r w:rsidR="00856EBD" w:rsidRPr="00856EBD">
        <w:rPr>
          <w:rFonts w:ascii="Century Gothic" w:hAnsi="Century Gothic" w:cs="Calibri"/>
          <w:sz w:val="24"/>
          <w:szCs w:val="24"/>
        </w:rPr>
        <w:t xml:space="preserve"> a consecuencia de haber sido violentadas, una gran parte tuvo que dejar de estudiar, lo que afecta de manera importante su desarrollo integral. </w:t>
      </w:r>
    </w:p>
    <w:p w14:paraId="15907F65" w14:textId="77777777" w:rsidR="00856EBD" w:rsidRPr="00856EBD" w:rsidRDefault="00856EBD" w:rsidP="00856EBD">
      <w:pPr>
        <w:spacing w:after="0" w:line="360" w:lineRule="auto"/>
        <w:jc w:val="both"/>
        <w:rPr>
          <w:rFonts w:ascii="Century Gothic" w:hAnsi="Century Gothic" w:cs="Calibri"/>
          <w:sz w:val="24"/>
          <w:szCs w:val="24"/>
        </w:rPr>
      </w:pPr>
    </w:p>
    <w:p w14:paraId="637411E4" w14:textId="69977E7B" w:rsidR="0023656F" w:rsidRDefault="00856EBD" w:rsidP="0023656F">
      <w:pPr>
        <w:spacing w:after="0" w:line="360" w:lineRule="auto"/>
        <w:jc w:val="both"/>
        <w:rPr>
          <w:rFonts w:ascii="Century Gothic" w:hAnsi="Century Gothic" w:cs="Calibri"/>
          <w:sz w:val="24"/>
          <w:szCs w:val="24"/>
        </w:rPr>
      </w:pPr>
      <w:r w:rsidRPr="00856EBD">
        <w:rPr>
          <w:rFonts w:ascii="Century Gothic" w:hAnsi="Century Gothic" w:cs="Calibri"/>
          <w:sz w:val="24"/>
          <w:szCs w:val="24"/>
        </w:rPr>
        <w:t>En este caso, como medida de satisfacción la Corte ordenó a México otorgar becas a l</w:t>
      </w:r>
      <w:r w:rsidR="00C321B1">
        <w:rPr>
          <w:rFonts w:ascii="Century Gothic" w:hAnsi="Century Gothic" w:cs="Calibri"/>
          <w:sz w:val="24"/>
          <w:szCs w:val="24"/>
        </w:rPr>
        <w:t>as hija</w:t>
      </w:r>
      <w:r w:rsidRPr="00856EBD">
        <w:rPr>
          <w:rFonts w:ascii="Century Gothic" w:hAnsi="Century Gothic" w:cs="Calibri"/>
          <w:sz w:val="24"/>
          <w:szCs w:val="24"/>
        </w:rPr>
        <w:t xml:space="preserve">s </w:t>
      </w:r>
      <w:r w:rsidR="00C321B1">
        <w:rPr>
          <w:rFonts w:ascii="Century Gothic" w:hAnsi="Century Gothic" w:cs="Calibri"/>
          <w:sz w:val="24"/>
          <w:szCs w:val="24"/>
        </w:rPr>
        <w:t xml:space="preserve">e hijos </w:t>
      </w:r>
      <w:r w:rsidRPr="00856EBD">
        <w:rPr>
          <w:rFonts w:ascii="Century Gothic" w:hAnsi="Century Gothic" w:cs="Calibri"/>
          <w:sz w:val="24"/>
          <w:szCs w:val="24"/>
        </w:rPr>
        <w:t>de la Sra. Fernández hasta nivel superior, pues la violencia que sufrió esta mujer ge</w:t>
      </w:r>
      <w:r w:rsidR="00C321B1">
        <w:rPr>
          <w:rFonts w:ascii="Century Gothic" w:hAnsi="Century Gothic" w:cs="Calibri"/>
          <w:sz w:val="24"/>
          <w:szCs w:val="24"/>
        </w:rPr>
        <w:t>neró una afectación en sus</w:t>
      </w:r>
      <w:r w:rsidR="0024151F">
        <w:rPr>
          <w:rFonts w:ascii="Century Gothic" w:hAnsi="Century Gothic" w:cs="Calibri"/>
          <w:sz w:val="24"/>
          <w:szCs w:val="24"/>
        </w:rPr>
        <w:t xml:space="preserve"> hijas e hijos</w:t>
      </w:r>
      <w:r w:rsidR="00C321B1">
        <w:rPr>
          <w:rFonts w:ascii="Century Gothic" w:hAnsi="Century Gothic" w:cs="Calibri"/>
          <w:sz w:val="24"/>
          <w:szCs w:val="24"/>
        </w:rPr>
        <w:t xml:space="preserve"> menores de edad</w:t>
      </w:r>
      <w:r w:rsidRPr="00856EBD">
        <w:rPr>
          <w:rFonts w:ascii="Century Gothic" w:hAnsi="Century Gothic" w:cs="Calibri"/>
          <w:sz w:val="24"/>
          <w:szCs w:val="24"/>
        </w:rPr>
        <w:t xml:space="preserve"> que perdura en el tiempo y que ocasionó cambios significativos tanto en sus vidas como en sus relaciones personales y sociales, </w:t>
      </w:r>
      <w:r w:rsidR="0024151F">
        <w:rPr>
          <w:rFonts w:ascii="Century Gothic" w:hAnsi="Century Gothic" w:cs="Calibri"/>
          <w:sz w:val="24"/>
          <w:szCs w:val="24"/>
        </w:rPr>
        <w:t>menoscabando</w:t>
      </w:r>
      <w:r w:rsidRPr="00856EBD">
        <w:rPr>
          <w:rFonts w:ascii="Century Gothic" w:hAnsi="Century Gothic" w:cs="Calibri"/>
          <w:sz w:val="24"/>
          <w:szCs w:val="24"/>
        </w:rPr>
        <w:t xml:space="preserve"> su desarrollo personal.</w:t>
      </w:r>
    </w:p>
    <w:p w14:paraId="76DF4D9D" w14:textId="77777777" w:rsidR="0090524D" w:rsidRDefault="0090524D" w:rsidP="0023656F">
      <w:pPr>
        <w:spacing w:after="0" w:line="360" w:lineRule="auto"/>
        <w:jc w:val="both"/>
        <w:rPr>
          <w:rFonts w:ascii="Century Gothic" w:hAnsi="Century Gothic" w:cs="Calibri"/>
          <w:sz w:val="24"/>
          <w:szCs w:val="24"/>
        </w:rPr>
      </w:pPr>
    </w:p>
    <w:p w14:paraId="6FB16E8D" w14:textId="41F4EBDD" w:rsidR="0090524D" w:rsidRDefault="0090524D" w:rsidP="0090524D">
      <w:pPr>
        <w:spacing w:after="0" w:line="360" w:lineRule="auto"/>
        <w:jc w:val="both"/>
        <w:rPr>
          <w:rFonts w:ascii="Century Gothic" w:hAnsi="Century Gothic" w:cs="Calibri"/>
          <w:sz w:val="24"/>
          <w:szCs w:val="24"/>
        </w:rPr>
      </w:pPr>
      <w:r w:rsidRPr="0090524D">
        <w:rPr>
          <w:rFonts w:ascii="Century Gothic" w:hAnsi="Century Gothic" w:cs="Calibri"/>
          <w:sz w:val="24"/>
          <w:szCs w:val="24"/>
        </w:rPr>
        <w:t xml:space="preserve">Cabe mencionar que el otorgamiento de becas a personas víctimas de violencia de género, como acción afirmativa </w:t>
      </w:r>
      <w:r w:rsidR="00353805">
        <w:rPr>
          <w:rFonts w:ascii="Century Gothic" w:hAnsi="Century Gothic" w:cs="Calibri"/>
          <w:sz w:val="24"/>
          <w:szCs w:val="24"/>
        </w:rPr>
        <w:t xml:space="preserve">se implementa </w:t>
      </w:r>
      <w:r w:rsidRPr="0090524D">
        <w:rPr>
          <w:rFonts w:ascii="Century Gothic" w:hAnsi="Century Gothic" w:cs="Calibri"/>
          <w:sz w:val="24"/>
          <w:szCs w:val="24"/>
        </w:rPr>
        <w:t xml:space="preserve">hace más de una década </w:t>
      </w:r>
      <w:r>
        <w:rPr>
          <w:rFonts w:ascii="Century Gothic" w:hAnsi="Century Gothic" w:cs="Calibri"/>
          <w:sz w:val="24"/>
          <w:szCs w:val="24"/>
        </w:rPr>
        <w:t xml:space="preserve">en diversos países. Destacamos el caso de España, país en el que </w:t>
      </w:r>
      <w:r w:rsidRPr="0090524D">
        <w:rPr>
          <w:rFonts w:ascii="Century Gothic" w:hAnsi="Century Gothic" w:cs="Calibri"/>
          <w:sz w:val="24"/>
          <w:szCs w:val="24"/>
        </w:rPr>
        <w:t xml:space="preserve">las mujeres que acreditan la condición de víctimas de violencia de género, así como sus hijos e hijas menores de veintitrés años y los menores sujetos a su tutela o guardia y custodia </w:t>
      </w:r>
      <w:r w:rsidR="00CD7A88" w:rsidRPr="0090524D">
        <w:rPr>
          <w:rFonts w:ascii="Century Gothic" w:hAnsi="Century Gothic" w:cs="Calibri"/>
          <w:sz w:val="24"/>
          <w:szCs w:val="24"/>
        </w:rPr>
        <w:t>pueden obtener</w:t>
      </w:r>
      <w:r w:rsidRPr="0090524D">
        <w:rPr>
          <w:rFonts w:ascii="Century Gothic" w:hAnsi="Century Gothic" w:cs="Calibri"/>
          <w:sz w:val="24"/>
          <w:szCs w:val="24"/>
        </w:rPr>
        <w:t xml:space="preserve"> una beca. Lo anterior, sin que les sean aplicados los requisitos establecidos en relación con la carga de materias, ni calificaciones.</w:t>
      </w:r>
    </w:p>
    <w:p w14:paraId="04EB146F" w14:textId="77777777" w:rsidR="0090524D" w:rsidRDefault="0090524D" w:rsidP="00830314">
      <w:pPr>
        <w:spacing w:after="0" w:line="360" w:lineRule="auto"/>
        <w:jc w:val="both"/>
        <w:rPr>
          <w:rFonts w:ascii="Century Gothic" w:hAnsi="Century Gothic" w:cs="Calibri"/>
          <w:sz w:val="24"/>
          <w:szCs w:val="24"/>
        </w:rPr>
      </w:pPr>
    </w:p>
    <w:p w14:paraId="497B8784" w14:textId="77777777" w:rsidR="00AC6B8A" w:rsidRPr="00AC6B8A" w:rsidRDefault="00E52118" w:rsidP="00AC6B8A">
      <w:pPr>
        <w:spacing w:after="0" w:line="360" w:lineRule="auto"/>
        <w:jc w:val="both"/>
        <w:rPr>
          <w:rFonts w:ascii="Century Gothic" w:hAnsi="Century Gothic" w:cs="Calibri"/>
          <w:sz w:val="24"/>
          <w:szCs w:val="24"/>
        </w:rPr>
      </w:pPr>
      <w:r w:rsidRPr="00E52118">
        <w:rPr>
          <w:rFonts w:ascii="Century Gothic" w:hAnsi="Century Gothic" w:cs="Calibri"/>
          <w:b/>
          <w:sz w:val="24"/>
          <w:szCs w:val="24"/>
        </w:rPr>
        <w:t>V.-</w:t>
      </w:r>
      <w:r w:rsidR="00AC6B8A">
        <w:rPr>
          <w:rFonts w:ascii="Century Gothic" w:hAnsi="Century Gothic" w:cs="Calibri"/>
          <w:sz w:val="24"/>
          <w:szCs w:val="24"/>
        </w:rPr>
        <w:t xml:space="preserve"> </w:t>
      </w:r>
      <w:r w:rsidR="00AC6B8A" w:rsidRPr="00AC6B8A">
        <w:rPr>
          <w:rFonts w:ascii="Century Gothic" w:hAnsi="Century Gothic" w:cs="Calibri"/>
          <w:sz w:val="24"/>
          <w:szCs w:val="24"/>
        </w:rPr>
        <w:t xml:space="preserve">En nuestro país, la Secretaría de Educación Pública (SEP) y la Comisión Ejecutiva de Atención a Víctimas (CEAV), otorgan becas a víctimas del delito y violaciones a derechos humanos, con el objetivo de promover el acceso, continuación y permanencia de las personas que hayan sido víctimas de delitos del orden federal, y </w:t>
      </w:r>
      <w:r w:rsidR="00AC6B8A" w:rsidRPr="00AC6B8A">
        <w:rPr>
          <w:rFonts w:ascii="Century Gothic" w:hAnsi="Century Gothic" w:cs="Calibri"/>
          <w:sz w:val="24"/>
          <w:szCs w:val="24"/>
        </w:rPr>
        <w:lastRenderedPageBreak/>
        <w:t>que se encuentren inscritas en alguna institución pública del Sistema Educativo Nacional.</w:t>
      </w:r>
    </w:p>
    <w:p w14:paraId="230ABEB4" w14:textId="77777777" w:rsidR="00AC6B8A" w:rsidRDefault="00AC6B8A" w:rsidP="00AC6B8A">
      <w:pPr>
        <w:spacing w:after="0" w:line="360" w:lineRule="auto"/>
        <w:jc w:val="both"/>
        <w:rPr>
          <w:rFonts w:ascii="Century Gothic" w:hAnsi="Century Gothic" w:cs="Calibri"/>
          <w:sz w:val="24"/>
          <w:szCs w:val="24"/>
        </w:rPr>
      </w:pPr>
    </w:p>
    <w:p w14:paraId="6E42BA82" w14:textId="77777777" w:rsidR="00AC6B8A" w:rsidRPr="002F303A" w:rsidRDefault="00AC6B8A" w:rsidP="00AC6B8A">
      <w:pPr>
        <w:spacing w:after="0" w:line="360" w:lineRule="auto"/>
        <w:jc w:val="both"/>
        <w:rPr>
          <w:rFonts w:ascii="Century Gothic" w:hAnsi="Century Gothic" w:cs="Calibri"/>
          <w:sz w:val="24"/>
          <w:szCs w:val="24"/>
        </w:rPr>
      </w:pPr>
      <w:r w:rsidRPr="00AC6B8A">
        <w:rPr>
          <w:rFonts w:ascii="Century Gothic" w:hAnsi="Century Gothic" w:cs="Calibri"/>
          <w:sz w:val="24"/>
          <w:szCs w:val="24"/>
        </w:rPr>
        <w:t>Como requisito indispensable el o la afectada deberá acercarse a la CEAV para solicitar apoyo y orientación para inscribirse al Registro Nacional de Víctimas; la CEAV analizará las medidas a implementar para compensar a la víctima, si una de estas medidas es a través de una beca, la SEP canalizará la solicitud a alguno de los programas de becas ya existentes acorde a las Reglas de Operación del Programa Nacional de Becas.</w:t>
      </w:r>
    </w:p>
    <w:p w14:paraId="10F9F322" w14:textId="77777777" w:rsidR="00CF5208" w:rsidRDefault="00CF5208" w:rsidP="00830314">
      <w:pPr>
        <w:spacing w:after="0" w:line="360" w:lineRule="auto"/>
        <w:jc w:val="both"/>
        <w:rPr>
          <w:rFonts w:ascii="Century Gothic" w:hAnsi="Century Gothic" w:cs="Calibri"/>
          <w:sz w:val="24"/>
          <w:szCs w:val="24"/>
        </w:rPr>
      </w:pPr>
    </w:p>
    <w:p w14:paraId="5FF11406" w14:textId="77777777" w:rsidR="00475566" w:rsidRDefault="0090524D" w:rsidP="0090524D">
      <w:pPr>
        <w:spacing w:after="0" w:line="360" w:lineRule="auto"/>
        <w:jc w:val="both"/>
        <w:rPr>
          <w:rFonts w:ascii="Century Gothic" w:hAnsi="Century Gothic" w:cs="Calibri"/>
          <w:sz w:val="24"/>
          <w:szCs w:val="24"/>
        </w:rPr>
      </w:pPr>
      <w:r>
        <w:rPr>
          <w:rFonts w:ascii="Century Gothic" w:hAnsi="Century Gothic" w:cs="Calibri"/>
          <w:sz w:val="24"/>
          <w:szCs w:val="24"/>
        </w:rPr>
        <w:t>Conviene destacar que este tipo de apoyos se otorgan a las mujeres, así como a sus dependientes en su calidad de víctimas de violencias. Al respecto, la Ley de Víctimas para el Estado de Chihuahua, en su artículo 3°, define como</w:t>
      </w:r>
      <w:r w:rsidR="00475566">
        <w:rPr>
          <w:rFonts w:ascii="Century Gothic" w:hAnsi="Century Gothic" w:cs="Calibri"/>
          <w:sz w:val="24"/>
          <w:szCs w:val="24"/>
        </w:rPr>
        <w:t>:</w:t>
      </w:r>
    </w:p>
    <w:p w14:paraId="3E9A1E9E" w14:textId="77777777" w:rsidR="00475566" w:rsidRDefault="00475566" w:rsidP="0090524D">
      <w:pPr>
        <w:spacing w:after="0" w:line="360" w:lineRule="auto"/>
        <w:jc w:val="both"/>
        <w:rPr>
          <w:rFonts w:ascii="Century Gothic" w:hAnsi="Century Gothic" w:cs="Calibri"/>
          <w:sz w:val="24"/>
          <w:szCs w:val="24"/>
        </w:rPr>
      </w:pPr>
    </w:p>
    <w:p w14:paraId="39957794" w14:textId="77777777" w:rsidR="00475566" w:rsidRDefault="0090524D" w:rsidP="0090524D">
      <w:pPr>
        <w:pStyle w:val="Prrafodelista"/>
        <w:numPr>
          <w:ilvl w:val="0"/>
          <w:numId w:val="16"/>
        </w:numPr>
        <w:spacing w:after="0" w:line="360" w:lineRule="auto"/>
        <w:jc w:val="both"/>
        <w:rPr>
          <w:rFonts w:ascii="Century Gothic" w:hAnsi="Century Gothic" w:cs="Calibri"/>
          <w:sz w:val="24"/>
          <w:szCs w:val="24"/>
        </w:rPr>
      </w:pPr>
      <w:r w:rsidRPr="00475566">
        <w:rPr>
          <w:rFonts w:ascii="Century Gothic" w:hAnsi="Century Gothic" w:cs="Calibri"/>
          <w:sz w:val="24"/>
          <w:szCs w:val="24"/>
        </w:rPr>
        <w:t xml:space="preserve"> </w:t>
      </w:r>
      <w:r w:rsidR="00475566">
        <w:rPr>
          <w:rFonts w:ascii="Century Gothic" w:hAnsi="Century Gothic" w:cs="Calibri"/>
          <w:sz w:val="24"/>
          <w:szCs w:val="24"/>
        </w:rPr>
        <w:t>V</w:t>
      </w:r>
      <w:r w:rsidRPr="00475566">
        <w:rPr>
          <w:rFonts w:ascii="Century Gothic" w:hAnsi="Century Gothic" w:cs="Calibri"/>
          <w:i/>
          <w:sz w:val="24"/>
          <w:szCs w:val="24"/>
        </w:rPr>
        <w:t>íctimas directas</w:t>
      </w:r>
      <w:r w:rsidR="00475566">
        <w:rPr>
          <w:rFonts w:ascii="Century Gothic" w:hAnsi="Century Gothic" w:cs="Calibri"/>
          <w:sz w:val="24"/>
          <w:szCs w:val="24"/>
        </w:rPr>
        <w:t>.  A</w:t>
      </w:r>
      <w:r w:rsidRPr="00475566">
        <w:rPr>
          <w:rFonts w:ascii="Century Gothic" w:hAnsi="Century Gothic" w:cs="Calibri"/>
          <w:sz w:val="24"/>
          <w:szCs w:val="24"/>
        </w:rPr>
        <w:t xml:space="preserve">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Federal y en los tratados internacionales de los que el Estado Mexicano sea parte. </w:t>
      </w:r>
      <w:r w:rsidR="00475566">
        <w:rPr>
          <w:rFonts w:ascii="Century Gothic" w:hAnsi="Century Gothic" w:cs="Calibri"/>
          <w:sz w:val="24"/>
          <w:szCs w:val="24"/>
        </w:rPr>
        <w:t>Y,</w:t>
      </w:r>
    </w:p>
    <w:p w14:paraId="36193CFC" w14:textId="77777777" w:rsidR="00BD58B6" w:rsidRDefault="00BD58B6" w:rsidP="00BD58B6">
      <w:pPr>
        <w:pStyle w:val="Prrafodelista"/>
        <w:spacing w:after="0" w:line="360" w:lineRule="auto"/>
        <w:ind w:left="1080"/>
        <w:jc w:val="both"/>
        <w:rPr>
          <w:rFonts w:ascii="Century Gothic" w:hAnsi="Century Gothic" w:cs="Calibri"/>
          <w:sz w:val="24"/>
          <w:szCs w:val="24"/>
        </w:rPr>
      </w:pPr>
    </w:p>
    <w:p w14:paraId="01456FAF" w14:textId="77777777" w:rsidR="0090524D" w:rsidRPr="00475566" w:rsidRDefault="00475566" w:rsidP="0090524D">
      <w:pPr>
        <w:pStyle w:val="Prrafodelista"/>
        <w:numPr>
          <w:ilvl w:val="0"/>
          <w:numId w:val="16"/>
        </w:numPr>
        <w:spacing w:after="0" w:line="360" w:lineRule="auto"/>
        <w:jc w:val="both"/>
        <w:rPr>
          <w:rFonts w:ascii="Century Gothic" w:hAnsi="Century Gothic" w:cs="Calibri"/>
          <w:sz w:val="24"/>
          <w:szCs w:val="24"/>
        </w:rPr>
      </w:pPr>
      <w:r w:rsidRPr="00475566">
        <w:rPr>
          <w:rFonts w:ascii="Century Gothic" w:hAnsi="Century Gothic" w:cs="Calibri"/>
          <w:i/>
          <w:sz w:val="24"/>
          <w:szCs w:val="24"/>
        </w:rPr>
        <w:t>V</w:t>
      </w:r>
      <w:r w:rsidR="0090524D" w:rsidRPr="00475566">
        <w:rPr>
          <w:rFonts w:ascii="Century Gothic" w:hAnsi="Century Gothic" w:cs="Calibri"/>
          <w:i/>
          <w:sz w:val="24"/>
          <w:szCs w:val="24"/>
        </w:rPr>
        <w:t>íctimas indirectas</w:t>
      </w:r>
      <w:r>
        <w:rPr>
          <w:rFonts w:ascii="Century Gothic" w:hAnsi="Century Gothic" w:cs="Calibri"/>
          <w:sz w:val="24"/>
          <w:szCs w:val="24"/>
        </w:rPr>
        <w:t>. A</w:t>
      </w:r>
      <w:r w:rsidR="0090524D" w:rsidRPr="00475566">
        <w:rPr>
          <w:rFonts w:ascii="Century Gothic" w:hAnsi="Century Gothic" w:cs="Calibri"/>
          <w:sz w:val="24"/>
          <w:szCs w:val="24"/>
        </w:rPr>
        <w:t xml:space="preserve"> los familiares o aquellas personas físicas a cargo de la víctima directa que tengan una relación inmediata con ella.</w:t>
      </w:r>
    </w:p>
    <w:p w14:paraId="5FDA41C6" w14:textId="77777777" w:rsidR="00475566" w:rsidRDefault="00475566" w:rsidP="0090524D">
      <w:pPr>
        <w:spacing w:after="0" w:line="360" w:lineRule="auto"/>
        <w:jc w:val="both"/>
        <w:rPr>
          <w:rFonts w:ascii="Century Gothic" w:hAnsi="Century Gothic" w:cs="Calibri"/>
          <w:sz w:val="24"/>
          <w:szCs w:val="24"/>
        </w:rPr>
      </w:pPr>
    </w:p>
    <w:p w14:paraId="531A216C" w14:textId="6C0965BC" w:rsidR="00475566" w:rsidRDefault="0090524D" w:rsidP="0090524D">
      <w:pPr>
        <w:spacing w:after="0" w:line="360" w:lineRule="auto"/>
        <w:jc w:val="both"/>
        <w:rPr>
          <w:rFonts w:ascii="Century Gothic" w:hAnsi="Century Gothic" w:cs="Calibri"/>
          <w:sz w:val="24"/>
          <w:szCs w:val="24"/>
        </w:rPr>
      </w:pPr>
      <w:r w:rsidRPr="0090524D">
        <w:rPr>
          <w:rFonts w:ascii="Century Gothic" w:hAnsi="Century Gothic" w:cs="Calibri"/>
          <w:sz w:val="24"/>
          <w:szCs w:val="24"/>
        </w:rPr>
        <w:lastRenderedPageBreak/>
        <w:t>La calidad de víctimas se adquiere con la acreditación del daño o menoscabo de los derechos en los términos establecidos en la Ley, independientemente de que se identifique, aprehenda o condene al responsable del daño, o de que la víctima participe en algún procedimiento judicial o administrativo.</w:t>
      </w:r>
      <w:r w:rsidR="00475566">
        <w:rPr>
          <w:rFonts w:ascii="Century Gothic" w:hAnsi="Century Gothic" w:cs="Calibri"/>
          <w:sz w:val="24"/>
          <w:szCs w:val="24"/>
        </w:rPr>
        <w:t xml:space="preserve"> </w:t>
      </w:r>
      <w:r w:rsidRPr="0090524D">
        <w:rPr>
          <w:rFonts w:ascii="Century Gothic" w:hAnsi="Century Gothic" w:cs="Calibri"/>
          <w:sz w:val="24"/>
          <w:szCs w:val="24"/>
        </w:rPr>
        <w:t xml:space="preserve">Atendiendo a esto podemos decir que sí, las mujeres y sus hijos e hijas encuadran en el concepto de </w:t>
      </w:r>
      <w:r w:rsidR="00675776" w:rsidRPr="0090524D">
        <w:rPr>
          <w:rFonts w:ascii="Century Gothic" w:hAnsi="Century Gothic" w:cs="Calibri"/>
          <w:sz w:val="24"/>
          <w:szCs w:val="24"/>
        </w:rPr>
        <w:t>víctimas</w:t>
      </w:r>
      <w:r w:rsidRPr="0090524D">
        <w:rPr>
          <w:rFonts w:ascii="Century Gothic" w:hAnsi="Century Gothic" w:cs="Calibri"/>
          <w:sz w:val="24"/>
          <w:szCs w:val="24"/>
        </w:rPr>
        <w:t xml:space="preserve"> que establece la ley.</w:t>
      </w:r>
    </w:p>
    <w:p w14:paraId="2C80FF08" w14:textId="77777777" w:rsidR="00CF5208" w:rsidRDefault="00CF5208" w:rsidP="00830314">
      <w:pPr>
        <w:spacing w:after="0" w:line="360" w:lineRule="auto"/>
        <w:jc w:val="both"/>
        <w:rPr>
          <w:rFonts w:ascii="Century Gothic" w:hAnsi="Century Gothic" w:cs="Calibri"/>
          <w:sz w:val="24"/>
          <w:szCs w:val="24"/>
        </w:rPr>
      </w:pPr>
    </w:p>
    <w:p w14:paraId="6BC4A4BA" w14:textId="2EFF3DC1" w:rsidR="00987C08" w:rsidRDefault="00E52118" w:rsidP="0090524D">
      <w:pPr>
        <w:spacing w:after="0" w:line="360" w:lineRule="auto"/>
        <w:jc w:val="both"/>
        <w:rPr>
          <w:rFonts w:ascii="Century Gothic" w:hAnsi="Century Gothic" w:cs="Calibri"/>
          <w:sz w:val="24"/>
          <w:szCs w:val="24"/>
        </w:rPr>
      </w:pPr>
      <w:r>
        <w:rPr>
          <w:rFonts w:ascii="Century Gothic" w:hAnsi="Century Gothic" w:cs="Calibri"/>
          <w:b/>
          <w:sz w:val="24"/>
          <w:szCs w:val="24"/>
        </w:rPr>
        <w:t>VI</w:t>
      </w:r>
      <w:r w:rsidR="00700907" w:rsidRPr="00700907">
        <w:rPr>
          <w:rFonts w:ascii="Century Gothic" w:hAnsi="Century Gothic" w:cs="Calibri"/>
          <w:b/>
          <w:sz w:val="24"/>
          <w:szCs w:val="24"/>
        </w:rPr>
        <w:t>.-</w:t>
      </w:r>
      <w:r w:rsidR="00700907">
        <w:rPr>
          <w:rFonts w:ascii="Century Gothic" w:hAnsi="Century Gothic" w:cs="Calibri"/>
          <w:sz w:val="24"/>
          <w:szCs w:val="24"/>
        </w:rPr>
        <w:t xml:space="preserve"> </w:t>
      </w:r>
      <w:r w:rsidR="00475566">
        <w:rPr>
          <w:rFonts w:ascii="Century Gothic" w:hAnsi="Century Gothic" w:cs="Calibri"/>
          <w:sz w:val="24"/>
          <w:szCs w:val="24"/>
        </w:rPr>
        <w:t xml:space="preserve">Respecto a los derechos y medidas a favor de las víctimas contenidos en la Ley de Víctimas para el Estado de Chihuahua, el artículo 6° establece </w:t>
      </w:r>
      <w:r w:rsidR="00675776">
        <w:rPr>
          <w:rFonts w:ascii="Century Gothic" w:hAnsi="Century Gothic" w:cs="Calibri"/>
          <w:sz w:val="24"/>
          <w:szCs w:val="24"/>
        </w:rPr>
        <w:t>que,</w:t>
      </w:r>
      <w:r w:rsidR="00475566">
        <w:rPr>
          <w:rFonts w:ascii="Century Gothic" w:hAnsi="Century Gothic" w:cs="Calibri"/>
          <w:sz w:val="24"/>
          <w:szCs w:val="24"/>
        </w:rPr>
        <w:t xml:space="preserve"> para todos los efectos, particularmente en cuanto hace a las </w:t>
      </w:r>
      <w:r w:rsidR="00475566" w:rsidRPr="00475566">
        <w:rPr>
          <w:rFonts w:ascii="Century Gothic" w:hAnsi="Century Gothic" w:cs="Calibri"/>
          <w:sz w:val="24"/>
          <w:szCs w:val="24"/>
        </w:rPr>
        <w:t>atribuciones a cargo del Estado de Chihuahua y/o de sus municipios, son derechos y medidas a favor de las víctimas todos los previstos en los Títulos Segu</w:t>
      </w:r>
      <w:r w:rsidR="00475566">
        <w:rPr>
          <w:rFonts w:ascii="Century Gothic" w:hAnsi="Century Gothic" w:cs="Calibri"/>
          <w:sz w:val="24"/>
          <w:szCs w:val="24"/>
        </w:rPr>
        <w:t xml:space="preserve">ndo al Quinto de la Ley General. </w:t>
      </w:r>
    </w:p>
    <w:p w14:paraId="71F07711" w14:textId="77777777" w:rsidR="00475566" w:rsidRDefault="00475566" w:rsidP="0090524D">
      <w:pPr>
        <w:spacing w:after="0" w:line="360" w:lineRule="auto"/>
        <w:jc w:val="both"/>
        <w:rPr>
          <w:rFonts w:ascii="Century Gothic" w:hAnsi="Century Gothic" w:cs="Calibri"/>
          <w:sz w:val="24"/>
          <w:szCs w:val="24"/>
        </w:rPr>
      </w:pPr>
    </w:p>
    <w:p w14:paraId="3114BEFD" w14:textId="77777777" w:rsidR="00475566" w:rsidRDefault="00457E2A" w:rsidP="0090524D">
      <w:pPr>
        <w:spacing w:after="0" w:line="360" w:lineRule="auto"/>
        <w:jc w:val="both"/>
        <w:rPr>
          <w:rFonts w:ascii="Century Gothic" w:hAnsi="Century Gothic" w:cs="Calibri"/>
          <w:sz w:val="24"/>
          <w:szCs w:val="24"/>
        </w:rPr>
      </w:pPr>
      <w:r>
        <w:rPr>
          <w:rFonts w:ascii="Century Gothic" w:hAnsi="Century Gothic" w:cs="Calibri"/>
          <w:sz w:val="24"/>
          <w:szCs w:val="24"/>
        </w:rPr>
        <w:t>Atendiendo a la remisión que la ley estatal hace a la ley general, podemos desta</w:t>
      </w:r>
      <w:r w:rsidR="003D6A99">
        <w:rPr>
          <w:rFonts w:ascii="Century Gothic" w:hAnsi="Century Gothic" w:cs="Calibri"/>
          <w:sz w:val="24"/>
          <w:szCs w:val="24"/>
        </w:rPr>
        <w:t>car diversos</w:t>
      </w:r>
      <w:r>
        <w:rPr>
          <w:rFonts w:ascii="Century Gothic" w:hAnsi="Century Gothic" w:cs="Calibri"/>
          <w:sz w:val="24"/>
          <w:szCs w:val="24"/>
        </w:rPr>
        <w:t xml:space="preserve"> puntos relevantes, a saber: </w:t>
      </w:r>
    </w:p>
    <w:p w14:paraId="03EFB479" w14:textId="77777777" w:rsidR="00457E2A" w:rsidRDefault="00457E2A" w:rsidP="0090524D">
      <w:pPr>
        <w:spacing w:after="0" w:line="360" w:lineRule="auto"/>
        <w:jc w:val="both"/>
        <w:rPr>
          <w:rFonts w:ascii="Century Gothic" w:hAnsi="Century Gothic" w:cs="Calibri"/>
          <w:sz w:val="24"/>
          <w:szCs w:val="24"/>
        </w:rPr>
      </w:pPr>
    </w:p>
    <w:p w14:paraId="1DEB4127" w14:textId="77777777" w:rsidR="00457E2A" w:rsidRDefault="00457E2A" w:rsidP="00457E2A">
      <w:pPr>
        <w:pStyle w:val="Prrafodelista"/>
        <w:numPr>
          <w:ilvl w:val="0"/>
          <w:numId w:val="17"/>
        </w:numPr>
        <w:spacing w:after="0" w:line="360" w:lineRule="auto"/>
        <w:jc w:val="both"/>
        <w:rPr>
          <w:rFonts w:ascii="Century Gothic" w:hAnsi="Century Gothic" w:cs="Calibri"/>
          <w:sz w:val="24"/>
          <w:szCs w:val="24"/>
        </w:rPr>
      </w:pPr>
      <w:r>
        <w:rPr>
          <w:rFonts w:ascii="Century Gothic" w:hAnsi="Century Gothic" w:cs="Calibri"/>
          <w:sz w:val="24"/>
          <w:szCs w:val="24"/>
        </w:rPr>
        <w:t xml:space="preserve">Las </w:t>
      </w:r>
      <w:r w:rsidRPr="00457E2A">
        <w:rPr>
          <w:rFonts w:ascii="Century Gothic" w:hAnsi="Century Gothic" w:cs="Calibri"/>
          <w:sz w:val="24"/>
          <w:szCs w:val="24"/>
        </w:rPr>
        <w:t>medidas de asistencia, atención, protección o servicios otorgados por las instituciones públicas federales, de las entidades federativas y de los municipios a las ví</w:t>
      </w:r>
      <w:r>
        <w:rPr>
          <w:rFonts w:ascii="Century Gothic" w:hAnsi="Century Gothic" w:cs="Calibri"/>
          <w:sz w:val="24"/>
          <w:szCs w:val="24"/>
        </w:rPr>
        <w:t>ctimas por cualquier hecho, son gratuitas.</w:t>
      </w:r>
      <w:r w:rsidR="003D6A99">
        <w:rPr>
          <w:rStyle w:val="Refdenotaalpie"/>
          <w:rFonts w:ascii="Century Gothic" w:hAnsi="Century Gothic" w:cs="Calibri"/>
          <w:sz w:val="24"/>
          <w:szCs w:val="24"/>
        </w:rPr>
        <w:footnoteReference w:id="1"/>
      </w:r>
    </w:p>
    <w:p w14:paraId="652F3BAC" w14:textId="77777777" w:rsidR="003D6A99" w:rsidRDefault="003D6A99" w:rsidP="003D6A99">
      <w:pPr>
        <w:pStyle w:val="Prrafodelista"/>
        <w:spacing w:after="0" w:line="360" w:lineRule="auto"/>
        <w:jc w:val="both"/>
        <w:rPr>
          <w:rFonts w:ascii="Century Gothic" w:hAnsi="Century Gothic" w:cs="Calibri"/>
          <w:sz w:val="24"/>
          <w:szCs w:val="24"/>
        </w:rPr>
      </w:pPr>
    </w:p>
    <w:p w14:paraId="601132C3" w14:textId="1377EBAA" w:rsidR="00457E2A" w:rsidRDefault="00457E2A" w:rsidP="00457E2A">
      <w:pPr>
        <w:pStyle w:val="Prrafodelista"/>
        <w:numPr>
          <w:ilvl w:val="0"/>
          <w:numId w:val="17"/>
        </w:numPr>
        <w:spacing w:after="0" w:line="360" w:lineRule="auto"/>
        <w:jc w:val="both"/>
        <w:rPr>
          <w:rFonts w:ascii="Century Gothic" w:hAnsi="Century Gothic" w:cs="Calibri"/>
          <w:sz w:val="24"/>
          <w:szCs w:val="24"/>
        </w:rPr>
      </w:pPr>
      <w:r w:rsidRPr="00457E2A">
        <w:rPr>
          <w:rFonts w:ascii="Century Gothic" w:hAnsi="Century Gothic" w:cs="Calibri"/>
          <w:sz w:val="24"/>
          <w:szCs w:val="24"/>
        </w:rPr>
        <w:t xml:space="preserve">Las políticas y acciones establecidas en </w:t>
      </w:r>
      <w:r>
        <w:rPr>
          <w:rFonts w:ascii="Century Gothic" w:hAnsi="Century Gothic" w:cs="Calibri"/>
          <w:sz w:val="24"/>
          <w:szCs w:val="24"/>
        </w:rPr>
        <w:t xml:space="preserve">la materia </w:t>
      </w:r>
      <w:r w:rsidRPr="00457E2A">
        <w:rPr>
          <w:rFonts w:ascii="Century Gothic" w:hAnsi="Century Gothic" w:cs="Calibri"/>
          <w:sz w:val="24"/>
          <w:szCs w:val="24"/>
        </w:rPr>
        <w:t>tienen por objeto asegurar el acceso de las víctimas a la educación y promover su permanencia en el sistema educativo</w:t>
      </w:r>
      <w:r w:rsidR="00675776">
        <w:rPr>
          <w:rFonts w:ascii="Century Gothic" w:hAnsi="Century Gothic" w:cs="Calibri"/>
          <w:sz w:val="24"/>
          <w:szCs w:val="24"/>
        </w:rPr>
        <w:t>,</w:t>
      </w:r>
      <w:r w:rsidRPr="00457E2A">
        <w:rPr>
          <w:rFonts w:ascii="Century Gothic" w:hAnsi="Century Gothic" w:cs="Calibri"/>
          <w:sz w:val="24"/>
          <w:szCs w:val="24"/>
        </w:rPr>
        <w:t xml:space="preserve"> si como consecuencia del delito o de la violación a </w:t>
      </w:r>
      <w:r w:rsidRPr="00457E2A">
        <w:rPr>
          <w:rFonts w:ascii="Century Gothic" w:hAnsi="Century Gothic" w:cs="Calibri"/>
          <w:sz w:val="24"/>
          <w:szCs w:val="24"/>
        </w:rPr>
        <w:lastRenderedPageBreak/>
        <w:t xml:space="preserve">derechos humanos se interrumpen los estudios, para lo cual se tomarán medidas para superar esta condición provocada por el hecho </w:t>
      </w:r>
      <w:proofErr w:type="spellStart"/>
      <w:r w:rsidRPr="00457E2A">
        <w:rPr>
          <w:rFonts w:ascii="Century Gothic" w:hAnsi="Century Gothic" w:cs="Calibri"/>
          <w:sz w:val="24"/>
          <w:szCs w:val="24"/>
        </w:rPr>
        <w:t>victimizante</w:t>
      </w:r>
      <w:proofErr w:type="spellEnd"/>
      <w:r w:rsidRPr="00457E2A">
        <w:rPr>
          <w:rFonts w:ascii="Century Gothic" w:hAnsi="Century Gothic" w:cs="Calibri"/>
          <w:sz w:val="24"/>
          <w:szCs w:val="24"/>
        </w:rPr>
        <w:t>, particularmente</w:t>
      </w:r>
      <w:r w:rsidR="003D6A99">
        <w:rPr>
          <w:rFonts w:ascii="Century Gothic" w:hAnsi="Century Gothic" w:cs="Calibri"/>
          <w:sz w:val="24"/>
          <w:szCs w:val="24"/>
        </w:rPr>
        <w:t xml:space="preserve"> tratándose de</w:t>
      </w:r>
      <w:r w:rsidRPr="00457E2A">
        <w:rPr>
          <w:rFonts w:ascii="Century Gothic" w:hAnsi="Century Gothic" w:cs="Calibri"/>
          <w:sz w:val="24"/>
          <w:szCs w:val="24"/>
        </w:rPr>
        <w:t xml:space="preserve"> niñas, niño</w:t>
      </w:r>
      <w:r w:rsidR="003D6A99">
        <w:rPr>
          <w:rFonts w:ascii="Century Gothic" w:hAnsi="Century Gothic" w:cs="Calibri"/>
          <w:sz w:val="24"/>
          <w:szCs w:val="24"/>
        </w:rPr>
        <w:t>s, adolescentes y mujeres.</w:t>
      </w:r>
      <w:r w:rsidR="003D6A99">
        <w:rPr>
          <w:rStyle w:val="Refdenotaalpie"/>
          <w:rFonts w:ascii="Century Gothic" w:hAnsi="Century Gothic" w:cs="Calibri"/>
          <w:sz w:val="24"/>
          <w:szCs w:val="24"/>
        </w:rPr>
        <w:footnoteReference w:id="2"/>
      </w:r>
      <w:r w:rsidR="003D6A99">
        <w:rPr>
          <w:rFonts w:ascii="Century Gothic" w:hAnsi="Century Gothic" w:cs="Calibri"/>
          <w:sz w:val="24"/>
          <w:szCs w:val="24"/>
        </w:rPr>
        <w:t xml:space="preserve"> </w:t>
      </w:r>
    </w:p>
    <w:p w14:paraId="0ED557A8" w14:textId="77777777" w:rsidR="003D6A99" w:rsidRDefault="003D6A99" w:rsidP="003D6A99">
      <w:pPr>
        <w:pStyle w:val="Prrafodelista"/>
        <w:spacing w:after="0" w:line="360" w:lineRule="auto"/>
        <w:jc w:val="both"/>
        <w:rPr>
          <w:rFonts w:ascii="Century Gothic" w:hAnsi="Century Gothic" w:cs="Calibri"/>
          <w:sz w:val="24"/>
          <w:szCs w:val="24"/>
        </w:rPr>
      </w:pPr>
    </w:p>
    <w:p w14:paraId="29908254" w14:textId="7A989F43" w:rsidR="003D6A99" w:rsidRDefault="003D6A99" w:rsidP="003D6A99">
      <w:pPr>
        <w:pStyle w:val="Prrafodelista"/>
        <w:numPr>
          <w:ilvl w:val="0"/>
          <w:numId w:val="17"/>
        </w:numPr>
        <w:spacing w:after="0" w:line="360" w:lineRule="auto"/>
        <w:jc w:val="both"/>
        <w:rPr>
          <w:rFonts w:ascii="Century Gothic" w:hAnsi="Century Gothic" w:cs="Calibri"/>
          <w:sz w:val="24"/>
          <w:szCs w:val="24"/>
        </w:rPr>
      </w:pPr>
      <w:r w:rsidRPr="003D6A99">
        <w:rPr>
          <w:rFonts w:ascii="Century Gothic" w:hAnsi="Century Gothic" w:cs="Calibri"/>
          <w:sz w:val="24"/>
          <w:szCs w:val="24"/>
        </w:rPr>
        <w:t>El Estado</w:t>
      </w:r>
      <w:r w:rsidR="00675776">
        <w:rPr>
          <w:rFonts w:ascii="Century Gothic" w:hAnsi="Century Gothic" w:cs="Calibri"/>
          <w:sz w:val="24"/>
          <w:szCs w:val="24"/>
        </w:rPr>
        <w:t>,</w:t>
      </w:r>
      <w:r w:rsidRPr="003D6A99">
        <w:rPr>
          <w:rFonts w:ascii="Century Gothic" w:hAnsi="Century Gothic" w:cs="Calibri"/>
          <w:sz w:val="24"/>
          <w:szCs w:val="24"/>
        </w:rPr>
        <w:t xml:space="preserve"> a través de sus organismos descentralizados y de los particulares con autorización o con reconocimiento de validez oficial de estudios, está obligado a prestar servicios educativos para que gratuitamente, cualquier víctima o sus hijos menores de edad, en igualdad efectiva de condiciones de acceso y permanencia en los servicios educativos que el resto de la población, pueda cursar la educación preescolar, la primaria y la secundaria.</w:t>
      </w:r>
      <w:r>
        <w:rPr>
          <w:rStyle w:val="Refdenotaalpie"/>
          <w:rFonts w:ascii="Century Gothic" w:hAnsi="Century Gothic" w:cs="Calibri"/>
          <w:sz w:val="24"/>
          <w:szCs w:val="24"/>
        </w:rPr>
        <w:footnoteReference w:id="3"/>
      </w:r>
    </w:p>
    <w:p w14:paraId="27E49022" w14:textId="77777777" w:rsidR="003D6A99" w:rsidRDefault="003D6A99" w:rsidP="003D6A99">
      <w:pPr>
        <w:pStyle w:val="Prrafodelista"/>
        <w:spacing w:after="0" w:line="360" w:lineRule="auto"/>
        <w:jc w:val="both"/>
        <w:rPr>
          <w:rFonts w:ascii="Century Gothic" w:hAnsi="Century Gothic" w:cs="Calibri"/>
          <w:sz w:val="24"/>
          <w:szCs w:val="24"/>
        </w:rPr>
      </w:pPr>
    </w:p>
    <w:p w14:paraId="067A2400" w14:textId="77777777" w:rsidR="003D6A99" w:rsidRDefault="003D6A99" w:rsidP="003D6A99">
      <w:pPr>
        <w:pStyle w:val="Prrafodelista"/>
        <w:numPr>
          <w:ilvl w:val="0"/>
          <w:numId w:val="17"/>
        </w:numPr>
        <w:spacing w:after="0" w:line="360" w:lineRule="auto"/>
        <w:jc w:val="both"/>
        <w:rPr>
          <w:rFonts w:ascii="Century Gothic" w:hAnsi="Century Gothic" w:cs="Calibri"/>
          <w:sz w:val="24"/>
          <w:szCs w:val="24"/>
        </w:rPr>
      </w:pPr>
      <w:r w:rsidRPr="003D6A99">
        <w:rPr>
          <w:rFonts w:ascii="Century Gothic" w:hAnsi="Century Gothic" w:cs="Calibri"/>
          <w:sz w:val="24"/>
          <w:szCs w:val="24"/>
        </w:rPr>
        <w:t>La víctima o sus familiares tendrán el derecho de recibir becas completas de estudio en instituciones públicas, como mínimo hasta la educación media superior para sí o los dependientes que lo requieran.</w:t>
      </w:r>
      <w:r>
        <w:rPr>
          <w:rStyle w:val="Refdenotaalpie"/>
          <w:rFonts w:ascii="Century Gothic" w:hAnsi="Century Gothic" w:cs="Calibri"/>
          <w:sz w:val="24"/>
          <w:szCs w:val="24"/>
        </w:rPr>
        <w:footnoteReference w:id="4"/>
      </w:r>
    </w:p>
    <w:p w14:paraId="16C3B798" w14:textId="77777777" w:rsidR="003D6A99" w:rsidRPr="003D6A99" w:rsidRDefault="003D6A99" w:rsidP="003D6A99">
      <w:pPr>
        <w:pStyle w:val="Prrafodelista"/>
        <w:rPr>
          <w:rFonts w:ascii="Century Gothic" w:hAnsi="Century Gothic" w:cs="Calibri"/>
          <w:sz w:val="24"/>
          <w:szCs w:val="24"/>
        </w:rPr>
      </w:pPr>
    </w:p>
    <w:p w14:paraId="6D670068" w14:textId="77777777" w:rsidR="003D6A99" w:rsidRPr="00457E2A" w:rsidRDefault="003D6A99" w:rsidP="003D6A99">
      <w:pPr>
        <w:pStyle w:val="Prrafodelista"/>
        <w:numPr>
          <w:ilvl w:val="0"/>
          <w:numId w:val="17"/>
        </w:numPr>
        <w:spacing w:after="0" w:line="360" w:lineRule="auto"/>
        <w:jc w:val="both"/>
        <w:rPr>
          <w:rFonts w:ascii="Century Gothic" w:hAnsi="Century Gothic" w:cs="Calibri"/>
          <w:sz w:val="24"/>
          <w:szCs w:val="24"/>
        </w:rPr>
      </w:pPr>
      <w:r w:rsidRPr="003D6A99">
        <w:rPr>
          <w:rFonts w:ascii="Century Gothic" w:hAnsi="Century Gothic" w:cs="Calibri"/>
          <w:sz w:val="24"/>
          <w:szCs w:val="24"/>
        </w:rPr>
        <w:t xml:space="preserve">Los Gobiernos federal y de las entidades federativas, a través de sus secretarías, dependencias, entidades y organismos de educación y las instituciones de educación superior, en el marco de su autonomía, establecerán los apoyos para que las víctimas participen en los procesos de selección, admisión y matrícula que les permitan acceder a los programas académicos ofrecidos por </w:t>
      </w:r>
      <w:r w:rsidRPr="003D6A99">
        <w:rPr>
          <w:rFonts w:ascii="Century Gothic" w:hAnsi="Century Gothic" w:cs="Calibri"/>
          <w:sz w:val="24"/>
          <w:szCs w:val="24"/>
        </w:rPr>
        <w:lastRenderedPageBreak/>
        <w:t>estas instituciones, para lo cual incluirán medidas de exención del pago de formulario de inscripción y de derechos de grado.</w:t>
      </w:r>
      <w:r>
        <w:rPr>
          <w:rStyle w:val="Refdenotaalpie"/>
          <w:rFonts w:ascii="Century Gothic" w:hAnsi="Century Gothic" w:cs="Calibri"/>
          <w:sz w:val="24"/>
          <w:szCs w:val="24"/>
        </w:rPr>
        <w:footnoteReference w:id="5"/>
      </w:r>
    </w:p>
    <w:p w14:paraId="23878CD8" w14:textId="77777777" w:rsidR="00CF5208" w:rsidRDefault="00CF5208" w:rsidP="00830314">
      <w:pPr>
        <w:spacing w:after="0" w:line="360" w:lineRule="auto"/>
        <w:jc w:val="both"/>
        <w:rPr>
          <w:rFonts w:ascii="Century Gothic" w:hAnsi="Century Gothic" w:cs="Calibri"/>
          <w:sz w:val="24"/>
          <w:szCs w:val="24"/>
        </w:rPr>
      </w:pPr>
    </w:p>
    <w:p w14:paraId="22330613" w14:textId="3EEE6497" w:rsidR="008931B7" w:rsidRDefault="003D6A99" w:rsidP="00830314">
      <w:pPr>
        <w:spacing w:after="0" w:line="360" w:lineRule="auto"/>
        <w:jc w:val="both"/>
        <w:rPr>
          <w:rFonts w:ascii="Century Gothic" w:hAnsi="Century Gothic" w:cs="Calibri"/>
          <w:sz w:val="24"/>
          <w:szCs w:val="24"/>
        </w:rPr>
      </w:pPr>
      <w:r>
        <w:rPr>
          <w:rFonts w:ascii="Century Gothic" w:hAnsi="Century Gothic" w:cs="Calibri"/>
          <w:sz w:val="24"/>
          <w:szCs w:val="24"/>
        </w:rPr>
        <w:t>De los puntos</w:t>
      </w:r>
      <w:r w:rsidR="00F80672">
        <w:rPr>
          <w:rFonts w:ascii="Century Gothic" w:hAnsi="Century Gothic" w:cs="Calibri"/>
          <w:sz w:val="24"/>
          <w:szCs w:val="24"/>
        </w:rPr>
        <w:t xml:space="preserve"> destacados podemos reseñar que</w:t>
      </w:r>
      <w:r>
        <w:rPr>
          <w:rFonts w:ascii="Century Gothic" w:hAnsi="Century Gothic" w:cs="Calibri"/>
          <w:sz w:val="24"/>
          <w:szCs w:val="24"/>
        </w:rPr>
        <w:t xml:space="preserve"> </w:t>
      </w:r>
      <w:r w:rsidRPr="003D6A99">
        <w:rPr>
          <w:rFonts w:ascii="Century Gothic" w:hAnsi="Century Gothic" w:cs="Calibri"/>
          <w:sz w:val="24"/>
          <w:szCs w:val="24"/>
        </w:rPr>
        <w:t xml:space="preserve">en lo que toca a la materia educativa, la Ley de Víctimas para el </w:t>
      </w:r>
      <w:r w:rsidR="00F80672">
        <w:rPr>
          <w:rFonts w:ascii="Century Gothic" w:hAnsi="Century Gothic" w:cs="Calibri"/>
          <w:sz w:val="24"/>
          <w:szCs w:val="24"/>
        </w:rPr>
        <w:t>Estado</w:t>
      </w:r>
      <w:r w:rsidR="00675776">
        <w:rPr>
          <w:rFonts w:ascii="Century Gothic" w:hAnsi="Century Gothic" w:cs="Calibri"/>
          <w:sz w:val="24"/>
          <w:szCs w:val="24"/>
        </w:rPr>
        <w:t xml:space="preserve"> la</w:t>
      </w:r>
      <w:r w:rsidR="00F80672">
        <w:rPr>
          <w:rFonts w:ascii="Century Gothic" w:hAnsi="Century Gothic" w:cs="Calibri"/>
          <w:sz w:val="24"/>
          <w:szCs w:val="24"/>
        </w:rPr>
        <w:t xml:space="preserve"> remite a la Ley General</w:t>
      </w:r>
      <w:r w:rsidR="00675776">
        <w:rPr>
          <w:rFonts w:ascii="Century Gothic" w:hAnsi="Century Gothic" w:cs="Calibri"/>
          <w:sz w:val="24"/>
          <w:szCs w:val="24"/>
        </w:rPr>
        <w:t>,</w:t>
      </w:r>
      <w:r w:rsidR="00F80672">
        <w:rPr>
          <w:rFonts w:ascii="Century Gothic" w:hAnsi="Century Gothic" w:cs="Calibri"/>
          <w:sz w:val="24"/>
          <w:szCs w:val="24"/>
        </w:rPr>
        <w:t xml:space="preserve"> </w:t>
      </w:r>
      <w:r w:rsidR="00675776">
        <w:rPr>
          <w:rFonts w:ascii="Century Gothic" w:hAnsi="Century Gothic" w:cs="Calibri"/>
          <w:sz w:val="24"/>
          <w:szCs w:val="24"/>
        </w:rPr>
        <w:t>misma que</w:t>
      </w:r>
      <w:r w:rsidR="00F80672">
        <w:rPr>
          <w:rFonts w:ascii="Century Gothic" w:hAnsi="Century Gothic" w:cs="Calibri"/>
          <w:sz w:val="24"/>
          <w:szCs w:val="24"/>
        </w:rPr>
        <w:t xml:space="preserve"> ya establece</w:t>
      </w:r>
      <w:r w:rsidRPr="003D6A99">
        <w:rPr>
          <w:rFonts w:ascii="Century Gothic" w:hAnsi="Century Gothic" w:cs="Calibri"/>
          <w:sz w:val="24"/>
          <w:szCs w:val="24"/>
        </w:rPr>
        <w:t xml:space="preserve"> los apoyos becarios a las víctimas de violencia así como a sus hijos e hijas</w:t>
      </w:r>
      <w:r w:rsidR="00675776">
        <w:rPr>
          <w:rFonts w:ascii="Century Gothic" w:hAnsi="Century Gothic" w:cs="Calibri"/>
          <w:sz w:val="24"/>
          <w:szCs w:val="24"/>
        </w:rPr>
        <w:t>,</w:t>
      </w:r>
      <w:r w:rsidRPr="003D6A99">
        <w:rPr>
          <w:rFonts w:ascii="Century Gothic" w:hAnsi="Century Gothic" w:cs="Calibri"/>
          <w:sz w:val="24"/>
          <w:szCs w:val="24"/>
        </w:rPr>
        <w:t xml:space="preserve"> y la obligación de otorgarlos tanto para el gobierno federal como para las entidades federativas a través de sus Secretarías de Educación respectivas, lo ante</w:t>
      </w:r>
      <w:r w:rsidR="00F80672">
        <w:rPr>
          <w:rFonts w:ascii="Century Gothic" w:hAnsi="Century Gothic" w:cs="Calibri"/>
          <w:sz w:val="24"/>
          <w:szCs w:val="24"/>
        </w:rPr>
        <w:t>rior hasta nivel medio superior;</w:t>
      </w:r>
      <w:r w:rsidRPr="003D6A99">
        <w:rPr>
          <w:rFonts w:ascii="Century Gothic" w:hAnsi="Century Gothic" w:cs="Calibri"/>
          <w:sz w:val="24"/>
          <w:szCs w:val="24"/>
        </w:rPr>
        <w:t xml:space="preserve"> </w:t>
      </w:r>
      <w:r w:rsidR="00F80672">
        <w:rPr>
          <w:rFonts w:ascii="Century Gothic" w:hAnsi="Century Gothic" w:cs="Calibri"/>
          <w:sz w:val="24"/>
          <w:szCs w:val="24"/>
        </w:rPr>
        <w:t xml:space="preserve">además, se determina </w:t>
      </w:r>
      <w:r w:rsidRPr="003D6A99">
        <w:rPr>
          <w:rFonts w:ascii="Century Gothic" w:hAnsi="Century Gothic" w:cs="Calibri"/>
          <w:sz w:val="24"/>
          <w:szCs w:val="24"/>
        </w:rPr>
        <w:t>como obligación de las instituciones de nivel superior</w:t>
      </w:r>
      <w:r w:rsidR="00F80672">
        <w:rPr>
          <w:rFonts w:ascii="Century Gothic" w:hAnsi="Century Gothic" w:cs="Calibri"/>
          <w:sz w:val="24"/>
          <w:szCs w:val="24"/>
        </w:rPr>
        <w:t>, en el marco de su autonomía</w:t>
      </w:r>
      <w:r w:rsidR="00675776">
        <w:rPr>
          <w:rFonts w:ascii="Century Gothic" w:hAnsi="Century Gothic" w:cs="Calibri"/>
          <w:sz w:val="24"/>
          <w:szCs w:val="24"/>
        </w:rPr>
        <w:t>,</w:t>
      </w:r>
      <w:r w:rsidRPr="003D6A99">
        <w:rPr>
          <w:rFonts w:ascii="Century Gothic" w:hAnsi="Century Gothic" w:cs="Calibri"/>
          <w:sz w:val="24"/>
          <w:szCs w:val="24"/>
        </w:rPr>
        <w:t xml:space="preserve"> promover y participar en estas medidas.</w:t>
      </w:r>
      <w:r w:rsidR="00C173E7">
        <w:rPr>
          <w:rFonts w:ascii="Century Gothic" w:hAnsi="Century Gothic" w:cs="Calibri"/>
          <w:sz w:val="24"/>
          <w:szCs w:val="24"/>
        </w:rPr>
        <w:t xml:space="preserve"> </w:t>
      </w:r>
    </w:p>
    <w:p w14:paraId="1A7CC4F2" w14:textId="77777777" w:rsidR="008931B7" w:rsidRDefault="008931B7" w:rsidP="00830314">
      <w:pPr>
        <w:spacing w:after="0" w:line="360" w:lineRule="auto"/>
        <w:jc w:val="both"/>
        <w:rPr>
          <w:rFonts w:ascii="Century Gothic" w:hAnsi="Century Gothic" w:cs="Calibri"/>
          <w:sz w:val="24"/>
          <w:szCs w:val="24"/>
        </w:rPr>
      </w:pPr>
    </w:p>
    <w:p w14:paraId="3F9C3AAD" w14:textId="5A95BFDB" w:rsidR="008931B7" w:rsidRDefault="008931B7" w:rsidP="00830314">
      <w:pPr>
        <w:spacing w:after="0" w:line="360" w:lineRule="auto"/>
        <w:jc w:val="both"/>
        <w:rPr>
          <w:rFonts w:ascii="Century Gothic" w:hAnsi="Century Gothic" w:cs="Calibri"/>
          <w:sz w:val="24"/>
          <w:szCs w:val="24"/>
        </w:rPr>
      </w:pPr>
      <w:r w:rsidRPr="00FA2729">
        <w:rPr>
          <w:rFonts w:ascii="Century Gothic" w:hAnsi="Century Gothic" w:cs="Calibri"/>
          <w:b/>
          <w:sz w:val="24"/>
          <w:szCs w:val="24"/>
        </w:rPr>
        <w:t>VII.-</w:t>
      </w:r>
      <w:r>
        <w:rPr>
          <w:rFonts w:ascii="Century Gothic" w:hAnsi="Century Gothic" w:cs="Calibri"/>
          <w:sz w:val="24"/>
          <w:szCs w:val="24"/>
        </w:rPr>
        <w:t xml:space="preserve"> </w:t>
      </w:r>
      <w:r w:rsidR="00F80672">
        <w:rPr>
          <w:rFonts w:ascii="Century Gothic" w:hAnsi="Century Gothic" w:cs="Calibri"/>
          <w:sz w:val="24"/>
          <w:szCs w:val="24"/>
        </w:rPr>
        <w:t xml:space="preserve">Conviene destacar, que en el análisis de la correspondiente iniciativa </w:t>
      </w:r>
      <w:r w:rsidR="00FA2729">
        <w:rPr>
          <w:rFonts w:ascii="Century Gothic" w:hAnsi="Century Gothic" w:cs="Calibri"/>
          <w:sz w:val="24"/>
          <w:szCs w:val="24"/>
        </w:rPr>
        <w:t>realizad</w:t>
      </w:r>
      <w:r w:rsidR="00675776">
        <w:rPr>
          <w:rFonts w:ascii="Century Gothic" w:hAnsi="Century Gothic" w:cs="Calibri"/>
          <w:sz w:val="24"/>
          <w:szCs w:val="24"/>
        </w:rPr>
        <w:t>o</w:t>
      </w:r>
      <w:r w:rsidR="00FA2729">
        <w:rPr>
          <w:rFonts w:ascii="Century Gothic" w:hAnsi="Century Gothic" w:cs="Calibri"/>
          <w:sz w:val="24"/>
          <w:szCs w:val="24"/>
        </w:rPr>
        <w:t xml:space="preserve"> </w:t>
      </w:r>
      <w:r w:rsidR="00F80672">
        <w:rPr>
          <w:rFonts w:ascii="Century Gothic" w:hAnsi="Century Gothic" w:cs="Calibri"/>
          <w:sz w:val="24"/>
          <w:szCs w:val="24"/>
        </w:rPr>
        <w:t xml:space="preserve">en reunión de Comisión de fecha </w:t>
      </w:r>
      <w:r w:rsidR="00353805">
        <w:rPr>
          <w:rFonts w:ascii="Century Gothic" w:hAnsi="Century Gothic" w:cs="Calibri"/>
          <w:sz w:val="24"/>
          <w:szCs w:val="24"/>
        </w:rPr>
        <w:t>seis</w:t>
      </w:r>
      <w:r w:rsidR="00F80672">
        <w:rPr>
          <w:rFonts w:ascii="Century Gothic" w:hAnsi="Century Gothic" w:cs="Calibri"/>
          <w:sz w:val="24"/>
          <w:szCs w:val="24"/>
        </w:rPr>
        <w:t xml:space="preserve"> de junio de </w:t>
      </w:r>
      <w:r w:rsidR="00353805">
        <w:rPr>
          <w:rFonts w:ascii="Century Gothic" w:hAnsi="Century Gothic" w:cs="Calibri"/>
          <w:sz w:val="24"/>
          <w:szCs w:val="24"/>
        </w:rPr>
        <w:t>dos mil veintidós</w:t>
      </w:r>
      <w:r w:rsidR="00F80672">
        <w:rPr>
          <w:rFonts w:ascii="Century Gothic" w:hAnsi="Century Gothic" w:cs="Calibri"/>
          <w:sz w:val="24"/>
          <w:szCs w:val="24"/>
        </w:rPr>
        <w:t xml:space="preserve">, se acordó por mayoría de las Diputadas presentes, girar oficios a las y los titulares de la Secretaría de Educación y Deporte, Secretaría de Desarrollo Humano y Bien Común, </w:t>
      </w:r>
      <w:r w:rsidR="00FA2729">
        <w:rPr>
          <w:rFonts w:ascii="Century Gothic" w:hAnsi="Century Gothic" w:cs="Calibri"/>
          <w:sz w:val="24"/>
          <w:szCs w:val="24"/>
        </w:rPr>
        <w:t xml:space="preserve">Instituto Chihuahuense de las Mujeres y Comisión Ejecutiva de Atención a Víctimas del Estado, a fin de solicitarles información respecto a si dichas dependencias otorgan o gestionan </w:t>
      </w:r>
      <w:r w:rsidR="00FA2729" w:rsidRPr="00FA2729">
        <w:rPr>
          <w:rFonts w:ascii="Century Gothic" w:hAnsi="Century Gothic" w:cs="Calibri"/>
          <w:sz w:val="24"/>
          <w:szCs w:val="24"/>
        </w:rPr>
        <w:t xml:space="preserve">la entrega de becas, apoyos educativos, medidas de asistencia o cualquier otra medida que asegure a las mujeres víctimas de violencia así como a sus dependientes el acceso a la educación y promuevan su permanencia en el sistema educativo. </w:t>
      </w:r>
      <w:r w:rsidR="00FA2729">
        <w:rPr>
          <w:rFonts w:ascii="Century Gothic" w:hAnsi="Century Gothic" w:cs="Calibri"/>
          <w:sz w:val="24"/>
          <w:szCs w:val="24"/>
        </w:rPr>
        <w:t>Y en caso afirmativo, tuvieran</w:t>
      </w:r>
      <w:r w:rsidR="00FA2729" w:rsidRPr="00FA2729">
        <w:rPr>
          <w:rFonts w:ascii="Century Gothic" w:hAnsi="Century Gothic" w:cs="Calibri"/>
          <w:sz w:val="24"/>
          <w:szCs w:val="24"/>
        </w:rPr>
        <w:t xml:space="preserve"> a bien brindarnos información estadística de la cantidad de becas o medidas otorgadas por año y población benef</w:t>
      </w:r>
      <w:r w:rsidR="00FA2729">
        <w:rPr>
          <w:rFonts w:ascii="Century Gothic" w:hAnsi="Century Gothic" w:cs="Calibri"/>
          <w:sz w:val="24"/>
          <w:szCs w:val="24"/>
        </w:rPr>
        <w:t xml:space="preserve">iciada directa o indirectamente. </w:t>
      </w:r>
    </w:p>
    <w:p w14:paraId="6783D29E" w14:textId="77777777" w:rsidR="00FA2729" w:rsidRDefault="00FA2729" w:rsidP="00830314">
      <w:pPr>
        <w:spacing w:after="0" w:line="360" w:lineRule="auto"/>
        <w:jc w:val="both"/>
        <w:rPr>
          <w:rFonts w:ascii="Century Gothic" w:hAnsi="Century Gothic" w:cs="Calibri"/>
          <w:sz w:val="24"/>
          <w:szCs w:val="24"/>
        </w:rPr>
      </w:pPr>
    </w:p>
    <w:p w14:paraId="4733D416" w14:textId="1EB08803" w:rsidR="009C2357" w:rsidRDefault="00FA2729" w:rsidP="00830314">
      <w:pPr>
        <w:spacing w:after="0" w:line="360" w:lineRule="auto"/>
        <w:jc w:val="both"/>
        <w:rPr>
          <w:rFonts w:ascii="Century Gothic" w:hAnsi="Century Gothic" w:cs="Calibri"/>
          <w:sz w:val="24"/>
          <w:szCs w:val="24"/>
        </w:rPr>
      </w:pPr>
      <w:r>
        <w:rPr>
          <w:rFonts w:ascii="Century Gothic" w:hAnsi="Century Gothic" w:cs="Calibri"/>
          <w:sz w:val="24"/>
          <w:szCs w:val="24"/>
        </w:rPr>
        <w:t>De esta manera, con fecha</w:t>
      </w:r>
      <w:r w:rsidR="00353805">
        <w:rPr>
          <w:rFonts w:ascii="Century Gothic" w:hAnsi="Century Gothic" w:cs="Calibri"/>
          <w:sz w:val="24"/>
          <w:szCs w:val="24"/>
        </w:rPr>
        <w:t xml:space="preserve"> seis</w:t>
      </w:r>
      <w:r>
        <w:rPr>
          <w:rFonts w:ascii="Century Gothic" w:hAnsi="Century Gothic" w:cs="Calibri"/>
          <w:sz w:val="24"/>
          <w:szCs w:val="24"/>
        </w:rPr>
        <w:t xml:space="preserve"> de julio de </w:t>
      </w:r>
      <w:r w:rsidR="00353805">
        <w:rPr>
          <w:rFonts w:ascii="Century Gothic" w:hAnsi="Century Gothic" w:cs="Calibri"/>
          <w:sz w:val="24"/>
          <w:szCs w:val="24"/>
        </w:rPr>
        <w:t>dos mil veintidós</w:t>
      </w:r>
      <w:r>
        <w:rPr>
          <w:rFonts w:ascii="Century Gothic" w:hAnsi="Century Gothic" w:cs="Calibri"/>
          <w:sz w:val="24"/>
          <w:szCs w:val="24"/>
        </w:rPr>
        <w:t>, se recibió respuesta por parte de la Comisión Ejecutiva de Atención a Víctimas del Estado de Chihuahua, signado por la Titular de la Asesoría Jurídica de dicha Comisión, Mtra. Bianca Vianey Bustillos González</w:t>
      </w:r>
      <w:r w:rsidR="0099398A">
        <w:rPr>
          <w:rFonts w:ascii="Century Gothic" w:hAnsi="Century Gothic" w:cs="Calibri"/>
          <w:sz w:val="24"/>
          <w:szCs w:val="24"/>
        </w:rPr>
        <w:t>,</w:t>
      </w:r>
      <w:r>
        <w:rPr>
          <w:rFonts w:ascii="Century Gothic" w:hAnsi="Century Gothic" w:cs="Calibri"/>
          <w:sz w:val="24"/>
          <w:szCs w:val="24"/>
        </w:rPr>
        <w:t xml:space="preserve"> </w:t>
      </w:r>
      <w:r w:rsidR="00C17D61">
        <w:rPr>
          <w:rFonts w:ascii="Century Gothic" w:hAnsi="Century Gothic" w:cs="Calibri"/>
          <w:sz w:val="24"/>
          <w:szCs w:val="24"/>
        </w:rPr>
        <w:t>haciendo del conocimiento que dicha Comisión Ejecutiva “</w:t>
      </w:r>
      <w:r w:rsidR="00C17D61" w:rsidRPr="009C2357">
        <w:rPr>
          <w:rFonts w:ascii="Century Gothic" w:hAnsi="Century Gothic" w:cs="Calibri"/>
          <w:i/>
          <w:sz w:val="24"/>
          <w:szCs w:val="24"/>
        </w:rPr>
        <w:t>brinda apoyos en materia educativa, consistentes en condonación de becas, medidas de asistencia y uniformes, ante diversas instituciones educativas gubernamentales a nivel kínder, primaria, secundaria, medio superior y superior a las víctimas directas e indirectas de violencia de género, las cuales se realizan cada inicio del ciclo escolar</w:t>
      </w:r>
      <w:r w:rsidR="009C2357">
        <w:rPr>
          <w:rFonts w:ascii="Century Gothic" w:hAnsi="Century Gothic" w:cs="Calibri"/>
          <w:i/>
          <w:sz w:val="24"/>
          <w:szCs w:val="24"/>
        </w:rPr>
        <w:t>”</w:t>
      </w:r>
      <w:r w:rsidR="00C46001">
        <w:rPr>
          <w:rFonts w:ascii="Century Gothic" w:hAnsi="Century Gothic" w:cs="Calibri"/>
          <w:i/>
          <w:sz w:val="24"/>
          <w:szCs w:val="24"/>
        </w:rPr>
        <w:t>.</w:t>
      </w:r>
      <w:r w:rsidR="00C46001">
        <w:rPr>
          <w:rStyle w:val="Refdenotaalpie"/>
          <w:rFonts w:ascii="Century Gothic" w:hAnsi="Century Gothic" w:cs="Calibri"/>
          <w:i/>
          <w:sz w:val="24"/>
          <w:szCs w:val="24"/>
        </w:rPr>
        <w:footnoteReference w:id="6"/>
      </w:r>
    </w:p>
    <w:p w14:paraId="2A5C1DEB" w14:textId="77777777" w:rsidR="009C2357" w:rsidRDefault="009C2357" w:rsidP="00830314">
      <w:pPr>
        <w:spacing w:after="0" w:line="360" w:lineRule="auto"/>
        <w:jc w:val="both"/>
        <w:rPr>
          <w:rFonts w:ascii="Century Gothic" w:hAnsi="Century Gothic" w:cs="Calibri"/>
          <w:sz w:val="24"/>
          <w:szCs w:val="24"/>
        </w:rPr>
      </w:pPr>
    </w:p>
    <w:p w14:paraId="2AF4969D" w14:textId="755EB05B" w:rsidR="00C17D61" w:rsidRDefault="009C2357" w:rsidP="00830314">
      <w:pPr>
        <w:spacing w:after="0" w:line="360" w:lineRule="auto"/>
        <w:jc w:val="both"/>
        <w:rPr>
          <w:rFonts w:ascii="Century Gothic" w:hAnsi="Century Gothic" w:cs="Calibri"/>
          <w:sz w:val="24"/>
          <w:szCs w:val="24"/>
        </w:rPr>
      </w:pPr>
      <w:r>
        <w:rPr>
          <w:rFonts w:ascii="Century Gothic" w:hAnsi="Century Gothic" w:cs="Calibri"/>
          <w:sz w:val="24"/>
          <w:szCs w:val="24"/>
        </w:rPr>
        <w:t>Dicho</w:t>
      </w:r>
      <w:r w:rsidR="0099398A">
        <w:rPr>
          <w:rFonts w:ascii="Century Gothic" w:hAnsi="Century Gothic" w:cs="Calibri"/>
          <w:sz w:val="24"/>
          <w:szCs w:val="24"/>
        </w:rPr>
        <w:t>s</w:t>
      </w:r>
      <w:r>
        <w:rPr>
          <w:rFonts w:ascii="Century Gothic" w:hAnsi="Century Gothic" w:cs="Calibri"/>
          <w:sz w:val="24"/>
          <w:szCs w:val="24"/>
        </w:rPr>
        <w:t xml:space="preserve"> apoyos fueron desglosados</w:t>
      </w:r>
      <w:r w:rsidR="00C17D61">
        <w:rPr>
          <w:rFonts w:ascii="Century Gothic" w:hAnsi="Century Gothic" w:cs="Calibri"/>
          <w:sz w:val="24"/>
          <w:szCs w:val="24"/>
        </w:rPr>
        <w:t xml:space="preserve"> de la siguiente manera: </w:t>
      </w:r>
    </w:p>
    <w:p w14:paraId="0442E180" w14:textId="77777777" w:rsidR="009C2357" w:rsidRDefault="009C2357" w:rsidP="00830314">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1299"/>
        <w:gridCol w:w="1238"/>
        <w:gridCol w:w="1237"/>
        <w:gridCol w:w="1237"/>
        <w:gridCol w:w="1237"/>
        <w:gridCol w:w="1237"/>
        <w:gridCol w:w="1238"/>
        <w:gridCol w:w="1239"/>
      </w:tblGrid>
      <w:tr w:rsidR="009C2357" w14:paraId="79C71CB0" w14:textId="77777777" w:rsidTr="009C2357">
        <w:tc>
          <w:tcPr>
            <w:tcW w:w="1245" w:type="dxa"/>
          </w:tcPr>
          <w:p w14:paraId="14D1A486" w14:textId="77777777" w:rsidR="009C2357" w:rsidRPr="009C2357" w:rsidRDefault="009C2357" w:rsidP="00830314">
            <w:pPr>
              <w:spacing w:after="0" w:line="360" w:lineRule="auto"/>
              <w:jc w:val="both"/>
              <w:rPr>
                <w:rFonts w:ascii="Century Gothic" w:hAnsi="Century Gothic" w:cs="Calibri"/>
                <w:sz w:val="20"/>
                <w:szCs w:val="20"/>
              </w:rPr>
            </w:pPr>
            <w:r w:rsidRPr="009C2357">
              <w:rPr>
                <w:rFonts w:ascii="Century Gothic" w:hAnsi="Century Gothic" w:cs="Calibri"/>
                <w:sz w:val="20"/>
                <w:szCs w:val="20"/>
              </w:rPr>
              <w:t>Apoyos educativos</w:t>
            </w:r>
          </w:p>
        </w:tc>
        <w:tc>
          <w:tcPr>
            <w:tcW w:w="1245" w:type="dxa"/>
            <w:shd w:val="clear" w:color="auto" w:fill="D0CECE" w:themeFill="background2" w:themeFillShade="E6"/>
          </w:tcPr>
          <w:p w14:paraId="49A164EC"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2017</w:t>
            </w:r>
          </w:p>
        </w:tc>
        <w:tc>
          <w:tcPr>
            <w:tcW w:w="1245" w:type="dxa"/>
            <w:shd w:val="clear" w:color="auto" w:fill="D0CECE" w:themeFill="background2" w:themeFillShade="E6"/>
          </w:tcPr>
          <w:p w14:paraId="4FA98D12"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2018</w:t>
            </w:r>
          </w:p>
        </w:tc>
        <w:tc>
          <w:tcPr>
            <w:tcW w:w="1245" w:type="dxa"/>
            <w:shd w:val="clear" w:color="auto" w:fill="D0CECE" w:themeFill="background2" w:themeFillShade="E6"/>
          </w:tcPr>
          <w:p w14:paraId="3695D57D"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2019</w:t>
            </w:r>
          </w:p>
        </w:tc>
        <w:tc>
          <w:tcPr>
            <w:tcW w:w="1245" w:type="dxa"/>
            <w:shd w:val="clear" w:color="auto" w:fill="D0CECE" w:themeFill="background2" w:themeFillShade="E6"/>
          </w:tcPr>
          <w:p w14:paraId="2D2BF01B"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2020</w:t>
            </w:r>
          </w:p>
        </w:tc>
        <w:tc>
          <w:tcPr>
            <w:tcW w:w="1245" w:type="dxa"/>
            <w:shd w:val="clear" w:color="auto" w:fill="D0CECE" w:themeFill="background2" w:themeFillShade="E6"/>
          </w:tcPr>
          <w:p w14:paraId="09A71188"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2021</w:t>
            </w:r>
          </w:p>
        </w:tc>
        <w:tc>
          <w:tcPr>
            <w:tcW w:w="1246" w:type="dxa"/>
            <w:shd w:val="clear" w:color="auto" w:fill="D0CECE" w:themeFill="background2" w:themeFillShade="E6"/>
          </w:tcPr>
          <w:p w14:paraId="69583A16"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2022</w:t>
            </w:r>
          </w:p>
        </w:tc>
        <w:tc>
          <w:tcPr>
            <w:tcW w:w="1246" w:type="dxa"/>
            <w:shd w:val="clear" w:color="auto" w:fill="D0CECE" w:themeFill="background2" w:themeFillShade="E6"/>
          </w:tcPr>
          <w:p w14:paraId="78B95A38"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Total</w:t>
            </w:r>
          </w:p>
        </w:tc>
      </w:tr>
      <w:tr w:rsidR="009C2357" w14:paraId="4D282925" w14:textId="77777777" w:rsidTr="009C2357">
        <w:tc>
          <w:tcPr>
            <w:tcW w:w="1245" w:type="dxa"/>
            <w:shd w:val="clear" w:color="auto" w:fill="D0CECE" w:themeFill="background2" w:themeFillShade="E6"/>
          </w:tcPr>
          <w:p w14:paraId="66A48000" w14:textId="77777777" w:rsidR="009C2357" w:rsidRPr="009C2357" w:rsidRDefault="009C2357" w:rsidP="00830314">
            <w:pPr>
              <w:spacing w:after="0" w:line="360" w:lineRule="auto"/>
              <w:jc w:val="both"/>
              <w:rPr>
                <w:rFonts w:ascii="Century Gothic" w:hAnsi="Century Gothic" w:cs="Calibri"/>
                <w:sz w:val="20"/>
                <w:szCs w:val="20"/>
              </w:rPr>
            </w:pPr>
            <w:r w:rsidRPr="009C2357">
              <w:rPr>
                <w:rFonts w:ascii="Century Gothic" w:hAnsi="Century Gothic" w:cs="Calibri"/>
                <w:sz w:val="20"/>
                <w:szCs w:val="20"/>
              </w:rPr>
              <w:t xml:space="preserve">Mujeres </w:t>
            </w:r>
          </w:p>
        </w:tc>
        <w:tc>
          <w:tcPr>
            <w:tcW w:w="1245" w:type="dxa"/>
          </w:tcPr>
          <w:p w14:paraId="4FCF67C6"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8</w:t>
            </w:r>
          </w:p>
        </w:tc>
        <w:tc>
          <w:tcPr>
            <w:tcW w:w="1245" w:type="dxa"/>
          </w:tcPr>
          <w:p w14:paraId="62CD06B9"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32</w:t>
            </w:r>
          </w:p>
        </w:tc>
        <w:tc>
          <w:tcPr>
            <w:tcW w:w="1245" w:type="dxa"/>
          </w:tcPr>
          <w:p w14:paraId="6E87C158"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35</w:t>
            </w:r>
          </w:p>
        </w:tc>
        <w:tc>
          <w:tcPr>
            <w:tcW w:w="1245" w:type="dxa"/>
          </w:tcPr>
          <w:p w14:paraId="69113A83"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34</w:t>
            </w:r>
          </w:p>
        </w:tc>
        <w:tc>
          <w:tcPr>
            <w:tcW w:w="1245" w:type="dxa"/>
          </w:tcPr>
          <w:p w14:paraId="54FEA302"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52</w:t>
            </w:r>
          </w:p>
        </w:tc>
        <w:tc>
          <w:tcPr>
            <w:tcW w:w="1246" w:type="dxa"/>
          </w:tcPr>
          <w:p w14:paraId="47C06163"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26</w:t>
            </w:r>
          </w:p>
        </w:tc>
        <w:tc>
          <w:tcPr>
            <w:tcW w:w="1246" w:type="dxa"/>
          </w:tcPr>
          <w:p w14:paraId="3A64EEC1"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187</w:t>
            </w:r>
          </w:p>
        </w:tc>
      </w:tr>
      <w:tr w:rsidR="009C2357" w14:paraId="3CBD4265" w14:textId="77777777" w:rsidTr="009C2357">
        <w:tc>
          <w:tcPr>
            <w:tcW w:w="1245" w:type="dxa"/>
            <w:shd w:val="clear" w:color="auto" w:fill="D0CECE" w:themeFill="background2" w:themeFillShade="E6"/>
          </w:tcPr>
          <w:p w14:paraId="18BF51C7" w14:textId="77777777" w:rsidR="009C2357" w:rsidRPr="009C2357" w:rsidRDefault="009C2357" w:rsidP="00830314">
            <w:pPr>
              <w:spacing w:after="0" w:line="360" w:lineRule="auto"/>
              <w:jc w:val="both"/>
              <w:rPr>
                <w:rFonts w:ascii="Century Gothic" w:hAnsi="Century Gothic" w:cs="Calibri"/>
                <w:sz w:val="20"/>
                <w:szCs w:val="20"/>
              </w:rPr>
            </w:pPr>
            <w:r w:rsidRPr="009C2357">
              <w:rPr>
                <w:rFonts w:ascii="Century Gothic" w:hAnsi="Century Gothic" w:cs="Calibri"/>
                <w:sz w:val="20"/>
                <w:szCs w:val="20"/>
              </w:rPr>
              <w:t xml:space="preserve">Hombres </w:t>
            </w:r>
          </w:p>
        </w:tc>
        <w:tc>
          <w:tcPr>
            <w:tcW w:w="1245" w:type="dxa"/>
          </w:tcPr>
          <w:p w14:paraId="7EB0F0E4"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4</w:t>
            </w:r>
          </w:p>
        </w:tc>
        <w:tc>
          <w:tcPr>
            <w:tcW w:w="1245" w:type="dxa"/>
          </w:tcPr>
          <w:p w14:paraId="65166478"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20</w:t>
            </w:r>
          </w:p>
        </w:tc>
        <w:tc>
          <w:tcPr>
            <w:tcW w:w="1245" w:type="dxa"/>
          </w:tcPr>
          <w:p w14:paraId="2719435C"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34</w:t>
            </w:r>
          </w:p>
        </w:tc>
        <w:tc>
          <w:tcPr>
            <w:tcW w:w="1245" w:type="dxa"/>
          </w:tcPr>
          <w:p w14:paraId="0F39EC41"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25</w:t>
            </w:r>
          </w:p>
        </w:tc>
        <w:tc>
          <w:tcPr>
            <w:tcW w:w="1245" w:type="dxa"/>
          </w:tcPr>
          <w:p w14:paraId="3C292632"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34</w:t>
            </w:r>
          </w:p>
        </w:tc>
        <w:tc>
          <w:tcPr>
            <w:tcW w:w="1246" w:type="dxa"/>
          </w:tcPr>
          <w:p w14:paraId="11AB28EE"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10</w:t>
            </w:r>
          </w:p>
        </w:tc>
        <w:tc>
          <w:tcPr>
            <w:tcW w:w="1246" w:type="dxa"/>
          </w:tcPr>
          <w:p w14:paraId="6E4DE0FD" w14:textId="77777777" w:rsidR="009C2357" w:rsidRPr="009C2357" w:rsidRDefault="009C2357" w:rsidP="009C2357">
            <w:pPr>
              <w:spacing w:after="0" w:line="360" w:lineRule="auto"/>
              <w:jc w:val="center"/>
              <w:rPr>
                <w:rFonts w:ascii="Century Gothic" w:hAnsi="Century Gothic" w:cs="Calibri"/>
                <w:sz w:val="20"/>
                <w:szCs w:val="20"/>
              </w:rPr>
            </w:pPr>
            <w:r w:rsidRPr="009C2357">
              <w:rPr>
                <w:rFonts w:ascii="Century Gothic" w:hAnsi="Century Gothic" w:cs="Calibri"/>
                <w:sz w:val="20"/>
                <w:szCs w:val="20"/>
              </w:rPr>
              <w:t>127</w:t>
            </w:r>
          </w:p>
        </w:tc>
      </w:tr>
    </w:tbl>
    <w:p w14:paraId="43A8F987" w14:textId="77777777" w:rsidR="009C2357" w:rsidRDefault="009C2357" w:rsidP="00830314">
      <w:pPr>
        <w:spacing w:after="0" w:line="360" w:lineRule="auto"/>
        <w:jc w:val="both"/>
        <w:rPr>
          <w:rFonts w:ascii="Century Gothic" w:hAnsi="Century Gothic" w:cs="Calibri"/>
          <w:sz w:val="24"/>
          <w:szCs w:val="24"/>
        </w:rPr>
      </w:pPr>
    </w:p>
    <w:p w14:paraId="44798BE8" w14:textId="77777777" w:rsidR="008931B7" w:rsidRDefault="008931B7" w:rsidP="00830314">
      <w:pPr>
        <w:spacing w:after="0" w:line="360" w:lineRule="auto"/>
        <w:jc w:val="both"/>
        <w:rPr>
          <w:rFonts w:ascii="Century Gothic" w:hAnsi="Century Gothic" w:cs="Calibri"/>
          <w:sz w:val="24"/>
          <w:szCs w:val="24"/>
        </w:rPr>
      </w:pPr>
    </w:p>
    <w:p w14:paraId="05F91149" w14:textId="3DEE2DF1" w:rsidR="007E44FE" w:rsidRPr="00746005" w:rsidRDefault="00230377" w:rsidP="00746005">
      <w:pPr>
        <w:spacing w:after="0" w:line="360" w:lineRule="auto"/>
        <w:jc w:val="both"/>
        <w:rPr>
          <w:rFonts w:ascii="Century Gothic" w:hAnsi="Century Gothic" w:cs="Calibri"/>
          <w:i/>
          <w:sz w:val="24"/>
          <w:szCs w:val="24"/>
        </w:rPr>
      </w:pPr>
      <w:r w:rsidRPr="00746005">
        <w:rPr>
          <w:rFonts w:ascii="Century Gothic" w:hAnsi="Century Gothic" w:cs="Calibri"/>
          <w:b/>
          <w:sz w:val="24"/>
          <w:szCs w:val="24"/>
        </w:rPr>
        <w:t>VIII.-</w:t>
      </w:r>
      <w:r>
        <w:rPr>
          <w:rFonts w:ascii="Century Gothic" w:hAnsi="Century Gothic" w:cs="Calibri"/>
          <w:sz w:val="24"/>
          <w:szCs w:val="24"/>
        </w:rPr>
        <w:t xml:space="preserve"> </w:t>
      </w:r>
      <w:r w:rsidR="007E44FE">
        <w:rPr>
          <w:rFonts w:ascii="Century Gothic" w:hAnsi="Century Gothic" w:cs="Calibri"/>
          <w:sz w:val="24"/>
          <w:szCs w:val="24"/>
        </w:rPr>
        <w:t xml:space="preserve">Por otra parte, </w:t>
      </w:r>
      <w:r w:rsidR="00746005">
        <w:rPr>
          <w:rFonts w:ascii="Century Gothic" w:hAnsi="Century Gothic" w:cs="Calibri"/>
          <w:sz w:val="24"/>
          <w:szCs w:val="24"/>
        </w:rPr>
        <w:t>considerando el sentido social de la iniciativa en estudio</w:t>
      </w:r>
      <w:r w:rsidR="0099398A">
        <w:rPr>
          <w:rFonts w:ascii="Century Gothic" w:hAnsi="Century Gothic" w:cs="Calibri"/>
          <w:sz w:val="24"/>
          <w:szCs w:val="24"/>
        </w:rPr>
        <w:t>,</w:t>
      </w:r>
      <w:r w:rsidR="00746005">
        <w:rPr>
          <w:rFonts w:ascii="Century Gothic" w:hAnsi="Century Gothic" w:cs="Calibri"/>
          <w:sz w:val="24"/>
          <w:szCs w:val="24"/>
        </w:rPr>
        <w:t xml:space="preserve"> resulta oportuno recurrir al concepto de “Acciones afirmativas” establecido tanto en la Ley General de Acceso de las Mujeres a una Vida Libre de Violencia como en la Ley </w:t>
      </w:r>
      <w:r w:rsidR="00746005">
        <w:rPr>
          <w:rFonts w:ascii="Century Gothic" w:hAnsi="Century Gothic" w:cs="Calibri"/>
          <w:sz w:val="24"/>
          <w:szCs w:val="24"/>
        </w:rPr>
        <w:lastRenderedPageBreak/>
        <w:t>correspondiente estatal, definidas como: “</w:t>
      </w:r>
      <w:r w:rsidR="00746005" w:rsidRPr="00746005">
        <w:rPr>
          <w:rFonts w:ascii="Century Gothic" w:hAnsi="Century Gothic" w:cs="Calibri"/>
          <w:i/>
          <w:sz w:val="24"/>
          <w:szCs w:val="24"/>
        </w:rPr>
        <w:t>Las medidas especiales encaminadas a acelerar la igualdad y erradicar la violencia y la discriminación contra las mujeres”</w:t>
      </w:r>
      <w:r w:rsidR="00746005">
        <w:rPr>
          <w:rFonts w:ascii="Century Gothic" w:hAnsi="Century Gothic" w:cs="Calibri"/>
          <w:i/>
          <w:sz w:val="24"/>
          <w:szCs w:val="24"/>
        </w:rPr>
        <w:t>.</w:t>
      </w:r>
      <w:r w:rsidR="00746005">
        <w:rPr>
          <w:rStyle w:val="Refdenotaalpie"/>
          <w:rFonts w:ascii="Century Gothic" w:hAnsi="Century Gothic" w:cs="Calibri"/>
          <w:i/>
          <w:sz w:val="24"/>
          <w:szCs w:val="24"/>
        </w:rPr>
        <w:footnoteReference w:id="7"/>
      </w:r>
    </w:p>
    <w:p w14:paraId="3F18D45E" w14:textId="77777777" w:rsidR="000C2F8F" w:rsidRPr="000C2F8F" w:rsidRDefault="000C2F8F" w:rsidP="000C2F8F">
      <w:pPr>
        <w:spacing w:after="0" w:line="360" w:lineRule="auto"/>
        <w:jc w:val="both"/>
        <w:rPr>
          <w:rFonts w:ascii="Century Gothic" w:hAnsi="Century Gothic" w:cs="Calibri"/>
          <w:sz w:val="24"/>
          <w:szCs w:val="24"/>
        </w:rPr>
      </w:pPr>
      <w:r w:rsidRPr="000C2F8F">
        <w:rPr>
          <w:rFonts w:ascii="Century Gothic" w:hAnsi="Century Gothic" w:cs="Calibri"/>
          <w:sz w:val="24"/>
          <w:szCs w:val="24"/>
        </w:rPr>
        <w:t>Las acciones afirmativas son políticas públicas cuyo objetivo es compensar las condiciones que discriminan a ciertos grupos sociales del ejercicio de sus derechos. Se les conoce también como “acciones positivas”, “medidas positivas”, “discriminación en sentido inverso” y “discriminación positiva”.</w:t>
      </w:r>
    </w:p>
    <w:p w14:paraId="3F87A1B5" w14:textId="77777777" w:rsidR="000C2F8F" w:rsidRPr="000C2F8F" w:rsidRDefault="000C2F8F" w:rsidP="000C2F8F">
      <w:pPr>
        <w:spacing w:after="0" w:line="360" w:lineRule="auto"/>
        <w:jc w:val="both"/>
        <w:rPr>
          <w:rFonts w:ascii="Century Gothic" w:hAnsi="Century Gothic" w:cs="Calibri"/>
          <w:sz w:val="24"/>
          <w:szCs w:val="24"/>
        </w:rPr>
      </w:pPr>
    </w:p>
    <w:p w14:paraId="5153638F" w14:textId="77777777" w:rsidR="000C2F8F" w:rsidRPr="000C2F8F" w:rsidRDefault="000C2F8F" w:rsidP="000C2F8F">
      <w:pPr>
        <w:spacing w:after="0" w:line="360" w:lineRule="auto"/>
        <w:jc w:val="both"/>
        <w:rPr>
          <w:rFonts w:ascii="Century Gothic" w:hAnsi="Century Gothic" w:cs="Calibri"/>
          <w:sz w:val="24"/>
          <w:szCs w:val="24"/>
        </w:rPr>
      </w:pPr>
      <w:r w:rsidRPr="000C2F8F">
        <w:rPr>
          <w:rFonts w:ascii="Century Gothic" w:hAnsi="Century Gothic" w:cs="Calibri"/>
          <w:sz w:val="24"/>
          <w:szCs w:val="24"/>
        </w:rPr>
        <w:t>Es necesario considerar que el carácter temporal de las acciones afirmativas está sujeto al resultado que se espera alcanzar y no a determinaciones a priori; por lo tanto, se suspenderán sólo si el problema fue resuelto y los resultados son sostenibles.</w:t>
      </w:r>
    </w:p>
    <w:p w14:paraId="071F57BE" w14:textId="77777777" w:rsidR="000C2F8F" w:rsidRPr="000C2F8F" w:rsidRDefault="000C2F8F" w:rsidP="000C2F8F">
      <w:pPr>
        <w:spacing w:after="0" w:line="360" w:lineRule="auto"/>
        <w:jc w:val="both"/>
        <w:rPr>
          <w:rFonts w:ascii="Century Gothic" w:hAnsi="Century Gothic" w:cs="Calibri"/>
          <w:sz w:val="24"/>
          <w:szCs w:val="24"/>
        </w:rPr>
      </w:pPr>
    </w:p>
    <w:p w14:paraId="5875D1FD" w14:textId="77777777" w:rsidR="000C2F8F" w:rsidRDefault="000C2F8F" w:rsidP="000C2F8F">
      <w:pPr>
        <w:spacing w:after="0" w:line="360" w:lineRule="auto"/>
        <w:jc w:val="both"/>
        <w:rPr>
          <w:rFonts w:ascii="Century Gothic" w:hAnsi="Century Gothic" w:cs="Calibri"/>
          <w:sz w:val="24"/>
          <w:szCs w:val="24"/>
        </w:rPr>
      </w:pPr>
      <w:r w:rsidRPr="000C2F8F">
        <w:rPr>
          <w:rFonts w:ascii="Century Gothic" w:hAnsi="Century Gothic" w:cs="Calibri"/>
          <w:sz w:val="24"/>
          <w:szCs w:val="24"/>
        </w:rPr>
        <w:t xml:space="preserve">Algunos ejemplos de estas medidas son la implementación de acciones especiales para facilitar el acceso al crédito, a cargos de representación política y a becas especiales para mujeres y niñas.   </w:t>
      </w:r>
    </w:p>
    <w:p w14:paraId="3B05B911" w14:textId="77777777" w:rsidR="000C2F8F" w:rsidRDefault="000C2F8F" w:rsidP="00830314">
      <w:pPr>
        <w:spacing w:after="0" w:line="360" w:lineRule="auto"/>
        <w:jc w:val="both"/>
        <w:rPr>
          <w:rFonts w:ascii="Century Gothic" w:hAnsi="Century Gothic" w:cs="Calibri"/>
          <w:sz w:val="24"/>
          <w:szCs w:val="24"/>
        </w:rPr>
      </w:pPr>
    </w:p>
    <w:p w14:paraId="65999911" w14:textId="49BAF9F9" w:rsidR="003D6A99" w:rsidRDefault="000C2F8F" w:rsidP="00830314">
      <w:pPr>
        <w:spacing w:after="0" w:line="360" w:lineRule="auto"/>
        <w:jc w:val="both"/>
        <w:rPr>
          <w:rFonts w:ascii="Century Gothic" w:hAnsi="Century Gothic" w:cs="Calibri"/>
          <w:sz w:val="24"/>
          <w:szCs w:val="24"/>
        </w:rPr>
      </w:pPr>
      <w:r w:rsidRPr="00E170E0">
        <w:rPr>
          <w:rFonts w:ascii="Century Gothic" w:hAnsi="Century Gothic" w:cs="Calibri"/>
          <w:sz w:val="24"/>
          <w:szCs w:val="24"/>
        </w:rPr>
        <w:t>Por lo tanto</w:t>
      </w:r>
      <w:r w:rsidR="00C173E7" w:rsidRPr="00E170E0">
        <w:rPr>
          <w:rFonts w:ascii="Century Gothic" w:hAnsi="Century Gothic" w:cs="Calibri"/>
          <w:sz w:val="24"/>
          <w:szCs w:val="24"/>
        </w:rPr>
        <w:t xml:space="preserve">, a fin de </w:t>
      </w:r>
      <w:r w:rsidRPr="00E170E0">
        <w:rPr>
          <w:rFonts w:ascii="Century Gothic" w:hAnsi="Century Gothic" w:cs="Calibri"/>
          <w:sz w:val="24"/>
          <w:szCs w:val="24"/>
        </w:rPr>
        <w:t xml:space="preserve">implementar </w:t>
      </w:r>
      <w:r w:rsidR="009C50AF" w:rsidRPr="00E170E0">
        <w:rPr>
          <w:rFonts w:ascii="Century Gothic" w:hAnsi="Century Gothic" w:cs="Calibri"/>
          <w:sz w:val="24"/>
          <w:szCs w:val="24"/>
        </w:rPr>
        <w:t xml:space="preserve">en nuestra entidad </w:t>
      </w:r>
      <w:r w:rsidRPr="00E170E0">
        <w:rPr>
          <w:rFonts w:ascii="Century Gothic" w:hAnsi="Century Gothic" w:cs="Calibri"/>
          <w:sz w:val="24"/>
          <w:szCs w:val="24"/>
        </w:rPr>
        <w:t>este tipo de acciones</w:t>
      </w:r>
      <w:r w:rsidR="00C06298" w:rsidRPr="00E170E0">
        <w:rPr>
          <w:rFonts w:ascii="Century Gothic" w:hAnsi="Century Gothic" w:cs="Calibri"/>
          <w:sz w:val="24"/>
          <w:szCs w:val="24"/>
        </w:rPr>
        <w:t xml:space="preserve"> afirmativas en favor de las mujeres</w:t>
      </w:r>
      <w:r w:rsidRPr="00E170E0">
        <w:rPr>
          <w:rFonts w:ascii="Century Gothic" w:hAnsi="Century Gothic" w:cs="Calibri"/>
          <w:sz w:val="24"/>
          <w:szCs w:val="24"/>
        </w:rPr>
        <w:t xml:space="preserve">, </w:t>
      </w:r>
      <w:r w:rsidR="00C173E7" w:rsidRPr="00E170E0">
        <w:rPr>
          <w:rFonts w:ascii="Century Gothic" w:hAnsi="Century Gothic" w:cs="Calibri"/>
          <w:sz w:val="24"/>
          <w:szCs w:val="24"/>
        </w:rPr>
        <w:t>es</w:t>
      </w:r>
      <w:r w:rsidR="009C50AF" w:rsidRPr="00E170E0">
        <w:rPr>
          <w:rFonts w:ascii="Century Gothic" w:hAnsi="Century Gothic" w:cs="Calibri"/>
          <w:sz w:val="24"/>
          <w:szCs w:val="24"/>
        </w:rPr>
        <w:t xml:space="preserve"> que se </w:t>
      </w:r>
      <w:r w:rsidR="00C173E7" w:rsidRPr="00E170E0">
        <w:rPr>
          <w:rFonts w:ascii="Century Gothic" w:hAnsi="Century Gothic" w:cs="Calibri"/>
          <w:sz w:val="24"/>
          <w:szCs w:val="24"/>
        </w:rPr>
        <w:t>considera oportuno reformar la Ley Estatal del Derecho de las Mujeres a una Vida Li</w:t>
      </w:r>
      <w:r w:rsidRPr="00E170E0">
        <w:rPr>
          <w:rFonts w:ascii="Century Gothic" w:hAnsi="Century Gothic" w:cs="Calibri"/>
          <w:sz w:val="24"/>
          <w:szCs w:val="24"/>
        </w:rPr>
        <w:t>bre de Violencia para determinar</w:t>
      </w:r>
      <w:r w:rsidR="00C173E7" w:rsidRPr="00E170E0">
        <w:rPr>
          <w:rFonts w:ascii="Century Gothic" w:hAnsi="Century Gothic" w:cs="Calibri"/>
          <w:sz w:val="24"/>
          <w:szCs w:val="24"/>
        </w:rPr>
        <w:t xml:space="preserve"> la obligación po</w:t>
      </w:r>
      <w:r w:rsidRPr="00E170E0">
        <w:rPr>
          <w:rFonts w:ascii="Century Gothic" w:hAnsi="Century Gothic" w:cs="Calibri"/>
          <w:sz w:val="24"/>
          <w:szCs w:val="24"/>
        </w:rPr>
        <w:t>r parte del Estado de establecer</w:t>
      </w:r>
      <w:r w:rsidR="00C173E7" w:rsidRPr="00E170E0">
        <w:rPr>
          <w:rFonts w:ascii="Century Gothic" w:hAnsi="Century Gothic" w:cs="Calibri"/>
          <w:sz w:val="24"/>
          <w:szCs w:val="24"/>
        </w:rPr>
        <w:t xml:space="preserve"> programas de becas para mujeres víctimas de violencia</w:t>
      </w:r>
      <w:r w:rsidR="000B0964" w:rsidRPr="00E170E0">
        <w:rPr>
          <w:rFonts w:ascii="Century Gothic" w:hAnsi="Century Gothic" w:cs="Calibri"/>
          <w:sz w:val="24"/>
          <w:szCs w:val="24"/>
        </w:rPr>
        <w:t xml:space="preserve">, </w:t>
      </w:r>
      <w:r w:rsidR="008B148F" w:rsidRPr="00E170E0">
        <w:rPr>
          <w:rFonts w:ascii="Century Gothic" w:hAnsi="Century Gothic" w:cs="Calibri"/>
          <w:sz w:val="24"/>
          <w:szCs w:val="24"/>
        </w:rPr>
        <w:t xml:space="preserve">destacando que dicha obligación ya se contempla en </w:t>
      </w:r>
      <w:r w:rsidR="000B0964" w:rsidRPr="00E170E0">
        <w:rPr>
          <w:rFonts w:ascii="Century Gothic" w:hAnsi="Century Gothic" w:cs="Calibri"/>
          <w:sz w:val="24"/>
          <w:szCs w:val="24"/>
        </w:rPr>
        <w:t xml:space="preserve">la Ley </w:t>
      </w:r>
      <w:r w:rsidR="006656B4" w:rsidRPr="00E170E0">
        <w:rPr>
          <w:rFonts w:ascii="Century Gothic" w:hAnsi="Century Gothic" w:cs="Calibri"/>
          <w:sz w:val="24"/>
          <w:szCs w:val="24"/>
        </w:rPr>
        <w:t>General de Victimas</w:t>
      </w:r>
      <w:r w:rsidR="008B148F" w:rsidRPr="00E170E0">
        <w:rPr>
          <w:rFonts w:ascii="Century Gothic" w:hAnsi="Century Gothic" w:cs="Calibri"/>
          <w:sz w:val="24"/>
          <w:szCs w:val="24"/>
        </w:rPr>
        <w:t xml:space="preserve"> y se otorgan por parte del Gobierno del Estado</w:t>
      </w:r>
      <w:r w:rsidR="00C173E7" w:rsidRPr="00E170E0">
        <w:rPr>
          <w:rFonts w:ascii="Century Gothic" w:hAnsi="Century Gothic" w:cs="Calibri"/>
          <w:sz w:val="24"/>
          <w:szCs w:val="24"/>
        </w:rPr>
        <w:t>.</w:t>
      </w:r>
      <w:r w:rsidR="00C173E7">
        <w:rPr>
          <w:rFonts w:ascii="Century Gothic" w:hAnsi="Century Gothic" w:cs="Calibri"/>
          <w:sz w:val="24"/>
          <w:szCs w:val="24"/>
        </w:rPr>
        <w:t xml:space="preserve"> </w:t>
      </w:r>
    </w:p>
    <w:p w14:paraId="5091FD7D" w14:textId="77777777" w:rsidR="003D6A99" w:rsidRDefault="003D6A99" w:rsidP="00830314">
      <w:pPr>
        <w:spacing w:after="0" w:line="360" w:lineRule="auto"/>
        <w:jc w:val="both"/>
        <w:rPr>
          <w:rFonts w:ascii="Century Gothic" w:hAnsi="Century Gothic" w:cs="Calibri"/>
          <w:sz w:val="24"/>
          <w:szCs w:val="24"/>
        </w:rPr>
      </w:pPr>
    </w:p>
    <w:p w14:paraId="0BB675DC" w14:textId="77777777" w:rsidR="00CF5208" w:rsidRDefault="007313CF" w:rsidP="00830314">
      <w:pPr>
        <w:spacing w:after="0" w:line="360" w:lineRule="auto"/>
        <w:jc w:val="both"/>
        <w:rPr>
          <w:rFonts w:ascii="Century Gothic" w:hAnsi="Century Gothic" w:cs="Calibri"/>
          <w:sz w:val="24"/>
          <w:szCs w:val="24"/>
        </w:rPr>
      </w:pPr>
      <w:r w:rsidRPr="007313CF">
        <w:rPr>
          <w:rFonts w:ascii="Century Gothic" w:hAnsi="Century Gothic" w:cs="Calibri"/>
          <w:sz w:val="24"/>
          <w:szCs w:val="24"/>
        </w:rPr>
        <w:lastRenderedPageBreak/>
        <w:t>A continuación, se inserta el siguiente cuadro comparativo para efecto de ilustrar la reforma que se propone</w:t>
      </w:r>
      <w:r w:rsidR="00BD58B6">
        <w:rPr>
          <w:rFonts w:ascii="Century Gothic" w:hAnsi="Century Gothic" w:cs="Calibri"/>
          <w:sz w:val="24"/>
          <w:szCs w:val="24"/>
        </w:rPr>
        <w:t>, así como los cambios de redacción propuestos en la reunión de trabajo de la Comisión</w:t>
      </w:r>
      <w:r w:rsidRPr="007313CF">
        <w:rPr>
          <w:rFonts w:ascii="Century Gothic" w:hAnsi="Century Gothic" w:cs="Calibri"/>
          <w:sz w:val="24"/>
          <w:szCs w:val="24"/>
        </w:rPr>
        <w:t>:</w:t>
      </w:r>
    </w:p>
    <w:p w14:paraId="71D43D67" w14:textId="77777777" w:rsidR="00601E74" w:rsidRDefault="00601E74" w:rsidP="00830314">
      <w:pPr>
        <w:spacing w:after="0" w:line="360" w:lineRule="auto"/>
        <w:jc w:val="both"/>
        <w:rPr>
          <w:rFonts w:ascii="Century Gothic" w:hAnsi="Century Gothic" w:cs="Calibri"/>
          <w:sz w:val="24"/>
          <w:szCs w:val="24"/>
        </w:rPr>
      </w:pPr>
    </w:p>
    <w:tbl>
      <w:tblPr>
        <w:tblStyle w:val="Tablaconcuadrculaclara"/>
        <w:tblW w:w="0" w:type="auto"/>
        <w:tblLook w:val="04A0" w:firstRow="1" w:lastRow="0" w:firstColumn="1" w:lastColumn="0" w:noHBand="0" w:noVBand="1"/>
      </w:tblPr>
      <w:tblGrid>
        <w:gridCol w:w="3643"/>
        <w:gridCol w:w="3642"/>
        <w:gridCol w:w="2677"/>
      </w:tblGrid>
      <w:tr w:rsidR="00793CFD" w14:paraId="40BC9C37" w14:textId="77777777" w:rsidTr="00B83FAE">
        <w:tc>
          <w:tcPr>
            <w:tcW w:w="9962" w:type="dxa"/>
            <w:gridSpan w:val="3"/>
          </w:tcPr>
          <w:p w14:paraId="7644995E" w14:textId="77777777" w:rsidR="00793CFD" w:rsidRPr="001F61D7" w:rsidRDefault="00793CFD" w:rsidP="001F61D7">
            <w:pPr>
              <w:spacing w:after="0" w:line="360" w:lineRule="auto"/>
              <w:jc w:val="center"/>
              <w:rPr>
                <w:rFonts w:ascii="Century Gothic" w:hAnsi="Century Gothic" w:cs="Calibri"/>
                <w:sz w:val="24"/>
                <w:szCs w:val="24"/>
              </w:rPr>
            </w:pPr>
            <w:r>
              <w:rPr>
                <w:rFonts w:ascii="Century Gothic" w:hAnsi="Century Gothic" w:cs="Calibri"/>
                <w:sz w:val="24"/>
                <w:szCs w:val="24"/>
              </w:rPr>
              <w:t>LEY ESTATAL DEL DERECHO DE LAS MUJERES A UNA VIDA LIBRE DE VIOLENCIA</w:t>
            </w:r>
          </w:p>
        </w:tc>
      </w:tr>
      <w:tr w:rsidR="00793CFD" w14:paraId="33EFC8D7" w14:textId="77777777" w:rsidTr="00793CFD">
        <w:tc>
          <w:tcPr>
            <w:tcW w:w="3643" w:type="dxa"/>
          </w:tcPr>
          <w:p w14:paraId="1EC1C791" w14:textId="77777777" w:rsidR="00793CFD" w:rsidRDefault="00793CFD" w:rsidP="001F61D7">
            <w:pPr>
              <w:spacing w:after="0" w:line="360" w:lineRule="auto"/>
              <w:jc w:val="center"/>
              <w:rPr>
                <w:rFonts w:ascii="Century Gothic" w:hAnsi="Century Gothic" w:cs="Calibri"/>
                <w:sz w:val="24"/>
                <w:szCs w:val="24"/>
              </w:rPr>
            </w:pPr>
            <w:r w:rsidRPr="001F61D7">
              <w:rPr>
                <w:rFonts w:ascii="Century Gothic" w:hAnsi="Century Gothic" w:cs="Calibri"/>
                <w:sz w:val="24"/>
                <w:szCs w:val="24"/>
              </w:rPr>
              <w:t>TEXTO VIGENTE</w:t>
            </w:r>
          </w:p>
        </w:tc>
        <w:tc>
          <w:tcPr>
            <w:tcW w:w="3642" w:type="dxa"/>
          </w:tcPr>
          <w:p w14:paraId="0B11DA80" w14:textId="77777777" w:rsidR="00793CFD" w:rsidRDefault="00793CFD" w:rsidP="001F61D7">
            <w:pPr>
              <w:spacing w:after="0" w:line="360" w:lineRule="auto"/>
              <w:jc w:val="center"/>
              <w:rPr>
                <w:rFonts w:ascii="Century Gothic" w:hAnsi="Century Gothic" w:cs="Calibri"/>
                <w:sz w:val="24"/>
                <w:szCs w:val="24"/>
              </w:rPr>
            </w:pPr>
            <w:r>
              <w:rPr>
                <w:rFonts w:ascii="Century Gothic" w:hAnsi="Century Gothic" w:cs="Calibri"/>
                <w:sz w:val="24"/>
                <w:szCs w:val="24"/>
              </w:rPr>
              <w:t>INICIATIVA</w:t>
            </w:r>
          </w:p>
        </w:tc>
        <w:tc>
          <w:tcPr>
            <w:tcW w:w="2677" w:type="dxa"/>
          </w:tcPr>
          <w:p w14:paraId="46F8054A" w14:textId="77777777" w:rsidR="00793CFD" w:rsidRPr="001F61D7" w:rsidRDefault="00793CFD" w:rsidP="001F61D7">
            <w:pPr>
              <w:spacing w:after="0" w:line="360" w:lineRule="auto"/>
              <w:jc w:val="center"/>
              <w:rPr>
                <w:rFonts w:ascii="Century Gothic" w:hAnsi="Century Gothic" w:cs="Calibri"/>
                <w:sz w:val="24"/>
                <w:szCs w:val="24"/>
              </w:rPr>
            </w:pPr>
            <w:r>
              <w:rPr>
                <w:rFonts w:ascii="Century Gothic" w:hAnsi="Century Gothic" w:cs="Calibri"/>
                <w:sz w:val="24"/>
                <w:szCs w:val="24"/>
              </w:rPr>
              <w:t>COMISIÓN</w:t>
            </w:r>
          </w:p>
        </w:tc>
      </w:tr>
      <w:tr w:rsidR="00076062" w14:paraId="0FC8220B" w14:textId="77777777" w:rsidTr="00793CFD">
        <w:tc>
          <w:tcPr>
            <w:tcW w:w="3643" w:type="dxa"/>
          </w:tcPr>
          <w:p w14:paraId="10F8BB99" w14:textId="77777777" w:rsidR="00076062" w:rsidRDefault="00076062" w:rsidP="00076062">
            <w:pPr>
              <w:spacing w:after="0" w:line="360" w:lineRule="auto"/>
              <w:jc w:val="both"/>
              <w:rPr>
                <w:rFonts w:ascii="Century Gothic" w:hAnsi="Century Gothic" w:cs="Calibri"/>
                <w:sz w:val="24"/>
                <w:szCs w:val="24"/>
              </w:rPr>
            </w:pPr>
            <w:r w:rsidRPr="00076062">
              <w:rPr>
                <w:rFonts w:ascii="Century Gothic" w:hAnsi="Century Gothic" w:cs="Calibri"/>
                <w:sz w:val="24"/>
                <w:szCs w:val="24"/>
              </w:rPr>
              <w:t>ARTÍCULO 28. Corresponde a la Secretaría de Desarrollo Social:</w:t>
            </w:r>
          </w:p>
          <w:p w14:paraId="314187BE" w14:textId="77777777" w:rsidR="00076062" w:rsidRDefault="00076062" w:rsidP="00076062">
            <w:pPr>
              <w:spacing w:after="0" w:line="360" w:lineRule="auto"/>
              <w:jc w:val="both"/>
              <w:rPr>
                <w:rFonts w:ascii="Century Gothic" w:hAnsi="Century Gothic" w:cs="Calibri"/>
                <w:sz w:val="24"/>
                <w:szCs w:val="24"/>
              </w:rPr>
            </w:pPr>
            <w:r w:rsidRPr="00076062">
              <w:rPr>
                <w:rFonts w:ascii="Century Gothic" w:hAnsi="Century Gothic" w:cs="Calibri"/>
                <w:sz w:val="24"/>
                <w:szCs w:val="24"/>
              </w:rPr>
              <w:t>I.</w:t>
            </w:r>
            <w:r>
              <w:rPr>
                <w:rFonts w:ascii="Century Gothic" w:hAnsi="Century Gothic" w:cs="Calibri"/>
                <w:sz w:val="24"/>
                <w:szCs w:val="24"/>
              </w:rPr>
              <w:t xml:space="preserve"> a XXI. </w:t>
            </w:r>
          </w:p>
          <w:p w14:paraId="3A014F7A" w14:textId="77777777" w:rsidR="00076062" w:rsidRPr="00076062" w:rsidRDefault="00076062" w:rsidP="00076062">
            <w:pPr>
              <w:spacing w:after="0" w:line="360" w:lineRule="auto"/>
              <w:jc w:val="both"/>
              <w:rPr>
                <w:rFonts w:ascii="Century Gothic" w:hAnsi="Century Gothic" w:cs="Calibri"/>
                <w:sz w:val="24"/>
                <w:szCs w:val="24"/>
              </w:rPr>
            </w:pPr>
            <w:r>
              <w:rPr>
                <w:rFonts w:ascii="Century Gothic" w:hAnsi="Century Gothic" w:cs="Calibri"/>
                <w:sz w:val="24"/>
                <w:szCs w:val="24"/>
              </w:rPr>
              <w:t xml:space="preserve">XXII. </w:t>
            </w:r>
            <w:r w:rsidRPr="00076062">
              <w:rPr>
                <w:rFonts w:ascii="Century Gothic" w:hAnsi="Century Gothic" w:cs="Calibri"/>
                <w:sz w:val="24"/>
                <w:szCs w:val="24"/>
              </w:rPr>
              <w:t>Las demás previstas para el cumplimiento de la presente ley</w:t>
            </w:r>
            <w:r>
              <w:rPr>
                <w:rFonts w:ascii="Century Gothic" w:hAnsi="Century Gothic" w:cs="Calibri"/>
                <w:sz w:val="24"/>
                <w:szCs w:val="24"/>
              </w:rPr>
              <w:t xml:space="preserve">. </w:t>
            </w:r>
          </w:p>
        </w:tc>
        <w:tc>
          <w:tcPr>
            <w:tcW w:w="3642" w:type="dxa"/>
          </w:tcPr>
          <w:p w14:paraId="5F52D1C9" w14:textId="77777777" w:rsidR="00076062" w:rsidRDefault="00076062" w:rsidP="00076062">
            <w:pPr>
              <w:spacing w:after="0" w:line="360" w:lineRule="auto"/>
              <w:jc w:val="both"/>
              <w:rPr>
                <w:rFonts w:ascii="Century Gothic" w:hAnsi="Century Gothic" w:cs="Calibri"/>
                <w:sz w:val="24"/>
                <w:szCs w:val="24"/>
              </w:rPr>
            </w:pPr>
            <w:r w:rsidRPr="000C2F8F">
              <w:rPr>
                <w:rFonts w:ascii="Century Gothic" w:hAnsi="Century Gothic" w:cs="Calibri"/>
                <w:sz w:val="24"/>
                <w:szCs w:val="24"/>
              </w:rPr>
              <w:t>Artículo 28. Corresponde a la Secretaría de Desarrollo Humano y Bien Común:</w:t>
            </w:r>
          </w:p>
          <w:p w14:paraId="0746FD64" w14:textId="77777777" w:rsidR="00076062" w:rsidRPr="000C2F8F" w:rsidRDefault="00076062" w:rsidP="00076062">
            <w:pPr>
              <w:spacing w:after="0" w:line="360" w:lineRule="auto"/>
              <w:jc w:val="both"/>
              <w:rPr>
                <w:rFonts w:ascii="Century Gothic" w:hAnsi="Century Gothic" w:cs="Calibri"/>
                <w:sz w:val="24"/>
                <w:szCs w:val="24"/>
              </w:rPr>
            </w:pPr>
          </w:p>
          <w:p w14:paraId="497391FC" w14:textId="77777777" w:rsidR="00076062" w:rsidRPr="00076062" w:rsidRDefault="00076062" w:rsidP="00076062">
            <w:pPr>
              <w:spacing w:after="0" w:line="360" w:lineRule="auto"/>
              <w:jc w:val="both"/>
              <w:rPr>
                <w:rFonts w:ascii="Century Gothic" w:hAnsi="Century Gothic" w:cs="Calibri"/>
                <w:b/>
                <w:sz w:val="24"/>
                <w:szCs w:val="24"/>
              </w:rPr>
            </w:pPr>
            <w:r w:rsidRPr="000C2F8F">
              <w:rPr>
                <w:rFonts w:ascii="Century Gothic" w:hAnsi="Century Gothic" w:cs="Calibri"/>
                <w:sz w:val="24"/>
                <w:szCs w:val="24"/>
              </w:rPr>
              <w:t xml:space="preserve">XXII. </w:t>
            </w:r>
            <w:r w:rsidRPr="00076062">
              <w:rPr>
                <w:rFonts w:ascii="Century Gothic" w:hAnsi="Century Gothic" w:cs="Calibri"/>
                <w:b/>
                <w:sz w:val="24"/>
                <w:szCs w:val="24"/>
              </w:rPr>
              <w:t>Coordinarse con la Secretaría de Educación y Deporte, para establecer programas de otorgamiento de becas individuales para mujeres víctimas de violencia y/o en situación de peligro; de ser necesario, para sus dependientes económicos, que les permitan desarrollar los ciclos educativos básicos y en su caso, de educación media superior y superior</w:t>
            </w:r>
          </w:p>
          <w:p w14:paraId="71B45446" w14:textId="77777777" w:rsidR="00076062" w:rsidRPr="000C2F8F" w:rsidRDefault="00076062" w:rsidP="00076062">
            <w:pPr>
              <w:spacing w:after="0" w:line="360" w:lineRule="auto"/>
              <w:jc w:val="both"/>
              <w:rPr>
                <w:rFonts w:ascii="Century Gothic" w:hAnsi="Century Gothic" w:cs="Calibri"/>
                <w:sz w:val="24"/>
                <w:szCs w:val="24"/>
              </w:rPr>
            </w:pPr>
            <w:r w:rsidRPr="000C2F8F">
              <w:rPr>
                <w:rFonts w:ascii="Century Gothic" w:hAnsi="Century Gothic" w:cs="Calibri"/>
                <w:sz w:val="24"/>
                <w:szCs w:val="24"/>
              </w:rPr>
              <w:lastRenderedPageBreak/>
              <w:t>XXIII. Las demás previstas para el cumplimiento de la presente ley.</w:t>
            </w:r>
          </w:p>
          <w:p w14:paraId="2E11F891" w14:textId="77777777" w:rsidR="00076062" w:rsidRPr="001F61D7" w:rsidRDefault="00076062" w:rsidP="00076062">
            <w:pPr>
              <w:spacing w:after="0" w:line="360" w:lineRule="auto"/>
              <w:jc w:val="both"/>
              <w:rPr>
                <w:rFonts w:ascii="Century Gothic" w:hAnsi="Century Gothic" w:cs="Calibri"/>
                <w:sz w:val="24"/>
                <w:szCs w:val="24"/>
              </w:rPr>
            </w:pPr>
          </w:p>
        </w:tc>
        <w:tc>
          <w:tcPr>
            <w:tcW w:w="2677" w:type="dxa"/>
          </w:tcPr>
          <w:p w14:paraId="0279A553" w14:textId="77777777" w:rsidR="00076062" w:rsidRPr="001F61D7" w:rsidRDefault="00076062" w:rsidP="00076062">
            <w:pPr>
              <w:spacing w:after="0" w:line="360" w:lineRule="auto"/>
              <w:jc w:val="both"/>
              <w:rPr>
                <w:rFonts w:ascii="Century Gothic" w:hAnsi="Century Gothic" w:cs="Calibri"/>
                <w:sz w:val="24"/>
                <w:szCs w:val="24"/>
              </w:rPr>
            </w:pPr>
          </w:p>
        </w:tc>
      </w:tr>
      <w:tr w:rsidR="00076062" w14:paraId="00773675" w14:textId="77777777" w:rsidTr="00793CFD">
        <w:tc>
          <w:tcPr>
            <w:tcW w:w="3643" w:type="dxa"/>
          </w:tcPr>
          <w:p w14:paraId="0BCEBF04" w14:textId="77777777" w:rsidR="00076062" w:rsidRDefault="00CE6B8F" w:rsidP="00CE6B8F">
            <w:pPr>
              <w:spacing w:after="0" w:line="360" w:lineRule="auto"/>
              <w:jc w:val="both"/>
              <w:rPr>
                <w:rFonts w:ascii="Century Gothic" w:hAnsi="Century Gothic" w:cs="Calibri"/>
                <w:sz w:val="24"/>
                <w:szCs w:val="24"/>
              </w:rPr>
            </w:pPr>
            <w:r w:rsidRPr="00CE6B8F">
              <w:rPr>
                <w:rFonts w:ascii="Century Gothic" w:hAnsi="Century Gothic" w:cs="Calibri"/>
                <w:sz w:val="24"/>
                <w:szCs w:val="24"/>
              </w:rPr>
              <w:t>ARTÍCULO 32. Corresponde a la Secretaría de Educación y Deporte:</w:t>
            </w:r>
          </w:p>
          <w:p w14:paraId="1582BDB8" w14:textId="77777777" w:rsidR="006B4E48" w:rsidRDefault="006B4E48" w:rsidP="006B4E48">
            <w:pPr>
              <w:spacing w:after="0" w:line="360" w:lineRule="auto"/>
              <w:jc w:val="both"/>
              <w:rPr>
                <w:rFonts w:ascii="Century Gothic" w:hAnsi="Century Gothic" w:cs="Calibri"/>
                <w:sz w:val="24"/>
                <w:szCs w:val="24"/>
              </w:rPr>
            </w:pPr>
            <w:r w:rsidRPr="00076062">
              <w:rPr>
                <w:rFonts w:ascii="Century Gothic" w:hAnsi="Century Gothic" w:cs="Calibri"/>
                <w:sz w:val="24"/>
                <w:szCs w:val="24"/>
              </w:rPr>
              <w:t>I.</w:t>
            </w:r>
            <w:r>
              <w:rPr>
                <w:rFonts w:ascii="Century Gothic" w:hAnsi="Century Gothic" w:cs="Calibri"/>
                <w:sz w:val="24"/>
                <w:szCs w:val="24"/>
              </w:rPr>
              <w:t xml:space="preserve"> a XIII. </w:t>
            </w:r>
          </w:p>
          <w:p w14:paraId="53B4F756" w14:textId="77777777" w:rsidR="00CE6B8F" w:rsidRPr="000C2F8F" w:rsidRDefault="006B4E48" w:rsidP="006B4E48">
            <w:pPr>
              <w:spacing w:after="0" w:line="360" w:lineRule="auto"/>
              <w:jc w:val="both"/>
              <w:rPr>
                <w:rFonts w:ascii="Century Gothic" w:hAnsi="Century Gothic" w:cs="Calibri"/>
                <w:sz w:val="24"/>
                <w:szCs w:val="24"/>
              </w:rPr>
            </w:pPr>
            <w:r>
              <w:rPr>
                <w:rFonts w:ascii="Century Gothic" w:hAnsi="Century Gothic" w:cs="Calibri"/>
                <w:sz w:val="24"/>
                <w:szCs w:val="24"/>
              </w:rPr>
              <w:t xml:space="preserve">XIV. </w:t>
            </w:r>
            <w:r w:rsidRPr="00076062">
              <w:rPr>
                <w:rFonts w:ascii="Century Gothic" w:hAnsi="Century Gothic" w:cs="Calibri"/>
                <w:sz w:val="24"/>
                <w:szCs w:val="24"/>
              </w:rPr>
              <w:t>Las demás previstas para el cumplimiento de la presente ley</w:t>
            </w:r>
            <w:r>
              <w:rPr>
                <w:rFonts w:ascii="Century Gothic" w:hAnsi="Century Gothic" w:cs="Calibri"/>
                <w:sz w:val="24"/>
                <w:szCs w:val="24"/>
              </w:rPr>
              <w:t>.</w:t>
            </w:r>
          </w:p>
        </w:tc>
        <w:tc>
          <w:tcPr>
            <w:tcW w:w="3642" w:type="dxa"/>
          </w:tcPr>
          <w:p w14:paraId="6081809F" w14:textId="77777777" w:rsidR="00CE6B8F" w:rsidRDefault="00CE6B8F" w:rsidP="00CE6B8F">
            <w:pPr>
              <w:spacing w:after="0" w:line="360" w:lineRule="auto"/>
              <w:jc w:val="both"/>
              <w:rPr>
                <w:rFonts w:ascii="Century Gothic" w:hAnsi="Century Gothic" w:cs="Calibri"/>
                <w:sz w:val="24"/>
                <w:szCs w:val="24"/>
              </w:rPr>
            </w:pPr>
            <w:r w:rsidRPr="000C2F8F">
              <w:rPr>
                <w:rFonts w:ascii="Century Gothic" w:hAnsi="Century Gothic" w:cs="Calibri"/>
                <w:sz w:val="24"/>
                <w:szCs w:val="24"/>
              </w:rPr>
              <w:t xml:space="preserve">Artículo 32. Corresponde a la Secretaría de Educación y Deporte: </w:t>
            </w:r>
          </w:p>
          <w:p w14:paraId="6330408E" w14:textId="77777777" w:rsidR="00CE6B8F" w:rsidRPr="00757F4C" w:rsidRDefault="00CE6B8F" w:rsidP="00CE6B8F">
            <w:pPr>
              <w:spacing w:after="0" w:line="360" w:lineRule="auto"/>
              <w:jc w:val="both"/>
              <w:rPr>
                <w:rFonts w:ascii="Century Gothic" w:hAnsi="Century Gothic" w:cs="Calibri"/>
                <w:sz w:val="24"/>
                <w:szCs w:val="24"/>
              </w:rPr>
            </w:pPr>
            <w:r w:rsidRPr="00757F4C">
              <w:rPr>
                <w:rFonts w:ascii="Century Gothic" w:hAnsi="Century Gothic" w:cs="Calibri"/>
                <w:sz w:val="24"/>
                <w:szCs w:val="24"/>
              </w:rPr>
              <w:t>I.</w:t>
            </w:r>
            <w:r>
              <w:rPr>
                <w:rFonts w:ascii="Century Gothic" w:hAnsi="Century Gothic" w:cs="Calibri"/>
                <w:sz w:val="24"/>
                <w:szCs w:val="24"/>
              </w:rPr>
              <w:t xml:space="preserve"> a XIII. … </w:t>
            </w:r>
          </w:p>
          <w:p w14:paraId="4BCFB320" w14:textId="342DE938" w:rsidR="00076062" w:rsidRPr="001F61D7" w:rsidRDefault="00CE6B8F" w:rsidP="00E170E0">
            <w:pPr>
              <w:spacing w:after="0" w:line="360" w:lineRule="auto"/>
              <w:jc w:val="both"/>
              <w:rPr>
                <w:rFonts w:ascii="Century Gothic" w:hAnsi="Century Gothic" w:cs="Calibri"/>
                <w:sz w:val="24"/>
                <w:szCs w:val="24"/>
              </w:rPr>
            </w:pPr>
            <w:r w:rsidRPr="000C2F8F">
              <w:rPr>
                <w:rFonts w:ascii="Century Gothic" w:hAnsi="Century Gothic" w:cs="Calibri"/>
                <w:sz w:val="24"/>
                <w:szCs w:val="24"/>
              </w:rPr>
              <w:t xml:space="preserve">XIV. </w:t>
            </w:r>
            <w:r w:rsidRPr="00E325D1">
              <w:rPr>
                <w:rFonts w:ascii="Century Gothic" w:hAnsi="Century Gothic" w:cs="Calibri"/>
                <w:b/>
                <w:sz w:val="24"/>
                <w:szCs w:val="24"/>
              </w:rPr>
              <w:t>Coordinarse con la Secretaría de Desarrollo Humano y Bien Común, así como con instituciones de educación básica, media superior y superior para elaborar programas de otorgamiento de becas específicas para mujeres víctimas de violencia y/o que se encuentren en contexto de peligro, así como para sus dependientes económicos, mismas que les permitan desarrollar y culminar sus ciclos educativos.</w:t>
            </w:r>
          </w:p>
        </w:tc>
        <w:tc>
          <w:tcPr>
            <w:tcW w:w="2677" w:type="dxa"/>
          </w:tcPr>
          <w:p w14:paraId="7A17B2E8" w14:textId="77777777" w:rsidR="00076062" w:rsidRDefault="00076062" w:rsidP="00076062">
            <w:pPr>
              <w:spacing w:after="0" w:line="360" w:lineRule="auto"/>
              <w:jc w:val="both"/>
              <w:rPr>
                <w:rFonts w:ascii="Century Gothic" w:hAnsi="Century Gothic" w:cs="Calibri"/>
                <w:sz w:val="24"/>
                <w:szCs w:val="24"/>
              </w:rPr>
            </w:pPr>
            <w:r w:rsidRPr="00757F4C">
              <w:rPr>
                <w:rFonts w:ascii="Century Gothic" w:hAnsi="Century Gothic" w:cs="Calibri"/>
                <w:sz w:val="24"/>
                <w:szCs w:val="24"/>
              </w:rPr>
              <w:t xml:space="preserve">Artículo 32. Corresponde a la Secretaría de Educación y Deporte: </w:t>
            </w:r>
          </w:p>
          <w:p w14:paraId="7A3757C7" w14:textId="77777777" w:rsidR="00076062" w:rsidRPr="00757F4C" w:rsidRDefault="00076062" w:rsidP="00076062">
            <w:pPr>
              <w:spacing w:after="0" w:line="360" w:lineRule="auto"/>
              <w:jc w:val="both"/>
              <w:rPr>
                <w:rFonts w:ascii="Century Gothic" w:hAnsi="Century Gothic" w:cs="Calibri"/>
                <w:sz w:val="24"/>
                <w:szCs w:val="24"/>
              </w:rPr>
            </w:pPr>
            <w:r w:rsidRPr="00757F4C">
              <w:rPr>
                <w:rFonts w:ascii="Century Gothic" w:hAnsi="Century Gothic" w:cs="Calibri"/>
                <w:sz w:val="24"/>
                <w:szCs w:val="24"/>
              </w:rPr>
              <w:t>I.</w:t>
            </w:r>
            <w:r>
              <w:rPr>
                <w:rFonts w:ascii="Century Gothic" w:hAnsi="Century Gothic" w:cs="Calibri"/>
                <w:sz w:val="24"/>
                <w:szCs w:val="24"/>
              </w:rPr>
              <w:t xml:space="preserve"> a XIII. … </w:t>
            </w:r>
          </w:p>
          <w:p w14:paraId="382F63E8" w14:textId="77777777" w:rsidR="00076062" w:rsidRPr="00757F4C" w:rsidRDefault="00076062" w:rsidP="00076062">
            <w:pPr>
              <w:spacing w:after="0" w:line="360" w:lineRule="auto"/>
              <w:jc w:val="both"/>
              <w:rPr>
                <w:rFonts w:ascii="Century Gothic" w:hAnsi="Century Gothic" w:cs="Calibri"/>
                <w:b/>
                <w:sz w:val="24"/>
                <w:szCs w:val="24"/>
              </w:rPr>
            </w:pPr>
            <w:r w:rsidRPr="00757F4C">
              <w:rPr>
                <w:rFonts w:ascii="Century Gothic" w:hAnsi="Century Gothic" w:cs="Calibri"/>
                <w:sz w:val="24"/>
                <w:szCs w:val="24"/>
              </w:rPr>
              <w:t xml:space="preserve">XIV. </w:t>
            </w:r>
            <w:r w:rsidRPr="00757F4C">
              <w:rPr>
                <w:rFonts w:ascii="Century Gothic" w:hAnsi="Century Gothic" w:cs="Calibri"/>
                <w:b/>
                <w:sz w:val="24"/>
                <w:szCs w:val="24"/>
              </w:rPr>
              <w:t>Elaborar programas de otorgamiento de becas dirigido a mujeres víctimas de violencia y en situación de riesgo</w:t>
            </w:r>
            <w:r w:rsidR="00407109">
              <w:rPr>
                <w:rFonts w:ascii="Century Gothic" w:hAnsi="Century Gothic" w:cs="Calibri"/>
                <w:b/>
                <w:sz w:val="24"/>
                <w:szCs w:val="24"/>
              </w:rPr>
              <w:t xml:space="preserve"> o peligro</w:t>
            </w:r>
            <w:r w:rsidRPr="00757F4C">
              <w:rPr>
                <w:rFonts w:ascii="Century Gothic" w:hAnsi="Century Gothic" w:cs="Calibri"/>
                <w:b/>
                <w:sz w:val="24"/>
                <w:szCs w:val="24"/>
              </w:rPr>
              <w:t>, así como a sus hijas e hijos menores de edad.</w:t>
            </w:r>
          </w:p>
          <w:p w14:paraId="0D188371" w14:textId="77777777" w:rsidR="00076062" w:rsidRPr="001F61D7" w:rsidRDefault="00076062" w:rsidP="00076062">
            <w:pPr>
              <w:spacing w:after="0" w:line="360" w:lineRule="auto"/>
              <w:jc w:val="both"/>
              <w:rPr>
                <w:rFonts w:ascii="Century Gothic" w:hAnsi="Century Gothic" w:cs="Calibri"/>
                <w:sz w:val="24"/>
                <w:szCs w:val="24"/>
              </w:rPr>
            </w:pPr>
            <w:r w:rsidRPr="00757F4C">
              <w:rPr>
                <w:rFonts w:ascii="Century Gothic" w:hAnsi="Century Gothic" w:cs="Calibri"/>
                <w:sz w:val="24"/>
                <w:szCs w:val="24"/>
              </w:rPr>
              <w:t>XV. Las demás previstas para el cumplimiento de esta Ley</w:t>
            </w:r>
            <w:r>
              <w:rPr>
                <w:rFonts w:ascii="Century Gothic" w:hAnsi="Century Gothic" w:cs="Calibri"/>
                <w:sz w:val="24"/>
                <w:szCs w:val="24"/>
              </w:rPr>
              <w:t>.</w:t>
            </w:r>
          </w:p>
        </w:tc>
      </w:tr>
    </w:tbl>
    <w:p w14:paraId="7870E704" w14:textId="77777777" w:rsidR="00CF5208" w:rsidRDefault="00CF5208" w:rsidP="00830314">
      <w:pPr>
        <w:spacing w:after="0" w:line="360" w:lineRule="auto"/>
        <w:jc w:val="both"/>
        <w:rPr>
          <w:rFonts w:ascii="Century Gothic" w:hAnsi="Century Gothic" w:cs="Calibri"/>
          <w:sz w:val="24"/>
          <w:szCs w:val="24"/>
        </w:rPr>
      </w:pPr>
    </w:p>
    <w:p w14:paraId="1E5B6D5B" w14:textId="77777777" w:rsidR="00793CFD" w:rsidRDefault="000826FE" w:rsidP="00FB2757">
      <w:pPr>
        <w:spacing w:after="0" w:line="360" w:lineRule="auto"/>
        <w:jc w:val="both"/>
        <w:rPr>
          <w:rFonts w:ascii="Century Gothic" w:hAnsi="Century Gothic" w:cs="Calibri"/>
          <w:sz w:val="24"/>
          <w:szCs w:val="24"/>
        </w:rPr>
      </w:pPr>
      <w:r>
        <w:rPr>
          <w:rFonts w:ascii="Century Gothic" w:hAnsi="Century Gothic" w:cs="Calibri"/>
          <w:sz w:val="24"/>
          <w:szCs w:val="24"/>
        </w:rPr>
        <w:t xml:space="preserve">Cabe señalar que se considera oportuno </w:t>
      </w:r>
      <w:r w:rsidR="00205D56">
        <w:rPr>
          <w:rFonts w:ascii="Century Gothic" w:hAnsi="Century Gothic" w:cs="Calibri"/>
          <w:sz w:val="24"/>
          <w:szCs w:val="24"/>
        </w:rPr>
        <w:t xml:space="preserve">en armonía con los artículos 47, 50, 51, 52  y 54 de la Ley General de Víctimas, los cuales señalan la obligación de los gobiernos federal y de las entidades federativas, a través de sus secretarías de educación, de asegurar el acceso de las víctimas a la educación y promover su permanencia en el sistema educativo a través de becas completas de estudio en instituciones públicas, </w:t>
      </w:r>
      <w:r w:rsidR="00FB2757">
        <w:rPr>
          <w:rFonts w:ascii="Century Gothic" w:hAnsi="Century Gothic" w:cs="Calibri"/>
          <w:sz w:val="24"/>
          <w:szCs w:val="24"/>
        </w:rPr>
        <w:t>el solo establecer esta obligación para la Secretaría de Educación y Deporte y omitirla de la Secretaría de Desarrollo Humano y Bien Común; así como a</w:t>
      </w:r>
      <w:r w:rsidR="00FB2757" w:rsidRPr="00FB2757">
        <w:rPr>
          <w:rFonts w:ascii="Century Gothic" w:hAnsi="Century Gothic" w:cs="Calibri"/>
          <w:sz w:val="24"/>
          <w:szCs w:val="24"/>
        </w:rPr>
        <w:t>cotar la frase “</w:t>
      </w:r>
      <w:r w:rsidR="00FB2757" w:rsidRPr="00FB2757">
        <w:rPr>
          <w:rFonts w:ascii="Century Gothic" w:hAnsi="Century Gothic" w:cs="Calibri"/>
          <w:i/>
          <w:sz w:val="24"/>
          <w:szCs w:val="24"/>
        </w:rPr>
        <w:t>que les permitan desarrollar y culminar sus ciclos educativos</w:t>
      </w:r>
      <w:r w:rsidR="00FB2757" w:rsidRPr="00FB2757">
        <w:rPr>
          <w:rFonts w:ascii="Century Gothic" w:hAnsi="Century Gothic" w:cs="Calibri"/>
          <w:sz w:val="24"/>
          <w:szCs w:val="24"/>
        </w:rPr>
        <w:t>”</w:t>
      </w:r>
      <w:r w:rsidR="00FB2757">
        <w:rPr>
          <w:rFonts w:ascii="Century Gothic" w:hAnsi="Century Gothic" w:cs="Calibri"/>
          <w:sz w:val="24"/>
          <w:szCs w:val="24"/>
        </w:rPr>
        <w:t xml:space="preserve"> que propone la iniciativa,</w:t>
      </w:r>
      <w:r w:rsidR="00FB2757" w:rsidRPr="00FB2757">
        <w:rPr>
          <w:rFonts w:ascii="Century Gothic" w:hAnsi="Century Gothic" w:cs="Calibri"/>
          <w:sz w:val="24"/>
          <w:szCs w:val="24"/>
        </w:rPr>
        <w:t xml:space="preserve"> ya que la beca tiene una estructura programática correspondiente al propio ciclo escolar, misma que garantiza su desarrollo y terminación, según las r</w:t>
      </w:r>
      <w:r w:rsidR="00FB2757">
        <w:rPr>
          <w:rFonts w:ascii="Century Gothic" w:hAnsi="Century Gothic" w:cs="Calibri"/>
          <w:sz w:val="24"/>
          <w:szCs w:val="24"/>
        </w:rPr>
        <w:t>eglas de operación correspondientes</w:t>
      </w:r>
      <w:r w:rsidR="00FB2757" w:rsidRPr="00FB2757">
        <w:rPr>
          <w:rFonts w:ascii="Century Gothic" w:hAnsi="Century Gothic" w:cs="Calibri"/>
          <w:sz w:val="24"/>
          <w:szCs w:val="24"/>
        </w:rPr>
        <w:t>.</w:t>
      </w:r>
    </w:p>
    <w:p w14:paraId="347F0677" w14:textId="77777777" w:rsidR="001F61D7" w:rsidRDefault="001F61D7" w:rsidP="00830314">
      <w:pPr>
        <w:spacing w:after="0" w:line="360" w:lineRule="auto"/>
        <w:jc w:val="both"/>
        <w:rPr>
          <w:rFonts w:ascii="Century Gothic" w:hAnsi="Century Gothic" w:cs="Calibri"/>
          <w:sz w:val="24"/>
          <w:szCs w:val="24"/>
        </w:rPr>
      </w:pPr>
    </w:p>
    <w:p w14:paraId="0827C4DF" w14:textId="77777777" w:rsidR="001F61D7" w:rsidRDefault="00B22B06" w:rsidP="00830314">
      <w:pPr>
        <w:spacing w:after="0" w:line="360" w:lineRule="auto"/>
        <w:jc w:val="both"/>
        <w:rPr>
          <w:rFonts w:ascii="Century Gothic" w:hAnsi="Century Gothic" w:cs="Arial"/>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iormente expuesto, las</w:t>
      </w:r>
      <w:r w:rsidR="007313CF">
        <w:rPr>
          <w:rFonts w:ascii="Century Gothic" w:hAnsi="Century Gothic" w:cs="Calibri"/>
          <w:sz w:val="24"/>
          <w:szCs w:val="24"/>
        </w:rPr>
        <w:t xml:space="preserve"> </w:t>
      </w:r>
      <w:r w:rsidR="0004115A">
        <w:rPr>
          <w:rFonts w:ascii="Century Gothic" w:hAnsi="Century Gothic" w:cs="Calibri"/>
          <w:sz w:val="24"/>
          <w:szCs w:val="24"/>
        </w:rPr>
        <w:t>integrantes</w:t>
      </w:r>
      <w:r w:rsidRPr="00B22B06">
        <w:rPr>
          <w:rFonts w:ascii="Century Gothic" w:hAnsi="Century Gothic" w:cs="Calibri"/>
          <w:sz w:val="24"/>
          <w:szCs w:val="24"/>
        </w:rPr>
        <w:t xml:space="preserve"> de</w:t>
      </w:r>
      <w:r w:rsidR="0004115A">
        <w:rPr>
          <w:rFonts w:ascii="Century Gothic" w:hAnsi="Century Gothic" w:cs="Calibri"/>
          <w:sz w:val="24"/>
          <w:szCs w:val="24"/>
        </w:rPr>
        <w:t xml:space="preserve"> la Comisión de Igualdad</w:t>
      </w:r>
      <w:r w:rsidR="00426AC0">
        <w:rPr>
          <w:rFonts w:ascii="Century Gothic" w:hAnsi="Century Gothic" w:cs="Calibri"/>
          <w:sz w:val="24"/>
          <w:szCs w:val="24"/>
        </w:rPr>
        <w:t xml:space="preserve">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 de este Honorable Congreso del Estado, el presente proyecto con carácter de:</w:t>
      </w:r>
      <w:r w:rsidR="001F61D7">
        <w:rPr>
          <w:rFonts w:ascii="Century Gothic" w:hAnsi="Century Gothic" w:cs="Arial"/>
          <w:sz w:val="24"/>
          <w:szCs w:val="24"/>
        </w:rPr>
        <w:t xml:space="preserve"> </w:t>
      </w:r>
    </w:p>
    <w:p w14:paraId="78B856FB" w14:textId="77777777" w:rsidR="00DD5385" w:rsidRDefault="00DD5385" w:rsidP="00830314">
      <w:pPr>
        <w:spacing w:after="0" w:line="360" w:lineRule="auto"/>
        <w:jc w:val="both"/>
        <w:rPr>
          <w:rFonts w:ascii="Century Gothic" w:hAnsi="Century Gothic" w:cs="Arial"/>
          <w:sz w:val="24"/>
          <w:szCs w:val="24"/>
        </w:rPr>
      </w:pPr>
    </w:p>
    <w:p w14:paraId="52EDCF52" w14:textId="77777777" w:rsidR="00DD5385" w:rsidRDefault="00DD5385" w:rsidP="00830314">
      <w:pPr>
        <w:spacing w:after="0" w:line="360" w:lineRule="auto"/>
        <w:jc w:val="both"/>
        <w:rPr>
          <w:rFonts w:ascii="Century Gothic" w:hAnsi="Century Gothic" w:cs="Arial"/>
          <w:sz w:val="24"/>
          <w:szCs w:val="24"/>
        </w:rPr>
      </w:pPr>
    </w:p>
    <w:p w14:paraId="08376B9D" w14:textId="77777777" w:rsidR="001F61D7" w:rsidRDefault="0077282F" w:rsidP="00830314">
      <w:pPr>
        <w:spacing w:after="0" w:line="360" w:lineRule="auto"/>
        <w:jc w:val="center"/>
        <w:rPr>
          <w:rFonts w:ascii="Century Gothic" w:hAnsi="Century Gothic" w:cs="Arial"/>
          <w:b/>
          <w:bCs/>
          <w:sz w:val="28"/>
          <w:szCs w:val="28"/>
        </w:rPr>
      </w:pPr>
      <w:r>
        <w:rPr>
          <w:rFonts w:ascii="Century Gothic" w:hAnsi="Century Gothic" w:cs="Arial"/>
          <w:b/>
          <w:bCs/>
          <w:sz w:val="28"/>
          <w:szCs w:val="28"/>
        </w:rPr>
        <w:t>D E C R E T O</w:t>
      </w:r>
    </w:p>
    <w:p w14:paraId="51280BF3" w14:textId="77777777" w:rsidR="00DD5385" w:rsidRDefault="00DD5385" w:rsidP="00830314">
      <w:pPr>
        <w:spacing w:after="0" w:line="360" w:lineRule="auto"/>
        <w:jc w:val="both"/>
        <w:rPr>
          <w:rFonts w:ascii="Century Gothic" w:hAnsi="Century Gothic" w:cs="Arial"/>
          <w:b/>
          <w:bCs/>
          <w:sz w:val="28"/>
          <w:szCs w:val="28"/>
        </w:rPr>
      </w:pPr>
    </w:p>
    <w:p w14:paraId="085F3FAC" w14:textId="49051E8B" w:rsidR="00830314" w:rsidRDefault="001F61D7" w:rsidP="00830314">
      <w:pPr>
        <w:spacing w:after="0" w:line="360" w:lineRule="auto"/>
        <w:jc w:val="both"/>
        <w:rPr>
          <w:rFonts w:ascii="Century Gothic" w:hAnsi="Century Gothic"/>
          <w:sz w:val="24"/>
          <w:szCs w:val="24"/>
        </w:rPr>
      </w:pPr>
      <w:r w:rsidRPr="00353805">
        <w:rPr>
          <w:rFonts w:ascii="Century Gothic" w:hAnsi="Century Gothic" w:cs="Arial"/>
          <w:b/>
          <w:bCs/>
          <w:sz w:val="28"/>
          <w:szCs w:val="28"/>
        </w:rPr>
        <w:t>A</w:t>
      </w:r>
      <w:r w:rsidR="007330BB" w:rsidRPr="00353805">
        <w:rPr>
          <w:rFonts w:ascii="Century Gothic" w:hAnsi="Century Gothic"/>
          <w:b/>
          <w:sz w:val="28"/>
          <w:szCs w:val="28"/>
        </w:rPr>
        <w:t xml:space="preserve">RTÍCULO </w:t>
      </w:r>
      <w:r w:rsidR="00D407FC" w:rsidRPr="00353805">
        <w:rPr>
          <w:rFonts w:ascii="Century Gothic" w:hAnsi="Century Gothic"/>
          <w:b/>
          <w:sz w:val="28"/>
          <w:szCs w:val="28"/>
        </w:rPr>
        <w:t>ÚNICO</w:t>
      </w:r>
      <w:r w:rsidR="00D407FC" w:rsidRPr="00931976">
        <w:rPr>
          <w:rFonts w:ascii="Century Gothic" w:hAnsi="Century Gothic"/>
          <w:b/>
          <w:sz w:val="24"/>
          <w:szCs w:val="24"/>
        </w:rPr>
        <w:t>. -</w:t>
      </w:r>
      <w:r w:rsidR="007330BB" w:rsidRPr="00931976">
        <w:rPr>
          <w:rFonts w:ascii="Century Gothic" w:hAnsi="Century Gothic"/>
          <w:sz w:val="24"/>
          <w:szCs w:val="24"/>
        </w:rPr>
        <w:t xml:space="preserve"> Se </w:t>
      </w:r>
      <w:r w:rsidR="00353805">
        <w:rPr>
          <w:rFonts w:ascii="Century Gothic" w:hAnsi="Century Gothic"/>
          <w:sz w:val="24"/>
          <w:szCs w:val="24"/>
        </w:rPr>
        <w:t>REFORMA</w:t>
      </w:r>
      <w:r w:rsidR="00FB2757">
        <w:rPr>
          <w:rFonts w:ascii="Century Gothic" w:hAnsi="Century Gothic"/>
          <w:sz w:val="24"/>
          <w:szCs w:val="24"/>
        </w:rPr>
        <w:t xml:space="preserve"> el artículo 32</w:t>
      </w:r>
      <w:r w:rsidR="007330BB" w:rsidRPr="00931976">
        <w:rPr>
          <w:rFonts w:ascii="Century Gothic" w:hAnsi="Century Gothic"/>
          <w:sz w:val="24"/>
          <w:szCs w:val="24"/>
        </w:rPr>
        <w:t xml:space="preserve">, </w:t>
      </w:r>
      <w:r w:rsidR="00FB2757">
        <w:rPr>
          <w:rFonts w:ascii="Century Gothic" w:hAnsi="Century Gothic"/>
          <w:sz w:val="24"/>
          <w:szCs w:val="24"/>
        </w:rPr>
        <w:t>fracción XIV</w:t>
      </w:r>
      <w:r w:rsidR="00D407FC">
        <w:rPr>
          <w:rFonts w:ascii="Century Gothic" w:hAnsi="Century Gothic"/>
          <w:sz w:val="24"/>
          <w:szCs w:val="24"/>
        </w:rPr>
        <w:t>,</w:t>
      </w:r>
      <w:r w:rsidR="00FB2757">
        <w:rPr>
          <w:rFonts w:ascii="Century Gothic" w:hAnsi="Century Gothic"/>
          <w:sz w:val="24"/>
          <w:szCs w:val="24"/>
        </w:rPr>
        <w:t xml:space="preserve"> y se</w:t>
      </w:r>
      <w:r w:rsidR="0024151F">
        <w:rPr>
          <w:rFonts w:ascii="Century Gothic" w:hAnsi="Century Gothic"/>
          <w:sz w:val="24"/>
          <w:szCs w:val="24"/>
        </w:rPr>
        <w:t xml:space="preserve"> le</w:t>
      </w:r>
      <w:r w:rsidR="00FB2757">
        <w:rPr>
          <w:rFonts w:ascii="Century Gothic" w:hAnsi="Century Gothic"/>
          <w:sz w:val="24"/>
          <w:szCs w:val="24"/>
        </w:rPr>
        <w:t xml:space="preserve"> </w:t>
      </w:r>
      <w:r w:rsidR="00353805">
        <w:rPr>
          <w:rFonts w:ascii="Century Gothic" w:hAnsi="Century Gothic"/>
          <w:sz w:val="24"/>
          <w:szCs w:val="24"/>
        </w:rPr>
        <w:t>ADICIONA</w:t>
      </w:r>
      <w:r w:rsidR="00FB2757">
        <w:rPr>
          <w:rFonts w:ascii="Century Gothic" w:hAnsi="Century Gothic"/>
          <w:sz w:val="24"/>
          <w:szCs w:val="24"/>
        </w:rPr>
        <w:t xml:space="preserve"> </w:t>
      </w:r>
      <w:r w:rsidR="000A5764">
        <w:rPr>
          <w:rFonts w:ascii="Century Gothic" w:hAnsi="Century Gothic"/>
          <w:sz w:val="24"/>
          <w:szCs w:val="24"/>
        </w:rPr>
        <w:t>la fracción XV</w:t>
      </w:r>
      <w:r w:rsidR="0024151F">
        <w:rPr>
          <w:rFonts w:ascii="Century Gothic" w:hAnsi="Century Gothic"/>
          <w:sz w:val="24"/>
          <w:szCs w:val="24"/>
        </w:rPr>
        <w:t xml:space="preserve">, </w:t>
      </w:r>
      <w:r w:rsidR="00276BAF">
        <w:rPr>
          <w:rFonts w:ascii="Century Gothic" w:hAnsi="Century Gothic"/>
          <w:sz w:val="24"/>
          <w:szCs w:val="24"/>
        </w:rPr>
        <w:t>de</w:t>
      </w:r>
      <w:r w:rsidR="007330BB" w:rsidRPr="00931976">
        <w:rPr>
          <w:rFonts w:ascii="Century Gothic" w:hAnsi="Century Gothic"/>
          <w:sz w:val="24"/>
          <w:szCs w:val="24"/>
        </w:rPr>
        <w:t xml:space="preserve"> la Ley </w:t>
      </w:r>
      <w:r w:rsidR="000A5764">
        <w:rPr>
          <w:rFonts w:ascii="Century Gothic" w:hAnsi="Century Gothic"/>
          <w:sz w:val="24"/>
          <w:szCs w:val="24"/>
        </w:rPr>
        <w:t>Estatal del Derecho de las Mujeres a una Vida Libre de Violencia</w:t>
      </w:r>
      <w:r w:rsidR="00931976" w:rsidRPr="00931976">
        <w:rPr>
          <w:rFonts w:ascii="Century Gothic" w:hAnsi="Century Gothic"/>
          <w:sz w:val="24"/>
          <w:szCs w:val="24"/>
        </w:rPr>
        <w:t>,</w:t>
      </w:r>
      <w:r w:rsidR="000A5764">
        <w:rPr>
          <w:rFonts w:ascii="Century Gothic" w:hAnsi="Century Gothic"/>
          <w:sz w:val="24"/>
          <w:szCs w:val="24"/>
        </w:rPr>
        <w:t xml:space="preserve"> para quedar redactad</w:t>
      </w:r>
      <w:r w:rsidR="00D407FC">
        <w:rPr>
          <w:rFonts w:ascii="Century Gothic" w:hAnsi="Century Gothic"/>
          <w:sz w:val="24"/>
          <w:szCs w:val="24"/>
        </w:rPr>
        <w:t>o</w:t>
      </w:r>
      <w:r w:rsidR="007330BB" w:rsidRPr="00931976">
        <w:rPr>
          <w:rFonts w:ascii="Century Gothic" w:hAnsi="Century Gothic"/>
          <w:sz w:val="24"/>
          <w:szCs w:val="24"/>
        </w:rPr>
        <w:t xml:space="preserve"> de la siguiente manera:</w:t>
      </w:r>
    </w:p>
    <w:p w14:paraId="491A6D85" w14:textId="77777777" w:rsidR="000A5764" w:rsidRDefault="000A5764" w:rsidP="00830314">
      <w:pPr>
        <w:spacing w:after="0" w:line="360" w:lineRule="auto"/>
        <w:jc w:val="both"/>
        <w:rPr>
          <w:rFonts w:ascii="Century Gothic" w:hAnsi="Century Gothic" w:cs="Calibri"/>
          <w:sz w:val="24"/>
          <w:szCs w:val="24"/>
        </w:rPr>
      </w:pPr>
    </w:p>
    <w:p w14:paraId="15E85E76" w14:textId="7ED2107D" w:rsidR="000A5764" w:rsidRDefault="00353805" w:rsidP="000A5764">
      <w:pPr>
        <w:spacing w:after="0" w:line="360" w:lineRule="auto"/>
        <w:jc w:val="both"/>
        <w:rPr>
          <w:rFonts w:ascii="Century Gothic" w:hAnsi="Century Gothic" w:cs="Calibri"/>
          <w:sz w:val="24"/>
          <w:szCs w:val="24"/>
        </w:rPr>
      </w:pPr>
      <w:r w:rsidRPr="000A5764">
        <w:rPr>
          <w:rFonts w:ascii="Century Gothic" w:hAnsi="Century Gothic" w:cs="Calibri"/>
          <w:b/>
          <w:sz w:val="24"/>
          <w:szCs w:val="24"/>
        </w:rPr>
        <w:lastRenderedPageBreak/>
        <w:t>ARTÍCULO</w:t>
      </w:r>
      <w:r w:rsidR="000A5764" w:rsidRPr="000A5764">
        <w:rPr>
          <w:rFonts w:ascii="Century Gothic" w:hAnsi="Century Gothic" w:cs="Calibri"/>
          <w:b/>
          <w:sz w:val="24"/>
          <w:szCs w:val="24"/>
        </w:rPr>
        <w:t xml:space="preserve"> 32.</w:t>
      </w:r>
      <w:r w:rsidR="000A5764" w:rsidRPr="00757F4C">
        <w:rPr>
          <w:rFonts w:ascii="Century Gothic" w:hAnsi="Century Gothic" w:cs="Calibri"/>
          <w:sz w:val="24"/>
          <w:szCs w:val="24"/>
        </w:rPr>
        <w:t xml:space="preserve"> </w:t>
      </w:r>
      <w:r w:rsidR="001F024E">
        <w:rPr>
          <w:rFonts w:ascii="Century Gothic" w:hAnsi="Century Gothic" w:cs="Calibri"/>
          <w:sz w:val="24"/>
          <w:szCs w:val="24"/>
        </w:rPr>
        <w:t>…</w:t>
      </w:r>
    </w:p>
    <w:p w14:paraId="0E7C91DD" w14:textId="77777777" w:rsidR="000A5764" w:rsidRDefault="000A5764" w:rsidP="000A5764">
      <w:pPr>
        <w:spacing w:after="0" w:line="360" w:lineRule="auto"/>
        <w:jc w:val="both"/>
        <w:rPr>
          <w:rFonts w:ascii="Century Gothic" w:hAnsi="Century Gothic" w:cs="Calibri"/>
          <w:sz w:val="24"/>
          <w:szCs w:val="24"/>
        </w:rPr>
      </w:pPr>
    </w:p>
    <w:p w14:paraId="4CDB1A15" w14:textId="45EE6559" w:rsidR="000A5764" w:rsidRDefault="00353805" w:rsidP="005F5F96">
      <w:pPr>
        <w:pStyle w:val="Prrafodelista"/>
        <w:numPr>
          <w:ilvl w:val="0"/>
          <w:numId w:val="20"/>
        </w:numPr>
        <w:spacing w:after="0" w:line="360" w:lineRule="auto"/>
        <w:jc w:val="both"/>
        <w:rPr>
          <w:rFonts w:ascii="Century Gothic" w:hAnsi="Century Gothic" w:cs="Calibri"/>
          <w:sz w:val="24"/>
          <w:szCs w:val="24"/>
        </w:rPr>
      </w:pPr>
      <w:r>
        <w:rPr>
          <w:rFonts w:ascii="Century Gothic" w:hAnsi="Century Gothic" w:cs="Calibri"/>
          <w:sz w:val="24"/>
          <w:szCs w:val="24"/>
        </w:rPr>
        <w:t xml:space="preserve">      </w:t>
      </w:r>
      <w:r w:rsidR="000A5764" w:rsidRPr="000A5764">
        <w:rPr>
          <w:rFonts w:ascii="Century Gothic" w:hAnsi="Century Gothic" w:cs="Calibri"/>
          <w:sz w:val="24"/>
          <w:szCs w:val="24"/>
        </w:rPr>
        <w:t xml:space="preserve">a XIII. … </w:t>
      </w:r>
    </w:p>
    <w:p w14:paraId="65B2D255" w14:textId="77777777" w:rsidR="005F5F96" w:rsidRPr="005F5F96" w:rsidRDefault="005F5F96" w:rsidP="005F5F96">
      <w:pPr>
        <w:pStyle w:val="Prrafodelista"/>
        <w:spacing w:after="0" w:line="360" w:lineRule="auto"/>
        <w:ind w:left="1428"/>
        <w:jc w:val="both"/>
        <w:rPr>
          <w:rFonts w:ascii="Century Gothic" w:hAnsi="Century Gothic" w:cs="Calibri"/>
          <w:sz w:val="24"/>
          <w:szCs w:val="24"/>
        </w:rPr>
      </w:pPr>
    </w:p>
    <w:p w14:paraId="16BC7A42" w14:textId="42581A55" w:rsidR="0024151F" w:rsidRDefault="000A5764" w:rsidP="0024151F">
      <w:pPr>
        <w:pStyle w:val="Prrafodelista"/>
        <w:numPr>
          <w:ilvl w:val="0"/>
          <w:numId w:val="22"/>
        </w:numPr>
        <w:spacing w:after="0" w:line="360" w:lineRule="auto"/>
        <w:ind w:left="1843" w:hanging="850"/>
        <w:jc w:val="both"/>
        <w:rPr>
          <w:rFonts w:ascii="Century Gothic" w:hAnsi="Century Gothic" w:cs="Calibri"/>
          <w:b/>
          <w:sz w:val="24"/>
          <w:szCs w:val="24"/>
        </w:rPr>
      </w:pPr>
      <w:r w:rsidRPr="000A5764">
        <w:rPr>
          <w:rFonts w:ascii="Century Gothic" w:hAnsi="Century Gothic" w:cs="Calibri"/>
          <w:b/>
          <w:sz w:val="24"/>
          <w:szCs w:val="24"/>
        </w:rPr>
        <w:t>Elaborar programas de otorgamiento de becas dirigido</w:t>
      </w:r>
      <w:r w:rsidR="00586DC6">
        <w:rPr>
          <w:rFonts w:ascii="Century Gothic" w:hAnsi="Century Gothic" w:cs="Calibri"/>
          <w:b/>
          <w:sz w:val="24"/>
          <w:szCs w:val="24"/>
        </w:rPr>
        <w:t>s</w:t>
      </w:r>
      <w:r w:rsidRPr="000A5764">
        <w:rPr>
          <w:rFonts w:ascii="Century Gothic" w:hAnsi="Century Gothic" w:cs="Calibri"/>
          <w:b/>
          <w:sz w:val="24"/>
          <w:szCs w:val="24"/>
        </w:rPr>
        <w:t xml:space="preserve"> a mujeres víctimas de violencia y en situación de riesgo o peligro, así como a sus hijas e hijos menores de edad.</w:t>
      </w:r>
    </w:p>
    <w:p w14:paraId="48F6FA55" w14:textId="77777777" w:rsidR="005F5F96" w:rsidRDefault="005F5F96" w:rsidP="005F5F96">
      <w:pPr>
        <w:pStyle w:val="Prrafodelista"/>
        <w:spacing w:after="0" w:line="360" w:lineRule="auto"/>
        <w:ind w:left="1843"/>
        <w:jc w:val="both"/>
        <w:rPr>
          <w:rFonts w:ascii="Century Gothic" w:hAnsi="Century Gothic" w:cs="Calibri"/>
          <w:b/>
          <w:sz w:val="24"/>
          <w:szCs w:val="24"/>
        </w:rPr>
      </w:pPr>
    </w:p>
    <w:p w14:paraId="410F70A2" w14:textId="59B10D70" w:rsidR="0024151F" w:rsidRPr="005F5F96" w:rsidRDefault="005F5F96" w:rsidP="005F5F96">
      <w:pPr>
        <w:spacing w:after="0" w:line="360" w:lineRule="auto"/>
        <w:ind w:left="993"/>
        <w:jc w:val="both"/>
        <w:rPr>
          <w:rFonts w:ascii="Century Gothic" w:hAnsi="Century Gothic" w:cs="Calibri"/>
          <w:b/>
          <w:sz w:val="24"/>
          <w:szCs w:val="24"/>
        </w:rPr>
      </w:pPr>
      <w:r w:rsidRPr="005F5F96">
        <w:rPr>
          <w:rFonts w:ascii="Century Gothic" w:hAnsi="Century Gothic" w:cs="Calibri"/>
          <w:b/>
          <w:sz w:val="24"/>
          <w:szCs w:val="24"/>
        </w:rPr>
        <w:t>XV.</w:t>
      </w:r>
      <w:r>
        <w:rPr>
          <w:rFonts w:ascii="Century Gothic" w:hAnsi="Century Gothic" w:cs="Calibri"/>
          <w:b/>
          <w:sz w:val="24"/>
          <w:szCs w:val="24"/>
        </w:rPr>
        <w:t xml:space="preserve">       Las demás previstas para el cumplimiento de esta Ley. </w:t>
      </w:r>
    </w:p>
    <w:p w14:paraId="49C72C75" w14:textId="77777777" w:rsidR="001F61D7" w:rsidRDefault="001F61D7" w:rsidP="00830314">
      <w:pPr>
        <w:spacing w:after="0" w:line="360" w:lineRule="auto"/>
        <w:jc w:val="both"/>
        <w:rPr>
          <w:rFonts w:ascii="Century Gothic" w:hAnsi="Century Gothic"/>
          <w:sz w:val="24"/>
          <w:szCs w:val="24"/>
        </w:rPr>
      </w:pPr>
    </w:p>
    <w:p w14:paraId="79014DDB" w14:textId="77777777" w:rsidR="001F61D7" w:rsidRDefault="001F61D7" w:rsidP="00830314">
      <w:pPr>
        <w:spacing w:after="0" w:line="360" w:lineRule="auto"/>
        <w:jc w:val="both"/>
        <w:rPr>
          <w:rFonts w:ascii="Century Gothic" w:hAnsi="Century Gothic"/>
          <w:sz w:val="24"/>
          <w:szCs w:val="24"/>
        </w:rPr>
      </w:pPr>
    </w:p>
    <w:p w14:paraId="4214C418" w14:textId="77777777" w:rsidR="001F61D7" w:rsidRDefault="001F61D7" w:rsidP="00830314">
      <w:pPr>
        <w:spacing w:after="0" w:line="360" w:lineRule="auto"/>
        <w:jc w:val="center"/>
        <w:rPr>
          <w:rFonts w:ascii="Century Gothic" w:hAnsi="Century Gothic"/>
          <w:sz w:val="24"/>
          <w:szCs w:val="24"/>
        </w:rPr>
      </w:pPr>
      <w:r w:rsidRPr="00D44852">
        <w:rPr>
          <w:rFonts w:ascii="Century Gothic" w:hAnsi="Century Gothic"/>
          <w:b/>
          <w:sz w:val="28"/>
          <w:szCs w:val="28"/>
        </w:rPr>
        <w:t>T R A N S I T O R I O</w:t>
      </w:r>
    </w:p>
    <w:p w14:paraId="51E1A673" w14:textId="77777777" w:rsidR="008B7D0F" w:rsidRDefault="008B7D0F" w:rsidP="00830314">
      <w:pPr>
        <w:spacing w:after="0" w:line="360" w:lineRule="auto"/>
        <w:jc w:val="both"/>
        <w:rPr>
          <w:rFonts w:ascii="Century Gothic" w:hAnsi="Century Gothic"/>
          <w:sz w:val="24"/>
          <w:szCs w:val="24"/>
        </w:rPr>
      </w:pPr>
    </w:p>
    <w:p w14:paraId="58BB7B25" w14:textId="23E39CED" w:rsidR="001F61D7" w:rsidRPr="00830314" w:rsidRDefault="001F61D7" w:rsidP="00830314">
      <w:pPr>
        <w:spacing w:after="0" w:line="360" w:lineRule="auto"/>
        <w:jc w:val="both"/>
        <w:rPr>
          <w:rFonts w:ascii="Century Gothic" w:hAnsi="Century Gothic"/>
          <w:sz w:val="24"/>
          <w:szCs w:val="24"/>
        </w:rPr>
      </w:pPr>
      <w:r w:rsidRPr="002973CF">
        <w:rPr>
          <w:rFonts w:ascii="Century Gothic" w:hAnsi="Century Gothic"/>
          <w:b/>
          <w:sz w:val="28"/>
          <w:szCs w:val="28"/>
        </w:rPr>
        <w:t xml:space="preserve">ARTÍCULO </w:t>
      </w:r>
      <w:proofErr w:type="gramStart"/>
      <w:r w:rsidR="00D407FC" w:rsidRPr="002973CF">
        <w:rPr>
          <w:rFonts w:ascii="Century Gothic" w:hAnsi="Century Gothic"/>
          <w:b/>
          <w:sz w:val="28"/>
          <w:szCs w:val="28"/>
        </w:rPr>
        <w:t>ÚNICO.-</w:t>
      </w:r>
      <w:proofErr w:type="gramEnd"/>
      <w:r w:rsidRPr="00830314">
        <w:rPr>
          <w:rFonts w:ascii="Century Gothic" w:hAnsi="Century Gothic"/>
          <w:b/>
          <w:sz w:val="24"/>
          <w:szCs w:val="24"/>
        </w:rPr>
        <w:t xml:space="preserve"> </w:t>
      </w:r>
      <w:r w:rsidRPr="00830314">
        <w:rPr>
          <w:rFonts w:ascii="Century Gothic" w:hAnsi="Century Gothic"/>
          <w:bCs/>
          <w:sz w:val="24"/>
          <w:szCs w:val="24"/>
        </w:rPr>
        <w:t xml:space="preserve">El presente Decreto entrará en vigor al día siguiente de su publicación en el Periódico Oficial del Estado. </w:t>
      </w:r>
    </w:p>
    <w:p w14:paraId="2B700D77" w14:textId="77777777" w:rsidR="001F61D7" w:rsidRPr="00830314" w:rsidRDefault="001F61D7" w:rsidP="00830314">
      <w:pPr>
        <w:spacing w:after="0" w:line="360" w:lineRule="auto"/>
        <w:jc w:val="both"/>
        <w:rPr>
          <w:rFonts w:ascii="Century Gothic" w:hAnsi="Century Gothic"/>
          <w:sz w:val="24"/>
          <w:szCs w:val="24"/>
        </w:rPr>
      </w:pPr>
    </w:p>
    <w:p w14:paraId="04C14B9A" w14:textId="6E07EA8A" w:rsidR="001F61D7" w:rsidRPr="00830314" w:rsidRDefault="00D407FC" w:rsidP="00830314">
      <w:pPr>
        <w:spacing w:after="0" w:line="360" w:lineRule="auto"/>
        <w:jc w:val="both"/>
        <w:rPr>
          <w:rFonts w:ascii="Century Gothic" w:hAnsi="Century Gothic"/>
          <w:sz w:val="24"/>
          <w:szCs w:val="24"/>
        </w:rPr>
      </w:pPr>
      <w:proofErr w:type="gramStart"/>
      <w:r w:rsidRPr="00830314">
        <w:rPr>
          <w:rFonts w:ascii="Century Gothic" w:hAnsi="Century Gothic"/>
          <w:b/>
          <w:sz w:val="24"/>
          <w:szCs w:val="24"/>
        </w:rPr>
        <w:t>Económico.-</w:t>
      </w:r>
      <w:proofErr w:type="gramEnd"/>
      <w:r w:rsidR="001F61D7" w:rsidRPr="00830314">
        <w:rPr>
          <w:rFonts w:ascii="Century Gothic" w:hAnsi="Century Gothic"/>
          <w:sz w:val="24"/>
          <w:szCs w:val="24"/>
        </w:rPr>
        <w:t xml:space="preserve"> Aprobado que sea, túrnese a la Secretaría para los efectos legales correspondientes.</w:t>
      </w:r>
    </w:p>
    <w:p w14:paraId="067DFD5C" w14:textId="77777777" w:rsidR="001F61D7" w:rsidRDefault="001F61D7" w:rsidP="00830314">
      <w:pPr>
        <w:spacing w:after="0" w:line="360" w:lineRule="auto"/>
        <w:jc w:val="both"/>
        <w:rPr>
          <w:rFonts w:ascii="Century Gothic" w:hAnsi="Century Gothic"/>
          <w:sz w:val="24"/>
          <w:szCs w:val="24"/>
        </w:rPr>
      </w:pPr>
    </w:p>
    <w:p w14:paraId="2A6D5E8E" w14:textId="44D3B124" w:rsidR="001F61D7" w:rsidRDefault="001F61D7" w:rsidP="00830314">
      <w:pPr>
        <w:spacing w:after="0" w:line="360" w:lineRule="auto"/>
        <w:jc w:val="both"/>
        <w:rPr>
          <w:rFonts w:ascii="Century Gothic" w:hAnsi="Century Gothic" w:cs="Arial"/>
          <w:sz w:val="24"/>
          <w:szCs w:val="24"/>
        </w:rPr>
      </w:pPr>
      <w:r w:rsidRPr="00270555">
        <w:rPr>
          <w:rFonts w:ascii="Century Gothic" w:hAnsi="Century Gothic" w:cs="Arial"/>
          <w:b/>
          <w:bCs/>
          <w:sz w:val="28"/>
          <w:szCs w:val="28"/>
        </w:rPr>
        <w:t>D a d o</w:t>
      </w:r>
      <w:r w:rsidRPr="00270555">
        <w:rPr>
          <w:rFonts w:ascii="Century Gothic" w:hAnsi="Century Gothic" w:cs="Arial"/>
          <w:sz w:val="24"/>
          <w:szCs w:val="24"/>
        </w:rPr>
        <w:t xml:space="preserve"> </w:t>
      </w:r>
      <w:r w:rsidR="00613A56">
        <w:rPr>
          <w:rFonts w:ascii="Century Gothic" w:hAnsi="Century Gothic" w:cs="Arial"/>
          <w:sz w:val="24"/>
          <w:szCs w:val="24"/>
        </w:rPr>
        <w:t xml:space="preserve">  </w:t>
      </w:r>
      <w:r w:rsidRPr="00270555">
        <w:rPr>
          <w:rFonts w:ascii="Century Gothic" w:hAnsi="Century Gothic" w:cs="Arial"/>
          <w:sz w:val="24"/>
          <w:szCs w:val="24"/>
        </w:rPr>
        <w:t>en el Salón de Sesiones del Honorable Congreso del Estado, en la Ciudad de Chihuahua, Chih., a</w:t>
      </w:r>
      <w:r w:rsidR="009B4510">
        <w:rPr>
          <w:rFonts w:ascii="Century Gothic" w:hAnsi="Century Gothic" w:cs="Arial"/>
          <w:sz w:val="24"/>
          <w:szCs w:val="24"/>
        </w:rPr>
        <w:t>l primer</w:t>
      </w:r>
      <w:r w:rsidRPr="00270555">
        <w:rPr>
          <w:rFonts w:ascii="Century Gothic" w:hAnsi="Century Gothic" w:cs="Arial"/>
          <w:sz w:val="24"/>
          <w:szCs w:val="24"/>
        </w:rPr>
        <w:t xml:space="preserve"> día del mes de </w:t>
      </w:r>
      <w:r w:rsidR="009B4510">
        <w:rPr>
          <w:rFonts w:ascii="Century Gothic" w:hAnsi="Century Gothic" w:cs="Arial"/>
          <w:sz w:val="24"/>
          <w:szCs w:val="24"/>
        </w:rPr>
        <w:t>marzo</w:t>
      </w:r>
      <w:r w:rsidRPr="00270555">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270555">
        <w:rPr>
          <w:rFonts w:ascii="Century Gothic" w:hAnsi="Century Gothic" w:cs="Arial"/>
          <w:sz w:val="24"/>
          <w:szCs w:val="24"/>
        </w:rPr>
        <w:t>.</w:t>
      </w:r>
    </w:p>
    <w:p w14:paraId="40D146E7" w14:textId="77777777" w:rsidR="001F61D7" w:rsidRDefault="001F61D7" w:rsidP="00830314">
      <w:pPr>
        <w:spacing w:after="0" w:line="360" w:lineRule="auto"/>
        <w:jc w:val="both"/>
        <w:rPr>
          <w:rFonts w:ascii="Century Gothic" w:hAnsi="Century Gothic" w:cs="Arial"/>
          <w:sz w:val="24"/>
          <w:szCs w:val="24"/>
        </w:rPr>
      </w:pPr>
    </w:p>
    <w:p w14:paraId="3799D32D" w14:textId="10B846E3" w:rsidR="001F61D7" w:rsidRDefault="001F61D7" w:rsidP="00830314">
      <w:pPr>
        <w:spacing w:after="0" w:line="360" w:lineRule="auto"/>
        <w:jc w:val="both"/>
        <w:rPr>
          <w:rFonts w:ascii="Century Gothic" w:hAnsi="Century Gothic" w:cs="Arial"/>
          <w:sz w:val="24"/>
          <w:szCs w:val="24"/>
        </w:rPr>
      </w:pPr>
      <w:r w:rsidRPr="001F61D7">
        <w:rPr>
          <w:rFonts w:ascii="Century Gothic" w:hAnsi="Century Gothic" w:cs="Arial"/>
          <w:sz w:val="24"/>
          <w:szCs w:val="24"/>
        </w:rPr>
        <w:t>Así lo aprobó la Comisión de Igu</w:t>
      </w:r>
      <w:r w:rsidR="00830314">
        <w:rPr>
          <w:rFonts w:ascii="Century Gothic" w:hAnsi="Century Gothic" w:cs="Arial"/>
          <w:sz w:val="24"/>
          <w:szCs w:val="24"/>
        </w:rPr>
        <w:t>a</w:t>
      </w:r>
      <w:r w:rsidR="000A5764">
        <w:rPr>
          <w:rFonts w:ascii="Century Gothic" w:hAnsi="Century Gothic" w:cs="Arial"/>
          <w:sz w:val="24"/>
          <w:szCs w:val="24"/>
        </w:rPr>
        <w:t xml:space="preserve">ldad, en la reunión de fecha </w:t>
      </w:r>
      <w:r w:rsidR="00E170E0">
        <w:rPr>
          <w:rFonts w:ascii="Century Gothic" w:hAnsi="Century Gothic" w:cs="Arial"/>
          <w:sz w:val="24"/>
          <w:szCs w:val="24"/>
        </w:rPr>
        <w:t>veinticuatro</w:t>
      </w:r>
      <w:r w:rsidR="000A5764">
        <w:rPr>
          <w:rFonts w:ascii="Century Gothic" w:hAnsi="Century Gothic" w:cs="Arial"/>
          <w:sz w:val="24"/>
          <w:szCs w:val="24"/>
        </w:rPr>
        <w:t xml:space="preserve"> de </w:t>
      </w:r>
      <w:r w:rsidR="00E170E0">
        <w:rPr>
          <w:rFonts w:ascii="Century Gothic" w:hAnsi="Century Gothic" w:cs="Arial"/>
          <w:sz w:val="24"/>
          <w:szCs w:val="24"/>
        </w:rPr>
        <w:t>febrero</w:t>
      </w:r>
      <w:r w:rsidRPr="001F61D7">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1F61D7">
        <w:rPr>
          <w:rFonts w:ascii="Century Gothic" w:hAnsi="Century Gothic" w:cs="Arial"/>
          <w:sz w:val="24"/>
          <w:szCs w:val="24"/>
        </w:rPr>
        <w:t>.</w:t>
      </w:r>
    </w:p>
    <w:p w14:paraId="23473539" w14:textId="77777777" w:rsidR="00231C32" w:rsidRPr="00270555" w:rsidRDefault="00231C32" w:rsidP="000800D6">
      <w:pPr>
        <w:spacing w:after="0" w:line="240" w:lineRule="auto"/>
        <w:jc w:val="both"/>
        <w:rPr>
          <w:rFonts w:ascii="Century Gothic" w:eastAsia="Arial" w:hAnsi="Century Gothic" w:cs="Arial"/>
          <w:b/>
        </w:rPr>
      </w:pPr>
    </w:p>
    <w:tbl>
      <w:tblPr>
        <w:tblW w:w="10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86"/>
        <w:gridCol w:w="2271"/>
        <w:gridCol w:w="2271"/>
        <w:gridCol w:w="1987"/>
      </w:tblGrid>
      <w:tr w:rsidR="0000401D" w:rsidRPr="00270555" w14:paraId="118DC949" w14:textId="77777777" w:rsidTr="000D32F0">
        <w:trPr>
          <w:trHeight w:val="143"/>
        </w:trPr>
        <w:tc>
          <w:tcPr>
            <w:tcW w:w="1704" w:type="dxa"/>
          </w:tcPr>
          <w:p w14:paraId="7DD1974E" w14:textId="77777777" w:rsidR="000800D6" w:rsidRPr="00270555" w:rsidRDefault="000800D6" w:rsidP="00E0100C">
            <w:pPr>
              <w:pStyle w:val="Normal1"/>
              <w:jc w:val="both"/>
              <w:rPr>
                <w:rFonts w:ascii="Century Gothic" w:hAnsi="Century Gothic" w:cs="Arial"/>
                <w:b/>
                <w:color w:val="auto"/>
                <w:sz w:val="22"/>
                <w:szCs w:val="22"/>
              </w:rPr>
            </w:pPr>
          </w:p>
        </w:tc>
        <w:tc>
          <w:tcPr>
            <w:tcW w:w="1986" w:type="dxa"/>
          </w:tcPr>
          <w:p w14:paraId="6CA6961A"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2271" w:type="dxa"/>
          </w:tcPr>
          <w:p w14:paraId="4DD94C92"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2271" w:type="dxa"/>
          </w:tcPr>
          <w:p w14:paraId="245B50E3"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1987" w:type="dxa"/>
          </w:tcPr>
          <w:p w14:paraId="5E3AD1C1"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00401D" w:rsidRPr="00270555" w14:paraId="5BE79B90" w14:textId="77777777" w:rsidTr="000D32F0">
        <w:trPr>
          <w:trHeight w:val="143"/>
        </w:trPr>
        <w:tc>
          <w:tcPr>
            <w:tcW w:w="1704" w:type="dxa"/>
          </w:tcPr>
          <w:p w14:paraId="076FA5C7" w14:textId="77777777" w:rsidR="000800D6"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7417ACE5" wp14:editId="4B50CAEC">
                  <wp:simplePos x="0" y="0"/>
                  <wp:positionH relativeFrom="column">
                    <wp:posOffset>10795</wp:posOffset>
                  </wp:positionH>
                  <wp:positionV relativeFrom="paragraph">
                    <wp:posOffset>37465</wp:posOffset>
                  </wp:positionV>
                  <wp:extent cx="941705" cy="1018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3519" cy="10312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613775DE" w14:textId="77777777" w:rsidR="000800D6" w:rsidRPr="00270555" w:rsidRDefault="000800D6" w:rsidP="00E0100C">
            <w:pPr>
              <w:spacing w:after="0" w:line="240" w:lineRule="auto"/>
              <w:ind w:left="284" w:hanging="284"/>
              <w:contextualSpacing/>
              <w:jc w:val="both"/>
              <w:rPr>
                <w:rFonts w:ascii="Century Gothic" w:hAnsi="Century Gothic" w:cs="Arial"/>
                <w:b/>
                <w:bCs/>
                <w:sz w:val="24"/>
                <w:szCs w:val="24"/>
              </w:rPr>
            </w:pPr>
          </w:p>
          <w:p w14:paraId="27B1B6CB" w14:textId="77777777" w:rsidR="000800D6" w:rsidRPr="00270555" w:rsidRDefault="00E45883" w:rsidP="00E45883">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67BE47DC" w14:textId="77777777" w:rsidR="000800D6" w:rsidRDefault="00E45883" w:rsidP="00E45883">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09D7B305"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32FB701A"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73087281"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261DAFA2"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6CDBB8C2" w14:textId="77777777" w:rsidTr="000D32F0">
        <w:trPr>
          <w:trHeight w:val="1735"/>
        </w:trPr>
        <w:tc>
          <w:tcPr>
            <w:tcW w:w="1704" w:type="dxa"/>
          </w:tcPr>
          <w:p w14:paraId="5F47C89D" w14:textId="77777777" w:rsidR="000800D6" w:rsidRPr="00270555" w:rsidRDefault="000800D6"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anchor distT="0" distB="0" distL="114300" distR="114300" simplePos="0" relativeHeight="251659264" behindDoc="1" locked="0" layoutInCell="1" allowOverlap="1" wp14:anchorId="758591C7" wp14:editId="20367B87">
                  <wp:simplePos x="0" y="0"/>
                  <wp:positionH relativeFrom="column">
                    <wp:posOffset>1270</wp:posOffset>
                  </wp:positionH>
                  <wp:positionV relativeFrom="paragraph">
                    <wp:posOffset>-3810</wp:posOffset>
                  </wp:positionV>
                  <wp:extent cx="933450" cy="10560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5FE81F0D" w14:textId="77777777" w:rsidR="000800D6" w:rsidRPr="00270555" w:rsidRDefault="000800D6" w:rsidP="00E0100C">
            <w:pPr>
              <w:spacing w:after="0" w:line="240" w:lineRule="auto"/>
              <w:contextualSpacing/>
              <w:jc w:val="center"/>
              <w:rPr>
                <w:rFonts w:ascii="Century Gothic" w:hAnsi="Century Gothic" w:cs="Arial"/>
                <w:b/>
                <w:bCs/>
                <w:smallCaps/>
                <w:sz w:val="24"/>
                <w:szCs w:val="24"/>
              </w:rPr>
            </w:pPr>
          </w:p>
          <w:p w14:paraId="66FC24C4"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21B5462"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1D8123FF" w14:textId="77777777" w:rsidR="000800D6" w:rsidRPr="00270555" w:rsidRDefault="000800D6" w:rsidP="00E45883">
            <w:pPr>
              <w:pStyle w:val="Normal1"/>
              <w:rPr>
                <w:rFonts w:ascii="Century Gothic" w:hAnsi="Century Gothic" w:cs="Arial"/>
                <w:b/>
                <w:color w:val="auto"/>
                <w:sz w:val="22"/>
                <w:szCs w:val="22"/>
              </w:rPr>
            </w:pPr>
          </w:p>
        </w:tc>
        <w:tc>
          <w:tcPr>
            <w:tcW w:w="2271" w:type="dxa"/>
          </w:tcPr>
          <w:p w14:paraId="7E4EB2CB"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2C2E08B0"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7D1013FC"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6F3EA45" w14:textId="77777777" w:rsidTr="000D32F0">
        <w:trPr>
          <w:trHeight w:val="1750"/>
        </w:trPr>
        <w:tc>
          <w:tcPr>
            <w:tcW w:w="1704" w:type="dxa"/>
          </w:tcPr>
          <w:p w14:paraId="444BE163" w14:textId="77777777" w:rsidR="000800D6" w:rsidRPr="00270555" w:rsidRDefault="00E45883" w:rsidP="00E0100C">
            <w:pPr>
              <w:pStyle w:val="Normal1"/>
              <w:jc w:val="both"/>
              <w:rPr>
                <w:color w:val="auto"/>
              </w:rPr>
            </w:pPr>
            <w:r>
              <w:rPr>
                <w:noProof/>
                <w:color w:val="auto"/>
                <w:lang w:val="es-MX" w:eastAsia="es-MX"/>
              </w:rPr>
              <w:drawing>
                <wp:anchor distT="0" distB="0" distL="114300" distR="114300" simplePos="0" relativeHeight="251660288" behindDoc="1" locked="0" layoutInCell="1" allowOverlap="1" wp14:anchorId="652DA3D0" wp14:editId="22F23E21">
                  <wp:simplePos x="0" y="0"/>
                  <wp:positionH relativeFrom="column">
                    <wp:posOffset>1270</wp:posOffset>
                  </wp:positionH>
                  <wp:positionV relativeFrom="paragraph">
                    <wp:posOffset>36195</wp:posOffset>
                  </wp:positionV>
                  <wp:extent cx="933450" cy="10471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33450" cy="1047115"/>
                          </a:xfrm>
                          <a:prstGeom prst="rect">
                            <a:avLst/>
                          </a:prstGeom>
                        </pic:spPr>
                      </pic:pic>
                    </a:graphicData>
                  </a:graphic>
                  <wp14:sizeRelH relativeFrom="page">
                    <wp14:pctWidth>0</wp14:pctWidth>
                  </wp14:sizeRelH>
                  <wp14:sizeRelV relativeFrom="page">
                    <wp14:pctHeight>0</wp14:pctHeight>
                  </wp14:sizeRelV>
                </wp:anchor>
              </w:drawing>
            </w:r>
          </w:p>
          <w:p w14:paraId="2E1276FF" w14:textId="77777777" w:rsidR="000800D6" w:rsidRPr="00270555" w:rsidRDefault="000800D6" w:rsidP="00E0100C">
            <w:pPr>
              <w:pStyle w:val="Normal1"/>
              <w:jc w:val="both"/>
              <w:rPr>
                <w:rFonts w:ascii="Century Gothic" w:hAnsi="Century Gothic" w:cs="Arial"/>
                <w:b/>
                <w:color w:val="auto"/>
                <w:szCs w:val="24"/>
              </w:rPr>
            </w:pPr>
          </w:p>
        </w:tc>
        <w:tc>
          <w:tcPr>
            <w:tcW w:w="1986" w:type="dxa"/>
          </w:tcPr>
          <w:p w14:paraId="156BDAEC"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65BA51BF" w14:textId="77777777"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sidR="00E45883">
              <w:rPr>
                <w:rFonts w:ascii="Century Gothic" w:hAnsi="Century Gothic" w:cs="Arial"/>
                <w:b/>
                <w:sz w:val="24"/>
                <w:szCs w:val="24"/>
              </w:rPr>
              <w:t xml:space="preserve"> MARISELA TERRAZAS MUÑOZ</w:t>
            </w:r>
          </w:p>
          <w:p w14:paraId="37DEE733"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D586F0F"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44A982FE"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36131D85"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16604997"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98D3246" w14:textId="77777777" w:rsidTr="000D32F0">
        <w:trPr>
          <w:trHeight w:val="1750"/>
        </w:trPr>
        <w:tc>
          <w:tcPr>
            <w:tcW w:w="1704" w:type="dxa"/>
          </w:tcPr>
          <w:p w14:paraId="566F0652" w14:textId="77777777" w:rsidR="000800D6" w:rsidRPr="00270555" w:rsidRDefault="00E45883" w:rsidP="00E0100C">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w:drawing>
                <wp:anchor distT="0" distB="0" distL="114300" distR="114300" simplePos="0" relativeHeight="251661312" behindDoc="1" locked="0" layoutInCell="1" allowOverlap="1" wp14:anchorId="42462A1E" wp14:editId="18CA883C">
                  <wp:simplePos x="0" y="0"/>
                  <wp:positionH relativeFrom="column">
                    <wp:posOffset>1270</wp:posOffset>
                  </wp:positionH>
                  <wp:positionV relativeFrom="paragraph">
                    <wp:posOffset>-5714</wp:posOffset>
                  </wp:positionV>
                  <wp:extent cx="885825" cy="1040464"/>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899637" cy="1056687"/>
                          </a:xfrm>
                          <a:prstGeom prst="rect">
                            <a:avLst/>
                          </a:prstGeom>
                        </pic:spPr>
                      </pic:pic>
                    </a:graphicData>
                  </a:graphic>
                  <wp14:sizeRelH relativeFrom="page">
                    <wp14:pctWidth>0</wp14:pctWidth>
                  </wp14:sizeRelH>
                  <wp14:sizeRelV relativeFrom="page">
                    <wp14:pctHeight>0</wp14:pctHeight>
                  </wp14:sizeRelV>
                </wp:anchor>
              </w:drawing>
            </w:r>
          </w:p>
        </w:tc>
        <w:tc>
          <w:tcPr>
            <w:tcW w:w="1986" w:type="dxa"/>
          </w:tcPr>
          <w:p w14:paraId="7C526CE6"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0128B017" w14:textId="77777777"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sidR="00E45883">
              <w:rPr>
                <w:rFonts w:ascii="Century Gothic" w:hAnsi="Century Gothic" w:cs="Arial"/>
                <w:b/>
                <w:sz w:val="24"/>
                <w:szCs w:val="24"/>
              </w:rPr>
              <w:t>IP. AMELIA DEYANIRA OZAETA DÍAZ</w:t>
            </w:r>
          </w:p>
          <w:p w14:paraId="10F811A3"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17C9654C"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243FD3BD"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3FAAC18E"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14D03626" w14:textId="77777777" w:rsidR="005E7EDB" w:rsidRPr="00270555" w:rsidRDefault="005E7EDB" w:rsidP="00E0100C">
            <w:pPr>
              <w:pStyle w:val="Normal1"/>
              <w:jc w:val="both"/>
              <w:rPr>
                <w:rFonts w:ascii="Century Gothic" w:hAnsi="Century Gothic" w:cs="Arial"/>
                <w:b/>
                <w:color w:val="auto"/>
                <w:szCs w:val="24"/>
              </w:rPr>
            </w:pPr>
          </w:p>
          <w:p w14:paraId="12BA0B9A" w14:textId="77777777" w:rsidR="005E7EDB" w:rsidRPr="00270555" w:rsidRDefault="005E7EDB" w:rsidP="005E7EDB">
            <w:pPr>
              <w:rPr>
                <w:lang w:val="es-ES" w:eastAsia="es-ES"/>
              </w:rPr>
            </w:pPr>
          </w:p>
          <w:p w14:paraId="065BC47A" w14:textId="77777777" w:rsidR="000800D6" w:rsidRPr="00270555" w:rsidRDefault="000800D6" w:rsidP="005E7EDB">
            <w:pPr>
              <w:rPr>
                <w:lang w:val="es-ES" w:eastAsia="es-ES"/>
              </w:rPr>
            </w:pPr>
          </w:p>
        </w:tc>
      </w:tr>
      <w:tr w:rsidR="0000401D" w:rsidRPr="00270555" w14:paraId="0CB0816C" w14:textId="77777777" w:rsidTr="000D32F0">
        <w:trPr>
          <w:trHeight w:val="1628"/>
        </w:trPr>
        <w:tc>
          <w:tcPr>
            <w:tcW w:w="1704" w:type="dxa"/>
          </w:tcPr>
          <w:p w14:paraId="08CE5284" w14:textId="77777777" w:rsidR="000800D6" w:rsidRPr="00270555" w:rsidRDefault="00EC26B9"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inline distT="0" distB="0" distL="0" distR="0" wp14:anchorId="2CD91647" wp14:editId="1F386947">
                  <wp:extent cx="933450" cy="1076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4158" cy="1088672"/>
                          </a:xfrm>
                          <a:prstGeom prst="rect">
                            <a:avLst/>
                          </a:prstGeom>
                          <a:noFill/>
                          <a:ln>
                            <a:noFill/>
                          </a:ln>
                        </pic:spPr>
                      </pic:pic>
                    </a:graphicData>
                  </a:graphic>
                </wp:inline>
              </w:drawing>
            </w:r>
          </w:p>
        </w:tc>
        <w:tc>
          <w:tcPr>
            <w:tcW w:w="1986" w:type="dxa"/>
          </w:tcPr>
          <w:p w14:paraId="6E40566F"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3540E147" w14:textId="77777777" w:rsidR="00EC26B9" w:rsidRPr="00270555" w:rsidRDefault="00EC26B9" w:rsidP="00EC26B9">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150F2B80" w14:textId="77777777" w:rsidR="00E45883" w:rsidRPr="00E45883" w:rsidRDefault="00EC26B9" w:rsidP="00EC26B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Pr>
          <w:p w14:paraId="020484A7"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0261A229"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7696A7CE"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6F47D58D" w14:textId="77777777" w:rsidTr="000D32F0">
        <w:trPr>
          <w:trHeight w:val="1750"/>
        </w:trPr>
        <w:tc>
          <w:tcPr>
            <w:tcW w:w="1704" w:type="dxa"/>
            <w:tcBorders>
              <w:top w:val="single" w:sz="4" w:space="0" w:color="auto"/>
              <w:left w:val="single" w:sz="4" w:space="0" w:color="auto"/>
              <w:bottom w:val="single" w:sz="4" w:space="0" w:color="auto"/>
              <w:right w:val="single" w:sz="4" w:space="0" w:color="auto"/>
            </w:tcBorders>
          </w:tcPr>
          <w:p w14:paraId="6A61B452" w14:textId="77777777" w:rsidR="00E45883" w:rsidRPr="00E45883" w:rsidRDefault="00231C32" w:rsidP="00E0100C">
            <w:pPr>
              <w:pStyle w:val="Normal1"/>
              <w:jc w:val="both"/>
              <w:rPr>
                <w:rFonts w:ascii="Century Gothic" w:hAnsi="Century Gothic" w:cs="Arial"/>
                <w:b/>
                <w:noProof/>
                <w:color w:val="auto"/>
                <w:szCs w:val="24"/>
                <w:lang w:val="es-MX" w:eastAsia="es-MX"/>
              </w:rPr>
            </w:pPr>
            <w:r>
              <w:rPr>
                <w:rFonts w:ascii="Century Gothic" w:hAnsi="Century Gothic" w:cs="Arial"/>
                <w:b/>
                <w:noProof/>
                <w:szCs w:val="24"/>
                <w:lang w:val="es-MX" w:eastAsia="es-MX"/>
              </w:rPr>
              <w:lastRenderedPageBreak/>
              <w:drawing>
                <wp:anchor distT="0" distB="0" distL="114300" distR="114300" simplePos="0" relativeHeight="251663360" behindDoc="1" locked="0" layoutInCell="1" allowOverlap="1" wp14:anchorId="522B8735" wp14:editId="6AEEE1DB">
                  <wp:simplePos x="0" y="0"/>
                  <wp:positionH relativeFrom="column">
                    <wp:posOffset>-17780</wp:posOffset>
                  </wp:positionH>
                  <wp:positionV relativeFrom="paragraph">
                    <wp:posOffset>25400</wp:posOffset>
                  </wp:positionV>
                  <wp:extent cx="1000125" cy="1038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a:extLst>
                              <a:ext uri="{28A0092B-C50C-407E-A947-70E740481C1C}">
                                <a14:useLocalDpi xmlns:a14="http://schemas.microsoft.com/office/drawing/2010/main" val="0"/>
                              </a:ext>
                            </a:extLst>
                          </a:blip>
                          <a:stretch>
                            <a:fillRect/>
                          </a:stretch>
                        </pic:blipFill>
                        <pic:spPr>
                          <a:xfrm>
                            <a:off x="0" y="0"/>
                            <a:ext cx="1000125" cy="1038225"/>
                          </a:xfrm>
                          <a:prstGeom prst="rect">
                            <a:avLst/>
                          </a:prstGeom>
                        </pic:spPr>
                      </pic:pic>
                    </a:graphicData>
                  </a:graphic>
                  <wp14:sizeRelH relativeFrom="page">
                    <wp14:pctWidth>0</wp14:pctWidth>
                  </wp14:sizeRelH>
                  <wp14:sizeRelV relativeFrom="page">
                    <wp14:pctHeight>0</wp14:pctHeight>
                  </wp14:sizeRelV>
                </wp:anchor>
              </w:drawing>
            </w:r>
          </w:p>
        </w:tc>
        <w:tc>
          <w:tcPr>
            <w:tcW w:w="1986" w:type="dxa"/>
            <w:tcBorders>
              <w:top w:val="single" w:sz="4" w:space="0" w:color="auto"/>
              <w:left w:val="single" w:sz="4" w:space="0" w:color="auto"/>
              <w:bottom w:val="single" w:sz="4" w:space="0" w:color="auto"/>
              <w:right w:val="single" w:sz="4" w:space="0" w:color="auto"/>
            </w:tcBorders>
          </w:tcPr>
          <w:p w14:paraId="414F8E72"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24189165" w14:textId="77777777" w:rsidR="00E45883" w:rsidRPr="00270555"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5D8E8B55" w14:textId="77777777" w:rsid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40842C32"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Borders>
              <w:top w:val="single" w:sz="4" w:space="0" w:color="auto"/>
              <w:left w:val="single" w:sz="4" w:space="0" w:color="auto"/>
              <w:bottom w:val="single" w:sz="4" w:space="0" w:color="auto"/>
              <w:right w:val="single" w:sz="4" w:space="0" w:color="auto"/>
            </w:tcBorders>
          </w:tcPr>
          <w:p w14:paraId="29A05EB8"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085E898C"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2DCF6506" w14:textId="77777777" w:rsidR="00E45883" w:rsidRPr="00270555" w:rsidRDefault="00E45883" w:rsidP="00E0100C">
            <w:pPr>
              <w:pStyle w:val="Normal1"/>
              <w:jc w:val="both"/>
              <w:rPr>
                <w:rFonts w:ascii="Century Gothic" w:hAnsi="Century Gothic" w:cs="Arial"/>
                <w:b/>
                <w:color w:val="auto"/>
                <w:szCs w:val="24"/>
              </w:rPr>
            </w:pPr>
          </w:p>
          <w:p w14:paraId="0863749E" w14:textId="77777777" w:rsidR="00E45883" w:rsidRPr="00E45883" w:rsidRDefault="00E45883" w:rsidP="00E45883">
            <w:pPr>
              <w:pStyle w:val="Normal1"/>
              <w:jc w:val="both"/>
              <w:rPr>
                <w:rFonts w:ascii="Century Gothic" w:hAnsi="Century Gothic" w:cs="Arial"/>
                <w:b/>
                <w:color w:val="auto"/>
                <w:szCs w:val="24"/>
              </w:rPr>
            </w:pPr>
          </w:p>
          <w:p w14:paraId="6A7D9847" w14:textId="77777777" w:rsidR="00E45883" w:rsidRPr="00E45883" w:rsidRDefault="00E45883" w:rsidP="00E45883">
            <w:pPr>
              <w:pStyle w:val="Normal1"/>
              <w:jc w:val="both"/>
              <w:rPr>
                <w:rFonts w:ascii="Century Gothic" w:hAnsi="Century Gothic" w:cs="Arial"/>
                <w:b/>
                <w:color w:val="auto"/>
                <w:szCs w:val="24"/>
              </w:rPr>
            </w:pPr>
          </w:p>
        </w:tc>
      </w:tr>
      <w:tr w:rsidR="0000401D" w:rsidRPr="00270555" w14:paraId="394D152F" w14:textId="77777777" w:rsidTr="000D32F0">
        <w:trPr>
          <w:trHeight w:val="1705"/>
        </w:trPr>
        <w:tc>
          <w:tcPr>
            <w:tcW w:w="1704" w:type="dxa"/>
            <w:tcBorders>
              <w:top w:val="single" w:sz="4" w:space="0" w:color="auto"/>
              <w:left w:val="single" w:sz="4" w:space="0" w:color="auto"/>
              <w:bottom w:val="single" w:sz="4" w:space="0" w:color="auto"/>
              <w:right w:val="single" w:sz="4" w:space="0" w:color="auto"/>
            </w:tcBorders>
          </w:tcPr>
          <w:p w14:paraId="31D8626F" w14:textId="77777777" w:rsidR="00E45883"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inline distT="0" distB="0" distL="0" distR="0" wp14:anchorId="695B7416" wp14:editId="74814EA0">
                  <wp:extent cx="942854" cy="1087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7729" cy="1093379"/>
                          </a:xfrm>
                          <a:prstGeom prst="rect">
                            <a:avLst/>
                          </a:prstGeom>
                          <a:noFill/>
                          <a:ln>
                            <a:noFill/>
                          </a:ln>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tcPr>
          <w:p w14:paraId="5544F87E"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51FDCE24" w14:textId="77777777" w:rsidR="00E45883" w:rsidRPr="00270555" w:rsidRDefault="00E45883" w:rsidP="00E0100C">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10DA2927" w14:textId="77777777" w:rsidR="00E45883" w:rsidRP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Borders>
              <w:top w:val="single" w:sz="4" w:space="0" w:color="auto"/>
              <w:left w:val="single" w:sz="4" w:space="0" w:color="auto"/>
              <w:bottom w:val="single" w:sz="4" w:space="0" w:color="auto"/>
              <w:right w:val="single" w:sz="4" w:space="0" w:color="auto"/>
            </w:tcBorders>
          </w:tcPr>
          <w:p w14:paraId="1C696A21"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131926DE"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46F4D2F0" w14:textId="77777777" w:rsidR="00E45883" w:rsidRPr="00270555" w:rsidRDefault="00E45883" w:rsidP="00E0100C">
            <w:pPr>
              <w:pStyle w:val="Normal1"/>
              <w:jc w:val="both"/>
              <w:rPr>
                <w:rFonts w:ascii="Century Gothic" w:hAnsi="Century Gothic" w:cs="Arial"/>
                <w:b/>
                <w:color w:val="auto"/>
                <w:szCs w:val="24"/>
              </w:rPr>
            </w:pPr>
          </w:p>
        </w:tc>
      </w:tr>
    </w:tbl>
    <w:p w14:paraId="5D32774D" w14:textId="77777777" w:rsidR="00180B2C" w:rsidRPr="000D32F0" w:rsidRDefault="006B0E5C" w:rsidP="004B7E1C">
      <w:pPr>
        <w:spacing w:after="0" w:line="240" w:lineRule="auto"/>
        <w:contextualSpacing/>
        <w:jc w:val="both"/>
        <w:rPr>
          <w:sz w:val="16"/>
          <w:szCs w:val="16"/>
        </w:rPr>
      </w:pPr>
      <w:r w:rsidRPr="000D32F0">
        <w:rPr>
          <w:rFonts w:ascii="Century Gothic" w:eastAsia="Arial" w:hAnsi="Century Gothic" w:cs="Arial"/>
          <w:sz w:val="16"/>
          <w:szCs w:val="16"/>
        </w:rPr>
        <w:t>LA PRESENTE HOJA DE FIRMAS CORRESPONDE AL DI</w:t>
      </w:r>
      <w:r w:rsidR="00E45883" w:rsidRPr="000D32F0">
        <w:rPr>
          <w:rFonts w:ascii="Century Gothic" w:eastAsia="Arial" w:hAnsi="Century Gothic" w:cs="Arial"/>
          <w:sz w:val="16"/>
          <w:szCs w:val="16"/>
        </w:rPr>
        <w:t>CTAMEN RECAÍDO EN EL ASUNTO</w:t>
      </w:r>
      <w:r w:rsidR="00292374">
        <w:rPr>
          <w:rFonts w:ascii="Century Gothic" w:eastAsia="Arial" w:hAnsi="Century Gothic" w:cs="Arial"/>
          <w:sz w:val="16"/>
          <w:szCs w:val="16"/>
        </w:rPr>
        <w:t xml:space="preserve"> 941</w:t>
      </w:r>
      <w:r w:rsidRPr="000D32F0">
        <w:rPr>
          <w:rFonts w:ascii="Century Gothic" w:eastAsia="Arial" w:hAnsi="Century Gothic" w:cs="Arial"/>
          <w:sz w:val="16"/>
          <w:szCs w:val="16"/>
        </w:rPr>
        <w:t>, DE LA COMISIÓN DE</w:t>
      </w:r>
      <w:r w:rsidR="00E45883" w:rsidRPr="000D32F0">
        <w:rPr>
          <w:rFonts w:ascii="Century Gothic" w:eastAsia="Arial" w:hAnsi="Century Gothic" w:cs="Arial"/>
          <w:sz w:val="16"/>
          <w:szCs w:val="16"/>
        </w:rPr>
        <w:t xml:space="preserve"> IGUALDAD</w:t>
      </w:r>
      <w:r w:rsidRPr="000D32F0">
        <w:rPr>
          <w:rFonts w:ascii="Century Gothic" w:eastAsia="Arial" w:hAnsi="Century Gothic" w:cs="Arial"/>
          <w:sz w:val="16"/>
          <w:szCs w:val="16"/>
        </w:rPr>
        <w:t>.</w:t>
      </w:r>
    </w:p>
    <w:sectPr w:rsidR="00180B2C" w:rsidRPr="000D32F0" w:rsidSect="00E0100C">
      <w:headerReference w:type="default" r:id="rId15"/>
      <w:footerReference w:type="defaul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55D7" w14:textId="77777777" w:rsidR="006E2EE5" w:rsidRDefault="006E2EE5" w:rsidP="000800D6">
      <w:pPr>
        <w:spacing w:after="0" w:line="240" w:lineRule="auto"/>
      </w:pPr>
      <w:r>
        <w:separator/>
      </w:r>
    </w:p>
  </w:endnote>
  <w:endnote w:type="continuationSeparator" w:id="0">
    <w:p w14:paraId="0D7F7D31" w14:textId="77777777" w:rsidR="006E2EE5" w:rsidRDefault="006E2EE5"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E0100C" w:rsidRDefault="00E0100C" w:rsidP="00E0100C">
    <w:pPr>
      <w:pStyle w:val="Piedepgina"/>
      <w:jc w:val="center"/>
    </w:pPr>
  </w:p>
  <w:p w14:paraId="134BD9E9" w14:textId="77777777" w:rsidR="00E0100C" w:rsidRDefault="00E0100C" w:rsidP="00E0100C">
    <w:pPr>
      <w:pStyle w:val="Piedepgina"/>
      <w:jc w:val="center"/>
    </w:pPr>
  </w:p>
  <w:p w14:paraId="5FF368C7" w14:textId="32F67687" w:rsidR="00E0100C" w:rsidRPr="00E830A2" w:rsidRDefault="00292374" w:rsidP="00E0100C">
    <w:pPr>
      <w:pStyle w:val="Piedepgina"/>
      <w:jc w:val="right"/>
      <w:rPr>
        <w:rFonts w:ascii="Century Gothic" w:hAnsi="Century Gothic"/>
        <w:sz w:val="18"/>
        <w:szCs w:val="18"/>
        <w:lang w:val="en-US"/>
      </w:rPr>
    </w:pPr>
    <w:r>
      <w:rPr>
        <w:rFonts w:ascii="Century Gothic" w:hAnsi="Century Gothic"/>
        <w:sz w:val="18"/>
        <w:szCs w:val="18"/>
        <w:lang w:val="en-US"/>
      </w:rPr>
      <w:t>A941</w:t>
    </w:r>
    <w:r w:rsidR="00D857A3">
      <w:rPr>
        <w:rFonts w:ascii="Century Gothic" w:hAnsi="Century Gothic"/>
        <w:sz w:val="18"/>
        <w:szCs w:val="18"/>
        <w:lang w:val="en-US"/>
      </w:rPr>
      <w:t>/ERS/GAOR/</w:t>
    </w:r>
    <w:r w:rsidR="00E170E0">
      <w:rPr>
        <w:rFonts w:ascii="Century Gothic" w:hAnsi="Century Gothic"/>
        <w:sz w:val="18"/>
        <w:szCs w:val="18"/>
        <w:lang w:val="en-US"/>
      </w:rPr>
      <w:t>NTRP</w:t>
    </w:r>
    <w:r w:rsidR="00E0100C" w:rsidRPr="00B15660">
      <w:rPr>
        <w:rFonts w:ascii="Century Gothic" w:hAnsi="Century Gothic"/>
        <w:sz w:val="18"/>
        <w:szCs w:val="18"/>
        <w:lang w:val="en-US"/>
      </w:rPr>
      <w:t>/FCLC</w:t>
    </w:r>
    <w:r w:rsidR="00E0100C" w:rsidRPr="00E830A2">
      <w:rPr>
        <w:rFonts w:ascii="Century Gothic" w:hAnsi="Century Gothic"/>
        <w:sz w:val="18"/>
        <w:szCs w:val="18"/>
        <w:lang w:val="en-US"/>
      </w:rPr>
      <w:t xml:space="preserve"> </w:t>
    </w:r>
  </w:p>
  <w:p w14:paraId="18078FC9" w14:textId="77777777" w:rsidR="00E0100C" w:rsidRPr="007D2BD6" w:rsidRDefault="00E0100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C93C" w14:textId="77777777" w:rsidR="006E2EE5" w:rsidRDefault="006E2EE5" w:rsidP="000800D6">
      <w:pPr>
        <w:spacing w:after="0" w:line="240" w:lineRule="auto"/>
      </w:pPr>
      <w:r>
        <w:separator/>
      </w:r>
    </w:p>
  </w:footnote>
  <w:footnote w:type="continuationSeparator" w:id="0">
    <w:p w14:paraId="42D45EBB" w14:textId="77777777" w:rsidR="006E2EE5" w:rsidRDefault="006E2EE5" w:rsidP="000800D6">
      <w:pPr>
        <w:spacing w:after="0" w:line="240" w:lineRule="auto"/>
      </w:pPr>
      <w:r>
        <w:continuationSeparator/>
      </w:r>
    </w:p>
  </w:footnote>
  <w:footnote w:id="1">
    <w:p w14:paraId="3212AB3C" w14:textId="77777777" w:rsidR="003D6A99" w:rsidRDefault="003D6A99">
      <w:pPr>
        <w:pStyle w:val="Textonotapie"/>
      </w:pPr>
      <w:r>
        <w:rPr>
          <w:rStyle w:val="Refdenotaalpie"/>
        </w:rPr>
        <w:footnoteRef/>
      </w:r>
      <w:r>
        <w:t xml:space="preserve"> Ley General de Víctimas. Artículo 46. Disponible en: </w:t>
      </w:r>
      <w:hyperlink r:id="rId1" w:history="1">
        <w:r w:rsidRPr="00C37D20">
          <w:rPr>
            <w:rStyle w:val="Hipervnculo"/>
          </w:rPr>
          <w:t>https://www.diputados.gob.mx/LeyesBiblio/pdf/LGV.pdf</w:t>
        </w:r>
      </w:hyperlink>
      <w:r>
        <w:t xml:space="preserve"> </w:t>
      </w:r>
    </w:p>
  </w:footnote>
  <w:footnote w:id="2">
    <w:p w14:paraId="113FFB6F" w14:textId="77777777" w:rsidR="003D6A99" w:rsidRDefault="003D6A99">
      <w:pPr>
        <w:pStyle w:val="Textonotapie"/>
      </w:pPr>
      <w:r>
        <w:rPr>
          <w:rStyle w:val="Refdenotaalpie"/>
        </w:rPr>
        <w:footnoteRef/>
      </w:r>
      <w:r w:rsidR="00BD58B6">
        <w:t xml:space="preserve"> Ibídem, a</w:t>
      </w:r>
      <w:r>
        <w:t xml:space="preserve">rtículo 47. </w:t>
      </w:r>
    </w:p>
  </w:footnote>
  <w:footnote w:id="3">
    <w:p w14:paraId="5E9D949C" w14:textId="77777777" w:rsidR="003D6A99" w:rsidRDefault="003D6A99">
      <w:pPr>
        <w:pStyle w:val="Textonotapie"/>
      </w:pPr>
      <w:r>
        <w:rPr>
          <w:rStyle w:val="Refdenotaalpie"/>
        </w:rPr>
        <w:footnoteRef/>
      </w:r>
      <w:r>
        <w:t xml:space="preserve"> </w:t>
      </w:r>
      <w:r w:rsidR="00BD58B6">
        <w:t>Ibídem, a</w:t>
      </w:r>
      <w:r>
        <w:t>rtículo 50</w:t>
      </w:r>
      <w:r w:rsidR="00BD58B6">
        <w:t>.</w:t>
      </w:r>
    </w:p>
  </w:footnote>
  <w:footnote w:id="4">
    <w:p w14:paraId="5E5B02DB" w14:textId="77777777" w:rsidR="003D6A99" w:rsidRDefault="003D6A99">
      <w:pPr>
        <w:pStyle w:val="Textonotapie"/>
      </w:pPr>
      <w:r>
        <w:rPr>
          <w:rStyle w:val="Refdenotaalpie"/>
        </w:rPr>
        <w:footnoteRef/>
      </w:r>
      <w:r>
        <w:t xml:space="preserve"> </w:t>
      </w:r>
      <w:r w:rsidR="00BD58B6">
        <w:t>Ibídem, a</w:t>
      </w:r>
      <w:r>
        <w:t>rtículo 51.</w:t>
      </w:r>
    </w:p>
  </w:footnote>
  <w:footnote w:id="5">
    <w:p w14:paraId="648971C2" w14:textId="77777777" w:rsidR="003D6A99" w:rsidRDefault="003D6A99">
      <w:pPr>
        <w:pStyle w:val="Textonotapie"/>
      </w:pPr>
      <w:r>
        <w:rPr>
          <w:rStyle w:val="Refdenotaalpie"/>
        </w:rPr>
        <w:footnoteRef/>
      </w:r>
      <w:r>
        <w:t xml:space="preserve"> </w:t>
      </w:r>
      <w:r w:rsidR="00BD58B6">
        <w:t>Ibídem, a</w:t>
      </w:r>
      <w:r>
        <w:t>rtículo 54.</w:t>
      </w:r>
    </w:p>
  </w:footnote>
  <w:footnote w:id="6">
    <w:p w14:paraId="07DE1664" w14:textId="77777777" w:rsidR="00C46001" w:rsidRDefault="00C46001">
      <w:pPr>
        <w:pStyle w:val="Textonotapie"/>
      </w:pPr>
      <w:r>
        <w:rPr>
          <w:rStyle w:val="Refdenotaalpie"/>
        </w:rPr>
        <w:footnoteRef/>
      </w:r>
      <w:r>
        <w:t xml:space="preserve"> Oficio FGE-11C.1/1/199/2022. 06 Julio de 2022. CEAVE Chihuahua. Asesoría Jurídica Estatal. </w:t>
      </w:r>
    </w:p>
  </w:footnote>
  <w:footnote w:id="7">
    <w:p w14:paraId="6E0DB7EB" w14:textId="77777777" w:rsidR="00746005" w:rsidRDefault="00746005">
      <w:pPr>
        <w:pStyle w:val="Textonotapie"/>
      </w:pPr>
      <w:r>
        <w:rPr>
          <w:rStyle w:val="Refdenotaalpie"/>
        </w:rPr>
        <w:footnoteRef/>
      </w:r>
      <w:r>
        <w:t xml:space="preserve"> Artículo 4°, fracción IX., Ley Estatal del Derecho de las Mujeres a una Vida Libre de Violencia. Disponible en: </w:t>
      </w:r>
      <w:r w:rsidRPr="00746005">
        <w:t>https://www.congresochihuahua2.gob.mx/biblioteca/leyes/archivosLeyes/153.pdf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841" w14:textId="77777777" w:rsidR="005C6751" w:rsidRPr="005C6751" w:rsidRDefault="00E0100C" w:rsidP="005C6751">
    <w:pPr>
      <w:shd w:val="clear" w:color="auto" w:fill="FFFFFF"/>
      <w:spacing w:after="0" w:line="240" w:lineRule="auto"/>
      <w:jc w:val="right"/>
      <w:rPr>
        <w:rFonts w:ascii="Century Gothic" w:hAnsi="Century Gothic"/>
      </w:rPr>
    </w:pPr>
    <w:r w:rsidRPr="00BE0139">
      <w:rPr>
        <w:rFonts w:ascii="Century Gothic" w:hAnsi="Century Gothic"/>
      </w:rPr>
      <w:t xml:space="preserve">       </w:t>
    </w:r>
    <w:r w:rsidR="005C6751" w:rsidRPr="005C6751">
      <w:rPr>
        <w:rFonts w:ascii="Century Gothic" w:hAnsi="Century Gothic"/>
      </w:rPr>
      <w:t>"2023, Centenario de la muerte del General Francisco Villa”</w:t>
    </w:r>
  </w:p>
  <w:p w14:paraId="5B0F68F4" w14:textId="4CCB9DFD" w:rsidR="00E0100C" w:rsidRPr="00BE0139" w:rsidRDefault="005C6751" w:rsidP="005C6751">
    <w:pPr>
      <w:shd w:val="clear" w:color="auto" w:fill="FFFFFF"/>
      <w:spacing w:after="0" w:line="240" w:lineRule="auto"/>
      <w:jc w:val="right"/>
      <w:rPr>
        <w:rFonts w:ascii="Century Gothic" w:eastAsiaTheme="minorHAnsi" w:hAnsi="Century Gothic" w:cs="Calibri"/>
        <w:b/>
        <w:bCs/>
        <w:color w:val="000000"/>
        <w:lang w:eastAsia="en-US"/>
      </w:rPr>
    </w:pPr>
    <w:r w:rsidRPr="005C6751">
      <w:rPr>
        <w:rFonts w:ascii="Century Gothic" w:hAnsi="Century Gothic"/>
      </w:rPr>
      <w:t xml:space="preserve">“2023, Cien años del </w:t>
    </w:r>
    <w:proofErr w:type="spellStart"/>
    <w:r w:rsidRPr="005C6751">
      <w:rPr>
        <w:rFonts w:ascii="Century Gothic" w:hAnsi="Century Gothic"/>
      </w:rPr>
      <w:t>Rotarismo</w:t>
    </w:r>
    <w:proofErr w:type="spellEnd"/>
    <w:r w:rsidRPr="005C6751">
      <w:rPr>
        <w:rFonts w:ascii="Century Gothic" w:hAnsi="Century Gothic"/>
      </w:rPr>
      <w:t xml:space="preserve"> en Chihuahua”</w:t>
    </w:r>
  </w:p>
  <w:p w14:paraId="793A467B" w14:textId="77777777" w:rsidR="00E0100C" w:rsidRDefault="00E0100C" w:rsidP="000800D6">
    <w:pPr>
      <w:shd w:val="clear" w:color="auto" w:fill="FFFFFF"/>
      <w:spacing w:after="0" w:line="240" w:lineRule="auto"/>
      <w:jc w:val="right"/>
      <w:rPr>
        <w:rFonts w:ascii="Century Gothic" w:eastAsiaTheme="minorHAnsi" w:hAnsi="Century Gothic" w:cs="Calibri"/>
        <w:b/>
        <w:bCs/>
        <w:color w:val="000000"/>
        <w:lang w:eastAsia="en-US"/>
      </w:rPr>
    </w:pPr>
  </w:p>
  <w:p w14:paraId="4BAEE7D3" w14:textId="77777777" w:rsidR="00BE0139" w:rsidRDefault="00BE0139"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BE0139" w:rsidRPr="00BE0139" w:rsidRDefault="00BE0139" w:rsidP="000800D6">
    <w:pPr>
      <w:shd w:val="clear" w:color="auto" w:fill="FFFFFF"/>
      <w:spacing w:after="0" w:line="240" w:lineRule="auto"/>
      <w:jc w:val="right"/>
      <w:rPr>
        <w:rFonts w:ascii="Century Gothic" w:eastAsiaTheme="minorHAnsi" w:hAnsi="Century Gothic" w:cs="Calibri"/>
        <w:b/>
        <w:bCs/>
        <w:color w:val="000000"/>
        <w:lang w:eastAsia="en-US"/>
      </w:rPr>
    </w:pPr>
  </w:p>
  <w:p w14:paraId="7BBBD602" w14:textId="77777777" w:rsidR="00E0100C" w:rsidRPr="00BE0139" w:rsidRDefault="00E0100C" w:rsidP="00982223">
    <w:pPr>
      <w:shd w:val="clear" w:color="auto" w:fill="FFFFFF"/>
      <w:spacing w:after="0" w:line="240" w:lineRule="auto"/>
      <w:jc w:val="right"/>
      <w:rPr>
        <w:rFonts w:ascii="Century Gothic" w:hAnsi="Century Gothic"/>
        <w:b/>
        <w:i/>
      </w:rPr>
    </w:pPr>
    <w:r w:rsidRPr="00BE0139">
      <w:rPr>
        <w:rFonts w:ascii="Century Gothic" w:eastAsiaTheme="minorHAnsi" w:hAnsi="Century Gothic" w:cstheme="minorBidi"/>
        <w:b/>
        <w:i/>
        <w:lang w:eastAsia="en-US"/>
      </w:rPr>
      <w:t>COMISIÓN DE IGUALDAD</w:t>
    </w:r>
  </w:p>
  <w:p w14:paraId="700E0B87" w14:textId="77777777" w:rsidR="00E0100C" w:rsidRPr="00BE0139" w:rsidRDefault="00E0100C" w:rsidP="000800D6">
    <w:pPr>
      <w:tabs>
        <w:tab w:val="center" w:pos="4419"/>
        <w:tab w:val="right" w:pos="8838"/>
      </w:tabs>
      <w:spacing w:after="0" w:line="240" w:lineRule="auto"/>
      <w:jc w:val="right"/>
      <w:rPr>
        <w:rFonts w:ascii="Century Gothic" w:hAnsi="Century Gothic"/>
        <w:b/>
      </w:rPr>
    </w:pPr>
    <w:r w:rsidRPr="00BE0139">
      <w:rPr>
        <w:rFonts w:ascii="Century Gothic" w:hAnsi="Century Gothic"/>
        <w:b/>
      </w:rPr>
      <w:t>LXVII LEGISLATURA</w:t>
    </w:r>
  </w:p>
  <w:p w14:paraId="65DD1D2C" w14:textId="799DBE80" w:rsidR="00E0100C" w:rsidRDefault="00426973" w:rsidP="000800D6">
    <w:pPr>
      <w:pStyle w:val="Encabezado"/>
      <w:jc w:val="right"/>
      <w:rPr>
        <w:rFonts w:ascii="Century Gothic" w:hAnsi="Century Gothic"/>
        <w:b/>
        <w:sz w:val="24"/>
        <w:szCs w:val="24"/>
      </w:rPr>
    </w:pPr>
    <w:r>
      <w:rPr>
        <w:rFonts w:ascii="Century Gothic" w:hAnsi="Century Gothic"/>
        <w:b/>
      </w:rPr>
      <w:t>CI/0</w:t>
    </w:r>
    <w:r w:rsidR="00EF2BCC">
      <w:rPr>
        <w:rFonts w:ascii="Century Gothic" w:hAnsi="Century Gothic"/>
        <w:b/>
      </w:rPr>
      <w:t>8</w:t>
    </w:r>
    <w:r w:rsidR="00FF539B" w:rsidRPr="00BE0139">
      <w:rPr>
        <w:rFonts w:ascii="Century Gothic" w:hAnsi="Century Gothic"/>
        <w:b/>
      </w:rPr>
      <w:t>/202</w:t>
    </w:r>
    <w:r w:rsidR="002B2444">
      <w:rPr>
        <w:rFonts w:ascii="Century Gothic" w:hAnsi="Century Gothic"/>
        <w:b/>
      </w:rPr>
      <w:t>3</w:t>
    </w:r>
  </w:p>
  <w:p w14:paraId="6EB506CF" w14:textId="77777777" w:rsidR="00E0100C" w:rsidRPr="000217A0" w:rsidRDefault="00E0100C"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402"/>
    <w:multiLevelType w:val="hybridMultilevel"/>
    <w:tmpl w:val="6FE2B76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8A82A6F"/>
    <w:multiLevelType w:val="hybridMultilevel"/>
    <w:tmpl w:val="5EB825A0"/>
    <w:lvl w:ilvl="0" w:tplc="D5329D1A">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532C0"/>
    <w:multiLevelType w:val="hybridMultilevel"/>
    <w:tmpl w:val="D304BC90"/>
    <w:lvl w:ilvl="0" w:tplc="344490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5487A"/>
    <w:multiLevelType w:val="hybridMultilevel"/>
    <w:tmpl w:val="5EC4F75C"/>
    <w:lvl w:ilvl="0" w:tplc="1DB86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B545BF"/>
    <w:multiLevelType w:val="hybridMultilevel"/>
    <w:tmpl w:val="AD0AD150"/>
    <w:lvl w:ilvl="0" w:tplc="A24E16FC">
      <w:start w:val="14"/>
      <w:numFmt w:val="upperRoman"/>
      <w:lvlText w:val="%1."/>
      <w:lvlJc w:val="left"/>
      <w:pPr>
        <w:ind w:left="1495" w:hanging="36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9D6BB9"/>
    <w:multiLevelType w:val="hybridMultilevel"/>
    <w:tmpl w:val="BE7ACE56"/>
    <w:lvl w:ilvl="0" w:tplc="080A0017">
      <w:start w:val="1"/>
      <w:numFmt w:val="lowerLetter"/>
      <w:lvlText w:val="%1)"/>
      <w:lvlJc w:val="left"/>
      <w:pPr>
        <w:ind w:left="720" w:hanging="360"/>
      </w:pPr>
    </w:lvl>
    <w:lvl w:ilvl="1" w:tplc="71A6732E">
      <w:start w:val="2"/>
      <w:numFmt w:val="bullet"/>
      <w:lvlText w:val="•"/>
      <w:lvlJc w:val="left"/>
      <w:pPr>
        <w:ind w:left="1785" w:hanging="705"/>
      </w:pPr>
      <w:rPr>
        <w:rFonts w:ascii="Century Gothic" w:eastAsia="Times New Roman"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D42FDF"/>
    <w:multiLevelType w:val="hybridMultilevel"/>
    <w:tmpl w:val="76528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C51103"/>
    <w:multiLevelType w:val="hybridMultilevel"/>
    <w:tmpl w:val="3DFE8848"/>
    <w:lvl w:ilvl="0" w:tplc="173CA646">
      <w:start w:val="1"/>
      <w:numFmt w:val="upperRoman"/>
      <w:lvlText w:val="%1."/>
      <w:lvlJc w:val="left"/>
      <w:pPr>
        <w:ind w:left="1080" w:hanging="720"/>
      </w:pPr>
      <w:rPr>
        <w:rFonts w:eastAsia="Arial Unicode M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3003BB"/>
    <w:multiLevelType w:val="hybridMultilevel"/>
    <w:tmpl w:val="AC441D48"/>
    <w:lvl w:ilvl="0" w:tplc="16C60FCA">
      <w:start w:val="1"/>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75B2E7F"/>
    <w:multiLevelType w:val="hybridMultilevel"/>
    <w:tmpl w:val="E9E0B846"/>
    <w:lvl w:ilvl="0" w:tplc="98C41AB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204ED"/>
    <w:multiLevelType w:val="hybridMultilevel"/>
    <w:tmpl w:val="BA9ED326"/>
    <w:lvl w:ilvl="0" w:tplc="A984A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CF3A67"/>
    <w:multiLevelType w:val="hybridMultilevel"/>
    <w:tmpl w:val="5E8A3126"/>
    <w:lvl w:ilvl="0" w:tplc="080A0017">
      <w:start w:val="1"/>
      <w:numFmt w:val="lowerLetter"/>
      <w:lvlText w:val="%1)"/>
      <w:lvlJc w:val="left"/>
      <w:pPr>
        <w:ind w:left="793" w:hanging="360"/>
      </w:pPr>
    </w:lvl>
    <w:lvl w:ilvl="1" w:tplc="080A0019" w:tentative="1">
      <w:start w:val="1"/>
      <w:numFmt w:val="lowerLetter"/>
      <w:lvlText w:val="%2."/>
      <w:lvlJc w:val="left"/>
      <w:pPr>
        <w:ind w:left="1513" w:hanging="360"/>
      </w:pPr>
    </w:lvl>
    <w:lvl w:ilvl="2" w:tplc="080A001B" w:tentative="1">
      <w:start w:val="1"/>
      <w:numFmt w:val="lowerRoman"/>
      <w:lvlText w:val="%3."/>
      <w:lvlJc w:val="right"/>
      <w:pPr>
        <w:ind w:left="2233" w:hanging="180"/>
      </w:pPr>
    </w:lvl>
    <w:lvl w:ilvl="3" w:tplc="080A000F" w:tentative="1">
      <w:start w:val="1"/>
      <w:numFmt w:val="decimal"/>
      <w:lvlText w:val="%4."/>
      <w:lvlJc w:val="left"/>
      <w:pPr>
        <w:ind w:left="2953" w:hanging="360"/>
      </w:pPr>
    </w:lvl>
    <w:lvl w:ilvl="4" w:tplc="080A0019" w:tentative="1">
      <w:start w:val="1"/>
      <w:numFmt w:val="lowerLetter"/>
      <w:lvlText w:val="%5."/>
      <w:lvlJc w:val="left"/>
      <w:pPr>
        <w:ind w:left="3673" w:hanging="360"/>
      </w:pPr>
    </w:lvl>
    <w:lvl w:ilvl="5" w:tplc="080A001B" w:tentative="1">
      <w:start w:val="1"/>
      <w:numFmt w:val="lowerRoman"/>
      <w:lvlText w:val="%6."/>
      <w:lvlJc w:val="right"/>
      <w:pPr>
        <w:ind w:left="4393" w:hanging="180"/>
      </w:pPr>
    </w:lvl>
    <w:lvl w:ilvl="6" w:tplc="080A000F" w:tentative="1">
      <w:start w:val="1"/>
      <w:numFmt w:val="decimal"/>
      <w:lvlText w:val="%7."/>
      <w:lvlJc w:val="left"/>
      <w:pPr>
        <w:ind w:left="5113" w:hanging="360"/>
      </w:pPr>
    </w:lvl>
    <w:lvl w:ilvl="7" w:tplc="080A0019" w:tentative="1">
      <w:start w:val="1"/>
      <w:numFmt w:val="lowerLetter"/>
      <w:lvlText w:val="%8."/>
      <w:lvlJc w:val="left"/>
      <w:pPr>
        <w:ind w:left="5833" w:hanging="360"/>
      </w:pPr>
    </w:lvl>
    <w:lvl w:ilvl="8" w:tplc="080A001B" w:tentative="1">
      <w:start w:val="1"/>
      <w:numFmt w:val="lowerRoman"/>
      <w:lvlText w:val="%9."/>
      <w:lvlJc w:val="right"/>
      <w:pPr>
        <w:ind w:left="6553" w:hanging="180"/>
      </w:pPr>
    </w:lvl>
  </w:abstractNum>
  <w:abstractNum w:abstractNumId="13" w15:restartNumberingAfterBreak="0">
    <w:nsid w:val="5D9158ED"/>
    <w:multiLevelType w:val="hybridMultilevel"/>
    <w:tmpl w:val="8190EB56"/>
    <w:lvl w:ilvl="0" w:tplc="705622EE">
      <w:start w:val="1"/>
      <w:numFmt w:val="bullet"/>
      <w:lvlText w:val=""/>
      <w:lvlJc w:val="left"/>
      <w:pPr>
        <w:ind w:left="1440" w:hanging="360"/>
      </w:pPr>
      <w:rPr>
        <w:rFonts w:ascii="Wingdings 3" w:hAnsi="Wingdings 3"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F1D20A3"/>
    <w:multiLevelType w:val="hybridMultilevel"/>
    <w:tmpl w:val="8628105A"/>
    <w:lvl w:ilvl="0" w:tplc="DB7CA6D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5A10F11"/>
    <w:multiLevelType w:val="hybridMultilevel"/>
    <w:tmpl w:val="6BAC1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F8771B"/>
    <w:multiLevelType w:val="hybridMultilevel"/>
    <w:tmpl w:val="FD7E8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427B24"/>
    <w:multiLevelType w:val="hybridMultilevel"/>
    <w:tmpl w:val="26946A8A"/>
    <w:lvl w:ilvl="0" w:tplc="79984A9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CC3C29"/>
    <w:multiLevelType w:val="hybridMultilevel"/>
    <w:tmpl w:val="CC86CA42"/>
    <w:lvl w:ilvl="0" w:tplc="5076368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4D5B"/>
    <w:multiLevelType w:val="hybridMultilevel"/>
    <w:tmpl w:val="DE4E1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3861BC"/>
    <w:multiLevelType w:val="hybridMultilevel"/>
    <w:tmpl w:val="F8F6B7F4"/>
    <w:lvl w:ilvl="0" w:tplc="0F767034">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A5852EF"/>
    <w:multiLevelType w:val="hybridMultilevel"/>
    <w:tmpl w:val="F09AC9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8"/>
  </w:num>
  <w:num w:numId="5">
    <w:abstractNumId w:val="5"/>
  </w:num>
  <w:num w:numId="6">
    <w:abstractNumId w:val="17"/>
  </w:num>
  <w:num w:numId="7">
    <w:abstractNumId w:val="9"/>
  </w:num>
  <w:num w:numId="8">
    <w:abstractNumId w:val="0"/>
  </w:num>
  <w:num w:numId="9">
    <w:abstractNumId w:val="20"/>
  </w:num>
  <w:num w:numId="10">
    <w:abstractNumId w:val="1"/>
  </w:num>
  <w:num w:numId="11">
    <w:abstractNumId w:val="12"/>
  </w:num>
  <w:num w:numId="12">
    <w:abstractNumId w:val="16"/>
  </w:num>
  <w:num w:numId="13">
    <w:abstractNumId w:val="21"/>
  </w:num>
  <w:num w:numId="14">
    <w:abstractNumId w:val="13"/>
  </w:num>
  <w:num w:numId="15">
    <w:abstractNumId w:val="19"/>
  </w:num>
  <w:num w:numId="16">
    <w:abstractNumId w:val="2"/>
  </w:num>
  <w:num w:numId="17">
    <w:abstractNumId w:val="15"/>
  </w:num>
  <w:num w:numId="18">
    <w:abstractNumId w:val="3"/>
  </w:num>
  <w:num w:numId="19">
    <w:abstractNumId w:val="11"/>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401D"/>
    <w:rsid w:val="0002198F"/>
    <w:rsid w:val="000223FC"/>
    <w:rsid w:val="0004115A"/>
    <w:rsid w:val="000620EB"/>
    <w:rsid w:val="0006222D"/>
    <w:rsid w:val="000622AA"/>
    <w:rsid w:val="00076062"/>
    <w:rsid w:val="000800D6"/>
    <w:rsid w:val="000826FE"/>
    <w:rsid w:val="00085E60"/>
    <w:rsid w:val="00093899"/>
    <w:rsid w:val="000A5764"/>
    <w:rsid w:val="000B0964"/>
    <w:rsid w:val="000B3CC6"/>
    <w:rsid w:val="000C2F8F"/>
    <w:rsid w:val="000D2538"/>
    <w:rsid w:val="000D32F0"/>
    <w:rsid w:val="000E0147"/>
    <w:rsid w:val="000E32D4"/>
    <w:rsid w:val="00106485"/>
    <w:rsid w:val="00113F37"/>
    <w:rsid w:val="00157735"/>
    <w:rsid w:val="0017325F"/>
    <w:rsid w:val="001773FF"/>
    <w:rsid w:val="00180B2C"/>
    <w:rsid w:val="0019290D"/>
    <w:rsid w:val="00193ADB"/>
    <w:rsid w:val="001A2ABB"/>
    <w:rsid w:val="001C5132"/>
    <w:rsid w:val="001D337E"/>
    <w:rsid w:val="001D7721"/>
    <w:rsid w:val="001F024E"/>
    <w:rsid w:val="001F61D7"/>
    <w:rsid w:val="001F6636"/>
    <w:rsid w:val="00205D56"/>
    <w:rsid w:val="002226BD"/>
    <w:rsid w:val="002237D5"/>
    <w:rsid w:val="00230377"/>
    <w:rsid w:val="00231C32"/>
    <w:rsid w:val="002350CA"/>
    <w:rsid w:val="0023656F"/>
    <w:rsid w:val="0024151F"/>
    <w:rsid w:val="002417B5"/>
    <w:rsid w:val="00260C61"/>
    <w:rsid w:val="00270555"/>
    <w:rsid w:val="00271219"/>
    <w:rsid w:val="00276BAF"/>
    <w:rsid w:val="002827E1"/>
    <w:rsid w:val="00292374"/>
    <w:rsid w:val="002973CF"/>
    <w:rsid w:val="002B2444"/>
    <w:rsid w:val="002C111A"/>
    <w:rsid w:val="002D4506"/>
    <w:rsid w:val="002E4E0F"/>
    <w:rsid w:val="002E661F"/>
    <w:rsid w:val="002F303A"/>
    <w:rsid w:val="003149C0"/>
    <w:rsid w:val="00321AF6"/>
    <w:rsid w:val="00321D78"/>
    <w:rsid w:val="00347BC4"/>
    <w:rsid w:val="00353805"/>
    <w:rsid w:val="00372A98"/>
    <w:rsid w:val="003760BA"/>
    <w:rsid w:val="00377C1B"/>
    <w:rsid w:val="00383F7A"/>
    <w:rsid w:val="00396BB4"/>
    <w:rsid w:val="003A1026"/>
    <w:rsid w:val="003A5152"/>
    <w:rsid w:val="003B59A0"/>
    <w:rsid w:val="003D6A99"/>
    <w:rsid w:val="003F6444"/>
    <w:rsid w:val="00401E10"/>
    <w:rsid w:val="00404E94"/>
    <w:rsid w:val="00407109"/>
    <w:rsid w:val="00420463"/>
    <w:rsid w:val="004210BE"/>
    <w:rsid w:val="00425743"/>
    <w:rsid w:val="0042658D"/>
    <w:rsid w:val="00426973"/>
    <w:rsid w:val="00426AC0"/>
    <w:rsid w:val="00451676"/>
    <w:rsid w:val="004519D1"/>
    <w:rsid w:val="00457E2A"/>
    <w:rsid w:val="00460CF2"/>
    <w:rsid w:val="00472A6D"/>
    <w:rsid w:val="00475566"/>
    <w:rsid w:val="00481BAA"/>
    <w:rsid w:val="004B721A"/>
    <w:rsid w:val="004B7E1C"/>
    <w:rsid w:val="004C3BE2"/>
    <w:rsid w:val="004D31D4"/>
    <w:rsid w:val="004E20E2"/>
    <w:rsid w:val="004E4AEF"/>
    <w:rsid w:val="004E7CF5"/>
    <w:rsid w:val="00521BA0"/>
    <w:rsid w:val="005264F7"/>
    <w:rsid w:val="00535ECF"/>
    <w:rsid w:val="00541545"/>
    <w:rsid w:val="00542CC0"/>
    <w:rsid w:val="005708C9"/>
    <w:rsid w:val="00577038"/>
    <w:rsid w:val="005771AE"/>
    <w:rsid w:val="00586DC6"/>
    <w:rsid w:val="005C2289"/>
    <w:rsid w:val="005C6751"/>
    <w:rsid w:val="005D2856"/>
    <w:rsid w:val="005D55A5"/>
    <w:rsid w:val="005D5C71"/>
    <w:rsid w:val="005E7EDB"/>
    <w:rsid w:val="005F040C"/>
    <w:rsid w:val="005F5F96"/>
    <w:rsid w:val="00601E74"/>
    <w:rsid w:val="00607AAA"/>
    <w:rsid w:val="0061071B"/>
    <w:rsid w:val="00613A56"/>
    <w:rsid w:val="00616C90"/>
    <w:rsid w:val="00624E85"/>
    <w:rsid w:val="00625B93"/>
    <w:rsid w:val="00630EAC"/>
    <w:rsid w:val="0063269A"/>
    <w:rsid w:val="00634519"/>
    <w:rsid w:val="00645A5C"/>
    <w:rsid w:val="00652713"/>
    <w:rsid w:val="00655504"/>
    <w:rsid w:val="006610C4"/>
    <w:rsid w:val="006656B4"/>
    <w:rsid w:val="00675776"/>
    <w:rsid w:val="006852AA"/>
    <w:rsid w:val="0069092E"/>
    <w:rsid w:val="006A78CE"/>
    <w:rsid w:val="006B0E5C"/>
    <w:rsid w:val="006B4E48"/>
    <w:rsid w:val="006E2EE5"/>
    <w:rsid w:val="006E3523"/>
    <w:rsid w:val="006E6B00"/>
    <w:rsid w:val="006F178F"/>
    <w:rsid w:val="00700907"/>
    <w:rsid w:val="007052EB"/>
    <w:rsid w:val="007074AD"/>
    <w:rsid w:val="00725572"/>
    <w:rsid w:val="007304C5"/>
    <w:rsid w:val="007313CF"/>
    <w:rsid w:val="007330BB"/>
    <w:rsid w:val="00746005"/>
    <w:rsid w:val="0075292B"/>
    <w:rsid w:val="00752D74"/>
    <w:rsid w:val="00757ED3"/>
    <w:rsid w:val="00757F4C"/>
    <w:rsid w:val="007705BE"/>
    <w:rsid w:val="0077282F"/>
    <w:rsid w:val="00772E06"/>
    <w:rsid w:val="00775E60"/>
    <w:rsid w:val="00781A2E"/>
    <w:rsid w:val="00793270"/>
    <w:rsid w:val="00793CFD"/>
    <w:rsid w:val="007A23CF"/>
    <w:rsid w:val="007E44FE"/>
    <w:rsid w:val="00830314"/>
    <w:rsid w:val="008563E7"/>
    <w:rsid w:val="00856EBD"/>
    <w:rsid w:val="008617AE"/>
    <w:rsid w:val="0087050E"/>
    <w:rsid w:val="008716F2"/>
    <w:rsid w:val="008747DE"/>
    <w:rsid w:val="008931B7"/>
    <w:rsid w:val="00897102"/>
    <w:rsid w:val="008A1848"/>
    <w:rsid w:val="008B148F"/>
    <w:rsid w:val="008B47F5"/>
    <w:rsid w:val="008B7D0F"/>
    <w:rsid w:val="008C029C"/>
    <w:rsid w:val="0090524D"/>
    <w:rsid w:val="0092386A"/>
    <w:rsid w:val="00931197"/>
    <w:rsid w:val="00931976"/>
    <w:rsid w:val="00935A8C"/>
    <w:rsid w:val="00936D90"/>
    <w:rsid w:val="00943CE2"/>
    <w:rsid w:val="00956AC1"/>
    <w:rsid w:val="00982223"/>
    <w:rsid w:val="00987C08"/>
    <w:rsid w:val="00991C10"/>
    <w:rsid w:val="0099398A"/>
    <w:rsid w:val="009B40A7"/>
    <w:rsid w:val="009B4510"/>
    <w:rsid w:val="009C052E"/>
    <w:rsid w:val="009C2357"/>
    <w:rsid w:val="009C2C46"/>
    <w:rsid w:val="009C50AF"/>
    <w:rsid w:val="009C53FD"/>
    <w:rsid w:val="009C7B53"/>
    <w:rsid w:val="009D1BF0"/>
    <w:rsid w:val="009D208D"/>
    <w:rsid w:val="009D7508"/>
    <w:rsid w:val="009E3561"/>
    <w:rsid w:val="009F5EAF"/>
    <w:rsid w:val="00A02B43"/>
    <w:rsid w:val="00A14071"/>
    <w:rsid w:val="00A17E90"/>
    <w:rsid w:val="00A21A3A"/>
    <w:rsid w:val="00A2484E"/>
    <w:rsid w:val="00A32EA1"/>
    <w:rsid w:val="00A4725A"/>
    <w:rsid w:val="00A4792D"/>
    <w:rsid w:val="00A83498"/>
    <w:rsid w:val="00A85106"/>
    <w:rsid w:val="00AA6FBD"/>
    <w:rsid w:val="00AB322B"/>
    <w:rsid w:val="00AC1196"/>
    <w:rsid w:val="00AC6B8A"/>
    <w:rsid w:val="00AD380A"/>
    <w:rsid w:val="00AD44E1"/>
    <w:rsid w:val="00AE0929"/>
    <w:rsid w:val="00AF4447"/>
    <w:rsid w:val="00B025C6"/>
    <w:rsid w:val="00B07598"/>
    <w:rsid w:val="00B11B9C"/>
    <w:rsid w:val="00B1539F"/>
    <w:rsid w:val="00B15660"/>
    <w:rsid w:val="00B22B06"/>
    <w:rsid w:val="00B24BF4"/>
    <w:rsid w:val="00B2741C"/>
    <w:rsid w:val="00B33D09"/>
    <w:rsid w:val="00B33D42"/>
    <w:rsid w:val="00B42186"/>
    <w:rsid w:val="00B475ED"/>
    <w:rsid w:val="00B645B5"/>
    <w:rsid w:val="00B96A0A"/>
    <w:rsid w:val="00BB236F"/>
    <w:rsid w:val="00BB3709"/>
    <w:rsid w:val="00BC22A8"/>
    <w:rsid w:val="00BD58B6"/>
    <w:rsid w:val="00BE0139"/>
    <w:rsid w:val="00BE1438"/>
    <w:rsid w:val="00BF1AC6"/>
    <w:rsid w:val="00BF5FBA"/>
    <w:rsid w:val="00C06298"/>
    <w:rsid w:val="00C173E7"/>
    <w:rsid w:val="00C17D61"/>
    <w:rsid w:val="00C23BD9"/>
    <w:rsid w:val="00C321B1"/>
    <w:rsid w:val="00C32302"/>
    <w:rsid w:val="00C46001"/>
    <w:rsid w:val="00C612DD"/>
    <w:rsid w:val="00C80C5B"/>
    <w:rsid w:val="00CA5067"/>
    <w:rsid w:val="00CC3EAF"/>
    <w:rsid w:val="00CC59EE"/>
    <w:rsid w:val="00CD7A88"/>
    <w:rsid w:val="00CE14B5"/>
    <w:rsid w:val="00CE6B8F"/>
    <w:rsid w:val="00CF5208"/>
    <w:rsid w:val="00CF791F"/>
    <w:rsid w:val="00D25DFE"/>
    <w:rsid w:val="00D34C7A"/>
    <w:rsid w:val="00D3620A"/>
    <w:rsid w:val="00D407FC"/>
    <w:rsid w:val="00D422D7"/>
    <w:rsid w:val="00D453F3"/>
    <w:rsid w:val="00D50444"/>
    <w:rsid w:val="00D5629A"/>
    <w:rsid w:val="00D566C3"/>
    <w:rsid w:val="00D857A3"/>
    <w:rsid w:val="00D86F42"/>
    <w:rsid w:val="00D91554"/>
    <w:rsid w:val="00DA2636"/>
    <w:rsid w:val="00DA4334"/>
    <w:rsid w:val="00DA4429"/>
    <w:rsid w:val="00DD28AC"/>
    <w:rsid w:val="00DD5385"/>
    <w:rsid w:val="00DE0A8D"/>
    <w:rsid w:val="00DE63D9"/>
    <w:rsid w:val="00E0100C"/>
    <w:rsid w:val="00E07757"/>
    <w:rsid w:val="00E12A4E"/>
    <w:rsid w:val="00E137B6"/>
    <w:rsid w:val="00E170E0"/>
    <w:rsid w:val="00E221A2"/>
    <w:rsid w:val="00E325D1"/>
    <w:rsid w:val="00E35156"/>
    <w:rsid w:val="00E35C3E"/>
    <w:rsid w:val="00E45883"/>
    <w:rsid w:val="00E52118"/>
    <w:rsid w:val="00E53990"/>
    <w:rsid w:val="00E92887"/>
    <w:rsid w:val="00EC26B9"/>
    <w:rsid w:val="00EC6D59"/>
    <w:rsid w:val="00EF2BCC"/>
    <w:rsid w:val="00EF3EA6"/>
    <w:rsid w:val="00EF740A"/>
    <w:rsid w:val="00F34C36"/>
    <w:rsid w:val="00F80672"/>
    <w:rsid w:val="00F875D4"/>
    <w:rsid w:val="00FA2729"/>
    <w:rsid w:val="00FB0DFF"/>
    <w:rsid w:val="00FB217F"/>
    <w:rsid w:val="00FB2757"/>
    <w:rsid w:val="00FC5689"/>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97B8-6EE4-4549-A25F-4470334E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3524</Words>
  <Characters>19387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Brenda Sarahi Gonzalez Dominguez</cp:lastModifiedBy>
  <cp:revision>2</cp:revision>
  <cp:lastPrinted>2023-02-28T21:11:00Z</cp:lastPrinted>
  <dcterms:created xsi:type="dcterms:W3CDTF">2023-03-02T15:41:00Z</dcterms:created>
  <dcterms:modified xsi:type="dcterms:W3CDTF">2023-03-02T15:41:00Z</dcterms:modified>
</cp:coreProperties>
</file>