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F3CD" w14:textId="1A884122" w:rsidR="006856B5" w:rsidRPr="00286308" w:rsidRDefault="006856B5" w:rsidP="004C3CC2">
      <w:pPr>
        <w:pStyle w:val="Normal1"/>
        <w:spacing w:line="360" w:lineRule="auto"/>
        <w:contextualSpacing/>
        <w:jc w:val="both"/>
        <w:rPr>
          <w:rFonts w:ascii="Century Gothic" w:hAnsi="Century Gothic" w:cs="Arial"/>
          <w:color w:val="auto"/>
          <w:szCs w:val="24"/>
          <w:lang w:val="es-MX"/>
        </w:rPr>
      </w:pPr>
      <w:r w:rsidRPr="00286308">
        <w:rPr>
          <w:rFonts w:ascii="Century Gothic" w:eastAsia="Arial" w:hAnsi="Century Gothic" w:cs="Arial"/>
          <w:b/>
          <w:color w:val="auto"/>
          <w:szCs w:val="24"/>
          <w:lang w:val="es-MX"/>
        </w:rPr>
        <w:t>H. CONGRESO DEL ESTADO</w:t>
      </w:r>
      <w:r w:rsidRPr="00286308">
        <w:rPr>
          <w:rFonts w:ascii="Century Gothic" w:eastAsia="Arial" w:hAnsi="Century Gothic" w:cs="Arial"/>
          <w:b/>
          <w:color w:val="auto"/>
          <w:szCs w:val="24"/>
          <w:lang w:val="es-MX"/>
        </w:rPr>
        <w:tab/>
      </w:r>
      <w:r w:rsidRPr="00286308">
        <w:rPr>
          <w:rFonts w:ascii="Century Gothic" w:eastAsia="Arial" w:hAnsi="Century Gothic" w:cs="Arial"/>
          <w:b/>
          <w:color w:val="auto"/>
          <w:szCs w:val="24"/>
          <w:lang w:val="es-MX"/>
        </w:rPr>
        <w:tab/>
      </w:r>
      <w:r w:rsidRPr="00286308">
        <w:rPr>
          <w:rFonts w:ascii="Century Gothic" w:eastAsia="Arial" w:hAnsi="Century Gothic" w:cs="Arial"/>
          <w:b/>
          <w:color w:val="auto"/>
          <w:szCs w:val="24"/>
          <w:lang w:val="es-MX"/>
        </w:rPr>
        <w:tab/>
      </w:r>
      <w:r w:rsidRPr="00286308">
        <w:rPr>
          <w:rFonts w:ascii="Century Gothic" w:eastAsia="Arial" w:hAnsi="Century Gothic" w:cs="Arial"/>
          <w:b/>
          <w:color w:val="auto"/>
          <w:szCs w:val="24"/>
          <w:lang w:val="es-MX"/>
        </w:rPr>
        <w:tab/>
      </w:r>
      <w:r w:rsidRPr="00286308">
        <w:rPr>
          <w:rFonts w:ascii="Century Gothic" w:eastAsia="Arial" w:hAnsi="Century Gothic" w:cs="Arial"/>
          <w:b/>
          <w:color w:val="auto"/>
          <w:szCs w:val="24"/>
          <w:lang w:val="es-MX"/>
        </w:rPr>
        <w:tab/>
      </w:r>
    </w:p>
    <w:p w14:paraId="3C15C322" w14:textId="77777777" w:rsidR="006856B5" w:rsidRPr="00286308" w:rsidRDefault="006856B5" w:rsidP="004C3CC2">
      <w:pPr>
        <w:pStyle w:val="Normal1"/>
        <w:spacing w:line="360" w:lineRule="auto"/>
        <w:contextualSpacing/>
        <w:jc w:val="both"/>
        <w:rPr>
          <w:rFonts w:ascii="Century Gothic" w:eastAsia="Arial" w:hAnsi="Century Gothic" w:cs="Arial"/>
          <w:b/>
          <w:color w:val="auto"/>
          <w:szCs w:val="24"/>
          <w:lang w:val="es-MX"/>
        </w:rPr>
      </w:pPr>
      <w:r w:rsidRPr="00286308">
        <w:rPr>
          <w:rFonts w:ascii="Century Gothic" w:eastAsia="Arial" w:hAnsi="Century Gothic" w:cs="Arial"/>
          <w:b/>
          <w:color w:val="auto"/>
          <w:szCs w:val="24"/>
          <w:lang w:val="es-MX"/>
        </w:rPr>
        <w:t>P R E S E N T E.-</w:t>
      </w:r>
    </w:p>
    <w:p w14:paraId="29EBCA04" w14:textId="77777777" w:rsidR="006856B5" w:rsidRPr="00286308" w:rsidRDefault="006856B5" w:rsidP="004C3CC2">
      <w:pPr>
        <w:pStyle w:val="Normal1"/>
        <w:spacing w:line="360" w:lineRule="auto"/>
        <w:contextualSpacing/>
        <w:jc w:val="both"/>
        <w:rPr>
          <w:rFonts w:ascii="Century Gothic" w:eastAsia="Arial" w:hAnsi="Century Gothic" w:cs="Arial"/>
          <w:b/>
          <w:color w:val="auto"/>
          <w:szCs w:val="24"/>
          <w:lang w:val="es-MX"/>
        </w:rPr>
      </w:pPr>
    </w:p>
    <w:p w14:paraId="55B1CD0D" w14:textId="0AA3323B" w:rsidR="006856B5" w:rsidRPr="00286308" w:rsidRDefault="006856B5" w:rsidP="004C3CC2">
      <w:pPr>
        <w:pStyle w:val="Normal1"/>
        <w:spacing w:line="360" w:lineRule="auto"/>
        <w:contextualSpacing/>
        <w:jc w:val="both"/>
        <w:rPr>
          <w:rFonts w:ascii="Century Gothic" w:hAnsi="Century Gothic" w:cs="Arial"/>
          <w:color w:val="auto"/>
          <w:szCs w:val="24"/>
          <w:lang w:val="es-MX"/>
        </w:rPr>
      </w:pPr>
      <w:r w:rsidRPr="00286308">
        <w:rPr>
          <w:rFonts w:ascii="Century Gothic" w:eastAsia="Arial" w:hAnsi="Century Gothic" w:cs="Arial"/>
          <w:color w:val="auto"/>
          <w:szCs w:val="24"/>
          <w:lang w:val="es-MX"/>
        </w:rPr>
        <w:t xml:space="preserve">La Comisión de </w:t>
      </w:r>
      <w:r w:rsidR="00AE708E" w:rsidRPr="00286308">
        <w:rPr>
          <w:rFonts w:ascii="Century Gothic" w:eastAsia="Arial" w:hAnsi="Century Gothic" w:cs="Arial"/>
          <w:color w:val="auto"/>
          <w:szCs w:val="24"/>
          <w:lang w:val="es-MX"/>
        </w:rPr>
        <w:t>Programación, Presupuesto y Hacienda Pública</w:t>
      </w:r>
      <w:r w:rsidRPr="00286308">
        <w:rPr>
          <w:rFonts w:ascii="Century Gothic" w:eastAsia="Arial" w:hAnsi="Century Gothic" w:cs="Arial"/>
          <w:color w:val="auto"/>
          <w:szCs w:val="24"/>
          <w:lang w:val="es-MX"/>
        </w:rPr>
        <w:t>, con fundamento en lo dispuesto p</w:t>
      </w:r>
      <w:r w:rsidR="00824F97" w:rsidRPr="00286308">
        <w:rPr>
          <w:rFonts w:ascii="Century Gothic" w:eastAsia="Arial" w:hAnsi="Century Gothic" w:cs="Arial"/>
          <w:color w:val="auto"/>
          <w:szCs w:val="24"/>
          <w:lang w:val="es-MX"/>
        </w:rPr>
        <w:t>or los artículos 64, fracción I</w:t>
      </w:r>
      <w:r w:rsidR="0005625E" w:rsidRPr="00286308">
        <w:rPr>
          <w:rFonts w:ascii="Century Gothic" w:eastAsia="Arial" w:hAnsi="Century Gothic" w:cs="Arial"/>
          <w:color w:val="auto"/>
          <w:szCs w:val="24"/>
          <w:lang w:val="es-MX"/>
        </w:rPr>
        <w:t>I</w:t>
      </w:r>
      <w:r w:rsidRPr="00286308">
        <w:rPr>
          <w:rFonts w:ascii="Century Gothic" w:eastAsia="Arial" w:hAnsi="Century Gothic" w:cs="Arial"/>
          <w:color w:val="auto"/>
          <w:szCs w:val="24"/>
          <w:lang w:val="es-MX"/>
        </w:rPr>
        <w:t xml:space="preserve"> de la Constitución Política, 87, 88 y 111 de la Ley Orgánica del Poder Legislativo, así como 80 y 81 del Reglamento Interior y de Prácticas Parlamentarias del Poder Legislativo, </w:t>
      </w:r>
      <w:r w:rsidR="002B3EF9" w:rsidRPr="00286308">
        <w:rPr>
          <w:rFonts w:ascii="Century Gothic" w:eastAsia="Arial" w:hAnsi="Century Gothic" w:cs="Arial"/>
          <w:color w:val="auto"/>
          <w:szCs w:val="24"/>
          <w:lang w:val="es-MX"/>
        </w:rPr>
        <w:t>ambos ordenamientos</w:t>
      </w:r>
      <w:r w:rsidRPr="00286308">
        <w:rPr>
          <w:rFonts w:ascii="Century Gothic" w:eastAsia="Arial" w:hAnsi="Century Gothic" w:cs="Arial"/>
          <w:color w:val="auto"/>
          <w:szCs w:val="24"/>
          <w:lang w:val="es-MX"/>
        </w:rPr>
        <w:t xml:space="preserve"> del Estado de Chihuahua, somete a la consideración de este Alto Cuerpo Colegiado el presente Dictamen, elaborado </w:t>
      </w:r>
      <w:r w:rsidR="00A47535" w:rsidRPr="00286308">
        <w:rPr>
          <w:rFonts w:ascii="Century Gothic" w:eastAsia="Arial" w:hAnsi="Century Gothic" w:cs="Arial"/>
          <w:color w:val="auto"/>
          <w:szCs w:val="24"/>
          <w:lang w:val="es-MX"/>
        </w:rPr>
        <w:t>con</w:t>
      </w:r>
      <w:r w:rsidRPr="00286308">
        <w:rPr>
          <w:rFonts w:ascii="Century Gothic" w:eastAsia="Arial" w:hAnsi="Century Gothic" w:cs="Arial"/>
          <w:color w:val="auto"/>
          <w:szCs w:val="24"/>
          <w:lang w:val="es-MX"/>
        </w:rPr>
        <w:t xml:space="preserve"> base a los siguientes: </w:t>
      </w:r>
    </w:p>
    <w:p w14:paraId="21143E25" w14:textId="77777777" w:rsidR="00BF2C2D" w:rsidRPr="00286308" w:rsidRDefault="00BF2C2D" w:rsidP="004C3CC2">
      <w:pPr>
        <w:pStyle w:val="Normal1"/>
        <w:spacing w:line="360" w:lineRule="auto"/>
        <w:contextualSpacing/>
        <w:jc w:val="both"/>
        <w:rPr>
          <w:rFonts w:ascii="Century Gothic" w:eastAsia="Arial" w:hAnsi="Century Gothic" w:cs="Arial"/>
          <w:b/>
          <w:color w:val="auto"/>
          <w:szCs w:val="24"/>
          <w:lang w:val="es-MX"/>
        </w:rPr>
      </w:pPr>
    </w:p>
    <w:p w14:paraId="20A0E3CA" w14:textId="77777777" w:rsidR="006856B5" w:rsidRPr="00286308" w:rsidRDefault="006856B5" w:rsidP="004C3CC2">
      <w:pPr>
        <w:pStyle w:val="Normal1"/>
        <w:spacing w:line="360" w:lineRule="auto"/>
        <w:contextualSpacing/>
        <w:jc w:val="center"/>
        <w:rPr>
          <w:rFonts w:ascii="Century Gothic" w:eastAsia="Arial" w:hAnsi="Century Gothic" w:cs="Arial"/>
          <w:b/>
          <w:color w:val="auto"/>
          <w:szCs w:val="24"/>
          <w:lang w:val="es-MX"/>
        </w:rPr>
      </w:pPr>
      <w:r w:rsidRPr="00286308">
        <w:rPr>
          <w:rFonts w:ascii="Century Gothic" w:eastAsia="Arial" w:hAnsi="Century Gothic" w:cs="Arial"/>
          <w:b/>
          <w:color w:val="auto"/>
          <w:szCs w:val="24"/>
          <w:lang w:val="es-MX"/>
        </w:rPr>
        <w:t>ANTECEDENTES</w:t>
      </w:r>
    </w:p>
    <w:p w14:paraId="574F87C2" w14:textId="77777777" w:rsidR="00BF2C2D" w:rsidRPr="00286308" w:rsidRDefault="00BF2C2D" w:rsidP="00E0123D">
      <w:pPr>
        <w:pStyle w:val="Normal1"/>
        <w:spacing w:line="360" w:lineRule="auto"/>
        <w:contextualSpacing/>
        <w:jc w:val="both"/>
        <w:rPr>
          <w:rFonts w:ascii="Century Gothic" w:eastAsia="Arial" w:hAnsi="Century Gothic" w:cs="Arial"/>
          <w:b/>
          <w:color w:val="auto"/>
          <w:szCs w:val="24"/>
          <w:lang w:val="es-MX"/>
        </w:rPr>
      </w:pPr>
    </w:p>
    <w:p w14:paraId="21181357" w14:textId="0BEF3E75" w:rsidR="006C0094" w:rsidRPr="00286308" w:rsidRDefault="00BF2C2D" w:rsidP="004C3CC2">
      <w:pPr>
        <w:pStyle w:val="Normal1"/>
        <w:spacing w:line="360" w:lineRule="auto"/>
        <w:contextualSpacing/>
        <w:jc w:val="both"/>
        <w:rPr>
          <w:rFonts w:ascii="Century Gothic" w:eastAsia="Arial" w:hAnsi="Century Gothic" w:cs="Arial"/>
          <w:color w:val="auto"/>
          <w:szCs w:val="24"/>
          <w:lang w:val="es-MX"/>
        </w:rPr>
      </w:pPr>
      <w:r w:rsidRPr="00286308">
        <w:rPr>
          <w:rFonts w:ascii="Century Gothic" w:eastAsia="Arial" w:hAnsi="Century Gothic" w:cs="Arial"/>
          <w:b/>
          <w:color w:val="auto"/>
          <w:szCs w:val="24"/>
          <w:lang w:val="es-MX"/>
        </w:rPr>
        <w:t xml:space="preserve">I.- </w:t>
      </w:r>
      <w:r w:rsidRPr="00286308">
        <w:rPr>
          <w:rFonts w:ascii="Century Gothic" w:eastAsia="Arial" w:hAnsi="Century Gothic" w:cs="Arial"/>
          <w:color w:val="auto"/>
          <w:szCs w:val="24"/>
          <w:lang w:val="es-MX"/>
        </w:rPr>
        <w:t xml:space="preserve">Con fecha del </w:t>
      </w:r>
      <w:r w:rsidR="00103D3F" w:rsidRPr="00286308">
        <w:rPr>
          <w:rFonts w:ascii="Century Gothic" w:eastAsia="Arial" w:hAnsi="Century Gothic" w:cs="Arial"/>
          <w:color w:val="auto"/>
          <w:szCs w:val="24"/>
          <w:lang w:val="es-MX"/>
        </w:rPr>
        <w:t>treinta</w:t>
      </w:r>
      <w:r w:rsidRPr="00286308">
        <w:rPr>
          <w:rFonts w:ascii="Century Gothic" w:eastAsia="Arial" w:hAnsi="Century Gothic" w:cs="Arial"/>
          <w:color w:val="auto"/>
          <w:szCs w:val="24"/>
          <w:lang w:val="es-MX"/>
        </w:rPr>
        <w:t xml:space="preserve"> de </w:t>
      </w:r>
      <w:r w:rsidR="006C0094" w:rsidRPr="00286308">
        <w:rPr>
          <w:rFonts w:ascii="Century Gothic" w:eastAsia="Arial" w:hAnsi="Century Gothic" w:cs="Arial"/>
          <w:color w:val="auto"/>
          <w:szCs w:val="24"/>
          <w:lang w:val="es-MX"/>
        </w:rPr>
        <w:t>noviemb</w:t>
      </w:r>
      <w:r w:rsidR="00C2171A" w:rsidRPr="00286308">
        <w:rPr>
          <w:rFonts w:ascii="Century Gothic" w:eastAsia="Arial" w:hAnsi="Century Gothic" w:cs="Arial"/>
          <w:color w:val="auto"/>
          <w:szCs w:val="24"/>
          <w:lang w:val="es-MX"/>
        </w:rPr>
        <w:t>re</w:t>
      </w:r>
      <w:r w:rsidR="00AE708E" w:rsidRPr="00286308">
        <w:rPr>
          <w:rFonts w:ascii="Century Gothic" w:eastAsia="Arial" w:hAnsi="Century Gothic" w:cs="Arial"/>
          <w:color w:val="auto"/>
          <w:szCs w:val="24"/>
          <w:lang w:val="es-MX"/>
        </w:rPr>
        <w:t xml:space="preserve"> del año dos mil </w:t>
      </w:r>
      <w:r w:rsidR="00804EC7" w:rsidRPr="00286308">
        <w:rPr>
          <w:rFonts w:ascii="Century Gothic" w:eastAsia="Arial" w:hAnsi="Century Gothic" w:cs="Arial"/>
          <w:color w:val="auto"/>
          <w:szCs w:val="24"/>
          <w:lang w:val="es-MX"/>
        </w:rPr>
        <w:t>veintidós</w:t>
      </w:r>
      <w:r w:rsidRPr="00286308">
        <w:rPr>
          <w:rFonts w:ascii="Century Gothic" w:eastAsia="Arial" w:hAnsi="Century Gothic" w:cs="Arial"/>
          <w:color w:val="auto"/>
          <w:szCs w:val="24"/>
          <w:lang w:val="es-MX"/>
        </w:rPr>
        <w:t xml:space="preserve">, </w:t>
      </w:r>
      <w:r w:rsidR="006C0094" w:rsidRPr="00286308">
        <w:rPr>
          <w:rFonts w:ascii="Century Gothic" w:eastAsia="Arial" w:hAnsi="Century Gothic" w:cs="Arial"/>
          <w:color w:val="auto"/>
          <w:szCs w:val="24"/>
          <w:lang w:val="es-MX"/>
        </w:rPr>
        <w:t xml:space="preserve">la C. Gobernadora Constitucional del Estado de Chihuahua, </w:t>
      </w:r>
      <w:r w:rsidR="0099081A" w:rsidRPr="00286308">
        <w:rPr>
          <w:rFonts w:ascii="Century Gothic" w:eastAsia="Arial" w:hAnsi="Century Gothic" w:cs="Arial"/>
          <w:color w:val="auto"/>
          <w:szCs w:val="24"/>
          <w:lang w:val="es-MX"/>
        </w:rPr>
        <w:t>Mtra</w:t>
      </w:r>
      <w:r w:rsidR="006C0094" w:rsidRPr="00286308">
        <w:rPr>
          <w:rFonts w:ascii="Century Gothic" w:eastAsia="Arial" w:hAnsi="Century Gothic" w:cs="Arial"/>
          <w:color w:val="auto"/>
          <w:szCs w:val="24"/>
          <w:lang w:val="es-MX"/>
        </w:rPr>
        <w:t>. María Eugenia Campos Galván, presentó Iniciativa con carácter de Decreto, por medio de la cual</w:t>
      </w:r>
      <w:r w:rsidR="00E0123D" w:rsidRPr="00286308">
        <w:rPr>
          <w:rFonts w:ascii="Century Gothic" w:eastAsia="Arial" w:hAnsi="Century Gothic" w:cs="Arial"/>
          <w:color w:val="auto"/>
          <w:szCs w:val="24"/>
          <w:lang w:val="es-MX"/>
        </w:rPr>
        <w:t xml:space="preserve"> se </w:t>
      </w:r>
      <w:r w:rsidR="00F65E1C" w:rsidRPr="00286308">
        <w:rPr>
          <w:rFonts w:ascii="Century Gothic" w:eastAsia="Arial" w:hAnsi="Century Gothic" w:cs="Arial"/>
          <w:color w:val="auto"/>
          <w:szCs w:val="24"/>
          <w:lang w:val="es-MX"/>
        </w:rPr>
        <w:t>busca el</w:t>
      </w:r>
      <w:r w:rsidR="00F44A8B" w:rsidRPr="00286308">
        <w:rPr>
          <w:rFonts w:ascii="Century Gothic" w:eastAsia="Arial" w:hAnsi="Century Gothic" w:cs="Arial"/>
          <w:color w:val="auto"/>
          <w:szCs w:val="24"/>
          <w:lang w:val="es-MX"/>
        </w:rPr>
        <w:t xml:space="preserve"> Fortalecimiento Financiero</w:t>
      </w:r>
      <w:r w:rsidR="00F65E1C" w:rsidRPr="00286308">
        <w:rPr>
          <w:rFonts w:ascii="Century Gothic" w:eastAsia="Arial" w:hAnsi="Century Gothic" w:cs="Arial"/>
          <w:color w:val="auto"/>
          <w:szCs w:val="24"/>
          <w:lang w:val="es-MX"/>
        </w:rPr>
        <w:t xml:space="preserve"> del Estado de Chihuahua</w:t>
      </w:r>
      <w:r w:rsidR="00F44A8B" w:rsidRPr="00286308">
        <w:rPr>
          <w:rFonts w:ascii="Century Gothic" w:eastAsia="Arial" w:hAnsi="Century Gothic" w:cs="Arial"/>
          <w:color w:val="auto"/>
          <w:szCs w:val="24"/>
          <w:lang w:val="es-MX"/>
        </w:rPr>
        <w:t>.</w:t>
      </w:r>
    </w:p>
    <w:p w14:paraId="33AABFBB" w14:textId="77777777" w:rsidR="00F44A8B" w:rsidRPr="00286308" w:rsidRDefault="00F44A8B" w:rsidP="004C3CC2">
      <w:pPr>
        <w:pStyle w:val="Normal1"/>
        <w:spacing w:line="360" w:lineRule="auto"/>
        <w:contextualSpacing/>
        <w:jc w:val="both"/>
        <w:rPr>
          <w:rFonts w:ascii="Century Gothic" w:eastAsia="Arial" w:hAnsi="Century Gothic" w:cs="Arial"/>
          <w:b/>
          <w:color w:val="auto"/>
          <w:szCs w:val="24"/>
        </w:rPr>
      </w:pPr>
    </w:p>
    <w:p w14:paraId="388A3B95" w14:textId="52C60D3A" w:rsidR="00BF2C2D" w:rsidRPr="00286308" w:rsidRDefault="00BF2C2D" w:rsidP="004C3CC2">
      <w:pPr>
        <w:pStyle w:val="Normal1"/>
        <w:spacing w:line="360" w:lineRule="auto"/>
        <w:contextualSpacing/>
        <w:jc w:val="both"/>
        <w:rPr>
          <w:rFonts w:ascii="Century Gothic" w:eastAsia="Arial" w:hAnsi="Century Gothic" w:cs="Arial"/>
          <w:color w:val="auto"/>
          <w:szCs w:val="24"/>
          <w:lang w:val="es-MX"/>
        </w:rPr>
      </w:pPr>
      <w:r w:rsidRPr="00286308">
        <w:rPr>
          <w:rFonts w:ascii="Century Gothic" w:eastAsia="Arial" w:hAnsi="Century Gothic" w:cs="Arial"/>
          <w:b/>
          <w:color w:val="auto"/>
          <w:szCs w:val="24"/>
          <w:lang w:val="es-MX"/>
        </w:rPr>
        <w:t xml:space="preserve">II.- </w:t>
      </w:r>
      <w:r w:rsidRPr="00286308">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FE0DAA" w:rsidRPr="00286308">
        <w:rPr>
          <w:rFonts w:ascii="Century Gothic" w:eastAsia="Arial" w:hAnsi="Century Gothic" w:cs="Arial"/>
          <w:color w:val="auto"/>
          <w:szCs w:val="24"/>
          <w:lang w:val="es-MX"/>
        </w:rPr>
        <w:t xml:space="preserve">primero </w:t>
      </w:r>
      <w:r w:rsidRPr="00286308">
        <w:rPr>
          <w:rFonts w:ascii="Century Gothic" w:eastAsia="Arial" w:hAnsi="Century Gothic" w:cs="Arial"/>
          <w:color w:val="auto"/>
          <w:szCs w:val="24"/>
          <w:lang w:val="es-MX"/>
        </w:rPr>
        <w:t xml:space="preserve">de </w:t>
      </w:r>
      <w:r w:rsidR="00FE0DAA" w:rsidRPr="00286308">
        <w:rPr>
          <w:rFonts w:ascii="Century Gothic" w:eastAsia="Arial" w:hAnsi="Century Gothic" w:cs="Arial"/>
          <w:color w:val="auto"/>
          <w:szCs w:val="24"/>
          <w:lang w:val="es-MX"/>
        </w:rPr>
        <w:t>diciembre</w:t>
      </w:r>
      <w:r w:rsidR="006C0094" w:rsidRPr="00286308">
        <w:rPr>
          <w:rFonts w:ascii="Century Gothic" w:eastAsia="Arial" w:hAnsi="Century Gothic" w:cs="Arial"/>
          <w:color w:val="auto"/>
          <w:szCs w:val="24"/>
          <w:lang w:val="es-MX"/>
        </w:rPr>
        <w:t xml:space="preserve"> </w:t>
      </w:r>
      <w:r w:rsidR="00471BB6" w:rsidRPr="00286308">
        <w:rPr>
          <w:rFonts w:ascii="Century Gothic" w:eastAsia="Arial" w:hAnsi="Century Gothic" w:cs="Arial"/>
          <w:color w:val="auto"/>
          <w:szCs w:val="24"/>
          <w:lang w:val="es-MX"/>
        </w:rPr>
        <w:t xml:space="preserve">del año dos mil </w:t>
      </w:r>
      <w:r w:rsidR="00FE0DAA" w:rsidRPr="00286308">
        <w:rPr>
          <w:rFonts w:ascii="Century Gothic" w:eastAsia="Arial" w:hAnsi="Century Gothic" w:cs="Arial"/>
          <w:color w:val="auto"/>
          <w:szCs w:val="24"/>
          <w:lang w:val="es-MX"/>
        </w:rPr>
        <w:t>veintidós</w:t>
      </w:r>
      <w:r w:rsidRPr="00286308">
        <w:rPr>
          <w:rFonts w:ascii="Century Gothic" w:eastAsia="Arial" w:hAnsi="Century Gothic" w:cs="Arial"/>
          <w:color w:val="auto"/>
          <w:szCs w:val="24"/>
          <w:lang w:val="es-MX"/>
        </w:rPr>
        <w:t>, tuvo a bien turnar a quienes integra</w:t>
      </w:r>
      <w:r w:rsidR="005D1330" w:rsidRPr="00286308">
        <w:rPr>
          <w:rFonts w:ascii="Century Gothic" w:eastAsia="Arial" w:hAnsi="Century Gothic" w:cs="Arial"/>
          <w:color w:val="auto"/>
          <w:szCs w:val="24"/>
          <w:lang w:val="es-MX"/>
        </w:rPr>
        <w:t>mos</w:t>
      </w:r>
      <w:r w:rsidRPr="00286308">
        <w:rPr>
          <w:rFonts w:ascii="Century Gothic" w:eastAsia="Arial" w:hAnsi="Century Gothic" w:cs="Arial"/>
          <w:color w:val="auto"/>
          <w:szCs w:val="24"/>
          <w:lang w:val="es-MX"/>
        </w:rPr>
        <w:t xml:space="preserve"> la Comisión de </w:t>
      </w:r>
      <w:r w:rsidR="00AE708E" w:rsidRPr="00286308">
        <w:rPr>
          <w:rFonts w:ascii="Century Gothic" w:eastAsia="Arial" w:hAnsi="Century Gothic" w:cs="Arial"/>
          <w:color w:val="auto"/>
          <w:szCs w:val="24"/>
          <w:lang w:val="es-MX"/>
        </w:rPr>
        <w:t>Programación, Presupuesto y Hacienda Pública</w:t>
      </w:r>
      <w:r w:rsidR="001B31EB" w:rsidRPr="00286308">
        <w:rPr>
          <w:rFonts w:ascii="Century Gothic" w:eastAsia="Arial" w:hAnsi="Century Gothic" w:cs="Arial"/>
          <w:color w:val="auto"/>
          <w:szCs w:val="24"/>
          <w:lang w:val="es-MX"/>
        </w:rPr>
        <w:t>,</w:t>
      </w:r>
      <w:r w:rsidRPr="00286308">
        <w:rPr>
          <w:rFonts w:ascii="Century Gothic" w:eastAsia="Arial" w:hAnsi="Century Gothic" w:cs="Arial"/>
          <w:color w:val="auto"/>
          <w:szCs w:val="24"/>
          <w:lang w:val="es-MX"/>
        </w:rPr>
        <w:t xml:space="preserve"> la Iniciativa de mérito, a efecto de proceder a su estudio, análisis y elaboración del correspondiente </w:t>
      </w:r>
      <w:r w:rsidR="00FE0DAA" w:rsidRPr="00286308">
        <w:rPr>
          <w:rFonts w:ascii="Century Gothic" w:eastAsia="Arial" w:hAnsi="Century Gothic" w:cs="Arial"/>
          <w:color w:val="auto"/>
          <w:szCs w:val="24"/>
          <w:lang w:val="es-MX"/>
        </w:rPr>
        <w:t>D</w:t>
      </w:r>
      <w:r w:rsidRPr="00286308">
        <w:rPr>
          <w:rFonts w:ascii="Century Gothic" w:eastAsia="Arial" w:hAnsi="Century Gothic" w:cs="Arial"/>
          <w:color w:val="auto"/>
          <w:szCs w:val="24"/>
          <w:lang w:val="es-MX"/>
        </w:rPr>
        <w:t>ictamen.</w:t>
      </w:r>
      <w:r w:rsidR="005F1362" w:rsidRPr="00286308">
        <w:rPr>
          <w:rFonts w:ascii="Century Gothic" w:eastAsia="Arial" w:hAnsi="Century Gothic" w:cs="Arial"/>
          <w:color w:val="auto"/>
          <w:szCs w:val="24"/>
          <w:lang w:val="es-MX"/>
        </w:rPr>
        <w:t xml:space="preserve"> </w:t>
      </w:r>
    </w:p>
    <w:p w14:paraId="230172D5" w14:textId="78EB25E2" w:rsidR="00BF2C2D" w:rsidRPr="00286308" w:rsidRDefault="00BF2C2D" w:rsidP="004C3CC2">
      <w:pPr>
        <w:pStyle w:val="Normal1"/>
        <w:spacing w:line="360" w:lineRule="auto"/>
        <w:contextualSpacing/>
        <w:jc w:val="both"/>
        <w:rPr>
          <w:rFonts w:ascii="Century Gothic" w:eastAsia="Arial" w:hAnsi="Century Gothic" w:cs="Arial"/>
          <w:color w:val="auto"/>
          <w:szCs w:val="24"/>
        </w:rPr>
      </w:pPr>
      <w:r w:rsidRPr="00286308">
        <w:rPr>
          <w:rFonts w:ascii="Century Gothic" w:eastAsia="Arial" w:hAnsi="Century Gothic" w:cs="Arial"/>
          <w:b/>
          <w:color w:val="auto"/>
          <w:szCs w:val="24"/>
          <w:lang w:val="es-MX"/>
        </w:rPr>
        <w:lastRenderedPageBreak/>
        <w:t xml:space="preserve">III.- </w:t>
      </w:r>
      <w:r w:rsidRPr="00286308">
        <w:rPr>
          <w:rFonts w:ascii="Century Gothic" w:eastAsia="Arial" w:hAnsi="Century Gothic" w:cs="Arial"/>
          <w:color w:val="auto"/>
          <w:szCs w:val="24"/>
          <w:lang w:val="es-MX"/>
        </w:rPr>
        <w:t xml:space="preserve">La Exposición de Motivos de la Iniciativa en comento </w:t>
      </w:r>
      <w:r w:rsidRPr="00286308">
        <w:rPr>
          <w:rFonts w:ascii="Century Gothic" w:eastAsia="Arial" w:hAnsi="Century Gothic" w:cs="Arial"/>
          <w:color w:val="auto"/>
          <w:szCs w:val="24"/>
        </w:rPr>
        <w:t>se sustenta</w:t>
      </w:r>
      <w:r w:rsidR="006779A7" w:rsidRPr="00286308">
        <w:rPr>
          <w:rFonts w:ascii="Century Gothic" w:eastAsia="Arial" w:hAnsi="Century Gothic" w:cs="Arial"/>
          <w:color w:val="auto"/>
          <w:szCs w:val="24"/>
        </w:rPr>
        <w:t>,</w:t>
      </w:r>
      <w:r w:rsidRPr="00286308">
        <w:rPr>
          <w:rFonts w:ascii="Century Gothic" w:eastAsia="Arial" w:hAnsi="Century Gothic" w:cs="Arial"/>
          <w:color w:val="auto"/>
          <w:szCs w:val="24"/>
        </w:rPr>
        <w:t xml:space="preserve"> básicamente</w:t>
      </w:r>
      <w:r w:rsidR="006779A7" w:rsidRPr="00286308">
        <w:rPr>
          <w:rFonts w:ascii="Century Gothic" w:eastAsia="Arial" w:hAnsi="Century Gothic" w:cs="Arial"/>
          <w:color w:val="auto"/>
          <w:szCs w:val="24"/>
        </w:rPr>
        <w:t>;</w:t>
      </w:r>
      <w:r w:rsidRPr="00286308">
        <w:rPr>
          <w:rFonts w:ascii="Century Gothic" w:eastAsia="Arial" w:hAnsi="Century Gothic" w:cs="Arial"/>
          <w:color w:val="auto"/>
          <w:szCs w:val="24"/>
        </w:rPr>
        <w:t xml:space="preserve"> en los siguientes argumentos:</w:t>
      </w:r>
    </w:p>
    <w:p w14:paraId="099F2601" w14:textId="77777777" w:rsidR="00F44A8B" w:rsidRPr="00286308" w:rsidRDefault="00F44A8B" w:rsidP="00F44A8B">
      <w:pPr>
        <w:spacing w:after="0" w:line="360" w:lineRule="auto"/>
        <w:ind w:left="102" w:right="82"/>
        <w:jc w:val="both"/>
        <w:rPr>
          <w:rFonts w:ascii="Century Gothic" w:eastAsia="Arial" w:hAnsi="Century Gothic" w:cs="Arial"/>
          <w:sz w:val="24"/>
          <w:szCs w:val="24"/>
          <w:lang w:eastAsia="en-US"/>
        </w:rPr>
      </w:pPr>
    </w:p>
    <w:p w14:paraId="62383B1F" w14:textId="67385201" w:rsidR="00870845" w:rsidRPr="00286308" w:rsidRDefault="00870845" w:rsidP="00870845">
      <w:pPr>
        <w:spacing w:after="0" w:line="360" w:lineRule="auto"/>
        <w:ind w:left="567" w:right="616"/>
        <w:jc w:val="both"/>
        <w:rPr>
          <w:rFonts w:ascii="Century Gothic" w:eastAsia="Calibri" w:hAnsi="Century Gothic" w:cs="Arial"/>
          <w:i/>
          <w:iCs/>
          <w:sz w:val="24"/>
          <w:szCs w:val="24"/>
          <w:lang w:eastAsia="en-US"/>
        </w:rPr>
      </w:pPr>
      <w:r w:rsidRPr="00286308">
        <w:rPr>
          <w:rFonts w:ascii="Century Gothic" w:eastAsia="PMingLiU" w:hAnsi="Century Gothic" w:cs="Arial"/>
          <w:i/>
          <w:iCs/>
          <w:sz w:val="24"/>
          <w:szCs w:val="24"/>
          <w:lang w:eastAsia="en-US"/>
        </w:rPr>
        <w:t>“…La presente administración encontró diversos problemas estructurales en las finanzas del Estado que afectan el funcionamiento del Gobierno y el desarrollo de la entidad. Entre los problemas más relevantes se encuentran:</w:t>
      </w:r>
    </w:p>
    <w:p w14:paraId="22410ABA"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34453BB7" w14:textId="77777777" w:rsidR="00870845" w:rsidRPr="00286308" w:rsidRDefault="00870845" w:rsidP="00FF6735">
      <w:pPr>
        <w:numPr>
          <w:ilvl w:val="0"/>
          <w:numId w:val="1"/>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En los últimos años se privilegió el endeudamiento de corto plazo y el crecimiento del pasivo circulante. En virtud de este hecho, los pasivos del Estado crecieron, sin que estos se tradujeran en mayor inversión para el Estado.</w:t>
      </w:r>
    </w:p>
    <w:p w14:paraId="5F10B385"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1EC3DF91" w14:textId="77777777" w:rsidR="00870845" w:rsidRPr="00286308" w:rsidRDefault="00870845" w:rsidP="00FF6735">
      <w:pPr>
        <w:numPr>
          <w:ilvl w:val="0"/>
          <w:numId w:val="1"/>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El crecimiento de estos pasivos y del gasto corriente afectaron gravemente la liquidez de la Hacienda Pública, poniéndonos al borde de una situación de insolvencia financiera.</w:t>
      </w:r>
    </w:p>
    <w:p w14:paraId="5B6486E1"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3A975156" w14:textId="77777777" w:rsidR="00870845" w:rsidRPr="00286308" w:rsidRDefault="00870845" w:rsidP="00FF6735">
      <w:pPr>
        <w:numPr>
          <w:ilvl w:val="0"/>
          <w:numId w:val="1"/>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En los últimos años ha habido una gran falta de inversión productiva. Principalmente, solo se invirtieron algunos recursos de programas federales y los derivados de los remanentes al amparo de las obligaciones de la emisión de certificados bursátiles. Sin inversión, no puede haber crecimiento.</w:t>
      </w:r>
    </w:p>
    <w:p w14:paraId="5A1823C9"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6B21C429" w14:textId="77777777" w:rsidR="00870845" w:rsidRPr="00286308" w:rsidRDefault="00870845" w:rsidP="00FF6735">
      <w:pPr>
        <w:numPr>
          <w:ilvl w:val="0"/>
          <w:numId w:val="1"/>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Las condiciones financieras de la deuda y obligaciones financieras tienen una oportunidad de ser mejoradas.</w:t>
      </w:r>
    </w:p>
    <w:p w14:paraId="096F598D"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0FCB250E" w14:textId="77777777" w:rsidR="00870845" w:rsidRPr="00286308" w:rsidRDefault="00870845" w:rsidP="00FF6735">
      <w:pPr>
        <w:numPr>
          <w:ilvl w:val="0"/>
          <w:numId w:val="1"/>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El Sistema de Alertas de la Secretaría de Hacienda y Crédito Público, tiene clasificado al Gobierno del Estado en semáforo amarillo en la evaluación de la cuenta pública del año 2021, es decir en endeudamiento en observación.</w:t>
      </w:r>
    </w:p>
    <w:p w14:paraId="7F5951B7"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20A0CC33"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Ante estos hechos adversos, es necesario una nueva política de financiamiento para el desarrollo que garantice un crecimiento sostenido para el Estado. Este Gobierno parte de que la capacidad de endeudamiento debe ser usada en forma responsable y sostenible y que es un instrumento, como lo señala la propia Constitución Política de los Estados Unidos Mexicanos, y la normatividad federal, para impulsar las inversiones públicas productivas. Dado este principio y los problemas anteriormente mencionados, en los próximos años, el Gobierno del Estado buscará:</w:t>
      </w:r>
    </w:p>
    <w:p w14:paraId="53C67799"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7FE715D3" w14:textId="5CDEAE9E" w:rsidR="00870845" w:rsidRPr="00286308" w:rsidRDefault="009F0E9C" w:rsidP="00FF6735">
      <w:pPr>
        <w:numPr>
          <w:ilvl w:val="0"/>
          <w:numId w:val="2"/>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 xml:space="preserve"> </w:t>
      </w:r>
      <w:r w:rsidR="00870845" w:rsidRPr="00286308">
        <w:rPr>
          <w:rFonts w:ascii="Century Gothic" w:hAnsi="Century Gothic" w:cs="Arial"/>
          <w:i/>
          <w:iCs/>
          <w:sz w:val="24"/>
          <w:szCs w:val="24"/>
          <w:lang w:val="es-ES" w:eastAsia="es-ES"/>
        </w:rPr>
        <w:t>Incrementar la inversión públic</w:t>
      </w:r>
      <w:r w:rsidR="00C502D3">
        <w:rPr>
          <w:rFonts w:ascii="Century Gothic" w:hAnsi="Century Gothic" w:cs="Arial"/>
          <w:i/>
          <w:iCs/>
          <w:sz w:val="24"/>
          <w:szCs w:val="24"/>
          <w:lang w:val="es-ES" w:eastAsia="es-ES"/>
        </w:rPr>
        <w:t>o</w:t>
      </w:r>
      <w:r w:rsidR="00870845" w:rsidRPr="00286308">
        <w:rPr>
          <w:rFonts w:ascii="Century Gothic" w:hAnsi="Century Gothic" w:cs="Arial"/>
          <w:i/>
          <w:iCs/>
          <w:sz w:val="24"/>
          <w:szCs w:val="24"/>
          <w:lang w:val="es-ES" w:eastAsia="es-ES"/>
        </w:rPr>
        <w:t xml:space="preserve"> productiva como un instrumento idóneo para el desarrollo social y económico de Chihuahua.</w:t>
      </w:r>
    </w:p>
    <w:p w14:paraId="5F3D3969"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4AD0516D" w14:textId="006FEC4E" w:rsidR="00870845" w:rsidRPr="00286308" w:rsidRDefault="009F0E9C" w:rsidP="00FF6735">
      <w:pPr>
        <w:numPr>
          <w:ilvl w:val="0"/>
          <w:numId w:val="2"/>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 xml:space="preserve"> </w:t>
      </w:r>
      <w:r w:rsidR="00870845" w:rsidRPr="00286308">
        <w:rPr>
          <w:rFonts w:ascii="Century Gothic" w:hAnsi="Century Gothic" w:cs="Arial"/>
          <w:i/>
          <w:iCs/>
          <w:sz w:val="24"/>
          <w:szCs w:val="24"/>
          <w:lang w:val="es-ES" w:eastAsia="es-ES"/>
        </w:rPr>
        <w:t>Utilizar la capacidad de endeudamiento en forma responsable y sostenible. En concreto, que los ingresos de libre disposición crezcan a una tasa más rápida que la deuda, lo que mejorará la posición financiera de la entidad.</w:t>
      </w:r>
    </w:p>
    <w:p w14:paraId="34D0AC19"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44670B55" w14:textId="46EBCA1F" w:rsidR="00870845" w:rsidRPr="00286308" w:rsidRDefault="009F0E9C" w:rsidP="00FF6735">
      <w:pPr>
        <w:numPr>
          <w:ilvl w:val="0"/>
          <w:numId w:val="2"/>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lastRenderedPageBreak/>
        <w:t xml:space="preserve"> </w:t>
      </w:r>
      <w:r w:rsidR="00870845" w:rsidRPr="00286308">
        <w:rPr>
          <w:rFonts w:ascii="Century Gothic" w:hAnsi="Century Gothic" w:cs="Arial"/>
          <w:i/>
          <w:iCs/>
          <w:sz w:val="24"/>
          <w:szCs w:val="24"/>
          <w:lang w:val="es-ES" w:eastAsia="es-ES"/>
        </w:rPr>
        <w:t>Mejorar las condiciones de financiamiento de los pasivos del Gobierno.</w:t>
      </w:r>
    </w:p>
    <w:p w14:paraId="402A83F6"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3A15442B" w14:textId="5EB5D316" w:rsidR="00870845" w:rsidRPr="00286308" w:rsidRDefault="009F0E9C" w:rsidP="00FF6735">
      <w:pPr>
        <w:numPr>
          <w:ilvl w:val="0"/>
          <w:numId w:val="2"/>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 xml:space="preserve"> </w:t>
      </w:r>
      <w:r w:rsidR="00870845" w:rsidRPr="00286308">
        <w:rPr>
          <w:rFonts w:ascii="Century Gothic" w:hAnsi="Century Gothic" w:cs="Arial"/>
          <w:i/>
          <w:iCs/>
          <w:sz w:val="24"/>
          <w:szCs w:val="24"/>
          <w:lang w:val="es-ES" w:eastAsia="es-ES"/>
        </w:rPr>
        <w:t>Reducir el uso de los recursos de libre disposición como fuente de financiamiento, para evitar mayores presiones de flujo de corto plazo a las finanzas públicas.</w:t>
      </w:r>
    </w:p>
    <w:p w14:paraId="5CE4EA41"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54FBA823" w14:textId="1F465B32" w:rsidR="00870845" w:rsidRPr="00286308" w:rsidRDefault="009F0E9C" w:rsidP="00FF6735">
      <w:pPr>
        <w:numPr>
          <w:ilvl w:val="0"/>
          <w:numId w:val="2"/>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 xml:space="preserve"> </w:t>
      </w:r>
      <w:r w:rsidR="00870845" w:rsidRPr="00286308">
        <w:rPr>
          <w:rFonts w:ascii="Century Gothic" w:hAnsi="Century Gothic" w:cs="Arial"/>
          <w:i/>
          <w:iCs/>
          <w:sz w:val="24"/>
          <w:szCs w:val="24"/>
          <w:lang w:val="es-ES" w:eastAsia="es-ES"/>
        </w:rPr>
        <w:t>Disminuir considerablemente el uso de financiamientos y obligaciones de corto plazo.</w:t>
      </w:r>
    </w:p>
    <w:p w14:paraId="556E2F77"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7F1FBF85"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val="es-ES" w:eastAsia="en-US"/>
        </w:rPr>
      </w:pPr>
      <w:bookmarkStart w:id="0" w:name="_Hlk121831547"/>
      <w:r w:rsidRPr="00286308">
        <w:rPr>
          <w:rFonts w:ascii="Century Gothic" w:eastAsia="PMingLiU" w:hAnsi="Century Gothic" w:cs="Arial"/>
          <w:i/>
          <w:iCs/>
          <w:sz w:val="24"/>
          <w:szCs w:val="24"/>
          <w:lang w:val="es-ES" w:eastAsia="en-US"/>
        </w:rPr>
        <w:t xml:space="preserve">Atendiendo a los principios antes señalados en el año 2021 se sometió a la consideración de esa soberanía un proyecto de Decreto de Fortalecimiento Financiero que tuvieron a bien aprobar. En esta ocasión se somete a su estudio una nueva autorización relacionada a financiamientos tal y como lo establece la Ley de Disciplina Financiera de las Entidades Federativas y los Municipios. Lo más importante a resaltar de esta autorización es que, de aprobarse, </w:t>
      </w:r>
      <w:r w:rsidRPr="00286308">
        <w:rPr>
          <w:rFonts w:ascii="Century Gothic" w:eastAsia="PMingLiU" w:hAnsi="Century Gothic" w:cs="Arial"/>
          <w:b/>
          <w:bCs/>
          <w:i/>
          <w:iCs/>
          <w:sz w:val="24"/>
          <w:szCs w:val="24"/>
          <w:u w:val="single"/>
          <w:lang w:val="es-ES" w:eastAsia="en-US"/>
        </w:rPr>
        <w:t>no representa ningún endeudamiento adicional al que ya se había autorizado</w:t>
      </w:r>
      <w:r w:rsidRPr="00286308">
        <w:rPr>
          <w:rFonts w:ascii="Century Gothic" w:eastAsia="PMingLiU" w:hAnsi="Century Gothic" w:cs="Arial"/>
          <w:i/>
          <w:iCs/>
          <w:sz w:val="24"/>
          <w:szCs w:val="24"/>
          <w:lang w:val="es-ES" w:eastAsia="en-US"/>
        </w:rPr>
        <w:t xml:space="preserve"> el año pasado, sino que en algunos casos se extiende su vigencia y en otros se hacen algunas precisiones.</w:t>
      </w:r>
    </w:p>
    <w:p w14:paraId="0003429D"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val="es-ES" w:eastAsia="en-US"/>
        </w:rPr>
      </w:pPr>
    </w:p>
    <w:p w14:paraId="181F26BA"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val="es-ES" w:eastAsia="en-US"/>
        </w:rPr>
      </w:pPr>
      <w:r w:rsidRPr="00286308">
        <w:rPr>
          <w:rFonts w:ascii="Century Gothic" w:eastAsia="PMingLiU" w:hAnsi="Century Gothic" w:cs="Arial"/>
          <w:i/>
          <w:iCs/>
          <w:sz w:val="24"/>
          <w:szCs w:val="24"/>
          <w:lang w:val="es-ES" w:eastAsia="en-US"/>
        </w:rPr>
        <w:t>A continuación, al mencionar cada uno de los financiamientos que están a su consideración se precisará su relación al decreto de Fortalecimiento Financiero aprobado para el ejercicio 2022.</w:t>
      </w:r>
    </w:p>
    <w:p w14:paraId="4A3A70AC" w14:textId="506D3C6D" w:rsidR="00870845" w:rsidRPr="00286308" w:rsidRDefault="00870845" w:rsidP="00FF6735">
      <w:pPr>
        <w:numPr>
          <w:ilvl w:val="0"/>
          <w:numId w:val="3"/>
        </w:numPr>
        <w:spacing w:after="0" w:line="360" w:lineRule="auto"/>
        <w:ind w:left="567" w:right="616" w:firstLine="0"/>
        <w:contextualSpacing/>
        <w:jc w:val="both"/>
        <w:rPr>
          <w:rFonts w:ascii="Century Gothic" w:hAnsi="Century Gothic" w:cs="Arial"/>
          <w:b/>
          <w:bCs/>
          <w:i/>
          <w:iCs/>
          <w:sz w:val="24"/>
          <w:szCs w:val="24"/>
          <w:u w:val="single"/>
          <w:lang w:val="es-ES" w:eastAsia="es-ES"/>
        </w:rPr>
      </w:pPr>
      <w:r w:rsidRPr="00286308">
        <w:rPr>
          <w:rFonts w:ascii="Century Gothic" w:hAnsi="Century Gothic" w:cs="Arial"/>
          <w:b/>
          <w:bCs/>
          <w:i/>
          <w:iCs/>
          <w:sz w:val="24"/>
          <w:szCs w:val="24"/>
          <w:u w:val="single"/>
          <w:lang w:val="es-ES" w:eastAsia="es-ES"/>
        </w:rPr>
        <w:lastRenderedPageBreak/>
        <w:t>Financiamiento FAFEF</w:t>
      </w:r>
    </w:p>
    <w:p w14:paraId="3F014D07"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2FF4D784"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 xml:space="preserve">En primer lugar, se les solicita su aprobación para contratar un crédito de largo plazo con cargo al Fondo de Aportaciones para el Fortalecimiento de las Entidades Federativas (FAFEF) por $500,000,000.00 (Quinientos millones de pesos 00/100 Moneda Nacional). En este financiamiento es necesario precisar que hace un año esta Soberanía autorizó un financiamiento por hasta $1,000 millones de pesos, de los cuales $500 millones </w:t>
      </w:r>
      <w:proofErr w:type="spellStart"/>
      <w:r w:rsidRPr="00286308">
        <w:rPr>
          <w:rFonts w:ascii="Century Gothic" w:eastAsia="PMingLiU" w:hAnsi="Century Gothic" w:cs="Arial"/>
          <w:i/>
          <w:iCs/>
          <w:sz w:val="24"/>
          <w:szCs w:val="24"/>
          <w:lang w:eastAsia="en-US"/>
        </w:rPr>
        <w:t>estan</w:t>
      </w:r>
      <w:proofErr w:type="spellEnd"/>
      <w:r w:rsidRPr="00286308">
        <w:rPr>
          <w:rFonts w:ascii="Century Gothic" w:eastAsia="PMingLiU" w:hAnsi="Century Gothic" w:cs="Arial"/>
          <w:i/>
          <w:iCs/>
          <w:sz w:val="24"/>
          <w:szCs w:val="24"/>
          <w:lang w:eastAsia="en-US"/>
        </w:rPr>
        <w:t xml:space="preserve"> en proceso de contratación, por lo que ahora se </w:t>
      </w:r>
      <w:proofErr w:type="spellStart"/>
      <w:r w:rsidRPr="00286308">
        <w:rPr>
          <w:rFonts w:ascii="Century Gothic" w:eastAsia="PMingLiU" w:hAnsi="Century Gothic" w:cs="Arial"/>
          <w:i/>
          <w:iCs/>
          <w:sz w:val="24"/>
          <w:szCs w:val="24"/>
          <w:lang w:eastAsia="en-US"/>
        </w:rPr>
        <w:t>esta</w:t>
      </w:r>
      <w:proofErr w:type="spellEnd"/>
      <w:r w:rsidRPr="00286308">
        <w:rPr>
          <w:rFonts w:ascii="Century Gothic" w:eastAsia="PMingLiU" w:hAnsi="Century Gothic" w:cs="Arial"/>
          <w:i/>
          <w:iCs/>
          <w:sz w:val="24"/>
          <w:szCs w:val="24"/>
          <w:lang w:eastAsia="en-US"/>
        </w:rPr>
        <w:t xml:space="preserve"> solicitando que esta autorización se extienda al 2023. </w:t>
      </w:r>
      <w:r w:rsidRPr="00286308">
        <w:rPr>
          <w:rFonts w:ascii="Century Gothic" w:eastAsia="PMingLiU" w:hAnsi="Century Gothic" w:cs="Arial"/>
          <w:b/>
          <w:bCs/>
          <w:i/>
          <w:iCs/>
          <w:sz w:val="24"/>
          <w:szCs w:val="24"/>
          <w:u w:val="single"/>
          <w:lang w:eastAsia="en-US"/>
        </w:rPr>
        <w:t>Este financiamiento no representa endeudamiento adicional</w:t>
      </w:r>
      <w:r w:rsidRPr="00286308">
        <w:rPr>
          <w:rFonts w:ascii="Century Gothic" w:eastAsia="PMingLiU" w:hAnsi="Century Gothic" w:cs="Arial"/>
          <w:i/>
          <w:iCs/>
          <w:sz w:val="24"/>
          <w:szCs w:val="24"/>
          <w:lang w:eastAsia="en-US"/>
        </w:rPr>
        <w:t xml:space="preserve"> al autorizado hace 12 meses.</w:t>
      </w:r>
    </w:p>
    <w:p w14:paraId="5EFCB1DA"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1F3FDC4D" w14:textId="1585148E"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El objetivo de este financiamiento es destinarlo a los objetivos propios de este fondo en lo que se refiere a inversión públic</w:t>
      </w:r>
      <w:r w:rsidR="006166E8">
        <w:rPr>
          <w:rFonts w:ascii="Century Gothic" w:eastAsia="PMingLiU" w:hAnsi="Century Gothic" w:cs="Arial"/>
          <w:i/>
          <w:iCs/>
          <w:sz w:val="24"/>
          <w:szCs w:val="24"/>
          <w:lang w:eastAsia="en-US"/>
        </w:rPr>
        <w:t>o</w:t>
      </w:r>
      <w:r w:rsidRPr="00286308">
        <w:rPr>
          <w:rFonts w:ascii="Century Gothic" w:eastAsia="PMingLiU" w:hAnsi="Century Gothic" w:cs="Arial"/>
          <w:i/>
          <w:iCs/>
          <w:sz w:val="24"/>
          <w:szCs w:val="24"/>
          <w:lang w:eastAsia="en-US"/>
        </w:rPr>
        <w:t xml:space="preserve"> productiva.</w:t>
      </w:r>
    </w:p>
    <w:p w14:paraId="6266C5F6"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1BC549B5"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Las ventajas de este financiamiento son las siguientes:</w:t>
      </w:r>
    </w:p>
    <w:p w14:paraId="7AA96856"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5014A54D" w14:textId="77777777" w:rsidR="00870845" w:rsidRPr="00286308" w:rsidRDefault="00870845" w:rsidP="00FF6735">
      <w:pPr>
        <w:numPr>
          <w:ilvl w:val="0"/>
          <w:numId w:val="4"/>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El FAFEF es un fondo federal que proviene del ramo general 33, por lo que no se considera recursos de libre disposición y por lo tanto no afectará a la evaluación en el sistema de alertas de la Secretaría de Hacienda y Crédito Público.</w:t>
      </w:r>
    </w:p>
    <w:p w14:paraId="431650C4"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4A254838" w14:textId="77777777" w:rsidR="00870845" w:rsidRPr="00286308" w:rsidRDefault="00870845" w:rsidP="00FF6735">
      <w:pPr>
        <w:numPr>
          <w:ilvl w:val="0"/>
          <w:numId w:val="4"/>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lastRenderedPageBreak/>
        <w:t>El FAFEF es una mejor garantía que las Participaciones Federales. La Ley de Coordinación Fiscal Federal permite que este fondo sea utilizado como garantía y fuente de pago, hasta en un 25% ya sea del año original del crédito o del año en curso por lo que aún en un escenario de estrés, que se redujera en el futuro este fondo, la garantía puede crecer lo que hace que las calificadoras y los bancos la consideren de menor riesgo. Adicionalmente, los fondos de aportaciones del ramo 33 no disminuyen en el transcurso de un ejercicio fiscal, a diferencia de las Participaciones Federales, que si tienen ese riesgo.</w:t>
      </w:r>
    </w:p>
    <w:p w14:paraId="13505E18"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0D3678B7" w14:textId="77777777" w:rsidR="00870845" w:rsidRPr="00286308" w:rsidRDefault="00870845" w:rsidP="00FF6735">
      <w:pPr>
        <w:numPr>
          <w:ilvl w:val="0"/>
          <w:numId w:val="4"/>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El Estado recibirá por concepto de FAFEF un 13.9% más de recursos en comparación con lo recibido durante el año 2022. Lo anterior permite al Estado solicitar 500 millones de pesos sin afectar las finanzas públicas del Estado de Chihuahua.</w:t>
      </w:r>
    </w:p>
    <w:p w14:paraId="7DC1CE95"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0F1F1C9F" w14:textId="77777777" w:rsidR="00870845" w:rsidRPr="00286308" w:rsidRDefault="00870845" w:rsidP="00FF6735">
      <w:pPr>
        <w:numPr>
          <w:ilvl w:val="0"/>
          <w:numId w:val="3"/>
        </w:numPr>
        <w:spacing w:after="0" w:line="360" w:lineRule="auto"/>
        <w:ind w:left="567" w:right="616" w:firstLine="0"/>
        <w:contextualSpacing/>
        <w:jc w:val="both"/>
        <w:rPr>
          <w:rFonts w:ascii="Century Gothic" w:hAnsi="Century Gothic" w:cs="Arial"/>
          <w:b/>
          <w:bCs/>
          <w:i/>
          <w:iCs/>
          <w:sz w:val="24"/>
          <w:szCs w:val="24"/>
          <w:u w:val="single"/>
          <w:lang w:val="es-ES" w:eastAsia="es-ES"/>
        </w:rPr>
      </w:pPr>
      <w:r w:rsidRPr="00286308">
        <w:rPr>
          <w:rFonts w:ascii="Century Gothic" w:hAnsi="Century Gothic" w:cs="Arial"/>
          <w:b/>
          <w:bCs/>
          <w:i/>
          <w:iCs/>
          <w:sz w:val="24"/>
          <w:szCs w:val="24"/>
          <w:u w:val="single"/>
          <w:lang w:val="es-ES" w:eastAsia="es-ES"/>
        </w:rPr>
        <w:t>Financiamiento FAIS</w:t>
      </w:r>
    </w:p>
    <w:p w14:paraId="3799C838"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21A2D89F"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 xml:space="preserve">En segundo lugar, se les solicita su aprobación para contratar un crédito de largo plazo con cargo al Fondo de Aportaciones para la Infraestructura Social (FAIS) por $350,000,000.00 (Trescientos cincuenta millones de pesos 00/100 Moneda Nacional). </w:t>
      </w:r>
    </w:p>
    <w:p w14:paraId="7F5D2227"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32F41C91"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 xml:space="preserve">El Financiamiento de FAIS fue autorizado el año pasado por $500 millones de pesos, y hasta el momento no se ha contratado dicho </w:t>
      </w:r>
      <w:r w:rsidRPr="00286308">
        <w:rPr>
          <w:rFonts w:ascii="Century Gothic" w:eastAsia="PMingLiU" w:hAnsi="Century Gothic" w:cs="Arial"/>
          <w:i/>
          <w:iCs/>
          <w:sz w:val="24"/>
          <w:szCs w:val="24"/>
          <w:lang w:eastAsia="en-US"/>
        </w:rPr>
        <w:lastRenderedPageBreak/>
        <w:t xml:space="preserve">financiamiento. Lo anterior en virtud de que por un lado las reglas de operación son sumamente complejas y por el otro, de que hemos llevado a cabo un arduo proceso de trabajo con las dependencias y municipios para identificar los proyectos que tengan un verdadero impacto social en </w:t>
      </w:r>
      <w:proofErr w:type="gramStart"/>
      <w:r w:rsidRPr="00286308">
        <w:rPr>
          <w:rFonts w:ascii="Century Gothic" w:eastAsia="PMingLiU" w:hAnsi="Century Gothic" w:cs="Arial"/>
          <w:i/>
          <w:iCs/>
          <w:sz w:val="24"/>
          <w:szCs w:val="24"/>
          <w:lang w:eastAsia="en-US"/>
        </w:rPr>
        <w:t>el comunidades</w:t>
      </w:r>
      <w:proofErr w:type="gramEnd"/>
      <w:r w:rsidRPr="00286308">
        <w:rPr>
          <w:rFonts w:ascii="Century Gothic" w:eastAsia="PMingLiU" w:hAnsi="Century Gothic" w:cs="Arial"/>
          <w:i/>
          <w:iCs/>
          <w:sz w:val="24"/>
          <w:szCs w:val="24"/>
          <w:lang w:eastAsia="en-US"/>
        </w:rPr>
        <w:t xml:space="preserve"> con alto rezago social, pobreza extrema y zonas de atención prioritaria.</w:t>
      </w:r>
    </w:p>
    <w:p w14:paraId="59F8BDD1"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3696DE48" w14:textId="16653265"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El objetivo de este financiamiento es destinarlo a los objetivos propios de este fondo en lo que se refiere a inversión públic</w:t>
      </w:r>
      <w:r w:rsidR="006166E8">
        <w:rPr>
          <w:rFonts w:ascii="Century Gothic" w:eastAsia="PMingLiU" w:hAnsi="Century Gothic" w:cs="Arial"/>
          <w:i/>
          <w:iCs/>
          <w:sz w:val="24"/>
          <w:szCs w:val="24"/>
          <w:lang w:eastAsia="en-US"/>
        </w:rPr>
        <w:t>o</w:t>
      </w:r>
      <w:r w:rsidRPr="00286308">
        <w:rPr>
          <w:rFonts w:ascii="Century Gothic" w:eastAsia="PMingLiU" w:hAnsi="Century Gothic" w:cs="Arial"/>
          <w:i/>
          <w:iCs/>
          <w:sz w:val="24"/>
          <w:szCs w:val="24"/>
          <w:lang w:eastAsia="en-US"/>
        </w:rPr>
        <w:t xml:space="preserve"> productiva de impacto social.</w:t>
      </w:r>
    </w:p>
    <w:p w14:paraId="54DA4473"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5480D6E1"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Las ventajas de este financiamiento son las siguientes:</w:t>
      </w:r>
    </w:p>
    <w:p w14:paraId="6DC04D2D"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055DB694" w14:textId="77777777" w:rsidR="00870845" w:rsidRPr="00286308" w:rsidRDefault="00870845" w:rsidP="00FF6735">
      <w:pPr>
        <w:numPr>
          <w:ilvl w:val="0"/>
          <w:numId w:val="5"/>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El FAIS, al igual que el FAFEF es un fondo federal que proviene del ramo general 33, por lo que no se considera recursos de libre disposición y por lo tanto no afectará a la calificación en el sistema de alertas de la Secretaría de Hacienda y Crédito Público.</w:t>
      </w:r>
    </w:p>
    <w:p w14:paraId="77320FB9"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569222BE" w14:textId="77777777" w:rsidR="00870845" w:rsidRPr="00286308" w:rsidRDefault="00870845" w:rsidP="00FF6735">
      <w:pPr>
        <w:numPr>
          <w:ilvl w:val="0"/>
          <w:numId w:val="5"/>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 xml:space="preserve">El FAIS es una mejor garantía que las Participaciones Federales. También en forma similar al FAFEF, La Ley de Coordinación Fiscal Federal permite que este fondo sea utilizado como garantía y fuente de pago, hasta en un 25% ya sea del año original del crédito o del año en curso por lo que aún en un escenario de estrés, que se redujera en el futuro este fondo, la </w:t>
      </w:r>
      <w:r w:rsidRPr="00286308">
        <w:rPr>
          <w:rFonts w:ascii="Century Gothic" w:hAnsi="Century Gothic" w:cs="Arial"/>
          <w:i/>
          <w:iCs/>
          <w:sz w:val="24"/>
          <w:szCs w:val="24"/>
          <w:lang w:val="es-ES" w:eastAsia="es-ES"/>
        </w:rPr>
        <w:lastRenderedPageBreak/>
        <w:t>garantía puede crecer lo que hace que las calificadoras y los bancos la consideren de menor riesgo. Adicionalmente, los fondos de aportaciones del ramo 33 no disminuyen en el transcurso de un ejercicio fiscal, a diferencia de las Participaciones Federales, que si tienen ese riesgo.</w:t>
      </w:r>
    </w:p>
    <w:p w14:paraId="3F4BBAA6"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57445429" w14:textId="77777777" w:rsidR="00870845" w:rsidRPr="00286308" w:rsidRDefault="00870845" w:rsidP="00FF6735">
      <w:pPr>
        <w:numPr>
          <w:ilvl w:val="0"/>
          <w:numId w:val="5"/>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El FAIS es un fondo de Ramo 33 que solo se utiliza para el financiamiento de obras de infraestructura para beneficiar a zonas de atención prioritaria, poblaciones de pobreza extrema o con alto rezago social. En la forma en que regularmente se ministra este fondo, se tiene una capacidad muy baja de planeación y de realizar obras de impacto trascendental. Al financiarnos con este fondo tendremos la oportunidad de ampliar el beneficio a esta población tan necesitada a la brevedad, sin afectar los recursos de libre disposición y el flujo de las finanzas del Estado.</w:t>
      </w:r>
    </w:p>
    <w:p w14:paraId="735D8B46" w14:textId="77777777" w:rsidR="00870845" w:rsidRPr="00286308" w:rsidRDefault="00870845" w:rsidP="00870845">
      <w:pPr>
        <w:spacing w:after="0" w:line="360" w:lineRule="auto"/>
        <w:ind w:left="567" w:right="616"/>
        <w:jc w:val="both"/>
        <w:rPr>
          <w:rFonts w:ascii="Century Gothic" w:hAnsi="Century Gothic" w:cs="Arial"/>
          <w:i/>
          <w:iCs/>
          <w:sz w:val="24"/>
          <w:szCs w:val="24"/>
          <w:lang w:val="es-ES" w:eastAsia="es-ES"/>
        </w:rPr>
      </w:pPr>
    </w:p>
    <w:p w14:paraId="66B4E939" w14:textId="77777777" w:rsidR="00870845" w:rsidRPr="00286308" w:rsidRDefault="00870845" w:rsidP="00FF6735">
      <w:pPr>
        <w:numPr>
          <w:ilvl w:val="0"/>
          <w:numId w:val="3"/>
        </w:numPr>
        <w:spacing w:after="0" w:line="360" w:lineRule="auto"/>
        <w:ind w:left="567" w:right="616" w:firstLine="0"/>
        <w:contextualSpacing/>
        <w:jc w:val="both"/>
        <w:rPr>
          <w:rFonts w:ascii="Century Gothic" w:hAnsi="Century Gothic" w:cs="Arial"/>
          <w:b/>
          <w:bCs/>
          <w:i/>
          <w:iCs/>
          <w:sz w:val="24"/>
          <w:szCs w:val="24"/>
          <w:u w:val="single"/>
          <w:lang w:val="es-ES" w:eastAsia="es-ES"/>
        </w:rPr>
      </w:pPr>
      <w:r w:rsidRPr="00286308">
        <w:rPr>
          <w:rFonts w:ascii="Century Gothic" w:hAnsi="Century Gothic" w:cs="Arial"/>
          <w:b/>
          <w:bCs/>
          <w:i/>
          <w:iCs/>
          <w:sz w:val="24"/>
          <w:szCs w:val="24"/>
          <w:u w:val="single"/>
          <w:lang w:val="es-ES" w:eastAsia="es-ES"/>
        </w:rPr>
        <w:t>Reestructura emisión CHIHCB 13U</w:t>
      </w:r>
      <w:r w:rsidRPr="00286308">
        <w:rPr>
          <w:rFonts w:ascii="Century Gothic" w:hAnsi="Century Gothic" w:cs="Arial"/>
          <w:b/>
          <w:bCs/>
          <w:i/>
          <w:iCs/>
          <w:sz w:val="24"/>
          <w:szCs w:val="24"/>
          <w:lang w:val="es-ES" w:eastAsia="es-ES"/>
        </w:rPr>
        <w:t>.</w:t>
      </w:r>
    </w:p>
    <w:p w14:paraId="45642605"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2E136064"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 xml:space="preserve">La acción más relevante en el proceso de fortalecimiento financiero es la nueva emisión bursátil que se somete a su consideración. El decreto plantea llevar a cabo una emisión de certificados bursátiles por la cantidad de hasta $17,000,000,000.00 (diecisiete mil millones de pesos). La emisión tendría como garantía y fuente de pago los ingresos por peaje de nueve tramos </w:t>
      </w:r>
      <w:r w:rsidRPr="00286308">
        <w:rPr>
          <w:rFonts w:ascii="Century Gothic" w:eastAsia="PMingLiU" w:hAnsi="Century Gothic" w:cs="Arial"/>
          <w:i/>
          <w:iCs/>
          <w:sz w:val="24"/>
          <w:szCs w:val="24"/>
          <w:lang w:eastAsia="en-US"/>
        </w:rPr>
        <w:lastRenderedPageBreak/>
        <w:t>carreteros que actualmente están fideicomitidos en favor de la emisión CHIHCB 13U. La nueva emisión tendría como destino fundamental refinanciar la emisión bursátil CHIHCB 13U.</w:t>
      </w:r>
    </w:p>
    <w:p w14:paraId="38659640"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2C41D863"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 xml:space="preserve">En este rubro se resalta que el año pasado el Congreso del Estado nos autorizó una nueva emisión hasta por $19,600 millones de pesos, la cual no se ha llevado a cado ni se llevará en el ejercicio 2022, por lo que </w:t>
      </w:r>
      <w:r w:rsidRPr="00286308">
        <w:rPr>
          <w:rFonts w:ascii="Century Gothic" w:eastAsia="PMingLiU" w:hAnsi="Century Gothic" w:cs="Arial"/>
          <w:b/>
          <w:bCs/>
          <w:i/>
          <w:iCs/>
          <w:sz w:val="24"/>
          <w:szCs w:val="24"/>
          <w:u w:val="single"/>
          <w:lang w:eastAsia="en-US"/>
        </w:rPr>
        <w:t>la autorización que se somete a su consideración no representa endeudamiento adicional al ya autorizado</w:t>
      </w:r>
      <w:r w:rsidRPr="00286308">
        <w:rPr>
          <w:rFonts w:ascii="Century Gothic" w:eastAsia="PMingLiU" w:hAnsi="Century Gothic" w:cs="Arial"/>
          <w:i/>
          <w:iCs/>
          <w:sz w:val="24"/>
          <w:szCs w:val="24"/>
          <w:lang w:eastAsia="en-US"/>
        </w:rPr>
        <w:t xml:space="preserve">. La razón principal por la que no se ha llevado a cabo este refinanciamiento es porque detectamos que el Título de la emisión está irresponsablemente desactualizado y no se puede llevar a cabo el nuevo proceso hasta que se actualice el Título actual. La desactualización proviene de que algunas regulaciones han cambiado en los últimos </w:t>
      </w:r>
      <w:proofErr w:type="gramStart"/>
      <w:r w:rsidRPr="00286308">
        <w:rPr>
          <w:rFonts w:ascii="Century Gothic" w:eastAsia="PMingLiU" w:hAnsi="Century Gothic" w:cs="Arial"/>
          <w:i/>
          <w:iCs/>
          <w:sz w:val="24"/>
          <w:szCs w:val="24"/>
          <w:lang w:eastAsia="en-US"/>
        </w:rPr>
        <w:t>años</w:t>
      </w:r>
      <w:proofErr w:type="gramEnd"/>
      <w:r w:rsidRPr="00286308">
        <w:rPr>
          <w:rFonts w:ascii="Century Gothic" w:eastAsia="PMingLiU" w:hAnsi="Century Gothic" w:cs="Arial"/>
          <w:i/>
          <w:iCs/>
          <w:sz w:val="24"/>
          <w:szCs w:val="24"/>
          <w:lang w:eastAsia="en-US"/>
        </w:rPr>
        <w:t xml:space="preserve"> pero sobre todo por el hecho de que en el 2019 la administración anterior refinanció dos de las tres emisiones </w:t>
      </w:r>
      <w:proofErr w:type="spellStart"/>
      <w:r w:rsidRPr="00286308">
        <w:rPr>
          <w:rFonts w:ascii="Century Gothic" w:eastAsia="PMingLiU" w:hAnsi="Century Gothic" w:cs="Arial"/>
          <w:i/>
          <w:iCs/>
          <w:sz w:val="24"/>
          <w:szCs w:val="24"/>
          <w:lang w:eastAsia="en-US"/>
        </w:rPr>
        <w:t>bursatiles</w:t>
      </w:r>
      <w:proofErr w:type="spellEnd"/>
      <w:r w:rsidRPr="00286308">
        <w:rPr>
          <w:rFonts w:ascii="Century Gothic" w:eastAsia="PMingLiU" w:hAnsi="Century Gothic" w:cs="Arial"/>
          <w:i/>
          <w:iCs/>
          <w:sz w:val="24"/>
          <w:szCs w:val="24"/>
          <w:lang w:eastAsia="en-US"/>
        </w:rPr>
        <w:t xml:space="preserve"> efectuadas en el 2013 al amparo de ese Título, y al no haberse realizado las actualizaciones respectivas se afecta los intereses del Estado. Para concretar esa actualización el Estado ha llevado a cabo un proceso de trabajo con el fiduciario y el Representante Común y se convocará en breve a una Asamblea de Tenedores para que autoricen las modificaciones necesarias.</w:t>
      </w:r>
    </w:p>
    <w:p w14:paraId="75171E36"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12EEEC11"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lastRenderedPageBreak/>
        <w:t xml:space="preserve">Es importante mencionar que estos $17,000 millones se destinarán únicamente al prepago de la emisión y no representan endeudamiento adicional, simplemente el monto para liquidar la emisión aumentó debido a los últimos datos de inflación y a </w:t>
      </w:r>
      <w:proofErr w:type="gramStart"/>
      <w:r w:rsidRPr="00286308">
        <w:rPr>
          <w:rFonts w:ascii="Century Gothic" w:eastAsia="PMingLiU" w:hAnsi="Century Gothic" w:cs="Arial"/>
          <w:i/>
          <w:iCs/>
          <w:sz w:val="24"/>
          <w:szCs w:val="24"/>
          <w:lang w:eastAsia="en-US"/>
        </w:rPr>
        <w:t>la proyecciones</w:t>
      </w:r>
      <w:proofErr w:type="gramEnd"/>
      <w:r w:rsidRPr="00286308">
        <w:rPr>
          <w:rFonts w:ascii="Century Gothic" w:eastAsia="PMingLiU" w:hAnsi="Century Gothic" w:cs="Arial"/>
          <w:i/>
          <w:iCs/>
          <w:sz w:val="24"/>
          <w:szCs w:val="24"/>
          <w:lang w:eastAsia="en-US"/>
        </w:rPr>
        <w:t xml:space="preserve"> de esta variable para el año que entra. </w:t>
      </w:r>
    </w:p>
    <w:bookmarkEnd w:id="0"/>
    <w:p w14:paraId="72E2F1C2"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0761986A"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Lo más importante y urgente de esta acción es el prepago de la emisión bursátil CHIHCB 13U. ¿Por qué queremos prepagar esa emisión?</w:t>
      </w:r>
    </w:p>
    <w:p w14:paraId="4620D494" w14:textId="77777777" w:rsidR="00870845" w:rsidRPr="00286308" w:rsidRDefault="00870845" w:rsidP="00870845">
      <w:pPr>
        <w:spacing w:after="0" w:line="360" w:lineRule="auto"/>
        <w:ind w:left="567" w:right="616"/>
        <w:jc w:val="both"/>
        <w:rPr>
          <w:rFonts w:ascii="Century Gothic" w:eastAsia="PMingLiU" w:hAnsi="Century Gothic" w:cs="Arial"/>
          <w:i/>
          <w:iCs/>
          <w:sz w:val="24"/>
          <w:szCs w:val="24"/>
          <w:lang w:eastAsia="en-US"/>
        </w:rPr>
      </w:pPr>
    </w:p>
    <w:p w14:paraId="748802D6" w14:textId="69254462" w:rsidR="00870845" w:rsidRPr="00286308" w:rsidRDefault="00870845" w:rsidP="009F0E9C">
      <w:pPr>
        <w:spacing w:after="0" w:line="360" w:lineRule="auto"/>
        <w:ind w:left="567" w:right="616"/>
        <w:contextualSpacing/>
        <w:jc w:val="both"/>
        <w:rPr>
          <w:rFonts w:ascii="Arial" w:hAnsi="Arial" w:cs="Arial"/>
          <w:sz w:val="20"/>
          <w:szCs w:val="20"/>
          <w:lang w:val="es-ES" w:eastAsia="es-ES"/>
        </w:rPr>
      </w:pPr>
      <w:r w:rsidRPr="00286308">
        <w:rPr>
          <w:rFonts w:ascii="Century Gothic" w:hAnsi="Century Gothic" w:cs="Arial"/>
          <w:i/>
          <w:iCs/>
          <w:sz w:val="24"/>
          <w:szCs w:val="24"/>
          <w:lang w:val="es-ES" w:eastAsia="es-ES"/>
        </w:rPr>
        <w:t>La emisión bursátil que fue contratada en el 2013, tiene un costo de financiamiento muy alto. La emisión tiene una tasa efectiva de UDIs más 5.95%. Esto significa que la tasa real de la emisión es de 5.95% pero lo que efectivamente nos cuesta es la tasa de inflación más 5.95%. Entonces, con base en el último reporte de inflación del INEGI, que se presentó el pasado miércoles 09 de noviembre, donde a la segunda quincena de octubre se presentó una inflación anualizada del 8.41%, lo que significa que la tasa de la emisión bursátil es de 8.41% más 5.95%, lo que suma más del 14%. Entonces por esta deuda actualmente pagamos el más del 14%, mientras que en el resto de la deuda de largo plazo que esta contratada, en promedio, a TIIE 0.645% equivalente en estos momentos a 10.91%.</w:t>
      </w:r>
    </w:p>
    <w:p w14:paraId="20E1BA1D" w14:textId="77777777" w:rsidR="00870845" w:rsidRPr="00286308" w:rsidRDefault="00870845" w:rsidP="00870845">
      <w:pPr>
        <w:spacing w:after="0" w:line="240" w:lineRule="auto"/>
        <w:jc w:val="both"/>
        <w:rPr>
          <w:rFonts w:ascii="Arial" w:eastAsia="PMingLiU" w:hAnsi="Arial" w:cs="Arial"/>
          <w:sz w:val="20"/>
          <w:szCs w:val="20"/>
          <w:lang w:eastAsia="en-US"/>
        </w:rPr>
      </w:pPr>
    </w:p>
    <w:p w14:paraId="0EADB372" w14:textId="77777777" w:rsidR="00870845" w:rsidRPr="00286308" w:rsidRDefault="00870845" w:rsidP="00870845">
      <w:pPr>
        <w:spacing w:after="0" w:line="240" w:lineRule="auto"/>
        <w:jc w:val="center"/>
        <w:rPr>
          <w:rFonts w:ascii="Arial" w:eastAsia="PMingLiU" w:hAnsi="Arial" w:cs="Arial"/>
          <w:sz w:val="20"/>
          <w:szCs w:val="20"/>
          <w:lang w:eastAsia="en-US"/>
        </w:rPr>
      </w:pPr>
      <w:r w:rsidRPr="00286308">
        <w:rPr>
          <w:rFonts w:ascii="Arial" w:eastAsia="PMingLiU" w:hAnsi="Arial" w:cs="Arial"/>
          <w:noProof/>
          <w:sz w:val="20"/>
          <w:szCs w:val="20"/>
          <w:lang w:eastAsia="en-US"/>
        </w:rPr>
        <w:lastRenderedPageBreak/>
        <w:drawing>
          <wp:inline distT="0" distB="0" distL="0" distR="0" wp14:anchorId="1DD814B4" wp14:editId="059F0793">
            <wp:extent cx="4128380" cy="2494690"/>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8"/>
                    <a:stretch>
                      <a:fillRect/>
                    </a:stretch>
                  </pic:blipFill>
                  <pic:spPr>
                    <a:xfrm>
                      <a:off x="0" y="0"/>
                      <a:ext cx="4147628" cy="2506321"/>
                    </a:xfrm>
                    <a:prstGeom prst="rect">
                      <a:avLst/>
                    </a:prstGeom>
                  </pic:spPr>
                </pic:pic>
              </a:graphicData>
            </a:graphic>
          </wp:inline>
        </w:drawing>
      </w:r>
    </w:p>
    <w:p w14:paraId="38C9C5C6" w14:textId="77777777" w:rsidR="00870845" w:rsidRPr="00286308" w:rsidRDefault="00870845" w:rsidP="009F0E9C">
      <w:pPr>
        <w:spacing w:after="0" w:line="360" w:lineRule="auto"/>
        <w:ind w:left="709" w:firstLine="709"/>
        <w:rPr>
          <w:rFonts w:ascii="Century Gothic" w:eastAsia="PMingLiU" w:hAnsi="Century Gothic" w:cs="Arial"/>
          <w:i/>
          <w:iCs/>
          <w:sz w:val="24"/>
          <w:szCs w:val="24"/>
          <w:lang w:eastAsia="en-US"/>
        </w:rPr>
      </w:pPr>
      <w:r w:rsidRPr="00286308">
        <w:rPr>
          <w:rFonts w:ascii="Century Gothic" w:eastAsia="PMingLiU" w:hAnsi="Century Gothic" w:cs="Arial"/>
          <w:sz w:val="24"/>
          <w:szCs w:val="24"/>
          <w:lang w:eastAsia="en-US"/>
        </w:rPr>
        <w:t xml:space="preserve">         </w:t>
      </w:r>
      <w:r w:rsidRPr="00286308">
        <w:rPr>
          <w:rFonts w:ascii="Century Gothic" w:eastAsia="PMingLiU" w:hAnsi="Century Gothic" w:cs="Arial"/>
          <w:i/>
          <w:iCs/>
          <w:sz w:val="24"/>
          <w:szCs w:val="24"/>
          <w:lang w:eastAsia="en-US"/>
        </w:rPr>
        <w:t>Estimación al 25 de noviembre de 2022</w:t>
      </w:r>
    </w:p>
    <w:p w14:paraId="2FB520F6" w14:textId="77777777" w:rsidR="00870845" w:rsidRPr="00286308" w:rsidRDefault="00870845" w:rsidP="009F0E9C">
      <w:pPr>
        <w:spacing w:after="0" w:line="360" w:lineRule="auto"/>
        <w:ind w:left="720" w:firstLine="720"/>
        <w:jc w:val="both"/>
        <w:rPr>
          <w:rFonts w:ascii="Century Gothic" w:eastAsia="PMingLiU" w:hAnsi="Century Gothic" w:cs="Arial"/>
          <w:i/>
          <w:iCs/>
          <w:sz w:val="24"/>
          <w:szCs w:val="24"/>
          <w:lang w:eastAsia="en-US"/>
        </w:rPr>
      </w:pPr>
    </w:p>
    <w:p w14:paraId="52BE43A6" w14:textId="47C24E28" w:rsidR="00870845" w:rsidRPr="00286308" w:rsidRDefault="00870845" w:rsidP="009F0E9C">
      <w:pPr>
        <w:spacing w:after="0" w:line="360" w:lineRule="auto"/>
        <w:ind w:left="567" w:right="616"/>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 xml:space="preserve">La estructura de la deuda bursátil de la emisión CHIHCB 13U hace que el monto de endeudamiento vaya creciendo conforme crecen las Unidades de Inversión o UDIs, las cuales crecen en forma similar a como crece la inflación. Para entender la gravedad de esta estructura y como afecta al Estado tenemos que considerar que en el 2013 derivado de esta emisión la entidad recibió $12 mil millones de pesos y a la fecha por servicio de esta deuda ha pagado ya $9,514 millones de pesos y sin embargo ahora se deben el equivalente a más de $16,050 millones de pesos. </w:t>
      </w:r>
    </w:p>
    <w:p w14:paraId="68361FAD" w14:textId="77777777" w:rsidR="00870845" w:rsidRPr="00286308" w:rsidRDefault="00870845" w:rsidP="009F0E9C">
      <w:pPr>
        <w:spacing w:after="0" w:line="360" w:lineRule="auto"/>
        <w:jc w:val="center"/>
        <w:rPr>
          <w:rFonts w:ascii="Century Gothic" w:eastAsia="PMingLiU" w:hAnsi="Century Gothic" w:cs="Arial"/>
          <w:sz w:val="20"/>
          <w:szCs w:val="20"/>
          <w:lang w:val="es-ES" w:eastAsia="en-US"/>
        </w:rPr>
      </w:pPr>
    </w:p>
    <w:p w14:paraId="7F6A3105" w14:textId="77777777" w:rsidR="00870845" w:rsidRPr="00286308" w:rsidRDefault="00870845" w:rsidP="009F0E9C">
      <w:pPr>
        <w:spacing w:after="0" w:line="360" w:lineRule="auto"/>
        <w:jc w:val="both"/>
        <w:rPr>
          <w:rFonts w:ascii="Century Gothic" w:eastAsia="PMingLiU" w:hAnsi="Century Gothic" w:cs="Arial"/>
          <w:sz w:val="20"/>
          <w:szCs w:val="20"/>
          <w:lang w:val="es-ES" w:eastAsia="en-US"/>
        </w:rPr>
      </w:pPr>
    </w:p>
    <w:p w14:paraId="27E792B7" w14:textId="77777777" w:rsidR="00870845" w:rsidRPr="00286308" w:rsidRDefault="00870845" w:rsidP="00870845">
      <w:pPr>
        <w:spacing w:after="0" w:line="240" w:lineRule="auto"/>
        <w:ind w:left="567"/>
        <w:jc w:val="center"/>
        <w:rPr>
          <w:rFonts w:ascii="Arial" w:eastAsia="PMingLiU" w:hAnsi="Arial" w:cs="Arial"/>
          <w:sz w:val="20"/>
          <w:szCs w:val="20"/>
          <w:lang w:eastAsia="en-US"/>
        </w:rPr>
      </w:pPr>
      <w:r w:rsidRPr="00286308">
        <w:rPr>
          <w:rFonts w:ascii="Arial" w:eastAsia="PMingLiU" w:hAnsi="Arial" w:cs="Arial"/>
          <w:noProof/>
          <w:sz w:val="20"/>
          <w:szCs w:val="20"/>
          <w:lang w:val="es-ES" w:eastAsia="en-US"/>
        </w:rPr>
        <w:lastRenderedPageBreak/>
        <w:drawing>
          <wp:inline distT="0" distB="0" distL="0" distR="0" wp14:anchorId="40F23F23" wp14:editId="286CE60D">
            <wp:extent cx="4191755" cy="2203541"/>
            <wp:effectExtent l="0" t="0" r="0" b="6350"/>
            <wp:docPr id="3" name="Picture 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pic:cNvPicPr/>
                  </pic:nvPicPr>
                  <pic:blipFill>
                    <a:blip r:embed="rId9"/>
                    <a:stretch>
                      <a:fillRect/>
                    </a:stretch>
                  </pic:blipFill>
                  <pic:spPr>
                    <a:xfrm>
                      <a:off x="0" y="0"/>
                      <a:ext cx="4205026" cy="2210517"/>
                    </a:xfrm>
                    <a:prstGeom prst="rect">
                      <a:avLst/>
                    </a:prstGeom>
                  </pic:spPr>
                </pic:pic>
              </a:graphicData>
            </a:graphic>
          </wp:inline>
        </w:drawing>
      </w:r>
    </w:p>
    <w:p w14:paraId="79F440BB" w14:textId="77777777" w:rsidR="00870845" w:rsidRPr="00286308" w:rsidRDefault="00870845" w:rsidP="00870845">
      <w:pPr>
        <w:spacing w:after="0" w:line="240" w:lineRule="auto"/>
        <w:ind w:left="567"/>
        <w:jc w:val="both"/>
        <w:rPr>
          <w:rFonts w:ascii="Arial" w:eastAsia="PMingLiU" w:hAnsi="Arial" w:cs="Arial"/>
          <w:sz w:val="20"/>
          <w:szCs w:val="20"/>
          <w:lang w:eastAsia="en-US"/>
        </w:rPr>
      </w:pPr>
    </w:p>
    <w:p w14:paraId="2A64465D"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Tan solo en los últimos 12 meses, la deuda del estado de Chihuahua por concepto de esta emisión, aproximadamente creció en $1,000 millones de pesos, sin que el Estado haya recibido un peso y sin que esto se pudiera traducir en alguna inversión en beneficio del Estado.</w:t>
      </w:r>
    </w:p>
    <w:p w14:paraId="63EC1E26"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744D72C4" w14:textId="6E391D1A"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Lo más delicado es que si no hacemos algo, esta situación se va a deteriorar aún más. Con proyecciones conservadoras de la UDI, en el próximo año, se estima que habremos pagado $10,970 millones y en lugar de $12,000 millones, ya deberíamos $16,590 millones de pesos. Es decir, habríamos contraído $540 millones de pesos de deuda adicionales, sin ningún beneficio para Chihuahua.</w:t>
      </w:r>
    </w:p>
    <w:p w14:paraId="5A38B6AC" w14:textId="77777777" w:rsidR="00870845" w:rsidRPr="00286308" w:rsidRDefault="00870845" w:rsidP="00870845">
      <w:pPr>
        <w:spacing w:after="0" w:line="240" w:lineRule="auto"/>
        <w:ind w:left="720"/>
        <w:jc w:val="both"/>
        <w:rPr>
          <w:rFonts w:ascii="Arial" w:eastAsia="PMingLiU" w:hAnsi="Arial" w:cs="Arial"/>
          <w:i/>
          <w:iCs/>
          <w:sz w:val="20"/>
          <w:szCs w:val="20"/>
          <w:lang w:eastAsia="en-US"/>
        </w:rPr>
      </w:pPr>
    </w:p>
    <w:p w14:paraId="4CC4CCDC" w14:textId="77777777" w:rsidR="00870845" w:rsidRPr="00286308" w:rsidRDefault="00870845" w:rsidP="00870845">
      <w:pPr>
        <w:spacing w:after="0" w:line="240" w:lineRule="auto"/>
        <w:ind w:left="720"/>
        <w:jc w:val="center"/>
        <w:rPr>
          <w:rFonts w:ascii="Arial" w:eastAsia="PMingLiU" w:hAnsi="Arial" w:cs="Arial"/>
          <w:sz w:val="20"/>
          <w:szCs w:val="20"/>
          <w:lang w:eastAsia="en-US"/>
        </w:rPr>
      </w:pPr>
      <w:r w:rsidRPr="00286308">
        <w:rPr>
          <w:rFonts w:ascii="Arial" w:eastAsia="PMingLiU" w:hAnsi="Arial" w:cs="Arial"/>
          <w:noProof/>
          <w:sz w:val="20"/>
          <w:szCs w:val="20"/>
          <w:lang w:eastAsia="en-US"/>
        </w:rPr>
        <w:lastRenderedPageBreak/>
        <w:drawing>
          <wp:inline distT="0" distB="0" distL="0" distR="0" wp14:anchorId="74C24D5F" wp14:editId="5D1F2EBF">
            <wp:extent cx="4226209" cy="2229303"/>
            <wp:effectExtent l="0" t="0" r="3175" b="6350"/>
            <wp:docPr id="4" name="Picture 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waterfall chart&#10;&#10;Description automatically generated"/>
                    <pic:cNvPicPr/>
                  </pic:nvPicPr>
                  <pic:blipFill>
                    <a:blip r:embed="rId10"/>
                    <a:stretch>
                      <a:fillRect/>
                    </a:stretch>
                  </pic:blipFill>
                  <pic:spPr>
                    <a:xfrm>
                      <a:off x="0" y="0"/>
                      <a:ext cx="4273233" cy="2254108"/>
                    </a:xfrm>
                    <a:prstGeom prst="rect">
                      <a:avLst/>
                    </a:prstGeom>
                  </pic:spPr>
                </pic:pic>
              </a:graphicData>
            </a:graphic>
          </wp:inline>
        </w:drawing>
      </w:r>
    </w:p>
    <w:p w14:paraId="34F3EEBC" w14:textId="77777777" w:rsidR="00870845" w:rsidRPr="00286308" w:rsidRDefault="00870845" w:rsidP="00870845">
      <w:pPr>
        <w:spacing w:after="0" w:line="240" w:lineRule="auto"/>
        <w:jc w:val="both"/>
        <w:rPr>
          <w:rFonts w:ascii="Arial" w:eastAsia="PMingLiU" w:hAnsi="Arial" w:cs="Arial"/>
          <w:sz w:val="20"/>
          <w:szCs w:val="20"/>
          <w:lang w:eastAsia="en-US"/>
        </w:rPr>
      </w:pPr>
    </w:p>
    <w:p w14:paraId="0D1A81D5"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Adicionalmente, se debe considerar que la infraestructura carretera del Estado ha mostrado una evolución de los ingresos sumamente favorable, e inclusive en el 2020, a pesar de la pandemia, el aforo carretero se mantuvo en niveles elevados. Esta situación ha hecho que la emisión bursátil con estos activos este calificada como AAA, lo que nos debe generar unas condiciones más favorables para conseguir mejores condiciones de mercado en la nueva emisión.</w:t>
      </w:r>
    </w:p>
    <w:p w14:paraId="4CF3928F"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374A4B0C"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Derivado de lo anterior le pido a esa Soberanía considerar que la nueva emisión bursátil tendrá una mejor estructura financiera que la anterior y se podrá acceder a mejores condiciones financieras.</w:t>
      </w:r>
    </w:p>
    <w:p w14:paraId="382DCFB2"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5085AC51" w14:textId="77777777" w:rsidR="00870845" w:rsidRPr="00286308" w:rsidRDefault="00870845" w:rsidP="00FF6735">
      <w:pPr>
        <w:numPr>
          <w:ilvl w:val="0"/>
          <w:numId w:val="3"/>
        </w:numPr>
        <w:spacing w:after="0" w:line="360" w:lineRule="auto"/>
        <w:ind w:left="567" w:right="616" w:firstLine="0"/>
        <w:contextualSpacing/>
        <w:jc w:val="both"/>
        <w:rPr>
          <w:rFonts w:ascii="Century Gothic" w:hAnsi="Century Gothic" w:cs="Arial"/>
          <w:b/>
          <w:bCs/>
          <w:i/>
          <w:iCs/>
          <w:sz w:val="24"/>
          <w:szCs w:val="24"/>
          <w:u w:val="single"/>
          <w:lang w:val="es-ES" w:eastAsia="es-ES"/>
        </w:rPr>
      </w:pPr>
      <w:r w:rsidRPr="00286308">
        <w:rPr>
          <w:rFonts w:ascii="Century Gothic" w:hAnsi="Century Gothic" w:cs="Arial"/>
          <w:b/>
          <w:bCs/>
          <w:i/>
          <w:iCs/>
          <w:sz w:val="24"/>
          <w:szCs w:val="24"/>
          <w:u w:val="single"/>
          <w:lang w:val="es-ES" w:eastAsia="es-ES"/>
        </w:rPr>
        <w:t>Financiamiento 665.</w:t>
      </w:r>
    </w:p>
    <w:p w14:paraId="3330724C"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649DA366"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 xml:space="preserve">En esta iniciativa se pone a su consideración el refinanciamiento por $665,394,050.16 (seiscientos sesenta y cinco millones </w:t>
      </w:r>
      <w:r w:rsidRPr="00286308">
        <w:rPr>
          <w:rFonts w:ascii="Century Gothic" w:eastAsia="PMingLiU" w:hAnsi="Century Gothic" w:cs="Arial"/>
          <w:i/>
          <w:iCs/>
          <w:sz w:val="24"/>
          <w:szCs w:val="24"/>
          <w:lang w:eastAsia="en-US"/>
        </w:rPr>
        <w:lastRenderedPageBreak/>
        <w:t>trescientos noventa y cuatro mil cincuenta pesos 16/100 Moneda Nacional) del crédito que se contrató con Banobras al amparo del Programa de Financiamiento para Infraestructura y Seguridad de los Estados (PROFISE). Este crédito tiene particularidades distintas a otros créditos bancarios de largo plazo que tiene el Gobierno del Estado. Entre las principales diferencias se encuentran:</w:t>
      </w:r>
    </w:p>
    <w:p w14:paraId="0E927F70"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252F9713" w14:textId="77777777" w:rsidR="00870845" w:rsidRPr="00286308" w:rsidRDefault="00870845" w:rsidP="00FF6735">
      <w:pPr>
        <w:numPr>
          <w:ilvl w:val="0"/>
          <w:numId w:val="6"/>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Es un crédito llamado “</w:t>
      </w:r>
      <w:proofErr w:type="spellStart"/>
      <w:r w:rsidRPr="00286308">
        <w:rPr>
          <w:rFonts w:ascii="Century Gothic" w:hAnsi="Century Gothic" w:cs="Arial"/>
          <w:i/>
          <w:iCs/>
          <w:sz w:val="24"/>
          <w:szCs w:val="24"/>
          <w:lang w:val="es-ES" w:eastAsia="es-ES"/>
        </w:rPr>
        <w:t>bullet</w:t>
      </w:r>
      <w:proofErr w:type="spellEnd"/>
      <w:r w:rsidRPr="00286308">
        <w:rPr>
          <w:rFonts w:ascii="Century Gothic" w:hAnsi="Century Gothic" w:cs="Arial"/>
          <w:i/>
          <w:iCs/>
          <w:sz w:val="24"/>
          <w:szCs w:val="24"/>
          <w:lang w:val="es-ES" w:eastAsia="es-ES"/>
        </w:rPr>
        <w:t>”, es decir, cuyo principal se liquida en su totalidad al vencimiento del contrato, lo cual se realizaría hasta el 2032.</w:t>
      </w:r>
    </w:p>
    <w:p w14:paraId="2DC36DE6" w14:textId="77777777" w:rsidR="00870845" w:rsidRPr="00286308" w:rsidRDefault="00870845" w:rsidP="009F0E9C">
      <w:pPr>
        <w:spacing w:after="0" w:line="360" w:lineRule="auto"/>
        <w:ind w:left="567" w:right="616"/>
        <w:jc w:val="both"/>
        <w:rPr>
          <w:rFonts w:ascii="Century Gothic" w:hAnsi="Century Gothic" w:cs="Arial"/>
          <w:i/>
          <w:iCs/>
          <w:sz w:val="24"/>
          <w:szCs w:val="24"/>
          <w:lang w:val="es-ES" w:eastAsia="es-ES"/>
        </w:rPr>
      </w:pPr>
    </w:p>
    <w:p w14:paraId="3D5BDAA9" w14:textId="77777777" w:rsidR="00870845" w:rsidRPr="00286308" w:rsidRDefault="00870845" w:rsidP="00FF6735">
      <w:pPr>
        <w:numPr>
          <w:ilvl w:val="0"/>
          <w:numId w:val="6"/>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La tasa de interés pactada es una tasa fija más una sobretasa.</w:t>
      </w:r>
    </w:p>
    <w:p w14:paraId="07E05187"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43A44A23" w14:textId="77777777" w:rsidR="00870845" w:rsidRPr="00286308" w:rsidRDefault="00870845" w:rsidP="00FF6735">
      <w:pPr>
        <w:numPr>
          <w:ilvl w:val="0"/>
          <w:numId w:val="6"/>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Los intereses siempre se pagan sobre el total del monto del crédito.</w:t>
      </w:r>
    </w:p>
    <w:p w14:paraId="10BCECFF"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3ADCA2AB" w14:textId="77777777" w:rsidR="00870845" w:rsidRPr="00286308" w:rsidRDefault="00870845" w:rsidP="00FF6735">
      <w:pPr>
        <w:numPr>
          <w:ilvl w:val="0"/>
          <w:numId w:val="6"/>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El pago del principal se garantizó con un Bono Cupón Cero.</w:t>
      </w:r>
    </w:p>
    <w:p w14:paraId="3D593E28" w14:textId="77777777" w:rsidR="00870845" w:rsidRPr="00286308" w:rsidRDefault="00870845" w:rsidP="009F0E9C">
      <w:pPr>
        <w:spacing w:after="0" w:line="360" w:lineRule="auto"/>
        <w:ind w:left="567" w:right="616"/>
        <w:jc w:val="both"/>
        <w:rPr>
          <w:rFonts w:ascii="Century Gothic" w:hAnsi="Century Gothic" w:cs="Arial"/>
          <w:i/>
          <w:iCs/>
          <w:sz w:val="24"/>
          <w:szCs w:val="24"/>
          <w:lang w:val="es-ES" w:eastAsia="es-ES"/>
        </w:rPr>
      </w:pPr>
    </w:p>
    <w:p w14:paraId="23B25BAD" w14:textId="77777777" w:rsidR="00870845" w:rsidRPr="00286308" w:rsidRDefault="00870845" w:rsidP="00FF6735">
      <w:pPr>
        <w:numPr>
          <w:ilvl w:val="0"/>
          <w:numId w:val="6"/>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Es un crédito que está sobre garantizado. Es decir, para el tamaño del monto del crédito, las Participaciones Federales dadas en garantía son más de cinco veces las de los otros créditos de largo plazo.</w:t>
      </w:r>
    </w:p>
    <w:p w14:paraId="0C73B8D8"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4E86E466"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Al refinanciar este crédito, el Gobierno obtendría diversos beneficios, entre los que se encuentran:</w:t>
      </w:r>
    </w:p>
    <w:p w14:paraId="27F50428"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7DAD49F8" w14:textId="23888D7B" w:rsidR="00870845" w:rsidRPr="00286308" w:rsidRDefault="00F60637" w:rsidP="00FF6735">
      <w:pPr>
        <w:numPr>
          <w:ilvl w:val="0"/>
          <w:numId w:val="7"/>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 xml:space="preserve">        </w:t>
      </w:r>
      <w:r w:rsidR="00FF5821" w:rsidRPr="00286308">
        <w:rPr>
          <w:rFonts w:ascii="Century Gothic" w:hAnsi="Century Gothic" w:cs="Arial"/>
          <w:i/>
          <w:iCs/>
          <w:sz w:val="24"/>
          <w:szCs w:val="24"/>
          <w:lang w:val="es-ES" w:eastAsia="es-ES"/>
        </w:rPr>
        <w:t xml:space="preserve">   </w:t>
      </w:r>
      <w:r w:rsidR="00870845" w:rsidRPr="00286308">
        <w:rPr>
          <w:rFonts w:ascii="Century Gothic" w:hAnsi="Century Gothic" w:cs="Arial"/>
          <w:i/>
          <w:iCs/>
          <w:sz w:val="24"/>
          <w:szCs w:val="24"/>
          <w:lang w:val="es-ES" w:eastAsia="es-ES"/>
        </w:rPr>
        <w:t>Se espera una disminución en la tasa de interés que generará ahorros presupuestales que en el 2023 serán de $13 millones de pesos y cada año se incrementarán. A lo largo de la duración del crédito, se estima que el Gobierno del Estado tendrá un ahorro de más de $408 millones de pesos.</w:t>
      </w:r>
    </w:p>
    <w:p w14:paraId="7BFBAE52" w14:textId="77777777" w:rsidR="00870845" w:rsidRPr="00286308" w:rsidRDefault="00870845" w:rsidP="009F0E9C">
      <w:pPr>
        <w:spacing w:after="0" w:line="360" w:lineRule="auto"/>
        <w:ind w:left="567" w:right="616"/>
        <w:jc w:val="both"/>
        <w:rPr>
          <w:rFonts w:ascii="Century Gothic" w:hAnsi="Century Gothic" w:cs="Arial"/>
          <w:i/>
          <w:iCs/>
          <w:sz w:val="24"/>
          <w:szCs w:val="24"/>
          <w:lang w:val="es-ES" w:eastAsia="es-ES"/>
        </w:rPr>
      </w:pPr>
    </w:p>
    <w:p w14:paraId="015B6A1E" w14:textId="77777777" w:rsidR="00870845" w:rsidRPr="00286308" w:rsidRDefault="00870845" w:rsidP="00FF6735">
      <w:pPr>
        <w:numPr>
          <w:ilvl w:val="0"/>
          <w:numId w:val="7"/>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Se generaría un ahorro de gastos fiduciarios de $2.3 millones de pesos año.</w:t>
      </w:r>
    </w:p>
    <w:p w14:paraId="2B02AAC9"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205EA91B" w14:textId="77777777" w:rsidR="00870845" w:rsidRPr="00286308" w:rsidRDefault="00870845" w:rsidP="00FF6735">
      <w:pPr>
        <w:numPr>
          <w:ilvl w:val="0"/>
          <w:numId w:val="7"/>
        </w:numPr>
        <w:spacing w:after="0" w:line="360" w:lineRule="auto"/>
        <w:ind w:left="567" w:right="616" w:firstLine="0"/>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Se liberaría un porcentaje del Fondo General de Participaciones que está dado en garantía en este crédito.</w:t>
      </w:r>
    </w:p>
    <w:p w14:paraId="6A8A25BE"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50D6E3AB"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 xml:space="preserve">En este financiamiento, el Gobierno del Estado </w:t>
      </w:r>
      <w:proofErr w:type="spellStart"/>
      <w:r w:rsidRPr="00286308">
        <w:rPr>
          <w:rFonts w:ascii="Century Gothic" w:eastAsia="PMingLiU" w:hAnsi="Century Gothic" w:cs="Arial"/>
          <w:i/>
          <w:iCs/>
          <w:sz w:val="24"/>
          <w:szCs w:val="24"/>
          <w:lang w:eastAsia="en-US"/>
        </w:rPr>
        <w:t>esta</w:t>
      </w:r>
      <w:proofErr w:type="spellEnd"/>
      <w:r w:rsidRPr="00286308">
        <w:rPr>
          <w:rFonts w:ascii="Century Gothic" w:eastAsia="PMingLiU" w:hAnsi="Century Gothic" w:cs="Arial"/>
          <w:i/>
          <w:iCs/>
          <w:sz w:val="24"/>
          <w:szCs w:val="24"/>
          <w:lang w:eastAsia="en-US"/>
        </w:rPr>
        <w:t xml:space="preserve"> avanzando en un proceso de reestructura con el propios Banobras, ya que por el incremento de las tasas de </w:t>
      </w:r>
      <w:proofErr w:type="spellStart"/>
      <w:r w:rsidRPr="00286308">
        <w:rPr>
          <w:rFonts w:ascii="Century Gothic" w:eastAsia="PMingLiU" w:hAnsi="Century Gothic" w:cs="Arial"/>
          <w:i/>
          <w:iCs/>
          <w:sz w:val="24"/>
          <w:szCs w:val="24"/>
          <w:lang w:eastAsia="en-US"/>
        </w:rPr>
        <w:t>interes</w:t>
      </w:r>
      <w:proofErr w:type="spellEnd"/>
      <w:r w:rsidRPr="00286308">
        <w:rPr>
          <w:rFonts w:ascii="Century Gothic" w:eastAsia="PMingLiU" w:hAnsi="Century Gothic" w:cs="Arial"/>
          <w:i/>
          <w:iCs/>
          <w:sz w:val="24"/>
          <w:szCs w:val="24"/>
          <w:lang w:eastAsia="en-US"/>
        </w:rPr>
        <w:t xml:space="preserve">, la tasa pactada en este financiamiento es </w:t>
      </w:r>
      <w:proofErr w:type="spellStart"/>
      <w:r w:rsidRPr="00286308">
        <w:rPr>
          <w:rFonts w:ascii="Century Gothic" w:eastAsia="PMingLiU" w:hAnsi="Century Gothic" w:cs="Arial"/>
          <w:i/>
          <w:iCs/>
          <w:sz w:val="24"/>
          <w:szCs w:val="24"/>
          <w:lang w:eastAsia="en-US"/>
        </w:rPr>
        <w:t>batante</w:t>
      </w:r>
      <w:proofErr w:type="spellEnd"/>
      <w:r w:rsidRPr="00286308">
        <w:rPr>
          <w:rFonts w:ascii="Century Gothic" w:eastAsia="PMingLiU" w:hAnsi="Century Gothic" w:cs="Arial"/>
          <w:i/>
          <w:iCs/>
          <w:sz w:val="24"/>
          <w:szCs w:val="24"/>
          <w:lang w:eastAsia="en-US"/>
        </w:rPr>
        <w:t xml:space="preserve"> favorable; pero se busca que más adelante que se contraiga la TIIE, se haga un refinanciamiento en mejores condiciones.</w:t>
      </w:r>
    </w:p>
    <w:p w14:paraId="5EE90005"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2BB2A50C" w14:textId="6DC0E63A"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r w:rsidRPr="00286308">
        <w:rPr>
          <w:rFonts w:ascii="Century Gothic" w:eastAsia="PMingLiU" w:hAnsi="Century Gothic" w:cs="Arial"/>
          <w:i/>
          <w:iCs/>
          <w:sz w:val="24"/>
          <w:szCs w:val="24"/>
          <w:lang w:eastAsia="en-US"/>
        </w:rPr>
        <w:t xml:space="preserve">Este financiamiento </w:t>
      </w:r>
      <w:r w:rsidR="0098580F" w:rsidRPr="00286308">
        <w:rPr>
          <w:rFonts w:ascii="Century Gothic" w:eastAsia="PMingLiU" w:hAnsi="Century Gothic" w:cs="Arial"/>
          <w:i/>
          <w:iCs/>
          <w:sz w:val="24"/>
          <w:szCs w:val="24"/>
          <w:lang w:eastAsia="en-US"/>
        </w:rPr>
        <w:t>también</w:t>
      </w:r>
      <w:r w:rsidRPr="00286308">
        <w:rPr>
          <w:rFonts w:ascii="Century Gothic" w:eastAsia="PMingLiU" w:hAnsi="Century Gothic" w:cs="Arial"/>
          <w:i/>
          <w:iCs/>
          <w:sz w:val="24"/>
          <w:szCs w:val="24"/>
          <w:lang w:eastAsia="en-US"/>
        </w:rPr>
        <w:t xml:space="preserve"> fue autorizado por esa soberanía el año por lo que </w:t>
      </w:r>
      <w:r w:rsidRPr="00286308">
        <w:rPr>
          <w:rFonts w:ascii="Century Gothic" w:eastAsia="PMingLiU" w:hAnsi="Century Gothic" w:cs="Arial"/>
          <w:b/>
          <w:bCs/>
          <w:i/>
          <w:iCs/>
          <w:sz w:val="24"/>
          <w:szCs w:val="24"/>
          <w:u w:val="single"/>
          <w:lang w:eastAsia="en-US"/>
        </w:rPr>
        <w:t xml:space="preserve">tampoco </w:t>
      </w:r>
      <w:proofErr w:type="spellStart"/>
      <w:r w:rsidRPr="00286308">
        <w:rPr>
          <w:rFonts w:ascii="Century Gothic" w:eastAsia="PMingLiU" w:hAnsi="Century Gothic" w:cs="Arial"/>
          <w:b/>
          <w:bCs/>
          <w:i/>
          <w:iCs/>
          <w:sz w:val="24"/>
          <w:szCs w:val="24"/>
          <w:u w:val="single"/>
          <w:lang w:eastAsia="en-US"/>
        </w:rPr>
        <w:t>represanta</w:t>
      </w:r>
      <w:proofErr w:type="spellEnd"/>
      <w:r w:rsidRPr="00286308">
        <w:rPr>
          <w:rFonts w:ascii="Century Gothic" w:eastAsia="PMingLiU" w:hAnsi="Century Gothic" w:cs="Arial"/>
          <w:b/>
          <w:bCs/>
          <w:i/>
          <w:iCs/>
          <w:sz w:val="24"/>
          <w:szCs w:val="24"/>
          <w:u w:val="single"/>
          <w:lang w:eastAsia="en-US"/>
        </w:rPr>
        <w:t xml:space="preserve"> endeudamiento adicional</w:t>
      </w:r>
      <w:r w:rsidRPr="00286308">
        <w:rPr>
          <w:rFonts w:ascii="Century Gothic" w:eastAsia="PMingLiU" w:hAnsi="Century Gothic" w:cs="Arial"/>
          <w:i/>
          <w:iCs/>
          <w:sz w:val="24"/>
          <w:szCs w:val="24"/>
          <w:lang w:eastAsia="en-US"/>
        </w:rPr>
        <w:t>.</w:t>
      </w:r>
    </w:p>
    <w:p w14:paraId="337D1AC7" w14:textId="77777777" w:rsidR="00870845" w:rsidRPr="00286308" w:rsidRDefault="00870845" w:rsidP="00FF6735">
      <w:pPr>
        <w:numPr>
          <w:ilvl w:val="0"/>
          <w:numId w:val="3"/>
        </w:numPr>
        <w:spacing w:after="0" w:line="360" w:lineRule="auto"/>
        <w:ind w:left="567" w:right="616" w:firstLine="0"/>
        <w:contextualSpacing/>
        <w:jc w:val="both"/>
        <w:rPr>
          <w:rFonts w:ascii="Century Gothic" w:hAnsi="Century Gothic" w:cs="Arial"/>
          <w:b/>
          <w:bCs/>
          <w:i/>
          <w:iCs/>
          <w:sz w:val="24"/>
          <w:szCs w:val="24"/>
          <w:lang w:val="es-ES" w:eastAsia="es-ES"/>
        </w:rPr>
      </w:pPr>
      <w:r w:rsidRPr="00286308">
        <w:rPr>
          <w:rFonts w:ascii="Century Gothic" w:hAnsi="Century Gothic" w:cs="Arial"/>
          <w:b/>
          <w:bCs/>
          <w:i/>
          <w:iCs/>
          <w:sz w:val="24"/>
          <w:szCs w:val="24"/>
          <w:u w:val="single"/>
          <w:lang w:val="es-ES" w:eastAsia="es-ES"/>
        </w:rPr>
        <w:lastRenderedPageBreak/>
        <w:t>Financiamiento IPP</w:t>
      </w:r>
      <w:r w:rsidRPr="00286308">
        <w:rPr>
          <w:rFonts w:ascii="Century Gothic" w:hAnsi="Century Gothic" w:cs="Arial"/>
          <w:b/>
          <w:bCs/>
          <w:i/>
          <w:iCs/>
          <w:sz w:val="24"/>
          <w:szCs w:val="24"/>
          <w:lang w:val="es-ES" w:eastAsia="es-ES"/>
        </w:rPr>
        <w:t>.</w:t>
      </w:r>
    </w:p>
    <w:p w14:paraId="617918CF"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lang w:val="es-ES" w:eastAsia="es-ES"/>
        </w:rPr>
      </w:pPr>
    </w:p>
    <w:p w14:paraId="7DB9B934"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 xml:space="preserve">Un aspecto nuevo de esta iniciativa es que se pone a su consideración un financiamiento con garantía y fuente de pago de Participaciones Federales por $3,000 millones de pesos. Este financiamiento </w:t>
      </w:r>
      <w:r w:rsidRPr="00286308">
        <w:rPr>
          <w:rFonts w:ascii="Century Gothic" w:hAnsi="Century Gothic" w:cs="Arial"/>
          <w:b/>
          <w:bCs/>
          <w:i/>
          <w:iCs/>
          <w:sz w:val="24"/>
          <w:szCs w:val="24"/>
          <w:u w:val="single"/>
          <w:lang w:val="es-ES" w:eastAsia="es-ES"/>
        </w:rPr>
        <w:t>tampoco representa un financiamiento adicional al ya autorizado en el 2022</w:t>
      </w:r>
      <w:r w:rsidRPr="00286308">
        <w:rPr>
          <w:rFonts w:ascii="Century Gothic" w:hAnsi="Century Gothic" w:cs="Arial"/>
          <w:i/>
          <w:iCs/>
          <w:sz w:val="24"/>
          <w:szCs w:val="24"/>
          <w:lang w:val="es-ES" w:eastAsia="es-ES"/>
        </w:rPr>
        <w:t xml:space="preserve">, la única diferencia es que la autorización de este monto era parte de la nueva emisión bursátil, que en este proyecto se está reduciendo. Es decir, es la misma autorización, pero se está cambiando de “cajones”. </w:t>
      </w:r>
    </w:p>
    <w:p w14:paraId="5902F155"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lang w:val="es-ES" w:eastAsia="es-ES"/>
        </w:rPr>
      </w:pPr>
    </w:p>
    <w:p w14:paraId="60F12404"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La razón para que el Gobierno de Estado haga esta propuesta es porque se pueden conseguir mejores condiciones crediticias con un financiamiento bancario con garantía de participaciones que en una emisión bursátil respaldada con peaje carretero. Se estima que el ahorro en la tasa de interés puede ser de un 4% por ciento el primer año, y en año sucesivos pudiera incrementarse ese ahorro.</w:t>
      </w:r>
    </w:p>
    <w:p w14:paraId="1DFF9B00"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71EA17E7" w14:textId="77777777" w:rsidR="00870845" w:rsidRPr="00286308" w:rsidRDefault="00870845" w:rsidP="00FF6735">
      <w:pPr>
        <w:numPr>
          <w:ilvl w:val="0"/>
          <w:numId w:val="3"/>
        </w:numPr>
        <w:spacing w:after="0" w:line="360" w:lineRule="auto"/>
        <w:ind w:left="567" w:right="616" w:firstLine="0"/>
        <w:contextualSpacing/>
        <w:jc w:val="both"/>
        <w:rPr>
          <w:rFonts w:ascii="Century Gothic" w:hAnsi="Century Gothic" w:cs="Arial"/>
          <w:b/>
          <w:bCs/>
          <w:i/>
          <w:iCs/>
          <w:sz w:val="24"/>
          <w:szCs w:val="24"/>
          <w:u w:val="single"/>
          <w:lang w:val="es-ES" w:eastAsia="es-ES"/>
        </w:rPr>
      </w:pPr>
      <w:r w:rsidRPr="00286308">
        <w:rPr>
          <w:rFonts w:ascii="Century Gothic" w:hAnsi="Century Gothic" w:cs="Arial"/>
          <w:b/>
          <w:bCs/>
          <w:i/>
          <w:iCs/>
          <w:sz w:val="24"/>
          <w:szCs w:val="24"/>
          <w:u w:val="single"/>
          <w:lang w:val="es-ES" w:eastAsia="es-ES"/>
        </w:rPr>
        <w:t>Instrumentos Derivados.</w:t>
      </w:r>
    </w:p>
    <w:p w14:paraId="3CA3EF01"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u w:val="single"/>
          <w:lang w:val="es-ES" w:eastAsia="es-ES"/>
        </w:rPr>
      </w:pPr>
    </w:p>
    <w:p w14:paraId="7814DD64"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 xml:space="preserve">Adicionalmente, como parte de esta Iniciativa, al igual que el año pasado se contempla la contratación de instrumentos derivados. La contratación de instrumentos derivados no representa deuda adicional, sino que es un instrumento que protege al estado </w:t>
      </w:r>
      <w:r w:rsidRPr="00286308">
        <w:rPr>
          <w:rFonts w:ascii="Century Gothic" w:hAnsi="Century Gothic" w:cs="Arial"/>
          <w:i/>
          <w:iCs/>
          <w:sz w:val="24"/>
          <w:szCs w:val="24"/>
          <w:lang w:val="es-ES" w:eastAsia="es-ES"/>
        </w:rPr>
        <w:lastRenderedPageBreak/>
        <w:t>contra incrementos en la tasa de interés. La contratación de instrumentos ha sido muy favorable para el Gobierno del Estado representando ahorros considerables en el servicio de la deuda.</w:t>
      </w:r>
    </w:p>
    <w:p w14:paraId="537E31F9"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lang w:val="es-ES" w:eastAsia="es-ES"/>
        </w:rPr>
      </w:pPr>
    </w:p>
    <w:p w14:paraId="2B5005FC"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Tenemos identificados que en el 2023 termina la vigencia de siete instrumentos derivados que cubren a cinco créditos bancarios. Por obligación contractual tenemos que adquirir nuevos instrumentos derivados, pero independientemente de los anterior, lo consideramos una operación necesaria y conveniente.</w:t>
      </w:r>
    </w:p>
    <w:p w14:paraId="380256EF"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lang w:val="es-ES" w:eastAsia="es-ES"/>
        </w:rPr>
      </w:pPr>
    </w:p>
    <w:p w14:paraId="4CCDE61D" w14:textId="77777777" w:rsidR="00870845" w:rsidRPr="00286308" w:rsidRDefault="00870845" w:rsidP="00FF6735">
      <w:pPr>
        <w:numPr>
          <w:ilvl w:val="0"/>
          <w:numId w:val="3"/>
        </w:numPr>
        <w:spacing w:after="0" w:line="360" w:lineRule="auto"/>
        <w:ind w:left="567" w:right="616" w:firstLine="0"/>
        <w:contextualSpacing/>
        <w:jc w:val="both"/>
        <w:rPr>
          <w:rFonts w:ascii="Century Gothic" w:hAnsi="Century Gothic" w:cs="Arial"/>
          <w:b/>
          <w:bCs/>
          <w:i/>
          <w:iCs/>
          <w:sz w:val="24"/>
          <w:szCs w:val="24"/>
          <w:lang w:val="es-ES" w:eastAsia="es-ES"/>
        </w:rPr>
      </w:pPr>
      <w:r w:rsidRPr="00286308">
        <w:rPr>
          <w:rFonts w:ascii="Century Gothic" w:hAnsi="Century Gothic" w:cs="Arial"/>
          <w:b/>
          <w:bCs/>
          <w:i/>
          <w:iCs/>
          <w:sz w:val="24"/>
          <w:szCs w:val="24"/>
          <w:u w:val="single"/>
          <w:lang w:val="es-ES" w:eastAsia="es-ES"/>
        </w:rPr>
        <w:t>Garantías de Pago Oportuno</w:t>
      </w:r>
      <w:r w:rsidRPr="00286308">
        <w:rPr>
          <w:rFonts w:ascii="Century Gothic" w:hAnsi="Century Gothic" w:cs="Arial"/>
          <w:b/>
          <w:bCs/>
          <w:i/>
          <w:iCs/>
          <w:sz w:val="24"/>
          <w:szCs w:val="24"/>
          <w:lang w:val="es-ES" w:eastAsia="es-ES"/>
        </w:rPr>
        <w:t>.</w:t>
      </w:r>
    </w:p>
    <w:p w14:paraId="1201D7D4"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u w:val="single"/>
          <w:lang w:val="es-ES" w:eastAsia="es-ES"/>
        </w:rPr>
      </w:pPr>
    </w:p>
    <w:p w14:paraId="6BC1AC11"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El Gobierno del Estado tiene actualmente contratadas diversas Garantías de Pago Oportuno (GPO) que son instrumentos que protegen el cumplimiento de obligación financieras y permiten que los créditos estructurados bajen su riesgo y obtengan una mejor calificación crediticia y por lo tanto disminuya la tasa de interés que se paga.</w:t>
      </w:r>
    </w:p>
    <w:p w14:paraId="7FF2F006"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lang w:val="es-ES" w:eastAsia="es-ES"/>
        </w:rPr>
      </w:pPr>
    </w:p>
    <w:p w14:paraId="25EF0D18"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lang w:val="es-ES" w:eastAsia="es-ES"/>
        </w:rPr>
      </w:pPr>
      <w:r w:rsidRPr="00286308">
        <w:rPr>
          <w:rFonts w:ascii="Century Gothic" w:hAnsi="Century Gothic" w:cs="Arial"/>
          <w:i/>
          <w:iCs/>
          <w:sz w:val="24"/>
          <w:szCs w:val="24"/>
          <w:lang w:val="es-ES" w:eastAsia="es-ES"/>
        </w:rPr>
        <w:t xml:space="preserve">Dado que el Gobierno del Estado está en proceso de reestructura de diversos financiamientos, se tiene previsto el rompimiento de </w:t>
      </w:r>
      <w:proofErr w:type="spellStart"/>
      <w:r w:rsidRPr="00286308">
        <w:rPr>
          <w:rFonts w:ascii="Century Gothic" w:hAnsi="Century Gothic" w:cs="Arial"/>
          <w:i/>
          <w:iCs/>
          <w:sz w:val="24"/>
          <w:szCs w:val="24"/>
          <w:lang w:val="es-ES" w:eastAsia="es-ES"/>
        </w:rPr>
        <w:t>GPOs</w:t>
      </w:r>
      <w:proofErr w:type="spellEnd"/>
      <w:r w:rsidRPr="00286308">
        <w:rPr>
          <w:rFonts w:ascii="Century Gothic" w:hAnsi="Century Gothic" w:cs="Arial"/>
          <w:i/>
          <w:iCs/>
          <w:sz w:val="24"/>
          <w:szCs w:val="24"/>
          <w:lang w:val="es-ES" w:eastAsia="es-ES"/>
        </w:rPr>
        <w:t xml:space="preserve"> para recontratarlas, si ustedes lo autorizan, en mejores condiciones y bajando el costo que representan para el Estado.</w:t>
      </w:r>
    </w:p>
    <w:p w14:paraId="5ED60F62" w14:textId="77777777" w:rsidR="00870845" w:rsidRPr="00286308" w:rsidRDefault="00870845" w:rsidP="009F0E9C">
      <w:pPr>
        <w:spacing w:after="0" w:line="360" w:lineRule="auto"/>
        <w:ind w:left="567" w:right="616"/>
        <w:contextualSpacing/>
        <w:jc w:val="both"/>
        <w:rPr>
          <w:rFonts w:ascii="Century Gothic" w:hAnsi="Century Gothic" w:cs="Arial"/>
          <w:i/>
          <w:iCs/>
          <w:sz w:val="24"/>
          <w:szCs w:val="24"/>
          <w:u w:val="single"/>
          <w:lang w:val="es-ES" w:eastAsia="es-ES"/>
        </w:rPr>
      </w:pPr>
    </w:p>
    <w:p w14:paraId="55190F3F" w14:textId="77777777" w:rsidR="00870845" w:rsidRPr="00286308" w:rsidRDefault="00870845" w:rsidP="00FF6735">
      <w:pPr>
        <w:numPr>
          <w:ilvl w:val="0"/>
          <w:numId w:val="3"/>
        </w:numPr>
        <w:spacing w:after="0" w:line="360" w:lineRule="auto"/>
        <w:ind w:left="567" w:right="616" w:firstLine="0"/>
        <w:contextualSpacing/>
        <w:jc w:val="both"/>
        <w:rPr>
          <w:rFonts w:ascii="Century Gothic" w:hAnsi="Century Gothic" w:cs="Arial"/>
          <w:b/>
          <w:bCs/>
          <w:i/>
          <w:iCs/>
          <w:sz w:val="24"/>
          <w:szCs w:val="24"/>
          <w:u w:val="single"/>
          <w:lang w:val="es-ES" w:eastAsia="es-ES"/>
        </w:rPr>
      </w:pPr>
      <w:r w:rsidRPr="00286308">
        <w:rPr>
          <w:rFonts w:ascii="Century Gothic" w:hAnsi="Century Gothic" w:cs="Arial"/>
          <w:b/>
          <w:bCs/>
          <w:i/>
          <w:iCs/>
          <w:sz w:val="24"/>
          <w:szCs w:val="24"/>
          <w:u w:val="single"/>
          <w:lang w:val="es-ES" w:eastAsia="es-ES"/>
        </w:rPr>
        <w:lastRenderedPageBreak/>
        <w:t>Financiamientos Comisión Estatal de Vivienda, Suelo e Infraestructura de Chihuahua</w:t>
      </w:r>
    </w:p>
    <w:p w14:paraId="3D6ACC43" w14:textId="77777777" w:rsidR="00870845" w:rsidRPr="00286308" w:rsidRDefault="00870845" w:rsidP="009F0E9C">
      <w:pPr>
        <w:spacing w:after="0" w:line="360" w:lineRule="auto"/>
        <w:ind w:left="567" w:right="616"/>
        <w:jc w:val="both"/>
        <w:rPr>
          <w:rFonts w:ascii="Century Gothic" w:eastAsia="PMingLiU" w:hAnsi="Century Gothic" w:cs="Arial"/>
          <w:i/>
          <w:iCs/>
          <w:sz w:val="24"/>
          <w:szCs w:val="24"/>
          <w:lang w:eastAsia="en-US"/>
        </w:rPr>
      </w:pPr>
    </w:p>
    <w:p w14:paraId="452B0127" w14:textId="6E4B5F0B" w:rsidR="00870845" w:rsidRPr="00286308" w:rsidRDefault="00870845" w:rsidP="009F0E9C">
      <w:pPr>
        <w:spacing w:after="0" w:line="360" w:lineRule="auto"/>
        <w:ind w:left="567" w:right="616"/>
        <w:jc w:val="both"/>
        <w:rPr>
          <w:rFonts w:ascii="Century Gothic" w:eastAsia="PMingLiU" w:hAnsi="Century Gothic" w:cs="Arial"/>
          <w:sz w:val="24"/>
          <w:szCs w:val="24"/>
          <w:lang w:eastAsia="en-US"/>
        </w:rPr>
      </w:pPr>
      <w:r w:rsidRPr="00286308">
        <w:rPr>
          <w:rFonts w:ascii="Century Gothic" w:eastAsia="PMingLiU" w:hAnsi="Century Gothic" w:cs="Arial"/>
          <w:i/>
          <w:iCs/>
          <w:sz w:val="24"/>
          <w:szCs w:val="24"/>
          <w:lang w:eastAsia="en-US"/>
        </w:rPr>
        <w:t>El Gobierno del Estado es aval de dos créditos de la comisión cuyo saldo agregado es de $200,065,384.98 (Doscientos millones sesenta y cinco mil trescientos ochenta y cuatro pesos 98/100 Moneda Nacional). Dichos créditos están contratados a una sobre tasa que es más del triple de la que tiene en promedio el Gobierno del Estado. Al refinanciar estos créditos se puede incrementar el plazo de amortización y disminuir la tasa de interés, lo que permitirá bajar el servicio de la deuda, lo que redundará en una menor presión sobre el flujo de recursos de la Comisión</w:t>
      </w:r>
      <w:r w:rsidR="00FF5821" w:rsidRPr="00286308">
        <w:rPr>
          <w:rFonts w:ascii="Century Gothic" w:eastAsia="PMingLiU" w:hAnsi="Century Gothic" w:cs="Arial"/>
          <w:i/>
          <w:iCs/>
          <w:sz w:val="24"/>
          <w:szCs w:val="24"/>
          <w:lang w:eastAsia="en-US"/>
        </w:rPr>
        <w:t>…”</w:t>
      </w:r>
    </w:p>
    <w:p w14:paraId="32E57930" w14:textId="6507F0C6" w:rsidR="00D535FE" w:rsidRPr="00286308" w:rsidRDefault="00D535FE" w:rsidP="009F0E9C">
      <w:pPr>
        <w:spacing w:after="0" w:line="360" w:lineRule="auto"/>
        <w:ind w:left="284" w:right="474"/>
        <w:jc w:val="both"/>
        <w:rPr>
          <w:rFonts w:ascii="Century Gothic" w:eastAsia="Arial" w:hAnsi="Century Gothic" w:cs="Arial"/>
          <w:i/>
          <w:sz w:val="24"/>
          <w:szCs w:val="24"/>
          <w:lang w:eastAsia="en-US"/>
        </w:rPr>
      </w:pPr>
    </w:p>
    <w:p w14:paraId="211123E0" w14:textId="77777777" w:rsidR="006856B5" w:rsidRPr="00286308" w:rsidRDefault="006856B5" w:rsidP="004C3CC2">
      <w:pPr>
        <w:pStyle w:val="Normal1"/>
        <w:spacing w:line="360" w:lineRule="auto"/>
        <w:contextualSpacing/>
        <w:jc w:val="both"/>
        <w:rPr>
          <w:rFonts w:ascii="Century Gothic" w:eastAsia="Arial" w:hAnsi="Century Gothic" w:cs="Arial"/>
          <w:color w:val="auto"/>
          <w:szCs w:val="24"/>
          <w:lang w:val="es-MX"/>
        </w:rPr>
      </w:pPr>
      <w:r w:rsidRPr="00286308">
        <w:rPr>
          <w:rFonts w:ascii="Century Gothic" w:eastAsia="Arial" w:hAnsi="Century Gothic" w:cs="Arial"/>
          <w:b/>
          <w:color w:val="auto"/>
          <w:szCs w:val="24"/>
          <w:lang w:val="es-MX"/>
        </w:rPr>
        <w:t>IV.-</w:t>
      </w:r>
      <w:r w:rsidRPr="00286308">
        <w:rPr>
          <w:rFonts w:ascii="Century Gothic" w:eastAsia="Arial" w:hAnsi="Century Gothic" w:cs="Arial"/>
          <w:color w:val="auto"/>
          <w:szCs w:val="24"/>
          <w:lang w:val="es-MX"/>
        </w:rPr>
        <w:t xml:space="preserve"> Ahora bien, al entrar al estudio y análisis de la Iniciativa en comento, quienes integramos la Comisión de </w:t>
      </w:r>
      <w:r w:rsidR="00AE708E" w:rsidRPr="00286308">
        <w:rPr>
          <w:rFonts w:ascii="Century Gothic" w:eastAsia="Arial" w:hAnsi="Century Gothic" w:cs="Arial"/>
          <w:color w:val="auto"/>
          <w:szCs w:val="24"/>
          <w:lang w:val="es-MX"/>
        </w:rPr>
        <w:t>Programación, Presupuesto y Hacienda Pública</w:t>
      </w:r>
      <w:r w:rsidRPr="00286308">
        <w:rPr>
          <w:rFonts w:ascii="Century Gothic" w:eastAsia="Arial" w:hAnsi="Century Gothic" w:cs="Arial"/>
          <w:color w:val="auto"/>
          <w:szCs w:val="24"/>
          <w:lang w:val="es-MX"/>
        </w:rPr>
        <w:t>, formulamos las siguientes:</w:t>
      </w:r>
    </w:p>
    <w:p w14:paraId="5AFF30C7" w14:textId="77777777" w:rsidR="00153AA6" w:rsidRPr="00286308" w:rsidRDefault="00153AA6" w:rsidP="00153AA6">
      <w:pPr>
        <w:pStyle w:val="Normal1"/>
        <w:spacing w:line="360" w:lineRule="auto"/>
        <w:contextualSpacing/>
        <w:jc w:val="center"/>
        <w:rPr>
          <w:rFonts w:ascii="Century Gothic" w:eastAsia="Arial" w:hAnsi="Century Gothic" w:cs="Arial"/>
          <w:b/>
          <w:color w:val="auto"/>
          <w:szCs w:val="24"/>
          <w:lang w:val="es-MX"/>
        </w:rPr>
      </w:pPr>
    </w:p>
    <w:p w14:paraId="17FC7C39" w14:textId="4C365246" w:rsidR="00153AA6" w:rsidRPr="00286308" w:rsidRDefault="00153AA6" w:rsidP="00153AA6">
      <w:pPr>
        <w:pStyle w:val="Normal1"/>
        <w:spacing w:line="360" w:lineRule="auto"/>
        <w:contextualSpacing/>
        <w:jc w:val="center"/>
        <w:rPr>
          <w:rFonts w:ascii="Century Gothic" w:eastAsia="Arial" w:hAnsi="Century Gothic" w:cs="Arial"/>
          <w:b/>
          <w:color w:val="auto"/>
          <w:szCs w:val="24"/>
          <w:lang w:val="es-MX"/>
        </w:rPr>
      </w:pPr>
      <w:r w:rsidRPr="00286308">
        <w:rPr>
          <w:rFonts w:ascii="Century Gothic" w:eastAsia="Arial" w:hAnsi="Century Gothic" w:cs="Arial"/>
          <w:b/>
          <w:color w:val="auto"/>
          <w:szCs w:val="24"/>
          <w:lang w:val="es-MX"/>
        </w:rPr>
        <w:t>CONSIDERACIONES</w:t>
      </w:r>
    </w:p>
    <w:p w14:paraId="6EF30E7C" w14:textId="77777777" w:rsidR="00153AA6" w:rsidRPr="00286308" w:rsidRDefault="00153AA6" w:rsidP="00153AA6">
      <w:pPr>
        <w:pStyle w:val="Normal1"/>
        <w:spacing w:line="360" w:lineRule="auto"/>
        <w:contextualSpacing/>
        <w:jc w:val="both"/>
        <w:rPr>
          <w:rFonts w:ascii="Century Gothic" w:eastAsia="Arial" w:hAnsi="Century Gothic" w:cs="Arial"/>
          <w:b/>
          <w:color w:val="auto"/>
          <w:szCs w:val="24"/>
          <w:lang w:val="es-MX"/>
        </w:rPr>
      </w:pPr>
    </w:p>
    <w:p w14:paraId="1651E6DF" w14:textId="6A984745" w:rsidR="00153AA6" w:rsidRPr="00286308" w:rsidRDefault="00153AA6" w:rsidP="00153AA6">
      <w:pPr>
        <w:pStyle w:val="Normal1"/>
        <w:spacing w:line="360" w:lineRule="auto"/>
        <w:contextualSpacing/>
        <w:jc w:val="both"/>
        <w:rPr>
          <w:rFonts w:ascii="Century Gothic" w:eastAsia="Arial" w:hAnsi="Century Gothic" w:cs="Arial"/>
          <w:color w:val="auto"/>
          <w:szCs w:val="24"/>
          <w:lang w:val="es-MX"/>
        </w:rPr>
      </w:pPr>
      <w:r w:rsidRPr="00286308">
        <w:rPr>
          <w:rFonts w:ascii="Century Gothic" w:eastAsia="Arial" w:hAnsi="Century Gothic" w:cs="Arial"/>
          <w:b/>
          <w:color w:val="auto"/>
          <w:szCs w:val="24"/>
          <w:lang w:val="es-MX"/>
        </w:rPr>
        <w:t>I.-</w:t>
      </w:r>
      <w:r w:rsidRPr="00286308">
        <w:rPr>
          <w:rFonts w:ascii="Century Gothic" w:eastAsia="Arial" w:hAnsi="Century Gothic" w:cs="Arial"/>
          <w:color w:val="auto"/>
          <w:szCs w:val="24"/>
          <w:lang w:val="es-MX"/>
        </w:rPr>
        <w:t xml:space="preserve"> Al analizar las facultades competenciales de este Alto Cuerpo Colegiado, no encontramos impedimento alguno para conocer del presente asunto.</w:t>
      </w:r>
    </w:p>
    <w:p w14:paraId="5F12AD89" w14:textId="77777777" w:rsidR="00153AA6" w:rsidRPr="00286308" w:rsidRDefault="00153AA6" w:rsidP="00153AA6">
      <w:pPr>
        <w:pStyle w:val="Normal1"/>
        <w:spacing w:line="360" w:lineRule="auto"/>
        <w:contextualSpacing/>
        <w:jc w:val="both"/>
        <w:rPr>
          <w:rFonts w:ascii="Century Gothic" w:eastAsia="Arial" w:hAnsi="Century Gothic" w:cs="Arial"/>
          <w:color w:val="auto"/>
          <w:szCs w:val="24"/>
          <w:lang w:val="es-MX"/>
        </w:rPr>
      </w:pPr>
    </w:p>
    <w:p w14:paraId="53E9AA8C" w14:textId="2D473FB4" w:rsidR="00E868C9" w:rsidRPr="00286308" w:rsidRDefault="00153AA6" w:rsidP="00E868C9">
      <w:pPr>
        <w:spacing w:after="0" w:line="360" w:lineRule="auto"/>
        <w:ind w:right="284"/>
        <w:jc w:val="both"/>
        <w:rPr>
          <w:rFonts w:ascii="Century Gothic" w:hAnsi="Century Gothic"/>
          <w:sz w:val="24"/>
          <w:szCs w:val="24"/>
          <w:lang w:eastAsia="es-ES"/>
        </w:rPr>
      </w:pPr>
      <w:r w:rsidRPr="00286308">
        <w:rPr>
          <w:rFonts w:ascii="Century Gothic" w:eastAsia="Arial" w:hAnsi="Century Gothic" w:cs="Arial"/>
          <w:b/>
          <w:bCs/>
          <w:szCs w:val="24"/>
        </w:rPr>
        <w:t xml:space="preserve">II.- </w:t>
      </w:r>
      <w:r w:rsidRPr="00286308">
        <w:rPr>
          <w:rFonts w:ascii="Century Gothic" w:eastAsia="Arial" w:hAnsi="Century Gothic" w:cs="Arial"/>
          <w:szCs w:val="24"/>
        </w:rPr>
        <w:t>En cuanto al fondo del asunto, b</w:t>
      </w:r>
      <w:r w:rsidR="000267A1" w:rsidRPr="00286308">
        <w:rPr>
          <w:rFonts w:ascii="Century Gothic" w:eastAsia="Arial" w:hAnsi="Century Gothic" w:cs="Arial"/>
          <w:szCs w:val="24"/>
        </w:rPr>
        <w:t xml:space="preserve">ásicamente, </w:t>
      </w:r>
      <w:r w:rsidR="00CB5E50" w:rsidRPr="00286308">
        <w:rPr>
          <w:rFonts w:ascii="Century Gothic" w:eastAsia="Arial" w:hAnsi="Century Gothic" w:cs="Arial"/>
          <w:szCs w:val="24"/>
        </w:rPr>
        <w:t xml:space="preserve">partimos de la base señalada </w:t>
      </w:r>
      <w:r w:rsidR="0084250A" w:rsidRPr="00286308">
        <w:rPr>
          <w:rFonts w:ascii="Century Gothic" w:eastAsia="Arial" w:hAnsi="Century Gothic" w:cs="Arial"/>
          <w:szCs w:val="24"/>
        </w:rPr>
        <w:t>en el mismo en el sentido</w:t>
      </w:r>
      <w:r w:rsidR="00CB5E50" w:rsidRPr="00286308">
        <w:rPr>
          <w:rFonts w:ascii="Century Gothic" w:eastAsia="Arial" w:hAnsi="Century Gothic" w:cs="Arial"/>
          <w:szCs w:val="24"/>
        </w:rPr>
        <w:t xml:space="preserve"> que, efectivamente en el año 2021, </w:t>
      </w:r>
      <w:r w:rsidR="00AB00BE" w:rsidRPr="00286308">
        <w:rPr>
          <w:rFonts w:ascii="Century Gothic" w:eastAsia="Arial" w:hAnsi="Century Gothic" w:cs="Arial"/>
          <w:szCs w:val="24"/>
        </w:rPr>
        <w:t xml:space="preserve">el día veintinueve de noviembre, </w:t>
      </w:r>
      <w:r w:rsidR="007E6EB9" w:rsidRPr="00286308">
        <w:rPr>
          <w:rFonts w:ascii="Century Gothic" w:eastAsia="Arial" w:hAnsi="Century Gothic" w:cs="Arial"/>
          <w:szCs w:val="24"/>
        </w:rPr>
        <w:t xml:space="preserve">se recibió una Iniciativa de Decreto enviada </w:t>
      </w:r>
      <w:r w:rsidR="0084250A" w:rsidRPr="00286308">
        <w:rPr>
          <w:rFonts w:ascii="Century Gothic" w:eastAsia="Arial" w:hAnsi="Century Gothic" w:cs="Arial"/>
          <w:szCs w:val="24"/>
        </w:rPr>
        <w:t xml:space="preserve">igualmente </w:t>
      </w:r>
      <w:r w:rsidR="007E6EB9" w:rsidRPr="00286308">
        <w:rPr>
          <w:rFonts w:ascii="Century Gothic" w:eastAsia="Arial" w:hAnsi="Century Gothic" w:cs="Arial"/>
          <w:szCs w:val="24"/>
        </w:rPr>
        <w:t>por la Ciudadana Gobernadora</w:t>
      </w:r>
      <w:r w:rsidR="00AB00BE" w:rsidRPr="00286308">
        <w:rPr>
          <w:rFonts w:ascii="Century Gothic" w:eastAsia="Arial" w:hAnsi="Century Gothic" w:cs="Arial"/>
          <w:szCs w:val="24"/>
        </w:rPr>
        <w:t>,</w:t>
      </w:r>
      <w:r w:rsidR="007E6EB9" w:rsidRPr="00286308">
        <w:rPr>
          <w:rFonts w:ascii="Century Gothic" w:eastAsia="Arial" w:hAnsi="Century Gothic" w:cs="Arial"/>
          <w:szCs w:val="24"/>
        </w:rPr>
        <w:t xml:space="preserve"> Maestra María Eugenia Campos Galván, que </w:t>
      </w:r>
      <w:r w:rsidR="007E6EB9" w:rsidRPr="00286308">
        <w:rPr>
          <w:rFonts w:ascii="Century Gothic" w:eastAsia="Arial" w:hAnsi="Century Gothic" w:cs="Arial"/>
          <w:szCs w:val="24"/>
        </w:rPr>
        <w:lastRenderedPageBreak/>
        <w:t>planteaba una serie de autorizaciones relativas a logra</w:t>
      </w:r>
      <w:r w:rsidR="00AB00BE" w:rsidRPr="00286308">
        <w:rPr>
          <w:rFonts w:ascii="Century Gothic" w:eastAsia="Arial" w:hAnsi="Century Gothic" w:cs="Arial"/>
          <w:szCs w:val="24"/>
        </w:rPr>
        <w:t>r</w:t>
      </w:r>
      <w:r w:rsidR="007E6EB9" w:rsidRPr="00286308">
        <w:rPr>
          <w:rFonts w:ascii="Century Gothic" w:eastAsia="Arial" w:hAnsi="Century Gothic" w:cs="Arial"/>
          <w:szCs w:val="24"/>
        </w:rPr>
        <w:t xml:space="preserve">, paulatinamente y en base a los tiempos y modos previstos en las disposiciones aplicables, un esquema para fortalecer las finanzas públicas estatales, dada la grave situación financiera encontrada </w:t>
      </w:r>
      <w:r w:rsidR="004C4B48" w:rsidRPr="00286308">
        <w:rPr>
          <w:rFonts w:ascii="Century Gothic" w:eastAsia="Arial" w:hAnsi="Century Gothic" w:cs="Arial"/>
          <w:szCs w:val="24"/>
        </w:rPr>
        <w:t>en</w:t>
      </w:r>
      <w:r w:rsidR="007E6EB9" w:rsidRPr="00286308">
        <w:rPr>
          <w:rFonts w:ascii="Century Gothic" w:eastAsia="Arial" w:hAnsi="Century Gothic" w:cs="Arial"/>
          <w:szCs w:val="24"/>
        </w:rPr>
        <w:t xml:space="preserve"> se momento</w:t>
      </w:r>
      <w:r w:rsidR="004C4B48" w:rsidRPr="00286308">
        <w:rPr>
          <w:rFonts w:ascii="Century Gothic" w:eastAsia="Arial" w:hAnsi="Century Gothic" w:cs="Arial"/>
          <w:szCs w:val="24"/>
        </w:rPr>
        <w:t>. La indicada Iniciativa</w:t>
      </w:r>
      <w:r w:rsidR="00AB00BE" w:rsidRPr="00286308">
        <w:rPr>
          <w:rFonts w:ascii="Century Gothic" w:eastAsia="Arial" w:hAnsi="Century Gothic" w:cs="Arial"/>
          <w:szCs w:val="24"/>
        </w:rPr>
        <w:t xml:space="preserve"> que tenía por número de Asunto</w:t>
      </w:r>
      <w:r w:rsidR="0084250A" w:rsidRPr="00286308">
        <w:rPr>
          <w:rFonts w:ascii="Century Gothic" w:eastAsia="Arial" w:hAnsi="Century Gothic" w:cs="Arial"/>
          <w:szCs w:val="24"/>
        </w:rPr>
        <w:t xml:space="preserve"> </w:t>
      </w:r>
      <w:r w:rsidR="00AB00BE" w:rsidRPr="00286308">
        <w:rPr>
          <w:rFonts w:ascii="Century Gothic" w:eastAsia="Arial" w:hAnsi="Century Gothic" w:cs="Arial"/>
          <w:szCs w:val="24"/>
        </w:rPr>
        <w:t>558</w:t>
      </w:r>
      <w:r w:rsidR="004C4B48" w:rsidRPr="00286308">
        <w:rPr>
          <w:rFonts w:ascii="Century Gothic" w:eastAsia="Arial" w:hAnsi="Century Gothic" w:cs="Arial"/>
          <w:szCs w:val="24"/>
        </w:rPr>
        <w:t xml:space="preserve">, fue </w:t>
      </w:r>
      <w:r w:rsidR="0084250A" w:rsidRPr="00286308">
        <w:rPr>
          <w:rFonts w:ascii="Century Gothic" w:eastAsia="Arial" w:hAnsi="Century Gothic" w:cs="Arial"/>
          <w:szCs w:val="24"/>
        </w:rPr>
        <w:t>turnada a esta Comisión</w:t>
      </w:r>
      <w:r w:rsidR="004C4B48" w:rsidRPr="00286308">
        <w:rPr>
          <w:rFonts w:ascii="Century Gothic" w:eastAsia="Arial" w:hAnsi="Century Gothic" w:cs="Arial"/>
          <w:szCs w:val="24"/>
        </w:rPr>
        <w:t xml:space="preserve">, </w:t>
      </w:r>
      <w:r w:rsidR="0084250A" w:rsidRPr="00286308">
        <w:rPr>
          <w:rFonts w:ascii="Century Gothic" w:eastAsia="Arial" w:hAnsi="Century Gothic" w:cs="Arial"/>
          <w:szCs w:val="24"/>
        </w:rPr>
        <w:t xml:space="preserve">así como </w:t>
      </w:r>
      <w:r w:rsidR="004C4B48" w:rsidRPr="00286308">
        <w:rPr>
          <w:rFonts w:ascii="Century Gothic" w:eastAsia="Arial" w:hAnsi="Century Gothic" w:cs="Arial"/>
          <w:szCs w:val="24"/>
        </w:rPr>
        <w:t xml:space="preserve">procesada y presentada a este mismo Pleno Legislativo, y dio como resultado la emisión de </w:t>
      </w:r>
      <w:r w:rsidR="00AB00BE" w:rsidRPr="00286308">
        <w:rPr>
          <w:rFonts w:ascii="Century Gothic" w:eastAsia="Arial" w:hAnsi="Century Gothic" w:cs="Arial"/>
          <w:szCs w:val="24"/>
        </w:rPr>
        <w:t xml:space="preserve">Decreto </w:t>
      </w:r>
      <w:r w:rsidR="006045D2" w:rsidRPr="00286308">
        <w:rPr>
          <w:rFonts w:ascii="Century Gothic" w:hAnsi="Century Gothic"/>
          <w:sz w:val="24"/>
          <w:szCs w:val="24"/>
          <w:lang w:eastAsia="es-ES"/>
        </w:rPr>
        <w:t>LXVII/AUOBF/0100/</w:t>
      </w:r>
      <w:proofErr w:type="gramStart"/>
      <w:r w:rsidR="006045D2" w:rsidRPr="00286308">
        <w:rPr>
          <w:rFonts w:ascii="Century Gothic" w:hAnsi="Century Gothic"/>
          <w:sz w:val="24"/>
          <w:szCs w:val="24"/>
          <w:lang w:eastAsia="es-ES"/>
        </w:rPr>
        <w:t>2021  I</w:t>
      </w:r>
      <w:proofErr w:type="gramEnd"/>
      <w:r w:rsidR="006045D2" w:rsidRPr="00286308">
        <w:rPr>
          <w:rFonts w:ascii="Century Gothic" w:hAnsi="Century Gothic"/>
          <w:sz w:val="24"/>
          <w:szCs w:val="24"/>
          <w:lang w:eastAsia="es-ES"/>
        </w:rPr>
        <w:t xml:space="preserve"> P.O.</w:t>
      </w:r>
      <w:r w:rsidR="00AB00BE" w:rsidRPr="00286308">
        <w:rPr>
          <w:rStyle w:val="Refdenotaalpie"/>
          <w:rFonts w:ascii="Century Gothic" w:hAnsi="Century Gothic"/>
          <w:sz w:val="24"/>
          <w:szCs w:val="24"/>
          <w:lang w:eastAsia="es-ES"/>
        </w:rPr>
        <w:footnoteReference w:id="1"/>
      </w:r>
      <w:r w:rsidR="006045D2" w:rsidRPr="00286308">
        <w:rPr>
          <w:rFonts w:ascii="Century Gothic" w:hAnsi="Century Gothic"/>
          <w:sz w:val="24"/>
          <w:szCs w:val="24"/>
          <w:lang w:eastAsia="es-ES"/>
        </w:rPr>
        <w:t>,</w:t>
      </w:r>
      <w:r w:rsidR="00AB00BE" w:rsidRPr="00286308">
        <w:rPr>
          <w:rFonts w:ascii="Century Gothic" w:hAnsi="Century Gothic"/>
          <w:sz w:val="24"/>
          <w:szCs w:val="24"/>
          <w:lang w:eastAsia="es-ES"/>
        </w:rPr>
        <w:t xml:space="preserve"> aprobado el día 13 de diciembre del 2021, y publicado en el Periódico Oficial del Estado el día 05 de enero del presente año 2022.</w:t>
      </w:r>
    </w:p>
    <w:p w14:paraId="37215FDB" w14:textId="77777777" w:rsidR="00E868C9" w:rsidRPr="00286308" w:rsidRDefault="00E868C9" w:rsidP="00E868C9">
      <w:pPr>
        <w:spacing w:after="0" w:line="360" w:lineRule="auto"/>
        <w:ind w:right="284"/>
        <w:jc w:val="both"/>
        <w:rPr>
          <w:rFonts w:ascii="Century Gothic" w:hAnsi="Century Gothic"/>
          <w:sz w:val="24"/>
          <w:szCs w:val="24"/>
          <w:lang w:eastAsia="es-ES"/>
        </w:rPr>
      </w:pPr>
    </w:p>
    <w:p w14:paraId="27FFEC9D" w14:textId="334615C5" w:rsidR="00E868C9" w:rsidRPr="00286308" w:rsidRDefault="00E868C9" w:rsidP="00E868C9">
      <w:pPr>
        <w:spacing w:after="0" w:line="360" w:lineRule="auto"/>
        <w:ind w:right="284"/>
        <w:jc w:val="both"/>
        <w:rPr>
          <w:rFonts w:ascii="Century Gothic" w:hAnsi="Century Gothic" w:cs="Arial"/>
          <w:sz w:val="24"/>
          <w:szCs w:val="24"/>
          <w:lang w:eastAsia="en-US"/>
        </w:rPr>
      </w:pPr>
      <w:r w:rsidRPr="00286308">
        <w:rPr>
          <w:rFonts w:ascii="Century Gothic" w:hAnsi="Century Gothic"/>
          <w:sz w:val="24"/>
          <w:szCs w:val="24"/>
          <w:lang w:eastAsia="es-ES"/>
        </w:rPr>
        <w:t xml:space="preserve">En resumen de manera </w:t>
      </w:r>
      <w:r w:rsidR="00DC0A03" w:rsidRPr="00286308">
        <w:rPr>
          <w:rFonts w:ascii="Century Gothic" w:hAnsi="Century Gothic"/>
          <w:sz w:val="24"/>
          <w:szCs w:val="24"/>
          <w:lang w:eastAsia="es-ES"/>
        </w:rPr>
        <w:t>primordial</w:t>
      </w:r>
      <w:r w:rsidRPr="00286308">
        <w:rPr>
          <w:rFonts w:ascii="Century Gothic" w:hAnsi="Century Gothic"/>
          <w:sz w:val="24"/>
          <w:szCs w:val="24"/>
          <w:lang w:eastAsia="es-ES"/>
        </w:rPr>
        <w:t xml:space="preserve"> pero no exclusiva, la autorización mencionada en el párrafo que antecede, resultó para </w:t>
      </w:r>
      <w:r w:rsidRPr="00286308">
        <w:rPr>
          <w:rFonts w:ascii="Century Gothic" w:hAnsi="Century Gothic" w:cs="Arial"/>
          <w:sz w:val="24"/>
          <w:szCs w:val="24"/>
          <w:lang w:eastAsia="en-US"/>
        </w:rPr>
        <w:t>para contratar uno o varios financiamientos por la cantidad de hasta $1,000,000,000.00 (Mil millones de pesos 00/100 M.N.) señalando como garantía y fuente de pago, un porcentaje suficiente y necesario de los derechos, e ingresos derivados de los mismos, que le corresponden al Estado del Fondo de Aportaciones para el Fortalecimiento de las Entidades Federativas</w:t>
      </w:r>
      <w:r w:rsidR="008433C2" w:rsidRPr="00286308">
        <w:rPr>
          <w:rFonts w:ascii="Century Gothic" w:hAnsi="Century Gothic" w:cs="Arial"/>
          <w:sz w:val="24"/>
          <w:szCs w:val="24"/>
          <w:lang w:eastAsia="en-US"/>
        </w:rPr>
        <w:t>,</w:t>
      </w:r>
      <w:r w:rsidRPr="00286308">
        <w:rPr>
          <w:rFonts w:ascii="Century Gothic" w:hAnsi="Century Gothic" w:cs="Arial"/>
          <w:sz w:val="24"/>
          <w:szCs w:val="24"/>
          <w:lang w:eastAsia="en-US"/>
        </w:rPr>
        <w:t xml:space="preserve"> y para ser destinado a las obras de inversión públic</w:t>
      </w:r>
      <w:r w:rsidR="006166E8">
        <w:rPr>
          <w:rFonts w:ascii="Century Gothic" w:hAnsi="Century Gothic" w:cs="Arial"/>
          <w:sz w:val="24"/>
          <w:szCs w:val="24"/>
          <w:lang w:eastAsia="en-US"/>
        </w:rPr>
        <w:t>o</w:t>
      </w:r>
      <w:r w:rsidRPr="00286308">
        <w:rPr>
          <w:rFonts w:ascii="Century Gothic" w:hAnsi="Century Gothic" w:cs="Arial"/>
          <w:sz w:val="24"/>
          <w:szCs w:val="24"/>
          <w:lang w:eastAsia="en-US"/>
        </w:rPr>
        <w:t xml:space="preserve"> productivas</w:t>
      </w:r>
      <w:r w:rsidR="007871B5" w:rsidRPr="00286308">
        <w:rPr>
          <w:rFonts w:ascii="Century Gothic" w:hAnsi="Century Gothic" w:cs="Arial"/>
          <w:sz w:val="24"/>
          <w:szCs w:val="24"/>
          <w:lang w:eastAsia="en-US"/>
        </w:rPr>
        <w:t>; entre diversos conceptos crediticios y de estrategias financieras y administrativas que serán referidas más adelante, en relación al proyecto que hoy nos ocupa.</w:t>
      </w:r>
      <w:r w:rsidRPr="00286308">
        <w:rPr>
          <w:rFonts w:ascii="Century Gothic" w:hAnsi="Century Gothic" w:cs="Arial"/>
          <w:sz w:val="24"/>
          <w:szCs w:val="24"/>
          <w:lang w:eastAsia="en-US"/>
        </w:rPr>
        <w:t xml:space="preserve"> </w:t>
      </w:r>
    </w:p>
    <w:p w14:paraId="0C84178A" w14:textId="77777777" w:rsidR="007E2CAE" w:rsidRPr="00286308" w:rsidRDefault="007E2CAE" w:rsidP="00E868C9">
      <w:pPr>
        <w:spacing w:after="0" w:line="360" w:lineRule="auto"/>
        <w:ind w:right="284"/>
        <w:jc w:val="both"/>
        <w:rPr>
          <w:rFonts w:ascii="Century Gothic" w:hAnsi="Century Gothic"/>
          <w:sz w:val="24"/>
          <w:szCs w:val="24"/>
          <w:lang w:eastAsia="es-ES"/>
        </w:rPr>
      </w:pPr>
    </w:p>
    <w:p w14:paraId="1B89B44D" w14:textId="77777777" w:rsidR="00272D92" w:rsidRPr="00286308" w:rsidRDefault="00DC0A03" w:rsidP="00225C60">
      <w:pPr>
        <w:pStyle w:val="Normal1"/>
        <w:spacing w:line="360" w:lineRule="auto"/>
        <w:contextualSpacing/>
        <w:jc w:val="both"/>
        <w:rPr>
          <w:rFonts w:ascii="Century Gothic" w:eastAsia="Arial" w:hAnsi="Century Gothic" w:cs="Arial"/>
          <w:color w:val="auto"/>
          <w:szCs w:val="24"/>
          <w:lang w:val="es-MX"/>
        </w:rPr>
      </w:pPr>
      <w:r w:rsidRPr="00286308">
        <w:rPr>
          <w:rFonts w:ascii="Century Gothic" w:eastAsia="Arial" w:hAnsi="Century Gothic" w:cs="Arial"/>
          <w:color w:val="auto"/>
          <w:szCs w:val="24"/>
          <w:lang w:val="es-MX"/>
        </w:rPr>
        <w:t>Ahora bien, para los efectos del presente Dictamen, destacamos particularmente lo dicho por la Iniciadora en el sentido que aporta, a saber, que</w:t>
      </w:r>
      <w:r w:rsidR="00272D92" w:rsidRPr="00286308">
        <w:rPr>
          <w:rFonts w:ascii="Century Gothic" w:eastAsia="Arial" w:hAnsi="Century Gothic" w:cs="Arial"/>
          <w:color w:val="auto"/>
          <w:szCs w:val="24"/>
          <w:lang w:val="es-MX"/>
        </w:rPr>
        <w:t>:</w:t>
      </w:r>
    </w:p>
    <w:p w14:paraId="22F393D2" w14:textId="77777777" w:rsidR="00272D92" w:rsidRPr="00286308" w:rsidRDefault="00272D92" w:rsidP="00225C60">
      <w:pPr>
        <w:pStyle w:val="Normal1"/>
        <w:spacing w:line="360" w:lineRule="auto"/>
        <w:contextualSpacing/>
        <w:jc w:val="both"/>
        <w:rPr>
          <w:rFonts w:ascii="Century Gothic" w:eastAsia="Arial" w:hAnsi="Century Gothic" w:cs="Arial"/>
          <w:color w:val="auto"/>
          <w:szCs w:val="24"/>
          <w:lang w:val="es-MX"/>
        </w:rPr>
      </w:pPr>
    </w:p>
    <w:p w14:paraId="7B740E54" w14:textId="3451C17E" w:rsidR="00272D92" w:rsidRPr="00286308" w:rsidRDefault="00DC0A03" w:rsidP="00272D92">
      <w:pPr>
        <w:pStyle w:val="Normal1"/>
        <w:spacing w:line="360" w:lineRule="auto"/>
        <w:ind w:left="567" w:right="616"/>
        <w:contextualSpacing/>
        <w:jc w:val="both"/>
        <w:rPr>
          <w:rFonts w:ascii="Century Gothic" w:eastAsia="Arial" w:hAnsi="Century Gothic" w:cs="Arial"/>
          <w:i/>
          <w:iCs/>
          <w:color w:val="auto"/>
          <w:szCs w:val="24"/>
        </w:rPr>
      </w:pPr>
      <w:r w:rsidRPr="00286308">
        <w:rPr>
          <w:rFonts w:ascii="Century Gothic" w:eastAsia="Arial" w:hAnsi="Century Gothic" w:cs="Arial"/>
          <w:color w:val="auto"/>
          <w:szCs w:val="24"/>
          <w:lang w:val="es-MX"/>
        </w:rPr>
        <w:t xml:space="preserve"> </w:t>
      </w:r>
      <w:r w:rsidRPr="00286308">
        <w:rPr>
          <w:rFonts w:ascii="Century Gothic" w:eastAsia="Arial" w:hAnsi="Century Gothic" w:cs="Arial"/>
          <w:i/>
          <w:iCs/>
          <w:color w:val="auto"/>
          <w:szCs w:val="24"/>
          <w:lang w:val="es-MX"/>
        </w:rPr>
        <w:t>“…e</w:t>
      </w:r>
      <w:r w:rsidR="000267A1" w:rsidRPr="00286308">
        <w:rPr>
          <w:rFonts w:ascii="Century Gothic" w:eastAsia="Arial" w:hAnsi="Century Gothic" w:cs="Arial"/>
          <w:i/>
          <w:iCs/>
          <w:color w:val="auto"/>
          <w:szCs w:val="24"/>
        </w:rPr>
        <w:t xml:space="preserve">n esta ocasión se somete a su estudio una nueva autorización relacionada a financiamientos tal y como lo establece la Ley de Disciplina Financiera de las Entidades Federativas y los Municipios. Lo más importante a resaltar de esta autorización es que, de aprobarse, </w:t>
      </w:r>
      <w:r w:rsidR="000267A1" w:rsidRPr="00286308">
        <w:rPr>
          <w:rFonts w:ascii="Century Gothic" w:eastAsia="Arial" w:hAnsi="Century Gothic" w:cs="Arial"/>
          <w:b/>
          <w:bCs/>
          <w:i/>
          <w:iCs/>
          <w:color w:val="auto"/>
          <w:szCs w:val="24"/>
          <w:u w:val="single"/>
        </w:rPr>
        <w:t>no representa ningún endeudamiento adicional al que ya se había autorizado</w:t>
      </w:r>
      <w:r w:rsidR="000267A1" w:rsidRPr="00286308">
        <w:rPr>
          <w:rFonts w:ascii="Century Gothic" w:eastAsia="Arial" w:hAnsi="Century Gothic" w:cs="Arial"/>
          <w:i/>
          <w:iCs/>
          <w:color w:val="auto"/>
          <w:szCs w:val="24"/>
        </w:rPr>
        <w:t xml:space="preserve"> el año pasado, sino que en algunos casos se extiende su vigencia y en otros se hacen algunas precisiones</w:t>
      </w:r>
      <w:r w:rsidR="007E2CAE" w:rsidRPr="00286308">
        <w:rPr>
          <w:rFonts w:ascii="Century Gothic" w:eastAsia="Arial" w:hAnsi="Century Gothic" w:cs="Arial"/>
          <w:i/>
          <w:iCs/>
          <w:color w:val="auto"/>
          <w:szCs w:val="24"/>
        </w:rPr>
        <w:t xml:space="preserve">…” </w:t>
      </w:r>
    </w:p>
    <w:p w14:paraId="4BB47D0B" w14:textId="77777777" w:rsidR="00272D92" w:rsidRPr="00286308" w:rsidRDefault="00272D92" w:rsidP="00225C60">
      <w:pPr>
        <w:pStyle w:val="Normal1"/>
        <w:spacing w:line="360" w:lineRule="auto"/>
        <w:contextualSpacing/>
        <w:jc w:val="both"/>
        <w:rPr>
          <w:rFonts w:ascii="Century Gothic" w:eastAsia="Arial" w:hAnsi="Century Gothic" w:cs="Arial"/>
          <w:i/>
          <w:iCs/>
          <w:color w:val="auto"/>
          <w:szCs w:val="24"/>
        </w:rPr>
      </w:pPr>
    </w:p>
    <w:p w14:paraId="17317226" w14:textId="7E384586" w:rsidR="00EF31B0" w:rsidRPr="00286308" w:rsidRDefault="002C2FD8" w:rsidP="00225C60">
      <w:pPr>
        <w:pStyle w:val="Normal1"/>
        <w:spacing w:line="360" w:lineRule="auto"/>
        <w:contextualSpacing/>
        <w:jc w:val="both"/>
        <w:rPr>
          <w:rFonts w:ascii="Century Gothic" w:eastAsia="Arial" w:hAnsi="Century Gothic" w:cs="Arial"/>
          <w:color w:val="auto"/>
          <w:szCs w:val="24"/>
        </w:rPr>
      </w:pPr>
      <w:r w:rsidRPr="00286308">
        <w:rPr>
          <w:rFonts w:ascii="Century Gothic" w:eastAsia="Arial" w:hAnsi="Century Gothic" w:cs="Arial"/>
          <w:color w:val="auto"/>
          <w:szCs w:val="24"/>
        </w:rPr>
        <w:t xml:space="preserve">Relativo a lo antes expresado, encontramos de antemano que </w:t>
      </w:r>
      <w:r w:rsidR="000267A1" w:rsidRPr="00286308">
        <w:rPr>
          <w:rFonts w:ascii="Century Gothic" w:eastAsia="Arial" w:hAnsi="Century Gothic" w:cs="Arial"/>
          <w:color w:val="auto"/>
          <w:szCs w:val="24"/>
        </w:rPr>
        <w:t xml:space="preserve">cada uno de los financiamientos </w:t>
      </w:r>
      <w:r w:rsidRPr="00286308">
        <w:rPr>
          <w:rFonts w:ascii="Century Gothic" w:eastAsia="Arial" w:hAnsi="Century Gothic" w:cs="Arial"/>
          <w:color w:val="auto"/>
          <w:szCs w:val="24"/>
        </w:rPr>
        <w:t>indicados en el documento en estudio, efectivamente</w:t>
      </w:r>
      <w:r w:rsidR="00272D92" w:rsidRPr="00286308">
        <w:rPr>
          <w:rFonts w:ascii="Century Gothic" w:eastAsia="Arial" w:hAnsi="Century Gothic" w:cs="Arial"/>
          <w:color w:val="auto"/>
          <w:szCs w:val="24"/>
        </w:rPr>
        <w:t>,</w:t>
      </w:r>
      <w:r w:rsidR="000267A1" w:rsidRPr="00286308">
        <w:rPr>
          <w:rFonts w:ascii="Century Gothic" w:eastAsia="Arial" w:hAnsi="Century Gothic" w:cs="Arial"/>
          <w:color w:val="auto"/>
          <w:szCs w:val="24"/>
        </w:rPr>
        <w:t xml:space="preserve"> </w:t>
      </w:r>
      <w:r w:rsidRPr="00286308">
        <w:rPr>
          <w:rFonts w:ascii="Century Gothic" w:eastAsia="Arial" w:hAnsi="Century Gothic" w:cs="Arial"/>
          <w:color w:val="auto"/>
          <w:szCs w:val="24"/>
        </w:rPr>
        <w:t xml:space="preserve">guardan </w:t>
      </w:r>
      <w:r w:rsidR="000267A1" w:rsidRPr="00286308">
        <w:rPr>
          <w:rFonts w:ascii="Century Gothic" w:eastAsia="Arial" w:hAnsi="Century Gothic" w:cs="Arial"/>
          <w:color w:val="auto"/>
          <w:szCs w:val="24"/>
        </w:rPr>
        <w:t xml:space="preserve">relación al </w:t>
      </w:r>
      <w:r w:rsidR="00225C60" w:rsidRPr="00286308">
        <w:rPr>
          <w:rFonts w:ascii="Century Gothic" w:eastAsia="Arial" w:hAnsi="Century Gothic" w:cs="Arial"/>
          <w:color w:val="auto"/>
          <w:szCs w:val="24"/>
        </w:rPr>
        <w:t>D</w:t>
      </w:r>
      <w:r w:rsidR="000267A1" w:rsidRPr="00286308">
        <w:rPr>
          <w:rFonts w:ascii="Century Gothic" w:eastAsia="Arial" w:hAnsi="Century Gothic" w:cs="Arial"/>
          <w:color w:val="auto"/>
          <w:szCs w:val="24"/>
        </w:rPr>
        <w:t>ecreto de Fortalecimiento Financiero aprobado para el ejercicio 2022</w:t>
      </w:r>
      <w:r w:rsidR="007E2CAE" w:rsidRPr="00286308">
        <w:rPr>
          <w:rFonts w:ascii="Century Gothic" w:eastAsia="Arial" w:hAnsi="Century Gothic" w:cs="Arial"/>
          <w:color w:val="auto"/>
          <w:szCs w:val="24"/>
        </w:rPr>
        <w:t xml:space="preserve">, </w:t>
      </w:r>
      <w:r w:rsidR="00225C60" w:rsidRPr="00286308">
        <w:rPr>
          <w:rFonts w:ascii="Century Gothic" w:eastAsia="Arial" w:hAnsi="Century Gothic" w:cs="Arial"/>
          <w:color w:val="auto"/>
          <w:szCs w:val="24"/>
        </w:rPr>
        <w:t>dentro del cual, se indica que</w:t>
      </w:r>
      <w:r w:rsidR="00F86236" w:rsidRPr="00286308">
        <w:rPr>
          <w:rFonts w:ascii="Century Gothic" w:eastAsia="Arial" w:hAnsi="Century Gothic" w:cs="Arial"/>
          <w:color w:val="auto"/>
          <w:szCs w:val="24"/>
        </w:rPr>
        <w:t xml:space="preserve"> en el primero punto, </w:t>
      </w:r>
      <w:r w:rsidR="00570AA9" w:rsidRPr="00286308">
        <w:rPr>
          <w:rFonts w:ascii="Century Gothic" w:eastAsia="Arial" w:hAnsi="Century Gothic" w:cs="Arial"/>
          <w:color w:val="auto"/>
          <w:szCs w:val="24"/>
        </w:rPr>
        <w:t>a saber Artículo Primero, “</w:t>
      </w:r>
      <w:r w:rsidR="00570AA9" w:rsidRPr="00286308">
        <w:rPr>
          <w:rFonts w:ascii="Century Gothic" w:hAnsi="Century Gothic" w:cs="Arial"/>
          <w:color w:val="auto"/>
          <w:szCs w:val="24"/>
        </w:rPr>
        <w:t>Fondo de Aportaciones para el Fortalecimiento de las Entidades Federativas”</w:t>
      </w:r>
      <w:r w:rsidR="00570AA9" w:rsidRPr="00286308">
        <w:rPr>
          <w:rFonts w:ascii="Century Gothic" w:eastAsia="Arial" w:hAnsi="Century Gothic" w:cs="Arial"/>
          <w:color w:val="auto"/>
          <w:szCs w:val="24"/>
        </w:rPr>
        <w:t xml:space="preserve"> (FAFEF)</w:t>
      </w:r>
      <w:r w:rsidR="000267A1" w:rsidRPr="00286308">
        <w:rPr>
          <w:rFonts w:ascii="Century Gothic" w:eastAsia="Arial" w:hAnsi="Century Gothic" w:cs="Arial"/>
          <w:color w:val="auto"/>
          <w:szCs w:val="24"/>
        </w:rPr>
        <w:t xml:space="preserve"> $500 millones </w:t>
      </w:r>
      <w:r w:rsidR="00225C60" w:rsidRPr="00286308">
        <w:rPr>
          <w:rFonts w:ascii="Century Gothic" w:eastAsia="Arial" w:hAnsi="Century Gothic" w:cs="Arial"/>
          <w:color w:val="auto"/>
          <w:szCs w:val="24"/>
        </w:rPr>
        <w:t>están</w:t>
      </w:r>
      <w:r w:rsidR="000267A1" w:rsidRPr="00286308">
        <w:rPr>
          <w:rFonts w:ascii="Century Gothic" w:eastAsia="Arial" w:hAnsi="Century Gothic" w:cs="Arial"/>
          <w:color w:val="auto"/>
          <w:szCs w:val="24"/>
        </w:rPr>
        <w:t xml:space="preserve"> en proceso de contratación, por lo que ahora se </w:t>
      </w:r>
      <w:r w:rsidR="00225C60" w:rsidRPr="00286308">
        <w:rPr>
          <w:rFonts w:ascii="Century Gothic" w:eastAsia="Arial" w:hAnsi="Century Gothic" w:cs="Arial"/>
          <w:color w:val="auto"/>
          <w:szCs w:val="24"/>
        </w:rPr>
        <w:t>está</w:t>
      </w:r>
      <w:r w:rsidR="000267A1" w:rsidRPr="00286308">
        <w:rPr>
          <w:rFonts w:ascii="Century Gothic" w:eastAsia="Arial" w:hAnsi="Century Gothic" w:cs="Arial"/>
          <w:color w:val="auto"/>
          <w:szCs w:val="24"/>
        </w:rPr>
        <w:t xml:space="preserve"> solicitando que esta autorización se extienda al 2023. </w:t>
      </w:r>
      <w:r w:rsidR="00EF31B0" w:rsidRPr="00286308">
        <w:rPr>
          <w:rFonts w:ascii="Century Gothic" w:eastAsia="Arial" w:hAnsi="Century Gothic" w:cs="Arial"/>
          <w:color w:val="auto"/>
          <w:szCs w:val="24"/>
        </w:rPr>
        <w:t xml:space="preserve"> </w:t>
      </w:r>
    </w:p>
    <w:p w14:paraId="53E7E360" w14:textId="69BE708E" w:rsidR="006856B5" w:rsidRPr="00286308" w:rsidRDefault="006856B5" w:rsidP="00A07716">
      <w:pPr>
        <w:pStyle w:val="Normal1"/>
        <w:spacing w:line="360" w:lineRule="auto"/>
        <w:contextualSpacing/>
        <w:rPr>
          <w:rFonts w:ascii="Century Gothic" w:eastAsia="Arial" w:hAnsi="Century Gothic" w:cs="Arial"/>
          <w:color w:val="auto"/>
          <w:szCs w:val="24"/>
          <w:lang w:val="es-MX"/>
        </w:rPr>
      </w:pPr>
    </w:p>
    <w:p w14:paraId="6049F2DB" w14:textId="639D11FD" w:rsidR="00552140" w:rsidRPr="00286308" w:rsidRDefault="00552140" w:rsidP="00552140">
      <w:pPr>
        <w:spacing w:line="360" w:lineRule="auto"/>
        <w:jc w:val="both"/>
        <w:rPr>
          <w:rFonts w:ascii="Century Gothic" w:hAnsi="Century Gothic" w:cs="Arial"/>
          <w:sz w:val="24"/>
          <w:szCs w:val="24"/>
        </w:rPr>
      </w:pPr>
      <w:r w:rsidRPr="00286308">
        <w:rPr>
          <w:rFonts w:ascii="Century Gothic" w:hAnsi="Century Gothic" w:cs="Arial"/>
          <w:sz w:val="24"/>
          <w:szCs w:val="24"/>
        </w:rPr>
        <w:t>Otro punto a destacar</w:t>
      </w:r>
      <w:r w:rsidR="00B610E1" w:rsidRPr="00286308">
        <w:rPr>
          <w:rFonts w:ascii="Century Gothic" w:hAnsi="Century Gothic" w:cs="Arial"/>
          <w:sz w:val="24"/>
          <w:szCs w:val="24"/>
        </w:rPr>
        <w:t>:</w:t>
      </w:r>
      <w:r w:rsidRPr="00286308">
        <w:rPr>
          <w:rFonts w:ascii="Century Gothic" w:hAnsi="Century Gothic" w:cs="Arial"/>
          <w:sz w:val="24"/>
          <w:szCs w:val="24"/>
        </w:rPr>
        <w:t xml:space="preserve"> se solicita la aprobación de esta Soberanía, para contratar un crédito de largo plazo con cargo al Fondo de Aportaciones para la Infraestructura Social (FAIS) por $350,000,000.00 (Trescientos cincuenta millones de pesos 00/100 Moneda Nacional), en relación a que el Financiamiento de FAIS fue autorizado el año pasado por $500 millones de pesos, y hasta el momento no se ha contratado dicho financiamiento. Lo anterior en virtud de que por un lado las reglas de operación son sumamente </w:t>
      </w:r>
      <w:r w:rsidRPr="00286308">
        <w:rPr>
          <w:rFonts w:ascii="Century Gothic" w:hAnsi="Century Gothic" w:cs="Arial"/>
          <w:sz w:val="24"/>
          <w:szCs w:val="24"/>
        </w:rPr>
        <w:lastRenderedPageBreak/>
        <w:t>complejas y por el otro, de que se ha llevado</w:t>
      </w:r>
      <w:r w:rsidR="004E1B6D" w:rsidRPr="00286308">
        <w:rPr>
          <w:rFonts w:ascii="Century Gothic" w:hAnsi="Century Gothic" w:cs="Arial"/>
          <w:sz w:val="24"/>
          <w:szCs w:val="24"/>
        </w:rPr>
        <w:t xml:space="preserve"> </w:t>
      </w:r>
      <w:r w:rsidRPr="00286308">
        <w:rPr>
          <w:rFonts w:ascii="Century Gothic" w:hAnsi="Century Gothic" w:cs="Arial"/>
          <w:sz w:val="24"/>
          <w:szCs w:val="24"/>
        </w:rPr>
        <w:t xml:space="preserve">a cabo un arduo proceso de trabajo con las dependencias y municipios para identificar los proyectos que tengan un verdadero impacto social en </w:t>
      </w:r>
      <w:r w:rsidR="004E1B6D" w:rsidRPr="00286308">
        <w:rPr>
          <w:rFonts w:ascii="Century Gothic" w:hAnsi="Century Gothic" w:cs="Arial"/>
          <w:sz w:val="24"/>
          <w:szCs w:val="24"/>
        </w:rPr>
        <w:t>las</w:t>
      </w:r>
      <w:r w:rsidRPr="00286308">
        <w:rPr>
          <w:rFonts w:ascii="Century Gothic" w:hAnsi="Century Gothic" w:cs="Arial"/>
          <w:sz w:val="24"/>
          <w:szCs w:val="24"/>
        </w:rPr>
        <w:t xml:space="preserve"> comunidades con alto rezago social, pobreza extrema y zonas de atención prioritaria, y que la finalidad de este financiamiento es destinarlo a los objetivos propios de este fondo en lo que se refiere a inversión públic</w:t>
      </w:r>
      <w:r w:rsidR="00DE48B4">
        <w:rPr>
          <w:rFonts w:ascii="Century Gothic" w:hAnsi="Century Gothic" w:cs="Arial"/>
          <w:sz w:val="24"/>
          <w:szCs w:val="24"/>
        </w:rPr>
        <w:t>o</w:t>
      </w:r>
      <w:r w:rsidRPr="00286308">
        <w:rPr>
          <w:rFonts w:ascii="Century Gothic" w:hAnsi="Century Gothic" w:cs="Arial"/>
          <w:sz w:val="24"/>
          <w:szCs w:val="24"/>
        </w:rPr>
        <w:t xml:space="preserve"> productiva de impacto social.</w:t>
      </w:r>
    </w:p>
    <w:p w14:paraId="0FF6A8F5" w14:textId="77777777" w:rsidR="00552140" w:rsidRPr="00286308" w:rsidRDefault="00552140" w:rsidP="00552140">
      <w:pPr>
        <w:spacing w:line="360" w:lineRule="auto"/>
        <w:jc w:val="both"/>
        <w:rPr>
          <w:rFonts w:ascii="Century Gothic" w:hAnsi="Century Gothic" w:cs="Arial"/>
          <w:sz w:val="24"/>
          <w:szCs w:val="24"/>
        </w:rPr>
      </w:pPr>
    </w:p>
    <w:p w14:paraId="7B346CCF" w14:textId="78D41AB5" w:rsidR="0024104F" w:rsidRPr="00286308" w:rsidRDefault="0024104F" w:rsidP="0024104F">
      <w:pPr>
        <w:spacing w:line="360" w:lineRule="auto"/>
        <w:jc w:val="both"/>
        <w:rPr>
          <w:rFonts w:ascii="Century Gothic" w:hAnsi="Century Gothic" w:cs="Arial"/>
          <w:sz w:val="24"/>
          <w:szCs w:val="24"/>
        </w:rPr>
      </w:pPr>
      <w:r w:rsidRPr="00286308">
        <w:rPr>
          <w:rFonts w:ascii="Century Gothic" w:hAnsi="Century Gothic" w:cs="Arial"/>
          <w:sz w:val="24"/>
          <w:szCs w:val="24"/>
        </w:rPr>
        <w:t xml:space="preserve">En otro punto, se destaca que el proyecto de Decreto plantea llevar a cabo una emisión de certificados bursátiles por la cantidad de hasta $17,000,000,000.00 (diecisiete mil millones de pesos). La emisión tendría como garantía y fuente de pago los ingresos por peaje de nueve tramos carreteros que actualmente están fideicomitidos en favor de la emisión CHIHCB 13U. La nueva emisión tendría como destino fundamental refinanciar la emisión bursátil CHIHCB 13U. En este rubro se resalta nuevamente, que el año pasado este H. Congreso del Estado autorizó una nueva emisión hasta por $19,600 millones de pesos, la cual no se ha llevado a cado ni se llevará en el ejercicio 2022, por lo que </w:t>
      </w:r>
      <w:r w:rsidRPr="00286308">
        <w:rPr>
          <w:rFonts w:ascii="Century Gothic" w:hAnsi="Century Gothic" w:cs="Arial"/>
          <w:b/>
          <w:bCs/>
          <w:sz w:val="24"/>
          <w:szCs w:val="24"/>
          <w:u w:val="single"/>
        </w:rPr>
        <w:t>la autorización que se somete</w:t>
      </w:r>
      <w:r w:rsidR="005A6241" w:rsidRPr="00286308">
        <w:rPr>
          <w:rFonts w:ascii="Century Gothic" w:hAnsi="Century Gothic" w:cs="Arial"/>
          <w:b/>
          <w:bCs/>
          <w:sz w:val="24"/>
          <w:szCs w:val="24"/>
          <w:u w:val="single"/>
        </w:rPr>
        <w:t xml:space="preserve"> </w:t>
      </w:r>
      <w:r w:rsidRPr="00286308">
        <w:rPr>
          <w:rFonts w:ascii="Century Gothic" w:hAnsi="Century Gothic" w:cs="Arial"/>
          <w:b/>
          <w:bCs/>
          <w:sz w:val="24"/>
          <w:szCs w:val="24"/>
          <w:u w:val="single"/>
        </w:rPr>
        <w:t xml:space="preserve">consideración </w:t>
      </w:r>
      <w:r w:rsidR="005A6241" w:rsidRPr="00286308">
        <w:rPr>
          <w:rFonts w:ascii="Century Gothic" w:hAnsi="Century Gothic" w:cs="Arial"/>
          <w:b/>
          <w:bCs/>
          <w:sz w:val="24"/>
          <w:szCs w:val="24"/>
          <w:u w:val="single"/>
        </w:rPr>
        <w:t xml:space="preserve">de este Pleno </w:t>
      </w:r>
      <w:r w:rsidRPr="00286308">
        <w:rPr>
          <w:rFonts w:ascii="Century Gothic" w:hAnsi="Century Gothic" w:cs="Arial"/>
          <w:b/>
          <w:bCs/>
          <w:sz w:val="24"/>
          <w:szCs w:val="24"/>
          <w:u w:val="single"/>
        </w:rPr>
        <w:t>tampoco representa endeudamiento adicional al ya autorizado</w:t>
      </w:r>
      <w:r w:rsidRPr="00286308">
        <w:rPr>
          <w:rFonts w:ascii="Century Gothic" w:hAnsi="Century Gothic" w:cs="Arial"/>
          <w:sz w:val="24"/>
          <w:szCs w:val="24"/>
        </w:rPr>
        <w:t xml:space="preserve">. Refiere la Iniciadora que la razón principal por la que no se ha llevado a cabo este refinanciamiento es porque detectaron que el Título de la emisión está irresponsablemente desactualizado y no se puede </w:t>
      </w:r>
      <w:r w:rsidR="00875C03" w:rsidRPr="00286308">
        <w:rPr>
          <w:rFonts w:ascii="Century Gothic" w:hAnsi="Century Gothic" w:cs="Arial"/>
          <w:sz w:val="24"/>
          <w:szCs w:val="24"/>
        </w:rPr>
        <w:t>realizar</w:t>
      </w:r>
      <w:r w:rsidRPr="00286308">
        <w:rPr>
          <w:rFonts w:ascii="Century Gothic" w:hAnsi="Century Gothic" w:cs="Arial"/>
          <w:sz w:val="24"/>
          <w:szCs w:val="24"/>
        </w:rPr>
        <w:t xml:space="preserve"> el nuevo proceso</w:t>
      </w:r>
      <w:r w:rsidR="00875C03" w:rsidRPr="00286308">
        <w:rPr>
          <w:rFonts w:ascii="Century Gothic" w:hAnsi="Century Gothic" w:cs="Arial"/>
          <w:sz w:val="24"/>
          <w:szCs w:val="24"/>
        </w:rPr>
        <w:t>,</w:t>
      </w:r>
      <w:r w:rsidRPr="00286308">
        <w:rPr>
          <w:rFonts w:ascii="Century Gothic" w:hAnsi="Century Gothic" w:cs="Arial"/>
          <w:sz w:val="24"/>
          <w:szCs w:val="24"/>
        </w:rPr>
        <w:t xml:space="preserve"> hasta que se actualice el Título actual. La desactualización proviene de que algunas regulaciones han cambiado en los últimos años, pero sobre todo por el hecho de que en el 2019 la administración anterior refinanció dos de </w:t>
      </w:r>
      <w:r w:rsidRPr="00286308">
        <w:rPr>
          <w:rFonts w:ascii="Century Gothic" w:hAnsi="Century Gothic" w:cs="Arial"/>
          <w:sz w:val="24"/>
          <w:szCs w:val="24"/>
        </w:rPr>
        <w:lastRenderedPageBreak/>
        <w:t xml:space="preserve">las tres emisiones </w:t>
      </w:r>
      <w:proofErr w:type="spellStart"/>
      <w:r w:rsidRPr="00286308">
        <w:rPr>
          <w:rFonts w:ascii="Century Gothic" w:hAnsi="Century Gothic" w:cs="Arial"/>
          <w:sz w:val="24"/>
          <w:szCs w:val="24"/>
        </w:rPr>
        <w:t>bursatiles</w:t>
      </w:r>
      <w:proofErr w:type="spellEnd"/>
      <w:r w:rsidRPr="00286308">
        <w:rPr>
          <w:rFonts w:ascii="Century Gothic" w:hAnsi="Century Gothic" w:cs="Arial"/>
          <w:sz w:val="24"/>
          <w:szCs w:val="24"/>
        </w:rPr>
        <w:t xml:space="preserve"> efectuadas en el 2013 al amparo de ese Título, y al no haberse realizado las actualizaciones respectivas</w:t>
      </w:r>
      <w:r w:rsidR="00875C03" w:rsidRPr="00286308">
        <w:rPr>
          <w:rFonts w:ascii="Century Gothic" w:hAnsi="Century Gothic" w:cs="Arial"/>
          <w:sz w:val="24"/>
          <w:szCs w:val="24"/>
        </w:rPr>
        <w:t>,</w:t>
      </w:r>
      <w:r w:rsidRPr="00286308">
        <w:rPr>
          <w:rFonts w:ascii="Century Gothic" w:hAnsi="Century Gothic" w:cs="Arial"/>
          <w:sz w:val="24"/>
          <w:szCs w:val="24"/>
        </w:rPr>
        <w:t xml:space="preserve"> se afecta</w:t>
      </w:r>
      <w:r w:rsidR="00875C03" w:rsidRPr="00286308">
        <w:rPr>
          <w:rFonts w:ascii="Century Gothic" w:hAnsi="Century Gothic" w:cs="Arial"/>
          <w:sz w:val="24"/>
          <w:szCs w:val="24"/>
        </w:rPr>
        <w:t>n</w:t>
      </w:r>
      <w:r w:rsidRPr="00286308">
        <w:rPr>
          <w:rFonts w:ascii="Century Gothic" w:hAnsi="Century Gothic" w:cs="Arial"/>
          <w:sz w:val="24"/>
          <w:szCs w:val="24"/>
        </w:rPr>
        <w:t xml:space="preserve"> los intereses del Estado. </w:t>
      </w:r>
      <w:r w:rsidR="00CD5D6F" w:rsidRPr="00286308">
        <w:rPr>
          <w:rFonts w:ascii="Century Gothic" w:hAnsi="Century Gothic" w:cs="Arial"/>
          <w:sz w:val="24"/>
          <w:szCs w:val="24"/>
        </w:rPr>
        <w:t>Que p</w:t>
      </w:r>
      <w:r w:rsidRPr="00286308">
        <w:rPr>
          <w:rFonts w:ascii="Century Gothic" w:hAnsi="Century Gothic" w:cs="Arial"/>
          <w:sz w:val="24"/>
          <w:szCs w:val="24"/>
        </w:rPr>
        <w:t>ara concretar esa actualización el Estado ha llevado a cabo un proceso de trabajo con el fiduciario y el Representante Común</w:t>
      </w:r>
      <w:r w:rsidR="00875C03" w:rsidRPr="00286308">
        <w:rPr>
          <w:rFonts w:ascii="Century Gothic" w:hAnsi="Century Gothic" w:cs="Arial"/>
          <w:sz w:val="24"/>
          <w:szCs w:val="24"/>
        </w:rPr>
        <w:t>,</w:t>
      </w:r>
      <w:r w:rsidRPr="00286308">
        <w:rPr>
          <w:rFonts w:ascii="Century Gothic" w:hAnsi="Century Gothic" w:cs="Arial"/>
          <w:sz w:val="24"/>
          <w:szCs w:val="24"/>
        </w:rPr>
        <w:t xml:space="preserve"> y se convocará en breve a una Asamblea de Tenedores para que autoricen las modificaciones necesarias.</w:t>
      </w:r>
    </w:p>
    <w:p w14:paraId="253F3544" w14:textId="77777777" w:rsidR="0024104F" w:rsidRPr="00286308" w:rsidRDefault="0024104F" w:rsidP="0024104F">
      <w:pPr>
        <w:spacing w:line="360" w:lineRule="auto"/>
        <w:jc w:val="both"/>
        <w:rPr>
          <w:rFonts w:ascii="Century Gothic" w:hAnsi="Century Gothic" w:cs="Arial"/>
          <w:sz w:val="24"/>
          <w:szCs w:val="24"/>
        </w:rPr>
      </w:pPr>
    </w:p>
    <w:p w14:paraId="5C05447F" w14:textId="2DFBA470" w:rsidR="00202DBA" w:rsidRPr="00286308" w:rsidRDefault="007B5923" w:rsidP="00EB70DE">
      <w:pPr>
        <w:spacing w:line="360" w:lineRule="auto"/>
        <w:jc w:val="both"/>
        <w:rPr>
          <w:rFonts w:ascii="Century Gothic" w:hAnsi="Century Gothic" w:cs="Arial"/>
          <w:sz w:val="24"/>
          <w:szCs w:val="24"/>
        </w:rPr>
      </w:pPr>
      <w:r w:rsidRPr="00286308">
        <w:rPr>
          <w:rFonts w:ascii="Century Gothic" w:hAnsi="Century Gothic" w:cs="Arial"/>
          <w:sz w:val="24"/>
          <w:szCs w:val="24"/>
        </w:rPr>
        <w:t>Se destaca en la Iniciativa que</w:t>
      </w:r>
      <w:r w:rsidR="0024104F" w:rsidRPr="00286308">
        <w:rPr>
          <w:rFonts w:ascii="Century Gothic" w:hAnsi="Century Gothic" w:cs="Arial"/>
          <w:sz w:val="24"/>
          <w:szCs w:val="24"/>
        </w:rPr>
        <w:t xml:space="preserve"> estos $17,000 millones se destinarán únicamente al prepago de la emisión y no representan endeudamiento adicional, </w:t>
      </w:r>
      <w:r w:rsidR="001A746A" w:rsidRPr="00286308">
        <w:rPr>
          <w:rFonts w:ascii="Century Gothic" w:hAnsi="Century Gothic" w:cs="Arial"/>
          <w:sz w:val="24"/>
          <w:szCs w:val="24"/>
        </w:rPr>
        <w:t xml:space="preserve">que </w:t>
      </w:r>
      <w:r w:rsidR="0024104F" w:rsidRPr="00286308">
        <w:rPr>
          <w:rFonts w:ascii="Century Gothic" w:hAnsi="Century Gothic" w:cs="Arial"/>
          <w:sz w:val="24"/>
          <w:szCs w:val="24"/>
        </w:rPr>
        <w:t>simplemente el monto para liquidar la emisión aumentó debido a los últimos datos de inflación</w:t>
      </w:r>
      <w:r w:rsidR="001A746A" w:rsidRPr="00286308">
        <w:rPr>
          <w:rFonts w:ascii="Century Gothic" w:hAnsi="Century Gothic" w:cs="Arial"/>
          <w:sz w:val="24"/>
          <w:szCs w:val="24"/>
        </w:rPr>
        <w:t>,</w:t>
      </w:r>
      <w:r w:rsidR="0024104F" w:rsidRPr="00286308">
        <w:rPr>
          <w:rFonts w:ascii="Century Gothic" w:hAnsi="Century Gothic" w:cs="Arial"/>
          <w:sz w:val="24"/>
          <w:szCs w:val="24"/>
        </w:rPr>
        <w:t xml:space="preserve"> y a la</w:t>
      </w:r>
      <w:r w:rsidR="00613B1C" w:rsidRPr="00286308">
        <w:rPr>
          <w:rFonts w:ascii="Century Gothic" w:hAnsi="Century Gothic" w:cs="Arial"/>
          <w:sz w:val="24"/>
          <w:szCs w:val="24"/>
        </w:rPr>
        <w:t>s</w:t>
      </w:r>
      <w:r w:rsidR="0024104F" w:rsidRPr="00286308">
        <w:rPr>
          <w:rFonts w:ascii="Century Gothic" w:hAnsi="Century Gothic" w:cs="Arial"/>
          <w:sz w:val="24"/>
          <w:szCs w:val="24"/>
        </w:rPr>
        <w:t xml:space="preserve"> proyecciones de esta variable para el año </w:t>
      </w:r>
      <w:r w:rsidRPr="00286308">
        <w:rPr>
          <w:rFonts w:ascii="Century Gothic" w:hAnsi="Century Gothic" w:cs="Arial"/>
          <w:sz w:val="24"/>
          <w:szCs w:val="24"/>
        </w:rPr>
        <w:t>2023</w:t>
      </w:r>
      <w:r w:rsidR="0024104F" w:rsidRPr="00286308">
        <w:rPr>
          <w:rFonts w:ascii="Century Gothic" w:hAnsi="Century Gothic" w:cs="Arial"/>
          <w:sz w:val="24"/>
          <w:szCs w:val="24"/>
        </w:rPr>
        <w:t xml:space="preserve">. </w:t>
      </w:r>
      <w:r w:rsidR="00613B1C" w:rsidRPr="00286308">
        <w:rPr>
          <w:rFonts w:ascii="Century Gothic" w:hAnsi="Century Gothic" w:cs="Arial"/>
          <w:sz w:val="24"/>
          <w:szCs w:val="24"/>
        </w:rPr>
        <w:t>Otro argumento que nos parece interesante, es el que la estructura de la deuda bursátil de la emisión CHIHCB 13U</w:t>
      </w:r>
      <w:r w:rsidR="001A746A" w:rsidRPr="00286308">
        <w:rPr>
          <w:rFonts w:ascii="Century Gothic" w:hAnsi="Century Gothic" w:cs="Arial"/>
          <w:sz w:val="24"/>
          <w:szCs w:val="24"/>
        </w:rPr>
        <w:t>,</w:t>
      </w:r>
      <w:r w:rsidR="00613B1C" w:rsidRPr="00286308">
        <w:rPr>
          <w:rFonts w:ascii="Century Gothic" w:hAnsi="Century Gothic" w:cs="Arial"/>
          <w:sz w:val="24"/>
          <w:szCs w:val="24"/>
        </w:rPr>
        <w:t xml:space="preserve"> hace que el monto de endeudamiento vaya creciendo conforme crecen las Unidades de Inversión o UDIs, las cuales crecen en forma similar a como crece la inflación, y que, para entender la gravedad de esta estructura y como afecta al Estado, tenemos que considerar que en el 2013 derivado de esta emisión</w:t>
      </w:r>
      <w:r w:rsidR="001A746A" w:rsidRPr="00286308">
        <w:rPr>
          <w:rFonts w:ascii="Century Gothic" w:hAnsi="Century Gothic" w:cs="Arial"/>
          <w:sz w:val="24"/>
          <w:szCs w:val="24"/>
        </w:rPr>
        <w:t>,</w:t>
      </w:r>
      <w:r w:rsidR="00613B1C" w:rsidRPr="00286308">
        <w:rPr>
          <w:rFonts w:ascii="Century Gothic" w:hAnsi="Century Gothic" w:cs="Arial"/>
          <w:sz w:val="24"/>
          <w:szCs w:val="24"/>
        </w:rPr>
        <w:t xml:space="preserve"> la entidad recibió $12 mil millones de pesos</w:t>
      </w:r>
      <w:r w:rsidR="001A746A" w:rsidRPr="00286308">
        <w:rPr>
          <w:rFonts w:ascii="Century Gothic" w:hAnsi="Century Gothic" w:cs="Arial"/>
          <w:sz w:val="24"/>
          <w:szCs w:val="24"/>
        </w:rPr>
        <w:t>,</w:t>
      </w:r>
      <w:r w:rsidR="00613B1C" w:rsidRPr="00286308">
        <w:rPr>
          <w:rFonts w:ascii="Century Gothic" w:hAnsi="Century Gothic" w:cs="Arial"/>
          <w:sz w:val="24"/>
          <w:szCs w:val="24"/>
        </w:rPr>
        <w:t xml:space="preserve"> y a la fecha por servicio de esta deuda ha pagado ya $9,514 millones de pesos y sin embargo ahora se deben el equivalente a más de $16,050 millones de pesos. </w:t>
      </w:r>
    </w:p>
    <w:p w14:paraId="11D0DA7E" w14:textId="77777777" w:rsidR="00202DBA" w:rsidRPr="00286308" w:rsidRDefault="00202DBA" w:rsidP="00EB70DE">
      <w:pPr>
        <w:spacing w:line="360" w:lineRule="auto"/>
        <w:jc w:val="both"/>
        <w:rPr>
          <w:rFonts w:ascii="Century Gothic" w:hAnsi="Century Gothic" w:cs="Arial"/>
          <w:sz w:val="24"/>
          <w:szCs w:val="24"/>
        </w:rPr>
      </w:pPr>
    </w:p>
    <w:p w14:paraId="6D89EE1E" w14:textId="513A9FA7" w:rsidR="00EB70DE" w:rsidRPr="00286308" w:rsidRDefault="00EB70DE" w:rsidP="00EB70DE">
      <w:pPr>
        <w:spacing w:line="360" w:lineRule="auto"/>
        <w:jc w:val="both"/>
        <w:rPr>
          <w:rFonts w:ascii="Century Gothic" w:hAnsi="Century Gothic" w:cs="Arial"/>
          <w:sz w:val="24"/>
          <w:szCs w:val="24"/>
        </w:rPr>
      </w:pPr>
      <w:r w:rsidRPr="00286308">
        <w:rPr>
          <w:rFonts w:ascii="Century Gothic" w:hAnsi="Century Gothic" w:cs="Arial"/>
          <w:sz w:val="24"/>
          <w:szCs w:val="24"/>
        </w:rPr>
        <w:t xml:space="preserve">También, el documento en estudio propone el refinanciamiento por $665,394,050.16 (seiscientos sesenta y cinco millones trescientos noventa y cuatro mil cincuenta pesos 16/100 Moneda Nacional) del crédito que se </w:t>
      </w:r>
      <w:r w:rsidRPr="00286308">
        <w:rPr>
          <w:rFonts w:ascii="Century Gothic" w:hAnsi="Century Gothic" w:cs="Arial"/>
          <w:sz w:val="24"/>
          <w:szCs w:val="24"/>
        </w:rPr>
        <w:lastRenderedPageBreak/>
        <w:t>contrató con Banobras al amparo del Programa de Financiamiento para Infraestructura y Seguridad de los Estados (PROFISE). Este crédito tiene particularidades distintas a otros créditos bancarios de largo plazo que tiene el Gobierno del Estado. Entre las principales diferencias se encuentran</w:t>
      </w:r>
      <w:r w:rsidR="008C58E7" w:rsidRPr="00286308">
        <w:rPr>
          <w:rFonts w:ascii="Century Gothic" w:hAnsi="Century Gothic" w:cs="Arial"/>
          <w:sz w:val="24"/>
          <w:szCs w:val="24"/>
        </w:rPr>
        <w:t>; según se nos hace notar</w:t>
      </w:r>
      <w:r w:rsidRPr="00286308">
        <w:rPr>
          <w:rFonts w:ascii="Century Gothic" w:hAnsi="Century Gothic" w:cs="Arial"/>
          <w:sz w:val="24"/>
          <w:szCs w:val="24"/>
        </w:rPr>
        <w:t>:</w:t>
      </w:r>
    </w:p>
    <w:p w14:paraId="5F80E66A" w14:textId="77777777" w:rsidR="00EB70DE" w:rsidRPr="00286308" w:rsidRDefault="00EB70DE" w:rsidP="00EB70DE">
      <w:pPr>
        <w:spacing w:line="360" w:lineRule="auto"/>
        <w:jc w:val="both"/>
        <w:rPr>
          <w:rFonts w:ascii="Century Gothic" w:hAnsi="Century Gothic" w:cs="Arial"/>
          <w:sz w:val="24"/>
          <w:szCs w:val="24"/>
        </w:rPr>
      </w:pPr>
    </w:p>
    <w:p w14:paraId="72A1A2B7" w14:textId="26C2BD9C" w:rsidR="00EB70DE" w:rsidRPr="00286308" w:rsidRDefault="008C58E7" w:rsidP="00FF6735">
      <w:pPr>
        <w:pStyle w:val="Prrafodelista"/>
        <w:numPr>
          <w:ilvl w:val="0"/>
          <w:numId w:val="22"/>
        </w:numPr>
        <w:spacing w:after="0" w:line="360" w:lineRule="auto"/>
        <w:jc w:val="both"/>
        <w:rPr>
          <w:rFonts w:ascii="Century Gothic" w:hAnsi="Century Gothic" w:cs="Arial"/>
          <w:sz w:val="24"/>
          <w:szCs w:val="24"/>
        </w:rPr>
      </w:pPr>
      <w:r w:rsidRPr="00286308">
        <w:rPr>
          <w:rFonts w:ascii="Century Gothic" w:hAnsi="Century Gothic" w:cs="Arial"/>
          <w:sz w:val="24"/>
          <w:szCs w:val="24"/>
        </w:rPr>
        <w:t>Que e</w:t>
      </w:r>
      <w:r w:rsidR="00EB70DE" w:rsidRPr="00286308">
        <w:rPr>
          <w:rFonts w:ascii="Century Gothic" w:hAnsi="Century Gothic" w:cs="Arial"/>
          <w:sz w:val="24"/>
          <w:szCs w:val="24"/>
        </w:rPr>
        <w:t xml:space="preserve">s un crédito llamado </w:t>
      </w:r>
      <w:r w:rsidR="00EB70DE" w:rsidRPr="00286308">
        <w:rPr>
          <w:rFonts w:ascii="Century Gothic" w:hAnsi="Century Gothic" w:cs="Arial"/>
          <w:i/>
          <w:iCs/>
          <w:sz w:val="24"/>
          <w:szCs w:val="24"/>
        </w:rPr>
        <w:t>“</w:t>
      </w:r>
      <w:proofErr w:type="spellStart"/>
      <w:r w:rsidR="00EB70DE" w:rsidRPr="00286308">
        <w:rPr>
          <w:rFonts w:ascii="Century Gothic" w:hAnsi="Century Gothic" w:cs="Arial"/>
          <w:i/>
          <w:iCs/>
          <w:sz w:val="24"/>
          <w:szCs w:val="24"/>
        </w:rPr>
        <w:t>bullet</w:t>
      </w:r>
      <w:proofErr w:type="spellEnd"/>
      <w:r w:rsidR="00EB70DE" w:rsidRPr="00286308">
        <w:rPr>
          <w:rFonts w:ascii="Century Gothic" w:hAnsi="Century Gothic" w:cs="Arial"/>
          <w:i/>
          <w:iCs/>
          <w:sz w:val="24"/>
          <w:szCs w:val="24"/>
        </w:rPr>
        <w:t>”</w:t>
      </w:r>
      <w:r w:rsidR="00EB70DE" w:rsidRPr="00286308">
        <w:rPr>
          <w:rFonts w:ascii="Century Gothic" w:hAnsi="Century Gothic" w:cs="Arial"/>
          <w:sz w:val="24"/>
          <w:szCs w:val="24"/>
        </w:rPr>
        <w:t>, es decir, cuyo principal se liquida en su totalidad al vencimiento del contrato, lo cual se realizaría hasta el 2032.</w:t>
      </w:r>
    </w:p>
    <w:p w14:paraId="294CDCC2" w14:textId="77777777" w:rsidR="00EB70DE" w:rsidRPr="00286308" w:rsidRDefault="00EB70DE" w:rsidP="00EB70DE">
      <w:pPr>
        <w:pStyle w:val="Prrafodelista"/>
        <w:spacing w:after="0" w:line="360" w:lineRule="auto"/>
        <w:ind w:left="1287"/>
        <w:jc w:val="both"/>
        <w:rPr>
          <w:rFonts w:ascii="Century Gothic" w:hAnsi="Century Gothic" w:cs="Arial"/>
          <w:sz w:val="24"/>
          <w:szCs w:val="24"/>
        </w:rPr>
      </w:pPr>
    </w:p>
    <w:p w14:paraId="283BEEBE" w14:textId="01FA0C75" w:rsidR="00EB70DE" w:rsidRPr="00286308" w:rsidRDefault="00234240" w:rsidP="00FF6735">
      <w:pPr>
        <w:pStyle w:val="Prrafodelista"/>
        <w:numPr>
          <w:ilvl w:val="0"/>
          <w:numId w:val="22"/>
        </w:numPr>
        <w:spacing w:after="0" w:line="360" w:lineRule="auto"/>
        <w:jc w:val="both"/>
        <w:rPr>
          <w:rFonts w:ascii="Century Gothic" w:hAnsi="Century Gothic" w:cs="Arial"/>
          <w:sz w:val="24"/>
          <w:szCs w:val="24"/>
        </w:rPr>
      </w:pPr>
      <w:r w:rsidRPr="00286308">
        <w:rPr>
          <w:rFonts w:ascii="Century Gothic" w:hAnsi="Century Gothic" w:cs="Arial"/>
          <w:sz w:val="24"/>
          <w:szCs w:val="24"/>
        </w:rPr>
        <w:t>Que l</w:t>
      </w:r>
      <w:r w:rsidR="00EB70DE" w:rsidRPr="00286308">
        <w:rPr>
          <w:rFonts w:ascii="Century Gothic" w:hAnsi="Century Gothic" w:cs="Arial"/>
          <w:sz w:val="24"/>
          <w:szCs w:val="24"/>
        </w:rPr>
        <w:t>a tasa de interés pactada es una tasa fija</w:t>
      </w:r>
      <w:r w:rsidR="00871D62" w:rsidRPr="00286308">
        <w:rPr>
          <w:rFonts w:ascii="Century Gothic" w:hAnsi="Century Gothic" w:cs="Arial"/>
          <w:sz w:val="24"/>
          <w:szCs w:val="24"/>
        </w:rPr>
        <w:t>,</w:t>
      </w:r>
      <w:r w:rsidR="00EB70DE" w:rsidRPr="00286308">
        <w:rPr>
          <w:rFonts w:ascii="Century Gothic" w:hAnsi="Century Gothic" w:cs="Arial"/>
          <w:sz w:val="24"/>
          <w:szCs w:val="24"/>
        </w:rPr>
        <w:t xml:space="preserve"> más una sobretasa.</w:t>
      </w:r>
    </w:p>
    <w:p w14:paraId="1E42AD98" w14:textId="77777777" w:rsidR="00EB70DE" w:rsidRPr="00286308" w:rsidRDefault="00EB70DE" w:rsidP="00EB70DE">
      <w:pPr>
        <w:pStyle w:val="Prrafodelista"/>
        <w:rPr>
          <w:rFonts w:ascii="Century Gothic" w:hAnsi="Century Gothic" w:cs="Arial"/>
          <w:sz w:val="24"/>
          <w:szCs w:val="24"/>
        </w:rPr>
      </w:pPr>
    </w:p>
    <w:p w14:paraId="7A8DF9C5" w14:textId="7ADD724E" w:rsidR="00EB70DE" w:rsidRPr="00286308" w:rsidRDefault="00234240" w:rsidP="00FF6735">
      <w:pPr>
        <w:pStyle w:val="Prrafodelista"/>
        <w:numPr>
          <w:ilvl w:val="0"/>
          <w:numId w:val="22"/>
        </w:numPr>
        <w:spacing w:after="0" w:line="360" w:lineRule="auto"/>
        <w:jc w:val="both"/>
        <w:rPr>
          <w:rFonts w:ascii="Century Gothic" w:hAnsi="Century Gothic" w:cs="Arial"/>
          <w:sz w:val="24"/>
          <w:szCs w:val="24"/>
        </w:rPr>
      </w:pPr>
      <w:r w:rsidRPr="00286308">
        <w:rPr>
          <w:rFonts w:ascii="Century Gothic" w:hAnsi="Century Gothic" w:cs="Arial"/>
          <w:sz w:val="24"/>
          <w:szCs w:val="24"/>
        </w:rPr>
        <w:t>Que l</w:t>
      </w:r>
      <w:r w:rsidR="00EB70DE" w:rsidRPr="00286308">
        <w:rPr>
          <w:rFonts w:ascii="Century Gothic" w:hAnsi="Century Gothic" w:cs="Arial"/>
          <w:sz w:val="24"/>
          <w:szCs w:val="24"/>
        </w:rPr>
        <w:t>os intereses siempre se pagan sobre el total del monto del crédito.</w:t>
      </w:r>
    </w:p>
    <w:p w14:paraId="33B4039D" w14:textId="77777777" w:rsidR="00EB70DE" w:rsidRPr="00286308" w:rsidRDefault="00EB70DE" w:rsidP="00EB70DE">
      <w:pPr>
        <w:pStyle w:val="Prrafodelista"/>
        <w:rPr>
          <w:rFonts w:ascii="Century Gothic" w:hAnsi="Century Gothic" w:cs="Arial"/>
          <w:sz w:val="24"/>
          <w:szCs w:val="24"/>
        </w:rPr>
      </w:pPr>
    </w:p>
    <w:p w14:paraId="60263CA5" w14:textId="57BEBEDA" w:rsidR="00EB70DE" w:rsidRPr="00286308" w:rsidRDefault="00234240" w:rsidP="00FF6735">
      <w:pPr>
        <w:pStyle w:val="Prrafodelista"/>
        <w:numPr>
          <w:ilvl w:val="0"/>
          <w:numId w:val="22"/>
        </w:numPr>
        <w:spacing w:after="0" w:line="360" w:lineRule="auto"/>
        <w:jc w:val="both"/>
        <w:rPr>
          <w:rFonts w:ascii="Century Gothic" w:hAnsi="Century Gothic" w:cs="Arial"/>
          <w:sz w:val="24"/>
          <w:szCs w:val="24"/>
        </w:rPr>
      </w:pPr>
      <w:r w:rsidRPr="00286308">
        <w:rPr>
          <w:rFonts w:ascii="Century Gothic" w:hAnsi="Century Gothic" w:cs="Arial"/>
          <w:sz w:val="24"/>
          <w:szCs w:val="24"/>
        </w:rPr>
        <w:t>Que e</w:t>
      </w:r>
      <w:r w:rsidR="00EB70DE" w:rsidRPr="00286308">
        <w:rPr>
          <w:rFonts w:ascii="Century Gothic" w:hAnsi="Century Gothic" w:cs="Arial"/>
          <w:sz w:val="24"/>
          <w:szCs w:val="24"/>
        </w:rPr>
        <w:t>l pago del principal se garantizó con un Bono Cupón Cero.</w:t>
      </w:r>
    </w:p>
    <w:p w14:paraId="35F172E3" w14:textId="77777777" w:rsidR="00EB70DE" w:rsidRPr="00286308" w:rsidRDefault="00EB70DE" w:rsidP="00EB70DE">
      <w:pPr>
        <w:pStyle w:val="Prrafodelista"/>
        <w:rPr>
          <w:rFonts w:ascii="Century Gothic" w:hAnsi="Century Gothic" w:cs="Arial"/>
          <w:sz w:val="24"/>
          <w:szCs w:val="24"/>
        </w:rPr>
      </w:pPr>
    </w:p>
    <w:p w14:paraId="05917FC6" w14:textId="661D1CAE" w:rsidR="00EB70DE" w:rsidRPr="00286308" w:rsidRDefault="00234240" w:rsidP="00FF6735">
      <w:pPr>
        <w:pStyle w:val="Prrafodelista"/>
        <w:numPr>
          <w:ilvl w:val="0"/>
          <w:numId w:val="22"/>
        </w:numPr>
        <w:spacing w:after="0" w:line="360" w:lineRule="auto"/>
        <w:jc w:val="both"/>
        <w:rPr>
          <w:rFonts w:ascii="Century Gothic" w:hAnsi="Century Gothic" w:cs="Arial"/>
          <w:sz w:val="24"/>
          <w:szCs w:val="24"/>
        </w:rPr>
      </w:pPr>
      <w:r w:rsidRPr="00286308">
        <w:rPr>
          <w:rFonts w:ascii="Century Gothic" w:hAnsi="Century Gothic" w:cs="Arial"/>
          <w:sz w:val="24"/>
          <w:szCs w:val="24"/>
        </w:rPr>
        <w:t>Que e</w:t>
      </w:r>
      <w:r w:rsidR="00EB70DE" w:rsidRPr="00286308">
        <w:rPr>
          <w:rFonts w:ascii="Century Gothic" w:hAnsi="Century Gothic" w:cs="Arial"/>
          <w:sz w:val="24"/>
          <w:szCs w:val="24"/>
        </w:rPr>
        <w:t>s un crédito que está sobre garantizado. Es decir, para el tamaño del monto del crédito, las Participaciones Federales dadas en garantía son más de cinco veces las de los otros créditos de largo plazo.</w:t>
      </w:r>
    </w:p>
    <w:p w14:paraId="39DF7D50" w14:textId="77777777" w:rsidR="00EB70DE" w:rsidRPr="00286308" w:rsidRDefault="00EB70DE" w:rsidP="00EB70DE">
      <w:pPr>
        <w:pStyle w:val="Prrafodelista"/>
        <w:rPr>
          <w:rFonts w:ascii="Century Gothic" w:hAnsi="Century Gothic" w:cs="Arial"/>
          <w:sz w:val="24"/>
          <w:szCs w:val="24"/>
        </w:rPr>
      </w:pPr>
    </w:p>
    <w:p w14:paraId="216B1D73" w14:textId="561325B6" w:rsidR="00EB70DE" w:rsidRPr="00286308" w:rsidRDefault="00234240" w:rsidP="00FF6735">
      <w:pPr>
        <w:pStyle w:val="Prrafodelista"/>
        <w:numPr>
          <w:ilvl w:val="0"/>
          <w:numId w:val="22"/>
        </w:numPr>
        <w:spacing w:after="0" w:line="360" w:lineRule="auto"/>
        <w:jc w:val="both"/>
        <w:rPr>
          <w:rFonts w:ascii="Century Gothic" w:hAnsi="Century Gothic" w:cs="Arial"/>
          <w:sz w:val="24"/>
          <w:szCs w:val="24"/>
        </w:rPr>
      </w:pPr>
      <w:r w:rsidRPr="00286308">
        <w:rPr>
          <w:rFonts w:ascii="Century Gothic" w:hAnsi="Century Gothic" w:cs="Arial"/>
          <w:sz w:val="24"/>
          <w:szCs w:val="24"/>
        </w:rPr>
        <w:t>Y que, a</w:t>
      </w:r>
      <w:r w:rsidR="00EB70DE" w:rsidRPr="00286308">
        <w:rPr>
          <w:rFonts w:ascii="Century Gothic" w:hAnsi="Century Gothic" w:cs="Arial"/>
          <w:sz w:val="24"/>
          <w:szCs w:val="24"/>
        </w:rPr>
        <w:t>l refinanciar este crédito, el Gobierno obtendría diversos beneficios, entre los que se encuentran:</w:t>
      </w:r>
    </w:p>
    <w:p w14:paraId="62315C97" w14:textId="41128A66" w:rsidR="00234240" w:rsidRPr="00286308" w:rsidRDefault="00EB70DE" w:rsidP="00FF6735">
      <w:pPr>
        <w:pStyle w:val="Prrafodelista"/>
        <w:numPr>
          <w:ilvl w:val="0"/>
          <w:numId w:val="23"/>
        </w:numPr>
        <w:spacing w:after="0" w:line="360" w:lineRule="auto"/>
        <w:jc w:val="both"/>
        <w:rPr>
          <w:rFonts w:ascii="Century Gothic" w:hAnsi="Century Gothic" w:cs="Arial"/>
          <w:sz w:val="24"/>
          <w:szCs w:val="24"/>
        </w:rPr>
      </w:pPr>
      <w:r w:rsidRPr="00286308">
        <w:rPr>
          <w:rFonts w:ascii="Century Gothic" w:hAnsi="Century Gothic" w:cs="Arial"/>
          <w:sz w:val="24"/>
          <w:szCs w:val="24"/>
        </w:rPr>
        <w:lastRenderedPageBreak/>
        <w:t xml:space="preserve">Se espera una disminución en la tasa de interés que generará ahorros presupuestales que en el 2023 </w:t>
      </w:r>
      <w:r w:rsidR="007E5103" w:rsidRPr="00286308">
        <w:rPr>
          <w:rFonts w:ascii="Century Gothic" w:hAnsi="Century Gothic" w:cs="Arial"/>
          <w:sz w:val="24"/>
          <w:szCs w:val="24"/>
        </w:rPr>
        <w:t>sean</w:t>
      </w:r>
      <w:r w:rsidRPr="00286308">
        <w:rPr>
          <w:rFonts w:ascii="Century Gothic" w:hAnsi="Century Gothic" w:cs="Arial"/>
          <w:sz w:val="24"/>
          <w:szCs w:val="24"/>
        </w:rPr>
        <w:t xml:space="preserve"> de $13 millones de pesos</w:t>
      </w:r>
      <w:r w:rsidR="007E5103" w:rsidRPr="00286308">
        <w:rPr>
          <w:rFonts w:ascii="Century Gothic" w:hAnsi="Century Gothic" w:cs="Arial"/>
          <w:sz w:val="24"/>
          <w:szCs w:val="24"/>
        </w:rPr>
        <w:t>,</w:t>
      </w:r>
      <w:r w:rsidRPr="00286308">
        <w:rPr>
          <w:rFonts w:ascii="Century Gothic" w:hAnsi="Century Gothic" w:cs="Arial"/>
          <w:sz w:val="24"/>
          <w:szCs w:val="24"/>
        </w:rPr>
        <w:t xml:space="preserve"> y cada año se incrementarán. A lo largo de la duración del crédito, se estima que el Gobierno del Estado tendrá un ahorro de más de $408 millones de pesos.</w:t>
      </w:r>
    </w:p>
    <w:p w14:paraId="487C3832" w14:textId="77777777" w:rsidR="00234240" w:rsidRPr="00286308" w:rsidRDefault="00234240" w:rsidP="00234240">
      <w:pPr>
        <w:pStyle w:val="Prrafodelista"/>
        <w:spacing w:after="0" w:line="360" w:lineRule="auto"/>
        <w:ind w:left="927"/>
        <w:jc w:val="both"/>
        <w:rPr>
          <w:rFonts w:ascii="Century Gothic" w:hAnsi="Century Gothic" w:cs="Arial"/>
          <w:sz w:val="24"/>
          <w:szCs w:val="24"/>
        </w:rPr>
      </w:pPr>
    </w:p>
    <w:p w14:paraId="5B91B313" w14:textId="6084A6B6" w:rsidR="00234240" w:rsidRPr="00286308" w:rsidRDefault="00EB70DE" w:rsidP="00FF6735">
      <w:pPr>
        <w:pStyle w:val="Prrafodelista"/>
        <w:numPr>
          <w:ilvl w:val="0"/>
          <w:numId w:val="23"/>
        </w:numPr>
        <w:spacing w:after="0" w:line="360" w:lineRule="auto"/>
        <w:jc w:val="both"/>
        <w:rPr>
          <w:rFonts w:ascii="Century Gothic" w:hAnsi="Century Gothic" w:cs="Arial"/>
          <w:sz w:val="24"/>
          <w:szCs w:val="24"/>
        </w:rPr>
      </w:pPr>
      <w:r w:rsidRPr="00286308">
        <w:rPr>
          <w:rFonts w:ascii="Century Gothic" w:hAnsi="Century Gothic" w:cs="Arial"/>
          <w:sz w:val="24"/>
          <w:szCs w:val="24"/>
        </w:rPr>
        <w:t>Se generaría un ahorro de gastos fiduciarios de $2.3 millones de pesos año.</w:t>
      </w:r>
    </w:p>
    <w:p w14:paraId="7F973037" w14:textId="77777777" w:rsidR="00234240" w:rsidRPr="00286308" w:rsidRDefault="00234240" w:rsidP="00234240">
      <w:pPr>
        <w:pStyle w:val="Prrafodelista"/>
        <w:rPr>
          <w:rFonts w:ascii="Century Gothic" w:hAnsi="Century Gothic" w:cs="Arial"/>
          <w:sz w:val="24"/>
          <w:szCs w:val="24"/>
        </w:rPr>
      </w:pPr>
    </w:p>
    <w:p w14:paraId="65213284" w14:textId="40C4DE51" w:rsidR="00EB70DE" w:rsidRPr="00286308" w:rsidRDefault="00EB70DE" w:rsidP="00FF6735">
      <w:pPr>
        <w:pStyle w:val="Prrafodelista"/>
        <w:numPr>
          <w:ilvl w:val="0"/>
          <w:numId w:val="23"/>
        </w:numPr>
        <w:spacing w:after="0" w:line="360" w:lineRule="auto"/>
        <w:jc w:val="both"/>
        <w:rPr>
          <w:rFonts w:ascii="Century Gothic" w:hAnsi="Century Gothic" w:cs="Arial"/>
          <w:sz w:val="24"/>
          <w:szCs w:val="24"/>
        </w:rPr>
      </w:pPr>
      <w:r w:rsidRPr="00286308">
        <w:rPr>
          <w:rFonts w:ascii="Century Gothic" w:hAnsi="Century Gothic" w:cs="Arial"/>
          <w:sz w:val="24"/>
          <w:szCs w:val="24"/>
        </w:rPr>
        <w:t>Se liberaría un porcentaje del Fondo General de Participaciones que está dado en garantía en este crédito.</w:t>
      </w:r>
    </w:p>
    <w:p w14:paraId="459BDD07" w14:textId="77777777" w:rsidR="00EB70DE" w:rsidRPr="00286308" w:rsidRDefault="00EB70DE" w:rsidP="00EB70DE">
      <w:pPr>
        <w:spacing w:line="360" w:lineRule="auto"/>
        <w:jc w:val="both"/>
        <w:rPr>
          <w:rFonts w:ascii="Century Gothic" w:hAnsi="Century Gothic" w:cs="Arial"/>
          <w:sz w:val="24"/>
          <w:szCs w:val="24"/>
        </w:rPr>
      </w:pPr>
    </w:p>
    <w:p w14:paraId="6823B530" w14:textId="77777777" w:rsidR="00234240" w:rsidRPr="00286308" w:rsidRDefault="00234240" w:rsidP="00EB70DE">
      <w:pPr>
        <w:spacing w:line="360" w:lineRule="auto"/>
        <w:jc w:val="both"/>
        <w:rPr>
          <w:rFonts w:ascii="Century Gothic" w:hAnsi="Century Gothic" w:cs="Arial"/>
          <w:sz w:val="24"/>
          <w:szCs w:val="24"/>
        </w:rPr>
      </w:pPr>
      <w:r w:rsidRPr="00286308">
        <w:rPr>
          <w:rFonts w:ascii="Century Gothic" w:hAnsi="Century Gothic" w:cs="Arial"/>
          <w:sz w:val="24"/>
          <w:szCs w:val="24"/>
        </w:rPr>
        <w:t>Se enfatiza que, e</w:t>
      </w:r>
      <w:r w:rsidR="00EB70DE" w:rsidRPr="00286308">
        <w:rPr>
          <w:rFonts w:ascii="Century Gothic" w:hAnsi="Century Gothic" w:cs="Arial"/>
          <w:sz w:val="24"/>
          <w:szCs w:val="24"/>
        </w:rPr>
        <w:t xml:space="preserve">n este financiamiento, el Gobierno del Estado </w:t>
      </w:r>
      <w:proofErr w:type="spellStart"/>
      <w:r w:rsidR="00EB70DE" w:rsidRPr="00286308">
        <w:rPr>
          <w:rFonts w:ascii="Century Gothic" w:hAnsi="Century Gothic" w:cs="Arial"/>
          <w:sz w:val="24"/>
          <w:szCs w:val="24"/>
        </w:rPr>
        <w:t>esta</w:t>
      </w:r>
      <w:proofErr w:type="spellEnd"/>
      <w:r w:rsidR="00EB70DE" w:rsidRPr="00286308">
        <w:rPr>
          <w:rFonts w:ascii="Century Gothic" w:hAnsi="Century Gothic" w:cs="Arial"/>
          <w:sz w:val="24"/>
          <w:szCs w:val="24"/>
        </w:rPr>
        <w:t xml:space="preserve"> avanzando en un proceso de reestructura con el propio Banobras, </w:t>
      </w:r>
      <w:proofErr w:type="gramStart"/>
      <w:r w:rsidR="00EB70DE" w:rsidRPr="00286308">
        <w:rPr>
          <w:rFonts w:ascii="Century Gothic" w:hAnsi="Century Gothic" w:cs="Arial"/>
          <w:sz w:val="24"/>
          <w:szCs w:val="24"/>
        </w:rPr>
        <w:t>ya que</w:t>
      </w:r>
      <w:proofErr w:type="gramEnd"/>
      <w:r w:rsidR="00EB70DE" w:rsidRPr="00286308">
        <w:rPr>
          <w:rFonts w:ascii="Century Gothic" w:hAnsi="Century Gothic" w:cs="Arial"/>
          <w:sz w:val="24"/>
          <w:szCs w:val="24"/>
        </w:rPr>
        <w:t xml:space="preserve"> por el incremento de las tasas de </w:t>
      </w:r>
      <w:r w:rsidRPr="00286308">
        <w:rPr>
          <w:rFonts w:ascii="Century Gothic" w:hAnsi="Century Gothic" w:cs="Arial"/>
          <w:sz w:val="24"/>
          <w:szCs w:val="24"/>
        </w:rPr>
        <w:t>interés</w:t>
      </w:r>
      <w:r w:rsidR="00EB70DE" w:rsidRPr="00286308">
        <w:rPr>
          <w:rFonts w:ascii="Century Gothic" w:hAnsi="Century Gothic" w:cs="Arial"/>
          <w:sz w:val="24"/>
          <w:szCs w:val="24"/>
        </w:rPr>
        <w:t xml:space="preserve">, la tasa pactada en este financiamiento es </w:t>
      </w:r>
      <w:r w:rsidRPr="00286308">
        <w:rPr>
          <w:rFonts w:ascii="Century Gothic" w:hAnsi="Century Gothic" w:cs="Arial"/>
          <w:sz w:val="24"/>
          <w:szCs w:val="24"/>
        </w:rPr>
        <w:t>bastante</w:t>
      </w:r>
      <w:r w:rsidR="00EB70DE" w:rsidRPr="00286308">
        <w:rPr>
          <w:rFonts w:ascii="Century Gothic" w:hAnsi="Century Gothic" w:cs="Arial"/>
          <w:sz w:val="24"/>
          <w:szCs w:val="24"/>
        </w:rPr>
        <w:t xml:space="preserve"> favorable; pero se busca más adelante que se contraiga la TIIE, </w:t>
      </w:r>
      <w:r w:rsidRPr="00286308">
        <w:rPr>
          <w:rFonts w:ascii="Century Gothic" w:hAnsi="Century Gothic" w:cs="Arial"/>
          <w:sz w:val="24"/>
          <w:szCs w:val="24"/>
        </w:rPr>
        <w:t xml:space="preserve">y </w:t>
      </w:r>
      <w:r w:rsidR="00EB70DE" w:rsidRPr="00286308">
        <w:rPr>
          <w:rFonts w:ascii="Century Gothic" w:hAnsi="Century Gothic" w:cs="Arial"/>
          <w:sz w:val="24"/>
          <w:szCs w:val="24"/>
        </w:rPr>
        <w:t>se haga un refinanciamiento en mejores condiciones.</w:t>
      </w:r>
    </w:p>
    <w:p w14:paraId="758E2A0D" w14:textId="77777777" w:rsidR="0038283F" w:rsidRPr="00286308" w:rsidRDefault="0038283F" w:rsidP="00D368B1">
      <w:pPr>
        <w:spacing w:line="360" w:lineRule="auto"/>
        <w:jc w:val="both"/>
        <w:rPr>
          <w:rFonts w:ascii="Century Gothic" w:hAnsi="Century Gothic" w:cs="Arial"/>
          <w:sz w:val="24"/>
          <w:szCs w:val="24"/>
        </w:rPr>
      </w:pPr>
    </w:p>
    <w:p w14:paraId="547934EC" w14:textId="3A234155" w:rsidR="00D368B1" w:rsidRPr="00286308" w:rsidRDefault="00D368B1" w:rsidP="00D368B1">
      <w:pPr>
        <w:spacing w:line="360" w:lineRule="auto"/>
        <w:jc w:val="both"/>
        <w:rPr>
          <w:rFonts w:ascii="Century Gothic" w:hAnsi="Century Gothic" w:cs="Arial"/>
          <w:sz w:val="24"/>
          <w:szCs w:val="24"/>
        </w:rPr>
      </w:pPr>
      <w:r w:rsidRPr="00286308">
        <w:rPr>
          <w:rFonts w:ascii="Century Gothic" w:hAnsi="Century Gothic" w:cs="Arial"/>
          <w:sz w:val="24"/>
          <w:szCs w:val="24"/>
        </w:rPr>
        <w:t xml:space="preserve">El punto a destacar y comenta que sigue es el relativo a un financiamiento con garantía y fuente de pago de Participaciones Federales por $3,000 millones de pesos. Este financiamiento </w:t>
      </w:r>
      <w:r w:rsidRPr="00286308">
        <w:rPr>
          <w:rFonts w:ascii="Century Gothic" w:hAnsi="Century Gothic" w:cs="Arial"/>
          <w:b/>
          <w:bCs/>
          <w:sz w:val="24"/>
          <w:szCs w:val="24"/>
          <w:u w:val="single"/>
        </w:rPr>
        <w:t>tampoco representa un financiamiento adicional al ya autorizado en el 2022</w:t>
      </w:r>
      <w:r w:rsidRPr="00286308">
        <w:rPr>
          <w:rFonts w:ascii="Century Gothic" w:hAnsi="Century Gothic" w:cs="Arial"/>
          <w:sz w:val="24"/>
          <w:szCs w:val="24"/>
        </w:rPr>
        <w:t xml:space="preserve">, la única diferencia es que la autorización de este monto era parte de la nueva emisión bursátil, </w:t>
      </w:r>
      <w:r w:rsidRPr="00286308">
        <w:rPr>
          <w:rFonts w:ascii="Century Gothic" w:hAnsi="Century Gothic" w:cs="Arial"/>
          <w:sz w:val="24"/>
          <w:szCs w:val="24"/>
        </w:rPr>
        <w:lastRenderedPageBreak/>
        <w:t xml:space="preserve">que en este proyecto se está reduciendo. Es decir, es la misma autorización, pero se está cambiando de “cajones”. </w:t>
      </w:r>
    </w:p>
    <w:p w14:paraId="52F3BA2D" w14:textId="77777777" w:rsidR="00267EFD" w:rsidRPr="00286308" w:rsidRDefault="00267EFD" w:rsidP="00267EFD">
      <w:pPr>
        <w:spacing w:line="360" w:lineRule="auto"/>
        <w:jc w:val="both"/>
        <w:rPr>
          <w:rFonts w:ascii="Century Gothic" w:hAnsi="Century Gothic" w:cs="Arial"/>
          <w:sz w:val="24"/>
          <w:szCs w:val="24"/>
        </w:rPr>
      </w:pPr>
    </w:p>
    <w:p w14:paraId="3D228F26" w14:textId="208CC1CE" w:rsidR="00267EFD" w:rsidRPr="00286308" w:rsidRDefault="00D368B1" w:rsidP="00267EFD">
      <w:pPr>
        <w:spacing w:line="360" w:lineRule="auto"/>
        <w:jc w:val="both"/>
        <w:rPr>
          <w:rFonts w:ascii="Century Gothic" w:hAnsi="Century Gothic" w:cs="Arial"/>
          <w:sz w:val="24"/>
          <w:szCs w:val="24"/>
        </w:rPr>
      </w:pPr>
      <w:r w:rsidRPr="00286308">
        <w:rPr>
          <w:rFonts w:ascii="Century Gothic" w:hAnsi="Century Gothic" w:cs="Arial"/>
          <w:sz w:val="24"/>
          <w:szCs w:val="24"/>
        </w:rPr>
        <w:t>Se dice en la Iniciativa que la razón para que el Gobierno de Estado haga esta propuesta es porque se pueden conseguir mejores condiciones crediticias con un financiamiento bancario con garantía de participaciones que en una emisión bursátil respaldada con peaje carretero, que se estima que el ahorro en la tasa de interés puede ser de un 4% por ciento el primer año, y en año sucesivos pudiera incrementarse ese ahorro.</w:t>
      </w:r>
    </w:p>
    <w:p w14:paraId="6400D111" w14:textId="50512470" w:rsidR="00DA44A1" w:rsidRPr="00286308" w:rsidRDefault="0038283F" w:rsidP="00A25316">
      <w:pPr>
        <w:spacing w:line="360" w:lineRule="auto"/>
        <w:jc w:val="both"/>
        <w:rPr>
          <w:rFonts w:ascii="Century Gothic" w:hAnsi="Century Gothic" w:cs="Arial"/>
          <w:sz w:val="24"/>
          <w:szCs w:val="24"/>
        </w:rPr>
      </w:pPr>
      <w:r w:rsidRPr="00286308">
        <w:rPr>
          <w:rFonts w:ascii="Century Gothic" w:hAnsi="Century Gothic" w:cs="Arial"/>
          <w:sz w:val="24"/>
          <w:szCs w:val="24"/>
        </w:rPr>
        <w:t xml:space="preserve">Importante así mismo observar que, </w:t>
      </w:r>
      <w:r w:rsidR="00A25316" w:rsidRPr="00286308">
        <w:rPr>
          <w:rFonts w:ascii="Century Gothic" w:hAnsi="Century Gothic" w:cs="Arial"/>
          <w:sz w:val="24"/>
          <w:szCs w:val="24"/>
        </w:rPr>
        <w:t xml:space="preserve">son </w:t>
      </w:r>
      <w:r w:rsidRPr="00286308">
        <w:rPr>
          <w:rFonts w:ascii="Century Gothic" w:hAnsi="Century Gothic" w:cs="Arial"/>
          <w:sz w:val="24"/>
          <w:szCs w:val="24"/>
        </w:rPr>
        <w:t>relevantes</w:t>
      </w:r>
      <w:r w:rsidR="00A25316" w:rsidRPr="00286308">
        <w:rPr>
          <w:rFonts w:ascii="Century Gothic" w:hAnsi="Century Gothic" w:cs="Arial"/>
          <w:sz w:val="24"/>
          <w:szCs w:val="24"/>
        </w:rPr>
        <w:t xml:space="preserve"> tres aspectos </w:t>
      </w:r>
      <w:r w:rsidRPr="00286308">
        <w:rPr>
          <w:rFonts w:ascii="Century Gothic" w:hAnsi="Century Gothic" w:cs="Arial"/>
          <w:sz w:val="24"/>
          <w:szCs w:val="24"/>
        </w:rPr>
        <w:t xml:space="preserve">particulares </w:t>
      </w:r>
      <w:r w:rsidR="00300935" w:rsidRPr="00286308">
        <w:rPr>
          <w:rFonts w:ascii="Century Gothic" w:hAnsi="Century Gothic" w:cs="Arial"/>
          <w:sz w:val="24"/>
          <w:szCs w:val="24"/>
        </w:rPr>
        <w:t>de la Iniciativa que nos ocupa, a saber: la contratación de instrumentos derivados, las garantías de pago oportuno,</w:t>
      </w:r>
      <w:r w:rsidR="00D104C0" w:rsidRPr="00286308">
        <w:rPr>
          <w:rFonts w:ascii="Century Gothic" w:hAnsi="Century Gothic" w:cs="Arial"/>
          <w:sz w:val="24"/>
          <w:szCs w:val="24"/>
        </w:rPr>
        <w:t xml:space="preserve"> y los Financiamientos Comisión Estatal de Vivienda, Suelo e Infraestructura</w:t>
      </w:r>
      <w:r w:rsidR="007543C6" w:rsidRPr="00286308">
        <w:rPr>
          <w:rFonts w:ascii="Century Gothic" w:hAnsi="Century Gothic" w:cs="Arial"/>
          <w:sz w:val="24"/>
          <w:szCs w:val="24"/>
        </w:rPr>
        <w:t>;</w:t>
      </w:r>
      <w:r w:rsidR="00D104C0" w:rsidRPr="00286308">
        <w:rPr>
          <w:rFonts w:ascii="Century Gothic" w:hAnsi="Century Gothic" w:cs="Arial"/>
          <w:sz w:val="24"/>
          <w:szCs w:val="24"/>
        </w:rPr>
        <w:t xml:space="preserve"> de los cuales encontramos:</w:t>
      </w:r>
    </w:p>
    <w:p w14:paraId="08788057" w14:textId="77777777" w:rsidR="005C5132" w:rsidRPr="00286308" w:rsidRDefault="005C5132" w:rsidP="00A25316">
      <w:pPr>
        <w:spacing w:line="360" w:lineRule="auto"/>
        <w:jc w:val="both"/>
        <w:rPr>
          <w:rFonts w:ascii="Century Gothic" w:hAnsi="Century Gothic" w:cs="Arial"/>
          <w:sz w:val="24"/>
          <w:szCs w:val="24"/>
        </w:rPr>
      </w:pPr>
    </w:p>
    <w:p w14:paraId="49980C93" w14:textId="77777777" w:rsidR="007543C6" w:rsidRPr="00286308" w:rsidRDefault="007543C6" w:rsidP="00FF6735">
      <w:pPr>
        <w:pStyle w:val="Prrafodelista"/>
        <w:numPr>
          <w:ilvl w:val="0"/>
          <w:numId w:val="24"/>
        </w:numPr>
        <w:spacing w:line="360" w:lineRule="auto"/>
        <w:jc w:val="both"/>
        <w:rPr>
          <w:rFonts w:ascii="Century Gothic" w:hAnsi="Century Gothic" w:cs="Arial"/>
          <w:sz w:val="24"/>
          <w:szCs w:val="24"/>
        </w:rPr>
      </w:pPr>
      <w:r w:rsidRPr="00286308">
        <w:rPr>
          <w:rFonts w:ascii="Century Gothic" w:hAnsi="Century Gothic" w:cs="Arial"/>
          <w:sz w:val="24"/>
          <w:szCs w:val="24"/>
        </w:rPr>
        <w:t>Que ad</w:t>
      </w:r>
      <w:r w:rsidR="00D368B1" w:rsidRPr="00286308">
        <w:rPr>
          <w:rFonts w:ascii="Century Gothic" w:hAnsi="Century Gothic" w:cs="Arial"/>
          <w:sz w:val="24"/>
          <w:szCs w:val="24"/>
        </w:rPr>
        <w:t xml:space="preserve">icionalmente, como parte de esta Iniciativa, al igual que el año pasado se contempla la contratación de instrumentos derivados. La contratación de instrumentos derivados no representa deuda adicional, sino que es un instrumento que protege al estado contra incrementos en la tasa de interés. </w:t>
      </w:r>
      <w:r w:rsidRPr="00286308">
        <w:rPr>
          <w:rFonts w:ascii="Century Gothic" w:hAnsi="Century Gothic" w:cs="Arial"/>
          <w:sz w:val="24"/>
          <w:szCs w:val="24"/>
        </w:rPr>
        <w:t>Se dice que l</w:t>
      </w:r>
      <w:r w:rsidR="00D368B1" w:rsidRPr="00286308">
        <w:rPr>
          <w:rFonts w:ascii="Century Gothic" w:hAnsi="Century Gothic" w:cs="Arial"/>
          <w:sz w:val="24"/>
          <w:szCs w:val="24"/>
        </w:rPr>
        <w:t>a contratación de instrumentos ha sido muy favorable para el Gobierno del Estado</w:t>
      </w:r>
      <w:r w:rsidRPr="00286308">
        <w:rPr>
          <w:rFonts w:ascii="Century Gothic" w:hAnsi="Century Gothic" w:cs="Arial"/>
          <w:sz w:val="24"/>
          <w:szCs w:val="24"/>
        </w:rPr>
        <w:t>,</w:t>
      </w:r>
      <w:r w:rsidR="00D368B1" w:rsidRPr="00286308">
        <w:rPr>
          <w:rFonts w:ascii="Century Gothic" w:hAnsi="Century Gothic" w:cs="Arial"/>
          <w:sz w:val="24"/>
          <w:szCs w:val="24"/>
        </w:rPr>
        <w:t xml:space="preserve"> representando ahorros considerables en el servicio de la deuda.</w:t>
      </w:r>
      <w:r w:rsidR="00D104C0" w:rsidRPr="00286308">
        <w:rPr>
          <w:rFonts w:ascii="Century Gothic" w:hAnsi="Century Gothic" w:cs="Arial"/>
          <w:sz w:val="24"/>
          <w:szCs w:val="24"/>
        </w:rPr>
        <w:t xml:space="preserve"> Se </w:t>
      </w:r>
      <w:proofErr w:type="gramStart"/>
      <w:r w:rsidRPr="00286308">
        <w:rPr>
          <w:rFonts w:ascii="Century Gothic" w:hAnsi="Century Gothic" w:cs="Arial"/>
          <w:sz w:val="24"/>
          <w:szCs w:val="24"/>
        </w:rPr>
        <w:t>indica</w:t>
      </w:r>
      <w:proofErr w:type="gramEnd"/>
      <w:r w:rsidRPr="00286308">
        <w:rPr>
          <w:rFonts w:ascii="Century Gothic" w:hAnsi="Century Gothic" w:cs="Arial"/>
          <w:sz w:val="24"/>
          <w:szCs w:val="24"/>
        </w:rPr>
        <w:t xml:space="preserve"> además,</w:t>
      </w:r>
      <w:r w:rsidR="00D104C0" w:rsidRPr="00286308">
        <w:rPr>
          <w:rFonts w:ascii="Century Gothic" w:hAnsi="Century Gothic" w:cs="Arial"/>
          <w:sz w:val="24"/>
          <w:szCs w:val="24"/>
        </w:rPr>
        <w:t xml:space="preserve"> que se tienen </w:t>
      </w:r>
      <w:r w:rsidR="00D368B1" w:rsidRPr="00286308">
        <w:rPr>
          <w:rFonts w:ascii="Century Gothic" w:hAnsi="Century Gothic" w:cs="Arial"/>
          <w:sz w:val="24"/>
          <w:szCs w:val="24"/>
        </w:rPr>
        <w:t xml:space="preserve">identificados que en el 2023 termina la vigencia de siete instrumentos derivados que cubren a cinco créditos </w:t>
      </w:r>
      <w:r w:rsidR="00D368B1" w:rsidRPr="00286308">
        <w:rPr>
          <w:rFonts w:ascii="Century Gothic" w:hAnsi="Century Gothic" w:cs="Arial"/>
          <w:sz w:val="24"/>
          <w:szCs w:val="24"/>
        </w:rPr>
        <w:lastRenderedPageBreak/>
        <w:t>bancarios</w:t>
      </w:r>
      <w:r w:rsidR="00D104C0" w:rsidRPr="00286308">
        <w:rPr>
          <w:rFonts w:ascii="Century Gothic" w:hAnsi="Century Gothic" w:cs="Arial"/>
          <w:sz w:val="24"/>
          <w:szCs w:val="24"/>
        </w:rPr>
        <w:t>, y que p</w:t>
      </w:r>
      <w:r w:rsidR="00D368B1" w:rsidRPr="00286308">
        <w:rPr>
          <w:rFonts w:ascii="Century Gothic" w:hAnsi="Century Gothic" w:cs="Arial"/>
          <w:sz w:val="24"/>
          <w:szCs w:val="24"/>
        </w:rPr>
        <w:t xml:space="preserve">or obligación contractual </w:t>
      </w:r>
      <w:r w:rsidR="00D104C0" w:rsidRPr="00286308">
        <w:rPr>
          <w:rFonts w:ascii="Century Gothic" w:hAnsi="Century Gothic" w:cs="Arial"/>
          <w:sz w:val="24"/>
          <w:szCs w:val="24"/>
        </w:rPr>
        <w:t>se deben</w:t>
      </w:r>
      <w:r w:rsidR="00D368B1" w:rsidRPr="00286308">
        <w:rPr>
          <w:rFonts w:ascii="Century Gothic" w:hAnsi="Century Gothic" w:cs="Arial"/>
          <w:sz w:val="24"/>
          <w:szCs w:val="24"/>
        </w:rPr>
        <w:t xml:space="preserve"> adquirir nuevos instrumentos derivados, pero </w:t>
      </w:r>
      <w:r w:rsidR="00D104C0" w:rsidRPr="00286308">
        <w:rPr>
          <w:rFonts w:ascii="Century Gothic" w:hAnsi="Century Gothic" w:cs="Arial"/>
          <w:sz w:val="24"/>
          <w:szCs w:val="24"/>
        </w:rPr>
        <w:t xml:space="preserve">que </w:t>
      </w:r>
      <w:r w:rsidR="00D368B1" w:rsidRPr="00286308">
        <w:rPr>
          <w:rFonts w:ascii="Century Gothic" w:hAnsi="Century Gothic" w:cs="Arial"/>
          <w:sz w:val="24"/>
          <w:szCs w:val="24"/>
        </w:rPr>
        <w:t xml:space="preserve">independientemente de lo anterior, </w:t>
      </w:r>
      <w:r w:rsidR="00D104C0" w:rsidRPr="00286308">
        <w:rPr>
          <w:rFonts w:ascii="Century Gothic" w:hAnsi="Century Gothic" w:cs="Arial"/>
          <w:sz w:val="24"/>
          <w:szCs w:val="24"/>
        </w:rPr>
        <w:t>se considera</w:t>
      </w:r>
      <w:r w:rsidR="00D368B1" w:rsidRPr="00286308">
        <w:rPr>
          <w:rFonts w:ascii="Century Gothic" w:hAnsi="Century Gothic" w:cs="Arial"/>
          <w:sz w:val="24"/>
          <w:szCs w:val="24"/>
        </w:rPr>
        <w:t xml:space="preserve"> una operación necesaria y conveniente.</w:t>
      </w:r>
    </w:p>
    <w:p w14:paraId="20FDC9DA" w14:textId="77777777" w:rsidR="007543C6" w:rsidRPr="00286308" w:rsidRDefault="007543C6" w:rsidP="007543C6">
      <w:pPr>
        <w:pStyle w:val="Prrafodelista"/>
        <w:spacing w:line="360" w:lineRule="auto"/>
        <w:jc w:val="both"/>
        <w:rPr>
          <w:rFonts w:ascii="Century Gothic" w:hAnsi="Century Gothic" w:cs="Arial"/>
          <w:sz w:val="24"/>
          <w:szCs w:val="24"/>
        </w:rPr>
      </w:pPr>
    </w:p>
    <w:p w14:paraId="791687F6" w14:textId="77777777" w:rsidR="00BF670B" w:rsidRPr="00286308" w:rsidRDefault="007543C6" w:rsidP="00FF6735">
      <w:pPr>
        <w:pStyle w:val="Prrafodelista"/>
        <w:numPr>
          <w:ilvl w:val="0"/>
          <w:numId w:val="24"/>
        </w:numPr>
        <w:spacing w:line="360" w:lineRule="auto"/>
        <w:jc w:val="both"/>
        <w:rPr>
          <w:rFonts w:ascii="Century Gothic" w:hAnsi="Century Gothic" w:cs="Arial"/>
          <w:sz w:val="24"/>
          <w:szCs w:val="24"/>
        </w:rPr>
      </w:pPr>
      <w:r w:rsidRPr="00286308">
        <w:rPr>
          <w:rFonts w:ascii="Century Gothic" w:hAnsi="Century Gothic" w:cs="Arial"/>
          <w:sz w:val="24"/>
          <w:szCs w:val="24"/>
        </w:rPr>
        <w:t>Que e</w:t>
      </w:r>
      <w:r w:rsidR="00D368B1" w:rsidRPr="00286308">
        <w:rPr>
          <w:rFonts w:ascii="Century Gothic" w:hAnsi="Century Gothic" w:cs="Arial"/>
          <w:sz w:val="24"/>
          <w:szCs w:val="24"/>
        </w:rPr>
        <w:t>l Gobierno del Estado tiene actualmente contratadas diversas Garantías de Pago Oportuno (GPO) que son instrumentos que protegen el cumplimiento de obligación financieras y permiten que los créditos estructurados bajen su riesgo y obtengan una mejor calificación crediticia y por lo tanto disminuya la tasa de interés que se paga.</w:t>
      </w:r>
      <w:r w:rsidRPr="00286308">
        <w:rPr>
          <w:rFonts w:ascii="Century Gothic" w:hAnsi="Century Gothic" w:cs="Arial"/>
          <w:sz w:val="24"/>
          <w:szCs w:val="24"/>
        </w:rPr>
        <w:t xml:space="preserve"> </w:t>
      </w:r>
      <w:r w:rsidR="00D368B1" w:rsidRPr="00286308">
        <w:rPr>
          <w:rFonts w:ascii="Century Gothic" w:hAnsi="Century Gothic" w:cs="Arial"/>
          <w:sz w:val="24"/>
          <w:szCs w:val="24"/>
        </w:rPr>
        <w:t xml:space="preserve">Dado que el Gobierno del Estado está en proceso de reestructura de diversos financiamientos, se tiene previsto el rompimiento de </w:t>
      </w:r>
      <w:proofErr w:type="spellStart"/>
      <w:r w:rsidR="00D368B1" w:rsidRPr="00286308">
        <w:rPr>
          <w:rFonts w:ascii="Century Gothic" w:hAnsi="Century Gothic" w:cs="Arial"/>
          <w:sz w:val="24"/>
          <w:szCs w:val="24"/>
        </w:rPr>
        <w:t>GPOs</w:t>
      </w:r>
      <w:proofErr w:type="spellEnd"/>
      <w:r w:rsidR="00D368B1" w:rsidRPr="00286308">
        <w:rPr>
          <w:rFonts w:ascii="Century Gothic" w:hAnsi="Century Gothic" w:cs="Arial"/>
          <w:sz w:val="24"/>
          <w:szCs w:val="24"/>
        </w:rPr>
        <w:t xml:space="preserve"> para recontratarlas, si </w:t>
      </w:r>
      <w:r w:rsidRPr="00286308">
        <w:rPr>
          <w:rFonts w:ascii="Century Gothic" w:hAnsi="Century Gothic" w:cs="Arial"/>
          <w:sz w:val="24"/>
          <w:szCs w:val="24"/>
        </w:rPr>
        <w:t>este Pleno lo autoriza</w:t>
      </w:r>
      <w:r w:rsidR="00D368B1" w:rsidRPr="00286308">
        <w:rPr>
          <w:rFonts w:ascii="Century Gothic" w:hAnsi="Century Gothic" w:cs="Arial"/>
          <w:sz w:val="24"/>
          <w:szCs w:val="24"/>
        </w:rPr>
        <w:t>, en mejores condiciones y bajando el costo que representan para el Estado.</w:t>
      </w:r>
    </w:p>
    <w:p w14:paraId="706AE558" w14:textId="77777777" w:rsidR="00BF670B" w:rsidRPr="00286308" w:rsidRDefault="00BF670B" w:rsidP="00BF670B">
      <w:pPr>
        <w:pStyle w:val="Prrafodelista"/>
        <w:rPr>
          <w:rFonts w:ascii="Century Gothic" w:hAnsi="Century Gothic" w:cs="Arial"/>
          <w:sz w:val="24"/>
          <w:szCs w:val="24"/>
        </w:rPr>
      </w:pPr>
    </w:p>
    <w:p w14:paraId="5C4FDD33" w14:textId="3BFDDBCF" w:rsidR="00EB70DE" w:rsidRPr="00286308" w:rsidRDefault="00BF670B" w:rsidP="00FF6735">
      <w:pPr>
        <w:pStyle w:val="Prrafodelista"/>
        <w:numPr>
          <w:ilvl w:val="0"/>
          <w:numId w:val="24"/>
        </w:numPr>
        <w:spacing w:line="360" w:lineRule="auto"/>
        <w:jc w:val="both"/>
        <w:rPr>
          <w:rFonts w:ascii="Century Gothic" w:hAnsi="Century Gothic" w:cs="Arial"/>
          <w:sz w:val="24"/>
          <w:szCs w:val="24"/>
        </w:rPr>
      </w:pPr>
      <w:r w:rsidRPr="00286308">
        <w:rPr>
          <w:rFonts w:ascii="Century Gothic" w:hAnsi="Century Gothic" w:cs="Arial"/>
          <w:sz w:val="24"/>
          <w:szCs w:val="24"/>
        </w:rPr>
        <w:t>Que el</w:t>
      </w:r>
      <w:r w:rsidR="00D368B1" w:rsidRPr="00286308">
        <w:rPr>
          <w:rFonts w:ascii="Century Gothic" w:hAnsi="Century Gothic" w:cs="Arial"/>
          <w:sz w:val="24"/>
          <w:szCs w:val="24"/>
        </w:rPr>
        <w:t xml:space="preserve"> Gobierno del Estado es aval de dos créditos de la comisión cuyo saldo agregado es de $200,065,384.98 (Doscientos millones sesenta y cinco mil trescientos ochenta y cuatro pesos 98/100 Moneda Nacional). </w:t>
      </w:r>
      <w:r w:rsidRPr="00286308">
        <w:rPr>
          <w:rFonts w:ascii="Century Gothic" w:hAnsi="Century Gothic" w:cs="Arial"/>
          <w:sz w:val="24"/>
          <w:szCs w:val="24"/>
        </w:rPr>
        <w:t>Que d</w:t>
      </w:r>
      <w:r w:rsidR="00D368B1" w:rsidRPr="00286308">
        <w:rPr>
          <w:rFonts w:ascii="Century Gothic" w:hAnsi="Century Gothic" w:cs="Arial"/>
          <w:sz w:val="24"/>
          <w:szCs w:val="24"/>
        </w:rPr>
        <w:t xml:space="preserve">ichos créditos están contratados a una sobre tasa que es más del triple de la que tiene en promedio el Gobierno del Estado. </w:t>
      </w:r>
      <w:proofErr w:type="gramStart"/>
      <w:r w:rsidRPr="00286308">
        <w:rPr>
          <w:rFonts w:ascii="Century Gothic" w:hAnsi="Century Gothic" w:cs="Arial"/>
          <w:sz w:val="24"/>
          <w:szCs w:val="24"/>
        </w:rPr>
        <w:t>Que</w:t>
      </w:r>
      <w:proofErr w:type="gramEnd"/>
      <w:r w:rsidRPr="00286308">
        <w:rPr>
          <w:rFonts w:ascii="Century Gothic" w:hAnsi="Century Gothic" w:cs="Arial"/>
          <w:sz w:val="24"/>
          <w:szCs w:val="24"/>
        </w:rPr>
        <w:t xml:space="preserve"> a</w:t>
      </w:r>
      <w:r w:rsidR="00D368B1" w:rsidRPr="00286308">
        <w:rPr>
          <w:rFonts w:ascii="Century Gothic" w:hAnsi="Century Gothic" w:cs="Arial"/>
          <w:sz w:val="24"/>
          <w:szCs w:val="24"/>
        </w:rPr>
        <w:t>l refinanciar estos créditos</w:t>
      </w:r>
      <w:r w:rsidRPr="00286308">
        <w:rPr>
          <w:rFonts w:ascii="Century Gothic" w:hAnsi="Century Gothic" w:cs="Arial"/>
          <w:sz w:val="24"/>
          <w:szCs w:val="24"/>
        </w:rPr>
        <w:t>,</w:t>
      </w:r>
      <w:r w:rsidR="00D368B1" w:rsidRPr="00286308">
        <w:rPr>
          <w:rFonts w:ascii="Century Gothic" w:hAnsi="Century Gothic" w:cs="Arial"/>
          <w:sz w:val="24"/>
          <w:szCs w:val="24"/>
        </w:rPr>
        <w:t xml:space="preserve"> se puede incrementar el plazo de amortización y disminuir la tasa de interés, lo que permitirá bajar el servicio de la deuda, lo que redundará en una menor presión sobre el flujo de recursos de la Comisión.</w:t>
      </w:r>
      <w:r w:rsidRPr="00286308">
        <w:rPr>
          <w:rFonts w:ascii="Century Gothic" w:hAnsi="Century Gothic" w:cs="Arial"/>
          <w:sz w:val="24"/>
          <w:szCs w:val="24"/>
        </w:rPr>
        <w:t xml:space="preserve"> </w:t>
      </w:r>
      <w:proofErr w:type="gramStart"/>
      <w:r w:rsidRPr="00286308">
        <w:rPr>
          <w:rFonts w:ascii="Century Gothic" w:hAnsi="Century Gothic" w:cs="Arial"/>
          <w:sz w:val="24"/>
          <w:szCs w:val="24"/>
        </w:rPr>
        <w:t>Finalmente</w:t>
      </w:r>
      <w:proofErr w:type="gramEnd"/>
      <w:r w:rsidRPr="00286308">
        <w:rPr>
          <w:rFonts w:ascii="Century Gothic" w:hAnsi="Century Gothic" w:cs="Arial"/>
          <w:sz w:val="24"/>
          <w:szCs w:val="24"/>
        </w:rPr>
        <w:t xml:space="preserve"> sobre este punto, se señala que e</w:t>
      </w:r>
      <w:r w:rsidR="00EB70DE" w:rsidRPr="00286308">
        <w:rPr>
          <w:rFonts w:ascii="Century Gothic" w:hAnsi="Century Gothic" w:cs="Arial"/>
          <w:sz w:val="24"/>
          <w:szCs w:val="24"/>
        </w:rPr>
        <w:t xml:space="preserve">ste financiamiento </w:t>
      </w:r>
      <w:r w:rsidR="00234240" w:rsidRPr="00286308">
        <w:rPr>
          <w:rFonts w:ascii="Century Gothic" w:hAnsi="Century Gothic" w:cs="Arial"/>
          <w:sz w:val="24"/>
          <w:szCs w:val="24"/>
        </w:rPr>
        <w:t>también</w:t>
      </w:r>
      <w:r w:rsidR="00EB70DE" w:rsidRPr="00286308">
        <w:rPr>
          <w:rFonts w:ascii="Century Gothic" w:hAnsi="Century Gothic" w:cs="Arial"/>
          <w:sz w:val="24"/>
          <w:szCs w:val="24"/>
        </w:rPr>
        <w:t xml:space="preserve"> fue </w:t>
      </w:r>
      <w:r w:rsidR="00234240" w:rsidRPr="00286308">
        <w:rPr>
          <w:rFonts w:ascii="Century Gothic" w:hAnsi="Century Gothic" w:cs="Arial"/>
          <w:sz w:val="24"/>
          <w:szCs w:val="24"/>
        </w:rPr>
        <w:t xml:space="preserve">ya </w:t>
      </w:r>
      <w:r w:rsidR="00EB70DE" w:rsidRPr="00286308">
        <w:rPr>
          <w:rFonts w:ascii="Century Gothic" w:hAnsi="Century Gothic" w:cs="Arial"/>
          <w:sz w:val="24"/>
          <w:szCs w:val="24"/>
        </w:rPr>
        <w:t>autorizado por esa soberanía</w:t>
      </w:r>
      <w:r w:rsidR="00234240" w:rsidRPr="00286308">
        <w:rPr>
          <w:rFonts w:ascii="Century Gothic" w:hAnsi="Century Gothic" w:cs="Arial"/>
          <w:sz w:val="24"/>
          <w:szCs w:val="24"/>
        </w:rPr>
        <w:t xml:space="preserve">, </w:t>
      </w:r>
      <w:r w:rsidR="00EB70DE" w:rsidRPr="00286308">
        <w:rPr>
          <w:rFonts w:ascii="Century Gothic" w:hAnsi="Century Gothic" w:cs="Arial"/>
          <w:sz w:val="24"/>
          <w:szCs w:val="24"/>
        </w:rPr>
        <w:t xml:space="preserve">por lo que </w:t>
      </w:r>
      <w:r w:rsidR="00EB70DE" w:rsidRPr="00286308">
        <w:rPr>
          <w:rFonts w:ascii="Century Gothic" w:hAnsi="Century Gothic" w:cs="Arial"/>
          <w:b/>
          <w:bCs/>
          <w:sz w:val="24"/>
          <w:szCs w:val="24"/>
          <w:u w:val="single"/>
        </w:rPr>
        <w:t xml:space="preserve">tampoco </w:t>
      </w:r>
      <w:proofErr w:type="spellStart"/>
      <w:r w:rsidR="00EB70DE" w:rsidRPr="00286308">
        <w:rPr>
          <w:rFonts w:ascii="Century Gothic" w:hAnsi="Century Gothic" w:cs="Arial"/>
          <w:b/>
          <w:bCs/>
          <w:sz w:val="24"/>
          <w:szCs w:val="24"/>
          <w:u w:val="single"/>
        </w:rPr>
        <w:t>represanta</w:t>
      </w:r>
      <w:proofErr w:type="spellEnd"/>
      <w:r w:rsidR="00EB70DE" w:rsidRPr="00286308">
        <w:rPr>
          <w:rFonts w:ascii="Century Gothic" w:hAnsi="Century Gothic" w:cs="Arial"/>
          <w:b/>
          <w:bCs/>
          <w:sz w:val="24"/>
          <w:szCs w:val="24"/>
          <w:u w:val="single"/>
        </w:rPr>
        <w:t xml:space="preserve"> endeudamiento adicional</w:t>
      </w:r>
      <w:r w:rsidR="00EB70DE" w:rsidRPr="00286308">
        <w:rPr>
          <w:rFonts w:ascii="Century Gothic" w:hAnsi="Century Gothic" w:cs="Arial"/>
          <w:sz w:val="24"/>
          <w:szCs w:val="24"/>
        </w:rPr>
        <w:t>.</w:t>
      </w:r>
    </w:p>
    <w:p w14:paraId="03A80BD4" w14:textId="77777777" w:rsidR="009F4024" w:rsidRPr="00286308" w:rsidRDefault="009F4024" w:rsidP="0024104F">
      <w:pPr>
        <w:spacing w:line="360" w:lineRule="auto"/>
        <w:jc w:val="both"/>
        <w:rPr>
          <w:rFonts w:ascii="Century Gothic" w:hAnsi="Century Gothic" w:cs="Arial"/>
          <w:sz w:val="24"/>
          <w:szCs w:val="24"/>
        </w:rPr>
      </w:pPr>
    </w:p>
    <w:p w14:paraId="0D8E613E" w14:textId="2C87F0DA" w:rsidR="00613B1C" w:rsidRPr="00286308" w:rsidRDefault="009F4024" w:rsidP="0024104F">
      <w:pPr>
        <w:spacing w:line="360" w:lineRule="auto"/>
        <w:jc w:val="both"/>
        <w:rPr>
          <w:rFonts w:ascii="Century Gothic" w:hAnsi="Century Gothic" w:cs="Arial"/>
          <w:sz w:val="24"/>
          <w:szCs w:val="24"/>
        </w:rPr>
      </w:pPr>
      <w:r w:rsidRPr="00286308">
        <w:rPr>
          <w:rFonts w:ascii="Century Gothic" w:hAnsi="Century Gothic" w:cs="Arial"/>
          <w:sz w:val="24"/>
          <w:szCs w:val="24"/>
        </w:rPr>
        <w:t xml:space="preserve">A continuación, haremos referencia quienes hoy dictaminamos, al tema relativo a la vigencia que la Iniciadora señala como necesaria para ampliar, lo cual en principio pareciera ser la misma, tanto la relativa al Decreto autorizado en el año 2021, como </w:t>
      </w:r>
      <w:r w:rsidR="006F5D59" w:rsidRPr="00286308">
        <w:rPr>
          <w:rFonts w:ascii="Century Gothic" w:hAnsi="Century Gothic" w:cs="Arial"/>
          <w:sz w:val="24"/>
          <w:szCs w:val="24"/>
        </w:rPr>
        <w:t>la</w:t>
      </w:r>
      <w:r w:rsidRPr="00286308">
        <w:rPr>
          <w:rFonts w:ascii="Century Gothic" w:hAnsi="Century Gothic" w:cs="Arial"/>
          <w:sz w:val="24"/>
          <w:szCs w:val="24"/>
        </w:rPr>
        <w:t xml:space="preserve"> que se propone para ser autorizad</w:t>
      </w:r>
      <w:r w:rsidR="006F5D59" w:rsidRPr="00286308">
        <w:rPr>
          <w:rFonts w:ascii="Century Gothic" w:hAnsi="Century Gothic" w:cs="Arial"/>
          <w:sz w:val="24"/>
          <w:szCs w:val="24"/>
        </w:rPr>
        <w:t>a</w:t>
      </w:r>
      <w:r w:rsidRPr="00286308">
        <w:rPr>
          <w:rFonts w:ascii="Century Gothic" w:hAnsi="Century Gothic" w:cs="Arial"/>
          <w:sz w:val="24"/>
          <w:szCs w:val="24"/>
        </w:rPr>
        <w:t xml:space="preserve"> </w:t>
      </w:r>
      <w:r w:rsidR="00AA33A9" w:rsidRPr="00286308">
        <w:rPr>
          <w:rFonts w:ascii="Century Gothic" w:hAnsi="Century Gothic" w:cs="Arial"/>
          <w:sz w:val="24"/>
          <w:szCs w:val="24"/>
        </w:rPr>
        <w:t>en este</w:t>
      </w:r>
      <w:r w:rsidRPr="00286308">
        <w:rPr>
          <w:rFonts w:ascii="Century Gothic" w:hAnsi="Century Gothic" w:cs="Arial"/>
          <w:sz w:val="24"/>
          <w:szCs w:val="24"/>
        </w:rPr>
        <w:t xml:space="preserve"> </w:t>
      </w:r>
      <w:r w:rsidR="006F5D59" w:rsidRPr="00286308">
        <w:rPr>
          <w:rFonts w:ascii="Century Gothic" w:hAnsi="Century Gothic" w:cs="Arial"/>
          <w:sz w:val="24"/>
          <w:szCs w:val="24"/>
        </w:rPr>
        <w:t xml:space="preserve">diciembre de </w:t>
      </w:r>
      <w:r w:rsidRPr="00286308">
        <w:rPr>
          <w:rFonts w:ascii="Century Gothic" w:hAnsi="Century Gothic" w:cs="Arial"/>
          <w:sz w:val="24"/>
          <w:szCs w:val="24"/>
        </w:rPr>
        <w:t xml:space="preserve">2022, </w:t>
      </w:r>
      <w:r w:rsidR="00AA33A9" w:rsidRPr="00286308">
        <w:rPr>
          <w:rFonts w:ascii="Century Gothic" w:hAnsi="Century Gothic" w:cs="Arial"/>
          <w:sz w:val="24"/>
          <w:szCs w:val="24"/>
        </w:rPr>
        <w:t>para lo cual previamente mostramos el siguiente cuadro comparativo</w:t>
      </w:r>
      <w:r w:rsidRPr="00286308">
        <w:rPr>
          <w:rFonts w:ascii="Century Gothic" w:hAnsi="Century Gothic" w:cs="Arial"/>
          <w:sz w:val="24"/>
          <w:szCs w:val="24"/>
        </w:rPr>
        <w:t>:</w:t>
      </w:r>
    </w:p>
    <w:tbl>
      <w:tblPr>
        <w:tblStyle w:val="Tablaconcuadrcula"/>
        <w:tblW w:w="0" w:type="auto"/>
        <w:tblLook w:val="04A0" w:firstRow="1" w:lastRow="0" w:firstColumn="1" w:lastColumn="0" w:noHBand="0" w:noVBand="1"/>
      </w:tblPr>
      <w:tblGrid>
        <w:gridCol w:w="4248"/>
        <w:gridCol w:w="283"/>
        <w:gridCol w:w="4297"/>
      </w:tblGrid>
      <w:tr w:rsidR="00286308" w:rsidRPr="00286308" w14:paraId="4F09AEE5" w14:textId="77777777" w:rsidTr="009F4024">
        <w:tc>
          <w:tcPr>
            <w:tcW w:w="4248" w:type="dxa"/>
          </w:tcPr>
          <w:p w14:paraId="03C94096" w14:textId="77777777" w:rsidR="005F48D6" w:rsidRPr="00286308" w:rsidRDefault="005F48D6" w:rsidP="0024104F">
            <w:pPr>
              <w:spacing w:line="360" w:lineRule="auto"/>
              <w:jc w:val="both"/>
              <w:rPr>
                <w:rFonts w:ascii="Century Gothic" w:eastAsia="Arial" w:hAnsi="Century Gothic" w:cs="Arial"/>
                <w:b/>
                <w:bCs/>
                <w:sz w:val="24"/>
                <w:szCs w:val="24"/>
              </w:rPr>
            </w:pPr>
          </w:p>
          <w:p w14:paraId="575DA1DB" w14:textId="6702BEC1" w:rsidR="009F4024" w:rsidRPr="00286308" w:rsidRDefault="005F48D6" w:rsidP="005F48D6">
            <w:pPr>
              <w:spacing w:line="360" w:lineRule="auto"/>
              <w:jc w:val="center"/>
              <w:rPr>
                <w:rFonts w:ascii="Century Gothic" w:hAnsi="Century Gothic" w:cs="Arial"/>
                <w:b/>
                <w:bCs/>
                <w:sz w:val="24"/>
                <w:szCs w:val="24"/>
              </w:rPr>
            </w:pPr>
            <w:r w:rsidRPr="00286308">
              <w:rPr>
                <w:rFonts w:ascii="Century Gothic" w:eastAsia="Arial" w:hAnsi="Century Gothic" w:cs="Arial"/>
                <w:b/>
                <w:bCs/>
                <w:sz w:val="24"/>
                <w:szCs w:val="24"/>
              </w:rPr>
              <w:t xml:space="preserve">DECRETO DE FORTALECIMIENTO FINANCIERO </w:t>
            </w:r>
            <w:r w:rsidRPr="00286308">
              <w:rPr>
                <w:rFonts w:ascii="Century Gothic" w:hAnsi="Century Gothic"/>
                <w:b/>
                <w:bCs/>
                <w:sz w:val="24"/>
                <w:szCs w:val="24"/>
                <w:lang w:eastAsia="es-ES"/>
              </w:rPr>
              <w:t>LXVII/AUOBF/0100/</w:t>
            </w:r>
            <w:proofErr w:type="gramStart"/>
            <w:r w:rsidRPr="00286308">
              <w:rPr>
                <w:rFonts w:ascii="Century Gothic" w:hAnsi="Century Gothic"/>
                <w:b/>
                <w:bCs/>
                <w:sz w:val="24"/>
                <w:szCs w:val="24"/>
                <w:lang w:eastAsia="es-ES"/>
              </w:rPr>
              <w:t>2021  I</w:t>
            </w:r>
            <w:proofErr w:type="gramEnd"/>
            <w:r w:rsidRPr="00286308">
              <w:rPr>
                <w:rFonts w:ascii="Century Gothic" w:hAnsi="Century Gothic"/>
                <w:b/>
                <w:bCs/>
                <w:sz w:val="24"/>
                <w:szCs w:val="24"/>
                <w:lang w:eastAsia="es-ES"/>
              </w:rPr>
              <w:t xml:space="preserve"> P.O.</w:t>
            </w:r>
            <w:r w:rsidRPr="00286308">
              <w:rPr>
                <w:rStyle w:val="Refdenotaalpie"/>
                <w:rFonts w:ascii="Century Gothic" w:hAnsi="Century Gothic"/>
                <w:b/>
                <w:bCs/>
                <w:sz w:val="24"/>
                <w:szCs w:val="24"/>
                <w:lang w:eastAsia="es-ES"/>
              </w:rPr>
              <w:footnoteReference w:id="2"/>
            </w:r>
            <w:r w:rsidRPr="00286308">
              <w:rPr>
                <w:rFonts w:ascii="Century Gothic" w:hAnsi="Century Gothic"/>
                <w:b/>
                <w:bCs/>
                <w:sz w:val="24"/>
                <w:szCs w:val="24"/>
                <w:lang w:eastAsia="es-ES"/>
              </w:rPr>
              <w:t>, APROBADO EL DÍA 13 DE DICIEMBRE DEL 2021, Y PUBLICADO EN EL PERIÓDICO OFICIAL DEL ESTADO EL DÍA 05 DE ENERO DEL PRESENTE AÑO 2022:</w:t>
            </w:r>
          </w:p>
        </w:tc>
        <w:tc>
          <w:tcPr>
            <w:tcW w:w="283" w:type="dxa"/>
          </w:tcPr>
          <w:p w14:paraId="3E1725B3" w14:textId="77777777" w:rsidR="009F4024" w:rsidRPr="00286308" w:rsidRDefault="009F4024" w:rsidP="0024104F">
            <w:pPr>
              <w:spacing w:line="360" w:lineRule="auto"/>
              <w:jc w:val="both"/>
              <w:rPr>
                <w:rFonts w:ascii="Century Gothic" w:hAnsi="Century Gothic" w:cs="Arial"/>
                <w:sz w:val="24"/>
                <w:szCs w:val="24"/>
              </w:rPr>
            </w:pPr>
          </w:p>
        </w:tc>
        <w:tc>
          <w:tcPr>
            <w:tcW w:w="4297" w:type="dxa"/>
          </w:tcPr>
          <w:p w14:paraId="23025D6D" w14:textId="77777777" w:rsidR="009F4024" w:rsidRPr="00286308" w:rsidRDefault="009F4024" w:rsidP="0024104F">
            <w:pPr>
              <w:spacing w:line="360" w:lineRule="auto"/>
              <w:jc w:val="both"/>
              <w:rPr>
                <w:rFonts w:ascii="Century Gothic" w:hAnsi="Century Gothic" w:cs="Arial"/>
                <w:sz w:val="24"/>
                <w:szCs w:val="24"/>
              </w:rPr>
            </w:pPr>
          </w:p>
          <w:p w14:paraId="190E2763" w14:textId="2C83F822" w:rsidR="005F48D6" w:rsidRPr="00286308" w:rsidRDefault="005F48D6" w:rsidP="005F48D6">
            <w:pPr>
              <w:spacing w:line="360" w:lineRule="auto"/>
              <w:jc w:val="center"/>
              <w:rPr>
                <w:rFonts w:ascii="Century Gothic" w:hAnsi="Century Gothic" w:cs="Arial"/>
                <w:b/>
                <w:bCs/>
                <w:sz w:val="24"/>
                <w:szCs w:val="24"/>
              </w:rPr>
            </w:pPr>
            <w:r w:rsidRPr="00286308">
              <w:rPr>
                <w:rFonts w:ascii="Century Gothic" w:hAnsi="Century Gothic" w:cs="Arial"/>
                <w:b/>
                <w:bCs/>
                <w:sz w:val="24"/>
                <w:szCs w:val="24"/>
              </w:rPr>
              <w:t>INICIATIVA 1506 PRESENTADA POR LA C. GOBERNADORA DEL ESTADO, CUYA RESOLUCIÓN SE PROPOPE EN EL PRESENTE DICTAMEN:</w:t>
            </w:r>
          </w:p>
        </w:tc>
      </w:tr>
      <w:tr w:rsidR="00286308" w:rsidRPr="00286308" w14:paraId="2ECE7539" w14:textId="77777777" w:rsidTr="009F4024">
        <w:tc>
          <w:tcPr>
            <w:tcW w:w="4248" w:type="dxa"/>
          </w:tcPr>
          <w:p w14:paraId="62E89EB6" w14:textId="77777777" w:rsidR="008066A7" w:rsidRPr="00286308" w:rsidRDefault="008066A7" w:rsidP="008066A7">
            <w:pPr>
              <w:spacing w:line="360" w:lineRule="auto"/>
              <w:jc w:val="both"/>
              <w:rPr>
                <w:rFonts w:ascii="Century Gothic" w:hAnsi="Century Gothic" w:cs="Arial"/>
                <w:b/>
                <w:bCs/>
                <w:sz w:val="24"/>
                <w:szCs w:val="24"/>
              </w:rPr>
            </w:pPr>
          </w:p>
          <w:p w14:paraId="50CB95C8" w14:textId="4AD51CE5" w:rsidR="005F48D6" w:rsidRPr="00286308" w:rsidRDefault="008066A7" w:rsidP="008066A7">
            <w:pPr>
              <w:spacing w:line="360" w:lineRule="auto"/>
              <w:jc w:val="both"/>
              <w:rPr>
                <w:rFonts w:ascii="Century Gothic" w:hAnsi="Century Gothic" w:cs="Arial"/>
                <w:sz w:val="24"/>
                <w:szCs w:val="24"/>
              </w:rPr>
            </w:pPr>
            <w:r w:rsidRPr="00286308">
              <w:rPr>
                <w:rFonts w:ascii="Century Gothic" w:hAnsi="Century Gothic" w:cs="Arial"/>
                <w:b/>
                <w:bCs/>
                <w:sz w:val="24"/>
                <w:szCs w:val="24"/>
              </w:rPr>
              <w:t xml:space="preserve">Artículo Decimocuarto. </w:t>
            </w:r>
            <w:r w:rsidRPr="00286308">
              <w:rPr>
                <w:rFonts w:ascii="Century Gothic" w:hAnsi="Century Gothic" w:cs="Arial"/>
                <w:sz w:val="24"/>
                <w:szCs w:val="24"/>
                <w:u w:val="single"/>
              </w:rPr>
              <w:t>Vigencia de la autorización</w:t>
            </w:r>
            <w:r w:rsidRPr="00286308">
              <w:rPr>
                <w:rFonts w:ascii="Century Gothic" w:hAnsi="Century Gothic" w:cs="Arial"/>
                <w:sz w:val="24"/>
                <w:szCs w:val="24"/>
              </w:rPr>
              <w:t xml:space="preserve">. Conforme al artículo 24, fracción V de la Ley de Disciplina Financiera de las </w:t>
            </w:r>
            <w:r w:rsidRPr="00286308">
              <w:rPr>
                <w:rFonts w:ascii="Century Gothic" w:hAnsi="Century Gothic" w:cs="Arial"/>
                <w:sz w:val="24"/>
                <w:szCs w:val="24"/>
              </w:rPr>
              <w:lastRenderedPageBreak/>
              <w:t>Entidades Federativas y los Municipios, las autorizaciones establecidas en el presente Decreto podrán ejercerse durante los ejercicios fiscales 2022 y 2023.</w:t>
            </w:r>
          </w:p>
        </w:tc>
        <w:tc>
          <w:tcPr>
            <w:tcW w:w="283" w:type="dxa"/>
          </w:tcPr>
          <w:p w14:paraId="2D3E04E1" w14:textId="77777777" w:rsidR="005F48D6" w:rsidRPr="00286308" w:rsidRDefault="005F48D6" w:rsidP="0024104F">
            <w:pPr>
              <w:spacing w:line="360" w:lineRule="auto"/>
              <w:jc w:val="both"/>
              <w:rPr>
                <w:rFonts w:ascii="Century Gothic" w:hAnsi="Century Gothic" w:cs="Arial"/>
                <w:sz w:val="24"/>
                <w:szCs w:val="24"/>
              </w:rPr>
            </w:pPr>
          </w:p>
        </w:tc>
        <w:tc>
          <w:tcPr>
            <w:tcW w:w="4297" w:type="dxa"/>
          </w:tcPr>
          <w:p w14:paraId="36CB011B" w14:textId="77777777" w:rsidR="005F48D6" w:rsidRPr="00286308" w:rsidRDefault="005F48D6" w:rsidP="0024104F">
            <w:pPr>
              <w:spacing w:line="360" w:lineRule="auto"/>
              <w:jc w:val="both"/>
              <w:rPr>
                <w:rFonts w:ascii="Century Gothic" w:hAnsi="Century Gothic" w:cs="Arial"/>
                <w:sz w:val="24"/>
                <w:szCs w:val="24"/>
              </w:rPr>
            </w:pPr>
          </w:p>
          <w:p w14:paraId="3F4E02CE" w14:textId="6CC24918" w:rsidR="008066A7" w:rsidRPr="00286308" w:rsidRDefault="008066A7" w:rsidP="008066A7">
            <w:pPr>
              <w:spacing w:line="360" w:lineRule="auto"/>
              <w:jc w:val="both"/>
              <w:rPr>
                <w:rFonts w:ascii="Century Gothic" w:hAnsi="Century Gothic" w:cs="Arial"/>
                <w:sz w:val="24"/>
                <w:szCs w:val="24"/>
              </w:rPr>
            </w:pPr>
            <w:r w:rsidRPr="00286308">
              <w:rPr>
                <w:rFonts w:ascii="Century Gothic" w:hAnsi="Century Gothic" w:cs="Arial"/>
                <w:b/>
                <w:sz w:val="24"/>
                <w:szCs w:val="24"/>
                <w:lang w:val="es-ES"/>
              </w:rPr>
              <w:t>Artículo Décimo Quinto.</w:t>
            </w:r>
            <w:r w:rsidRPr="00286308">
              <w:rPr>
                <w:rFonts w:ascii="Century Gothic" w:hAnsi="Century Gothic" w:cs="Arial"/>
                <w:bCs/>
                <w:sz w:val="24"/>
                <w:szCs w:val="24"/>
                <w:lang w:val="es-ES"/>
              </w:rPr>
              <w:t xml:space="preserve"> </w:t>
            </w:r>
            <w:r w:rsidRPr="00286308">
              <w:rPr>
                <w:rFonts w:ascii="Century Gothic" w:hAnsi="Century Gothic" w:cs="Arial"/>
                <w:sz w:val="24"/>
                <w:szCs w:val="24"/>
                <w:u w:val="single"/>
                <w:lang w:val="es-ES"/>
              </w:rPr>
              <w:t>Vigencia de la autorización</w:t>
            </w:r>
            <w:r w:rsidRPr="00286308">
              <w:rPr>
                <w:rFonts w:ascii="Century Gothic" w:hAnsi="Century Gothic" w:cs="Arial"/>
                <w:sz w:val="24"/>
                <w:szCs w:val="24"/>
                <w:lang w:val="es-ES"/>
              </w:rPr>
              <w:t xml:space="preserve">. Conforme al artículo 24, fracción V. de la Ley de Disciplina Financiera, las </w:t>
            </w:r>
            <w:r w:rsidRPr="00286308">
              <w:rPr>
                <w:rFonts w:ascii="Century Gothic" w:hAnsi="Century Gothic" w:cs="Arial"/>
                <w:sz w:val="24"/>
                <w:szCs w:val="24"/>
                <w:lang w:val="es-ES"/>
              </w:rPr>
              <w:lastRenderedPageBreak/>
              <w:t>autorizaciones establecidas en el presente Decreto podrán ejercerse durante los ejercicios fiscales 2022 y 2023.</w:t>
            </w:r>
          </w:p>
        </w:tc>
      </w:tr>
    </w:tbl>
    <w:p w14:paraId="5891F614" w14:textId="77777777" w:rsidR="009F7C2C" w:rsidRPr="00286308" w:rsidRDefault="009F7C2C" w:rsidP="0024104F">
      <w:pPr>
        <w:spacing w:line="360" w:lineRule="auto"/>
        <w:jc w:val="both"/>
        <w:rPr>
          <w:rFonts w:ascii="Century Gothic" w:hAnsi="Century Gothic" w:cs="Arial"/>
          <w:sz w:val="24"/>
          <w:szCs w:val="24"/>
        </w:rPr>
      </w:pPr>
    </w:p>
    <w:p w14:paraId="3BCA8290" w14:textId="0260D9D8" w:rsidR="009F4024" w:rsidRPr="00286308" w:rsidRDefault="008066A7" w:rsidP="0024104F">
      <w:pPr>
        <w:spacing w:line="360" w:lineRule="auto"/>
        <w:jc w:val="both"/>
        <w:rPr>
          <w:rFonts w:ascii="Century Gothic" w:hAnsi="Century Gothic" w:cs="Arial"/>
          <w:sz w:val="24"/>
          <w:szCs w:val="24"/>
        </w:rPr>
      </w:pPr>
      <w:r w:rsidRPr="00286308">
        <w:rPr>
          <w:rFonts w:ascii="Century Gothic" w:hAnsi="Century Gothic" w:cs="Arial"/>
          <w:sz w:val="24"/>
          <w:szCs w:val="24"/>
        </w:rPr>
        <w:t xml:space="preserve">Como se puede apreciar, aparentemente, no existe cambio alguno en cuanto a la vigencia, a saber, ejercicios fiscales 2022 y 2023. </w:t>
      </w:r>
      <w:r w:rsidRPr="00286308">
        <w:rPr>
          <w:rFonts w:ascii="Century Gothic" w:hAnsi="Century Gothic" w:cs="Arial"/>
          <w:b/>
          <w:bCs/>
          <w:sz w:val="24"/>
          <w:szCs w:val="24"/>
        </w:rPr>
        <w:t>No obstante:</w:t>
      </w:r>
    </w:p>
    <w:p w14:paraId="5BB5C7F6" w14:textId="77777777" w:rsidR="004D5E18" w:rsidRPr="00286308" w:rsidRDefault="004D5E18" w:rsidP="008066A7">
      <w:pPr>
        <w:spacing w:line="360" w:lineRule="auto"/>
        <w:jc w:val="both"/>
        <w:rPr>
          <w:rFonts w:ascii="Century Gothic" w:hAnsi="Century Gothic" w:cs="Arial"/>
          <w:sz w:val="24"/>
          <w:szCs w:val="24"/>
        </w:rPr>
      </w:pPr>
    </w:p>
    <w:p w14:paraId="4377E049" w14:textId="068DB369" w:rsidR="008066A7" w:rsidRPr="00286308" w:rsidRDefault="008066A7" w:rsidP="008066A7">
      <w:pPr>
        <w:spacing w:line="360" w:lineRule="auto"/>
        <w:jc w:val="both"/>
        <w:rPr>
          <w:rFonts w:ascii="Century Gothic" w:hAnsi="Century Gothic" w:cs="Arial"/>
          <w:sz w:val="24"/>
          <w:szCs w:val="24"/>
        </w:rPr>
      </w:pPr>
      <w:r w:rsidRPr="00286308">
        <w:rPr>
          <w:rFonts w:ascii="Century Gothic" w:hAnsi="Century Gothic" w:cs="Arial"/>
          <w:sz w:val="24"/>
          <w:szCs w:val="24"/>
        </w:rPr>
        <w:t xml:space="preserve">Se sabe que el criterio para el registro de los créditos ante las instancias competentes, tiene una base directa, en </w:t>
      </w:r>
      <w:r w:rsidR="0090463B" w:rsidRPr="00286308">
        <w:rPr>
          <w:rFonts w:ascii="Century Gothic" w:hAnsi="Century Gothic" w:cs="Arial"/>
          <w:sz w:val="24"/>
          <w:szCs w:val="24"/>
        </w:rPr>
        <w:t>lo</w:t>
      </w:r>
      <w:r w:rsidRPr="00286308">
        <w:rPr>
          <w:rFonts w:ascii="Century Gothic" w:hAnsi="Century Gothic" w:cs="Arial"/>
          <w:sz w:val="24"/>
          <w:szCs w:val="24"/>
        </w:rPr>
        <w:t xml:space="preserve"> que nos ocupa en este momento, con lo previsto en la fracción V del numeral 24 de la L</w:t>
      </w:r>
      <w:r w:rsidRPr="00286308">
        <w:rPr>
          <w:rFonts w:ascii="Century Gothic" w:hAnsi="Century Gothic" w:cs="Tahoma"/>
          <w:sz w:val="24"/>
          <w:szCs w:val="24"/>
        </w:rPr>
        <w:t>ey de Disciplina Financiera de las Entidades Federativas y los Municipios</w:t>
      </w:r>
      <w:r w:rsidR="004633E4" w:rsidRPr="00286308">
        <w:rPr>
          <w:rFonts w:ascii="Century Gothic" w:hAnsi="Century Gothic" w:cs="Tahoma"/>
          <w:sz w:val="24"/>
          <w:szCs w:val="24"/>
        </w:rPr>
        <w:t xml:space="preserve">, exactamente </w:t>
      </w:r>
      <w:r w:rsidR="004633E4" w:rsidRPr="00286308">
        <w:rPr>
          <w:rFonts w:ascii="Century Gothic" w:hAnsi="Century Gothic" w:cs="Tahoma"/>
          <w:b/>
          <w:bCs/>
          <w:sz w:val="24"/>
          <w:szCs w:val="24"/>
          <w:u w:val="single"/>
        </w:rPr>
        <w:t>en la</w:t>
      </w:r>
      <w:r w:rsidR="0090463B" w:rsidRPr="00286308">
        <w:rPr>
          <w:rFonts w:ascii="Century Gothic" w:hAnsi="Century Gothic" w:cs="Tahoma"/>
          <w:b/>
          <w:bCs/>
          <w:sz w:val="24"/>
          <w:szCs w:val="24"/>
          <w:u w:val="single"/>
        </w:rPr>
        <w:t xml:space="preserve"> </w:t>
      </w:r>
      <w:r w:rsidR="004633E4" w:rsidRPr="00286308">
        <w:rPr>
          <w:rFonts w:ascii="Century Gothic" w:hAnsi="Century Gothic" w:cs="Tahoma"/>
          <w:b/>
          <w:bCs/>
          <w:sz w:val="24"/>
          <w:szCs w:val="24"/>
          <w:u w:val="single"/>
        </w:rPr>
        <w:t>hipótesis primaria de dicha fracción que marcaremos con negrilla</w:t>
      </w:r>
      <w:r w:rsidR="00792E68" w:rsidRPr="00286308">
        <w:rPr>
          <w:rFonts w:ascii="Century Gothic" w:hAnsi="Century Gothic" w:cs="Tahoma"/>
          <w:b/>
          <w:bCs/>
          <w:sz w:val="24"/>
          <w:szCs w:val="24"/>
          <w:u w:val="single"/>
        </w:rPr>
        <w:t xml:space="preserve"> y </w:t>
      </w:r>
      <w:r w:rsidR="00383383" w:rsidRPr="00286308">
        <w:rPr>
          <w:rFonts w:ascii="Century Gothic" w:hAnsi="Century Gothic" w:cs="Tahoma"/>
          <w:b/>
          <w:bCs/>
          <w:sz w:val="24"/>
          <w:szCs w:val="24"/>
          <w:u w:val="single"/>
        </w:rPr>
        <w:t xml:space="preserve">que </w:t>
      </w:r>
      <w:r w:rsidR="00792E68" w:rsidRPr="00286308">
        <w:rPr>
          <w:rFonts w:ascii="Century Gothic" w:hAnsi="Century Gothic" w:cs="Tahoma"/>
          <w:b/>
          <w:bCs/>
          <w:sz w:val="24"/>
          <w:szCs w:val="24"/>
          <w:u w:val="single"/>
        </w:rPr>
        <w:t>será subrayada</w:t>
      </w:r>
      <w:r w:rsidR="004633E4" w:rsidRPr="00286308">
        <w:rPr>
          <w:rFonts w:ascii="Century Gothic" w:hAnsi="Century Gothic" w:cs="Tahoma"/>
          <w:sz w:val="24"/>
          <w:szCs w:val="24"/>
        </w:rPr>
        <w:t>, según lo siguiente:</w:t>
      </w:r>
    </w:p>
    <w:p w14:paraId="670D9327" w14:textId="77777777" w:rsidR="00EF7530" w:rsidRPr="00286308" w:rsidRDefault="00EF7530" w:rsidP="00EF7530">
      <w:pPr>
        <w:spacing w:line="360" w:lineRule="auto"/>
        <w:jc w:val="center"/>
        <w:rPr>
          <w:rFonts w:ascii="Century Gothic" w:hAnsi="Century Gothic" w:cs="Arial"/>
          <w:sz w:val="24"/>
          <w:szCs w:val="24"/>
        </w:rPr>
      </w:pPr>
    </w:p>
    <w:p w14:paraId="50BED17F" w14:textId="0ED31E2E" w:rsidR="008066A7" w:rsidRPr="00286308" w:rsidRDefault="00A30D7B" w:rsidP="00EF7530">
      <w:pPr>
        <w:spacing w:line="360" w:lineRule="auto"/>
        <w:jc w:val="center"/>
        <w:rPr>
          <w:rFonts w:ascii="Century Gothic" w:hAnsi="Century Gothic" w:cs="Tahoma"/>
          <w:sz w:val="24"/>
          <w:szCs w:val="24"/>
        </w:rPr>
      </w:pPr>
      <w:r w:rsidRPr="00286308">
        <w:rPr>
          <w:rFonts w:ascii="Century Gothic" w:hAnsi="Century Gothic" w:cs="Arial"/>
          <w:sz w:val="24"/>
          <w:szCs w:val="24"/>
        </w:rPr>
        <w:t>L</w:t>
      </w:r>
      <w:r w:rsidRPr="00286308">
        <w:rPr>
          <w:rFonts w:ascii="Century Gothic" w:hAnsi="Century Gothic" w:cs="Tahoma"/>
          <w:sz w:val="24"/>
          <w:szCs w:val="24"/>
        </w:rPr>
        <w:t>EY DE DISCIPLINA FINANCIERA DE LAS ENTIDADES FEDERATIVAS Y LOS MUNICIPIOS</w:t>
      </w:r>
    </w:p>
    <w:p w14:paraId="54398A79" w14:textId="77777777" w:rsidR="00EF7530" w:rsidRPr="00286308" w:rsidRDefault="00EF7530" w:rsidP="00B11480">
      <w:pPr>
        <w:spacing w:line="360" w:lineRule="auto"/>
        <w:jc w:val="both"/>
        <w:rPr>
          <w:rFonts w:ascii="Century Gothic" w:hAnsi="Century Gothic" w:cs="Arial"/>
          <w:sz w:val="24"/>
          <w:szCs w:val="24"/>
        </w:rPr>
      </w:pPr>
    </w:p>
    <w:p w14:paraId="0D1D54FB" w14:textId="74457ADB" w:rsidR="00A30D7B" w:rsidRPr="00286308" w:rsidRDefault="00792E68" w:rsidP="00EF7530">
      <w:pPr>
        <w:pStyle w:val="Texto"/>
        <w:spacing w:after="0" w:line="360" w:lineRule="auto"/>
        <w:ind w:firstLine="0"/>
        <w:rPr>
          <w:rFonts w:ascii="Century Gothic" w:hAnsi="Century Gothic"/>
          <w:i/>
          <w:iCs/>
          <w:sz w:val="24"/>
          <w:szCs w:val="24"/>
          <w:lang w:val="es-419"/>
        </w:rPr>
      </w:pPr>
      <w:bookmarkStart w:id="1" w:name="Artículo_24"/>
      <w:r w:rsidRPr="00286308">
        <w:rPr>
          <w:rFonts w:ascii="Century Gothic" w:hAnsi="Century Gothic"/>
          <w:bCs/>
          <w:i/>
          <w:iCs/>
          <w:sz w:val="24"/>
          <w:szCs w:val="24"/>
        </w:rPr>
        <w:t>“</w:t>
      </w:r>
      <w:r w:rsidR="00A30D7B" w:rsidRPr="00286308">
        <w:rPr>
          <w:rFonts w:ascii="Century Gothic" w:hAnsi="Century Gothic"/>
          <w:bCs/>
          <w:i/>
          <w:iCs/>
          <w:sz w:val="24"/>
          <w:szCs w:val="24"/>
        </w:rPr>
        <w:t>Artículo 24</w:t>
      </w:r>
      <w:bookmarkEnd w:id="1"/>
      <w:r w:rsidR="00A30D7B" w:rsidRPr="00286308">
        <w:rPr>
          <w:rFonts w:ascii="Century Gothic" w:hAnsi="Century Gothic"/>
          <w:bCs/>
          <w:i/>
          <w:iCs/>
          <w:sz w:val="24"/>
          <w:szCs w:val="24"/>
        </w:rPr>
        <w:t>.-</w:t>
      </w:r>
      <w:r w:rsidR="00A30D7B" w:rsidRPr="00286308">
        <w:rPr>
          <w:rFonts w:ascii="Century Gothic" w:hAnsi="Century Gothic"/>
          <w:i/>
          <w:iCs/>
          <w:sz w:val="24"/>
          <w:szCs w:val="24"/>
        </w:rPr>
        <w:t xml:space="preserve"> La autorización de los Financiamientos y Obligaciones por parte de la Legislatura local deberá especificar por lo menos lo siguiente:</w:t>
      </w:r>
    </w:p>
    <w:p w14:paraId="3951DF60" w14:textId="77777777" w:rsidR="00A30D7B" w:rsidRPr="00286308" w:rsidRDefault="00A30D7B" w:rsidP="00EF7530">
      <w:pPr>
        <w:pStyle w:val="Texto"/>
        <w:spacing w:after="0" w:line="360" w:lineRule="auto"/>
        <w:rPr>
          <w:rFonts w:ascii="Century Gothic" w:hAnsi="Century Gothic"/>
          <w:i/>
          <w:iCs/>
          <w:sz w:val="24"/>
          <w:szCs w:val="24"/>
          <w:lang w:val="es-419"/>
        </w:rPr>
      </w:pPr>
    </w:p>
    <w:p w14:paraId="14F33693" w14:textId="77777777" w:rsidR="00A30D7B" w:rsidRPr="00286308" w:rsidRDefault="00A30D7B" w:rsidP="00EF7530">
      <w:pPr>
        <w:pStyle w:val="Texto"/>
        <w:spacing w:after="0" w:line="360" w:lineRule="auto"/>
        <w:rPr>
          <w:rFonts w:ascii="Century Gothic" w:hAnsi="Century Gothic"/>
          <w:bCs/>
          <w:i/>
          <w:iCs/>
          <w:sz w:val="24"/>
          <w:szCs w:val="24"/>
        </w:rPr>
      </w:pPr>
      <w:r w:rsidRPr="00286308">
        <w:rPr>
          <w:rFonts w:ascii="Century Gothic" w:hAnsi="Century Gothic"/>
          <w:bCs/>
          <w:i/>
          <w:iCs/>
          <w:sz w:val="24"/>
          <w:szCs w:val="24"/>
        </w:rPr>
        <w:lastRenderedPageBreak/>
        <w:t>I. Monto autorizado de la Deuda Pública u Obligación a incurrir;</w:t>
      </w:r>
    </w:p>
    <w:p w14:paraId="518170EE" w14:textId="77777777" w:rsidR="00A30D7B" w:rsidRPr="00286308" w:rsidRDefault="00A30D7B" w:rsidP="00EF7530">
      <w:pPr>
        <w:pStyle w:val="Texto"/>
        <w:spacing w:after="0" w:line="360" w:lineRule="auto"/>
        <w:rPr>
          <w:rFonts w:ascii="Century Gothic" w:hAnsi="Century Gothic"/>
          <w:bCs/>
          <w:i/>
          <w:iCs/>
          <w:sz w:val="24"/>
          <w:szCs w:val="24"/>
          <w:lang w:val="es-419"/>
        </w:rPr>
      </w:pPr>
    </w:p>
    <w:p w14:paraId="6DD637E5" w14:textId="77777777" w:rsidR="00A30D7B" w:rsidRPr="00286308" w:rsidRDefault="00A30D7B" w:rsidP="00EF7530">
      <w:pPr>
        <w:pStyle w:val="Texto"/>
        <w:spacing w:after="0" w:line="360" w:lineRule="auto"/>
        <w:rPr>
          <w:rFonts w:ascii="Century Gothic" w:hAnsi="Century Gothic"/>
          <w:bCs/>
          <w:i/>
          <w:iCs/>
          <w:sz w:val="24"/>
          <w:szCs w:val="24"/>
          <w:lang w:val="es-419"/>
        </w:rPr>
      </w:pPr>
      <w:r w:rsidRPr="00286308">
        <w:rPr>
          <w:rFonts w:ascii="Century Gothic" w:hAnsi="Century Gothic"/>
          <w:bCs/>
          <w:i/>
          <w:iCs/>
          <w:sz w:val="24"/>
          <w:szCs w:val="24"/>
        </w:rPr>
        <w:t>II. Plazo máximo autorizado para el pago;</w:t>
      </w:r>
    </w:p>
    <w:p w14:paraId="4E2B3970" w14:textId="77777777" w:rsidR="00A30D7B" w:rsidRPr="00286308" w:rsidRDefault="00A30D7B" w:rsidP="00EF7530">
      <w:pPr>
        <w:pStyle w:val="Texto"/>
        <w:spacing w:after="0" w:line="360" w:lineRule="auto"/>
        <w:rPr>
          <w:rFonts w:ascii="Century Gothic" w:hAnsi="Century Gothic"/>
          <w:bCs/>
          <w:i/>
          <w:iCs/>
          <w:sz w:val="24"/>
          <w:szCs w:val="24"/>
          <w:lang w:val="es-419"/>
        </w:rPr>
      </w:pPr>
    </w:p>
    <w:p w14:paraId="6B47513B" w14:textId="77777777" w:rsidR="00A30D7B" w:rsidRPr="00286308" w:rsidRDefault="00A30D7B" w:rsidP="00EF7530">
      <w:pPr>
        <w:pStyle w:val="Texto"/>
        <w:spacing w:after="0" w:line="360" w:lineRule="auto"/>
        <w:rPr>
          <w:rFonts w:ascii="Century Gothic" w:hAnsi="Century Gothic"/>
          <w:bCs/>
          <w:i/>
          <w:iCs/>
          <w:sz w:val="24"/>
          <w:szCs w:val="24"/>
          <w:lang w:val="es-419"/>
        </w:rPr>
      </w:pPr>
      <w:r w:rsidRPr="00286308">
        <w:rPr>
          <w:rFonts w:ascii="Century Gothic" w:hAnsi="Century Gothic"/>
          <w:bCs/>
          <w:i/>
          <w:iCs/>
          <w:sz w:val="24"/>
          <w:szCs w:val="24"/>
        </w:rPr>
        <w:t>III. Destino de los recursos;</w:t>
      </w:r>
    </w:p>
    <w:p w14:paraId="2A043294" w14:textId="77777777" w:rsidR="00A30D7B" w:rsidRPr="00286308" w:rsidRDefault="00A30D7B" w:rsidP="00EF7530">
      <w:pPr>
        <w:pStyle w:val="Texto"/>
        <w:spacing w:after="0" w:line="360" w:lineRule="auto"/>
        <w:rPr>
          <w:rFonts w:ascii="Century Gothic" w:hAnsi="Century Gothic"/>
          <w:bCs/>
          <w:i/>
          <w:iCs/>
          <w:sz w:val="24"/>
          <w:szCs w:val="24"/>
          <w:lang w:val="es-419"/>
        </w:rPr>
      </w:pPr>
    </w:p>
    <w:p w14:paraId="7E153233" w14:textId="77777777" w:rsidR="00A30D7B" w:rsidRPr="00286308" w:rsidRDefault="00A30D7B" w:rsidP="00EF7530">
      <w:pPr>
        <w:pStyle w:val="Texto"/>
        <w:spacing w:after="0" w:line="360" w:lineRule="auto"/>
        <w:ind w:left="567" w:hanging="279"/>
        <w:rPr>
          <w:rFonts w:ascii="Century Gothic" w:hAnsi="Century Gothic"/>
          <w:bCs/>
          <w:i/>
          <w:iCs/>
          <w:sz w:val="24"/>
          <w:szCs w:val="24"/>
          <w:lang w:val="es-419"/>
        </w:rPr>
      </w:pPr>
      <w:r w:rsidRPr="00286308">
        <w:rPr>
          <w:rFonts w:ascii="Century Gothic" w:hAnsi="Century Gothic"/>
          <w:bCs/>
          <w:i/>
          <w:iCs/>
          <w:sz w:val="24"/>
          <w:szCs w:val="24"/>
        </w:rPr>
        <w:t>IV. En su caso, la Fuente de pago o la contratación de una Garantía de pago de la Deuda Pública u Obligación, y</w:t>
      </w:r>
    </w:p>
    <w:p w14:paraId="0E33D7F3" w14:textId="77777777" w:rsidR="00A30D7B" w:rsidRPr="00286308" w:rsidRDefault="00A30D7B" w:rsidP="00EF7530">
      <w:pPr>
        <w:pStyle w:val="Texto"/>
        <w:spacing w:after="0" w:line="360" w:lineRule="auto"/>
        <w:rPr>
          <w:rFonts w:ascii="Century Gothic" w:hAnsi="Century Gothic"/>
          <w:i/>
          <w:iCs/>
          <w:sz w:val="24"/>
          <w:szCs w:val="24"/>
          <w:lang w:val="es-419"/>
        </w:rPr>
      </w:pPr>
    </w:p>
    <w:p w14:paraId="75F03DD8" w14:textId="77777777" w:rsidR="00A30D7B" w:rsidRPr="00286308" w:rsidRDefault="00A30D7B" w:rsidP="00EF7530">
      <w:pPr>
        <w:pStyle w:val="Texto"/>
        <w:spacing w:after="0" w:line="360" w:lineRule="auto"/>
        <w:ind w:left="567" w:hanging="283"/>
        <w:rPr>
          <w:rFonts w:ascii="Century Gothic" w:hAnsi="Century Gothic"/>
          <w:i/>
          <w:iCs/>
          <w:sz w:val="24"/>
          <w:szCs w:val="24"/>
          <w:lang w:val="es-419"/>
        </w:rPr>
      </w:pPr>
      <w:r w:rsidRPr="00286308">
        <w:rPr>
          <w:rFonts w:ascii="Century Gothic" w:hAnsi="Century Gothic"/>
          <w:b/>
          <w:i/>
          <w:iCs/>
          <w:sz w:val="24"/>
          <w:szCs w:val="24"/>
        </w:rPr>
        <w:t xml:space="preserve">V. </w:t>
      </w:r>
      <w:r w:rsidRPr="00286308">
        <w:rPr>
          <w:rFonts w:ascii="Century Gothic" w:hAnsi="Century Gothic"/>
          <w:b/>
          <w:bCs/>
          <w:i/>
          <w:iCs/>
          <w:sz w:val="24"/>
          <w:szCs w:val="24"/>
          <w:u w:val="single"/>
        </w:rPr>
        <w:t>En caso de autorizaciones específicas, establecer la vigencia de la autorización</w:t>
      </w:r>
      <w:r w:rsidRPr="00286308">
        <w:rPr>
          <w:rFonts w:ascii="Century Gothic" w:hAnsi="Century Gothic"/>
          <w:b/>
          <w:bCs/>
          <w:i/>
          <w:iCs/>
          <w:sz w:val="24"/>
          <w:szCs w:val="24"/>
        </w:rPr>
        <w:t xml:space="preserve">, </w:t>
      </w:r>
      <w:r w:rsidRPr="00286308">
        <w:rPr>
          <w:rFonts w:ascii="Century Gothic" w:hAnsi="Century Gothic"/>
          <w:b/>
          <w:bCs/>
          <w:i/>
          <w:iCs/>
          <w:sz w:val="24"/>
          <w:szCs w:val="24"/>
          <w:u w:val="single"/>
        </w:rPr>
        <w:t>en cuyo caso no podrá exceder el ejercicio fiscal siguiente</w:t>
      </w:r>
      <w:r w:rsidRPr="00286308">
        <w:rPr>
          <w:rFonts w:ascii="Century Gothic" w:hAnsi="Century Gothic"/>
          <w:i/>
          <w:iCs/>
          <w:sz w:val="24"/>
          <w:szCs w:val="24"/>
        </w:rPr>
        <w:t>. De no establecer una vigencia, se entenderá que la autorización sólo se podrá ejercer en el ejercicio fiscal en que fue aprobada.</w:t>
      </w:r>
    </w:p>
    <w:p w14:paraId="1C818CFE" w14:textId="77777777" w:rsidR="00A30D7B" w:rsidRPr="00286308" w:rsidRDefault="00A30D7B" w:rsidP="00EF7530">
      <w:pPr>
        <w:pStyle w:val="Texto"/>
        <w:spacing w:after="0" w:line="360" w:lineRule="auto"/>
        <w:rPr>
          <w:rFonts w:ascii="Century Gothic" w:hAnsi="Century Gothic"/>
          <w:i/>
          <w:iCs/>
          <w:sz w:val="24"/>
          <w:szCs w:val="24"/>
          <w:lang w:val="es-419"/>
        </w:rPr>
      </w:pPr>
    </w:p>
    <w:p w14:paraId="310ABA20" w14:textId="39044D2B" w:rsidR="00A30D7B" w:rsidRPr="00286308" w:rsidRDefault="00A30D7B" w:rsidP="00EF7530">
      <w:pPr>
        <w:pStyle w:val="Texto"/>
        <w:spacing w:after="0" w:line="360" w:lineRule="auto"/>
        <w:ind w:firstLine="0"/>
        <w:rPr>
          <w:rFonts w:ascii="Century Gothic" w:hAnsi="Century Gothic"/>
          <w:sz w:val="24"/>
          <w:szCs w:val="24"/>
          <w:lang w:val="es-419"/>
        </w:rPr>
      </w:pPr>
      <w:r w:rsidRPr="00286308">
        <w:rPr>
          <w:rFonts w:ascii="Century Gothic" w:hAnsi="Century Gothic"/>
          <w:i/>
          <w:iCs/>
          <w:sz w:val="24"/>
          <w:szCs w:val="24"/>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r w:rsidR="00792E68" w:rsidRPr="00286308">
        <w:rPr>
          <w:rFonts w:ascii="Century Gothic" w:hAnsi="Century Gothic"/>
          <w:i/>
          <w:iCs/>
          <w:sz w:val="24"/>
          <w:szCs w:val="24"/>
        </w:rPr>
        <w:t>.”</w:t>
      </w:r>
    </w:p>
    <w:p w14:paraId="5B185D30" w14:textId="751130E7" w:rsidR="009F4024" w:rsidRPr="00286308" w:rsidRDefault="009F4024" w:rsidP="00EF7530">
      <w:pPr>
        <w:spacing w:line="360" w:lineRule="auto"/>
        <w:jc w:val="both"/>
        <w:rPr>
          <w:rFonts w:ascii="Century Gothic" w:hAnsi="Century Gothic" w:cs="Arial"/>
          <w:sz w:val="24"/>
          <w:szCs w:val="24"/>
        </w:rPr>
      </w:pPr>
    </w:p>
    <w:p w14:paraId="09C0FCBC" w14:textId="61C29506" w:rsidR="00B90239" w:rsidRPr="00286308" w:rsidRDefault="00EE6626" w:rsidP="0024104F">
      <w:pPr>
        <w:spacing w:line="360" w:lineRule="auto"/>
        <w:jc w:val="both"/>
        <w:rPr>
          <w:rFonts w:ascii="Century Gothic" w:hAnsi="Century Gothic" w:cs="Arial"/>
          <w:sz w:val="24"/>
          <w:szCs w:val="24"/>
        </w:rPr>
      </w:pPr>
      <w:r w:rsidRPr="00286308">
        <w:rPr>
          <w:rFonts w:ascii="Century Gothic" w:hAnsi="Century Gothic" w:cs="Arial"/>
          <w:sz w:val="24"/>
          <w:szCs w:val="24"/>
        </w:rPr>
        <w:t xml:space="preserve">Aquí precisamente, dado que la aprobación del </w:t>
      </w:r>
      <w:r w:rsidRPr="00286308">
        <w:rPr>
          <w:rFonts w:ascii="Century Gothic" w:hAnsi="Century Gothic"/>
          <w:b/>
          <w:bCs/>
          <w:sz w:val="24"/>
          <w:szCs w:val="24"/>
          <w:lang w:eastAsia="es-ES"/>
        </w:rPr>
        <w:t xml:space="preserve">LXVII/AUOBF/0100/2021  I P.O., </w:t>
      </w:r>
      <w:r w:rsidRPr="00286308">
        <w:rPr>
          <w:rFonts w:ascii="Century Gothic" w:hAnsi="Century Gothic"/>
          <w:sz w:val="24"/>
          <w:szCs w:val="24"/>
          <w:lang w:eastAsia="es-ES"/>
        </w:rPr>
        <w:t xml:space="preserve">fue el trece de diciembre de 2021, </w:t>
      </w:r>
      <w:r w:rsidR="00D84659" w:rsidRPr="00286308">
        <w:rPr>
          <w:rFonts w:ascii="Century Gothic" w:hAnsi="Century Gothic"/>
          <w:sz w:val="24"/>
          <w:szCs w:val="24"/>
          <w:lang w:eastAsia="es-ES"/>
        </w:rPr>
        <w:t xml:space="preserve">y aún y cuando se publicó en este año aun corriente de 2022, lo cierto es que como quiera que </w:t>
      </w:r>
      <w:r w:rsidR="00383383" w:rsidRPr="00286308">
        <w:rPr>
          <w:rFonts w:ascii="Century Gothic" w:hAnsi="Century Gothic"/>
          <w:sz w:val="24"/>
          <w:szCs w:val="24"/>
          <w:lang w:eastAsia="es-ES"/>
        </w:rPr>
        <w:t>analicemos</w:t>
      </w:r>
      <w:r w:rsidR="00D84659" w:rsidRPr="00286308">
        <w:rPr>
          <w:rFonts w:ascii="Century Gothic" w:hAnsi="Century Gothic"/>
          <w:sz w:val="24"/>
          <w:szCs w:val="24"/>
          <w:lang w:eastAsia="es-ES"/>
        </w:rPr>
        <w:t xml:space="preserve"> el contenido de dicha norma,</w:t>
      </w:r>
      <w:r w:rsidR="00B11480" w:rsidRPr="00286308">
        <w:rPr>
          <w:rFonts w:ascii="Century Gothic" w:hAnsi="Century Gothic"/>
          <w:sz w:val="24"/>
          <w:szCs w:val="24"/>
          <w:lang w:eastAsia="es-ES"/>
        </w:rPr>
        <w:t xml:space="preserve"> </w:t>
      </w:r>
      <w:r w:rsidR="00140D07" w:rsidRPr="00286308">
        <w:rPr>
          <w:rFonts w:ascii="Century Gothic" w:hAnsi="Century Gothic"/>
          <w:sz w:val="24"/>
          <w:szCs w:val="24"/>
          <w:lang w:eastAsia="es-ES"/>
        </w:rPr>
        <w:t>é</w:t>
      </w:r>
      <w:r w:rsidR="00D84659" w:rsidRPr="00286308">
        <w:rPr>
          <w:rFonts w:ascii="Century Gothic" w:hAnsi="Century Gothic"/>
          <w:sz w:val="24"/>
          <w:szCs w:val="24"/>
          <w:lang w:eastAsia="es-ES"/>
        </w:rPr>
        <w:t>st</w:t>
      </w:r>
      <w:r w:rsidR="00140D07" w:rsidRPr="00286308">
        <w:rPr>
          <w:rFonts w:ascii="Century Gothic" w:hAnsi="Century Gothic"/>
          <w:sz w:val="24"/>
          <w:szCs w:val="24"/>
          <w:lang w:eastAsia="es-ES"/>
        </w:rPr>
        <w:t>a</w:t>
      </w:r>
      <w:r w:rsidR="00D84659" w:rsidRPr="00286308">
        <w:rPr>
          <w:rFonts w:ascii="Century Gothic" w:hAnsi="Century Gothic"/>
          <w:sz w:val="24"/>
          <w:szCs w:val="24"/>
          <w:lang w:eastAsia="es-ES"/>
        </w:rPr>
        <w:t xml:space="preserve"> </w:t>
      </w:r>
      <w:r w:rsidR="00B11480" w:rsidRPr="00286308">
        <w:rPr>
          <w:rFonts w:ascii="Century Gothic" w:hAnsi="Century Gothic"/>
          <w:sz w:val="24"/>
          <w:szCs w:val="24"/>
          <w:lang w:eastAsia="es-ES"/>
        </w:rPr>
        <w:t xml:space="preserve">es vinculante </w:t>
      </w:r>
      <w:r w:rsidR="00B11480" w:rsidRPr="00286308">
        <w:rPr>
          <w:rFonts w:ascii="Century Gothic" w:hAnsi="Century Gothic"/>
          <w:i/>
          <w:iCs/>
          <w:sz w:val="24"/>
          <w:szCs w:val="24"/>
          <w:lang w:eastAsia="es-ES"/>
        </w:rPr>
        <w:t>interpretada</w:t>
      </w:r>
      <w:r w:rsidR="00B11480" w:rsidRPr="00286308">
        <w:rPr>
          <w:rFonts w:ascii="Century Gothic" w:hAnsi="Century Gothic"/>
          <w:sz w:val="24"/>
          <w:szCs w:val="24"/>
          <w:lang w:eastAsia="es-ES"/>
        </w:rPr>
        <w:t xml:space="preserve"> </w:t>
      </w:r>
      <w:r w:rsidR="00D84659" w:rsidRPr="00286308">
        <w:rPr>
          <w:rFonts w:ascii="Century Gothic" w:hAnsi="Century Gothic"/>
          <w:sz w:val="24"/>
          <w:szCs w:val="24"/>
          <w:lang w:eastAsia="es-ES"/>
        </w:rPr>
        <w:t xml:space="preserve">en el sentido de </w:t>
      </w:r>
      <w:r w:rsidR="00D84659" w:rsidRPr="00286308">
        <w:rPr>
          <w:rFonts w:ascii="Century Gothic" w:hAnsi="Century Gothic"/>
          <w:sz w:val="24"/>
          <w:szCs w:val="24"/>
          <w:lang w:eastAsia="es-ES"/>
        </w:rPr>
        <w:lastRenderedPageBreak/>
        <w:t xml:space="preserve">que la </w:t>
      </w:r>
      <w:r w:rsidR="00D84659" w:rsidRPr="00286308">
        <w:rPr>
          <w:rFonts w:ascii="Century Gothic" w:hAnsi="Century Gothic"/>
          <w:i/>
          <w:iCs/>
          <w:sz w:val="24"/>
          <w:szCs w:val="24"/>
          <w:lang w:eastAsia="es-ES"/>
        </w:rPr>
        <w:t>“vigencia prevista para el año siguiente”</w:t>
      </w:r>
      <w:r w:rsidR="00D84659" w:rsidRPr="00286308">
        <w:rPr>
          <w:rFonts w:ascii="Century Gothic" w:hAnsi="Century Gothic"/>
          <w:sz w:val="24"/>
          <w:szCs w:val="24"/>
          <w:lang w:eastAsia="es-ES"/>
        </w:rPr>
        <w:t xml:space="preserve"> lo fue el año 2022 a punto de concluir, y en tal circunstancia se hace indispensable que todos los créditos específicos no contratados aún pero ya referidos, y en sí </w:t>
      </w:r>
      <w:r w:rsidR="008A21D8" w:rsidRPr="00286308">
        <w:rPr>
          <w:rFonts w:ascii="Century Gothic" w:hAnsi="Century Gothic"/>
          <w:sz w:val="24"/>
          <w:szCs w:val="24"/>
          <w:lang w:eastAsia="es-ES"/>
        </w:rPr>
        <w:t xml:space="preserve">el Decreto nuevo </w:t>
      </w:r>
      <w:r w:rsidR="00D84659" w:rsidRPr="00286308">
        <w:rPr>
          <w:rFonts w:ascii="Century Gothic" w:hAnsi="Century Gothic"/>
          <w:sz w:val="24"/>
          <w:szCs w:val="24"/>
          <w:lang w:eastAsia="es-ES"/>
        </w:rPr>
        <w:t>para todos los efectos legales, reitere la vigencia de los años 2022</w:t>
      </w:r>
      <w:r w:rsidR="008A21D8" w:rsidRPr="00286308">
        <w:rPr>
          <w:rFonts w:ascii="Century Gothic" w:hAnsi="Century Gothic"/>
          <w:sz w:val="24"/>
          <w:szCs w:val="24"/>
          <w:lang w:eastAsia="es-ES"/>
        </w:rPr>
        <w:t xml:space="preserve"> y </w:t>
      </w:r>
      <w:r w:rsidR="00D84659" w:rsidRPr="00286308">
        <w:rPr>
          <w:rFonts w:ascii="Century Gothic" w:hAnsi="Century Gothic"/>
          <w:sz w:val="24"/>
          <w:szCs w:val="24"/>
          <w:lang w:eastAsia="es-ES"/>
        </w:rPr>
        <w:t xml:space="preserve">2023, para que a partir del primero de enero </w:t>
      </w:r>
      <w:r w:rsidR="008A21D8" w:rsidRPr="00286308">
        <w:rPr>
          <w:rFonts w:ascii="Century Gothic" w:hAnsi="Century Gothic"/>
          <w:sz w:val="24"/>
          <w:szCs w:val="24"/>
          <w:lang w:eastAsia="es-ES"/>
        </w:rPr>
        <w:t xml:space="preserve">próximo </w:t>
      </w:r>
      <w:r w:rsidR="00D84659" w:rsidRPr="00286308">
        <w:rPr>
          <w:rFonts w:ascii="Century Gothic" w:hAnsi="Century Gothic"/>
          <w:sz w:val="24"/>
          <w:szCs w:val="24"/>
          <w:lang w:eastAsia="es-ES"/>
        </w:rPr>
        <w:t xml:space="preserve">inicie el </w:t>
      </w:r>
      <w:r w:rsidR="008A21D8" w:rsidRPr="00286308">
        <w:rPr>
          <w:rFonts w:ascii="Century Gothic" w:hAnsi="Century Gothic"/>
          <w:sz w:val="24"/>
          <w:szCs w:val="24"/>
          <w:lang w:eastAsia="es-ES"/>
        </w:rPr>
        <w:t>corrimiento</w:t>
      </w:r>
      <w:r w:rsidR="00D84659" w:rsidRPr="00286308">
        <w:rPr>
          <w:rFonts w:ascii="Century Gothic" w:hAnsi="Century Gothic"/>
          <w:sz w:val="24"/>
          <w:szCs w:val="24"/>
          <w:lang w:eastAsia="es-ES"/>
        </w:rPr>
        <w:t xml:space="preserve"> precisamente, de ese </w:t>
      </w:r>
      <w:r w:rsidR="00D84659" w:rsidRPr="00286308">
        <w:rPr>
          <w:rFonts w:ascii="Century Gothic" w:hAnsi="Century Gothic"/>
          <w:i/>
          <w:iCs/>
          <w:sz w:val="24"/>
          <w:szCs w:val="24"/>
          <w:lang w:eastAsia="es-ES"/>
        </w:rPr>
        <w:t>“ejercicio fiscal siguiente”</w:t>
      </w:r>
      <w:r w:rsidR="00D84659" w:rsidRPr="00286308">
        <w:rPr>
          <w:rFonts w:ascii="Century Gothic" w:hAnsi="Century Gothic"/>
          <w:sz w:val="24"/>
          <w:szCs w:val="24"/>
          <w:lang w:eastAsia="es-ES"/>
        </w:rPr>
        <w:t>, y tenga posibilidad el Estado de llevar a cabo las contrataciones necesarias de las que se ha dado cuenta en párrafos que anteceden.</w:t>
      </w:r>
    </w:p>
    <w:p w14:paraId="2BDC8EA5" w14:textId="77777777" w:rsidR="00A34E74" w:rsidRPr="00286308" w:rsidRDefault="00A34E74" w:rsidP="00B5685D">
      <w:pPr>
        <w:pBdr>
          <w:top w:val="nil"/>
          <w:left w:val="nil"/>
          <w:bottom w:val="nil"/>
          <w:right w:val="nil"/>
          <w:between w:val="nil"/>
        </w:pBdr>
        <w:spacing w:line="360" w:lineRule="auto"/>
        <w:jc w:val="both"/>
        <w:rPr>
          <w:rFonts w:ascii="Century Gothic" w:eastAsia="Century Gothic" w:hAnsi="Century Gothic" w:cs="Century Gothic"/>
          <w:bCs/>
          <w:sz w:val="24"/>
          <w:szCs w:val="24"/>
        </w:rPr>
      </w:pPr>
    </w:p>
    <w:p w14:paraId="0740E08A" w14:textId="77777777" w:rsidR="0007219A" w:rsidRPr="00286308" w:rsidRDefault="00A34E74" w:rsidP="00B5685D">
      <w:pPr>
        <w:pBdr>
          <w:top w:val="nil"/>
          <w:left w:val="nil"/>
          <w:bottom w:val="nil"/>
          <w:right w:val="nil"/>
          <w:between w:val="nil"/>
        </w:pBdr>
        <w:spacing w:line="360" w:lineRule="auto"/>
        <w:jc w:val="both"/>
        <w:rPr>
          <w:rFonts w:ascii="Century Gothic" w:eastAsia="Century Gothic" w:hAnsi="Century Gothic" w:cs="Century Gothic"/>
          <w:bCs/>
          <w:sz w:val="24"/>
          <w:szCs w:val="24"/>
        </w:rPr>
      </w:pPr>
      <w:r w:rsidRPr="00286308">
        <w:rPr>
          <w:rFonts w:ascii="Century Gothic" w:eastAsia="Century Gothic" w:hAnsi="Century Gothic" w:cs="Century Gothic"/>
          <w:bCs/>
          <w:sz w:val="24"/>
          <w:szCs w:val="24"/>
        </w:rPr>
        <w:t>Por ello,</w:t>
      </w:r>
      <w:r w:rsidR="006C22A7" w:rsidRPr="00286308">
        <w:rPr>
          <w:rFonts w:ascii="Century Gothic" w:eastAsia="Century Gothic" w:hAnsi="Century Gothic" w:cs="Century Gothic"/>
          <w:bCs/>
          <w:sz w:val="24"/>
          <w:szCs w:val="24"/>
        </w:rPr>
        <w:t xml:space="preserve"> y atendiendo a los razonamientos antes expuestos, el presente proyecto de Dictamen se propone como positivo, en aras de continuar apoyando a la mejora de la situación financiera del Estado de Chihuahua. Efectivamente, la situación de nuestra Entidad no es fácil, como tampoco lo son los tiempos actuales y los enormes retos que se tienen en la administración pública estatal, dónde múltiples aspectos requieren alternativas para administrar mejor los recursos públicos</w:t>
      </w:r>
      <w:r w:rsidR="0007219A" w:rsidRPr="00286308">
        <w:rPr>
          <w:rFonts w:ascii="Century Gothic" w:eastAsia="Century Gothic" w:hAnsi="Century Gothic" w:cs="Century Gothic"/>
          <w:bCs/>
          <w:sz w:val="24"/>
          <w:szCs w:val="24"/>
        </w:rPr>
        <w:t>.</w:t>
      </w:r>
    </w:p>
    <w:p w14:paraId="2298683C" w14:textId="1FAB05FC" w:rsidR="0007219A" w:rsidRPr="00286308" w:rsidRDefault="0007219A" w:rsidP="00B5685D">
      <w:pPr>
        <w:pBdr>
          <w:top w:val="nil"/>
          <w:left w:val="nil"/>
          <w:bottom w:val="nil"/>
          <w:right w:val="nil"/>
          <w:between w:val="nil"/>
        </w:pBdr>
        <w:spacing w:line="360" w:lineRule="auto"/>
        <w:jc w:val="both"/>
        <w:rPr>
          <w:rFonts w:ascii="Century Gothic" w:eastAsia="Century Gothic" w:hAnsi="Century Gothic" w:cs="Century Gothic"/>
          <w:bCs/>
          <w:sz w:val="24"/>
          <w:szCs w:val="24"/>
        </w:rPr>
      </w:pPr>
    </w:p>
    <w:p w14:paraId="20F32977" w14:textId="4CAEF006" w:rsidR="00A34E74" w:rsidRPr="00286308" w:rsidRDefault="0007219A" w:rsidP="00B5685D">
      <w:pPr>
        <w:pBdr>
          <w:top w:val="nil"/>
          <w:left w:val="nil"/>
          <w:bottom w:val="nil"/>
          <w:right w:val="nil"/>
          <w:between w:val="nil"/>
        </w:pBdr>
        <w:spacing w:line="360" w:lineRule="auto"/>
        <w:jc w:val="both"/>
        <w:rPr>
          <w:rFonts w:ascii="Century Gothic" w:hAnsi="Century Gothic"/>
          <w:sz w:val="24"/>
          <w:szCs w:val="24"/>
          <w:lang w:eastAsia="es-ES"/>
        </w:rPr>
      </w:pPr>
      <w:r w:rsidRPr="00286308">
        <w:rPr>
          <w:rFonts w:ascii="Century Gothic" w:eastAsia="Century Gothic" w:hAnsi="Century Gothic" w:cs="Century Gothic"/>
          <w:bCs/>
          <w:sz w:val="24"/>
          <w:szCs w:val="24"/>
        </w:rPr>
        <w:t xml:space="preserve">No pasa desapercibido para quienes suscribimos como positivo el presente Dictamen, que el análisis de capacidad de pago, </w:t>
      </w:r>
      <w:r w:rsidR="00D902D2" w:rsidRPr="00286308">
        <w:rPr>
          <w:rFonts w:ascii="Century Gothic" w:eastAsia="Century Gothic" w:hAnsi="Century Gothic" w:cs="Century Gothic"/>
          <w:bCs/>
          <w:sz w:val="24"/>
          <w:szCs w:val="24"/>
        </w:rPr>
        <w:t>sí referenciad</w:t>
      </w:r>
      <w:r w:rsidR="0049416C" w:rsidRPr="00286308">
        <w:rPr>
          <w:rFonts w:ascii="Century Gothic" w:eastAsia="Century Gothic" w:hAnsi="Century Gothic" w:cs="Century Gothic"/>
          <w:bCs/>
          <w:sz w:val="24"/>
          <w:szCs w:val="24"/>
        </w:rPr>
        <w:t>o</w:t>
      </w:r>
      <w:r w:rsidR="00D902D2" w:rsidRPr="00286308">
        <w:rPr>
          <w:rFonts w:ascii="Century Gothic" w:eastAsia="Century Gothic" w:hAnsi="Century Gothic" w:cs="Century Gothic"/>
          <w:bCs/>
          <w:sz w:val="24"/>
          <w:szCs w:val="24"/>
        </w:rPr>
        <w:t xml:space="preserve"> en el proyecto de Decreto que envía la Ciudadana </w:t>
      </w:r>
      <w:r w:rsidR="0049416C" w:rsidRPr="00286308">
        <w:rPr>
          <w:rFonts w:ascii="Century Gothic" w:eastAsia="Century Gothic" w:hAnsi="Century Gothic" w:cs="Century Gothic"/>
          <w:bCs/>
          <w:sz w:val="24"/>
          <w:szCs w:val="24"/>
        </w:rPr>
        <w:t>Gobernadora</w:t>
      </w:r>
      <w:r w:rsidR="00D902D2" w:rsidRPr="00286308">
        <w:rPr>
          <w:rFonts w:ascii="Century Gothic" w:eastAsia="Century Gothic" w:hAnsi="Century Gothic" w:cs="Century Gothic"/>
          <w:bCs/>
          <w:sz w:val="24"/>
          <w:szCs w:val="24"/>
        </w:rPr>
        <w:t xml:space="preserve">, </w:t>
      </w:r>
      <w:r w:rsidRPr="00286308">
        <w:rPr>
          <w:rFonts w:ascii="Century Gothic" w:eastAsia="Century Gothic" w:hAnsi="Century Gothic" w:cs="Century Gothic"/>
          <w:bCs/>
          <w:sz w:val="24"/>
          <w:szCs w:val="24"/>
        </w:rPr>
        <w:t>así como los pormenores financieros</w:t>
      </w:r>
      <w:r w:rsidR="0049416C" w:rsidRPr="00286308">
        <w:rPr>
          <w:rFonts w:ascii="Century Gothic" w:eastAsia="Century Gothic" w:hAnsi="Century Gothic" w:cs="Century Gothic"/>
          <w:bCs/>
          <w:sz w:val="24"/>
          <w:szCs w:val="24"/>
        </w:rPr>
        <w:t>,</w:t>
      </w:r>
      <w:r w:rsidRPr="00286308">
        <w:rPr>
          <w:rFonts w:ascii="Century Gothic" w:eastAsia="Century Gothic" w:hAnsi="Century Gothic" w:cs="Century Gothic"/>
          <w:bCs/>
          <w:sz w:val="24"/>
          <w:szCs w:val="24"/>
        </w:rPr>
        <w:t xml:space="preserve"> se relacionan básicamente con lo establecido en el </w:t>
      </w:r>
      <w:r w:rsidRPr="00286308">
        <w:rPr>
          <w:rFonts w:ascii="Century Gothic" w:eastAsia="Arial" w:hAnsi="Century Gothic" w:cs="Arial"/>
          <w:szCs w:val="24"/>
        </w:rPr>
        <w:t xml:space="preserve">Decreto </w:t>
      </w:r>
      <w:r w:rsidRPr="00286308">
        <w:rPr>
          <w:rFonts w:ascii="Century Gothic" w:hAnsi="Century Gothic"/>
          <w:sz w:val="24"/>
          <w:szCs w:val="24"/>
          <w:lang w:eastAsia="es-ES"/>
        </w:rPr>
        <w:t xml:space="preserve">LXVII/AUOBF/0100/2021, dado que queda claro que no se trata en sí de nueva deuda sino de ajustes y contrataciones diversas, incluso para obtener ventajas porcentuales y monetarias, relacionadas tanto con la </w:t>
      </w:r>
      <w:r w:rsidRPr="00286308">
        <w:rPr>
          <w:rFonts w:ascii="Century Gothic" w:hAnsi="Century Gothic"/>
          <w:sz w:val="24"/>
          <w:szCs w:val="24"/>
          <w:lang w:eastAsia="es-ES"/>
        </w:rPr>
        <w:lastRenderedPageBreak/>
        <w:t xml:space="preserve">conveniencia </w:t>
      </w:r>
      <w:r w:rsidR="0049416C" w:rsidRPr="00286308">
        <w:rPr>
          <w:rFonts w:ascii="Century Gothic" w:hAnsi="Century Gothic"/>
          <w:sz w:val="24"/>
          <w:szCs w:val="24"/>
          <w:lang w:eastAsia="es-ES"/>
        </w:rPr>
        <w:t>económica</w:t>
      </w:r>
      <w:r w:rsidRPr="00286308">
        <w:rPr>
          <w:rFonts w:ascii="Century Gothic" w:hAnsi="Century Gothic"/>
          <w:sz w:val="24"/>
          <w:szCs w:val="24"/>
          <w:lang w:eastAsia="es-ES"/>
        </w:rPr>
        <w:t>, cambios del mercado, e imposibilidades fácticas en los términos antes indicados</w:t>
      </w:r>
      <w:r w:rsidR="003E45B3" w:rsidRPr="00286308">
        <w:rPr>
          <w:rFonts w:ascii="Century Gothic" w:hAnsi="Century Gothic"/>
          <w:sz w:val="24"/>
          <w:szCs w:val="24"/>
          <w:lang w:eastAsia="es-ES"/>
        </w:rPr>
        <w:t>, por lo que de nueva cuenta reiteramos que el sentido se propone como positivo para aportar al fortalecimiento del Estado de Chihuahua</w:t>
      </w:r>
      <w:r w:rsidR="0049416C" w:rsidRPr="00286308">
        <w:rPr>
          <w:rFonts w:ascii="Century Gothic" w:hAnsi="Century Gothic"/>
          <w:sz w:val="24"/>
          <w:szCs w:val="24"/>
          <w:lang w:eastAsia="es-ES"/>
        </w:rPr>
        <w:t>, no visto lo crediticio como un fin en sí mismo, sino como un medio para lograr el desarrollo social y una mejor calidad de vida de los habitantes.</w:t>
      </w:r>
    </w:p>
    <w:p w14:paraId="6E3AF8C8" w14:textId="77777777" w:rsidR="0042349B" w:rsidRPr="00286308" w:rsidRDefault="0042349B" w:rsidP="00B5685D">
      <w:pPr>
        <w:pBdr>
          <w:top w:val="nil"/>
          <w:left w:val="nil"/>
          <w:bottom w:val="nil"/>
          <w:right w:val="nil"/>
          <w:between w:val="nil"/>
        </w:pBdr>
        <w:spacing w:line="360" w:lineRule="auto"/>
        <w:jc w:val="both"/>
        <w:rPr>
          <w:rFonts w:ascii="Century Gothic" w:eastAsia="Century Gothic" w:hAnsi="Century Gothic" w:cs="Century Gothic"/>
          <w:bCs/>
          <w:sz w:val="24"/>
          <w:szCs w:val="24"/>
        </w:rPr>
      </w:pPr>
    </w:p>
    <w:p w14:paraId="241C2B63" w14:textId="2B8A7606" w:rsidR="00B5685D" w:rsidRPr="00286308" w:rsidRDefault="00B5685D" w:rsidP="00B5685D">
      <w:pPr>
        <w:pBdr>
          <w:top w:val="nil"/>
          <w:left w:val="nil"/>
          <w:bottom w:val="nil"/>
          <w:right w:val="nil"/>
          <w:between w:val="nil"/>
        </w:pBdr>
        <w:spacing w:line="360" w:lineRule="auto"/>
        <w:jc w:val="both"/>
        <w:rPr>
          <w:rFonts w:ascii="Century Gothic" w:eastAsia="Century Gothic" w:hAnsi="Century Gothic" w:cs="Century Gothic"/>
          <w:b/>
          <w:sz w:val="24"/>
          <w:szCs w:val="24"/>
        </w:rPr>
      </w:pPr>
      <w:r w:rsidRPr="00286308">
        <w:rPr>
          <w:rFonts w:ascii="Century Gothic" w:eastAsia="Century Gothic" w:hAnsi="Century Gothic" w:cs="Century Gothic"/>
          <w:bCs/>
          <w:sz w:val="24"/>
          <w:szCs w:val="24"/>
        </w:rPr>
        <w:t xml:space="preserve">Por lo anteriormente expuesto, quienes integramos la Comisión de Programación, Presupuesto y Hacienda Pública, nos permitimos someter a la consideración de este Alto Cuerpo Colegiado el siguiente proyecto de: </w:t>
      </w:r>
    </w:p>
    <w:p w14:paraId="67B92C1C" w14:textId="77777777" w:rsidR="00610D6A" w:rsidRPr="00286308" w:rsidRDefault="00610D6A" w:rsidP="00676296">
      <w:pPr>
        <w:autoSpaceDE w:val="0"/>
        <w:autoSpaceDN w:val="0"/>
        <w:adjustRightInd w:val="0"/>
        <w:spacing w:after="0" w:line="360" w:lineRule="auto"/>
        <w:contextualSpacing/>
        <w:jc w:val="both"/>
        <w:rPr>
          <w:rFonts w:ascii="Century Gothic" w:hAnsi="Century Gothic" w:cs="Arial"/>
          <w:sz w:val="24"/>
          <w:szCs w:val="28"/>
        </w:rPr>
      </w:pPr>
    </w:p>
    <w:p w14:paraId="45DE2263" w14:textId="672B0252" w:rsidR="00884D05" w:rsidRPr="00286308" w:rsidRDefault="00884D05" w:rsidP="00884D05">
      <w:pPr>
        <w:autoSpaceDE w:val="0"/>
        <w:autoSpaceDN w:val="0"/>
        <w:adjustRightInd w:val="0"/>
        <w:spacing w:line="360" w:lineRule="auto"/>
        <w:contextualSpacing/>
        <w:jc w:val="center"/>
        <w:rPr>
          <w:rFonts w:ascii="Century Gothic" w:hAnsi="Century Gothic" w:cs="Arial"/>
          <w:b/>
          <w:sz w:val="28"/>
          <w:szCs w:val="28"/>
        </w:rPr>
      </w:pPr>
      <w:r w:rsidRPr="00286308">
        <w:rPr>
          <w:rFonts w:ascii="Century Gothic" w:hAnsi="Century Gothic" w:cs="Arial"/>
          <w:b/>
          <w:sz w:val="28"/>
          <w:szCs w:val="28"/>
        </w:rPr>
        <w:t>DECRETO</w:t>
      </w:r>
    </w:p>
    <w:p w14:paraId="1D7D82BB" w14:textId="77777777" w:rsidR="00690A96" w:rsidRPr="00286308" w:rsidRDefault="00690A96" w:rsidP="00A0583F">
      <w:pPr>
        <w:pStyle w:val="Textoindependiente"/>
        <w:spacing w:line="360" w:lineRule="auto"/>
        <w:ind w:right="-187"/>
        <w:rPr>
          <w:rFonts w:ascii="Century Gothic" w:eastAsia="Arial" w:hAnsi="Century Gothic" w:cs="Arial"/>
          <w:b/>
          <w:bCs/>
        </w:rPr>
      </w:pPr>
    </w:p>
    <w:p w14:paraId="54C2A5E2" w14:textId="4D0D9798" w:rsidR="00A0583F" w:rsidRPr="00286308" w:rsidRDefault="00A0583F" w:rsidP="00A0583F">
      <w:pPr>
        <w:pStyle w:val="Textoindependiente"/>
        <w:spacing w:line="360" w:lineRule="auto"/>
        <w:ind w:right="-187"/>
        <w:rPr>
          <w:rFonts w:ascii="Century Gothic" w:eastAsia="Arial" w:hAnsi="Century Gothic" w:cs="Arial"/>
        </w:rPr>
      </w:pPr>
      <w:r w:rsidRPr="00286308">
        <w:rPr>
          <w:rFonts w:ascii="Century Gothic" w:eastAsia="Arial" w:hAnsi="Century Gothic" w:cs="Arial"/>
          <w:b/>
          <w:bCs/>
        </w:rPr>
        <w:t>Artículo Primero.</w:t>
      </w:r>
      <w:r w:rsidRPr="00286308">
        <w:rPr>
          <w:rFonts w:ascii="Century Gothic" w:eastAsia="Arial" w:hAnsi="Century Gothic" w:cs="Arial"/>
        </w:rPr>
        <w:t xml:space="preserve"> </w:t>
      </w:r>
      <w:r w:rsidRPr="00286308">
        <w:rPr>
          <w:rFonts w:ascii="Century Gothic" w:eastAsia="Arial" w:hAnsi="Century Gothic" w:cs="Arial"/>
          <w:bCs/>
          <w:u w:val="single"/>
        </w:rPr>
        <w:t>Financiamiento FAFEF</w:t>
      </w:r>
      <w:r w:rsidRPr="00286308">
        <w:rPr>
          <w:rFonts w:ascii="Century Gothic" w:eastAsia="Arial" w:hAnsi="Century Gothic" w:cs="Arial"/>
          <w:bCs/>
        </w:rPr>
        <w:t xml:space="preserve">. </w:t>
      </w:r>
    </w:p>
    <w:p w14:paraId="4A62BE85" w14:textId="77777777" w:rsidR="00A0583F" w:rsidRPr="00286308" w:rsidRDefault="00A0583F" w:rsidP="00A0583F">
      <w:pPr>
        <w:pStyle w:val="Textoindependiente"/>
        <w:spacing w:line="360" w:lineRule="auto"/>
        <w:ind w:right="-187"/>
        <w:rPr>
          <w:rFonts w:ascii="Century Gothic" w:eastAsia="Arial" w:hAnsi="Century Gothic" w:cs="Arial"/>
        </w:rPr>
      </w:pPr>
    </w:p>
    <w:p w14:paraId="4933D1FA" w14:textId="36852F9B"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Autorización</w:t>
      </w:r>
      <w:r w:rsidRPr="00286308">
        <w:rPr>
          <w:rFonts w:ascii="Century Gothic" w:hAnsi="Century Gothic" w:cs="Arial"/>
        </w:rPr>
        <w:t>. Se autoriza al Estado Libre y Soberano de Chihuahua (el “</w:t>
      </w:r>
      <w:r w:rsidRPr="00286308">
        <w:rPr>
          <w:rFonts w:ascii="Century Gothic" w:hAnsi="Century Gothic" w:cs="Arial"/>
          <w:u w:val="single"/>
        </w:rPr>
        <w:t>Estado</w:t>
      </w:r>
      <w:r w:rsidRPr="00286308">
        <w:rPr>
          <w:rFonts w:ascii="Century Gothic" w:hAnsi="Century Gothic" w:cs="Arial"/>
        </w:rPr>
        <w:t xml:space="preserve">”), para </w:t>
      </w:r>
      <w:proofErr w:type="gramStart"/>
      <w:r w:rsidRPr="00286308">
        <w:rPr>
          <w:rFonts w:ascii="Century Gothic" w:hAnsi="Century Gothic" w:cs="Arial"/>
        </w:rPr>
        <w:t>que</w:t>
      </w:r>
      <w:proofErr w:type="gramEnd"/>
      <w:r w:rsidRPr="00286308">
        <w:rPr>
          <w:rFonts w:ascii="Century Gothic" w:hAnsi="Century Gothic" w:cs="Arial"/>
        </w:rPr>
        <w:t xml:space="preserv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$500,000,000.00 (Quinientos millones de pesos 00/100 M.N.)  (el “</w:t>
      </w:r>
      <w:r w:rsidRPr="00286308">
        <w:rPr>
          <w:rFonts w:ascii="Century Gothic" w:hAnsi="Century Gothic" w:cs="Arial"/>
          <w:u w:val="single"/>
        </w:rPr>
        <w:t>Financiamiento FAFEF</w:t>
      </w:r>
      <w:r w:rsidRPr="00286308">
        <w:rPr>
          <w:rFonts w:ascii="Century Gothic" w:hAnsi="Century Gothic" w:cs="Arial"/>
        </w:rPr>
        <w:t xml:space="preserve">”), mismo que, </w:t>
      </w:r>
      <w:r w:rsidRPr="00286308">
        <w:rPr>
          <w:rFonts w:ascii="Century Gothic" w:hAnsi="Century Gothic" w:cs="Arial"/>
        </w:rPr>
        <w:lastRenderedPageBreak/>
        <w:t>de conformidad con lo previsto en el presente Decreto, tendrá como fuente de pago, un porcentaje suficiente de los derechos, e ingresos derivados de los mismos, que le corresponden al Estado del Fondo de Aportaciones para el Fortalecimiento de las Entidades Federativas referido en la Ley de Coordinación Fiscal (“</w:t>
      </w:r>
      <w:r w:rsidRPr="00286308">
        <w:rPr>
          <w:rFonts w:ascii="Century Gothic" w:hAnsi="Century Gothic" w:cs="Arial"/>
          <w:u w:val="single"/>
        </w:rPr>
        <w:t>FAFEF</w:t>
      </w:r>
      <w:r w:rsidRPr="00286308">
        <w:rPr>
          <w:rFonts w:ascii="Century Gothic" w:hAnsi="Century Gothic" w:cs="Arial"/>
        </w:rPr>
        <w:t>”), y deberá ser destinado a obras de inversión públic</w:t>
      </w:r>
      <w:r w:rsidR="00724F37">
        <w:rPr>
          <w:rFonts w:ascii="Century Gothic" w:hAnsi="Century Gothic" w:cs="Arial"/>
        </w:rPr>
        <w:t>o</w:t>
      </w:r>
      <w:r w:rsidRPr="00286308">
        <w:rPr>
          <w:rFonts w:ascii="Century Gothic" w:hAnsi="Century Gothic" w:cs="Arial"/>
        </w:rPr>
        <w:t xml:space="preserve"> productivas en los rubros descritos más adelante en el presente Decreto.</w:t>
      </w:r>
    </w:p>
    <w:p w14:paraId="640B3F9B" w14:textId="77777777" w:rsidR="00A0583F" w:rsidRPr="00286308" w:rsidRDefault="00A0583F" w:rsidP="00A0583F">
      <w:pPr>
        <w:pStyle w:val="Textoindependiente"/>
        <w:spacing w:line="360" w:lineRule="auto"/>
        <w:ind w:left="567" w:right="-187"/>
        <w:rPr>
          <w:rFonts w:ascii="Century Gothic" w:hAnsi="Century Gothic" w:cs="Arial"/>
          <w:b/>
          <w:u w:val="single"/>
        </w:rPr>
      </w:pPr>
    </w:p>
    <w:p w14:paraId="1E940AB5"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El importe del Financiamiento FAFEF no comprende intereses, comisiones, ni demás accesorios financieros y legales que deriven del mismo.</w:t>
      </w:r>
    </w:p>
    <w:p w14:paraId="306B7CB9" w14:textId="77777777" w:rsidR="00A0583F" w:rsidRPr="00286308" w:rsidRDefault="00A0583F" w:rsidP="00A0583F">
      <w:pPr>
        <w:pStyle w:val="Textoindependiente"/>
        <w:spacing w:line="360" w:lineRule="auto"/>
        <w:ind w:left="567" w:right="-187"/>
        <w:rPr>
          <w:rFonts w:ascii="Century Gothic" w:hAnsi="Century Gothic" w:cs="Arial"/>
          <w:b/>
        </w:rPr>
      </w:pPr>
    </w:p>
    <w:p w14:paraId="269C9D2D"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La autorización anterior se otorga previo análisis de la capacidad de pago del Estado, el destino de los recursos derivados del Financiamiento FAFEF y los recursos que fungirán como fuente de pago de los contratos a través de los cuales se implemente dicho Financiamiento FAFEF.</w:t>
      </w:r>
    </w:p>
    <w:p w14:paraId="61468443" w14:textId="77777777" w:rsidR="00A0583F" w:rsidRPr="00286308" w:rsidRDefault="00A0583F" w:rsidP="00A0583F">
      <w:pPr>
        <w:pStyle w:val="Textoindependiente"/>
        <w:spacing w:line="360" w:lineRule="auto"/>
        <w:ind w:right="-187"/>
        <w:rPr>
          <w:rFonts w:ascii="Century Gothic" w:hAnsi="Century Gothic" w:cs="Arial"/>
          <w:b/>
        </w:rPr>
      </w:pPr>
    </w:p>
    <w:p w14:paraId="694CF207" w14:textId="0EE965A3" w:rsidR="00A0583F" w:rsidRPr="00286308" w:rsidRDefault="00A0583F" w:rsidP="00A0583F">
      <w:pPr>
        <w:pStyle w:val="Textoindependiente"/>
        <w:spacing w:line="360" w:lineRule="auto"/>
        <w:ind w:left="567" w:right="-187"/>
        <w:rPr>
          <w:rFonts w:ascii="Century Gothic" w:hAnsi="Century Gothic" w:cs="Arial"/>
          <w:b/>
          <w:u w:val="single"/>
        </w:rPr>
      </w:pPr>
      <w:r w:rsidRPr="00286308">
        <w:rPr>
          <w:rFonts w:ascii="Century Gothic" w:hAnsi="Century Gothic" w:cs="Arial"/>
        </w:rPr>
        <w:t>Los costos y gastos relacionados con la realización de los actos y la celebración de los contratos y vehículos necesarios para la implementación del Financiamiento FAFEF y</w:t>
      </w:r>
      <w:r w:rsidR="0003334F">
        <w:rPr>
          <w:rFonts w:ascii="Century Gothic" w:hAnsi="Century Gothic" w:cs="Arial"/>
        </w:rPr>
        <w:t>,</w:t>
      </w:r>
      <w:r w:rsidRPr="00286308">
        <w:rPr>
          <w:rFonts w:ascii="Century Gothic" w:hAnsi="Century Gothic" w:cs="Arial"/>
        </w:rPr>
        <w:t xml:space="preserve"> en su caso, la constitución de fondos de reserva del Financiamiento FAFEF, no podrán ser cubiertos con los recursos derivados de dicho Financiamiento FAFEF o el FAFEF, y deberán ser cubiertos o tener como fuente de pago Ingresos de Libre Disposición del Estado. </w:t>
      </w:r>
    </w:p>
    <w:p w14:paraId="47EDE1C4" w14:textId="77777777" w:rsidR="00A0583F" w:rsidRPr="00286308" w:rsidRDefault="00A0583F" w:rsidP="00A0583F">
      <w:pPr>
        <w:pStyle w:val="Textoindependiente"/>
        <w:spacing w:line="360" w:lineRule="auto"/>
        <w:ind w:left="567" w:right="-187"/>
        <w:rPr>
          <w:rFonts w:ascii="Century Gothic" w:hAnsi="Century Gothic" w:cs="Arial"/>
          <w:b/>
        </w:rPr>
      </w:pPr>
    </w:p>
    <w:p w14:paraId="0BFAF346" w14:textId="03F4FF4B"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lastRenderedPageBreak/>
        <w:t>Destino</w:t>
      </w:r>
      <w:r w:rsidRPr="00286308">
        <w:rPr>
          <w:rFonts w:ascii="Century Gothic" w:hAnsi="Century Gothic" w:cs="Arial"/>
        </w:rPr>
        <w:t>. De conformidad con lo previsto por el artículo 117, fracción VIII, de la Constitución Política de los Estados Unidos Mexicanos, los artículos 47 y 50 de la Ley de Coordinación Fiscal, así como el artículo 2, fracción XXV</w:t>
      </w:r>
      <w:r w:rsidR="0003334F">
        <w:rPr>
          <w:rFonts w:ascii="Century Gothic" w:hAnsi="Century Gothic" w:cs="Arial"/>
        </w:rPr>
        <w:t>,</w:t>
      </w:r>
      <w:r w:rsidRPr="00286308">
        <w:rPr>
          <w:rFonts w:ascii="Century Gothic" w:hAnsi="Century Gothic" w:cs="Arial"/>
        </w:rPr>
        <w:t xml:space="preserve"> y 22, primer párrafo de la Ley de Disciplina Financiera de las Entidades Federativas y los Municipios, los recursos derivados del Financiamiento FAFEF, deberán ser destinados a financiar proyectos de inversión públic</w:t>
      </w:r>
      <w:r w:rsidR="00724F37">
        <w:rPr>
          <w:rFonts w:ascii="Century Gothic" w:hAnsi="Century Gothic" w:cs="Arial"/>
        </w:rPr>
        <w:t>o</w:t>
      </w:r>
      <w:r w:rsidRPr="00286308">
        <w:rPr>
          <w:rFonts w:ascii="Century Gothic" w:hAnsi="Century Gothic" w:cs="Arial"/>
        </w:rPr>
        <w:t xml:space="preserve"> productiva destinados a la construcción, reconstrucción, ampliación y conservación de infraestructura física o</w:t>
      </w:r>
      <w:r w:rsidR="0003334F">
        <w:rPr>
          <w:rFonts w:ascii="Century Gothic" w:hAnsi="Century Gothic" w:cs="Arial"/>
        </w:rPr>
        <w:t>,</w:t>
      </w:r>
      <w:r w:rsidRPr="00286308">
        <w:rPr>
          <w:rFonts w:ascii="Century Gothic" w:hAnsi="Century Gothic" w:cs="Arial"/>
        </w:rPr>
        <w:t xml:space="preserve"> en su caso, inversión para la adquisición de bienes cuyo objeto sea el equipamiento de dicha infraestructura física, en los rubros descritos a continuación: </w:t>
      </w:r>
    </w:p>
    <w:p w14:paraId="35537A74" w14:textId="77777777" w:rsidR="00A0583F" w:rsidRPr="00286308" w:rsidRDefault="00A0583F" w:rsidP="00A0583F">
      <w:pPr>
        <w:pStyle w:val="Textoindependiente"/>
        <w:spacing w:line="360" w:lineRule="auto"/>
        <w:ind w:left="1134" w:right="-187"/>
        <w:rPr>
          <w:rFonts w:ascii="Century Gothic" w:hAnsi="Century Gothic" w:cs="Arial"/>
          <w:b/>
        </w:rPr>
      </w:pPr>
    </w:p>
    <w:p w14:paraId="5E8D8C8E" w14:textId="77777777" w:rsidR="00A0583F" w:rsidRPr="00286308" w:rsidRDefault="00A0583F" w:rsidP="00FF6735">
      <w:pPr>
        <w:pStyle w:val="Textoindependiente"/>
        <w:numPr>
          <w:ilvl w:val="0"/>
          <w:numId w:val="13"/>
        </w:numPr>
        <w:spacing w:line="360" w:lineRule="auto"/>
        <w:ind w:left="1134" w:right="-187" w:hanging="567"/>
        <w:rPr>
          <w:rFonts w:ascii="Century Gothic" w:hAnsi="Century Gothic" w:cs="Arial"/>
          <w:b/>
        </w:rPr>
      </w:pPr>
      <w:r w:rsidRPr="00286308">
        <w:rPr>
          <w:rFonts w:ascii="Century Gothic" w:hAnsi="Century Gothic" w:cs="Arial"/>
        </w:rPr>
        <w:t>Infraestructura y equipamiento en salud pública.</w:t>
      </w:r>
    </w:p>
    <w:p w14:paraId="77560A4F" w14:textId="77777777" w:rsidR="00A0583F" w:rsidRPr="00286308" w:rsidRDefault="00A0583F" w:rsidP="00FF6735">
      <w:pPr>
        <w:pStyle w:val="Textoindependiente"/>
        <w:numPr>
          <w:ilvl w:val="0"/>
          <w:numId w:val="13"/>
        </w:numPr>
        <w:spacing w:line="360" w:lineRule="auto"/>
        <w:ind w:left="1134" w:right="-187" w:hanging="567"/>
        <w:rPr>
          <w:rFonts w:ascii="Century Gothic" w:hAnsi="Century Gothic" w:cs="Arial"/>
          <w:b/>
        </w:rPr>
      </w:pPr>
      <w:r w:rsidRPr="00286308">
        <w:rPr>
          <w:rFonts w:ascii="Century Gothic" w:hAnsi="Century Gothic" w:cs="Arial"/>
        </w:rPr>
        <w:t>Infraestructura y equipamiento en urbanización.</w:t>
      </w:r>
    </w:p>
    <w:p w14:paraId="3AD67A07" w14:textId="77777777" w:rsidR="00A0583F" w:rsidRPr="00286308" w:rsidRDefault="00A0583F" w:rsidP="00FF6735">
      <w:pPr>
        <w:pStyle w:val="Textoindependiente"/>
        <w:numPr>
          <w:ilvl w:val="0"/>
          <w:numId w:val="13"/>
        </w:numPr>
        <w:spacing w:line="360" w:lineRule="auto"/>
        <w:ind w:left="1134" w:right="-187" w:hanging="567"/>
        <w:rPr>
          <w:rFonts w:ascii="Century Gothic" w:hAnsi="Century Gothic" w:cs="Arial"/>
          <w:b/>
        </w:rPr>
      </w:pPr>
      <w:r w:rsidRPr="00286308">
        <w:rPr>
          <w:rFonts w:ascii="Century Gothic" w:hAnsi="Century Gothic" w:cs="Arial"/>
        </w:rPr>
        <w:t>Infraestructura y equipamiento en seguridad pública.</w:t>
      </w:r>
    </w:p>
    <w:p w14:paraId="511425CD" w14:textId="77777777" w:rsidR="00A0583F" w:rsidRPr="00286308" w:rsidRDefault="00A0583F" w:rsidP="00FF6735">
      <w:pPr>
        <w:pStyle w:val="Textoindependiente"/>
        <w:numPr>
          <w:ilvl w:val="0"/>
          <w:numId w:val="13"/>
        </w:numPr>
        <w:spacing w:line="360" w:lineRule="auto"/>
        <w:ind w:left="1134" w:right="-187" w:hanging="567"/>
        <w:rPr>
          <w:rFonts w:ascii="Century Gothic" w:hAnsi="Century Gothic" w:cs="Arial"/>
          <w:b/>
        </w:rPr>
      </w:pPr>
      <w:r w:rsidRPr="00286308">
        <w:rPr>
          <w:rFonts w:ascii="Century Gothic" w:hAnsi="Century Gothic" w:cs="Arial"/>
        </w:rPr>
        <w:t>Infraestructura y equipamiento en educación pública.</w:t>
      </w:r>
    </w:p>
    <w:p w14:paraId="0CFAF95A" w14:textId="77777777" w:rsidR="00A0583F" w:rsidRPr="00286308" w:rsidRDefault="00A0583F" w:rsidP="00FF6735">
      <w:pPr>
        <w:pStyle w:val="Textoindependiente"/>
        <w:numPr>
          <w:ilvl w:val="0"/>
          <w:numId w:val="13"/>
        </w:numPr>
        <w:spacing w:line="360" w:lineRule="auto"/>
        <w:ind w:left="1134" w:right="-187" w:hanging="567"/>
        <w:rPr>
          <w:rFonts w:ascii="Century Gothic" w:hAnsi="Century Gothic" w:cs="Arial"/>
          <w:b/>
        </w:rPr>
      </w:pPr>
      <w:r w:rsidRPr="00286308">
        <w:rPr>
          <w:rFonts w:ascii="Century Gothic" w:hAnsi="Century Gothic" w:cs="Arial"/>
        </w:rPr>
        <w:t>Infraestructura y equipamiento en alcantarillado y suministro de agua potable.</w:t>
      </w:r>
    </w:p>
    <w:p w14:paraId="133C96F0" w14:textId="77777777" w:rsidR="00A0583F" w:rsidRPr="00286308" w:rsidRDefault="00A0583F" w:rsidP="00FF6735">
      <w:pPr>
        <w:pStyle w:val="Textoindependiente"/>
        <w:numPr>
          <w:ilvl w:val="0"/>
          <w:numId w:val="13"/>
        </w:numPr>
        <w:spacing w:line="360" w:lineRule="auto"/>
        <w:ind w:left="1134" w:right="-187" w:hanging="567"/>
        <w:rPr>
          <w:rFonts w:ascii="Century Gothic" w:hAnsi="Century Gothic" w:cs="Arial"/>
          <w:b/>
        </w:rPr>
      </w:pPr>
      <w:r w:rsidRPr="00286308">
        <w:rPr>
          <w:rFonts w:ascii="Century Gothic" w:hAnsi="Century Gothic" w:cs="Arial"/>
        </w:rPr>
        <w:t>Infraestructura y equipamiento hidroagrícola.</w:t>
      </w:r>
    </w:p>
    <w:p w14:paraId="1677333B" w14:textId="77777777" w:rsidR="00A0583F" w:rsidRPr="00286308" w:rsidRDefault="00A0583F" w:rsidP="00FF6735">
      <w:pPr>
        <w:pStyle w:val="Textoindependiente"/>
        <w:numPr>
          <w:ilvl w:val="0"/>
          <w:numId w:val="13"/>
        </w:numPr>
        <w:spacing w:line="360" w:lineRule="auto"/>
        <w:ind w:left="1134" w:right="-187" w:hanging="567"/>
        <w:rPr>
          <w:rFonts w:ascii="Century Gothic" w:hAnsi="Century Gothic" w:cs="Arial"/>
          <w:b/>
        </w:rPr>
      </w:pPr>
      <w:r w:rsidRPr="00286308">
        <w:rPr>
          <w:rFonts w:ascii="Century Gothic" w:hAnsi="Century Gothic" w:cs="Arial"/>
        </w:rPr>
        <w:t>Infraestructura y equipamiento carretero.</w:t>
      </w:r>
    </w:p>
    <w:p w14:paraId="75F52131" w14:textId="77777777" w:rsidR="00A0583F" w:rsidRPr="00286308" w:rsidRDefault="00A0583F" w:rsidP="00FF6735">
      <w:pPr>
        <w:pStyle w:val="Textoindependiente"/>
        <w:numPr>
          <w:ilvl w:val="0"/>
          <w:numId w:val="13"/>
        </w:numPr>
        <w:spacing w:line="360" w:lineRule="auto"/>
        <w:ind w:left="1134" w:right="-187" w:hanging="567"/>
        <w:rPr>
          <w:rFonts w:ascii="Century Gothic" w:hAnsi="Century Gothic" w:cs="Arial"/>
          <w:b/>
        </w:rPr>
      </w:pPr>
      <w:r w:rsidRPr="00286308">
        <w:rPr>
          <w:rFonts w:ascii="Century Gothic" w:hAnsi="Century Gothic" w:cs="Arial"/>
        </w:rPr>
        <w:t>Infraestructura y equipamiento en movilidad urbana.</w:t>
      </w:r>
    </w:p>
    <w:p w14:paraId="58074EEF" w14:textId="77777777" w:rsidR="00A0583F" w:rsidRPr="00286308" w:rsidRDefault="00A0583F" w:rsidP="00A0583F">
      <w:pPr>
        <w:pStyle w:val="Textoindependiente"/>
        <w:spacing w:line="360" w:lineRule="auto"/>
        <w:ind w:left="1134" w:right="-187"/>
        <w:rPr>
          <w:rFonts w:ascii="Century Gothic" w:hAnsi="Century Gothic" w:cs="Arial"/>
          <w:b/>
        </w:rPr>
      </w:pPr>
    </w:p>
    <w:p w14:paraId="2B6C03A9"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El detalle de las inversiones públicas productivas a ser desarrolladas conforme a lo anterior deberá incluirse dentro de los contratos a través de los cuales se implemente el Financiamiento FAFEF.</w:t>
      </w:r>
    </w:p>
    <w:p w14:paraId="35F51FFA"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lastRenderedPageBreak/>
        <w:t>Fuente de pago</w:t>
      </w:r>
      <w:r w:rsidRPr="00286308">
        <w:rPr>
          <w:rFonts w:ascii="Century Gothic" w:hAnsi="Century Gothic" w:cs="Arial"/>
        </w:rPr>
        <w:t>. Se autoriza al Estado para afectar como fuente de pago de todas y cada una de las obligaciones que deriven del Financiamiento FAFEF, hasta el 8% (ocho por ciento) de los derechos, e ingresos derivados de los mismos, que le corresponden al Estado del FAFEF, de conformidad con la Ley de Coordinación Fiscal, así como aquellos fondos que en su caso lo remplacen, sustituyan o complementen de tiempo en tiempo.</w:t>
      </w:r>
    </w:p>
    <w:p w14:paraId="3AD6D97E" w14:textId="77777777" w:rsidR="00EE5BE7" w:rsidRPr="00286308" w:rsidRDefault="00EE5BE7" w:rsidP="00A0583F">
      <w:pPr>
        <w:pStyle w:val="Textoindependiente"/>
        <w:spacing w:line="360" w:lineRule="auto"/>
        <w:ind w:left="567" w:right="-187"/>
        <w:rPr>
          <w:rFonts w:ascii="Century Gothic" w:hAnsi="Century Gothic" w:cs="Arial"/>
        </w:rPr>
      </w:pPr>
    </w:p>
    <w:p w14:paraId="6B26E63F" w14:textId="704DB7B5"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 xml:space="preserve">Lo anterior en el entendido de que, de conformidad con el artículo 50 de la Ley de Coordinación Fiscal, para obligaciones pagaderas en dos o más ejercicios fiscales, para cada ejercicio podrá destinarse al servicio de </w:t>
      </w:r>
      <w:r w:rsidR="0003334F">
        <w:rPr>
          <w:rFonts w:ascii="Century Gothic" w:hAnsi="Century Gothic" w:cs="Arial"/>
        </w:rPr>
        <w:t>e</w:t>
      </w:r>
      <w:r w:rsidRPr="00286308">
        <w:rPr>
          <w:rFonts w:ascii="Century Gothic" w:hAnsi="Century Gothic" w:cs="Arial"/>
        </w:rPr>
        <w:t>stas, lo que resulte mayor entre aplicar hasta el 8% (ocho por ciento) de los recursos del FAFEF que le corresponden al Estado del ejercicio fiscal que esté transcurriendo</w:t>
      </w:r>
      <w:r w:rsidR="0003334F">
        <w:rPr>
          <w:rFonts w:ascii="Century Gothic" w:hAnsi="Century Gothic" w:cs="Arial"/>
        </w:rPr>
        <w:t>,</w:t>
      </w:r>
      <w:r w:rsidRPr="00286308">
        <w:rPr>
          <w:rFonts w:ascii="Century Gothic" w:hAnsi="Century Gothic" w:cs="Arial"/>
        </w:rPr>
        <w:t xml:space="preserve"> o los recursos del FAFEF que correspondan a dicho porcentaje respecto al año en que las obligaciones hayan sido contratadas.</w:t>
      </w:r>
    </w:p>
    <w:p w14:paraId="4E5BDEA5" w14:textId="77777777" w:rsidR="00A0583F" w:rsidRPr="00286308" w:rsidRDefault="00A0583F" w:rsidP="00A0583F">
      <w:pPr>
        <w:pStyle w:val="Textoindependiente"/>
        <w:spacing w:line="360" w:lineRule="auto"/>
        <w:ind w:left="567" w:right="-187"/>
        <w:rPr>
          <w:rFonts w:ascii="Century Gothic" w:hAnsi="Century Gothic" w:cs="Arial"/>
          <w:b/>
        </w:rPr>
      </w:pPr>
    </w:p>
    <w:p w14:paraId="35793F2D"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El Estado deberá realizar las afectaciones anteriormente referidas, de manera irrevocable y hasta por el plazo suficiente para liquidar totalmente las obligaciones que deriven del Financiamiento FAFEF contratado al amparo del presente Decreto. Dicha afectación permanecerá vigente en tanto existan obligaciones pendientes de pago, y a cargo del Estado, derivadas del Financiamiento FAFEF.</w:t>
      </w:r>
    </w:p>
    <w:p w14:paraId="07797605" w14:textId="77777777" w:rsidR="00A0583F" w:rsidRPr="00286308" w:rsidRDefault="00A0583F" w:rsidP="00A0583F">
      <w:pPr>
        <w:pStyle w:val="Textoindependiente"/>
        <w:spacing w:line="360" w:lineRule="auto"/>
        <w:ind w:left="567" w:right="-187"/>
        <w:rPr>
          <w:rFonts w:ascii="Century Gothic" w:hAnsi="Century Gothic" w:cs="Arial"/>
          <w:b/>
        </w:rPr>
      </w:pPr>
    </w:p>
    <w:p w14:paraId="59B15B08"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lastRenderedPageBreak/>
        <w:t>El Estado deberá notificar a la Secretaría de Hacienda y Crédito Público, así como a cualquier otra autoridad que resulte competente, respecto de la afectación de las aportaciones del FAFEF autorizada en el presente Decreto, instruyéndolas irrevocablemente para efectos de que, en cada ministración, entrega, anticipo, ajuste o entero, abonen los flujos respectivos en el o los fideicomisos de garantía y fuente de pago que para tales efectos constituya, o modifique el Estado, de conformidad con lo previsto en el presente Decreto y hasta por el plazo necesario para liquidar totalmente las obligaciones que deriven del Financiamiento FAFEF contratado al amparo del presente Decreto.</w:t>
      </w:r>
    </w:p>
    <w:p w14:paraId="03FE2B1C" w14:textId="77777777" w:rsidR="00A0583F" w:rsidRPr="00286308" w:rsidRDefault="00A0583F" w:rsidP="00A0583F">
      <w:pPr>
        <w:pStyle w:val="Textoindependiente"/>
        <w:spacing w:line="360" w:lineRule="auto"/>
        <w:ind w:left="567" w:right="-187"/>
        <w:rPr>
          <w:rFonts w:ascii="Century Gothic" w:hAnsi="Century Gothic" w:cs="Arial"/>
          <w:b/>
        </w:rPr>
      </w:pPr>
    </w:p>
    <w:p w14:paraId="48C8858C" w14:textId="2DE57FB3"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 xml:space="preserve">Asimismo, el Estado, a través del </w:t>
      </w:r>
      <w:r w:rsidR="0003334F">
        <w:rPr>
          <w:rFonts w:ascii="Century Gothic" w:hAnsi="Century Gothic" w:cs="Arial"/>
        </w:rPr>
        <w:t>P</w:t>
      </w:r>
      <w:r w:rsidRPr="00286308">
        <w:rPr>
          <w:rFonts w:ascii="Century Gothic" w:hAnsi="Century Gothic" w:cs="Arial"/>
        </w:rPr>
        <w:t xml:space="preserve">oder </w:t>
      </w:r>
      <w:r w:rsidR="0003334F">
        <w:rPr>
          <w:rFonts w:ascii="Century Gothic" w:hAnsi="Century Gothic" w:cs="Arial"/>
        </w:rPr>
        <w:t>E</w:t>
      </w:r>
      <w:r w:rsidRPr="00286308">
        <w:rPr>
          <w:rFonts w:ascii="Century Gothic" w:hAnsi="Century Gothic" w:cs="Arial"/>
        </w:rPr>
        <w:t>jecutivo, y por conducto de la Secretaría de Hacienda, realizará las gestiones necesarias para que el porcentaje afecto de las aportaciones del FAFEF ingresen al o los fideicomisos de garantía y fuente de pago que para tales efectos constituya o modifique el Estado de conformidad con el presente Decreto, con la finalidad de que el fiduciario que administre los mismos tenga el control necesario sobre los recursos para el pago de las obligaciones que deriven del Financiamiento FAFEF.</w:t>
      </w:r>
    </w:p>
    <w:p w14:paraId="4FB8246D" w14:textId="77777777" w:rsidR="00A0583F" w:rsidRPr="00286308" w:rsidRDefault="00A0583F" w:rsidP="00A0583F">
      <w:pPr>
        <w:pStyle w:val="Textoindependiente"/>
        <w:spacing w:line="360" w:lineRule="auto"/>
        <w:ind w:left="567" w:right="-187"/>
        <w:rPr>
          <w:rFonts w:ascii="Century Gothic" w:hAnsi="Century Gothic" w:cs="Arial"/>
          <w:b/>
        </w:rPr>
      </w:pPr>
    </w:p>
    <w:p w14:paraId="665A37E5"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 xml:space="preserve">Con independencia del mecanismo o vehículo al que se afecten las aportaciones del FAFEF que funjan como fuente de pago del Financiamiento FAFEF, su afectación: (a) no podrá ser revocada o revertida sin el consentimiento previo, expreso y por escrito de las instituciones financieras mexicanas que hubieren otorgado los </w:t>
      </w:r>
      <w:r w:rsidRPr="00286308">
        <w:rPr>
          <w:rFonts w:ascii="Century Gothic" w:hAnsi="Century Gothic" w:cs="Arial"/>
        </w:rPr>
        <w:lastRenderedPageBreak/>
        <w:t>financiamientos a través de los cuales se implemente el Financiamiento FAFEF; y (b) se considerará válida y vigente, independientemente de que se modifique su denominación o se sustituya por uno o varios nuevos conceptos que se refieran a situaciones jurídicas o de hecho iguales o similares, a las que dan origen a las aportaciones federales del FAFEF.</w:t>
      </w:r>
    </w:p>
    <w:p w14:paraId="2E1F4547" w14:textId="77777777" w:rsidR="00A0583F" w:rsidRPr="00286308" w:rsidRDefault="00A0583F" w:rsidP="00A0583F">
      <w:pPr>
        <w:pStyle w:val="Textoindependiente"/>
        <w:spacing w:line="360" w:lineRule="auto"/>
        <w:ind w:left="567" w:right="-187"/>
        <w:rPr>
          <w:rFonts w:ascii="Century Gothic" w:hAnsi="Century Gothic" w:cs="Arial"/>
          <w:b/>
        </w:rPr>
      </w:pPr>
    </w:p>
    <w:p w14:paraId="00B17CA7" w14:textId="05138C09"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Mecanismo de Administración y Fuente de Pago</w:t>
      </w:r>
      <w:r w:rsidRPr="00286308">
        <w:rPr>
          <w:rFonts w:ascii="Century Gothic" w:hAnsi="Century Gothic" w:cs="Arial"/>
        </w:rPr>
        <w:t>. Se autoriza al Estado para constituir o modificar, por conducto de la Secretaría de Hacienda, el o los mecanismos de administración, y fuente de pago, o cualquier otro acto jurídico análogo, que considere necesario para cumplir con las obligaciones de pago a su cargo que deriven de los contratos a través de los cuales se implemente el Financiamiento FAFEF, incluyendo, de manera enunciativa, m</w:t>
      </w:r>
      <w:r w:rsidR="00242D80">
        <w:rPr>
          <w:rFonts w:ascii="Century Gothic" w:hAnsi="Century Gothic" w:cs="Arial"/>
        </w:rPr>
        <w:t>a</w:t>
      </w:r>
      <w:r w:rsidRPr="00286308">
        <w:rPr>
          <w:rFonts w:ascii="Century Gothic" w:hAnsi="Century Gothic" w:cs="Arial"/>
        </w:rPr>
        <w:t>s no limitativa, fideicomisos irrevocables de administración y fuente de pago; a los que podrá afectar irrevocablemente las aportaciones federales del FAFEF como fuente de pago y que deberán tener entre sus fines servir como mecanismo de fuente de pago de las obligaciones a cargo del Estado que deriven de dichos contratos a través de los cuales se implemente el Financiamiento FAFEF.</w:t>
      </w:r>
    </w:p>
    <w:p w14:paraId="3407CD90" w14:textId="77777777" w:rsidR="00A0583F" w:rsidRPr="00286308" w:rsidRDefault="00A0583F" w:rsidP="00A0583F">
      <w:pPr>
        <w:pStyle w:val="Textoindependiente"/>
        <w:spacing w:line="360" w:lineRule="auto"/>
        <w:ind w:left="567" w:right="-187"/>
        <w:rPr>
          <w:rFonts w:ascii="Century Gothic" w:hAnsi="Century Gothic" w:cs="Arial"/>
          <w:b/>
          <w:u w:val="single"/>
        </w:rPr>
      </w:pPr>
    </w:p>
    <w:p w14:paraId="2A65DE50"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 xml:space="preserve">Los fideicomisos de administración y fuente de pago, no serán considerados en ningún caso como parte de la administración pública paraestatal, en el entendido que su supervisión y control estarán sujetos a lo dispuesto en las disposiciones legales aplicables. </w:t>
      </w:r>
    </w:p>
    <w:p w14:paraId="210E6F9B" w14:textId="77777777" w:rsidR="00A0583F" w:rsidRPr="00286308" w:rsidRDefault="00A0583F" w:rsidP="00A0583F">
      <w:pPr>
        <w:pStyle w:val="Textoindependiente"/>
        <w:spacing w:line="360" w:lineRule="auto"/>
        <w:ind w:left="567" w:right="-187"/>
        <w:rPr>
          <w:rFonts w:ascii="Century Gothic" w:hAnsi="Century Gothic" w:cs="Arial"/>
          <w:b/>
        </w:rPr>
      </w:pPr>
    </w:p>
    <w:p w14:paraId="41DC428C" w14:textId="3862C9E1" w:rsidR="00A0583F" w:rsidRPr="00286308" w:rsidRDefault="00A0583F" w:rsidP="00A0583F">
      <w:pPr>
        <w:pStyle w:val="Textoindependiente"/>
        <w:spacing w:line="360" w:lineRule="auto"/>
        <w:ind w:left="567" w:right="-187"/>
        <w:rPr>
          <w:rFonts w:ascii="Century Gothic" w:hAnsi="Century Gothic" w:cs="Arial"/>
        </w:rPr>
      </w:pPr>
      <w:r w:rsidRPr="00286308">
        <w:rPr>
          <w:rFonts w:ascii="Century Gothic" w:hAnsi="Century Gothic" w:cs="Arial"/>
        </w:rPr>
        <w:lastRenderedPageBreak/>
        <w:t>Asimismo, dichos fideicomisos serán irrevocables y, por lo tanto, s</w:t>
      </w:r>
      <w:r w:rsidR="007D02AC">
        <w:rPr>
          <w:rFonts w:ascii="Century Gothic" w:hAnsi="Century Gothic" w:cs="Arial"/>
        </w:rPr>
        <w:t>o</w:t>
      </w:r>
      <w:r w:rsidRPr="00286308">
        <w:rPr>
          <w:rFonts w:ascii="Century Gothic" w:hAnsi="Century Gothic" w:cs="Arial"/>
        </w:rPr>
        <w:t>lo podrán ser terminados de conformidad con lo que expresamente se pacte en el o los mismos. Con independencia de su naturaleza</w:t>
      </w:r>
      <w:r w:rsidR="007D02AC">
        <w:rPr>
          <w:rFonts w:ascii="Century Gothic" w:hAnsi="Century Gothic" w:cs="Arial"/>
        </w:rPr>
        <w:t>,</w:t>
      </w:r>
      <w:r w:rsidRPr="00286308">
        <w:rPr>
          <w:rFonts w:ascii="Century Gothic" w:hAnsi="Century Gothic" w:cs="Arial"/>
        </w:rPr>
        <w:t xml:space="preserve">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14:paraId="20C1E854" w14:textId="77777777" w:rsidR="00C26646" w:rsidRPr="00286308" w:rsidRDefault="00C26646" w:rsidP="00A0583F">
      <w:pPr>
        <w:pStyle w:val="Textoindependiente"/>
        <w:spacing w:line="360" w:lineRule="auto"/>
        <w:ind w:left="567" w:right="-187"/>
        <w:rPr>
          <w:rFonts w:ascii="Century Gothic" w:hAnsi="Century Gothic" w:cs="Arial"/>
          <w:b/>
        </w:rPr>
      </w:pPr>
    </w:p>
    <w:p w14:paraId="0A058816"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Plazo máximo de Vigencia del Financiamiento</w:t>
      </w:r>
      <w:r w:rsidRPr="00286308">
        <w:rPr>
          <w:rFonts w:ascii="Century Gothic" w:hAnsi="Century Gothic" w:cs="Arial"/>
        </w:rPr>
        <w:t xml:space="preserve">. Para cada uno de los contratos a través de los cuales se implemente el Financiamiento FAFEF, hasta 20 (veinte) años, equivalentes a 7,305 (siete mil trescientos cinco) días contados a partir de la fecha en que se celebren dichos contratos o de la fecha en que se realice la primera disposición de los recursos. </w:t>
      </w:r>
    </w:p>
    <w:p w14:paraId="1142745C" w14:textId="77777777" w:rsidR="00A0583F" w:rsidRPr="00286308" w:rsidRDefault="00A0583F" w:rsidP="00A0583F">
      <w:pPr>
        <w:pStyle w:val="Textoindependiente"/>
        <w:spacing w:line="360" w:lineRule="auto"/>
        <w:ind w:left="567" w:right="-187"/>
        <w:rPr>
          <w:rFonts w:ascii="Century Gothic" w:hAnsi="Century Gothic" w:cs="Arial"/>
          <w:b/>
          <w:u w:val="single"/>
        </w:rPr>
      </w:pPr>
    </w:p>
    <w:p w14:paraId="3D76A206"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 xml:space="preserve">En todo caso, los contratos mediante los cuales se formalice el Financiamiento FAFEF permanecerán vigentes, mientras existan obligaciones pendientes de pago a favor de los acreedores respectivos. </w:t>
      </w:r>
    </w:p>
    <w:p w14:paraId="0B32874A" w14:textId="77777777" w:rsidR="00A0583F" w:rsidRPr="00286308" w:rsidRDefault="00A0583F" w:rsidP="00A0583F">
      <w:pPr>
        <w:pStyle w:val="Textoindependiente"/>
        <w:spacing w:line="360" w:lineRule="auto"/>
        <w:ind w:left="567" w:right="-187"/>
        <w:rPr>
          <w:rFonts w:ascii="Century Gothic" w:hAnsi="Century Gothic" w:cs="Arial"/>
          <w:b/>
        </w:rPr>
      </w:pPr>
    </w:p>
    <w:p w14:paraId="2C7CE3D2"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Plazo máximo de Contratación y vigencia de la autorización</w:t>
      </w:r>
      <w:r w:rsidRPr="00286308">
        <w:rPr>
          <w:rFonts w:ascii="Century Gothic" w:hAnsi="Century Gothic" w:cs="Arial"/>
        </w:rPr>
        <w:t>. Cada uno de los contratos a través de los cuales se implemente el Financiamiento FAFEF deberán ser celebrados, a más tardar el 31 de diciembre de 2023. De igual forma el Estado, a través de la Secretaría, podrá ejercer la presente autorización hasta el 31 de diciembre de 2023.</w:t>
      </w:r>
    </w:p>
    <w:p w14:paraId="4E3CC322" w14:textId="77777777" w:rsidR="00A0583F" w:rsidRPr="00286308" w:rsidRDefault="00A0583F" w:rsidP="00A0583F">
      <w:pPr>
        <w:pStyle w:val="Textoindependiente"/>
        <w:spacing w:line="360" w:lineRule="auto"/>
        <w:ind w:left="567" w:right="-187"/>
        <w:rPr>
          <w:rFonts w:ascii="Century Gothic" w:hAnsi="Century Gothic" w:cs="Arial"/>
          <w:b/>
        </w:rPr>
      </w:pPr>
    </w:p>
    <w:p w14:paraId="0C16D302" w14:textId="40E78F9C"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u w:val="single"/>
        </w:rPr>
      </w:pPr>
      <w:r w:rsidRPr="00286308">
        <w:rPr>
          <w:rFonts w:ascii="Century Gothic" w:hAnsi="Century Gothic" w:cs="Arial"/>
          <w:u w:val="single"/>
        </w:rPr>
        <w:lastRenderedPageBreak/>
        <w:t>Tasa de Interés.</w:t>
      </w:r>
      <w:r w:rsidRPr="00286308">
        <w:rPr>
          <w:rFonts w:ascii="Century Gothic" w:hAnsi="Century Gothic" w:cs="Arial"/>
        </w:rPr>
        <w:t xml:space="preserve"> El o los contratos a través de los cuales se implemente el Financiamiento FAFEF se fijarán con las tasas de interés que ofrezcan las mejores condiciones de mercado</w:t>
      </w:r>
      <w:r w:rsidR="007D02AC">
        <w:rPr>
          <w:rFonts w:ascii="Century Gothic" w:hAnsi="Century Gothic" w:cs="Arial"/>
        </w:rPr>
        <w:t>,</w:t>
      </w:r>
      <w:r w:rsidRPr="00286308">
        <w:rPr>
          <w:rFonts w:ascii="Century Gothic" w:hAnsi="Century Gothic" w:cs="Arial"/>
        </w:rPr>
        <w:t xml:space="preserve"> de conformidad con los Lineamientos de la Metodología para el Cálculo del Menor Costo Financiero y de los Procesos Competitivos de los Financiamientos y Obligaciones a contratar por parte de las Entidades Federativas, los Municipios y sus Entes Públicos. </w:t>
      </w:r>
    </w:p>
    <w:p w14:paraId="62A9BD87" w14:textId="77777777" w:rsidR="00A0583F" w:rsidRPr="00286308" w:rsidRDefault="00A0583F" w:rsidP="00A0583F">
      <w:pPr>
        <w:pStyle w:val="Prrafodelista"/>
        <w:spacing w:line="360" w:lineRule="auto"/>
        <w:rPr>
          <w:rFonts w:ascii="Century Gothic" w:hAnsi="Century Gothic" w:cs="Arial"/>
          <w:b/>
          <w:sz w:val="24"/>
          <w:szCs w:val="24"/>
          <w:u w:val="single"/>
        </w:rPr>
      </w:pPr>
    </w:p>
    <w:p w14:paraId="24D8E106" w14:textId="556B02D9"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u w:val="single"/>
        </w:rPr>
      </w:pPr>
      <w:r w:rsidRPr="00286308">
        <w:rPr>
          <w:rFonts w:ascii="Century Gothic" w:hAnsi="Century Gothic" w:cs="Arial"/>
          <w:u w:val="single"/>
        </w:rPr>
        <w:t>Instrumentos Derivados.</w:t>
      </w:r>
      <w:r w:rsidRPr="00286308">
        <w:rPr>
          <w:rFonts w:ascii="Century Gothic" w:hAnsi="Century Gothic" w:cs="Arial"/>
        </w:rPr>
        <w:t xml:space="preserve"> Con base en la presente autorización, el Estado podrá contratar instrumentos derivados, para cubrir hasta la totalidad de los montos expuestos derivados de cada contrato a través del cual se implemente el Financiamiento FAFEF y por una vigencia igual o menor al plazo del Financiamiento FAFEF, incluyendo, de manera enunciativa, m</w:t>
      </w:r>
      <w:r w:rsidR="00F75443">
        <w:rPr>
          <w:rFonts w:ascii="Century Gothic" w:hAnsi="Century Gothic" w:cs="Arial"/>
        </w:rPr>
        <w:t>a</w:t>
      </w:r>
      <w:r w:rsidRPr="00286308">
        <w:rPr>
          <w:rFonts w:ascii="Century Gothic" w:hAnsi="Century Gothic" w:cs="Arial"/>
        </w:rPr>
        <w:t>s no limitativa, contratos de cobertura o contratos de intercambio de tasas. Los costos y gastos de contratación de los instrumentos derivados anteriormente referidos, no podrán ser cubiertos con los recursos derivados del FAFEF o el Financiamiento FAFEF y deberán tener como fuente de pago Ingresos de Libre Disposición del Estado.</w:t>
      </w:r>
    </w:p>
    <w:p w14:paraId="2F3D7C1F" w14:textId="77777777" w:rsidR="00A0583F" w:rsidRPr="00286308" w:rsidRDefault="00A0583F" w:rsidP="00A0583F">
      <w:pPr>
        <w:pStyle w:val="Prrafodelista"/>
        <w:spacing w:line="360" w:lineRule="auto"/>
        <w:rPr>
          <w:rFonts w:ascii="Century Gothic" w:hAnsi="Century Gothic" w:cs="Arial"/>
          <w:sz w:val="24"/>
          <w:szCs w:val="24"/>
        </w:rPr>
      </w:pPr>
    </w:p>
    <w:p w14:paraId="64CF7C0A" w14:textId="77777777" w:rsidR="00A0583F" w:rsidRPr="00286308" w:rsidRDefault="00A0583F" w:rsidP="00A0583F">
      <w:pPr>
        <w:pStyle w:val="Textoindependiente"/>
        <w:spacing w:line="360" w:lineRule="auto"/>
        <w:ind w:left="567" w:right="-187"/>
        <w:rPr>
          <w:rFonts w:ascii="Century Gothic" w:hAnsi="Century Gothic" w:cs="Arial"/>
          <w:b/>
          <w:u w:val="single"/>
        </w:rPr>
      </w:pPr>
      <w:r w:rsidRPr="00286308">
        <w:rPr>
          <w:rFonts w:ascii="Century Gothic" w:hAnsi="Century Gothic" w:cs="Arial"/>
        </w:rPr>
        <w:t xml:space="preserve">En caso de que dicha contratación genere deuda adicional contingente, la misma </w:t>
      </w:r>
      <w:bookmarkStart w:id="2" w:name="_Hlk88688052"/>
      <w:r w:rsidRPr="00286308">
        <w:rPr>
          <w:rFonts w:ascii="Century Gothic" w:hAnsi="Century Gothic" w:cs="Arial"/>
        </w:rPr>
        <w:t xml:space="preserve">podrá ser hasta: (i) por la cantidad necesaria para cubrir el 100% (cien por ciento) del monto del Financiamiento </w:t>
      </w:r>
      <w:bookmarkEnd w:id="2"/>
      <w:r w:rsidRPr="00286308">
        <w:rPr>
          <w:rFonts w:ascii="Century Gothic" w:hAnsi="Century Gothic" w:cs="Arial"/>
        </w:rPr>
        <w:t>FAFEF, y (</w:t>
      </w:r>
      <w:proofErr w:type="spellStart"/>
      <w:r w:rsidRPr="00286308">
        <w:rPr>
          <w:rFonts w:ascii="Century Gothic" w:hAnsi="Century Gothic" w:cs="Arial"/>
        </w:rPr>
        <w:t>ii</w:t>
      </w:r>
      <w:proofErr w:type="spellEnd"/>
      <w:r w:rsidRPr="00286308">
        <w:rPr>
          <w:rFonts w:ascii="Century Gothic" w:hAnsi="Century Gothic" w:cs="Arial"/>
        </w:rPr>
        <w:t xml:space="preserve">) hasta por el plazo máximo de vigencia del Financiamiento FAFEF anteriormente referido. En caso de que la contratación de los instrumentos derivados genere deuda contingente, la misma deberá </w:t>
      </w:r>
      <w:r w:rsidRPr="00286308">
        <w:rPr>
          <w:rFonts w:ascii="Century Gothic" w:hAnsi="Century Gothic" w:cs="Arial"/>
        </w:rPr>
        <w:lastRenderedPageBreak/>
        <w:t>ajustarse a lo establecido en la Ley de Deuda Pública para el Estado de Chihuahua y sus Municipios.</w:t>
      </w:r>
    </w:p>
    <w:p w14:paraId="06D6701E" w14:textId="77777777" w:rsidR="00A0583F" w:rsidRPr="00286308" w:rsidRDefault="00A0583F" w:rsidP="00A0583F">
      <w:pPr>
        <w:pStyle w:val="Textoindependiente"/>
        <w:spacing w:line="360" w:lineRule="auto"/>
        <w:ind w:left="567" w:right="-187"/>
        <w:rPr>
          <w:rFonts w:ascii="Century Gothic" w:hAnsi="Century Gothic" w:cs="Arial"/>
          <w:b/>
          <w:u w:val="single"/>
        </w:rPr>
      </w:pPr>
    </w:p>
    <w:p w14:paraId="6B97D243"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Proceso Competitivo</w:t>
      </w:r>
      <w:r w:rsidRPr="00286308">
        <w:rPr>
          <w:rFonts w:ascii="Century Gothic" w:hAnsi="Century Gothic" w:cs="Arial"/>
        </w:rPr>
        <w:t>. Cada contrato o contratos a través de los cuales se implemente el Financiamiento FAFEF, así como los Instrumentos Derivados y Garantías de Pago Oportuno que en su caso el Estado contrate para cubrir los riesgos financieros y/o fortalecer la estructura del Financiamiento FAFEF, deberán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14:paraId="3A6A4A5A" w14:textId="77777777" w:rsidR="00A0583F" w:rsidRPr="00286308" w:rsidRDefault="00A0583F" w:rsidP="00A0583F">
      <w:pPr>
        <w:pStyle w:val="Prrafodelista"/>
        <w:spacing w:line="360" w:lineRule="auto"/>
        <w:rPr>
          <w:rFonts w:ascii="Century Gothic" w:hAnsi="Century Gothic" w:cs="Arial"/>
          <w:b/>
          <w:sz w:val="24"/>
          <w:szCs w:val="24"/>
        </w:rPr>
      </w:pPr>
    </w:p>
    <w:p w14:paraId="1AB33BD5"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El Estado procurará que el proceso competitivo le permita recibir las mejores ofertas del mercado para el Financiamiento FAFEF, así como los Instrumentos Derivados y Garantías de Pago Oportuno que en su caso el Estado contrate para cubrir los riesgos financieros y/o fortalecer la estructura del Financiamiento FAFEF, por lo que en todo caso deberá considerar y diseñar los procesos competitivos de tal manera que pueda acceder a los esquemas, programas y/o productos bancarios que le permitan obtener las mejores condiciones financieras y legales en el mercado.</w:t>
      </w:r>
    </w:p>
    <w:p w14:paraId="6C9A48A1" w14:textId="77777777" w:rsidR="00A0583F" w:rsidRPr="00286308" w:rsidRDefault="00A0583F" w:rsidP="00FF6735">
      <w:pPr>
        <w:pStyle w:val="Textoindependiente"/>
        <w:numPr>
          <w:ilvl w:val="1"/>
          <w:numId w:val="8"/>
        </w:numPr>
        <w:spacing w:line="360" w:lineRule="auto"/>
        <w:ind w:right="-187"/>
        <w:rPr>
          <w:rFonts w:ascii="Century Gothic" w:hAnsi="Century Gothic" w:cs="Arial"/>
          <w:b/>
        </w:rPr>
      </w:pPr>
      <w:r w:rsidRPr="00286308">
        <w:rPr>
          <w:rFonts w:ascii="Century Gothic" w:hAnsi="Century Gothic" w:cs="Arial"/>
          <w:u w:val="single"/>
        </w:rPr>
        <w:lastRenderedPageBreak/>
        <w:t>Gastos y Fondos de Reserva</w:t>
      </w:r>
      <w:r w:rsidRPr="00286308">
        <w:rPr>
          <w:rFonts w:ascii="Century Gothic" w:hAnsi="Century Gothic" w:cs="Arial"/>
        </w:rPr>
        <w:t>. Se autoriza al Estado, para:</w:t>
      </w:r>
    </w:p>
    <w:p w14:paraId="75E12732" w14:textId="77777777" w:rsidR="00A0583F" w:rsidRPr="00286308" w:rsidRDefault="00A0583F" w:rsidP="00A0583F">
      <w:pPr>
        <w:pStyle w:val="Textoindependiente"/>
        <w:spacing w:line="360" w:lineRule="auto"/>
        <w:ind w:left="360" w:right="-187"/>
        <w:rPr>
          <w:rFonts w:ascii="Century Gothic" w:hAnsi="Century Gothic" w:cs="Arial"/>
          <w:b/>
        </w:rPr>
      </w:pPr>
    </w:p>
    <w:p w14:paraId="59A999C8" w14:textId="77777777" w:rsidR="00A0583F" w:rsidRPr="00286308" w:rsidRDefault="00A0583F" w:rsidP="00FF6735">
      <w:pPr>
        <w:pStyle w:val="Textoindependiente"/>
        <w:numPr>
          <w:ilvl w:val="0"/>
          <w:numId w:val="16"/>
        </w:numPr>
        <w:spacing w:line="360" w:lineRule="auto"/>
        <w:ind w:left="1134" w:right="-187" w:hanging="567"/>
        <w:rPr>
          <w:rFonts w:ascii="Century Gothic" w:hAnsi="Century Gothic" w:cs="Arial"/>
          <w:b/>
        </w:rPr>
      </w:pPr>
      <w:r w:rsidRPr="00286308">
        <w:rPr>
          <w:rFonts w:ascii="Century Gothic" w:hAnsi="Century Gothic" w:cs="Arial"/>
        </w:rPr>
        <w:t>Contratar y pagar, con recursos ajenos al FAFEF y al Financiamiento FAFEF, los gastos y costos relacionados con la contratación del Financiamiento FAFEF, incluyendo sin limitar, comisiones de apertura, comisiones por disposición, comisiones por estructuración, costos por la contratación de calificadoras, de instrumentos derivados y garantías de pago, y cualesquiera otros gastos o costos asociados que en su caso se requieran para el diseño e instrumentación financiera y/o legal de las operaciones a que se refiere la presente autorización y la contratación del Financiamiento FAFEF.</w:t>
      </w:r>
    </w:p>
    <w:p w14:paraId="5A7D67CB" w14:textId="77777777" w:rsidR="00A0583F" w:rsidRPr="00286308" w:rsidRDefault="00A0583F" w:rsidP="00A0583F">
      <w:pPr>
        <w:pStyle w:val="Textoindependiente"/>
        <w:spacing w:line="360" w:lineRule="auto"/>
        <w:ind w:left="1134" w:right="-187"/>
        <w:rPr>
          <w:rFonts w:ascii="Century Gothic" w:hAnsi="Century Gothic" w:cs="Arial"/>
          <w:b/>
        </w:rPr>
      </w:pPr>
    </w:p>
    <w:p w14:paraId="1803C44B" w14:textId="77777777" w:rsidR="00A0583F" w:rsidRPr="00286308" w:rsidRDefault="00A0583F" w:rsidP="00FF6735">
      <w:pPr>
        <w:pStyle w:val="Textoindependiente"/>
        <w:numPr>
          <w:ilvl w:val="0"/>
          <w:numId w:val="16"/>
        </w:numPr>
        <w:spacing w:line="360" w:lineRule="auto"/>
        <w:ind w:left="1134" w:right="-187" w:hanging="567"/>
        <w:rPr>
          <w:rFonts w:ascii="Century Gothic" w:hAnsi="Century Gothic" w:cs="Arial"/>
          <w:b/>
        </w:rPr>
      </w:pPr>
      <w:r w:rsidRPr="00286308">
        <w:rPr>
          <w:rFonts w:ascii="Century Gothic" w:hAnsi="Century Gothic" w:cs="Arial"/>
        </w:rPr>
        <w:t>Constituir y/o reconstituir, con recursos ajenos al FAFEF y al Financiamiento FAFEF, el o los fondos de reservas que resulten necesarios para la implementación del Financiamiento FAFEF.</w:t>
      </w:r>
    </w:p>
    <w:p w14:paraId="638E3A26" w14:textId="77777777" w:rsidR="00A0583F" w:rsidRPr="00286308" w:rsidRDefault="00A0583F" w:rsidP="00A0583F">
      <w:pPr>
        <w:pStyle w:val="Textoindependiente"/>
        <w:spacing w:line="360" w:lineRule="auto"/>
        <w:ind w:left="567" w:right="-187"/>
        <w:rPr>
          <w:rFonts w:ascii="Century Gothic" w:hAnsi="Century Gothic" w:cs="Arial"/>
          <w:b/>
          <w:u w:val="single"/>
        </w:rPr>
      </w:pPr>
    </w:p>
    <w:p w14:paraId="6259B9E4" w14:textId="1E9AA976"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El importe máximo que deba destinarse para cubrir los gastos y costos relacionados con la contratación del Financiamiento FAFEF, deberá sujetarse a lo previsto en la legislación aplicable, incluyendo, de manera enunciativa, m</w:t>
      </w:r>
      <w:r w:rsidR="00F75443">
        <w:rPr>
          <w:rFonts w:ascii="Century Gothic" w:hAnsi="Century Gothic" w:cs="Arial"/>
        </w:rPr>
        <w:t>a</w:t>
      </w:r>
      <w:r w:rsidRPr="00286308">
        <w:rPr>
          <w:rFonts w:ascii="Century Gothic" w:hAnsi="Century Gothic" w:cs="Arial"/>
        </w:rPr>
        <w:t xml:space="preserve">s no limitativa, la Ley de Disciplina Financiera de las Entidades Federativas y los Municipios, y el Reglamento del Registro Público Único de Financiamientos y </w:t>
      </w:r>
      <w:r w:rsidR="006F7EF2">
        <w:rPr>
          <w:rFonts w:ascii="Century Gothic" w:hAnsi="Century Gothic" w:cs="Arial"/>
        </w:rPr>
        <w:t>O</w:t>
      </w:r>
      <w:r w:rsidRPr="00286308">
        <w:rPr>
          <w:rFonts w:ascii="Century Gothic" w:hAnsi="Century Gothic" w:cs="Arial"/>
        </w:rPr>
        <w:t>bligaciones de Entidades Federativas y Municipios.</w:t>
      </w:r>
    </w:p>
    <w:p w14:paraId="273D43DC" w14:textId="77777777" w:rsidR="00A0583F" w:rsidRPr="00286308" w:rsidRDefault="00A0583F" w:rsidP="00A0583F">
      <w:pPr>
        <w:pStyle w:val="Textoindependiente"/>
        <w:spacing w:line="360" w:lineRule="auto"/>
        <w:ind w:left="567" w:right="-187"/>
        <w:rPr>
          <w:rFonts w:ascii="Century Gothic" w:hAnsi="Century Gothic" w:cs="Arial"/>
          <w:b/>
        </w:rPr>
      </w:pPr>
    </w:p>
    <w:p w14:paraId="74611534" w14:textId="343B4656"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u w:val="single"/>
        </w:rPr>
      </w:pPr>
      <w:r w:rsidRPr="00286308">
        <w:rPr>
          <w:rFonts w:ascii="Century Gothic" w:hAnsi="Century Gothic" w:cs="Arial"/>
          <w:u w:val="single"/>
        </w:rPr>
        <w:lastRenderedPageBreak/>
        <w:t>Garantías de Pago Oportuno</w:t>
      </w:r>
      <w:r w:rsidRPr="00286308">
        <w:rPr>
          <w:rFonts w:ascii="Century Gothic" w:hAnsi="Century Gothic" w:cs="Arial"/>
        </w:rPr>
        <w:t>. Con la finalidad de fortalecer la estructura y garantizar a los acreedores del Financiamiento FAFEF, el Estado, podrá contratar con la Banca de Desarrollo o con cualquier otra institución de crédito de nacionalidad mexicana, cualquier tipo o instrumento de garantías de pago oportuno o cualesquier</w:t>
      </w:r>
      <w:r w:rsidR="001E725D">
        <w:rPr>
          <w:rFonts w:ascii="Century Gothic" w:hAnsi="Century Gothic" w:cs="Arial"/>
        </w:rPr>
        <w:t>a</w:t>
      </w:r>
      <w:r w:rsidRPr="00286308">
        <w:rPr>
          <w:rFonts w:ascii="Century Gothic" w:hAnsi="Century Gothic" w:cs="Arial"/>
        </w:rPr>
        <w:t xml:space="preserve"> otros instrumentos o mecanismos de garantía de pago similares o de soporte crediticio, u operaciones similares (“</w:t>
      </w:r>
      <w:r w:rsidRPr="00286308">
        <w:rPr>
          <w:rFonts w:ascii="Century Gothic" w:hAnsi="Century Gothic" w:cs="Arial"/>
          <w:u w:val="single"/>
        </w:rPr>
        <w:t>Garantías de Pago</w:t>
      </w:r>
      <w:r w:rsidRPr="00286308">
        <w:rPr>
          <w:rFonts w:ascii="Century Gothic" w:hAnsi="Century Gothic" w:cs="Arial"/>
        </w:rPr>
        <w:t>”), en favor de los acreedores del Financiamiento FAFEF, denominadas en pesos o en Unidades de Inversión, pagaderas en moneda nacional y dentro del territorio del país, en la inteligencia de que la vigencia de las Garantías de Pago será igual o menor al plazo del Financiamiento FAFEF y hasta por un monto máximo equivalente al 15% (quince por ciento) del saldo insoluto del Financiamiento FAFEF. Los costos y gastos de contratación de las Garantías de Pago anteriormente referidas, no podrán ser cubiertos con los recursos derivados del FAFEF o el Financiamiento FAFEF y deberán tener como fuente de pago Ingresos de Libre Disposición del Estado.</w:t>
      </w:r>
    </w:p>
    <w:p w14:paraId="4B775444" w14:textId="77777777" w:rsidR="00A0583F" w:rsidRPr="00286308" w:rsidRDefault="00A0583F" w:rsidP="00A0583F">
      <w:pPr>
        <w:pStyle w:val="Textoindependiente"/>
        <w:spacing w:line="360" w:lineRule="auto"/>
        <w:ind w:left="567" w:right="-187"/>
        <w:rPr>
          <w:rFonts w:ascii="Century Gothic" w:hAnsi="Century Gothic" w:cs="Arial"/>
          <w:b/>
        </w:rPr>
      </w:pPr>
    </w:p>
    <w:p w14:paraId="3BE88F97" w14:textId="77777777" w:rsidR="00A0583F" w:rsidRPr="00286308" w:rsidRDefault="00A0583F" w:rsidP="00A0583F">
      <w:pPr>
        <w:pStyle w:val="Textoindependiente"/>
        <w:spacing w:line="360" w:lineRule="auto"/>
        <w:ind w:right="-187"/>
        <w:rPr>
          <w:rFonts w:ascii="Century Gothic" w:hAnsi="Century Gothic" w:cs="Arial"/>
          <w:bCs/>
        </w:rPr>
      </w:pPr>
      <w:r w:rsidRPr="00286308">
        <w:rPr>
          <w:rFonts w:ascii="Century Gothic" w:hAnsi="Century Gothic" w:cs="Arial"/>
          <w:b/>
        </w:rPr>
        <w:t>Artículo Segundo.</w:t>
      </w:r>
      <w:r w:rsidRPr="00286308">
        <w:rPr>
          <w:rFonts w:ascii="Century Gothic" w:hAnsi="Century Gothic" w:cs="Arial"/>
          <w:bCs/>
        </w:rPr>
        <w:t xml:space="preserve"> </w:t>
      </w:r>
      <w:r w:rsidRPr="00286308">
        <w:rPr>
          <w:rFonts w:ascii="Century Gothic" w:hAnsi="Century Gothic" w:cs="Arial"/>
          <w:u w:val="single"/>
        </w:rPr>
        <w:t>Financiamiento FAIS.</w:t>
      </w:r>
    </w:p>
    <w:p w14:paraId="63D97A5B" w14:textId="77777777" w:rsidR="00A0583F" w:rsidRPr="00286308" w:rsidRDefault="00A0583F" w:rsidP="00A0583F">
      <w:pPr>
        <w:pStyle w:val="Textoindependiente"/>
        <w:spacing w:line="360" w:lineRule="auto"/>
        <w:ind w:right="-187"/>
        <w:rPr>
          <w:rFonts w:ascii="Century Gothic" w:hAnsi="Century Gothic" w:cs="Arial"/>
          <w:bCs/>
        </w:rPr>
      </w:pPr>
    </w:p>
    <w:p w14:paraId="2937E17B" w14:textId="77777777" w:rsidR="00A0583F" w:rsidRPr="00286308" w:rsidRDefault="00A0583F" w:rsidP="00FF6735">
      <w:pPr>
        <w:pStyle w:val="Prrafodelista"/>
        <w:numPr>
          <w:ilvl w:val="0"/>
          <w:numId w:val="8"/>
        </w:numPr>
        <w:spacing w:after="0" w:line="360" w:lineRule="auto"/>
        <w:ind w:right="-187"/>
        <w:contextualSpacing w:val="0"/>
        <w:jc w:val="both"/>
        <w:rPr>
          <w:rFonts w:ascii="Century Gothic" w:hAnsi="Century Gothic" w:cs="Arial"/>
          <w:vanish/>
          <w:sz w:val="24"/>
          <w:szCs w:val="24"/>
          <w:u w:val="single"/>
        </w:rPr>
      </w:pPr>
    </w:p>
    <w:p w14:paraId="5FD1FF27" w14:textId="5415C3BB"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Autorización</w:t>
      </w:r>
      <w:r w:rsidRPr="00286308">
        <w:rPr>
          <w:rFonts w:ascii="Century Gothic" w:hAnsi="Century Gothic" w:cs="Arial"/>
        </w:rPr>
        <w:t xml:space="preserve">.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w:t>
      </w:r>
      <w:r w:rsidRPr="00286308">
        <w:rPr>
          <w:rFonts w:ascii="Century Gothic" w:hAnsi="Century Gothic" w:cs="Arial"/>
        </w:rPr>
        <w:lastRenderedPageBreak/>
        <w:t>condiciones de mercado, uno o varios financiamientos por la cantidad de hasta $350,000,000.00 (Trescientos cincuenta millones de pesos 00/100 Moneda Nacional)</w:t>
      </w:r>
      <w:r w:rsidRPr="00286308" w:rsidDel="000B5E09">
        <w:rPr>
          <w:rFonts w:ascii="Century Gothic" w:hAnsi="Century Gothic" w:cs="Arial"/>
        </w:rPr>
        <w:t xml:space="preserve"> </w:t>
      </w:r>
      <w:r w:rsidRPr="00286308">
        <w:rPr>
          <w:rFonts w:ascii="Century Gothic" w:hAnsi="Century Gothic" w:cs="Arial"/>
        </w:rPr>
        <w:t>(el “</w:t>
      </w:r>
      <w:r w:rsidRPr="00286308">
        <w:rPr>
          <w:rFonts w:ascii="Century Gothic" w:hAnsi="Century Gothic" w:cs="Arial"/>
          <w:u w:val="single"/>
        </w:rPr>
        <w:t>Financiamiento FAIS</w:t>
      </w:r>
      <w:r w:rsidRPr="00286308">
        <w:rPr>
          <w:rFonts w:ascii="Century Gothic" w:hAnsi="Century Gothic" w:cs="Arial"/>
        </w:rPr>
        <w:t>”), mismo que, de conformidad con lo previsto en el presente Decreto, tendrá como fuente de pago, un porcentaje suficiente de los derechos, e ingresos derivados de los mismos, que le corresponden al Estado del Fondo de Aportaciones para la Infraestructura Social referido en la Ley de Coordinación Fiscal (“</w:t>
      </w:r>
      <w:r w:rsidRPr="00286308">
        <w:rPr>
          <w:rFonts w:ascii="Century Gothic" w:hAnsi="Century Gothic" w:cs="Arial"/>
          <w:u w:val="single"/>
        </w:rPr>
        <w:t>FAIS</w:t>
      </w:r>
      <w:r w:rsidRPr="00286308">
        <w:rPr>
          <w:rFonts w:ascii="Century Gothic" w:hAnsi="Century Gothic" w:cs="Arial"/>
        </w:rPr>
        <w:t>”), y deberá ser destinado a obras de inversión públic</w:t>
      </w:r>
      <w:r w:rsidR="00132893">
        <w:rPr>
          <w:rFonts w:ascii="Century Gothic" w:hAnsi="Century Gothic" w:cs="Arial"/>
        </w:rPr>
        <w:t>o</w:t>
      </w:r>
      <w:r w:rsidRPr="00286308">
        <w:rPr>
          <w:rFonts w:ascii="Century Gothic" w:hAnsi="Century Gothic" w:cs="Arial"/>
        </w:rPr>
        <w:t xml:space="preserve"> productivas en los rubros descritos más adelante en el presente Decreto.</w:t>
      </w:r>
    </w:p>
    <w:p w14:paraId="16366259" w14:textId="77777777" w:rsidR="00A0583F" w:rsidRPr="00286308" w:rsidRDefault="00A0583F" w:rsidP="00A0583F">
      <w:pPr>
        <w:pStyle w:val="Textoindependiente"/>
        <w:spacing w:line="360" w:lineRule="auto"/>
        <w:ind w:right="-187"/>
        <w:rPr>
          <w:rFonts w:ascii="Century Gothic" w:hAnsi="Century Gothic" w:cs="Arial"/>
          <w:b/>
        </w:rPr>
      </w:pPr>
    </w:p>
    <w:p w14:paraId="3F67A861"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El importe del Financiamiento FAIS no comprende intereses, comisiones, ni demás accesorios financieros y legales que deriven del mismo.</w:t>
      </w:r>
    </w:p>
    <w:p w14:paraId="06B365FC" w14:textId="77777777" w:rsidR="00A0583F" w:rsidRPr="00286308" w:rsidRDefault="00A0583F" w:rsidP="00A0583F">
      <w:pPr>
        <w:pStyle w:val="Textoindependiente"/>
        <w:spacing w:line="360" w:lineRule="auto"/>
        <w:ind w:left="567" w:right="-187"/>
        <w:rPr>
          <w:rFonts w:ascii="Century Gothic" w:hAnsi="Century Gothic" w:cs="Arial"/>
          <w:b/>
        </w:rPr>
      </w:pPr>
    </w:p>
    <w:p w14:paraId="2B5C38BC"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La autorización anterior se otorga previo análisis de la capacidad de pago del Estado, el destino de los recursos derivados del Financiamiento FAIS y los recursos que fungirán como fuente de pago de los contratos a través de los cuales se implemente dicho Financiamiento FAIS.</w:t>
      </w:r>
    </w:p>
    <w:p w14:paraId="0BF94304" w14:textId="77777777" w:rsidR="00A0583F" w:rsidRPr="00286308" w:rsidRDefault="00A0583F" w:rsidP="00A0583F">
      <w:pPr>
        <w:pStyle w:val="Textoindependiente"/>
        <w:spacing w:line="360" w:lineRule="auto"/>
        <w:ind w:left="567" w:right="-187"/>
        <w:rPr>
          <w:rFonts w:ascii="Century Gothic" w:hAnsi="Century Gothic" w:cs="Arial"/>
          <w:b/>
        </w:rPr>
      </w:pPr>
    </w:p>
    <w:p w14:paraId="748CA533" w14:textId="2C888E50"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Los costos y gastos relacionados con la realización de los actos y la celebración de los contratos y vehículos necesarios para la implementación del Financiamiento FAIS y</w:t>
      </w:r>
      <w:r w:rsidR="003C2581">
        <w:rPr>
          <w:rFonts w:ascii="Century Gothic" w:hAnsi="Century Gothic" w:cs="Arial"/>
        </w:rPr>
        <w:t>,</w:t>
      </w:r>
      <w:r w:rsidRPr="00286308">
        <w:rPr>
          <w:rFonts w:ascii="Century Gothic" w:hAnsi="Century Gothic" w:cs="Arial"/>
        </w:rPr>
        <w:t xml:space="preserve"> en su caso, la constitución de fondos de reserva del Financiamiento FAIS, no podrán ser cubiertos con los recursos derivados de dicho Financiamiento FAIS o el FAIS y deberán tener una fuente de pago Ingresos de Libre Disposición del Estado. </w:t>
      </w:r>
    </w:p>
    <w:p w14:paraId="52AA90EF" w14:textId="77777777" w:rsidR="00A0583F" w:rsidRPr="00286308" w:rsidRDefault="00A0583F" w:rsidP="00A0583F">
      <w:pPr>
        <w:pStyle w:val="Textoindependiente"/>
        <w:spacing w:line="360" w:lineRule="auto"/>
        <w:ind w:left="567" w:right="-187"/>
        <w:rPr>
          <w:rFonts w:ascii="Century Gothic" w:hAnsi="Century Gothic" w:cs="Arial"/>
          <w:b/>
        </w:rPr>
      </w:pPr>
    </w:p>
    <w:p w14:paraId="748700F4" w14:textId="2F89697E"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lastRenderedPageBreak/>
        <w:t>Destino</w:t>
      </w:r>
      <w:r w:rsidRPr="00286308">
        <w:rPr>
          <w:rFonts w:ascii="Century Gothic" w:hAnsi="Century Gothic" w:cs="Arial"/>
        </w:rPr>
        <w:t>. De conformidad con lo previsto por el artículo 117, fracción VIII, de la Constitución Política de los Estados Unidos Mexicanos, los artículos 33 y 50 de la Ley de Coordinación Fiscal, así como el artículo 2, fracción XXV y 22, primer párrafo  de la Ley de Disciplina Financiera de las Entidades Federativas y los Municipios, los recursos derivados del Financiamiento FAIS deberán ser destinados a proyectos de inversión públic</w:t>
      </w:r>
      <w:r w:rsidR="005E67DA">
        <w:rPr>
          <w:rFonts w:ascii="Century Gothic" w:hAnsi="Century Gothic" w:cs="Arial"/>
        </w:rPr>
        <w:t>o</w:t>
      </w:r>
      <w:r w:rsidRPr="00286308">
        <w:rPr>
          <w:rFonts w:ascii="Century Gothic" w:hAnsi="Century Gothic" w:cs="Arial"/>
        </w:rPr>
        <w:t xml:space="preserve"> productiva que beneficien directamente a: (i) población ubicada en zonas de atención prioritaria, o (</w:t>
      </w:r>
      <w:proofErr w:type="spellStart"/>
      <w:r w:rsidRPr="00286308">
        <w:rPr>
          <w:rFonts w:ascii="Century Gothic" w:hAnsi="Century Gothic" w:cs="Arial"/>
        </w:rPr>
        <w:t>ii</w:t>
      </w:r>
      <w:proofErr w:type="spellEnd"/>
      <w:r w:rsidRPr="00286308">
        <w:rPr>
          <w:rFonts w:ascii="Century Gothic" w:hAnsi="Century Gothic" w:cs="Arial"/>
        </w:rPr>
        <w:t>) población en pobreza extrema, o (</w:t>
      </w:r>
      <w:proofErr w:type="spellStart"/>
      <w:r w:rsidRPr="00286308">
        <w:rPr>
          <w:rFonts w:ascii="Century Gothic" w:hAnsi="Century Gothic" w:cs="Arial"/>
        </w:rPr>
        <w:t>iii</w:t>
      </w:r>
      <w:proofErr w:type="spellEnd"/>
      <w:r w:rsidRPr="00286308">
        <w:rPr>
          <w:rFonts w:ascii="Century Gothic" w:hAnsi="Century Gothic" w:cs="Arial"/>
        </w:rPr>
        <w:t>) localidades con alto o muy alto nivel de rezago social, y enfocadas a:</w:t>
      </w:r>
    </w:p>
    <w:p w14:paraId="565D4A11" w14:textId="77777777" w:rsidR="007C6F12" w:rsidRPr="00286308" w:rsidRDefault="007C6F12" w:rsidP="007C6F12">
      <w:pPr>
        <w:pStyle w:val="Textoindependiente"/>
        <w:spacing w:line="360" w:lineRule="auto"/>
        <w:ind w:left="567" w:right="-187"/>
        <w:rPr>
          <w:rFonts w:ascii="Century Gothic" w:hAnsi="Century Gothic" w:cs="Arial"/>
          <w:b/>
        </w:rPr>
      </w:pPr>
    </w:p>
    <w:p w14:paraId="00CF9D52" w14:textId="77777777" w:rsidR="00A0583F" w:rsidRPr="00286308" w:rsidRDefault="00A0583F" w:rsidP="00FF6735">
      <w:pPr>
        <w:pStyle w:val="Textoindependiente"/>
        <w:numPr>
          <w:ilvl w:val="0"/>
          <w:numId w:val="14"/>
        </w:numPr>
        <w:spacing w:line="360" w:lineRule="auto"/>
        <w:ind w:left="1134" w:right="-187" w:hanging="567"/>
        <w:rPr>
          <w:rFonts w:ascii="Century Gothic" w:hAnsi="Century Gothic" w:cs="Arial"/>
          <w:b/>
          <w:u w:val="single"/>
        </w:rPr>
      </w:pPr>
      <w:r w:rsidRPr="00286308">
        <w:rPr>
          <w:rFonts w:ascii="Century Gothic" w:hAnsi="Century Gothic" w:cs="Arial"/>
        </w:rPr>
        <w:t xml:space="preserve">La construcción, </w:t>
      </w:r>
      <w:proofErr w:type="gramStart"/>
      <w:r w:rsidRPr="00286308">
        <w:rPr>
          <w:rFonts w:ascii="Century Gothic" w:hAnsi="Century Gothic" w:cs="Arial"/>
        </w:rPr>
        <w:t>ampliación,  rehabilitación</w:t>
      </w:r>
      <w:proofErr w:type="gramEnd"/>
      <w:r w:rsidRPr="00286308">
        <w:rPr>
          <w:rFonts w:ascii="Century Gothic" w:hAnsi="Century Gothic" w:cs="Arial"/>
        </w:rPr>
        <w:t xml:space="preserve"> y equipamiento de los sistemas de suministro de agua potable, alcantarillado y drenaje.</w:t>
      </w:r>
    </w:p>
    <w:p w14:paraId="37D301C5" w14:textId="77777777" w:rsidR="00A0583F" w:rsidRPr="00286308" w:rsidRDefault="00A0583F" w:rsidP="00A0583F">
      <w:pPr>
        <w:pStyle w:val="Textoindependiente"/>
        <w:spacing w:line="360" w:lineRule="auto"/>
        <w:ind w:left="1134" w:right="-187"/>
        <w:rPr>
          <w:rFonts w:ascii="Century Gothic" w:hAnsi="Century Gothic" w:cs="Arial"/>
          <w:b/>
          <w:u w:val="single"/>
        </w:rPr>
      </w:pPr>
    </w:p>
    <w:p w14:paraId="34F7B823" w14:textId="77777777" w:rsidR="00A0583F" w:rsidRPr="00286308" w:rsidRDefault="00A0583F" w:rsidP="00FF6735">
      <w:pPr>
        <w:pStyle w:val="Textoindependiente"/>
        <w:numPr>
          <w:ilvl w:val="0"/>
          <w:numId w:val="14"/>
        </w:numPr>
        <w:spacing w:line="360" w:lineRule="auto"/>
        <w:ind w:left="1134" w:right="-187" w:hanging="567"/>
        <w:rPr>
          <w:rFonts w:ascii="Century Gothic" w:hAnsi="Century Gothic" w:cs="Arial"/>
          <w:b/>
        </w:rPr>
      </w:pPr>
      <w:r w:rsidRPr="00286308">
        <w:rPr>
          <w:rFonts w:ascii="Century Gothic" w:hAnsi="Century Gothic" w:cs="Arial"/>
        </w:rPr>
        <w:t>La construcción, ampliación, rehabilitación</w:t>
      </w:r>
      <w:r w:rsidRPr="00286308" w:rsidDel="00CF3070">
        <w:rPr>
          <w:rFonts w:ascii="Century Gothic" w:hAnsi="Century Gothic" w:cs="Arial"/>
        </w:rPr>
        <w:t xml:space="preserve"> </w:t>
      </w:r>
      <w:r w:rsidRPr="00286308">
        <w:rPr>
          <w:rFonts w:ascii="Century Gothic" w:hAnsi="Century Gothic" w:cs="Arial"/>
        </w:rPr>
        <w:t>y equipamiento de caminos rurales, carreteras y pavimentación, así como calles, guarniciones y banquetas, puentes e infraestructura para personas con discapacidad.</w:t>
      </w:r>
    </w:p>
    <w:p w14:paraId="1E5FE64B" w14:textId="77777777" w:rsidR="00A0583F" w:rsidRPr="00286308" w:rsidRDefault="00A0583F" w:rsidP="00A0583F">
      <w:pPr>
        <w:pStyle w:val="Prrafodelista"/>
        <w:spacing w:line="360" w:lineRule="auto"/>
        <w:rPr>
          <w:rFonts w:ascii="Century Gothic" w:hAnsi="Century Gothic" w:cs="Arial"/>
          <w:sz w:val="24"/>
          <w:szCs w:val="24"/>
        </w:rPr>
      </w:pPr>
    </w:p>
    <w:p w14:paraId="60127AF9" w14:textId="77777777" w:rsidR="00A0583F" w:rsidRPr="00286308" w:rsidRDefault="00A0583F" w:rsidP="00FF6735">
      <w:pPr>
        <w:pStyle w:val="Textoindependiente"/>
        <w:numPr>
          <w:ilvl w:val="0"/>
          <w:numId w:val="14"/>
        </w:numPr>
        <w:spacing w:line="360" w:lineRule="auto"/>
        <w:ind w:left="1134" w:right="-187" w:hanging="567"/>
        <w:rPr>
          <w:rFonts w:ascii="Century Gothic" w:hAnsi="Century Gothic" w:cs="Arial"/>
          <w:b/>
        </w:rPr>
      </w:pPr>
      <w:r w:rsidRPr="00286308">
        <w:rPr>
          <w:rFonts w:ascii="Century Gothic" w:hAnsi="Century Gothic" w:cs="Arial"/>
        </w:rPr>
        <w:t>La construcción, ampliación, rehabilitación y equipamiento</w:t>
      </w:r>
      <w:r w:rsidRPr="00286308" w:rsidDel="00CF3070">
        <w:rPr>
          <w:rFonts w:ascii="Century Gothic" w:hAnsi="Century Gothic" w:cs="Arial"/>
        </w:rPr>
        <w:t xml:space="preserve"> </w:t>
      </w:r>
      <w:r w:rsidRPr="00286308">
        <w:rPr>
          <w:rFonts w:ascii="Century Gothic" w:hAnsi="Century Gothic" w:cs="Arial"/>
        </w:rPr>
        <w:t>de redes eléctricas.</w:t>
      </w:r>
    </w:p>
    <w:p w14:paraId="40049758" w14:textId="77777777" w:rsidR="00A0583F" w:rsidRPr="00286308" w:rsidRDefault="00A0583F" w:rsidP="00A0583F">
      <w:pPr>
        <w:pStyle w:val="Prrafodelista"/>
        <w:spacing w:line="360" w:lineRule="auto"/>
        <w:rPr>
          <w:rFonts w:ascii="Century Gothic" w:hAnsi="Century Gothic" w:cs="Arial"/>
          <w:sz w:val="24"/>
          <w:szCs w:val="24"/>
        </w:rPr>
      </w:pPr>
    </w:p>
    <w:p w14:paraId="0B2EF299" w14:textId="77777777" w:rsidR="00A0583F" w:rsidRPr="00286308" w:rsidRDefault="00A0583F" w:rsidP="00FF6735">
      <w:pPr>
        <w:pStyle w:val="Textoindependiente"/>
        <w:numPr>
          <w:ilvl w:val="0"/>
          <w:numId w:val="14"/>
        </w:numPr>
        <w:spacing w:line="360" w:lineRule="auto"/>
        <w:ind w:left="1134" w:right="-187" w:hanging="567"/>
        <w:rPr>
          <w:rFonts w:ascii="Century Gothic" w:hAnsi="Century Gothic" w:cs="Arial"/>
          <w:b/>
        </w:rPr>
      </w:pPr>
      <w:r w:rsidRPr="00286308">
        <w:rPr>
          <w:rFonts w:ascii="Century Gothic" w:hAnsi="Century Gothic" w:cs="Arial"/>
        </w:rPr>
        <w:t xml:space="preserve">La construcción, </w:t>
      </w:r>
      <w:proofErr w:type="gramStart"/>
      <w:r w:rsidRPr="00286308">
        <w:rPr>
          <w:rFonts w:ascii="Century Gothic" w:hAnsi="Century Gothic" w:cs="Arial"/>
        </w:rPr>
        <w:t>ampliación,  rehabilitación</w:t>
      </w:r>
      <w:proofErr w:type="gramEnd"/>
      <w:r w:rsidRPr="00286308">
        <w:rPr>
          <w:rFonts w:ascii="Century Gothic" w:hAnsi="Century Gothic" w:cs="Arial"/>
        </w:rPr>
        <w:t xml:space="preserve"> y equipamiento de infraestructura básica del sector salud.</w:t>
      </w:r>
    </w:p>
    <w:p w14:paraId="231D9314" w14:textId="77777777" w:rsidR="00A0583F" w:rsidRPr="00286308" w:rsidRDefault="00A0583F" w:rsidP="00A0583F">
      <w:pPr>
        <w:pStyle w:val="Prrafodelista"/>
        <w:spacing w:line="360" w:lineRule="auto"/>
        <w:rPr>
          <w:rFonts w:ascii="Century Gothic" w:hAnsi="Century Gothic" w:cs="Arial"/>
          <w:sz w:val="24"/>
          <w:szCs w:val="24"/>
        </w:rPr>
      </w:pPr>
    </w:p>
    <w:p w14:paraId="40A02249" w14:textId="0FDDE314" w:rsidR="00A0583F" w:rsidRPr="00286308" w:rsidRDefault="00A0583F" w:rsidP="00A0583F">
      <w:pPr>
        <w:pStyle w:val="Textoindependiente"/>
        <w:spacing w:line="360" w:lineRule="auto"/>
        <w:ind w:left="1134" w:right="-187"/>
        <w:rPr>
          <w:rFonts w:ascii="Century Gothic" w:hAnsi="Century Gothic" w:cs="Arial"/>
        </w:rPr>
      </w:pPr>
      <w:r w:rsidRPr="00286308">
        <w:rPr>
          <w:rFonts w:ascii="Century Gothic" w:hAnsi="Century Gothic" w:cs="Arial"/>
        </w:rPr>
        <w:t>El detalle de las inversiones públicas productivas a ser desarrolladas conforme a lo anterior</w:t>
      </w:r>
      <w:r w:rsidR="00460A9E">
        <w:rPr>
          <w:rFonts w:ascii="Century Gothic" w:hAnsi="Century Gothic" w:cs="Arial"/>
        </w:rPr>
        <w:t>,</w:t>
      </w:r>
      <w:r w:rsidRPr="00286308">
        <w:rPr>
          <w:rFonts w:ascii="Century Gothic" w:hAnsi="Century Gothic" w:cs="Arial"/>
        </w:rPr>
        <w:t xml:space="preserve"> deberá incluirse dentro de los contratos a través de los cuales se implemente el Financiamiento FAIS.</w:t>
      </w:r>
    </w:p>
    <w:p w14:paraId="22695FBC" w14:textId="77777777" w:rsidR="000E773D" w:rsidRPr="00286308" w:rsidRDefault="000E773D" w:rsidP="00A0583F">
      <w:pPr>
        <w:pStyle w:val="Textoindependiente"/>
        <w:spacing w:line="360" w:lineRule="auto"/>
        <w:ind w:left="1134" w:right="-187"/>
        <w:rPr>
          <w:rFonts w:ascii="Century Gothic" w:hAnsi="Century Gothic" w:cs="Arial"/>
          <w:b/>
        </w:rPr>
      </w:pPr>
    </w:p>
    <w:p w14:paraId="4CA73097"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Fuente de pago</w:t>
      </w:r>
      <w:r w:rsidRPr="00286308">
        <w:rPr>
          <w:rFonts w:ascii="Century Gothic" w:hAnsi="Century Gothic" w:cs="Arial"/>
        </w:rPr>
        <w:t>. Se autoriza al Estado para afectar como fuente de pago de todas y cada una de las obligaciones que deriven del Financiamiento FAIS, hasta el 25% (veinticinco por ciento) de los derechos, e ingresos derivados de los mismos, que le corresponden al Estado del FAIS, de conformidad con la Ley de Coordinación Fiscal, así como aquellos fondos que en su caso lo remplacen, sustituyan o complementen de tiempo en tiempo.</w:t>
      </w:r>
    </w:p>
    <w:p w14:paraId="44FFE36D" w14:textId="77777777" w:rsidR="00A0583F" w:rsidRPr="00286308" w:rsidRDefault="00A0583F" w:rsidP="00A0583F">
      <w:pPr>
        <w:spacing w:line="360" w:lineRule="auto"/>
        <w:rPr>
          <w:rFonts w:ascii="Century Gothic" w:hAnsi="Century Gothic" w:cs="Arial"/>
          <w:b/>
          <w:sz w:val="24"/>
          <w:szCs w:val="24"/>
        </w:rPr>
      </w:pPr>
    </w:p>
    <w:p w14:paraId="27C4ACE2" w14:textId="633B34F5"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 xml:space="preserve">Lo anterior en el entendido de que, de conformidad con el artículo 50 de la Ley de Coordinación Fiscal, para obligaciones pagaderas en dos o más ejercicios fiscales, para cada ejercicio podrá destinarse al servicio de </w:t>
      </w:r>
      <w:r w:rsidR="00460A9E">
        <w:rPr>
          <w:rFonts w:ascii="Century Gothic" w:hAnsi="Century Gothic" w:cs="Arial"/>
        </w:rPr>
        <w:t>e</w:t>
      </w:r>
      <w:r w:rsidRPr="00286308">
        <w:rPr>
          <w:rFonts w:ascii="Century Gothic" w:hAnsi="Century Gothic" w:cs="Arial"/>
        </w:rPr>
        <w:t>stas, lo que resulte mayor entre aplicar hasta el 25% (veinticinco por ciento) a los recursos del FAIS que le corresponden al Estado del ejercicio fiscal que esté transcurriendo</w:t>
      </w:r>
      <w:r w:rsidR="00D266C2">
        <w:rPr>
          <w:rFonts w:ascii="Century Gothic" w:hAnsi="Century Gothic" w:cs="Arial"/>
        </w:rPr>
        <w:t>,</w:t>
      </w:r>
      <w:r w:rsidRPr="00286308">
        <w:rPr>
          <w:rFonts w:ascii="Century Gothic" w:hAnsi="Century Gothic" w:cs="Arial"/>
        </w:rPr>
        <w:t xml:space="preserve"> o los recursos del FAIS correspondientes al año en que las obligaciones hayan sido contratadas.</w:t>
      </w:r>
    </w:p>
    <w:p w14:paraId="3F291D3D" w14:textId="77777777" w:rsidR="00A0583F" w:rsidRPr="00286308" w:rsidRDefault="00A0583F" w:rsidP="00A0583F">
      <w:pPr>
        <w:pStyle w:val="Textoindependiente"/>
        <w:spacing w:line="360" w:lineRule="auto"/>
        <w:ind w:left="567" w:right="-187"/>
        <w:rPr>
          <w:rFonts w:ascii="Century Gothic" w:hAnsi="Century Gothic" w:cs="Arial"/>
          <w:b/>
        </w:rPr>
      </w:pPr>
    </w:p>
    <w:p w14:paraId="27537D69"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 xml:space="preserve">El Estado deberá realizar las afectaciones anteriormente referidas, de manera irrevocable y hasta por el plazo suficiente para liquidar totalmente las obligaciones que deriven del Financiamiento FAIS </w:t>
      </w:r>
      <w:r w:rsidRPr="00286308">
        <w:rPr>
          <w:rFonts w:ascii="Century Gothic" w:hAnsi="Century Gothic" w:cs="Arial"/>
        </w:rPr>
        <w:lastRenderedPageBreak/>
        <w:t>contratado al amparo del presente Decreto. Dicha afectación permanecerá vigente en tanto existan obligaciones pendientes de pago, y a cargo del Estado, derivadas del Financiamiento FAIS.</w:t>
      </w:r>
    </w:p>
    <w:p w14:paraId="48FEED3A" w14:textId="77777777" w:rsidR="00A0583F" w:rsidRPr="00286308" w:rsidRDefault="00A0583F" w:rsidP="00A0583F">
      <w:pPr>
        <w:pStyle w:val="Textoindependiente"/>
        <w:spacing w:line="360" w:lineRule="auto"/>
        <w:ind w:left="567" w:right="-187"/>
        <w:rPr>
          <w:rFonts w:ascii="Century Gothic" w:hAnsi="Century Gothic" w:cs="Arial"/>
          <w:b/>
        </w:rPr>
      </w:pPr>
    </w:p>
    <w:p w14:paraId="76DF99DE"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El Estado deberá notificar a la Secretaría de Hacienda y Crédito Público, así como a cualquier otra autoridad que resulte competente, respecto de la afectación de las aportaciones del FAIS autorizada en el presente Decreto, instruyéndolas irrevocablemente para efectos de que, en cada ministración, entrega, anticipo, ajuste o entero, abonen los flujos respectivos en el o los fideicomisos de fuente de pago que para tales efectos constituya, o modifique el Estado, de conformidad con lo previsto en el presente Decreto, y hasta por el plazo necesario para liquidar totalmente las obligaciones que deriven del Financiamiento FAIS contratado al amparo del presente Decreto.</w:t>
      </w:r>
    </w:p>
    <w:p w14:paraId="7B1EC4A5" w14:textId="77777777" w:rsidR="00A0583F" w:rsidRPr="00286308" w:rsidRDefault="00A0583F" w:rsidP="00A0583F">
      <w:pPr>
        <w:pStyle w:val="Textoindependiente"/>
        <w:spacing w:line="360" w:lineRule="auto"/>
        <w:ind w:left="567" w:right="-187"/>
        <w:rPr>
          <w:rFonts w:ascii="Century Gothic" w:hAnsi="Century Gothic" w:cs="Arial"/>
          <w:b/>
        </w:rPr>
      </w:pPr>
    </w:p>
    <w:p w14:paraId="666AD677" w14:textId="19015A7C"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 xml:space="preserve">Asimismo, el Estado, a través del </w:t>
      </w:r>
      <w:r w:rsidR="00D40BB6">
        <w:rPr>
          <w:rFonts w:ascii="Century Gothic" w:hAnsi="Century Gothic" w:cs="Arial"/>
        </w:rPr>
        <w:t>P</w:t>
      </w:r>
      <w:r w:rsidRPr="00286308">
        <w:rPr>
          <w:rFonts w:ascii="Century Gothic" w:hAnsi="Century Gothic" w:cs="Arial"/>
        </w:rPr>
        <w:t xml:space="preserve">oder </w:t>
      </w:r>
      <w:r w:rsidR="00D40BB6">
        <w:rPr>
          <w:rFonts w:ascii="Century Gothic" w:hAnsi="Century Gothic" w:cs="Arial"/>
        </w:rPr>
        <w:t>E</w:t>
      </w:r>
      <w:r w:rsidRPr="00286308">
        <w:rPr>
          <w:rFonts w:ascii="Century Gothic" w:hAnsi="Century Gothic" w:cs="Arial"/>
        </w:rPr>
        <w:t>jecutivo, y por conducto de la Secretaría de Hacienda, realizará las gestiones necesarias para que el porcentaje afecto de las aportaciones del FAIS ingresen al o los fideicomisos de fuente de pago que para tales efectos constituya o modifique el Estado de conformidad con el presente Decreto, con la finalidad de que el fiduciario que administre los mismos tenga el control necesario sobre los recursos para el pago de las obligaciones que deriven del Financiamiento FAIS.</w:t>
      </w:r>
    </w:p>
    <w:p w14:paraId="2BB27C0F" w14:textId="77777777" w:rsidR="00A0583F" w:rsidRPr="00286308" w:rsidRDefault="00A0583F" w:rsidP="00A0583F">
      <w:pPr>
        <w:pStyle w:val="Textoindependiente"/>
        <w:spacing w:line="360" w:lineRule="auto"/>
        <w:ind w:left="567" w:right="-187"/>
        <w:rPr>
          <w:rFonts w:ascii="Century Gothic" w:hAnsi="Century Gothic" w:cs="Arial"/>
          <w:b/>
        </w:rPr>
      </w:pPr>
    </w:p>
    <w:p w14:paraId="794E0358" w14:textId="6563F79E"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lastRenderedPageBreak/>
        <w:t>Con independencia del mecanismo o vehículo al que se afecten las aportaciones del FAIS que funjan como fuente de pago del Financiamiento FAIS, su afectación: (a) no podrá ser revocada o revertida sin el consentimiento previo, expreso y por escrito de las instituciones financieras mexicanas que hubieren otorgado los financiamientos a través de los cuales se implemente el Financiamiento FAIS; y (b) se considerará válida y vigente, independientemente de que se modifique su denominación o se sustituya por uno o varios nuevos conceptos que se refieran a situaciones jurídicas o de hecho iguales o similares, a las que dan origen a las aportaciones federales del FAIS.</w:t>
      </w:r>
    </w:p>
    <w:p w14:paraId="40E33424" w14:textId="77777777" w:rsidR="00A0583F" w:rsidRPr="00286308" w:rsidRDefault="00A0583F" w:rsidP="00A0583F">
      <w:pPr>
        <w:pStyle w:val="Textoindependiente"/>
        <w:spacing w:line="360" w:lineRule="auto"/>
        <w:ind w:left="567" w:right="-187"/>
        <w:rPr>
          <w:rFonts w:ascii="Century Gothic" w:hAnsi="Century Gothic" w:cs="Arial"/>
          <w:b/>
        </w:rPr>
      </w:pPr>
    </w:p>
    <w:p w14:paraId="67541594" w14:textId="52672305"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Mecanismo de Administración y Fuente de Pago</w:t>
      </w:r>
      <w:r w:rsidRPr="00286308">
        <w:rPr>
          <w:rFonts w:ascii="Century Gothic" w:hAnsi="Century Gothic" w:cs="Arial"/>
        </w:rPr>
        <w:t>. Se autoriza al Estado para constituir o modificar, por conducto de la Secretaría de Hacienda, el o los mecanismos de administración, y fuente de pago, o cualquier otro acto jurídico análogo, que considere necesario para cumplir con las obligaciones de pago a su cargo que deriven de los contratos a través de los cuales se implemente el Financiamiento FAIS, incluyendo, de manera enunciativa, m</w:t>
      </w:r>
      <w:r w:rsidR="00DA0B98">
        <w:rPr>
          <w:rFonts w:ascii="Century Gothic" w:hAnsi="Century Gothic" w:cs="Arial"/>
        </w:rPr>
        <w:t>a</w:t>
      </w:r>
      <w:r w:rsidRPr="00286308">
        <w:rPr>
          <w:rFonts w:ascii="Century Gothic" w:hAnsi="Century Gothic" w:cs="Arial"/>
        </w:rPr>
        <w:t>s no limitativa, fideicomisos irrevocables de administración y fuente de pago; a los que podrá afectar irrevocablemente las aportaciones federales del FAIS como fuente de pago y que deberán tener entre sus fines servir como mecanismo de fuente de pago de las obligaciones a cargo del Estado que deriven de dichos contratos a través de los cuales se implemente el Financiamiento FAIS.</w:t>
      </w:r>
    </w:p>
    <w:p w14:paraId="1FCCBA11" w14:textId="77777777" w:rsidR="00A0583F" w:rsidRPr="00286308" w:rsidRDefault="00A0583F" w:rsidP="00A0583F">
      <w:pPr>
        <w:pStyle w:val="Textoindependiente"/>
        <w:spacing w:line="360" w:lineRule="auto"/>
        <w:ind w:left="567" w:right="-187"/>
        <w:rPr>
          <w:rFonts w:ascii="Century Gothic" w:hAnsi="Century Gothic" w:cs="Arial"/>
          <w:b/>
          <w:u w:val="single"/>
        </w:rPr>
      </w:pPr>
    </w:p>
    <w:p w14:paraId="0C0AD5DA"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lastRenderedPageBreak/>
        <w:t xml:space="preserve">Los fideicomisos de administración y fuente de pago, no serán considerados en ningún caso como parte de la administración pública paraestatal, en el entendido que su supervisión y control estarán sujetos a lo dispuesto en las disposiciones legales aplicables. </w:t>
      </w:r>
    </w:p>
    <w:p w14:paraId="16BABE1A" w14:textId="77777777" w:rsidR="00A0583F" w:rsidRPr="00286308" w:rsidRDefault="00A0583F" w:rsidP="00A0583F">
      <w:pPr>
        <w:pStyle w:val="Textoindependiente"/>
        <w:spacing w:line="360" w:lineRule="auto"/>
        <w:ind w:left="567" w:right="-187"/>
        <w:rPr>
          <w:rFonts w:ascii="Century Gothic" w:hAnsi="Century Gothic" w:cs="Arial"/>
          <w:b/>
        </w:rPr>
      </w:pPr>
    </w:p>
    <w:p w14:paraId="151B9DE0" w14:textId="3B4C9753"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Asimismo, dichos fideicomisos serán irrevocables y, por lo tanto, s</w:t>
      </w:r>
      <w:r w:rsidR="00662342">
        <w:rPr>
          <w:rFonts w:ascii="Century Gothic" w:hAnsi="Century Gothic" w:cs="Arial"/>
        </w:rPr>
        <w:t>o</w:t>
      </w:r>
      <w:r w:rsidRPr="00286308">
        <w:rPr>
          <w:rFonts w:ascii="Century Gothic" w:hAnsi="Century Gothic" w:cs="Arial"/>
        </w:rPr>
        <w:t>lo podrán ser terminados de conformidad con lo que expresamente se pacte en el o los mismos. Con independencia de su naturaleza</w:t>
      </w:r>
      <w:r w:rsidR="00662342">
        <w:rPr>
          <w:rFonts w:ascii="Century Gothic" w:hAnsi="Century Gothic" w:cs="Arial"/>
        </w:rPr>
        <w:t>,</w:t>
      </w:r>
      <w:r w:rsidRPr="00286308">
        <w:rPr>
          <w:rFonts w:ascii="Century Gothic" w:hAnsi="Century Gothic" w:cs="Arial"/>
        </w:rPr>
        <w:t xml:space="preserve">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14:paraId="5F845737" w14:textId="77777777" w:rsidR="00A0583F" w:rsidRPr="00286308" w:rsidRDefault="00A0583F" w:rsidP="00A0583F">
      <w:pPr>
        <w:pStyle w:val="Textoindependiente"/>
        <w:spacing w:line="360" w:lineRule="auto"/>
        <w:ind w:left="567" w:right="-187"/>
        <w:rPr>
          <w:rFonts w:ascii="Century Gothic" w:hAnsi="Century Gothic" w:cs="Arial"/>
          <w:b/>
        </w:rPr>
      </w:pPr>
    </w:p>
    <w:p w14:paraId="7312C5B3"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Plazo máximo de Vigencia del Financiamiento FAIS</w:t>
      </w:r>
      <w:r w:rsidRPr="00286308">
        <w:rPr>
          <w:rFonts w:ascii="Century Gothic" w:hAnsi="Century Gothic" w:cs="Arial"/>
        </w:rPr>
        <w:t xml:space="preserve">. Para cada uno de los contratos a través de los cuales se implemente el Financiamiento FAIS, hasta 20 (veinte) años, equivalentes a 7,305 (siete mil trescientos cinco) días contados a partir de la fecha en que se celebren dichos contratos o de la fecha en que se realice la primera disposición de los recursos. </w:t>
      </w:r>
    </w:p>
    <w:p w14:paraId="3237535F" w14:textId="77777777" w:rsidR="00A0583F" w:rsidRPr="00286308" w:rsidRDefault="00A0583F" w:rsidP="00A0583F">
      <w:pPr>
        <w:pStyle w:val="Textoindependiente"/>
        <w:spacing w:line="360" w:lineRule="auto"/>
        <w:ind w:left="567" w:right="-187"/>
        <w:rPr>
          <w:rFonts w:ascii="Century Gothic" w:hAnsi="Century Gothic" w:cs="Arial"/>
          <w:b/>
          <w:u w:val="single"/>
        </w:rPr>
      </w:pPr>
    </w:p>
    <w:p w14:paraId="0F863A5B"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 xml:space="preserve">En todo caso, los contratos mediante los cuales se formalice el Financiamiento FAIS permanecerán vigentes, mientras existan obligaciones pendientes de pago a favor de los acreedores respectivos. </w:t>
      </w:r>
    </w:p>
    <w:p w14:paraId="2B797C8B" w14:textId="77777777" w:rsidR="00A0583F" w:rsidRPr="00286308" w:rsidRDefault="00A0583F" w:rsidP="00A0583F">
      <w:pPr>
        <w:pStyle w:val="Textoindependiente"/>
        <w:spacing w:line="360" w:lineRule="auto"/>
        <w:ind w:left="567" w:right="-187"/>
        <w:rPr>
          <w:rFonts w:ascii="Century Gothic" w:hAnsi="Century Gothic" w:cs="Arial"/>
          <w:b/>
        </w:rPr>
      </w:pPr>
    </w:p>
    <w:p w14:paraId="6EAB9EE9" w14:textId="04561808"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lastRenderedPageBreak/>
        <w:t>Plazo máximo de Contratación y vigencia de la autorización</w:t>
      </w:r>
      <w:r w:rsidRPr="00286308">
        <w:rPr>
          <w:rFonts w:ascii="Century Gothic" w:hAnsi="Century Gothic" w:cs="Arial"/>
        </w:rPr>
        <w:t>. Cada uno de los contratos a través de los cuales se implemente el Financiamiento FAIS deberán ser celebrados, a más tardar el 31 de diciembre de 2023. De igual forma el Estado, a través de la Secretaría</w:t>
      </w:r>
      <w:r w:rsidR="00662342">
        <w:rPr>
          <w:rFonts w:ascii="Century Gothic" w:hAnsi="Century Gothic" w:cs="Arial"/>
        </w:rPr>
        <w:t>,</w:t>
      </w:r>
      <w:r w:rsidRPr="00286308">
        <w:rPr>
          <w:rFonts w:ascii="Century Gothic" w:hAnsi="Century Gothic" w:cs="Arial"/>
        </w:rPr>
        <w:t xml:space="preserve"> podrá ejercer la presente autorización hasta el 31 de diciembre de 2023.</w:t>
      </w:r>
    </w:p>
    <w:p w14:paraId="48FC363F" w14:textId="77777777" w:rsidR="00A0583F" w:rsidRPr="00286308" w:rsidRDefault="00A0583F" w:rsidP="00A0583F">
      <w:pPr>
        <w:pStyle w:val="Textoindependiente"/>
        <w:spacing w:line="360" w:lineRule="auto"/>
        <w:ind w:left="567" w:right="-187"/>
        <w:rPr>
          <w:rFonts w:ascii="Century Gothic" w:hAnsi="Century Gothic" w:cs="Arial"/>
          <w:b/>
        </w:rPr>
      </w:pPr>
    </w:p>
    <w:p w14:paraId="21FBB756" w14:textId="77777777" w:rsidR="0013165C" w:rsidRPr="00286308" w:rsidRDefault="00A0583F" w:rsidP="00FF6735">
      <w:pPr>
        <w:pStyle w:val="Textoindependiente"/>
        <w:numPr>
          <w:ilvl w:val="1"/>
          <w:numId w:val="8"/>
        </w:numPr>
        <w:spacing w:line="360" w:lineRule="auto"/>
        <w:ind w:left="567" w:right="-187" w:hanging="567"/>
        <w:rPr>
          <w:rFonts w:ascii="Century Gothic" w:hAnsi="Century Gothic" w:cs="Arial"/>
          <w:b/>
          <w:u w:val="single"/>
        </w:rPr>
      </w:pPr>
      <w:r w:rsidRPr="00286308">
        <w:rPr>
          <w:rFonts w:ascii="Century Gothic" w:hAnsi="Century Gothic" w:cs="Arial"/>
          <w:u w:val="single"/>
        </w:rPr>
        <w:t>Tasa de Interés.</w:t>
      </w:r>
      <w:r w:rsidRPr="00286308">
        <w:rPr>
          <w:rFonts w:ascii="Century Gothic" w:hAnsi="Century Gothic" w:cs="Arial"/>
        </w:rPr>
        <w:t xml:space="preserve"> El o los contratos a través de los cuales se implemente el Financiamiento FAIS 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w:t>
      </w:r>
    </w:p>
    <w:p w14:paraId="50B52234" w14:textId="77777777" w:rsidR="0013165C" w:rsidRPr="00286308" w:rsidRDefault="0013165C" w:rsidP="0013165C">
      <w:pPr>
        <w:pStyle w:val="Prrafodelista"/>
        <w:rPr>
          <w:rFonts w:ascii="Century Gothic" w:hAnsi="Century Gothic" w:cs="Arial"/>
        </w:rPr>
      </w:pPr>
    </w:p>
    <w:p w14:paraId="1E4C1FDC" w14:textId="399FDF9E"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u w:val="single"/>
        </w:rPr>
      </w:pPr>
      <w:r w:rsidRPr="00286308">
        <w:rPr>
          <w:rFonts w:ascii="Century Gothic" w:hAnsi="Century Gothic" w:cs="Arial"/>
          <w:u w:val="single"/>
        </w:rPr>
        <w:t>Instrumentos Derivados.</w:t>
      </w:r>
      <w:r w:rsidRPr="00286308">
        <w:rPr>
          <w:rFonts w:ascii="Century Gothic" w:hAnsi="Century Gothic" w:cs="Arial"/>
        </w:rPr>
        <w:t xml:space="preserve"> Con base en la presente autorización, el Estado podrá contratar instrumentos derivados, para cubrir hasta la totalidad de los montos expuestos derivados de cada contrato a través del cual se implemente el Financiamiento FAIS y por una vigencia igual o menor al plazo del Financiamiento FAIS, incluyendo, de manera enunciativa, m</w:t>
      </w:r>
      <w:r w:rsidR="0015661D">
        <w:rPr>
          <w:rFonts w:ascii="Century Gothic" w:hAnsi="Century Gothic" w:cs="Arial"/>
        </w:rPr>
        <w:t>a</w:t>
      </w:r>
      <w:r w:rsidRPr="00286308">
        <w:rPr>
          <w:rFonts w:ascii="Century Gothic" w:hAnsi="Century Gothic" w:cs="Arial"/>
        </w:rPr>
        <w:t xml:space="preserve">s no limitativa, contratos de cobertura, </w:t>
      </w:r>
      <w:r w:rsidR="00643C22">
        <w:rPr>
          <w:rFonts w:ascii="Century Gothic" w:hAnsi="Century Gothic" w:cs="Arial"/>
        </w:rPr>
        <w:t xml:space="preserve">o </w:t>
      </w:r>
      <w:r w:rsidRPr="00286308">
        <w:rPr>
          <w:rFonts w:ascii="Century Gothic" w:hAnsi="Century Gothic" w:cs="Arial"/>
        </w:rPr>
        <w:t>contratos de intercambios de tasas. Los costos y gastos de contratación de los instrumentos derivados anteriormente referidos, no podrán ser cubiertos con los recursos derivados del FAFEF o el Financiamiento FAIS y deberán tener como fuente de pago Ingresos de Libre Disposición del Estado.</w:t>
      </w:r>
    </w:p>
    <w:p w14:paraId="696EF6DD" w14:textId="77777777" w:rsidR="00A0583F" w:rsidRPr="00286308" w:rsidRDefault="00A0583F" w:rsidP="00A0583F">
      <w:pPr>
        <w:pStyle w:val="Prrafodelista"/>
        <w:spacing w:line="360" w:lineRule="auto"/>
        <w:rPr>
          <w:rFonts w:ascii="Century Gothic" w:hAnsi="Century Gothic" w:cs="Arial"/>
          <w:b/>
          <w:sz w:val="24"/>
          <w:szCs w:val="24"/>
          <w:u w:val="single"/>
        </w:rPr>
      </w:pPr>
    </w:p>
    <w:p w14:paraId="6101621C" w14:textId="77777777" w:rsidR="00A0583F" w:rsidRPr="00286308" w:rsidRDefault="00A0583F" w:rsidP="00A0583F">
      <w:pPr>
        <w:pStyle w:val="Textoindependiente"/>
        <w:spacing w:line="360" w:lineRule="auto"/>
        <w:ind w:left="567" w:right="-187"/>
        <w:rPr>
          <w:rFonts w:ascii="Century Gothic" w:hAnsi="Century Gothic" w:cs="Arial"/>
          <w:b/>
          <w:u w:val="single"/>
        </w:rPr>
      </w:pPr>
      <w:r w:rsidRPr="00286308">
        <w:rPr>
          <w:rFonts w:ascii="Century Gothic" w:hAnsi="Century Gothic" w:cs="Arial"/>
        </w:rPr>
        <w:lastRenderedPageBreak/>
        <w:t>En caso de que dicha contratación genere deuda adicional contingente, la misma podrá ser hasta: (i) por la cantidad necesaria para cubrir el 100% (cien por ciento) del monto del Financiamiento FAIS y (</w:t>
      </w:r>
      <w:proofErr w:type="spellStart"/>
      <w:r w:rsidRPr="00286308">
        <w:rPr>
          <w:rFonts w:ascii="Century Gothic" w:hAnsi="Century Gothic" w:cs="Arial"/>
        </w:rPr>
        <w:t>ii</w:t>
      </w:r>
      <w:proofErr w:type="spellEnd"/>
      <w:r w:rsidRPr="00286308">
        <w:rPr>
          <w:rFonts w:ascii="Century Gothic" w:hAnsi="Century Gothic" w:cs="Arial"/>
        </w:rPr>
        <w:t>) hasta por el plazo máximo de vigencia del Financiamiento FAIS anteriormente referido.</w:t>
      </w:r>
    </w:p>
    <w:p w14:paraId="0D1DC69C" w14:textId="77777777" w:rsidR="00A0583F" w:rsidRPr="00286308" w:rsidRDefault="00A0583F" w:rsidP="00A0583F">
      <w:pPr>
        <w:pStyle w:val="Textoindependiente"/>
        <w:spacing w:line="360" w:lineRule="auto"/>
        <w:ind w:left="567" w:right="-187"/>
        <w:rPr>
          <w:rFonts w:ascii="Century Gothic" w:hAnsi="Century Gothic" w:cs="Arial"/>
          <w:b/>
          <w:u w:val="single"/>
        </w:rPr>
      </w:pPr>
    </w:p>
    <w:p w14:paraId="4A58FA81" w14:textId="77777777" w:rsidR="00A0583F" w:rsidRPr="00286308" w:rsidRDefault="00A0583F" w:rsidP="00A0583F">
      <w:pPr>
        <w:pStyle w:val="Textoindependiente"/>
        <w:spacing w:line="360" w:lineRule="auto"/>
        <w:ind w:left="567" w:right="-187"/>
        <w:rPr>
          <w:rFonts w:ascii="Century Gothic" w:hAnsi="Century Gothic" w:cs="Arial"/>
          <w:b/>
          <w:u w:val="single"/>
        </w:rPr>
      </w:pPr>
      <w:r w:rsidRPr="00286308">
        <w:rPr>
          <w:rFonts w:ascii="Century Gothic" w:hAnsi="Century Gothic" w:cs="Arial"/>
        </w:rPr>
        <w:t>En caso de que la contratación de los instrumentos derivados genere deuda contingente, la misma deberá ajustarse a lo establecido en la Ley de Deuda Pública para el Estado de Chihuahua y sus Municipios.</w:t>
      </w:r>
    </w:p>
    <w:p w14:paraId="528F0AAB" w14:textId="77777777" w:rsidR="00A0583F" w:rsidRPr="00286308" w:rsidRDefault="00A0583F" w:rsidP="00A0583F">
      <w:pPr>
        <w:pStyle w:val="Prrafodelista"/>
        <w:spacing w:line="360" w:lineRule="auto"/>
        <w:rPr>
          <w:rFonts w:ascii="Century Gothic" w:hAnsi="Century Gothic" w:cs="Arial"/>
          <w:b/>
          <w:sz w:val="24"/>
          <w:szCs w:val="24"/>
        </w:rPr>
      </w:pPr>
    </w:p>
    <w:p w14:paraId="549919DC"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Proceso Competitivo</w:t>
      </w:r>
      <w:r w:rsidRPr="00286308">
        <w:rPr>
          <w:rFonts w:ascii="Century Gothic" w:hAnsi="Century Gothic" w:cs="Arial"/>
        </w:rPr>
        <w:t>. Cada contrato o contratos a través de los cuales se implemente el Financiamiento FAIS, así como los Instrumentos Derivados y Garantías de Pago Oportuno que en su caso el Estado contrate para cubrir los riesgos financieros y/o fortalecer la estructura del Financiamiento FAIS, deberán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14:paraId="108201AA" w14:textId="77777777" w:rsidR="00A0583F" w:rsidRPr="00286308" w:rsidRDefault="00A0583F" w:rsidP="00A0583F">
      <w:pPr>
        <w:pStyle w:val="Prrafodelista"/>
        <w:spacing w:line="360" w:lineRule="auto"/>
        <w:rPr>
          <w:rFonts w:ascii="Century Gothic" w:hAnsi="Century Gothic" w:cs="Arial"/>
          <w:b/>
          <w:sz w:val="24"/>
          <w:szCs w:val="24"/>
        </w:rPr>
      </w:pPr>
    </w:p>
    <w:p w14:paraId="66868A15"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lastRenderedPageBreak/>
        <w:t>El Estado procurará que el proceso competitivo le permita recibir las mejores ofertas del mercado para el Financiamiento FAIS, así como los Instrumentos Derivados y Garantías de Pago Oportuno que en su caso el Estado contrate para cubrir los riesgos financieros y/o fortalecer la estructura del Financiamiento FAIS, por lo que en todo caso deberá considerar y diseñar los procesos competitivos de tal manera que pueda acceder a los esquemas, programas y/o productos bancarios que le permitan obtener las mejores condiciones financieras y legales en el mercado.</w:t>
      </w:r>
    </w:p>
    <w:p w14:paraId="526C31BA" w14:textId="77777777" w:rsidR="00A0583F" w:rsidRPr="00286308" w:rsidRDefault="00A0583F" w:rsidP="00A0583F">
      <w:pPr>
        <w:pStyle w:val="Textoindependiente"/>
        <w:spacing w:line="360" w:lineRule="auto"/>
        <w:ind w:right="-187"/>
        <w:rPr>
          <w:rFonts w:ascii="Century Gothic" w:hAnsi="Century Gothic" w:cs="Arial"/>
          <w:b/>
        </w:rPr>
      </w:pPr>
    </w:p>
    <w:p w14:paraId="1BBC8E34"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Gastos y Fondos de Reserva</w:t>
      </w:r>
      <w:r w:rsidRPr="00286308">
        <w:rPr>
          <w:rFonts w:ascii="Century Gothic" w:hAnsi="Century Gothic" w:cs="Arial"/>
        </w:rPr>
        <w:t>. Se autoriza al Estado, para:</w:t>
      </w:r>
    </w:p>
    <w:p w14:paraId="2BA82E5E" w14:textId="77777777" w:rsidR="00A0583F" w:rsidRPr="00286308" w:rsidRDefault="00A0583F" w:rsidP="00A0583F">
      <w:pPr>
        <w:pStyle w:val="Textoindependiente"/>
        <w:spacing w:line="360" w:lineRule="auto"/>
        <w:ind w:left="567" w:right="-187"/>
        <w:rPr>
          <w:rFonts w:ascii="Century Gothic" w:hAnsi="Century Gothic" w:cs="Arial"/>
          <w:b/>
          <w:u w:val="single"/>
        </w:rPr>
      </w:pPr>
    </w:p>
    <w:p w14:paraId="6E079EF1" w14:textId="77777777" w:rsidR="00A0583F" w:rsidRPr="00286308" w:rsidRDefault="00A0583F" w:rsidP="00FF6735">
      <w:pPr>
        <w:pStyle w:val="Textoindependiente"/>
        <w:numPr>
          <w:ilvl w:val="0"/>
          <w:numId w:val="17"/>
        </w:numPr>
        <w:spacing w:line="360" w:lineRule="auto"/>
        <w:ind w:right="-187"/>
        <w:rPr>
          <w:rFonts w:ascii="Century Gothic" w:hAnsi="Century Gothic" w:cs="Arial"/>
          <w:b/>
        </w:rPr>
      </w:pPr>
      <w:r w:rsidRPr="00286308">
        <w:rPr>
          <w:rFonts w:ascii="Century Gothic" w:hAnsi="Century Gothic" w:cs="Arial"/>
        </w:rPr>
        <w:t>Contratar y pagar, con recursos ajenos al FAIS y al Financiamiento FAIS, los gastos y costos relacionados con la contratación del Financiamiento FAIS, incluyendo sin limitar, comisiones de apertura, comisiones por disposición, comisiones por estructuración, costos por la contratación de calificadoras, de instrumentos derivados y garantías de pago, y cualesquiera otros gastos o costos asociados que en su caso se requieran para el diseño e instrumentación financiera y/o legal de las operaciones a que se refiere la presente autorización y la contratación del Financiamiento FAIS.</w:t>
      </w:r>
    </w:p>
    <w:p w14:paraId="356978BD" w14:textId="77777777" w:rsidR="00A0583F" w:rsidRPr="00286308" w:rsidRDefault="00A0583F" w:rsidP="00A0583F">
      <w:pPr>
        <w:pStyle w:val="Textoindependiente"/>
        <w:spacing w:line="360" w:lineRule="auto"/>
        <w:ind w:left="1134" w:right="-187"/>
        <w:rPr>
          <w:rFonts w:ascii="Century Gothic" w:hAnsi="Century Gothic" w:cs="Arial"/>
          <w:b/>
        </w:rPr>
      </w:pPr>
    </w:p>
    <w:p w14:paraId="2A49C7CC" w14:textId="77777777" w:rsidR="00A0583F" w:rsidRPr="00286308" w:rsidRDefault="00A0583F" w:rsidP="00FF6735">
      <w:pPr>
        <w:pStyle w:val="Textoindependiente"/>
        <w:numPr>
          <w:ilvl w:val="0"/>
          <w:numId w:val="17"/>
        </w:numPr>
        <w:spacing w:line="360" w:lineRule="auto"/>
        <w:ind w:left="1134" w:right="-187" w:hanging="567"/>
        <w:rPr>
          <w:rFonts w:ascii="Century Gothic" w:hAnsi="Century Gothic" w:cs="Arial"/>
          <w:b/>
        </w:rPr>
      </w:pPr>
      <w:r w:rsidRPr="00286308">
        <w:rPr>
          <w:rFonts w:ascii="Century Gothic" w:hAnsi="Century Gothic" w:cs="Arial"/>
        </w:rPr>
        <w:t>Constituir y/o reconstituir, con recursos ajenos al FAIS y al Financiamiento FAIS, el o los fondos de reservas que resulten necesarios para la implementación del Financiamiento FAIS.</w:t>
      </w:r>
    </w:p>
    <w:p w14:paraId="6B82AE7B" w14:textId="77777777" w:rsidR="00A0583F" w:rsidRPr="00286308" w:rsidRDefault="00A0583F" w:rsidP="00A0583F">
      <w:pPr>
        <w:pStyle w:val="Textoindependiente"/>
        <w:spacing w:line="360" w:lineRule="auto"/>
        <w:ind w:left="567" w:right="-187"/>
        <w:rPr>
          <w:rFonts w:ascii="Century Gothic" w:hAnsi="Century Gothic" w:cs="Arial"/>
          <w:b/>
          <w:u w:val="single"/>
        </w:rPr>
      </w:pPr>
    </w:p>
    <w:p w14:paraId="0F6C8891" w14:textId="46DFB09D"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El importe máximo que deba destinarse para cubrir los gastos y costos relacionados con la contratación del Financiamiento FAIS, deberá sujetarse a lo previsto en la legislación aplicable, incluyendo, de manera enunciativa, m</w:t>
      </w:r>
      <w:r w:rsidR="00BC2662">
        <w:rPr>
          <w:rFonts w:ascii="Century Gothic" w:hAnsi="Century Gothic" w:cs="Arial"/>
        </w:rPr>
        <w:t>a</w:t>
      </w:r>
      <w:r w:rsidRPr="00286308">
        <w:rPr>
          <w:rFonts w:ascii="Century Gothic" w:hAnsi="Century Gothic" w:cs="Arial"/>
        </w:rPr>
        <w:t xml:space="preserve">s no limitativa, la Ley de Disciplina Financiera de las Entidades Federativas y los Municipios, y el Reglamento del Registro Público Único de Financiamientos y </w:t>
      </w:r>
      <w:r w:rsidR="00BC2662">
        <w:rPr>
          <w:rFonts w:ascii="Century Gothic" w:hAnsi="Century Gothic" w:cs="Arial"/>
        </w:rPr>
        <w:t>O</w:t>
      </w:r>
      <w:r w:rsidRPr="00286308">
        <w:rPr>
          <w:rFonts w:ascii="Century Gothic" w:hAnsi="Century Gothic" w:cs="Arial"/>
        </w:rPr>
        <w:t>bligaciones de Entidades Federativas y Municipios.</w:t>
      </w:r>
    </w:p>
    <w:p w14:paraId="51BFDB19" w14:textId="77777777" w:rsidR="00A0583F" w:rsidRPr="00286308" w:rsidRDefault="00A0583F" w:rsidP="00A0583F">
      <w:pPr>
        <w:pStyle w:val="Textoindependiente"/>
        <w:spacing w:line="360" w:lineRule="auto"/>
        <w:ind w:left="567" w:right="-187"/>
        <w:rPr>
          <w:rFonts w:ascii="Century Gothic" w:hAnsi="Century Gothic" w:cs="Arial"/>
          <w:b/>
        </w:rPr>
      </w:pPr>
    </w:p>
    <w:p w14:paraId="48451F4E" w14:textId="5C5CF715"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Garantías de Pago Oportuno</w:t>
      </w:r>
      <w:r w:rsidRPr="00286308">
        <w:rPr>
          <w:rFonts w:ascii="Century Gothic" w:hAnsi="Century Gothic" w:cs="Arial"/>
        </w:rPr>
        <w:t>. Con la finalidad de fortalecer la estructura y garantizar a los acreedores del Financiamiento FAIS, el Estado, podrá contratar con la Banca de Desarrollo o con cualquier otra institución de crédito de nacionalidad mexicana, cualquier tipo o instrumento de garantías de pago oportuno, o cualesquier</w:t>
      </w:r>
      <w:r w:rsidR="00C3687D">
        <w:rPr>
          <w:rFonts w:ascii="Century Gothic" w:hAnsi="Century Gothic" w:cs="Arial"/>
        </w:rPr>
        <w:t>a</w:t>
      </w:r>
      <w:r w:rsidRPr="00286308">
        <w:rPr>
          <w:rFonts w:ascii="Century Gothic" w:hAnsi="Century Gothic" w:cs="Arial"/>
        </w:rPr>
        <w:t xml:space="preserve"> otros instrumentos o mecanismos de garantía de pago similares o de soporte crediticio, u operaciones similares, en favor de los acreedores del Financiamiento FAIS, denominadas en pesos o en Unidades de Inversión, pagaderas en moneda nacional y dentro del territorio del país, en la inteligencia de que la vigencia de las Garantías de Pago será igual o menor al plazo del Financiamiento FAIS y hasta por un monto máximo equivalente al 15% (quince por ciento) del saldo insoluto del Financiamiento FAIS. Los costos y gastos de contratación de las Garantías de Pago anteriormente referidas, no podrán ser cubiertos con los recursos derivados del FAIS o el Financiamiento FAIS y deberán tener como fuente de pago Ingresos de Libre Disposición del Estado.</w:t>
      </w:r>
    </w:p>
    <w:p w14:paraId="7E0C8FBE" w14:textId="77777777" w:rsidR="00A0583F" w:rsidRPr="00286308" w:rsidRDefault="00A0583F" w:rsidP="00A0583F">
      <w:pPr>
        <w:pStyle w:val="Textoindependiente"/>
        <w:spacing w:line="360" w:lineRule="auto"/>
        <w:ind w:right="-187"/>
        <w:rPr>
          <w:rFonts w:ascii="Century Gothic" w:hAnsi="Century Gothic" w:cs="Arial"/>
          <w:b/>
        </w:rPr>
      </w:pPr>
      <w:r w:rsidRPr="00286308">
        <w:rPr>
          <w:rFonts w:ascii="Century Gothic" w:hAnsi="Century Gothic" w:cs="Arial"/>
          <w:b/>
        </w:rPr>
        <w:lastRenderedPageBreak/>
        <w:t>Artículo Tercero.</w:t>
      </w:r>
      <w:r w:rsidRPr="00286308">
        <w:rPr>
          <w:rFonts w:ascii="Century Gothic" w:hAnsi="Century Gothic" w:cs="Arial"/>
        </w:rPr>
        <w:t xml:space="preserve"> </w:t>
      </w:r>
      <w:r w:rsidRPr="00286308">
        <w:rPr>
          <w:rFonts w:ascii="Century Gothic" w:hAnsi="Century Gothic" w:cs="Arial"/>
          <w:u w:val="single"/>
        </w:rPr>
        <w:t>Reestructura Emisión CHIHCB</w:t>
      </w:r>
      <w:r w:rsidRPr="00286308">
        <w:rPr>
          <w:rFonts w:ascii="Century Gothic" w:hAnsi="Century Gothic" w:cs="Arial"/>
        </w:rPr>
        <w:t>.</w:t>
      </w:r>
    </w:p>
    <w:p w14:paraId="42F35BE4" w14:textId="77777777" w:rsidR="00A0583F" w:rsidRPr="00286308" w:rsidRDefault="00A0583F" w:rsidP="00A0583F">
      <w:pPr>
        <w:pStyle w:val="Textoindependiente"/>
        <w:spacing w:line="360" w:lineRule="auto"/>
        <w:ind w:right="-187"/>
        <w:rPr>
          <w:rFonts w:ascii="Century Gothic" w:hAnsi="Century Gothic" w:cs="Arial"/>
          <w:b/>
        </w:rPr>
      </w:pPr>
    </w:p>
    <w:p w14:paraId="0D191B03" w14:textId="77777777" w:rsidR="00A0583F" w:rsidRPr="00286308" w:rsidRDefault="00A0583F" w:rsidP="00FF6735">
      <w:pPr>
        <w:pStyle w:val="Prrafodelista"/>
        <w:numPr>
          <w:ilvl w:val="0"/>
          <w:numId w:val="8"/>
        </w:numPr>
        <w:spacing w:after="0" w:line="360" w:lineRule="auto"/>
        <w:ind w:right="-187"/>
        <w:contextualSpacing w:val="0"/>
        <w:jc w:val="both"/>
        <w:rPr>
          <w:rFonts w:ascii="Century Gothic" w:hAnsi="Century Gothic" w:cs="Arial"/>
          <w:vanish/>
          <w:sz w:val="24"/>
          <w:szCs w:val="24"/>
          <w:u w:val="single"/>
        </w:rPr>
      </w:pPr>
    </w:p>
    <w:p w14:paraId="172E0C1F"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Autorización</w:t>
      </w:r>
      <w:r w:rsidRPr="00286308">
        <w:rPr>
          <w:rFonts w:ascii="Century Gothic" w:hAnsi="Century Gothic" w:cs="Arial"/>
        </w:rPr>
        <w:t>. Se autoriza al Estado y/o a la empresa de participación estatal mayoritaria, perteneciente a la Administración Pública Paraestatal del Estado, denominada Fibra Estatal Chihuahua, S.A. de C.V. (“</w:t>
      </w:r>
      <w:r w:rsidRPr="00286308">
        <w:rPr>
          <w:rFonts w:ascii="Century Gothic" w:hAnsi="Century Gothic" w:cs="Arial"/>
          <w:u w:val="single"/>
        </w:rPr>
        <w:t>Fibra Estatal</w:t>
      </w:r>
      <w:r w:rsidRPr="00286308">
        <w:rPr>
          <w:rFonts w:ascii="Century Gothic" w:hAnsi="Century Gothic" w:cs="Arial"/>
        </w:rPr>
        <w:t>”), para que, conjunta o separadamente, y por conducto de los funcionarios que resulten facultados en términos de la legislación aplicable, y conforme a los términos y condiciones previstos en el presente Decreto, realicen las gestiones administrativas y financieras necesarias para llevar a cabo, directamente o a través de la constitución de un fideicomiso (el “</w:t>
      </w:r>
      <w:r w:rsidRPr="00286308">
        <w:rPr>
          <w:rFonts w:ascii="Century Gothic" w:hAnsi="Century Gothic" w:cs="Arial"/>
          <w:u w:val="single"/>
        </w:rPr>
        <w:t>Fideicomiso Emisor</w:t>
      </w:r>
      <w:r w:rsidRPr="00286308">
        <w:rPr>
          <w:rFonts w:ascii="Century Gothic" w:hAnsi="Century Gothic" w:cs="Arial"/>
        </w:rPr>
        <w:t>”), para implementar uno o varios programas de certificados bursátiles fiduciarios para la emisión o emisiones de los mismos, a través de su oferta pública en el mercado bursátil mexicano y hasta por la cantidad de $17,000,000,000.00 (Diecisiete mil millones de pesos 00/100 M.N.), más los recursos necesarios para cubrir los costos y gastos relacionados con su emisión y la constitución de los fondos de reserva, de conformidad con lo previsto más adelante en la presente autorización (los “</w:t>
      </w:r>
      <w:r w:rsidRPr="00286308">
        <w:rPr>
          <w:rFonts w:ascii="Century Gothic" w:hAnsi="Century Gothic" w:cs="Arial"/>
          <w:u w:val="single"/>
        </w:rPr>
        <w:t>Certificados</w:t>
      </w:r>
      <w:r w:rsidRPr="00286308">
        <w:rPr>
          <w:rFonts w:ascii="Century Gothic" w:hAnsi="Century Gothic" w:cs="Arial"/>
        </w:rPr>
        <w:t>”).</w:t>
      </w:r>
    </w:p>
    <w:p w14:paraId="5C93C66B" w14:textId="77777777" w:rsidR="00A0583F" w:rsidRPr="00286308" w:rsidRDefault="00A0583F" w:rsidP="00A0583F">
      <w:pPr>
        <w:pStyle w:val="Textoindependiente"/>
        <w:spacing w:line="360" w:lineRule="auto"/>
        <w:ind w:left="567" w:right="-187"/>
        <w:rPr>
          <w:rFonts w:ascii="Century Gothic" w:hAnsi="Century Gothic" w:cs="Arial"/>
          <w:b/>
        </w:rPr>
      </w:pPr>
    </w:p>
    <w:p w14:paraId="2C2FE9D0"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 xml:space="preserve">La cantidad anteriormente referida no comprende intereses, comisiones, ni demás accesorios financieros que se generen como consecuencia de la emisión de los Certificados. </w:t>
      </w:r>
    </w:p>
    <w:p w14:paraId="45299C77" w14:textId="77777777" w:rsidR="00A0583F" w:rsidRPr="00286308" w:rsidRDefault="00A0583F" w:rsidP="00A0583F">
      <w:pPr>
        <w:pStyle w:val="Textoindependiente"/>
        <w:spacing w:line="360" w:lineRule="auto"/>
        <w:ind w:left="567" w:right="-187"/>
        <w:rPr>
          <w:rFonts w:ascii="Century Gothic" w:hAnsi="Century Gothic" w:cs="Arial"/>
          <w:b/>
          <w:u w:val="single"/>
        </w:rPr>
      </w:pPr>
    </w:p>
    <w:p w14:paraId="68645B24" w14:textId="3043F0BA"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lastRenderedPageBreak/>
        <w:t>Los certificados bursátiles anteriormente referidos</w:t>
      </w:r>
      <w:r w:rsidR="00105528">
        <w:rPr>
          <w:rFonts w:ascii="Century Gothic" w:hAnsi="Century Gothic" w:cs="Arial"/>
        </w:rPr>
        <w:t>,</w:t>
      </w:r>
      <w:r w:rsidRPr="00286308">
        <w:rPr>
          <w:rFonts w:ascii="Century Gothic" w:hAnsi="Century Gothic" w:cs="Arial"/>
        </w:rPr>
        <w:t xml:space="preserve"> únicamente podrán ser adquiridos por personas físicas y/o morales de nacionalidad mexicana y deberán contener la prohibición expresa de ser vendidos a personas físicas o morales extranjeras, así mismo, los certificados deberán ser pagaderos en moneda nacional y dentro del territorio nacional.</w:t>
      </w:r>
    </w:p>
    <w:p w14:paraId="6D097314" w14:textId="77777777" w:rsidR="00A0583F" w:rsidRPr="00286308" w:rsidRDefault="00A0583F" w:rsidP="00A0583F">
      <w:pPr>
        <w:pStyle w:val="Textoindependiente"/>
        <w:spacing w:line="360" w:lineRule="auto"/>
        <w:ind w:left="567" w:right="-187"/>
        <w:rPr>
          <w:rFonts w:ascii="Century Gothic" w:hAnsi="Century Gothic" w:cs="Arial"/>
          <w:b/>
        </w:rPr>
      </w:pPr>
    </w:p>
    <w:p w14:paraId="1E90C1E6"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En términos del artículo 28 de la Ley de Disciplina Financiera de las Entidades Federativas y los Municipios, el Estado y/o Fibra Estatal deberán fundamentar en el propio documento de colocación de los Certificados, las razones por las cuales el mercado bursátil es una opción más adecuada que el bancario y deberá precisar todos los gastos y costos derivados de la emisión y colocación de los Certificados, de conformidad con los términos y condiciones previstos en la legislación aplicable.</w:t>
      </w:r>
    </w:p>
    <w:p w14:paraId="326B634E" w14:textId="77777777" w:rsidR="00A0583F" w:rsidRPr="00286308" w:rsidRDefault="00A0583F" w:rsidP="00A0583F">
      <w:pPr>
        <w:pStyle w:val="Textoindependiente"/>
        <w:spacing w:line="360" w:lineRule="auto"/>
        <w:ind w:left="567" w:right="-187"/>
        <w:rPr>
          <w:rFonts w:ascii="Century Gothic" w:hAnsi="Century Gothic" w:cs="Arial"/>
          <w:b/>
        </w:rPr>
      </w:pPr>
    </w:p>
    <w:p w14:paraId="5CCD7D81"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La autorización anterior se otorga previo análisis de la capacidad de pago del Estado y de Fibra Estatal, el destino de los recursos derivados de la emisión de los Certificados y los recursos que fungirán como fuente de pago de los Certificados.</w:t>
      </w:r>
    </w:p>
    <w:p w14:paraId="5254935B" w14:textId="77777777" w:rsidR="00A0583F" w:rsidRPr="00286308" w:rsidRDefault="00A0583F" w:rsidP="00A0583F">
      <w:pPr>
        <w:pStyle w:val="Textoindependiente"/>
        <w:spacing w:line="360" w:lineRule="auto"/>
        <w:ind w:left="567" w:right="-187"/>
        <w:rPr>
          <w:rFonts w:ascii="Century Gothic" w:hAnsi="Century Gothic" w:cs="Arial"/>
          <w:b/>
        </w:rPr>
      </w:pPr>
    </w:p>
    <w:p w14:paraId="11A5ED91" w14:textId="6FBA305D"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 xml:space="preserve">Se autoriza al Estado y/o Fibra Estatal, para fungir como fideicomitente y fideicomisario del Fideicomiso Emisor, o emitir los certificados bursátiles directamente, así como para, directamente o a través de dicho fideicomiso, hacer  todas las actividades, celebrar todos los documentos y llevar a cabo todas las gestiones que sean necesarias frente a las Bolsas </w:t>
      </w:r>
      <w:r w:rsidRPr="00286308">
        <w:rPr>
          <w:rFonts w:ascii="Century Gothic" w:hAnsi="Century Gothic" w:cs="Arial"/>
        </w:rPr>
        <w:lastRenderedPageBreak/>
        <w:t xml:space="preserve">de Valores, la Comisión Nacional Bancaria </w:t>
      </w:r>
      <w:r w:rsidR="00692B9F">
        <w:rPr>
          <w:rFonts w:ascii="Century Gothic" w:hAnsi="Century Gothic" w:cs="Arial"/>
        </w:rPr>
        <w:t xml:space="preserve">y de Valores, </w:t>
      </w:r>
      <w:r w:rsidRPr="00286308">
        <w:rPr>
          <w:rFonts w:ascii="Century Gothic" w:hAnsi="Century Gothic" w:cs="Arial"/>
        </w:rPr>
        <w:t>y el Indeval, para obtener la autorización de los certificados bursátiles aquí autorizados, así como para llevar a cabo el prepago de los certificados bursátiles fiduciarios identificados con clave de pizarra CHIHCB 13U, de conformidad con lo previsto más adelante.</w:t>
      </w:r>
    </w:p>
    <w:p w14:paraId="25978F8C" w14:textId="77777777" w:rsidR="00A0583F" w:rsidRPr="00286308" w:rsidRDefault="00A0583F" w:rsidP="00A0583F">
      <w:pPr>
        <w:pStyle w:val="Textoindependiente"/>
        <w:spacing w:line="360" w:lineRule="auto"/>
        <w:ind w:left="567" w:right="-187"/>
        <w:rPr>
          <w:rFonts w:ascii="Century Gothic" w:hAnsi="Century Gothic" w:cs="Arial"/>
          <w:b/>
        </w:rPr>
      </w:pPr>
    </w:p>
    <w:p w14:paraId="426AA65B" w14:textId="71E740B9"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Fideicomiso Emisor</w:t>
      </w:r>
      <w:r w:rsidRPr="00286308">
        <w:rPr>
          <w:rFonts w:ascii="Century Gothic" w:hAnsi="Century Gothic" w:cs="Arial"/>
        </w:rPr>
        <w:t xml:space="preserve">. En el supuesto de que la emisión se implemente a través del Fideicomiso Emisor </w:t>
      </w:r>
      <w:r w:rsidR="00692B9F">
        <w:rPr>
          <w:rFonts w:ascii="Century Gothic" w:hAnsi="Century Gothic" w:cs="Arial"/>
        </w:rPr>
        <w:t>e</w:t>
      </w:r>
      <w:r w:rsidRPr="00286308">
        <w:rPr>
          <w:rFonts w:ascii="Century Gothic" w:hAnsi="Century Gothic" w:cs="Arial"/>
        </w:rPr>
        <w:t>ste tendrá, entre otros fines: (i) la emisión, oferta pública y colocación de los Certificados, en el mercado bursátil mexicano; y (</w:t>
      </w:r>
      <w:proofErr w:type="spellStart"/>
      <w:r w:rsidRPr="00286308">
        <w:rPr>
          <w:rFonts w:ascii="Century Gothic" w:hAnsi="Century Gothic" w:cs="Arial"/>
        </w:rPr>
        <w:t>ii</w:t>
      </w:r>
      <w:proofErr w:type="spellEnd"/>
      <w:r w:rsidRPr="00286308">
        <w:rPr>
          <w:rFonts w:ascii="Century Gothic" w:hAnsi="Century Gothic" w:cs="Arial"/>
        </w:rPr>
        <w:t>) la celebración de los actos necesarios y suficientes y/o convenientes para la emisión, oferta y colocación de los Certificados.</w:t>
      </w:r>
    </w:p>
    <w:p w14:paraId="107CC941" w14:textId="77777777" w:rsidR="00A0583F" w:rsidRPr="00286308" w:rsidRDefault="00A0583F" w:rsidP="00A0583F">
      <w:pPr>
        <w:pStyle w:val="Textoindependiente"/>
        <w:spacing w:line="360" w:lineRule="auto"/>
        <w:ind w:right="-187"/>
        <w:rPr>
          <w:rFonts w:ascii="Century Gothic" w:hAnsi="Century Gothic" w:cs="Arial"/>
          <w:b/>
        </w:rPr>
      </w:pPr>
    </w:p>
    <w:p w14:paraId="1E416E13"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En el contrato a través del cual se constituya el Fideicomiso Emisor podrán convenirse todas las condiciones permitidas y exigidas por la normatividad aplicable, por las autoridades e instituciones bancarias y bursátiles, por los mercados financiero y bursátil, aquellas acordes a los usos bancarios y fiduciarios, y las demás que sean necesarias o convenientes para la emisión y colocación de los Certificados, respetando en todo momento lo previsto en el presente Decreto.</w:t>
      </w:r>
    </w:p>
    <w:p w14:paraId="4F288FDD" w14:textId="77777777" w:rsidR="00A0583F" w:rsidRPr="00286308" w:rsidRDefault="00A0583F" w:rsidP="00A0583F">
      <w:pPr>
        <w:pStyle w:val="Textoindependiente"/>
        <w:spacing w:line="360" w:lineRule="auto"/>
        <w:ind w:right="-187"/>
        <w:rPr>
          <w:rFonts w:ascii="Century Gothic" w:hAnsi="Century Gothic" w:cs="Arial"/>
          <w:b/>
        </w:rPr>
      </w:pPr>
    </w:p>
    <w:p w14:paraId="6223FDA1" w14:textId="54426A90"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El Fideicomiso Emisor podrá, m</w:t>
      </w:r>
      <w:r w:rsidR="006857F3">
        <w:rPr>
          <w:rFonts w:ascii="Century Gothic" w:hAnsi="Century Gothic" w:cs="Arial"/>
        </w:rPr>
        <w:t>a</w:t>
      </w:r>
      <w:r w:rsidRPr="00286308">
        <w:rPr>
          <w:rFonts w:ascii="Century Gothic" w:hAnsi="Century Gothic" w:cs="Arial"/>
        </w:rPr>
        <w:t xml:space="preserve">s no estará obligado a prever un comité técnico, en los términos y condiciones que al efecto se establezcan </w:t>
      </w:r>
      <w:r w:rsidR="006857F3">
        <w:rPr>
          <w:rFonts w:ascii="Century Gothic" w:hAnsi="Century Gothic" w:cs="Arial"/>
        </w:rPr>
        <w:t xml:space="preserve">en el </w:t>
      </w:r>
      <w:r w:rsidRPr="00286308">
        <w:rPr>
          <w:rFonts w:ascii="Century Gothic" w:hAnsi="Century Gothic" w:cs="Arial"/>
        </w:rPr>
        <w:t xml:space="preserve"> contrato a través del cual se implemente el Fideicomiso Emisor, pero en todo caso, los integrantes del comité técnico no tendrán derecho a recibir sueldo o emolumento alguno por el desempeño del cargo como </w:t>
      </w:r>
      <w:r w:rsidRPr="00286308">
        <w:rPr>
          <w:rFonts w:ascii="Century Gothic" w:hAnsi="Century Gothic" w:cs="Arial"/>
        </w:rPr>
        <w:lastRenderedPageBreak/>
        <w:t>miembro del comité técnico y no les será atribuible por el desempeño de dicho cargo la calidad de servidor público de la administración pública estatal.</w:t>
      </w:r>
    </w:p>
    <w:p w14:paraId="19C5FC5B" w14:textId="77777777" w:rsidR="00A0583F" w:rsidRPr="00286308" w:rsidRDefault="00A0583F" w:rsidP="00A0583F">
      <w:pPr>
        <w:pStyle w:val="Textoindependiente"/>
        <w:spacing w:line="360" w:lineRule="auto"/>
        <w:ind w:left="567" w:right="-187"/>
        <w:rPr>
          <w:rFonts w:ascii="Century Gothic" w:hAnsi="Century Gothic" w:cs="Arial"/>
          <w:b/>
        </w:rPr>
      </w:pPr>
    </w:p>
    <w:p w14:paraId="5B6EF3FE"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En el contrato a través del cual se implemente el Fideicomiso Emisor, se deberá estipular que, una vez que se hayan liquidado en su totalidad las obligaciones de pago a cargo de dicho Fideicomiso Emisor, incluyendo sin limitar, las obligaciones derivadas de los Certificados, y los contratos de coberturas de tasas de interés que, en su caso, se hubieren celebrado, se revertirán al Estado y a la Fibra Estatal, según corresponda, y en términos de dicho Fideicomiso Emisor, los bienes, ingresos y/o derechos fideicomitidos, así como cualesquiera cantidades líquidas que existieran en las cuentas del Fideicomiso Emisor.</w:t>
      </w:r>
    </w:p>
    <w:p w14:paraId="4A93354F" w14:textId="77777777" w:rsidR="00A0583F" w:rsidRPr="00286308" w:rsidRDefault="00A0583F" w:rsidP="00A0583F">
      <w:pPr>
        <w:pStyle w:val="Textoindependiente"/>
        <w:spacing w:line="360" w:lineRule="auto"/>
        <w:ind w:right="-187"/>
        <w:rPr>
          <w:rFonts w:ascii="Century Gothic" w:hAnsi="Century Gothic" w:cs="Arial"/>
          <w:b/>
        </w:rPr>
      </w:pPr>
    </w:p>
    <w:p w14:paraId="0C70EFF8" w14:textId="77777777" w:rsidR="00A0583F" w:rsidRPr="00286308" w:rsidRDefault="00A0583F" w:rsidP="00A0583F">
      <w:pPr>
        <w:pStyle w:val="Textoindependiente"/>
        <w:spacing w:line="360" w:lineRule="auto"/>
        <w:ind w:left="567" w:right="-187"/>
        <w:rPr>
          <w:rFonts w:ascii="Century Gothic" w:hAnsi="Century Gothic" w:cs="Arial"/>
          <w:b/>
        </w:rPr>
      </w:pPr>
      <w:r w:rsidRPr="00286308">
        <w:rPr>
          <w:rFonts w:ascii="Century Gothic" w:hAnsi="Century Gothic" w:cs="Arial"/>
        </w:rPr>
        <w:t xml:space="preserve">El Fideicomiso Emisor, no será considerado en ningún caso como parte de la administración pública paraestatal, en el entendido que su supervisión y control estarán sujetos a lo dispuesto en las disposiciones legales aplicables. </w:t>
      </w:r>
    </w:p>
    <w:p w14:paraId="63B2AF85" w14:textId="77777777" w:rsidR="00A0583F" w:rsidRPr="00286308" w:rsidRDefault="00A0583F" w:rsidP="00A0583F">
      <w:pPr>
        <w:pStyle w:val="Textoindependiente"/>
        <w:spacing w:line="360" w:lineRule="auto"/>
        <w:ind w:right="-187"/>
        <w:rPr>
          <w:rFonts w:ascii="Century Gothic" w:hAnsi="Century Gothic" w:cs="Arial"/>
          <w:b/>
        </w:rPr>
      </w:pPr>
    </w:p>
    <w:p w14:paraId="59046485"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Destino.</w:t>
      </w:r>
      <w:r w:rsidRPr="00286308">
        <w:rPr>
          <w:rFonts w:ascii="Century Gothic" w:hAnsi="Century Gothic" w:cs="Arial"/>
        </w:rPr>
        <w:t xml:space="preserve"> Los recursos que obtenga el Estado y/o Fibra, directamente o a través del fiduciario del Fideicomiso Emisor, derivados de la colocación y emisión o emisiones de los Certificados serán destinados a:</w:t>
      </w:r>
    </w:p>
    <w:p w14:paraId="18912F0A" w14:textId="77777777" w:rsidR="00A0583F" w:rsidRPr="00286308" w:rsidRDefault="00A0583F" w:rsidP="00A0583F">
      <w:pPr>
        <w:pStyle w:val="Textoindependiente"/>
        <w:spacing w:line="360" w:lineRule="auto"/>
        <w:ind w:left="1134" w:right="-187"/>
        <w:rPr>
          <w:rFonts w:ascii="Century Gothic" w:hAnsi="Century Gothic" w:cs="Arial"/>
          <w:b/>
        </w:rPr>
      </w:pPr>
    </w:p>
    <w:p w14:paraId="14C65B9E" w14:textId="06421DA8" w:rsidR="00A0583F" w:rsidRPr="00286308" w:rsidRDefault="00A0583F" w:rsidP="00FF6735">
      <w:pPr>
        <w:pStyle w:val="Textoindependiente"/>
        <w:numPr>
          <w:ilvl w:val="0"/>
          <w:numId w:val="9"/>
        </w:numPr>
        <w:spacing w:line="360" w:lineRule="auto"/>
        <w:ind w:left="1134" w:right="-187" w:hanging="567"/>
        <w:rPr>
          <w:rFonts w:ascii="Century Gothic" w:hAnsi="Century Gothic" w:cs="Arial"/>
          <w:b/>
        </w:rPr>
      </w:pPr>
      <w:r w:rsidRPr="00286308">
        <w:rPr>
          <w:rFonts w:ascii="Century Gothic" w:hAnsi="Century Gothic" w:cs="Arial"/>
        </w:rPr>
        <w:t xml:space="preserve">Al refinanciamiento de los certificados bursátiles fiduciarios identificados con clave de pizarra CHIHCB 13U, emitidos al amparo </w:t>
      </w:r>
      <w:r w:rsidRPr="00286308">
        <w:rPr>
          <w:rFonts w:ascii="Century Gothic" w:hAnsi="Century Gothic" w:cs="Arial"/>
        </w:rPr>
        <w:lastRenderedPageBreak/>
        <w:t>de un programa de certificados bursátiles fiduciarios, autorizado por la Comisión Nacional Bancaria y de Valores, mediante oficio 153/7155/2013, de fecha 12 de agosto de 2013</w:t>
      </w:r>
      <w:r w:rsidR="00CC5B52">
        <w:rPr>
          <w:rFonts w:ascii="Century Gothic" w:hAnsi="Century Gothic" w:cs="Arial"/>
        </w:rPr>
        <w:t>,</w:t>
      </w:r>
      <w:r w:rsidRPr="00286308">
        <w:rPr>
          <w:rFonts w:ascii="Century Gothic" w:hAnsi="Century Gothic" w:cs="Arial"/>
        </w:rPr>
        <w:t xml:space="preserve"> y que dichos certificados bursátiles fiduciarios emitidos al amparo de dicho programa se encuentran inscritos con el número 0204-4.15-2013-046 en el </w:t>
      </w:r>
      <w:r w:rsidR="00CC5B52">
        <w:rPr>
          <w:rFonts w:ascii="Century Gothic" w:hAnsi="Century Gothic" w:cs="Arial"/>
        </w:rPr>
        <w:t>R</w:t>
      </w:r>
      <w:r w:rsidRPr="00286308">
        <w:rPr>
          <w:rFonts w:ascii="Century Gothic" w:hAnsi="Century Gothic" w:cs="Arial"/>
        </w:rPr>
        <w:t xml:space="preserve">egistro </w:t>
      </w:r>
      <w:r w:rsidR="00CC5B52">
        <w:rPr>
          <w:rFonts w:ascii="Century Gothic" w:hAnsi="Century Gothic" w:cs="Arial"/>
        </w:rPr>
        <w:t>N</w:t>
      </w:r>
      <w:r w:rsidRPr="00286308">
        <w:rPr>
          <w:rFonts w:ascii="Century Gothic" w:hAnsi="Century Gothic" w:cs="Arial"/>
        </w:rPr>
        <w:t xml:space="preserve">acional de </w:t>
      </w:r>
      <w:r w:rsidR="00CC5B52">
        <w:rPr>
          <w:rFonts w:ascii="Century Gothic" w:hAnsi="Century Gothic" w:cs="Arial"/>
        </w:rPr>
        <w:t>V</w:t>
      </w:r>
      <w:r w:rsidRPr="00286308">
        <w:rPr>
          <w:rFonts w:ascii="Century Gothic" w:hAnsi="Century Gothic" w:cs="Arial"/>
        </w:rPr>
        <w:t xml:space="preserve">alores a cargo de dicha comisión. Dichos certificados bursátiles fiduciarios fueron emitidos por el fideicomiso irrevocable número 80672, constituido el 21 de agosto 2013, en el cual el Estado y Fibra Estatal, participan como fideicomitentes, Nacional Financiera, Sociedad Nacional de Crédito, Institución de Banca de Desarrollo, participa como fiduciario y Banco </w:t>
      </w:r>
      <w:proofErr w:type="spellStart"/>
      <w:r w:rsidRPr="00286308">
        <w:rPr>
          <w:rFonts w:ascii="Century Gothic" w:hAnsi="Century Gothic" w:cs="Arial"/>
        </w:rPr>
        <w:t>Invex</w:t>
      </w:r>
      <w:proofErr w:type="spellEnd"/>
      <w:r w:rsidRPr="00286308">
        <w:rPr>
          <w:rFonts w:ascii="Century Gothic" w:hAnsi="Century Gothic" w:cs="Arial"/>
        </w:rPr>
        <w:t xml:space="preserve">, S.A., Institución de Banca Múltiple, </w:t>
      </w:r>
      <w:proofErr w:type="spellStart"/>
      <w:r w:rsidRPr="00286308">
        <w:rPr>
          <w:rFonts w:ascii="Century Gothic" w:hAnsi="Century Gothic" w:cs="Arial"/>
        </w:rPr>
        <w:t>Invex</w:t>
      </w:r>
      <w:proofErr w:type="spellEnd"/>
      <w:r w:rsidRPr="00286308">
        <w:rPr>
          <w:rFonts w:ascii="Century Gothic" w:hAnsi="Century Gothic" w:cs="Arial"/>
        </w:rPr>
        <w:t xml:space="preserve"> Grupo Financiero, participa como representante común. Dichos certificados bursátiles presentan al 31 de octubre de 2022 un saldo insoluto de $15,893,873,112.20 (Quince mil ochocientos noventa y tres millones ochocientos setenta y tres mil ciento doce pesos 20/100 Moneda Nacional) (el “</w:t>
      </w:r>
      <w:r w:rsidRPr="00286308">
        <w:rPr>
          <w:rFonts w:ascii="Century Gothic" w:hAnsi="Century Gothic" w:cs="Arial"/>
          <w:u w:val="single"/>
        </w:rPr>
        <w:t>Fideicomiso Emisor Previo</w:t>
      </w:r>
      <w:r w:rsidRPr="00286308">
        <w:rPr>
          <w:rFonts w:ascii="Century Gothic" w:hAnsi="Century Gothic" w:cs="Arial"/>
        </w:rPr>
        <w:t>”). Es importante mencionar que el saldo insoluto mencionado anteriormente se actualiza en función del valor de la UDI publicada por el Banco de México.</w:t>
      </w:r>
    </w:p>
    <w:p w14:paraId="18B56CBB" w14:textId="77777777" w:rsidR="00A0583F" w:rsidRPr="00286308" w:rsidRDefault="00A0583F" w:rsidP="00A0583F">
      <w:pPr>
        <w:pStyle w:val="Textoindependiente"/>
        <w:spacing w:line="360" w:lineRule="auto"/>
        <w:ind w:left="1134" w:right="-187"/>
        <w:rPr>
          <w:rFonts w:ascii="Century Gothic" w:hAnsi="Century Gothic" w:cs="Arial"/>
          <w:b/>
        </w:rPr>
      </w:pPr>
    </w:p>
    <w:p w14:paraId="0318FB7C" w14:textId="77777777" w:rsidR="00A0583F" w:rsidRPr="00286308" w:rsidRDefault="00A0583F" w:rsidP="00FF6735">
      <w:pPr>
        <w:pStyle w:val="Textoindependiente"/>
        <w:numPr>
          <w:ilvl w:val="0"/>
          <w:numId w:val="9"/>
        </w:numPr>
        <w:spacing w:line="360" w:lineRule="auto"/>
        <w:ind w:left="1134" w:right="-187" w:hanging="567"/>
        <w:rPr>
          <w:rFonts w:ascii="Century Gothic" w:hAnsi="Century Gothic" w:cs="Arial"/>
          <w:b/>
        </w:rPr>
      </w:pPr>
      <w:r w:rsidRPr="00286308">
        <w:rPr>
          <w:rFonts w:ascii="Century Gothic" w:hAnsi="Century Gothic" w:cs="Arial"/>
        </w:rPr>
        <w:t xml:space="preserve">En términos de lo previsto más adelante dentro del presente Decreto, a la contratación de instrumentos derivados y Garantías de Pago, que en su caso el Estado y/o Fibra, directamente o a través </w:t>
      </w:r>
      <w:r w:rsidRPr="00286308">
        <w:rPr>
          <w:rFonts w:ascii="Century Gothic" w:hAnsi="Century Gothic" w:cs="Arial"/>
        </w:rPr>
        <w:lastRenderedPageBreak/>
        <w:t>del Fideicomiso Emisor, contrate para cubrir los riesgos financieros y/o fortalecer la estructura de la emisión de los Certificados.</w:t>
      </w:r>
    </w:p>
    <w:p w14:paraId="70746457" w14:textId="77777777" w:rsidR="00A0583F" w:rsidRPr="00286308" w:rsidRDefault="00A0583F" w:rsidP="00A0583F">
      <w:pPr>
        <w:pStyle w:val="Prrafodelista"/>
        <w:spacing w:line="360" w:lineRule="auto"/>
        <w:rPr>
          <w:rFonts w:ascii="Century Gothic" w:hAnsi="Century Gothic" w:cs="Arial"/>
          <w:b/>
          <w:sz w:val="24"/>
          <w:szCs w:val="24"/>
        </w:rPr>
      </w:pPr>
    </w:p>
    <w:p w14:paraId="3C3A4276" w14:textId="77777777" w:rsidR="00A0583F" w:rsidRPr="00286308" w:rsidRDefault="00A0583F" w:rsidP="00FF6735">
      <w:pPr>
        <w:pStyle w:val="Textoindependiente"/>
        <w:numPr>
          <w:ilvl w:val="0"/>
          <w:numId w:val="9"/>
        </w:numPr>
        <w:spacing w:line="360" w:lineRule="auto"/>
        <w:ind w:left="1134" w:right="-187" w:hanging="567"/>
        <w:rPr>
          <w:rFonts w:ascii="Century Gothic" w:hAnsi="Century Gothic" w:cs="Arial"/>
          <w:b/>
        </w:rPr>
      </w:pPr>
      <w:r w:rsidRPr="00286308">
        <w:rPr>
          <w:rFonts w:ascii="Century Gothic" w:hAnsi="Century Gothic" w:cs="Arial"/>
        </w:rPr>
        <w:t>En términos de lo previsto más adelante dentro del presente Decreto, el pago de gastos y costos relacionados con la Emisión de los Certificados, sujetándose a los importes máximos previstos en la legislación aplicable, incluyendo, de manera enunciativa, más no limitativa, la Ley de Disciplina Financiera de las Entidades Federativas y los Municipios, y el Reglamento del Registro Público Único de Financiamientos y obligaciones de Entidades Federativas y Municipios.</w:t>
      </w:r>
    </w:p>
    <w:p w14:paraId="22148628" w14:textId="77777777" w:rsidR="00A0583F" w:rsidRPr="00286308" w:rsidRDefault="00A0583F" w:rsidP="00A0583F">
      <w:pPr>
        <w:pStyle w:val="Prrafodelista"/>
        <w:spacing w:line="360" w:lineRule="auto"/>
        <w:rPr>
          <w:rFonts w:ascii="Century Gothic" w:hAnsi="Century Gothic" w:cs="Arial"/>
          <w:sz w:val="24"/>
          <w:szCs w:val="24"/>
        </w:rPr>
      </w:pPr>
    </w:p>
    <w:p w14:paraId="086B657B" w14:textId="77777777" w:rsidR="00A0583F" w:rsidRPr="00286308" w:rsidRDefault="00A0583F" w:rsidP="00FF6735">
      <w:pPr>
        <w:pStyle w:val="Textoindependiente"/>
        <w:numPr>
          <w:ilvl w:val="0"/>
          <w:numId w:val="9"/>
        </w:numPr>
        <w:spacing w:line="360" w:lineRule="auto"/>
        <w:ind w:left="1134" w:right="-187" w:hanging="567"/>
        <w:rPr>
          <w:rFonts w:ascii="Century Gothic" w:hAnsi="Century Gothic" w:cs="Arial"/>
          <w:b/>
          <w:bCs/>
        </w:rPr>
      </w:pPr>
      <w:r w:rsidRPr="00286308">
        <w:rPr>
          <w:rFonts w:ascii="Century Gothic" w:hAnsi="Century Gothic" w:cs="Arial"/>
        </w:rPr>
        <w:t>A la constitución de fondos de reserva en términos del artículo 22, primer párrafo de la Ley de Disciplina Financiera de las Entidades Federativas y los Municipios y del artículo 27 del Reglamento del Registro Público Único de Financiamientos y Obligaciones de Entidades Federativas y Municipios.</w:t>
      </w:r>
    </w:p>
    <w:p w14:paraId="1B20D4F6" w14:textId="77777777" w:rsidR="00A0583F" w:rsidRPr="00286308" w:rsidRDefault="00A0583F" w:rsidP="00A0583F">
      <w:pPr>
        <w:pStyle w:val="Prrafodelista"/>
        <w:spacing w:line="360" w:lineRule="auto"/>
        <w:rPr>
          <w:rFonts w:ascii="Century Gothic" w:hAnsi="Century Gothic" w:cs="Arial"/>
          <w:b/>
          <w:bCs/>
          <w:sz w:val="24"/>
          <w:szCs w:val="24"/>
        </w:rPr>
      </w:pPr>
    </w:p>
    <w:p w14:paraId="55969A76" w14:textId="77777777" w:rsidR="00A0583F" w:rsidRPr="00286308" w:rsidRDefault="00A0583F" w:rsidP="00FF6735">
      <w:pPr>
        <w:pStyle w:val="Textoindependiente"/>
        <w:numPr>
          <w:ilvl w:val="0"/>
          <w:numId w:val="9"/>
        </w:numPr>
        <w:spacing w:line="360" w:lineRule="auto"/>
        <w:ind w:left="1134" w:right="-187" w:hanging="567"/>
        <w:rPr>
          <w:rFonts w:ascii="Century Gothic" w:hAnsi="Century Gothic" w:cs="Arial"/>
          <w:b/>
          <w:bCs/>
        </w:rPr>
      </w:pPr>
      <w:r w:rsidRPr="00286308">
        <w:rPr>
          <w:rFonts w:ascii="Century Gothic" w:hAnsi="Century Gothic" w:cs="Arial"/>
          <w:bCs/>
        </w:rPr>
        <w:t xml:space="preserve">Al pago de cualquier pena, comisión o accesorio financiero derivado del </w:t>
      </w:r>
      <w:r w:rsidRPr="00286308">
        <w:rPr>
          <w:rFonts w:ascii="Century Gothic" w:hAnsi="Century Gothic" w:cs="Arial"/>
        </w:rPr>
        <w:t xml:space="preserve">refinanciamiento de los certificados bursátiles fiduciarios identificados con clave de pizarra CHIHCB 13U. </w:t>
      </w:r>
    </w:p>
    <w:p w14:paraId="0DB08A72" w14:textId="77777777" w:rsidR="00A0583F" w:rsidRPr="00286308" w:rsidRDefault="00A0583F" w:rsidP="00A0583F">
      <w:pPr>
        <w:pStyle w:val="Textoindependiente"/>
        <w:spacing w:line="360" w:lineRule="auto"/>
        <w:ind w:left="1134" w:right="-187"/>
        <w:rPr>
          <w:rFonts w:ascii="Century Gothic" w:hAnsi="Century Gothic" w:cs="Arial"/>
          <w:b/>
        </w:rPr>
      </w:pPr>
    </w:p>
    <w:p w14:paraId="48BBE844"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Fuente de pago</w:t>
      </w:r>
      <w:r w:rsidRPr="00286308">
        <w:rPr>
          <w:rFonts w:ascii="Century Gothic" w:hAnsi="Century Gothic" w:cs="Arial"/>
        </w:rPr>
        <w:t xml:space="preserve">. Se autoriza al Estado y/o a Fibra Estatal, directamente o a través del Fideicomiso Emisor, para que por conducto de los </w:t>
      </w:r>
      <w:r w:rsidRPr="00286308">
        <w:rPr>
          <w:rFonts w:ascii="Century Gothic" w:hAnsi="Century Gothic" w:cs="Arial"/>
        </w:rPr>
        <w:lastRenderedPageBreak/>
        <w:t>funcionarios que resulten legalmente facultados, afecten como fuente de pago de la emisión de los Certificados, los Ingresos locales,</w:t>
      </w:r>
      <w:r w:rsidRPr="00286308" w:rsidDel="00B66F4E">
        <w:rPr>
          <w:rFonts w:ascii="Century Gothic" w:hAnsi="Century Gothic" w:cs="Arial"/>
        </w:rPr>
        <w:t xml:space="preserve"> </w:t>
      </w:r>
      <w:r w:rsidRPr="00286308">
        <w:rPr>
          <w:rFonts w:ascii="Century Gothic" w:hAnsi="Century Gothic" w:cs="Arial"/>
        </w:rPr>
        <w:t xml:space="preserve">derivados de las cuotas de peaje por la explotación de los siguientes tramos carreteros: </w:t>
      </w:r>
    </w:p>
    <w:tbl>
      <w:tblPr>
        <w:tblStyle w:val="Tablaconcuadrcula"/>
        <w:tblW w:w="8222" w:type="dxa"/>
        <w:tblInd w:w="562" w:type="dxa"/>
        <w:tblLayout w:type="fixed"/>
        <w:tblLook w:val="04A0" w:firstRow="1" w:lastRow="0" w:firstColumn="1" w:lastColumn="0" w:noHBand="0" w:noVBand="1"/>
      </w:tblPr>
      <w:tblGrid>
        <w:gridCol w:w="2835"/>
        <w:gridCol w:w="1418"/>
        <w:gridCol w:w="2268"/>
        <w:gridCol w:w="1701"/>
      </w:tblGrid>
      <w:tr w:rsidR="00286308" w:rsidRPr="00286308" w14:paraId="603C9382" w14:textId="77777777" w:rsidTr="008832B9">
        <w:trPr>
          <w:trHeight w:val="440"/>
        </w:trPr>
        <w:tc>
          <w:tcPr>
            <w:tcW w:w="2835" w:type="dxa"/>
            <w:vAlign w:val="center"/>
          </w:tcPr>
          <w:p w14:paraId="4E45D3B7" w14:textId="77777777" w:rsidR="00A0583F" w:rsidRPr="00286308" w:rsidRDefault="00A0583F" w:rsidP="00B63CEC">
            <w:pPr>
              <w:pStyle w:val="Textoindependiente"/>
              <w:ind w:right="16"/>
              <w:jc w:val="center"/>
              <w:rPr>
                <w:rFonts w:ascii="Century Gothic" w:hAnsi="Century Gothic" w:cs="Arial"/>
                <w:b/>
                <w:sz w:val="20"/>
              </w:rPr>
            </w:pPr>
            <w:r w:rsidRPr="00286308">
              <w:rPr>
                <w:rFonts w:ascii="Century Gothic" w:hAnsi="Century Gothic" w:cs="Arial"/>
                <w:sz w:val="20"/>
              </w:rPr>
              <w:t>Caseta</w:t>
            </w:r>
          </w:p>
        </w:tc>
        <w:tc>
          <w:tcPr>
            <w:tcW w:w="1418" w:type="dxa"/>
            <w:vAlign w:val="center"/>
          </w:tcPr>
          <w:p w14:paraId="67D7FB1B" w14:textId="77777777" w:rsidR="00A0583F" w:rsidRPr="00286308"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Km</w:t>
            </w:r>
          </w:p>
        </w:tc>
        <w:tc>
          <w:tcPr>
            <w:tcW w:w="2268" w:type="dxa"/>
            <w:vAlign w:val="center"/>
          </w:tcPr>
          <w:p w14:paraId="63C91CAA" w14:textId="77777777" w:rsidR="00A0583F" w:rsidRPr="00286308" w:rsidRDefault="00A0583F" w:rsidP="00B63CEC">
            <w:pPr>
              <w:pStyle w:val="Textoindependiente"/>
              <w:jc w:val="center"/>
              <w:rPr>
                <w:rFonts w:ascii="Century Gothic" w:hAnsi="Century Gothic" w:cs="Arial"/>
                <w:b/>
                <w:sz w:val="20"/>
              </w:rPr>
            </w:pPr>
            <w:r w:rsidRPr="00286308">
              <w:rPr>
                <w:rFonts w:ascii="Century Gothic" w:hAnsi="Century Gothic" w:cs="Arial"/>
                <w:sz w:val="20"/>
              </w:rPr>
              <w:t>Tramo</w:t>
            </w:r>
          </w:p>
        </w:tc>
        <w:tc>
          <w:tcPr>
            <w:tcW w:w="1701" w:type="dxa"/>
            <w:vAlign w:val="center"/>
          </w:tcPr>
          <w:p w14:paraId="355D8824" w14:textId="77777777" w:rsidR="00A0583F" w:rsidRPr="00286308"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Jurisdicción</w:t>
            </w:r>
          </w:p>
        </w:tc>
      </w:tr>
      <w:tr w:rsidR="00286308" w:rsidRPr="00286308" w14:paraId="5F5B5FCB" w14:textId="77777777" w:rsidTr="008832B9">
        <w:trPr>
          <w:trHeight w:val="907"/>
        </w:trPr>
        <w:tc>
          <w:tcPr>
            <w:tcW w:w="2835" w:type="dxa"/>
            <w:vAlign w:val="center"/>
          </w:tcPr>
          <w:p w14:paraId="0EF3D88B" w14:textId="77777777" w:rsidR="00A0583F" w:rsidRPr="00286308" w:rsidRDefault="00A0583F" w:rsidP="00B63CEC">
            <w:pPr>
              <w:pStyle w:val="Textoindependiente"/>
              <w:ind w:right="16"/>
              <w:jc w:val="center"/>
              <w:rPr>
                <w:rFonts w:ascii="Century Gothic" w:hAnsi="Century Gothic" w:cs="Arial"/>
                <w:b/>
                <w:sz w:val="20"/>
              </w:rPr>
            </w:pPr>
            <w:r w:rsidRPr="00286308">
              <w:rPr>
                <w:rFonts w:ascii="Century Gothic" w:hAnsi="Century Gothic" w:cs="Arial"/>
                <w:sz w:val="20"/>
              </w:rPr>
              <w:t xml:space="preserve">Jiménez – </w:t>
            </w:r>
            <w:proofErr w:type="spellStart"/>
            <w:r w:rsidRPr="00286308">
              <w:rPr>
                <w:rFonts w:ascii="Century Gothic" w:hAnsi="Century Gothic" w:cs="Arial"/>
                <w:sz w:val="20"/>
              </w:rPr>
              <w:t>Savalza</w:t>
            </w:r>
            <w:proofErr w:type="spellEnd"/>
            <w:r w:rsidRPr="00286308">
              <w:rPr>
                <w:rFonts w:ascii="Century Gothic" w:hAnsi="Century Gothic" w:cs="Arial"/>
                <w:sz w:val="20"/>
              </w:rPr>
              <w:t xml:space="preserve"> (</w:t>
            </w:r>
            <w:proofErr w:type="spellStart"/>
            <w:r w:rsidRPr="00286308">
              <w:rPr>
                <w:rFonts w:ascii="Century Gothic" w:hAnsi="Century Gothic" w:cs="Arial"/>
                <w:sz w:val="20"/>
              </w:rPr>
              <w:t>Savalza</w:t>
            </w:r>
            <w:proofErr w:type="spellEnd"/>
            <w:r w:rsidRPr="00286308">
              <w:rPr>
                <w:rFonts w:ascii="Century Gothic" w:hAnsi="Century Gothic" w:cs="Arial"/>
                <w:sz w:val="20"/>
              </w:rPr>
              <w:t>)</w:t>
            </w:r>
          </w:p>
        </w:tc>
        <w:tc>
          <w:tcPr>
            <w:tcW w:w="1418" w:type="dxa"/>
            <w:vAlign w:val="center"/>
          </w:tcPr>
          <w:p w14:paraId="3BC6F8B4" w14:textId="77777777" w:rsidR="00A0583F" w:rsidRPr="00286308"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10 + 500</w:t>
            </w:r>
          </w:p>
        </w:tc>
        <w:tc>
          <w:tcPr>
            <w:tcW w:w="2268" w:type="dxa"/>
            <w:vAlign w:val="center"/>
          </w:tcPr>
          <w:p w14:paraId="5B3FF1AC" w14:textId="77777777" w:rsidR="00A0583F" w:rsidRPr="00286308" w:rsidRDefault="00A0583F" w:rsidP="00B63CEC">
            <w:pPr>
              <w:pStyle w:val="Textoindependiente"/>
              <w:jc w:val="center"/>
              <w:rPr>
                <w:rFonts w:ascii="Century Gothic" w:hAnsi="Century Gothic" w:cs="Arial"/>
                <w:b/>
                <w:sz w:val="20"/>
              </w:rPr>
            </w:pPr>
            <w:r w:rsidRPr="00286308">
              <w:rPr>
                <w:rFonts w:ascii="Century Gothic" w:hAnsi="Century Gothic" w:cs="Arial"/>
                <w:sz w:val="20"/>
              </w:rPr>
              <w:t xml:space="preserve">Jiménez – </w:t>
            </w:r>
            <w:proofErr w:type="spellStart"/>
            <w:r w:rsidRPr="00286308">
              <w:rPr>
                <w:rFonts w:ascii="Century Gothic" w:hAnsi="Century Gothic" w:cs="Arial"/>
                <w:sz w:val="20"/>
              </w:rPr>
              <w:t>Savalza</w:t>
            </w:r>
            <w:proofErr w:type="spellEnd"/>
          </w:p>
        </w:tc>
        <w:tc>
          <w:tcPr>
            <w:tcW w:w="1701" w:type="dxa"/>
            <w:vAlign w:val="center"/>
          </w:tcPr>
          <w:p w14:paraId="3F273CFC" w14:textId="77777777" w:rsidR="00A0583F" w:rsidRPr="00286308"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Estatal</w:t>
            </w:r>
          </w:p>
        </w:tc>
      </w:tr>
      <w:tr w:rsidR="00286308" w:rsidRPr="00286308" w14:paraId="5789C5B5" w14:textId="77777777" w:rsidTr="008832B9">
        <w:trPr>
          <w:trHeight w:val="907"/>
        </w:trPr>
        <w:tc>
          <w:tcPr>
            <w:tcW w:w="2835" w:type="dxa"/>
            <w:vAlign w:val="center"/>
          </w:tcPr>
          <w:p w14:paraId="4F76DD31" w14:textId="77777777" w:rsidR="00A0583F" w:rsidRPr="00286308" w:rsidRDefault="00A0583F" w:rsidP="00B63CEC">
            <w:pPr>
              <w:pStyle w:val="Textoindependiente"/>
              <w:ind w:right="16"/>
              <w:jc w:val="center"/>
              <w:rPr>
                <w:rFonts w:ascii="Century Gothic" w:hAnsi="Century Gothic" w:cs="Arial"/>
                <w:b/>
                <w:sz w:val="20"/>
              </w:rPr>
            </w:pPr>
            <w:r w:rsidRPr="00286308">
              <w:rPr>
                <w:rFonts w:ascii="Century Gothic" w:hAnsi="Century Gothic" w:cs="Arial"/>
                <w:sz w:val="20"/>
              </w:rPr>
              <w:t>Chihuahua - Sacramento (Sacramento)</w:t>
            </w:r>
          </w:p>
        </w:tc>
        <w:tc>
          <w:tcPr>
            <w:tcW w:w="1418" w:type="dxa"/>
            <w:vAlign w:val="center"/>
          </w:tcPr>
          <w:p w14:paraId="1E10709A" w14:textId="77777777" w:rsidR="00A0583F" w:rsidRPr="00286308"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31 + 300</w:t>
            </w:r>
          </w:p>
        </w:tc>
        <w:tc>
          <w:tcPr>
            <w:tcW w:w="2268" w:type="dxa"/>
            <w:vAlign w:val="center"/>
          </w:tcPr>
          <w:p w14:paraId="77BC8894" w14:textId="77777777" w:rsidR="00A0583F" w:rsidRPr="00286308" w:rsidRDefault="00A0583F" w:rsidP="00B63CEC">
            <w:pPr>
              <w:pStyle w:val="Textoindependiente"/>
              <w:jc w:val="center"/>
              <w:rPr>
                <w:rFonts w:ascii="Century Gothic" w:hAnsi="Century Gothic" w:cs="Arial"/>
                <w:b/>
                <w:sz w:val="20"/>
              </w:rPr>
            </w:pPr>
            <w:r w:rsidRPr="00286308">
              <w:rPr>
                <w:rFonts w:ascii="Century Gothic" w:hAnsi="Century Gothic" w:cs="Arial"/>
                <w:sz w:val="20"/>
              </w:rPr>
              <w:t>Chihuahua – Sacramento</w:t>
            </w:r>
          </w:p>
        </w:tc>
        <w:tc>
          <w:tcPr>
            <w:tcW w:w="1701" w:type="dxa"/>
            <w:vAlign w:val="center"/>
          </w:tcPr>
          <w:p w14:paraId="16D07E4B" w14:textId="77777777" w:rsidR="00A0583F" w:rsidRPr="00286308"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Estatal</w:t>
            </w:r>
          </w:p>
        </w:tc>
      </w:tr>
      <w:tr w:rsidR="00286308" w:rsidRPr="00286308" w14:paraId="44AC3FA3" w14:textId="77777777" w:rsidTr="008832B9">
        <w:trPr>
          <w:trHeight w:val="907"/>
        </w:trPr>
        <w:tc>
          <w:tcPr>
            <w:tcW w:w="2835" w:type="dxa"/>
            <w:vAlign w:val="center"/>
          </w:tcPr>
          <w:p w14:paraId="5B728F03" w14:textId="77777777" w:rsidR="00A0583F" w:rsidRPr="00286308" w:rsidRDefault="00A0583F" w:rsidP="00B63CEC">
            <w:pPr>
              <w:pStyle w:val="Textoindependiente"/>
              <w:ind w:right="16"/>
              <w:jc w:val="center"/>
              <w:rPr>
                <w:rFonts w:ascii="Century Gothic" w:hAnsi="Century Gothic" w:cs="Arial"/>
                <w:b/>
                <w:sz w:val="20"/>
              </w:rPr>
            </w:pPr>
            <w:r w:rsidRPr="00286308">
              <w:rPr>
                <w:rFonts w:ascii="Century Gothic" w:hAnsi="Century Gothic" w:cs="Arial"/>
                <w:sz w:val="20"/>
              </w:rPr>
              <w:t>Santa Isabel – Cuauhtémoc (Santa Isabel)</w:t>
            </w:r>
          </w:p>
        </w:tc>
        <w:tc>
          <w:tcPr>
            <w:tcW w:w="1418" w:type="dxa"/>
            <w:vAlign w:val="center"/>
          </w:tcPr>
          <w:p w14:paraId="54E55342" w14:textId="77777777" w:rsidR="00A0583F" w:rsidRPr="00286308"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68 + 000</w:t>
            </w:r>
          </w:p>
        </w:tc>
        <w:tc>
          <w:tcPr>
            <w:tcW w:w="2268" w:type="dxa"/>
            <w:vAlign w:val="center"/>
          </w:tcPr>
          <w:p w14:paraId="7CB7FDC3" w14:textId="77777777" w:rsidR="00A0583F" w:rsidRPr="00286308" w:rsidRDefault="00A0583F" w:rsidP="00B63CEC">
            <w:pPr>
              <w:pStyle w:val="Textoindependiente"/>
              <w:jc w:val="center"/>
              <w:rPr>
                <w:rFonts w:ascii="Century Gothic" w:hAnsi="Century Gothic" w:cs="Arial"/>
                <w:b/>
                <w:sz w:val="20"/>
              </w:rPr>
            </w:pPr>
            <w:r w:rsidRPr="00286308">
              <w:rPr>
                <w:rFonts w:ascii="Century Gothic" w:hAnsi="Century Gothic" w:cs="Arial"/>
                <w:sz w:val="20"/>
              </w:rPr>
              <w:t>Santa Isabel – Cuauhtémoc</w:t>
            </w:r>
          </w:p>
        </w:tc>
        <w:tc>
          <w:tcPr>
            <w:tcW w:w="1701" w:type="dxa"/>
            <w:vAlign w:val="center"/>
          </w:tcPr>
          <w:p w14:paraId="398F2C88" w14:textId="77777777" w:rsidR="00A0583F" w:rsidRPr="00286308"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Estatal</w:t>
            </w:r>
          </w:p>
        </w:tc>
      </w:tr>
      <w:tr w:rsidR="00286308" w:rsidRPr="00286308" w14:paraId="21ECA3DA" w14:textId="77777777" w:rsidTr="008832B9">
        <w:trPr>
          <w:trHeight w:val="907"/>
        </w:trPr>
        <w:tc>
          <w:tcPr>
            <w:tcW w:w="2835" w:type="dxa"/>
            <w:vAlign w:val="center"/>
          </w:tcPr>
          <w:p w14:paraId="1F122F14" w14:textId="77777777" w:rsidR="00A0583F" w:rsidRPr="00286308" w:rsidRDefault="00A0583F" w:rsidP="00B63CEC">
            <w:pPr>
              <w:pStyle w:val="Textoindependiente"/>
              <w:ind w:right="16"/>
              <w:jc w:val="center"/>
              <w:rPr>
                <w:rFonts w:ascii="Century Gothic" w:hAnsi="Century Gothic" w:cs="Arial"/>
                <w:b/>
                <w:sz w:val="20"/>
              </w:rPr>
            </w:pPr>
            <w:r w:rsidRPr="00286308">
              <w:rPr>
                <w:rFonts w:ascii="Century Gothic" w:hAnsi="Century Gothic" w:cs="Arial"/>
                <w:sz w:val="20"/>
              </w:rPr>
              <w:t>Ojo Laguna – Flores Magón (Ojo Laguna)</w:t>
            </w:r>
          </w:p>
        </w:tc>
        <w:tc>
          <w:tcPr>
            <w:tcW w:w="1418" w:type="dxa"/>
            <w:vAlign w:val="center"/>
          </w:tcPr>
          <w:p w14:paraId="17A4C419" w14:textId="77777777" w:rsidR="00A0583F" w:rsidRPr="00286308"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0 + 950</w:t>
            </w:r>
          </w:p>
        </w:tc>
        <w:tc>
          <w:tcPr>
            <w:tcW w:w="2268" w:type="dxa"/>
            <w:vAlign w:val="center"/>
          </w:tcPr>
          <w:p w14:paraId="27039E8B" w14:textId="77777777" w:rsidR="00A0583F" w:rsidRPr="00286308" w:rsidRDefault="00A0583F" w:rsidP="00B63CEC">
            <w:pPr>
              <w:pStyle w:val="Textoindependiente"/>
              <w:jc w:val="center"/>
              <w:rPr>
                <w:rFonts w:ascii="Century Gothic" w:hAnsi="Century Gothic" w:cs="Arial"/>
                <w:b/>
                <w:sz w:val="20"/>
              </w:rPr>
            </w:pPr>
            <w:r w:rsidRPr="00286308">
              <w:rPr>
                <w:rFonts w:ascii="Century Gothic" w:hAnsi="Century Gothic" w:cs="Arial"/>
                <w:sz w:val="20"/>
              </w:rPr>
              <w:t>Ojo Laguna – Flores Magón</w:t>
            </w:r>
          </w:p>
        </w:tc>
        <w:tc>
          <w:tcPr>
            <w:tcW w:w="1701" w:type="dxa"/>
            <w:vAlign w:val="center"/>
          </w:tcPr>
          <w:p w14:paraId="50E5FB75" w14:textId="77777777" w:rsidR="00A0583F" w:rsidRPr="00286308"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Estatal</w:t>
            </w:r>
          </w:p>
        </w:tc>
      </w:tr>
      <w:tr w:rsidR="00286308" w:rsidRPr="00286308" w14:paraId="7C95B183" w14:textId="77777777" w:rsidTr="008832B9">
        <w:trPr>
          <w:trHeight w:val="907"/>
        </w:trPr>
        <w:tc>
          <w:tcPr>
            <w:tcW w:w="2835" w:type="dxa"/>
            <w:vAlign w:val="center"/>
          </w:tcPr>
          <w:p w14:paraId="0E56AEB3" w14:textId="77777777" w:rsidR="00A0583F" w:rsidRPr="00286308" w:rsidDel="00456E8F" w:rsidRDefault="00A0583F" w:rsidP="00B63CEC">
            <w:pPr>
              <w:pStyle w:val="Textoindependiente"/>
              <w:ind w:right="16"/>
              <w:jc w:val="center"/>
              <w:rPr>
                <w:rFonts w:ascii="Century Gothic" w:hAnsi="Century Gothic" w:cs="Arial"/>
                <w:b/>
                <w:sz w:val="20"/>
              </w:rPr>
            </w:pPr>
            <w:r w:rsidRPr="00286308">
              <w:rPr>
                <w:rFonts w:ascii="Century Gothic" w:hAnsi="Century Gothic" w:cs="Arial"/>
                <w:sz w:val="20"/>
              </w:rPr>
              <w:t>Acortamiento Flores Magón – Galeana (Galeana)</w:t>
            </w:r>
          </w:p>
        </w:tc>
        <w:tc>
          <w:tcPr>
            <w:tcW w:w="1418" w:type="dxa"/>
            <w:vAlign w:val="center"/>
          </w:tcPr>
          <w:p w14:paraId="2E78CDF6" w14:textId="77777777" w:rsidR="00A0583F" w:rsidRPr="00286308" w:rsidDel="00456E8F"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18 + 000</w:t>
            </w:r>
          </w:p>
        </w:tc>
        <w:tc>
          <w:tcPr>
            <w:tcW w:w="2268" w:type="dxa"/>
            <w:vAlign w:val="center"/>
          </w:tcPr>
          <w:p w14:paraId="6B823466" w14:textId="77777777" w:rsidR="00A0583F" w:rsidRPr="00286308" w:rsidDel="00456E8F" w:rsidRDefault="00A0583F" w:rsidP="00B63CEC">
            <w:pPr>
              <w:pStyle w:val="Textoindependiente"/>
              <w:jc w:val="center"/>
              <w:rPr>
                <w:rFonts w:ascii="Century Gothic" w:hAnsi="Century Gothic" w:cs="Arial"/>
                <w:b/>
                <w:sz w:val="20"/>
              </w:rPr>
            </w:pPr>
            <w:r w:rsidRPr="00286308">
              <w:rPr>
                <w:rFonts w:ascii="Century Gothic" w:hAnsi="Century Gothic" w:cs="Arial"/>
                <w:sz w:val="20"/>
              </w:rPr>
              <w:t>Acortamiento Flores Magón – Galeana</w:t>
            </w:r>
          </w:p>
        </w:tc>
        <w:tc>
          <w:tcPr>
            <w:tcW w:w="1701" w:type="dxa"/>
            <w:vAlign w:val="center"/>
          </w:tcPr>
          <w:p w14:paraId="7D212BAE" w14:textId="77777777" w:rsidR="00A0583F" w:rsidRPr="00286308" w:rsidDel="00456E8F"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Estatal</w:t>
            </w:r>
          </w:p>
        </w:tc>
      </w:tr>
      <w:tr w:rsidR="00286308" w:rsidRPr="00286308" w14:paraId="7625FDD4" w14:textId="77777777" w:rsidTr="008832B9">
        <w:trPr>
          <w:trHeight w:val="907"/>
        </w:trPr>
        <w:tc>
          <w:tcPr>
            <w:tcW w:w="2835" w:type="dxa"/>
            <w:vAlign w:val="center"/>
          </w:tcPr>
          <w:p w14:paraId="15C7DFCF" w14:textId="77777777" w:rsidR="00A0583F" w:rsidRPr="00286308" w:rsidDel="00456E8F" w:rsidRDefault="00A0583F" w:rsidP="00B63CEC">
            <w:pPr>
              <w:pStyle w:val="Textoindependiente"/>
              <w:ind w:right="16"/>
              <w:jc w:val="center"/>
              <w:rPr>
                <w:rFonts w:ascii="Century Gothic" w:hAnsi="Century Gothic" w:cs="Arial"/>
                <w:b/>
                <w:sz w:val="20"/>
              </w:rPr>
            </w:pPr>
            <w:r w:rsidRPr="00286308">
              <w:rPr>
                <w:rFonts w:ascii="Century Gothic" w:hAnsi="Century Gothic" w:cs="Arial"/>
                <w:sz w:val="20"/>
              </w:rPr>
              <w:t>Jiménez Camargo (Jiménez)</w:t>
            </w:r>
          </w:p>
        </w:tc>
        <w:tc>
          <w:tcPr>
            <w:tcW w:w="1418" w:type="dxa"/>
            <w:vAlign w:val="center"/>
          </w:tcPr>
          <w:p w14:paraId="2FE1CD5C" w14:textId="77777777" w:rsidR="00A0583F" w:rsidRPr="00286308" w:rsidDel="00456E8F"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11 + 800</w:t>
            </w:r>
          </w:p>
        </w:tc>
        <w:tc>
          <w:tcPr>
            <w:tcW w:w="2268" w:type="dxa"/>
            <w:vAlign w:val="center"/>
          </w:tcPr>
          <w:p w14:paraId="04900F01" w14:textId="77777777" w:rsidR="00A0583F" w:rsidRPr="00286308" w:rsidDel="00456E8F" w:rsidRDefault="00A0583F" w:rsidP="00B63CEC">
            <w:pPr>
              <w:pStyle w:val="Textoindependiente"/>
              <w:jc w:val="center"/>
              <w:rPr>
                <w:rFonts w:ascii="Century Gothic" w:hAnsi="Century Gothic" w:cs="Arial"/>
                <w:b/>
                <w:sz w:val="20"/>
              </w:rPr>
            </w:pPr>
            <w:r w:rsidRPr="00286308">
              <w:rPr>
                <w:rFonts w:ascii="Century Gothic" w:hAnsi="Century Gothic" w:cs="Arial"/>
                <w:sz w:val="20"/>
              </w:rPr>
              <w:t>Jiménez – Camargo</w:t>
            </w:r>
          </w:p>
        </w:tc>
        <w:tc>
          <w:tcPr>
            <w:tcW w:w="1701" w:type="dxa"/>
            <w:vAlign w:val="center"/>
          </w:tcPr>
          <w:p w14:paraId="259C3EE8" w14:textId="77777777" w:rsidR="00A0583F" w:rsidRPr="00286308" w:rsidDel="00456E8F"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Federal</w:t>
            </w:r>
          </w:p>
        </w:tc>
      </w:tr>
      <w:tr w:rsidR="00286308" w:rsidRPr="00286308" w14:paraId="2C70ECB8" w14:textId="77777777" w:rsidTr="008832B9">
        <w:trPr>
          <w:trHeight w:val="907"/>
        </w:trPr>
        <w:tc>
          <w:tcPr>
            <w:tcW w:w="2835" w:type="dxa"/>
            <w:vAlign w:val="center"/>
          </w:tcPr>
          <w:p w14:paraId="2A87AD05" w14:textId="77777777" w:rsidR="00A0583F" w:rsidRPr="00286308" w:rsidDel="00456E8F" w:rsidRDefault="00A0583F" w:rsidP="00B63CEC">
            <w:pPr>
              <w:pStyle w:val="Textoindependiente"/>
              <w:ind w:right="16"/>
              <w:jc w:val="center"/>
              <w:rPr>
                <w:rFonts w:ascii="Century Gothic" w:hAnsi="Century Gothic" w:cs="Arial"/>
                <w:b/>
                <w:sz w:val="20"/>
              </w:rPr>
            </w:pPr>
            <w:r w:rsidRPr="00286308">
              <w:rPr>
                <w:rFonts w:ascii="Century Gothic" w:eastAsia="Arial" w:hAnsi="Century Gothic" w:cs="Arial"/>
                <w:sz w:val="20"/>
              </w:rPr>
              <w:t>Camargo – Conchos (Camargo)</w:t>
            </w:r>
          </w:p>
        </w:tc>
        <w:tc>
          <w:tcPr>
            <w:tcW w:w="1418" w:type="dxa"/>
            <w:vAlign w:val="center"/>
          </w:tcPr>
          <w:p w14:paraId="32056E29" w14:textId="77777777" w:rsidR="00A0583F" w:rsidRPr="00286308" w:rsidDel="00456E8F" w:rsidRDefault="00A0583F" w:rsidP="00B63CEC">
            <w:pPr>
              <w:pStyle w:val="Textoindependiente"/>
              <w:ind w:right="-187"/>
              <w:jc w:val="center"/>
              <w:rPr>
                <w:rFonts w:ascii="Century Gothic" w:hAnsi="Century Gothic" w:cs="Arial"/>
                <w:b/>
                <w:sz w:val="20"/>
              </w:rPr>
            </w:pPr>
            <w:r w:rsidRPr="00286308">
              <w:rPr>
                <w:rFonts w:ascii="Century Gothic" w:eastAsia="Arial" w:hAnsi="Century Gothic" w:cs="Arial"/>
                <w:sz w:val="20"/>
              </w:rPr>
              <w:t>73 + 800</w:t>
            </w:r>
          </w:p>
        </w:tc>
        <w:tc>
          <w:tcPr>
            <w:tcW w:w="2268" w:type="dxa"/>
            <w:vAlign w:val="center"/>
          </w:tcPr>
          <w:p w14:paraId="155FF077" w14:textId="77777777" w:rsidR="00A0583F" w:rsidRPr="00286308" w:rsidDel="00456E8F" w:rsidRDefault="00A0583F" w:rsidP="00B63CEC">
            <w:pPr>
              <w:pStyle w:val="Textoindependiente"/>
              <w:jc w:val="center"/>
              <w:rPr>
                <w:rFonts w:ascii="Century Gothic" w:hAnsi="Century Gothic" w:cs="Arial"/>
                <w:b/>
                <w:sz w:val="20"/>
              </w:rPr>
            </w:pPr>
            <w:r w:rsidRPr="00286308">
              <w:rPr>
                <w:rFonts w:ascii="Century Gothic" w:eastAsia="Arial" w:hAnsi="Century Gothic" w:cs="Arial"/>
                <w:sz w:val="20"/>
              </w:rPr>
              <w:t>Camargo – Conchos</w:t>
            </w:r>
          </w:p>
        </w:tc>
        <w:tc>
          <w:tcPr>
            <w:tcW w:w="1701" w:type="dxa"/>
            <w:vAlign w:val="center"/>
          </w:tcPr>
          <w:p w14:paraId="1C98C958" w14:textId="77777777" w:rsidR="00A0583F" w:rsidRPr="00286308" w:rsidDel="00456E8F"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Federal</w:t>
            </w:r>
          </w:p>
        </w:tc>
      </w:tr>
      <w:tr w:rsidR="00286308" w:rsidRPr="00286308" w14:paraId="7E4A3C81" w14:textId="77777777" w:rsidTr="008832B9">
        <w:trPr>
          <w:trHeight w:val="907"/>
        </w:trPr>
        <w:tc>
          <w:tcPr>
            <w:tcW w:w="2835" w:type="dxa"/>
            <w:vAlign w:val="center"/>
          </w:tcPr>
          <w:p w14:paraId="033607B8" w14:textId="77777777" w:rsidR="00A0583F" w:rsidRPr="00286308" w:rsidDel="00456E8F" w:rsidRDefault="00A0583F" w:rsidP="00B63CEC">
            <w:pPr>
              <w:pStyle w:val="Textoindependiente"/>
              <w:ind w:right="16"/>
              <w:jc w:val="center"/>
              <w:rPr>
                <w:rFonts w:ascii="Century Gothic" w:hAnsi="Century Gothic" w:cs="Arial"/>
                <w:b/>
                <w:sz w:val="20"/>
              </w:rPr>
            </w:pPr>
            <w:r w:rsidRPr="00286308">
              <w:rPr>
                <w:rFonts w:ascii="Century Gothic" w:eastAsia="Arial" w:hAnsi="Century Gothic" w:cs="Arial"/>
                <w:sz w:val="20"/>
              </w:rPr>
              <w:t>Conchos – Delicias (Saucillo)</w:t>
            </w:r>
          </w:p>
        </w:tc>
        <w:tc>
          <w:tcPr>
            <w:tcW w:w="1418" w:type="dxa"/>
            <w:vAlign w:val="center"/>
          </w:tcPr>
          <w:p w14:paraId="4AD2CC26" w14:textId="77777777" w:rsidR="00A0583F" w:rsidRPr="00286308" w:rsidDel="00456E8F" w:rsidRDefault="00A0583F" w:rsidP="00B63CEC">
            <w:pPr>
              <w:pStyle w:val="Textoindependiente"/>
              <w:ind w:right="-187"/>
              <w:jc w:val="center"/>
              <w:rPr>
                <w:rFonts w:ascii="Century Gothic" w:hAnsi="Century Gothic" w:cs="Arial"/>
                <w:b/>
                <w:sz w:val="20"/>
              </w:rPr>
            </w:pPr>
            <w:r w:rsidRPr="00286308">
              <w:rPr>
                <w:rFonts w:ascii="Century Gothic" w:eastAsia="Arial" w:hAnsi="Century Gothic" w:cs="Arial"/>
                <w:sz w:val="20"/>
              </w:rPr>
              <w:t>116 + 400</w:t>
            </w:r>
          </w:p>
        </w:tc>
        <w:tc>
          <w:tcPr>
            <w:tcW w:w="2268" w:type="dxa"/>
            <w:vAlign w:val="center"/>
          </w:tcPr>
          <w:p w14:paraId="13EEB164" w14:textId="77777777" w:rsidR="00A0583F" w:rsidRPr="00286308" w:rsidDel="00456E8F" w:rsidRDefault="00A0583F" w:rsidP="00B63CEC">
            <w:pPr>
              <w:pStyle w:val="Textoindependiente"/>
              <w:jc w:val="center"/>
              <w:rPr>
                <w:rFonts w:ascii="Century Gothic" w:hAnsi="Century Gothic" w:cs="Arial"/>
                <w:b/>
                <w:sz w:val="20"/>
              </w:rPr>
            </w:pPr>
            <w:r w:rsidRPr="00286308">
              <w:rPr>
                <w:rFonts w:ascii="Century Gothic" w:eastAsia="Arial" w:hAnsi="Century Gothic" w:cs="Arial"/>
                <w:sz w:val="20"/>
              </w:rPr>
              <w:t>Conchos – Delicias</w:t>
            </w:r>
          </w:p>
        </w:tc>
        <w:tc>
          <w:tcPr>
            <w:tcW w:w="1701" w:type="dxa"/>
            <w:vAlign w:val="center"/>
          </w:tcPr>
          <w:p w14:paraId="4717FCCE" w14:textId="77777777" w:rsidR="00A0583F" w:rsidRPr="00286308" w:rsidDel="00456E8F"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Federal</w:t>
            </w:r>
          </w:p>
        </w:tc>
      </w:tr>
      <w:tr w:rsidR="00A0583F" w:rsidRPr="00286308" w14:paraId="1E9F14A7" w14:textId="77777777" w:rsidTr="008832B9">
        <w:trPr>
          <w:trHeight w:val="907"/>
        </w:trPr>
        <w:tc>
          <w:tcPr>
            <w:tcW w:w="2835" w:type="dxa"/>
            <w:vAlign w:val="center"/>
          </w:tcPr>
          <w:p w14:paraId="0100209F" w14:textId="77777777" w:rsidR="00A0583F" w:rsidRPr="00286308" w:rsidDel="00456E8F" w:rsidRDefault="00A0583F" w:rsidP="00B63CEC">
            <w:pPr>
              <w:pStyle w:val="Textoindependiente"/>
              <w:ind w:right="16"/>
              <w:jc w:val="center"/>
              <w:rPr>
                <w:rFonts w:ascii="Century Gothic" w:hAnsi="Century Gothic" w:cs="Arial"/>
                <w:b/>
                <w:sz w:val="20"/>
              </w:rPr>
            </w:pPr>
            <w:r w:rsidRPr="00286308">
              <w:rPr>
                <w:rFonts w:ascii="Century Gothic" w:eastAsia="Arial" w:hAnsi="Century Gothic" w:cs="Arial"/>
                <w:sz w:val="20"/>
              </w:rPr>
              <w:t>Sueco – Villa Ahumada (Villa Ahumada)</w:t>
            </w:r>
          </w:p>
        </w:tc>
        <w:tc>
          <w:tcPr>
            <w:tcW w:w="1418" w:type="dxa"/>
            <w:vAlign w:val="center"/>
          </w:tcPr>
          <w:p w14:paraId="7CF01BB2" w14:textId="77777777" w:rsidR="00A0583F" w:rsidRPr="00286308" w:rsidDel="00456E8F" w:rsidRDefault="00A0583F" w:rsidP="00B63CEC">
            <w:pPr>
              <w:pStyle w:val="Textoindependiente"/>
              <w:ind w:right="-187"/>
              <w:jc w:val="center"/>
              <w:rPr>
                <w:rFonts w:ascii="Century Gothic" w:hAnsi="Century Gothic" w:cs="Arial"/>
                <w:b/>
                <w:sz w:val="20"/>
              </w:rPr>
            </w:pPr>
            <w:r w:rsidRPr="00286308">
              <w:rPr>
                <w:rFonts w:ascii="Century Gothic" w:eastAsia="Arial" w:hAnsi="Century Gothic" w:cs="Arial"/>
                <w:sz w:val="20"/>
              </w:rPr>
              <w:t>216 + 000</w:t>
            </w:r>
          </w:p>
        </w:tc>
        <w:tc>
          <w:tcPr>
            <w:tcW w:w="2268" w:type="dxa"/>
            <w:vAlign w:val="center"/>
          </w:tcPr>
          <w:p w14:paraId="226374C0" w14:textId="77777777" w:rsidR="00A0583F" w:rsidRPr="00286308" w:rsidDel="00456E8F" w:rsidRDefault="00A0583F" w:rsidP="00B63CEC">
            <w:pPr>
              <w:pStyle w:val="Textoindependiente"/>
              <w:jc w:val="center"/>
              <w:rPr>
                <w:rFonts w:ascii="Century Gothic" w:hAnsi="Century Gothic" w:cs="Arial"/>
                <w:b/>
                <w:sz w:val="20"/>
              </w:rPr>
            </w:pPr>
            <w:r w:rsidRPr="00286308">
              <w:rPr>
                <w:rFonts w:ascii="Century Gothic" w:eastAsia="Arial" w:hAnsi="Century Gothic" w:cs="Arial"/>
                <w:sz w:val="20"/>
              </w:rPr>
              <w:t>Sueco – Villa Ahumada</w:t>
            </w:r>
          </w:p>
        </w:tc>
        <w:tc>
          <w:tcPr>
            <w:tcW w:w="1701" w:type="dxa"/>
            <w:vAlign w:val="center"/>
          </w:tcPr>
          <w:p w14:paraId="5C82BD25" w14:textId="77777777" w:rsidR="00A0583F" w:rsidRPr="00286308" w:rsidDel="00456E8F" w:rsidRDefault="00A0583F" w:rsidP="00B63CEC">
            <w:pPr>
              <w:pStyle w:val="Textoindependiente"/>
              <w:ind w:right="-187"/>
              <w:jc w:val="center"/>
              <w:rPr>
                <w:rFonts w:ascii="Century Gothic" w:hAnsi="Century Gothic" w:cs="Arial"/>
                <w:b/>
                <w:sz w:val="20"/>
              </w:rPr>
            </w:pPr>
            <w:r w:rsidRPr="00286308">
              <w:rPr>
                <w:rFonts w:ascii="Century Gothic" w:hAnsi="Century Gothic" w:cs="Arial"/>
                <w:sz w:val="20"/>
              </w:rPr>
              <w:t>Federal</w:t>
            </w:r>
          </w:p>
        </w:tc>
      </w:tr>
    </w:tbl>
    <w:p w14:paraId="57E806D6" w14:textId="77777777" w:rsidR="00A0583F" w:rsidRPr="00286308" w:rsidRDefault="00A0583F" w:rsidP="00A0583F">
      <w:pPr>
        <w:pStyle w:val="Textoindependiente"/>
        <w:ind w:left="360" w:right="-187"/>
        <w:rPr>
          <w:rFonts w:ascii="Century Gothic" w:hAnsi="Century Gothic" w:cs="Arial"/>
          <w:b/>
          <w:sz w:val="20"/>
        </w:rPr>
      </w:pPr>
    </w:p>
    <w:p w14:paraId="7B5B141C" w14:textId="31785E32"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lastRenderedPageBreak/>
        <w:t>Asimismo</w:t>
      </w:r>
      <w:r w:rsidR="00CC5B52">
        <w:rPr>
          <w:rFonts w:ascii="Century Gothic" w:hAnsi="Century Gothic" w:cs="Arial"/>
        </w:rPr>
        <w:t>,</w:t>
      </w:r>
      <w:r w:rsidRPr="00286308">
        <w:rPr>
          <w:rFonts w:ascii="Century Gothic" w:hAnsi="Century Gothic" w:cs="Arial"/>
        </w:rPr>
        <w:t xml:space="preserve"> se autoriza al Estado y/o a Fibra Estatal, directamente o través del Fideicomiso Emisor, para que por conducto de los funcionarios que resulten legalmente facultados y para efectos de constituir la fuente de pago de los Certificados, afecten al mecanismo o vehículo a través del cual se implemente la fuente de pago de los Certificados: (i) cualquier ingreso que el Estado y/o Fibra Estatal y/o el Fideicomiso Emisor obtengan por el cobro de pólizas de seguros que tengan contratadas o llegasen a contratar para cubrir riesgos relacionados con la operación de los tramos carreteros antes referidos; y (</w:t>
      </w:r>
      <w:proofErr w:type="spellStart"/>
      <w:r w:rsidRPr="00286308">
        <w:rPr>
          <w:rFonts w:ascii="Century Gothic" w:hAnsi="Century Gothic" w:cs="Arial"/>
        </w:rPr>
        <w:t>ii</w:t>
      </w:r>
      <w:proofErr w:type="spellEnd"/>
      <w:r w:rsidRPr="00286308">
        <w:rPr>
          <w:rFonts w:ascii="Century Gothic" w:hAnsi="Century Gothic" w:cs="Arial"/>
        </w:rPr>
        <w:t>) cualquier ingreso que el Estado y/o la Fibra Estatal y/o el Fideicomiso Emisor obtengan del Gobierno Federal, derivado de la terminación anticipada o extinción de las concesiones federales de los tramos carreteros de jurisdicción federal, y cualquier otro ingreso que el Estado y/o Fibra Estatal y/o el Fideicomiso Emisor perciba derivado de dichas concesiones federales.</w:t>
      </w:r>
    </w:p>
    <w:p w14:paraId="701F643D" w14:textId="77777777" w:rsidR="00A0583F" w:rsidRPr="00286308" w:rsidRDefault="00A0583F" w:rsidP="00E25B3B">
      <w:pPr>
        <w:pStyle w:val="Textoindependiente"/>
        <w:spacing w:line="360" w:lineRule="auto"/>
        <w:ind w:left="360" w:right="-187"/>
        <w:rPr>
          <w:rFonts w:ascii="Century Gothic" w:hAnsi="Century Gothic" w:cs="Arial"/>
          <w:b/>
        </w:rPr>
      </w:pPr>
    </w:p>
    <w:p w14:paraId="7F5571EA" w14:textId="71C2656D"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La afectación de los ingresos antes referidos deberá hacerse de manera irrevocable y por el plazo necesario para liquidar totalmente los Certificados que se emitan y las garantías que se contraten al amparo del presente Decreto. Lo anterior</w:t>
      </w:r>
      <w:r w:rsidR="00CC5B52">
        <w:rPr>
          <w:rFonts w:ascii="Century Gothic" w:hAnsi="Century Gothic" w:cs="Arial"/>
        </w:rPr>
        <w:t>,</w:t>
      </w:r>
      <w:r w:rsidRPr="00286308">
        <w:rPr>
          <w:rFonts w:ascii="Century Gothic" w:hAnsi="Century Gothic" w:cs="Arial"/>
        </w:rPr>
        <w:t xml:space="preserve"> en el entendido que en todo momento deberán respetarse los plazos correspondientes a los tramos carreteros de jurisdicción federal previstos en sus respectivos títulos de concesión.</w:t>
      </w:r>
    </w:p>
    <w:p w14:paraId="0C0024A8" w14:textId="77777777" w:rsidR="00A0583F" w:rsidRPr="00286308" w:rsidRDefault="00A0583F" w:rsidP="00E25B3B">
      <w:pPr>
        <w:pStyle w:val="Textoindependiente"/>
        <w:spacing w:line="360" w:lineRule="auto"/>
        <w:ind w:left="567" w:right="-187"/>
        <w:rPr>
          <w:rFonts w:ascii="Century Gothic" w:hAnsi="Century Gothic" w:cs="Arial"/>
          <w:b/>
        </w:rPr>
      </w:pPr>
    </w:p>
    <w:p w14:paraId="7C8B043D"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Toda vez que los ingresos antes referidos se encuentran afectados al patrimonio del Fideicomiso Emisor Previo, se autoriza al Estado y/o a Fibra Estatal, directamente o a través del</w:t>
      </w:r>
      <w:r w:rsidRPr="00286308" w:rsidDel="00B90EA6">
        <w:rPr>
          <w:rFonts w:ascii="Century Gothic" w:hAnsi="Century Gothic" w:cs="Arial"/>
        </w:rPr>
        <w:t xml:space="preserve"> </w:t>
      </w:r>
      <w:r w:rsidRPr="00286308">
        <w:rPr>
          <w:rFonts w:ascii="Century Gothic" w:hAnsi="Century Gothic" w:cs="Arial"/>
        </w:rPr>
        <w:t xml:space="preserve">Fideicomiso Emisor la celebración de </w:t>
      </w:r>
      <w:r w:rsidRPr="00286308">
        <w:rPr>
          <w:rFonts w:ascii="Century Gothic" w:hAnsi="Century Gothic" w:cs="Arial"/>
        </w:rPr>
        <w:lastRenderedPageBreak/>
        <w:t>los actos, contratos y/o convenios que resulten necesarios o convenientes para la desafectación de dichos bienes del Fideicomiso Emisor Previo, y su afectación al nuevo Fideicomiso Emisor.</w:t>
      </w:r>
    </w:p>
    <w:p w14:paraId="22335DFC" w14:textId="77E87769"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 xml:space="preserve">En su caso, salvo por la afectación al patrimonio del Fideicomiso Emisor, de los bienes, derechos e ingresos anteriormente referidos, el Estado y/o Fibra Estatal no tendrán obligación de aportar recursos adicionales al patrimonio del Fideicomiso Emisor, respecto del cumplimiento de las obligaciones de pago, en términos de los Certificados que se emitan y de las garantías que se contraten en términos de este Decreto, ni de cualquier otra obligación asumida por el fiduciario bajo el Fideicomiso Emisor, incluyendo sin limitar, las coberturas de tasas de interés que, en su caso, se contraten </w:t>
      </w:r>
      <w:r w:rsidR="00CC5B52">
        <w:rPr>
          <w:rFonts w:ascii="Century Gothic" w:hAnsi="Century Gothic" w:cs="Arial"/>
        </w:rPr>
        <w:t xml:space="preserve">por </w:t>
      </w:r>
      <w:r w:rsidRPr="00286308">
        <w:rPr>
          <w:rFonts w:ascii="Century Gothic" w:hAnsi="Century Gothic" w:cs="Arial"/>
        </w:rPr>
        <w:t xml:space="preserve">cualquier otro gasto. </w:t>
      </w:r>
    </w:p>
    <w:p w14:paraId="27A95CCC" w14:textId="77777777" w:rsidR="00A0583F" w:rsidRPr="00286308" w:rsidRDefault="00A0583F" w:rsidP="00E25B3B">
      <w:pPr>
        <w:pStyle w:val="Textoindependiente"/>
        <w:spacing w:line="360" w:lineRule="auto"/>
        <w:ind w:left="567" w:right="-187"/>
        <w:rPr>
          <w:rFonts w:ascii="Century Gothic" w:hAnsi="Century Gothic" w:cs="Arial"/>
          <w:b/>
        </w:rPr>
      </w:pPr>
    </w:p>
    <w:p w14:paraId="2759C631" w14:textId="76F8DA06" w:rsidR="00A0583F" w:rsidRPr="00286308" w:rsidRDefault="00A0583F" w:rsidP="00FF6735">
      <w:pPr>
        <w:pStyle w:val="Textoindependiente"/>
        <w:numPr>
          <w:ilvl w:val="1"/>
          <w:numId w:val="8"/>
        </w:numPr>
        <w:spacing w:line="360" w:lineRule="auto"/>
        <w:ind w:left="567" w:right="-187" w:hanging="501"/>
        <w:rPr>
          <w:rFonts w:ascii="Century Gothic" w:hAnsi="Century Gothic" w:cs="Arial"/>
          <w:b/>
        </w:rPr>
      </w:pPr>
      <w:r w:rsidRPr="00286308">
        <w:rPr>
          <w:rFonts w:ascii="Century Gothic" w:hAnsi="Century Gothic" w:cs="Arial"/>
          <w:u w:val="single"/>
        </w:rPr>
        <w:t>Otros bienes que podrán integrar el patrimonio del Fideicomiso Emisor</w:t>
      </w:r>
      <w:r w:rsidRPr="00286308">
        <w:rPr>
          <w:rFonts w:ascii="Century Gothic" w:hAnsi="Century Gothic" w:cs="Arial"/>
        </w:rPr>
        <w:t>. El contrato a través del cual se constituya el Fideicomiso Emisor podrá estipular que, además de los ingresos y derechos a que se refiere el numeral anterior, el patrimonio del Fideicomiso Emisor se integrará por los siguientes bienes, derechos e ingresos: (i) los ingresos derivados de la emisión y colocación de los Certificados; (</w:t>
      </w:r>
      <w:proofErr w:type="spellStart"/>
      <w:r w:rsidRPr="00286308">
        <w:rPr>
          <w:rFonts w:ascii="Century Gothic" w:hAnsi="Century Gothic" w:cs="Arial"/>
        </w:rPr>
        <w:t>ii</w:t>
      </w:r>
      <w:proofErr w:type="spellEnd"/>
      <w:r w:rsidRPr="00286308">
        <w:rPr>
          <w:rFonts w:ascii="Century Gothic" w:hAnsi="Century Gothic" w:cs="Arial"/>
        </w:rPr>
        <w:t xml:space="preserve">) los recursos que, en su caso, se generen a favor del fiduciario del Fideicomiso Emisor, derivados de los instrumentos derivados, </w:t>
      </w:r>
      <w:r w:rsidR="00A2223B">
        <w:rPr>
          <w:rFonts w:ascii="Century Gothic" w:hAnsi="Century Gothic" w:cs="Arial"/>
        </w:rPr>
        <w:t xml:space="preserve">que </w:t>
      </w:r>
      <w:r w:rsidRPr="00286308">
        <w:rPr>
          <w:rFonts w:ascii="Century Gothic" w:hAnsi="Century Gothic" w:cs="Arial"/>
        </w:rPr>
        <w:t>en su caso, celebre; (</w:t>
      </w:r>
      <w:proofErr w:type="spellStart"/>
      <w:r w:rsidRPr="00286308">
        <w:rPr>
          <w:rFonts w:ascii="Century Gothic" w:hAnsi="Century Gothic" w:cs="Arial"/>
        </w:rPr>
        <w:t>iii</w:t>
      </w:r>
      <w:proofErr w:type="spellEnd"/>
      <w:r w:rsidRPr="00286308">
        <w:rPr>
          <w:rFonts w:ascii="Century Gothic" w:hAnsi="Century Gothic" w:cs="Arial"/>
        </w:rPr>
        <w:t>) los valores en los que se inviertan los recursos líquidos que formen parte del patrimonio del Fideicomiso Emisor y sus rendimientos y (</w:t>
      </w:r>
      <w:proofErr w:type="spellStart"/>
      <w:r w:rsidRPr="00286308">
        <w:rPr>
          <w:rFonts w:ascii="Century Gothic" w:hAnsi="Century Gothic" w:cs="Arial"/>
        </w:rPr>
        <w:t>iv</w:t>
      </w:r>
      <w:proofErr w:type="spellEnd"/>
      <w:r w:rsidRPr="00286308">
        <w:rPr>
          <w:rFonts w:ascii="Century Gothic" w:hAnsi="Century Gothic" w:cs="Arial"/>
        </w:rPr>
        <w:t>) cualquier otro bien que en el futuro se aporte al Fideicomiso Emisor para el cumplimiento de sus fines.</w:t>
      </w:r>
    </w:p>
    <w:p w14:paraId="3A15159A" w14:textId="77777777" w:rsidR="00A0583F" w:rsidRPr="00286308" w:rsidRDefault="00A0583F" w:rsidP="00E25B3B">
      <w:pPr>
        <w:pStyle w:val="Textoindependiente"/>
        <w:spacing w:line="360" w:lineRule="auto"/>
        <w:ind w:left="567" w:right="-187"/>
        <w:rPr>
          <w:rFonts w:ascii="Century Gothic" w:hAnsi="Century Gothic" w:cs="Arial"/>
          <w:b/>
        </w:rPr>
      </w:pPr>
    </w:p>
    <w:p w14:paraId="55EA7994"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lastRenderedPageBreak/>
        <w:t>Plazo máximo de Vigencia de los Certificados</w:t>
      </w:r>
      <w:r w:rsidRPr="00286308">
        <w:rPr>
          <w:rFonts w:ascii="Century Gothic" w:hAnsi="Century Gothic" w:cs="Arial"/>
        </w:rPr>
        <w:t>. Los Certificados a ser emitidos al amparo de la presente autorización podrán tener una vigencia de hasta 25 (veinticinco) años, equivalentes aproximadamente a 9,131 (nueve mil ciento treinta y un) días, contados a partir de la fecha de su emisión.</w:t>
      </w:r>
    </w:p>
    <w:p w14:paraId="63286A78" w14:textId="77777777" w:rsidR="00A71E77" w:rsidRPr="00286308" w:rsidRDefault="00A71E77" w:rsidP="00E25B3B">
      <w:pPr>
        <w:pStyle w:val="Textoindependiente"/>
        <w:spacing w:line="360" w:lineRule="auto"/>
        <w:ind w:left="567" w:right="-187"/>
        <w:rPr>
          <w:rFonts w:ascii="Century Gothic" w:hAnsi="Century Gothic" w:cs="Arial"/>
        </w:rPr>
      </w:pPr>
    </w:p>
    <w:p w14:paraId="0388FEA3" w14:textId="608B82DE"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 xml:space="preserve">En todo caso, los Certificados permanecerán vigentes, mientras existan obligaciones pendientes de pago a favor de los acreedores respectivos. </w:t>
      </w:r>
    </w:p>
    <w:p w14:paraId="399D6425" w14:textId="77777777" w:rsidR="00A0583F" w:rsidRPr="00286308" w:rsidRDefault="00A0583F" w:rsidP="00E25B3B">
      <w:pPr>
        <w:pStyle w:val="Prrafodelista"/>
        <w:spacing w:line="360" w:lineRule="auto"/>
        <w:rPr>
          <w:rFonts w:ascii="Century Gothic" w:hAnsi="Century Gothic" w:cs="Arial"/>
          <w:bCs/>
          <w:sz w:val="24"/>
          <w:szCs w:val="24"/>
          <w:u w:val="single"/>
        </w:rPr>
      </w:pPr>
    </w:p>
    <w:p w14:paraId="6617AA5E" w14:textId="0523A9EF" w:rsidR="00A0583F" w:rsidRPr="00286308" w:rsidRDefault="00A0583F" w:rsidP="00FF6735">
      <w:pPr>
        <w:pStyle w:val="Prrafodelista"/>
        <w:numPr>
          <w:ilvl w:val="1"/>
          <w:numId w:val="8"/>
        </w:numPr>
        <w:spacing w:after="0" w:line="360" w:lineRule="auto"/>
        <w:ind w:left="567" w:hanging="501"/>
        <w:contextualSpacing w:val="0"/>
        <w:jc w:val="both"/>
        <w:rPr>
          <w:rFonts w:ascii="Century Gothic" w:hAnsi="Century Gothic" w:cs="Arial"/>
          <w:sz w:val="24"/>
          <w:szCs w:val="24"/>
        </w:rPr>
      </w:pPr>
      <w:r w:rsidRPr="00286308">
        <w:rPr>
          <w:rFonts w:ascii="Century Gothic" w:hAnsi="Century Gothic" w:cs="Arial"/>
          <w:bCs/>
          <w:sz w:val="24"/>
          <w:szCs w:val="24"/>
          <w:u w:val="single"/>
        </w:rPr>
        <w:t>Instrumentos Derivados</w:t>
      </w:r>
      <w:r w:rsidRPr="00286308">
        <w:rPr>
          <w:rFonts w:ascii="Century Gothic" w:hAnsi="Century Gothic" w:cs="Arial"/>
          <w:bCs/>
          <w:sz w:val="24"/>
          <w:szCs w:val="24"/>
        </w:rPr>
        <w:t>.</w:t>
      </w:r>
      <w:r w:rsidRPr="00286308">
        <w:rPr>
          <w:rFonts w:ascii="Century Gothic" w:hAnsi="Century Gothic" w:cs="Arial"/>
          <w:b/>
          <w:sz w:val="24"/>
          <w:szCs w:val="24"/>
        </w:rPr>
        <w:t xml:space="preserve"> </w:t>
      </w:r>
      <w:r w:rsidRPr="00286308">
        <w:rPr>
          <w:rFonts w:ascii="Century Gothic" w:hAnsi="Century Gothic" w:cs="Arial"/>
          <w:sz w:val="24"/>
          <w:szCs w:val="24"/>
        </w:rPr>
        <w:t>Con base en la presente autorización, el Estado y/o Fibra Estatal, directamente o a través del Fideicomiso Emisor, podrán contratar instrumentos derivados, para cubrir hasta la totalidad de los montos expuestos derivados de la emisión de los Certificados y por una vigencia igual o menor al plazo de los Certificados, incluyendo, de manera enunciativa, m</w:t>
      </w:r>
      <w:r w:rsidR="00DE00BB">
        <w:rPr>
          <w:rFonts w:ascii="Century Gothic" w:hAnsi="Century Gothic" w:cs="Arial"/>
          <w:sz w:val="24"/>
          <w:szCs w:val="24"/>
        </w:rPr>
        <w:t>a</w:t>
      </w:r>
      <w:r w:rsidRPr="00286308">
        <w:rPr>
          <w:rFonts w:ascii="Century Gothic" w:hAnsi="Century Gothic" w:cs="Arial"/>
          <w:sz w:val="24"/>
          <w:szCs w:val="24"/>
        </w:rPr>
        <w:t xml:space="preserve">s no limitativa, contratos de cobertura </w:t>
      </w:r>
      <w:r w:rsidR="00DE00BB">
        <w:rPr>
          <w:rFonts w:ascii="Century Gothic" w:hAnsi="Century Gothic" w:cs="Arial"/>
          <w:sz w:val="24"/>
          <w:szCs w:val="24"/>
        </w:rPr>
        <w:t xml:space="preserve">o </w:t>
      </w:r>
      <w:r w:rsidRPr="00286308">
        <w:rPr>
          <w:rFonts w:ascii="Century Gothic" w:hAnsi="Century Gothic" w:cs="Arial"/>
          <w:sz w:val="24"/>
          <w:szCs w:val="24"/>
        </w:rPr>
        <w:t>contratos de intercambios de tasas. En su caso, los instrumentos derivados podrán compartir la fuente de pago de los Certificados, y los mismos podrán contratarse con recursos derivados de la emisión de los Certificados. En caso de que dicha contratación genere deuda contingente, la misma podrá ser hasta: (i) por la cantidad necesaria para cubrir el 100% (cien por ciento) del monto de la emisión de los Certificados, y (</w:t>
      </w:r>
      <w:proofErr w:type="spellStart"/>
      <w:r w:rsidRPr="00286308">
        <w:rPr>
          <w:rFonts w:ascii="Century Gothic" w:hAnsi="Century Gothic" w:cs="Arial"/>
          <w:sz w:val="24"/>
          <w:szCs w:val="24"/>
        </w:rPr>
        <w:t>ii</w:t>
      </w:r>
      <w:proofErr w:type="spellEnd"/>
      <w:r w:rsidRPr="00286308">
        <w:rPr>
          <w:rFonts w:ascii="Century Gothic" w:hAnsi="Century Gothic" w:cs="Arial"/>
          <w:sz w:val="24"/>
          <w:szCs w:val="24"/>
        </w:rPr>
        <w:t xml:space="preserve">) hasta por el plazo máximo de vigencia de los Certificados. </w:t>
      </w:r>
    </w:p>
    <w:p w14:paraId="34EFCA91" w14:textId="77777777" w:rsidR="00A0583F" w:rsidRPr="00286308" w:rsidRDefault="00A0583F" w:rsidP="00E25B3B">
      <w:pPr>
        <w:pStyle w:val="Prrafodelista"/>
        <w:spacing w:line="360" w:lineRule="auto"/>
        <w:rPr>
          <w:rFonts w:ascii="Century Gothic" w:hAnsi="Century Gothic" w:cs="Arial"/>
          <w:sz w:val="24"/>
          <w:szCs w:val="24"/>
        </w:rPr>
      </w:pPr>
    </w:p>
    <w:p w14:paraId="6E3ADE29" w14:textId="77777777" w:rsidR="00A0583F" w:rsidRPr="00286308" w:rsidRDefault="00A0583F" w:rsidP="00E25B3B">
      <w:pPr>
        <w:pStyle w:val="Textoindependiente"/>
        <w:spacing w:line="360" w:lineRule="auto"/>
        <w:ind w:left="567" w:right="-187"/>
        <w:rPr>
          <w:rFonts w:ascii="Century Gothic" w:hAnsi="Century Gothic" w:cs="Arial"/>
          <w:b/>
          <w:u w:val="single"/>
        </w:rPr>
      </w:pPr>
      <w:r w:rsidRPr="00286308">
        <w:rPr>
          <w:rFonts w:ascii="Century Gothic" w:hAnsi="Century Gothic" w:cs="Arial"/>
        </w:rPr>
        <w:lastRenderedPageBreak/>
        <w:t>En caso de que la contratación de los instrumentos derivados genere deuda contingente, la misma deberá ajustarse a lo establecido en la Ley de Deuda Pública para el Estado de Chihuahua y sus Municipios.</w:t>
      </w:r>
    </w:p>
    <w:p w14:paraId="6369C1A7" w14:textId="77777777" w:rsidR="00A0583F" w:rsidRPr="00286308" w:rsidRDefault="00A0583F" w:rsidP="00E25B3B">
      <w:pPr>
        <w:pStyle w:val="Prrafodelista"/>
        <w:spacing w:line="360" w:lineRule="auto"/>
        <w:ind w:left="567"/>
        <w:jc w:val="both"/>
        <w:rPr>
          <w:rFonts w:ascii="Century Gothic" w:hAnsi="Century Gothic" w:cs="Arial"/>
          <w:sz w:val="24"/>
          <w:szCs w:val="24"/>
        </w:rPr>
      </w:pPr>
    </w:p>
    <w:p w14:paraId="6B37201F"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Gastos y Fondos de Reserva</w:t>
      </w:r>
      <w:r w:rsidRPr="00286308">
        <w:rPr>
          <w:rFonts w:ascii="Century Gothic" w:hAnsi="Century Gothic" w:cs="Arial"/>
        </w:rPr>
        <w:t>. Se autoriza al Estado y/o a Fibra Estatal, directamente o a través del Fideicomiso Emisor, para:</w:t>
      </w:r>
    </w:p>
    <w:p w14:paraId="3CD83A26"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4E3BAB6E" w14:textId="77777777" w:rsidR="00A0583F" w:rsidRPr="00286308" w:rsidRDefault="00A0583F" w:rsidP="00FF6735">
      <w:pPr>
        <w:pStyle w:val="Textoindependiente"/>
        <w:numPr>
          <w:ilvl w:val="0"/>
          <w:numId w:val="18"/>
        </w:numPr>
        <w:spacing w:line="360" w:lineRule="auto"/>
        <w:ind w:left="1134" w:right="-187" w:hanging="567"/>
        <w:rPr>
          <w:rFonts w:ascii="Century Gothic" w:hAnsi="Century Gothic" w:cs="Arial"/>
          <w:b/>
        </w:rPr>
      </w:pPr>
      <w:r w:rsidRPr="00286308">
        <w:rPr>
          <w:rFonts w:ascii="Century Gothic" w:hAnsi="Century Gothic" w:cs="Arial"/>
        </w:rPr>
        <w:t>Contratar y pagar los gastos y costos relacionados con la emisión o emisiones de los Certificados, que se requieran para el diseño e instrumentación financiera y/o legal de las operaciones a que se refiere la presente autorización.</w:t>
      </w:r>
    </w:p>
    <w:p w14:paraId="622C7CD1" w14:textId="77777777" w:rsidR="00A0583F" w:rsidRPr="00286308" w:rsidRDefault="00A0583F" w:rsidP="00E25B3B">
      <w:pPr>
        <w:pStyle w:val="Textoindependiente"/>
        <w:spacing w:line="360" w:lineRule="auto"/>
        <w:ind w:left="1134" w:right="-187"/>
        <w:rPr>
          <w:rFonts w:ascii="Century Gothic" w:hAnsi="Century Gothic" w:cs="Arial"/>
          <w:b/>
        </w:rPr>
      </w:pPr>
    </w:p>
    <w:p w14:paraId="5FBD404E" w14:textId="62C5C937" w:rsidR="00A0583F" w:rsidRPr="00286308" w:rsidRDefault="00A0583F" w:rsidP="00E25B3B">
      <w:pPr>
        <w:pStyle w:val="Textoindependiente"/>
        <w:spacing w:line="360" w:lineRule="auto"/>
        <w:ind w:left="1134" w:right="-187"/>
        <w:rPr>
          <w:rFonts w:ascii="Century Gothic" w:hAnsi="Century Gothic" w:cs="Arial"/>
          <w:b/>
        </w:rPr>
      </w:pPr>
      <w:r w:rsidRPr="00286308">
        <w:rPr>
          <w:rFonts w:ascii="Century Gothic" w:hAnsi="Century Gothic" w:cs="Arial"/>
        </w:rPr>
        <w:t>De conformidad con el artículo 22, de la Ley de Disciplina Financiera</w:t>
      </w:r>
      <w:r w:rsidR="00DE00BB">
        <w:rPr>
          <w:rFonts w:ascii="Century Gothic" w:hAnsi="Century Gothic" w:cs="Arial"/>
        </w:rPr>
        <w:t xml:space="preserve"> de las Entidades Federativas y los Municipios</w:t>
      </w:r>
      <w:r w:rsidRPr="00286308">
        <w:rPr>
          <w:rFonts w:ascii="Century Gothic" w:hAnsi="Century Gothic" w:cs="Arial"/>
        </w:rPr>
        <w:t>, solo podrá destinarse hasta un 0.15 por ciento del monto de los Certificados para cubrir gastos y costos relacionados con la emisión.</w:t>
      </w:r>
    </w:p>
    <w:p w14:paraId="7A58DD21" w14:textId="77777777" w:rsidR="00A0583F" w:rsidRPr="00286308" w:rsidRDefault="00A0583F" w:rsidP="00E25B3B">
      <w:pPr>
        <w:pStyle w:val="Textoindependiente"/>
        <w:spacing w:line="360" w:lineRule="auto"/>
        <w:ind w:left="1134" w:right="-187"/>
        <w:rPr>
          <w:rFonts w:ascii="Century Gothic" w:hAnsi="Century Gothic" w:cs="Arial"/>
          <w:b/>
        </w:rPr>
      </w:pPr>
    </w:p>
    <w:p w14:paraId="3E28314D" w14:textId="77777777" w:rsidR="00A0583F" w:rsidRPr="00286308" w:rsidRDefault="00A0583F" w:rsidP="00FF6735">
      <w:pPr>
        <w:pStyle w:val="Textoindependiente"/>
        <w:numPr>
          <w:ilvl w:val="0"/>
          <w:numId w:val="18"/>
        </w:numPr>
        <w:spacing w:line="360" w:lineRule="auto"/>
        <w:ind w:left="1134" w:right="-187" w:hanging="567"/>
        <w:rPr>
          <w:rFonts w:ascii="Century Gothic" w:hAnsi="Century Gothic" w:cs="Arial"/>
          <w:b/>
        </w:rPr>
      </w:pPr>
      <w:r w:rsidRPr="00286308">
        <w:rPr>
          <w:rFonts w:ascii="Century Gothic" w:hAnsi="Century Gothic" w:cs="Arial"/>
        </w:rPr>
        <w:t>Constituir y/o reconstituir, el o los fondos de reservas que resulten necesarios para la implementación de los Certificados, dichos fondos de reserva podrán constituirse hasta por un monto equivalente a dos pagos o cupones semestrales del servicio de la deuda de los Certificados.</w:t>
      </w:r>
    </w:p>
    <w:p w14:paraId="26F8299F" w14:textId="77777777" w:rsidR="00A0583F" w:rsidRPr="00286308" w:rsidRDefault="00A0583F" w:rsidP="00E25B3B">
      <w:pPr>
        <w:pStyle w:val="Textoindependiente"/>
        <w:spacing w:line="360" w:lineRule="auto"/>
        <w:ind w:right="-187"/>
        <w:rPr>
          <w:rFonts w:ascii="Century Gothic" w:hAnsi="Century Gothic" w:cs="Arial"/>
          <w:b/>
        </w:rPr>
      </w:pPr>
      <w:r w:rsidRPr="00286308">
        <w:rPr>
          <w:rFonts w:ascii="Century Gothic" w:hAnsi="Century Gothic" w:cs="Arial"/>
        </w:rPr>
        <w:t xml:space="preserve">  </w:t>
      </w:r>
    </w:p>
    <w:p w14:paraId="196179A7"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Plazo máximo de Emisión y vigencia de la autorización</w:t>
      </w:r>
      <w:r w:rsidRPr="00286308">
        <w:rPr>
          <w:rFonts w:ascii="Century Gothic" w:hAnsi="Century Gothic" w:cs="Arial"/>
        </w:rPr>
        <w:t xml:space="preserve">. La emisión o emisiones de los Certificados deberá realizarse a más tardar el 31 de </w:t>
      </w:r>
      <w:r w:rsidRPr="00286308">
        <w:rPr>
          <w:rFonts w:ascii="Century Gothic" w:hAnsi="Century Gothic" w:cs="Arial"/>
        </w:rPr>
        <w:lastRenderedPageBreak/>
        <w:t>diciembre de 2023. De igual forma el Estado y/o Fibra podrán ejercer la presente autorización hasta el 31 de diciembre de 2023.</w:t>
      </w:r>
    </w:p>
    <w:p w14:paraId="4B84BAAF" w14:textId="77777777" w:rsidR="00A0583F" w:rsidRPr="00286308" w:rsidRDefault="00A0583F" w:rsidP="00E25B3B">
      <w:pPr>
        <w:pStyle w:val="Textoindependiente"/>
        <w:spacing w:line="360" w:lineRule="auto"/>
        <w:ind w:left="567" w:right="-187"/>
        <w:rPr>
          <w:rFonts w:ascii="Century Gothic" w:hAnsi="Century Gothic" w:cs="Arial"/>
          <w:b/>
        </w:rPr>
      </w:pPr>
    </w:p>
    <w:p w14:paraId="3DFA9C33" w14:textId="11427A0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Garantías de Pago Oportuno</w:t>
      </w:r>
      <w:r w:rsidRPr="00286308">
        <w:rPr>
          <w:rFonts w:ascii="Century Gothic" w:hAnsi="Century Gothic" w:cs="Arial"/>
        </w:rPr>
        <w:t>. Con la finalidad de fortalecer la estructura y garantizar a los tenedores de los Certificados, el Fideicomiso Emisor, y/o el Estado y/o Fibra Estatal, podrán contratar con la Banca de Desarrollo o con cualquier</w:t>
      </w:r>
      <w:r w:rsidR="005A393D">
        <w:rPr>
          <w:rFonts w:ascii="Century Gothic" w:hAnsi="Century Gothic" w:cs="Arial"/>
        </w:rPr>
        <w:t>a</w:t>
      </w:r>
      <w:r w:rsidRPr="00286308">
        <w:rPr>
          <w:rFonts w:ascii="Century Gothic" w:hAnsi="Century Gothic" w:cs="Arial"/>
        </w:rPr>
        <w:t xml:space="preserve"> otra institución de crédito de nacionalidad mexicana, cualquier tipo o instrumento de garantías de pago oportuno, o cualesquier otros instrumentos o mecanismos de garantía de pago similares o de soporte crediticio, u operaciones similares, en favor de los tenedores de los Certificados, denominadas en pesos o en Unidades de Inversión, pagaderas en moneda nacional y dentro del territorio del país, en la inteligencia de que la vigencia de las Garantías de Pago será igual o menor al plazo de los Certificados garantizados y hasta por un monto máximo equivalente al 15% (quince por ciento) del saldo insoluto de los Certificados autorizados en virtud del presente Decreto. Las Garantías de Pago podrán tener como fuente de pago los Ingresos locales descritos en el numeral 3.4. anterior.</w:t>
      </w:r>
    </w:p>
    <w:p w14:paraId="52471516" w14:textId="77777777" w:rsidR="00A0583F" w:rsidRPr="00286308" w:rsidRDefault="00A0583F" w:rsidP="00E25B3B">
      <w:pPr>
        <w:pStyle w:val="Prrafodelista"/>
        <w:spacing w:line="360" w:lineRule="auto"/>
        <w:rPr>
          <w:rFonts w:ascii="Century Gothic" w:hAnsi="Century Gothic" w:cs="Arial"/>
          <w:b/>
          <w:sz w:val="24"/>
          <w:szCs w:val="24"/>
        </w:rPr>
      </w:pPr>
    </w:p>
    <w:p w14:paraId="0C00CE8D"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Los derechos de disposición que deriven de la Garantía de Pago, podrán ser afectados a cualquier fideicomiso de administración, garantía y/o fuente de pago.</w:t>
      </w:r>
    </w:p>
    <w:p w14:paraId="1600BDBC" w14:textId="77777777" w:rsidR="00A0583F" w:rsidRPr="00286308" w:rsidRDefault="00A0583F" w:rsidP="00E25B3B">
      <w:pPr>
        <w:pStyle w:val="Textoindependiente"/>
        <w:spacing w:line="360" w:lineRule="auto"/>
        <w:ind w:left="567" w:right="-187"/>
        <w:rPr>
          <w:rFonts w:ascii="Century Gothic" w:hAnsi="Century Gothic" w:cs="Arial"/>
          <w:b/>
        </w:rPr>
      </w:pPr>
    </w:p>
    <w:p w14:paraId="357B85DA"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Obligación Solidaria</w:t>
      </w:r>
      <w:r w:rsidRPr="00286308">
        <w:rPr>
          <w:rFonts w:ascii="Century Gothic" w:hAnsi="Century Gothic" w:cs="Arial"/>
        </w:rPr>
        <w:t xml:space="preserve">. Asimismo, se autoriza al Estado para que, en su caso, y a través de la Secretaría de Hacienda, se constituya como </w:t>
      </w:r>
      <w:r w:rsidRPr="00286308">
        <w:rPr>
          <w:rFonts w:ascii="Century Gothic" w:hAnsi="Century Gothic" w:cs="Arial"/>
        </w:rPr>
        <w:lastRenderedPageBreak/>
        <w:t>obligado solidario y/o aval respecto de las obligaciones derivadas de la emisión de los Certificados.</w:t>
      </w:r>
    </w:p>
    <w:p w14:paraId="5ECACAA5" w14:textId="77777777" w:rsidR="00A0583F" w:rsidRPr="00286308" w:rsidRDefault="00A0583F" w:rsidP="00E25B3B">
      <w:pPr>
        <w:pStyle w:val="Textoindependiente"/>
        <w:spacing w:line="360" w:lineRule="auto"/>
        <w:ind w:left="360" w:right="-187"/>
        <w:rPr>
          <w:rFonts w:ascii="Century Gothic" w:hAnsi="Century Gothic" w:cs="Arial"/>
          <w:b/>
        </w:rPr>
      </w:pPr>
      <w:r w:rsidRPr="00286308">
        <w:rPr>
          <w:rFonts w:ascii="Century Gothic" w:hAnsi="Century Gothic" w:cs="Arial"/>
        </w:rPr>
        <w:t xml:space="preserve"> </w:t>
      </w:r>
    </w:p>
    <w:p w14:paraId="24CCFC9A"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La autorización anterior se otorga previo análisis de la capacidad de pago del Estado, el destino de los recursos derivados de la emisión de los Certificados y los recursos que fungirán como fuente de pago de la emisión de los Certificados.</w:t>
      </w:r>
    </w:p>
    <w:p w14:paraId="67035F8F" w14:textId="77777777" w:rsidR="00A0583F" w:rsidRPr="00286308" w:rsidRDefault="00A0583F" w:rsidP="00E25B3B">
      <w:pPr>
        <w:pStyle w:val="Prrafodelista"/>
        <w:spacing w:line="360" w:lineRule="auto"/>
        <w:rPr>
          <w:rFonts w:ascii="Century Gothic" w:hAnsi="Century Gothic" w:cs="Arial"/>
          <w:b/>
          <w:sz w:val="24"/>
          <w:szCs w:val="24"/>
        </w:rPr>
      </w:pPr>
    </w:p>
    <w:p w14:paraId="0775D2F6" w14:textId="77777777" w:rsidR="00A0583F" w:rsidRPr="00286308" w:rsidRDefault="00A0583F" w:rsidP="00E25B3B">
      <w:pPr>
        <w:pStyle w:val="Textoindependiente"/>
        <w:spacing w:line="360" w:lineRule="auto"/>
        <w:ind w:right="-187"/>
        <w:rPr>
          <w:rFonts w:ascii="Century Gothic" w:hAnsi="Century Gothic" w:cs="Arial"/>
          <w:b/>
        </w:rPr>
      </w:pPr>
      <w:r w:rsidRPr="00286308">
        <w:rPr>
          <w:rFonts w:ascii="Century Gothic" w:hAnsi="Century Gothic" w:cs="Arial"/>
          <w:b/>
        </w:rPr>
        <w:t>Artículo Cuarto.</w:t>
      </w:r>
      <w:r w:rsidRPr="00286308">
        <w:rPr>
          <w:rFonts w:ascii="Century Gothic" w:hAnsi="Century Gothic" w:cs="Arial"/>
        </w:rPr>
        <w:t xml:space="preserve"> </w:t>
      </w:r>
      <w:r w:rsidRPr="00286308">
        <w:rPr>
          <w:rFonts w:ascii="Century Gothic" w:hAnsi="Century Gothic" w:cs="Arial"/>
          <w:u w:val="single"/>
        </w:rPr>
        <w:t>Financiamiento 665</w:t>
      </w:r>
      <w:r w:rsidRPr="00286308">
        <w:rPr>
          <w:rFonts w:ascii="Century Gothic" w:hAnsi="Century Gothic" w:cs="Arial"/>
        </w:rPr>
        <w:t>.</w:t>
      </w:r>
    </w:p>
    <w:p w14:paraId="4E2ACAF5" w14:textId="77777777" w:rsidR="00A0583F" w:rsidRPr="00286308" w:rsidRDefault="00A0583F" w:rsidP="00E25B3B">
      <w:pPr>
        <w:pStyle w:val="Textoindependiente"/>
        <w:spacing w:line="360" w:lineRule="auto"/>
        <w:ind w:right="-187"/>
        <w:rPr>
          <w:rFonts w:ascii="Century Gothic" w:hAnsi="Century Gothic" w:cs="Arial"/>
          <w:b/>
        </w:rPr>
      </w:pPr>
    </w:p>
    <w:p w14:paraId="5AB8FD8E" w14:textId="77777777" w:rsidR="00A0583F" w:rsidRPr="00286308" w:rsidRDefault="00A0583F" w:rsidP="00FF6735">
      <w:pPr>
        <w:pStyle w:val="Prrafodelista"/>
        <w:numPr>
          <w:ilvl w:val="0"/>
          <w:numId w:val="8"/>
        </w:numPr>
        <w:spacing w:after="0" w:line="360" w:lineRule="auto"/>
        <w:ind w:right="-187"/>
        <w:contextualSpacing w:val="0"/>
        <w:jc w:val="both"/>
        <w:rPr>
          <w:rFonts w:ascii="Century Gothic" w:hAnsi="Century Gothic" w:cs="Arial"/>
          <w:vanish/>
          <w:sz w:val="24"/>
          <w:szCs w:val="24"/>
          <w:u w:val="single"/>
        </w:rPr>
      </w:pPr>
    </w:p>
    <w:p w14:paraId="05E427A7"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Autorización</w:t>
      </w:r>
      <w:r w:rsidRPr="00286308">
        <w:rPr>
          <w:rFonts w:ascii="Century Gothic" w:hAnsi="Century Gothic" w:cs="Arial"/>
        </w:rPr>
        <w:t>.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$665,394,050.16 (Seiscientos sesenta y cinco millones trescientos noventa y cuatro mil cincuenta pesos 16/100 Moneda Nacional), más los recursos necesarios para cubrir los costos y gastos relacionados con su implementación y más fondos de reserva, de conformidad con lo previsto más adelante en la presente autorización (el “</w:t>
      </w:r>
      <w:r w:rsidRPr="00286308">
        <w:rPr>
          <w:rFonts w:ascii="Century Gothic" w:hAnsi="Century Gothic" w:cs="Arial"/>
          <w:u w:val="single"/>
        </w:rPr>
        <w:t>Financiamiento 665</w:t>
      </w:r>
      <w:r w:rsidRPr="00286308">
        <w:rPr>
          <w:rFonts w:ascii="Century Gothic" w:hAnsi="Century Gothic" w:cs="Arial"/>
        </w:rPr>
        <w:t xml:space="preserve">”), mismo que, de conformidad con lo previsto en el presente Decreto, tendrá como fuente de pago, un porcentaje suficiente de los derechos (y los ingresos derivados de los mismos), que le corresponden </w:t>
      </w:r>
      <w:r w:rsidRPr="00286308">
        <w:rPr>
          <w:rFonts w:ascii="Century Gothic" w:hAnsi="Century Gothic" w:cs="Arial"/>
        </w:rPr>
        <w:lastRenderedPageBreak/>
        <w:t>al Estado del Fondo General de Participaciones referido en la Ley de Coordinación Fiscal.</w:t>
      </w:r>
    </w:p>
    <w:p w14:paraId="1CD1D6D6" w14:textId="77777777" w:rsidR="00A0583F" w:rsidRPr="00286308" w:rsidRDefault="00A0583F" w:rsidP="00E25B3B">
      <w:pPr>
        <w:pStyle w:val="Textoindependiente"/>
        <w:spacing w:line="360" w:lineRule="auto"/>
        <w:ind w:right="-187"/>
        <w:rPr>
          <w:rFonts w:ascii="Century Gothic" w:hAnsi="Century Gothic" w:cs="Arial"/>
          <w:b/>
        </w:rPr>
      </w:pPr>
    </w:p>
    <w:p w14:paraId="392B86D1"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El importe del Financiamiento 665 no comprende intereses, comisiones, ni demás accesorios financieros y legales que deriven del mismo.</w:t>
      </w:r>
    </w:p>
    <w:p w14:paraId="55DFC6CF" w14:textId="77777777" w:rsidR="00A0583F" w:rsidRPr="00286308" w:rsidRDefault="00A0583F" w:rsidP="00E25B3B">
      <w:pPr>
        <w:pStyle w:val="Textoindependiente"/>
        <w:spacing w:line="360" w:lineRule="auto"/>
        <w:ind w:left="567" w:right="-187"/>
        <w:rPr>
          <w:rFonts w:ascii="Century Gothic" w:hAnsi="Century Gothic" w:cs="Arial"/>
          <w:b/>
        </w:rPr>
      </w:pPr>
    </w:p>
    <w:p w14:paraId="04DAC699"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La autorización anterior se otorga previo análisis de la capacidad de pago del Estado, el destino de los recursos derivados del Financiamiento 665 y los recursos que fungirán como fuente de pago de los contratos a través de los cuales se implemente dicho Financiamiento 665.</w:t>
      </w:r>
    </w:p>
    <w:p w14:paraId="5801956D" w14:textId="77777777" w:rsidR="00A0583F" w:rsidRPr="00286308" w:rsidRDefault="00A0583F" w:rsidP="00E25B3B">
      <w:pPr>
        <w:pStyle w:val="Textoindependiente"/>
        <w:spacing w:line="360" w:lineRule="auto"/>
        <w:ind w:left="567" w:right="-187"/>
        <w:rPr>
          <w:rFonts w:ascii="Century Gothic" w:hAnsi="Century Gothic" w:cs="Arial"/>
          <w:b/>
        </w:rPr>
      </w:pPr>
    </w:p>
    <w:p w14:paraId="4FCE5921"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Destino</w:t>
      </w:r>
      <w:r w:rsidRPr="00286308">
        <w:rPr>
          <w:rFonts w:ascii="Century Gothic" w:hAnsi="Century Gothic" w:cs="Arial"/>
        </w:rPr>
        <w:t>. De conformidad con lo previsto por el artículo 117, fracción VIII, de la Constitución Política de los Estados Unidos Mexicanos, el artículo 9o de la Ley de Coordinación Fiscal, así como el artículo 22, primer párrafo, de la Ley de Disciplina Financiera de las Entidades Federativas y los Municipios, los recursos derivados del Financiamiento 665 deberán ser destinados:</w:t>
      </w:r>
    </w:p>
    <w:p w14:paraId="3A3E1B5C" w14:textId="77777777" w:rsidR="00A0583F" w:rsidRPr="00286308" w:rsidRDefault="00A0583F" w:rsidP="00E25B3B">
      <w:pPr>
        <w:pStyle w:val="Textoindependiente"/>
        <w:spacing w:line="360" w:lineRule="auto"/>
        <w:ind w:right="-187"/>
        <w:rPr>
          <w:rFonts w:ascii="Century Gothic" w:hAnsi="Century Gothic" w:cs="Arial"/>
          <w:b/>
        </w:rPr>
      </w:pPr>
    </w:p>
    <w:p w14:paraId="7BAC6020" w14:textId="77777777" w:rsidR="00A0583F" w:rsidRPr="00286308" w:rsidRDefault="00A0583F" w:rsidP="00FF6735">
      <w:pPr>
        <w:pStyle w:val="Textoindependiente"/>
        <w:numPr>
          <w:ilvl w:val="0"/>
          <w:numId w:val="10"/>
        </w:numPr>
        <w:spacing w:line="360" w:lineRule="auto"/>
        <w:ind w:left="1134" w:right="-187" w:hanging="567"/>
        <w:rPr>
          <w:rFonts w:ascii="Century Gothic" w:hAnsi="Century Gothic" w:cs="Arial"/>
          <w:b/>
        </w:rPr>
      </w:pPr>
      <w:r w:rsidRPr="00286308">
        <w:rPr>
          <w:rFonts w:ascii="Century Gothic" w:hAnsi="Century Gothic" w:cs="Arial"/>
        </w:rPr>
        <w:t xml:space="preserve">Al refinanciamiento del contrato de apertura de crédito simple, de fecha 2 de octubre de 2012, celebrado entre el Estado en su carácter de acreditado y Banco Nacional de Obras y Servicios Públicos, Sociedad Nacional de Crédito, Institución de Banca de Desarrollo, en su carácter de acreedor, por una cantidad de hasta $665,394,050.16 (Seiscientos sesenta y cinco millones trescientos noventa y cuatro mil cincuenta pesos 16 /100 M.N.), y cuyo saldo </w:t>
      </w:r>
      <w:r w:rsidRPr="00286308">
        <w:rPr>
          <w:rFonts w:ascii="Century Gothic" w:hAnsi="Century Gothic" w:cs="Arial"/>
        </w:rPr>
        <w:lastRenderedPageBreak/>
        <w:t>insoluto, a la fecha del presente Decreto, asciende a la cantidad de $337,869,951.61 (Trescientos treinta y siete millones ochocientos sesenta y nueve mil novecientos cincuenta y un pesos 61/100 Moneda Nacional); dicho contrato se encuentra inscrito en el Registro Público Único de Financiamientos y Obligaciones de Entidades Federativas y Municipios bajo el folio P08-1012154 y el Registro Central de Deuda Pública Estatal del Estado de Chihuahua, bajo el folio 033/2012.</w:t>
      </w:r>
    </w:p>
    <w:p w14:paraId="1EF0A550" w14:textId="77777777" w:rsidR="00A0583F" w:rsidRPr="00286308" w:rsidRDefault="00A0583F" w:rsidP="00E25B3B">
      <w:pPr>
        <w:pStyle w:val="Textoindependiente"/>
        <w:spacing w:line="360" w:lineRule="auto"/>
        <w:ind w:left="1134" w:right="-187"/>
        <w:rPr>
          <w:rFonts w:ascii="Century Gothic" w:hAnsi="Century Gothic" w:cs="Arial"/>
          <w:b/>
        </w:rPr>
      </w:pPr>
    </w:p>
    <w:p w14:paraId="1102A0F1" w14:textId="3E500A00" w:rsidR="00A0583F" w:rsidRPr="00286308" w:rsidRDefault="00A0583F" w:rsidP="00FF6735">
      <w:pPr>
        <w:pStyle w:val="Textoindependiente"/>
        <w:numPr>
          <w:ilvl w:val="0"/>
          <w:numId w:val="10"/>
        </w:numPr>
        <w:spacing w:line="360" w:lineRule="auto"/>
        <w:ind w:left="1134" w:right="-187" w:hanging="567"/>
        <w:rPr>
          <w:rFonts w:ascii="Century Gothic" w:hAnsi="Century Gothic" w:cs="Arial"/>
          <w:b/>
          <w:bCs/>
        </w:rPr>
      </w:pPr>
      <w:r w:rsidRPr="00286308">
        <w:rPr>
          <w:rFonts w:ascii="Century Gothic" w:hAnsi="Century Gothic" w:cs="Arial"/>
        </w:rPr>
        <w:t>A la constitución de fondos de reserva en términos del artículo 22, primer párrafo de la Ley de Disciplina Financiera de las Entidades Federativas y los Municipios</w:t>
      </w:r>
      <w:r w:rsidR="005A393D">
        <w:rPr>
          <w:rFonts w:ascii="Century Gothic" w:hAnsi="Century Gothic" w:cs="Arial"/>
        </w:rPr>
        <w:t>,</w:t>
      </w:r>
      <w:r w:rsidRPr="00286308">
        <w:rPr>
          <w:rFonts w:ascii="Century Gothic" w:hAnsi="Century Gothic" w:cs="Arial"/>
        </w:rPr>
        <w:t xml:space="preserve"> y del artículo 27 del Reglamento del Registro Público Único de Financiamientos y Obligaciones de Entidades Federativas y Municipios.</w:t>
      </w:r>
    </w:p>
    <w:p w14:paraId="2CE4FDD7" w14:textId="77777777" w:rsidR="00A0583F" w:rsidRPr="00286308" w:rsidRDefault="00A0583F" w:rsidP="00E25B3B">
      <w:pPr>
        <w:pStyle w:val="Prrafodelista"/>
        <w:spacing w:line="360" w:lineRule="auto"/>
        <w:rPr>
          <w:rFonts w:ascii="Century Gothic" w:hAnsi="Century Gothic" w:cs="Arial"/>
          <w:b/>
          <w:bCs/>
          <w:sz w:val="24"/>
          <w:szCs w:val="24"/>
        </w:rPr>
      </w:pPr>
    </w:p>
    <w:p w14:paraId="67EAF519" w14:textId="77777777" w:rsidR="00A0583F" w:rsidRPr="00286308" w:rsidRDefault="00A0583F" w:rsidP="00FF6735">
      <w:pPr>
        <w:pStyle w:val="Textoindependiente"/>
        <w:numPr>
          <w:ilvl w:val="0"/>
          <w:numId w:val="10"/>
        </w:numPr>
        <w:spacing w:line="360" w:lineRule="auto"/>
        <w:ind w:left="1134" w:right="-187" w:hanging="567"/>
        <w:rPr>
          <w:rFonts w:ascii="Century Gothic" w:hAnsi="Century Gothic" w:cs="Arial"/>
          <w:b/>
          <w:bCs/>
        </w:rPr>
      </w:pPr>
      <w:r w:rsidRPr="00286308">
        <w:rPr>
          <w:rFonts w:ascii="Century Gothic" w:hAnsi="Century Gothic" w:cs="Arial"/>
          <w:bCs/>
        </w:rPr>
        <w:t>En términos de lo previsto más adelante dentro del presente Decreto, a la contratación de instrumentos derivados y Garantías de Pago.</w:t>
      </w:r>
    </w:p>
    <w:p w14:paraId="3BC9B1AD" w14:textId="77777777" w:rsidR="00A0583F" w:rsidRPr="00286308" w:rsidRDefault="00A0583F" w:rsidP="00E25B3B">
      <w:pPr>
        <w:pStyle w:val="Textoindependiente"/>
        <w:spacing w:line="360" w:lineRule="auto"/>
        <w:ind w:left="1134" w:right="-187"/>
        <w:rPr>
          <w:rFonts w:ascii="Century Gothic" w:hAnsi="Century Gothic" w:cs="Arial"/>
          <w:b/>
        </w:rPr>
      </w:pPr>
    </w:p>
    <w:p w14:paraId="43B1FB69" w14:textId="77777777" w:rsidR="00A0583F" w:rsidRPr="00286308" w:rsidRDefault="00A0583F" w:rsidP="00FF6735">
      <w:pPr>
        <w:pStyle w:val="Textoindependiente"/>
        <w:numPr>
          <w:ilvl w:val="0"/>
          <w:numId w:val="10"/>
        </w:numPr>
        <w:spacing w:line="360" w:lineRule="auto"/>
        <w:ind w:left="1134" w:right="-187" w:hanging="567"/>
        <w:rPr>
          <w:rFonts w:ascii="Century Gothic" w:hAnsi="Century Gothic" w:cs="Arial"/>
          <w:b/>
          <w:bCs/>
        </w:rPr>
      </w:pPr>
      <w:r w:rsidRPr="00286308">
        <w:rPr>
          <w:rFonts w:ascii="Century Gothic" w:hAnsi="Century Gothic" w:cs="Arial"/>
          <w:bCs/>
        </w:rPr>
        <w:t xml:space="preserve">En términos de lo previsto más adelante dentro del presente Decreto, al pago de </w:t>
      </w:r>
      <w:r w:rsidRPr="00286308">
        <w:rPr>
          <w:rFonts w:ascii="Century Gothic" w:hAnsi="Century Gothic" w:cs="Arial"/>
        </w:rPr>
        <w:t>gastos y costos relacionados con la contratación del Financiamiento 665</w:t>
      </w:r>
      <w:r w:rsidRPr="00286308">
        <w:rPr>
          <w:rFonts w:ascii="Century Gothic" w:hAnsi="Century Gothic" w:cs="Arial"/>
          <w:bCs/>
        </w:rPr>
        <w:t>.</w:t>
      </w:r>
    </w:p>
    <w:p w14:paraId="1E06C283" w14:textId="77777777" w:rsidR="00A0583F" w:rsidRPr="00286308" w:rsidRDefault="00A0583F" w:rsidP="00E25B3B">
      <w:pPr>
        <w:pStyle w:val="Textoindependiente"/>
        <w:spacing w:line="360" w:lineRule="auto"/>
        <w:ind w:left="1134" w:right="-187"/>
        <w:rPr>
          <w:rFonts w:ascii="Century Gothic" w:hAnsi="Century Gothic" w:cs="Arial"/>
          <w:b/>
        </w:rPr>
      </w:pPr>
      <w:r w:rsidRPr="00286308">
        <w:rPr>
          <w:rFonts w:ascii="Century Gothic" w:hAnsi="Century Gothic" w:cs="Arial"/>
        </w:rPr>
        <w:t xml:space="preserve"> </w:t>
      </w:r>
    </w:p>
    <w:p w14:paraId="0460ED7E" w14:textId="37358A35"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Fuente de pago</w:t>
      </w:r>
      <w:r w:rsidRPr="00286308">
        <w:rPr>
          <w:rFonts w:ascii="Century Gothic" w:hAnsi="Century Gothic" w:cs="Arial"/>
        </w:rPr>
        <w:t xml:space="preserve">. Se autoriza al Estado para afectar como fuente de pago de todas y cada una de las obligaciones que deriven del </w:t>
      </w:r>
      <w:r w:rsidRPr="00286308">
        <w:rPr>
          <w:rFonts w:ascii="Century Gothic" w:hAnsi="Century Gothic" w:cs="Arial"/>
        </w:rPr>
        <w:lastRenderedPageBreak/>
        <w:t>Financiamiento 665, un porcentaje suficiente de los derechos, e ingresos derivados de los mismos, que le corresponden al Estado del Fondo General de Participaciones a que hace referencia el artículo 9</w:t>
      </w:r>
      <w:r w:rsidR="005A393D">
        <w:rPr>
          <w:rFonts w:ascii="Century Gothic" w:hAnsi="Century Gothic" w:cs="Arial"/>
        </w:rPr>
        <w:t>º</w:t>
      </w:r>
      <w:r w:rsidRPr="00286308">
        <w:rPr>
          <w:rFonts w:ascii="Century Gothic" w:hAnsi="Century Gothic" w:cs="Arial"/>
        </w:rPr>
        <w:t xml:space="preserve"> de la Ley de Coordinación Fiscal, así como aquellos fondos que en su caso lo remplacen, sustituyan o complementen de tiempo en tiempo.</w:t>
      </w:r>
    </w:p>
    <w:p w14:paraId="15839C58" w14:textId="77777777" w:rsidR="00A0583F" w:rsidRPr="00286308" w:rsidRDefault="00A0583F" w:rsidP="00E25B3B">
      <w:pPr>
        <w:spacing w:line="360" w:lineRule="auto"/>
        <w:rPr>
          <w:rFonts w:ascii="Century Gothic" w:hAnsi="Century Gothic" w:cs="Arial"/>
          <w:b/>
          <w:sz w:val="24"/>
          <w:szCs w:val="24"/>
        </w:rPr>
      </w:pPr>
    </w:p>
    <w:p w14:paraId="75119DD4"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El Estado deberá realizar las afectaciones anteriormente referidas, de manera irrevocable y hasta por el plazo suficiente para liquidar totalmente las obligaciones que deriven del Financiamiento 665 contratado al amparo del presente Decreto. Dicha afectación permanecerá vigente en tanto existan obligaciones pendientes de pago, y a cargo del Estado, derivadas del Financiamiento 665.</w:t>
      </w:r>
    </w:p>
    <w:p w14:paraId="3FE0C141" w14:textId="77777777" w:rsidR="00A0583F" w:rsidRPr="00286308" w:rsidRDefault="00A0583F" w:rsidP="00E25B3B">
      <w:pPr>
        <w:pStyle w:val="Textoindependiente"/>
        <w:spacing w:line="360" w:lineRule="auto"/>
        <w:ind w:left="567" w:right="-187"/>
        <w:rPr>
          <w:rFonts w:ascii="Century Gothic" w:hAnsi="Century Gothic" w:cs="Arial"/>
          <w:b/>
        </w:rPr>
      </w:pPr>
    </w:p>
    <w:p w14:paraId="2C62C28A"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El Estado deberá notificar a la Secretaría de Hacienda y Crédito Público, así como a cualquier otra autoridad que resulte competente, respecto de la afectación de las participaciones del Fondo General del Participaciones autorizada en el presente Decreto, instruyéndolas irrevocablemente para efectos de que, en cada ministración, entrega, anticipo, ajuste o entero, abonen los flujos respectivos en el o los fideicomisos de fuente de pago que para tales efectos constituya, o modifique el Estado, de conformidad con lo previsto en el presente Decreto, y hasta por el plazo necesario para liquidar totalmente las obligaciones que deriven del Financiamiento 665 contratado al amparo del presente Decreto.</w:t>
      </w:r>
    </w:p>
    <w:p w14:paraId="63CDFF7F" w14:textId="77777777" w:rsidR="00A0583F" w:rsidRPr="00286308" w:rsidRDefault="00A0583F" w:rsidP="00E25B3B">
      <w:pPr>
        <w:pStyle w:val="Textoindependiente"/>
        <w:spacing w:line="360" w:lineRule="auto"/>
        <w:ind w:left="567" w:right="-187"/>
        <w:rPr>
          <w:rFonts w:ascii="Century Gothic" w:hAnsi="Century Gothic" w:cs="Arial"/>
          <w:b/>
        </w:rPr>
      </w:pPr>
    </w:p>
    <w:p w14:paraId="70CFA365" w14:textId="4A8991F1"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lastRenderedPageBreak/>
        <w:t xml:space="preserve">Asimismo, el Estado, a través del </w:t>
      </w:r>
      <w:r w:rsidR="007E511E">
        <w:rPr>
          <w:rFonts w:ascii="Century Gothic" w:hAnsi="Century Gothic" w:cs="Arial"/>
        </w:rPr>
        <w:t>P</w:t>
      </w:r>
      <w:r w:rsidRPr="00286308">
        <w:rPr>
          <w:rFonts w:ascii="Century Gothic" w:hAnsi="Century Gothic" w:cs="Arial"/>
        </w:rPr>
        <w:t xml:space="preserve">oder </w:t>
      </w:r>
      <w:r w:rsidR="007E511E">
        <w:rPr>
          <w:rFonts w:ascii="Century Gothic" w:hAnsi="Century Gothic" w:cs="Arial"/>
        </w:rPr>
        <w:t>E</w:t>
      </w:r>
      <w:r w:rsidRPr="00286308">
        <w:rPr>
          <w:rFonts w:ascii="Century Gothic" w:hAnsi="Century Gothic" w:cs="Arial"/>
        </w:rPr>
        <w:t>jecutivo, y por conducto de la Secretaría de Hacienda, realizará las gestiones necesarias para que el porcentaje afecto de las participaciones del Fondo General de Participaciones ingresen al o los fideicomisos de fuente de pago que para tales efectos constituya o modifique el Estado de conformidad con el presente Decreto, con la finalidad de que el fiduciario que administre los mismos, tenga el control necesario sobre los recursos para el pago de las obligaciones que deriven del Financiamiento 665.</w:t>
      </w:r>
    </w:p>
    <w:p w14:paraId="68BC47FC" w14:textId="77777777" w:rsidR="00A0583F" w:rsidRPr="00286308" w:rsidRDefault="00A0583F" w:rsidP="00E25B3B">
      <w:pPr>
        <w:pStyle w:val="Textoindependiente"/>
        <w:spacing w:line="360" w:lineRule="auto"/>
        <w:ind w:left="567" w:right="-187"/>
        <w:rPr>
          <w:rFonts w:ascii="Century Gothic" w:hAnsi="Century Gothic" w:cs="Arial"/>
          <w:b/>
        </w:rPr>
      </w:pPr>
    </w:p>
    <w:p w14:paraId="1A2276C6" w14:textId="1AB0B999"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Con independencia del vehículo al que se afecten las participaciones del Fondo General de Participaciones que funjan como fuente de pago del Financiamiento 665, su afectación: (a) no podrá ser revocada o revertida sin el consentimiento previo, expreso y por escrito de las instituciones financieras mexicanas que hubieren otorgado los financiamientos a través de los cuales se implemente el Financiamiento 665; y (b) se considerará válida y vigente, independientemente de que se modifique su denominación o se sustituya por uno o varios nuevos conceptos que se refieran a situaciones jurídicas o de hecho iguales o similares, a las que dan origen a las participaciones federales del Fondo General de Participaciones.</w:t>
      </w:r>
    </w:p>
    <w:p w14:paraId="373356CF" w14:textId="77777777" w:rsidR="00A0583F" w:rsidRPr="00286308" w:rsidRDefault="00A0583F" w:rsidP="00E25B3B">
      <w:pPr>
        <w:pStyle w:val="Textoindependiente"/>
        <w:spacing w:line="360" w:lineRule="auto"/>
        <w:ind w:left="567" w:right="-187"/>
        <w:rPr>
          <w:rFonts w:ascii="Century Gothic" w:hAnsi="Century Gothic" w:cs="Arial"/>
          <w:b/>
        </w:rPr>
      </w:pPr>
    </w:p>
    <w:p w14:paraId="4796049D" w14:textId="1943295C"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Mecanismo de Administración y Fuente de Pago</w:t>
      </w:r>
      <w:r w:rsidRPr="00286308">
        <w:rPr>
          <w:rFonts w:ascii="Century Gothic" w:hAnsi="Century Gothic" w:cs="Arial"/>
        </w:rPr>
        <w:t xml:space="preserve">. Se autoriza al Estado para constituir o modificar, por conducto de la Secretaría de Hacienda, el o los mecanismos de administración, fuente de pago y/o garantía, o cualquier otro acto jurídico análogo, que considere necesario para </w:t>
      </w:r>
      <w:r w:rsidRPr="00286308">
        <w:rPr>
          <w:rFonts w:ascii="Century Gothic" w:hAnsi="Century Gothic" w:cs="Arial"/>
        </w:rPr>
        <w:lastRenderedPageBreak/>
        <w:t>cumplir con las obligaciones a su cargo que deriven de los contratos a través de los cuales se implemente el Financiamiento 665, incluyendo, de manera enunciativa, m</w:t>
      </w:r>
      <w:r w:rsidR="00A427BA">
        <w:rPr>
          <w:rFonts w:ascii="Century Gothic" w:hAnsi="Century Gothic" w:cs="Arial"/>
        </w:rPr>
        <w:t>a</w:t>
      </w:r>
      <w:r w:rsidRPr="00286308">
        <w:rPr>
          <w:rFonts w:ascii="Century Gothic" w:hAnsi="Century Gothic" w:cs="Arial"/>
        </w:rPr>
        <w:t>s no limitativa, fideicomisos irrevocables de administración, garantía y fuente de pago; a los que podrá afectar irrevocablemente las participaciones federales del Fondo General de Participaciones como fuente de pago y que deberán tener entre sus fines servir como mecanismo de fuente de pago de las obligaciones a cargo del Estado que deriven de dichos contratos a través de los cuales se implemente el Financiamiento 665.</w:t>
      </w:r>
    </w:p>
    <w:p w14:paraId="2971CB05" w14:textId="77777777" w:rsidR="00E9589B" w:rsidRDefault="00E9589B" w:rsidP="00E25B3B">
      <w:pPr>
        <w:pStyle w:val="Textoindependiente"/>
        <w:spacing w:line="360" w:lineRule="auto"/>
        <w:ind w:left="567" w:right="-187"/>
        <w:rPr>
          <w:rFonts w:ascii="Century Gothic" w:hAnsi="Century Gothic" w:cs="Arial"/>
        </w:rPr>
      </w:pPr>
    </w:p>
    <w:p w14:paraId="4CECE35E" w14:textId="43081DF3"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 xml:space="preserve">Los fideicomisos de administración y fuente de pago, no serán considerados en ningún caso como parte de la administración pública paraestatal, en el entendido que su supervisión y control estarán sujetos a lo dispuesto en las disposiciones legales aplicables. </w:t>
      </w:r>
    </w:p>
    <w:p w14:paraId="36DB7AB2" w14:textId="77777777" w:rsidR="00A0583F" w:rsidRPr="00286308" w:rsidRDefault="00A0583F" w:rsidP="00E25B3B">
      <w:pPr>
        <w:pStyle w:val="Textoindependiente"/>
        <w:spacing w:line="360" w:lineRule="auto"/>
        <w:ind w:left="567" w:right="-187"/>
        <w:rPr>
          <w:rFonts w:ascii="Century Gothic" w:hAnsi="Century Gothic" w:cs="Arial"/>
          <w:b/>
        </w:rPr>
      </w:pPr>
    </w:p>
    <w:p w14:paraId="1CFEC792" w14:textId="61AE90E5"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Asimismo, dichos fideicomisos serán irrevocables y, por lo tanto, s</w:t>
      </w:r>
      <w:r w:rsidR="00A427BA">
        <w:rPr>
          <w:rFonts w:ascii="Century Gothic" w:hAnsi="Century Gothic" w:cs="Arial"/>
        </w:rPr>
        <w:t>o</w:t>
      </w:r>
      <w:r w:rsidRPr="00286308">
        <w:rPr>
          <w:rFonts w:ascii="Century Gothic" w:hAnsi="Century Gothic" w:cs="Arial"/>
        </w:rPr>
        <w:t>lo podrán ser terminados de conformidad con lo que expresamente se pacte en el o los mismos. Con independencia de su naturaleza</w:t>
      </w:r>
      <w:r w:rsidR="00A427BA">
        <w:rPr>
          <w:rFonts w:ascii="Century Gothic" w:hAnsi="Century Gothic" w:cs="Arial"/>
        </w:rPr>
        <w:t>,</w:t>
      </w:r>
      <w:r w:rsidRPr="00286308">
        <w:rPr>
          <w:rFonts w:ascii="Century Gothic" w:hAnsi="Century Gothic" w:cs="Arial"/>
        </w:rPr>
        <w:t xml:space="preserve">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14:paraId="753AFBC3" w14:textId="77777777" w:rsidR="00A0583F" w:rsidRPr="00286308" w:rsidRDefault="00A0583F" w:rsidP="00E25B3B">
      <w:pPr>
        <w:pStyle w:val="Textoindependiente"/>
        <w:spacing w:line="360" w:lineRule="auto"/>
        <w:ind w:left="567" w:right="-187"/>
        <w:rPr>
          <w:rFonts w:ascii="Century Gothic" w:hAnsi="Century Gothic" w:cs="Arial"/>
          <w:b/>
        </w:rPr>
      </w:pPr>
    </w:p>
    <w:p w14:paraId="72D94BDE"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lastRenderedPageBreak/>
        <w:t>Plazo máximo de Vigencia del Financiamiento</w:t>
      </w:r>
      <w:r w:rsidRPr="00286308">
        <w:rPr>
          <w:rFonts w:ascii="Century Gothic" w:hAnsi="Century Gothic" w:cs="Arial"/>
        </w:rPr>
        <w:t xml:space="preserve">. Para cada uno de los contratos a través de los cuales se implemente el Financiamiento 665, hasta 20 (veinte) años, equivalentes a 7,305 (siete mil trescientos cinco) días contados a partir de la fecha en que se celebren dichos contratos o de la fecha en que se realice la primera disposición de los recursos. </w:t>
      </w:r>
    </w:p>
    <w:p w14:paraId="1540705F"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6423B591"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 xml:space="preserve">En todo caso, los contratos mediante los cuales se formalice el Financiamiento 665 permanecerán vigentes, mientras existan obligaciones pendientes de pago a favor de los acreedores respectivos. </w:t>
      </w:r>
    </w:p>
    <w:p w14:paraId="48F95956" w14:textId="77777777" w:rsidR="00A0583F" w:rsidRPr="00286308" w:rsidRDefault="00A0583F" w:rsidP="00E25B3B">
      <w:pPr>
        <w:pStyle w:val="Textoindependiente"/>
        <w:spacing w:line="360" w:lineRule="auto"/>
        <w:ind w:left="567" w:right="-187"/>
        <w:rPr>
          <w:rFonts w:ascii="Century Gothic" w:hAnsi="Century Gothic" w:cs="Arial"/>
          <w:b/>
        </w:rPr>
      </w:pPr>
    </w:p>
    <w:p w14:paraId="20E51408"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u w:val="single"/>
        </w:rPr>
      </w:pPr>
      <w:r w:rsidRPr="00286308">
        <w:rPr>
          <w:rFonts w:ascii="Century Gothic" w:hAnsi="Century Gothic" w:cs="Arial"/>
          <w:u w:val="single"/>
        </w:rPr>
        <w:t>Tasa de Interés.</w:t>
      </w:r>
      <w:r w:rsidRPr="00286308">
        <w:rPr>
          <w:rFonts w:ascii="Century Gothic" w:hAnsi="Century Gothic" w:cs="Arial"/>
        </w:rPr>
        <w:t xml:space="preserve"> El o los contratos a través de los cuales se implemente el Financiamiento 665 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14:paraId="0F3E3DF1"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61DB0185"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Plazo máximo de Contratación y vigencia de la autorización</w:t>
      </w:r>
      <w:r w:rsidRPr="00286308">
        <w:rPr>
          <w:rFonts w:ascii="Century Gothic" w:hAnsi="Century Gothic" w:cs="Arial"/>
        </w:rPr>
        <w:t>. Cada uno de los contratos a través de los cuales se implemente el Financiamiento 665 deberán ser celebrados, a más tardar el 31 de diciembre de 2023. De igual forma el Estado, a través de la Secretaría, podrá ejercer la presente autorización hasta el 31 de diciembre de 2023.</w:t>
      </w:r>
    </w:p>
    <w:p w14:paraId="29D62349" w14:textId="77777777" w:rsidR="00A0583F" w:rsidRPr="00286308" w:rsidRDefault="00A0583F" w:rsidP="00E25B3B">
      <w:pPr>
        <w:pStyle w:val="Prrafodelista"/>
        <w:spacing w:line="360" w:lineRule="auto"/>
        <w:rPr>
          <w:rFonts w:ascii="Century Gothic" w:hAnsi="Century Gothic" w:cs="Arial"/>
          <w:b/>
          <w:sz w:val="24"/>
          <w:szCs w:val="24"/>
          <w:u w:val="single"/>
        </w:rPr>
      </w:pPr>
    </w:p>
    <w:p w14:paraId="17146470" w14:textId="31E52EC3"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u w:val="single"/>
        </w:rPr>
      </w:pPr>
      <w:r w:rsidRPr="00286308">
        <w:rPr>
          <w:rFonts w:ascii="Century Gothic" w:hAnsi="Century Gothic" w:cs="Arial"/>
          <w:u w:val="single"/>
        </w:rPr>
        <w:t>Instrumentos Derivados.</w:t>
      </w:r>
      <w:r w:rsidRPr="00286308">
        <w:rPr>
          <w:rFonts w:ascii="Century Gothic" w:hAnsi="Century Gothic" w:cs="Arial"/>
        </w:rPr>
        <w:t xml:space="preserve"> Con base en la presente autorización, el Estado podrá contratar, instrumentos derivados, para cubrir hasta la totalidad </w:t>
      </w:r>
      <w:r w:rsidRPr="00286308">
        <w:rPr>
          <w:rFonts w:ascii="Century Gothic" w:hAnsi="Century Gothic" w:cs="Arial"/>
        </w:rPr>
        <w:lastRenderedPageBreak/>
        <w:t>de los montos expuestos derivados de cada contrato a través del cual se implemente el Financiamiento 665 y por una vigencia igual o menor al plazo del Financiamiento 665, incluyendo, de manera enunciativa, m</w:t>
      </w:r>
      <w:r w:rsidR="0023118E">
        <w:rPr>
          <w:rFonts w:ascii="Century Gothic" w:hAnsi="Century Gothic" w:cs="Arial"/>
        </w:rPr>
        <w:t>a</w:t>
      </w:r>
      <w:r w:rsidRPr="00286308">
        <w:rPr>
          <w:rFonts w:ascii="Century Gothic" w:hAnsi="Century Gothic" w:cs="Arial"/>
        </w:rPr>
        <w:t xml:space="preserve">s no limitativa, contratos de cobertura </w:t>
      </w:r>
      <w:r w:rsidR="00F3324E">
        <w:rPr>
          <w:rFonts w:ascii="Century Gothic" w:hAnsi="Century Gothic" w:cs="Arial"/>
        </w:rPr>
        <w:t xml:space="preserve">o </w:t>
      </w:r>
      <w:r w:rsidRPr="00286308">
        <w:rPr>
          <w:rFonts w:ascii="Century Gothic" w:hAnsi="Century Gothic" w:cs="Arial"/>
        </w:rPr>
        <w:t>contratos de intercambios de tasas. En su caso, los instrumentos derivados podrán compartir la fuente de pago del contrato al cual se encuentren asociados. En caso de que dicha contratación genere deuda adicional contingente, la misma podrá ser hasta: (i) por la cantidad necesaria para cubrir el 100% (cien por ciento) del monto del Financiamiento 665 y (</w:t>
      </w:r>
      <w:proofErr w:type="spellStart"/>
      <w:r w:rsidRPr="00286308">
        <w:rPr>
          <w:rFonts w:ascii="Century Gothic" w:hAnsi="Century Gothic" w:cs="Arial"/>
        </w:rPr>
        <w:t>ii</w:t>
      </w:r>
      <w:proofErr w:type="spellEnd"/>
      <w:r w:rsidRPr="00286308">
        <w:rPr>
          <w:rFonts w:ascii="Century Gothic" w:hAnsi="Century Gothic" w:cs="Arial"/>
        </w:rPr>
        <w:t xml:space="preserve">) hasta por el plazo máximo de vigencia del Financiamiento 665 anteriormente referido. </w:t>
      </w:r>
    </w:p>
    <w:p w14:paraId="045DEA04" w14:textId="77777777" w:rsidR="00A0583F" w:rsidRPr="00286308" w:rsidRDefault="00A0583F" w:rsidP="00E25B3B">
      <w:pPr>
        <w:pStyle w:val="Prrafodelista"/>
        <w:spacing w:line="360" w:lineRule="auto"/>
        <w:rPr>
          <w:rFonts w:ascii="Century Gothic" w:hAnsi="Century Gothic" w:cs="Arial"/>
          <w:sz w:val="24"/>
          <w:szCs w:val="24"/>
          <w:u w:val="single"/>
        </w:rPr>
      </w:pPr>
    </w:p>
    <w:p w14:paraId="21E76050" w14:textId="77777777" w:rsidR="00A0583F" w:rsidRPr="00286308" w:rsidRDefault="00A0583F" w:rsidP="00E25B3B">
      <w:pPr>
        <w:pStyle w:val="Textoindependiente"/>
        <w:spacing w:line="360" w:lineRule="auto"/>
        <w:ind w:left="567" w:right="-187"/>
        <w:rPr>
          <w:rFonts w:ascii="Century Gothic" w:hAnsi="Century Gothic" w:cs="Arial"/>
          <w:b/>
          <w:u w:val="single"/>
        </w:rPr>
      </w:pPr>
      <w:r w:rsidRPr="00286308">
        <w:rPr>
          <w:rFonts w:ascii="Century Gothic" w:hAnsi="Century Gothic" w:cs="Arial"/>
        </w:rPr>
        <w:t>En caso de que la contratación de los instrumentos derivados genere deuda contingente, la misma deberá ajustarse a lo establecido en la Ley de Deuda Pública para el Estado de Chihuahua y sus Municipios.</w:t>
      </w:r>
    </w:p>
    <w:p w14:paraId="4466B421"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33193260"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Proceso Competitivo</w:t>
      </w:r>
      <w:r w:rsidRPr="00286308">
        <w:rPr>
          <w:rFonts w:ascii="Century Gothic" w:hAnsi="Century Gothic" w:cs="Arial"/>
        </w:rPr>
        <w:t xml:space="preserve">. El contrato o contratos a través de los cuales se implemente el Financiamiento 665, así como los Instrumentos Derivados y Garantías de Pago Oportuno que en su caso el Estado contrate para cubrir los riesgos financieros y/o fortalecer la estructura del Financiamiento 665, deberán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w:t>
      </w:r>
      <w:r w:rsidRPr="00286308">
        <w:rPr>
          <w:rFonts w:ascii="Century Gothic" w:hAnsi="Century Gothic" w:cs="Arial"/>
        </w:rPr>
        <w:lastRenderedPageBreak/>
        <w:t>los Financiamientos y Obligaciones a contratar por parte de las Entidades Federativas, los Municipios y sus Entes Públicos”.</w:t>
      </w:r>
    </w:p>
    <w:p w14:paraId="68AE654A" w14:textId="77777777" w:rsidR="00A0583F" w:rsidRPr="00286308" w:rsidRDefault="00A0583F" w:rsidP="00E25B3B">
      <w:pPr>
        <w:pStyle w:val="Prrafodelista"/>
        <w:spacing w:line="360" w:lineRule="auto"/>
        <w:rPr>
          <w:rFonts w:ascii="Century Gothic" w:hAnsi="Century Gothic" w:cs="Arial"/>
          <w:b/>
          <w:sz w:val="24"/>
          <w:szCs w:val="24"/>
        </w:rPr>
      </w:pPr>
    </w:p>
    <w:p w14:paraId="0570AE9D"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El Estado procurará que el proceso competitivo le permita recibir las mejores ofertas del mercado para el Financiamiento 665, así como los Instrumentos Derivados y Garantías de Pago Oportuno que en su caso el Estado contrate para cubrir los riesgos financieros y/o fortalecer la estructura del Financiamiento 665, por lo que en todo caso deberá considerar y diseñar los procesos competitivos de tal manera que pueda acceder a los esquemas, programas y/o productos bancarios que le permitan obtener las mejores condiciones financieras y legales en el mercado.</w:t>
      </w:r>
    </w:p>
    <w:p w14:paraId="4EE771A2" w14:textId="77777777" w:rsidR="00A0583F" w:rsidRPr="00286308" w:rsidRDefault="00A0583F" w:rsidP="00E25B3B">
      <w:pPr>
        <w:pStyle w:val="Textoindependiente"/>
        <w:spacing w:line="360" w:lineRule="auto"/>
        <w:ind w:left="567" w:right="-187"/>
        <w:rPr>
          <w:rFonts w:ascii="Century Gothic" w:hAnsi="Century Gothic" w:cs="Arial"/>
          <w:b/>
        </w:rPr>
      </w:pPr>
    </w:p>
    <w:p w14:paraId="1FFF4153"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bookmarkStart w:id="3" w:name="_Hlk88683379"/>
      <w:r w:rsidRPr="00286308">
        <w:rPr>
          <w:rFonts w:ascii="Century Gothic" w:hAnsi="Century Gothic" w:cs="Arial"/>
          <w:u w:val="single"/>
        </w:rPr>
        <w:t>Gastos y Fondos de Reserva</w:t>
      </w:r>
      <w:r w:rsidRPr="00286308">
        <w:rPr>
          <w:rFonts w:ascii="Century Gothic" w:hAnsi="Century Gothic" w:cs="Arial"/>
        </w:rPr>
        <w:t>. Se autoriza al Estado, para:</w:t>
      </w:r>
    </w:p>
    <w:p w14:paraId="1E79CF17"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420A7933" w14:textId="77777777" w:rsidR="00A0583F" w:rsidRPr="00286308" w:rsidRDefault="00A0583F" w:rsidP="00FF6735">
      <w:pPr>
        <w:pStyle w:val="Textoindependiente"/>
        <w:numPr>
          <w:ilvl w:val="0"/>
          <w:numId w:val="19"/>
        </w:numPr>
        <w:spacing w:line="360" w:lineRule="auto"/>
        <w:ind w:left="1134" w:right="-187" w:hanging="567"/>
        <w:rPr>
          <w:rFonts w:ascii="Century Gothic" w:hAnsi="Century Gothic" w:cs="Arial"/>
          <w:b/>
        </w:rPr>
      </w:pPr>
      <w:r w:rsidRPr="00286308">
        <w:rPr>
          <w:rFonts w:ascii="Century Gothic" w:hAnsi="Century Gothic" w:cs="Arial"/>
        </w:rPr>
        <w:t>Contratar y pagar los gastos y costos relacionados con la contratación del Financiamiento 665, incluyendo sin limitar, comisiones de apertura, comisiones por disposición, comisiones por estructuración, costos por la contratación de calificadoras, de instrumentos derivados y garantías de pago, y cualesquiera otros gastos o costos asociados en su caso y que se requieran para el diseño e instrumentación financiera y/o legal de las operaciones a que se refiere la presente autorización y la contratación del Financiamiento 665.</w:t>
      </w:r>
    </w:p>
    <w:p w14:paraId="26D87D2F" w14:textId="77777777" w:rsidR="00A0583F" w:rsidRPr="00286308" w:rsidRDefault="00A0583F" w:rsidP="00E25B3B">
      <w:pPr>
        <w:pStyle w:val="Textoindependiente"/>
        <w:spacing w:line="360" w:lineRule="auto"/>
        <w:ind w:left="1134" w:right="-187"/>
        <w:rPr>
          <w:rFonts w:ascii="Century Gothic" w:hAnsi="Century Gothic" w:cs="Arial"/>
          <w:b/>
        </w:rPr>
      </w:pPr>
    </w:p>
    <w:p w14:paraId="5A473DE1" w14:textId="566DA762" w:rsidR="00A0583F" w:rsidRPr="00286308" w:rsidRDefault="00A0583F" w:rsidP="00E25B3B">
      <w:pPr>
        <w:pStyle w:val="Textoindependiente"/>
        <w:spacing w:line="360" w:lineRule="auto"/>
        <w:ind w:left="1134" w:right="-187"/>
        <w:rPr>
          <w:rFonts w:ascii="Century Gothic" w:hAnsi="Century Gothic" w:cs="Arial"/>
          <w:b/>
        </w:rPr>
      </w:pPr>
      <w:r w:rsidRPr="00286308">
        <w:rPr>
          <w:rFonts w:ascii="Century Gothic" w:hAnsi="Century Gothic" w:cs="Arial"/>
        </w:rPr>
        <w:lastRenderedPageBreak/>
        <w:t>De conformidad con el artículo 22, de la Ley de Disciplina Financiera</w:t>
      </w:r>
      <w:r w:rsidR="006F5863" w:rsidRPr="006F5863">
        <w:rPr>
          <w:rFonts w:ascii="Century Gothic" w:hAnsi="Century Gothic" w:cs="Arial"/>
        </w:rPr>
        <w:t xml:space="preserve"> </w:t>
      </w:r>
      <w:r w:rsidR="006F5863">
        <w:rPr>
          <w:rFonts w:ascii="Century Gothic" w:hAnsi="Century Gothic" w:cs="Arial"/>
        </w:rPr>
        <w:t>de las Entidades Federativas y los Municipios</w:t>
      </w:r>
      <w:r w:rsidRPr="00286308">
        <w:rPr>
          <w:rFonts w:ascii="Century Gothic" w:hAnsi="Century Gothic" w:cs="Arial"/>
        </w:rPr>
        <w:t>, el importe máximo que podrá destinarse para cubrir los gastos y costos asociados al Financiamiento 665, no podrá exceder del 0.15 por ciento del monto del Financiamiento 665.</w:t>
      </w:r>
    </w:p>
    <w:p w14:paraId="7A1DB75A" w14:textId="77777777" w:rsidR="00A0583F" w:rsidRPr="00286308" w:rsidRDefault="00A0583F" w:rsidP="00E25B3B">
      <w:pPr>
        <w:pStyle w:val="Textoindependiente"/>
        <w:spacing w:line="360" w:lineRule="auto"/>
        <w:ind w:left="1134" w:right="-187"/>
        <w:rPr>
          <w:rFonts w:ascii="Century Gothic" w:hAnsi="Century Gothic" w:cs="Arial"/>
          <w:b/>
        </w:rPr>
      </w:pPr>
    </w:p>
    <w:p w14:paraId="610FF6FF" w14:textId="77777777" w:rsidR="00A0583F" w:rsidRPr="00286308" w:rsidRDefault="00A0583F" w:rsidP="00FF6735">
      <w:pPr>
        <w:pStyle w:val="Textoindependiente"/>
        <w:numPr>
          <w:ilvl w:val="0"/>
          <w:numId w:val="19"/>
        </w:numPr>
        <w:spacing w:line="360" w:lineRule="auto"/>
        <w:ind w:left="1134" w:right="-187" w:hanging="567"/>
        <w:rPr>
          <w:rFonts w:ascii="Century Gothic" w:hAnsi="Century Gothic" w:cs="Arial"/>
          <w:b/>
        </w:rPr>
      </w:pPr>
      <w:r w:rsidRPr="00286308">
        <w:rPr>
          <w:rFonts w:ascii="Century Gothic" w:hAnsi="Century Gothic" w:cs="Arial"/>
        </w:rPr>
        <w:t>Constituir y/o reconstituir el o los fondos de reservas que resulten necesarios para la implementación del Financiamiento 665, dichos fondos de reserva podrán constituirse hasta por un monto equivalente a 3 (tres) meses del servicio de la deuda del Financiamiento 665, en el mes inmediato siguiente a la fecha de pago correspondiente.</w:t>
      </w:r>
    </w:p>
    <w:p w14:paraId="3C8385DB" w14:textId="77777777" w:rsidR="00A0583F" w:rsidRPr="00286308" w:rsidRDefault="00A0583F" w:rsidP="00E25B3B">
      <w:pPr>
        <w:pStyle w:val="Textoindependiente"/>
        <w:spacing w:line="360" w:lineRule="auto"/>
        <w:ind w:left="567" w:right="-187"/>
        <w:rPr>
          <w:rFonts w:ascii="Century Gothic" w:hAnsi="Century Gothic" w:cs="Arial"/>
          <w:b/>
        </w:rPr>
      </w:pPr>
    </w:p>
    <w:bookmarkEnd w:id="3"/>
    <w:p w14:paraId="1CB2E7A5" w14:textId="1E474AA0"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Garantías de Pago Oportuno</w:t>
      </w:r>
      <w:r w:rsidRPr="00286308">
        <w:rPr>
          <w:rFonts w:ascii="Century Gothic" w:hAnsi="Century Gothic" w:cs="Arial"/>
        </w:rPr>
        <w:t>. Con la finalidad de fortalecer la estructura y garantizar a los acreedores del Financiamiento 665, el Estado, podrá contratar con la Banca de Desarrollo o con cualquier otra institución de crédito de nacionalidad mexicana, cualquier tipo o instrumento de garantías de pago oportuno, o cualesquier</w:t>
      </w:r>
      <w:r w:rsidR="007C06C9">
        <w:rPr>
          <w:rFonts w:ascii="Century Gothic" w:hAnsi="Century Gothic" w:cs="Arial"/>
        </w:rPr>
        <w:t>a</w:t>
      </w:r>
      <w:r w:rsidRPr="00286308">
        <w:rPr>
          <w:rFonts w:ascii="Century Gothic" w:hAnsi="Century Gothic" w:cs="Arial"/>
        </w:rPr>
        <w:t xml:space="preserve"> otros instrumentos o mecanismos de garantía de pago similares o de soporte crediticio, u operaciones similares, en favor de los acreedores del Financiamiento 665, denominadas en pesos o en Unidades de Inversión, pagaderas en moneda nacional y dentro del territorio del país, en la inteligencia de que la vigencia de las Garantías de Pago será igual o menor al plazo del Financiamiento 665 y hasta por un monto máximo equivalente al 15% (quince por ciento) del saldo insoluto del Financiamiento 665. Los costos </w:t>
      </w:r>
      <w:r w:rsidRPr="00286308">
        <w:rPr>
          <w:rFonts w:ascii="Century Gothic" w:hAnsi="Century Gothic" w:cs="Arial"/>
        </w:rPr>
        <w:lastRenderedPageBreak/>
        <w:t>y gastos de contratación de las Garantías de Pago anteriormente referidas, podrán tener como fuente de pago Ingresos de Libre Disposición del Estado.</w:t>
      </w:r>
    </w:p>
    <w:p w14:paraId="7E9D733E" w14:textId="77777777" w:rsidR="00A0583F" w:rsidRPr="00286308" w:rsidRDefault="00A0583F" w:rsidP="00E25B3B">
      <w:pPr>
        <w:pStyle w:val="Textoindependiente"/>
        <w:spacing w:line="360" w:lineRule="auto"/>
        <w:ind w:right="-187"/>
        <w:rPr>
          <w:rFonts w:ascii="Century Gothic" w:hAnsi="Century Gothic" w:cs="Arial"/>
          <w:b/>
        </w:rPr>
      </w:pPr>
      <w:r w:rsidRPr="00286308">
        <w:rPr>
          <w:rFonts w:ascii="Century Gothic" w:hAnsi="Century Gothic" w:cs="Arial"/>
          <w:b/>
        </w:rPr>
        <w:t>Artículo Quinto.</w:t>
      </w:r>
      <w:r w:rsidRPr="00286308">
        <w:rPr>
          <w:rFonts w:ascii="Century Gothic" w:hAnsi="Century Gothic" w:cs="Arial"/>
          <w:bCs/>
        </w:rPr>
        <w:t xml:space="preserve"> </w:t>
      </w:r>
      <w:r w:rsidRPr="00286308">
        <w:rPr>
          <w:rFonts w:ascii="Century Gothic" w:hAnsi="Century Gothic" w:cs="Arial"/>
          <w:u w:val="single"/>
        </w:rPr>
        <w:t>Financiamiento de Inversión Público Productiva</w:t>
      </w:r>
      <w:r w:rsidRPr="00286308">
        <w:rPr>
          <w:rFonts w:ascii="Century Gothic" w:hAnsi="Century Gothic" w:cs="Arial"/>
        </w:rPr>
        <w:t>.</w:t>
      </w:r>
    </w:p>
    <w:p w14:paraId="795B116C" w14:textId="77777777" w:rsidR="00A0583F" w:rsidRPr="00286308" w:rsidRDefault="00A0583F" w:rsidP="00E25B3B">
      <w:pPr>
        <w:pStyle w:val="Textoindependiente"/>
        <w:spacing w:line="360" w:lineRule="auto"/>
        <w:ind w:right="-187"/>
        <w:rPr>
          <w:rFonts w:ascii="Century Gothic" w:hAnsi="Century Gothic" w:cs="Arial"/>
          <w:bCs/>
        </w:rPr>
      </w:pPr>
    </w:p>
    <w:p w14:paraId="35B85ED6" w14:textId="77777777" w:rsidR="00A0583F" w:rsidRPr="00286308" w:rsidRDefault="00A0583F" w:rsidP="00FF6735">
      <w:pPr>
        <w:pStyle w:val="Prrafodelista"/>
        <w:numPr>
          <w:ilvl w:val="0"/>
          <w:numId w:val="8"/>
        </w:numPr>
        <w:spacing w:after="0" w:line="360" w:lineRule="auto"/>
        <w:ind w:right="-187"/>
        <w:contextualSpacing w:val="0"/>
        <w:jc w:val="both"/>
        <w:rPr>
          <w:rFonts w:ascii="Century Gothic" w:hAnsi="Century Gothic" w:cs="Arial"/>
          <w:vanish/>
          <w:sz w:val="24"/>
          <w:szCs w:val="24"/>
          <w:u w:val="single"/>
        </w:rPr>
      </w:pPr>
    </w:p>
    <w:p w14:paraId="7D1B024B" w14:textId="30069E5D"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Autorización</w:t>
      </w:r>
      <w:r w:rsidRPr="00286308">
        <w:rPr>
          <w:rFonts w:ascii="Century Gothic" w:hAnsi="Century Gothic" w:cs="Arial"/>
        </w:rPr>
        <w:t>.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$3,000,000,000.00 (Tres mil millones de pesos 00/100 Moneda Nacional), más los recursos necesarios para cubrir los costos y gastos relacionados con su implementación y más fondos de reserva, de conformidad con lo previsto más adelante en la presente autorización (el “</w:t>
      </w:r>
      <w:r w:rsidRPr="00286308">
        <w:rPr>
          <w:rFonts w:ascii="Century Gothic" w:hAnsi="Century Gothic" w:cs="Arial"/>
          <w:u w:val="single"/>
        </w:rPr>
        <w:t>Financiamiento IPP</w:t>
      </w:r>
      <w:r w:rsidRPr="00286308">
        <w:rPr>
          <w:rFonts w:ascii="Century Gothic" w:hAnsi="Century Gothic" w:cs="Arial"/>
        </w:rPr>
        <w:t>”), mismo que, de conformidad con lo previsto en el presente Decreto, tendrá como fuente de pago, un porcentaje suficiente de los derechos (y los ingresos derivados de los mismos), que le corresponden al Estado del Fondo General de Participaciones referido en la Ley de Coordinación Fiscal.</w:t>
      </w:r>
    </w:p>
    <w:p w14:paraId="1033ED30" w14:textId="77777777" w:rsidR="00A0583F" w:rsidRPr="00286308" w:rsidRDefault="00A0583F" w:rsidP="00E25B3B">
      <w:pPr>
        <w:pStyle w:val="Textoindependiente"/>
        <w:spacing w:line="360" w:lineRule="auto"/>
        <w:ind w:right="-187"/>
        <w:rPr>
          <w:rFonts w:ascii="Century Gothic" w:hAnsi="Century Gothic" w:cs="Arial"/>
          <w:b/>
        </w:rPr>
      </w:pPr>
    </w:p>
    <w:p w14:paraId="331EFA51"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El importe del Financiamiento IPP no comprende intereses, comisiones, ni demás accesorios financieros y legales que deriven del mismo.</w:t>
      </w:r>
    </w:p>
    <w:p w14:paraId="4675D1E3" w14:textId="77777777" w:rsidR="00A0583F" w:rsidRPr="00286308" w:rsidRDefault="00A0583F" w:rsidP="00E25B3B">
      <w:pPr>
        <w:pStyle w:val="Textoindependiente"/>
        <w:spacing w:line="360" w:lineRule="auto"/>
        <w:ind w:left="567" w:right="-187"/>
        <w:rPr>
          <w:rFonts w:ascii="Century Gothic" w:hAnsi="Century Gothic" w:cs="Arial"/>
          <w:b/>
        </w:rPr>
      </w:pPr>
    </w:p>
    <w:p w14:paraId="3101D0DA"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lastRenderedPageBreak/>
        <w:t>La autorización anterior se otorga previo análisis de la capacidad de pago del Estado, el destino de los recursos derivados del Financiamiento IPP y los recursos que fungirán como fuente de pago de los contratos a través de los cuales se implemente dicho Financiamiento IPP.</w:t>
      </w:r>
    </w:p>
    <w:p w14:paraId="2DB5F770" w14:textId="77777777" w:rsidR="00A0583F" w:rsidRPr="00286308" w:rsidRDefault="00A0583F" w:rsidP="00E25B3B">
      <w:pPr>
        <w:pStyle w:val="Textoindependiente"/>
        <w:spacing w:line="360" w:lineRule="auto"/>
        <w:ind w:left="567" w:right="-187"/>
        <w:rPr>
          <w:rFonts w:ascii="Century Gothic" w:hAnsi="Century Gothic" w:cs="Arial"/>
          <w:b/>
        </w:rPr>
      </w:pPr>
    </w:p>
    <w:p w14:paraId="38E25F07"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Destino</w:t>
      </w:r>
      <w:r w:rsidRPr="00286308">
        <w:rPr>
          <w:rFonts w:ascii="Century Gothic" w:hAnsi="Century Gothic" w:cs="Arial"/>
        </w:rPr>
        <w:t>. De conformidad con lo previsto por el artículo 117, fracción VIII, de la Constitución Política de los Estados Unidos Mexicanos, el artículo 9o de la Ley de Coordinación Fiscal, así como el artículo 2, fracción XXV y 22, primer párrafo de la Ley de Disciplina Financiera de las Entidades Federativas y los Municipios, los recursos derivados del Financiamiento IPP deberán ser destinados:</w:t>
      </w:r>
    </w:p>
    <w:p w14:paraId="5F645320" w14:textId="77777777" w:rsidR="00A0583F" w:rsidRPr="00286308" w:rsidRDefault="00A0583F" w:rsidP="00E25B3B">
      <w:pPr>
        <w:pStyle w:val="Textoindependiente"/>
        <w:spacing w:line="360" w:lineRule="auto"/>
        <w:ind w:right="-187"/>
        <w:rPr>
          <w:rFonts w:ascii="Century Gothic" w:hAnsi="Century Gothic" w:cs="Arial"/>
          <w:b/>
        </w:rPr>
      </w:pPr>
    </w:p>
    <w:p w14:paraId="26D5ECAF" w14:textId="621DF34F" w:rsidR="00A0583F" w:rsidRPr="00286308" w:rsidRDefault="00A0583F" w:rsidP="00FF6735">
      <w:pPr>
        <w:pStyle w:val="Textoindependiente"/>
        <w:numPr>
          <w:ilvl w:val="0"/>
          <w:numId w:val="15"/>
        </w:numPr>
        <w:spacing w:line="360" w:lineRule="auto"/>
        <w:ind w:left="1134" w:right="-187" w:hanging="567"/>
        <w:rPr>
          <w:rFonts w:ascii="Century Gothic" w:hAnsi="Century Gothic" w:cs="Arial"/>
          <w:b/>
        </w:rPr>
      </w:pPr>
      <w:r w:rsidRPr="00286308">
        <w:rPr>
          <w:rFonts w:ascii="Century Gothic" w:hAnsi="Century Gothic" w:cs="Arial"/>
        </w:rPr>
        <w:t>Al financiamiento de proyectos de inversión públic</w:t>
      </w:r>
      <w:r w:rsidR="005F3880">
        <w:rPr>
          <w:rFonts w:ascii="Century Gothic" w:hAnsi="Century Gothic" w:cs="Arial"/>
        </w:rPr>
        <w:t>o</w:t>
      </w:r>
      <w:r w:rsidRPr="00286308">
        <w:rPr>
          <w:rFonts w:ascii="Century Gothic" w:hAnsi="Century Gothic" w:cs="Arial"/>
        </w:rPr>
        <w:t xml:space="preserve"> productiva, en los rubros de inversión descritos a continuación:</w:t>
      </w:r>
    </w:p>
    <w:p w14:paraId="77E5CB4A" w14:textId="3AC258DE" w:rsidR="00A0583F" w:rsidRPr="00286308" w:rsidRDefault="00A0583F" w:rsidP="00E25B3B">
      <w:pPr>
        <w:pStyle w:val="Prrafodelista"/>
        <w:spacing w:line="360" w:lineRule="auto"/>
        <w:rPr>
          <w:rFonts w:ascii="Century Gothic" w:hAnsi="Century Gothic" w:cs="Arial"/>
          <w:sz w:val="24"/>
          <w:szCs w:val="24"/>
        </w:rPr>
      </w:pP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tblGrid>
      <w:tr w:rsidR="00286308" w:rsidRPr="00286308" w14:paraId="6EB0BD63" w14:textId="77777777" w:rsidTr="00B63CEC">
        <w:tc>
          <w:tcPr>
            <w:tcW w:w="7694" w:type="dxa"/>
          </w:tcPr>
          <w:p w14:paraId="45B4CE4B" w14:textId="12887F43" w:rsidR="00A0583F" w:rsidRPr="00286308" w:rsidRDefault="00A0583F" w:rsidP="00E25B3B">
            <w:pPr>
              <w:pStyle w:val="Textoindependiente"/>
              <w:spacing w:line="360" w:lineRule="auto"/>
              <w:ind w:right="-187"/>
              <w:jc w:val="center"/>
              <w:rPr>
                <w:rFonts w:ascii="Century Gothic" w:hAnsi="Century Gothic" w:cs="Arial"/>
              </w:rPr>
            </w:pPr>
            <w:r w:rsidRPr="00286308">
              <w:rPr>
                <w:rFonts w:ascii="Century Gothic" w:hAnsi="Century Gothic" w:cs="Arial"/>
              </w:rPr>
              <w:t>Rubros de inversión públic</w:t>
            </w:r>
            <w:r w:rsidR="005F3880">
              <w:rPr>
                <w:rFonts w:ascii="Century Gothic" w:hAnsi="Century Gothic" w:cs="Arial"/>
              </w:rPr>
              <w:t>o</w:t>
            </w:r>
            <w:r w:rsidRPr="00286308">
              <w:rPr>
                <w:rFonts w:ascii="Century Gothic" w:hAnsi="Century Gothic" w:cs="Arial"/>
              </w:rPr>
              <w:t xml:space="preserve"> productiva.</w:t>
            </w:r>
          </w:p>
          <w:p w14:paraId="445AE930" w14:textId="77777777" w:rsidR="00A0583F" w:rsidRPr="00286308" w:rsidRDefault="00A0583F" w:rsidP="00E25B3B">
            <w:pPr>
              <w:pStyle w:val="Textoindependiente"/>
              <w:spacing w:line="360" w:lineRule="auto"/>
              <w:ind w:right="-187"/>
              <w:jc w:val="center"/>
              <w:rPr>
                <w:rFonts w:ascii="Century Gothic" w:hAnsi="Century Gothic" w:cs="Arial"/>
                <w:b/>
              </w:rPr>
            </w:pPr>
          </w:p>
        </w:tc>
      </w:tr>
      <w:tr w:rsidR="00286308" w:rsidRPr="00286308" w14:paraId="7ACEC28F" w14:textId="77777777" w:rsidTr="00B63CEC">
        <w:tc>
          <w:tcPr>
            <w:tcW w:w="7694" w:type="dxa"/>
          </w:tcPr>
          <w:p w14:paraId="0D5E6ED6" w14:textId="77777777" w:rsidR="00A0583F" w:rsidRPr="00286308" w:rsidRDefault="00A0583F" w:rsidP="00A62891">
            <w:pPr>
              <w:pStyle w:val="Textoindependiente"/>
              <w:numPr>
                <w:ilvl w:val="0"/>
                <w:numId w:val="12"/>
              </w:numPr>
              <w:tabs>
                <w:tab w:val="left" w:pos="174"/>
              </w:tabs>
              <w:spacing w:line="360" w:lineRule="auto"/>
              <w:ind w:left="173" w:hanging="273"/>
              <w:rPr>
                <w:rFonts w:ascii="Century Gothic" w:hAnsi="Century Gothic" w:cs="Arial"/>
                <w:b/>
                <w:bCs/>
              </w:rPr>
            </w:pPr>
            <w:r w:rsidRPr="00286308">
              <w:rPr>
                <w:rFonts w:ascii="Century Gothic" w:hAnsi="Century Gothic" w:cs="Arial"/>
                <w:bCs/>
              </w:rPr>
              <w:t xml:space="preserve">Infraestructura y equipamiento en seguridad pública y de justicia. </w:t>
            </w:r>
          </w:p>
        </w:tc>
      </w:tr>
      <w:tr w:rsidR="00286308" w:rsidRPr="00286308" w14:paraId="601A6D20" w14:textId="77777777" w:rsidTr="00B63CEC">
        <w:tc>
          <w:tcPr>
            <w:tcW w:w="7694" w:type="dxa"/>
          </w:tcPr>
          <w:p w14:paraId="690AD857" w14:textId="77777777" w:rsidR="00A0583F" w:rsidRPr="00286308" w:rsidRDefault="00A0583F" w:rsidP="00FF6735">
            <w:pPr>
              <w:pStyle w:val="Textoindependiente"/>
              <w:numPr>
                <w:ilvl w:val="0"/>
                <w:numId w:val="12"/>
              </w:numPr>
              <w:tabs>
                <w:tab w:val="left" w:pos="174"/>
              </w:tabs>
              <w:spacing w:line="360" w:lineRule="auto"/>
              <w:ind w:left="591" w:hanging="699"/>
              <w:rPr>
                <w:rFonts w:ascii="Century Gothic" w:hAnsi="Century Gothic" w:cs="Arial"/>
                <w:b/>
                <w:bCs/>
              </w:rPr>
            </w:pPr>
            <w:r w:rsidRPr="00286308">
              <w:rPr>
                <w:rFonts w:ascii="Century Gothic" w:hAnsi="Century Gothic" w:cs="Arial"/>
                <w:bCs/>
              </w:rPr>
              <w:t>Infraestructura y equipamiento en el sector salud.</w:t>
            </w:r>
          </w:p>
        </w:tc>
      </w:tr>
      <w:tr w:rsidR="00286308" w:rsidRPr="00286308" w14:paraId="5D012194" w14:textId="77777777" w:rsidTr="00B63CEC">
        <w:tc>
          <w:tcPr>
            <w:tcW w:w="7694" w:type="dxa"/>
          </w:tcPr>
          <w:p w14:paraId="70D95790" w14:textId="77777777" w:rsidR="00A0583F" w:rsidRPr="00286308" w:rsidRDefault="00A0583F" w:rsidP="00FF6735">
            <w:pPr>
              <w:pStyle w:val="Textoindependiente"/>
              <w:numPr>
                <w:ilvl w:val="0"/>
                <w:numId w:val="12"/>
              </w:numPr>
              <w:tabs>
                <w:tab w:val="left" w:pos="174"/>
              </w:tabs>
              <w:spacing w:line="360" w:lineRule="auto"/>
              <w:ind w:left="591" w:hanging="699"/>
              <w:rPr>
                <w:rFonts w:ascii="Century Gothic" w:hAnsi="Century Gothic" w:cs="Arial"/>
                <w:b/>
                <w:bCs/>
              </w:rPr>
            </w:pPr>
            <w:r w:rsidRPr="00286308">
              <w:rPr>
                <w:rFonts w:ascii="Century Gothic" w:hAnsi="Century Gothic" w:cs="Arial"/>
                <w:bCs/>
              </w:rPr>
              <w:t xml:space="preserve">Infraestructura y equipamiento en urbanización. </w:t>
            </w:r>
          </w:p>
        </w:tc>
      </w:tr>
      <w:tr w:rsidR="00286308" w:rsidRPr="00286308" w14:paraId="242D3FB9" w14:textId="77777777" w:rsidTr="00B63CEC">
        <w:tc>
          <w:tcPr>
            <w:tcW w:w="7694" w:type="dxa"/>
          </w:tcPr>
          <w:p w14:paraId="0F7204C2" w14:textId="77777777" w:rsidR="00A0583F" w:rsidRPr="00286308" w:rsidRDefault="00A0583F" w:rsidP="00A62891">
            <w:pPr>
              <w:pStyle w:val="Textoindependiente"/>
              <w:numPr>
                <w:ilvl w:val="0"/>
                <w:numId w:val="12"/>
              </w:numPr>
              <w:tabs>
                <w:tab w:val="left" w:pos="174"/>
                <w:tab w:val="left" w:pos="315"/>
              </w:tabs>
              <w:spacing w:line="360" w:lineRule="auto"/>
              <w:ind w:left="173" w:hanging="271"/>
              <w:rPr>
                <w:rFonts w:ascii="Century Gothic" w:hAnsi="Century Gothic" w:cs="Arial"/>
                <w:b/>
                <w:bCs/>
              </w:rPr>
            </w:pPr>
            <w:r w:rsidRPr="00286308">
              <w:rPr>
                <w:rFonts w:ascii="Century Gothic" w:hAnsi="Century Gothic" w:cs="Arial"/>
                <w:bCs/>
              </w:rPr>
              <w:t>Construcción, equipamiento y rehabilitación de vías de comunicación.</w:t>
            </w:r>
          </w:p>
        </w:tc>
      </w:tr>
      <w:tr w:rsidR="00286308" w:rsidRPr="00286308" w14:paraId="4D5A0B08" w14:textId="77777777" w:rsidTr="00B63CEC">
        <w:tc>
          <w:tcPr>
            <w:tcW w:w="7694" w:type="dxa"/>
          </w:tcPr>
          <w:p w14:paraId="76F26D5A" w14:textId="77777777" w:rsidR="00A0583F" w:rsidRPr="00286308" w:rsidRDefault="00A0583F" w:rsidP="00FF6735">
            <w:pPr>
              <w:pStyle w:val="Textoindependiente"/>
              <w:numPr>
                <w:ilvl w:val="0"/>
                <w:numId w:val="12"/>
              </w:numPr>
              <w:tabs>
                <w:tab w:val="left" w:pos="174"/>
              </w:tabs>
              <w:spacing w:line="360" w:lineRule="auto"/>
              <w:ind w:left="174" w:hanging="282"/>
              <w:rPr>
                <w:rFonts w:ascii="Century Gothic" w:hAnsi="Century Gothic" w:cs="Arial"/>
                <w:b/>
                <w:bCs/>
              </w:rPr>
            </w:pPr>
            <w:r w:rsidRPr="00286308">
              <w:rPr>
                <w:rFonts w:ascii="Century Gothic" w:hAnsi="Century Gothic" w:cs="Arial"/>
                <w:bCs/>
              </w:rPr>
              <w:lastRenderedPageBreak/>
              <w:t>Infraestructura y equipamiento para el desarrollo de actividades primarias, incluyendo, pero no limitando, pesca, agricultura y ganadería.</w:t>
            </w:r>
          </w:p>
        </w:tc>
      </w:tr>
      <w:tr w:rsidR="00A0583F" w:rsidRPr="00286308" w14:paraId="7278520D" w14:textId="77777777" w:rsidTr="00B63CEC">
        <w:tc>
          <w:tcPr>
            <w:tcW w:w="7694" w:type="dxa"/>
          </w:tcPr>
          <w:p w14:paraId="12661D22" w14:textId="77777777" w:rsidR="00A0583F" w:rsidRPr="00286308" w:rsidRDefault="00A0583F" w:rsidP="00FF6735">
            <w:pPr>
              <w:pStyle w:val="Textoindependiente"/>
              <w:numPr>
                <w:ilvl w:val="0"/>
                <w:numId w:val="12"/>
              </w:numPr>
              <w:tabs>
                <w:tab w:val="left" w:pos="174"/>
              </w:tabs>
              <w:spacing w:line="360" w:lineRule="auto"/>
              <w:ind w:left="174" w:hanging="282"/>
              <w:rPr>
                <w:rFonts w:ascii="Century Gothic" w:hAnsi="Century Gothic" w:cs="Arial"/>
                <w:b/>
                <w:bCs/>
              </w:rPr>
            </w:pPr>
            <w:r w:rsidRPr="00286308">
              <w:rPr>
                <w:rFonts w:ascii="Century Gothic" w:hAnsi="Century Gothic" w:cs="Arial"/>
                <w:bCs/>
              </w:rPr>
              <w:t>Construcción, rehabilitación, modernización y equipamiento de obras para el abastecimiento de agua potable urbana y rural.</w:t>
            </w:r>
          </w:p>
        </w:tc>
      </w:tr>
    </w:tbl>
    <w:p w14:paraId="0CF0BF7A" w14:textId="77777777" w:rsidR="00A0583F" w:rsidRPr="00286308" w:rsidRDefault="00A0583F" w:rsidP="00E25B3B">
      <w:pPr>
        <w:pStyle w:val="Textoindependiente"/>
        <w:spacing w:line="360" w:lineRule="auto"/>
        <w:ind w:left="1134" w:right="-187"/>
        <w:rPr>
          <w:rFonts w:ascii="Century Gothic" w:hAnsi="Century Gothic" w:cs="Arial"/>
          <w:b/>
        </w:rPr>
      </w:pPr>
    </w:p>
    <w:p w14:paraId="0AEE5D73" w14:textId="0DE09F79" w:rsidR="00A0583F" w:rsidRPr="00286308" w:rsidRDefault="00A0583F" w:rsidP="003A77A9">
      <w:pPr>
        <w:pStyle w:val="Textoindependiente"/>
        <w:tabs>
          <w:tab w:val="left" w:pos="851"/>
        </w:tabs>
        <w:spacing w:line="360" w:lineRule="auto"/>
        <w:ind w:left="993" w:right="-187"/>
        <w:rPr>
          <w:rFonts w:ascii="Century Gothic" w:hAnsi="Century Gothic" w:cs="Arial"/>
          <w:b/>
        </w:rPr>
      </w:pPr>
      <w:r w:rsidRPr="00286308">
        <w:rPr>
          <w:rFonts w:ascii="Century Gothic" w:hAnsi="Century Gothic" w:cs="Arial"/>
        </w:rPr>
        <w:t>El detalle de los proyectos de inversión públic</w:t>
      </w:r>
      <w:r w:rsidR="00BA189D">
        <w:rPr>
          <w:rFonts w:ascii="Century Gothic" w:hAnsi="Century Gothic" w:cs="Arial"/>
        </w:rPr>
        <w:t>o</w:t>
      </w:r>
      <w:r w:rsidRPr="00286308">
        <w:rPr>
          <w:rFonts w:ascii="Century Gothic" w:hAnsi="Century Gothic" w:cs="Arial"/>
        </w:rPr>
        <w:t xml:space="preserve"> productiva a desarrollarse deberá estar descrito dentro de los documentos a través de los cuales se implemente el Financiamiento IPP.</w:t>
      </w:r>
    </w:p>
    <w:p w14:paraId="7583CC1B" w14:textId="77777777" w:rsidR="00A0583F" w:rsidRPr="00286308" w:rsidRDefault="00A0583F" w:rsidP="00E25B3B">
      <w:pPr>
        <w:pStyle w:val="Textoindependiente"/>
        <w:spacing w:line="360" w:lineRule="auto"/>
        <w:ind w:left="1134" w:right="-187"/>
        <w:rPr>
          <w:rFonts w:ascii="Century Gothic" w:hAnsi="Century Gothic" w:cs="Arial"/>
          <w:b/>
        </w:rPr>
      </w:pPr>
    </w:p>
    <w:p w14:paraId="5C3A2503" w14:textId="77777777" w:rsidR="00A0583F" w:rsidRPr="00286308" w:rsidRDefault="00A0583F" w:rsidP="00FF6735">
      <w:pPr>
        <w:pStyle w:val="Textoindependiente"/>
        <w:numPr>
          <w:ilvl w:val="0"/>
          <w:numId w:val="15"/>
        </w:numPr>
        <w:spacing w:line="360" w:lineRule="auto"/>
        <w:ind w:left="993" w:right="-187" w:hanging="426"/>
        <w:rPr>
          <w:rFonts w:ascii="Century Gothic" w:hAnsi="Century Gothic" w:cs="Arial"/>
          <w:b/>
          <w:bCs/>
        </w:rPr>
      </w:pPr>
      <w:r w:rsidRPr="00286308">
        <w:rPr>
          <w:rFonts w:ascii="Century Gothic" w:hAnsi="Century Gothic" w:cs="Arial"/>
        </w:rPr>
        <w:t>A la constitución de fondos de reserva en términos del artículo 22, primer párrafo de la Ley de Disciplina Financiera de las Entidades Federativas y los Municipios y del artículo 27 del Reglamento del Registro Público Único de Financiamientos y Obligaciones de Entidades Federativas y Municipios.</w:t>
      </w:r>
    </w:p>
    <w:p w14:paraId="3DAAD203" w14:textId="77777777" w:rsidR="00A0583F" w:rsidRPr="00286308" w:rsidRDefault="00A0583F" w:rsidP="00E25B3B">
      <w:pPr>
        <w:pStyle w:val="Prrafodelista"/>
        <w:spacing w:line="360" w:lineRule="auto"/>
        <w:rPr>
          <w:rFonts w:ascii="Century Gothic" w:hAnsi="Century Gothic" w:cs="Arial"/>
          <w:b/>
          <w:bCs/>
          <w:sz w:val="24"/>
          <w:szCs w:val="24"/>
        </w:rPr>
      </w:pPr>
    </w:p>
    <w:p w14:paraId="5D478279" w14:textId="77777777" w:rsidR="00A0583F" w:rsidRPr="00286308" w:rsidRDefault="00A0583F" w:rsidP="00FF6735">
      <w:pPr>
        <w:pStyle w:val="Textoindependiente"/>
        <w:numPr>
          <w:ilvl w:val="0"/>
          <w:numId w:val="15"/>
        </w:numPr>
        <w:spacing w:line="360" w:lineRule="auto"/>
        <w:ind w:right="-187"/>
        <w:rPr>
          <w:rFonts w:ascii="Century Gothic" w:hAnsi="Century Gothic" w:cs="Arial"/>
          <w:b/>
          <w:bCs/>
        </w:rPr>
      </w:pPr>
      <w:r w:rsidRPr="00286308">
        <w:rPr>
          <w:rFonts w:ascii="Century Gothic" w:hAnsi="Century Gothic" w:cs="Arial"/>
          <w:bCs/>
        </w:rPr>
        <w:t>En términos de lo previsto más adelante dentro del presente Decreto, a la contratación de instrumentos derivados y Garantías de Pago.</w:t>
      </w:r>
    </w:p>
    <w:p w14:paraId="1B653D71" w14:textId="77777777" w:rsidR="00A0583F" w:rsidRPr="00286308" w:rsidRDefault="00A0583F" w:rsidP="00E25B3B">
      <w:pPr>
        <w:pStyle w:val="Textoindependiente"/>
        <w:spacing w:line="360" w:lineRule="auto"/>
        <w:ind w:left="1134" w:right="-187"/>
        <w:rPr>
          <w:rFonts w:ascii="Century Gothic" w:hAnsi="Century Gothic" w:cs="Arial"/>
          <w:b/>
        </w:rPr>
      </w:pPr>
    </w:p>
    <w:p w14:paraId="15F2D798" w14:textId="77777777" w:rsidR="00A0583F" w:rsidRPr="00286308" w:rsidRDefault="00A0583F" w:rsidP="00FF6735">
      <w:pPr>
        <w:pStyle w:val="Textoindependiente"/>
        <w:numPr>
          <w:ilvl w:val="0"/>
          <w:numId w:val="15"/>
        </w:numPr>
        <w:spacing w:line="360" w:lineRule="auto"/>
        <w:ind w:right="-187"/>
        <w:rPr>
          <w:rFonts w:ascii="Century Gothic" w:hAnsi="Century Gothic" w:cs="Arial"/>
          <w:b/>
          <w:bCs/>
        </w:rPr>
      </w:pPr>
      <w:r w:rsidRPr="00286308">
        <w:rPr>
          <w:rFonts w:ascii="Century Gothic" w:hAnsi="Century Gothic" w:cs="Arial"/>
          <w:bCs/>
        </w:rPr>
        <w:t xml:space="preserve">En términos de lo previsto más adelante dentro del presente Decreto, al pago de </w:t>
      </w:r>
      <w:r w:rsidRPr="00286308">
        <w:rPr>
          <w:rFonts w:ascii="Century Gothic" w:hAnsi="Century Gothic" w:cs="Arial"/>
        </w:rPr>
        <w:t>gastos y costos relacionados con la contratación del Financiamiento IPP</w:t>
      </w:r>
      <w:r w:rsidRPr="00286308">
        <w:rPr>
          <w:rFonts w:ascii="Century Gothic" w:hAnsi="Century Gothic" w:cs="Arial"/>
          <w:bCs/>
        </w:rPr>
        <w:t>.</w:t>
      </w:r>
    </w:p>
    <w:p w14:paraId="204596E5" w14:textId="77777777" w:rsidR="00A0583F" w:rsidRPr="00286308" w:rsidRDefault="00A0583F" w:rsidP="00E25B3B">
      <w:pPr>
        <w:pStyle w:val="Textoindependiente"/>
        <w:spacing w:line="360" w:lineRule="auto"/>
        <w:ind w:left="1134" w:right="-187"/>
        <w:rPr>
          <w:rFonts w:ascii="Century Gothic" w:hAnsi="Century Gothic" w:cs="Arial"/>
          <w:b/>
        </w:rPr>
      </w:pPr>
      <w:r w:rsidRPr="00286308">
        <w:rPr>
          <w:rFonts w:ascii="Century Gothic" w:hAnsi="Century Gothic" w:cs="Arial"/>
        </w:rPr>
        <w:t xml:space="preserve"> </w:t>
      </w:r>
    </w:p>
    <w:p w14:paraId="28BA9D45"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lastRenderedPageBreak/>
        <w:t>Fuente de pago</w:t>
      </w:r>
      <w:r w:rsidRPr="00286308">
        <w:rPr>
          <w:rFonts w:ascii="Century Gothic" w:hAnsi="Century Gothic" w:cs="Arial"/>
        </w:rPr>
        <w:t>. Se autoriza al Estado para afectar como fuente de pago de todas y cada una de las obligaciones que deriven del Financiamiento IPP, un porcentaje suficiente de los derechos, e ingresos derivados de los mismos, que le corresponden al Estado del Fondo General de Participaciones a que hace referencia el artículo 9o de la Ley de Coordinación Fiscal, así como aquellos fondos que en su caso lo remplacen, sustituyan o complementen de tiempo en tiempo.</w:t>
      </w:r>
    </w:p>
    <w:p w14:paraId="1A301DE3" w14:textId="77777777" w:rsidR="00A0583F" w:rsidRPr="00286308" w:rsidRDefault="00A0583F" w:rsidP="00E25B3B">
      <w:pPr>
        <w:spacing w:line="360" w:lineRule="auto"/>
        <w:rPr>
          <w:rFonts w:ascii="Century Gothic" w:hAnsi="Century Gothic" w:cs="Arial"/>
          <w:b/>
          <w:sz w:val="24"/>
          <w:szCs w:val="24"/>
        </w:rPr>
      </w:pPr>
    </w:p>
    <w:p w14:paraId="42F73B52"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El Estado deberá realizar las afectaciones anteriormente referidas, de manera irrevocable y hasta por el plazo suficiente para liquidar totalmente las obligaciones que deriven del Financiamiento IPP contratado al amparo del presente Decreto. Dicha afectación permanecerá vigente en tanto existan obligaciones pendientes de pago, y a cargo del Estado, derivadas del Financiamiento IPP.</w:t>
      </w:r>
    </w:p>
    <w:p w14:paraId="21AB98ED" w14:textId="77777777" w:rsidR="00A0583F" w:rsidRPr="00286308" w:rsidRDefault="00A0583F" w:rsidP="00E25B3B">
      <w:pPr>
        <w:pStyle w:val="Textoindependiente"/>
        <w:spacing w:line="360" w:lineRule="auto"/>
        <w:ind w:left="567" w:right="-187"/>
        <w:rPr>
          <w:rFonts w:ascii="Century Gothic" w:hAnsi="Century Gothic" w:cs="Arial"/>
          <w:b/>
        </w:rPr>
      </w:pPr>
    </w:p>
    <w:p w14:paraId="4F16714C"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 xml:space="preserve">El Estado deberá notificar a la Secretaría de Hacienda y Crédito Público, así como a cualquier otra autoridad que resulte competente, respecto de la afectación de las participaciones del Fondo General del Participaciones autorizada en el presente Decreto, instruyéndolas irrevocablemente para efectos de que, en cada ministración, entrega, anticipo, ajuste o entero, abonen los flujos respectivos en el o los fideicomisos de garantía y fuente de pago que para tales efectos constituya, o modifique el Estado, de conformidad con lo previsto en el presente Decreto, y hasta por el plazo necesario para liquidar totalmente </w:t>
      </w:r>
      <w:r w:rsidRPr="00286308">
        <w:rPr>
          <w:rFonts w:ascii="Century Gothic" w:hAnsi="Century Gothic" w:cs="Arial"/>
        </w:rPr>
        <w:lastRenderedPageBreak/>
        <w:t>las obligaciones que deriven del Financiamiento IPP contratado al amparo del presente Decreto.</w:t>
      </w:r>
    </w:p>
    <w:p w14:paraId="2B05491A" w14:textId="77777777" w:rsidR="00A0583F" w:rsidRPr="00286308" w:rsidRDefault="00A0583F" w:rsidP="00E25B3B">
      <w:pPr>
        <w:pStyle w:val="Textoindependiente"/>
        <w:spacing w:line="360" w:lineRule="auto"/>
        <w:ind w:left="567" w:right="-187"/>
        <w:rPr>
          <w:rFonts w:ascii="Century Gothic" w:hAnsi="Century Gothic" w:cs="Arial"/>
          <w:b/>
        </w:rPr>
      </w:pPr>
    </w:p>
    <w:p w14:paraId="04D231C8" w14:textId="62BCFE0D"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 xml:space="preserve">Asimismo, el Estado, a través del </w:t>
      </w:r>
      <w:r w:rsidR="00D739BC">
        <w:rPr>
          <w:rFonts w:ascii="Century Gothic" w:hAnsi="Century Gothic" w:cs="Arial"/>
        </w:rPr>
        <w:t>P</w:t>
      </w:r>
      <w:r w:rsidRPr="00286308">
        <w:rPr>
          <w:rFonts w:ascii="Century Gothic" w:hAnsi="Century Gothic" w:cs="Arial"/>
        </w:rPr>
        <w:t xml:space="preserve">oder </w:t>
      </w:r>
      <w:r w:rsidR="00D739BC">
        <w:rPr>
          <w:rFonts w:ascii="Century Gothic" w:hAnsi="Century Gothic" w:cs="Arial"/>
        </w:rPr>
        <w:t>E</w:t>
      </w:r>
      <w:r w:rsidRPr="00286308">
        <w:rPr>
          <w:rFonts w:ascii="Century Gothic" w:hAnsi="Century Gothic" w:cs="Arial"/>
        </w:rPr>
        <w:t>jecutivo, y por conducto de la Secretaría de Hacienda, realizará las gestiones necesarias para que el porcentaje afecto de las participaciones del Fondo General de Participaciones ingresen al o los fideicomisos de fuente de pago que para tales efectos constituya o modifique el Estado de conformidad con el presente Decreto, con la finalidad de que el fiduciario que administre los mismos, tenga el control necesario sobre los recursos para el pago de las obligaciones que deriven del Financiamiento IPP.</w:t>
      </w:r>
    </w:p>
    <w:p w14:paraId="0ECC7623" w14:textId="77777777" w:rsidR="00A0583F" w:rsidRPr="00286308" w:rsidRDefault="00A0583F" w:rsidP="00E25B3B">
      <w:pPr>
        <w:pStyle w:val="Textoindependiente"/>
        <w:spacing w:line="360" w:lineRule="auto"/>
        <w:ind w:left="567" w:right="-187"/>
        <w:rPr>
          <w:rFonts w:ascii="Century Gothic" w:hAnsi="Century Gothic" w:cs="Arial"/>
          <w:b/>
        </w:rPr>
      </w:pPr>
    </w:p>
    <w:p w14:paraId="54DCE432"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Con independencia del vehículo al que se afecten las participaciones del Fondo General de Participaciones que funjan como  fuente de pago del Financiamiento IPP, su afectación: (a) no podrá ser revocada o revertida sin el consentimiento previo, expreso y por escrito de las instituciones financieras mexicanas que hubieren otorgado los financiamientos a través de los cuales se implemente el Financiamiento IPP; y (b) se considerará válida y vigente, independientemente de que se modifiquen su denominación o se sustituya por uno o varios nuevos conceptos que se refieran a situaciones jurídicas o de hecho iguales o similares, a las que dan origen a las participaciones federales del Fondo General de Participaciones.</w:t>
      </w:r>
    </w:p>
    <w:p w14:paraId="392B36F1" w14:textId="77777777" w:rsidR="00A0583F" w:rsidRPr="00286308" w:rsidRDefault="00A0583F" w:rsidP="00E25B3B">
      <w:pPr>
        <w:pStyle w:val="Textoindependiente"/>
        <w:spacing w:line="360" w:lineRule="auto"/>
        <w:ind w:left="567" w:right="-187"/>
        <w:rPr>
          <w:rFonts w:ascii="Century Gothic" w:hAnsi="Century Gothic" w:cs="Arial"/>
          <w:b/>
        </w:rPr>
      </w:pPr>
    </w:p>
    <w:p w14:paraId="49E7A127" w14:textId="1D2C16D4"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lastRenderedPageBreak/>
        <w:t>Mecanismo de Administración y Fuente de Pago</w:t>
      </w:r>
      <w:r w:rsidRPr="00286308">
        <w:rPr>
          <w:rFonts w:ascii="Century Gothic" w:hAnsi="Century Gothic" w:cs="Arial"/>
        </w:rPr>
        <w:t>. Se autoriza al Estado para constituir o modificar, por conducto de la Secretaría de Hacienda, el o los mecanismos de administración, fuente de pago y/o garantía, o cualquier otro acto jurídico análogo, que considere necesario para cumplir con las obligaciones a su cargo que deriven de los contratos a través de los cuales se implemente el Financiamiento IPP, incluyendo, de manera enunciativa, m</w:t>
      </w:r>
      <w:r w:rsidR="00D739BC">
        <w:rPr>
          <w:rFonts w:ascii="Century Gothic" w:hAnsi="Century Gothic" w:cs="Arial"/>
        </w:rPr>
        <w:t>a</w:t>
      </w:r>
      <w:r w:rsidRPr="00286308">
        <w:rPr>
          <w:rFonts w:ascii="Century Gothic" w:hAnsi="Century Gothic" w:cs="Arial"/>
        </w:rPr>
        <w:t>s no limitativa, fideicomisos irrevocables de administración, garantía y fuente de pago; a los que podrá afectar irrevocablemente las participaciones federales del Fondo General de Participaciones como fuente de pago y que deberán tener entre sus fines servir como mecanismo de garantía y fuente de pago de las obligaciones a cargo del Estado que deriven de dichos contratos a través de los cuales se implemente el Financiamiento IPP.</w:t>
      </w:r>
    </w:p>
    <w:p w14:paraId="561E3AB2"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60BE9D39"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 xml:space="preserve">Los fideicomisos de administración y fuente de pago, no serán considerados en ningún caso como parte de la administración pública paraestatal, en el entendido que su supervisión y control estarán sujetos a lo dispuesto en las disposiciones legales aplicables. </w:t>
      </w:r>
    </w:p>
    <w:p w14:paraId="0BA27664" w14:textId="77777777" w:rsidR="00A0583F" w:rsidRPr="00286308" w:rsidRDefault="00A0583F" w:rsidP="00E25B3B">
      <w:pPr>
        <w:pStyle w:val="Textoindependiente"/>
        <w:spacing w:line="360" w:lineRule="auto"/>
        <w:ind w:left="567" w:right="-187"/>
        <w:rPr>
          <w:rFonts w:ascii="Century Gothic" w:hAnsi="Century Gothic" w:cs="Arial"/>
          <w:b/>
        </w:rPr>
      </w:pPr>
    </w:p>
    <w:p w14:paraId="72A49645" w14:textId="0D06E7F2"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Asimismo, dichos fideicomisos serán irrevocables y, por lo tanto, s</w:t>
      </w:r>
      <w:r w:rsidR="0077499F">
        <w:rPr>
          <w:rFonts w:ascii="Century Gothic" w:hAnsi="Century Gothic" w:cs="Arial"/>
        </w:rPr>
        <w:t>o</w:t>
      </w:r>
      <w:r w:rsidRPr="00286308">
        <w:rPr>
          <w:rFonts w:ascii="Century Gothic" w:hAnsi="Century Gothic" w:cs="Arial"/>
        </w:rPr>
        <w:t>lo podrán ser terminados de conformidad con lo que expresamente se pacte en el o los mismos. Con independencia de su naturaleza</w:t>
      </w:r>
      <w:r w:rsidR="0077499F">
        <w:rPr>
          <w:rFonts w:ascii="Century Gothic" w:hAnsi="Century Gothic" w:cs="Arial"/>
        </w:rPr>
        <w:t>,</w:t>
      </w:r>
      <w:r w:rsidRPr="00286308">
        <w:rPr>
          <w:rFonts w:ascii="Century Gothic" w:hAnsi="Century Gothic" w:cs="Arial"/>
        </w:rPr>
        <w:t xml:space="preserve"> dicho o dichos fideicomisos atenderán los requerimientos de información que le formulen los entes fiscalizadores, para lo cual tendrán la obligación de transparentar y rendir cuentas sobre el manejo de los recursos que se </w:t>
      </w:r>
      <w:r w:rsidRPr="00286308">
        <w:rPr>
          <w:rFonts w:ascii="Century Gothic" w:hAnsi="Century Gothic" w:cs="Arial"/>
        </w:rPr>
        <w:lastRenderedPageBreak/>
        <w:t>hubieran aportado y a proporcionar los informes que permitan su vigilancia y fiscalización.</w:t>
      </w:r>
    </w:p>
    <w:p w14:paraId="2F25BAE5" w14:textId="77777777" w:rsidR="00A0583F" w:rsidRPr="00286308" w:rsidRDefault="00A0583F" w:rsidP="00E25B3B">
      <w:pPr>
        <w:pStyle w:val="Textoindependiente"/>
        <w:spacing w:line="360" w:lineRule="auto"/>
        <w:ind w:left="567" w:right="-187"/>
        <w:rPr>
          <w:rFonts w:ascii="Century Gothic" w:hAnsi="Century Gothic" w:cs="Arial"/>
          <w:b/>
        </w:rPr>
      </w:pPr>
    </w:p>
    <w:p w14:paraId="557FB756"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Plazo máximo de Vigencia del Financiamiento</w:t>
      </w:r>
      <w:r w:rsidRPr="00286308">
        <w:rPr>
          <w:rFonts w:ascii="Century Gothic" w:hAnsi="Century Gothic" w:cs="Arial"/>
        </w:rPr>
        <w:t xml:space="preserve">. Para cada uno de los contratos a través de los cuales se implemente el Financiamiento IPP, hasta 20 (veinte) años, equivalentes a 7,305 (siete mil trescientos cinco) días contados a partir de la fecha en que se celebren dichos contratos o de la fecha en que se realice la primera disposición de los recursos. </w:t>
      </w:r>
    </w:p>
    <w:p w14:paraId="1FA93769"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39BF7077"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 xml:space="preserve">En todo caso, los contratos mediante los cuales se formalice el Financiamiento IPP permanecerán vigentes, mientras existan obligaciones pendientes de pago a favor de los acreedores respectivos. </w:t>
      </w:r>
    </w:p>
    <w:p w14:paraId="004A5D5A"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3FEBEA30"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Plazo máximo de Contratación y vigencia de la autorización</w:t>
      </w:r>
      <w:r w:rsidRPr="00286308">
        <w:rPr>
          <w:rFonts w:ascii="Century Gothic" w:hAnsi="Century Gothic" w:cs="Arial"/>
        </w:rPr>
        <w:t>. Cada uno de los contratos a través de los cuales se implemente el Financiamiento IPP deberán ser celebrados, a más tardar el 31 de diciembre de 2023. De igual forma el Estado, a través de la Secretaría, podrá ejercer la presente autorización hasta el 31 de diciembre de 2023.</w:t>
      </w:r>
    </w:p>
    <w:p w14:paraId="5883F886"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59E200AC"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u w:val="single"/>
        </w:rPr>
      </w:pPr>
      <w:r w:rsidRPr="00286308">
        <w:rPr>
          <w:rFonts w:ascii="Century Gothic" w:hAnsi="Century Gothic" w:cs="Arial"/>
          <w:u w:val="single"/>
        </w:rPr>
        <w:t>Tasa de Interés.</w:t>
      </w:r>
      <w:r w:rsidRPr="00286308">
        <w:rPr>
          <w:rFonts w:ascii="Century Gothic" w:hAnsi="Century Gothic" w:cs="Arial"/>
        </w:rPr>
        <w:t xml:space="preserve"> El o los contratos a través de los cuales se implemente el Financiamiento IPP 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14:paraId="4E40B813" w14:textId="77777777" w:rsidR="00A0583F" w:rsidRPr="00286308" w:rsidRDefault="00A0583F" w:rsidP="00E25B3B">
      <w:pPr>
        <w:pStyle w:val="Prrafodelista"/>
        <w:spacing w:line="360" w:lineRule="auto"/>
        <w:rPr>
          <w:rFonts w:ascii="Century Gothic" w:hAnsi="Century Gothic" w:cs="Arial"/>
          <w:b/>
          <w:sz w:val="24"/>
          <w:szCs w:val="24"/>
          <w:u w:val="single"/>
        </w:rPr>
      </w:pPr>
    </w:p>
    <w:p w14:paraId="23E298D4" w14:textId="4A2E0A86"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u w:val="single"/>
        </w:rPr>
      </w:pPr>
      <w:r w:rsidRPr="00286308">
        <w:rPr>
          <w:rFonts w:ascii="Century Gothic" w:hAnsi="Century Gothic" w:cs="Arial"/>
          <w:u w:val="single"/>
        </w:rPr>
        <w:t>Instrumentos Derivados.</w:t>
      </w:r>
      <w:r w:rsidRPr="00286308">
        <w:rPr>
          <w:rFonts w:ascii="Century Gothic" w:hAnsi="Century Gothic" w:cs="Arial"/>
        </w:rPr>
        <w:t xml:space="preserve"> Con base en la presente autorización, el Estado podrá contratar instrumentos derivados, para cubrir hasta la totalidad de los montos expuestos derivados de cada contrato a través del cual se implemente el Financiamiento IPP y por una vigencia igual o menor al plazo del Financiamiento IPP, incluyendo, de manera enunciativa, m</w:t>
      </w:r>
      <w:r w:rsidR="0077499F">
        <w:rPr>
          <w:rFonts w:ascii="Century Gothic" w:hAnsi="Century Gothic" w:cs="Arial"/>
        </w:rPr>
        <w:t>a</w:t>
      </w:r>
      <w:r w:rsidRPr="00286308">
        <w:rPr>
          <w:rFonts w:ascii="Century Gothic" w:hAnsi="Century Gothic" w:cs="Arial"/>
        </w:rPr>
        <w:t>s no limitativa, contratos de cobertura</w:t>
      </w:r>
      <w:r w:rsidR="0077499F">
        <w:rPr>
          <w:rFonts w:ascii="Century Gothic" w:hAnsi="Century Gothic" w:cs="Arial"/>
        </w:rPr>
        <w:t xml:space="preserve"> o</w:t>
      </w:r>
      <w:r w:rsidRPr="00286308">
        <w:rPr>
          <w:rFonts w:ascii="Century Gothic" w:hAnsi="Century Gothic" w:cs="Arial"/>
        </w:rPr>
        <w:t xml:space="preserve"> contratos de intercambios de tasas. En su caso, los instrumentos derivados podrán compartir la fuente de pago del contrato al cual se encuentren asociados. En caso de que dicha contratación genere deuda adicional contingente, la misma podrá ser hasta: (i) por la cantidad necesaria para cubrir el 100% (cien por ciento) del monto del Financiamiento IPP, y (</w:t>
      </w:r>
      <w:proofErr w:type="spellStart"/>
      <w:r w:rsidRPr="00286308">
        <w:rPr>
          <w:rFonts w:ascii="Century Gothic" w:hAnsi="Century Gothic" w:cs="Arial"/>
        </w:rPr>
        <w:t>ii</w:t>
      </w:r>
      <w:proofErr w:type="spellEnd"/>
      <w:r w:rsidRPr="00286308">
        <w:rPr>
          <w:rFonts w:ascii="Century Gothic" w:hAnsi="Century Gothic" w:cs="Arial"/>
        </w:rPr>
        <w:t xml:space="preserve">) hasta por el plazo máximo de vigencia del Financiamiento IPP anteriormente referido. </w:t>
      </w:r>
    </w:p>
    <w:p w14:paraId="470DD462" w14:textId="77777777" w:rsidR="00A0583F" w:rsidRPr="00286308" w:rsidRDefault="00A0583F" w:rsidP="00E25B3B">
      <w:pPr>
        <w:pStyle w:val="Prrafodelista"/>
        <w:spacing w:line="360" w:lineRule="auto"/>
        <w:rPr>
          <w:rFonts w:ascii="Century Gothic" w:hAnsi="Century Gothic" w:cs="Arial"/>
          <w:sz w:val="24"/>
          <w:szCs w:val="24"/>
          <w:u w:val="single"/>
        </w:rPr>
      </w:pPr>
    </w:p>
    <w:p w14:paraId="7899857F" w14:textId="77777777" w:rsidR="00A0583F" w:rsidRPr="00286308" w:rsidRDefault="00A0583F" w:rsidP="00E25B3B">
      <w:pPr>
        <w:pStyle w:val="Textoindependiente"/>
        <w:spacing w:line="360" w:lineRule="auto"/>
        <w:ind w:left="567" w:right="-187"/>
        <w:rPr>
          <w:rFonts w:ascii="Century Gothic" w:hAnsi="Century Gothic" w:cs="Arial"/>
          <w:b/>
          <w:u w:val="single"/>
        </w:rPr>
      </w:pPr>
      <w:r w:rsidRPr="00286308">
        <w:rPr>
          <w:rFonts w:ascii="Century Gothic" w:hAnsi="Century Gothic" w:cs="Arial"/>
        </w:rPr>
        <w:t>En caso de que la contratación de los instrumentos derivados genere deuda contingente, la misma deberá ajustarse a lo establecido en la Ley de Deuda Pública para el Estado de Chihuahua y sus Municipios.</w:t>
      </w:r>
    </w:p>
    <w:p w14:paraId="34A3476F"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76F82F2F"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Proceso Competitivo</w:t>
      </w:r>
      <w:r w:rsidRPr="00286308">
        <w:rPr>
          <w:rFonts w:ascii="Century Gothic" w:hAnsi="Century Gothic" w:cs="Arial"/>
        </w:rPr>
        <w:t xml:space="preserve">. El contrato o contratos a través de los cuales se implemente el Financiamiento IPP, así como los Instrumentos Derivados y Garantías de Pago Oportuno que en su caso el Estado contrate para cubrir los riesgos financieros y/o fortalecer la estructura del Financiamiento IPP, deberán buscar las mejores condiciones de mercado para el Estado, para lo cual, el Estado, implementará el o los </w:t>
      </w:r>
      <w:r w:rsidRPr="00286308">
        <w:rPr>
          <w:rFonts w:ascii="Century Gothic" w:hAnsi="Century Gothic" w:cs="Arial"/>
        </w:rPr>
        <w:lastRenderedPageBreak/>
        <w:t>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14:paraId="2A371151" w14:textId="77777777" w:rsidR="00A0583F" w:rsidRPr="00286308" w:rsidRDefault="00A0583F" w:rsidP="00E25B3B">
      <w:pPr>
        <w:pStyle w:val="Prrafodelista"/>
        <w:spacing w:line="360" w:lineRule="auto"/>
        <w:rPr>
          <w:rFonts w:ascii="Century Gothic" w:hAnsi="Century Gothic" w:cs="Arial"/>
          <w:b/>
          <w:sz w:val="24"/>
          <w:szCs w:val="24"/>
        </w:rPr>
      </w:pPr>
    </w:p>
    <w:p w14:paraId="1DA011FE"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El Estado procurará que el proceso competitivo le permita recibir las mejores ofertas del mercado para el Financiamiento IPP, así como los Instrumentos Derivados y Garantías de Pago Oportuno que en su caso el Estado contrate para cubrir los riesgos financieros y/o fortalecer la estructura del Financiamiento IPP, por lo que en todo caso deberá considerar y diseñar los procesos competitivos de tal manera que pueda acceder a los esquemas, programas y/o productos bancarios que le permitan obtener las mejores condiciones financieras y legales en el mercado.</w:t>
      </w:r>
    </w:p>
    <w:p w14:paraId="20DEEE47" w14:textId="77777777" w:rsidR="00A0583F" w:rsidRPr="00286308" w:rsidRDefault="00A0583F" w:rsidP="00E25B3B">
      <w:pPr>
        <w:pStyle w:val="Textoindependiente"/>
        <w:spacing w:line="360" w:lineRule="auto"/>
        <w:ind w:left="567" w:right="-187"/>
        <w:rPr>
          <w:rFonts w:ascii="Century Gothic" w:hAnsi="Century Gothic" w:cs="Arial"/>
          <w:b/>
        </w:rPr>
      </w:pPr>
    </w:p>
    <w:p w14:paraId="2367EBB1"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Gastos y Fondos de Reserva</w:t>
      </w:r>
      <w:r w:rsidRPr="00286308">
        <w:rPr>
          <w:rFonts w:ascii="Century Gothic" w:hAnsi="Century Gothic" w:cs="Arial"/>
        </w:rPr>
        <w:t>. Se autoriza al Estado, para:</w:t>
      </w:r>
    </w:p>
    <w:p w14:paraId="64C9AD3B"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280798A9" w14:textId="77777777" w:rsidR="00A0583F" w:rsidRPr="00286308" w:rsidRDefault="00A0583F" w:rsidP="00FF6735">
      <w:pPr>
        <w:pStyle w:val="Textoindependiente"/>
        <w:numPr>
          <w:ilvl w:val="0"/>
          <w:numId w:val="20"/>
        </w:numPr>
        <w:spacing w:line="360" w:lineRule="auto"/>
        <w:ind w:left="993" w:right="-187" w:hanging="426"/>
        <w:rPr>
          <w:rFonts w:ascii="Century Gothic" w:hAnsi="Century Gothic" w:cs="Arial"/>
          <w:b/>
        </w:rPr>
      </w:pPr>
      <w:r w:rsidRPr="00286308">
        <w:rPr>
          <w:rFonts w:ascii="Century Gothic" w:hAnsi="Century Gothic" w:cs="Arial"/>
        </w:rPr>
        <w:t xml:space="preserve">Contratar y pagar los gastos y costos relacionados con la contratación del Financiamiento IPP, incluyendo sin limitar, comisiones de apertura, comisiones por disposición, comisiones por estructuración, costos por la contratación de calificadoras, de instrumentos derivados y garantías de pago, y cualesquiera otros gastos o costos asociados que en su caso se requieran para el diseño </w:t>
      </w:r>
      <w:r w:rsidRPr="00286308">
        <w:rPr>
          <w:rFonts w:ascii="Century Gothic" w:hAnsi="Century Gothic" w:cs="Arial"/>
        </w:rPr>
        <w:lastRenderedPageBreak/>
        <w:t>e instrumentación financiera y/o legal de las operaciones a que se refiere la presente autorización y la contratación del Financiamiento IPP.</w:t>
      </w:r>
    </w:p>
    <w:p w14:paraId="46785845" w14:textId="77777777" w:rsidR="00A0583F" w:rsidRPr="00286308" w:rsidRDefault="00A0583F" w:rsidP="00E25B3B">
      <w:pPr>
        <w:pStyle w:val="Textoindependiente"/>
        <w:spacing w:line="360" w:lineRule="auto"/>
        <w:ind w:left="567" w:right="-187"/>
        <w:rPr>
          <w:rFonts w:ascii="Century Gothic" w:hAnsi="Century Gothic" w:cs="Arial"/>
          <w:b/>
        </w:rPr>
      </w:pPr>
    </w:p>
    <w:p w14:paraId="11DF36D8" w14:textId="77777777" w:rsidR="00A0583F" w:rsidRPr="00286308" w:rsidRDefault="00A0583F" w:rsidP="00561DC2">
      <w:pPr>
        <w:pStyle w:val="Textoindependiente"/>
        <w:spacing w:line="360" w:lineRule="auto"/>
        <w:ind w:left="993" w:right="-187"/>
        <w:rPr>
          <w:rFonts w:ascii="Century Gothic" w:hAnsi="Century Gothic" w:cs="Arial"/>
          <w:b/>
        </w:rPr>
      </w:pPr>
      <w:r w:rsidRPr="00286308">
        <w:rPr>
          <w:rFonts w:ascii="Century Gothic" w:hAnsi="Century Gothic" w:cs="Arial"/>
        </w:rPr>
        <w:t>De conformidad con el artículo 22, de la Ley de Disciplina Financiera, el importe máximo que podrá destinarse para cubrir los gastos y costos asociados al Financiamiento IPP, no podrá exceder del 0.15 por ciento del monto del Financiamiento IPP.</w:t>
      </w:r>
    </w:p>
    <w:p w14:paraId="3B47C5E6" w14:textId="77777777" w:rsidR="00A0583F" w:rsidRPr="00286308" w:rsidRDefault="00A0583F" w:rsidP="00E25B3B">
      <w:pPr>
        <w:pStyle w:val="Textoindependiente"/>
        <w:spacing w:line="360" w:lineRule="auto"/>
        <w:ind w:left="567" w:right="-187"/>
        <w:rPr>
          <w:rFonts w:ascii="Century Gothic" w:hAnsi="Century Gothic" w:cs="Arial"/>
          <w:b/>
        </w:rPr>
      </w:pPr>
    </w:p>
    <w:p w14:paraId="4B7FE2B1" w14:textId="77777777" w:rsidR="00A0583F" w:rsidRPr="00286308" w:rsidRDefault="00A0583F" w:rsidP="00FF6735">
      <w:pPr>
        <w:pStyle w:val="Textoindependiente"/>
        <w:numPr>
          <w:ilvl w:val="0"/>
          <w:numId w:val="20"/>
        </w:numPr>
        <w:spacing w:line="360" w:lineRule="auto"/>
        <w:ind w:left="993" w:right="-187" w:hanging="426"/>
        <w:rPr>
          <w:rFonts w:ascii="Century Gothic" w:hAnsi="Century Gothic" w:cs="Arial"/>
          <w:b/>
        </w:rPr>
      </w:pPr>
      <w:r w:rsidRPr="00286308">
        <w:rPr>
          <w:rFonts w:ascii="Century Gothic" w:hAnsi="Century Gothic" w:cs="Arial"/>
        </w:rPr>
        <w:t>Constituir y/o reconstituir el o los fondos de reservas que resulten necesarios para la implementación del Financiamiento IPP, dichos fondos de reserva podrán constituirse hasta por un monto equivalente a 3 (tres) meses del servicio de la deuda del Financiamiento IPP, en el mes inmediato siguiente a la fecha de pago correspondiente.</w:t>
      </w:r>
    </w:p>
    <w:p w14:paraId="04288DDA" w14:textId="77777777" w:rsidR="00A0583F" w:rsidRPr="00286308" w:rsidRDefault="00A0583F" w:rsidP="00E25B3B">
      <w:pPr>
        <w:pStyle w:val="Textoindependiente"/>
        <w:spacing w:line="360" w:lineRule="auto"/>
        <w:ind w:right="-187"/>
        <w:rPr>
          <w:rFonts w:ascii="Century Gothic" w:hAnsi="Century Gothic" w:cs="Arial"/>
          <w:bCs/>
        </w:rPr>
      </w:pPr>
    </w:p>
    <w:p w14:paraId="22D686BD" w14:textId="2B969A2F"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Garantías de Pago Oportuno</w:t>
      </w:r>
      <w:r w:rsidRPr="00286308">
        <w:rPr>
          <w:rFonts w:ascii="Century Gothic" w:hAnsi="Century Gothic" w:cs="Arial"/>
        </w:rPr>
        <w:t>. Con la finalidad de fortalecer la estructura y garantizar a los acreedores del Financiamiento IPP, el Estado, podrá contratar con la Banca de Desarrollo o con cualquier otra institución de crédito de nacionalidad mexicana, cualquier tipo o instrumento de garantías de pago oportuno, o cualesquier</w:t>
      </w:r>
      <w:r w:rsidR="00540EC9">
        <w:rPr>
          <w:rFonts w:ascii="Century Gothic" w:hAnsi="Century Gothic" w:cs="Arial"/>
        </w:rPr>
        <w:t>a</w:t>
      </w:r>
      <w:r w:rsidRPr="00286308">
        <w:rPr>
          <w:rFonts w:ascii="Century Gothic" w:hAnsi="Century Gothic" w:cs="Arial"/>
        </w:rPr>
        <w:t xml:space="preserve"> otros instrumentos o mecanismos de garantía de pago similares o de soporte crediticio, u operaciones similares, en favor de los acreedores del Financiamiento IPP, denominadas en pesos o en Unidades de Inversión, pagaderas en moneda nacional y dentro del territorio del país, en la inteligencia de que </w:t>
      </w:r>
      <w:r w:rsidRPr="00286308">
        <w:rPr>
          <w:rFonts w:ascii="Century Gothic" w:hAnsi="Century Gothic" w:cs="Arial"/>
        </w:rPr>
        <w:lastRenderedPageBreak/>
        <w:t>la vigencia de las Garantías de Pago será igual o menor al plazo del Financiamiento IPP y hasta por un monto máximo equivalente al 15</w:t>
      </w:r>
      <w:r w:rsidR="00540EC9">
        <w:rPr>
          <w:rFonts w:ascii="Century Gothic" w:hAnsi="Century Gothic" w:cs="Arial"/>
        </w:rPr>
        <w:t>%</w:t>
      </w:r>
      <w:r w:rsidRPr="00286308">
        <w:rPr>
          <w:rFonts w:ascii="Century Gothic" w:hAnsi="Century Gothic" w:cs="Arial"/>
        </w:rPr>
        <w:t xml:space="preserve"> (quince por ciento) del saldo insoluto del Financiamiento IPP. Los costos y gastos de contratación de las Garantías de Pago anteriormente referidas, podrán tener como fuente de pago Ingresos de Libre Disposición del Estado.</w:t>
      </w:r>
    </w:p>
    <w:p w14:paraId="1AFBD063" w14:textId="77777777" w:rsidR="00A0583F" w:rsidRPr="00286308" w:rsidRDefault="00A0583F" w:rsidP="00E25B3B">
      <w:pPr>
        <w:pStyle w:val="Textoindependiente"/>
        <w:spacing w:line="360" w:lineRule="auto"/>
        <w:ind w:right="-187"/>
        <w:rPr>
          <w:rFonts w:ascii="Century Gothic" w:hAnsi="Century Gothic" w:cs="Arial"/>
          <w:bCs/>
        </w:rPr>
      </w:pPr>
    </w:p>
    <w:p w14:paraId="497623A1" w14:textId="77777777" w:rsidR="00A0583F" w:rsidRPr="00286308" w:rsidRDefault="00A0583F" w:rsidP="00E25B3B">
      <w:pPr>
        <w:pStyle w:val="Textoindependiente"/>
        <w:spacing w:line="360" w:lineRule="auto"/>
        <w:ind w:right="-187"/>
        <w:rPr>
          <w:rFonts w:ascii="Century Gothic" w:hAnsi="Century Gothic" w:cs="Arial"/>
          <w:b/>
          <w:u w:val="single"/>
        </w:rPr>
      </w:pPr>
      <w:r w:rsidRPr="00286308">
        <w:rPr>
          <w:rFonts w:ascii="Century Gothic" w:hAnsi="Century Gothic" w:cs="Arial"/>
          <w:b/>
        </w:rPr>
        <w:t>Artículo Sexto.</w:t>
      </w:r>
      <w:r w:rsidRPr="00286308">
        <w:rPr>
          <w:rFonts w:ascii="Century Gothic" w:hAnsi="Century Gothic" w:cs="Arial"/>
          <w:bCs/>
        </w:rPr>
        <w:t xml:space="preserve"> </w:t>
      </w:r>
      <w:r w:rsidRPr="00286308">
        <w:rPr>
          <w:rFonts w:ascii="Century Gothic" w:hAnsi="Century Gothic" w:cs="Arial"/>
          <w:u w:val="single"/>
        </w:rPr>
        <w:t>Instrumentos Derivados.</w:t>
      </w:r>
    </w:p>
    <w:p w14:paraId="5441C422" w14:textId="77777777" w:rsidR="00A0583F" w:rsidRPr="00286308" w:rsidRDefault="00A0583F" w:rsidP="00E25B3B">
      <w:pPr>
        <w:pStyle w:val="Textoindependiente"/>
        <w:spacing w:line="360" w:lineRule="auto"/>
        <w:ind w:right="-187"/>
        <w:rPr>
          <w:rFonts w:ascii="Century Gothic" w:hAnsi="Century Gothic" w:cs="Arial"/>
          <w:b/>
        </w:rPr>
      </w:pPr>
    </w:p>
    <w:p w14:paraId="7A0E34B9" w14:textId="77777777" w:rsidR="00A0583F" w:rsidRPr="00286308" w:rsidRDefault="00A0583F" w:rsidP="00FF6735">
      <w:pPr>
        <w:pStyle w:val="Prrafodelista"/>
        <w:numPr>
          <w:ilvl w:val="0"/>
          <w:numId w:val="8"/>
        </w:numPr>
        <w:spacing w:after="0" w:line="360" w:lineRule="auto"/>
        <w:ind w:right="-187"/>
        <w:contextualSpacing w:val="0"/>
        <w:jc w:val="both"/>
        <w:rPr>
          <w:rFonts w:ascii="Century Gothic" w:hAnsi="Century Gothic" w:cs="Arial"/>
          <w:vanish/>
          <w:sz w:val="24"/>
          <w:szCs w:val="24"/>
          <w:u w:val="single"/>
        </w:rPr>
      </w:pPr>
    </w:p>
    <w:p w14:paraId="0E099E63"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Autorización</w:t>
      </w:r>
      <w:r w:rsidRPr="00286308">
        <w:rPr>
          <w:rFonts w:ascii="Century Gothic" w:hAnsi="Century Gothic" w:cs="Arial"/>
        </w:rPr>
        <w:t>.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instrumentos derivados, en sustitución de los instrumentos derivados que actualmente tiene celebrados el Estado, descritos más adelante, y una vez concluida la vigencia de dichos instrumentos derivados, y</w:t>
      </w:r>
      <w:r w:rsidRPr="00286308">
        <w:rPr>
          <w:rFonts w:ascii="Century Gothic" w:hAnsi="Century Gothic" w:cs="Arial"/>
          <w:bCs/>
        </w:rPr>
        <w:t xml:space="preserve"> hasta por la cantidad necesaria para cubrir hasta el 100% (cien por ciento) de los montos expuestos de los financiamientos a los que se encuentran asociados dichos instrumentos derivados a ser sustituidos.</w:t>
      </w:r>
    </w:p>
    <w:p w14:paraId="220DF523"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0C8209E6" w14:textId="7FD50275"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 xml:space="preserve">La autorización anterior se otorga previo análisis de la capacidad de pago del Estado, el destino de los recursos derivados de los instrumentos </w:t>
      </w:r>
      <w:r w:rsidRPr="00286308">
        <w:rPr>
          <w:rFonts w:ascii="Century Gothic" w:hAnsi="Century Gothic" w:cs="Arial"/>
        </w:rPr>
        <w:lastRenderedPageBreak/>
        <w:t xml:space="preserve">derivados que se contratarán en sustitución de los instrumentos derivados que actualmente tiene celebrados el </w:t>
      </w:r>
      <w:proofErr w:type="gramStart"/>
      <w:r w:rsidRPr="00286308">
        <w:rPr>
          <w:rFonts w:ascii="Century Gothic" w:hAnsi="Century Gothic" w:cs="Arial"/>
        </w:rPr>
        <w:t>Estado,  descritos</w:t>
      </w:r>
      <w:proofErr w:type="gramEnd"/>
      <w:r w:rsidRPr="00286308">
        <w:rPr>
          <w:rFonts w:ascii="Century Gothic" w:hAnsi="Century Gothic" w:cs="Arial"/>
        </w:rPr>
        <w:t xml:space="preserve"> más adelante</w:t>
      </w:r>
      <w:r w:rsidR="003F4059">
        <w:rPr>
          <w:rFonts w:ascii="Century Gothic" w:hAnsi="Century Gothic" w:cs="Arial"/>
        </w:rPr>
        <w:t>,</w:t>
      </w:r>
      <w:r w:rsidRPr="00286308">
        <w:rPr>
          <w:rFonts w:ascii="Century Gothic" w:hAnsi="Century Gothic" w:cs="Arial"/>
        </w:rPr>
        <w:t xml:space="preserve"> y los recursos que fungirán como fuente de pago de dichos instrumentos derivados.</w:t>
      </w:r>
    </w:p>
    <w:p w14:paraId="73C26949"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044E0039" w14:textId="77777777" w:rsidR="00A0583F" w:rsidRPr="00286308" w:rsidRDefault="00A0583F" w:rsidP="00E25B3B">
      <w:pPr>
        <w:pStyle w:val="Textoindependiente"/>
        <w:spacing w:line="360" w:lineRule="auto"/>
        <w:ind w:left="567" w:right="-187"/>
        <w:rPr>
          <w:rFonts w:ascii="Century Gothic" w:hAnsi="Century Gothic" w:cs="Arial"/>
          <w:b/>
        </w:rPr>
      </w:pPr>
      <w:r w:rsidRPr="00286308">
        <w:rPr>
          <w:rFonts w:ascii="Century Gothic" w:hAnsi="Century Gothic" w:cs="Arial"/>
        </w:rPr>
        <w:t xml:space="preserve">Los instrumentos derivados a ser contratados conforme a la presente autorización, podrán tener como fuente de pago, de conformidad con lo previsto en el presente Decreto, los derechos (y los ingresos derivados de los mismos), de las fuentes de pago que </w:t>
      </w:r>
      <w:proofErr w:type="gramStart"/>
      <w:r w:rsidRPr="00286308">
        <w:rPr>
          <w:rFonts w:ascii="Century Gothic" w:hAnsi="Century Gothic" w:cs="Arial"/>
        </w:rPr>
        <w:t>le</w:t>
      </w:r>
      <w:proofErr w:type="gramEnd"/>
      <w:r w:rsidRPr="00286308">
        <w:rPr>
          <w:rFonts w:ascii="Century Gothic" w:hAnsi="Century Gothic" w:cs="Arial"/>
        </w:rPr>
        <w:t xml:space="preserve"> correspondan a los contratos principales a los que se encontrarán asociados. En todo caso, los instrumentos derivados a contratarse se contratarán con objetivos específico de cobertura y, en ningún caso, de especulación. </w:t>
      </w:r>
    </w:p>
    <w:p w14:paraId="3F6B30FF" w14:textId="77777777" w:rsidR="00A0583F" w:rsidRPr="00286308" w:rsidRDefault="00A0583F" w:rsidP="00E25B3B">
      <w:pPr>
        <w:pStyle w:val="Textoindependiente"/>
        <w:spacing w:line="360" w:lineRule="auto"/>
        <w:ind w:left="567" w:right="-187"/>
        <w:rPr>
          <w:rFonts w:ascii="Century Gothic" w:hAnsi="Century Gothic" w:cs="Arial"/>
          <w:b/>
          <w:u w:val="single"/>
        </w:rPr>
      </w:pPr>
    </w:p>
    <w:p w14:paraId="0E437983"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Destino</w:t>
      </w:r>
      <w:r w:rsidRPr="00286308">
        <w:rPr>
          <w:rFonts w:ascii="Century Gothic" w:hAnsi="Century Gothic" w:cs="Arial"/>
        </w:rPr>
        <w:t xml:space="preserve">. Los instrumentos derivados que el Estado contrate al amparo de la presente autorización deberán ser destinados a cubrir hasta la totalidad de los montos expuestos derivados de los contratos descritos a continuación, lo anterior, en sustitución de los instrumentos derivados que actualmente tiene celebrados el Estado, una vez concluida la vigencia de dichos instrumentos derivados, mismos que de igual forma se describen a continuación. </w:t>
      </w:r>
    </w:p>
    <w:p w14:paraId="4D994605" w14:textId="77777777" w:rsidR="00A0583F" w:rsidRPr="00286308" w:rsidRDefault="00A0583F" w:rsidP="00E25B3B">
      <w:pPr>
        <w:pStyle w:val="Textoindependiente"/>
        <w:spacing w:line="360" w:lineRule="auto"/>
        <w:ind w:left="1134" w:right="-187"/>
        <w:rPr>
          <w:rFonts w:ascii="Century Gothic" w:hAnsi="Century Gothic" w:cs="Arial"/>
          <w:b/>
        </w:rPr>
      </w:pPr>
    </w:p>
    <w:p w14:paraId="0C2006D6" w14:textId="77777777" w:rsidR="00A0583F" w:rsidRPr="00286308" w:rsidRDefault="00A0583F" w:rsidP="00E25B3B">
      <w:pPr>
        <w:pStyle w:val="Textoindependiente"/>
        <w:spacing w:line="360" w:lineRule="auto"/>
        <w:ind w:right="-187"/>
        <w:rPr>
          <w:rFonts w:ascii="Century Gothic" w:hAnsi="Century Gothic" w:cs="Arial"/>
          <w:b/>
          <w:u w:val="single"/>
        </w:rPr>
      </w:pPr>
      <w:r w:rsidRPr="00286308">
        <w:rPr>
          <w:rFonts w:ascii="Century Gothic" w:hAnsi="Century Gothic" w:cs="Arial"/>
          <w:u w:val="single"/>
        </w:rPr>
        <w:t>Instrumentos Derivados tipo “Swap”</w:t>
      </w:r>
    </w:p>
    <w:p w14:paraId="43B2EB20" w14:textId="5E5DED1F" w:rsidR="00A0583F" w:rsidRPr="00286308" w:rsidRDefault="00A0583F" w:rsidP="00E25B3B">
      <w:pPr>
        <w:pStyle w:val="Textoindependiente"/>
        <w:spacing w:line="360" w:lineRule="auto"/>
        <w:ind w:right="-187"/>
        <w:rPr>
          <w:rFonts w:ascii="Century Gothic" w:hAnsi="Century Gothic" w:cs="Arial"/>
          <w:b/>
          <w:sz w:val="20"/>
        </w:rPr>
      </w:pPr>
    </w:p>
    <w:p w14:paraId="51D0B3BA" w14:textId="77777777" w:rsidR="000C4749" w:rsidRPr="00286308" w:rsidRDefault="000C4749" w:rsidP="00E25B3B">
      <w:pPr>
        <w:pStyle w:val="Textoindependiente"/>
        <w:spacing w:line="360" w:lineRule="auto"/>
        <w:ind w:right="-187"/>
        <w:rPr>
          <w:rFonts w:ascii="Century Gothic" w:hAnsi="Century Gothic" w:cs="Arial"/>
          <w:b/>
          <w:sz w:val="20"/>
        </w:rPr>
      </w:pPr>
    </w:p>
    <w:p w14:paraId="65F93B6F" w14:textId="77777777" w:rsidR="000C4749" w:rsidRPr="00286308" w:rsidRDefault="000C4749" w:rsidP="00A0583F">
      <w:pPr>
        <w:pStyle w:val="Textoindependiente"/>
        <w:ind w:right="-187"/>
        <w:rPr>
          <w:rFonts w:ascii="Century Gothic" w:hAnsi="Century Gothic" w:cs="Arial"/>
          <w:b/>
          <w:sz w:val="20"/>
        </w:rPr>
      </w:pPr>
    </w:p>
    <w:tbl>
      <w:tblPr>
        <w:tblStyle w:val="Tablaconcuadrcula"/>
        <w:tblW w:w="9214" w:type="dxa"/>
        <w:jc w:val="center"/>
        <w:tblLayout w:type="fixed"/>
        <w:tblLook w:val="04A0" w:firstRow="1" w:lastRow="0" w:firstColumn="1" w:lastColumn="0" w:noHBand="0" w:noVBand="1"/>
      </w:tblPr>
      <w:tblGrid>
        <w:gridCol w:w="1276"/>
        <w:gridCol w:w="1984"/>
        <w:gridCol w:w="1843"/>
        <w:gridCol w:w="1559"/>
        <w:gridCol w:w="1276"/>
        <w:gridCol w:w="1276"/>
      </w:tblGrid>
      <w:tr w:rsidR="00286308" w:rsidRPr="00286308" w14:paraId="0A0F7562" w14:textId="77777777" w:rsidTr="00E25B3B">
        <w:trPr>
          <w:jc w:val="center"/>
        </w:trPr>
        <w:tc>
          <w:tcPr>
            <w:tcW w:w="1276" w:type="dxa"/>
            <w:vAlign w:val="center"/>
          </w:tcPr>
          <w:p w14:paraId="41F30AFC" w14:textId="77777777" w:rsidR="00A0583F" w:rsidRPr="00286308" w:rsidRDefault="00A0583F" w:rsidP="00B63CEC">
            <w:pPr>
              <w:pStyle w:val="Textoindependiente"/>
              <w:jc w:val="left"/>
              <w:rPr>
                <w:rFonts w:ascii="Century Gothic" w:hAnsi="Century Gothic" w:cs="Arial"/>
                <w:bCs/>
                <w:sz w:val="18"/>
                <w:szCs w:val="18"/>
              </w:rPr>
            </w:pPr>
            <w:r w:rsidRPr="00286308">
              <w:rPr>
                <w:rFonts w:ascii="Century Gothic" w:hAnsi="Century Gothic" w:cs="Arial"/>
                <w:bCs/>
                <w:sz w:val="18"/>
                <w:szCs w:val="18"/>
              </w:rPr>
              <w:lastRenderedPageBreak/>
              <w:t>Institución Otorgadora de Derivado</w:t>
            </w:r>
          </w:p>
        </w:tc>
        <w:tc>
          <w:tcPr>
            <w:tcW w:w="1984" w:type="dxa"/>
            <w:vAlign w:val="center"/>
          </w:tcPr>
          <w:p w14:paraId="23F92FA7" w14:textId="77777777" w:rsidR="00A0583F" w:rsidRPr="00286308" w:rsidRDefault="00A0583F" w:rsidP="00B63CEC">
            <w:pPr>
              <w:pStyle w:val="Textoindependiente"/>
              <w:jc w:val="left"/>
              <w:rPr>
                <w:rFonts w:ascii="Century Gothic" w:hAnsi="Century Gothic" w:cs="Arial"/>
                <w:bCs/>
                <w:sz w:val="18"/>
                <w:szCs w:val="18"/>
              </w:rPr>
            </w:pPr>
            <w:r w:rsidRPr="00286308">
              <w:rPr>
                <w:rFonts w:ascii="Century Gothic" w:hAnsi="Century Gothic" w:cs="Arial"/>
                <w:bCs/>
                <w:sz w:val="18"/>
                <w:szCs w:val="18"/>
              </w:rPr>
              <w:t>Financiamiento u obligación principal</w:t>
            </w:r>
          </w:p>
        </w:tc>
        <w:tc>
          <w:tcPr>
            <w:tcW w:w="1843" w:type="dxa"/>
            <w:vAlign w:val="center"/>
          </w:tcPr>
          <w:p w14:paraId="29A5E5CC" w14:textId="77777777" w:rsidR="00A0583F" w:rsidRPr="00286308" w:rsidRDefault="00A0583F" w:rsidP="00B63CEC">
            <w:pPr>
              <w:pStyle w:val="Textoindependiente"/>
              <w:jc w:val="left"/>
              <w:rPr>
                <w:rFonts w:ascii="Century Gothic" w:hAnsi="Century Gothic" w:cs="Arial"/>
                <w:bCs/>
                <w:sz w:val="18"/>
                <w:szCs w:val="18"/>
              </w:rPr>
            </w:pPr>
            <w:r w:rsidRPr="00286308">
              <w:rPr>
                <w:rFonts w:ascii="Century Gothic" w:hAnsi="Century Gothic" w:cs="Arial"/>
                <w:bCs/>
                <w:sz w:val="18"/>
                <w:szCs w:val="18"/>
              </w:rPr>
              <w:t>Monto de cobertura</w:t>
            </w:r>
          </w:p>
        </w:tc>
        <w:tc>
          <w:tcPr>
            <w:tcW w:w="1559" w:type="dxa"/>
            <w:vAlign w:val="center"/>
          </w:tcPr>
          <w:p w14:paraId="5C6D8B90" w14:textId="77777777" w:rsidR="00A0583F" w:rsidRPr="00286308" w:rsidRDefault="00A0583F" w:rsidP="00B63CEC">
            <w:pPr>
              <w:pStyle w:val="Textoindependiente"/>
              <w:jc w:val="left"/>
              <w:rPr>
                <w:rFonts w:ascii="Century Gothic" w:hAnsi="Century Gothic" w:cs="Arial"/>
                <w:bCs/>
                <w:sz w:val="18"/>
                <w:szCs w:val="18"/>
              </w:rPr>
            </w:pPr>
            <w:r w:rsidRPr="00286308">
              <w:rPr>
                <w:rFonts w:ascii="Century Gothic" w:hAnsi="Century Gothic" w:cs="Arial"/>
                <w:bCs/>
                <w:sz w:val="18"/>
                <w:szCs w:val="18"/>
              </w:rPr>
              <w:t>Inscripción RPU</w:t>
            </w:r>
          </w:p>
        </w:tc>
        <w:tc>
          <w:tcPr>
            <w:tcW w:w="1276" w:type="dxa"/>
            <w:vAlign w:val="center"/>
          </w:tcPr>
          <w:p w14:paraId="719005F3" w14:textId="77777777" w:rsidR="00A0583F" w:rsidRPr="00286308" w:rsidRDefault="00A0583F" w:rsidP="00B63CEC">
            <w:pPr>
              <w:pStyle w:val="Textoindependiente"/>
              <w:jc w:val="left"/>
              <w:rPr>
                <w:rFonts w:ascii="Century Gothic" w:hAnsi="Century Gothic" w:cs="Arial"/>
                <w:bCs/>
                <w:sz w:val="18"/>
                <w:szCs w:val="18"/>
              </w:rPr>
            </w:pPr>
            <w:r w:rsidRPr="00286308">
              <w:rPr>
                <w:rFonts w:ascii="Century Gothic" w:hAnsi="Century Gothic" w:cs="Arial"/>
                <w:bCs/>
                <w:sz w:val="18"/>
                <w:szCs w:val="18"/>
              </w:rPr>
              <w:t>Inscripción Registro Estatal</w:t>
            </w:r>
          </w:p>
        </w:tc>
        <w:tc>
          <w:tcPr>
            <w:tcW w:w="1276" w:type="dxa"/>
            <w:vAlign w:val="center"/>
          </w:tcPr>
          <w:p w14:paraId="3D413809" w14:textId="77777777" w:rsidR="00A0583F" w:rsidRPr="00912E71" w:rsidRDefault="00A0583F" w:rsidP="00B63CEC">
            <w:pPr>
              <w:pStyle w:val="Textoindependiente"/>
              <w:jc w:val="left"/>
              <w:rPr>
                <w:rFonts w:ascii="Century Gothic" w:hAnsi="Century Gothic" w:cs="Arial"/>
                <w:bCs/>
                <w:sz w:val="16"/>
                <w:szCs w:val="16"/>
              </w:rPr>
            </w:pPr>
            <w:r w:rsidRPr="00912E71">
              <w:rPr>
                <w:rFonts w:ascii="Century Gothic" w:hAnsi="Century Gothic" w:cs="Arial"/>
                <w:bCs/>
                <w:sz w:val="16"/>
                <w:szCs w:val="16"/>
              </w:rPr>
              <w:t>Fecha de Vencimiento</w:t>
            </w:r>
          </w:p>
        </w:tc>
      </w:tr>
      <w:tr w:rsidR="00286308" w:rsidRPr="00286308" w14:paraId="7B625700" w14:textId="77777777" w:rsidTr="00E25B3B">
        <w:trPr>
          <w:jc w:val="center"/>
        </w:trPr>
        <w:tc>
          <w:tcPr>
            <w:tcW w:w="1276" w:type="dxa"/>
            <w:shd w:val="clear" w:color="auto" w:fill="auto"/>
            <w:vAlign w:val="center"/>
          </w:tcPr>
          <w:p w14:paraId="0E16E85A"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Banco del Bajío</w:t>
            </w:r>
          </w:p>
        </w:tc>
        <w:tc>
          <w:tcPr>
            <w:tcW w:w="1984" w:type="dxa"/>
            <w:shd w:val="clear" w:color="auto" w:fill="auto"/>
            <w:vAlign w:val="center"/>
          </w:tcPr>
          <w:p w14:paraId="1FDC7D91"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Multiva $1,185,342,076.00</w:t>
            </w:r>
          </w:p>
        </w:tc>
        <w:tc>
          <w:tcPr>
            <w:tcW w:w="1843" w:type="dxa"/>
            <w:shd w:val="clear" w:color="auto" w:fill="auto"/>
            <w:vAlign w:val="center"/>
          </w:tcPr>
          <w:p w14:paraId="68C9F858"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$493,561,873.93 </w:t>
            </w:r>
          </w:p>
        </w:tc>
        <w:tc>
          <w:tcPr>
            <w:tcW w:w="1559" w:type="dxa"/>
            <w:shd w:val="clear" w:color="auto" w:fill="auto"/>
            <w:vAlign w:val="center"/>
          </w:tcPr>
          <w:p w14:paraId="27492B8D"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P08-0919040_ID</w:t>
            </w:r>
          </w:p>
        </w:tc>
        <w:tc>
          <w:tcPr>
            <w:tcW w:w="1276" w:type="dxa"/>
            <w:shd w:val="clear" w:color="auto" w:fill="auto"/>
            <w:vAlign w:val="center"/>
          </w:tcPr>
          <w:p w14:paraId="3D18830F"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40/2019</w:t>
            </w:r>
          </w:p>
        </w:tc>
        <w:tc>
          <w:tcPr>
            <w:tcW w:w="1276" w:type="dxa"/>
            <w:vAlign w:val="center"/>
          </w:tcPr>
          <w:p w14:paraId="7068B12F"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286308" w:rsidRPr="00286308" w14:paraId="17449BC1" w14:textId="77777777" w:rsidTr="00E25B3B">
        <w:trPr>
          <w:jc w:val="center"/>
        </w:trPr>
        <w:tc>
          <w:tcPr>
            <w:tcW w:w="1276" w:type="dxa"/>
            <w:shd w:val="clear" w:color="auto" w:fill="auto"/>
            <w:vAlign w:val="center"/>
          </w:tcPr>
          <w:p w14:paraId="06B08FD1"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Banco del Bajío</w:t>
            </w:r>
          </w:p>
        </w:tc>
        <w:tc>
          <w:tcPr>
            <w:tcW w:w="1984" w:type="dxa"/>
            <w:shd w:val="clear" w:color="auto" w:fill="auto"/>
            <w:vAlign w:val="center"/>
          </w:tcPr>
          <w:p w14:paraId="3E89FF4C"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Bajío 1,500,000,000.00</w:t>
            </w:r>
          </w:p>
        </w:tc>
        <w:tc>
          <w:tcPr>
            <w:tcW w:w="1843" w:type="dxa"/>
            <w:shd w:val="clear" w:color="auto" w:fill="auto"/>
            <w:vAlign w:val="center"/>
          </w:tcPr>
          <w:p w14:paraId="4F13CD31"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$1,499,733,806.73 </w:t>
            </w:r>
          </w:p>
        </w:tc>
        <w:tc>
          <w:tcPr>
            <w:tcW w:w="1559" w:type="dxa"/>
            <w:shd w:val="clear" w:color="auto" w:fill="auto"/>
            <w:vAlign w:val="center"/>
          </w:tcPr>
          <w:p w14:paraId="45B3AEB0"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P08-0819031_ID</w:t>
            </w:r>
          </w:p>
        </w:tc>
        <w:tc>
          <w:tcPr>
            <w:tcW w:w="1276" w:type="dxa"/>
            <w:shd w:val="clear" w:color="auto" w:fill="auto"/>
            <w:vAlign w:val="center"/>
          </w:tcPr>
          <w:p w14:paraId="19416045"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38/2019</w:t>
            </w:r>
          </w:p>
        </w:tc>
        <w:tc>
          <w:tcPr>
            <w:tcW w:w="1276" w:type="dxa"/>
            <w:vAlign w:val="center"/>
          </w:tcPr>
          <w:p w14:paraId="7C16F1BB"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286308" w:rsidRPr="00286308" w14:paraId="46AF1A9D" w14:textId="77777777" w:rsidTr="00E25B3B">
        <w:trPr>
          <w:jc w:val="center"/>
        </w:trPr>
        <w:tc>
          <w:tcPr>
            <w:tcW w:w="1276" w:type="dxa"/>
            <w:shd w:val="clear" w:color="auto" w:fill="auto"/>
            <w:vAlign w:val="center"/>
          </w:tcPr>
          <w:p w14:paraId="3E1808AA"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Banco del Bajío</w:t>
            </w:r>
          </w:p>
        </w:tc>
        <w:tc>
          <w:tcPr>
            <w:tcW w:w="1984" w:type="dxa"/>
            <w:shd w:val="clear" w:color="auto" w:fill="auto"/>
            <w:vAlign w:val="center"/>
          </w:tcPr>
          <w:p w14:paraId="3B113B86"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BBVA $1,852,528,000.00 </w:t>
            </w:r>
          </w:p>
        </w:tc>
        <w:tc>
          <w:tcPr>
            <w:tcW w:w="1843" w:type="dxa"/>
            <w:shd w:val="clear" w:color="auto" w:fill="auto"/>
            <w:vAlign w:val="center"/>
          </w:tcPr>
          <w:p w14:paraId="1F254E63"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$6,704,319.34 </w:t>
            </w:r>
          </w:p>
        </w:tc>
        <w:tc>
          <w:tcPr>
            <w:tcW w:w="1559" w:type="dxa"/>
            <w:shd w:val="clear" w:color="auto" w:fill="auto"/>
            <w:vAlign w:val="center"/>
          </w:tcPr>
          <w:p w14:paraId="753CE31C"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P08-0819027_ID</w:t>
            </w:r>
          </w:p>
        </w:tc>
        <w:tc>
          <w:tcPr>
            <w:tcW w:w="1276" w:type="dxa"/>
            <w:shd w:val="clear" w:color="auto" w:fill="auto"/>
            <w:vAlign w:val="center"/>
          </w:tcPr>
          <w:p w14:paraId="3BE19D63"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39/2019</w:t>
            </w:r>
          </w:p>
        </w:tc>
        <w:tc>
          <w:tcPr>
            <w:tcW w:w="1276" w:type="dxa"/>
            <w:vAlign w:val="center"/>
          </w:tcPr>
          <w:p w14:paraId="595FAE50"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286308" w:rsidRPr="00286308" w14:paraId="45FC2248" w14:textId="77777777" w:rsidTr="00E25B3B">
        <w:trPr>
          <w:jc w:val="center"/>
        </w:trPr>
        <w:tc>
          <w:tcPr>
            <w:tcW w:w="1276" w:type="dxa"/>
            <w:shd w:val="clear" w:color="auto" w:fill="auto"/>
            <w:vAlign w:val="center"/>
          </w:tcPr>
          <w:p w14:paraId="469CD3EC"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Banco del Bajío</w:t>
            </w:r>
          </w:p>
        </w:tc>
        <w:tc>
          <w:tcPr>
            <w:tcW w:w="1984" w:type="dxa"/>
            <w:shd w:val="clear" w:color="auto" w:fill="auto"/>
            <w:vAlign w:val="center"/>
          </w:tcPr>
          <w:p w14:paraId="097AEB3D" w14:textId="231B43FC" w:rsidR="00A0583F" w:rsidRPr="00286308" w:rsidRDefault="00A0583F" w:rsidP="00B63CEC">
            <w:pPr>
              <w:pStyle w:val="Textoindependiente"/>
              <w:jc w:val="left"/>
              <w:rPr>
                <w:rFonts w:ascii="Century Gothic" w:hAnsi="Century Gothic" w:cs="Arial"/>
                <w:b/>
                <w:sz w:val="18"/>
                <w:szCs w:val="18"/>
              </w:rPr>
            </w:pPr>
            <w:proofErr w:type="gramStart"/>
            <w:r w:rsidRPr="00286308">
              <w:rPr>
                <w:rFonts w:ascii="Century Gothic" w:hAnsi="Century Gothic" w:cs="Arial"/>
                <w:sz w:val="18"/>
                <w:szCs w:val="18"/>
              </w:rPr>
              <w:t>BBVA  $</w:t>
            </w:r>
            <w:proofErr w:type="gramEnd"/>
            <w:r w:rsidRPr="00286308">
              <w:rPr>
                <w:rFonts w:ascii="Century Gothic" w:hAnsi="Century Gothic" w:cs="Arial"/>
                <w:sz w:val="18"/>
                <w:szCs w:val="18"/>
              </w:rPr>
              <w:t>1,852,528,000.00</w:t>
            </w:r>
          </w:p>
        </w:tc>
        <w:tc>
          <w:tcPr>
            <w:tcW w:w="1843" w:type="dxa"/>
            <w:shd w:val="clear" w:color="auto" w:fill="auto"/>
            <w:vAlign w:val="center"/>
          </w:tcPr>
          <w:p w14:paraId="4B9F4938"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$1,816,021,288.13 </w:t>
            </w:r>
          </w:p>
        </w:tc>
        <w:tc>
          <w:tcPr>
            <w:tcW w:w="1559" w:type="dxa"/>
            <w:shd w:val="clear" w:color="auto" w:fill="auto"/>
            <w:vAlign w:val="center"/>
          </w:tcPr>
          <w:p w14:paraId="38C8BCD1"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P08-0819027_ID_02</w:t>
            </w:r>
          </w:p>
        </w:tc>
        <w:tc>
          <w:tcPr>
            <w:tcW w:w="1276" w:type="dxa"/>
            <w:shd w:val="clear" w:color="auto" w:fill="auto"/>
            <w:vAlign w:val="center"/>
          </w:tcPr>
          <w:p w14:paraId="08005EBE"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46/2019</w:t>
            </w:r>
          </w:p>
        </w:tc>
        <w:tc>
          <w:tcPr>
            <w:tcW w:w="1276" w:type="dxa"/>
            <w:vAlign w:val="center"/>
          </w:tcPr>
          <w:p w14:paraId="113F5713"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286308" w:rsidRPr="00286308" w14:paraId="3B09903D" w14:textId="77777777" w:rsidTr="00E25B3B">
        <w:trPr>
          <w:jc w:val="center"/>
        </w:trPr>
        <w:tc>
          <w:tcPr>
            <w:tcW w:w="1276" w:type="dxa"/>
            <w:shd w:val="clear" w:color="auto" w:fill="auto"/>
            <w:vAlign w:val="center"/>
          </w:tcPr>
          <w:p w14:paraId="74BC0EB4"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Banco del Bajío</w:t>
            </w:r>
          </w:p>
        </w:tc>
        <w:tc>
          <w:tcPr>
            <w:tcW w:w="1984" w:type="dxa"/>
            <w:shd w:val="clear" w:color="auto" w:fill="auto"/>
            <w:vAlign w:val="center"/>
          </w:tcPr>
          <w:p w14:paraId="6D8CF477" w14:textId="77777777" w:rsidR="00A0583F" w:rsidRPr="00286308" w:rsidRDefault="00A0583F" w:rsidP="00B63CEC">
            <w:pPr>
              <w:pStyle w:val="Textoindependiente"/>
              <w:jc w:val="left"/>
              <w:rPr>
                <w:rFonts w:ascii="Century Gothic" w:hAnsi="Century Gothic" w:cs="Arial"/>
                <w:b/>
                <w:sz w:val="18"/>
                <w:szCs w:val="18"/>
              </w:rPr>
            </w:pPr>
            <w:proofErr w:type="gramStart"/>
            <w:r w:rsidRPr="00286308">
              <w:rPr>
                <w:rFonts w:ascii="Century Gothic" w:hAnsi="Century Gothic" w:cs="Arial"/>
                <w:sz w:val="18"/>
                <w:szCs w:val="18"/>
              </w:rPr>
              <w:t>BBVA  $</w:t>
            </w:r>
            <w:proofErr w:type="gramEnd"/>
            <w:r w:rsidRPr="00286308">
              <w:rPr>
                <w:rFonts w:ascii="Century Gothic" w:hAnsi="Century Gothic" w:cs="Arial"/>
                <w:sz w:val="18"/>
                <w:szCs w:val="18"/>
              </w:rPr>
              <w:t>3,000,000,000.00</w:t>
            </w:r>
          </w:p>
        </w:tc>
        <w:tc>
          <w:tcPr>
            <w:tcW w:w="1843" w:type="dxa"/>
            <w:shd w:val="clear" w:color="auto" w:fill="auto"/>
            <w:vAlign w:val="center"/>
          </w:tcPr>
          <w:p w14:paraId="538B7AC8"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$2,999,467,613.45 </w:t>
            </w:r>
          </w:p>
        </w:tc>
        <w:tc>
          <w:tcPr>
            <w:tcW w:w="1559" w:type="dxa"/>
            <w:shd w:val="clear" w:color="auto" w:fill="auto"/>
            <w:vAlign w:val="center"/>
          </w:tcPr>
          <w:p w14:paraId="28F226BF"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P08-0819026_ID</w:t>
            </w:r>
          </w:p>
        </w:tc>
        <w:tc>
          <w:tcPr>
            <w:tcW w:w="1276" w:type="dxa"/>
            <w:shd w:val="clear" w:color="auto" w:fill="auto"/>
            <w:vAlign w:val="center"/>
          </w:tcPr>
          <w:p w14:paraId="6CC529ED"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41/2019</w:t>
            </w:r>
          </w:p>
        </w:tc>
        <w:tc>
          <w:tcPr>
            <w:tcW w:w="1276" w:type="dxa"/>
            <w:vAlign w:val="center"/>
          </w:tcPr>
          <w:p w14:paraId="62E6604F"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286308" w:rsidRPr="00286308" w14:paraId="62283AB3" w14:textId="77777777" w:rsidTr="00E25B3B">
        <w:trPr>
          <w:jc w:val="center"/>
        </w:trPr>
        <w:tc>
          <w:tcPr>
            <w:tcW w:w="1276" w:type="dxa"/>
            <w:shd w:val="clear" w:color="auto" w:fill="auto"/>
            <w:vAlign w:val="center"/>
          </w:tcPr>
          <w:p w14:paraId="78EF5052"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Banco del Bajío</w:t>
            </w:r>
          </w:p>
        </w:tc>
        <w:tc>
          <w:tcPr>
            <w:tcW w:w="1984" w:type="dxa"/>
            <w:shd w:val="clear" w:color="auto" w:fill="auto"/>
            <w:vAlign w:val="center"/>
          </w:tcPr>
          <w:p w14:paraId="0FE943AA" w14:textId="77777777" w:rsidR="00A0583F" w:rsidRPr="00286308" w:rsidRDefault="00A0583F" w:rsidP="00B63CEC">
            <w:pPr>
              <w:pStyle w:val="Textoindependiente"/>
              <w:jc w:val="left"/>
              <w:rPr>
                <w:rFonts w:ascii="Century Gothic" w:hAnsi="Century Gothic" w:cs="Arial"/>
                <w:b/>
                <w:sz w:val="18"/>
                <w:szCs w:val="18"/>
              </w:rPr>
            </w:pPr>
            <w:proofErr w:type="gramStart"/>
            <w:r w:rsidRPr="00286308">
              <w:rPr>
                <w:rFonts w:ascii="Century Gothic" w:hAnsi="Century Gothic" w:cs="Arial"/>
                <w:sz w:val="18"/>
                <w:szCs w:val="18"/>
              </w:rPr>
              <w:t>Banobras  $</w:t>
            </w:r>
            <w:proofErr w:type="gramEnd"/>
            <w:r w:rsidRPr="00286308">
              <w:rPr>
                <w:rFonts w:ascii="Century Gothic" w:hAnsi="Century Gothic" w:cs="Arial"/>
                <w:sz w:val="18"/>
                <w:szCs w:val="18"/>
              </w:rPr>
              <w:t>4,416,500,000.00</w:t>
            </w:r>
          </w:p>
        </w:tc>
        <w:tc>
          <w:tcPr>
            <w:tcW w:w="1843" w:type="dxa"/>
            <w:shd w:val="clear" w:color="auto" w:fill="auto"/>
            <w:vAlign w:val="center"/>
          </w:tcPr>
          <w:p w14:paraId="02D59D90"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$4,415,723,914.95 </w:t>
            </w:r>
          </w:p>
        </w:tc>
        <w:tc>
          <w:tcPr>
            <w:tcW w:w="1559" w:type="dxa"/>
            <w:shd w:val="clear" w:color="auto" w:fill="auto"/>
            <w:vAlign w:val="center"/>
          </w:tcPr>
          <w:p w14:paraId="580A57C1"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P08-0819028_ID</w:t>
            </w:r>
          </w:p>
        </w:tc>
        <w:tc>
          <w:tcPr>
            <w:tcW w:w="1276" w:type="dxa"/>
            <w:shd w:val="clear" w:color="auto" w:fill="auto"/>
            <w:vAlign w:val="center"/>
          </w:tcPr>
          <w:p w14:paraId="1FD57B08"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42/2019</w:t>
            </w:r>
          </w:p>
        </w:tc>
        <w:tc>
          <w:tcPr>
            <w:tcW w:w="1276" w:type="dxa"/>
            <w:vAlign w:val="center"/>
          </w:tcPr>
          <w:p w14:paraId="5BDDAC4F"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286308" w:rsidRPr="00286308" w14:paraId="168D1532" w14:textId="77777777" w:rsidTr="00E25B3B">
        <w:trPr>
          <w:jc w:val="center"/>
        </w:trPr>
        <w:tc>
          <w:tcPr>
            <w:tcW w:w="1276" w:type="dxa"/>
            <w:shd w:val="clear" w:color="auto" w:fill="auto"/>
            <w:vAlign w:val="center"/>
          </w:tcPr>
          <w:p w14:paraId="3C60C35D"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Banco del Bajío</w:t>
            </w:r>
          </w:p>
        </w:tc>
        <w:tc>
          <w:tcPr>
            <w:tcW w:w="1984" w:type="dxa"/>
            <w:shd w:val="clear" w:color="auto" w:fill="auto"/>
            <w:vAlign w:val="center"/>
          </w:tcPr>
          <w:p w14:paraId="6733948F"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Banobras $5,000,000,000.00</w:t>
            </w:r>
          </w:p>
        </w:tc>
        <w:tc>
          <w:tcPr>
            <w:tcW w:w="1843" w:type="dxa"/>
            <w:shd w:val="clear" w:color="auto" w:fill="auto"/>
            <w:vAlign w:val="center"/>
          </w:tcPr>
          <w:p w14:paraId="40D7209E"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$768,787,183.47 </w:t>
            </w:r>
          </w:p>
        </w:tc>
        <w:tc>
          <w:tcPr>
            <w:tcW w:w="1559" w:type="dxa"/>
            <w:shd w:val="clear" w:color="auto" w:fill="auto"/>
            <w:vAlign w:val="center"/>
          </w:tcPr>
          <w:p w14:paraId="180B321B"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P08-0819029_ID</w:t>
            </w:r>
          </w:p>
        </w:tc>
        <w:tc>
          <w:tcPr>
            <w:tcW w:w="1276" w:type="dxa"/>
            <w:shd w:val="clear" w:color="auto" w:fill="auto"/>
            <w:vAlign w:val="center"/>
          </w:tcPr>
          <w:p w14:paraId="008DEE15"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43/2019</w:t>
            </w:r>
          </w:p>
        </w:tc>
        <w:tc>
          <w:tcPr>
            <w:tcW w:w="1276" w:type="dxa"/>
            <w:vAlign w:val="center"/>
          </w:tcPr>
          <w:p w14:paraId="5FF35EEA"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286308" w:rsidRPr="00286308" w14:paraId="7D75DB94" w14:textId="77777777" w:rsidTr="00E25B3B">
        <w:trPr>
          <w:jc w:val="center"/>
        </w:trPr>
        <w:tc>
          <w:tcPr>
            <w:tcW w:w="1276" w:type="dxa"/>
            <w:shd w:val="clear" w:color="auto" w:fill="auto"/>
            <w:vAlign w:val="center"/>
          </w:tcPr>
          <w:p w14:paraId="3D72EA78"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Banco del Bajío</w:t>
            </w:r>
          </w:p>
        </w:tc>
        <w:tc>
          <w:tcPr>
            <w:tcW w:w="1984" w:type="dxa"/>
            <w:shd w:val="clear" w:color="auto" w:fill="auto"/>
            <w:vAlign w:val="center"/>
          </w:tcPr>
          <w:p w14:paraId="7C99C61F"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Banobras $5,000,000,000.00</w:t>
            </w:r>
          </w:p>
        </w:tc>
        <w:tc>
          <w:tcPr>
            <w:tcW w:w="1843" w:type="dxa"/>
            <w:shd w:val="clear" w:color="auto" w:fill="auto"/>
            <w:vAlign w:val="center"/>
          </w:tcPr>
          <w:p w14:paraId="32528CDF"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$4,230,334,196.53 </w:t>
            </w:r>
          </w:p>
        </w:tc>
        <w:tc>
          <w:tcPr>
            <w:tcW w:w="1559" w:type="dxa"/>
            <w:shd w:val="clear" w:color="auto" w:fill="auto"/>
            <w:vAlign w:val="center"/>
          </w:tcPr>
          <w:p w14:paraId="23F3195C"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P08-0819029_ID_02</w:t>
            </w:r>
          </w:p>
        </w:tc>
        <w:tc>
          <w:tcPr>
            <w:tcW w:w="1276" w:type="dxa"/>
            <w:shd w:val="clear" w:color="auto" w:fill="auto"/>
            <w:vAlign w:val="center"/>
          </w:tcPr>
          <w:p w14:paraId="4020A9CD"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44/2019</w:t>
            </w:r>
          </w:p>
        </w:tc>
        <w:tc>
          <w:tcPr>
            <w:tcW w:w="1276" w:type="dxa"/>
            <w:vAlign w:val="center"/>
          </w:tcPr>
          <w:p w14:paraId="401EECF9"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286308" w:rsidRPr="00286308" w14:paraId="21989A70" w14:textId="77777777" w:rsidTr="00E25B3B">
        <w:trPr>
          <w:jc w:val="center"/>
        </w:trPr>
        <w:tc>
          <w:tcPr>
            <w:tcW w:w="1276" w:type="dxa"/>
            <w:shd w:val="clear" w:color="auto" w:fill="auto"/>
            <w:vAlign w:val="center"/>
          </w:tcPr>
          <w:p w14:paraId="2D75B5C7"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Banco del Bajío</w:t>
            </w:r>
          </w:p>
        </w:tc>
        <w:tc>
          <w:tcPr>
            <w:tcW w:w="1984" w:type="dxa"/>
            <w:shd w:val="clear" w:color="auto" w:fill="auto"/>
            <w:vAlign w:val="center"/>
          </w:tcPr>
          <w:p w14:paraId="17CB5442"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Banobras $5,000,000,000.00</w:t>
            </w:r>
          </w:p>
        </w:tc>
        <w:tc>
          <w:tcPr>
            <w:tcW w:w="1843" w:type="dxa"/>
            <w:shd w:val="clear" w:color="auto" w:fill="auto"/>
            <w:vAlign w:val="center"/>
          </w:tcPr>
          <w:p w14:paraId="6E6C2DF5"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$592,715,803.47 </w:t>
            </w:r>
          </w:p>
        </w:tc>
        <w:tc>
          <w:tcPr>
            <w:tcW w:w="1559" w:type="dxa"/>
            <w:shd w:val="clear" w:color="auto" w:fill="auto"/>
            <w:vAlign w:val="center"/>
          </w:tcPr>
          <w:p w14:paraId="472C02DE"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P08-0819030_ID_02</w:t>
            </w:r>
          </w:p>
        </w:tc>
        <w:tc>
          <w:tcPr>
            <w:tcW w:w="1276" w:type="dxa"/>
            <w:shd w:val="clear" w:color="auto" w:fill="auto"/>
            <w:vAlign w:val="center"/>
          </w:tcPr>
          <w:p w14:paraId="7E76EA04"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45/2019</w:t>
            </w:r>
          </w:p>
        </w:tc>
        <w:tc>
          <w:tcPr>
            <w:tcW w:w="1276" w:type="dxa"/>
            <w:vAlign w:val="center"/>
          </w:tcPr>
          <w:p w14:paraId="32FCA6D2"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286308" w:rsidRPr="00286308" w14:paraId="4C590053" w14:textId="77777777" w:rsidTr="00E25B3B">
        <w:trPr>
          <w:jc w:val="center"/>
        </w:trPr>
        <w:tc>
          <w:tcPr>
            <w:tcW w:w="1276" w:type="dxa"/>
            <w:shd w:val="clear" w:color="auto" w:fill="auto"/>
            <w:vAlign w:val="center"/>
          </w:tcPr>
          <w:p w14:paraId="76696D7C"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Banco del Bajío</w:t>
            </w:r>
          </w:p>
        </w:tc>
        <w:tc>
          <w:tcPr>
            <w:tcW w:w="1984" w:type="dxa"/>
            <w:shd w:val="clear" w:color="auto" w:fill="auto"/>
            <w:vAlign w:val="center"/>
          </w:tcPr>
          <w:p w14:paraId="459A3418"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HSBC $500,000,000.00</w:t>
            </w:r>
          </w:p>
        </w:tc>
        <w:tc>
          <w:tcPr>
            <w:tcW w:w="1843" w:type="dxa"/>
            <w:shd w:val="clear" w:color="auto" w:fill="auto"/>
            <w:vAlign w:val="center"/>
          </w:tcPr>
          <w:p w14:paraId="47CD54E9"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$493,561,797.60 </w:t>
            </w:r>
          </w:p>
        </w:tc>
        <w:tc>
          <w:tcPr>
            <w:tcW w:w="1559" w:type="dxa"/>
            <w:shd w:val="clear" w:color="auto" w:fill="auto"/>
            <w:vAlign w:val="center"/>
          </w:tcPr>
          <w:p w14:paraId="2B3F4078"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P08-0919042_ID</w:t>
            </w:r>
          </w:p>
        </w:tc>
        <w:tc>
          <w:tcPr>
            <w:tcW w:w="1276" w:type="dxa"/>
            <w:shd w:val="clear" w:color="auto" w:fill="auto"/>
            <w:vAlign w:val="center"/>
          </w:tcPr>
          <w:p w14:paraId="3498FC8F"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36/2019</w:t>
            </w:r>
          </w:p>
        </w:tc>
        <w:tc>
          <w:tcPr>
            <w:tcW w:w="1276" w:type="dxa"/>
            <w:vAlign w:val="center"/>
          </w:tcPr>
          <w:p w14:paraId="6C1DBFEE"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286308" w:rsidRPr="00286308" w14:paraId="71A44631" w14:textId="77777777" w:rsidTr="00E25B3B">
        <w:trPr>
          <w:jc w:val="center"/>
        </w:trPr>
        <w:tc>
          <w:tcPr>
            <w:tcW w:w="1276" w:type="dxa"/>
            <w:shd w:val="clear" w:color="auto" w:fill="auto"/>
            <w:vAlign w:val="center"/>
          </w:tcPr>
          <w:p w14:paraId="0D6E5B87"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Banco del Bajío</w:t>
            </w:r>
          </w:p>
        </w:tc>
        <w:tc>
          <w:tcPr>
            <w:tcW w:w="1984" w:type="dxa"/>
            <w:shd w:val="clear" w:color="auto" w:fill="auto"/>
            <w:vAlign w:val="center"/>
          </w:tcPr>
          <w:p w14:paraId="5DBA08AE"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Multiva $1,185,342,076.00</w:t>
            </w:r>
          </w:p>
        </w:tc>
        <w:tc>
          <w:tcPr>
            <w:tcW w:w="1843" w:type="dxa"/>
            <w:shd w:val="clear" w:color="auto" w:fill="auto"/>
            <w:vAlign w:val="center"/>
          </w:tcPr>
          <w:p w14:paraId="44EBF5B8"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$691,780,202.40 </w:t>
            </w:r>
          </w:p>
        </w:tc>
        <w:tc>
          <w:tcPr>
            <w:tcW w:w="1559" w:type="dxa"/>
            <w:shd w:val="clear" w:color="auto" w:fill="auto"/>
            <w:vAlign w:val="center"/>
          </w:tcPr>
          <w:p w14:paraId="2B3E6D03"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P08-0919040_ID_02</w:t>
            </w:r>
          </w:p>
        </w:tc>
        <w:tc>
          <w:tcPr>
            <w:tcW w:w="1276" w:type="dxa"/>
            <w:shd w:val="clear" w:color="auto" w:fill="auto"/>
            <w:vAlign w:val="center"/>
          </w:tcPr>
          <w:p w14:paraId="14E8C56A"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39/2019</w:t>
            </w:r>
          </w:p>
        </w:tc>
        <w:tc>
          <w:tcPr>
            <w:tcW w:w="1276" w:type="dxa"/>
            <w:vAlign w:val="center"/>
          </w:tcPr>
          <w:p w14:paraId="40EA2543"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286308" w:rsidRPr="00286308" w14:paraId="4441C95F" w14:textId="77777777" w:rsidTr="00E25B3B">
        <w:trPr>
          <w:jc w:val="center"/>
        </w:trPr>
        <w:tc>
          <w:tcPr>
            <w:tcW w:w="1276" w:type="dxa"/>
            <w:vAlign w:val="center"/>
          </w:tcPr>
          <w:p w14:paraId="4625B13F"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Santander</w:t>
            </w:r>
          </w:p>
        </w:tc>
        <w:tc>
          <w:tcPr>
            <w:tcW w:w="1984" w:type="dxa"/>
            <w:vAlign w:val="center"/>
          </w:tcPr>
          <w:p w14:paraId="2F0DAA02"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Santander $1,350,000,000.00</w:t>
            </w:r>
          </w:p>
        </w:tc>
        <w:tc>
          <w:tcPr>
            <w:tcW w:w="1843" w:type="dxa"/>
            <w:shd w:val="clear" w:color="auto" w:fill="auto"/>
            <w:vAlign w:val="center"/>
          </w:tcPr>
          <w:p w14:paraId="3A3FECB0"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$1,349,760,426.05 </w:t>
            </w:r>
          </w:p>
        </w:tc>
        <w:tc>
          <w:tcPr>
            <w:tcW w:w="1559" w:type="dxa"/>
            <w:vAlign w:val="center"/>
          </w:tcPr>
          <w:p w14:paraId="4167ED3C"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P08-0919037_ID</w:t>
            </w:r>
          </w:p>
        </w:tc>
        <w:tc>
          <w:tcPr>
            <w:tcW w:w="1276" w:type="dxa"/>
            <w:vAlign w:val="center"/>
          </w:tcPr>
          <w:p w14:paraId="4B04F3B5"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33/2019</w:t>
            </w:r>
          </w:p>
        </w:tc>
        <w:tc>
          <w:tcPr>
            <w:tcW w:w="1276" w:type="dxa"/>
            <w:vAlign w:val="center"/>
          </w:tcPr>
          <w:p w14:paraId="18064996"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286308" w:rsidRPr="00286308" w14:paraId="756A2FB0" w14:textId="77777777" w:rsidTr="00E25B3B">
        <w:trPr>
          <w:jc w:val="center"/>
        </w:trPr>
        <w:tc>
          <w:tcPr>
            <w:tcW w:w="1276" w:type="dxa"/>
            <w:vAlign w:val="center"/>
          </w:tcPr>
          <w:p w14:paraId="2AD71F19"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Santander</w:t>
            </w:r>
          </w:p>
        </w:tc>
        <w:tc>
          <w:tcPr>
            <w:tcW w:w="1984" w:type="dxa"/>
            <w:vAlign w:val="center"/>
          </w:tcPr>
          <w:p w14:paraId="19D0D6E7" w14:textId="77777777" w:rsidR="00A0583F" w:rsidRPr="00286308" w:rsidRDefault="00A0583F" w:rsidP="00B63CEC">
            <w:pPr>
              <w:pStyle w:val="Textoindependiente"/>
              <w:jc w:val="left"/>
              <w:rPr>
                <w:rFonts w:ascii="Century Gothic" w:hAnsi="Century Gothic" w:cs="Arial"/>
                <w:b/>
                <w:sz w:val="18"/>
                <w:szCs w:val="18"/>
              </w:rPr>
            </w:pPr>
            <w:proofErr w:type="gramStart"/>
            <w:r w:rsidRPr="00286308">
              <w:rPr>
                <w:rFonts w:ascii="Century Gothic" w:hAnsi="Century Gothic" w:cs="Arial"/>
                <w:sz w:val="18"/>
                <w:szCs w:val="18"/>
              </w:rPr>
              <w:t>Santander  $</w:t>
            </w:r>
            <w:proofErr w:type="gramEnd"/>
            <w:r w:rsidRPr="00286308">
              <w:rPr>
                <w:rFonts w:ascii="Century Gothic" w:hAnsi="Century Gothic" w:cs="Arial"/>
                <w:sz w:val="18"/>
                <w:szCs w:val="18"/>
              </w:rPr>
              <w:t>1,750,000,000.00</w:t>
            </w:r>
          </w:p>
        </w:tc>
        <w:tc>
          <w:tcPr>
            <w:tcW w:w="1843" w:type="dxa"/>
            <w:shd w:val="clear" w:color="auto" w:fill="auto"/>
            <w:vAlign w:val="center"/>
          </w:tcPr>
          <w:p w14:paraId="7BD12711"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$1,749,689,441.18 </w:t>
            </w:r>
          </w:p>
        </w:tc>
        <w:tc>
          <w:tcPr>
            <w:tcW w:w="1559" w:type="dxa"/>
            <w:vAlign w:val="center"/>
          </w:tcPr>
          <w:p w14:paraId="21D4BE80"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P08-0919039_ID</w:t>
            </w:r>
          </w:p>
        </w:tc>
        <w:tc>
          <w:tcPr>
            <w:tcW w:w="1276" w:type="dxa"/>
            <w:vAlign w:val="center"/>
          </w:tcPr>
          <w:p w14:paraId="799CE9C5"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34/2019</w:t>
            </w:r>
          </w:p>
        </w:tc>
        <w:tc>
          <w:tcPr>
            <w:tcW w:w="1276" w:type="dxa"/>
            <w:vAlign w:val="center"/>
          </w:tcPr>
          <w:p w14:paraId="13C13064"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286308" w:rsidRPr="00286308" w14:paraId="60D5B538" w14:textId="77777777" w:rsidTr="00E25B3B">
        <w:trPr>
          <w:jc w:val="center"/>
        </w:trPr>
        <w:tc>
          <w:tcPr>
            <w:tcW w:w="1276" w:type="dxa"/>
            <w:vAlign w:val="center"/>
          </w:tcPr>
          <w:p w14:paraId="05B45818"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Santander</w:t>
            </w:r>
          </w:p>
        </w:tc>
        <w:tc>
          <w:tcPr>
            <w:tcW w:w="1984" w:type="dxa"/>
            <w:vAlign w:val="center"/>
          </w:tcPr>
          <w:p w14:paraId="72A44C95"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Santander $1,900,000,000.00</w:t>
            </w:r>
          </w:p>
        </w:tc>
        <w:tc>
          <w:tcPr>
            <w:tcW w:w="1843" w:type="dxa"/>
            <w:shd w:val="clear" w:color="auto" w:fill="auto"/>
            <w:vAlign w:val="center"/>
          </w:tcPr>
          <w:p w14:paraId="241AF55A"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$1,899,662,821.85 </w:t>
            </w:r>
          </w:p>
        </w:tc>
        <w:tc>
          <w:tcPr>
            <w:tcW w:w="1559" w:type="dxa"/>
            <w:vAlign w:val="center"/>
          </w:tcPr>
          <w:p w14:paraId="39435609"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P08-0919038_ID</w:t>
            </w:r>
          </w:p>
        </w:tc>
        <w:tc>
          <w:tcPr>
            <w:tcW w:w="1276" w:type="dxa"/>
            <w:vAlign w:val="center"/>
          </w:tcPr>
          <w:p w14:paraId="67487707"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32/2019</w:t>
            </w:r>
          </w:p>
        </w:tc>
        <w:tc>
          <w:tcPr>
            <w:tcW w:w="1276" w:type="dxa"/>
            <w:vAlign w:val="center"/>
          </w:tcPr>
          <w:p w14:paraId="620B26A0"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r w:rsidR="00A0583F" w:rsidRPr="00286308" w14:paraId="205550A2" w14:textId="77777777" w:rsidTr="00E25B3B">
        <w:trPr>
          <w:jc w:val="center"/>
        </w:trPr>
        <w:tc>
          <w:tcPr>
            <w:tcW w:w="1276" w:type="dxa"/>
            <w:vAlign w:val="center"/>
          </w:tcPr>
          <w:p w14:paraId="0196112B"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Banorte</w:t>
            </w:r>
          </w:p>
        </w:tc>
        <w:tc>
          <w:tcPr>
            <w:tcW w:w="1984" w:type="dxa"/>
            <w:vAlign w:val="center"/>
          </w:tcPr>
          <w:p w14:paraId="751D60B4"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Banobras $5,000,000,000.00</w:t>
            </w:r>
          </w:p>
        </w:tc>
        <w:tc>
          <w:tcPr>
            <w:tcW w:w="1843" w:type="dxa"/>
            <w:shd w:val="clear" w:color="auto" w:fill="auto"/>
            <w:vAlign w:val="center"/>
          </w:tcPr>
          <w:p w14:paraId="0313E18A"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 xml:space="preserve">$4,406,405,576.53 </w:t>
            </w:r>
          </w:p>
        </w:tc>
        <w:tc>
          <w:tcPr>
            <w:tcW w:w="1559" w:type="dxa"/>
            <w:vAlign w:val="center"/>
          </w:tcPr>
          <w:p w14:paraId="2CC02BCC"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P08-0819030_ID</w:t>
            </w:r>
          </w:p>
        </w:tc>
        <w:tc>
          <w:tcPr>
            <w:tcW w:w="1276" w:type="dxa"/>
            <w:vAlign w:val="center"/>
          </w:tcPr>
          <w:p w14:paraId="635D0195"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35/2019</w:t>
            </w:r>
          </w:p>
        </w:tc>
        <w:tc>
          <w:tcPr>
            <w:tcW w:w="1276" w:type="dxa"/>
            <w:vAlign w:val="center"/>
          </w:tcPr>
          <w:p w14:paraId="0212A51F" w14:textId="77777777" w:rsidR="00A0583F" w:rsidRPr="00286308" w:rsidRDefault="00A0583F" w:rsidP="00B63CEC">
            <w:pPr>
              <w:pStyle w:val="Textoindependiente"/>
              <w:jc w:val="left"/>
              <w:rPr>
                <w:rFonts w:ascii="Century Gothic" w:hAnsi="Century Gothic" w:cs="Arial"/>
                <w:b/>
                <w:sz w:val="18"/>
                <w:szCs w:val="18"/>
              </w:rPr>
            </w:pPr>
            <w:r w:rsidRPr="00286308">
              <w:rPr>
                <w:rFonts w:ascii="Century Gothic" w:hAnsi="Century Gothic" w:cs="Arial"/>
                <w:sz w:val="18"/>
                <w:szCs w:val="18"/>
              </w:rPr>
              <w:t>24/09/2024</w:t>
            </w:r>
          </w:p>
        </w:tc>
      </w:tr>
    </w:tbl>
    <w:p w14:paraId="04031D71" w14:textId="77777777" w:rsidR="00A0583F" w:rsidRPr="00286308" w:rsidRDefault="00A0583F" w:rsidP="00A0583F">
      <w:pPr>
        <w:pStyle w:val="Textoindependiente"/>
        <w:ind w:right="-187"/>
        <w:rPr>
          <w:rFonts w:ascii="Century Gothic" w:hAnsi="Century Gothic" w:cs="Arial"/>
          <w:b/>
          <w:sz w:val="20"/>
        </w:rPr>
      </w:pPr>
    </w:p>
    <w:p w14:paraId="068D2037" w14:textId="77777777" w:rsidR="00A0583F" w:rsidRPr="00286308" w:rsidRDefault="00A0583F" w:rsidP="00A0583F">
      <w:pPr>
        <w:pStyle w:val="Textoindependiente"/>
        <w:ind w:right="-187"/>
        <w:rPr>
          <w:rFonts w:ascii="Century Gothic" w:hAnsi="Century Gothic" w:cs="Arial"/>
          <w:b/>
          <w:u w:val="single"/>
        </w:rPr>
      </w:pPr>
      <w:r w:rsidRPr="00286308">
        <w:rPr>
          <w:rFonts w:ascii="Century Gothic" w:hAnsi="Century Gothic" w:cs="Arial"/>
          <w:u w:val="single"/>
        </w:rPr>
        <w:t>Instrumentos Derivados tipo “CAP”</w:t>
      </w:r>
    </w:p>
    <w:p w14:paraId="6F199F3E" w14:textId="77777777" w:rsidR="00A0583F" w:rsidRPr="00286308" w:rsidRDefault="00A0583F" w:rsidP="00A0583F">
      <w:pPr>
        <w:pStyle w:val="Textoindependiente"/>
        <w:ind w:right="-187"/>
        <w:rPr>
          <w:rFonts w:ascii="Century Gothic" w:hAnsi="Century Gothic" w:cs="Arial"/>
          <w:b/>
          <w:sz w:val="20"/>
        </w:rPr>
      </w:pPr>
    </w:p>
    <w:tbl>
      <w:tblPr>
        <w:tblStyle w:val="Tablaconcuadrcula"/>
        <w:tblW w:w="9218" w:type="dxa"/>
        <w:jc w:val="center"/>
        <w:tblLayout w:type="fixed"/>
        <w:tblLook w:val="04A0" w:firstRow="1" w:lastRow="0" w:firstColumn="1" w:lastColumn="0" w:noHBand="0" w:noVBand="1"/>
      </w:tblPr>
      <w:tblGrid>
        <w:gridCol w:w="1271"/>
        <w:gridCol w:w="1985"/>
        <w:gridCol w:w="1701"/>
        <w:gridCol w:w="1842"/>
        <w:gridCol w:w="1134"/>
        <w:gridCol w:w="1285"/>
      </w:tblGrid>
      <w:tr w:rsidR="00286308" w:rsidRPr="00286308" w14:paraId="14EE031B" w14:textId="77777777" w:rsidTr="0086091A">
        <w:trPr>
          <w:trHeight w:val="578"/>
          <w:jc w:val="center"/>
        </w:trPr>
        <w:tc>
          <w:tcPr>
            <w:tcW w:w="1271" w:type="dxa"/>
            <w:noWrap/>
            <w:vAlign w:val="center"/>
            <w:hideMark/>
          </w:tcPr>
          <w:p w14:paraId="44FEEF61" w14:textId="77777777" w:rsidR="00A0583F" w:rsidRPr="00286308" w:rsidRDefault="00A0583F" w:rsidP="00B63CEC">
            <w:pPr>
              <w:rPr>
                <w:rFonts w:ascii="Century Gothic" w:hAnsi="Century Gothic" w:cs="Arial"/>
                <w:b/>
                <w:bCs/>
                <w:sz w:val="18"/>
                <w:szCs w:val="18"/>
              </w:rPr>
            </w:pPr>
            <w:r w:rsidRPr="00286308">
              <w:rPr>
                <w:rFonts w:ascii="Century Gothic" w:hAnsi="Century Gothic" w:cs="Arial"/>
                <w:b/>
                <w:bCs/>
                <w:sz w:val="18"/>
                <w:szCs w:val="18"/>
              </w:rPr>
              <w:t>Institución Otorgadora de la Cobertura</w:t>
            </w:r>
          </w:p>
        </w:tc>
        <w:tc>
          <w:tcPr>
            <w:tcW w:w="1985" w:type="dxa"/>
            <w:noWrap/>
            <w:vAlign w:val="center"/>
            <w:hideMark/>
          </w:tcPr>
          <w:p w14:paraId="03323EC6" w14:textId="77777777" w:rsidR="00A0583F" w:rsidRPr="00286308" w:rsidRDefault="00A0583F" w:rsidP="00B63CEC">
            <w:pPr>
              <w:rPr>
                <w:rFonts w:ascii="Century Gothic" w:hAnsi="Century Gothic" w:cs="Arial"/>
                <w:b/>
                <w:bCs/>
                <w:sz w:val="18"/>
                <w:szCs w:val="18"/>
              </w:rPr>
            </w:pPr>
            <w:r w:rsidRPr="00286308">
              <w:rPr>
                <w:rFonts w:ascii="Century Gothic" w:hAnsi="Century Gothic" w:cs="Arial"/>
                <w:b/>
                <w:bCs/>
                <w:sz w:val="18"/>
                <w:szCs w:val="18"/>
              </w:rPr>
              <w:t>Carta Confirmación</w:t>
            </w:r>
          </w:p>
        </w:tc>
        <w:tc>
          <w:tcPr>
            <w:tcW w:w="1701" w:type="dxa"/>
            <w:vAlign w:val="center"/>
          </w:tcPr>
          <w:p w14:paraId="399EDFF0" w14:textId="77777777" w:rsidR="00A0583F" w:rsidRPr="00286308" w:rsidRDefault="00A0583F" w:rsidP="00B63CEC">
            <w:pPr>
              <w:rPr>
                <w:rFonts w:ascii="Century Gothic" w:hAnsi="Century Gothic" w:cs="Arial"/>
                <w:b/>
                <w:bCs/>
                <w:sz w:val="18"/>
                <w:szCs w:val="18"/>
              </w:rPr>
            </w:pPr>
            <w:r w:rsidRPr="00286308">
              <w:rPr>
                <w:rFonts w:ascii="Century Gothic" w:hAnsi="Century Gothic" w:cs="Arial"/>
                <w:b/>
                <w:bCs/>
                <w:sz w:val="18"/>
                <w:szCs w:val="18"/>
              </w:rPr>
              <w:t>Financiamiento a cubrir</w:t>
            </w:r>
          </w:p>
        </w:tc>
        <w:tc>
          <w:tcPr>
            <w:tcW w:w="1842" w:type="dxa"/>
            <w:vAlign w:val="center"/>
          </w:tcPr>
          <w:p w14:paraId="1F01C1E6" w14:textId="77777777" w:rsidR="00A0583F" w:rsidRPr="00286308" w:rsidRDefault="00A0583F" w:rsidP="00B63CEC">
            <w:pPr>
              <w:rPr>
                <w:rFonts w:ascii="Century Gothic" w:hAnsi="Century Gothic" w:cs="Arial"/>
                <w:b/>
                <w:bCs/>
                <w:sz w:val="18"/>
                <w:szCs w:val="18"/>
              </w:rPr>
            </w:pPr>
            <w:r w:rsidRPr="00286308">
              <w:rPr>
                <w:rFonts w:ascii="Century Gothic" w:hAnsi="Century Gothic" w:cs="Arial"/>
                <w:b/>
                <w:bCs/>
                <w:sz w:val="18"/>
                <w:szCs w:val="18"/>
              </w:rPr>
              <w:t>Monto de referencia</w:t>
            </w:r>
          </w:p>
        </w:tc>
        <w:tc>
          <w:tcPr>
            <w:tcW w:w="1134" w:type="dxa"/>
            <w:vAlign w:val="center"/>
          </w:tcPr>
          <w:p w14:paraId="21785884" w14:textId="77777777" w:rsidR="00A0583F" w:rsidRPr="0086091A" w:rsidRDefault="00A0583F" w:rsidP="00B63CEC">
            <w:pPr>
              <w:rPr>
                <w:rFonts w:ascii="Century Gothic" w:hAnsi="Century Gothic" w:cs="Arial"/>
                <w:b/>
                <w:bCs/>
                <w:sz w:val="16"/>
                <w:szCs w:val="16"/>
              </w:rPr>
            </w:pPr>
            <w:r w:rsidRPr="0086091A">
              <w:rPr>
                <w:rFonts w:ascii="Century Gothic" w:hAnsi="Century Gothic" w:cs="Arial"/>
                <w:b/>
                <w:bCs/>
                <w:sz w:val="16"/>
                <w:szCs w:val="16"/>
              </w:rPr>
              <w:t>Inscripción Registro Estatal</w:t>
            </w:r>
          </w:p>
        </w:tc>
        <w:tc>
          <w:tcPr>
            <w:tcW w:w="1285" w:type="dxa"/>
            <w:vAlign w:val="center"/>
          </w:tcPr>
          <w:p w14:paraId="20E89021" w14:textId="77777777" w:rsidR="00A0583F" w:rsidRPr="0086091A" w:rsidRDefault="00A0583F" w:rsidP="00B63CEC">
            <w:pPr>
              <w:rPr>
                <w:rFonts w:ascii="Century Gothic" w:hAnsi="Century Gothic" w:cs="Arial"/>
                <w:b/>
                <w:bCs/>
                <w:sz w:val="16"/>
                <w:szCs w:val="16"/>
              </w:rPr>
            </w:pPr>
            <w:r w:rsidRPr="0086091A">
              <w:rPr>
                <w:rFonts w:ascii="Century Gothic" w:hAnsi="Century Gothic" w:cs="Arial"/>
                <w:b/>
                <w:bCs/>
                <w:sz w:val="16"/>
                <w:szCs w:val="16"/>
              </w:rPr>
              <w:t>Fecha de Vencimiento</w:t>
            </w:r>
          </w:p>
        </w:tc>
      </w:tr>
      <w:tr w:rsidR="00286308" w:rsidRPr="00286308" w14:paraId="27D9F92D" w14:textId="77777777" w:rsidTr="0086091A">
        <w:trPr>
          <w:trHeight w:val="338"/>
          <w:jc w:val="center"/>
        </w:trPr>
        <w:tc>
          <w:tcPr>
            <w:tcW w:w="1271" w:type="dxa"/>
            <w:noWrap/>
            <w:vAlign w:val="center"/>
            <w:hideMark/>
          </w:tcPr>
          <w:p w14:paraId="09F9D05E"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Banamex</w:t>
            </w:r>
          </w:p>
        </w:tc>
        <w:tc>
          <w:tcPr>
            <w:tcW w:w="1985" w:type="dxa"/>
            <w:noWrap/>
            <w:vAlign w:val="center"/>
            <w:hideMark/>
          </w:tcPr>
          <w:p w14:paraId="4FBB6A68"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 xml:space="preserve">103921613EC_1 </w:t>
            </w:r>
          </w:p>
        </w:tc>
        <w:tc>
          <w:tcPr>
            <w:tcW w:w="1701" w:type="dxa"/>
            <w:noWrap/>
            <w:vAlign w:val="center"/>
            <w:hideMark/>
          </w:tcPr>
          <w:p w14:paraId="63EE03D3"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Banorte 3,397 MDP</w:t>
            </w:r>
          </w:p>
        </w:tc>
        <w:tc>
          <w:tcPr>
            <w:tcW w:w="1842" w:type="dxa"/>
            <w:noWrap/>
            <w:vAlign w:val="center"/>
            <w:hideMark/>
          </w:tcPr>
          <w:p w14:paraId="3D15B302"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$1,887,704,176.24</w:t>
            </w:r>
          </w:p>
        </w:tc>
        <w:tc>
          <w:tcPr>
            <w:tcW w:w="1134" w:type="dxa"/>
            <w:noWrap/>
            <w:vAlign w:val="center"/>
            <w:hideMark/>
          </w:tcPr>
          <w:p w14:paraId="04812926"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10/2022</w:t>
            </w:r>
          </w:p>
        </w:tc>
        <w:tc>
          <w:tcPr>
            <w:tcW w:w="1285" w:type="dxa"/>
            <w:noWrap/>
            <w:vAlign w:val="center"/>
            <w:hideMark/>
          </w:tcPr>
          <w:p w14:paraId="6A144CFA"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28/01/2023</w:t>
            </w:r>
          </w:p>
        </w:tc>
      </w:tr>
      <w:tr w:rsidR="00286308" w:rsidRPr="00286308" w14:paraId="3DBD5378" w14:textId="77777777" w:rsidTr="0086091A">
        <w:trPr>
          <w:trHeight w:val="338"/>
          <w:jc w:val="center"/>
        </w:trPr>
        <w:tc>
          <w:tcPr>
            <w:tcW w:w="1271" w:type="dxa"/>
            <w:noWrap/>
            <w:vAlign w:val="center"/>
            <w:hideMark/>
          </w:tcPr>
          <w:p w14:paraId="7038EB77"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Banamex</w:t>
            </w:r>
          </w:p>
        </w:tc>
        <w:tc>
          <w:tcPr>
            <w:tcW w:w="1985" w:type="dxa"/>
            <w:noWrap/>
            <w:vAlign w:val="center"/>
            <w:hideMark/>
          </w:tcPr>
          <w:p w14:paraId="52AE364E"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 xml:space="preserve">103921557EC_1 </w:t>
            </w:r>
          </w:p>
        </w:tc>
        <w:tc>
          <w:tcPr>
            <w:tcW w:w="1701" w:type="dxa"/>
            <w:vAlign w:val="center"/>
            <w:hideMark/>
          </w:tcPr>
          <w:p w14:paraId="006634C4"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Bajío 500 MDP</w:t>
            </w:r>
          </w:p>
        </w:tc>
        <w:tc>
          <w:tcPr>
            <w:tcW w:w="1842" w:type="dxa"/>
            <w:vAlign w:val="center"/>
            <w:hideMark/>
          </w:tcPr>
          <w:p w14:paraId="6C03024A"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$493,837,243.11</w:t>
            </w:r>
          </w:p>
        </w:tc>
        <w:tc>
          <w:tcPr>
            <w:tcW w:w="1134" w:type="dxa"/>
            <w:noWrap/>
            <w:vAlign w:val="center"/>
            <w:hideMark/>
          </w:tcPr>
          <w:p w14:paraId="4A7BCED7"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11/2022</w:t>
            </w:r>
          </w:p>
        </w:tc>
        <w:tc>
          <w:tcPr>
            <w:tcW w:w="1285" w:type="dxa"/>
            <w:noWrap/>
            <w:vAlign w:val="center"/>
            <w:hideMark/>
          </w:tcPr>
          <w:p w14:paraId="0ABADD02"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28/01/2023</w:t>
            </w:r>
          </w:p>
        </w:tc>
      </w:tr>
      <w:tr w:rsidR="00286308" w:rsidRPr="00286308" w14:paraId="6D71C522" w14:textId="77777777" w:rsidTr="0086091A">
        <w:trPr>
          <w:trHeight w:val="765"/>
          <w:jc w:val="center"/>
        </w:trPr>
        <w:tc>
          <w:tcPr>
            <w:tcW w:w="1271" w:type="dxa"/>
            <w:noWrap/>
            <w:vAlign w:val="center"/>
            <w:hideMark/>
          </w:tcPr>
          <w:p w14:paraId="2337EFD9"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lastRenderedPageBreak/>
              <w:t>Banamex</w:t>
            </w:r>
          </w:p>
        </w:tc>
        <w:tc>
          <w:tcPr>
            <w:tcW w:w="1985" w:type="dxa"/>
            <w:shd w:val="clear" w:color="auto" w:fill="auto"/>
            <w:noWrap/>
            <w:vAlign w:val="center"/>
            <w:hideMark/>
          </w:tcPr>
          <w:p w14:paraId="33F915B9"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114266336EC_1</w:t>
            </w:r>
          </w:p>
        </w:tc>
        <w:tc>
          <w:tcPr>
            <w:tcW w:w="1701" w:type="dxa"/>
            <w:shd w:val="clear" w:color="auto" w:fill="auto"/>
            <w:noWrap/>
            <w:vAlign w:val="center"/>
            <w:hideMark/>
          </w:tcPr>
          <w:p w14:paraId="75C33564"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Banorte 3,397 MDP</w:t>
            </w:r>
          </w:p>
        </w:tc>
        <w:tc>
          <w:tcPr>
            <w:tcW w:w="1842" w:type="dxa"/>
            <w:shd w:val="clear" w:color="auto" w:fill="auto"/>
            <w:vAlign w:val="center"/>
            <w:hideMark/>
          </w:tcPr>
          <w:p w14:paraId="5CE43FB4"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 xml:space="preserve">$1,488,190,500.00 </w:t>
            </w:r>
          </w:p>
        </w:tc>
        <w:tc>
          <w:tcPr>
            <w:tcW w:w="1134" w:type="dxa"/>
            <w:noWrap/>
            <w:vAlign w:val="center"/>
            <w:hideMark/>
          </w:tcPr>
          <w:p w14:paraId="3B6CB854"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29/2022</w:t>
            </w:r>
          </w:p>
        </w:tc>
        <w:tc>
          <w:tcPr>
            <w:tcW w:w="1285" w:type="dxa"/>
            <w:noWrap/>
            <w:vAlign w:val="center"/>
            <w:hideMark/>
          </w:tcPr>
          <w:p w14:paraId="54E8437C"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28/12/2023</w:t>
            </w:r>
          </w:p>
        </w:tc>
      </w:tr>
      <w:tr w:rsidR="00286308" w:rsidRPr="00286308" w14:paraId="3C82FE8F" w14:textId="77777777" w:rsidTr="0086091A">
        <w:trPr>
          <w:trHeight w:val="765"/>
          <w:jc w:val="center"/>
        </w:trPr>
        <w:tc>
          <w:tcPr>
            <w:tcW w:w="1271" w:type="dxa"/>
            <w:noWrap/>
            <w:vAlign w:val="center"/>
            <w:hideMark/>
          </w:tcPr>
          <w:p w14:paraId="40A4A86E"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Santander</w:t>
            </w:r>
          </w:p>
        </w:tc>
        <w:tc>
          <w:tcPr>
            <w:tcW w:w="1985" w:type="dxa"/>
            <w:shd w:val="clear" w:color="auto" w:fill="auto"/>
            <w:noWrap/>
            <w:vAlign w:val="center"/>
            <w:hideMark/>
          </w:tcPr>
          <w:p w14:paraId="07DE6034"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A5908-30862616.25</w:t>
            </w:r>
          </w:p>
        </w:tc>
        <w:tc>
          <w:tcPr>
            <w:tcW w:w="1701" w:type="dxa"/>
            <w:shd w:val="clear" w:color="auto" w:fill="auto"/>
            <w:vAlign w:val="center"/>
            <w:hideMark/>
          </w:tcPr>
          <w:p w14:paraId="791D4F01"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Bajío 500 MDP</w:t>
            </w:r>
          </w:p>
        </w:tc>
        <w:tc>
          <w:tcPr>
            <w:tcW w:w="1842" w:type="dxa"/>
            <w:shd w:val="clear" w:color="auto" w:fill="auto"/>
            <w:vAlign w:val="center"/>
            <w:hideMark/>
          </w:tcPr>
          <w:p w14:paraId="746CC854"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 xml:space="preserve">$492,108,743.11 </w:t>
            </w:r>
          </w:p>
        </w:tc>
        <w:tc>
          <w:tcPr>
            <w:tcW w:w="1134" w:type="dxa"/>
            <w:noWrap/>
            <w:vAlign w:val="center"/>
            <w:hideMark/>
          </w:tcPr>
          <w:p w14:paraId="0C4E3F2C"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31/2022</w:t>
            </w:r>
          </w:p>
        </w:tc>
        <w:tc>
          <w:tcPr>
            <w:tcW w:w="1285" w:type="dxa"/>
            <w:noWrap/>
            <w:vAlign w:val="center"/>
            <w:hideMark/>
          </w:tcPr>
          <w:p w14:paraId="30DA29D1"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29/01/2024</w:t>
            </w:r>
          </w:p>
        </w:tc>
      </w:tr>
      <w:tr w:rsidR="00286308" w:rsidRPr="00286308" w14:paraId="48FBE52B" w14:textId="77777777" w:rsidTr="0086091A">
        <w:trPr>
          <w:trHeight w:val="765"/>
          <w:jc w:val="center"/>
        </w:trPr>
        <w:tc>
          <w:tcPr>
            <w:tcW w:w="1271" w:type="dxa"/>
            <w:noWrap/>
            <w:vAlign w:val="center"/>
            <w:hideMark/>
          </w:tcPr>
          <w:p w14:paraId="086C804E"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Santander</w:t>
            </w:r>
          </w:p>
        </w:tc>
        <w:tc>
          <w:tcPr>
            <w:tcW w:w="1985" w:type="dxa"/>
            <w:shd w:val="clear" w:color="auto" w:fill="auto"/>
            <w:noWrap/>
            <w:vAlign w:val="center"/>
            <w:hideMark/>
          </w:tcPr>
          <w:p w14:paraId="4582E755"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A5908-30858543.25</w:t>
            </w:r>
          </w:p>
        </w:tc>
        <w:tc>
          <w:tcPr>
            <w:tcW w:w="1701" w:type="dxa"/>
            <w:shd w:val="clear" w:color="auto" w:fill="auto"/>
            <w:noWrap/>
            <w:vAlign w:val="center"/>
            <w:hideMark/>
          </w:tcPr>
          <w:p w14:paraId="49F18E28"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Banorte 3,397 MDP</w:t>
            </w:r>
          </w:p>
        </w:tc>
        <w:tc>
          <w:tcPr>
            <w:tcW w:w="1842" w:type="dxa"/>
            <w:shd w:val="clear" w:color="auto" w:fill="auto"/>
            <w:vAlign w:val="center"/>
            <w:hideMark/>
          </w:tcPr>
          <w:p w14:paraId="52E76C0C"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 xml:space="preserve">$1,881,143,244.45 </w:t>
            </w:r>
          </w:p>
        </w:tc>
        <w:tc>
          <w:tcPr>
            <w:tcW w:w="1134" w:type="dxa"/>
            <w:noWrap/>
            <w:vAlign w:val="center"/>
            <w:hideMark/>
          </w:tcPr>
          <w:p w14:paraId="1328E832"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30/2022</w:t>
            </w:r>
          </w:p>
        </w:tc>
        <w:tc>
          <w:tcPr>
            <w:tcW w:w="1285" w:type="dxa"/>
            <w:noWrap/>
            <w:vAlign w:val="center"/>
            <w:hideMark/>
          </w:tcPr>
          <w:p w14:paraId="236085DB"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29/01/2024</w:t>
            </w:r>
          </w:p>
        </w:tc>
      </w:tr>
      <w:tr w:rsidR="00286308" w:rsidRPr="00286308" w14:paraId="239ADDF5" w14:textId="77777777" w:rsidTr="0086091A">
        <w:trPr>
          <w:trHeight w:val="765"/>
          <w:jc w:val="center"/>
        </w:trPr>
        <w:tc>
          <w:tcPr>
            <w:tcW w:w="1271" w:type="dxa"/>
            <w:noWrap/>
            <w:vAlign w:val="center"/>
            <w:hideMark/>
          </w:tcPr>
          <w:p w14:paraId="02938ED2"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BBVA</w:t>
            </w:r>
          </w:p>
        </w:tc>
        <w:tc>
          <w:tcPr>
            <w:tcW w:w="1985" w:type="dxa"/>
            <w:shd w:val="clear" w:color="auto" w:fill="auto"/>
            <w:noWrap/>
            <w:vAlign w:val="center"/>
            <w:hideMark/>
          </w:tcPr>
          <w:p w14:paraId="71DACCDA"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CFC-8316-MX48196854</w:t>
            </w:r>
          </w:p>
        </w:tc>
        <w:tc>
          <w:tcPr>
            <w:tcW w:w="1701" w:type="dxa"/>
            <w:shd w:val="clear" w:color="auto" w:fill="auto"/>
            <w:vAlign w:val="center"/>
            <w:hideMark/>
          </w:tcPr>
          <w:p w14:paraId="71F1BABC"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BBVA 800 MDP</w:t>
            </w:r>
          </w:p>
        </w:tc>
        <w:tc>
          <w:tcPr>
            <w:tcW w:w="1842" w:type="dxa"/>
            <w:shd w:val="clear" w:color="auto" w:fill="auto"/>
            <w:vAlign w:val="center"/>
            <w:hideMark/>
          </w:tcPr>
          <w:p w14:paraId="6195B2A9"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 xml:space="preserve">$371,908,273.27 </w:t>
            </w:r>
          </w:p>
        </w:tc>
        <w:tc>
          <w:tcPr>
            <w:tcW w:w="1134" w:type="dxa"/>
            <w:noWrap/>
            <w:vAlign w:val="center"/>
            <w:hideMark/>
          </w:tcPr>
          <w:p w14:paraId="46F3DAAE"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32/2022</w:t>
            </w:r>
          </w:p>
        </w:tc>
        <w:tc>
          <w:tcPr>
            <w:tcW w:w="1285" w:type="dxa"/>
            <w:noWrap/>
            <w:vAlign w:val="center"/>
            <w:hideMark/>
          </w:tcPr>
          <w:p w14:paraId="14192486"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29/02/2024</w:t>
            </w:r>
          </w:p>
        </w:tc>
      </w:tr>
      <w:tr w:rsidR="00286308" w:rsidRPr="00286308" w14:paraId="15128A96" w14:textId="77777777" w:rsidTr="0086091A">
        <w:trPr>
          <w:trHeight w:val="765"/>
          <w:jc w:val="center"/>
        </w:trPr>
        <w:tc>
          <w:tcPr>
            <w:tcW w:w="1271" w:type="dxa"/>
            <w:noWrap/>
            <w:vAlign w:val="center"/>
            <w:hideMark/>
          </w:tcPr>
          <w:p w14:paraId="0741B91A"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BBVA</w:t>
            </w:r>
          </w:p>
        </w:tc>
        <w:tc>
          <w:tcPr>
            <w:tcW w:w="1985" w:type="dxa"/>
            <w:shd w:val="clear" w:color="auto" w:fill="auto"/>
            <w:noWrap/>
            <w:vAlign w:val="center"/>
            <w:hideMark/>
          </w:tcPr>
          <w:p w14:paraId="7F66DDA7"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CFC-8316-MX48197214</w:t>
            </w:r>
          </w:p>
        </w:tc>
        <w:tc>
          <w:tcPr>
            <w:tcW w:w="1701" w:type="dxa"/>
            <w:shd w:val="clear" w:color="auto" w:fill="auto"/>
            <w:vAlign w:val="center"/>
            <w:hideMark/>
          </w:tcPr>
          <w:p w14:paraId="28524D40"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BBVA 1,000 MDP</w:t>
            </w:r>
          </w:p>
        </w:tc>
        <w:tc>
          <w:tcPr>
            <w:tcW w:w="1842" w:type="dxa"/>
            <w:shd w:val="clear" w:color="auto" w:fill="auto"/>
            <w:vAlign w:val="center"/>
            <w:hideMark/>
          </w:tcPr>
          <w:p w14:paraId="786A5435"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 xml:space="preserve">$992,268,000.00 </w:t>
            </w:r>
          </w:p>
        </w:tc>
        <w:tc>
          <w:tcPr>
            <w:tcW w:w="1134" w:type="dxa"/>
            <w:noWrap/>
            <w:vAlign w:val="center"/>
            <w:hideMark/>
          </w:tcPr>
          <w:p w14:paraId="222D6BCB"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33/2022</w:t>
            </w:r>
          </w:p>
        </w:tc>
        <w:tc>
          <w:tcPr>
            <w:tcW w:w="1285" w:type="dxa"/>
            <w:noWrap/>
            <w:vAlign w:val="center"/>
            <w:hideMark/>
          </w:tcPr>
          <w:p w14:paraId="438D0C02"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29/02/2024</w:t>
            </w:r>
          </w:p>
        </w:tc>
      </w:tr>
      <w:tr w:rsidR="00A0583F" w:rsidRPr="00286308" w14:paraId="0859BCDC" w14:textId="77777777" w:rsidTr="0086091A">
        <w:trPr>
          <w:trHeight w:val="765"/>
          <w:jc w:val="center"/>
        </w:trPr>
        <w:tc>
          <w:tcPr>
            <w:tcW w:w="1271" w:type="dxa"/>
            <w:noWrap/>
            <w:vAlign w:val="center"/>
            <w:hideMark/>
          </w:tcPr>
          <w:p w14:paraId="035B5884"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BBVA</w:t>
            </w:r>
          </w:p>
        </w:tc>
        <w:tc>
          <w:tcPr>
            <w:tcW w:w="1985" w:type="dxa"/>
            <w:shd w:val="clear" w:color="auto" w:fill="auto"/>
            <w:noWrap/>
            <w:vAlign w:val="center"/>
            <w:hideMark/>
          </w:tcPr>
          <w:p w14:paraId="625F6005"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CFC-8316-MX48197548</w:t>
            </w:r>
          </w:p>
        </w:tc>
        <w:tc>
          <w:tcPr>
            <w:tcW w:w="1701" w:type="dxa"/>
            <w:shd w:val="clear" w:color="auto" w:fill="auto"/>
            <w:vAlign w:val="center"/>
            <w:hideMark/>
          </w:tcPr>
          <w:p w14:paraId="7FF39620"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Bajo 250 MDP</w:t>
            </w:r>
          </w:p>
        </w:tc>
        <w:tc>
          <w:tcPr>
            <w:tcW w:w="1842" w:type="dxa"/>
            <w:shd w:val="clear" w:color="auto" w:fill="auto"/>
            <w:vAlign w:val="center"/>
            <w:hideMark/>
          </w:tcPr>
          <w:p w14:paraId="3ED3428F" w14:textId="77777777" w:rsidR="00A0583F" w:rsidRPr="00286308" w:rsidRDefault="00A0583F" w:rsidP="00B63CEC">
            <w:pPr>
              <w:rPr>
                <w:rFonts w:ascii="Century Gothic" w:hAnsi="Century Gothic" w:cs="Arial"/>
                <w:sz w:val="18"/>
                <w:szCs w:val="18"/>
              </w:rPr>
            </w:pPr>
            <w:r w:rsidRPr="00286308">
              <w:rPr>
                <w:rFonts w:ascii="Century Gothic" w:hAnsi="Century Gothic" w:cs="Arial"/>
                <w:sz w:val="18"/>
                <w:szCs w:val="18"/>
              </w:rPr>
              <w:t xml:space="preserve">$248,067,000.00 </w:t>
            </w:r>
          </w:p>
        </w:tc>
        <w:tc>
          <w:tcPr>
            <w:tcW w:w="1134" w:type="dxa"/>
            <w:noWrap/>
            <w:vAlign w:val="center"/>
            <w:hideMark/>
          </w:tcPr>
          <w:p w14:paraId="49AD4862"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34/2022</w:t>
            </w:r>
          </w:p>
        </w:tc>
        <w:tc>
          <w:tcPr>
            <w:tcW w:w="1285" w:type="dxa"/>
            <w:noWrap/>
            <w:vAlign w:val="center"/>
            <w:hideMark/>
          </w:tcPr>
          <w:p w14:paraId="17BEA8AD" w14:textId="77777777" w:rsidR="00A0583F" w:rsidRPr="0086091A" w:rsidRDefault="00A0583F" w:rsidP="00B63CEC">
            <w:pPr>
              <w:rPr>
                <w:rFonts w:ascii="Century Gothic" w:hAnsi="Century Gothic" w:cs="Arial"/>
                <w:sz w:val="16"/>
                <w:szCs w:val="16"/>
              </w:rPr>
            </w:pPr>
            <w:r w:rsidRPr="0086091A">
              <w:rPr>
                <w:rFonts w:ascii="Century Gothic" w:hAnsi="Century Gothic" w:cs="Arial"/>
                <w:sz w:val="16"/>
                <w:szCs w:val="16"/>
              </w:rPr>
              <w:t>29/02/2024</w:t>
            </w:r>
          </w:p>
        </w:tc>
      </w:tr>
    </w:tbl>
    <w:p w14:paraId="7261E8C5" w14:textId="77777777" w:rsidR="00DE3100" w:rsidRPr="00286308" w:rsidRDefault="00DE3100" w:rsidP="009B7FD6">
      <w:pPr>
        <w:pStyle w:val="Textoindependiente"/>
        <w:spacing w:line="360" w:lineRule="auto"/>
        <w:ind w:left="567" w:right="-187"/>
        <w:rPr>
          <w:rFonts w:ascii="Century Gothic" w:hAnsi="Century Gothic" w:cs="Arial"/>
          <w:b/>
        </w:rPr>
      </w:pPr>
    </w:p>
    <w:p w14:paraId="51C95315" w14:textId="6AB671FA"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Instrumento Derivado Futuro</w:t>
      </w:r>
      <w:r w:rsidRPr="00286308">
        <w:rPr>
          <w:rFonts w:ascii="Century Gothic" w:hAnsi="Century Gothic" w:cs="Arial"/>
        </w:rPr>
        <w:t>.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instrumentos derivados futuros (incluyendo, de manera enunciativa, m</w:t>
      </w:r>
      <w:r w:rsidR="007D2838">
        <w:rPr>
          <w:rFonts w:ascii="Century Gothic" w:hAnsi="Century Gothic" w:cs="Arial"/>
        </w:rPr>
        <w:t>a</w:t>
      </w:r>
      <w:r w:rsidRPr="00286308">
        <w:rPr>
          <w:rFonts w:ascii="Century Gothic" w:hAnsi="Century Gothic" w:cs="Arial"/>
        </w:rPr>
        <w:t xml:space="preserve">s no limitativa, SWAPS, CAPS, COLLARS, Forwards), hasta por la cantidad necesaria para cubrir el 100% (cien por ciento) del monto de los financiamientos a los cuales estén asociados, cuyo objeto sea pactar las condiciones financieras de ciertos instrumentos derivados cuyo fin sea cubrir la tasa de interés de los financiamientos de largo plazo que constituyen la deuda pública del Estado, una vez que los instrumentos derivados señalados en el numeral </w:t>
      </w:r>
      <w:r w:rsidRPr="00286308">
        <w:rPr>
          <w:rFonts w:ascii="Century Gothic" w:hAnsi="Century Gothic" w:cs="Arial"/>
        </w:rPr>
        <w:lastRenderedPageBreak/>
        <w:t>6.2 del presente artículo, terminen su vigencia conforme a los contratos que los instrumentan.</w:t>
      </w:r>
    </w:p>
    <w:p w14:paraId="338534DB" w14:textId="77777777" w:rsidR="00A0583F" w:rsidRPr="00286308" w:rsidRDefault="00A0583F" w:rsidP="009B7FD6">
      <w:pPr>
        <w:pStyle w:val="Textoindependiente"/>
        <w:spacing w:line="360" w:lineRule="auto"/>
        <w:ind w:left="567" w:right="-187"/>
        <w:rPr>
          <w:rFonts w:ascii="Century Gothic" w:hAnsi="Century Gothic" w:cs="Arial"/>
          <w:b/>
          <w:u w:val="single"/>
        </w:rPr>
      </w:pPr>
    </w:p>
    <w:p w14:paraId="18498270"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Fuente de Pago</w:t>
      </w:r>
      <w:r w:rsidRPr="00286308">
        <w:rPr>
          <w:rFonts w:ascii="Century Gothic" w:hAnsi="Century Gothic" w:cs="Arial"/>
        </w:rPr>
        <w:t xml:space="preserve">. Los instrumentos derivados que contrate el Estado al amparo de la presente autorización, tendrán como fuente de pago de todas y cada una de las obligaciones que deriven de los mismos, las participaciones federales, aportaciones federales y/o Ingresos locales del Estado que funjan como fuente de pago de los financiamientos a los que se encontrarán asociados. </w:t>
      </w:r>
    </w:p>
    <w:p w14:paraId="571DC419" w14:textId="77777777" w:rsidR="00A0583F" w:rsidRPr="00286308" w:rsidRDefault="00A0583F" w:rsidP="009B7FD6">
      <w:pPr>
        <w:pStyle w:val="Textoindependiente"/>
        <w:spacing w:line="360" w:lineRule="auto"/>
        <w:ind w:left="567" w:right="-187"/>
        <w:rPr>
          <w:rFonts w:ascii="Century Gothic" w:hAnsi="Century Gothic" w:cs="Arial"/>
          <w:b/>
          <w:u w:val="single"/>
        </w:rPr>
      </w:pPr>
    </w:p>
    <w:p w14:paraId="2BF8E2E0" w14:textId="2C79A6BA" w:rsidR="00A0583F" w:rsidRPr="00286308" w:rsidRDefault="00A0583F" w:rsidP="009B7FD6">
      <w:pPr>
        <w:pStyle w:val="Textoindependiente"/>
        <w:spacing w:line="360" w:lineRule="auto"/>
        <w:ind w:left="567" w:right="-187"/>
        <w:rPr>
          <w:rFonts w:ascii="Century Gothic" w:hAnsi="Century Gothic" w:cs="Arial"/>
          <w:b/>
        </w:rPr>
      </w:pPr>
      <w:r w:rsidRPr="00286308">
        <w:rPr>
          <w:rFonts w:ascii="Century Gothic" w:hAnsi="Century Gothic" w:cs="Arial"/>
        </w:rPr>
        <w:t>El Estado deberá realizar los actos suficientes y necesarios, incluyendo de manera enunciativa, m</w:t>
      </w:r>
      <w:r w:rsidR="007D2838">
        <w:rPr>
          <w:rFonts w:ascii="Century Gothic" w:hAnsi="Century Gothic" w:cs="Arial"/>
        </w:rPr>
        <w:t>a</w:t>
      </w:r>
      <w:r w:rsidRPr="00286308">
        <w:rPr>
          <w:rFonts w:ascii="Century Gothic" w:hAnsi="Century Gothic" w:cs="Arial"/>
        </w:rPr>
        <w:t>s no limitativa, instrucciones fiduciarias, la suscripción de contratos y/o convenios y/o cualesquier</w:t>
      </w:r>
      <w:r w:rsidR="008F4938">
        <w:rPr>
          <w:rFonts w:ascii="Century Gothic" w:hAnsi="Century Gothic" w:cs="Arial"/>
        </w:rPr>
        <w:t>a</w:t>
      </w:r>
      <w:r w:rsidRPr="00286308">
        <w:rPr>
          <w:rFonts w:ascii="Century Gothic" w:hAnsi="Century Gothic" w:cs="Arial"/>
        </w:rPr>
        <w:t xml:space="preserve"> otros documentos necesarios para efectos de que las fuentes de pago anteriormente referidas queden debidamente constituidas y/o perfeccionadas.</w:t>
      </w:r>
    </w:p>
    <w:p w14:paraId="06248585" w14:textId="77777777" w:rsidR="00A0583F" w:rsidRPr="00286308" w:rsidRDefault="00A0583F" w:rsidP="009B7FD6">
      <w:pPr>
        <w:pStyle w:val="Textoindependiente"/>
        <w:spacing w:line="360" w:lineRule="auto"/>
        <w:ind w:left="567" w:right="-187"/>
        <w:rPr>
          <w:rFonts w:ascii="Century Gothic" w:hAnsi="Century Gothic" w:cs="Arial"/>
          <w:b/>
        </w:rPr>
      </w:pPr>
    </w:p>
    <w:p w14:paraId="4222E023"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Plazo máximo de los Instrumentos Derivados</w:t>
      </w:r>
      <w:r w:rsidRPr="00286308">
        <w:rPr>
          <w:rFonts w:ascii="Century Gothic" w:hAnsi="Century Gothic" w:cs="Arial"/>
        </w:rPr>
        <w:t>. El o los instrumentos derivados que se contraten al amparo de la presente autorización tendrán la vigencia requerida de conformidad con los financiamientos principales a los cuales se encontrarán asociados.</w:t>
      </w:r>
    </w:p>
    <w:p w14:paraId="4EFD679F" w14:textId="77777777" w:rsidR="00A0583F" w:rsidRPr="00286308" w:rsidRDefault="00A0583F" w:rsidP="009B7FD6">
      <w:pPr>
        <w:pStyle w:val="Textoindependiente"/>
        <w:spacing w:line="360" w:lineRule="auto"/>
        <w:ind w:left="567" w:right="-187"/>
        <w:rPr>
          <w:rFonts w:ascii="Century Gothic" w:hAnsi="Century Gothic" w:cs="Arial"/>
          <w:b/>
        </w:rPr>
      </w:pPr>
    </w:p>
    <w:p w14:paraId="6A7D0E7C"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Plazo máximo de Contratación y vigencia de la autorización</w:t>
      </w:r>
      <w:r w:rsidRPr="00286308">
        <w:rPr>
          <w:rFonts w:ascii="Century Gothic" w:hAnsi="Century Gothic" w:cs="Arial"/>
        </w:rPr>
        <w:t xml:space="preserve">. Cada uno de los contratos a través de los cuales se implementen los instrumentos derivados autorizados al amparo del presente apartado deberán ser </w:t>
      </w:r>
      <w:r w:rsidRPr="00286308">
        <w:rPr>
          <w:rFonts w:ascii="Century Gothic" w:hAnsi="Century Gothic" w:cs="Arial"/>
        </w:rPr>
        <w:lastRenderedPageBreak/>
        <w:t>celebrados, a más tardar el 31 de diciembre de 2023. De igual forma el Estado, a través de la Secretaría, podrá ejercer la presente autorización hasta el 31 de diciembre de 2023.</w:t>
      </w:r>
    </w:p>
    <w:p w14:paraId="5AA18F13" w14:textId="77777777" w:rsidR="00A0583F" w:rsidRPr="00286308" w:rsidRDefault="00A0583F" w:rsidP="009B7FD6">
      <w:pPr>
        <w:pStyle w:val="Textoindependiente"/>
        <w:spacing w:line="360" w:lineRule="auto"/>
        <w:ind w:left="567" w:right="-187"/>
        <w:rPr>
          <w:rFonts w:ascii="Century Gothic" w:hAnsi="Century Gothic" w:cs="Arial"/>
          <w:b/>
        </w:rPr>
      </w:pPr>
    </w:p>
    <w:p w14:paraId="02FAB88D"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Proceso Competitivo</w:t>
      </w:r>
      <w:r w:rsidRPr="00286308">
        <w:rPr>
          <w:rFonts w:ascii="Century Gothic" w:hAnsi="Century Gothic" w:cs="Arial"/>
        </w:rPr>
        <w:t>. El contrato o contratos a través de los cuales se contraten los instrumentos derivados previamente referidos, deberán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14:paraId="6786BB3B" w14:textId="77777777" w:rsidR="00A0583F" w:rsidRPr="00286308" w:rsidRDefault="00A0583F" w:rsidP="00A53B1B">
      <w:pPr>
        <w:pStyle w:val="Prrafodelista"/>
        <w:spacing w:line="360" w:lineRule="auto"/>
        <w:rPr>
          <w:rFonts w:ascii="Century Gothic" w:hAnsi="Century Gothic" w:cs="Arial"/>
          <w:b/>
          <w:sz w:val="24"/>
          <w:szCs w:val="24"/>
        </w:rPr>
      </w:pPr>
    </w:p>
    <w:p w14:paraId="36C9C79D" w14:textId="77777777" w:rsidR="00A0583F" w:rsidRPr="00286308" w:rsidRDefault="00A0583F" w:rsidP="00A53B1B">
      <w:pPr>
        <w:pStyle w:val="Textoindependiente"/>
        <w:spacing w:line="360" w:lineRule="auto"/>
        <w:ind w:left="567" w:right="-187"/>
        <w:rPr>
          <w:rFonts w:ascii="Century Gothic" w:hAnsi="Century Gothic" w:cs="Arial"/>
          <w:b/>
        </w:rPr>
      </w:pPr>
      <w:r w:rsidRPr="00286308">
        <w:rPr>
          <w:rFonts w:ascii="Century Gothic" w:hAnsi="Century Gothic" w:cs="Arial"/>
        </w:rPr>
        <w:t>El Estado procurará que el proceso competitivo le permita recibir las mejores ofertas del mercado para cada instrumento derivado, por lo que en todo caso deberá considerar y diseñar los procesos competitivos de tal manera que pueda acceder a los esquemas, programas y/o productos bancarios que le permitan obtener las mejores condiciones financieras y legales en el mercado.</w:t>
      </w:r>
    </w:p>
    <w:p w14:paraId="75FBA235" w14:textId="77777777" w:rsidR="00A0583F" w:rsidRPr="00286308" w:rsidRDefault="00A0583F" w:rsidP="00A53B1B">
      <w:pPr>
        <w:pStyle w:val="Textoindependiente"/>
        <w:spacing w:line="360" w:lineRule="auto"/>
        <w:ind w:right="-187"/>
        <w:rPr>
          <w:rFonts w:ascii="Century Gothic" w:hAnsi="Century Gothic" w:cs="Arial"/>
          <w:bCs/>
        </w:rPr>
      </w:pPr>
    </w:p>
    <w:p w14:paraId="518AB2BB" w14:textId="77777777" w:rsidR="00A0583F" w:rsidRPr="00286308" w:rsidRDefault="00A0583F" w:rsidP="00A53B1B">
      <w:pPr>
        <w:pStyle w:val="Textoindependiente"/>
        <w:spacing w:line="360" w:lineRule="auto"/>
        <w:ind w:right="-187"/>
        <w:rPr>
          <w:rFonts w:ascii="Century Gothic" w:hAnsi="Century Gothic" w:cs="Arial"/>
          <w:b/>
          <w:u w:val="single"/>
        </w:rPr>
      </w:pPr>
      <w:r w:rsidRPr="00286308">
        <w:rPr>
          <w:rFonts w:ascii="Century Gothic" w:hAnsi="Century Gothic" w:cs="Arial"/>
          <w:b/>
        </w:rPr>
        <w:t>Artículo Séptimo.</w:t>
      </w:r>
      <w:r w:rsidRPr="00286308">
        <w:rPr>
          <w:rFonts w:ascii="Century Gothic" w:hAnsi="Century Gothic" w:cs="Arial"/>
          <w:bCs/>
        </w:rPr>
        <w:t xml:space="preserve"> </w:t>
      </w:r>
      <w:r w:rsidRPr="00286308">
        <w:rPr>
          <w:rFonts w:ascii="Century Gothic" w:hAnsi="Century Gothic" w:cs="Arial"/>
          <w:u w:val="single"/>
        </w:rPr>
        <w:t>Garantías de Pago Oportuno.</w:t>
      </w:r>
    </w:p>
    <w:p w14:paraId="50F783ED" w14:textId="77777777" w:rsidR="00A0583F" w:rsidRPr="00286308" w:rsidRDefault="00A0583F" w:rsidP="00A53B1B">
      <w:pPr>
        <w:pStyle w:val="Textoindependiente"/>
        <w:spacing w:line="360" w:lineRule="auto"/>
        <w:ind w:left="567" w:right="-187"/>
        <w:rPr>
          <w:rFonts w:ascii="Century Gothic" w:hAnsi="Century Gothic" w:cs="Arial"/>
          <w:b/>
        </w:rPr>
      </w:pPr>
    </w:p>
    <w:p w14:paraId="428D0CB0" w14:textId="77777777" w:rsidR="00A0583F" w:rsidRPr="00286308" w:rsidRDefault="00A0583F" w:rsidP="00FF6735">
      <w:pPr>
        <w:pStyle w:val="Prrafodelista"/>
        <w:numPr>
          <w:ilvl w:val="0"/>
          <w:numId w:val="8"/>
        </w:numPr>
        <w:spacing w:after="0" w:line="360" w:lineRule="auto"/>
        <w:ind w:right="-187"/>
        <w:contextualSpacing w:val="0"/>
        <w:jc w:val="both"/>
        <w:rPr>
          <w:rFonts w:ascii="Century Gothic" w:hAnsi="Century Gothic" w:cs="Arial"/>
          <w:vanish/>
          <w:sz w:val="24"/>
          <w:szCs w:val="24"/>
          <w:u w:val="single"/>
        </w:rPr>
      </w:pPr>
    </w:p>
    <w:p w14:paraId="382CA3DD" w14:textId="0A8C18DF"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lastRenderedPageBreak/>
        <w:t>Autorización</w:t>
      </w:r>
      <w:r w:rsidRPr="00286308">
        <w:rPr>
          <w:rFonts w:ascii="Century Gothic" w:hAnsi="Century Gothic" w:cs="Arial"/>
        </w:rPr>
        <w:t>.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w:t>
      </w:r>
      <w:r w:rsidR="008F4938">
        <w:rPr>
          <w:rFonts w:ascii="Century Gothic" w:hAnsi="Century Gothic" w:cs="Arial"/>
        </w:rPr>
        <w:t>,</w:t>
      </w:r>
      <w:r w:rsidRPr="00286308">
        <w:rPr>
          <w:rFonts w:ascii="Century Gothic" w:hAnsi="Century Gothic" w:cs="Arial"/>
        </w:rPr>
        <w:t xml:space="preserve">  varios</w:t>
      </w:r>
      <w:r w:rsidR="008F4938">
        <w:rPr>
          <w:rFonts w:ascii="Century Gothic" w:hAnsi="Century Gothic" w:cs="Arial"/>
        </w:rPr>
        <w:t>,</w:t>
      </w:r>
      <w:r w:rsidRPr="00286308">
        <w:rPr>
          <w:rFonts w:ascii="Century Gothic" w:hAnsi="Century Gothic" w:cs="Arial"/>
        </w:rPr>
        <w:t xml:space="preserve"> </w:t>
      </w:r>
      <w:r w:rsidR="008F4938">
        <w:rPr>
          <w:rFonts w:ascii="Century Gothic" w:hAnsi="Century Gothic" w:cs="Arial"/>
        </w:rPr>
        <w:t xml:space="preserve">o </w:t>
      </w:r>
      <w:r w:rsidRPr="00286308">
        <w:rPr>
          <w:rFonts w:ascii="Century Gothic" w:hAnsi="Century Gothic" w:cs="Arial"/>
        </w:rPr>
        <w:t>cualquier tipo o instrumento de garantías de pago oportuno o cualesquier</w:t>
      </w:r>
      <w:r w:rsidR="008F4938">
        <w:rPr>
          <w:rFonts w:ascii="Century Gothic" w:hAnsi="Century Gothic" w:cs="Arial"/>
        </w:rPr>
        <w:t>a</w:t>
      </w:r>
      <w:r w:rsidRPr="00286308">
        <w:rPr>
          <w:rFonts w:ascii="Century Gothic" w:hAnsi="Century Gothic" w:cs="Arial"/>
        </w:rPr>
        <w:t xml:space="preserve"> otros instrumentos o mecanismos de garantía de pago similares o de soporte crediticio, u operaciones similares, </w:t>
      </w:r>
      <w:r w:rsidRPr="00286308">
        <w:rPr>
          <w:rFonts w:ascii="Century Gothic" w:hAnsi="Century Gothic" w:cs="Arial"/>
          <w:bCs/>
        </w:rPr>
        <w:t>en favor de los acreedores de los financiamientos relacionados más adelante</w:t>
      </w:r>
      <w:r w:rsidRPr="00286308">
        <w:rPr>
          <w:rFonts w:ascii="Century Gothic" w:hAnsi="Century Gothic" w:cs="Arial"/>
        </w:rPr>
        <w:t xml:space="preserve"> </w:t>
      </w:r>
      <w:r w:rsidRPr="00286308">
        <w:rPr>
          <w:rFonts w:ascii="Century Gothic" w:hAnsi="Century Gothic" w:cs="Arial"/>
          <w:bCs/>
        </w:rPr>
        <w:t>y previamente contratados por el Estado</w:t>
      </w:r>
      <w:r w:rsidRPr="00286308">
        <w:rPr>
          <w:rFonts w:ascii="Century Gothic" w:hAnsi="Century Gothic" w:cs="Arial"/>
        </w:rPr>
        <w:t xml:space="preserve">, denominadas en pesos o en Unidades de Inversión, pagaderas en moneda nacional y dentro del territorio del país, en la inteligencia de que la vigencia de las Garantías de Pago será igual o menor al plazo de cada financiamiento y hasta por un monto máximo equivalente al 15% (Quince por ciento) del saldo insoluto de dichos financiamientos. </w:t>
      </w:r>
    </w:p>
    <w:p w14:paraId="1E6B7AB6" w14:textId="77777777" w:rsidR="00F347F0" w:rsidRDefault="00F347F0" w:rsidP="00A53B1B">
      <w:pPr>
        <w:pStyle w:val="Textoindependiente"/>
        <w:spacing w:line="360" w:lineRule="auto"/>
        <w:ind w:left="567" w:right="-187"/>
        <w:rPr>
          <w:rFonts w:ascii="Century Gothic" w:hAnsi="Century Gothic" w:cs="Arial"/>
        </w:rPr>
      </w:pPr>
    </w:p>
    <w:p w14:paraId="7998D490" w14:textId="7B58F2E7" w:rsidR="00A0583F" w:rsidRPr="00286308" w:rsidRDefault="00A0583F" w:rsidP="00A53B1B">
      <w:pPr>
        <w:pStyle w:val="Textoindependiente"/>
        <w:spacing w:line="360" w:lineRule="auto"/>
        <w:ind w:left="567" w:right="-187"/>
        <w:rPr>
          <w:rFonts w:ascii="Century Gothic" w:hAnsi="Century Gothic" w:cs="Arial"/>
        </w:rPr>
      </w:pPr>
      <w:r w:rsidRPr="00286308">
        <w:rPr>
          <w:rFonts w:ascii="Century Gothic" w:hAnsi="Century Gothic" w:cs="Arial"/>
        </w:rPr>
        <w:t xml:space="preserve">Las Garantías de Pago a ser contratadas conforme a la presente autorización, podrán tener como fuente de pago, de conformidad con lo previsto en el presente Decreto, los derechos (y los ingresos derivados de los mismos), de las fuentes de pago que les correspondan a los contratos principales a los que se encontrarán asociadas. En todo caso, las Garantías de Pago a contratarse se contratarán con objetivos específico de cobertura. </w:t>
      </w:r>
    </w:p>
    <w:p w14:paraId="7384D022" w14:textId="77777777" w:rsidR="00044FD8" w:rsidRPr="00286308" w:rsidRDefault="00044FD8" w:rsidP="00A53B1B">
      <w:pPr>
        <w:pStyle w:val="Textoindependiente"/>
        <w:spacing w:line="360" w:lineRule="auto"/>
        <w:ind w:left="567" w:right="-187"/>
        <w:rPr>
          <w:rFonts w:ascii="Century Gothic" w:hAnsi="Century Gothic" w:cs="Arial"/>
          <w:b/>
        </w:rPr>
      </w:pPr>
    </w:p>
    <w:p w14:paraId="0F7BD08A" w14:textId="6A3B2D0A"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lastRenderedPageBreak/>
        <w:t>Destino</w:t>
      </w:r>
      <w:r w:rsidRPr="00286308">
        <w:rPr>
          <w:rFonts w:ascii="Century Gothic" w:hAnsi="Century Gothic" w:cs="Arial"/>
        </w:rPr>
        <w:t>. Las Garantías de Pago que el Estado contrate al amparo de la presente autorización deberán ser destinadas a la cobertura de los siguientes financiamientos previamente contratados por el Estado:</w:t>
      </w:r>
    </w:p>
    <w:p w14:paraId="1BFBE4B9" w14:textId="77777777" w:rsidR="00A0583F" w:rsidRPr="00286308" w:rsidRDefault="00A0583F" w:rsidP="00A0583F">
      <w:pPr>
        <w:pStyle w:val="Textoindependiente"/>
        <w:ind w:left="1134" w:right="-187"/>
        <w:rPr>
          <w:rFonts w:ascii="Century Gothic" w:hAnsi="Century Gothic" w:cs="Arial"/>
          <w:b/>
          <w:sz w:val="20"/>
        </w:rPr>
      </w:pPr>
    </w:p>
    <w:tbl>
      <w:tblPr>
        <w:tblStyle w:val="Tablaconcuadrcula"/>
        <w:tblW w:w="8647" w:type="dxa"/>
        <w:tblInd w:w="279" w:type="dxa"/>
        <w:tblLook w:val="04A0" w:firstRow="1" w:lastRow="0" w:firstColumn="1" w:lastColumn="0" w:noHBand="0" w:noVBand="1"/>
      </w:tblPr>
      <w:tblGrid>
        <w:gridCol w:w="2267"/>
        <w:gridCol w:w="2269"/>
        <w:gridCol w:w="1984"/>
        <w:gridCol w:w="2127"/>
      </w:tblGrid>
      <w:tr w:rsidR="00286308" w:rsidRPr="00286308" w14:paraId="7A5C3E97" w14:textId="77777777" w:rsidTr="006B6C2B">
        <w:tc>
          <w:tcPr>
            <w:tcW w:w="2267" w:type="dxa"/>
          </w:tcPr>
          <w:p w14:paraId="29825597"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Financiamiento u Obligación principal</w:t>
            </w:r>
          </w:p>
        </w:tc>
        <w:tc>
          <w:tcPr>
            <w:tcW w:w="2269" w:type="dxa"/>
          </w:tcPr>
          <w:p w14:paraId="081A472B"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Saldo Insoluto del Financiamiento al 31 de octubre de 2022</w:t>
            </w:r>
          </w:p>
        </w:tc>
        <w:tc>
          <w:tcPr>
            <w:tcW w:w="1984" w:type="dxa"/>
          </w:tcPr>
          <w:p w14:paraId="7328F0C5"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Inscripción en el RPU</w:t>
            </w:r>
          </w:p>
        </w:tc>
        <w:tc>
          <w:tcPr>
            <w:tcW w:w="2127" w:type="dxa"/>
          </w:tcPr>
          <w:p w14:paraId="04A99F98"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Fecha de vencimiento del Financiamiento</w:t>
            </w:r>
          </w:p>
        </w:tc>
      </w:tr>
      <w:tr w:rsidR="00286308" w:rsidRPr="00286308" w14:paraId="6E6F8E13" w14:textId="77777777" w:rsidTr="006B6C2B">
        <w:trPr>
          <w:trHeight w:val="414"/>
        </w:trPr>
        <w:tc>
          <w:tcPr>
            <w:tcW w:w="2267" w:type="dxa"/>
          </w:tcPr>
          <w:p w14:paraId="3FDA25C9"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Bajío 1,500 MDP</w:t>
            </w:r>
          </w:p>
        </w:tc>
        <w:tc>
          <w:tcPr>
            <w:tcW w:w="2269" w:type="dxa"/>
          </w:tcPr>
          <w:p w14:paraId="2EE85E79"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$1,486,340,155.47</w:t>
            </w:r>
          </w:p>
        </w:tc>
        <w:tc>
          <w:tcPr>
            <w:tcW w:w="1984" w:type="dxa"/>
          </w:tcPr>
          <w:p w14:paraId="237D0241"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P08-0819031</w:t>
            </w:r>
          </w:p>
        </w:tc>
        <w:tc>
          <w:tcPr>
            <w:tcW w:w="2127" w:type="dxa"/>
          </w:tcPr>
          <w:p w14:paraId="0DCC373B"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28/06/2039</w:t>
            </w:r>
          </w:p>
        </w:tc>
      </w:tr>
      <w:tr w:rsidR="00286308" w:rsidRPr="00286308" w14:paraId="0526D6B8" w14:textId="77777777" w:rsidTr="006B6C2B">
        <w:trPr>
          <w:trHeight w:val="414"/>
        </w:trPr>
        <w:tc>
          <w:tcPr>
            <w:tcW w:w="2267" w:type="dxa"/>
          </w:tcPr>
          <w:p w14:paraId="48AA5F38"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Multiva 1,185 MDP</w:t>
            </w:r>
          </w:p>
        </w:tc>
        <w:tc>
          <w:tcPr>
            <w:tcW w:w="2269" w:type="dxa"/>
          </w:tcPr>
          <w:p w14:paraId="4B13CBF9"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$1,174,725,197.41</w:t>
            </w:r>
          </w:p>
        </w:tc>
        <w:tc>
          <w:tcPr>
            <w:tcW w:w="1984" w:type="dxa"/>
          </w:tcPr>
          <w:p w14:paraId="5184E71F"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P08-0919040</w:t>
            </w:r>
          </w:p>
        </w:tc>
        <w:tc>
          <w:tcPr>
            <w:tcW w:w="2127" w:type="dxa"/>
          </w:tcPr>
          <w:p w14:paraId="72A37E07"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28/06/2039</w:t>
            </w:r>
          </w:p>
        </w:tc>
      </w:tr>
      <w:tr w:rsidR="00286308" w:rsidRPr="00286308" w14:paraId="5F0F2DDE" w14:textId="77777777" w:rsidTr="006B6C2B">
        <w:trPr>
          <w:trHeight w:val="414"/>
        </w:trPr>
        <w:tc>
          <w:tcPr>
            <w:tcW w:w="2267" w:type="dxa"/>
          </w:tcPr>
          <w:p w14:paraId="3E081434"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HSBC 500 MDP</w:t>
            </w:r>
          </w:p>
        </w:tc>
        <w:tc>
          <w:tcPr>
            <w:tcW w:w="2269" w:type="dxa"/>
          </w:tcPr>
          <w:p w14:paraId="56FBF40B"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$489,351,480.61</w:t>
            </w:r>
          </w:p>
        </w:tc>
        <w:tc>
          <w:tcPr>
            <w:tcW w:w="1984" w:type="dxa"/>
          </w:tcPr>
          <w:p w14:paraId="1ACE2C14"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P08-0919042</w:t>
            </w:r>
          </w:p>
        </w:tc>
        <w:tc>
          <w:tcPr>
            <w:tcW w:w="2127" w:type="dxa"/>
          </w:tcPr>
          <w:p w14:paraId="727DCC2F"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28/08/2039</w:t>
            </w:r>
          </w:p>
        </w:tc>
      </w:tr>
      <w:tr w:rsidR="00286308" w:rsidRPr="00286308" w14:paraId="22454CDF" w14:textId="77777777" w:rsidTr="006B6C2B">
        <w:trPr>
          <w:trHeight w:val="414"/>
        </w:trPr>
        <w:tc>
          <w:tcPr>
            <w:tcW w:w="2267" w:type="dxa"/>
          </w:tcPr>
          <w:p w14:paraId="645F9528"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Banorte 3,397 MDP</w:t>
            </w:r>
          </w:p>
        </w:tc>
        <w:tc>
          <w:tcPr>
            <w:tcW w:w="2269" w:type="dxa"/>
          </w:tcPr>
          <w:p w14:paraId="41EA14DF"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$3,371,645,553.55</w:t>
            </w:r>
          </w:p>
        </w:tc>
        <w:tc>
          <w:tcPr>
            <w:tcW w:w="1984" w:type="dxa"/>
          </w:tcPr>
          <w:p w14:paraId="4C2F73B8"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P08-1219063</w:t>
            </w:r>
          </w:p>
        </w:tc>
        <w:tc>
          <w:tcPr>
            <w:tcW w:w="2127" w:type="dxa"/>
          </w:tcPr>
          <w:p w14:paraId="53774956"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26/11/2039</w:t>
            </w:r>
          </w:p>
        </w:tc>
      </w:tr>
      <w:tr w:rsidR="00286308" w:rsidRPr="00286308" w14:paraId="6CCD310C" w14:textId="77777777" w:rsidTr="006B6C2B">
        <w:trPr>
          <w:trHeight w:val="414"/>
        </w:trPr>
        <w:tc>
          <w:tcPr>
            <w:tcW w:w="2267" w:type="dxa"/>
          </w:tcPr>
          <w:p w14:paraId="57A2DEAD"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Bajío 500 MDP</w:t>
            </w:r>
          </w:p>
        </w:tc>
        <w:tc>
          <w:tcPr>
            <w:tcW w:w="2269" w:type="dxa"/>
          </w:tcPr>
          <w:p w14:paraId="1E45809F"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$492,593,743.11</w:t>
            </w:r>
          </w:p>
        </w:tc>
        <w:tc>
          <w:tcPr>
            <w:tcW w:w="1984" w:type="dxa"/>
          </w:tcPr>
          <w:p w14:paraId="6B640B35"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P08-1219064</w:t>
            </w:r>
          </w:p>
        </w:tc>
        <w:tc>
          <w:tcPr>
            <w:tcW w:w="2127" w:type="dxa"/>
          </w:tcPr>
          <w:p w14:paraId="780ED9FA"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15/11/2039</w:t>
            </w:r>
          </w:p>
        </w:tc>
      </w:tr>
      <w:tr w:rsidR="00286308" w:rsidRPr="00286308" w14:paraId="4772CFD0" w14:textId="77777777" w:rsidTr="006B6C2B">
        <w:trPr>
          <w:trHeight w:val="414"/>
        </w:trPr>
        <w:tc>
          <w:tcPr>
            <w:tcW w:w="2267" w:type="dxa"/>
          </w:tcPr>
          <w:p w14:paraId="16DF827D"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Bajío 250 MDP</w:t>
            </w:r>
          </w:p>
        </w:tc>
        <w:tc>
          <w:tcPr>
            <w:tcW w:w="2269" w:type="dxa"/>
          </w:tcPr>
          <w:p w14:paraId="179DA2E5"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$248,217,500.00</w:t>
            </w:r>
          </w:p>
        </w:tc>
        <w:tc>
          <w:tcPr>
            <w:tcW w:w="1984" w:type="dxa"/>
          </w:tcPr>
          <w:p w14:paraId="157EE87C"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P08-1219065</w:t>
            </w:r>
          </w:p>
        </w:tc>
        <w:tc>
          <w:tcPr>
            <w:tcW w:w="2127" w:type="dxa"/>
          </w:tcPr>
          <w:p w14:paraId="40A9A6DA"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15/11/2039</w:t>
            </w:r>
          </w:p>
        </w:tc>
      </w:tr>
      <w:tr w:rsidR="00286308" w:rsidRPr="00286308" w14:paraId="6594B35C" w14:textId="77777777" w:rsidTr="006B6C2B">
        <w:trPr>
          <w:trHeight w:val="414"/>
        </w:trPr>
        <w:tc>
          <w:tcPr>
            <w:tcW w:w="2267" w:type="dxa"/>
          </w:tcPr>
          <w:p w14:paraId="1A9B3781"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BBVA 1,000 MDP</w:t>
            </w:r>
          </w:p>
        </w:tc>
        <w:tc>
          <w:tcPr>
            <w:tcW w:w="2269" w:type="dxa"/>
          </w:tcPr>
          <w:p w14:paraId="4FAD1AA4"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$992,870,000.00</w:t>
            </w:r>
          </w:p>
        </w:tc>
        <w:tc>
          <w:tcPr>
            <w:tcW w:w="1984" w:type="dxa"/>
          </w:tcPr>
          <w:p w14:paraId="3EE3EA0F"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P08-1219066</w:t>
            </w:r>
          </w:p>
        </w:tc>
        <w:tc>
          <w:tcPr>
            <w:tcW w:w="2127" w:type="dxa"/>
          </w:tcPr>
          <w:p w14:paraId="48970B2E"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22/11/2039</w:t>
            </w:r>
          </w:p>
        </w:tc>
      </w:tr>
      <w:tr w:rsidR="00A0583F" w:rsidRPr="00286308" w14:paraId="4FC57143" w14:textId="77777777" w:rsidTr="006B6C2B">
        <w:trPr>
          <w:trHeight w:val="414"/>
        </w:trPr>
        <w:tc>
          <w:tcPr>
            <w:tcW w:w="2267" w:type="dxa"/>
          </w:tcPr>
          <w:p w14:paraId="14B1AD7C"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BBVA 830 MDP</w:t>
            </w:r>
          </w:p>
        </w:tc>
        <w:tc>
          <w:tcPr>
            <w:tcW w:w="2269" w:type="dxa"/>
          </w:tcPr>
          <w:p w14:paraId="7F593872"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$372,407,933.27</w:t>
            </w:r>
          </w:p>
        </w:tc>
        <w:tc>
          <w:tcPr>
            <w:tcW w:w="1984" w:type="dxa"/>
          </w:tcPr>
          <w:p w14:paraId="1CD77BC8"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P08-1219067</w:t>
            </w:r>
          </w:p>
        </w:tc>
        <w:tc>
          <w:tcPr>
            <w:tcW w:w="2127" w:type="dxa"/>
          </w:tcPr>
          <w:p w14:paraId="11B45FA1" w14:textId="77777777" w:rsidR="00A0583F" w:rsidRPr="00286308" w:rsidRDefault="00A0583F" w:rsidP="00B63CEC">
            <w:pPr>
              <w:jc w:val="center"/>
              <w:rPr>
                <w:rFonts w:ascii="Century Gothic" w:hAnsi="Century Gothic" w:cs="Arial"/>
                <w:sz w:val="20"/>
                <w:szCs w:val="20"/>
              </w:rPr>
            </w:pPr>
            <w:r w:rsidRPr="00286308">
              <w:rPr>
                <w:rFonts w:ascii="Century Gothic" w:hAnsi="Century Gothic" w:cs="Arial"/>
                <w:sz w:val="20"/>
                <w:szCs w:val="20"/>
              </w:rPr>
              <w:t>22/11/2039</w:t>
            </w:r>
          </w:p>
        </w:tc>
      </w:tr>
    </w:tbl>
    <w:p w14:paraId="564FFC9E" w14:textId="77777777" w:rsidR="008917EA" w:rsidRPr="00286308" w:rsidRDefault="008917EA" w:rsidP="008917EA">
      <w:pPr>
        <w:pStyle w:val="Textoindependiente"/>
        <w:spacing w:line="360" w:lineRule="auto"/>
        <w:ind w:left="567" w:right="-187"/>
        <w:rPr>
          <w:rFonts w:ascii="Century Gothic" w:hAnsi="Century Gothic" w:cs="Arial"/>
          <w:b/>
        </w:rPr>
      </w:pPr>
    </w:p>
    <w:p w14:paraId="10CE5F6F" w14:textId="31DBBF8B"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Fuente de Pago</w:t>
      </w:r>
      <w:r w:rsidRPr="00286308">
        <w:rPr>
          <w:rFonts w:ascii="Century Gothic" w:hAnsi="Century Gothic" w:cs="Arial"/>
        </w:rPr>
        <w:t xml:space="preserve">. Las Garantías de Pago a ser contratadas conforme a la presente autorización, podrán tener como fuente de pago, de conformidad con lo previsto en el presente Decreto, los derechos (y los ingresos derivados de los mismos), de las fuentes de pago que les correspondan a los contratos principales a los que se encontrarán asociadas.  </w:t>
      </w:r>
    </w:p>
    <w:p w14:paraId="582FDD98" w14:textId="77777777" w:rsidR="00A0583F" w:rsidRPr="00286308" w:rsidRDefault="00A0583F" w:rsidP="005F3E1E">
      <w:pPr>
        <w:pStyle w:val="Textoindependiente"/>
        <w:spacing w:line="360" w:lineRule="auto"/>
        <w:ind w:left="567" w:right="-187"/>
        <w:rPr>
          <w:rFonts w:ascii="Century Gothic" w:hAnsi="Century Gothic" w:cs="Arial"/>
          <w:b/>
          <w:u w:val="single"/>
        </w:rPr>
      </w:pPr>
    </w:p>
    <w:p w14:paraId="3F54F9DE" w14:textId="0390A8DB"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El Estado deberá realizar los actos suficientes y necesarios, incluyendo de manera enunciativa, m</w:t>
      </w:r>
      <w:r w:rsidR="003225D4">
        <w:rPr>
          <w:rFonts w:ascii="Century Gothic" w:hAnsi="Century Gothic" w:cs="Arial"/>
        </w:rPr>
        <w:t>a</w:t>
      </w:r>
      <w:r w:rsidRPr="00286308">
        <w:rPr>
          <w:rFonts w:ascii="Century Gothic" w:hAnsi="Century Gothic" w:cs="Arial"/>
        </w:rPr>
        <w:t xml:space="preserve">s no limitativa, instrucciones fiduciarias, la </w:t>
      </w:r>
      <w:r w:rsidRPr="00286308">
        <w:rPr>
          <w:rFonts w:ascii="Century Gothic" w:hAnsi="Century Gothic" w:cs="Arial"/>
        </w:rPr>
        <w:lastRenderedPageBreak/>
        <w:t>suscripción de contratos y/o convenios y/o cualesquier</w:t>
      </w:r>
      <w:r w:rsidR="003225D4">
        <w:rPr>
          <w:rFonts w:ascii="Century Gothic" w:hAnsi="Century Gothic" w:cs="Arial"/>
        </w:rPr>
        <w:t>a</w:t>
      </w:r>
      <w:r w:rsidRPr="00286308">
        <w:rPr>
          <w:rFonts w:ascii="Century Gothic" w:hAnsi="Century Gothic" w:cs="Arial"/>
        </w:rPr>
        <w:t xml:space="preserve"> otros documentos necesarios para efectos de que las garantías y/o fuentes de pago anteriormente referidas queden debidamente constituidas y/o perfeccionadas.</w:t>
      </w:r>
    </w:p>
    <w:p w14:paraId="3A0297D6" w14:textId="77777777" w:rsidR="00A0583F" w:rsidRPr="00286308" w:rsidRDefault="00A0583F" w:rsidP="005F3E1E">
      <w:pPr>
        <w:pStyle w:val="Textoindependiente"/>
        <w:spacing w:line="360" w:lineRule="auto"/>
        <w:ind w:left="567" w:right="-187"/>
        <w:rPr>
          <w:rFonts w:ascii="Century Gothic" w:hAnsi="Century Gothic" w:cs="Arial"/>
          <w:b/>
        </w:rPr>
      </w:pPr>
    </w:p>
    <w:p w14:paraId="1087AC96"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Plazo máximo de las Garantías de Pago</w:t>
      </w:r>
      <w:r w:rsidRPr="00286308">
        <w:rPr>
          <w:rFonts w:ascii="Century Gothic" w:hAnsi="Century Gothic" w:cs="Arial"/>
        </w:rPr>
        <w:t>. El o las Garantías de Pago que se contraten al amparo de la presente autorización tendrán una vigencia de hasta 60 (sesenta) meses adicionales a la vigencia de los financiamientos principales a los cuales se encontrarán asociadas.</w:t>
      </w:r>
    </w:p>
    <w:p w14:paraId="3FF4A0AD" w14:textId="77777777" w:rsidR="00A0583F" w:rsidRPr="00286308" w:rsidRDefault="00A0583F" w:rsidP="005F3E1E">
      <w:pPr>
        <w:pStyle w:val="Textoindependiente"/>
        <w:spacing w:line="360" w:lineRule="auto"/>
        <w:ind w:left="567" w:right="-187"/>
        <w:rPr>
          <w:rFonts w:ascii="Century Gothic" w:hAnsi="Century Gothic" w:cs="Arial"/>
          <w:b/>
        </w:rPr>
      </w:pPr>
    </w:p>
    <w:p w14:paraId="26C4F0CE"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Plazo máximo de Contratación y vigencia de la autorización</w:t>
      </w:r>
      <w:r w:rsidRPr="00286308">
        <w:rPr>
          <w:rFonts w:ascii="Century Gothic" w:hAnsi="Century Gothic" w:cs="Arial"/>
        </w:rPr>
        <w:t>. Cada uno de los contratos a través de los cuales se implementen las Garantías de Pago autorizadas al amparo del presente apartado deberán ser celebrados, a más tardar el 31 de diciembre de 2023. De igual forma el Estado, a través de la Secretaría, podrá ejercer la presente autorización hasta el 31 de diciembre de 2023.</w:t>
      </w:r>
    </w:p>
    <w:p w14:paraId="6C56CE26" w14:textId="77777777" w:rsidR="00A0583F" w:rsidRPr="00286308" w:rsidRDefault="00A0583F" w:rsidP="005F3E1E">
      <w:pPr>
        <w:pStyle w:val="Textoindependiente"/>
        <w:spacing w:line="360" w:lineRule="auto"/>
        <w:ind w:left="567" w:right="-187"/>
        <w:rPr>
          <w:rFonts w:ascii="Century Gothic" w:hAnsi="Century Gothic" w:cs="Arial"/>
          <w:b/>
        </w:rPr>
      </w:pPr>
    </w:p>
    <w:p w14:paraId="592F744D"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Proceso Competitivo</w:t>
      </w:r>
      <w:r w:rsidRPr="00286308">
        <w:rPr>
          <w:rFonts w:ascii="Century Gothic" w:hAnsi="Century Gothic" w:cs="Arial"/>
        </w:rPr>
        <w:t xml:space="preserve">. El contrato o contratos a través de los cuales se contraten los Garantías de Pago previamente referidos, deberán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w:t>
      </w:r>
      <w:r w:rsidRPr="00286308">
        <w:rPr>
          <w:rFonts w:ascii="Century Gothic" w:hAnsi="Century Gothic" w:cs="Arial"/>
        </w:rPr>
        <w:lastRenderedPageBreak/>
        <w:t>Obligaciones a Contratar por parte de las Entidades Federativas, los Municipios y sus Entes Públicos”.</w:t>
      </w:r>
    </w:p>
    <w:p w14:paraId="0C8D886A" w14:textId="77777777" w:rsidR="00A0583F" w:rsidRPr="00286308" w:rsidRDefault="00A0583F" w:rsidP="005F3E1E">
      <w:pPr>
        <w:pStyle w:val="Prrafodelista"/>
        <w:spacing w:line="360" w:lineRule="auto"/>
        <w:rPr>
          <w:rFonts w:ascii="Century Gothic" w:hAnsi="Century Gothic" w:cs="Arial"/>
          <w:b/>
          <w:sz w:val="24"/>
          <w:szCs w:val="24"/>
        </w:rPr>
      </w:pPr>
    </w:p>
    <w:p w14:paraId="2CB70734" w14:textId="0B7CD427"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El Estado procurará que el proceso competitivo le permita recibir las mejores ofertas del mercado para cada Garantías de Pago, por lo que en todo caso deberá considerar y diseñar los procesos competitivos</w:t>
      </w:r>
      <w:r w:rsidR="00D93878">
        <w:rPr>
          <w:rFonts w:ascii="Century Gothic" w:hAnsi="Century Gothic" w:cs="Arial"/>
        </w:rPr>
        <w:t>,</w:t>
      </w:r>
      <w:r w:rsidRPr="00286308">
        <w:rPr>
          <w:rFonts w:ascii="Century Gothic" w:hAnsi="Century Gothic" w:cs="Arial"/>
        </w:rPr>
        <w:t xml:space="preserve"> de tal manera que pueda acceder a los esquemas, programas y/o productos bancarios que le permitan obtener las mejores condiciones financieras y legales en el mercado.</w:t>
      </w:r>
    </w:p>
    <w:p w14:paraId="049C0E51" w14:textId="77777777" w:rsidR="00A0583F" w:rsidRPr="00286308" w:rsidRDefault="00A0583F" w:rsidP="005F3E1E">
      <w:pPr>
        <w:pStyle w:val="Textoindependiente"/>
        <w:spacing w:line="360" w:lineRule="auto"/>
        <w:ind w:right="-187"/>
        <w:rPr>
          <w:rFonts w:ascii="Century Gothic" w:hAnsi="Century Gothic" w:cs="Arial"/>
          <w:bCs/>
        </w:rPr>
      </w:pPr>
    </w:p>
    <w:p w14:paraId="71DDE448" w14:textId="77777777" w:rsidR="00A0583F" w:rsidRPr="00286308" w:rsidRDefault="00A0583F" w:rsidP="005F3E1E">
      <w:pPr>
        <w:pStyle w:val="Textoindependiente"/>
        <w:spacing w:line="360" w:lineRule="auto"/>
        <w:ind w:right="-187"/>
        <w:rPr>
          <w:rFonts w:ascii="Century Gothic" w:hAnsi="Century Gothic" w:cs="Arial"/>
          <w:b/>
        </w:rPr>
      </w:pPr>
      <w:r w:rsidRPr="00286308">
        <w:rPr>
          <w:rFonts w:ascii="Century Gothic" w:hAnsi="Century Gothic" w:cs="Arial"/>
          <w:b/>
        </w:rPr>
        <w:t>Artículo Octavo.</w:t>
      </w:r>
      <w:r w:rsidRPr="00286308">
        <w:rPr>
          <w:rFonts w:ascii="Century Gothic" w:hAnsi="Century Gothic" w:cs="Arial"/>
        </w:rPr>
        <w:t xml:space="preserve"> </w:t>
      </w:r>
      <w:r w:rsidRPr="00286308">
        <w:rPr>
          <w:rFonts w:ascii="Century Gothic" w:hAnsi="Century Gothic" w:cs="Arial"/>
          <w:u w:val="single"/>
        </w:rPr>
        <w:t>Refinanciamiento Comisión de Vivienda</w:t>
      </w:r>
      <w:r w:rsidRPr="00286308">
        <w:rPr>
          <w:rFonts w:ascii="Century Gothic" w:hAnsi="Century Gothic" w:cs="Arial"/>
        </w:rPr>
        <w:t xml:space="preserve">. </w:t>
      </w:r>
    </w:p>
    <w:p w14:paraId="688B9A76" w14:textId="77777777" w:rsidR="00A0583F" w:rsidRPr="00286308" w:rsidRDefault="00A0583F" w:rsidP="005F3E1E">
      <w:pPr>
        <w:pStyle w:val="Textoindependiente"/>
        <w:spacing w:line="360" w:lineRule="auto"/>
        <w:ind w:right="-187"/>
        <w:rPr>
          <w:rFonts w:ascii="Century Gothic" w:hAnsi="Century Gothic" w:cs="Arial"/>
          <w:b/>
        </w:rPr>
      </w:pPr>
    </w:p>
    <w:p w14:paraId="4EB187E5" w14:textId="77777777" w:rsidR="00A0583F" w:rsidRPr="00286308" w:rsidRDefault="00A0583F" w:rsidP="00FF6735">
      <w:pPr>
        <w:pStyle w:val="Prrafodelista"/>
        <w:numPr>
          <w:ilvl w:val="0"/>
          <w:numId w:val="8"/>
        </w:numPr>
        <w:spacing w:after="0" w:line="360" w:lineRule="auto"/>
        <w:ind w:right="-187"/>
        <w:contextualSpacing w:val="0"/>
        <w:jc w:val="both"/>
        <w:rPr>
          <w:rFonts w:ascii="Century Gothic" w:hAnsi="Century Gothic" w:cs="Arial"/>
          <w:vanish/>
          <w:sz w:val="24"/>
          <w:szCs w:val="24"/>
          <w:u w:val="single"/>
        </w:rPr>
      </w:pPr>
    </w:p>
    <w:p w14:paraId="0BB72CAB"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Autorización</w:t>
      </w:r>
      <w:r w:rsidRPr="00286308">
        <w:rPr>
          <w:rFonts w:ascii="Century Gothic" w:hAnsi="Century Gothic" w:cs="Arial"/>
        </w:rPr>
        <w:t>. Se autoriza a la Comisión Estatal de Vivienda, Suelo e Infraestructura de Chihuahua, anteriormente el Instituto de la Vivienda del Estado de Chihuahua (la “</w:t>
      </w:r>
      <w:r w:rsidRPr="00286308">
        <w:rPr>
          <w:rFonts w:ascii="Century Gothic" w:hAnsi="Century Gothic" w:cs="Arial"/>
          <w:u w:val="single"/>
        </w:rPr>
        <w:t>Comisión</w:t>
      </w:r>
      <w:r w:rsidRPr="00286308">
        <w:rPr>
          <w:rFonts w:ascii="Century Gothic" w:hAnsi="Century Gothic" w:cs="Arial"/>
        </w:rPr>
        <w:t>”), para que por conducto de los funcionarios que resulten facultados en términos de la legislación aplicable,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$200’065,384.98 (Doscientos  millones sesenta y cinco mil trescientos ochenta y cuatro pesos 98/100 M.N.)</w:t>
      </w:r>
      <w:r w:rsidRPr="00286308" w:rsidDel="00282C60">
        <w:rPr>
          <w:rFonts w:ascii="Century Gothic" w:hAnsi="Century Gothic" w:cs="Arial"/>
        </w:rPr>
        <w:t xml:space="preserve"> </w:t>
      </w:r>
      <w:r w:rsidRPr="00286308">
        <w:rPr>
          <w:rFonts w:ascii="Century Gothic" w:hAnsi="Century Gothic" w:cs="Arial"/>
        </w:rPr>
        <w:t xml:space="preserve">más los recursos necesarios para cubrir los costos y gastos relacionados con su implementación y más </w:t>
      </w:r>
      <w:r w:rsidRPr="00286308">
        <w:rPr>
          <w:rFonts w:ascii="Century Gothic" w:hAnsi="Century Gothic" w:cs="Arial"/>
        </w:rPr>
        <w:lastRenderedPageBreak/>
        <w:t>fondos de reserva, de conformidad con lo previsto más adelante en la presente autorización (el “</w:t>
      </w:r>
      <w:r w:rsidRPr="00286308">
        <w:rPr>
          <w:rFonts w:ascii="Century Gothic" w:hAnsi="Century Gothic" w:cs="Arial"/>
          <w:u w:val="single"/>
        </w:rPr>
        <w:t>Financiamiento COESVI</w:t>
      </w:r>
      <w:r w:rsidRPr="00286308">
        <w:rPr>
          <w:rFonts w:ascii="Century Gothic" w:hAnsi="Century Gothic" w:cs="Arial"/>
        </w:rPr>
        <w:t>”), mismo que, de conformidad con lo previsto en el presente Decreto, podrá tener como fuente de pago, un porcentaje suficiente de los ingresos provenientes de la enajenación inmobiliaria que realiza dicha Comisión, a través de los programas descritos más adelante.</w:t>
      </w:r>
    </w:p>
    <w:p w14:paraId="0D3952BF" w14:textId="77777777" w:rsidR="00A0583F" w:rsidRPr="00286308" w:rsidRDefault="00A0583F" w:rsidP="005F3E1E">
      <w:pPr>
        <w:pStyle w:val="Textoindependiente"/>
        <w:spacing w:line="360" w:lineRule="auto"/>
        <w:ind w:left="567" w:right="-187"/>
        <w:rPr>
          <w:rFonts w:ascii="Century Gothic" w:hAnsi="Century Gothic" w:cs="Arial"/>
          <w:b/>
          <w:u w:val="single"/>
        </w:rPr>
      </w:pPr>
    </w:p>
    <w:p w14:paraId="6B282CD2" w14:textId="77777777"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El importe del Financiamiento COESVI no comprende intereses, comisiones, ni demás accesorios financieros y legales que deriven del mismo.</w:t>
      </w:r>
    </w:p>
    <w:p w14:paraId="7F4C6068" w14:textId="77777777" w:rsidR="00A0583F" w:rsidRPr="00286308" w:rsidRDefault="00A0583F" w:rsidP="005F3E1E">
      <w:pPr>
        <w:pStyle w:val="Textoindependiente"/>
        <w:spacing w:line="360" w:lineRule="auto"/>
        <w:ind w:left="567" w:right="-187"/>
        <w:rPr>
          <w:rFonts w:ascii="Century Gothic" w:hAnsi="Century Gothic" w:cs="Arial"/>
          <w:b/>
        </w:rPr>
      </w:pPr>
    </w:p>
    <w:p w14:paraId="301B7A2E" w14:textId="77777777"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La autorización anterior se otorga previo análisis de la capacidad de pago de la Comisión, el destino de los recursos derivados del Financiamiento COESVI y los recursos que fungirán como fuente de pago de los contratos a través de los cuales se implemente dicho Financiamiento COESVI.</w:t>
      </w:r>
    </w:p>
    <w:p w14:paraId="292B0F0E" w14:textId="77777777" w:rsidR="00A0583F" w:rsidRPr="00286308" w:rsidRDefault="00A0583F" w:rsidP="005F3E1E">
      <w:pPr>
        <w:pStyle w:val="Textoindependiente"/>
        <w:spacing w:line="360" w:lineRule="auto"/>
        <w:ind w:left="567" w:right="-187"/>
        <w:rPr>
          <w:rFonts w:ascii="Century Gothic" w:hAnsi="Century Gothic" w:cs="Arial"/>
          <w:b/>
          <w:u w:val="single"/>
        </w:rPr>
      </w:pPr>
    </w:p>
    <w:p w14:paraId="73ED457A"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Obligación Solidaria</w:t>
      </w:r>
      <w:r w:rsidRPr="00286308">
        <w:rPr>
          <w:rFonts w:ascii="Century Gothic" w:hAnsi="Century Gothic" w:cs="Arial"/>
        </w:rPr>
        <w:t>. Asimismo, se autoriza al Estado para que, a través de la Secretaría de Hacienda: (i) se constituya como obligado solidario y/o Aval de las obligaciones a cargo de la Comisión derivadas de los contratos a través de los cuales se implemente el Financiamiento COESVI, y (</w:t>
      </w:r>
      <w:proofErr w:type="spellStart"/>
      <w:r w:rsidRPr="00286308">
        <w:rPr>
          <w:rFonts w:ascii="Century Gothic" w:hAnsi="Century Gothic" w:cs="Arial"/>
        </w:rPr>
        <w:t>ii</w:t>
      </w:r>
      <w:proofErr w:type="spellEnd"/>
      <w:r w:rsidRPr="00286308">
        <w:rPr>
          <w:rFonts w:ascii="Century Gothic" w:hAnsi="Century Gothic" w:cs="Arial"/>
        </w:rPr>
        <w:t xml:space="preserve">) afecte como fuente alterna de pago de las obligaciones a cargo de la Comisión derivadas de la implementación del Financiamiento COESVI, según dichos términos y condiciones se describen más adelante, un porcentaje suficiente de los derechos, e ingresos derivados de los </w:t>
      </w:r>
      <w:r w:rsidRPr="00286308">
        <w:rPr>
          <w:rFonts w:ascii="Century Gothic" w:hAnsi="Century Gothic" w:cs="Arial"/>
        </w:rPr>
        <w:lastRenderedPageBreak/>
        <w:t>mismos, que le corresponden al Estado del Fondo General de Participaciones referido en la Ley de Coordinación Fiscal de conformidad con lo previsto más adelante.</w:t>
      </w:r>
    </w:p>
    <w:p w14:paraId="708F5EC4" w14:textId="77777777" w:rsidR="00A0583F" w:rsidRPr="00286308" w:rsidRDefault="00A0583F" w:rsidP="005F3E1E">
      <w:pPr>
        <w:pStyle w:val="Textoindependiente"/>
        <w:spacing w:line="360" w:lineRule="auto"/>
        <w:ind w:left="360" w:right="-187"/>
        <w:rPr>
          <w:rFonts w:ascii="Century Gothic" w:hAnsi="Century Gothic" w:cs="Arial"/>
          <w:b/>
        </w:rPr>
      </w:pPr>
    </w:p>
    <w:p w14:paraId="47337260" w14:textId="77777777"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La autorización anterior se otorga previo análisis de la capacidad de pago del Estado, el destino de los recursos derivados del Financiamiento COESVI y los recursos que fungirán como fuente de pago de los contratos a través de los cuales se implemente dicho Financiamiento COESVI.</w:t>
      </w:r>
    </w:p>
    <w:p w14:paraId="1BB79961" w14:textId="77777777" w:rsidR="00A0583F" w:rsidRPr="00286308" w:rsidRDefault="00A0583F" w:rsidP="005F3E1E">
      <w:pPr>
        <w:pStyle w:val="Textoindependiente"/>
        <w:spacing w:line="360" w:lineRule="auto"/>
        <w:ind w:right="-187"/>
        <w:rPr>
          <w:rFonts w:ascii="Century Gothic" w:hAnsi="Century Gothic" w:cs="Arial"/>
          <w:b/>
        </w:rPr>
      </w:pPr>
    </w:p>
    <w:p w14:paraId="6D83E32B" w14:textId="0A020A84"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Destino</w:t>
      </w:r>
      <w:r w:rsidRPr="00286308">
        <w:rPr>
          <w:rFonts w:ascii="Century Gothic" w:hAnsi="Century Gothic" w:cs="Arial"/>
        </w:rPr>
        <w:t>. De conformidad con lo previsto por el artículo 117, fracción VIII de la Constitución Política de los Estados Unidos Mexicanos</w:t>
      </w:r>
      <w:r w:rsidR="00D93878">
        <w:rPr>
          <w:rFonts w:ascii="Century Gothic" w:hAnsi="Century Gothic" w:cs="Arial"/>
        </w:rPr>
        <w:t>;</w:t>
      </w:r>
      <w:r w:rsidRPr="00286308">
        <w:rPr>
          <w:rFonts w:ascii="Century Gothic" w:hAnsi="Century Gothic" w:cs="Arial"/>
        </w:rPr>
        <w:t xml:space="preserve"> el artículo 9 de la Ley de Coordinación Fiscal, así como el artículo 2, fracción XXV de la Ley de Disciplina Financiera de las Entidades Federativas y los Municipios, los recursos derivados del Financiamiento COESVI deberán ser destinados a:</w:t>
      </w:r>
    </w:p>
    <w:p w14:paraId="77AEED04" w14:textId="77777777" w:rsidR="00A0583F" w:rsidRPr="00286308" w:rsidRDefault="00A0583F" w:rsidP="005F3E1E">
      <w:pPr>
        <w:pStyle w:val="Prrafodelista"/>
        <w:spacing w:line="360" w:lineRule="auto"/>
        <w:rPr>
          <w:rFonts w:ascii="Century Gothic" w:hAnsi="Century Gothic" w:cs="Arial"/>
          <w:b/>
          <w:sz w:val="24"/>
          <w:szCs w:val="24"/>
        </w:rPr>
      </w:pPr>
    </w:p>
    <w:p w14:paraId="0CC7B129" w14:textId="77777777" w:rsidR="00A0583F" w:rsidRPr="00286308" w:rsidRDefault="00A0583F" w:rsidP="00FF6735">
      <w:pPr>
        <w:pStyle w:val="Textoindependiente"/>
        <w:numPr>
          <w:ilvl w:val="0"/>
          <w:numId w:val="11"/>
        </w:numPr>
        <w:spacing w:line="360" w:lineRule="auto"/>
        <w:ind w:left="1134" w:right="-187" w:hanging="567"/>
        <w:rPr>
          <w:rFonts w:ascii="Century Gothic" w:hAnsi="Century Gothic" w:cs="Arial"/>
          <w:b/>
        </w:rPr>
      </w:pPr>
      <w:r w:rsidRPr="00286308">
        <w:rPr>
          <w:rFonts w:ascii="Century Gothic" w:hAnsi="Century Gothic" w:cs="Arial"/>
        </w:rPr>
        <w:t xml:space="preserve">Refinanciar el contrato de crédito simple, de fecha 26 de noviembre de 2010, celebrado entre la Comisión, en su carácter de acreditado, el Estado, en su carácter de obligado solidario, y HSBC México, S.A., Institución de Banca Múltiple, Grupo Financiero HSBC, por una cantidad de hasta $416,136,000.000 (Cuatrocientos dieciséis millones ciento treinta y seis mil pesos 00/100 M.N.), así como los intereses, comisiones, y demás accesorios que deriven del pago anticipado de dicho contrato; dicho contrato se encuentra inscrito en el Registro Público Único de Financiamientos y Obligaciones de </w:t>
      </w:r>
      <w:r w:rsidRPr="00286308">
        <w:rPr>
          <w:rFonts w:ascii="Century Gothic" w:hAnsi="Century Gothic" w:cs="Arial"/>
        </w:rPr>
        <w:lastRenderedPageBreak/>
        <w:t>Entidades Federativas y Municipios bajo el folio 47/2010, y Registro Central de Deuda Pública Estatal del Estado de Chihuahua, bajo el folio 21/2010; el cual, al 31 de octubre de 2022, reporta un saldo insoluto de $98,698,923.26 (Noventa y ocho millones seiscientos noventa y ocho mil novecientos veintitrés pesos 26/100 Moneda Nacional).</w:t>
      </w:r>
    </w:p>
    <w:p w14:paraId="63E42B5D" w14:textId="77777777" w:rsidR="00A0583F" w:rsidRPr="00286308" w:rsidRDefault="00A0583F" w:rsidP="005F3E1E">
      <w:pPr>
        <w:pStyle w:val="Textoindependiente"/>
        <w:spacing w:line="360" w:lineRule="auto"/>
        <w:ind w:left="1134" w:right="-187"/>
        <w:rPr>
          <w:rFonts w:ascii="Century Gothic" w:hAnsi="Century Gothic" w:cs="Arial"/>
          <w:b/>
        </w:rPr>
      </w:pPr>
    </w:p>
    <w:p w14:paraId="436074D6" w14:textId="14008768" w:rsidR="00A0583F" w:rsidRPr="00286308" w:rsidRDefault="00A0583F" w:rsidP="00FF6735">
      <w:pPr>
        <w:pStyle w:val="Textoindependiente"/>
        <w:numPr>
          <w:ilvl w:val="0"/>
          <w:numId w:val="11"/>
        </w:numPr>
        <w:spacing w:line="360" w:lineRule="auto"/>
        <w:ind w:left="1134" w:right="-187" w:hanging="567"/>
        <w:rPr>
          <w:rFonts w:ascii="Century Gothic" w:hAnsi="Century Gothic" w:cs="Arial"/>
          <w:b/>
        </w:rPr>
      </w:pPr>
      <w:r w:rsidRPr="00286308">
        <w:rPr>
          <w:rFonts w:ascii="Century Gothic" w:hAnsi="Century Gothic" w:cs="Arial"/>
        </w:rPr>
        <w:t xml:space="preserve">Refinanciar el contrato de crédito simple, de fecha 8 de diciembre de 2010, celebrado entre la Comisión, en su carácter de acreditado, el Estado, en su carácter de obligado solidario, y Banco Santander México, S.A., Institución de Banca Múltiple, Grupo Financiero Santander, por una cantidad de hasta $416,136,000.000 (Cuatrocientos dieciséis millones ciento treinta y seis mil pesos 00/100 M.N.), así como los intereses, comisiones, y demás accesorios que deriven del pago anticipado de dicho contrato; dicho contrato se encuentra inscrito en el Registro Público Único de Financiamientos y Obligaciones de Entidades Federativas y Municipios bajo el folio 505/2010, y Registro Central de Deuda Pública Estatal del Estado de Chihuahua, bajo el folio 22/2010; el cual, al 31 de octubre de 2022, reporta un saldo insoluto de $101,366,461.72 (Ciento un millones trescientos sesenta y seis mil cuatrocientos sesenta y un </w:t>
      </w:r>
      <w:r w:rsidR="00D70065">
        <w:rPr>
          <w:rFonts w:ascii="Century Gothic" w:hAnsi="Century Gothic" w:cs="Arial"/>
        </w:rPr>
        <w:t>p</w:t>
      </w:r>
      <w:r w:rsidRPr="00286308">
        <w:rPr>
          <w:rFonts w:ascii="Century Gothic" w:hAnsi="Century Gothic" w:cs="Arial"/>
        </w:rPr>
        <w:t>esos 72/100 M.N.).</w:t>
      </w:r>
    </w:p>
    <w:p w14:paraId="666F1EB7" w14:textId="77777777" w:rsidR="00A0583F" w:rsidRPr="00286308" w:rsidRDefault="00A0583F" w:rsidP="005F3E1E">
      <w:pPr>
        <w:pStyle w:val="Prrafodelista"/>
        <w:spacing w:line="360" w:lineRule="auto"/>
        <w:rPr>
          <w:rFonts w:ascii="Century Gothic" w:hAnsi="Century Gothic" w:cs="Arial"/>
          <w:sz w:val="24"/>
          <w:szCs w:val="24"/>
        </w:rPr>
      </w:pPr>
    </w:p>
    <w:p w14:paraId="4FFA3EAD" w14:textId="73574F4F" w:rsidR="00A0583F" w:rsidRPr="00286308" w:rsidRDefault="00A0583F" w:rsidP="00FF6735">
      <w:pPr>
        <w:pStyle w:val="Textoindependiente"/>
        <w:numPr>
          <w:ilvl w:val="0"/>
          <w:numId w:val="11"/>
        </w:numPr>
        <w:spacing w:line="360" w:lineRule="auto"/>
        <w:ind w:left="1134" w:right="-187" w:hanging="567"/>
        <w:rPr>
          <w:rFonts w:ascii="Century Gothic" w:hAnsi="Century Gothic" w:cs="Arial"/>
          <w:b/>
          <w:bCs/>
        </w:rPr>
      </w:pPr>
      <w:r w:rsidRPr="00286308">
        <w:rPr>
          <w:rFonts w:ascii="Century Gothic" w:hAnsi="Century Gothic" w:cs="Arial"/>
        </w:rPr>
        <w:t xml:space="preserve">A la constitución de fondos de reserva en términos del artículo 22, primer párrafo de la Ley de Disciplina Financiera de las Entidades </w:t>
      </w:r>
      <w:r w:rsidRPr="00286308">
        <w:rPr>
          <w:rFonts w:ascii="Century Gothic" w:hAnsi="Century Gothic" w:cs="Arial"/>
        </w:rPr>
        <w:lastRenderedPageBreak/>
        <w:t>Federativas y los Municipios</w:t>
      </w:r>
      <w:r w:rsidR="00D70065">
        <w:rPr>
          <w:rFonts w:ascii="Century Gothic" w:hAnsi="Century Gothic" w:cs="Arial"/>
        </w:rPr>
        <w:t>,</w:t>
      </w:r>
      <w:r w:rsidRPr="00286308">
        <w:rPr>
          <w:rFonts w:ascii="Century Gothic" w:hAnsi="Century Gothic" w:cs="Arial"/>
        </w:rPr>
        <w:t xml:space="preserve"> y del artículo 27 del Reglamento del Registro Público Único de Financiamientos y Obligaciones de Entidades Federativas y Municipios.</w:t>
      </w:r>
    </w:p>
    <w:p w14:paraId="4E4357C7" w14:textId="77777777" w:rsidR="00A0583F" w:rsidRPr="00286308" w:rsidRDefault="00A0583F" w:rsidP="005F3E1E">
      <w:pPr>
        <w:pStyle w:val="Prrafodelista"/>
        <w:spacing w:line="360" w:lineRule="auto"/>
        <w:rPr>
          <w:rFonts w:ascii="Century Gothic" w:hAnsi="Century Gothic" w:cs="Arial"/>
          <w:b/>
          <w:bCs/>
          <w:sz w:val="24"/>
          <w:szCs w:val="24"/>
        </w:rPr>
      </w:pPr>
    </w:p>
    <w:p w14:paraId="088B3A79" w14:textId="77777777" w:rsidR="00A0583F" w:rsidRPr="00286308" w:rsidRDefault="00A0583F" w:rsidP="00FF6735">
      <w:pPr>
        <w:pStyle w:val="Textoindependiente"/>
        <w:numPr>
          <w:ilvl w:val="0"/>
          <w:numId w:val="11"/>
        </w:numPr>
        <w:spacing w:line="360" w:lineRule="auto"/>
        <w:ind w:left="1134" w:right="-187" w:hanging="567"/>
        <w:rPr>
          <w:rFonts w:ascii="Century Gothic" w:hAnsi="Century Gothic" w:cs="Arial"/>
          <w:b/>
          <w:bCs/>
        </w:rPr>
      </w:pPr>
      <w:r w:rsidRPr="00286308">
        <w:rPr>
          <w:rFonts w:ascii="Century Gothic" w:hAnsi="Century Gothic" w:cs="Arial"/>
          <w:bCs/>
        </w:rPr>
        <w:t>En términos de lo previsto más adelante dentro del presente Decreto, la contratación de instrumentos derivados.</w:t>
      </w:r>
    </w:p>
    <w:p w14:paraId="604EEAE1" w14:textId="77777777" w:rsidR="00A0583F" w:rsidRPr="00286308" w:rsidRDefault="00A0583F" w:rsidP="005F3E1E">
      <w:pPr>
        <w:pStyle w:val="Textoindependiente"/>
        <w:spacing w:line="360" w:lineRule="auto"/>
        <w:ind w:left="1134" w:right="-187"/>
        <w:rPr>
          <w:rFonts w:ascii="Century Gothic" w:hAnsi="Century Gothic" w:cs="Arial"/>
          <w:b/>
        </w:rPr>
      </w:pPr>
    </w:p>
    <w:p w14:paraId="4E95990C" w14:textId="77777777" w:rsidR="00A0583F" w:rsidRPr="00286308" w:rsidRDefault="00A0583F" w:rsidP="00FF6735">
      <w:pPr>
        <w:pStyle w:val="Textoindependiente"/>
        <w:numPr>
          <w:ilvl w:val="0"/>
          <w:numId w:val="11"/>
        </w:numPr>
        <w:spacing w:line="360" w:lineRule="auto"/>
        <w:ind w:left="1134" w:right="-187" w:hanging="567"/>
        <w:rPr>
          <w:rFonts w:ascii="Century Gothic" w:hAnsi="Century Gothic" w:cs="Arial"/>
          <w:b/>
          <w:bCs/>
        </w:rPr>
      </w:pPr>
      <w:r w:rsidRPr="00286308">
        <w:rPr>
          <w:rFonts w:ascii="Century Gothic" w:hAnsi="Century Gothic" w:cs="Arial"/>
          <w:bCs/>
        </w:rPr>
        <w:t xml:space="preserve">En términos de lo previsto más adelante dentro del presente Decreto, el pago de los gastos relacionados con el diseño, estructuración, e instrumentación del </w:t>
      </w:r>
      <w:r w:rsidRPr="00286308">
        <w:rPr>
          <w:rFonts w:ascii="Century Gothic" w:hAnsi="Century Gothic" w:cs="Arial"/>
        </w:rPr>
        <w:t>Financiamiento COESVI</w:t>
      </w:r>
      <w:r w:rsidRPr="00286308">
        <w:rPr>
          <w:rFonts w:ascii="Century Gothic" w:hAnsi="Century Gothic" w:cs="Arial"/>
          <w:bCs/>
        </w:rPr>
        <w:t>.</w:t>
      </w:r>
    </w:p>
    <w:p w14:paraId="5C1D3CFF" w14:textId="77777777" w:rsidR="00A0583F" w:rsidRPr="00286308" w:rsidRDefault="00A0583F" w:rsidP="005F3E1E">
      <w:pPr>
        <w:pStyle w:val="Textoindependiente"/>
        <w:spacing w:line="360" w:lineRule="auto"/>
        <w:ind w:left="1134" w:right="-187"/>
        <w:rPr>
          <w:rFonts w:ascii="Century Gothic" w:hAnsi="Century Gothic" w:cs="Arial"/>
          <w:b/>
        </w:rPr>
      </w:pPr>
    </w:p>
    <w:p w14:paraId="68B9E218" w14:textId="016EC396"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Fuente de pago</w:t>
      </w:r>
      <w:r w:rsidRPr="00286308">
        <w:rPr>
          <w:rFonts w:ascii="Century Gothic" w:hAnsi="Century Gothic" w:cs="Arial"/>
        </w:rPr>
        <w:t xml:space="preserve">. Se autoriza </w:t>
      </w:r>
      <w:r w:rsidR="00D70065">
        <w:rPr>
          <w:rFonts w:ascii="Century Gothic" w:hAnsi="Century Gothic" w:cs="Arial"/>
        </w:rPr>
        <w:t xml:space="preserve">a </w:t>
      </w:r>
      <w:r w:rsidRPr="00286308">
        <w:rPr>
          <w:rFonts w:ascii="Century Gothic" w:hAnsi="Century Gothic" w:cs="Arial"/>
        </w:rPr>
        <w:t>la Comisión, para afectar como fuente de pago de todas y cada una de las obligaciones que deriven del Financiamiento COESVI</w:t>
      </w:r>
      <w:r w:rsidR="00D70065">
        <w:rPr>
          <w:rFonts w:ascii="Century Gothic" w:hAnsi="Century Gothic" w:cs="Arial"/>
        </w:rPr>
        <w:t>,</w:t>
      </w:r>
      <w:r w:rsidRPr="00286308">
        <w:rPr>
          <w:rFonts w:ascii="Century Gothic" w:hAnsi="Century Gothic" w:cs="Arial"/>
        </w:rPr>
        <w:t xml:space="preserve"> un porcentaje suficiente de los ingresos propios provenientes de las actividades que realiza dicha Comisión de conformidad con la legislación aplicable. </w:t>
      </w:r>
    </w:p>
    <w:p w14:paraId="3E239C4B" w14:textId="77777777" w:rsidR="00A0583F" w:rsidRPr="00286308" w:rsidRDefault="00A0583F" w:rsidP="005F3E1E">
      <w:pPr>
        <w:pStyle w:val="Textoindependiente"/>
        <w:spacing w:line="360" w:lineRule="auto"/>
        <w:ind w:left="567" w:right="-187"/>
        <w:rPr>
          <w:rFonts w:ascii="Century Gothic" w:hAnsi="Century Gothic" w:cs="Arial"/>
          <w:b/>
        </w:rPr>
      </w:pPr>
    </w:p>
    <w:p w14:paraId="772FC076" w14:textId="11DA982D"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 xml:space="preserve">Asimismo, se autoriza, en este acto, al Estado, en su carácter de obligado solidario y aval, para afectar como fuente alterna de pago de todas y cada una de las obligaciones que deriven del Financiamiento COESVI, un porcentaje de los derechos, e ingresos derivados de los mismos, que le corresponden al Estado del Fondo General de Participaciones a que hace referencia el </w:t>
      </w:r>
      <w:r w:rsidR="00D70065">
        <w:rPr>
          <w:rFonts w:ascii="Century Gothic" w:hAnsi="Century Gothic" w:cs="Arial"/>
        </w:rPr>
        <w:t>a</w:t>
      </w:r>
      <w:r w:rsidRPr="00286308">
        <w:rPr>
          <w:rFonts w:ascii="Century Gothic" w:hAnsi="Century Gothic" w:cs="Arial"/>
        </w:rPr>
        <w:t>rtículo 9 de la Ley de Coordinación Fiscal, así como aquellos fondos que en su caso lo remplacen, sustituyan o complementen de tiempo en tiempo.</w:t>
      </w:r>
    </w:p>
    <w:p w14:paraId="7DF75930" w14:textId="77777777" w:rsidR="00A0583F" w:rsidRPr="00286308" w:rsidRDefault="00A0583F" w:rsidP="005F3E1E">
      <w:pPr>
        <w:spacing w:line="360" w:lineRule="auto"/>
        <w:rPr>
          <w:rFonts w:ascii="Century Gothic" w:hAnsi="Century Gothic" w:cs="Arial"/>
          <w:b/>
          <w:sz w:val="24"/>
          <w:szCs w:val="24"/>
        </w:rPr>
      </w:pPr>
    </w:p>
    <w:p w14:paraId="15257D0D" w14:textId="77777777"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La Comisión y el Estado, según corresponda, deberán realizar las afectaciones anteriormente referidas, de manera irrevocable y hasta por el plazo suficiente para liquidar totalmente las obligaciones que deriven del Financiamiento COESVI contratado al amparo del presente Decreto. Dicha afectación permanecerá vigente en tanto existan obligaciones pendientes de pago, y a cargo de la Comisión y/o el Estado, derivadas del Financiamiento COESVI.</w:t>
      </w:r>
    </w:p>
    <w:p w14:paraId="5A3B23E1" w14:textId="77777777" w:rsidR="00A0583F" w:rsidRPr="00286308" w:rsidRDefault="00A0583F" w:rsidP="005F3E1E">
      <w:pPr>
        <w:pStyle w:val="Textoindependiente"/>
        <w:spacing w:line="360" w:lineRule="auto"/>
        <w:ind w:left="567" w:right="-187"/>
        <w:rPr>
          <w:rFonts w:ascii="Century Gothic" w:hAnsi="Century Gothic" w:cs="Arial"/>
          <w:b/>
        </w:rPr>
      </w:pPr>
    </w:p>
    <w:p w14:paraId="29DC4582" w14:textId="77777777"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La Comisión deberá notificar a las instituciones públicas y/o privadas que resulten competentes de la afectación de los Ingresos de libre disposición derivados de los programas anteriormente referidos, instruyéndolas irrevocablemente para efectos de que abonen los flujos respectivos en el o los fideicomisos de fuente de pago que para tales efectos constituya, o modifique conjuntamente con el Estado, y de conformidad con lo previsto en el presente Decreto, y hasta por el plazo necesario para liquidar totalmente las obligaciones que deriven del Financiamiento COESVI contratado al amparo del presente Decreto.</w:t>
      </w:r>
    </w:p>
    <w:p w14:paraId="02634CBE" w14:textId="77777777" w:rsidR="00A0583F" w:rsidRPr="00286308" w:rsidRDefault="00A0583F" w:rsidP="005F3E1E">
      <w:pPr>
        <w:pStyle w:val="Textoindependiente"/>
        <w:spacing w:line="360" w:lineRule="auto"/>
        <w:ind w:left="567" w:right="-187"/>
        <w:rPr>
          <w:rFonts w:ascii="Century Gothic" w:hAnsi="Century Gothic" w:cs="Arial"/>
          <w:b/>
        </w:rPr>
      </w:pPr>
    </w:p>
    <w:p w14:paraId="3683D790" w14:textId="77777777"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 xml:space="preserve">El Estado deberá notificar a la Secretaría de Hacienda y Crédito Público, así como a cualquier otra autoridad que resulte competente, respecto de la afectación de las participaciones del Fondo General del Participaciones autorizada en el presente Decreto, instruyéndolas irrevocablemente para efectos de que, en cada ministración, entrega, anticipo, ajuste o entero, abonen los flujos respectivos en el o los </w:t>
      </w:r>
      <w:r w:rsidRPr="00286308">
        <w:rPr>
          <w:rFonts w:ascii="Century Gothic" w:hAnsi="Century Gothic" w:cs="Arial"/>
        </w:rPr>
        <w:lastRenderedPageBreak/>
        <w:t>fideicomisos de fuente de pago que para tales efectos constituya, o modifique conjuntamente con la Comisión, de conformidad con lo previsto en el presente Decreto, y hasta por el plazo necesario para liquidar totalmente las obligaciones que deriven del Financiamiento COESVI contratado al amparo del presente Decreto.</w:t>
      </w:r>
    </w:p>
    <w:p w14:paraId="7AF16E2D" w14:textId="77777777" w:rsidR="00A0583F" w:rsidRPr="00286308" w:rsidRDefault="00A0583F" w:rsidP="005F3E1E">
      <w:pPr>
        <w:pStyle w:val="Textoindependiente"/>
        <w:spacing w:line="360" w:lineRule="auto"/>
        <w:ind w:left="567" w:right="-187"/>
        <w:rPr>
          <w:rFonts w:ascii="Century Gothic" w:hAnsi="Century Gothic" w:cs="Arial"/>
          <w:b/>
        </w:rPr>
      </w:pPr>
    </w:p>
    <w:p w14:paraId="1B1CB467" w14:textId="0D193A62"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La Comisión, a través de los funcionarios que se encuentren debidamente facultados de conformidad con la legislación aplicable, realizará las gestiones necesarias para que el porcentaje afecto de los ingresos propios derivados de sus</w:t>
      </w:r>
      <w:r w:rsidR="00C71498">
        <w:rPr>
          <w:rFonts w:ascii="Century Gothic" w:hAnsi="Century Gothic" w:cs="Arial"/>
        </w:rPr>
        <w:t xml:space="preserve"> </w:t>
      </w:r>
      <w:r w:rsidRPr="00286308">
        <w:rPr>
          <w:rFonts w:ascii="Century Gothic" w:hAnsi="Century Gothic" w:cs="Arial"/>
        </w:rPr>
        <w:t>programas de vivienda anteriormente referidos ingresen al o los fideicomisos de fuente de pago que para tales efectos constituya conjuntamente con el Estado de conformidad con el presente Decreto, con la finalidad de que el fiduciario que administre los mismos, tenga el control necesario sobre los recursos para el pago de las obligaciones que deriven del Financiamiento COESVI.</w:t>
      </w:r>
    </w:p>
    <w:p w14:paraId="3741973B" w14:textId="77777777" w:rsidR="00A0583F" w:rsidRPr="00286308" w:rsidRDefault="00A0583F" w:rsidP="005F3E1E">
      <w:pPr>
        <w:pStyle w:val="Textoindependiente"/>
        <w:spacing w:line="360" w:lineRule="auto"/>
        <w:ind w:left="567" w:right="-187"/>
        <w:rPr>
          <w:rFonts w:ascii="Century Gothic" w:hAnsi="Century Gothic" w:cs="Arial"/>
          <w:b/>
        </w:rPr>
      </w:pPr>
    </w:p>
    <w:p w14:paraId="6A5374AB" w14:textId="1FFFD1DE"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 xml:space="preserve">Asimismo, el Estado, a través del </w:t>
      </w:r>
      <w:r w:rsidR="00A654DE">
        <w:rPr>
          <w:rFonts w:ascii="Century Gothic" w:hAnsi="Century Gothic" w:cs="Arial"/>
        </w:rPr>
        <w:t>P</w:t>
      </w:r>
      <w:r w:rsidRPr="00286308">
        <w:rPr>
          <w:rFonts w:ascii="Century Gothic" w:hAnsi="Century Gothic" w:cs="Arial"/>
        </w:rPr>
        <w:t xml:space="preserve">oder </w:t>
      </w:r>
      <w:r w:rsidR="00A654DE">
        <w:rPr>
          <w:rFonts w:ascii="Century Gothic" w:hAnsi="Century Gothic" w:cs="Arial"/>
        </w:rPr>
        <w:t>E</w:t>
      </w:r>
      <w:r w:rsidRPr="00286308">
        <w:rPr>
          <w:rFonts w:ascii="Century Gothic" w:hAnsi="Century Gothic" w:cs="Arial"/>
        </w:rPr>
        <w:t>jecutivo, y por conducto de la Secretaría de Hacienda, realizará las gestiones necesarias para que el porcentaje afecto de las participaciones del Fondo General de Participaciones ingresen al o los fideicomisos de fuente de pago que para tales efectos constituya conjuntamente con la Comisión de conformidad con el presente Decreto, con la finalidad de que el fiduciario que administre los mismos, tenga el control necesario sobre los recursos para el pago de las obligaciones que deriven del Financiamiento COESVI.</w:t>
      </w:r>
    </w:p>
    <w:p w14:paraId="1EAFB3D7" w14:textId="77777777" w:rsidR="00A0583F" w:rsidRPr="00286308" w:rsidRDefault="00A0583F" w:rsidP="005F3E1E">
      <w:pPr>
        <w:pStyle w:val="Textoindependiente"/>
        <w:spacing w:line="360" w:lineRule="auto"/>
        <w:ind w:left="567" w:right="-187"/>
        <w:rPr>
          <w:rFonts w:ascii="Century Gothic" w:hAnsi="Century Gothic" w:cs="Arial"/>
          <w:b/>
        </w:rPr>
      </w:pPr>
    </w:p>
    <w:p w14:paraId="55931246" w14:textId="2E598A50"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Con independencia del vehículo al que se afecten las participaciones del Fondo General de Participaciones y los ingresos propios derivados de los programas de la Comisión anteriormente referidos, y que funjan como fuente de pago del Financiamiento COESVI, su afectación: (a) no podrá ser revocada o revertida sin el consentimiento previo, expreso y por escrito de las instituciones financieras mexicanas que hubieren otorgado los financiamientos a través de los cuales se implemente el Financiamiento COESVI; y (b) se considerará válida y vigente, independientemente de que se modifique su denominación o se sustituya por uno o varios nuevos conceptos que se refieran a situaciones jurídicas o de hecho iguales o similares, a las que dan origen a las participaciones federales del Fondo General de Participaciones y los ingresos propios derivados de los programas de la Comisión anteriormente referidos.</w:t>
      </w:r>
    </w:p>
    <w:p w14:paraId="0630F91A" w14:textId="77777777" w:rsidR="00A0583F" w:rsidRPr="00286308" w:rsidRDefault="00A0583F" w:rsidP="005F3E1E">
      <w:pPr>
        <w:pStyle w:val="Textoindependiente"/>
        <w:spacing w:line="360" w:lineRule="auto"/>
        <w:ind w:left="567" w:right="-187"/>
        <w:rPr>
          <w:rFonts w:ascii="Century Gothic" w:hAnsi="Century Gothic" w:cs="Arial"/>
          <w:b/>
        </w:rPr>
      </w:pPr>
    </w:p>
    <w:p w14:paraId="1FD0FC9D" w14:textId="70FE312E"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Mecanismo de Administración y Fuente de Pago</w:t>
      </w:r>
      <w:r w:rsidRPr="00286308">
        <w:rPr>
          <w:rFonts w:ascii="Century Gothic" w:hAnsi="Century Gothic" w:cs="Arial"/>
        </w:rPr>
        <w:t>. Se autoriza a la Comisión y al Estado para constituir o modificar, por conducto los funcionarios que se encuentren debidamente facultados de conformidad con la legislación aplicable, el o los mecanismos de administración, fuente de pago, o cualquier otro acto jurídico análogo, que considere necesario para cumplir con las obligaciones a su cargo que deriven de los contratos a través de los cuales se implemente el Financiamiento COESVI, incluyendo, de manera enunciativa, m</w:t>
      </w:r>
      <w:r w:rsidR="007168A1">
        <w:rPr>
          <w:rFonts w:ascii="Century Gothic" w:hAnsi="Century Gothic" w:cs="Arial"/>
        </w:rPr>
        <w:t>a</w:t>
      </w:r>
      <w:r w:rsidRPr="00286308">
        <w:rPr>
          <w:rFonts w:ascii="Century Gothic" w:hAnsi="Century Gothic" w:cs="Arial"/>
        </w:rPr>
        <w:t xml:space="preserve">s no limitativa, fideicomisos irrevocables de administración y fuente de pago; </w:t>
      </w:r>
      <w:r w:rsidRPr="00286308">
        <w:rPr>
          <w:rFonts w:ascii="Century Gothic" w:hAnsi="Century Gothic" w:cs="Arial"/>
        </w:rPr>
        <w:lastRenderedPageBreak/>
        <w:t>a los que podrán afectar irrevocablemente las participaciones federales del Fondo General de Participaciones, así como los ingresos propios derivados de los programas de la Comisión referidos en el numeral anterior, como fuente de pago y que deberán tener entre sus fines servir como mecanismo de fuente de pago de las obligaciones a cargo de la Comisión y del Estado que deriven de dichos contratos a través de los cuales se implemente el Financiamiento COESVI.</w:t>
      </w:r>
    </w:p>
    <w:p w14:paraId="2F77E648" w14:textId="77777777" w:rsidR="00A0583F" w:rsidRPr="00286308" w:rsidRDefault="00A0583F" w:rsidP="005F3E1E">
      <w:pPr>
        <w:pStyle w:val="Textoindependiente"/>
        <w:spacing w:line="360" w:lineRule="auto"/>
        <w:ind w:left="567" w:right="-187"/>
        <w:rPr>
          <w:rFonts w:ascii="Century Gothic" w:hAnsi="Century Gothic" w:cs="Arial"/>
          <w:b/>
          <w:u w:val="single"/>
        </w:rPr>
      </w:pPr>
    </w:p>
    <w:p w14:paraId="25CA2A6E" w14:textId="77777777"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 xml:space="preserve">Los fideicomisos de administración y fuente de pago, no serán considerados en ningún caso como parte de la administración pública paraestatal, en el entendido que su supervisión y control estarán sujetos a lo dispuesto en las disposiciones legales aplicables. </w:t>
      </w:r>
    </w:p>
    <w:p w14:paraId="57CA825F" w14:textId="77777777" w:rsidR="00A0583F" w:rsidRPr="00286308" w:rsidRDefault="00A0583F" w:rsidP="005F3E1E">
      <w:pPr>
        <w:pStyle w:val="Textoindependiente"/>
        <w:spacing w:line="360" w:lineRule="auto"/>
        <w:ind w:left="567" w:right="-187"/>
        <w:rPr>
          <w:rFonts w:ascii="Century Gothic" w:hAnsi="Century Gothic" w:cs="Arial"/>
          <w:b/>
        </w:rPr>
      </w:pPr>
    </w:p>
    <w:p w14:paraId="0EF84A23" w14:textId="734C88E0"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Asimismo, dichos fideicomisos serán irrevocables y, por lo tanto, s</w:t>
      </w:r>
      <w:r w:rsidR="001C71DE">
        <w:rPr>
          <w:rFonts w:ascii="Century Gothic" w:hAnsi="Century Gothic" w:cs="Arial"/>
        </w:rPr>
        <w:t>o</w:t>
      </w:r>
      <w:r w:rsidRPr="00286308">
        <w:rPr>
          <w:rFonts w:ascii="Century Gothic" w:hAnsi="Century Gothic" w:cs="Arial"/>
        </w:rPr>
        <w:t>lo podrán ser terminados de conformidad con lo que expresamente se pacte en el o los mismos. Con independencia de su naturaleza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14:paraId="6640C919" w14:textId="77777777" w:rsidR="00A0583F" w:rsidRPr="00286308" w:rsidRDefault="00A0583F" w:rsidP="005F3E1E">
      <w:pPr>
        <w:pStyle w:val="Textoindependiente"/>
        <w:spacing w:line="360" w:lineRule="auto"/>
        <w:ind w:left="567" w:right="-187"/>
        <w:rPr>
          <w:rFonts w:ascii="Century Gothic" w:hAnsi="Century Gothic" w:cs="Arial"/>
          <w:b/>
        </w:rPr>
      </w:pPr>
    </w:p>
    <w:p w14:paraId="5E6FC09C"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Plazo máximo de Vigencia del Financiamiento</w:t>
      </w:r>
      <w:r w:rsidRPr="00286308">
        <w:rPr>
          <w:rFonts w:ascii="Century Gothic" w:hAnsi="Century Gothic" w:cs="Arial"/>
        </w:rPr>
        <w:t xml:space="preserve">. Para cada uno de los contratos a través de los cuales se implemente el Financiamiento COESVI, hasta 20 (veinte) años, equivalentes a 7,305 (siete mil trescientos cinco) </w:t>
      </w:r>
      <w:r w:rsidRPr="00286308">
        <w:rPr>
          <w:rFonts w:ascii="Century Gothic" w:hAnsi="Century Gothic" w:cs="Arial"/>
        </w:rPr>
        <w:lastRenderedPageBreak/>
        <w:t xml:space="preserve">días contados a partir de la fecha en que se celebren dichos contratos o de la fecha en que se realice la primera disposición de los recursos. </w:t>
      </w:r>
    </w:p>
    <w:p w14:paraId="003D1C88" w14:textId="77777777" w:rsidR="00A0583F" w:rsidRPr="00286308" w:rsidRDefault="00A0583F" w:rsidP="005F3E1E">
      <w:pPr>
        <w:pStyle w:val="Textoindependiente"/>
        <w:spacing w:line="360" w:lineRule="auto"/>
        <w:ind w:left="567" w:right="-187" w:hanging="567"/>
        <w:rPr>
          <w:rFonts w:ascii="Century Gothic" w:hAnsi="Century Gothic" w:cs="Arial"/>
          <w:b/>
        </w:rPr>
      </w:pPr>
    </w:p>
    <w:p w14:paraId="437C4A8C" w14:textId="77777777"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t xml:space="preserve">En todo caso, los contratos mediante los cuales se formalice el Financiamiento COESVI, permanecerán vigentes, mientras existan obligaciones pendientes de pago a favor de los acreedores respectivos. </w:t>
      </w:r>
    </w:p>
    <w:p w14:paraId="1244BF18" w14:textId="77777777" w:rsidR="00A0583F" w:rsidRPr="00286308" w:rsidRDefault="00A0583F" w:rsidP="005F3E1E">
      <w:pPr>
        <w:pStyle w:val="Textoindependiente"/>
        <w:spacing w:line="360" w:lineRule="auto"/>
        <w:ind w:left="567" w:right="-187"/>
        <w:rPr>
          <w:rFonts w:ascii="Century Gothic" w:hAnsi="Century Gothic" w:cs="Arial"/>
          <w:b/>
        </w:rPr>
      </w:pPr>
    </w:p>
    <w:p w14:paraId="7263C299"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Plazo máximo de Contratación y vigencia de la autorización</w:t>
      </w:r>
      <w:r w:rsidRPr="00286308">
        <w:rPr>
          <w:rFonts w:ascii="Century Gothic" w:hAnsi="Century Gothic" w:cs="Arial"/>
        </w:rPr>
        <w:t>. Cada uno de los contratos a través de los cuales se implemente el Financiamiento COESVI deberán ser celebrados, a más tardar el 31 de diciembre de 2023. De igual forma el Estado, a través de la Secretaría, podrá ejercer la presente autorización hasta el 31 de diciembre de 2023.</w:t>
      </w:r>
    </w:p>
    <w:p w14:paraId="782D6156" w14:textId="77777777" w:rsidR="00A0583F" w:rsidRPr="00286308" w:rsidRDefault="00A0583F" w:rsidP="005F3E1E">
      <w:pPr>
        <w:pStyle w:val="Textoindependiente"/>
        <w:spacing w:line="360" w:lineRule="auto"/>
        <w:ind w:left="567" w:right="-187"/>
        <w:rPr>
          <w:rFonts w:ascii="Century Gothic" w:hAnsi="Century Gothic" w:cs="Arial"/>
          <w:b/>
        </w:rPr>
      </w:pPr>
    </w:p>
    <w:p w14:paraId="7FFC26E2"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u w:val="single"/>
        </w:rPr>
      </w:pPr>
      <w:r w:rsidRPr="00286308">
        <w:rPr>
          <w:rFonts w:ascii="Century Gothic" w:hAnsi="Century Gothic" w:cs="Arial"/>
          <w:u w:val="single"/>
        </w:rPr>
        <w:t>Tasa de Interés.</w:t>
      </w:r>
      <w:r w:rsidRPr="00286308">
        <w:rPr>
          <w:rFonts w:ascii="Century Gothic" w:hAnsi="Century Gothic" w:cs="Arial"/>
        </w:rPr>
        <w:t xml:space="preserve"> El o los contratos a través de los cuales se implemente el Financiamiento COESVI 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14:paraId="076CBC0B" w14:textId="77777777" w:rsidR="00A0583F" w:rsidRPr="00286308" w:rsidRDefault="00A0583F" w:rsidP="005F3E1E">
      <w:pPr>
        <w:pStyle w:val="Prrafodelista"/>
        <w:spacing w:line="360" w:lineRule="auto"/>
        <w:rPr>
          <w:rFonts w:ascii="Century Gothic" w:hAnsi="Century Gothic" w:cs="Arial"/>
          <w:b/>
          <w:sz w:val="24"/>
          <w:szCs w:val="24"/>
          <w:u w:val="single"/>
        </w:rPr>
      </w:pPr>
    </w:p>
    <w:p w14:paraId="7176A2EC" w14:textId="3CA0B046" w:rsidR="00A0583F" w:rsidRPr="00286308" w:rsidRDefault="00A0583F" w:rsidP="00FF6735">
      <w:pPr>
        <w:pStyle w:val="Textoindependiente"/>
        <w:numPr>
          <w:ilvl w:val="1"/>
          <w:numId w:val="8"/>
        </w:numPr>
        <w:spacing w:line="360" w:lineRule="auto"/>
        <w:ind w:left="567" w:right="-187" w:hanging="567"/>
        <w:rPr>
          <w:rFonts w:ascii="Century Gothic" w:hAnsi="Century Gothic" w:cs="Arial"/>
        </w:rPr>
      </w:pPr>
      <w:r w:rsidRPr="00286308">
        <w:rPr>
          <w:rFonts w:ascii="Century Gothic" w:hAnsi="Century Gothic" w:cs="Arial"/>
          <w:u w:val="single"/>
        </w:rPr>
        <w:t>Instrumentos Derivados.</w:t>
      </w:r>
      <w:r w:rsidRPr="00286308">
        <w:rPr>
          <w:rFonts w:ascii="Century Gothic" w:hAnsi="Century Gothic" w:cs="Arial"/>
        </w:rPr>
        <w:t xml:space="preserve"> Con base en la presente autorización, el Estado podrá contratar instrumentos derivados, para cubrir hasta la totalidad de los montos expuestos derivados de cada contrato a través del cual se implemente el Financiamiento COESVI y por una vigencia igual o menor </w:t>
      </w:r>
      <w:r w:rsidRPr="00286308">
        <w:rPr>
          <w:rFonts w:ascii="Century Gothic" w:hAnsi="Century Gothic" w:cs="Arial"/>
        </w:rPr>
        <w:lastRenderedPageBreak/>
        <w:t>al plazo del Financiamiento COESVI, incluyendo, de manera enunciativa, m</w:t>
      </w:r>
      <w:r w:rsidR="00254A54">
        <w:rPr>
          <w:rFonts w:ascii="Century Gothic" w:hAnsi="Century Gothic" w:cs="Arial"/>
        </w:rPr>
        <w:t>a</w:t>
      </w:r>
      <w:r w:rsidRPr="00286308">
        <w:rPr>
          <w:rFonts w:ascii="Century Gothic" w:hAnsi="Century Gothic" w:cs="Arial"/>
        </w:rPr>
        <w:t>s no limitativa, contratos de cobertura</w:t>
      </w:r>
      <w:r w:rsidR="00254A54">
        <w:rPr>
          <w:rFonts w:ascii="Century Gothic" w:hAnsi="Century Gothic" w:cs="Arial"/>
        </w:rPr>
        <w:t xml:space="preserve"> o</w:t>
      </w:r>
      <w:r w:rsidRPr="00286308">
        <w:rPr>
          <w:rFonts w:ascii="Century Gothic" w:hAnsi="Century Gothic" w:cs="Arial"/>
        </w:rPr>
        <w:t xml:space="preserve"> contratos de intercambios de tasas. En su caso, los instrumentos derivados podrán compartir la fuente de pago del contrato al cual se encuentren asociados. En caso de que dicha contratación genere deuda adicional contingente, la misma podrá ser hasta: (i) por la cantidad necesaria para cubrir el 100% (cien por ciento) del monto del Financiamiento COESVI, y (</w:t>
      </w:r>
      <w:proofErr w:type="spellStart"/>
      <w:r w:rsidRPr="00286308">
        <w:rPr>
          <w:rFonts w:ascii="Century Gothic" w:hAnsi="Century Gothic" w:cs="Arial"/>
        </w:rPr>
        <w:t>ii</w:t>
      </w:r>
      <w:proofErr w:type="spellEnd"/>
      <w:r w:rsidRPr="00286308">
        <w:rPr>
          <w:rFonts w:ascii="Century Gothic" w:hAnsi="Century Gothic" w:cs="Arial"/>
        </w:rPr>
        <w:t xml:space="preserve">) hasta por el plazo máximo de vigencia del Financiamiento COESVI anteriormente referido. </w:t>
      </w:r>
    </w:p>
    <w:p w14:paraId="6F552906" w14:textId="77777777" w:rsidR="00A0583F" w:rsidRPr="00286308" w:rsidRDefault="00A0583F" w:rsidP="005F3E1E">
      <w:pPr>
        <w:pStyle w:val="Prrafodelista"/>
        <w:spacing w:line="360" w:lineRule="auto"/>
        <w:rPr>
          <w:rFonts w:ascii="Century Gothic" w:hAnsi="Century Gothic" w:cs="Arial"/>
          <w:sz w:val="24"/>
          <w:szCs w:val="24"/>
        </w:rPr>
      </w:pPr>
    </w:p>
    <w:p w14:paraId="3113BD99"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Proceso Competitivo</w:t>
      </w:r>
      <w:r w:rsidRPr="00286308">
        <w:rPr>
          <w:rFonts w:ascii="Century Gothic" w:hAnsi="Century Gothic" w:cs="Arial"/>
        </w:rPr>
        <w:t>. El contrato o contratos a través de los cuales se implemente el Financiamiento COESVI, así como los Instrumentos Derivados y Garantías de Pago Oportuno que en su caso el Estado contrate para cubrir los riesgos financieros y/o fortalecer la estructura del Financiamiento COESVI, deberán buscar las mejores condiciones de mercado tanto para la Comisión como para el Estado, para lo cual, la Comisión,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14:paraId="5D5D5825" w14:textId="77777777" w:rsidR="00A0583F" w:rsidRPr="00286308" w:rsidRDefault="00A0583F" w:rsidP="005F3E1E">
      <w:pPr>
        <w:pStyle w:val="Prrafodelista"/>
        <w:spacing w:line="360" w:lineRule="auto"/>
        <w:rPr>
          <w:rFonts w:ascii="Century Gothic" w:hAnsi="Century Gothic" w:cs="Arial"/>
          <w:b/>
          <w:sz w:val="24"/>
          <w:szCs w:val="24"/>
        </w:rPr>
      </w:pPr>
    </w:p>
    <w:p w14:paraId="610B5ACE" w14:textId="15A694E3" w:rsidR="00A0583F" w:rsidRPr="00286308" w:rsidRDefault="00A0583F" w:rsidP="005F3E1E">
      <w:pPr>
        <w:pStyle w:val="Textoindependiente"/>
        <w:spacing w:line="360" w:lineRule="auto"/>
        <w:ind w:left="567" w:right="-187"/>
        <w:rPr>
          <w:rFonts w:ascii="Century Gothic" w:hAnsi="Century Gothic" w:cs="Arial"/>
          <w:b/>
        </w:rPr>
      </w:pPr>
      <w:r w:rsidRPr="00286308">
        <w:rPr>
          <w:rFonts w:ascii="Century Gothic" w:hAnsi="Century Gothic" w:cs="Arial"/>
        </w:rPr>
        <w:lastRenderedPageBreak/>
        <w:t>La Comisión procurará que el proceso competitivo le permita recibir las mejores ofertas del mercado para el Financiamiento COESVI, así como los Instrumentos Derivados y Garantías de Pago Oportuno que en su caso el Estado contrate para cubrir los riesgos financieros y/o fortalecer la estructura del Financiamiento COESVI, por lo que en todo caso deberá considerar y diseñar los procesos competitivos</w:t>
      </w:r>
      <w:r w:rsidR="00BD1072">
        <w:rPr>
          <w:rFonts w:ascii="Century Gothic" w:hAnsi="Century Gothic" w:cs="Arial"/>
        </w:rPr>
        <w:t>,</w:t>
      </w:r>
      <w:r w:rsidRPr="00286308">
        <w:rPr>
          <w:rFonts w:ascii="Century Gothic" w:hAnsi="Century Gothic" w:cs="Arial"/>
        </w:rPr>
        <w:t xml:space="preserve"> de tal manera que pueda acceder a los esquemas, programas y/o productos bancarios que le permitan obtener las mejores condiciones financieras y legales en el mercado.</w:t>
      </w:r>
    </w:p>
    <w:p w14:paraId="0BA78919" w14:textId="77777777" w:rsidR="00A0583F" w:rsidRPr="00286308" w:rsidRDefault="00A0583F" w:rsidP="005F3E1E">
      <w:pPr>
        <w:pStyle w:val="Textoindependiente"/>
        <w:spacing w:line="360" w:lineRule="auto"/>
        <w:ind w:left="567" w:right="-187"/>
        <w:rPr>
          <w:rFonts w:ascii="Century Gothic" w:hAnsi="Century Gothic" w:cs="Arial"/>
          <w:b/>
        </w:rPr>
      </w:pPr>
    </w:p>
    <w:p w14:paraId="35434C04"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Gastos y Fondos de Reserva</w:t>
      </w:r>
      <w:r w:rsidRPr="00286308">
        <w:rPr>
          <w:rFonts w:ascii="Century Gothic" w:hAnsi="Century Gothic" w:cs="Arial"/>
        </w:rPr>
        <w:t>. Se autoriza al Estado, para:</w:t>
      </w:r>
    </w:p>
    <w:p w14:paraId="1F67AB4E" w14:textId="77777777" w:rsidR="00A0583F" w:rsidRPr="00286308" w:rsidRDefault="00A0583F" w:rsidP="00FF6735">
      <w:pPr>
        <w:pStyle w:val="Textoindependiente"/>
        <w:numPr>
          <w:ilvl w:val="0"/>
          <w:numId w:val="21"/>
        </w:numPr>
        <w:spacing w:line="360" w:lineRule="auto"/>
        <w:ind w:left="1134" w:right="-187" w:hanging="567"/>
        <w:rPr>
          <w:rFonts w:ascii="Century Gothic" w:hAnsi="Century Gothic" w:cs="Arial"/>
          <w:b/>
        </w:rPr>
      </w:pPr>
      <w:r w:rsidRPr="00286308">
        <w:rPr>
          <w:rFonts w:ascii="Century Gothic" w:hAnsi="Century Gothic" w:cs="Arial"/>
        </w:rPr>
        <w:t>Contratar y pagar los gastos y costos relacionados con la contratación del Financiamiento COESVI, incluyendo sin limitar, comisiones de apertura, comisiones por disposición, comisiones por estructuración, costos por la contratación de calificadoras, de instrumentos derivados y garantías de pago, y cualesquiera otros gastos o costos asociados que en su caso se requieran para el diseño e instrumentación financiera y/o legal de las operaciones a que se refiere la presente autorización y la contratación del Financiamiento COESVI.</w:t>
      </w:r>
    </w:p>
    <w:p w14:paraId="672390E5" w14:textId="77777777" w:rsidR="00A0583F" w:rsidRPr="00286308" w:rsidRDefault="00A0583F" w:rsidP="005F3E1E">
      <w:pPr>
        <w:pStyle w:val="Textoindependiente"/>
        <w:spacing w:line="360" w:lineRule="auto"/>
        <w:ind w:left="567" w:right="-187"/>
        <w:rPr>
          <w:rFonts w:ascii="Century Gothic" w:hAnsi="Century Gothic" w:cs="Arial"/>
          <w:b/>
        </w:rPr>
      </w:pPr>
    </w:p>
    <w:p w14:paraId="5A7A9EEB" w14:textId="53642713" w:rsidR="00A0583F" w:rsidRPr="00286308" w:rsidRDefault="00A0583F" w:rsidP="005F3E1E">
      <w:pPr>
        <w:pStyle w:val="Textoindependiente"/>
        <w:spacing w:line="360" w:lineRule="auto"/>
        <w:ind w:left="1134" w:right="-187"/>
        <w:rPr>
          <w:rFonts w:ascii="Century Gothic" w:hAnsi="Century Gothic" w:cs="Arial"/>
          <w:b/>
        </w:rPr>
      </w:pPr>
      <w:r w:rsidRPr="00286308">
        <w:rPr>
          <w:rFonts w:ascii="Century Gothic" w:hAnsi="Century Gothic" w:cs="Arial"/>
        </w:rPr>
        <w:t>De conformidad con el artículo 22, de la Ley de Disciplina Financiera</w:t>
      </w:r>
      <w:r w:rsidR="00BD1072" w:rsidRPr="00BD1072">
        <w:rPr>
          <w:rFonts w:ascii="Century Gothic" w:hAnsi="Century Gothic" w:cs="Arial"/>
        </w:rPr>
        <w:t xml:space="preserve"> </w:t>
      </w:r>
      <w:r w:rsidR="00BD1072">
        <w:rPr>
          <w:rFonts w:ascii="Century Gothic" w:hAnsi="Century Gothic" w:cs="Arial"/>
        </w:rPr>
        <w:t>de las Entidades Federativas y los Municipios</w:t>
      </w:r>
      <w:r w:rsidRPr="00286308">
        <w:rPr>
          <w:rFonts w:ascii="Century Gothic" w:hAnsi="Century Gothic" w:cs="Arial"/>
        </w:rPr>
        <w:t xml:space="preserve">, el importe máximo que podrá destinarse para cubrir los gastos y costos asociados al </w:t>
      </w:r>
      <w:r w:rsidRPr="00286308">
        <w:rPr>
          <w:rFonts w:ascii="Century Gothic" w:hAnsi="Century Gothic" w:cs="Arial"/>
        </w:rPr>
        <w:lastRenderedPageBreak/>
        <w:t>Financiamiento COESVI, no podrá exceder del 0.15 por ciento del monto del Financiamiento COESVI.</w:t>
      </w:r>
    </w:p>
    <w:p w14:paraId="2D2F95A2" w14:textId="77777777" w:rsidR="00A0583F" w:rsidRPr="00286308" w:rsidRDefault="00A0583F" w:rsidP="005F3E1E">
      <w:pPr>
        <w:pStyle w:val="Textoindependiente"/>
        <w:spacing w:line="360" w:lineRule="auto"/>
        <w:ind w:left="567" w:right="-187"/>
        <w:rPr>
          <w:rFonts w:ascii="Century Gothic" w:hAnsi="Century Gothic" w:cs="Arial"/>
          <w:b/>
        </w:rPr>
      </w:pPr>
    </w:p>
    <w:p w14:paraId="158C2FC9" w14:textId="77777777" w:rsidR="00A0583F" w:rsidRPr="00286308" w:rsidRDefault="00A0583F" w:rsidP="00FF6735">
      <w:pPr>
        <w:pStyle w:val="Textoindependiente"/>
        <w:numPr>
          <w:ilvl w:val="0"/>
          <w:numId w:val="21"/>
        </w:numPr>
        <w:spacing w:line="360" w:lineRule="auto"/>
        <w:ind w:left="1134" w:right="-187" w:hanging="567"/>
        <w:rPr>
          <w:rFonts w:ascii="Century Gothic" w:hAnsi="Century Gothic" w:cs="Arial"/>
          <w:b/>
        </w:rPr>
      </w:pPr>
      <w:r w:rsidRPr="00286308">
        <w:rPr>
          <w:rFonts w:ascii="Century Gothic" w:hAnsi="Century Gothic" w:cs="Arial"/>
        </w:rPr>
        <w:t>Constituir y/o reconstituir el o los fondos de reservas que resulten necesarios para la implementación del Financiamiento COESVI, dichos fondos de reserva podrán constituirse hasta por un monto equivalente a 3 (tres) meses del servicio de la deuda del Financiamiento COESVI, en el mes inmediato siguiente a la fecha de pago correspondiente.</w:t>
      </w:r>
    </w:p>
    <w:p w14:paraId="3E11F3E2" w14:textId="77777777" w:rsidR="00A0583F" w:rsidRPr="00286308" w:rsidRDefault="00A0583F" w:rsidP="005F3E1E">
      <w:pPr>
        <w:pStyle w:val="Textoindependiente"/>
        <w:spacing w:line="360" w:lineRule="auto"/>
        <w:ind w:left="567" w:right="-187"/>
        <w:rPr>
          <w:rFonts w:ascii="Century Gothic" w:hAnsi="Century Gothic" w:cs="Arial"/>
          <w:b/>
        </w:rPr>
      </w:pPr>
    </w:p>
    <w:p w14:paraId="51C5F1FA" w14:textId="77777777" w:rsidR="00A0583F" w:rsidRPr="00286308" w:rsidRDefault="00A0583F" w:rsidP="00FF6735">
      <w:pPr>
        <w:pStyle w:val="Textoindependiente"/>
        <w:numPr>
          <w:ilvl w:val="1"/>
          <w:numId w:val="8"/>
        </w:numPr>
        <w:spacing w:line="360" w:lineRule="auto"/>
        <w:ind w:left="567" w:right="-187" w:hanging="567"/>
        <w:rPr>
          <w:rFonts w:ascii="Century Gothic" w:hAnsi="Century Gothic" w:cs="Arial"/>
          <w:b/>
        </w:rPr>
      </w:pPr>
      <w:r w:rsidRPr="00286308">
        <w:rPr>
          <w:rFonts w:ascii="Century Gothic" w:hAnsi="Century Gothic" w:cs="Arial"/>
          <w:u w:val="single"/>
        </w:rPr>
        <w:t>Garantías de Pago Oportuno</w:t>
      </w:r>
      <w:r w:rsidRPr="00286308">
        <w:rPr>
          <w:rFonts w:ascii="Century Gothic" w:hAnsi="Century Gothic" w:cs="Arial"/>
        </w:rPr>
        <w:t>. Con la finalidad de fortalecer la estructura y garantizar a los acreedores del Financiamiento COESVI, el Estado, podrá contratar con la Banca de Desarrollo o con cualquier otra institución de crédito de nacionalidad mexicana, cualquier tipo o instrumento de garantías de pago oportuno, o cualesquier otros instrumentos o mecanismos de garantía de pago similares o de soporte crediticio, u operaciones similares, en favor de los acreedores del Financiamiento COESVI, denominadas en pesos o en Unidades de Inversión, pagaderas en moneda nacional y dentro del territorio del país, en la inteligencia de que la vigencia de las Garantías de Pago será igual o menor al plazo del Financiamiento COESVI y hasta por un monto máximo equivalente al 15% (quince por ciento) del saldo insoluto del Financiamiento COESVI. Los costos y gastos de contratación de las Garantías de Pago anteriormente referidas, podrán tener como fuente de pago Ingresos de Libre Disposición del Estado.</w:t>
      </w:r>
    </w:p>
    <w:p w14:paraId="31E0EB99" w14:textId="77777777" w:rsidR="00A0583F" w:rsidRPr="00286308" w:rsidRDefault="00A0583F" w:rsidP="005F3E1E">
      <w:pPr>
        <w:pStyle w:val="Textoindependiente"/>
        <w:spacing w:line="360" w:lineRule="auto"/>
        <w:ind w:left="567" w:right="-187"/>
        <w:rPr>
          <w:rFonts w:ascii="Century Gothic" w:hAnsi="Century Gothic" w:cs="Arial"/>
          <w:b/>
        </w:rPr>
      </w:pPr>
    </w:p>
    <w:p w14:paraId="1CBB1604" w14:textId="77777777" w:rsidR="00A0583F" w:rsidRPr="00286308" w:rsidRDefault="00A0583F" w:rsidP="005F3E1E">
      <w:pPr>
        <w:pStyle w:val="Textoindependiente"/>
        <w:spacing w:line="360" w:lineRule="auto"/>
        <w:ind w:right="-187"/>
        <w:rPr>
          <w:rFonts w:ascii="Century Gothic" w:hAnsi="Century Gothic" w:cs="Arial"/>
          <w:b/>
        </w:rPr>
      </w:pPr>
      <w:r w:rsidRPr="00286308">
        <w:rPr>
          <w:rFonts w:ascii="Century Gothic" w:hAnsi="Century Gothic" w:cs="Arial"/>
          <w:b/>
        </w:rPr>
        <w:t>Artículo Noveno.</w:t>
      </w:r>
      <w:r w:rsidRPr="00286308">
        <w:rPr>
          <w:rFonts w:ascii="Century Gothic" w:hAnsi="Century Gothic" w:cs="Arial"/>
          <w:bCs/>
        </w:rPr>
        <w:t xml:space="preserve"> </w:t>
      </w:r>
      <w:r w:rsidRPr="00286308">
        <w:rPr>
          <w:rFonts w:ascii="Century Gothic" w:hAnsi="Century Gothic" w:cs="Arial"/>
          <w:u w:val="single"/>
        </w:rPr>
        <w:t>Negociación de Términos y Condiciones</w:t>
      </w:r>
      <w:r w:rsidRPr="00286308">
        <w:rPr>
          <w:rFonts w:ascii="Century Gothic" w:hAnsi="Century Gothic" w:cs="Arial"/>
        </w:rPr>
        <w:t>. Se autoriza al Estado de Chihuahua, a la Secretaría de Hacienda del Estado, a Fibra Estatal y a la COESVI, según corresponda, para que a través de los funcionarios facultados legalmente, negocien y acuerden todas las bases, condiciones, términos y modalidades, convenientes o necesarios, en los contratos, convenios, títulos de crédito y demás documentos necesarios para la implementación, según corresponda y resulte aplicable, de las operaciones autorizadas en el presente Decreto, así como para efectuar todos los actos que se requieran o sean convenientes para ejercer e instrumentar las autorizaciones concedidas en el presente Decreto.</w:t>
      </w:r>
    </w:p>
    <w:p w14:paraId="50484B3A" w14:textId="77777777" w:rsidR="00A0583F" w:rsidRPr="00286308" w:rsidRDefault="00A0583F" w:rsidP="005F3E1E">
      <w:pPr>
        <w:pStyle w:val="Textoindependiente"/>
        <w:spacing w:line="360" w:lineRule="auto"/>
        <w:ind w:right="-187"/>
        <w:rPr>
          <w:rFonts w:ascii="Century Gothic" w:hAnsi="Century Gothic" w:cs="Arial"/>
          <w:b/>
        </w:rPr>
      </w:pPr>
    </w:p>
    <w:p w14:paraId="007ADD9F" w14:textId="77777777" w:rsidR="00A0583F" w:rsidRPr="00286308" w:rsidRDefault="00A0583F" w:rsidP="005F3E1E">
      <w:pPr>
        <w:pStyle w:val="Textoindependiente"/>
        <w:spacing w:line="360" w:lineRule="auto"/>
        <w:ind w:right="-187"/>
        <w:rPr>
          <w:rFonts w:ascii="Century Gothic" w:hAnsi="Century Gothic" w:cs="Arial"/>
          <w:bCs/>
        </w:rPr>
      </w:pPr>
      <w:r w:rsidRPr="00286308">
        <w:rPr>
          <w:rFonts w:ascii="Century Gothic" w:hAnsi="Century Gothic" w:cs="Arial"/>
        </w:rPr>
        <w:t>Las operaciones autorizadas en el presente Decreto, se ejercerán previo cumplimiento de las disposiciones legales aplicables.</w:t>
      </w:r>
    </w:p>
    <w:p w14:paraId="0494BF4F" w14:textId="77777777" w:rsidR="00A0583F" w:rsidRPr="00286308" w:rsidRDefault="00A0583F" w:rsidP="005F3E1E">
      <w:pPr>
        <w:pStyle w:val="Textoindependiente"/>
        <w:spacing w:line="360" w:lineRule="auto"/>
        <w:ind w:right="-187"/>
        <w:rPr>
          <w:rFonts w:ascii="Century Gothic" w:hAnsi="Century Gothic" w:cs="Arial"/>
          <w:b/>
        </w:rPr>
      </w:pPr>
    </w:p>
    <w:p w14:paraId="597BE30F" w14:textId="77777777" w:rsidR="00A0583F" w:rsidRPr="00286308" w:rsidRDefault="00A0583F" w:rsidP="005F3E1E">
      <w:pPr>
        <w:pStyle w:val="Textoindependiente"/>
        <w:spacing w:line="360" w:lineRule="auto"/>
        <w:ind w:right="-187"/>
        <w:rPr>
          <w:rFonts w:ascii="Century Gothic" w:hAnsi="Century Gothic" w:cs="Arial"/>
          <w:b/>
        </w:rPr>
      </w:pPr>
      <w:r w:rsidRPr="00286308">
        <w:rPr>
          <w:rFonts w:ascii="Century Gothic" w:hAnsi="Century Gothic" w:cs="Arial"/>
          <w:b/>
        </w:rPr>
        <w:t>Artículo Décimo.</w:t>
      </w:r>
      <w:r w:rsidRPr="00286308">
        <w:rPr>
          <w:rFonts w:ascii="Century Gothic" w:hAnsi="Century Gothic" w:cs="Arial"/>
          <w:bCs/>
        </w:rPr>
        <w:t xml:space="preserve"> </w:t>
      </w:r>
      <w:r w:rsidRPr="00286308">
        <w:rPr>
          <w:rFonts w:ascii="Century Gothic" w:hAnsi="Century Gothic" w:cs="Arial"/>
          <w:u w:val="single"/>
        </w:rPr>
        <w:t>Ingresos Adicionales</w:t>
      </w:r>
      <w:r w:rsidRPr="00286308">
        <w:rPr>
          <w:rFonts w:ascii="Century Gothic" w:hAnsi="Century Gothic" w:cs="Arial"/>
        </w:rPr>
        <w:t>. Los importes que resulten de las operaciones autorizadas por este Decreto, se considerarán para todos los efectos como ingresos adicionales a los previstos en la Ley de Ingresos del ejercicio fiscal 2023.</w:t>
      </w:r>
    </w:p>
    <w:p w14:paraId="00C2A5FB" w14:textId="77777777" w:rsidR="00A0583F" w:rsidRPr="00286308" w:rsidRDefault="00A0583F" w:rsidP="005F3E1E">
      <w:pPr>
        <w:pStyle w:val="Textoindependiente"/>
        <w:spacing w:line="360" w:lineRule="auto"/>
        <w:ind w:right="-187"/>
        <w:rPr>
          <w:rFonts w:ascii="Century Gothic" w:hAnsi="Century Gothic" w:cs="Arial"/>
          <w:b/>
        </w:rPr>
      </w:pPr>
    </w:p>
    <w:p w14:paraId="46663525" w14:textId="77777777" w:rsidR="00A0583F" w:rsidRPr="00286308" w:rsidRDefault="00A0583F" w:rsidP="005F3E1E">
      <w:pPr>
        <w:pStyle w:val="Textoindependiente"/>
        <w:spacing w:line="360" w:lineRule="auto"/>
        <w:ind w:right="-187"/>
        <w:rPr>
          <w:rFonts w:ascii="Century Gothic" w:hAnsi="Century Gothic" w:cs="Arial"/>
          <w:b/>
        </w:rPr>
      </w:pPr>
      <w:r w:rsidRPr="00286308">
        <w:rPr>
          <w:rFonts w:ascii="Century Gothic" w:hAnsi="Century Gothic" w:cs="Arial"/>
        </w:rPr>
        <w:t xml:space="preserve">Derivado de lo anterior, se entiende reformada la Ley de Ingresos del Estado de Chihuahua para el Ejercicio Fiscal 2023, por los montos que el Estado, Fibra Estatal y a la COESVI, según resulte aplicable, ingresarán a su hacienda por la contratación de las operaciones previstas en el presente Decreto. Adicionalmente, se deberá incluir en la Ley de Ingresos del Estado Chihuahua </w:t>
      </w:r>
      <w:r w:rsidRPr="00286308">
        <w:rPr>
          <w:rFonts w:ascii="Century Gothic" w:hAnsi="Century Gothic" w:cs="Arial"/>
        </w:rPr>
        <w:lastRenderedPageBreak/>
        <w:t xml:space="preserve">para el Ejercicio Fiscal 2022 y 2023 la Deuda Pública derivada de las obligaciones que contraigan los Entes Públicos autorizados al amparo del presente Decreto. </w:t>
      </w:r>
    </w:p>
    <w:p w14:paraId="5A11B7AA" w14:textId="77777777" w:rsidR="00A0583F" w:rsidRPr="00286308" w:rsidRDefault="00A0583F" w:rsidP="005F3E1E">
      <w:pPr>
        <w:pStyle w:val="Textoindependiente"/>
        <w:spacing w:line="360" w:lineRule="auto"/>
        <w:ind w:right="-187"/>
        <w:rPr>
          <w:rFonts w:ascii="Century Gothic" w:hAnsi="Century Gothic" w:cs="Arial"/>
          <w:b/>
        </w:rPr>
      </w:pPr>
    </w:p>
    <w:p w14:paraId="74BFD749" w14:textId="77777777" w:rsidR="00A0583F" w:rsidRPr="00286308" w:rsidRDefault="00A0583F" w:rsidP="005F3E1E">
      <w:pPr>
        <w:pStyle w:val="Textoindependiente"/>
        <w:spacing w:line="360" w:lineRule="auto"/>
        <w:ind w:right="-187"/>
        <w:rPr>
          <w:rFonts w:ascii="Century Gothic" w:hAnsi="Century Gothic" w:cs="Arial"/>
          <w:b/>
        </w:rPr>
      </w:pPr>
      <w:r w:rsidRPr="00286308">
        <w:rPr>
          <w:rFonts w:ascii="Century Gothic" w:hAnsi="Century Gothic" w:cs="Arial"/>
        </w:rPr>
        <w:t>Asimismo, mientras existan obligaciones de pago derivadas de las obligaciones que emanen de lo autorizado en el presente Decreto, deberá preverse en los respectivos Decretos de Presupuesto de Egresos las partidas necesarias para el pago del servicio de la deuda y sus accesorios, bajo los términos contratados, hasta la total liquidación.</w:t>
      </w:r>
    </w:p>
    <w:p w14:paraId="7EB30640" w14:textId="77777777" w:rsidR="00A0583F" w:rsidRPr="00286308" w:rsidRDefault="00A0583F" w:rsidP="005F3E1E">
      <w:pPr>
        <w:pStyle w:val="Textoindependiente"/>
        <w:spacing w:line="360" w:lineRule="auto"/>
        <w:ind w:left="567" w:right="-187"/>
        <w:rPr>
          <w:rFonts w:ascii="Century Gothic" w:hAnsi="Century Gothic" w:cs="Arial"/>
          <w:b/>
        </w:rPr>
      </w:pPr>
    </w:p>
    <w:p w14:paraId="3503B378" w14:textId="77777777" w:rsidR="00A0583F" w:rsidRPr="00286308" w:rsidRDefault="00A0583F" w:rsidP="005F3E1E">
      <w:pPr>
        <w:pStyle w:val="Textoindependiente"/>
        <w:spacing w:line="360" w:lineRule="auto"/>
        <w:ind w:right="-187"/>
        <w:rPr>
          <w:rFonts w:ascii="Century Gothic" w:hAnsi="Century Gothic" w:cs="Arial"/>
          <w:b/>
        </w:rPr>
      </w:pPr>
      <w:r w:rsidRPr="00286308">
        <w:rPr>
          <w:rFonts w:ascii="Century Gothic" w:hAnsi="Century Gothic" w:cs="Arial"/>
          <w:b/>
        </w:rPr>
        <w:t>Artículo Décimo Primero.</w:t>
      </w:r>
      <w:r w:rsidRPr="00286308">
        <w:rPr>
          <w:rFonts w:ascii="Century Gothic" w:hAnsi="Century Gothic" w:cs="Arial"/>
          <w:bCs/>
        </w:rPr>
        <w:t xml:space="preserve"> </w:t>
      </w:r>
      <w:r w:rsidRPr="00286308">
        <w:rPr>
          <w:rFonts w:ascii="Century Gothic" w:hAnsi="Century Gothic" w:cs="Arial"/>
          <w:u w:val="single"/>
        </w:rPr>
        <w:t>Celebración de Documentos</w:t>
      </w:r>
      <w:r w:rsidRPr="00286308">
        <w:rPr>
          <w:rFonts w:ascii="Century Gothic" w:hAnsi="Century Gothic" w:cs="Arial"/>
        </w:rPr>
        <w:t>. Se autoriza al Estado de Chihuahua, a Fibra Estatal y a la COESVI, para que a través de los funcionarios facultados legalmente, lleven a cabo todos los actos jurídicos necesarios, celebren, modifiquen o suscriban todos los documentos, títulos de crédito, fideicomisos, contratos, convenios, mandatos, obligaciones solidarias, mecanismos, instrucciones irrevocables o cualquier instrumento legal que se requiera para formalizar las operaciones autorizadas en este Decreto, con las características, monto, condiciones y términos que consten y se negocien, así como para instrumentar las afectaciones que se requieran para constituir las fuentes de pago y/o de garantía, para el cumplimiento de las obligaciones asociadas a los documentos que se celebren con base en este Decreto.</w:t>
      </w:r>
    </w:p>
    <w:p w14:paraId="6A08E3EC" w14:textId="77777777" w:rsidR="00A0583F" w:rsidRPr="00286308" w:rsidRDefault="00A0583F" w:rsidP="005F3E1E">
      <w:pPr>
        <w:pStyle w:val="Textoindependiente"/>
        <w:spacing w:line="360" w:lineRule="auto"/>
        <w:ind w:left="567" w:right="-187"/>
        <w:rPr>
          <w:rFonts w:ascii="Century Gothic" w:hAnsi="Century Gothic" w:cs="Arial"/>
          <w:b/>
        </w:rPr>
      </w:pPr>
    </w:p>
    <w:p w14:paraId="721CD310" w14:textId="77777777" w:rsidR="00A0583F" w:rsidRPr="00286308" w:rsidRDefault="00A0583F" w:rsidP="005F3E1E">
      <w:pPr>
        <w:pStyle w:val="Textoindependiente"/>
        <w:spacing w:line="360" w:lineRule="auto"/>
        <w:ind w:right="-187"/>
        <w:rPr>
          <w:rFonts w:ascii="Century Gothic" w:hAnsi="Century Gothic" w:cs="Arial"/>
          <w:b/>
        </w:rPr>
      </w:pPr>
      <w:r w:rsidRPr="00286308">
        <w:rPr>
          <w:rFonts w:ascii="Century Gothic" w:hAnsi="Century Gothic" w:cs="Arial"/>
          <w:b/>
        </w:rPr>
        <w:t>Artículo Décimo Segundo.</w:t>
      </w:r>
      <w:r w:rsidRPr="00286308">
        <w:rPr>
          <w:rFonts w:ascii="Century Gothic" w:hAnsi="Century Gothic" w:cs="Arial"/>
        </w:rPr>
        <w:t xml:space="preserve"> </w:t>
      </w:r>
      <w:r w:rsidRPr="00286308">
        <w:rPr>
          <w:rFonts w:ascii="Century Gothic" w:hAnsi="Century Gothic" w:cs="Arial"/>
          <w:u w:val="single"/>
        </w:rPr>
        <w:t>Inscripción de los Financiamientos</w:t>
      </w:r>
      <w:r w:rsidRPr="00286308">
        <w:rPr>
          <w:rFonts w:ascii="Century Gothic" w:hAnsi="Century Gothic" w:cs="Arial"/>
        </w:rPr>
        <w:t xml:space="preserve">. Según resulte aplicable, el Estado de Chihuahua, a Fibra Estatal y a la COESVI, conforme a lo establecido en el presente Decreto, deberán inscribir las obligaciones al </w:t>
      </w:r>
      <w:r w:rsidRPr="00286308">
        <w:rPr>
          <w:rFonts w:ascii="Century Gothic" w:hAnsi="Century Gothic" w:cs="Arial"/>
        </w:rPr>
        <w:lastRenderedPageBreak/>
        <w:t xml:space="preserve">amparo de las operaciones autorizadas en el presente Decreto, en el Registro Central de Deuda Pública Estatal del Estado de Chihuahua y en el Registro Público Único de Financiamientos y Obligaciones de Entidades Federativas y Municipios, estando autorizado para llevar a cabo todos los actos necesarios para obtener dichos registros en términos de las normativas aplicables. </w:t>
      </w:r>
    </w:p>
    <w:p w14:paraId="56D9F017" w14:textId="77777777" w:rsidR="00A0583F" w:rsidRPr="00286308" w:rsidRDefault="00A0583F" w:rsidP="005F3E1E">
      <w:pPr>
        <w:pStyle w:val="Textoindependiente"/>
        <w:spacing w:line="360" w:lineRule="auto"/>
        <w:ind w:right="-187"/>
        <w:rPr>
          <w:rFonts w:ascii="Century Gothic" w:hAnsi="Century Gothic" w:cs="Arial"/>
          <w:b/>
        </w:rPr>
      </w:pPr>
    </w:p>
    <w:p w14:paraId="01DC9620" w14:textId="4774DBFC" w:rsidR="00A0583F" w:rsidRPr="00286308" w:rsidRDefault="00A0583F" w:rsidP="005F3E1E">
      <w:pPr>
        <w:pStyle w:val="Textoindependiente"/>
        <w:spacing w:line="360" w:lineRule="auto"/>
        <w:ind w:right="-187"/>
        <w:rPr>
          <w:rFonts w:ascii="Century Gothic" w:hAnsi="Century Gothic" w:cs="Arial"/>
          <w:b/>
        </w:rPr>
      </w:pPr>
      <w:r w:rsidRPr="00286308">
        <w:rPr>
          <w:rFonts w:ascii="Century Gothic" w:hAnsi="Century Gothic" w:cs="Arial"/>
          <w:b/>
        </w:rPr>
        <w:t>Artículo Décimo Tercero.</w:t>
      </w:r>
      <w:r w:rsidRPr="00286308">
        <w:rPr>
          <w:rFonts w:ascii="Century Gothic" w:hAnsi="Century Gothic" w:cs="Arial"/>
        </w:rPr>
        <w:t xml:space="preserve"> El presente Decreto se considera de orden público e interés social y, por lo tanto, todas las autorizaciones y actos contenidos en el mismo, se otorgan previo análisis del destino, capacidad de pago del Estado de Chihuahua, a Fibra Estatal y a la COESVI del otorgamiento de garantías o establecimiento de fuente de pago de los financiamientos y obligaciones que se contraten, o la emisión de certificados realizados, al amparo del presente Decreto, lo anterior, de conformidad con lo previsto en la fracción VIII del Artículo 117 de la Constitución Política de los Estados Unidos Mexicanos, por el voto de cuando menos las dos terceras partes de los miembros presente</w:t>
      </w:r>
      <w:r w:rsidR="00253AD7">
        <w:rPr>
          <w:rFonts w:ascii="Century Gothic" w:hAnsi="Century Gothic" w:cs="Arial"/>
        </w:rPr>
        <w:t>s</w:t>
      </w:r>
      <w:r w:rsidRPr="00286308">
        <w:rPr>
          <w:rFonts w:ascii="Century Gothic" w:hAnsi="Century Gothic" w:cs="Arial"/>
        </w:rPr>
        <w:t xml:space="preserve"> del Congreso del Estado. </w:t>
      </w:r>
    </w:p>
    <w:p w14:paraId="0677EF18" w14:textId="77777777" w:rsidR="00A0583F" w:rsidRPr="00286308" w:rsidRDefault="00A0583F" w:rsidP="005F3E1E">
      <w:pPr>
        <w:pStyle w:val="Textoindependiente"/>
        <w:spacing w:line="360" w:lineRule="auto"/>
        <w:ind w:right="-187"/>
        <w:rPr>
          <w:rFonts w:ascii="Century Gothic" w:hAnsi="Century Gothic" w:cs="Arial"/>
          <w:b/>
        </w:rPr>
      </w:pPr>
    </w:p>
    <w:p w14:paraId="421C184E" w14:textId="77777777" w:rsidR="00A0583F" w:rsidRPr="00286308" w:rsidRDefault="00A0583F" w:rsidP="005F3E1E">
      <w:pPr>
        <w:pStyle w:val="Textoindependiente"/>
        <w:spacing w:line="360" w:lineRule="auto"/>
        <w:ind w:right="-187"/>
        <w:rPr>
          <w:rFonts w:ascii="Century Gothic" w:hAnsi="Century Gothic" w:cs="Arial"/>
          <w:b/>
        </w:rPr>
      </w:pPr>
      <w:r w:rsidRPr="00286308">
        <w:rPr>
          <w:rFonts w:ascii="Century Gothic" w:hAnsi="Century Gothic" w:cs="Arial"/>
          <w:b/>
        </w:rPr>
        <w:t>Artículo Décimo Cuarto.</w:t>
      </w:r>
      <w:r w:rsidRPr="00286308">
        <w:rPr>
          <w:rFonts w:ascii="Century Gothic" w:hAnsi="Century Gothic" w:cs="Arial"/>
        </w:rPr>
        <w:t xml:space="preserve"> Para la aprobación del presente Decreto, esta legislatura incluyó sus dictámenes respectivos, de acuerdo con el artículo 16 de la Ley de Disciplina Financiera de las Entidades Federativas y los Municipios.</w:t>
      </w:r>
    </w:p>
    <w:p w14:paraId="4ADD35BA" w14:textId="77777777" w:rsidR="00A0583F" w:rsidRPr="00286308" w:rsidRDefault="00A0583F" w:rsidP="005F3E1E">
      <w:pPr>
        <w:pStyle w:val="Textoindependiente"/>
        <w:spacing w:line="360" w:lineRule="auto"/>
        <w:ind w:right="-187"/>
        <w:rPr>
          <w:rFonts w:ascii="Century Gothic" w:hAnsi="Century Gothic" w:cs="Arial"/>
          <w:b/>
        </w:rPr>
      </w:pPr>
    </w:p>
    <w:p w14:paraId="2363037A" w14:textId="0BFBDBFA" w:rsidR="00A0583F" w:rsidRPr="00286308" w:rsidRDefault="00A0583F" w:rsidP="005F3E1E">
      <w:pPr>
        <w:pStyle w:val="Textoindependiente"/>
        <w:spacing w:line="360" w:lineRule="auto"/>
        <w:ind w:right="-187"/>
        <w:rPr>
          <w:rFonts w:ascii="Century Gothic" w:hAnsi="Century Gothic" w:cs="Arial"/>
          <w:b/>
        </w:rPr>
      </w:pPr>
      <w:bookmarkStart w:id="4" w:name="_Hlk121845052"/>
      <w:r w:rsidRPr="00286308">
        <w:rPr>
          <w:rFonts w:ascii="Century Gothic" w:hAnsi="Century Gothic" w:cs="Arial"/>
          <w:b/>
        </w:rPr>
        <w:t>Artículo Décimo Quinto.</w:t>
      </w:r>
      <w:r w:rsidRPr="00286308">
        <w:rPr>
          <w:rFonts w:ascii="Century Gothic" w:hAnsi="Century Gothic" w:cs="Arial"/>
          <w:bCs/>
        </w:rPr>
        <w:t xml:space="preserve"> </w:t>
      </w:r>
      <w:r w:rsidRPr="00286308">
        <w:rPr>
          <w:rFonts w:ascii="Century Gothic" w:hAnsi="Century Gothic" w:cs="Arial"/>
          <w:u w:val="single"/>
        </w:rPr>
        <w:t>Vigencia de la autorización</w:t>
      </w:r>
      <w:r w:rsidRPr="00286308">
        <w:rPr>
          <w:rFonts w:ascii="Century Gothic" w:hAnsi="Century Gothic" w:cs="Arial"/>
        </w:rPr>
        <w:t xml:space="preserve">. Conforme al artículo 24, </w:t>
      </w:r>
      <w:r w:rsidR="0089494F" w:rsidRPr="00286308">
        <w:rPr>
          <w:rFonts w:ascii="Century Gothic" w:hAnsi="Century Gothic" w:cs="Arial"/>
        </w:rPr>
        <w:t>F</w:t>
      </w:r>
      <w:r w:rsidRPr="00286308">
        <w:rPr>
          <w:rFonts w:ascii="Century Gothic" w:hAnsi="Century Gothic" w:cs="Arial"/>
        </w:rPr>
        <w:t>racción V</w:t>
      </w:r>
      <w:r w:rsidR="0089494F" w:rsidRPr="00286308">
        <w:rPr>
          <w:rFonts w:ascii="Century Gothic" w:hAnsi="Century Gothic" w:cs="Arial"/>
        </w:rPr>
        <w:t>,</w:t>
      </w:r>
      <w:r w:rsidRPr="00286308">
        <w:rPr>
          <w:rFonts w:ascii="Century Gothic" w:hAnsi="Century Gothic" w:cs="Arial"/>
        </w:rPr>
        <w:t xml:space="preserve"> de la </w:t>
      </w:r>
      <w:r w:rsidR="004633E4" w:rsidRPr="00286308">
        <w:rPr>
          <w:rFonts w:ascii="Century Gothic" w:hAnsi="Century Gothic" w:cs="Arial"/>
        </w:rPr>
        <w:t>L</w:t>
      </w:r>
      <w:r w:rsidR="004633E4" w:rsidRPr="00286308">
        <w:rPr>
          <w:rFonts w:ascii="Century Gothic" w:hAnsi="Century Gothic" w:cs="Tahoma"/>
        </w:rPr>
        <w:t>ey de Disciplina Financiera de las Entidades Federativas y los Municipios</w:t>
      </w:r>
      <w:r w:rsidRPr="00286308">
        <w:rPr>
          <w:rFonts w:ascii="Century Gothic" w:hAnsi="Century Gothic" w:cs="Arial"/>
        </w:rPr>
        <w:t>, las autorizaciones establecidas en el presente Decreto podrán ejercerse durante los ejercicios fiscales 2022 y 2023.</w:t>
      </w:r>
    </w:p>
    <w:bookmarkEnd w:id="4"/>
    <w:p w14:paraId="2889302B" w14:textId="77777777" w:rsidR="00A0583F" w:rsidRPr="00286308" w:rsidRDefault="00A0583F" w:rsidP="005F3E1E">
      <w:pPr>
        <w:pStyle w:val="Textoindependiente"/>
        <w:spacing w:line="360" w:lineRule="auto"/>
        <w:ind w:right="-187"/>
        <w:rPr>
          <w:rFonts w:ascii="Century Gothic" w:hAnsi="Century Gothic" w:cs="Arial"/>
          <w:b/>
        </w:rPr>
      </w:pPr>
    </w:p>
    <w:p w14:paraId="3209BB16" w14:textId="442D6FCB" w:rsidR="00A0583F" w:rsidRPr="00286308" w:rsidRDefault="00A0583F" w:rsidP="005F3E1E">
      <w:pPr>
        <w:pStyle w:val="Textoindependiente"/>
        <w:spacing w:line="360" w:lineRule="auto"/>
        <w:ind w:right="-187"/>
        <w:rPr>
          <w:rFonts w:ascii="Century Gothic" w:hAnsi="Century Gothic" w:cs="Arial"/>
          <w:b/>
        </w:rPr>
      </w:pPr>
      <w:r w:rsidRPr="00286308">
        <w:rPr>
          <w:rFonts w:ascii="Century Gothic" w:hAnsi="Century Gothic" w:cs="Arial"/>
          <w:b/>
        </w:rPr>
        <w:t>Artículo Décimo Sexto.</w:t>
      </w:r>
      <w:r w:rsidRPr="00286308">
        <w:rPr>
          <w:rFonts w:ascii="Century Gothic" w:hAnsi="Century Gothic" w:cs="Arial"/>
          <w:bCs/>
        </w:rPr>
        <w:t xml:space="preserve"> </w:t>
      </w:r>
      <w:r w:rsidRPr="00286308">
        <w:rPr>
          <w:rFonts w:ascii="Century Gothic" w:hAnsi="Century Gothic" w:cs="Arial"/>
        </w:rPr>
        <w:t xml:space="preserve">Los encabezados de los artículos, numerales y/o incisos del presente Decreto son meramente para efectos de referencia y no afectarán la interpretación del contenido del presente </w:t>
      </w:r>
      <w:r w:rsidR="00253AD7">
        <w:rPr>
          <w:rFonts w:ascii="Century Gothic" w:hAnsi="Century Gothic" w:cs="Arial"/>
        </w:rPr>
        <w:t>D</w:t>
      </w:r>
      <w:r w:rsidRPr="00286308">
        <w:rPr>
          <w:rFonts w:ascii="Century Gothic" w:hAnsi="Century Gothic" w:cs="Arial"/>
        </w:rPr>
        <w:t>ecreto.</w:t>
      </w:r>
    </w:p>
    <w:p w14:paraId="3A5B1030" w14:textId="77777777" w:rsidR="00A0583F" w:rsidRPr="00286308" w:rsidRDefault="00A0583F" w:rsidP="005F3E1E">
      <w:pPr>
        <w:pStyle w:val="Textoindependiente"/>
        <w:spacing w:line="360" w:lineRule="auto"/>
        <w:ind w:right="-187"/>
        <w:rPr>
          <w:rFonts w:ascii="Century Gothic" w:hAnsi="Century Gothic" w:cs="Arial"/>
          <w:b/>
        </w:rPr>
      </w:pPr>
    </w:p>
    <w:p w14:paraId="12663E79" w14:textId="77777777" w:rsidR="00A0583F" w:rsidRPr="00286308" w:rsidRDefault="00A0583F" w:rsidP="005F3E1E">
      <w:pPr>
        <w:spacing w:after="0" w:line="360" w:lineRule="auto"/>
        <w:jc w:val="center"/>
        <w:rPr>
          <w:rFonts w:ascii="Century Gothic" w:eastAsia="Calibri" w:hAnsi="Century Gothic" w:cs="Arial"/>
          <w:b/>
          <w:bCs/>
          <w:sz w:val="28"/>
          <w:szCs w:val="28"/>
          <w:lang w:eastAsia="en-US"/>
        </w:rPr>
      </w:pPr>
    </w:p>
    <w:p w14:paraId="5E26DFE9" w14:textId="3DFC4816" w:rsidR="00884D05" w:rsidRPr="00286308" w:rsidRDefault="00884D05" w:rsidP="005F3E1E">
      <w:pPr>
        <w:spacing w:after="0" w:line="360" w:lineRule="auto"/>
        <w:jc w:val="center"/>
        <w:rPr>
          <w:rFonts w:ascii="Century Gothic" w:eastAsia="Calibri" w:hAnsi="Century Gothic" w:cs="Arial"/>
          <w:b/>
          <w:bCs/>
          <w:sz w:val="28"/>
          <w:szCs w:val="28"/>
          <w:lang w:eastAsia="en-US"/>
        </w:rPr>
      </w:pPr>
      <w:r w:rsidRPr="00286308">
        <w:rPr>
          <w:rFonts w:ascii="Century Gothic" w:eastAsia="Calibri" w:hAnsi="Century Gothic" w:cs="Arial"/>
          <w:b/>
          <w:bCs/>
          <w:sz w:val="28"/>
          <w:szCs w:val="28"/>
          <w:lang w:eastAsia="en-US"/>
        </w:rPr>
        <w:t>TRANSITORIOS</w:t>
      </w:r>
    </w:p>
    <w:p w14:paraId="6E15AF18" w14:textId="77777777" w:rsidR="004B6D6A" w:rsidRPr="00286308" w:rsidRDefault="004B6D6A" w:rsidP="005F3E1E">
      <w:pPr>
        <w:spacing w:after="0" w:line="360" w:lineRule="auto"/>
        <w:jc w:val="center"/>
        <w:rPr>
          <w:rFonts w:ascii="Century Gothic" w:eastAsia="Calibri" w:hAnsi="Century Gothic" w:cs="Arial"/>
          <w:b/>
          <w:bCs/>
          <w:sz w:val="28"/>
          <w:szCs w:val="28"/>
          <w:lang w:eastAsia="en-US"/>
        </w:rPr>
      </w:pPr>
    </w:p>
    <w:p w14:paraId="15857185" w14:textId="6FA71BD9" w:rsidR="00884D05" w:rsidRPr="00286308" w:rsidRDefault="00884D05" w:rsidP="005F3E1E">
      <w:pPr>
        <w:autoSpaceDE w:val="0"/>
        <w:autoSpaceDN w:val="0"/>
        <w:adjustRightInd w:val="0"/>
        <w:spacing w:after="0" w:line="360" w:lineRule="auto"/>
        <w:jc w:val="both"/>
        <w:rPr>
          <w:rFonts w:ascii="Century Gothic" w:hAnsi="Century Gothic" w:cs="Arial"/>
          <w:sz w:val="24"/>
          <w:szCs w:val="24"/>
          <w:lang w:val="es-ES"/>
        </w:rPr>
      </w:pPr>
      <w:r w:rsidRPr="00286308">
        <w:rPr>
          <w:rFonts w:ascii="Century Gothic" w:hAnsi="Century Gothic" w:cs="Arial"/>
          <w:b/>
          <w:sz w:val="28"/>
          <w:szCs w:val="28"/>
          <w:lang w:val="es-ES"/>
        </w:rPr>
        <w:t xml:space="preserve">ARTÍCULO </w:t>
      </w:r>
      <w:proofErr w:type="gramStart"/>
      <w:r w:rsidR="00AA41FA" w:rsidRPr="00286308">
        <w:rPr>
          <w:rFonts w:ascii="Century Gothic" w:hAnsi="Century Gothic" w:cs="Arial"/>
          <w:b/>
          <w:sz w:val="28"/>
          <w:szCs w:val="28"/>
          <w:lang w:val="es-ES"/>
        </w:rPr>
        <w:t>PRIMERO</w:t>
      </w:r>
      <w:r w:rsidRPr="00286308">
        <w:rPr>
          <w:rFonts w:ascii="Century Gothic" w:hAnsi="Century Gothic" w:cs="Arial"/>
          <w:b/>
          <w:sz w:val="28"/>
          <w:szCs w:val="28"/>
          <w:lang w:val="es-ES"/>
        </w:rPr>
        <w:t>.-</w:t>
      </w:r>
      <w:proofErr w:type="gramEnd"/>
      <w:r w:rsidRPr="00286308">
        <w:rPr>
          <w:rFonts w:ascii="Century Gothic" w:hAnsi="Century Gothic" w:cs="Arial"/>
          <w:b/>
          <w:sz w:val="24"/>
          <w:szCs w:val="24"/>
          <w:lang w:val="es-ES"/>
        </w:rPr>
        <w:t xml:space="preserve"> </w:t>
      </w:r>
      <w:r w:rsidRPr="00286308">
        <w:rPr>
          <w:rFonts w:ascii="Century Gothic" w:hAnsi="Century Gothic" w:cs="Arial"/>
          <w:sz w:val="24"/>
          <w:szCs w:val="24"/>
          <w:lang w:val="es-ES"/>
        </w:rPr>
        <w:t xml:space="preserve">El presente Decreto entrará en vigor al día siguiente de su publicación en el </w:t>
      </w:r>
      <w:r w:rsidR="00CF01E9" w:rsidRPr="00286308">
        <w:rPr>
          <w:rFonts w:ascii="Century Gothic" w:hAnsi="Century Gothic" w:cs="Arial"/>
          <w:sz w:val="24"/>
          <w:szCs w:val="24"/>
          <w:lang w:val="es-ES"/>
        </w:rPr>
        <w:t>Periódico Oficial del Estado</w:t>
      </w:r>
      <w:r w:rsidRPr="00286308">
        <w:rPr>
          <w:rFonts w:ascii="Century Gothic" w:hAnsi="Century Gothic" w:cs="Arial"/>
          <w:sz w:val="24"/>
          <w:szCs w:val="24"/>
          <w:lang w:val="es-ES"/>
        </w:rPr>
        <w:t>.</w:t>
      </w:r>
    </w:p>
    <w:p w14:paraId="3B60B802" w14:textId="77777777" w:rsidR="00610D6A" w:rsidRPr="00286308" w:rsidRDefault="00610D6A" w:rsidP="005F3E1E">
      <w:pPr>
        <w:spacing w:after="0" w:line="360" w:lineRule="auto"/>
        <w:jc w:val="both"/>
        <w:rPr>
          <w:rFonts w:ascii="Century Gothic" w:eastAsia="Calibri" w:hAnsi="Century Gothic" w:cs="Arial"/>
          <w:b/>
          <w:sz w:val="24"/>
          <w:szCs w:val="24"/>
          <w:lang w:eastAsia="en-US"/>
        </w:rPr>
      </w:pPr>
    </w:p>
    <w:p w14:paraId="08800384" w14:textId="5DB75DB6" w:rsidR="00610D6A" w:rsidRPr="00286308" w:rsidRDefault="00610D6A" w:rsidP="005F3E1E">
      <w:pPr>
        <w:spacing w:after="0" w:line="360" w:lineRule="auto"/>
        <w:jc w:val="both"/>
        <w:rPr>
          <w:rFonts w:ascii="Century Gothic" w:eastAsia="Calibri" w:hAnsi="Century Gothic" w:cs="Arial"/>
          <w:sz w:val="24"/>
          <w:szCs w:val="24"/>
          <w:lang w:eastAsia="en-US"/>
        </w:rPr>
      </w:pPr>
      <w:r w:rsidRPr="00286308">
        <w:rPr>
          <w:rFonts w:ascii="Century Gothic" w:eastAsia="Calibri" w:hAnsi="Century Gothic" w:cs="Arial"/>
          <w:b/>
          <w:sz w:val="28"/>
          <w:szCs w:val="28"/>
          <w:lang w:eastAsia="en-US"/>
        </w:rPr>
        <w:t xml:space="preserve">ARTÍCULO </w:t>
      </w:r>
      <w:proofErr w:type="gramStart"/>
      <w:r w:rsidR="008A6159" w:rsidRPr="00286308">
        <w:rPr>
          <w:rFonts w:ascii="Century Gothic" w:eastAsia="Calibri" w:hAnsi="Century Gothic" w:cs="Arial"/>
          <w:b/>
          <w:sz w:val="28"/>
          <w:szCs w:val="28"/>
          <w:lang w:eastAsia="en-US"/>
        </w:rPr>
        <w:t>SEGUNDO.</w:t>
      </w:r>
      <w:r w:rsidRPr="00286308">
        <w:rPr>
          <w:rFonts w:ascii="Century Gothic" w:eastAsia="Calibri" w:hAnsi="Century Gothic" w:cs="Arial"/>
          <w:b/>
          <w:sz w:val="28"/>
          <w:szCs w:val="28"/>
          <w:lang w:eastAsia="en-US"/>
        </w:rPr>
        <w:t>-</w:t>
      </w:r>
      <w:proofErr w:type="gramEnd"/>
      <w:r w:rsidRPr="00286308">
        <w:rPr>
          <w:rFonts w:ascii="Century Gothic" w:eastAsia="Calibri" w:hAnsi="Century Gothic" w:cs="Arial"/>
          <w:b/>
          <w:sz w:val="24"/>
          <w:szCs w:val="24"/>
          <w:lang w:eastAsia="en-US"/>
        </w:rPr>
        <w:t xml:space="preserve"> </w:t>
      </w:r>
      <w:r w:rsidRPr="00286308">
        <w:rPr>
          <w:rFonts w:ascii="Century Gothic" w:eastAsia="Calibri" w:hAnsi="Century Gothic" w:cs="Arial"/>
          <w:sz w:val="24"/>
          <w:szCs w:val="24"/>
          <w:lang w:eastAsia="en-US"/>
        </w:rPr>
        <w:t>Se derogan todas las disposiciones legales y administrativas del marco jurídico estatal</w:t>
      </w:r>
      <w:r w:rsidR="003B31F2" w:rsidRPr="00286308">
        <w:rPr>
          <w:rFonts w:ascii="Century Gothic" w:eastAsia="Calibri" w:hAnsi="Century Gothic" w:cs="Arial"/>
          <w:sz w:val="24"/>
          <w:szCs w:val="24"/>
          <w:lang w:eastAsia="en-US"/>
        </w:rPr>
        <w:t>,</w:t>
      </w:r>
      <w:r w:rsidRPr="00286308">
        <w:rPr>
          <w:rFonts w:ascii="Century Gothic" w:eastAsia="Calibri" w:hAnsi="Century Gothic" w:cs="Arial"/>
          <w:sz w:val="24"/>
          <w:szCs w:val="24"/>
          <w:lang w:eastAsia="en-US"/>
        </w:rPr>
        <w:t xml:space="preserve"> en lo que se opongan al contenido de este Decreto.</w:t>
      </w:r>
    </w:p>
    <w:p w14:paraId="321389D0" w14:textId="77777777" w:rsidR="00884D05" w:rsidRPr="00286308" w:rsidRDefault="00884D05" w:rsidP="005F3E1E">
      <w:pPr>
        <w:spacing w:after="0" w:line="360" w:lineRule="auto"/>
        <w:jc w:val="both"/>
        <w:rPr>
          <w:rFonts w:ascii="Century Gothic" w:eastAsia="Calibri" w:hAnsi="Century Gothic" w:cs="Arial"/>
          <w:sz w:val="24"/>
          <w:szCs w:val="24"/>
          <w:lang w:eastAsia="en-US"/>
        </w:rPr>
      </w:pPr>
    </w:p>
    <w:p w14:paraId="329AC682" w14:textId="77777777" w:rsidR="00884D05" w:rsidRPr="00286308" w:rsidRDefault="00AD6723" w:rsidP="005F3E1E">
      <w:pPr>
        <w:spacing w:after="0" w:line="360" w:lineRule="auto"/>
        <w:jc w:val="both"/>
        <w:rPr>
          <w:rFonts w:ascii="Century Gothic" w:eastAsia="Calibri" w:hAnsi="Century Gothic" w:cs="Arial"/>
          <w:sz w:val="24"/>
          <w:szCs w:val="24"/>
          <w:lang w:eastAsia="en-US"/>
        </w:rPr>
      </w:pPr>
      <w:proofErr w:type="gramStart"/>
      <w:r w:rsidRPr="00286308">
        <w:rPr>
          <w:rFonts w:ascii="Century Gothic" w:eastAsia="Calibri" w:hAnsi="Century Gothic" w:cs="Arial"/>
          <w:b/>
          <w:sz w:val="24"/>
          <w:szCs w:val="24"/>
          <w:lang w:eastAsia="en-US"/>
        </w:rPr>
        <w:t>ECONÓMICO.-</w:t>
      </w:r>
      <w:proofErr w:type="gramEnd"/>
      <w:r w:rsidR="00884D05" w:rsidRPr="00286308">
        <w:rPr>
          <w:rFonts w:ascii="Century Gothic" w:eastAsia="Calibri" w:hAnsi="Century Gothic" w:cs="Arial"/>
          <w:sz w:val="24"/>
          <w:szCs w:val="24"/>
          <w:lang w:eastAsia="en-US"/>
        </w:rPr>
        <w:t> Aprobado que sea, túrnese a la Secretaría para que elabore la Minuta de Decreto en los términos en que deba publicarse.</w:t>
      </w:r>
    </w:p>
    <w:p w14:paraId="76BE29D0" w14:textId="77777777" w:rsidR="00884D05" w:rsidRPr="00286308" w:rsidRDefault="00884D05" w:rsidP="005F3E1E">
      <w:pPr>
        <w:spacing w:after="0" w:line="360" w:lineRule="auto"/>
        <w:jc w:val="both"/>
        <w:rPr>
          <w:rFonts w:ascii="Century Gothic" w:hAnsi="Century Gothic"/>
          <w:sz w:val="24"/>
          <w:szCs w:val="24"/>
        </w:rPr>
      </w:pPr>
    </w:p>
    <w:p w14:paraId="7857006D" w14:textId="35D7F0CA" w:rsidR="00884D05" w:rsidRPr="00286308" w:rsidRDefault="00884D05" w:rsidP="005F3E1E">
      <w:pPr>
        <w:spacing w:after="0" w:line="360" w:lineRule="auto"/>
        <w:jc w:val="both"/>
        <w:rPr>
          <w:rFonts w:ascii="Century Gothic" w:hAnsi="Century Gothic"/>
          <w:sz w:val="24"/>
          <w:szCs w:val="24"/>
        </w:rPr>
      </w:pPr>
      <w:r w:rsidRPr="00286308">
        <w:rPr>
          <w:rFonts w:ascii="Century Gothic" w:hAnsi="Century Gothic"/>
          <w:sz w:val="24"/>
          <w:szCs w:val="24"/>
        </w:rPr>
        <w:t>Dado en el Recinto Oficial del Poder Legislativo, en la Ciudad de Chihuahua, Chihuahua</w:t>
      </w:r>
      <w:r w:rsidR="00AD6723" w:rsidRPr="00286308">
        <w:rPr>
          <w:rFonts w:ascii="Century Gothic" w:hAnsi="Century Gothic"/>
          <w:sz w:val="24"/>
          <w:szCs w:val="24"/>
        </w:rPr>
        <w:t>,</w:t>
      </w:r>
      <w:r w:rsidRPr="00286308">
        <w:rPr>
          <w:rFonts w:ascii="Century Gothic" w:hAnsi="Century Gothic"/>
          <w:sz w:val="24"/>
          <w:szCs w:val="24"/>
        </w:rPr>
        <w:t xml:space="preserve"> a los </w:t>
      </w:r>
      <w:r w:rsidR="00FB5F83">
        <w:rPr>
          <w:rFonts w:ascii="Century Gothic" w:hAnsi="Century Gothic"/>
          <w:sz w:val="24"/>
          <w:szCs w:val="24"/>
        </w:rPr>
        <w:t xml:space="preserve">dieciséis </w:t>
      </w:r>
      <w:r w:rsidRPr="00286308">
        <w:rPr>
          <w:rFonts w:ascii="Century Gothic" w:hAnsi="Century Gothic"/>
          <w:sz w:val="24"/>
          <w:szCs w:val="24"/>
        </w:rPr>
        <w:t xml:space="preserve">días del mes de </w:t>
      </w:r>
      <w:r w:rsidR="00AF7058" w:rsidRPr="00286308">
        <w:rPr>
          <w:rFonts w:ascii="Century Gothic" w:hAnsi="Century Gothic"/>
          <w:sz w:val="24"/>
          <w:szCs w:val="24"/>
        </w:rPr>
        <w:t>diciembre</w:t>
      </w:r>
      <w:r w:rsidRPr="00286308">
        <w:rPr>
          <w:rFonts w:ascii="Century Gothic" w:hAnsi="Century Gothic"/>
          <w:sz w:val="24"/>
          <w:szCs w:val="24"/>
        </w:rPr>
        <w:t xml:space="preserve"> del año dos mil </w:t>
      </w:r>
      <w:r w:rsidR="00693487" w:rsidRPr="00286308">
        <w:rPr>
          <w:rFonts w:ascii="Century Gothic" w:hAnsi="Century Gothic"/>
          <w:sz w:val="24"/>
          <w:szCs w:val="24"/>
        </w:rPr>
        <w:t>veintidós</w:t>
      </w:r>
      <w:r w:rsidRPr="00286308">
        <w:rPr>
          <w:rFonts w:ascii="Century Gothic" w:hAnsi="Century Gothic"/>
          <w:sz w:val="24"/>
          <w:szCs w:val="24"/>
        </w:rPr>
        <w:t>.</w:t>
      </w:r>
    </w:p>
    <w:p w14:paraId="3CB85D25" w14:textId="77777777" w:rsidR="00AF7058" w:rsidRPr="00286308" w:rsidRDefault="00AF7058" w:rsidP="005F3E1E">
      <w:pPr>
        <w:pStyle w:val="Normal1"/>
        <w:spacing w:line="360" w:lineRule="auto"/>
        <w:contextualSpacing/>
        <w:jc w:val="both"/>
        <w:rPr>
          <w:rFonts w:ascii="Century Gothic" w:eastAsia="Arial" w:hAnsi="Century Gothic" w:cs="Arial"/>
          <w:b/>
          <w:smallCaps/>
          <w:color w:val="auto"/>
          <w:szCs w:val="24"/>
          <w:lang w:val="es-MX"/>
        </w:rPr>
      </w:pPr>
    </w:p>
    <w:p w14:paraId="07DA1E8D" w14:textId="77777777" w:rsidR="00AF7058" w:rsidRPr="00286308" w:rsidRDefault="00AF7058" w:rsidP="005F3E1E">
      <w:pPr>
        <w:pStyle w:val="Normal1"/>
        <w:spacing w:line="360" w:lineRule="auto"/>
        <w:contextualSpacing/>
        <w:jc w:val="both"/>
        <w:rPr>
          <w:rFonts w:ascii="Century Gothic" w:eastAsia="Arial" w:hAnsi="Century Gothic" w:cs="Arial"/>
          <w:b/>
          <w:smallCaps/>
          <w:color w:val="auto"/>
          <w:szCs w:val="24"/>
          <w:lang w:val="es-MX"/>
        </w:rPr>
      </w:pPr>
    </w:p>
    <w:p w14:paraId="55D2ACFC" w14:textId="77777777" w:rsidR="00E04B69" w:rsidRPr="00286308" w:rsidRDefault="00E04B69" w:rsidP="005F3E1E">
      <w:pPr>
        <w:pStyle w:val="Normal1"/>
        <w:spacing w:line="360" w:lineRule="auto"/>
        <w:contextualSpacing/>
        <w:jc w:val="both"/>
        <w:rPr>
          <w:rFonts w:ascii="Century Gothic" w:eastAsia="Arial" w:hAnsi="Century Gothic" w:cs="Arial"/>
          <w:b/>
          <w:smallCaps/>
          <w:color w:val="auto"/>
          <w:szCs w:val="24"/>
          <w:lang w:val="es-MX"/>
        </w:rPr>
      </w:pPr>
    </w:p>
    <w:p w14:paraId="0E432E5F" w14:textId="77777777" w:rsidR="00E04B69" w:rsidRPr="00286308" w:rsidRDefault="00E04B69" w:rsidP="005F3E1E">
      <w:pPr>
        <w:pStyle w:val="Normal1"/>
        <w:spacing w:line="360" w:lineRule="auto"/>
        <w:contextualSpacing/>
        <w:jc w:val="both"/>
        <w:rPr>
          <w:rFonts w:ascii="Century Gothic" w:eastAsia="Arial" w:hAnsi="Century Gothic" w:cs="Arial"/>
          <w:b/>
          <w:smallCaps/>
          <w:color w:val="auto"/>
          <w:szCs w:val="24"/>
          <w:lang w:val="es-MX"/>
        </w:rPr>
      </w:pPr>
    </w:p>
    <w:p w14:paraId="4256986D" w14:textId="77777777" w:rsidR="00E04B69" w:rsidRPr="00286308" w:rsidRDefault="00E04B69" w:rsidP="005F3E1E">
      <w:pPr>
        <w:pStyle w:val="Normal1"/>
        <w:spacing w:line="360" w:lineRule="auto"/>
        <w:contextualSpacing/>
        <w:jc w:val="both"/>
        <w:rPr>
          <w:rFonts w:ascii="Century Gothic" w:eastAsia="Arial" w:hAnsi="Century Gothic" w:cs="Arial"/>
          <w:b/>
          <w:smallCaps/>
          <w:color w:val="auto"/>
          <w:szCs w:val="24"/>
          <w:lang w:val="es-MX"/>
        </w:rPr>
      </w:pPr>
    </w:p>
    <w:p w14:paraId="0F2263FE" w14:textId="77777777" w:rsidR="00E04B69" w:rsidRPr="00286308" w:rsidRDefault="00E04B69" w:rsidP="005F3E1E">
      <w:pPr>
        <w:pStyle w:val="Normal1"/>
        <w:spacing w:line="360" w:lineRule="auto"/>
        <w:contextualSpacing/>
        <w:jc w:val="both"/>
        <w:rPr>
          <w:rFonts w:ascii="Century Gothic" w:eastAsia="Arial" w:hAnsi="Century Gothic" w:cs="Arial"/>
          <w:b/>
          <w:smallCaps/>
          <w:color w:val="auto"/>
          <w:szCs w:val="24"/>
          <w:lang w:val="es-MX"/>
        </w:rPr>
      </w:pPr>
    </w:p>
    <w:p w14:paraId="3562CB4F" w14:textId="285DD670" w:rsidR="00E04B69" w:rsidRPr="00286308" w:rsidRDefault="00E04B69" w:rsidP="005F3E1E">
      <w:pPr>
        <w:pStyle w:val="Normal1"/>
        <w:spacing w:line="360" w:lineRule="auto"/>
        <w:contextualSpacing/>
        <w:jc w:val="both"/>
        <w:rPr>
          <w:rFonts w:ascii="Century Gothic" w:eastAsia="Arial" w:hAnsi="Century Gothic" w:cs="Arial"/>
          <w:b/>
          <w:smallCaps/>
          <w:color w:val="auto"/>
          <w:szCs w:val="24"/>
          <w:lang w:val="es-MX"/>
        </w:rPr>
      </w:pPr>
    </w:p>
    <w:p w14:paraId="32F8445B" w14:textId="79631D57" w:rsidR="005F3E1E" w:rsidRPr="00286308" w:rsidRDefault="005F3E1E" w:rsidP="005F3E1E">
      <w:pPr>
        <w:pStyle w:val="Normal1"/>
        <w:spacing w:line="360" w:lineRule="auto"/>
        <w:contextualSpacing/>
        <w:jc w:val="both"/>
        <w:rPr>
          <w:rFonts w:ascii="Century Gothic" w:eastAsia="Arial" w:hAnsi="Century Gothic" w:cs="Arial"/>
          <w:b/>
          <w:smallCaps/>
          <w:color w:val="auto"/>
          <w:szCs w:val="24"/>
          <w:lang w:val="es-MX"/>
        </w:rPr>
      </w:pPr>
    </w:p>
    <w:p w14:paraId="6A697AFA" w14:textId="6B9FCA12" w:rsidR="005F3E1E" w:rsidRPr="00286308" w:rsidRDefault="005F3E1E" w:rsidP="005F3E1E">
      <w:pPr>
        <w:pStyle w:val="Normal1"/>
        <w:spacing w:line="360" w:lineRule="auto"/>
        <w:contextualSpacing/>
        <w:jc w:val="both"/>
        <w:rPr>
          <w:rFonts w:ascii="Century Gothic" w:eastAsia="Arial" w:hAnsi="Century Gothic" w:cs="Arial"/>
          <w:b/>
          <w:smallCaps/>
          <w:color w:val="auto"/>
          <w:szCs w:val="24"/>
          <w:lang w:val="es-MX"/>
        </w:rPr>
      </w:pPr>
    </w:p>
    <w:p w14:paraId="6C17FB0A" w14:textId="6F069B0D" w:rsidR="005F3E1E" w:rsidRPr="00286308" w:rsidRDefault="005F3E1E" w:rsidP="005F3E1E">
      <w:pPr>
        <w:pStyle w:val="Normal1"/>
        <w:spacing w:line="360" w:lineRule="auto"/>
        <w:contextualSpacing/>
        <w:jc w:val="both"/>
        <w:rPr>
          <w:rFonts w:ascii="Century Gothic" w:eastAsia="Arial" w:hAnsi="Century Gothic" w:cs="Arial"/>
          <w:b/>
          <w:smallCaps/>
          <w:color w:val="auto"/>
          <w:szCs w:val="24"/>
          <w:lang w:val="es-MX"/>
        </w:rPr>
      </w:pPr>
    </w:p>
    <w:p w14:paraId="6B773BA1" w14:textId="58377DB5" w:rsidR="005F3E1E" w:rsidRPr="00286308" w:rsidRDefault="005F3E1E" w:rsidP="005F3E1E">
      <w:pPr>
        <w:pStyle w:val="Normal1"/>
        <w:spacing w:line="360" w:lineRule="auto"/>
        <w:contextualSpacing/>
        <w:jc w:val="both"/>
        <w:rPr>
          <w:rFonts w:ascii="Century Gothic" w:eastAsia="Arial" w:hAnsi="Century Gothic" w:cs="Arial"/>
          <w:b/>
          <w:smallCaps/>
          <w:color w:val="auto"/>
          <w:szCs w:val="24"/>
          <w:lang w:val="es-MX"/>
        </w:rPr>
      </w:pPr>
    </w:p>
    <w:p w14:paraId="63DE6A15" w14:textId="6698A5F5" w:rsidR="005F3E1E" w:rsidRPr="00286308" w:rsidRDefault="005F3E1E" w:rsidP="005F3E1E">
      <w:pPr>
        <w:pStyle w:val="Normal1"/>
        <w:spacing w:line="360" w:lineRule="auto"/>
        <w:contextualSpacing/>
        <w:jc w:val="both"/>
        <w:rPr>
          <w:rFonts w:ascii="Century Gothic" w:eastAsia="Arial" w:hAnsi="Century Gothic" w:cs="Arial"/>
          <w:b/>
          <w:smallCaps/>
          <w:color w:val="auto"/>
          <w:szCs w:val="24"/>
          <w:lang w:val="es-MX"/>
        </w:rPr>
      </w:pPr>
    </w:p>
    <w:p w14:paraId="09238B4A" w14:textId="77777777" w:rsidR="005F3E1E" w:rsidRPr="00286308" w:rsidRDefault="005F3E1E" w:rsidP="005F3E1E">
      <w:pPr>
        <w:pStyle w:val="Normal1"/>
        <w:spacing w:line="360" w:lineRule="auto"/>
        <w:contextualSpacing/>
        <w:jc w:val="both"/>
        <w:rPr>
          <w:rFonts w:ascii="Century Gothic" w:eastAsia="Arial" w:hAnsi="Century Gothic" w:cs="Arial"/>
          <w:b/>
          <w:smallCaps/>
          <w:color w:val="auto"/>
          <w:szCs w:val="24"/>
          <w:lang w:val="es-MX"/>
        </w:rPr>
      </w:pPr>
    </w:p>
    <w:p w14:paraId="2A1E6CD8" w14:textId="77777777" w:rsidR="00E04B69" w:rsidRPr="00286308" w:rsidRDefault="00E04B69" w:rsidP="005F3E1E">
      <w:pPr>
        <w:pStyle w:val="Normal1"/>
        <w:spacing w:line="360" w:lineRule="auto"/>
        <w:contextualSpacing/>
        <w:jc w:val="both"/>
        <w:rPr>
          <w:rFonts w:ascii="Century Gothic" w:eastAsia="Arial" w:hAnsi="Century Gothic" w:cs="Arial"/>
          <w:b/>
          <w:smallCaps/>
          <w:color w:val="auto"/>
          <w:szCs w:val="24"/>
          <w:lang w:val="es-MX"/>
        </w:rPr>
      </w:pPr>
    </w:p>
    <w:p w14:paraId="6C425775" w14:textId="77777777" w:rsidR="00E04B69" w:rsidRPr="00286308" w:rsidRDefault="00E04B69" w:rsidP="005F3E1E">
      <w:pPr>
        <w:pStyle w:val="Normal1"/>
        <w:spacing w:line="360" w:lineRule="auto"/>
        <w:contextualSpacing/>
        <w:jc w:val="both"/>
        <w:rPr>
          <w:rFonts w:ascii="Century Gothic" w:eastAsia="Arial" w:hAnsi="Century Gothic" w:cs="Arial"/>
          <w:b/>
          <w:smallCaps/>
          <w:color w:val="auto"/>
          <w:szCs w:val="24"/>
          <w:lang w:val="es-MX"/>
        </w:rPr>
      </w:pPr>
    </w:p>
    <w:p w14:paraId="227F5771" w14:textId="2082AA05" w:rsidR="00884D05" w:rsidRPr="00286308" w:rsidRDefault="00884D05" w:rsidP="005F3E1E">
      <w:pPr>
        <w:pStyle w:val="Normal1"/>
        <w:spacing w:line="360" w:lineRule="auto"/>
        <w:contextualSpacing/>
        <w:jc w:val="both"/>
        <w:rPr>
          <w:rFonts w:ascii="Century Gothic" w:eastAsia="Arial" w:hAnsi="Century Gothic" w:cs="Arial"/>
          <w:b/>
          <w:smallCaps/>
          <w:color w:val="auto"/>
          <w:szCs w:val="24"/>
          <w:lang w:val="es-MX"/>
        </w:rPr>
      </w:pPr>
      <w:r w:rsidRPr="00286308">
        <w:rPr>
          <w:rFonts w:ascii="Century Gothic" w:eastAsia="Arial" w:hAnsi="Century Gothic" w:cs="Arial"/>
          <w:b/>
          <w:smallCaps/>
          <w:color w:val="auto"/>
          <w:szCs w:val="24"/>
          <w:lang w:val="es-MX"/>
        </w:rPr>
        <w:t>ASÍ LO APROBÓ LA COMISIÓN DE PROGRAMACIÓN, PRESUPUESTO Y HACIENDA PÚBLICA, EN REUNIÓN DE FECHA</w:t>
      </w:r>
      <w:r w:rsidR="00AF7058" w:rsidRPr="00286308">
        <w:rPr>
          <w:rFonts w:ascii="Century Gothic" w:eastAsia="Arial" w:hAnsi="Century Gothic" w:cs="Arial"/>
          <w:b/>
          <w:smallCaps/>
          <w:color w:val="auto"/>
          <w:szCs w:val="24"/>
          <w:lang w:val="es-MX"/>
        </w:rPr>
        <w:t xml:space="preserve"> </w:t>
      </w:r>
      <w:r w:rsidR="0096567A" w:rsidRPr="00286308">
        <w:rPr>
          <w:rFonts w:ascii="Century Gothic" w:eastAsia="Arial" w:hAnsi="Century Gothic" w:cs="Arial"/>
          <w:b/>
          <w:smallCaps/>
          <w:color w:val="auto"/>
          <w:szCs w:val="24"/>
          <w:lang w:val="es-MX"/>
        </w:rPr>
        <w:t>QUINCE</w:t>
      </w:r>
      <w:r w:rsidR="00AF7058" w:rsidRPr="00286308">
        <w:rPr>
          <w:rFonts w:ascii="Century Gothic" w:eastAsia="Arial" w:hAnsi="Century Gothic" w:cs="Arial"/>
          <w:b/>
          <w:smallCaps/>
          <w:color w:val="auto"/>
          <w:szCs w:val="24"/>
          <w:lang w:val="es-MX"/>
        </w:rPr>
        <w:t xml:space="preserve"> DE DICIEMBRE DE </w:t>
      </w:r>
      <w:r w:rsidR="00B24299" w:rsidRPr="00286308">
        <w:rPr>
          <w:rFonts w:ascii="Century Gothic" w:eastAsia="Arial" w:hAnsi="Century Gothic" w:cs="Arial"/>
          <w:b/>
          <w:smallCaps/>
          <w:color w:val="auto"/>
          <w:szCs w:val="24"/>
          <w:lang w:val="es-MX"/>
        </w:rPr>
        <w:t xml:space="preserve">DOS MIL </w:t>
      </w:r>
      <w:r w:rsidR="00FB7217" w:rsidRPr="00286308">
        <w:rPr>
          <w:rFonts w:ascii="Century Gothic" w:eastAsia="Arial" w:hAnsi="Century Gothic" w:cs="Arial"/>
          <w:b/>
          <w:smallCaps/>
          <w:color w:val="auto"/>
          <w:szCs w:val="24"/>
          <w:lang w:val="es-MX"/>
        </w:rPr>
        <w:t>VEINTIDÓS</w:t>
      </w:r>
      <w:r w:rsidR="00B24299" w:rsidRPr="00286308">
        <w:rPr>
          <w:rFonts w:ascii="Century Gothic" w:eastAsia="Arial" w:hAnsi="Century Gothic" w:cs="Arial"/>
          <w:b/>
          <w:smallCaps/>
          <w:color w:val="auto"/>
          <w:szCs w:val="24"/>
          <w:lang w:val="es-MX"/>
        </w:rPr>
        <w:t>.</w:t>
      </w:r>
    </w:p>
    <w:p w14:paraId="0A4A4FBD" w14:textId="77777777" w:rsidR="00AF7058" w:rsidRPr="00286308" w:rsidRDefault="00AF7058" w:rsidP="005F3E1E">
      <w:pPr>
        <w:pStyle w:val="Normal2"/>
        <w:spacing w:line="360" w:lineRule="auto"/>
        <w:jc w:val="center"/>
        <w:rPr>
          <w:rFonts w:ascii="Century Gothic" w:eastAsia="Arial" w:hAnsi="Century Gothic" w:cs="Arial"/>
          <w:b/>
          <w:color w:val="auto"/>
          <w:szCs w:val="24"/>
          <w:lang w:val="es-MX"/>
        </w:rPr>
      </w:pPr>
    </w:p>
    <w:p w14:paraId="5FE1B649" w14:textId="77777777" w:rsidR="00884D05" w:rsidRPr="00286308" w:rsidRDefault="00884D05" w:rsidP="005F3E1E">
      <w:pPr>
        <w:pStyle w:val="Normal2"/>
        <w:spacing w:line="360" w:lineRule="auto"/>
        <w:jc w:val="center"/>
        <w:rPr>
          <w:rFonts w:ascii="Century Gothic" w:eastAsia="Arial" w:hAnsi="Century Gothic" w:cs="Arial"/>
          <w:b/>
          <w:color w:val="auto"/>
          <w:szCs w:val="24"/>
          <w:lang w:val="es-MX"/>
        </w:rPr>
      </w:pPr>
      <w:r w:rsidRPr="00286308">
        <w:rPr>
          <w:rFonts w:ascii="Century Gothic" w:eastAsia="Arial" w:hAnsi="Century Gothic" w:cs="Arial"/>
          <w:b/>
          <w:color w:val="auto"/>
          <w:szCs w:val="24"/>
          <w:lang w:val="es-MX"/>
        </w:rPr>
        <w:t xml:space="preserve">POR LA </w:t>
      </w:r>
      <w:r w:rsidRPr="00286308">
        <w:rPr>
          <w:rFonts w:ascii="Century Gothic" w:eastAsia="Arial" w:hAnsi="Century Gothic" w:cs="Arial"/>
          <w:b/>
          <w:smallCaps/>
          <w:color w:val="auto"/>
          <w:szCs w:val="24"/>
          <w:lang w:val="es-MX"/>
        </w:rPr>
        <w:t xml:space="preserve">COMISIÓN </w:t>
      </w:r>
      <w:r w:rsidRPr="00286308">
        <w:rPr>
          <w:rFonts w:ascii="Century Gothic" w:eastAsia="Arial" w:hAnsi="Century Gothic" w:cs="Arial"/>
          <w:b/>
          <w:color w:val="auto"/>
          <w:szCs w:val="24"/>
          <w:lang w:val="es-MX"/>
        </w:rPr>
        <w:t>DE PROGRAMACIÓN, PRESUPUESTO Y HACIENDA PÚBLICA</w:t>
      </w:r>
    </w:p>
    <w:p w14:paraId="711B0A4C" w14:textId="77777777" w:rsidR="00AF7058" w:rsidRPr="00286308" w:rsidRDefault="00AF7058" w:rsidP="00884D05">
      <w:pPr>
        <w:pStyle w:val="Normal2"/>
        <w:jc w:val="center"/>
        <w:rPr>
          <w:rFonts w:ascii="Century Gothic" w:eastAsia="Arial" w:hAnsi="Century Gothic" w:cs="Arial"/>
          <w:b/>
          <w:color w:val="auto"/>
          <w:szCs w:val="24"/>
          <w:lang w:val="es-MX"/>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303"/>
        <w:gridCol w:w="1563"/>
        <w:gridCol w:w="1612"/>
        <w:gridCol w:w="1757"/>
      </w:tblGrid>
      <w:tr w:rsidR="00286308" w:rsidRPr="00286308" w14:paraId="6E635691" w14:textId="77777777" w:rsidTr="008A6159">
        <w:trPr>
          <w:jc w:val="center"/>
        </w:trPr>
        <w:tc>
          <w:tcPr>
            <w:tcW w:w="2689" w:type="dxa"/>
            <w:vAlign w:val="center"/>
          </w:tcPr>
          <w:p w14:paraId="35670883" w14:textId="77777777" w:rsidR="00884D05" w:rsidRPr="00286308" w:rsidRDefault="00884D05" w:rsidP="007D0833">
            <w:pPr>
              <w:pStyle w:val="Normal2"/>
              <w:spacing w:line="360" w:lineRule="auto"/>
              <w:jc w:val="center"/>
              <w:rPr>
                <w:rFonts w:ascii="Century Gothic" w:hAnsi="Century Gothic" w:cs="Arial"/>
                <w:b/>
                <w:color w:val="auto"/>
                <w:sz w:val="22"/>
                <w:szCs w:val="22"/>
              </w:rPr>
            </w:pPr>
          </w:p>
        </w:tc>
        <w:tc>
          <w:tcPr>
            <w:tcW w:w="2303" w:type="dxa"/>
            <w:vAlign w:val="center"/>
          </w:tcPr>
          <w:p w14:paraId="4CBE49A7" w14:textId="77777777" w:rsidR="00884D05" w:rsidRPr="00286308" w:rsidRDefault="00884D05" w:rsidP="007D0833">
            <w:pPr>
              <w:pStyle w:val="Normal2"/>
              <w:spacing w:line="360" w:lineRule="auto"/>
              <w:jc w:val="center"/>
              <w:rPr>
                <w:rFonts w:ascii="Century Gothic" w:hAnsi="Century Gothic" w:cs="Arial"/>
                <w:b/>
                <w:color w:val="auto"/>
                <w:sz w:val="22"/>
                <w:szCs w:val="22"/>
              </w:rPr>
            </w:pPr>
            <w:r w:rsidRPr="00286308">
              <w:rPr>
                <w:rFonts w:ascii="Century Gothic" w:hAnsi="Century Gothic" w:cs="Arial"/>
                <w:b/>
                <w:color w:val="auto"/>
                <w:sz w:val="22"/>
                <w:szCs w:val="22"/>
              </w:rPr>
              <w:t>INTEGRANTES</w:t>
            </w:r>
          </w:p>
        </w:tc>
        <w:tc>
          <w:tcPr>
            <w:tcW w:w="1563" w:type="dxa"/>
            <w:vAlign w:val="center"/>
          </w:tcPr>
          <w:p w14:paraId="3B1C711F" w14:textId="77777777" w:rsidR="00884D05" w:rsidRPr="00286308" w:rsidRDefault="00884D05" w:rsidP="007D0833">
            <w:pPr>
              <w:pStyle w:val="Normal2"/>
              <w:spacing w:line="360" w:lineRule="auto"/>
              <w:jc w:val="center"/>
              <w:rPr>
                <w:rFonts w:ascii="Century Gothic" w:hAnsi="Century Gothic" w:cs="Arial"/>
                <w:b/>
                <w:color w:val="auto"/>
                <w:sz w:val="22"/>
                <w:szCs w:val="22"/>
              </w:rPr>
            </w:pPr>
            <w:r w:rsidRPr="00286308">
              <w:rPr>
                <w:rFonts w:ascii="Century Gothic" w:hAnsi="Century Gothic" w:cs="Arial"/>
                <w:b/>
                <w:color w:val="auto"/>
                <w:sz w:val="22"/>
                <w:szCs w:val="22"/>
              </w:rPr>
              <w:t>A FAVOR</w:t>
            </w:r>
          </w:p>
        </w:tc>
        <w:tc>
          <w:tcPr>
            <w:tcW w:w="1612" w:type="dxa"/>
            <w:vAlign w:val="center"/>
          </w:tcPr>
          <w:p w14:paraId="4D2C89DA" w14:textId="77777777" w:rsidR="00884D05" w:rsidRPr="00286308" w:rsidRDefault="00884D05" w:rsidP="007D0833">
            <w:pPr>
              <w:pStyle w:val="Normal2"/>
              <w:spacing w:line="360" w:lineRule="auto"/>
              <w:jc w:val="center"/>
              <w:rPr>
                <w:rFonts w:ascii="Century Gothic" w:hAnsi="Century Gothic" w:cs="Arial"/>
                <w:b/>
                <w:color w:val="auto"/>
                <w:sz w:val="22"/>
                <w:szCs w:val="22"/>
              </w:rPr>
            </w:pPr>
            <w:r w:rsidRPr="00286308">
              <w:rPr>
                <w:rFonts w:ascii="Century Gothic" w:hAnsi="Century Gothic" w:cs="Arial"/>
                <w:b/>
                <w:color w:val="auto"/>
                <w:sz w:val="22"/>
                <w:szCs w:val="22"/>
              </w:rPr>
              <w:t>EN CONTRA</w:t>
            </w:r>
          </w:p>
        </w:tc>
        <w:tc>
          <w:tcPr>
            <w:tcW w:w="1757" w:type="dxa"/>
            <w:vAlign w:val="center"/>
          </w:tcPr>
          <w:p w14:paraId="40B156FF" w14:textId="77777777" w:rsidR="00884D05" w:rsidRPr="00286308" w:rsidRDefault="00884D05" w:rsidP="007D0833">
            <w:pPr>
              <w:pStyle w:val="Normal2"/>
              <w:spacing w:line="360" w:lineRule="auto"/>
              <w:jc w:val="center"/>
              <w:rPr>
                <w:rFonts w:ascii="Century Gothic" w:hAnsi="Century Gothic" w:cs="Arial"/>
                <w:b/>
                <w:color w:val="auto"/>
                <w:sz w:val="22"/>
                <w:szCs w:val="22"/>
              </w:rPr>
            </w:pPr>
            <w:r w:rsidRPr="00286308">
              <w:rPr>
                <w:rFonts w:ascii="Century Gothic" w:hAnsi="Century Gothic" w:cs="Arial"/>
                <w:b/>
                <w:color w:val="auto"/>
                <w:sz w:val="22"/>
                <w:szCs w:val="22"/>
              </w:rPr>
              <w:t>ABSTENCIÓN</w:t>
            </w:r>
          </w:p>
        </w:tc>
      </w:tr>
      <w:tr w:rsidR="00286308" w:rsidRPr="00286308" w14:paraId="1DF9E1C9" w14:textId="77777777" w:rsidTr="008A6159">
        <w:trPr>
          <w:jc w:val="center"/>
        </w:trPr>
        <w:tc>
          <w:tcPr>
            <w:tcW w:w="2689" w:type="dxa"/>
            <w:vAlign w:val="center"/>
          </w:tcPr>
          <w:p w14:paraId="73FCE206" w14:textId="77777777" w:rsidR="00884D05" w:rsidRPr="00286308" w:rsidRDefault="00E04B69" w:rsidP="007D0833">
            <w:pPr>
              <w:pStyle w:val="Normal2"/>
              <w:spacing w:line="360" w:lineRule="auto"/>
              <w:rPr>
                <w:rFonts w:ascii="Century Gothic" w:hAnsi="Century Gothic" w:cs="Arial"/>
                <w:b/>
                <w:color w:val="auto"/>
                <w:szCs w:val="24"/>
              </w:rPr>
            </w:pPr>
            <w:r w:rsidRPr="00286308">
              <w:rPr>
                <w:noProof/>
                <w:color w:val="auto"/>
                <w:lang w:val="es-MX" w:eastAsia="es-MX"/>
              </w:rPr>
              <w:drawing>
                <wp:inline distT="0" distB="0" distL="0" distR="0" wp14:anchorId="7692CA01" wp14:editId="785C6FB0">
                  <wp:extent cx="1133475" cy="1504950"/>
                  <wp:effectExtent l="19050" t="0" r="9525" b="0"/>
                  <wp:docPr id="5" name="Imagen 5"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humb"/>
                          <pic:cNvPicPr>
                            <a:picLocks noChangeAspect="1" noChangeArrowheads="1"/>
                          </pic:cNvPicPr>
                        </pic:nvPicPr>
                        <pic:blipFill>
                          <a:blip r:embed="rId11"/>
                          <a:srcRect/>
                          <a:stretch>
                            <a:fillRect/>
                          </a:stretch>
                        </pic:blipFill>
                        <pic:spPr bwMode="auto">
                          <a:xfrm>
                            <a:off x="0" y="0"/>
                            <a:ext cx="1133475" cy="1504950"/>
                          </a:xfrm>
                          <a:prstGeom prst="rect">
                            <a:avLst/>
                          </a:prstGeom>
                          <a:noFill/>
                          <a:ln w="9525">
                            <a:noFill/>
                            <a:miter lim="800000"/>
                            <a:headEnd/>
                            <a:tailEnd/>
                          </a:ln>
                        </pic:spPr>
                      </pic:pic>
                    </a:graphicData>
                  </a:graphic>
                </wp:inline>
              </w:drawing>
            </w:r>
          </w:p>
        </w:tc>
        <w:tc>
          <w:tcPr>
            <w:tcW w:w="2303" w:type="dxa"/>
            <w:vAlign w:val="center"/>
          </w:tcPr>
          <w:p w14:paraId="4777E901" w14:textId="77777777" w:rsidR="00884D05" w:rsidRPr="00286308" w:rsidRDefault="00884D05" w:rsidP="007D0833">
            <w:pPr>
              <w:pStyle w:val="Normal2"/>
              <w:spacing w:line="360" w:lineRule="auto"/>
              <w:rPr>
                <w:rFonts w:ascii="Century Gothic" w:hAnsi="Century Gothic" w:cs="Arial"/>
                <w:b/>
                <w:color w:val="auto"/>
                <w:sz w:val="22"/>
                <w:szCs w:val="22"/>
              </w:rPr>
            </w:pPr>
            <w:r w:rsidRPr="00286308">
              <w:rPr>
                <w:rStyle w:val="NOMBRES"/>
                <w:rFonts w:ascii="Century Gothic" w:hAnsi="Century Gothic"/>
                <w:color w:val="auto"/>
                <w:sz w:val="22"/>
                <w:szCs w:val="22"/>
              </w:rPr>
              <w:t>DIP. LUIS ALBERTO AGUILAR LOZOYA</w:t>
            </w:r>
          </w:p>
        </w:tc>
        <w:tc>
          <w:tcPr>
            <w:tcW w:w="1563" w:type="dxa"/>
            <w:vAlign w:val="center"/>
          </w:tcPr>
          <w:p w14:paraId="5E32A9B2" w14:textId="77777777" w:rsidR="00884D05" w:rsidRPr="00286308" w:rsidRDefault="00884D05" w:rsidP="007D0833">
            <w:pPr>
              <w:pStyle w:val="Normal2"/>
              <w:spacing w:line="360" w:lineRule="auto"/>
              <w:rPr>
                <w:rFonts w:ascii="Century Gothic" w:hAnsi="Century Gothic" w:cs="Arial"/>
                <w:b/>
                <w:color w:val="auto"/>
                <w:szCs w:val="24"/>
              </w:rPr>
            </w:pPr>
          </w:p>
        </w:tc>
        <w:tc>
          <w:tcPr>
            <w:tcW w:w="1612" w:type="dxa"/>
            <w:vAlign w:val="center"/>
          </w:tcPr>
          <w:p w14:paraId="58A505CD" w14:textId="77777777" w:rsidR="00884D05" w:rsidRPr="00286308" w:rsidRDefault="00884D05" w:rsidP="007D0833">
            <w:pPr>
              <w:pStyle w:val="Normal2"/>
              <w:spacing w:line="360" w:lineRule="auto"/>
              <w:rPr>
                <w:rFonts w:ascii="Century Gothic" w:hAnsi="Century Gothic" w:cs="Arial"/>
                <w:b/>
                <w:color w:val="auto"/>
                <w:szCs w:val="24"/>
              </w:rPr>
            </w:pPr>
          </w:p>
        </w:tc>
        <w:tc>
          <w:tcPr>
            <w:tcW w:w="1757" w:type="dxa"/>
            <w:vAlign w:val="center"/>
          </w:tcPr>
          <w:p w14:paraId="4DDC7824" w14:textId="77777777" w:rsidR="00884D05" w:rsidRPr="00286308" w:rsidRDefault="00884D05" w:rsidP="007D0833">
            <w:pPr>
              <w:pStyle w:val="Normal2"/>
              <w:spacing w:line="360" w:lineRule="auto"/>
              <w:rPr>
                <w:rFonts w:ascii="Century Gothic" w:hAnsi="Century Gothic" w:cs="Arial"/>
                <w:b/>
                <w:color w:val="auto"/>
                <w:szCs w:val="24"/>
              </w:rPr>
            </w:pPr>
          </w:p>
        </w:tc>
      </w:tr>
      <w:tr w:rsidR="00286308" w:rsidRPr="00286308" w14:paraId="05224589" w14:textId="77777777" w:rsidTr="008A6159">
        <w:trPr>
          <w:jc w:val="center"/>
        </w:trPr>
        <w:tc>
          <w:tcPr>
            <w:tcW w:w="2689" w:type="dxa"/>
            <w:vAlign w:val="center"/>
          </w:tcPr>
          <w:p w14:paraId="1657944B" w14:textId="77777777" w:rsidR="00884D05" w:rsidRPr="00286308" w:rsidRDefault="00E04B69" w:rsidP="007D0833">
            <w:pPr>
              <w:pStyle w:val="Normal2"/>
              <w:spacing w:line="360" w:lineRule="auto"/>
              <w:rPr>
                <w:rFonts w:ascii="Century Gothic" w:hAnsi="Century Gothic" w:cs="Arial"/>
                <w:b/>
                <w:color w:val="auto"/>
                <w:szCs w:val="24"/>
              </w:rPr>
            </w:pPr>
            <w:r w:rsidRPr="00286308">
              <w:rPr>
                <w:rFonts w:ascii="Century Gothic" w:hAnsi="Century Gothic" w:cs="Arial"/>
                <w:b/>
                <w:noProof/>
                <w:color w:val="auto"/>
                <w:szCs w:val="24"/>
                <w:lang w:val="es-MX" w:eastAsia="es-MX"/>
              </w:rPr>
              <w:lastRenderedPageBreak/>
              <w:drawing>
                <wp:inline distT="0" distB="0" distL="0" distR="0" wp14:anchorId="0D359F5D" wp14:editId="5D2F5FF7">
                  <wp:extent cx="1123950" cy="1485900"/>
                  <wp:effectExtent l="19050" t="0" r="0" b="0"/>
                  <wp:docPr id="6" name="Imagen 6" descr="mthum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thumb (1)"/>
                          <pic:cNvPicPr>
                            <a:picLocks noChangeAspect="1" noChangeArrowheads="1"/>
                          </pic:cNvPicPr>
                        </pic:nvPicPr>
                        <pic:blipFill>
                          <a:blip r:embed="rId12"/>
                          <a:srcRect/>
                          <a:stretch>
                            <a:fillRect/>
                          </a:stretch>
                        </pic:blipFill>
                        <pic:spPr bwMode="auto">
                          <a:xfrm>
                            <a:off x="0" y="0"/>
                            <a:ext cx="1123950" cy="1485900"/>
                          </a:xfrm>
                          <a:prstGeom prst="rect">
                            <a:avLst/>
                          </a:prstGeom>
                          <a:noFill/>
                          <a:ln w="9525">
                            <a:noFill/>
                            <a:miter lim="800000"/>
                            <a:headEnd/>
                            <a:tailEnd/>
                          </a:ln>
                        </pic:spPr>
                      </pic:pic>
                    </a:graphicData>
                  </a:graphic>
                </wp:inline>
              </w:drawing>
            </w:r>
          </w:p>
        </w:tc>
        <w:tc>
          <w:tcPr>
            <w:tcW w:w="2303" w:type="dxa"/>
            <w:vAlign w:val="center"/>
          </w:tcPr>
          <w:p w14:paraId="38E0C488" w14:textId="77777777" w:rsidR="00884D05" w:rsidRPr="00286308" w:rsidRDefault="00884D05" w:rsidP="007D0833">
            <w:pPr>
              <w:pStyle w:val="Normal2"/>
              <w:spacing w:line="360" w:lineRule="auto"/>
              <w:rPr>
                <w:rFonts w:ascii="Century Gothic" w:hAnsi="Century Gothic" w:cs="Arial"/>
                <w:b/>
                <w:color w:val="auto"/>
                <w:sz w:val="22"/>
                <w:szCs w:val="22"/>
              </w:rPr>
            </w:pPr>
            <w:r w:rsidRPr="00286308">
              <w:rPr>
                <w:rFonts w:ascii="Century Gothic" w:hAnsi="Century Gothic" w:cs="Arial"/>
                <w:b/>
                <w:color w:val="auto"/>
                <w:sz w:val="22"/>
                <w:szCs w:val="22"/>
              </w:rPr>
              <w:t>DIP. MARIO HUMBERTO VÁZQUEZ ROBLES</w:t>
            </w:r>
          </w:p>
          <w:p w14:paraId="21E07398" w14:textId="77777777" w:rsidR="00884D05" w:rsidRPr="00286308" w:rsidRDefault="00884D05" w:rsidP="007D0833">
            <w:pPr>
              <w:pStyle w:val="Normal2"/>
              <w:spacing w:line="360" w:lineRule="auto"/>
              <w:rPr>
                <w:rFonts w:ascii="Century Gothic" w:hAnsi="Century Gothic" w:cs="Arial"/>
                <w:b/>
                <w:color w:val="auto"/>
                <w:sz w:val="22"/>
                <w:szCs w:val="22"/>
              </w:rPr>
            </w:pPr>
            <w:r w:rsidRPr="00286308">
              <w:rPr>
                <w:rFonts w:ascii="Century Gothic" w:hAnsi="Century Gothic" w:cs="Arial"/>
                <w:b/>
                <w:color w:val="auto"/>
                <w:sz w:val="22"/>
                <w:szCs w:val="22"/>
              </w:rPr>
              <w:t>SECRETARIO</w:t>
            </w:r>
          </w:p>
        </w:tc>
        <w:tc>
          <w:tcPr>
            <w:tcW w:w="1563" w:type="dxa"/>
            <w:vAlign w:val="center"/>
          </w:tcPr>
          <w:p w14:paraId="3ABF4E0F" w14:textId="77777777" w:rsidR="00884D05" w:rsidRPr="00286308" w:rsidRDefault="00884D05" w:rsidP="007D0833">
            <w:pPr>
              <w:pStyle w:val="Normal2"/>
              <w:spacing w:line="360" w:lineRule="auto"/>
              <w:rPr>
                <w:rFonts w:ascii="Century Gothic" w:hAnsi="Century Gothic" w:cs="Arial"/>
                <w:b/>
                <w:color w:val="auto"/>
                <w:szCs w:val="24"/>
              </w:rPr>
            </w:pPr>
          </w:p>
        </w:tc>
        <w:tc>
          <w:tcPr>
            <w:tcW w:w="1612" w:type="dxa"/>
            <w:vAlign w:val="center"/>
          </w:tcPr>
          <w:p w14:paraId="582265FF" w14:textId="77777777" w:rsidR="00884D05" w:rsidRPr="00286308" w:rsidRDefault="00884D05" w:rsidP="007D0833">
            <w:pPr>
              <w:pStyle w:val="Normal2"/>
              <w:spacing w:line="360" w:lineRule="auto"/>
              <w:rPr>
                <w:rFonts w:ascii="Century Gothic" w:hAnsi="Century Gothic" w:cs="Arial"/>
                <w:b/>
                <w:color w:val="auto"/>
                <w:szCs w:val="24"/>
              </w:rPr>
            </w:pPr>
          </w:p>
        </w:tc>
        <w:tc>
          <w:tcPr>
            <w:tcW w:w="1757" w:type="dxa"/>
            <w:vAlign w:val="center"/>
          </w:tcPr>
          <w:p w14:paraId="3AAFCB97" w14:textId="77777777" w:rsidR="00884D05" w:rsidRPr="00286308" w:rsidRDefault="00884D05" w:rsidP="007D0833">
            <w:pPr>
              <w:pStyle w:val="Normal2"/>
              <w:spacing w:line="360" w:lineRule="auto"/>
              <w:rPr>
                <w:rFonts w:ascii="Century Gothic" w:hAnsi="Century Gothic" w:cs="Arial"/>
                <w:b/>
                <w:color w:val="auto"/>
                <w:szCs w:val="24"/>
              </w:rPr>
            </w:pPr>
          </w:p>
        </w:tc>
      </w:tr>
      <w:tr w:rsidR="00286308" w:rsidRPr="00286308" w14:paraId="043990DD" w14:textId="77777777" w:rsidTr="008A6159">
        <w:trPr>
          <w:jc w:val="center"/>
        </w:trPr>
        <w:tc>
          <w:tcPr>
            <w:tcW w:w="2689" w:type="dxa"/>
            <w:vAlign w:val="center"/>
          </w:tcPr>
          <w:p w14:paraId="0ED25EE8" w14:textId="77777777" w:rsidR="00884D05" w:rsidRPr="00286308" w:rsidRDefault="00E04B69" w:rsidP="007D0833">
            <w:pPr>
              <w:pStyle w:val="Normal2"/>
              <w:spacing w:line="360" w:lineRule="auto"/>
              <w:rPr>
                <w:rFonts w:ascii="Century Gothic" w:hAnsi="Century Gothic" w:cs="Arial"/>
                <w:b/>
                <w:color w:val="auto"/>
                <w:szCs w:val="24"/>
              </w:rPr>
            </w:pPr>
            <w:r w:rsidRPr="00286308">
              <w:rPr>
                <w:noProof/>
                <w:color w:val="auto"/>
                <w:lang w:val="es-MX" w:eastAsia="es-MX"/>
              </w:rPr>
              <w:drawing>
                <wp:inline distT="0" distB="0" distL="0" distR="0" wp14:anchorId="7D8174DF" wp14:editId="6A6D8FA9">
                  <wp:extent cx="1114425" cy="1466850"/>
                  <wp:effectExtent l="19050" t="0" r="9525" b="0"/>
                  <wp:docPr id="7" name="Imagen 7" descr="CHAVEZ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VEZ MADRID"/>
                          <pic:cNvPicPr>
                            <a:picLocks noChangeAspect="1" noChangeArrowheads="1"/>
                          </pic:cNvPicPr>
                        </pic:nvPicPr>
                        <pic:blipFill>
                          <a:blip r:embed="rId13"/>
                          <a:srcRect/>
                          <a:stretch>
                            <a:fillRect/>
                          </a:stretch>
                        </pic:blipFill>
                        <pic:spPr bwMode="auto">
                          <a:xfrm>
                            <a:off x="0" y="0"/>
                            <a:ext cx="1114425" cy="1466850"/>
                          </a:xfrm>
                          <a:prstGeom prst="rect">
                            <a:avLst/>
                          </a:prstGeom>
                          <a:noFill/>
                          <a:ln w="9525">
                            <a:noFill/>
                            <a:miter lim="800000"/>
                            <a:headEnd/>
                            <a:tailEnd/>
                          </a:ln>
                        </pic:spPr>
                      </pic:pic>
                    </a:graphicData>
                  </a:graphic>
                </wp:inline>
              </w:drawing>
            </w:r>
          </w:p>
        </w:tc>
        <w:tc>
          <w:tcPr>
            <w:tcW w:w="2303" w:type="dxa"/>
            <w:vAlign w:val="center"/>
          </w:tcPr>
          <w:p w14:paraId="378F9E5B" w14:textId="77777777" w:rsidR="00884D05" w:rsidRPr="00286308" w:rsidRDefault="00884D05" w:rsidP="007D0833">
            <w:pPr>
              <w:pStyle w:val="Normal2"/>
              <w:spacing w:line="360" w:lineRule="auto"/>
              <w:rPr>
                <w:rFonts w:ascii="Century Gothic" w:hAnsi="Century Gothic" w:cs="Arial"/>
                <w:b/>
                <w:color w:val="auto"/>
                <w:sz w:val="22"/>
                <w:szCs w:val="22"/>
              </w:rPr>
            </w:pPr>
            <w:r w:rsidRPr="00286308">
              <w:rPr>
                <w:rFonts w:ascii="Century Gothic" w:hAnsi="Century Gothic" w:cs="Arial"/>
                <w:b/>
                <w:color w:val="auto"/>
                <w:sz w:val="22"/>
                <w:szCs w:val="22"/>
              </w:rPr>
              <w:t>DIP. JOSÉ ALFREDO CHÁVEZ MADRID</w:t>
            </w:r>
          </w:p>
          <w:p w14:paraId="1BBAEC1E" w14:textId="77777777" w:rsidR="00884D05" w:rsidRPr="00286308" w:rsidRDefault="00884D05" w:rsidP="007D0833">
            <w:pPr>
              <w:pStyle w:val="Normal2"/>
              <w:spacing w:line="360" w:lineRule="auto"/>
              <w:rPr>
                <w:rFonts w:ascii="Century Gothic" w:hAnsi="Century Gothic" w:cs="Arial"/>
                <w:b/>
                <w:color w:val="auto"/>
                <w:sz w:val="22"/>
                <w:szCs w:val="22"/>
              </w:rPr>
            </w:pPr>
            <w:r w:rsidRPr="00286308">
              <w:rPr>
                <w:rFonts w:ascii="Century Gothic" w:hAnsi="Century Gothic" w:cs="Arial"/>
                <w:b/>
                <w:color w:val="auto"/>
                <w:sz w:val="22"/>
                <w:szCs w:val="22"/>
              </w:rPr>
              <w:t>VOCAL</w:t>
            </w:r>
          </w:p>
        </w:tc>
        <w:tc>
          <w:tcPr>
            <w:tcW w:w="1563" w:type="dxa"/>
            <w:vAlign w:val="center"/>
          </w:tcPr>
          <w:p w14:paraId="6D00F351" w14:textId="77777777" w:rsidR="00884D05" w:rsidRPr="00286308" w:rsidRDefault="00884D05" w:rsidP="007D0833">
            <w:pPr>
              <w:pStyle w:val="Normal2"/>
              <w:spacing w:line="360" w:lineRule="auto"/>
              <w:rPr>
                <w:rFonts w:ascii="Century Gothic" w:hAnsi="Century Gothic" w:cs="Arial"/>
                <w:b/>
                <w:color w:val="auto"/>
                <w:szCs w:val="24"/>
              </w:rPr>
            </w:pPr>
          </w:p>
        </w:tc>
        <w:tc>
          <w:tcPr>
            <w:tcW w:w="1612" w:type="dxa"/>
            <w:vAlign w:val="center"/>
          </w:tcPr>
          <w:p w14:paraId="58836203" w14:textId="77777777" w:rsidR="00884D05" w:rsidRPr="00286308" w:rsidRDefault="00884D05" w:rsidP="007D0833">
            <w:pPr>
              <w:pStyle w:val="Normal2"/>
              <w:spacing w:line="360" w:lineRule="auto"/>
              <w:rPr>
                <w:rFonts w:ascii="Century Gothic" w:hAnsi="Century Gothic" w:cs="Arial"/>
                <w:b/>
                <w:color w:val="auto"/>
                <w:szCs w:val="24"/>
              </w:rPr>
            </w:pPr>
          </w:p>
        </w:tc>
        <w:tc>
          <w:tcPr>
            <w:tcW w:w="1757" w:type="dxa"/>
            <w:vAlign w:val="center"/>
          </w:tcPr>
          <w:p w14:paraId="4353E308" w14:textId="77777777" w:rsidR="00884D05" w:rsidRPr="00286308" w:rsidRDefault="00884D05" w:rsidP="007D0833">
            <w:pPr>
              <w:pStyle w:val="Normal2"/>
              <w:spacing w:line="360" w:lineRule="auto"/>
              <w:rPr>
                <w:rFonts w:ascii="Century Gothic" w:hAnsi="Century Gothic" w:cs="Arial"/>
                <w:b/>
                <w:color w:val="auto"/>
                <w:szCs w:val="24"/>
              </w:rPr>
            </w:pPr>
          </w:p>
        </w:tc>
      </w:tr>
      <w:tr w:rsidR="00286308" w:rsidRPr="00286308" w14:paraId="388A027D" w14:textId="77777777" w:rsidTr="008A6159">
        <w:trPr>
          <w:jc w:val="center"/>
        </w:trPr>
        <w:tc>
          <w:tcPr>
            <w:tcW w:w="2689" w:type="dxa"/>
            <w:vAlign w:val="center"/>
          </w:tcPr>
          <w:p w14:paraId="2F77116E" w14:textId="77777777" w:rsidR="00884D05" w:rsidRPr="00286308" w:rsidRDefault="00E04B69" w:rsidP="007D0833">
            <w:pPr>
              <w:pStyle w:val="Normal2"/>
              <w:spacing w:line="360" w:lineRule="auto"/>
              <w:rPr>
                <w:rFonts w:ascii="Century Gothic" w:hAnsi="Century Gothic" w:cs="Arial"/>
                <w:b/>
                <w:color w:val="auto"/>
                <w:szCs w:val="24"/>
              </w:rPr>
            </w:pPr>
            <w:r w:rsidRPr="00286308">
              <w:rPr>
                <w:rFonts w:ascii="Century Gothic" w:hAnsi="Century Gothic" w:cs="Arial"/>
                <w:b/>
                <w:noProof/>
                <w:color w:val="auto"/>
                <w:szCs w:val="24"/>
                <w:lang w:val="es-MX" w:eastAsia="es-MX"/>
              </w:rPr>
              <w:drawing>
                <wp:inline distT="0" distB="0" distL="0" distR="0" wp14:anchorId="082D41F4" wp14:editId="4B47F546">
                  <wp:extent cx="1104900" cy="1466850"/>
                  <wp:effectExtent l="19050" t="0" r="0" b="0"/>
                  <wp:docPr id="8" name="Imagen 8" descr="GARCIA S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CIA SOTO"/>
                          <pic:cNvPicPr>
                            <a:picLocks noChangeAspect="1" noChangeArrowheads="1"/>
                          </pic:cNvPicPr>
                        </pic:nvPicPr>
                        <pic:blipFill>
                          <a:blip r:embed="rId14"/>
                          <a:srcRect/>
                          <a:stretch>
                            <a:fillRect/>
                          </a:stretch>
                        </pic:blipFill>
                        <pic:spPr bwMode="auto">
                          <a:xfrm>
                            <a:off x="0" y="0"/>
                            <a:ext cx="1104900" cy="1466850"/>
                          </a:xfrm>
                          <a:prstGeom prst="rect">
                            <a:avLst/>
                          </a:prstGeom>
                          <a:noFill/>
                          <a:ln w="9525">
                            <a:noFill/>
                            <a:miter lim="800000"/>
                            <a:headEnd/>
                            <a:tailEnd/>
                          </a:ln>
                        </pic:spPr>
                      </pic:pic>
                    </a:graphicData>
                  </a:graphic>
                </wp:inline>
              </w:drawing>
            </w:r>
          </w:p>
        </w:tc>
        <w:tc>
          <w:tcPr>
            <w:tcW w:w="2303" w:type="dxa"/>
            <w:vAlign w:val="center"/>
          </w:tcPr>
          <w:p w14:paraId="05E463B5" w14:textId="77777777" w:rsidR="00884D05" w:rsidRPr="00286308" w:rsidRDefault="00884D05" w:rsidP="007D0833">
            <w:pPr>
              <w:pStyle w:val="Normal2"/>
              <w:spacing w:line="360" w:lineRule="auto"/>
              <w:rPr>
                <w:rFonts w:ascii="Century Gothic" w:hAnsi="Century Gothic" w:cs="Arial"/>
                <w:b/>
                <w:color w:val="auto"/>
                <w:sz w:val="22"/>
                <w:szCs w:val="22"/>
              </w:rPr>
            </w:pPr>
            <w:r w:rsidRPr="00286308">
              <w:rPr>
                <w:rFonts w:ascii="Century Gothic" w:hAnsi="Century Gothic" w:cs="Arial"/>
                <w:b/>
                <w:color w:val="auto"/>
                <w:sz w:val="22"/>
                <w:szCs w:val="22"/>
              </w:rPr>
              <w:t>DIP. ILSE AMÉRICA GARCÍA SOTO</w:t>
            </w:r>
          </w:p>
          <w:p w14:paraId="25D1D9D1" w14:textId="77777777" w:rsidR="00884D05" w:rsidRPr="00286308" w:rsidRDefault="00884D05" w:rsidP="007D0833">
            <w:pPr>
              <w:pStyle w:val="Normal2"/>
              <w:spacing w:line="360" w:lineRule="auto"/>
              <w:rPr>
                <w:rFonts w:ascii="Century Gothic" w:hAnsi="Century Gothic" w:cs="Arial"/>
                <w:b/>
                <w:color w:val="auto"/>
                <w:sz w:val="22"/>
                <w:szCs w:val="22"/>
              </w:rPr>
            </w:pPr>
            <w:r w:rsidRPr="00286308">
              <w:rPr>
                <w:rFonts w:ascii="Century Gothic" w:hAnsi="Century Gothic" w:cs="Arial"/>
                <w:b/>
                <w:color w:val="auto"/>
                <w:sz w:val="22"/>
                <w:szCs w:val="22"/>
              </w:rPr>
              <w:t>VOCAL</w:t>
            </w:r>
          </w:p>
        </w:tc>
        <w:tc>
          <w:tcPr>
            <w:tcW w:w="1563" w:type="dxa"/>
            <w:vAlign w:val="center"/>
          </w:tcPr>
          <w:p w14:paraId="7E9DF034" w14:textId="77777777" w:rsidR="00884D05" w:rsidRPr="00286308" w:rsidRDefault="00884D05" w:rsidP="007D0833">
            <w:pPr>
              <w:pStyle w:val="Normal2"/>
              <w:spacing w:line="360" w:lineRule="auto"/>
              <w:rPr>
                <w:rFonts w:ascii="Century Gothic" w:hAnsi="Century Gothic" w:cs="Arial"/>
                <w:b/>
                <w:color w:val="auto"/>
                <w:szCs w:val="24"/>
              </w:rPr>
            </w:pPr>
          </w:p>
        </w:tc>
        <w:tc>
          <w:tcPr>
            <w:tcW w:w="1612" w:type="dxa"/>
            <w:vAlign w:val="center"/>
          </w:tcPr>
          <w:p w14:paraId="0C14ED76" w14:textId="77777777" w:rsidR="00884D05" w:rsidRPr="00286308" w:rsidRDefault="00884D05" w:rsidP="007D0833">
            <w:pPr>
              <w:pStyle w:val="Normal2"/>
              <w:spacing w:line="360" w:lineRule="auto"/>
              <w:rPr>
                <w:rFonts w:ascii="Century Gothic" w:hAnsi="Century Gothic" w:cs="Arial"/>
                <w:b/>
                <w:color w:val="auto"/>
                <w:szCs w:val="24"/>
              </w:rPr>
            </w:pPr>
          </w:p>
        </w:tc>
        <w:tc>
          <w:tcPr>
            <w:tcW w:w="1757" w:type="dxa"/>
            <w:vAlign w:val="center"/>
          </w:tcPr>
          <w:p w14:paraId="19E67101" w14:textId="77777777" w:rsidR="00884D05" w:rsidRPr="00286308" w:rsidRDefault="00884D05" w:rsidP="007D0833">
            <w:pPr>
              <w:pStyle w:val="Normal2"/>
              <w:spacing w:line="360" w:lineRule="auto"/>
              <w:rPr>
                <w:rFonts w:ascii="Century Gothic" w:hAnsi="Century Gothic" w:cs="Arial"/>
                <w:b/>
                <w:color w:val="auto"/>
                <w:szCs w:val="24"/>
              </w:rPr>
            </w:pPr>
          </w:p>
        </w:tc>
      </w:tr>
      <w:tr w:rsidR="00286308" w:rsidRPr="00286308" w14:paraId="1794B6AC" w14:textId="77777777" w:rsidTr="008A6159">
        <w:trPr>
          <w:jc w:val="center"/>
        </w:trPr>
        <w:tc>
          <w:tcPr>
            <w:tcW w:w="2689" w:type="dxa"/>
            <w:vAlign w:val="center"/>
          </w:tcPr>
          <w:p w14:paraId="218E480F" w14:textId="77777777" w:rsidR="00884D05" w:rsidRPr="00286308" w:rsidRDefault="00E04B69" w:rsidP="007D0833">
            <w:pPr>
              <w:pStyle w:val="Normal2"/>
              <w:spacing w:line="360" w:lineRule="auto"/>
              <w:rPr>
                <w:rFonts w:ascii="Century Gothic" w:hAnsi="Century Gothic" w:cs="Arial"/>
                <w:b/>
                <w:noProof/>
                <w:color w:val="auto"/>
                <w:szCs w:val="24"/>
                <w:lang w:val="es-MX" w:eastAsia="es-MX"/>
              </w:rPr>
            </w:pPr>
            <w:r w:rsidRPr="00286308">
              <w:rPr>
                <w:rFonts w:ascii="Century Gothic" w:hAnsi="Century Gothic" w:cs="Arial"/>
                <w:b/>
                <w:noProof/>
                <w:color w:val="auto"/>
                <w:szCs w:val="24"/>
                <w:lang w:val="es-MX" w:eastAsia="es-MX"/>
              </w:rPr>
              <w:drawing>
                <wp:inline distT="0" distB="0" distL="0" distR="0" wp14:anchorId="22994AC9" wp14:editId="6DD6B804">
                  <wp:extent cx="1085850" cy="1438275"/>
                  <wp:effectExtent l="19050" t="0" r="0" b="0"/>
                  <wp:docPr id="9" name="Imagen 9" descr="R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VAS"/>
                          <pic:cNvPicPr>
                            <a:picLocks noChangeAspect="1" noChangeArrowheads="1"/>
                          </pic:cNvPicPr>
                        </pic:nvPicPr>
                        <pic:blipFill>
                          <a:blip r:embed="rId15"/>
                          <a:srcRect/>
                          <a:stretch>
                            <a:fillRect/>
                          </a:stretch>
                        </pic:blipFill>
                        <pic:spPr bwMode="auto">
                          <a:xfrm>
                            <a:off x="0" y="0"/>
                            <a:ext cx="1085850" cy="1438275"/>
                          </a:xfrm>
                          <a:prstGeom prst="rect">
                            <a:avLst/>
                          </a:prstGeom>
                          <a:noFill/>
                          <a:ln w="9525">
                            <a:noFill/>
                            <a:miter lim="800000"/>
                            <a:headEnd/>
                            <a:tailEnd/>
                          </a:ln>
                        </pic:spPr>
                      </pic:pic>
                    </a:graphicData>
                  </a:graphic>
                </wp:inline>
              </w:drawing>
            </w:r>
          </w:p>
        </w:tc>
        <w:tc>
          <w:tcPr>
            <w:tcW w:w="2303" w:type="dxa"/>
            <w:vAlign w:val="center"/>
          </w:tcPr>
          <w:p w14:paraId="6A6F2856" w14:textId="77777777" w:rsidR="00884D05" w:rsidRPr="00286308" w:rsidRDefault="00884D05" w:rsidP="007D0833">
            <w:pPr>
              <w:pStyle w:val="Normal2"/>
              <w:spacing w:line="360" w:lineRule="auto"/>
              <w:rPr>
                <w:rFonts w:ascii="Century Gothic" w:hAnsi="Century Gothic" w:cs="Arial"/>
                <w:b/>
                <w:color w:val="auto"/>
                <w:sz w:val="22"/>
                <w:szCs w:val="22"/>
              </w:rPr>
            </w:pPr>
            <w:r w:rsidRPr="00286308">
              <w:rPr>
                <w:rFonts w:ascii="Century Gothic" w:hAnsi="Century Gothic" w:cs="Arial"/>
                <w:b/>
                <w:color w:val="auto"/>
                <w:sz w:val="22"/>
                <w:szCs w:val="22"/>
              </w:rPr>
              <w:t>DIP</w:t>
            </w:r>
            <w:r w:rsidR="00AD6723" w:rsidRPr="00286308">
              <w:rPr>
                <w:rFonts w:ascii="Century Gothic" w:hAnsi="Century Gothic" w:cs="Arial"/>
                <w:b/>
                <w:color w:val="auto"/>
                <w:sz w:val="22"/>
                <w:szCs w:val="22"/>
              </w:rPr>
              <w:t>.</w:t>
            </w:r>
            <w:r w:rsidRPr="00286308">
              <w:rPr>
                <w:rFonts w:ascii="Century Gothic" w:hAnsi="Century Gothic" w:cs="Arial"/>
                <w:b/>
                <w:color w:val="auto"/>
                <w:sz w:val="22"/>
                <w:szCs w:val="22"/>
              </w:rPr>
              <w:t xml:space="preserve"> CARLA YAMILETH RIVAS MARTÍNEZ</w:t>
            </w:r>
          </w:p>
          <w:p w14:paraId="456B509F" w14:textId="77777777" w:rsidR="00884D05" w:rsidRPr="00286308" w:rsidRDefault="00884D05" w:rsidP="007D0833">
            <w:pPr>
              <w:pStyle w:val="Normal2"/>
              <w:spacing w:line="360" w:lineRule="auto"/>
              <w:rPr>
                <w:rFonts w:ascii="Century Gothic" w:hAnsi="Century Gothic" w:cs="Arial"/>
                <w:b/>
                <w:color w:val="auto"/>
                <w:sz w:val="22"/>
                <w:szCs w:val="22"/>
              </w:rPr>
            </w:pPr>
            <w:r w:rsidRPr="00286308">
              <w:rPr>
                <w:rFonts w:ascii="Century Gothic" w:hAnsi="Century Gothic" w:cs="Arial"/>
                <w:b/>
                <w:color w:val="auto"/>
                <w:sz w:val="22"/>
                <w:szCs w:val="22"/>
              </w:rPr>
              <w:t>VOCAL</w:t>
            </w:r>
          </w:p>
        </w:tc>
        <w:tc>
          <w:tcPr>
            <w:tcW w:w="1563" w:type="dxa"/>
            <w:vAlign w:val="center"/>
          </w:tcPr>
          <w:p w14:paraId="4100B463" w14:textId="77777777" w:rsidR="00884D05" w:rsidRPr="00286308" w:rsidRDefault="00884D05" w:rsidP="007D0833">
            <w:pPr>
              <w:pStyle w:val="Normal2"/>
              <w:spacing w:line="360" w:lineRule="auto"/>
              <w:rPr>
                <w:rFonts w:ascii="Century Gothic" w:hAnsi="Century Gothic" w:cs="Arial"/>
                <w:b/>
                <w:color w:val="auto"/>
                <w:szCs w:val="24"/>
              </w:rPr>
            </w:pPr>
          </w:p>
        </w:tc>
        <w:tc>
          <w:tcPr>
            <w:tcW w:w="1612" w:type="dxa"/>
            <w:vAlign w:val="center"/>
          </w:tcPr>
          <w:p w14:paraId="5314FE86" w14:textId="77777777" w:rsidR="00884D05" w:rsidRPr="00286308" w:rsidRDefault="00884D05" w:rsidP="007D0833">
            <w:pPr>
              <w:pStyle w:val="Normal2"/>
              <w:spacing w:line="360" w:lineRule="auto"/>
              <w:rPr>
                <w:rFonts w:ascii="Century Gothic" w:hAnsi="Century Gothic" w:cs="Arial"/>
                <w:b/>
                <w:color w:val="auto"/>
                <w:szCs w:val="24"/>
              </w:rPr>
            </w:pPr>
          </w:p>
        </w:tc>
        <w:tc>
          <w:tcPr>
            <w:tcW w:w="1757" w:type="dxa"/>
            <w:vAlign w:val="center"/>
          </w:tcPr>
          <w:p w14:paraId="67753C3C" w14:textId="77777777" w:rsidR="00884D05" w:rsidRPr="00286308" w:rsidRDefault="00884D05" w:rsidP="007D0833">
            <w:pPr>
              <w:pStyle w:val="Normal2"/>
              <w:spacing w:line="360" w:lineRule="auto"/>
              <w:rPr>
                <w:rFonts w:ascii="Century Gothic" w:hAnsi="Century Gothic" w:cs="Arial"/>
                <w:b/>
                <w:color w:val="auto"/>
                <w:szCs w:val="24"/>
              </w:rPr>
            </w:pPr>
          </w:p>
        </w:tc>
      </w:tr>
      <w:tr w:rsidR="00286308" w:rsidRPr="00286308" w14:paraId="0DAE7940" w14:textId="77777777" w:rsidTr="008A6159">
        <w:trPr>
          <w:jc w:val="center"/>
        </w:trPr>
        <w:tc>
          <w:tcPr>
            <w:tcW w:w="2689" w:type="dxa"/>
            <w:vAlign w:val="center"/>
          </w:tcPr>
          <w:p w14:paraId="3F30950A" w14:textId="77777777" w:rsidR="00884D05" w:rsidRPr="00286308" w:rsidRDefault="00E04B69" w:rsidP="007D0833">
            <w:pPr>
              <w:pStyle w:val="Normal2"/>
              <w:spacing w:line="360" w:lineRule="auto"/>
              <w:rPr>
                <w:rFonts w:ascii="Century Gothic" w:hAnsi="Century Gothic" w:cs="Arial"/>
                <w:b/>
                <w:noProof/>
                <w:color w:val="auto"/>
                <w:szCs w:val="24"/>
                <w:lang w:val="es-MX" w:eastAsia="es-MX"/>
              </w:rPr>
            </w:pPr>
            <w:r w:rsidRPr="00286308">
              <w:rPr>
                <w:rFonts w:ascii="Century Gothic" w:hAnsi="Century Gothic" w:cs="Arial"/>
                <w:b/>
                <w:noProof/>
                <w:color w:val="auto"/>
                <w:szCs w:val="24"/>
                <w:lang w:val="es-MX" w:eastAsia="es-MX"/>
              </w:rPr>
              <w:lastRenderedPageBreak/>
              <w:drawing>
                <wp:inline distT="0" distB="0" distL="0" distR="0" wp14:anchorId="615E57BB" wp14:editId="7B587885">
                  <wp:extent cx="1190625" cy="1581150"/>
                  <wp:effectExtent l="19050" t="0" r="9525" b="0"/>
                  <wp:docPr id="10" name="Imagen 10" descr="PIÑ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ÑON"/>
                          <pic:cNvPicPr>
                            <a:picLocks noChangeAspect="1" noChangeArrowheads="1"/>
                          </pic:cNvPicPr>
                        </pic:nvPicPr>
                        <pic:blipFill>
                          <a:blip r:embed="rId16"/>
                          <a:srcRect/>
                          <a:stretch>
                            <a:fillRect/>
                          </a:stretch>
                        </pic:blipFill>
                        <pic:spPr bwMode="auto">
                          <a:xfrm>
                            <a:off x="0" y="0"/>
                            <a:ext cx="1190625" cy="1581150"/>
                          </a:xfrm>
                          <a:prstGeom prst="rect">
                            <a:avLst/>
                          </a:prstGeom>
                          <a:noFill/>
                          <a:ln w="9525">
                            <a:noFill/>
                            <a:miter lim="800000"/>
                            <a:headEnd/>
                            <a:tailEnd/>
                          </a:ln>
                        </pic:spPr>
                      </pic:pic>
                    </a:graphicData>
                  </a:graphic>
                </wp:inline>
              </w:drawing>
            </w:r>
          </w:p>
        </w:tc>
        <w:tc>
          <w:tcPr>
            <w:tcW w:w="2303" w:type="dxa"/>
            <w:vAlign w:val="center"/>
          </w:tcPr>
          <w:p w14:paraId="45D26F15" w14:textId="77777777" w:rsidR="00884D05" w:rsidRPr="00286308" w:rsidRDefault="00884D05" w:rsidP="007D0833">
            <w:pPr>
              <w:pStyle w:val="Normal2"/>
              <w:spacing w:line="360" w:lineRule="auto"/>
              <w:rPr>
                <w:rFonts w:ascii="Century Gothic" w:hAnsi="Century Gothic" w:cs="Arial"/>
                <w:b/>
                <w:color w:val="auto"/>
                <w:sz w:val="22"/>
                <w:szCs w:val="22"/>
              </w:rPr>
            </w:pPr>
            <w:r w:rsidRPr="00286308">
              <w:rPr>
                <w:rFonts w:ascii="Century Gothic" w:hAnsi="Century Gothic" w:cs="Arial"/>
                <w:b/>
                <w:color w:val="auto"/>
                <w:sz w:val="22"/>
                <w:szCs w:val="22"/>
              </w:rPr>
              <w:t>DIP. EDGAR JOSÉ PIÑÓN DOMÍNGUEZ</w:t>
            </w:r>
          </w:p>
          <w:p w14:paraId="34FC594A" w14:textId="77777777" w:rsidR="00884D05" w:rsidRPr="00286308" w:rsidRDefault="00884D05" w:rsidP="007D0833">
            <w:pPr>
              <w:pStyle w:val="Normal2"/>
              <w:spacing w:line="360" w:lineRule="auto"/>
              <w:rPr>
                <w:rFonts w:ascii="Century Gothic" w:hAnsi="Century Gothic" w:cs="Arial"/>
                <w:b/>
                <w:color w:val="auto"/>
                <w:sz w:val="22"/>
                <w:szCs w:val="22"/>
              </w:rPr>
            </w:pPr>
            <w:r w:rsidRPr="00286308">
              <w:rPr>
                <w:rFonts w:ascii="Century Gothic" w:hAnsi="Century Gothic" w:cs="Arial"/>
                <w:b/>
                <w:color w:val="auto"/>
                <w:sz w:val="22"/>
                <w:szCs w:val="22"/>
              </w:rPr>
              <w:t>VOCAL</w:t>
            </w:r>
          </w:p>
        </w:tc>
        <w:tc>
          <w:tcPr>
            <w:tcW w:w="1563" w:type="dxa"/>
            <w:vAlign w:val="center"/>
          </w:tcPr>
          <w:p w14:paraId="4FFA2B7F" w14:textId="77777777" w:rsidR="00884D05" w:rsidRPr="00286308" w:rsidRDefault="00884D05" w:rsidP="007D0833">
            <w:pPr>
              <w:pStyle w:val="Normal2"/>
              <w:spacing w:line="360" w:lineRule="auto"/>
              <w:rPr>
                <w:rFonts w:ascii="Century Gothic" w:hAnsi="Century Gothic" w:cs="Arial"/>
                <w:b/>
                <w:color w:val="auto"/>
                <w:szCs w:val="24"/>
              </w:rPr>
            </w:pPr>
          </w:p>
        </w:tc>
        <w:tc>
          <w:tcPr>
            <w:tcW w:w="1612" w:type="dxa"/>
            <w:vAlign w:val="center"/>
          </w:tcPr>
          <w:p w14:paraId="4B638924" w14:textId="77777777" w:rsidR="00884D05" w:rsidRPr="00286308" w:rsidRDefault="00884D05" w:rsidP="007D0833">
            <w:pPr>
              <w:pStyle w:val="Normal2"/>
              <w:spacing w:line="360" w:lineRule="auto"/>
              <w:rPr>
                <w:rFonts w:ascii="Century Gothic" w:hAnsi="Century Gothic" w:cs="Arial"/>
                <w:b/>
                <w:color w:val="auto"/>
                <w:szCs w:val="24"/>
              </w:rPr>
            </w:pPr>
          </w:p>
        </w:tc>
        <w:tc>
          <w:tcPr>
            <w:tcW w:w="1757" w:type="dxa"/>
            <w:vAlign w:val="center"/>
          </w:tcPr>
          <w:p w14:paraId="44911A65" w14:textId="77777777" w:rsidR="00884D05" w:rsidRPr="00286308" w:rsidRDefault="00884D05" w:rsidP="007D0833">
            <w:pPr>
              <w:pStyle w:val="Normal2"/>
              <w:spacing w:line="360" w:lineRule="auto"/>
              <w:rPr>
                <w:rFonts w:ascii="Century Gothic" w:hAnsi="Century Gothic" w:cs="Arial"/>
                <w:b/>
                <w:color w:val="auto"/>
                <w:szCs w:val="24"/>
              </w:rPr>
            </w:pPr>
          </w:p>
        </w:tc>
      </w:tr>
      <w:tr w:rsidR="00286308" w:rsidRPr="00286308" w14:paraId="471CE592" w14:textId="77777777" w:rsidTr="008A6159">
        <w:trPr>
          <w:jc w:val="center"/>
        </w:trPr>
        <w:tc>
          <w:tcPr>
            <w:tcW w:w="2689" w:type="dxa"/>
            <w:vAlign w:val="center"/>
          </w:tcPr>
          <w:p w14:paraId="796E3695" w14:textId="77777777" w:rsidR="00884D05" w:rsidRPr="00286308" w:rsidRDefault="00E04B69" w:rsidP="007D0833">
            <w:pPr>
              <w:pStyle w:val="Normal2"/>
              <w:spacing w:line="360" w:lineRule="auto"/>
              <w:rPr>
                <w:rFonts w:ascii="Century Gothic" w:hAnsi="Century Gothic" w:cs="Arial"/>
                <w:b/>
                <w:noProof/>
                <w:color w:val="auto"/>
                <w:szCs w:val="24"/>
                <w:lang w:val="es-MX" w:eastAsia="es-MX"/>
              </w:rPr>
            </w:pPr>
            <w:r w:rsidRPr="00286308">
              <w:rPr>
                <w:rFonts w:ascii="Century Gothic" w:hAnsi="Century Gothic" w:cs="Arial"/>
                <w:b/>
                <w:noProof/>
                <w:color w:val="auto"/>
                <w:szCs w:val="24"/>
                <w:lang w:val="es-MX" w:eastAsia="es-MX"/>
              </w:rPr>
              <w:drawing>
                <wp:inline distT="0" distB="0" distL="0" distR="0" wp14:anchorId="0C14937C" wp14:editId="0C6AB79E">
                  <wp:extent cx="1171575" cy="1552575"/>
                  <wp:effectExtent l="19050" t="0" r="9525" b="0"/>
                  <wp:docPr id="11" name="Imagen 11" descr="CAR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RERA"/>
                          <pic:cNvPicPr>
                            <a:picLocks noChangeAspect="1" noChangeArrowheads="1"/>
                          </pic:cNvPicPr>
                        </pic:nvPicPr>
                        <pic:blipFill>
                          <a:blip r:embed="rId17"/>
                          <a:srcRect/>
                          <a:stretch>
                            <a:fillRect/>
                          </a:stretch>
                        </pic:blipFill>
                        <pic:spPr bwMode="auto">
                          <a:xfrm>
                            <a:off x="0" y="0"/>
                            <a:ext cx="1171575" cy="1552575"/>
                          </a:xfrm>
                          <a:prstGeom prst="rect">
                            <a:avLst/>
                          </a:prstGeom>
                          <a:noFill/>
                          <a:ln w="9525">
                            <a:noFill/>
                            <a:miter lim="800000"/>
                            <a:headEnd/>
                            <a:tailEnd/>
                          </a:ln>
                        </pic:spPr>
                      </pic:pic>
                    </a:graphicData>
                  </a:graphic>
                </wp:inline>
              </w:drawing>
            </w:r>
          </w:p>
        </w:tc>
        <w:tc>
          <w:tcPr>
            <w:tcW w:w="2303" w:type="dxa"/>
            <w:vAlign w:val="center"/>
          </w:tcPr>
          <w:p w14:paraId="1430E406" w14:textId="77777777" w:rsidR="00884D05" w:rsidRPr="00286308" w:rsidRDefault="00884D05" w:rsidP="007D0833">
            <w:pPr>
              <w:pStyle w:val="Normal2"/>
              <w:spacing w:line="360" w:lineRule="auto"/>
              <w:rPr>
                <w:rFonts w:ascii="Century Gothic" w:hAnsi="Century Gothic" w:cs="Arial"/>
                <w:b/>
                <w:color w:val="auto"/>
                <w:sz w:val="22"/>
                <w:szCs w:val="22"/>
              </w:rPr>
            </w:pPr>
            <w:r w:rsidRPr="00286308">
              <w:rPr>
                <w:rFonts w:ascii="Century Gothic" w:hAnsi="Century Gothic" w:cs="Arial"/>
                <w:b/>
                <w:color w:val="auto"/>
                <w:sz w:val="22"/>
                <w:szCs w:val="22"/>
              </w:rPr>
              <w:t>DIP. BENJAMÍN CARRERA CHÁVEZ</w:t>
            </w:r>
          </w:p>
          <w:p w14:paraId="32A87141" w14:textId="77777777" w:rsidR="00884D05" w:rsidRPr="00286308" w:rsidRDefault="00884D05" w:rsidP="007D0833">
            <w:pPr>
              <w:pStyle w:val="Normal2"/>
              <w:spacing w:line="360" w:lineRule="auto"/>
              <w:rPr>
                <w:rFonts w:ascii="Century Gothic" w:hAnsi="Century Gothic" w:cs="Arial"/>
                <w:b/>
                <w:color w:val="auto"/>
                <w:sz w:val="22"/>
                <w:szCs w:val="22"/>
              </w:rPr>
            </w:pPr>
            <w:r w:rsidRPr="00286308">
              <w:rPr>
                <w:rFonts w:ascii="Century Gothic" w:hAnsi="Century Gothic" w:cs="Arial"/>
                <w:b/>
                <w:color w:val="auto"/>
                <w:sz w:val="22"/>
                <w:szCs w:val="22"/>
              </w:rPr>
              <w:t>VOCAL</w:t>
            </w:r>
          </w:p>
        </w:tc>
        <w:tc>
          <w:tcPr>
            <w:tcW w:w="1563" w:type="dxa"/>
            <w:vAlign w:val="center"/>
          </w:tcPr>
          <w:p w14:paraId="030D9180" w14:textId="77777777" w:rsidR="00884D05" w:rsidRPr="00286308" w:rsidRDefault="00884D05" w:rsidP="007D0833">
            <w:pPr>
              <w:pStyle w:val="Normal2"/>
              <w:spacing w:line="360" w:lineRule="auto"/>
              <w:rPr>
                <w:rFonts w:ascii="Century Gothic" w:hAnsi="Century Gothic" w:cs="Arial"/>
                <w:b/>
                <w:color w:val="auto"/>
                <w:szCs w:val="24"/>
              </w:rPr>
            </w:pPr>
          </w:p>
        </w:tc>
        <w:tc>
          <w:tcPr>
            <w:tcW w:w="1612" w:type="dxa"/>
            <w:vAlign w:val="center"/>
          </w:tcPr>
          <w:p w14:paraId="3A938888" w14:textId="77777777" w:rsidR="00884D05" w:rsidRPr="00286308" w:rsidRDefault="00884D05" w:rsidP="007D0833">
            <w:pPr>
              <w:pStyle w:val="Normal2"/>
              <w:spacing w:line="360" w:lineRule="auto"/>
              <w:rPr>
                <w:rFonts w:ascii="Century Gothic" w:hAnsi="Century Gothic" w:cs="Arial"/>
                <w:b/>
                <w:color w:val="auto"/>
                <w:szCs w:val="24"/>
              </w:rPr>
            </w:pPr>
          </w:p>
        </w:tc>
        <w:tc>
          <w:tcPr>
            <w:tcW w:w="1757" w:type="dxa"/>
            <w:vAlign w:val="center"/>
          </w:tcPr>
          <w:p w14:paraId="48E9A99E" w14:textId="77777777" w:rsidR="00884D05" w:rsidRPr="00286308" w:rsidRDefault="00884D05" w:rsidP="007D0833">
            <w:pPr>
              <w:pStyle w:val="Normal2"/>
              <w:spacing w:line="360" w:lineRule="auto"/>
              <w:rPr>
                <w:rFonts w:ascii="Century Gothic" w:hAnsi="Century Gothic" w:cs="Arial"/>
                <w:b/>
                <w:color w:val="auto"/>
                <w:szCs w:val="24"/>
              </w:rPr>
            </w:pPr>
          </w:p>
        </w:tc>
      </w:tr>
    </w:tbl>
    <w:p w14:paraId="3A9FDD58" w14:textId="008B15F9" w:rsidR="00451389" w:rsidRPr="00286308" w:rsidRDefault="00884D05" w:rsidP="00AF7058">
      <w:pPr>
        <w:rPr>
          <w:rFonts w:ascii="Century Gothic" w:hAnsi="Century Gothic"/>
          <w:b/>
          <w:bCs/>
          <w:szCs w:val="24"/>
        </w:rPr>
      </w:pPr>
      <w:r w:rsidRPr="00286308">
        <w:rPr>
          <w:rFonts w:ascii="Century Gothic" w:hAnsi="Century Gothic"/>
          <w:b/>
          <w:bCs/>
          <w:sz w:val="12"/>
          <w:szCs w:val="12"/>
        </w:rPr>
        <w:t>Hoja de firmas perteneciente al Dictamen relativo a la Iniciativa con carácter de Decreto</w:t>
      </w:r>
      <w:r w:rsidR="00FB7217" w:rsidRPr="00286308">
        <w:rPr>
          <w:rFonts w:ascii="Century Gothic" w:hAnsi="Century Gothic"/>
          <w:b/>
          <w:bCs/>
          <w:sz w:val="12"/>
          <w:szCs w:val="12"/>
        </w:rPr>
        <w:t xml:space="preserve"> Número 1506</w:t>
      </w:r>
      <w:r w:rsidRPr="00286308">
        <w:rPr>
          <w:rFonts w:ascii="Century Gothic" w:hAnsi="Century Gothic"/>
          <w:b/>
          <w:bCs/>
          <w:sz w:val="12"/>
          <w:szCs w:val="12"/>
        </w:rPr>
        <w:t xml:space="preserve">, </w:t>
      </w:r>
      <w:r w:rsidR="00693487" w:rsidRPr="00286308">
        <w:rPr>
          <w:rFonts w:ascii="Century Gothic" w:hAnsi="Century Gothic"/>
          <w:b/>
          <w:bCs/>
          <w:sz w:val="12"/>
          <w:szCs w:val="12"/>
        </w:rPr>
        <w:t>remitida por el Poder Ejecutivo del Estado de</w:t>
      </w:r>
      <w:r w:rsidR="00103D3F" w:rsidRPr="00286308">
        <w:rPr>
          <w:rFonts w:ascii="Century Gothic" w:hAnsi="Century Gothic"/>
          <w:b/>
          <w:bCs/>
          <w:sz w:val="12"/>
          <w:szCs w:val="12"/>
        </w:rPr>
        <w:t xml:space="preserve"> </w:t>
      </w:r>
      <w:r w:rsidR="00693487" w:rsidRPr="00286308">
        <w:rPr>
          <w:rFonts w:ascii="Century Gothic" w:hAnsi="Century Gothic"/>
          <w:b/>
          <w:bCs/>
          <w:sz w:val="12"/>
          <w:szCs w:val="12"/>
        </w:rPr>
        <w:t xml:space="preserve">Chihuahua, relativa al </w:t>
      </w:r>
      <w:r w:rsidRPr="00286308">
        <w:rPr>
          <w:rFonts w:ascii="Century Gothic" w:hAnsi="Century Gothic"/>
          <w:b/>
          <w:bCs/>
          <w:sz w:val="12"/>
          <w:szCs w:val="12"/>
        </w:rPr>
        <w:t>Fortalecimiento Financiero</w:t>
      </w:r>
      <w:r w:rsidR="00FB7217" w:rsidRPr="00286308">
        <w:rPr>
          <w:rFonts w:ascii="Century Gothic" w:hAnsi="Century Gothic"/>
          <w:b/>
          <w:bCs/>
          <w:sz w:val="12"/>
          <w:szCs w:val="12"/>
        </w:rPr>
        <w:t xml:space="preserve"> para el Ejercicio Fiscal 2023.</w:t>
      </w:r>
    </w:p>
    <w:sectPr w:rsidR="00451389" w:rsidRPr="00286308" w:rsidSect="003042CE">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7DEE" w14:textId="77777777" w:rsidR="00391F80" w:rsidRDefault="00391F80" w:rsidP="006856B5">
      <w:pPr>
        <w:spacing w:after="0" w:line="240" w:lineRule="auto"/>
      </w:pPr>
      <w:r>
        <w:separator/>
      </w:r>
    </w:p>
  </w:endnote>
  <w:endnote w:type="continuationSeparator" w:id="0">
    <w:p w14:paraId="7E0C579E" w14:textId="77777777" w:rsidR="00391F80" w:rsidRDefault="00391F80" w:rsidP="0068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BE97" w14:textId="77777777" w:rsidR="008B637A" w:rsidRDefault="008B637A" w:rsidP="007C0D2D">
    <w:pPr>
      <w:pStyle w:val="Piedepgina"/>
      <w:jc w:val="center"/>
    </w:pPr>
  </w:p>
  <w:p w14:paraId="2D5E76F5" w14:textId="12C9E926" w:rsidR="008B637A" w:rsidRDefault="008B637A" w:rsidP="007C0D2D">
    <w:pPr>
      <w:pStyle w:val="Piedepgina"/>
      <w:jc w:val="right"/>
      <w:rPr>
        <w:sz w:val="16"/>
        <w:szCs w:val="16"/>
        <w:lang w:val="en-US"/>
      </w:rPr>
    </w:pPr>
    <w:r>
      <w:rPr>
        <w:sz w:val="16"/>
        <w:szCs w:val="16"/>
        <w:lang w:val="en-US"/>
      </w:rPr>
      <w:t>A</w:t>
    </w:r>
    <w:r w:rsidR="00E35AC0">
      <w:rPr>
        <w:sz w:val="16"/>
        <w:szCs w:val="16"/>
        <w:lang w:val="en-US"/>
      </w:rPr>
      <w:t>1506</w:t>
    </w:r>
    <w:r>
      <w:rPr>
        <w:sz w:val="16"/>
        <w:szCs w:val="16"/>
        <w:lang w:val="en-US"/>
      </w:rPr>
      <w:t>/ERS/GAOR/JRMC/ASC</w:t>
    </w:r>
  </w:p>
  <w:p w14:paraId="1C064F27" w14:textId="77777777" w:rsidR="008B637A" w:rsidRPr="007C0D2D" w:rsidRDefault="008B637A" w:rsidP="007C0D2D">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C1FC" w14:textId="77777777" w:rsidR="00391F80" w:rsidRDefault="00391F80" w:rsidP="006856B5">
      <w:pPr>
        <w:spacing w:after="0" w:line="240" w:lineRule="auto"/>
      </w:pPr>
      <w:r>
        <w:separator/>
      </w:r>
    </w:p>
  </w:footnote>
  <w:footnote w:type="continuationSeparator" w:id="0">
    <w:p w14:paraId="33A1C895" w14:textId="77777777" w:rsidR="00391F80" w:rsidRDefault="00391F80" w:rsidP="006856B5">
      <w:pPr>
        <w:spacing w:after="0" w:line="240" w:lineRule="auto"/>
      </w:pPr>
      <w:r>
        <w:continuationSeparator/>
      </w:r>
    </w:p>
  </w:footnote>
  <w:footnote w:id="1">
    <w:p w14:paraId="08D6DFD4" w14:textId="1F1778BB" w:rsidR="00AB00BE" w:rsidRDefault="00AB00BE">
      <w:pPr>
        <w:pStyle w:val="Textonotapie"/>
      </w:pPr>
      <w:r>
        <w:rPr>
          <w:rStyle w:val="Refdenotaalpie"/>
        </w:rPr>
        <w:footnoteRef/>
      </w:r>
      <w:r>
        <w:t xml:space="preserve"> </w:t>
      </w:r>
      <w:r w:rsidRPr="00AB00BE">
        <w:t>https://www.congresochihuahua.gob.mx/biblioteca/decretos/index.php#resultados</w:t>
      </w:r>
    </w:p>
  </w:footnote>
  <w:footnote w:id="2">
    <w:p w14:paraId="78D68CEE" w14:textId="52E37054" w:rsidR="005F48D6" w:rsidRDefault="005F48D6" w:rsidP="005F48D6">
      <w:pPr>
        <w:pStyle w:val="Textonotapie"/>
      </w:pPr>
      <w:r>
        <w:rPr>
          <w:rStyle w:val="Refdenotaalpie"/>
        </w:rPr>
        <w:footnoteRef/>
      </w:r>
      <w:r>
        <w:t xml:space="preserve"> MISMA FUENTE: </w:t>
      </w:r>
      <w:r w:rsidRPr="00AB00BE">
        <w:t>https://www.congresochihuahua.gob.mx/biblioteca/decretos/index.php#resultados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C6A6" w14:textId="77777777" w:rsidR="00771E6A" w:rsidRPr="00424D2C" w:rsidRDefault="00771E6A" w:rsidP="00771E6A">
    <w:pPr>
      <w:spacing w:after="0" w:line="240" w:lineRule="auto"/>
      <w:ind w:left="2127" w:firstLine="709"/>
      <w:jc w:val="right"/>
      <w:rPr>
        <w:rFonts w:ascii="Century Gothic" w:hAnsi="Century Gothic" w:cs="Arial"/>
        <w:color w:val="222222"/>
        <w:sz w:val="24"/>
        <w:szCs w:val="24"/>
        <w:shd w:val="clear" w:color="auto" w:fill="FFFFFF"/>
        <w:lang w:eastAsia="es-ES"/>
      </w:rPr>
    </w:pPr>
    <w:r w:rsidRPr="00424D2C">
      <w:rPr>
        <w:rFonts w:ascii="Century Gothic" w:hAnsi="Century Gothic" w:cs="Arial"/>
        <w:color w:val="222222"/>
        <w:sz w:val="24"/>
        <w:szCs w:val="24"/>
        <w:shd w:val="clear" w:color="auto" w:fill="FFFFFF"/>
        <w:lang w:eastAsia="es-ES"/>
      </w:rPr>
      <w:t>"2022, Año del Centenario de la llegada de</w:t>
    </w:r>
    <w:r w:rsidRPr="00424D2C">
      <w:rPr>
        <w:rFonts w:ascii="Century Gothic" w:hAnsi="Century Gothic"/>
        <w:bCs/>
        <w:sz w:val="24"/>
        <w:szCs w:val="24"/>
        <w:shd w:val="clear" w:color="auto" w:fill="FFFFFF"/>
        <w:lang w:eastAsia="es-ES"/>
      </w:rPr>
      <w:t xml:space="preserve"> </w:t>
    </w:r>
    <w:r w:rsidRPr="00424D2C">
      <w:rPr>
        <w:rFonts w:ascii="Century Gothic" w:hAnsi="Century Gothic" w:cs="Arial"/>
        <w:color w:val="222222"/>
        <w:sz w:val="24"/>
        <w:szCs w:val="24"/>
        <w:shd w:val="clear" w:color="auto" w:fill="FFFFFF"/>
        <w:lang w:eastAsia="es-ES"/>
      </w:rPr>
      <w:t>la</w:t>
    </w:r>
  </w:p>
  <w:p w14:paraId="1657AA3F" w14:textId="77777777" w:rsidR="00771E6A" w:rsidRPr="00424D2C" w:rsidRDefault="00771E6A" w:rsidP="00771E6A">
    <w:pPr>
      <w:spacing w:after="0" w:line="240" w:lineRule="auto"/>
      <w:ind w:left="3545" w:firstLine="709"/>
      <w:jc w:val="right"/>
      <w:rPr>
        <w:rFonts w:ascii="Century Gothic" w:hAnsi="Century Gothic"/>
        <w:bCs/>
        <w:sz w:val="24"/>
        <w:szCs w:val="24"/>
        <w:shd w:val="clear" w:color="auto" w:fill="FFFFFF"/>
        <w:lang w:eastAsia="es-ES"/>
      </w:rPr>
    </w:pPr>
    <w:r w:rsidRPr="00424D2C">
      <w:rPr>
        <w:rFonts w:ascii="Century Gothic" w:hAnsi="Century Gothic" w:cs="Arial"/>
        <w:color w:val="222222"/>
        <w:sz w:val="24"/>
        <w:szCs w:val="24"/>
        <w:shd w:val="clear" w:color="auto" w:fill="FFFFFF"/>
        <w:lang w:eastAsia="es-ES"/>
      </w:rPr>
      <w:t>Comunidad Menonita a Chihuahua”</w:t>
    </w:r>
  </w:p>
  <w:p w14:paraId="14FCD1A0" w14:textId="77777777" w:rsidR="008B637A" w:rsidRPr="00AE708E" w:rsidRDefault="008B637A" w:rsidP="00AE708E">
    <w:pPr>
      <w:spacing w:after="0" w:line="240" w:lineRule="auto"/>
      <w:jc w:val="right"/>
      <w:rPr>
        <w:rFonts w:ascii="Arial" w:hAnsi="Arial" w:cs="Arial"/>
        <w:b/>
        <w:sz w:val="18"/>
        <w:szCs w:val="18"/>
      </w:rPr>
    </w:pPr>
  </w:p>
  <w:p w14:paraId="4202B07B" w14:textId="77777777" w:rsidR="008B637A" w:rsidRDefault="008B637A" w:rsidP="006856B5">
    <w:pPr>
      <w:spacing w:after="0" w:line="240" w:lineRule="auto"/>
      <w:jc w:val="right"/>
      <w:rPr>
        <w:rFonts w:ascii="Century Gothic" w:hAnsi="Century Gothic"/>
        <w:sz w:val="18"/>
        <w:szCs w:val="18"/>
      </w:rPr>
    </w:pPr>
  </w:p>
  <w:p w14:paraId="7C3931DA" w14:textId="77777777" w:rsidR="008B637A" w:rsidRDefault="008B637A" w:rsidP="006856B5">
    <w:pPr>
      <w:pStyle w:val="Encabezado"/>
      <w:jc w:val="right"/>
      <w:rPr>
        <w:rFonts w:ascii="Century Gothic" w:hAnsi="Century Gothic"/>
        <w:sz w:val="28"/>
        <w:szCs w:val="28"/>
      </w:rPr>
    </w:pPr>
    <w:r>
      <w:rPr>
        <w:rFonts w:ascii="Century Gothic" w:hAnsi="Century Gothic" w:cs="Tahoma"/>
        <w:b/>
        <w:bCs/>
        <w:sz w:val="28"/>
        <w:szCs w:val="28"/>
        <w:shd w:val="clear" w:color="auto" w:fill="FFFFFF"/>
      </w:rPr>
      <w:t xml:space="preserve">Comisión de </w:t>
    </w:r>
    <w:r w:rsidRPr="00AE708E">
      <w:rPr>
        <w:rFonts w:ascii="Century Gothic" w:hAnsi="Century Gothic" w:cs="Tahoma"/>
        <w:b/>
        <w:bCs/>
        <w:sz w:val="28"/>
        <w:szCs w:val="28"/>
        <w:shd w:val="clear" w:color="auto" w:fill="FFFFFF"/>
      </w:rPr>
      <w:t>Programación, Presupuesto y Hacienda Pública</w:t>
    </w:r>
  </w:p>
  <w:p w14:paraId="393A69DD" w14:textId="77777777" w:rsidR="008B637A" w:rsidRDefault="008B637A" w:rsidP="006856B5">
    <w:pPr>
      <w:pStyle w:val="Normal1"/>
      <w:spacing w:line="360" w:lineRule="auto"/>
      <w:jc w:val="right"/>
      <w:rPr>
        <w:rFonts w:ascii="Century Gothic" w:hAnsi="Century Gothic" w:cs="Arial"/>
        <w:b/>
        <w:szCs w:val="24"/>
        <w:lang w:val="es-MX"/>
      </w:rPr>
    </w:pPr>
    <w:r>
      <w:rPr>
        <w:rFonts w:ascii="Century Gothic" w:hAnsi="Century Gothic" w:cs="Arial"/>
        <w:b/>
        <w:szCs w:val="24"/>
        <w:lang w:val="es-MX"/>
      </w:rPr>
      <w:t>LXVII LEGISLATURA</w:t>
    </w:r>
  </w:p>
  <w:p w14:paraId="10FC0BE5" w14:textId="306D2E39" w:rsidR="008B637A" w:rsidRPr="00876443" w:rsidRDefault="008B637A" w:rsidP="006856B5">
    <w:pPr>
      <w:pStyle w:val="Prrafodelista"/>
      <w:spacing w:line="360" w:lineRule="auto"/>
      <w:jc w:val="right"/>
      <w:rPr>
        <w:rFonts w:ascii="Century Gothic" w:hAnsi="Century Gothic" w:cs="Calibri"/>
        <w:b/>
        <w:sz w:val="24"/>
        <w:szCs w:val="24"/>
      </w:rPr>
    </w:pPr>
    <w:r>
      <w:rPr>
        <w:rFonts w:ascii="Century Gothic" w:hAnsi="Century Gothic" w:cs="Calibri"/>
        <w:b/>
        <w:sz w:val="24"/>
        <w:szCs w:val="24"/>
      </w:rPr>
      <w:t>DCPPHP/</w:t>
    </w:r>
    <w:r w:rsidR="00EA6CE4" w:rsidRPr="00EA6CE4">
      <w:rPr>
        <w:rFonts w:ascii="Century Gothic" w:hAnsi="Century Gothic" w:cs="Calibri"/>
        <w:b/>
        <w:sz w:val="24"/>
        <w:szCs w:val="24"/>
      </w:rPr>
      <w:t>55</w:t>
    </w:r>
    <w:r w:rsidRPr="00EA6CE4">
      <w:rPr>
        <w:rFonts w:ascii="Century Gothic" w:hAnsi="Century Gothic" w:cs="Calibri"/>
        <w:b/>
        <w:sz w:val="24"/>
        <w:szCs w:val="24"/>
      </w:rPr>
      <w:t>/</w:t>
    </w:r>
    <w:r>
      <w:rPr>
        <w:rFonts w:ascii="Century Gothic" w:hAnsi="Century Gothic" w:cs="Calibri"/>
        <w:b/>
        <w:sz w:val="24"/>
        <w:szCs w:val="24"/>
      </w:rPr>
      <w:t>202</w:t>
    </w:r>
    <w:r w:rsidR="00454128">
      <w:rPr>
        <w:rFonts w:ascii="Century Gothic" w:hAnsi="Century Gothic" w:cs="Calibri"/>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E41"/>
    <w:multiLevelType w:val="hybridMultilevel"/>
    <w:tmpl w:val="D8DC09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3E04A1"/>
    <w:multiLevelType w:val="hybridMultilevel"/>
    <w:tmpl w:val="04C08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C20246"/>
    <w:multiLevelType w:val="hybridMultilevel"/>
    <w:tmpl w:val="59020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F210A2"/>
    <w:multiLevelType w:val="hybridMultilevel"/>
    <w:tmpl w:val="2690D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4F3C27"/>
    <w:multiLevelType w:val="hybridMultilevel"/>
    <w:tmpl w:val="A61C2C2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11703A9B"/>
    <w:multiLevelType w:val="hybridMultilevel"/>
    <w:tmpl w:val="0E96D394"/>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6B26CE3"/>
    <w:multiLevelType w:val="hybridMultilevel"/>
    <w:tmpl w:val="70F00D64"/>
    <w:lvl w:ilvl="0" w:tplc="43A21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F5E97"/>
    <w:multiLevelType w:val="hybridMultilevel"/>
    <w:tmpl w:val="D0888640"/>
    <w:lvl w:ilvl="0" w:tplc="FFFFFFFF">
      <w:start w:val="1"/>
      <w:numFmt w:val="lowerRoman"/>
      <w:lvlText w:val="(%1)"/>
      <w:lvlJc w:val="left"/>
      <w:pPr>
        <w:ind w:left="1287" w:hanging="720"/>
      </w:pPr>
      <w:rPr>
        <w:rFonts w:hint="default"/>
        <w:u w:val="none"/>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1DCD6F63"/>
    <w:multiLevelType w:val="hybridMultilevel"/>
    <w:tmpl w:val="F8043CEC"/>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1E7A6CD0"/>
    <w:multiLevelType w:val="hybridMultilevel"/>
    <w:tmpl w:val="EFC4CD56"/>
    <w:lvl w:ilvl="0" w:tplc="1C7280F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73138F"/>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A06F1F"/>
    <w:multiLevelType w:val="hybridMultilevel"/>
    <w:tmpl w:val="70F00D6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52300F"/>
    <w:multiLevelType w:val="hybridMultilevel"/>
    <w:tmpl w:val="84AE8B2C"/>
    <w:lvl w:ilvl="0" w:tplc="439064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1B444B"/>
    <w:multiLevelType w:val="hybridMultilevel"/>
    <w:tmpl w:val="572A7300"/>
    <w:lvl w:ilvl="0" w:tplc="0AE8CE5C">
      <w:start w:val="1"/>
      <w:numFmt w:val="lowerRoman"/>
      <w:lvlText w:val="(%1)"/>
      <w:lvlJc w:val="left"/>
      <w:pPr>
        <w:ind w:left="1347" w:hanging="72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4" w15:restartNumberingAfterBreak="0">
    <w:nsid w:val="44B05EE9"/>
    <w:multiLevelType w:val="hybridMultilevel"/>
    <w:tmpl w:val="85E29ABC"/>
    <w:lvl w:ilvl="0" w:tplc="866AFAB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457F6C7E"/>
    <w:multiLevelType w:val="hybridMultilevel"/>
    <w:tmpl w:val="ECBC9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6834AA"/>
    <w:multiLevelType w:val="multilevel"/>
    <w:tmpl w:val="FDB46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8B32AE"/>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C83080F"/>
    <w:multiLevelType w:val="hybridMultilevel"/>
    <w:tmpl w:val="D0888640"/>
    <w:lvl w:ilvl="0" w:tplc="EF229D32">
      <w:start w:val="1"/>
      <w:numFmt w:val="lowerRoman"/>
      <w:lvlText w:val="(%1)"/>
      <w:lvlJc w:val="left"/>
      <w:pPr>
        <w:ind w:left="1287" w:hanging="72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92E073B"/>
    <w:multiLevelType w:val="hybridMultilevel"/>
    <w:tmpl w:val="36DC0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B97697"/>
    <w:multiLevelType w:val="hybridMultilevel"/>
    <w:tmpl w:val="566CC3E6"/>
    <w:lvl w:ilvl="0" w:tplc="D75C73D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709B42B6"/>
    <w:multiLevelType w:val="hybridMultilevel"/>
    <w:tmpl w:val="DB4CAC0E"/>
    <w:lvl w:ilvl="0" w:tplc="155A716C">
      <w:start w:val="1"/>
      <w:numFmt w:val="lowerRoman"/>
      <w:lvlText w:val="(%1)"/>
      <w:lvlJc w:val="left"/>
      <w:pPr>
        <w:ind w:left="1287" w:hanging="72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287660A"/>
    <w:multiLevelType w:val="hybridMultilevel"/>
    <w:tmpl w:val="FA54189E"/>
    <w:lvl w:ilvl="0" w:tplc="972E597A">
      <w:start w:val="2"/>
      <w:numFmt w:val="bullet"/>
      <w:lvlText w:val="-"/>
      <w:lvlJc w:val="left"/>
      <w:pPr>
        <w:ind w:left="927" w:hanging="360"/>
      </w:pPr>
      <w:rPr>
        <w:rFonts w:ascii="Century Gothic" w:eastAsia="Calibri" w:hAnsi="Century Gothic"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3" w15:restartNumberingAfterBreak="0">
    <w:nsid w:val="72F15E9D"/>
    <w:multiLevelType w:val="hybridMultilevel"/>
    <w:tmpl w:val="3DCE78F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2"/>
  </w:num>
  <w:num w:numId="11">
    <w:abstractNumId w:val="8"/>
  </w:num>
  <w:num w:numId="12">
    <w:abstractNumId w:val="3"/>
  </w:num>
  <w:num w:numId="13">
    <w:abstractNumId w:val="14"/>
  </w:num>
  <w:num w:numId="14">
    <w:abstractNumId w:val="20"/>
  </w:num>
  <w:num w:numId="15">
    <w:abstractNumId w:val="5"/>
  </w:num>
  <w:num w:numId="16">
    <w:abstractNumId w:val="6"/>
  </w:num>
  <w:num w:numId="17">
    <w:abstractNumId w:val="11"/>
  </w:num>
  <w:num w:numId="18">
    <w:abstractNumId w:val="13"/>
  </w:num>
  <w:num w:numId="19">
    <w:abstractNumId w:val="21"/>
  </w:num>
  <w:num w:numId="20">
    <w:abstractNumId w:val="18"/>
  </w:num>
  <w:num w:numId="21">
    <w:abstractNumId w:val="7"/>
  </w:num>
  <w:num w:numId="22">
    <w:abstractNumId w:val="4"/>
  </w:num>
  <w:num w:numId="23">
    <w:abstractNumId w:val="22"/>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B5"/>
    <w:rsid w:val="0000415F"/>
    <w:rsid w:val="00012E63"/>
    <w:rsid w:val="00013560"/>
    <w:rsid w:val="00020D1F"/>
    <w:rsid w:val="00021020"/>
    <w:rsid w:val="000235E7"/>
    <w:rsid w:val="000267A1"/>
    <w:rsid w:val="00027181"/>
    <w:rsid w:val="0002761B"/>
    <w:rsid w:val="000300C0"/>
    <w:rsid w:val="0003334F"/>
    <w:rsid w:val="0003676D"/>
    <w:rsid w:val="00036AE1"/>
    <w:rsid w:val="000407AD"/>
    <w:rsid w:val="00044FD8"/>
    <w:rsid w:val="00045857"/>
    <w:rsid w:val="00054777"/>
    <w:rsid w:val="00055153"/>
    <w:rsid w:val="00055B13"/>
    <w:rsid w:val="0005625E"/>
    <w:rsid w:val="00070CC2"/>
    <w:rsid w:val="0007219A"/>
    <w:rsid w:val="00073049"/>
    <w:rsid w:val="00075DEF"/>
    <w:rsid w:val="00082321"/>
    <w:rsid w:val="000829EA"/>
    <w:rsid w:val="00085342"/>
    <w:rsid w:val="00090286"/>
    <w:rsid w:val="000933F9"/>
    <w:rsid w:val="000A0D5B"/>
    <w:rsid w:val="000A68A9"/>
    <w:rsid w:val="000B3DD0"/>
    <w:rsid w:val="000C4749"/>
    <w:rsid w:val="000C61F2"/>
    <w:rsid w:val="000C6BC4"/>
    <w:rsid w:val="000C7A93"/>
    <w:rsid w:val="000D5C5F"/>
    <w:rsid w:val="000E413D"/>
    <w:rsid w:val="000E437A"/>
    <w:rsid w:val="000E773D"/>
    <w:rsid w:val="000F200E"/>
    <w:rsid w:val="000F2F10"/>
    <w:rsid w:val="000F6B9B"/>
    <w:rsid w:val="000F712E"/>
    <w:rsid w:val="00100614"/>
    <w:rsid w:val="00100ECD"/>
    <w:rsid w:val="00103D3F"/>
    <w:rsid w:val="00104180"/>
    <w:rsid w:val="00105528"/>
    <w:rsid w:val="001074F0"/>
    <w:rsid w:val="00111806"/>
    <w:rsid w:val="00113ECD"/>
    <w:rsid w:val="00117A79"/>
    <w:rsid w:val="00120147"/>
    <w:rsid w:val="00126B4A"/>
    <w:rsid w:val="00127878"/>
    <w:rsid w:val="0013165C"/>
    <w:rsid w:val="00132893"/>
    <w:rsid w:val="001370A0"/>
    <w:rsid w:val="00140930"/>
    <w:rsid w:val="00140D07"/>
    <w:rsid w:val="001457AA"/>
    <w:rsid w:val="00150BFF"/>
    <w:rsid w:val="001527DB"/>
    <w:rsid w:val="00153AA6"/>
    <w:rsid w:val="0015661D"/>
    <w:rsid w:val="00160190"/>
    <w:rsid w:val="00160B24"/>
    <w:rsid w:val="00160FE6"/>
    <w:rsid w:val="0016350D"/>
    <w:rsid w:val="0016538D"/>
    <w:rsid w:val="00166C60"/>
    <w:rsid w:val="00171575"/>
    <w:rsid w:val="00171A72"/>
    <w:rsid w:val="0017375B"/>
    <w:rsid w:val="00175723"/>
    <w:rsid w:val="0018367C"/>
    <w:rsid w:val="00184A54"/>
    <w:rsid w:val="00187045"/>
    <w:rsid w:val="001875CD"/>
    <w:rsid w:val="00187E23"/>
    <w:rsid w:val="00191968"/>
    <w:rsid w:val="00192282"/>
    <w:rsid w:val="00195784"/>
    <w:rsid w:val="001A0994"/>
    <w:rsid w:val="001A0A30"/>
    <w:rsid w:val="001A1350"/>
    <w:rsid w:val="001A733C"/>
    <w:rsid w:val="001A733F"/>
    <w:rsid w:val="001A746A"/>
    <w:rsid w:val="001B0220"/>
    <w:rsid w:val="001B0E85"/>
    <w:rsid w:val="001B31EB"/>
    <w:rsid w:val="001C4815"/>
    <w:rsid w:val="001C71DE"/>
    <w:rsid w:val="001D2CD5"/>
    <w:rsid w:val="001E3BCB"/>
    <w:rsid w:val="001E725D"/>
    <w:rsid w:val="001F3C20"/>
    <w:rsid w:val="00202DBA"/>
    <w:rsid w:val="0020450B"/>
    <w:rsid w:val="00206AFB"/>
    <w:rsid w:val="002111E6"/>
    <w:rsid w:val="00220DA5"/>
    <w:rsid w:val="00224DBB"/>
    <w:rsid w:val="00225C60"/>
    <w:rsid w:val="0023118E"/>
    <w:rsid w:val="00233189"/>
    <w:rsid w:val="00234240"/>
    <w:rsid w:val="00234487"/>
    <w:rsid w:val="0024104F"/>
    <w:rsid w:val="0024226A"/>
    <w:rsid w:val="00242D80"/>
    <w:rsid w:val="00244724"/>
    <w:rsid w:val="00250A9A"/>
    <w:rsid w:val="00250D6F"/>
    <w:rsid w:val="00253065"/>
    <w:rsid w:val="00253743"/>
    <w:rsid w:val="00253AD7"/>
    <w:rsid w:val="00254A54"/>
    <w:rsid w:val="002626E8"/>
    <w:rsid w:val="00265BDA"/>
    <w:rsid w:val="00266DD2"/>
    <w:rsid w:val="00267058"/>
    <w:rsid w:val="00267EFD"/>
    <w:rsid w:val="002710B1"/>
    <w:rsid w:val="002710E2"/>
    <w:rsid w:val="00271D11"/>
    <w:rsid w:val="002720C4"/>
    <w:rsid w:val="00272978"/>
    <w:rsid w:val="00272D92"/>
    <w:rsid w:val="00276D41"/>
    <w:rsid w:val="00282DC9"/>
    <w:rsid w:val="00284BB6"/>
    <w:rsid w:val="00286308"/>
    <w:rsid w:val="00290F96"/>
    <w:rsid w:val="00291711"/>
    <w:rsid w:val="002A0F93"/>
    <w:rsid w:val="002A299F"/>
    <w:rsid w:val="002A4609"/>
    <w:rsid w:val="002B3EF9"/>
    <w:rsid w:val="002B41DD"/>
    <w:rsid w:val="002C05AE"/>
    <w:rsid w:val="002C18D9"/>
    <w:rsid w:val="002C2FD8"/>
    <w:rsid w:val="002C42F1"/>
    <w:rsid w:val="002C4A92"/>
    <w:rsid w:val="002C6FFE"/>
    <w:rsid w:val="002C71F2"/>
    <w:rsid w:val="002C7345"/>
    <w:rsid w:val="002D05D2"/>
    <w:rsid w:val="002D0872"/>
    <w:rsid w:val="002D0BC1"/>
    <w:rsid w:val="002D1211"/>
    <w:rsid w:val="002D1565"/>
    <w:rsid w:val="002D2DEF"/>
    <w:rsid w:val="002D7093"/>
    <w:rsid w:val="002E122B"/>
    <w:rsid w:val="002E147A"/>
    <w:rsid w:val="002E618D"/>
    <w:rsid w:val="002E7B83"/>
    <w:rsid w:val="002E7B9C"/>
    <w:rsid w:val="002F1147"/>
    <w:rsid w:val="002F5C65"/>
    <w:rsid w:val="002F5D17"/>
    <w:rsid w:val="00300935"/>
    <w:rsid w:val="003042CE"/>
    <w:rsid w:val="003062D4"/>
    <w:rsid w:val="003074DC"/>
    <w:rsid w:val="003079DE"/>
    <w:rsid w:val="00310794"/>
    <w:rsid w:val="00310A8B"/>
    <w:rsid w:val="00315E05"/>
    <w:rsid w:val="003176CD"/>
    <w:rsid w:val="00317735"/>
    <w:rsid w:val="003225D4"/>
    <w:rsid w:val="00327579"/>
    <w:rsid w:val="00330D4B"/>
    <w:rsid w:val="0033126B"/>
    <w:rsid w:val="003401E7"/>
    <w:rsid w:val="003422A7"/>
    <w:rsid w:val="0034517E"/>
    <w:rsid w:val="00347021"/>
    <w:rsid w:val="00350123"/>
    <w:rsid w:val="00351049"/>
    <w:rsid w:val="003521DD"/>
    <w:rsid w:val="00353275"/>
    <w:rsid w:val="00354847"/>
    <w:rsid w:val="003615EC"/>
    <w:rsid w:val="00361F47"/>
    <w:rsid w:val="00367D95"/>
    <w:rsid w:val="00375F5E"/>
    <w:rsid w:val="00375FCD"/>
    <w:rsid w:val="00381630"/>
    <w:rsid w:val="0038283F"/>
    <w:rsid w:val="00382FC0"/>
    <w:rsid w:val="00383383"/>
    <w:rsid w:val="003860EC"/>
    <w:rsid w:val="00391F80"/>
    <w:rsid w:val="003935CD"/>
    <w:rsid w:val="00395ECC"/>
    <w:rsid w:val="003A64B0"/>
    <w:rsid w:val="003A76EE"/>
    <w:rsid w:val="003A77A9"/>
    <w:rsid w:val="003B2686"/>
    <w:rsid w:val="003B2D09"/>
    <w:rsid w:val="003B31F2"/>
    <w:rsid w:val="003C05B6"/>
    <w:rsid w:val="003C2581"/>
    <w:rsid w:val="003D4556"/>
    <w:rsid w:val="003D5025"/>
    <w:rsid w:val="003E45B3"/>
    <w:rsid w:val="003E5925"/>
    <w:rsid w:val="003F0F20"/>
    <w:rsid w:val="003F4059"/>
    <w:rsid w:val="00403B7F"/>
    <w:rsid w:val="0041434B"/>
    <w:rsid w:val="00414B59"/>
    <w:rsid w:val="00422615"/>
    <w:rsid w:val="0042342A"/>
    <w:rsid w:val="0042349B"/>
    <w:rsid w:val="00424442"/>
    <w:rsid w:val="00426810"/>
    <w:rsid w:val="0043115D"/>
    <w:rsid w:val="00431F4F"/>
    <w:rsid w:val="00433065"/>
    <w:rsid w:val="00437BE5"/>
    <w:rsid w:val="00437D3D"/>
    <w:rsid w:val="00442BE3"/>
    <w:rsid w:val="00444719"/>
    <w:rsid w:val="004470C1"/>
    <w:rsid w:val="00451389"/>
    <w:rsid w:val="00452F27"/>
    <w:rsid w:val="0045351A"/>
    <w:rsid w:val="004539B5"/>
    <w:rsid w:val="00454128"/>
    <w:rsid w:val="004549F4"/>
    <w:rsid w:val="00455B9A"/>
    <w:rsid w:val="00455BDD"/>
    <w:rsid w:val="00456DAE"/>
    <w:rsid w:val="00460A9E"/>
    <w:rsid w:val="00462050"/>
    <w:rsid w:val="00462A88"/>
    <w:rsid w:val="004633E4"/>
    <w:rsid w:val="0047148F"/>
    <w:rsid w:val="00471BB6"/>
    <w:rsid w:val="00473E48"/>
    <w:rsid w:val="00473E77"/>
    <w:rsid w:val="00475945"/>
    <w:rsid w:val="004770FC"/>
    <w:rsid w:val="00482313"/>
    <w:rsid w:val="004835C9"/>
    <w:rsid w:val="00484DD8"/>
    <w:rsid w:val="00487766"/>
    <w:rsid w:val="00487A8B"/>
    <w:rsid w:val="00490B97"/>
    <w:rsid w:val="0049396E"/>
    <w:rsid w:val="0049416C"/>
    <w:rsid w:val="0049740E"/>
    <w:rsid w:val="004A5A38"/>
    <w:rsid w:val="004B3849"/>
    <w:rsid w:val="004B6D6A"/>
    <w:rsid w:val="004B7B92"/>
    <w:rsid w:val="004C3CC2"/>
    <w:rsid w:val="004C44B4"/>
    <w:rsid w:val="004C4B48"/>
    <w:rsid w:val="004D0717"/>
    <w:rsid w:val="004D1A95"/>
    <w:rsid w:val="004D2EA7"/>
    <w:rsid w:val="004D33FF"/>
    <w:rsid w:val="004D591F"/>
    <w:rsid w:val="004D5E18"/>
    <w:rsid w:val="004E1B6D"/>
    <w:rsid w:val="004E315D"/>
    <w:rsid w:val="004F5493"/>
    <w:rsid w:val="004F5A5B"/>
    <w:rsid w:val="005044BE"/>
    <w:rsid w:val="00507A0D"/>
    <w:rsid w:val="0051020A"/>
    <w:rsid w:val="00514D89"/>
    <w:rsid w:val="00521618"/>
    <w:rsid w:val="00524C2B"/>
    <w:rsid w:val="00525677"/>
    <w:rsid w:val="00530E81"/>
    <w:rsid w:val="005401B6"/>
    <w:rsid w:val="00540EC9"/>
    <w:rsid w:val="00542B92"/>
    <w:rsid w:val="00546433"/>
    <w:rsid w:val="00547CB0"/>
    <w:rsid w:val="00552140"/>
    <w:rsid w:val="005545DC"/>
    <w:rsid w:val="0056180C"/>
    <w:rsid w:val="00561DC2"/>
    <w:rsid w:val="005622C4"/>
    <w:rsid w:val="0056335E"/>
    <w:rsid w:val="00570233"/>
    <w:rsid w:val="00570AA9"/>
    <w:rsid w:val="00572EE4"/>
    <w:rsid w:val="005776A8"/>
    <w:rsid w:val="00580810"/>
    <w:rsid w:val="00582E3B"/>
    <w:rsid w:val="00584611"/>
    <w:rsid w:val="0058531E"/>
    <w:rsid w:val="0059114C"/>
    <w:rsid w:val="00597B53"/>
    <w:rsid w:val="005A0143"/>
    <w:rsid w:val="005A1970"/>
    <w:rsid w:val="005A2872"/>
    <w:rsid w:val="005A393D"/>
    <w:rsid w:val="005A6241"/>
    <w:rsid w:val="005A6290"/>
    <w:rsid w:val="005B18F8"/>
    <w:rsid w:val="005B2431"/>
    <w:rsid w:val="005B2620"/>
    <w:rsid w:val="005C0B72"/>
    <w:rsid w:val="005C5132"/>
    <w:rsid w:val="005C6DC3"/>
    <w:rsid w:val="005D1330"/>
    <w:rsid w:val="005E0966"/>
    <w:rsid w:val="005E36F2"/>
    <w:rsid w:val="005E67DA"/>
    <w:rsid w:val="005E6D05"/>
    <w:rsid w:val="005F1362"/>
    <w:rsid w:val="005F3880"/>
    <w:rsid w:val="005F3E1E"/>
    <w:rsid w:val="005F48D6"/>
    <w:rsid w:val="00601D62"/>
    <w:rsid w:val="006045D2"/>
    <w:rsid w:val="00610D6A"/>
    <w:rsid w:val="006122EA"/>
    <w:rsid w:val="00613B1C"/>
    <w:rsid w:val="006161AF"/>
    <w:rsid w:val="006166E8"/>
    <w:rsid w:val="00623502"/>
    <w:rsid w:val="00631408"/>
    <w:rsid w:val="00634A70"/>
    <w:rsid w:val="00637855"/>
    <w:rsid w:val="006400B0"/>
    <w:rsid w:val="006439F3"/>
    <w:rsid w:val="00643C22"/>
    <w:rsid w:val="00647F03"/>
    <w:rsid w:val="0065154C"/>
    <w:rsid w:val="00655B97"/>
    <w:rsid w:val="006578C4"/>
    <w:rsid w:val="00657AE8"/>
    <w:rsid w:val="00657D82"/>
    <w:rsid w:val="006603DD"/>
    <w:rsid w:val="00662342"/>
    <w:rsid w:val="00671ADE"/>
    <w:rsid w:val="00676296"/>
    <w:rsid w:val="006779A7"/>
    <w:rsid w:val="00677BB6"/>
    <w:rsid w:val="00681CBA"/>
    <w:rsid w:val="0068386F"/>
    <w:rsid w:val="006856B5"/>
    <w:rsid w:val="006857F3"/>
    <w:rsid w:val="0068670D"/>
    <w:rsid w:val="00690A96"/>
    <w:rsid w:val="00692B9F"/>
    <w:rsid w:val="00693016"/>
    <w:rsid w:val="00693487"/>
    <w:rsid w:val="006A2A06"/>
    <w:rsid w:val="006A3491"/>
    <w:rsid w:val="006A4BC3"/>
    <w:rsid w:val="006B1A64"/>
    <w:rsid w:val="006B6B90"/>
    <w:rsid w:val="006B6C2B"/>
    <w:rsid w:val="006C0094"/>
    <w:rsid w:val="006C22A7"/>
    <w:rsid w:val="006C44B3"/>
    <w:rsid w:val="006C5C87"/>
    <w:rsid w:val="006D1910"/>
    <w:rsid w:val="006D7E15"/>
    <w:rsid w:val="006E658E"/>
    <w:rsid w:val="006E6D83"/>
    <w:rsid w:val="006F5863"/>
    <w:rsid w:val="006F5D59"/>
    <w:rsid w:val="006F5DF3"/>
    <w:rsid w:val="006F7EF2"/>
    <w:rsid w:val="0070581D"/>
    <w:rsid w:val="00705DD9"/>
    <w:rsid w:val="00706336"/>
    <w:rsid w:val="00710843"/>
    <w:rsid w:val="00710B16"/>
    <w:rsid w:val="0071194E"/>
    <w:rsid w:val="007125D0"/>
    <w:rsid w:val="00712FFD"/>
    <w:rsid w:val="007168A1"/>
    <w:rsid w:val="00722903"/>
    <w:rsid w:val="0072389F"/>
    <w:rsid w:val="007245C6"/>
    <w:rsid w:val="00724F37"/>
    <w:rsid w:val="00726C9A"/>
    <w:rsid w:val="007271CB"/>
    <w:rsid w:val="007411A8"/>
    <w:rsid w:val="007413E3"/>
    <w:rsid w:val="00750D00"/>
    <w:rsid w:val="0075285B"/>
    <w:rsid w:val="007533A1"/>
    <w:rsid w:val="007543C6"/>
    <w:rsid w:val="007571DB"/>
    <w:rsid w:val="00757741"/>
    <w:rsid w:val="0076686A"/>
    <w:rsid w:val="00770857"/>
    <w:rsid w:val="00771E6A"/>
    <w:rsid w:val="00772CEE"/>
    <w:rsid w:val="00773DCA"/>
    <w:rsid w:val="0077499F"/>
    <w:rsid w:val="00774F24"/>
    <w:rsid w:val="00781382"/>
    <w:rsid w:val="00782A2F"/>
    <w:rsid w:val="00783CE0"/>
    <w:rsid w:val="0078617A"/>
    <w:rsid w:val="007871B5"/>
    <w:rsid w:val="00787FE7"/>
    <w:rsid w:val="00790207"/>
    <w:rsid w:val="007902B4"/>
    <w:rsid w:val="00792E68"/>
    <w:rsid w:val="00796821"/>
    <w:rsid w:val="00796D7D"/>
    <w:rsid w:val="007A21FA"/>
    <w:rsid w:val="007A633B"/>
    <w:rsid w:val="007A7202"/>
    <w:rsid w:val="007B0E49"/>
    <w:rsid w:val="007B4E57"/>
    <w:rsid w:val="007B5923"/>
    <w:rsid w:val="007C059C"/>
    <w:rsid w:val="007C06C9"/>
    <w:rsid w:val="007C0D2D"/>
    <w:rsid w:val="007C2269"/>
    <w:rsid w:val="007C3822"/>
    <w:rsid w:val="007C488C"/>
    <w:rsid w:val="007C6384"/>
    <w:rsid w:val="007C6F12"/>
    <w:rsid w:val="007D02AC"/>
    <w:rsid w:val="007D0833"/>
    <w:rsid w:val="007D2838"/>
    <w:rsid w:val="007D2AC6"/>
    <w:rsid w:val="007D4726"/>
    <w:rsid w:val="007D48DC"/>
    <w:rsid w:val="007E0167"/>
    <w:rsid w:val="007E2CAE"/>
    <w:rsid w:val="007E5103"/>
    <w:rsid w:val="007E511E"/>
    <w:rsid w:val="007E6EB9"/>
    <w:rsid w:val="007E7FE1"/>
    <w:rsid w:val="007F4FF1"/>
    <w:rsid w:val="007F6D09"/>
    <w:rsid w:val="0080412C"/>
    <w:rsid w:val="00804EC7"/>
    <w:rsid w:val="00805D61"/>
    <w:rsid w:val="008066A7"/>
    <w:rsid w:val="008067DA"/>
    <w:rsid w:val="00806B1C"/>
    <w:rsid w:val="00807E9A"/>
    <w:rsid w:val="0081676D"/>
    <w:rsid w:val="008209F7"/>
    <w:rsid w:val="008249D8"/>
    <w:rsid w:val="00824F97"/>
    <w:rsid w:val="00835A2B"/>
    <w:rsid w:val="008362B8"/>
    <w:rsid w:val="0084250A"/>
    <w:rsid w:val="008433C2"/>
    <w:rsid w:val="0084745D"/>
    <w:rsid w:val="00856F48"/>
    <w:rsid w:val="0086091A"/>
    <w:rsid w:val="0086251E"/>
    <w:rsid w:val="00863674"/>
    <w:rsid w:val="00866767"/>
    <w:rsid w:val="00870845"/>
    <w:rsid w:val="00871654"/>
    <w:rsid w:val="00871D62"/>
    <w:rsid w:val="00875C03"/>
    <w:rsid w:val="00876443"/>
    <w:rsid w:val="00876704"/>
    <w:rsid w:val="00876C4C"/>
    <w:rsid w:val="00877A78"/>
    <w:rsid w:val="008818C0"/>
    <w:rsid w:val="008832B9"/>
    <w:rsid w:val="00884D05"/>
    <w:rsid w:val="008917EA"/>
    <w:rsid w:val="008927D7"/>
    <w:rsid w:val="008928E6"/>
    <w:rsid w:val="008938B7"/>
    <w:rsid w:val="00894046"/>
    <w:rsid w:val="0089494F"/>
    <w:rsid w:val="008A21D8"/>
    <w:rsid w:val="008A32B3"/>
    <w:rsid w:val="008A485B"/>
    <w:rsid w:val="008A4B03"/>
    <w:rsid w:val="008A6159"/>
    <w:rsid w:val="008B46CD"/>
    <w:rsid w:val="008B4E55"/>
    <w:rsid w:val="008B637A"/>
    <w:rsid w:val="008C259D"/>
    <w:rsid w:val="008C58E7"/>
    <w:rsid w:val="008C74B8"/>
    <w:rsid w:val="008D14C0"/>
    <w:rsid w:val="008D277D"/>
    <w:rsid w:val="008D3E8F"/>
    <w:rsid w:val="008E0F88"/>
    <w:rsid w:val="008E5CEB"/>
    <w:rsid w:val="008E7D9C"/>
    <w:rsid w:val="008F12DC"/>
    <w:rsid w:val="008F4476"/>
    <w:rsid w:val="008F4938"/>
    <w:rsid w:val="008F697D"/>
    <w:rsid w:val="008F6B9F"/>
    <w:rsid w:val="008F7003"/>
    <w:rsid w:val="0090463B"/>
    <w:rsid w:val="00910494"/>
    <w:rsid w:val="00912E71"/>
    <w:rsid w:val="00913FE0"/>
    <w:rsid w:val="0091417A"/>
    <w:rsid w:val="009149ED"/>
    <w:rsid w:val="00914AD5"/>
    <w:rsid w:val="00914DCE"/>
    <w:rsid w:val="0091797E"/>
    <w:rsid w:val="0092422B"/>
    <w:rsid w:val="00927E59"/>
    <w:rsid w:val="00931218"/>
    <w:rsid w:val="0093274A"/>
    <w:rsid w:val="00933C04"/>
    <w:rsid w:val="00936E72"/>
    <w:rsid w:val="00953440"/>
    <w:rsid w:val="00957477"/>
    <w:rsid w:val="009625F9"/>
    <w:rsid w:val="00962CF6"/>
    <w:rsid w:val="0096567A"/>
    <w:rsid w:val="009657C8"/>
    <w:rsid w:val="00971295"/>
    <w:rsid w:val="009726BC"/>
    <w:rsid w:val="009817F1"/>
    <w:rsid w:val="0098580F"/>
    <w:rsid w:val="0099081A"/>
    <w:rsid w:val="009967DD"/>
    <w:rsid w:val="009B305D"/>
    <w:rsid w:val="009B7FD6"/>
    <w:rsid w:val="009C532C"/>
    <w:rsid w:val="009D3CA1"/>
    <w:rsid w:val="009D53DF"/>
    <w:rsid w:val="009E0AE6"/>
    <w:rsid w:val="009E32E7"/>
    <w:rsid w:val="009E7179"/>
    <w:rsid w:val="009F0E9C"/>
    <w:rsid w:val="009F4024"/>
    <w:rsid w:val="009F5CAC"/>
    <w:rsid w:val="009F6F52"/>
    <w:rsid w:val="009F7C2C"/>
    <w:rsid w:val="00A022B0"/>
    <w:rsid w:val="00A02E91"/>
    <w:rsid w:val="00A03C8E"/>
    <w:rsid w:val="00A0522A"/>
    <w:rsid w:val="00A0583F"/>
    <w:rsid w:val="00A059B1"/>
    <w:rsid w:val="00A06484"/>
    <w:rsid w:val="00A07716"/>
    <w:rsid w:val="00A1226B"/>
    <w:rsid w:val="00A123B5"/>
    <w:rsid w:val="00A12F75"/>
    <w:rsid w:val="00A16B0A"/>
    <w:rsid w:val="00A2223B"/>
    <w:rsid w:val="00A22FF8"/>
    <w:rsid w:val="00A25316"/>
    <w:rsid w:val="00A27705"/>
    <w:rsid w:val="00A3068F"/>
    <w:rsid w:val="00A30D7B"/>
    <w:rsid w:val="00A34E74"/>
    <w:rsid w:val="00A35479"/>
    <w:rsid w:val="00A427BA"/>
    <w:rsid w:val="00A4310B"/>
    <w:rsid w:val="00A47535"/>
    <w:rsid w:val="00A53B1B"/>
    <w:rsid w:val="00A53BEB"/>
    <w:rsid w:val="00A540E1"/>
    <w:rsid w:val="00A563A6"/>
    <w:rsid w:val="00A5664A"/>
    <w:rsid w:val="00A61A8F"/>
    <w:rsid w:val="00A62891"/>
    <w:rsid w:val="00A64A06"/>
    <w:rsid w:val="00A654DE"/>
    <w:rsid w:val="00A71253"/>
    <w:rsid w:val="00A71C0E"/>
    <w:rsid w:val="00A71E77"/>
    <w:rsid w:val="00A73682"/>
    <w:rsid w:val="00A76C79"/>
    <w:rsid w:val="00A804BE"/>
    <w:rsid w:val="00A809A0"/>
    <w:rsid w:val="00A81314"/>
    <w:rsid w:val="00A81684"/>
    <w:rsid w:val="00A82081"/>
    <w:rsid w:val="00A85F00"/>
    <w:rsid w:val="00A93093"/>
    <w:rsid w:val="00A942D2"/>
    <w:rsid w:val="00A94D1F"/>
    <w:rsid w:val="00A95A86"/>
    <w:rsid w:val="00AA282D"/>
    <w:rsid w:val="00AA33A9"/>
    <w:rsid w:val="00AA41FA"/>
    <w:rsid w:val="00AB00BE"/>
    <w:rsid w:val="00AB35BE"/>
    <w:rsid w:val="00AB3BCC"/>
    <w:rsid w:val="00AC2C28"/>
    <w:rsid w:val="00AC7AFB"/>
    <w:rsid w:val="00AD6723"/>
    <w:rsid w:val="00AD72C5"/>
    <w:rsid w:val="00AE12B8"/>
    <w:rsid w:val="00AE4365"/>
    <w:rsid w:val="00AE466D"/>
    <w:rsid w:val="00AE5EFC"/>
    <w:rsid w:val="00AE6240"/>
    <w:rsid w:val="00AE708E"/>
    <w:rsid w:val="00AF25E4"/>
    <w:rsid w:val="00AF3A8E"/>
    <w:rsid w:val="00AF42D0"/>
    <w:rsid w:val="00AF610E"/>
    <w:rsid w:val="00AF6D59"/>
    <w:rsid w:val="00AF7058"/>
    <w:rsid w:val="00B01009"/>
    <w:rsid w:val="00B01931"/>
    <w:rsid w:val="00B01BFD"/>
    <w:rsid w:val="00B0203F"/>
    <w:rsid w:val="00B11480"/>
    <w:rsid w:val="00B13E1E"/>
    <w:rsid w:val="00B15782"/>
    <w:rsid w:val="00B170A6"/>
    <w:rsid w:val="00B20BFD"/>
    <w:rsid w:val="00B20D20"/>
    <w:rsid w:val="00B23BD3"/>
    <w:rsid w:val="00B24299"/>
    <w:rsid w:val="00B2552D"/>
    <w:rsid w:val="00B25B14"/>
    <w:rsid w:val="00B335FB"/>
    <w:rsid w:val="00B43068"/>
    <w:rsid w:val="00B4645D"/>
    <w:rsid w:val="00B52161"/>
    <w:rsid w:val="00B52DD5"/>
    <w:rsid w:val="00B55995"/>
    <w:rsid w:val="00B5685D"/>
    <w:rsid w:val="00B56B6C"/>
    <w:rsid w:val="00B610E1"/>
    <w:rsid w:val="00B61E38"/>
    <w:rsid w:val="00B732B9"/>
    <w:rsid w:val="00B75D07"/>
    <w:rsid w:val="00B80C6E"/>
    <w:rsid w:val="00B825E1"/>
    <w:rsid w:val="00B85F12"/>
    <w:rsid w:val="00B90239"/>
    <w:rsid w:val="00B96A04"/>
    <w:rsid w:val="00BA189D"/>
    <w:rsid w:val="00BA47D2"/>
    <w:rsid w:val="00BA5178"/>
    <w:rsid w:val="00BB0F50"/>
    <w:rsid w:val="00BB3215"/>
    <w:rsid w:val="00BC0C8E"/>
    <w:rsid w:val="00BC18FD"/>
    <w:rsid w:val="00BC2662"/>
    <w:rsid w:val="00BC7A62"/>
    <w:rsid w:val="00BD1072"/>
    <w:rsid w:val="00BD1E85"/>
    <w:rsid w:val="00BD7879"/>
    <w:rsid w:val="00BE1201"/>
    <w:rsid w:val="00BE2588"/>
    <w:rsid w:val="00BE37C4"/>
    <w:rsid w:val="00BF15B0"/>
    <w:rsid w:val="00BF1E03"/>
    <w:rsid w:val="00BF2C2D"/>
    <w:rsid w:val="00BF4929"/>
    <w:rsid w:val="00BF670B"/>
    <w:rsid w:val="00BF78D5"/>
    <w:rsid w:val="00C00DF3"/>
    <w:rsid w:val="00C016A4"/>
    <w:rsid w:val="00C10AFC"/>
    <w:rsid w:val="00C10D69"/>
    <w:rsid w:val="00C159D9"/>
    <w:rsid w:val="00C2171A"/>
    <w:rsid w:val="00C25B34"/>
    <w:rsid w:val="00C26646"/>
    <w:rsid w:val="00C3220C"/>
    <w:rsid w:val="00C32D73"/>
    <w:rsid w:val="00C3496D"/>
    <w:rsid w:val="00C3687D"/>
    <w:rsid w:val="00C44A6A"/>
    <w:rsid w:val="00C47E8F"/>
    <w:rsid w:val="00C502D3"/>
    <w:rsid w:val="00C7025C"/>
    <w:rsid w:val="00C71498"/>
    <w:rsid w:val="00C72756"/>
    <w:rsid w:val="00C76433"/>
    <w:rsid w:val="00C76A98"/>
    <w:rsid w:val="00C80F8E"/>
    <w:rsid w:val="00C831C2"/>
    <w:rsid w:val="00C84DEB"/>
    <w:rsid w:val="00C923C5"/>
    <w:rsid w:val="00CA0C5F"/>
    <w:rsid w:val="00CA524B"/>
    <w:rsid w:val="00CA656D"/>
    <w:rsid w:val="00CB0E55"/>
    <w:rsid w:val="00CB2701"/>
    <w:rsid w:val="00CB4353"/>
    <w:rsid w:val="00CB5E50"/>
    <w:rsid w:val="00CB69D3"/>
    <w:rsid w:val="00CB7CAE"/>
    <w:rsid w:val="00CC2CA9"/>
    <w:rsid w:val="00CC2DA4"/>
    <w:rsid w:val="00CC5B52"/>
    <w:rsid w:val="00CD013F"/>
    <w:rsid w:val="00CD0414"/>
    <w:rsid w:val="00CD0905"/>
    <w:rsid w:val="00CD31D1"/>
    <w:rsid w:val="00CD31EB"/>
    <w:rsid w:val="00CD5D6F"/>
    <w:rsid w:val="00CE0C96"/>
    <w:rsid w:val="00CE7118"/>
    <w:rsid w:val="00CF01E9"/>
    <w:rsid w:val="00CF30F0"/>
    <w:rsid w:val="00CF5113"/>
    <w:rsid w:val="00D00F75"/>
    <w:rsid w:val="00D0403B"/>
    <w:rsid w:val="00D104C0"/>
    <w:rsid w:val="00D136CE"/>
    <w:rsid w:val="00D151E9"/>
    <w:rsid w:val="00D24626"/>
    <w:rsid w:val="00D249DF"/>
    <w:rsid w:val="00D266C2"/>
    <w:rsid w:val="00D33877"/>
    <w:rsid w:val="00D34681"/>
    <w:rsid w:val="00D3472A"/>
    <w:rsid w:val="00D35DFC"/>
    <w:rsid w:val="00D368B1"/>
    <w:rsid w:val="00D377F7"/>
    <w:rsid w:val="00D40BB6"/>
    <w:rsid w:val="00D43C23"/>
    <w:rsid w:val="00D45406"/>
    <w:rsid w:val="00D507D8"/>
    <w:rsid w:val="00D535FE"/>
    <w:rsid w:val="00D615EE"/>
    <w:rsid w:val="00D70065"/>
    <w:rsid w:val="00D716F1"/>
    <w:rsid w:val="00D71FFF"/>
    <w:rsid w:val="00D72FF1"/>
    <w:rsid w:val="00D72FFE"/>
    <w:rsid w:val="00D7372F"/>
    <w:rsid w:val="00D739BC"/>
    <w:rsid w:val="00D73F40"/>
    <w:rsid w:val="00D76CD6"/>
    <w:rsid w:val="00D81E88"/>
    <w:rsid w:val="00D83972"/>
    <w:rsid w:val="00D84659"/>
    <w:rsid w:val="00D87EA9"/>
    <w:rsid w:val="00D902D2"/>
    <w:rsid w:val="00D911A2"/>
    <w:rsid w:val="00D93878"/>
    <w:rsid w:val="00D93E8E"/>
    <w:rsid w:val="00D93F4F"/>
    <w:rsid w:val="00D954B1"/>
    <w:rsid w:val="00D970EC"/>
    <w:rsid w:val="00DA0B98"/>
    <w:rsid w:val="00DA194B"/>
    <w:rsid w:val="00DA44A1"/>
    <w:rsid w:val="00DA6F95"/>
    <w:rsid w:val="00DB20E4"/>
    <w:rsid w:val="00DB5AA7"/>
    <w:rsid w:val="00DC0A03"/>
    <w:rsid w:val="00DC1857"/>
    <w:rsid w:val="00DC2505"/>
    <w:rsid w:val="00DC448C"/>
    <w:rsid w:val="00DC50D0"/>
    <w:rsid w:val="00DC5CFF"/>
    <w:rsid w:val="00DD22C8"/>
    <w:rsid w:val="00DD312D"/>
    <w:rsid w:val="00DD6783"/>
    <w:rsid w:val="00DE00BB"/>
    <w:rsid w:val="00DE208F"/>
    <w:rsid w:val="00DE286A"/>
    <w:rsid w:val="00DE3100"/>
    <w:rsid w:val="00DE48B4"/>
    <w:rsid w:val="00DF0819"/>
    <w:rsid w:val="00DF08ED"/>
    <w:rsid w:val="00DF18F2"/>
    <w:rsid w:val="00DF64A5"/>
    <w:rsid w:val="00DF7371"/>
    <w:rsid w:val="00E0123D"/>
    <w:rsid w:val="00E02FB1"/>
    <w:rsid w:val="00E04B69"/>
    <w:rsid w:val="00E06C15"/>
    <w:rsid w:val="00E1498B"/>
    <w:rsid w:val="00E15A84"/>
    <w:rsid w:val="00E20DFC"/>
    <w:rsid w:val="00E21FF0"/>
    <w:rsid w:val="00E234BB"/>
    <w:rsid w:val="00E25B3B"/>
    <w:rsid w:val="00E263CC"/>
    <w:rsid w:val="00E31BA5"/>
    <w:rsid w:val="00E35318"/>
    <w:rsid w:val="00E353DB"/>
    <w:rsid w:val="00E35628"/>
    <w:rsid w:val="00E35AC0"/>
    <w:rsid w:val="00E36F9C"/>
    <w:rsid w:val="00E40EDC"/>
    <w:rsid w:val="00E41DD5"/>
    <w:rsid w:val="00E420A8"/>
    <w:rsid w:val="00E556C0"/>
    <w:rsid w:val="00E55869"/>
    <w:rsid w:val="00E61E22"/>
    <w:rsid w:val="00E64FB6"/>
    <w:rsid w:val="00E65607"/>
    <w:rsid w:val="00E71B6A"/>
    <w:rsid w:val="00E727B8"/>
    <w:rsid w:val="00E74C29"/>
    <w:rsid w:val="00E84F49"/>
    <w:rsid w:val="00E86394"/>
    <w:rsid w:val="00E868C9"/>
    <w:rsid w:val="00E91423"/>
    <w:rsid w:val="00E9218E"/>
    <w:rsid w:val="00E9530F"/>
    <w:rsid w:val="00E9589B"/>
    <w:rsid w:val="00E960EB"/>
    <w:rsid w:val="00EA0D24"/>
    <w:rsid w:val="00EA3D06"/>
    <w:rsid w:val="00EA4CF9"/>
    <w:rsid w:val="00EA6CE4"/>
    <w:rsid w:val="00EB06E7"/>
    <w:rsid w:val="00EB0F7A"/>
    <w:rsid w:val="00EB398E"/>
    <w:rsid w:val="00EB65F0"/>
    <w:rsid w:val="00EB70DE"/>
    <w:rsid w:val="00ED3E17"/>
    <w:rsid w:val="00ED7039"/>
    <w:rsid w:val="00EE1FFA"/>
    <w:rsid w:val="00EE3612"/>
    <w:rsid w:val="00EE39DD"/>
    <w:rsid w:val="00EE3A7C"/>
    <w:rsid w:val="00EE5BE7"/>
    <w:rsid w:val="00EE6626"/>
    <w:rsid w:val="00EE7A17"/>
    <w:rsid w:val="00EE7EF7"/>
    <w:rsid w:val="00EF31B0"/>
    <w:rsid w:val="00EF66D8"/>
    <w:rsid w:val="00EF7530"/>
    <w:rsid w:val="00F04FBB"/>
    <w:rsid w:val="00F05368"/>
    <w:rsid w:val="00F065BA"/>
    <w:rsid w:val="00F10780"/>
    <w:rsid w:val="00F1539F"/>
    <w:rsid w:val="00F25ACE"/>
    <w:rsid w:val="00F31CC7"/>
    <w:rsid w:val="00F3324E"/>
    <w:rsid w:val="00F347F0"/>
    <w:rsid w:val="00F41226"/>
    <w:rsid w:val="00F44A8B"/>
    <w:rsid w:val="00F467E8"/>
    <w:rsid w:val="00F479C8"/>
    <w:rsid w:val="00F52F78"/>
    <w:rsid w:val="00F539BF"/>
    <w:rsid w:val="00F54E42"/>
    <w:rsid w:val="00F54EC0"/>
    <w:rsid w:val="00F55C20"/>
    <w:rsid w:val="00F57791"/>
    <w:rsid w:val="00F60637"/>
    <w:rsid w:val="00F61860"/>
    <w:rsid w:val="00F63B61"/>
    <w:rsid w:val="00F64013"/>
    <w:rsid w:val="00F64FED"/>
    <w:rsid w:val="00F658C2"/>
    <w:rsid w:val="00F65E1C"/>
    <w:rsid w:val="00F66975"/>
    <w:rsid w:val="00F731D6"/>
    <w:rsid w:val="00F746E5"/>
    <w:rsid w:val="00F75443"/>
    <w:rsid w:val="00F8514F"/>
    <w:rsid w:val="00F85601"/>
    <w:rsid w:val="00F85C3F"/>
    <w:rsid w:val="00F86236"/>
    <w:rsid w:val="00F866F4"/>
    <w:rsid w:val="00F87C85"/>
    <w:rsid w:val="00F9055D"/>
    <w:rsid w:val="00F946D0"/>
    <w:rsid w:val="00F94C8D"/>
    <w:rsid w:val="00F974A4"/>
    <w:rsid w:val="00FA1D3F"/>
    <w:rsid w:val="00FA52A1"/>
    <w:rsid w:val="00FB0D11"/>
    <w:rsid w:val="00FB5F83"/>
    <w:rsid w:val="00FB7217"/>
    <w:rsid w:val="00FC0420"/>
    <w:rsid w:val="00FC08F2"/>
    <w:rsid w:val="00FC37A1"/>
    <w:rsid w:val="00FD0313"/>
    <w:rsid w:val="00FD0945"/>
    <w:rsid w:val="00FD5FFF"/>
    <w:rsid w:val="00FD61DF"/>
    <w:rsid w:val="00FE0DAA"/>
    <w:rsid w:val="00FE0ECB"/>
    <w:rsid w:val="00FF278F"/>
    <w:rsid w:val="00FF477C"/>
    <w:rsid w:val="00FF5821"/>
    <w:rsid w:val="00FF6735"/>
    <w:rsid w:val="00FF6D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AE7D3"/>
  <w15:docId w15:val="{8D4B1675-D886-4E53-ADB6-283E48DD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30"/>
    <w:pPr>
      <w:spacing w:after="200" w:line="276" w:lineRule="auto"/>
    </w:pPr>
    <w:rPr>
      <w:sz w:val="22"/>
      <w:szCs w:val="22"/>
    </w:rPr>
  </w:style>
  <w:style w:type="paragraph" w:styleId="Ttulo1">
    <w:name w:val="heading 1"/>
    <w:basedOn w:val="Normal"/>
    <w:next w:val="Normal"/>
    <w:link w:val="Ttulo1Car"/>
    <w:rsid w:val="00610D6A"/>
    <w:pPr>
      <w:keepNext/>
      <w:keepLines/>
      <w:spacing w:before="480" w:after="120" w:line="240" w:lineRule="auto"/>
      <w:outlineLvl w:val="0"/>
    </w:pPr>
    <w:rPr>
      <w:rFonts w:ascii="Times New Roman" w:hAnsi="Times New Roman"/>
      <w:b/>
      <w:sz w:val="48"/>
      <w:szCs w:val="48"/>
      <w:lang w:val="es-ES" w:eastAsia="es-ES"/>
    </w:rPr>
  </w:style>
  <w:style w:type="paragraph" w:styleId="Ttulo2">
    <w:name w:val="heading 2"/>
    <w:basedOn w:val="Normal"/>
    <w:next w:val="Normal"/>
    <w:link w:val="Ttulo2Car"/>
    <w:rsid w:val="00610D6A"/>
    <w:pPr>
      <w:keepNext/>
      <w:keepLines/>
      <w:spacing w:before="360" w:after="80" w:line="240" w:lineRule="auto"/>
      <w:outlineLvl w:val="1"/>
    </w:pPr>
    <w:rPr>
      <w:rFonts w:ascii="Times New Roman" w:hAnsi="Times New Roman"/>
      <w:b/>
      <w:sz w:val="36"/>
      <w:szCs w:val="36"/>
      <w:lang w:val="es-ES" w:eastAsia="es-ES"/>
    </w:rPr>
  </w:style>
  <w:style w:type="paragraph" w:styleId="Ttulo3">
    <w:name w:val="heading 3"/>
    <w:basedOn w:val="Normal"/>
    <w:next w:val="Normal"/>
    <w:link w:val="Ttulo3Car"/>
    <w:semiHidden/>
    <w:unhideWhenUsed/>
    <w:qFormat/>
    <w:rsid w:val="00610D6A"/>
    <w:pPr>
      <w:keepNext/>
      <w:spacing w:before="240" w:after="60" w:line="240" w:lineRule="auto"/>
      <w:outlineLvl w:val="2"/>
    </w:pPr>
    <w:rPr>
      <w:rFonts w:ascii="Calibri Light" w:hAnsi="Calibri Light"/>
      <w:b/>
      <w:bCs/>
      <w:sz w:val="26"/>
      <w:szCs w:val="26"/>
      <w:lang w:val="es-ES" w:eastAsia="es-ES"/>
    </w:rPr>
  </w:style>
  <w:style w:type="paragraph" w:styleId="Ttulo4">
    <w:name w:val="heading 4"/>
    <w:basedOn w:val="Normal"/>
    <w:next w:val="Normal"/>
    <w:link w:val="Ttulo4Car"/>
    <w:rsid w:val="00610D6A"/>
    <w:pPr>
      <w:keepNext/>
      <w:keepLines/>
      <w:spacing w:before="240" w:after="40" w:line="240" w:lineRule="auto"/>
      <w:outlineLvl w:val="3"/>
    </w:pPr>
    <w:rPr>
      <w:rFonts w:ascii="Times New Roman" w:hAnsi="Times New Roman"/>
      <w:b/>
      <w:sz w:val="24"/>
      <w:szCs w:val="24"/>
      <w:lang w:val="es-ES" w:eastAsia="es-ES"/>
    </w:rPr>
  </w:style>
  <w:style w:type="paragraph" w:styleId="Ttulo5">
    <w:name w:val="heading 5"/>
    <w:basedOn w:val="Normal"/>
    <w:next w:val="Normal"/>
    <w:link w:val="Ttulo5Car"/>
    <w:rsid w:val="00610D6A"/>
    <w:pPr>
      <w:keepNext/>
      <w:keepLines/>
      <w:spacing w:before="220" w:after="40" w:line="240" w:lineRule="auto"/>
      <w:outlineLvl w:val="4"/>
    </w:pPr>
    <w:rPr>
      <w:rFonts w:ascii="Times New Roman" w:hAnsi="Times New Roman"/>
      <w:b/>
      <w:lang w:val="es-ES" w:eastAsia="es-ES"/>
    </w:rPr>
  </w:style>
  <w:style w:type="paragraph" w:styleId="Ttulo6">
    <w:name w:val="heading 6"/>
    <w:basedOn w:val="Normal"/>
    <w:next w:val="Normal"/>
    <w:link w:val="Ttulo6Car"/>
    <w:rsid w:val="00610D6A"/>
    <w:pPr>
      <w:keepNext/>
      <w:keepLines/>
      <w:spacing w:before="200" w:after="40" w:line="240" w:lineRule="auto"/>
      <w:outlineLvl w:val="5"/>
    </w:pPr>
    <w:rPr>
      <w:rFonts w:ascii="Times New Roman" w:hAnsi="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856B5"/>
    <w:rPr>
      <w:rFonts w:ascii="Times New Roman" w:hAnsi="Times New Roman"/>
      <w:color w:val="000000"/>
      <w:sz w:val="24"/>
      <w:lang w:val="es-ES" w:eastAsia="es-ES"/>
    </w:rPr>
  </w:style>
  <w:style w:type="character" w:customStyle="1" w:styleId="Estilo2">
    <w:name w:val="Estilo2"/>
    <w:uiPriority w:val="1"/>
    <w:rsid w:val="006856B5"/>
    <w:rPr>
      <w:rFonts w:ascii="Arial" w:hAnsi="Arial" w:cs="Arial" w:hint="default"/>
      <w:b/>
      <w:bCs w:val="0"/>
      <w:caps/>
      <w:sz w:val="24"/>
    </w:rPr>
  </w:style>
  <w:style w:type="character" w:customStyle="1" w:styleId="NOMBRES">
    <w:name w:val="NOMBRES"/>
    <w:uiPriority w:val="1"/>
    <w:rsid w:val="006856B5"/>
    <w:rPr>
      <w:rFonts w:ascii="Arial" w:hAnsi="Arial" w:cs="Arial" w:hint="default"/>
      <w:b/>
      <w:bCs w:val="0"/>
      <w:sz w:val="24"/>
    </w:rPr>
  </w:style>
  <w:style w:type="paragraph" w:styleId="Encabezado">
    <w:name w:val="header"/>
    <w:basedOn w:val="Normal"/>
    <w:link w:val="EncabezadoCar"/>
    <w:unhideWhenUsed/>
    <w:rsid w:val="006856B5"/>
    <w:pPr>
      <w:tabs>
        <w:tab w:val="center" w:pos="4419"/>
        <w:tab w:val="right" w:pos="8838"/>
      </w:tabs>
      <w:spacing w:after="0" w:line="240" w:lineRule="auto"/>
    </w:pPr>
  </w:style>
  <w:style w:type="character" w:customStyle="1" w:styleId="EncabezadoCar">
    <w:name w:val="Encabezado Car"/>
    <w:basedOn w:val="Fuentedeprrafopredeter"/>
    <w:link w:val="Encabezado"/>
    <w:rsid w:val="006856B5"/>
  </w:style>
  <w:style w:type="paragraph" w:styleId="Piedepgina">
    <w:name w:val="footer"/>
    <w:basedOn w:val="Normal"/>
    <w:link w:val="PiedepginaCar"/>
    <w:uiPriority w:val="99"/>
    <w:unhideWhenUsed/>
    <w:rsid w:val="006856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6B5"/>
  </w:style>
  <w:style w:type="paragraph" w:styleId="Prrafodelista">
    <w:name w:val="List Paragraph"/>
    <w:basedOn w:val="Normal"/>
    <w:link w:val="PrrafodelistaCar"/>
    <w:uiPriority w:val="34"/>
    <w:qFormat/>
    <w:rsid w:val="006856B5"/>
    <w:pPr>
      <w:ind w:left="720"/>
      <w:contextualSpacing/>
    </w:pPr>
    <w:rPr>
      <w:rFonts w:eastAsia="Calibri"/>
      <w:lang w:eastAsia="en-US"/>
    </w:rPr>
  </w:style>
  <w:style w:type="paragraph" w:styleId="Textoindependiente">
    <w:name w:val="Body Text"/>
    <w:basedOn w:val="Normal"/>
    <w:link w:val="TextoindependienteCar"/>
    <w:rsid w:val="005044BE"/>
    <w:pPr>
      <w:spacing w:after="0" w:line="240" w:lineRule="auto"/>
      <w:jc w:val="both"/>
    </w:pPr>
    <w:rPr>
      <w:rFonts w:ascii="Book Antiqua" w:hAnsi="Book Antiqua"/>
      <w:sz w:val="24"/>
      <w:szCs w:val="24"/>
      <w:lang w:val="es-ES" w:eastAsia="es-ES"/>
    </w:rPr>
  </w:style>
  <w:style w:type="character" w:customStyle="1" w:styleId="TextoindependienteCar">
    <w:name w:val="Texto independiente Car"/>
    <w:link w:val="Textoindependiente"/>
    <w:rsid w:val="005044BE"/>
    <w:rPr>
      <w:rFonts w:ascii="Book Antiqua" w:eastAsia="Times New Roman" w:hAnsi="Book Antiqua" w:cs="Times New Roman"/>
      <w:sz w:val="24"/>
      <w:szCs w:val="24"/>
      <w:lang w:val="es-ES" w:eastAsia="es-ES"/>
    </w:rPr>
  </w:style>
  <w:style w:type="paragraph" w:styleId="Textonotapie">
    <w:name w:val="footnote text"/>
    <w:basedOn w:val="Normal"/>
    <w:link w:val="TextonotapieCar"/>
    <w:uiPriority w:val="99"/>
    <w:semiHidden/>
    <w:unhideWhenUsed/>
    <w:rsid w:val="005622C4"/>
    <w:pPr>
      <w:spacing w:after="0" w:line="240" w:lineRule="auto"/>
    </w:pPr>
    <w:rPr>
      <w:sz w:val="20"/>
      <w:szCs w:val="20"/>
    </w:rPr>
  </w:style>
  <w:style w:type="character" w:customStyle="1" w:styleId="TextonotapieCar">
    <w:name w:val="Texto nota pie Car"/>
    <w:link w:val="Textonotapie"/>
    <w:uiPriority w:val="99"/>
    <w:semiHidden/>
    <w:rsid w:val="005622C4"/>
    <w:rPr>
      <w:sz w:val="20"/>
      <w:szCs w:val="20"/>
    </w:rPr>
  </w:style>
  <w:style w:type="character" w:styleId="Refdenotaalpie">
    <w:name w:val="footnote reference"/>
    <w:uiPriority w:val="99"/>
    <w:semiHidden/>
    <w:unhideWhenUsed/>
    <w:rsid w:val="005622C4"/>
    <w:rPr>
      <w:vertAlign w:val="superscript"/>
    </w:rPr>
  </w:style>
  <w:style w:type="paragraph" w:customStyle="1" w:styleId="Texto">
    <w:name w:val="Texto"/>
    <w:basedOn w:val="Normal"/>
    <w:link w:val="TextoCar"/>
    <w:rsid w:val="002C4A92"/>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C4A92"/>
    <w:rPr>
      <w:rFonts w:ascii="Arial" w:eastAsia="Times New Roman" w:hAnsi="Arial" w:cs="Times New Roman"/>
      <w:sz w:val="18"/>
      <w:szCs w:val="20"/>
      <w:lang w:val="es-ES" w:eastAsia="es-ES"/>
    </w:rPr>
  </w:style>
  <w:style w:type="character" w:styleId="Hipervnculo">
    <w:name w:val="Hyperlink"/>
    <w:uiPriority w:val="99"/>
    <w:unhideWhenUsed/>
    <w:rsid w:val="00013560"/>
    <w:rPr>
      <w:color w:val="0000FF"/>
      <w:u w:val="single"/>
    </w:rPr>
  </w:style>
  <w:style w:type="paragraph" w:customStyle="1" w:styleId="Normal2">
    <w:name w:val="Normal2"/>
    <w:rsid w:val="00070CC2"/>
    <w:rPr>
      <w:rFonts w:ascii="Times New Roman" w:hAnsi="Times New Roman"/>
      <w:color w:val="000000"/>
      <w:sz w:val="24"/>
      <w:lang w:val="es-ES" w:eastAsia="es-ES"/>
    </w:rPr>
  </w:style>
  <w:style w:type="paragraph" w:styleId="Textodeglobo">
    <w:name w:val="Balloon Text"/>
    <w:basedOn w:val="Normal"/>
    <w:link w:val="TextodegloboCar"/>
    <w:uiPriority w:val="99"/>
    <w:semiHidden/>
    <w:unhideWhenUsed/>
    <w:rsid w:val="00070CC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70CC2"/>
    <w:rPr>
      <w:rFonts w:ascii="Tahoma" w:hAnsi="Tahoma" w:cs="Tahoma"/>
      <w:sz w:val="16"/>
      <w:szCs w:val="16"/>
    </w:rPr>
  </w:style>
  <w:style w:type="table" w:styleId="Tablaconcuadrcula">
    <w:name w:val="Table Grid"/>
    <w:basedOn w:val="Tablanormal"/>
    <w:uiPriority w:val="39"/>
    <w:rsid w:val="0062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451389"/>
    <w:rPr>
      <w:color w:val="605E5C"/>
      <w:shd w:val="clear" w:color="auto" w:fill="E1DFDD"/>
    </w:rPr>
  </w:style>
  <w:style w:type="character" w:customStyle="1" w:styleId="Ttulo1Car">
    <w:name w:val="Título 1 Car"/>
    <w:link w:val="Ttulo1"/>
    <w:rsid w:val="00610D6A"/>
    <w:rPr>
      <w:rFonts w:ascii="Times New Roman" w:hAnsi="Times New Roman"/>
      <w:b/>
      <w:sz w:val="48"/>
      <w:szCs w:val="48"/>
      <w:lang w:val="es-ES" w:eastAsia="es-ES"/>
    </w:rPr>
  </w:style>
  <w:style w:type="character" w:customStyle="1" w:styleId="Ttulo2Car">
    <w:name w:val="Título 2 Car"/>
    <w:link w:val="Ttulo2"/>
    <w:rsid w:val="00610D6A"/>
    <w:rPr>
      <w:rFonts w:ascii="Times New Roman" w:hAnsi="Times New Roman"/>
      <w:b/>
      <w:sz w:val="36"/>
      <w:szCs w:val="36"/>
      <w:lang w:val="es-ES" w:eastAsia="es-ES"/>
    </w:rPr>
  </w:style>
  <w:style w:type="character" w:customStyle="1" w:styleId="Ttulo3Car">
    <w:name w:val="Título 3 Car"/>
    <w:link w:val="Ttulo3"/>
    <w:semiHidden/>
    <w:rsid w:val="00610D6A"/>
    <w:rPr>
      <w:rFonts w:ascii="Calibri Light" w:hAnsi="Calibri Light"/>
      <w:b/>
      <w:bCs/>
      <w:sz w:val="26"/>
      <w:szCs w:val="26"/>
      <w:lang w:val="es-ES" w:eastAsia="es-ES"/>
    </w:rPr>
  </w:style>
  <w:style w:type="character" w:customStyle="1" w:styleId="Ttulo4Car">
    <w:name w:val="Título 4 Car"/>
    <w:link w:val="Ttulo4"/>
    <w:rsid w:val="00610D6A"/>
    <w:rPr>
      <w:rFonts w:ascii="Times New Roman" w:hAnsi="Times New Roman"/>
      <w:b/>
      <w:sz w:val="24"/>
      <w:szCs w:val="24"/>
      <w:lang w:val="es-ES" w:eastAsia="es-ES"/>
    </w:rPr>
  </w:style>
  <w:style w:type="character" w:customStyle="1" w:styleId="Ttulo5Car">
    <w:name w:val="Título 5 Car"/>
    <w:link w:val="Ttulo5"/>
    <w:rsid w:val="00610D6A"/>
    <w:rPr>
      <w:rFonts w:ascii="Times New Roman" w:hAnsi="Times New Roman"/>
      <w:b/>
      <w:sz w:val="22"/>
      <w:szCs w:val="22"/>
      <w:lang w:val="es-ES" w:eastAsia="es-ES"/>
    </w:rPr>
  </w:style>
  <w:style w:type="character" w:customStyle="1" w:styleId="Ttulo6Car">
    <w:name w:val="Título 6 Car"/>
    <w:link w:val="Ttulo6"/>
    <w:rsid w:val="00610D6A"/>
    <w:rPr>
      <w:rFonts w:ascii="Times New Roman" w:hAnsi="Times New Roman"/>
      <w:b/>
      <w:lang w:val="es-ES" w:eastAsia="es-ES"/>
    </w:rPr>
  </w:style>
  <w:style w:type="numbering" w:customStyle="1" w:styleId="Sinlista1">
    <w:name w:val="Sin lista1"/>
    <w:next w:val="Sinlista"/>
    <w:uiPriority w:val="99"/>
    <w:semiHidden/>
    <w:unhideWhenUsed/>
    <w:rsid w:val="00610D6A"/>
  </w:style>
  <w:style w:type="character" w:customStyle="1" w:styleId="PrrafodelistaCar">
    <w:name w:val="Párrafo de lista Car"/>
    <w:link w:val="Prrafodelista"/>
    <w:uiPriority w:val="34"/>
    <w:locked/>
    <w:rsid w:val="00610D6A"/>
    <w:rPr>
      <w:rFonts w:eastAsia="Calibri"/>
      <w:sz w:val="22"/>
      <w:szCs w:val="22"/>
      <w:lang w:eastAsia="en-US"/>
    </w:rPr>
  </w:style>
  <w:style w:type="table" w:customStyle="1" w:styleId="Tablaconcuadrcula1">
    <w:name w:val="Tabla con cuadrícula1"/>
    <w:basedOn w:val="Tablanormal"/>
    <w:next w:val="Tablaconcuadrcula"/>
    <w:uiPriority w:val="39"/>
    <w:rsid w:val="00610D6A"/>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10D6A"/>
    <w:rPr>
      <w:sz w:val="16"/>
      <w:szCs w:val="16"/>
    </w:rPr>
  </w:style>
  <w:style w:type="paragraph" w:styleId="Textocomentario">
    <w:name w:val="annotation text"/>
    <w:basedOn w:val="Normal"/>
    <w:link w:val="TextocomentarioCar"/>
    <w:uiPriority w:val="99"/>
    <w:unhideWhenUsed/>
    <w:rsid w:val="00610D6A"/>
    <w:pPr>
      <w:spacing w:after="0" w:line="240" w:lineRule="auto"/>
    </w:pPr>
    <w:rPr>
      <w:rFonts w:ascii="Times New Roman" w:eastAsia="PMingLiU" w:hAnsi="Times New Roman"/>
      <w:sz w:val="20"/>
      <w:szCs w:val="20"/>
      <w:lang w:eastAsia="en-US"/>
    </w:rPr>
  </w:style>
  <w:style w:type="character" w:customStyle="1" w:styleId="TextocomentarioCar">
    <w:name w:val="Texto comentario Car"/>
    <w:link w:val="Textocomentario"/>
    <w:uiPriority w:val="99"/>
    <w:rsid w:val="00610D6A"/>
    <w:rPr>
      <w:rFonts w:ascii="Times New Roman" w:eastAsia="PMingLiU" w:hAnsi="Times New Roman"/>
      <w:lang w:eastAsia="en-US"/>
    </w:rPr>
  </w:style>
  <w:style w:type="paragraph" w:styleId="Asuntodelcomentario">
    <w:name w:val="annotation subject"/>
    <w:basedOn w:val="Textocomentario"/>
    <w:next w:val="Textocomentario"/>
    <w:link w:val="AsuntodelcomentarioCar"/>
    <w:uiPriority w:val="99"/>
    <w:semiHidden/>
    <w:unhideWhenUsed/>
    <w:rsid w:val="00610D6A"/>
    <w:rPr>
      <w:b/>
      <w:bCs/>
    </w:rPr>
  </w:style>
  <w:style w:type="character" w:customStyle="1" w:styleId="AsuntodelcomentarioCar">
    <w:name w:val="Asunto del comentario Car"/>
    <w:link w:val="Asuntodelcomentario"/>
    <w:uiPriority w:val="99"/>
    <w:semiHidden/>
    <w:rsid w:val="00610D6A"/>
    <w:rPr>
      <w:rFonts w:ascii="Times New Roman" w:eastAsia="PMingLiU" w:hAnsi="Times New Roman"/>
      <w:b/>
      <w:bCs/>
      <w:lang w:eastAsia="en-US"/>
    </w:rPr>
  </w:style>
  <w:style w:type="paragraph" w:styleId="Revisin">
    <w:name w:val="Revision"/>
    <w:hidden/>
    <w:uiPriority w:val="99"/>
    <w:semiHidden/>
    <w:rsid w:val="00610D6A"/>
    <w:rPr>
      <w:rFonts w:ascii="Times New Roman" w:eastAsia="PMingLiU" w:hAnsi="Times New Roman"/>
      <w:sz w:val="22"/>
      <w:szCs w:val="22"/>
      <w:lang w:eastAsia="en-US"/>
    </w:rPr>
  </w:style>
  <w:style w:type="table" w:customStyle="1" w:styleId="TableNormal1">
    <w:name w:val="Table Normal1"/>
    <w:rsid w:val="00610D6A"/>
    <w:rPr>
      <w:rFonts w:ascii="Times New Roman" w:hAnsi="Times New Roman"/>
      <w:sz w:val="24"/>
      <w:szCs w:val="24"/>
      <w:lang w:val="es-ES" w:eastAsia="en-US"/>
    </w:rPr>
    <w:tblPr>
      <w:tblCellMar>
        <w:top w:w="0" w:type="dxa"/>
        <w:left w:w="0" w:type="dxa"/>
        <w:bottom w:w="0" w:type="dxa"/>
        <w:right w:w="0" w:type="dxa"/>
      </w:tblCellMar>
    </w:tblPr>
  </w:style>
  <w:style w:type="paragraph" w:styleId="Ttulo">
    <w:name w:val="Title"/>
    <w:basedOn w:val="Normal"/>
    <w:next w:val="Normal"/>
    <w:link w:val="TtuloCar"/>
    <w:rsid w:val="00610D6A"/>
    <w:pPr>
      <w:keepNext/>
      <w:keepLines/>
      <w:spacing w:before="480" w:after="120" w:line="240" w:lineRule="auto"/>
    </w:pPr>
    <w:rPr>
      <w:rFonts w:ascii="Times New Roman" w:hAnsi="Times New Roman"/>
      <w:b/>
      <w:sz w:val="72"/>
      <w:szCs w:val="72"/>
      <w:lang w:val="es-ES" w:eastAsia="es-ES"/>
    </w:rPr>
  </w:style>
  <w:style w:type="character" w:customStyle="1" w:styleId="TtuloCar">
    <w:name w:val="Título Car"/>
    <w:link w:val="Ttulo"/>
    <w:rsid w:val="00610D6A"/>
    <w:rPr>
      <w:rFonts w:ascii="Times New Roman" w:hAnsi="Times New Roman"/>
      <w:b/>
      <w:sz w:val="72"/>
      <w:szCs w:val="72"/>
      <w:lang w:val="es-ES" w:eastAsia="es-ES"/>
    </w:rPr>
  </w:style>
  <w:style w:type="character" w:styleId="Nmerodepgina">
    <w:name w:val="page number"/>
    <w:rsid w:val="00610D6A"/>
  </w:style>
  <w:style w:type="paragraph" w:customStyle="1" w:styleId="Estilo">
    <w:name w:val="Estilo"/>
    <w:basedOn w:val="Sinespaciado"/>
    <w:link w:val="EstiloCar"/>
    <w:qFormat/>
    <w:rsid w:val="00610D6A"/>
  </w:style>
  <w:style w:type="character" w:customStyle="1" w:styleId="EstiloCar">
    <w:name w:val="Estilo Car"/>
    <w:link w:val="Estilo"/>
    <w:rsid w:val="00610D6A"/>
    <w:rPr>
      <w:rFonts w:ascii="Times New Roman" w:hAnsi="Times New Roman"/>
      <w:sz w:val="24"/>
      <w:szCs w:val="24"/>
      <w:lang w:val="es-ES" w:eastAsia="es-ES"/>
    </w:rPr>
  </w:style>
  <w:style w:type="paragraph" w:styleId="NormalWeb">
    <w:name w:val="Normal (Web)"/>
    <w:basedOn w:val="Normal"/>
    <w:uiPriority w:val="99"/>
    <w:unhideWhenUsed/>
    <w:rsid w:val="00610D6A"/>
    <w:pPr>
      <w:spacing w:before="100" w:beforeAutospacing="1" w:after="100" w:afterAutospacing="1" w:line="240" w:lineRule="auto"/>
    </w:pPr>
    <w:rPr>
      <w:rFonts w:ascii="Times New Roman" w:hAnsi="Times New Roman"/>
      <w:sz w:val="24"/>
      <w:szCs w:val="24"/>
    </w:rPr>
  </w:style>
  <w:style w:type="paragraph" w:styleId="Sinespaciado">
    <w:name w:val="No Spacing"/>
    <w:uiPriority w:val="1"/>
    <w:qFormat/>
    <w:rsid w:val="00610D6A"/>
    <w:rPr>
      <w:rFonts w:ascii="Times New Roman" w:hAnsi="Times New Roman"/>
      <w:sz w:val="24"/>
      <w:szCs w:val="24"/>
      <w:lang w:val="es-ES" w:eastAsia="es-ES"/>
    </w:rPr>
  </w:style>
  <w:style w:type="paragraph" w:styleId="Subttulo">
    <w:name w:val="Subtitle"/>
    <w:basedOn w:val="Normal"/>
    <w:next w:val="Normal"/>
    <w:link w:val="SubttuloCar"/>
    <w:rsid w:val="00610D6A"/>
    <w:pPr>
      <w:keepNext/>
      <w:keepLines/>
      <w:spacing w:before="360" w:after="80" w:line="240" w:lineRule="auto"/>
    </w:pPr>
    <w:rPr>
      <w:rFonts w:ascii="Georgia" w:eastAsia="Georgia" w:hAnsi="Georgia" w:cs="Georgia"/>
      <w:i/>
      <w:color w:val="666666"/>
      <w:sz w:val="48"/>
      <w:szCs w:val="48"/>
      <w:lang w:val="es-ES" w:eastAsia="es-ES"/>
    </w:rPr>
  </w:style>
  <w:style w:type="character" w:customStyle="1" w:styleId="SubttuloCar">
    <w:name w:val="Subtítulo Car"/>
    <w:link w:val="Subttulo"/>
    <w:rsid w:val="00610D6A"/>
    <w:rPr>
      <w:rFonts w:ascii="Georgia" w:eastAsia="Georgia" w:hAnsi="Georgia" w:cs="Georgia"/>
      <w:i/>
      <w:color w:val="666666"/>
      <w:sz w:val="48"/>
      <w:szCs w:val="48"/>
      <w:lang w:val="es-ES" w:eastAsia="es-ES"/>
    </w:rPr>
  </w:style>
  <w:style w:type="numbering" w:customStyle="1" w:styleId="Sinlista2">
    <w:name w:val="Sin lista2"/>
    <w:next w:val="Sinlista"/>
    <w:uiPriority w:val="99"/>
    <w:semiHidden/>
    <w:unhideWhenUsed/>
    <w:rsid w:val="00B13E1E"/>
  </w:style>
  <w:style w:type="table" w:customStyle="1" w:styleId="Tablaconcuadrcula2">
    <w:name w:val="Tabla con cuadrícula2"/>
    <w:basedOn w:val="Tablanormal"/>
    <w:next w:val="Tablaconcuadrcula"/>
    <w:uiPriority w:val="39"/>
    <w:rsid w:val="00B13E1E"/>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13E1E"/>
    <w:rPr>
      <w:rFonts w:ascii="Times New Roman" w:hAnsi="Times New Roman"/>
      <w:sz w:val="24"/>
      <w:szCs w:val="24"/>
      <w:lang w:val="es-ES" w:eastAsia="en-US"/>
    </w:rPr>
    <w:tblPr>
      <w:tblCellMar>
        <w:top w:w="0" w:type="dxa"/>
        <w:left w:w="0" w:type="dxa"/>
        <w:bottom w:w="0" w:type="dxa"/>
        <w:right w:w="0" w:type="dxa"/>
      </w:tblCellMar>
    </w:tblPr>
  </w:style>
  <w:style w:type="paragraph" w:customStyle="1" w:styleId="Titulo1">
    <w:name w:val="Titulo 1"/>
    <w:basedOn w:val="Texto"/>
    <w:rsid w:val="008066A7"/>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3020">
      <w:bodyDiv w:val="1"/>
      <w:marLeft w:val="0"/>
      <w:marRight w:val="0"/>
      <w:marTop w:val="0"/>
      <w:marBottom w:val="0"/>
      <w:divBdr>
        <w:top w:val="none" w:sz="0" w:space="0" w:color="auto"/>
        <w:left w:val="none" w:sz="0" w:space="0" w:color="auto"/>
        <w:bottom w:val="none" w:sz="0" w:space="0" w:color="auto"/>
        <w:right w:val="none" w:sz="0" w:space="0" w:color="auto"/>
      </w:divBdr>
    </w:div>
    <w:div w:id="359861166">
      <w:bodyDiv w:val="1"/>
      <w:marLeft w:val="0"/>
      <w:marRight w:val="0"/>
      <w:marTop w:val="0"/>
      <w:marBottom w:val="0"/>
      <w:divBdr>
        <w:top w:val="none" w:sz="0" w:space="0" w:color="auto"/>
        <w:left w:val="none" w:sz="0" w:space="0" w:color="auto"/>
        <w:bottom w:val="none" w:sz="0" w:space="0" w:color="auto"/>
        <w:right w:val="none" w:sz="0" w:space="0" w:color="auto"/>
      </w:divBdr>
    </w:div>
    <w:div w:id="663822453">
      <w:bodyDiv w:val="1"/>
      <w:marLeft w:val="0"/>
      <w:marRight w:val="0"/>
      <w:marTop w:val="0"/>
      <w:marBottom w:val="0"/>
      <w:divBdr>
        <w:top w:val="none" w:sz="0" w:space="0" w:color="auto"/>
        <w:left w:val="none" w:sz="0" w:space="0" w:color="auto"/>
        <w:bottom w:val="none" w:sz="0" w:space="0" w:color="auto"/>
        <w:right w:val="none" w:sz="0" w:space="0" w:color="auto"/>
      </w:divBdr>
    </w:div>
    <w:div w:id="683365023">
      <w:bodyDiv w:val="1"/>
      <w:marLeft w:val="0"/>
      <w:marRight w:val="0"/>
      <w:marTop w:val="0"/>
      <w:marBottom w:val="0"/>
      <w:divBdr>
        <w:top w:val="none" w:sz="0" w:space="0" w:color="auto"/>
        <w:left w:val="none" w:sz="0" w:space="0" w:color="auto"/>
        <w:bottom w:val="none" w:sz="0" w:space="0" w:color="auto"/>
        <w:right w:val="none" w:sz="0" w:space="0" w:color="auto"/>
      </w:divBdr>
    </w:div>
    <w:div w:id="796530165">
      <w:bodyDiv w:val="1"/>
      <w:marLeft w:val="0"/>
      <w:marRight w:val="0"/>
      <w:marTop w:val="0"/>
      <w:marBottom w:val="0"/>
      <w:divBdr>
        <w:top w:val="none" w:sz="0" w:space="0" w:color="auto"/>
        <w:left w:val="none" w:sz="0" w:space="0" w:color="auto"/>
        <w:bottom w:val="none" w:sz="0" w:space="0" w:color="auto"/>
        <w:right w:val="none" w:sz="0" w:space="0" w:color="auto"/>
      </w:divBdr>
    </w:div>
    <w:div w:id="1110510098">
      <w:bodyDiv w:val="1"/>
      <w:marLeft w:val="0"/>
      <w:marRight w:val="0"/>
      <w:marTop w:val="0"/>
      <w:marBottom w:val="0"/>
      <w:divBdr>
        <w:top w:val="none" w:sz="0" w:space="0" w:color="auto"/>
        <w:left w:val="none" w:sz="0" w:space="0" w:color="auto"/>
        <w:bottom w:val="none" w:sz="0" w:space="0" w:color="auto"/>
        <w:right w:val="none" w:sz="0" w:space="0" w:color="auto"/>
      </w:divBdr>
      <w:divsChild>
        <w:div w:id="766463216">
          <w:marLeft w:val="0"/>
          <w:marRight w:val="0"/>
          <w:marTop w:val="0"/>
          <w:marBottom w:val="0"/>
          <w:divBdr>
            <w:top w:val="none" w:sz="0" w:space="0" w:color="auto"/>
            <w:left w:val="none" w:sz="0" w:space="0" w:color="auto"/>
            <w:bottom w:val="none" w:sz="0" w:space="0" w:color="auto"/>
            <w:right w:val="none" w:sz="0" w:space="0" w:color="auto"/>
          </w:divBdr>
        </w:div>
        <w:div w:id="874074137">
          <w:marLeft w:val="0"/>
          <w:marRight w:val="0"/>
          <w:marTop w:val="0"/>
          <w:marBottom w:val="0"/>
          <w:divBdr>
            <w:top w:val="none" w:sz="0" w:space="0" w:color="auto"/>
            <w:left w:val="none" w:sz="0" w:space="0" w:color="auto"/>
            <w:bottom w:val="none" w:sz="0" w:space="0" w:color="auto"/>
            <w:right w:val="none" w:sz="0" w:space="0" w:color="auto"/>
          </w:divBdr>
        </w:div>
        <w:div w:id="948196716">
          <w:marLeft w:val="0"/>
          <w:marRight w:val="0"/>
          <w:marTop w:val="0"/>
          <w:marBottom w:val="0"/>
          <w:divBdr>
            <w:top w:val="none" w:sz="0" w:space="0" w:color="auto"/>
            <w:left w:val="none" w:sz="0" w:space="0" w:color="auto"/>
            <w:bottom w:val="none" w:sz="0" w:space="0" w:color="auto"/>
            <w:right w:val="none" w:sz="0" w:space="0" w:color="auto"/>
          </w:divBdr>
        </w:div>
        <w:div w:id="962930795">
          <w:marLeft w:val="0"/>
          <w:marRight w:val="0"/>
          <w:marTop w:val="0"/>
          <w:marBottom w:val="0"/>
          <w:divBdr>
            <w:top w:val="none" w:sz="0" w:space="0" w:color="auto"/>
            <w:left w:val="none" w:sz="0" w:space="0" w:color="auto"/>
            <w:bottom w:val="none" w:sz="0" w:space="0" w:color="auto"/>
            <w:right w:val="none" w:sz="0" w:space="0" w:color="auto"/>
          </w:divBdr>
        </w:div>
        <w:div w:id="998462948">
          <w:marLeft w:val="0"/>
          <w:marRight w:val="0"/>
          <w:marTop w:val="0"/>
          <w:marBottom w:val="0"/>
          <w:divBdr>
            <w:top w:val="none" w:sz="0" w:space="0" w:color="auto"/>
            <w:left w:val="none" w:sz="0" w:space="0" w:color="auto"/>
            <w:bottom w:val="none" w:sz="0" w:space="0" w:color="auto"/>
            <w:right w:val="none" w:sz="0" w:space="0" w:color="auto"/>
          </w:divBdr>
        </w:div>
        <w:div w:id="1253588224">
          <w:marLeft w:val="0"/>
          <w:marRight w:val="0"/>
          <w:marTop w:val="0"/>
          <w:marBottom w:val="0"/>
          <w:divBdr>
            <w:top w:val="none" w:sz="0" w:space="0" w:color="auto"/>
            <w:left w:val="none" w:sz="0" w:space="0" w:color="auto"/>
            <w:bottom w:val="none" w:sz="0" w:space="0" w:color="auto"/>
            <w:right w:val="none" w:sz="0" w:space="0" w:color="auto"/>
          </w:divBdr>
        </w:div>
        <w:div w:id="2132167416">
          <w:marLeft w:val="0"/>
          <w:marRight w:val="0"/>
          <w:marTop w:val="0"/>
          <w:marBottom w:val="0"/>
          <w:divBdr>
            <w:top w:val="none" w:sz="0" w:space="0" w:color="auto"/>
            <w:left w:val="none" w:sz="0" w:space="0" w:color="auto"/>
            <w:bottom w:val="none" w:sz="0" w:space="0" w:color="auto"/>
            <w:right w:val="none" w:sz="0" w:space="0" w:color="auto"/>
          </w:divBdr>
        </w:div>
      </w:divsChild>
    </w:div>
    <w:div w:id="1570768391">
      <w:bodyDiv w:val="1"/>
      <w:marLeft w:val="0"/>
      <w:marRight w:val="0"/>
      <w:marTop w:val="0"/>
      <w:marBottom w:val="0"/>
      <w:divBdr>
        <w:top w:val="none" w:sz="0" w:space="0" w:color="auto"/>
        <w:left w:val="none" w:sz="0" w:space="0" w:color="auto"/>
        <w:bottom w:val="none" w:sz="0" w:space="0" w:color="auto"/>
        <w:right w:val="none" w:sz="0" w:space="0" w:color="auto"/>
      </w:divBdr>
    </w:div>
    <w:div w:id="1852405475">
      <w:bodyDiv w:val="1"/>
      <w:marLeft w:val="0"/>
      <w:marRight w:val="0"/>
      <w:marTop w:val="0"/>
      <w:marBottom w:val="0"/>
      <w:divBdr>
        <w:top w:val="none" w:sz="0" w:space="0" w:color="auto"/>
        <w:left w:val="none" w:sz="0" w:space="0" w:color="auto"/>
        <w:bottom w:val="none" w:sz="0" w:space="0" w:color="auto"/>
        <w:right w:val="none" w:sz="0" w:space="0" w:color="auto"/>
      </w:divBdr>
    </w:div>
    <w:div w:id="1904946132">
      <w:bodyDiv w:val="1"/>
      <w:marLeft w:val="0"/>
      <w:marRight w:val="0"/>
      <w:marTop w:val="0"/>
      <w:marBottom w:val="0"/>
      <w:divBdr>
        <w:top w:val="none" w:sz="0" w:space="0" w:color="auto"/>
        <w:left w:val="none" w:sz="0" w:space="0" w:color="auto"/>
        <w:bottom w:val="none" w:sz="0" w:space="0" w:color="auto"/>
        <w:right w:val="none" w:sz="0" w:space="0" w:color="auto"/>
      </w:divBdr>
    </w:div>
    <w:div w:id="2034573730">
      <w:bodyDiv w:val="1"/>
      <w:marLeft w:val="0"/>
      <w:marRight w:val="0"/>
      <w:marTop w:val="0"/>
      <w:marBottom w:val="0"/>
      <w:divBdr>
        <w:top w:val="none" w:sz="0" w:space="0" w:color="auto"/>
        <w:left w:val="none" w:sz="0" w:space="0" w:color="auto"/>
        <w:bottom w:val="none" w:sz="0" w:space="0" w:color="auto"/>
        <w:right w:val="none" w:sz="0" w:space="0" w:color="auto"/>
      </w:divBdr>
    </w:div>
    <w:div w:id="2062896502">
      <w:bodyDiv w:val="1"/>
      <w:marLeft w:val="0"/>
      <w:marRight w:val="0"/>
      <w:marTop w:val="0"/>
      <w:marBottom w:val="0"/>
      <w:divBdr>
        <w:top w:val="none" w:sz="0" w:space="0" w:color="auto"/>
        <w:left w:val="none" w:sz="0" w:space="0" w:color="auto"/>
        <w:bottom w:val="none" w:sz="0" w:space="0" w:color="auto"/>
        <w:right w:val="none" w:sz="0" w:space="0" w:color="auto"/>
      </w:divBdr>
      <w:divsChild>
        <w:div w:id="287587716">
          <w:marLeft w:val="0"/>
          <w:marRight w:val="0"/>
          <w:marTop w:val="0"/>
          <w:marBottom w:val="0"/>
          <w:divBdr>
            <w:top w:val="none" w:sz="0" w:space="0" w:color="auto"/>
            <w:left w:val="none" w:sz="0" w:space="0" w:color="auto"/>
            <w:bottom w:val="none" w:sz="0" w:space="0" w:color="auto"/>
            <w:right w:val="none" w:sz="0" w:space="0" w:color="auto"/>
          </w:divBdr>
        </w:div>
        <w:div w:id="350188514">
          <w:marLeft w:val="0"/>
          <w:marRight w:val="0"/>
          <w:marTop w:val="0"/>
          <w:marBottom w:val="0"/>
          <w:divBdr>
            <w:top w:val="none" w:sz="0" w:space="0" w:color="auto"/>
            <w:left w:val="none" w:sz="0" w:space="0" w:color="auto"/>
            <w:bottom w:val="none" w:sz="0" w:space="0" w:color="auto"/>
            <w:right w:val="none" w:sz="0" w:space="0" w:color="auto"/>
          </w:divBdr>
        </w:div>
        <w:div w:id="553733279">
          <w:marLeft w:val="0"/>
          <w:marRight w:val="0"/>
          <w:marTop w:val="0"/>
          <w:marBottom w:val="0"/>
          <w:divBdr>
            <w:top w:val="none" w:sz="0" w:space="0" w:color="auto"/>
            <w:left w:val="none" w:sz="0" w:space="0" w:color="auto"/>
            <w:bottom w:val="none" w:sz="0" w:space="0" w:color="auto"/>
            <w:right w:val="none" w:sz="0" w:space="0" w:color="auto"/>
          </w:divBdr>
        </w:div>
        <w:div w:id="866412402">
          <w:marLeft w:val="0"/>
          <w:marRight w:val="0"/>
          <w:marTop w:val="0"/>
          <w:marBottom w:val="0"/>
          <w:divBdr>
            <w:top w:val="none" w:sz="0" w:space="0" w:color="auto"/>
            <w:left w:val="none" w:sz="0" w:space="0" w:color="auto"/>
            <w:bottom w:val="none" w:sz="0" w:space="0" w:color="auto"/>
            <w:right w:val="none" w:sz="0" w:space="0" w:color="auto"/>
          </w:divBdr>
        </w:div>
        <w:div w:id="1586837064">
          <w:marLeft w:val="0"/>
          <w:marRight w:val="0"/>
          <w:marTop w:val="0"/>
          <w:marBottom w:val="0"/>
          <w:divBdr>
            <w:top w:val="none" w:sz="0" w:space="0" w:color="auto"/>
            <w:left w:val="none" w:sz="0" w:space="0" w:color="auto"/>
            <w:bottom w:val="none" w:sz="0" w:space="0" w:color="auto"/>
            <w:right w:val="none" w:sz="0" w:space="0" w:color="auto"/>
          </w:divBdr>
        </w:div>
        <w:div w:id="1771580479">
          <w:marLeft w:val="0"/>
          <w:marRight w:val="0"/>
          <w:marTop w:val="0"/>
          <w:marBottom w:val="0"/>
          <w:divBdr>
            <w:top w:val="none" w:sz="0" w:space="0" w:color="auto"/>
            <w:left w:val="none" w:sz="0" w:space="0" w:color="auto"/>
            <w:bottom w:val="none" w:sz="0" w:space="0" w:color="auto"/>
            <w:right w:val="none" w:sz="0" w:space="0" w:color="auto"/>
          </w:divBdr>
        </w:div>
        <w:div w:id="2117825053">
          <w:marLeft w:val="0"/>
          <w:marRight w:val="0"/>
          <w:marTop w:val="0"/>
          <w:marBottom w:val="0"/>
          <w:divBdr>
            <w:top w:val="none" w:sz="0" w:space="0" w:color="auto"/>
            <w:left w:val="none" w:sz="0" w:space="0" w:color="auto"/>
            <w:bottom w:val="none" w:sz="0" w:space="0" w:color="auto"/>
            <w:right w:val="none" w:sz="0" w:space="0" w:color="auto"/>
          </w:divBdr>
        </w:div>
      </w:divsChild>
    </w:div>
    <w:div w:id="21183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2C4C-305D-48AA-B4C5-787F2846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22468</Words>
  <Characters>123578</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acastillo</dc:creator>
  <cp:lastModifiedBy>Brenda Sarahi Gonzalez Dominguez</cp:lastModifiedBy>
  <cp:revision>2</cp:revision>
  <cp:lastPrinted>2021-12-11T00:16:00Z</cp:lastPrinted>
  <dcterms:created xsi:type="dcterms:W3CDTF">2022-12-19T17:28:00Z</dcterms:created>
  <dcterms:modified xsi:type="dcterms:W3CDTF">2022-12-19T17:28:00Z</dcterms:modified>
</cp:coreProperties>
</file>