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6771"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05565A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5CD9E0E5" w14:textId="77777777" w:rsidR="00B82123" w:rsidRPr="002E753C" w:rsidRDefault="00B82123" w:rsidP="00B82123">
      <w:pPr>
        <w:pStyle w:val="Normal1"/>
        <w:spacing w:line="360" w:lineRule="auto"/>
        <w:jc w:val="both"/>
        <w:rPr>
          <w:rFonts w:ascii="Century Gothic" w:hAnsi="Century Gothic" w:cs="Arial"/>
          <w:szCs w:val="24"/>
          <w:lang w:val="es-MX"/>
        </w:rPr>
      </w:pPr>
    </w:p>
    <w:p w14:paraId="2D95A495" w14:textId="77777777"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La</w:t>
      </w:r>
      <w:r w:rsidR="00191C48">
        <w:rPr>
          <w:rFonts w:ascii="Century Gothic" w:eastAsia="Arial" w:hAnsi="Century Gothic" w:cs="Arial"/>
          <w:szCs w:val="24"/>
          <w:lang w:val="es-MX"/>
        </w:rPr>
        <w:t xml:space="preserve"> Comisió</w:t>
      </w:r>
      <w:r w:rsidRPr="002E753C">
        <w:rPr>
          <w:rFonts w:ascii="Century Gothic" w:eastAsia="Arial" w:hAnsi="Century Gothic" w:cs="Arial"/>
          <w:szCs w:val="24"/>
          <w:lang w:val="es-MX"/>
        </w:rPr>
        <w:t xml:space="preserve">n de </w:t>
      </w:r>
      <w:r w:rsidR="00191C48">
        <w:rPr>
          <w:rFonts w:ascii="Century Gothic" w:eastAsia="Arial" w:hAnsi="Century Gothic" w:cs="Arial"/>
          <w:szCs w:val="24"/>
          <w:lang w:val="es-MX"/>
        </w:rPr>
        <w:t>Asuntos Fronterizos y Atención a Migrantes</w:t>
      </w:r>
      <w:r w:rsidR="00BF616A">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w:t>
      </w:r>
      <w:r w:rsidR="00084D90">
        <w:rPr>
          <w:rFonts w:ascii="Century Gothic" w:eastAsia="Arial" w:hAnsi="Century Gothic" w:cs="Arial"/>
          <w:szCs w:val="24"/>
        </w:rPr>
        <w:t>64, fracción I de la Constitución Política del Estado de Chihuahua</w:t>
      </w:r>
      <w:r w:rsidRPr="002E753C">
        <w:rPr>
          <w:rFonts w:ascii="Century Gothic" w:eastAsia="Arial" w:hAnsi="Century Gothic" w:cs="Arial"/>
          <w:szCs w:val="24"/>
        </w:rPr>
        <w:t xml:space="preserve">; 87, 88 y 111 de la Ley Orgánica, 80 y 81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60D7B77A" w14:textId="77777777" w:rsidR="00B82123" w:rsidRPr="002E753C" w:rsidRDefault="00B82123" w:rsidP="00B82123">
      <w:pPr>
        <w:rPr>
          <w:rFonts w:ascii="Century Gothic" w:hAnsi="Century Gothic"/>
          <w:szCs w:val="24"/>
          <w:lang w:val="es-ES"/>
        </w:rPr>
      </w:pPr>
    </w:p>
    <w:p w14:paraId="4EA6AADF"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6AF607E6" w14:textId="77777777" w:rsidR="00B82123" w:rsidRPr="002E753C" w:rsidRDefault="00B82123" w:rsidP="00B82123">
      <w:pPr>
        <w:pStyle w:val="Normal1"/>
        <w:spacing w:line="360" w:lineRule="auto"/>
        <w:jc w:val="center"/>
        <w:rPr>
          <w:rFonts w:ascii="Century Gothic" w:hAnsi="Century Gothic" w:cs="Arial"/>
          <w:szCs w:val="24"/>
          <w:lang w:val="es-MX"/>
        </w:rPr>
      </w:pPr>
    </w:p>
    <w:p w14:paraId="7B99E90E" w14:textId="6D44F57E" w:rsidR="00B82123" w:rsidRPr="00B82123" w:rsidRDefault="00B82123" w:rsidP="00B82123">
      <w:pPr>
        <w:widowControl w:val="0"/>
        <w:autoSpaceDE w:val="0"/>
        <w:autoSpaceDN w:val="0"/>
        <w:adjustRightInd w:val="0"/>
        <w:spacing w:line="396" w:lineRule="auto"/>
        <w:ind w:right="99" w:firstLine="14"/>
        <w:jc w:val="both"/>
        <w:rPr>
          <w:rFonts w:ascii="Century Gothic" w:hAnsi="Century Gothic"/>
        </w:rPr>
      </w:pPr>
      <w:r w:rsidRPr="002E753C">
        <w:rPr>
          <w:rFonts w:ascii="Century Gothic" w:eastAsia="Arial" w:hAnsi="Century Gothic" w:cs="Arial"/>
          <w:b/>
          <w:szCs w:val="24"/>
        </w:rPr>
        <w:t xml:space="preserve">I.- </w:t>
      </w:r>
      <w:r w:rsidRPr="00761FE2">
        <w:rPr>
          <w:rFonts w:ascii="Century Gothic" w:eastAsia="Arial" w:hAnsi="Century Gothic" w:cs="Arial"/>
          <w:szCs w:val="24"/>
        </w:rPr>
        <w:t xml:space="preserve">Con fecha </w:t>
      </w:r>
      <w:r w:rsidR="00DB4DAC">
        <w:rPr>
          <w:rFonts w:ascii="Century Gothic" w:eastAsia="Arial" w:hAnsi="Century Gothic" w:cs="Arial"/>
          <w:szCs w:val="24"/>
        </w:rPr>
        <w:t>treinta y uno</w:t>
      </w:r>
      <w:r w:rsidR="00F12F3B">
        <w:rPr>
          <w:rFonts w:ascii="Century Gothic" w:eastAsia="Arial" w:hAnsi="Century Gothic" w:cs="Arial"/>
          <w:szCs w:val="24"/>
        </w:rPr>
        <w:t xml:space="preserve"> de mayo</w:t>
      </w:r>
      <w:r w:rsidR="00191C48">
        <w:rPr>
          <w:rFonts w:ascii="Century Gothic" w:eastAsia="Arial" w:hAnsi="Century Gothic" w:cs="Arial"/>
          <w:szCs w:val="24"/>
        </w:rPr>
        <w:t xml:space="preserve"> de dos mil veintidós</w:t>
      </w:r>
      <w:r w:rsidRPr="00761FE2">
        <w:rPr>
          <w:rFonts w:ascii="Century Gothic" w:eastAsia="Century Gothic" w:hAnsi="Century Gothic" w:cs="Century Gothic"/>
          <w:szCs w:val="24"/>
        </w:rPr>
        <w:t>,</w:t>
      </w:r>
      <w:r w:rsidRPr="00761FE2">
        <w:rPr>
          <w:rFonts w:ascii="Century Gothic" w:eastAsia="Arial" w:hAnsi="Century Gothic" w:cs="Arial"/>
          <w:szCs w:val="24"/>
        </w:rPr>
        <w:t xml:space="preserve"> fue presentada por </w:t>
      </w:r>
      <w:r w:rsidR="00A10167">
        <w:rPr>
          <w:rFonts w:ascii="Century Gothic" w:eastAsia="Arial" w:hAnsi="Century Gothic" w:cs="Arial"/>
          <w:szCs w:val="24"/>
        </w:rPr>
        <w:t>l</w:t>
      </w:r>
      <w:r w:rsidR="00191C48">
        <w:rPr>
          <w:rFonts w:ascii="Century Gothic" w:eastAsia="Arial" w:hAnsi="Century Gothic" w:cs="Arial"/>
          <w:szCs w:val="24"/>
        </w:rPr>
        <w:t>a</w:t>
      </w:r>
      <w:r w:rsidRPr="00761FE2">
        <w:rPr>
          <w:rFonts w:ascii="Century Gothic" w:eastAsia="Arial" w:hAnsi="Century Gothic" w:cs="Arial"/>
          <w:szCs w:val="24"/>
        </w:rPr>
        <w:t xml:space="preserve"> </w:t>
      </w:r>
      <w:r w:rsidRPr="00761FE2">
        <w:rPr>
          <w:rFonts w:ascii="Century Gothic" w:hAnsi="Century Gothic" w:cs="Century Gothic"/>
          <w:szCs w:val="24"/>
        </w:rPr>
        <w:t>D</w:t>
      </w:r>
      <w:r w:rsidRPr="00761FE2">
        <w:rPr>
          <w:rFonts w:ascii="Century Gothic" w:hAnsi="Century Gothic" w:cs="Century Gothic"/>
          <w:spacing w:val="1"/>
          <w:szCs w:val="24"/>
        </w:rPr>
        <w:t>ip</w:t>
      </w:r>
      <w:r w:rsidR="00191C48">
        <w:rPr>
          <w:rFonts w:ascii="Century Gothic" w:hAnsi="Century Gothic" w:cs="Century Gothic"/>
          <w:szCs w:val="24"/>
        </w:rPr>
        <w:t>utada</w:t>
      </w:r>
      <w:r w:rsidR="00191C48">
        <w:rPr>
          <w:rFonts w:ascii="Century Gothic" w:hAnsi="Century Gothic" w:cs="Century Gothic"/>
          <w:spacing w:val="3"/>
          <w:szCs w:val="24"/>
        </w:rPr>
        <w:t xml:space="preserve"> Ana Georgina Zapata Lucero</w:t>
      </w:r>
      <w:r w:rsidRPr="00761FE2">
        <w:rPr>
          <w:rFonts w:ascii="Century Gothic" w:hAnsi="Century Gothic"/>
          <w:b/>
          <w:szCs w:val="24"/>
        </w:rPr>
        <w:t xml:space="preserve">, </w:t>
      </w:r>
      <w:r w:rsidRPr="00761FE2">
        <w:rPr>
          <w:rFonts w:ascii="Century Gothic" w:hAnsi="Century Gothic"/>
          <w:szCs w:val="24"/>
        </w:rPr>
        <w:t>integrante del Grupo Parlamentario de</w:t>
      </w:r>
      <w:r>
        <w:rPr>
          <w:rFonts w:ascii="Century Gothic" w:hAnsi="Century Gothic"/>
          <w:szCs w:val="24"/>
        </w:rPr>
        <w:t xml:space="preserve">l Partido </w:t>
      </w:r>
      <w:r w:rsidR="00191C48">
        <w:rPr>
          <w:rFonts w:ascii="Century Gothic" w:hAnsi="Century Gothic"/>
          <w:szCs w:val="24"/>
        </w:rPr>
        <w:t>Revolucionario Institucional</w:t>
      </w:r>
      <w:r w:rsidRPr="00761FE2">
        <w:rPr>
          <w:rFonts w:ascii="Century Gothic" w:hAnsi="Century Gothic"/>
          <w:szCs w:val="24"/>
        </w:rPr>
        <w:t>,</w:t>
      </w:r>
      <w:r w:rsidR="00DB4DAC">
        <w:rPr>
          <w:rFonts w:ascii="Century Gothic" w:hAnsi="Century Gothic"/>
          <w:szCs w:val="24"/>
        </w:rPr>
        <w:t xml:space="preserve"> </w:t>
      </w:r>
      <w:r w:rsidRPr="00761FE2">
        <w:rPr>
          <w:rFonts w:ascii="Century Gothic" w:hAnsi="Century Gothic"/>
          <w:szCs w:val="24"/>
        </w:rPr>
        <w:t xml:space="preserve"> </w:t>
      </w:r>
      <w:r>
        <w:rPr>
          <w:rFonts w:ascii="Century Gothic" w:hAnsi="Century Gothic"/>
          <w:szCs w:val="24"/>
        </w:rPr>
        <w:t>de esta Sexagésima Séptima</w:t>
      </w:r>
      <w:r w:rsidRPr="00761FE2">
        <w:rPr>
          <w:rFonts w:ascii="Century Gothic" w:hAnsi="Century Gothic"/>
          <w:szCs w:val="24"/>
        </w:rPr>
        <w:t xml:space="preserve"> Legislatura del H. Congreso del Estado</w:t>
      </w:r>
      <w:r w:rsidRPr="00492714">
        <w:rPr>
          <w:rFonts w:ascii="Century Gothic" w:hAnsi="Century Gothic"/>
          <w:szCs w:val="24"/>
        </w:rPr>
        <w:t>,</w:t>
      </w:r>
      <w:r w:rsidRPr="00492714">
        <w:rPr>
          <w:rFonts w:ascii="Century Gothic" w:hAnsi="Century Gothic" w:cs="Arial"/>
          <w:szCs w:val="24"/>
        </w:rPr>
        <w:t xml:space="preserve"> </w:t>
      </w:r>
      <w:r w:rsidR="00A10167">
        <w:rPr>
          <w:rFonts w:ascii="Century Gothic" w:hAnsi="Century Gothic"/>
        </w:rPr>
        <w:t xml:space="preserve">Iniciativa con carácter </w:t>
      </w:r>
      <w:r w:rsidRPr="00957B88">
        <w:rPr>
          <w:rFonts w:ascii="Century Gothic" w:hAnsi="Century Gothic"/>
        </w:rPr>
        <w:t xml:space="preserve"> de </w:t>
      </w:r>
      <w:r w:rsidR="00191C48">
        <w:rPr>
          <w:rFonts w:ascii="Century Gothic" w:hAnsi="Century Gothic"/>
        </w:rPr>
        <w:t xml:space="preserve">punto de acuerdo, </w:t>
      </w:r>
      <w:r w:rsidR="00DB4DAC" w:rsidRPr="00DB4DAC">
        <w:rPr>
          <w:rFonts w:ascii="Century Gothic" w:hAnsi="Century Gothic"/>
        </w:rPr>
        <w:t xml:space="preserve">a fin de exhortar al Poder Ejecutivo Estatal, a la Secretaría de Relaciones Exteriores del Poder Ejecutivo Federal, así como al Ayuntamiento de Juárez, para que, en sus respectivas atribuciones, lleven a cabo las gestiones necesarias para desarrollar el proyecto binacional del cruce fronterizo </w:t>
      </w:r>
      <w:proofErr w:type="spellStart"/>
      <w:r w:rsidR="00DB4DAC" w:rsidRPr="00DB4DAC">
        <w:rPr>
          <w:rFonts w:ascii="Century Gothic" w:hAnsi="Century Gothic"/>
        </w:rPr>
        <w:t>Anapra</w:t>
      </w:r>
      <w:proofErr w:type="spellEnd"/>
      <w:r w:rsidR="00DB4DAC" w:rsidRPr="00DB4DAC">
        <w:rPr>
          <w:rFonts w:ascii="Century Gothic" w:hAnsi="Century Gothic"/>
        </w:rPr>
        <w:t>–</w:t>
      </w:r>
      <w:proofErr w:type="spellStart"/>
      <w:r w:rsidR="00DB4DAC" w:rsidRPr="00DB4DAC">
        <w:rPr>
          <w:rFonts w:ascii="Century Gothic" w:hAnsi="Century Gothic"/>
        </w:rPr>
        <w:t>Sunland</w:t>
      </w:r>
      <w:proofErr w:type="spellEnd"/>
      <w:r w:rsidR="00DB4DAC" w:rsidRPr="00DB4DAC">
        <w:rPr>
          <w:rFonts w:ascii="Century Gothic" w:hAnsi="Century Gothic"/>
        </w:rPr>
        <w:t xml:space="preserve"> Park.</w:t>
      </w:r>
      <w:r w:rsidR="00DB4DAC">
        <w:rPr>
          <w:rFonts w:ascii="Century Gothic" w:hAnsi="Century Gothic"/>
        </w:rPr>
        <w:t xml:space="preserve"> A esta Iniciativa se adhirieron los integrantes del Grupo Parlamentario del Partido Revolucionario Institucional.</w:t>
      </w:r>
    </w:p>
    <w:p w14:paraId="5A8EAA82" w14:textId="77777777" w:rsidR="00B82123" w:rsidRPr="0045717B" w:rsidRDefault="00B82123" w:rsidP="00B82123">
      <w:pPr>
        <w:widowControl w:val="0"/>
        <w:tabs>
          <w:tab w:val="left" w:pos="2080"/>
          <w:tab w:val="left" w:pos="2260"/>
          <w:tab w:val="left" w:pos="2760"/>
        </w:tabs>
        <w:autoSpaceDE w:val="0"/>
        <w:autoSpaceDN w:val="0"/>
        <w:adjustRightInd w:val="0"/>
        <w:spacing w:before="29" w:line="377" w:lineRule="auto"/>
        <w:ind w:right="91"/>
        <w:jc w:val="both"/>
        <w:rPr>
          <w:rFonts w:ascii="Century Gothic" w:hAnsi="Century Gothic" w:cs="Arial"/>
        </w:rPr>
      </w:pPr>
    </w:p>
    <w:p w14:paraId="2E3010C6" w14:textId="680584EF" w:rsidR="00B82123" w:rsidRPr="002E753C"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Pr="002E753C">
        <w:rPr>
          <w:rFonts w:ascii="Century Gothic" w:eastAsia="Arial" w:hAnsi="Century Gothic" w:cs="Arial"/>
          <w:szCs w:val="24"/>
          <w:lang w:val="es-MX"/>
        </w:rPr>
        <w:t xml:space="preserve">La Presidencia del H. Congreso del Estado, en uso de las facultades que le confiere el artículo 75, fracción XIII de la Ley Orgánica del Poder Legislativo, el día </w:t>
      </w:r>
      <w:r w:rsidR="00DB4DAC">
        <w:rPr>
          <w:rFonts w:ascii="Century Gothic" w:eastAsia="Arial" w:hAnsi="Century Gothic" w:cs="Arial"/>
          <w:szCs w:val="24"/>
          <w:lang w:val="es-MX"/>
        </w:rPr>
        <w:t>seis de junio</w:t>
      </w:r>
      <w:r w:rsidR="00767260">
        <w:rPr>
          <w:rFonts w:ascii="Century Gothic" w:eastAsia="Arial" w:hAnsi="Century Gothic" w:cs="Arial"/>
          <w:szCs w:val="24"/>
          <w:lang w:val="es-MX"/>
        </w:rPr>
        <w:t xml:space="preserve"> de dos mil veintidós,</w:t>
      </w:r>
      <w:r w:rsidRPr="002E753C">
        <w:rPr>
          <w:rFonts w:ascii="Century Gothic" w:eastAsia="Arial" w:hAnsi="Century Gothic" w:cs="Arial"/>
          <w:szCs w:val="24"/>
          <w:lang w:val="es-MX"/>
        </w:rPr>
        <w:t xml:space="preserve"> tuvo a bien turnar a </w:t>
      </w:r>
      <w:r>
        <w:rPr>
          <w:rFonts w:ascii="Century Gothic" w:eastAsia="Arial" w:hAnsi="Century Gothic" w:cs="Arial"/>
          <w:szCs w:val="24"/>
          <w:lang w:val="es-MX"/>
        </w:rPr>
        <w:t>la</w:t>
      </w:r>
      <w:r w:rsidRPr="002E753C">
        <w:rPr>
          <w:rFonts w:ascii="Century Gothic" w:eastAsia="Arial" w:hAnsi="Century Gothic" w:cs="Arial"/>
          <w:szCs w:val="24"/>
          <w:lang w:val="es-MX"/>
        </w:rPr>
        <w:t>s</w:t>
      </w:r>
      <w:r w:rsidR="00A10167">
        <w:rPr>
          <w:rFonts w:ascii="Century Gothic" w:eastAsia="Arial" w:hAnsi="Century Gothic" w:cs="Arial"/>
          <w:szCs w:val="24"/>
          <w:lang w:val="es-MX"/>
        </w:rPr>
        <w:t xml:space="preserve"> </w:t>
      </w:r>
      <w:r w:rsidRPr="002E753C">
        <w:rPr>
          <w:rFonts w:ascii="Century Gothic" w:eastAsia="Arial" w:hAnsi="Century Gothic" w:cs="Arial"/>
          <w:szCs w:val="24"/>
          <w:lang w:val="es-MX"/>
        </w:rPr>
        <w:t>integrantes de la Comisi</w:t>
      </w:r>
      <w:r w:rsidR="00767260">
        <w:rPr>
          <w:rFonts w:ascii="Century Gothic" w:eastAsia="Arial" w:hAnsi="Century Gothic" w:cs="Arial"/>
          <w:szCs w:val="24"/>
          <w:lang w:val="es-MX"/>
        </w:rPr>
        <w:t>ó</w:t>
      </w:r>
      <w:r w:rsidRPr="002E753C">
        <w:rPr>
          <w:rFonts w:ascii="Century Gothic" w:eastAsia="Arial" w:hAnsi="Century Gothic" w:cs="Arial"/>
          <w:szCs w:val="24"/>
          <w:lang w:val="es-MX"/>
        </w:rPr>
        <w:t>n</w:t>
      </w:r>
      <w:r w:rsidR="00767260">
        <w:rPr>
          <w:rFonts w:ascii="Century Gothic" w:eastAsia="Arial" w:hAnsi="Century Gothic" w:cs="Arial"/>
          <w:szCs w:val="24"/>
          <w:lang w:val="es-MX"/>
        </w:rPr>
        <w:t xml:space="preserve"> de Asuntos Fronterizos y Atención a Migrantes, </w:t>
      </w:r>
      <w:r w:rsidRPr="002E753C">
        <w:rPr>
          <w:rFonts w:ascii="Century Gothic" w:eastAsia="Arial" w:hAnsi="Century Gothic" w:cs="Arial"/>
          <w:szCs w:val="24"/>
          <w:lang w:val="es-MX"/>
        </w:rPr>
        <w:t>la Iniciativa de mérito, a efecto de proceder a su estudio, análisis y elaboración del correspondiente dictamen.</w:t>
      </w:r>
    </w:p>
    <w:p w14:paraId="050043B7" w14:textId="77777777" w:rsidR="00B82123" w:rsidRPr="002E753C" w:rsidRDefault="00B82123" w:rsidP="00B82123">
      <w:pPr>
        <w:pStyle w:val="Normal1"/>
        <w:spacing w:line="360" w:lineRule="auto"/>
        <w:jc w:val="both"/>
        <w:rPr>
          <w:rFonts w:ascii="Century Gothic" w:hAnsi="Century Gothic" w:cs="Arial"/>
          <w:szCs w:val="24"/>
          <w:lang w:val="es-MX"/>
        </w:rPr>
      </w:pPr>
    </w:p>
    <w:p w14:paraId="76327767" w14:textId="77777777" w:rsidR="00B82123" w:rsidRDefault="00B82123" w:rsidP="00B82123">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Pr="002E753C">
        <w:rPr>
          <w:rFonts w:ascii="Century Gothic" w:eastAsia="Arial" w:hAnsi="Century Gothic" w:cs="Arial"/>
          <w:szCs w:val="24"/>
          <w:lang w:val="es-MX"/>
        </w:rPr>
        <w:t>La exposición de motivos que sustenta la</w:t>
      </w:r>
      <w:r>
        <w:rPr>
          <w:rFonts w:ascii="Century Gothic" w:eastAsia="Arial" w:hAnsi="Century Gothic" w:cs="Arial"/>
          <w:szCs w:val="24"/>
          <w:lang w:val="es-MX"/>
        </w:rPr>
        <w:t xml:space="preserve"> i</w:t>
      </w:r>
      <w:r w:rsidRPr="002E753C">
        <w:rPr>
          <w:rFonts w:ascii="Century Gothic" w:eastAsia="Arial" w:hAnsi="Century Gothic" w:cs="Arial"/>
          <w:szCs w:val="24"/>
          <w:lang w:val="es-MX"/>
        </w:rPr>
        <w:t>niciativa en comento es la siguiente:</w:t>
      </w:r>
    </w:p>
    <w:p w14:paraId="091BA5E7" w14:textId="77777777" w:rsidR="00B82123" w:rsidRDefault="00B82123" w:rsidP="00B82123">
      <w:pPr>
        <w:pStyle w:val="Normal1"/>
        <w:spacing w:line="360" w:lineRule="auto"/>
        <w:jc w:val="both"/>
        <w:rPr>
          <w:rFonts w:ascii="Century Gothic" w:hAnsi="Century Gothic" w:cs="Arial"/>
        </w:rPr>
      </w:pPr>
    </w:p>
    <w:p w14:paraId="06085300"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El traslado de los ciudadanos a través de las fronteras de nuestro país es uno de los motores que han impulsado las ciudades que las albergan, siendo la más importante en nuestro estado la que se encuentra en Ciudad Juárez.</w:t>
      </w:r>
    </w:p>
    <w:p w14:paraId="0864D862" w14:textId="77777777" w:rsidR="00DB4DAC" w:rsidRPr="00DB4DAC" w:rsidRDefault="00DB4DAC" w:rsidP="00DB4DAC">
      <w:pPr>
        <w:pStyle w:val="Normal1"/>
        <w:spacing w:line="360" w:lineRule="auto"/>
        <w:ind w:left="567" w:right="567"/>
        <w:jc w:val="both"/>
        <w:rPr>
          <w:rFonts w:ascii="Century Gothic" w:hAnsi="Century Gothic" w:cs="Arial"/>
          <w:i/>
        </w:rPr>
      </w:pPr>
    </w:p>
    <w:p w14:paraId="1FCDCF9E"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Algunos datos importantes acerca de los cruces fronterizos:</w:t>
      </w:r>
    </w:p>
    <w:p w14:paraId="35A293BA" w14:textId="77777777" w:rsidR="00DB4DAC" w:rsidRPr="00DB4DAC" w:rsidRDefault="00DB4DAC" w:rsidP="00DB4DAC">
      <w:pPr>
        <w:pStyle w:val="Normal1"/>
        <w:spacing w:line="360" w:lineRule="auto"/>
        <w:ind w:left="567" w:right="567"/>
        <w:jc w:val="both"/>
        <w:rPr>
          <w:rFonts w:ascii="Century Gothic" w:hAnsi="Century Gothic" w:cs="Arial"/>
          <w:i/>
        </w:rPr>
      </w:pPr>
    </w:p>
    <w:p w14:paraId="390A0A4E"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w:t>
      </w:r>
      <w:r w:rsidRPr="00DB4DAC">
        <w:rPr>
          <w:rFonts w:ascii="Century Gothic" w:hAnsi="Century Gothic" w:cs="Arial"/>
          <w:i/>
        </w:rPr>
        <w:tab/>
        <w:t xml:space="preserve">México es el principal lugar de residencia con el 60,3% de los usuarios de los cruces internacionales y los residentes de EE.UU. representan el 39,7% restante. </w:t>
      </w:r>
    </w:p>
    <w:p w14:paraId="513A33F7" w14:textId="77777777" w:rsidR="00DB4DAC" w:rsidRPr="00DB4DAC" w:rsidRDefault="00DB4DAC" w:rsidP="00DB4DAC">
      <w:pPr>
        <w:pStyle w:val="Normal1"/>
        <w:spacing w:line="360" w:lineRule="auto"/>
        <w:ind w:left="567" w:right="567"/>
        <w:jc w:val="both"/>
        <w:rPr>
          <w:rFonts w:ascii="Century Gothic" w:hAnsi="Century Gothic" w:cs="Arial"/>
          <w:i/>
        </w:rPr>
      </w:pPr>
    </w:p>
    <w:p w14:paraId="40E87E92"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lastRenderedPageBreak/>
        <w:t>•</w:t>
      </w:r>
      <w:r w:rsidRPr="00DB4DAC">
        <w:rPr>
          <w:rFonts w:ascii="Century Gothic" w:hAnsi="Century Gothic" w:cs="Arial"/>
          <w:i/>
        </w:rPr>
        <w:tab/>
        <w:t xml:space="preserve">Las principales razones de los usuarios de cruces internacionales residentes en México para cruzar la frontera son; compras (40,7%), seguidas de las actividades sociales (25,4%), trabajo (20%) y actividades relacionadas con la escuela (5,5%). </w:t>
      </w:r>
    </w:p>
    <w:p w14:paraId="324C79D6" w14:textId="77777777" w:rsidR="00DB4DAC" w:rsidRPr="00DB4DAC" w:rsidRDefault="00DB4DAC" w:rsidP="00DB4DAC">
      <w:pPr>
        <w:pStyle w:val="Normal1"/>
        <w:spacing w:line="360" w:lineRule="auto"/>
        <w:ind w:left="567" w:right="567"/>
        <w:jc w:val="both"/>
        <w:rPr>
          <w:rFonts w:ascii="Century Gothic" w:hAnsi="Century Gothic" w:cs="Arial"/>
          <w:i/>
        </w:rPr>
      </w:pPr>
    </w:p>
    <w:p w14:paraId="3AEAD591"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w:t>
      </w:r>
      <w:r w:rsidRPr="00DB4DAC">
        <w:rPr>
          <w:rFonts w:ascii="Century Gothic" w:hAnsi="Century Gothic" w:cs="Arial"/>
          <w:i/>
        </w:rPr>
        <w:tab/>
        <w:t xml:space="preserve">Los usuarios de puentes internacionales residentes de EE.UU. que cruzan a México, lo hacen por las siguientes razones; sociales (55,7%), compras (14,9%), actividades relacionadas con actividades del trabajo (9%), visitas médicas (8,1%) y para comer o beber (4,7%). </w:t>
      </w:r>
    </w:p>
    <w:p w14:paraId="5E0FF8CF" w14:textId="77777777" w:rsidR="00DB4DAC" w:rsidRPr="00DB4DAC" w:rsidRDefault="00DB4DAC" w:rsidP="00DB4DAC">
      <w:pPr>
        <w:pStyle w:val="Normal1"/>
        <w:spacing w:line="360" w:lineRule="auto"/>
        <w:ind w:left="567" w:right="567"/>
        <w:jc w:val="both"/>
        <w:rPr>
          <w:rFonts w:ascii="Century Gothic" w:hAnsi="Century Gothic" w:cs="Arial"/>
          <w:i/>
        </w:rPr>
      </w:pPr>
    </w:p>
    <w:p w14:paraId="25C914F0"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w:t>
      </w:r>
      <w:r w:rsidRPr="00DB4DAC">
        <w:rPr>
          <w:rFonts w:ascii="Century Gothic" w:hAnsi="Century Gothic" w:cs="Arial"/>
          <w:i/>
        </w:rPr>
        <w:tab/>
        <w:t xml:space="preserve">Entre los usuarios de cruces internacionales residentes en México, las visitas sociales están directamente correlacionadas con la edad (cuanto mayor es el grupo de edad, mayor proporción de visitas sociales) y la asistencia a la escuela, está indirectamente correlacionada con la edad; por su parte, las personas mayores de 30 años son más propensos a cruzar para ir de compras. </w:t>
      </w:r>
    </w:p>
    <w:p w14:paraId="2E34F8B4" w14:textId="77777777" w:rsidR="00DB4DAC" w:rsidRPr="00DB4DAC" w:rsidRDefault="00DB4DAC" w:rsidP="00DB4DAC">
      <w:pPr>
        <w:pStyle w:val="Normal1"/>
        <w:spacing w:line="360" w:lineRule="auto"/>
        <w:ind w:left="567" w:right="567"/>
        <w:jc w:val="both"/>
        <w:rPr>
          <w:rFonts w:ascii="Century Gothic" w:hAnsi="Century Gothic" w:cs="Arial"/>
          <w:i/>
        </w:rPr>
      </w:pPr>
    </w:p>
    <w:p w14:paraId="4135F01A"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w:t>
      </w:r>
      <w:r w:rsidRPr="00DB4DAC">
        <w:rPr>
          <w:rFonts w:ascii="Century Gothic" w:hAnsi="Century Gothic" w:cs="Arial"/>
          <w:i/>
        </w:rPr>
        <w:tab/>
        <w:t xml:space="preserve">De los usuarios de cruces internacionales residentes de México que cruzan a El Paso, para realizar comprar-casi cuatro de cada cinco visitas de compras (78%) están ligadas a un establecimiento de venta al menudeo, mientras que el resto de los residentes en México, una de cada cinco visitas, están relacionadas con la compra de un servicio. Los principales tipos de tiendas de venta al menudeo incluyen: </w:t>
      </w:r>
    </w:p>
    <w:p w14:paraId="4D48DFB3"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lastRenderedPageBreak/>
        <w:t>o</w:t>
      </w:r>
      <w:r w:rsidRPr="00DB4DAC">
        <w:rPr>
          <w:rFonts w:ascii="Century Gothic" w:hAnsi="Century Gothic" w:cs="Arial"/>
          <w:i/>
        </w:rPr>
        <w:tab/>
        <w:t>ropa y accesorios (26,3% del total de visitas / gasto medio de 150 dólares);</w:t>
      </w:r>
    </w:p>
    <w:p w14:paraId="7FBAB016"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o</w:t>
      </w:r>
      <w:r w:rsidRPr="00DB4DAC">
        <w:rPr>
          <w:rFonts w:ascii="Century Gothic" w:hAnsi="Century Gothic" w:cs="Arial"/>
          <w:i/>
        </w:rPr>
        <w:tab/>
        <w:t xml:space="preserve">alimentos y bebidas (17.6% / $72); </w:t>
      </w:r>
    </w:p>
    <w:p w14:paraId="380248EF"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o</w:t>
      </w:r>
      <w:r w:rsidRPr="00DB4DAC">
        <w:rPr>
          <w:rFonts w:ascii="Century Gothic" w:hAnsi="Century Gothic" w:cs="Arial"/>
          <w:i/>
        </w:rPr>
        <w:tab/>
        <w:t xml:space="preserve">mercadería general (14.4% / $158); y </w:t>
      </w:r>
    </w:p>
    <w:p w14:paraId="4AB4C5ED"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o</w:t>
      </w:r>
      <w:r w:rsidRPr="00DB4DAC">
        <w:rPr>
          <w:rFonts w:ascii="Century Gothic" w:hAnsi="Century Gothic" w:cs="Arial"/>
          <w:i/>
        </w:rPr>
        <w:tab/>
        <w:t>estaciones de gasolina (9,6% / $36).</w:t>
      </w:r>
    </w:p>
    <w:p w14:paraId="1419EB6B" w14:textId="77777777" w:rsidR="00DB4DAC" w:rsidRPr="00DB4DAC" w:rsidRDefault="00DB4DAC" w:rsidP="00DB4DAC">
      <w:pPr>
        <w:pStyle w:val="Normal1"/>
        <w:spacing w:line="360" w:lineRule="auto"/>
        <w:ind w:left="567" w:right="567"/>
        <w:jc w:val="both"/>
        <w:rPr>
          <w:rFonts w:ascii="Century Gothic" w:hAnsi="Century Gothic" w:cs="Arial"/>
          <w:i/>
        </w:rPr>
      </w:pPr>
    </w:p>
    <w:p w14:paraId="416924F0"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w:t>
      </w:r>
      <w:r w:rsidRPr="00DB4DAC">
        <w:rPr>
          <w:rFonts w:ascii="Century Gothic" w:hAnsi="Century Gothic" w:cs="Arial"/>
          <w:i/>
        </w:rPr>
        <w:tab/>
        <w:t xml:space="preserve">De los usuarios de cruces internacionales residentes en EE.UU. que realizan compras en Ciudad Juárez dividen su gasto entre el comercio minorista (53%) y servicios (47%); los principales tipos de tiendas de venta al por menor en los que gastan incluyen: </w:t>
      </w:r>
    </w:p>
    <w:p w14:paraId="79BAE672" w14:textId="48DFAAAD" w:rsidR="00DB4DAC" w:rsidRPr="00DB4DAC" w:rsidRDefault="00DB4DAC" w:rsidP="00C4457E">
      <w:pPr>
        <w:pStyle w:val="Normal1"/>
        <w:numPr>
          <w:ilvl w:val="0"/>
          <w:numId w:val="2"/>
        </w:numPr>
        <w:spacing w:line="360" w:lineRule="auto"/>
        <w:ind w:right="567"/>
        <w:jc w:val="both"/>
        <w:rPr>
          <w:rFonts w:ascii="Century Gothic" w:hAnsi="Century Gothic" w:cs="Arial"/>
          <w:i/>
        </w:rPr>
      </w:pPr>
      <w:r w:rsidRPr="00DB4DAC">
        <w:rPr>
          <w:rFonts w:ascii="Century Gothic" w:hAnsi="Century Gothic" w:cs="Arial"/>
          <w:i/>
        </w:rPr>
        <w:t xml:space="preserve">comida y bebidas (31,6% del total de visitas / gasto medio de 86 dólares); </w:t>
      </w:r>
    </w:p>
    <w:p w14:paraId="1227ACC3" w14:textId="47A39127" w:rsidR="00DB4DAC" w:rsidRPr="00DB4DAC" w:rsidRDefault="00DB4DAC" w:rsidP="00C4457E">
      <w:pPr>
        <w:pStyle w:val="Normal1"/>
        <w:numPr>
          <w:ilvl w:val="0"/>
          <w:numId w:val="2"/>
        </w:numPr>
        <w:spacing w:line="360" w:lineRule="auto"/>
        <w:ind w:right="567"/>
        <w:jc w:val="both"/>
        <w:rPr>
          <w:rFonts w:ascii="Century Gothic" w:hAnsi="Century Gothic" w:cs="Arial"/>
          <w:i/>
        </w:rPr>
      </w:pPr>
      <w:r w:rsidRPr="00DB4DAC">
        <w:rPr>
          <w:rFonts w:ascii="Century Gothic" w:hAnsi="Century Gothic" w:cs="Arial"/>
          <w:i/>
        </w:rPr>
        <w:t xml:space="preserve">salud y cuidado personal (8.5% / $177); </w:t>
      </w:r>
    </w:p>
    <w:p w14:paraId="171B665F" w14:textId="69046AFE" w:rsidR="00DB4DAC" w:rsidRPr="00DB4DAC" w:rsidRDefault="00DB4DAC" w:rsidP="00C4457E">
      <w:pPr>
        <w:pStyle w:val="Normal1"/>
        <w:numPr>
          <w:ilvl w:val="0"/>
          <w:numId w:val="2"/>
        </w:numPr>
        <w:spacing w:line="360" w:lineRule="auto"/>
        <w:ind w:right="567"/>
        <w:jc w:val="both"/>
        <w:rPr>
          <w:rFonts w:ascii="Century Gothic" w:hAnsi="Century Gothic" w:cs="Arial"/>
          <w:i/>
        </w:rPr>
      </w:pPr>
      <w:r w:rsidRPr="00DB4DAC">
        <w:rPr>
          <w:rFonts w:ascii="Century Gothic" w:hAnsi="Century Gothic" w:cs="Arial"/>
          <w:i/>
        </w:rPr>
        <w:t xml:space="preserve">mercancía general (4,5% / $277) </w:t>
      </w:r>
    </w:p>
    <w:p w14:paraId="11330077" w14:textId="77777777" w:rsidR="00DB4DAC" w:rsidRPr="00DB4DAC" w:rsidRDefault="00DB4DAC" w:rsidP="00DB4DAC">
      <w:pPr>
        <w:pStyle w:val="Normal1"/>
        <w:spacing w:line="360" w:lineRule="auto"/>
        <w:ind w:left="567" w:right="567"/>
        <w:jc w:val="both"/>
        <w:rPr>
          <w:rFonts w:ascii="Century Gothic" w:hAnsi="Century Gothic" w:cs="Arial"/>
          <w:i/>
        </w:rPr>
      </w:pPr>
    </w:p>
    <w:p w14:paraId="6CA58050"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w:t>
      </w:r>
      <w:r w:rsidRPr="00DB4DAC">
        <w:rPr>
          <w:rFonts w:ascii="Century Gothic" w:hAnsi="Century Gothic" w:cs="Arial"/>
          <w:i/>
        </w:rPr>
        <w:tab/>
        <w:t xml:space="preserve">La gran mayoría de las personas (65,8%) que cruzan – tanto en dirección norte como en dirección sur de visita – permanecen en el otro lado de la frontera entre dos y nueve horas.  La mayoría de las pernoctaciones son con la familia, mientras que solo el 6% en ambas direcciones se alojan en hoteles. </w:t>
      </w:r>
    </w:p>
    <w:p w14:paraId="243867EA" w14:textId="77777777" w:rsidR="00DB4DAC" w:rsidRPr="00DB4DAC" w:rsidRDefault="00DB4DAC" w:rsidP="00DB4DAC">
      <w:pPr>
        <w:pStyle w:val="Normal1"/>
        <w:spacing w:line="360" w:lineRule="auto"/>
        <w:ind w:left="567" w:right="567"/>
        <w:jc w:val="both"/>
        <w:rPr>
          <w:rFonts w:ascii="Century Gothic" w:hAnsi="Century Gothic" w:cs="Arial"/>
          <w:i/>
        </w:rPr>
      </w:pPr>
    </w:p>
    <w:p w14:paraId="22F73063"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 xml:space="preserve">Estos datos nos permiten vislumbrar la realidad y la amalgama entre las ciudades fronterizas, Ciudad Juárez y El Paso. Ahora bien, del lado </w:t>
      </w:r>
      <w:r w:rsidRPr="00DB4DAC">
        <w:rPr>
          <w:rFonts w:ascii="Century Gothic" w:hAnsi="Century Gothic" w:cs="Arial"/>
          <w:i/>
        </w:rPr>
        <w:lastRenderedPageBreak/>
        <w:t xml:space="preserve">norte de la frontera nos encontramos con una peculiaridad, que justo El Paso se encuentra en la línea divisoria entre Texas y Nuevo México, por lo que parte de su territorio se encuentra dentro de la municipalidad de </w:t>
      </w:r>
      <w:proofErr w:type="spellStart"/>
      <w:r w:rsidRPr="00DB4DAC">
        <w:rPr>
          <w:rFonts w:ascii="Century Gothic" w:hAnsi="Century Gothic" w:cs="Arial"/>
          <w:i/>
        </w:rPr>
        <w:t>Sunland</w:t>
      </w:r>
      <w:proofErr w:type="spellEnd"/>
      <w:r w:rsidRPr="00DB4DAC">
        <w:rPr>
          <w:rFonts w:ascii="Century Gothic" w:hAnsi="Century Gothic" w:cs="Arial"/>
          <w:i/>
        </w:rPr>
        <w:t xml:space="preserve"> Park, perteneciente al estado de Nuevo México. </w:t>
      </w:r>
    </w:p>
    <w:p w14:paraId="0007F82C" w14:textId="77777777" w:rsidR="00DB4DAC" w:rsidRPr="00DB4DAC" w:rsidRDefault="00DB4DAC" w:rsidP="00DB4DAC">
      <w:pPr>
        <w:pStyle w:val="Normal1"/>
        <w:spacing w:line="360" w:lineRule="auto"/>
        <w:ind w:left="567" w:right="567"/>
        <w:jc w:val="both"/>
        <w:rPr>
          <w:rFonts w:ascii="Century Gothic" w:hAnsi="Century Gothic" w:cs="Arial"/>
          <w:i/>
        </w:rPr>
      </w:pPr>
    </w:p>
    <w:p w14:paraId="4CC857EC"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 xml:space="preserve">El alcalde de </w:t>
      </w:r>
      <w:proofErr w:type="spellStart"/>
      <w:r w:rsidRPr="00DB4DAC">
        <w:rPr>
          <w:rFonts w:ascii="Century Gothic" w:hAnsi="Century Gothic" w:cs="Arial"/>
          <w:i/>
        </w:rPr>
        <w:t>Sunland</w:t>
      </w:r>
      <w:proofErr w:type="spellEnd"/>
      <w:r w:rsidRPr="00DB4DAC">
        <w:rPr>
          <w:rFonts w:ascii="Century Gothic" w:hAnsi="Century Gothic" w:cs="Arial"/>
          <w:i/>
        </w:rPr>
        <w:t xml:space="preserve"> Park, Javier Perea, ha sido el principal gestor para incentivar el desarrollo de su municipalidad y entre los proyectos que mayor impulso pudieran brindar a la misma, se encuentra el nuevo cruce fronterizo entre </w:t>
      </w:r>
      <w:proofErr w:type="spellStart"/>
      <w:r w:rsidRPr="00DB4DAC">
        <w:rPr>
          <w:rFonts w:ascii="Century Gothic" w:hAnsi="Century Gothic" w:cs="Arial"/>
          <w:i/>
        </w:rPr>
        <w:t>Sunland</w:t>
      </w:r>
      <w:proofErr w:type="spellEnd"/>
      <w:r w:rsidRPr="00DB4DAC">
        <w:rPr>
          <w:rFonts w:ascii="Century Gothic" w:hAnsi="Century Gothic" w:cs="Arial"/>
          <w:i/>
        </w:rPr>
        <w:t xml:space="preserve"> Park y Ciudad Juárez, particularmente en la Colonia </w:t>
      </w:r>
      <w:proofErr w:type="spellStart"/>
      <w:r w:rsidRPr="00DB4DAC">
        <w:rPr>
          <w:rFonts w:ascii="Century Gothic" w:hAnsi="Century Gothic" w:cs="Arial"/>
          <w:i/>
        </w:rPr>
        <w:t>Anapra</w:t>
      </w:r>
      <w:proofErr w:type="spellEnd"/>
      <w:r w:rsidRPr="00DB4DAC">
        <w:rPr>
          <w:rFonts w:ascii="Century Gothic" w:hAnsi="Century Gothic" w:cs="Arial"/>
          <w:i/>
        </w:rPr>
        <w:t xml:space="preserve">. </w:t>
      </w:r>
    </w:p>
    <w:p w14:paraId="3CE1CB75" w14:textId="77777777" w:rsidR="00DB4DAC" w:rsidRPr="00DB4DAC" w:rsidRDefault="00DB4DAC" w:rsidP="00DB4DAC">
      <w:pPr>
        <w:pStyle w:val="Normal1"/>
        <w:spacing w:line="360" w:lineRule="auto"/>
        <w:ind w:left="567" w:right="567"/>
        <w:jc w:val="both"/>
        <w:rPr>
          <w:rFonts w:ascii="Century Gothic" w:hAnsi="Century Gothic" w:cs="Arial"/>
          <w:i/>
        </w:rPr>
      </w:pPr>
    </w:p>
    <w:p w14:paraId="3D471CFF" w14:textId="77777777" w:rsidR="00DB4DAC" w:rsidRPr="00DB4DAC" w:rsidRDefault="00DB4DAC" w:rsidP="00DB4DAC">
      <w:pPr>
        <w:pStyle w:val="Normal1"/>
        <w:spacing w:line="360" w:lineRule="auto"/>
        <w:ind w:left="567" w:right="567"/>
        <w:jc w:val="both"/>
        <w:rPr>
          <w:rFonts w:ascii="Century Gothic" w:hAnsi="Century Gothic" w:cs="Arial"/>
          <w:i/>
        </w:rPr>
      </w:pPr>
      <w:proofErr w:type="spellStart"/>
      <w:r w:rsidRPr="00DB4DAC">
        <w:rPr>
          <w:rFonts w:ascii="Century Gothic" w:hAnsi="Century Gothic" w:cs="Arial"/>
          <w:i/>
        </w:rPr>
        <w:t>Anapra</w:t>
      </w:r>
      <w:proofErr w:type="spellEnd"/>
      <w:r w:rsidRPr="00DB4DAC">
        <w:rPr>
          <w:rFonts w:ascii="Century Gothic" w:hAnsi="Century Gothic" w:cs="Arial"/>
          <w:i/>
        </w:rPr>
        <w:t xml:space="preserve"> históricamente ha sido una de las áreas de oportunidad del municipio de Juárez, por ello la búsqueda de mayor desarrollo de ambos lados de la frontera, tanto en </w:t>
      </w:r>
      <w:proofErr w:type="spellStart"/>
      <w:r w:rsidRPr="00DB4DAC">
        <w:rPr>
          <w:rFonts w:ascii="Century Gothic" w:hAnsi="Century Gothic" w:cs="Arial"/>
          <w:i/>
        </w:rPr>
        <w:t>Sunland</w:t>
      </w:r>
      <w:proofErr w:type="spellEnd"/>
      <w:r w:rsidRPr="00DB4DAC">
        <w:rPr>
          <w:rFonts w:ascii="Century Gothic" w:hAnsi="Century Gothic" w:cs="Arial"/>
          <w:i/>
        </w:rPr>
        <w:t xml:space="preserve"> Park como en </w:t>
      </w:r>
      <w:proofErr w:type="spellStart"/>
      <w:r w:rsidRPr="00DB4DAC">
        <w:rPr>
          <w:rFonts w:ascii="Century Gothic" w:hAnsi="Century Gothic" w:cs="Arial"/>
          <w:i/>
        </w:rPr>
        <w:t>Anapra</w:t>
      </w:r>
      <w:proofErr w:type="spellEnd"/>
      <w:r w:rsidRPr="00DB4DAC">
        <w:rPr>
          <w:rFonts w:ascii="Century Gothic" w:hAnsi="Century Gothic" w:cs="Arial"/>
          <w:i/>
        </w:rPr>
        <w:t>, une las intenciones de ambos países para generar un método para impulsar la obra y mejores condiciones. Es con esta intención que nace la propuesta por parte del alcalde Perea de gestionar un nuevo cruce fronterizo, ubicado a la altura de las zonas previamente mencionadas, mismo que coadyuvaría al desarrollo de las mismas y generaría un impulso para la frontera en su totalidad.</w:t>
      </w:r>
    </w:p>
    <w:p w14:paraId="6C304624" w14:textId="77777777" w:rsidR="00DB4DAC" w:rsidRPr="00DB4DAC" w:rsidRDefault="00DB4DAC" w:rsidP="00DB4DAC">
      <w:pPr>
        <w:pStyle w:val="Normal1"/>
        <w:spacing w:line="360" w:lineRule="auto"/>
        <w:ind w:left="567" w:right="567"/>
        <w:jc w:val="both"/>
        <w:rPr>
          <w:rFonts w:ascii="Century Gothic" w:hAnsi="Century Gothic" w:cs="Arial"/>
          <w:i/>
        </w:rPr>
      </w:pPr>
    </w:p>
    <w:p w14:paraId="12FFB550"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lastRenderedPageBreak/>
        <w:t>El proyecto ya ha sido comentado en varios espacios. Como se comentó previamente, el alcalde tuvo a bien reunirse con la oficina de una servidora en previas fechas, así como con el alcalde de Ciudad Juárez, buscando el impulso del proyecto por parte del lado mexicano. Así mismo, también se llevó a cabo una reunión en San Antonio, Texas en la cual estuvo personal de la Cancillería mexicana.</w:t>
      </w:r>
    </w:p>
    <w:p w14:paraId="76DB76A1" w14:textId="77777777" w:rsidR="00DB4DAC" w:rsidRPr="00DB4DAC" w:rsidRDefault="00DB4DAC" w:rsidP="00DB4DAC">
      <w:pPr>
        <w:pStyle w:val="Normal1"/>
        <w:spacing w:line="360" w:lineRule="auto"/>
        <w:ind w:left="567" w:right="567"/>
        <w:jc w:val="both"/>
        <w:rPr>
          <w:rFonts w:ascii="Century Gothic" w:hAnsi="Century Gothic" w:cs="Arial"/>
          <w:i/>
        </w:rPr>
      </w:pPr>
    </w:p>
    <w:p w14:paraId="5C630402" w14:textId="77777777"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 xml:space="preserve">Los funcionarios del ayuntamiento de </w:t>
      </w:r>
      <w:proofErr w:type="spellStart"/>
      <w:r w:rsidRPr="00DB4DAC">
        <w:rPr>
          <w:rFonts w:ascii="Century Gothic" w:hAnsi="Century Gothic" w:cs="Arial"/>
          <w:i/>
        </w:rPr>
        <w:t>Sunland</w:t>
      </w:r>
      <w:proofErr w:type="spellEnd"/>
      <w:r w:rsidRPr="00DB4DAC">
        <w:rPr>
          <w:rFonts w:ascii="Century Gothic" w:hAnsi="Century Gothic" w:cs="Arial"/>
          <w:i/>
        </w:rPr>
        <w:t xml:space="preserve"> Park han elaborado los estudios necesarios de sustentabilidad del proyecto, así como los estimados económicos del mismo. Dicho cruce fronterizo abonaría a la dinámica de la ya tan saturada frontera, actuando como una válvula de escape para los puentes que actualmente operan a marchas forzadas. Así mismo, sabemos que cuando se llevan a cabo este tipo de infraestructura fronteriza, es indudable que se acompaña por un incremento de actividad económica en la zona, por lo que ambos lados de la frontera resultarían beneficiados.</w:t>
      </w:r>
    </w:p>
    <w:p w14:paraId="5D9DB4F0" w14:textId="77777777" w:rsidR="00DB4DAC" w:rsidRPr="00DB4DAC" w:rsidRDefault="00DB4DAC" w:rsidP="00DB4DAC">
      <w:pPr>
        <w:pStyle w:val="Normal1"/>
        <w:spacing w:line="360" w:lineRule="auto"/>
        <w:ind w:left="567" w:right="567"/>
        <w:jc w:val="both"/>
        <w:rPr>
          <w:rFonts w:ascii="Century Gothic" w:hAnsi="Century Gothic" w:cs="Arial"/>
          <w:i/>
        </w:rPr>
      </w:pPr>
    </w:p>
    <w:p w14:paraId="36C9A33C" w14:textId="063350D4" w:rsidR="00DB4DAC" w:rsidRPr="00DB4DAC" w:rsidRDefault="00DB4DAC" w:rsidP="00DB4DAC">
      <w:pPr>
        <w:pStyle w:val="Normal1"/>
        <w:spacing w:line="360" w:lineRule="auto"/>
        <w:ind w:left="567" w:right="567"/>
        <w:jc w:val="both"/>
        <w:rPr>
          <w:rFonts w:ascii="Century Gothic" w:hAnsi="Century Gothic" w:cs="Arial"/>
          <w:i/>
        </w:rPr>
      </w:pPr>
      <w:r w:rsidRPr="00DB4DAC">
        <w:rPr>
          <w:rFonts w:ascii="Century Gothic" w:hAnsi="Century Gothic" w:cs="Arial"/>
          <w:i/>
        </w:rPr>
        <w:t xml:space="preserve">Mencionando todos los beneficios del nuevo cruce fronterizo es que nos permitimos exhortar al Poder Ejecutivo Federal, a través de la Secretaría de Relaciones Exteriores, al Gobierno del Estado de Chihuahua y al ayuntamiento de Ciudad Juárez, para que, en sus respectivas jurisdicciones, abonemos lo necesario para llevar a cabo esta gran obra transfronteriza que sin duda traerá un nuevo impulso </w:t>
      </w:r>
      <w:r w:rsidRPr="00DB4DAC">
        <w:rPr>
          <w:rFonts w:ascii="Century Gothic" w:hAnsi="Century Gothic" w:cs="Arial"/>
          <w:i/>
        </w:rPr>
        <w:lastRenderedPageBreak/>
        <w:t>económico para ambas ciudades, llevando el tan esperado beneficio a estas zonas de nuestra frontera que tanto lo necesitan.</w:t>
      </w:r>
    </w:p>
    <w:p w14:paraId="6948BC22" w14:textId="77777777" w:rsidR="00B82123" w:rsidRPr="00761FE2" w:rsidRDefault="00B82123" w:rsidP="00B82123">
      <w:pPr>
        <w:widowControl w:val="0"/>
        <w:autoSpaceDE w:val="0"/>
        <w:autoSpaceDN w:val="0"/>
        <w:adjustRightInd w:val="0"/>
        <w:ind w:right="616"/>
        <w:jc w:val="both"/>
        <w:rPr>
          <w:rFonts w:ascii="Arial" w:hAnsi="Arial" w:cs="Arial"/>
          <w:szCs w:val="24"/>
        </w:rPr>
      </w:pPr>
    </w:p>
    <w:p w14:paraId="26664A1B" w14:textId="77777777" w:rsidR="00B82123" w:rsidRPr="002E753C" w:rsidRDefault="00767260" w:rsidP="00B82123">
      <w:pPr>
        <w:pStyle w:val="Normal1"/>
        <w:spacing w:line="360" w:lineRule="auto"/>
        <w:jc w:val="both"/>
        <w:rPr>
          <w:rFonts w:ascii="Century Gothic" w:hAnsi="Century Gothic" w:cs="Arial"/>
          <w:szCs w:val="24"/>
        </w:rPr>
      </w:pPr>
      <w:r>
        <w:rPr>
          <w:rFonts w:ascii="Century Gothic" w:hAnsi="Century Gothic" w:cs="Arial"/>
          <w:szCs w:val="24"/>
        </w:rPr>
        <w:t>Quienes integramos l</w:t>
      </w:r>
      <w:r w:rsidR="00B82123" w:rsidRPr="002E753C">
        <w:rPr>
          <w:rFonts w:ascii="Century Gothic" w:hAnsi="Century Gothic" w:cs="Arial"/>
          <w:szCs w:val="24"/>
        </w:rPr>
        <w:t>a</w:t>
      </w:r>
      <w:r>
        <w:rPr>
          <w:rFonts w:ascii="Century Gothic" w:hAnsi="Century Gothic" w:cs="Arial"/>
          <w:szCs w:val="24"/>
        </w:rPr>
        <w:t xml:space="preserve"> Comisión</w:t>
      </w:r>
      <w:r w:rsidR="00B82123" w:rsidRPr="002E753C">
        <w:rPr>
          <w:rFonts w:ascii="Century Gothic" w:hAnsi="Century Gothic" w:cs="Arial"/>
          <w:szCs w:val="24"/>
        </w:rPr>
        <w:t xml:space="preserve"> </w:t>
      </w:r>
      <w:r>
        <w:rPr>
          <w:rFonts w:ascii="Century Gothic" w:hAnsi="Century Gothic" w:cs="Arial"/>
          <w:szCs w:val="24"/>
        </w:rPr>
        <w:t>de Asuntos Fronterizos y Atención a Migrantes</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3D35BAE9" w14:textId="77777777" w:rsidR="00B82123" w:rsidRPr="002E753C" w:rsidRDefault="00B82123" w:rsidP="00B82123">
      <w:pPr>
        <w:pStyle w:val="Normal1"/>
        <w:spacing w:line="360" w:lineRule="auto"/>
        <w:jc w:val="both"/>
        <w:rPr>
          <w:rFonts w:ascii="Century Gothic" w:hAnsi="Century Gothic" w:cs="Arial"/>
          <w:szCs w:val="24"/>
        </w:rPr>
      </w:pPr>
    </w:p>
    <w:p w14:paraId="515052F6" w14:textId="77777777" w:rsidR="00B82123" w:rsidRDefault="00B82123" w:rsidP="00B82123">
      <w:pPr>
        <w:pStyle w:val="Normal1"/>
        <w:spacing w:line="360" w:lineRule="auto"/>
        <w:jc w:val="center"/>
        <w:rPr>
          <w:rFonts w:ascii="Century Gothic" w:eastAsia="Arial" w:hAnsi="Century Gothic" w:cs="Arial"/>
          <w:b/>
          <w:szCs w:val="24"/>
          <w:lang w:val="es-MX"/>
        </w:rPr>
      </w:pPr>
    </w:p>
    <w:p w14:paraId="118B8ACD"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31588F60" w14:textId="77777777" w:rsidR="00B82123" w:rsidRPr="002E753C" w:rsidRDefault="00B82123" w:rsidP="00B82123">
      <w:pPr>
        <w:pStyle w:val="Normal1"/>
        <w:spacing w:line="360" w:lineRule="auto"/>
        <w:jc w:val="center"/>
        <w:rPr>
          <w:rFonts w:ascii="Century Gothic" w:hAnsi="Century Gothic" w:cs="Arial"/>
          <w:szCs w:val="24"/>
          <w:lang w:val="es-MX"/>
        </w:rPr>
      </w:pPr>
    </w:p>
    <w:p w14:paraId="2D81127E" w14:textId="589A4B6D" w:rsidR="00B82123"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w:t>
      </w:r>
      <w:r w:rsidRPr="002E753C">
        <w:rPr>
          <w:rFonts w:ascii="Century Gothic" w:eastAsia="Arial" w:hAnsi="Century Gothic" w:cs="Arial"/>
          <w:szCs w:val="24"/>
          <w:lang w:val="es-MX"/>
        </w:rPr>
        <w:t xml:space="preserve"> Al analizar las facultades competenciales de este Alto Cuerpo Colegiado, quienes integramos esta</w:t>
      </w:r>
      <w:r w:rsidR="00767260">
        <w:rPr>
          <w:rFonts w:ascii="Century Gothic" w:eastAsia="Arial" w:hAnsi="Century Gothic" w:cs="Arial"/>
          <w:szCs w:val="24"/>
          <w:lang w:val="es-MX"/>
        </w:rPr>
        <w:t xml:space="preserve"> Comisió</w:t>
      </w:r>
      <w:r w:rsidRPr="002E753C">
        <w:rPr>
          <w:rFonts w:ascii="Century Gothic" w:eastAsia="Arial" w:hAnsi="Century Gothic" w:cs="Arial"/>
          <w:szCs w:val="24"/>
          <w:lang w:val="es-MX"/>
        </w:rPr>
        <w:t>n de Dictamen Legislativo no encontramos impedimento alguno pa</w:t>
      </w:r>
      <w:r w:rsidR="00C4457E">
        <w:rPr>
          <w:rFonts w:ascii="Century Gothic" w:eastAsia="Arial" w:hAnsi="Century Gothic" w:cs="Arial"/>
          <w:szCs w:val="24"/>
          <w:lang w:val="es-MX"/>
        </w:rPr>
        <w:t>ra conocer del presente asunto.</w:t>
      </w:r>
    </w:p>
    <w:p w14:paraId="13611348" w14:textId="77777777" w:rsidR="00C4457E" w:rsidRDefault="00C4457E" w:rsidP="00B82123">
      <w:pPr>
        <w:pStyle w:val="Normal1"/>
        <w:spacing w:line="360" w:lineRule="auto"/>
        <w:jc w:val="both"/>
        <w:rPr>
          <w:rFonts w:ascii="Century Gothic" w:eastAsia="Arial" w:hAnsi="Century Gothic" w:cs="Arial"/>
          <w:szCs w:val="24"/>
          <w:lang w:val="es-MX"/>
        </w:rPr>
      </w:pPr>
    </w:p>
    <w:p w14:paraId="01C07513" w14:textId="77777777" w:rsidR="00C4457E" w:rsidRDefault="00C4457E" w:rsidP="00C4457E">
      <w:pPr>
        <w:pStyle w:val="Normal1"/>
        <w:spacing w:line="360" w:lineRule="auto"/>
        <w:jc w:val="both"/>
        <w:rPr>
          <w:rFonts w:ascii="Century Gothic" w:eastAsia="Arial" w:hAnsi="Century Gothic" w:cs="Arial"/>
          <w:szCs w:val="24"/>
          <w:lang w:val="es-MX"/>
        </w:rPr>
      </w:pPr>
      <w:r w:rsidRPr="00C4457E">
        <w:rPr>
          <w:rFonts w:ascii="Century Gothic" w:eastAsia="Arial" w:hAnsi="Century Gothic" w:cs="Arial"/>
          <w:szCs w:val="24"/>
          <w:lang w:val="es-MX"/>
        </w:rPr>
        <w:t xml:space="preserve">Otro punto importante es que se revisó el aspecto competencial, en relación a la Constitución Política de los Estados Unidos Mexicanos, en lo general y en lo particular el contenido y efectos de los artículos 73 y 124, para evitar invasión de esferas competenciales, lo </w:t>
      </w:r>
      <w:proofErr w:type="gramStart"/>
      <w:r w:rsidRPr="00C4457E">
        <w:rPr>
          <w:rFonts w:ascii="Century Gothic" w:eastAsia="Arial" w:hAnsi="Century Gothic" w:cs="Arial"/>
          <w:szCs w:val="24"/>
          <w:lang w:val="es-MX"/>
        </w:rPr>
        <w:t>que</w:t>
      </w:r>
      <w:proofErr w:type="gramEnd"/>
      <w:r w:rsidRPr="00C4457E">
        <w:rPr>
          <w:rFonts w:ascii="Century Gothic" w:eastAsia="Arial" w:hAnsi="Century Gothic" w:cs="Arial"/>
          <w:szCs w:val="24"/>
          <w:lang w:val="es-MX"/>
        </w:rPr>
        <w:t xml:space="preserve"> en el caso,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7CD00D6F" w14:textId="3C436D2F" w:rsidR="00C4457E" w:rsidRDefault="00C4457E" w:rsidP="00B82123">
      <w:pPr>
        <w:pStyle w:val="Normal1"/>
        <w:spacing w:line="360" w:lineRule="auto"/>
        <w:jc w:val="both"/>
        <w:rPr>
          <w:rFonts w:ascii="Century Gothic" w:eastAsia="Arial" w:hAnsi="Century Gothic" w:cs="Arial"/>
          <w:szCs w:val="24"/>
          <w:lang w:val="es-MX"/>
        </w:rPr>
      </w:pPr>
    </w:p>
    <w:p w14:paraId="54A05109" w14:textId="77777777" w:rsidR="00C4457E" w:rsidRPr="002E753C" w:rsidRDefault="00C4457E" w:rsidP="00B82123">
      <w:pPr>
        <w:pStyle w:val="Normal1"/>
        <w:spacing w:line="360" w:lineRule="auto"/>
        <w:jc w:val="both"/>
        <w:rPr>
          <w:rFonts w:ascii="Century Gothic" w:eastAsia="Arial" w:hAnsi="Century Gothic" w:cs="Arial"/>
          <w:szCs w:val="24"/>
          <w:lang w:val="es-MX"/>
        </w:rPr>
      </w:pPr>
    </w:p>
    <w:p w14:paraId="4BAF4397" w14:textId="77777777" w:rsidR="00B82123" w:rsidRPr="002E753C" w:rsidRDefault="00B82123" w:rsidP="00B82123">
      <w:pPr>
        <w:pStyle w:val="Normal1"/>
        <w:spacing w:line="360" w:lineRule="auto"/>
        <w:rPr>
          <w:rFonts w:ascii="Century Gothic" w:hAnsi="Century Gothic" w:cs="Arial"/>
        </w:rPr>
      </w:pPr>
    </w:p>
    <w:p w14:paraId="3A5739BD" w14:textId="2629AC51" w:rsidR="00633A58" w:rsidRDefault="00B82123" w:rsidP="00DC25BE">
      <w:pPr>
        <w:spacing w:line="360" w:lineRule="auto"/>
        <w:jc w:val="both"/>
        <w:rPr>
          <w:rFonts w:ascii="Century Gothic" w:eastAsia="Arial" w:hAnsi="Century Gothic" w:cs="Arial"/>
          <w:szCs w:val="24"/>
        </w:rPr>
      </w:pPr>
      <w:r w:rsidRPr="00F31F63">
        <w:rPr>
          <w:rFonts w:ascii="Century Gothic" w:eastAsia="Arial" w:hAnsi="Century Gothic" w:cs="Arial"/>
          <w:b/>
          <w:szCs w:val="24"/>
        </w:rPr>
        <w:t>II.</w:t>
      </w:r>
      <w:r>
        <w:rPr>
          <w:rFonts w:ascii="Century Gothic" w:eastAsia="Arial" w:hAnsi="Century Gothic" w:cs="Arial"/>
          <w:szCs w:val="24"/>
        </w:rPr>
        <w:t xml:space="preserve">- </w:t>
      </w:r>
      <w:r w:rsidR="00037E3D">
        <w:rPr>
          <w:rFonts w:ascii="Century Gothic" w:eastAsia="Arial" w:hAnsi="Century Gothic" w:cs="Arial"/>
          <w:szCs w:val="24"/>
        </w:rPr>
        <w:t>Nuestra entidad desarrolla un papel sumamente importante en las relaciones entre México y Estados Unidos de América, pues además de contar con una de las ciudades fronterizas más importantes del mundo, se ha convertido en un enlace de colaboración entre los dos países.</w:t>
      </w:r>
    </w:p>
    <w:p w14:paraId="0A45786D" w14:textId="77777777" w:rsidR="00037E3D" w:rsidRDefault="00037E3D" w:rsidP="00DC25BE">
      <w:pPr>
        <w:spacing w:line="360" w:lineRule="auto"/>
        <w:jc w:val="both"/>
        <w:rPr>
          <w:rFonts w:ascii="Century Gothic" w:eastAsia="Arial" w:hAnsi="Century Gothic" w:cs="Arial"/>
          <w:szCs w:val="24"/>
        </w:rPr>
      </w:pPr>
    </w:p>
    <w:p w14:paraId="27C4542D" w14:textId="2D8E6D0A" w:rsidR="00037E3D" w:rsidRDefault="00037E3D" w:rsidP="00DC25BE">
      <w:pPr>
        <w:spacing w:line="360" w:lineRule="auto"/>
        <w:jc w:val="both"/>
        <w:rPr>
          <w:rFonts w:ascii="Century Gothic" w:eastAsia="Arial" w:hAnsi="Century Gothic" w:cs="Arial"/>
          <w:szCs w:val="24"/>
        </w:rPr>
      </w:pPr>
      <w:r>
        <w:rPr>
          <w:rFonts w:ascii="Century Gothic" w:eastAsia="Arial" w:hAnsi="Century Gothic" w:cs="Arial"/>
          <w:szCs w:val="24"/>
        </w:rPr>
        <w:t xml:space="preserve">Es por eso que el desarrollo de nuevas rutas de intercambio resulta relevante, hablando en caso concreto de los puentes fronterizos, que son herramientas facilitadoras de la economía, generación de empleos y el acceso de las y los ciudadanos de ambas naciones. </w:t>
      </w:r>
    </w:p>
    <w:p w14:paraId="4BF9E224" w14:textId="77777777" w:rsidR="00037E3D" w:rsidRDefault="00037E3D" w:rsidP="00DC25BE">
      <w:pPr>
        <w:spacing w:line="360" w:lineRule="auto"/>
        <w:jc w:val="both"/>
        <w:rPr>
          <w:rFonts w:ascii="Century Gothic" w:eastAsia="Arial" w:hAnsi="Century Gothic" w:cs="Arial"/>
          <w:szCs w:val="24"/>
        </w:rPr>
      </w:pPr>
    </w:p>
    <w:p w14:paraId="4C6550D3" w14:textId="3A50EA94" w:rsidR="00037E3D" w:rsidRDefault="00037E3D" w:rsidP="00DC25BE">
      <w:pPr>
        <w:spacing w:line="360" w:lineRule="auto"/>
        <w:jc w:val="both"/>
        <w:rPr>
          <w:rFonts w:ascii="Century Gothic" w:eastAsia="Arial" w:hAnsi="Century Gothic" w:cs="Arial"/>
          <w:szCs w:val="24"/>
        </w:rPr>
      </w:pPr>
      <w:r>
        <w:rPr>
          <w:rFonts w:ascii="Century Gothic" w:eastAsia="Arial" w:hAnsi="Century Gothic" w:cs="Arial"/>
          <w:szCs w:val="24"/>
        </w:rPr>
        <w:t>La iniciativa motivo de estudi</w:t>
      </w:r>
      <w:r w:rsidR="00157A1A">
        <w:rPr>
          <w:rFonts w:ascii="Century Gothic" w:eastAsia="Arial" w:hAnsi="Century Gothic" w:cs="Arial"/>
          <w:szCs w:val="24"/>
        </w:rPr>
        <w:t>o, menciona que existe al d</w:t>
      </w:r>
      <w:r w:rsidR="00807426">
        <w:rPr>
          <w:rFonts w:ascii="Century Gothic" w:eastAsia="Arial" w:hAnsi="Century Gothic" w:cs="Arial"/>
          <w:szCs w:val="24"/>
        </w:rPr>
        <w:t xml:space="preserve">ía de hoy un proyecto que pretende la creación de un nuevo cruce fronterizo entre el Ayuntamiento de </w:t>
      </w:r>
      <w:proofErr w:type="spellStart"/>
      <w:r w:rsidR="00807426">
        <w:rPr>
          <w:rFonts w:ascii="Century Gothic" w:eastAsia="Arial" w:hAnsi="Century Gothic" w:cs="Arial"/>
          <w:szCs w:val="24"/>
        </w:rPr>
        <w:t>Sunland</w:t>
      </w:r>
      <w:proofErr w:type="spellEnd"/>
      <w:r w:rsidR="00807426">
        <w:rPr>
          <w:rFonts w:ascii="Century Gothic" w:eastAsia="Arial" w:hAnsi="Century Gothic" w:cs="Arial"/>
          <w:szCs w:val="24"/>
        </w:rPr>
        <w:t xml:space="preserve"> Park y el municipio de Juárez, específicamente en la Colonia </w:t>
      </w:r>
      <w:proofErr w:type="spellStart"/>
      <w:r w:rsidR="00807426">
        <w:rPr>
          <w:rFonts w:ascii="Century Gothic" w:eastAsia="Arial" w:hAnsi="Century Gothic" w:cs="Arial"/>
          <w:szCs w:val="24"/>
        </w:rPr>
        <w:t>Anapra</w:t>
      </w:r>
      <w:proofErr w:type="spellEnd"/>
      <w:r w:rsidR="00807426">
        <w:rPr>
          <w:rFonts w:ascii="Century Gothic" w:eastAsia="Arial" w:hAnsi="Century Gothic" w:cs="Arial"/>
          <w:szCs w:val="24"/>
        </w:rPr>
        <w:t>. Es de destacar que se han realizado previamente estudios por parte de ambas ciudades, los cuales avalan la sustentabilidad del proyecto.</w:t>
      </w:r>
    </w:p>
    <w:p w14:paraId="4675B30B" w14:textId="77777777" w:rsidR="00633A58" w:rsidRDefault="00633A58" w:rsidP="00DC25BE">
      <w:pPr>
        <w:spacing w:line="360" w:lineRule="auto"/>
        <w:jc w:val="both"/>
        <w:rPr>
          <w:rFonts w:ascii="Century Gothic" w:eastAsia="Arial" w:hAnsi="Century Gothic" w:cs="Arial"/>
          <w:szCs w:val="24"/>
        </w:rPr>
      </w:pPr>
    </w:p>
    <w:p w14:paraId="5BA10477" w14:textId="41672AB1" w:rsidR="00DC25BE" w:rsidRDefault="00826E6B" w:rsidP="00DC25BE">
      <w:pPr>
        <w:spacing w:line="360" w:lineRule="auto"/>
        <w:jc w:val="both"/>
        <w:rPr>
          <w:rFonts w:ascii="Century Gothic" w:eastAsia="Arial" w:hAnsi="Century Gothic" w:cs="Arial"/>
          <w:szCs w:val="24"/>
        </w:rPr>
      </w:pPr>
      <w:r w:rsidRPr="00826E6B">
        <w:rPr>
          <w:rFonts w:ascii="Century Gothic" w:eastAsia="Arial" w:hAnsi="Century Gothic" w:cs="Arial"/>
          <w:b/>
          <w:szCs w:val="24"/>
        </w:rPr>
        <w:t>III.-</w:t>
      </w:r>
      <w:r>
        <w:rPr>
          <w:rFonts w:ascii="Century Gothic" w:eastAsia="Arial" w:hAnsi="Century Gothic" w:cs="Arial"/>
          <w:szCs w:val="24"/>
        </w:rPr>
        <w:t xml:space="preserve"> </w:t>
      </w:r>
      <w:r w:rsidR="006017B0">
        <w:rPr>
          <w:rFonts w:ascii="Century Gothic" w:eastAsia="Arial" w:hAnsi="Century Gothic" w:cs="Arial"/>
          <w:szCs w:val="24"/>
        </w:rPr>
        <w:t xml:space="preserve">Por lo anterior, esta Comisión de Dictamen Legislativo, acordó se enviaran los oficios necesario para poder allegarse de mayor información al respecto del Proyecto del Cruce Fronterizo </w:t>
      </w:r>
      <w:proofErr w:type="spellStart"/>
      <w:r w:rsidR="006017B0">
        <w:rPr>
          <w:rFonts w:ascii="Century Gothic" w:eastAsia="Arial" w:hAnsi="Century Gothic" w:cs="Arial"/>
          <w:szCs w:val="24"/>
        </w:rPr>
        <w:t>Anapra-Sunland</w:t>
      </w:r>
      <w:proofErr w:type="spellEnd"/>
      <w:r w:rsidR="006017B0">
        <w:rPr>
          <w:rFonts w:ascii="Century Gothic" w:eastAsia="Arial" w:hAnsi="Century Gothic" w:cs="Arial"/>
          <w:szCs w:val="24"/>
        </w:rPr>
        <w:t xml:space="preserve"> Park.</w:t>
      </w:r>
    </w:p>
    <w:p w14:paraId="640C27FE" w14:textId="77777777" w:rsidR="006017B0" w:rsidRDefault="006017B0" w:rsidP="00DC25BE">
      <w:pPr>
        <w:spacing w:line="360" w:lineRule="auto"/>
        <w:jc w:val="both"/>
        <w:rPr>
          <w:rFonts w:ascii="Century Gothic" w:eastAsia="Arial" w:hAnsi="Century Gothic" w:cs="Arial"/>
          <w:szCs w:val="24"/>
        </w:rPr>
      </w:pPr>
    </w:p>
    <w:p w14:paraId="2DDDA5F6" w14:textId="45AEA3CE" w:rsidR="006017B0" w:rsidRDefault="006017B0" w:rsidP="00DC25BE">
      <w:pPr>
        <w:spacing w:line="360" w:lineRule="auto"/>
        <w:jc w:val="both"/>
        <w:rPr>
          <w:rFonts w:ascii="Century Gothic" w:eastAsia="Arial" w:hAnsi="Century Gothic" w:cs="Arial"/>
          <w:szCs w:val="24"/>
        </w:rPr>
      </w:pPr>
      <w:r>
        <w:rPr>
          <w:rFonts w:ascii="Century Gothic" w:eastAsia="Arial" w:hAnsi="Century Gothic" w:cs="Arial"/>
          <w:szCs w:val="24"/>
        </w:rPr>
        <w:t>Se recibió información por parte del Instituto Municipal de Investigación y Planeación de Juárez, en l</w:t>
      </w:r>
      <w:r w:rsidR="008F2749">
        <w:rPr>
          <w:rFonts w:ascii="Century Gothic" w:eastAsia="Arial" w:hAnsi="Century Gothic" w:cs="Arial"/>
          <w:szCs w:val="24"/>
        </w:rPr>
        <w:t xml:space="preserve">a cual nos explica las etapas por las que ha pasado </w:t>
      </w:r>
      <w:r w:rsidR="008F2749">
        <w:rPr>
          <w:rFonts w:ascii="Century Gothic" w:eastAsia="Arial" w:hAnsi="Century Gothic" w:cs="Arial"/>
          <w:szCs w:val="24"/>
        </w:rPr>
        <w:lastRenderedPageBreak/>
        <w:t>el proyecto denominado “Proyecto del Puerto de Entrada Camino Real de Tierra Adentro (</w:t>
      </w:r>
      <w:proofErr w:type="spellStart"/>
      <w:r w:rsidR="008F2749">
        <w:rPr>
          <w:rFonts w:ascii="Century Gothic" w:eastAsia="Arial" w:hAnsi="Century Gothic" w:cs="Arial"/>
          <w:szCs w:val="24"/>
        </w:rPr>
        <w:t>Sunland</w:t>
      </w:r>
      <w:proofErr w:type="spellEnd"/>
      <w:r w:rsidR="008F2749">
        <w:rPr>
          <w:rFonts w:ascii="Century Gothic" w:eastAsia="Arial" w:hAnsi="Century Gothic" w:cs="Arial"/>
          <w:szCs w:val="24"/>
        </w:rPr>
        <w:t xml:space="preserve"> Park- </w:t>
      </w:r>
      <w:proofErr w:type="spellStart"/>
      <w:r w:rsidR="008F2749">
        <w:rPr>
          <w:rFonts w:ascii="Century Gothic" w:eastAsia="Arial" w:hAnsi="Century Gothic" w:cs="Arial"/>
          <w:szCs w:val="24"/>
        </w:rPr>
        <w:t>Anapra</w:t>
      </w:r>
      <w:proofErr w:type="spellEnd"/>
      <w:r w:rsidR="008F2749">
        <w:rPr>
          <w:rFonts w:ascii="Century Gothic" w:eastAsia="Arial" w:hAnsi="Century Gothic" w:cs="Arial"/>
          <w:szCs w:val="24"/>
        </w:rPr>
        <w:t>)</w:t>
      </w:r>
      <w:r w:rsidR="0009622D">
        <w:rPr>
          <w:rFonts w:ascii="Century Gothic" w:eastAsia="Arial" w:hAnsi="Century Gothic" w:cs="Arial"/>
          <w:szCs w:val="24"/>
        </w:rPr>
        <w:t>”</w:t>
      </w:r>
      <w:r w:rsidR="008F2749">
        <w:rPr>
          <w:rFonts w:ascii="Century Gothic" w:eastAsia="Arial" w:hAnsi="Century Gothic" w:cs="Arial"/>
          <w:szCs w:val="24"/>
        </w:rPr>
        <w:t>, así como la etapa en la que se encuentra actualmente</w:t>
      </w:r>
      <w:r w:rsidR="0009622D">
        <w:rPr>
          <w:rFonts w:ascii="Century Gothic" w:eastAsia="Arial" w:hAnsi="Century Gothic" w:cs="Arial"/>
          <w:szCs w:val="24"/>
        </w:rPr>
        <w:t>. De acuerdo con lo descrito en</w:t>
      </w:r>
      <w:r w:rsidR="008F2749">
        <w:rPr>
          <w:rFonts w:ascii="Century Gothic" w:eastAsia="Arial" w:hAnsi="Century Gothic" w:cs="Arial"/>
          <w:szCs w:val="24"/>
        </w:rPr>
        <w:t xml:space="preserve"> el oficio, se han realizado los procedimientos necesarios ante la Unidad de Inversiones de la Secretaría de Hacienda y Crédito P</w:t>
      </w:r>
      <w:r w:rsidR="00F7316F">
        <w:rPr>
          <w:rFonts w:ascii="Century Gothic" w:eastAsia="Arial" w:hAnsi="Century Gothic" w:cs="Arial"/>
          <w:szCs w:val="24"/>
        </w:rPr>
        <w:t xml:space="preserve">úblico, por lo que próximamente se prevé la </w:t>
      </w:r>
      <w:r w:rsidR="00F7316F" w:rsidRPr="006C1900">
        <w:rPr>
          <w:rFonts w:ascii="Century Gothic" w:eastAsia="Arial" w:hAnsi="Century Gothic" w:cs="Arial"/>
          <w:szCs w:val="24"/>
        </w:rPr>
        <w:t>obtención</w:t>
      </w:r>
      <w:r w:rsidR="00F7316F">
        <w:rPr>
          <w:rFonts w:ascii="Century Gothic" w:eastAsia="Arial" w:hAnsi="Century Gothic" w:cs="Arial"/>
          <w:szCs w:val="24"/>
        </w:rPr>
        <w:t xml:space="preserve"> del número de registro ante la Secretaría, así como el permiso presidencial por parte del gobierno de los Estados Unidos de América. </w:t>
      </w:r>
      <w:r w:rsidR="006C1900">
        <w:rPr>
          <w:rFonts w:ascii="Century Gothic" w:eastAsia="Arial" w:hAnsi="Century Gothic" w:cs="Arial"/>
          <w:szCs w:val="24"/>
        </w:rPr>
        <w:t>Al contar con todo</w:t>
      </w:r>
      <w:r w:rsidR="00F7316F">
        <w:rPr>
          <w:rFonts w:ascii="Century Gothic" w:eastAsia="Arial" w:hAnsi="Century Gothic" w:cs="Arial"/>
          <w:szCs w:val="24"/>
        </w:rPr>
        <w:t xml:space="preserve"> lo anterior</w:t>
      </w:r>
      <w:r w:rsidR="006C1900">
        <w:rPr>
          <w:rFonts w:ascii="Century Gothic" w:eastAsia="Arial" w:hAnsi="Century Gothic" w:cs="Arial"/>
          <w:szCs w:val="24"/>
        </w:rPr>
        <w:t>,</w:t>
      </w:r>
      <w:r w:rsidR="00F7316F">
        <w:rPr>
          <w:rFonts w:ascii="Century Gothic" w:eastAsia="Arial" w:hAnsi="Century Gothic" w:cs="Arial"/>
          <w:szCs w:val="24"/>
        </w:rPr>
        <w:t xml:space="preserve"> se realizará la elaboración del Proyecto Ejecutivo y el planteamiento del esquema financiero. </w:t>
      </w:r>
      <w:r w:rsidR="008F2749">
        <w:rPr>
          <w:rFonts w:ascii="Century Gothic" w:eastAsia="Arial" w:hAnsi="Century Gothic" w:cs="Arial"/>
          <w:szCs w:val="24"/>
        </w:rPr>
        <w:t xml:space="preserve"> </w:t>
      </w:r>
    </w:p>
    <w:p w14:paraId="34914D3D" w14:textId="77777777" w:rsidR="00FC5220" w:rsidRDefault="00FC5220" w:rsidP="001D65B5">
      <w:pPr>
        <w:spacing w:line="360" w:lineRule="auto"/>
        <w:jc w:val="both"/>
        <w:rPr>
          <w:rFonts w:ascii="Century Gothic" w:eastAsia="Arial" w:hAnsi="Century Gothic" w:cs="Arial"/>
          <w:bCs/>
          <w:szCs w:val="24"/>
        </w:rPr>
      </w:pPr>
    </w:p>
    <w:p w14:paraId="77A3AFBC" w14:textId="6BF076A5" w:rsidR="00603FD1" w:rsidRDefault="00826E6B" w:rsidP="00755868">
      <w:pPr>
        <w:spacing w:line="360" w:lineRule="auto"/>
        <w:jc w:val="both"/>
        <w:rPr>
          <w:rFonts w:ascii="Century Gothic" w:eastAsia="Arial" w:hAnsi="Century Gothic" w:cs="Arial"/>
          <w:bCs/>
          <w:szCs w:val="24"/>
        </w:rPr>
      </w:pPr>
      <w:r w:rsidRPr="00826E6B">
        <w:rPr>
          <w:rFonts w:ascii="Century Gothic" w:eastAsia="Arial" w:hAnsi="Century Gothic" w:cs="Arial"/>
          <w:b/>
          <w:bCs/>
          <w:szCs w:val="24"/>
        </w:rPr>
        <w:t>IV.-</w:t>
      </w:r>
      <w:r>
        <w:rPr>
          <w:rFonts w:ascii="Century Gothic" w:eastAsia="Arial" w:hAnsi="Century Gothic" w:cs="Arial"/>
          <w:bCs/>
          <w:szCs w:val="24"/>
        </w:rPr>
        <w:t xml:space="preserve"> </w:t>
      </w:r>
      <w:r w:rsidR="001535E5">
        <w:rPr>
          <w:rFonts w:ascii="Century Gothic" w:eastAsia="Arial" w:hAnsi="Century Gothic" w:cs="Arial"/>
          <w:bCs/>
          <w:szCs w:val="24"/>
        </w:rPr>
        <w:t>De acuerdo con lo anterior, por parte del gobierno municipal de Juárez existe todo el procedimiento necesario para llevar a cabo este proyecto, sin embargo</w:t>
      </w:r>
      <w:r w:rsidR="00225F97" w:rsidRPr="006C1900">
        <w:rPr>
          <w:rFonts w:ascii="Century Gothic" w:eastAsia="Arial" w:hAnsi="Century Gothic" w:cs="Arial"/>
          <w:bCs/>
          <w:szCs w:val="24"/>
        </w:rPr>
        <w:t>,</w:t>
      </w:r>
      <w:r w:rsidR="001535E5">
        <w:rPr>
          <w:rFonts w:ascii="Century Gothic" w:eastAsia="Arial" w:hAnsi="Century Gothic" w:cs="Arial"/>
          <w:bCs/>
          <w:szCs w:val="24"/>
        </w:rPr>
        <w:t xml:space="preserve"> se desconoce el </w:t>
      </w:r>
      <w:r w:rsidR="001535E5" w:rsidRPr="00225F97">
        <w:rPr>
          <w:rFonts w:ascii="Century Gothic" w:eastAsia="Arial" w:hAnsi="Century Gothic" w:cs="Arial"/>
          <w:bCs/>
          <w:szCs w:val="24"/>
        </w:rPr>
        <w:t>avance</w:t>
      </w:r>
      <w:r w:rsidR="006C1900">
        <w:rPr>
          <w:rFonts w:ascii="Century Gothic" w:eastAsia="Arial" w:hAnsi="Century Gothic" w:cs="Arial"/>
          <w:bCs/>
          <w:szCs w:val="24"/>
        </w:rPr>
        <w:t xml:space="preserve"> </w:t>
      </w:r>
      <w:r w:rsidR="001535E5">
        <w:rPr>
          <w:rFonts w:ascii="Century Gothic" w:eastAsia="Arial" w:hAnsi="Century Gothic" w:cs="Arial"/>
          <w:bCs/>
          <w:szCs w:val="24"/>
        </w:rPr>
        <w:t>por parte de la Unidad de Inversiones de la Secretaría de Hacienda y Crédito Público,</w:t>
      </w:r>
      <w:r w:rsidR="00225F97">
        <w:rPr>
          <w:rFonts w:ascii="Century Gothic" w:eastAsia="Arial" w:hAnsi="Century Gothic" w:cs="Arial"/>
          <w:bCs/>
          <w:szCs w:val="24"/>
        </w:rPr>
        <w:t xml:space="preserve"> razón por la cual</w:t>
      </w:r>
      <w:r w:rsidR="006C1900">
        <w:rPr>
          <w:rFonts w:ascii="Century Gothic" w:eastAsia="Arial" w:hAnsi="Century Gothic" w:cs="Arial"/>
          <w:bCs/>
          <w:szCs w:val="24"/>
        </w:rPr>
        <w:t xml:space="preserve">, </w:t>
      </w:r>
      <w:r w:rsidR="006759FF">
        <w:rPr>
          <w:rFonts w:ascii="Century Gothic" w:eastAsia="Arial" w:hAnsi="Century Gothic" w:cs="Arial"/>
          <w:bCs/>
          <w:szCs w:val="24"/>
        </w:rPr>
        <w:t>esta comisión ha determinado que</w:t>
      </w:r>
      <w:r w:rsidR="00B55470">
        <w:rPr>
          <w:rFonts w:ascii="Century Gothic" w:eastAsia="Arial" w:hAnsi="Century Gothic" w:cs="Arial"/>
          <w:bCs/>
          <w:szCs w:val="24"/>
        </w:rPr>
        <w:t>,</w:t>
      </w:r>
      <w:r w:rsidR="006759FF">
        <w:rPr>
          <w:rFonts w:ascii="Century Gothic" w:eastAsia="Arial" w:hAnsi="Century Gothic" w:cs="Arial"/>
          <w:bCs/>
          <w:szCs w:val="24"/>
        </w:rPr>
        <w:t xml:space="preserve"> dada la importancia de impulsar este proyecto</w:t>
      </w:r>
      <w:r w:rsidR="00B55470">
        <w:rPr>
          <w:rFonts w:ascii="Century Gothic" w:eastAsia="Arial" w:hAnsi="Century Gothic" w:cs="Arial"/>
          <w:bCs/>
          <w:szCs w:val="24"/>
        </w:rPr>
        <w:t xml:space="preserve"> para beneficio </w:t>
      </w:r>
      <w:r w:rsidR="00B55470" w:rsidRPr="006C1900">
        <w:rPr>
          <w:rFonts w:ascii="Century Gothic" w:eastAsia="Arial" w:hAnsi="Century Gothic" w:cs="Arial"/>
          <w:bCs/>
          <w:szCs w:val="24"/>
        </w:rPr>
        <w:t xml:space="preserve">de </w:t>
      </w:r>
      <w:r w:rsidR="00225F97" w:rsidRPr="006C1900">
        <w:rPr>
          <w:rFonts w:ascii="Century Gothic" w:eastAsia="Arial" w:hAnsi="Century Gothic" w:cs="Arial"/>
          <w:bCs/>
          <w:szCs w:val="24"/>
        </w:rPr>
        <w:t>las personas</w:t>
      </w:r>
      <w:r w:rsidR="00225F97">
        <w:rPr>
          <w:rFonts w:ascii="Century Gothic" w:eastAsia="Arial" w:hAnsi="Century Gothic" w:cs="Arial"/>
          <w:bCs/>
          <w:szCs w:val="24"/>
        </w:rPr>
        <w:t xml:space="preserve"> </w:t>
      </w:r>
      <w:r w:rsidR="00B55470">
        <w:rPr>
          <w:rFonts w:ascii="Century Gothic" w:eastAsia="Arial" w:hAnsi="Century Gothic" w:cs="Arial"/>
          <w:bCs/>
          <w:szCs w:val="24"/>
        </w:rPr>
        <w:t xml:space="preserve"> juarenses y de nuestra entidad</w:t>
      </w:r>
      <w:r w:rsidR="0034776D">
        <w:rPr>
          <w:rFonts w:ascii="Century Gothic" w:eastAsia="Arial" w:hAnsi="Century Gothic" w:cs="Arial"/>
          <w:bCs/>
          <w:szCs w:val="24"/>
        </w:rPr>
        <w:t xml:space="preserve">, resulta pertinente exhortar a las autoridades involucradas a realizar lo conducente a efecto de coordinar acciones y fomentar el desarrollo entre ambas ciudades. </w:t>
      </w:r>
    </w:p>
    <w:p w14:paraId="3558C110" w14:textId="77777777" w:rsidR="004D5BAD" w:rsidRDefault="004D5BAD" w:rsidP="00755868">
      <w:pPr>
        <w:spacing w:line="360" w:lineRule="auto"/>
        <w:jc w:val="both"/>
        <w:rPr>
          <w:rFonts w:ascii="Century Gothic" w:eastAsia="Arial" w:hAnsi="Century Gothic" w:cs="Arial"/>
          <w:bCs/>
          <w:szCs w:val="24"/>
        </w:rPr>
      </w:pPr>
    </w:p>
    <w:p w14:paraId="2D6207DE" w14:textId="030475FB" w:rsidR="00BB6C1F" w:rsidRDefault="00634B82" w:rsidP="00755868">
      <w:pPr>
        <w:spacing w:line="360" w:lineRule="auto"/>
        <w:jc w:val="both"/>
        <w:rPr>
          <w:rFonts w:ascii="Century Gothic" w:eastAsia="Arial" w:hAnsi="Century Gothic" w:cs="Arial"/>
          <w:bCs/>
          <w:szCs w:val="24"/>
        </w:rPr>
      </w:pPr>
      <w:r>
        <w:rPr>
          <w:rFonts w:ascii="Century Gothic" w:eastAsia="Arial" w:hAnsi="Century Gothic" w:cs="Arial"/>
          <w:bCs/>
          <w:szCs w:val="24"/>
        </w:rPr>
        <w:t xml:space="preserve">Así mismo, esta Comisión considera importante que las autoridades visualicen todas las vertientes al momento de </w:t>
      </w:r>
      <w:r w:rsidRPr="006C1900">
        <w:rPr>
          <w:rFonts w:ascii="Century Gothic" w:eastAsia="Arial" w:hAnsi="Century Gothic" w:cs="Arial"/>
          <w:bCs/>
          <w:szCs w:val="24"/>
        </w:rPr>
        <w:t>inici</w:t>
      </w:r>
      <w:r w:rsidR="00225F97" w:rsidRPr="006C1900">
        <w:rPr>
          <w:rFonts w:ascii="Century Gothic" w:eastAsia="Arial" w:hAnsi="Century Gothic" w:cs="Arial"/>
          <w:bCs/>
          <w:szCs w:val="24"/>
        </w:rPr>
        <w:t xml:space="preserve">ar </w:t>
      </w:r>
      <w:r w:rsidRPr="006C1900">
        <w:rPr>
          <w:rFonts w:ascii="Century Gothic" w:eastAsia="Arial" w:hAnsi="Century Gothic" w:cs="Arial"/>
          <w:bCs/>
          <w:szCs w:val="24"/>
        </w:rPr>
        <w:t xml:space="preserve"> trabajos</w:t>
      </w:r>
      <w:r>
        <w:rPr>
          <w:rFonts w:ascii="Century Gothic" w:eastAsia="Arial" w:hAnsi="Century Gothic" w:cs="Arial"/>
          <w:bCs/>
          <w:szCs w:val="24"/>
        </w:rPr>
        <w:t>, t</w:t>
      </w:r>
      <w:r w:rsidR="004D5BAD">
        <w:rPr>
          <w:rFonts w:ascii="Century Gothic" w:eastAsia="Arial" w:hAnsi="Century Gothic" w:cs="Arial"/>
          <w:bCs/>
          <w:szCs w:val="24"/>
        </w:rPr>
        <w:t xml:space="preserve">omando en cuenta </w:t>
      </w:r>
      <w:r w:rsidR="004D5BAD" w:rsidRPr="006C1900">
        <w:rPr>
          <w:rFonts w:ascii="Century Gothic" w:eastAsia="Arial" w:hAnsi="Century Gothic" w:cs="Arial"/>
          <w:bCs/>
          <w:szCs w:val="24"/>
        </w:rPr>
        <w:t xml:space="preserve">que dicho </w:t>
      </w:r>
      <w:r w:rsidRPr="006C1900">
        <w:rPr>
          <w:rFonts w:ascii="Century Gothic" w:eastAsia="Arial" w:hAnsi="Century Gothic" w:cs="Arial"/>
          <w:bCs/>
          <w:szCs w:val="24"/>
        </w:rPr>
        <w:t>proyecto</w:t>
      </w:r>
      <w:r>
        <w:rPr>
          <w:rFonts w:ascii="Century Gothic" w:eastAsia="Arial" w:hAnsi="Century Gothic" w:cs="Arial"/>
          <w:bCs/>
          <w:szCs w:val="24"/>
        </w:rPr>
        <w:t xml:space="preserve"> </w:t>
      </w:r>
      <w:r w:rsidRPr="00526115">
        <w:rPr>
          <w:rFonts w:ascii="Century Gothic" w:eastAsia="Arial" w:hAnsi="Century Gothic" w:cs="Arial"/>
          <w:bCs/>
          <w:szCs w:val="24"/>
        </w:rPr>
        <w:t>deberá tener en consideración</w:t>
      </w:r>
      <w:r w:rsidR="004D5BAD">
        <w:rPr>
          <w:rFonts w:ascii="Century Gothic" w:eastAsia="Arial" w:hAnsi="Century Gothic" w:cs="Arial"/>
          <w:bCs/>
          <w:szCs w:val="24"/>
        </w:rPr>
        <w:t xml:space="preserve"> el impacto ambiental que conlleva la creación de un nuevo puente fronterizo</w:t>
      </w:r>
      <w:r>
        <w:rPr>
          <w:rFonts w:ascii="Century Gothic" w:eastAsia="Arial" w:hAnsi="Century Gothic" w:cs="Arial"/>
          <w:bCs/>
          <w:szCs w:val="24"/>
        </w:rPr>
        <w:t xml:space="preserve">, realizando las evaluaciones </w:t>
      </w:r>
      <w:r>
        <w:rPr>
          <w:rFonts w:ascii="Century Gothic" w:eastAsia="Arial" w:hAnsi="Century Gothic" w:cs="Arial"/>
          <w:bCs/>
          <w:szCs w:val="24"/>
        </w:rPr>
        <w:lastRenderedPageBreak/>
        <w:t>que se requieran para que los habitantes de colonias aledañas no sean perjudicados durante el desarr</w:t>
      </w:r>
      <w:r w:rsidR="00BB6C1F">
        <w:rPr>
          <w:rFonts w:ascii="Century Gothic" w:eastAsia="Arial" w:hAnsi="Century Gothic" w:cs="Arial"/>
          <w:bCs/>
          <w:szCs w:val="24"/>
        </w:rPr>
        <w:t xml:space="preserve">ollo del </w:t>
      </w:r>
      <w:r w:rsidR="00BB6C1F" w:rsidRPr="006C1900">
        <w:rPr>
          <w:rFonts w:ascii="Century Gothic" w:eastAsia="Arial" w:hAnsi="Century Gothic" w:cs="Arial"/>
          <w:bCs/>
          <w:szCs w:val="24"/>
        </w:rPr>
        <w:t>proyecto ya mencionado</w:t>
      </w:r>
      <w:r w:rsidR="00BB6C1F">
        <w:rPr>
          <w:rFonts w:ascii="Century Gothic" w:eastAsia="Arial" w:hAnsi="Century Gothic" w:cs="Arial"/>
          <w:bCs/>
          <w:szCs w:val="24"/>
        </w:rPr>
        <w:t xml:space="preserve">, en el tenor que todas las acciones </w:t>
      </w:r>
      <w:r w:rsidR="00642B10">
        <w:rPr>
          <w:rFonts w:ascii="Century Gothic" w:eastAsia="Arial" w:hAnsi="Century Gothic" w:cs="Arial"/>
          <w:bCs/>
          <w:szCs w:val="24"/>
        </w:rPr>
        <w:t xml:space="preserve">encaminadas a </w:t>
      </w:r>
      <w:r w:rsidR="00503CC4">
        <w:rPr>
          <w:rFonts w:ascii="Century Gothic" w:eastAsia="Arial" w:hAnsi="Century Gothic" w:cs="Arial"/>
          <w:bCs/>
          <w:szCs w:val="24"/>
        </w:rPr>
        <w:t>estrechar</w:t>
      </w:r>
      <w:r w:rsidR="00642B10">
        <w:rPr>
          <w:rFonts w:ascii="Century Gothic" w:eastAsia="Arial" w:hAnsi="Century Gothic" w:cs="Arial"/>
          <w:bCs/>
          <w:szCs w:val="24"/>
        </w:rPr>
        <w:t xml:space="preserve"> la</w:t>
      </w:r>
      <w:r w:rsidR="00503CC4">
        <w:rPr>
          <w:rFonts w:ascii="Century Gothic" w:eastAsia="Arial" w:hAnsi="Century Gothic" w:cs="Arial"/>
          <w:bCs/>
          <w:szCs w:val="24"/>
        </w:rPr>
        <w:t>s</w:t>
      </w:r>
      <w:r w:rsidR="00BB6C1F">
        <w:rPr>
          <w:rFonts w:ascii="Century Gothic" w:eastAsia="Arial" w:hAnsi="Century Gothic" w:cs="Arial"/>
          <w:bCs/>
          <w:szCs w:val="24"/>
        </w:rPr>
        <w:t xml:space="preserve"> relaci</w:t>
      </w:r>
      <w:r w:rsidR="00503CC4">
        <w:rPr>
          <w:rFonts w:ascii="Century Gothic" w:eastAsia="Arial" w:hAnsi="Century Gothic" w:cs="Arial"/>
          <w:bCs/>
          <w:szCs w:val="24"/>
        </w:rPr>
        <w:t>ones</w:t>
      </w:r>
      <w:r w:rsidR="00BB6C1F">
        <w:rPr>
          <w:rFonts w:ascii="Century Gothic" w:eastAsia="Arial" w:hAnsi="Century Gothic" w:cs="Arial"/>
          <w:bCs/>
          <w:szCs w:val="24"/>
        </w:rPr>
        <w:t xml:space="preserve"> entre México y Estados Unidos </w:t>
      </w:r>
      <w:r w:rsidR="00642B10">
        <w:rPr>
          <w:rFonts w:ascii="Century Gothic" w:eastAsia="Arial" w:hAnsi="Century Gothic" w:cs="Arial"/>
          <w:bCs/>
          <w:szCs w:val="24"/>
        </w:rPr>
        <w:t xml:space="preserve">se realizan </w:t>
      </w:r>
      <w:r w:rsidR="00503CC4">
        <w:rPr>
          <w:rFonts w:ascii="Century Gothic" w:eastAsia="Arial" w:hAnsi="Century Gothic" w:cs="Arial"/>
          <w:bCs/>
          <w:szCs w:val="24"/>
        </w:rPr>
        <w:t>con la finalidad de fo</w:t>
      </w:r>
      <w:r w:rsidR="00642B10">
        <w:rPr>
          <w:rFonts w:ascii="Century Gothic" w:eastAsia="Arial" w:hAnsi="Century Gothic" w:cs="Arial"/>
          <w:bCs/>
          <w:szCs w:val="24"/>
        </w:rPr>
        <w:t>r</w:t>
      </w:r>
      <w:r w:rsidR="00503CC4">
        <w:rPr>
          <w:rFonts w:ascii="Century Gothic" w:eastAsia="Arial" w:hAnsi="Century Gothic" w:cs="Arial"/>
          <w:bCs/>
          <w:szCs w:val="24"/>
        </w:rPr>
        <w:t>talecer</w:t>
      </w:r>
      <w:r w:rsidR="00642B10">
        <w:rPr>
          <w:rFonts w:ascii="Century Gothic" w:eastAsia="Arial" w:hAnsi="Century Gothic" w:cs="Arial"/>
          <w:bCs/>
          <w:szCs w:val="24"/>
        </w:rPr>
        <w:t xml:space="preserve"> factores económicos</w:t>
      </w:r>
      <w:r w:rsidR="00503CC4">
        <w:rPr>
          <w:rFonts w:ascii="Century Gothic" w:eastAsia="Arial" w:hAnsi="Century Gothic" w:cs="Arial"/>
          <w:bCs/>
          <w:szCs w:val="24"/>
        </w:rPr>
        <w:t>,</w:t>
      </w:r>
      <w:r w:rsidR="00642B10">
        <w:rPr>
          <w:rFonts w:ascii="Century Gothic" w:eastAsia="Arial" w:hAnsi="Century Gothic" w:cs="Arial"/>
          <w:bCs/>
          <w:szCs w:val="24"/>
        </w:rPr>
        <w:t xml:space="preserve"> sociales</w:t>
      </w:r>
      <w:r w:rsidR="00503CC4">
        <w:rPr>
          <w:rFonts w:ascii="Century Gothic" w:eastAsia="Arial" w:hAnsi="Century Gothic" w:cs="Arial"/>
          <w:bCs/>
          <w:szCs w:val="24"/>
        </w:rPr>
        <w:t xml:space="preserve"> y culturales.</w:t>
      </w:r>
    </w:p>
    <w:p w14:paraId="6FC64314" w14:textId="77777777" w:rsidR="00826E6B" w:rsidRPr="00696BF5" w:rsidRDefault="00826E6B" w:rsidP="00B82123">
      <w:pPr>
        <w:spacing w:line="360" w:lineRule="auto"/>
        <w:jc w:val="both"/>
        <w:rPr>
          <w:rFonts w:ascii="Century Gothic" w:eastAsia="Arial" w:hAnsi="Century Gothic" w:cs="Arial"/>
          <w:bCs/>
          <w:szCs w:val="24"/>
        </w:rPr>
      </w:pPr>
    </w:p>
    <w:p w14:paraId="2EA7F93C" w14:textId="14AB34CC" w:rsidR="00B82123" w:rsidRPr="00446361" w:rsidRDefault="00B82123" w:rsidP="00446361">
      <w:pPr>
        <w:spacing w:line="360" w:lineRule="auto"/>
        <w:jc w:val="both"/>
        <w:rPr>
          <w:rStyle w:val="Ninguno"/>
          <w:rFonts w:ascii="Century Gothic" w:eastAsia="Arial" w:hAnsi="Century Gothic" w:cs="Arial"/>
          <w:szCs w:val="24"/>
        </w:rPr>
      </w:pPr>
      <w:r>
        <w:rPr>
          <w:rFonts w:ascii="Century Gothic" w:eastAsia="Arial" w:hAnsi="Century Gothic" w:cs="Arial"/>
          <w:szCs w:val="24"/>
        </w:rPr>
        <w:t>Por lo anteriormente expuesto, la</w:t>
      </w:r>
      <w:r w:rsidR="00767260">
        <w:rPr>
          <w:rFonts w:ascii="Century Gothic" w:eastAsia="Arial" w:hAnsi="Century Gothic" w:cs="Arial"/>
          <w:szCs w:val="24"/>
        </w:rPr>
        <w:t xml:space="preserve"> Comisión</w:t>
      </w:r>
      <w:r>
        <w:rPr>
          <w:rFonts w:ascii="Century Gothic" w:eastAsia="Arial" w:hAnsi="Century Gothic" w:cs="Arial"/>
          <w:szCs w:val="24"/>
        </w:rPr>
        <w:t xml:space="preserve"> de</w:t>
      </w:r>
      <w:r w:rsidR="004029D2">
        <w:rPr>
          <w:rFonts w:ascii="Century Gothic" w:eastAsia="Arial" w:hAnsi="Century Gothic" w:cs="Arial"/>
          <w:szCs w:val="24"/>
        </w:rPr>
        <w:t xml:space="preserve"> </w:t>
      </w:r>
      <w:r w:rsidR="00767260">
        <w:rPr>
          <w:rFonts w:ascii="Century Gothic" w:eastAsia="Arial" w:hAnsi="Century Gothic" w:cs="Arial"/>
          <w:szCs w:val="24"/>
        </w:rPr>
        <w:t>Asuntos Fronterizos y Atención a Migrantes</w:t>
      </w:r>
      <w:r>
        <w:rPr>
          <w:rFonts w:ascii="Century Gothic" w:eastAsia="Arial" w:hAnsi="Century Gothic" w:cs="Arial"/>
          <w:szCs w:val="24"/>
        </w:rPr>
        <w:t>, somete a la consideración del Pleno, el presente proyecto de Dictamen con carácter de:</w:t>
      </w:r>
    </w:p>
    <w:p w14:paraId="7D113182" w14:textId="77777777" w:rsidR="00B82123" w:rsidRPr="0085049B" w:rsidRDefault="00767260" w:rsidP="00B82123">
      <w:pPr>
        <w:widowControl w:val="0"/>
        <w:autoSpaceDE w:val="0"/>
        <w:autoSpaceDN w:val="0"/>
        <w:adjustRightInd w:val="0"/>
        <w:ind w:right="49"/>
        <w:jc w:val="center"/>
        <w:rPr>
          <w:rFonts w:ascii="Century Gothic" w:hAnsi="Century Gothic" w:cs="Arial"/>
          <w:b/>
          <w:bCs/>
          <w:sz w:val="28"/>
        </w:rPr>
      </w:pPr>
      <w:r>
        <w:rPr>
          <w:rFonts w:ascii="Century Gothic" w:hAnsi="Century Gothic" w:cs="Arial"/>
          <w:b/>
          <w:bCs/>
          <w:sz w:val="28"/>
        </w:rPr>
        <w:t>ACUERDO</w:t>
      </w:r>
    </w:p>
    <w:p w14:paraId="17A549B5" w14:textId="77777777" w:rsidR="00B82123" w:rsidRPr="00C8607D" w:rsidRDefault="00B82123" w:rsidP="00B82123">
      <w:pPr>
        <w:widowControl w:val="0"/>
        <w:autoSpaceDE w:val="0"/>
        <w:autoSpaceDN w:val="0"/>
        <w:adjustRightInd w:val="0"/>
        <w:spacing w:line="352" w:lineRule="auto"/>
        <w:ind w:right="59"/>
        <w:jc w:val="both"/>
        <w:rPr>
          <w:rFonts w:ascii="Century Gothic" w:hAnsi="Century Gothic" w:cs="Arial"/>
          <w:szCs w:val="24"/>
        </w:rPr>
      </w:pPr>
    </w:p>
    <w:p w14:paraId="3B09536F" w14:textId="2B16E916" w:rsidR="00B82123" w:rsidRDefault="00E919F2" w:rsidP="00B82123">
      <w:pPr>
        <w:widowControl w:val="0"/>
        <w:autoSpaceDE w:val="0"/>
        <w:autoSpaceDN w:val="0"/>
        <w:adjustRightInd w:val="0"/>
        <w:spacing w:line="396" w:lineRule="auto"/>
        <w:ind w:right="99" w:firstLine="14"/>
        <w:jc w:val="both"/>
        <w:rPr>
          <w:rFonts w:ascii="Century Gothic" w:hAnsi="Century Gothic"/>
        </w:rPr>
      </w:pPr>
      <w:r w:rsidRPr="0085049B">
        <w:rPr>
          <w:rFonts w:ascii="Century Gothic" w:hAnsi="Century Gothic" w:cs="Arial"/>
          <w:b/>
          <w:bCs/>
          <w:sz w:val="28"/>
          <w:szCs w:val="24"/>
        </w:rPr>
        <w:t>ÚNICO. -</w:t>
      </w:r>
      <w:r w:rsidR="00B82123" w:rsidRPr="0085049B">
        <w:rPr>
          <w:rFonts w:ascii="Century Gothic" w:eastAsia="Arial" w:hAnsi="Century Gothic" w:cs="Arial"/>
          <w:sz w:val="28"/>
          <w:szCs w:val="24"/>
        </w:rPr>
        <w:t xml:space="preserve"> </w:t>
      </w:r>
      <w:r w:rsidR="00B82123">
        <w:rPr>
          <w:rFonts w:ascii="Century Gothic" w:hAnsi="Century Gothic" w:cs="Arial"/>
          <w:bCs/>
          <w:szCs w:val="24"/>
        </w:rPr>
        <w:t>La Sexagésima Séptima</w:t>
      </w:r>
      <w:r w:rsidR="00B82123" w:rsidRPr="00316A15">
        <w:rPr>
          <w:rFonts w:ascii="Century Gothic" w:hAnsi="Century Gothic" w:cs="Arial"/>
          <w:bCs/>
          <w:szCs w:val="24"/>
        </w:rPr>
        <w:t xml:space="preserve"> Legislatura del Honorable Congreso del Estado de Chihuahua</w:t>
      </w:r>
      <w:r w:rsidR="00B82123">
        <w:rPr>
          <w:rFonts w:ascii="Century Gothic" w:eastAsia="Arial" w:hAnsi="Century Gothic" w:cs="Arial"/>
          <w:szCs w:val="24"/>
        </w:rPr>
        <w:t>,</w:t>
      </w:r>
      <w:r w:rsidR="00506E32">
        <w:rPr>
          <w:rFonts w:ascii="Century Gothic" w:eastAsia="Arial" w:hAnsi="Century Gothic" w:cs="Arial"/>
          <w:szCs w:val="24"/>
        </w:rPr>
        <w:t xml:space="preserve"> </w:t>
      </w:r>
      <w:r w:rsidR="00634B82">
        <w:rPr>
          <w:rFonts w:ascii="Century Gothic" w:eastAsia="Arial" w:hAnsi="Century Gothic" w:cs="Arial"/>
          <w:szCs w:val="24"/>
        </w:rPr>
        <w:t xml:space="preserve">exhorta al Poder Ejecutivo </w:t>
      </w:r>
      <w:r w:rsidR="00634B82" w:rsidRPr="006C1900">
        <w:rPr>
          <w:rFonts w:ascii="Century Gothic" w:eastAsia="Arial" w:hAnsi="Century Gothic" w:cs="Arial"/>
          <w:szCs w:val="24"/>
        </w:rPr>
        <w:t>Federa</w:t>
      </w:r>
      <w:r w:rsidR="00446361" w:rsidRPr="006C1900">
        <w:rPr>
          <w:rFonts w:ascii="Century Gothic" w:eastAsia="Arial" w:hAnsi="Century Gothic" w:cs="Arial"/>
          <w:szCs w:val="24"/>
        </w:rPr>
        <w:t>l</w:t>
      </w:r>
      <w:r w:rsidR="0087379A" w:rsidRPr="006C1900">
        <w:rPr>
          <w:rFonts w:ascii="Century Gothic" w:eastAsia="Arial" w:hAnsi="Century Gothic" w:cs="Arial"/>
          <w:szCs w:val="24"/>
        </w:rPr>
        <w:t>,</w:t>
      </w:r>
      <w:r w:rsidR="00634B82" w:rsidRPr="006C1900">
        <w:rPr>
          <w:rFonts w:ascii="Century Gothic" w:eastAsia="Arial" w:hAnsi="Century Gothic" w:cs="Arial"/>
          <w:szCs w:val="24"/>
        </w:rPr>
        <w:t xml:space="preserve"> a través de la</w:t>
      </w:r>
      <w:r w:rsidR="0087379A" w:rsidRPr="006C1900">
        <w:rPr>
          <w:rFonts w:ascii="Century Gothic" w:eastAsia="Arial" w:hAnsi="Century Gothic" w:cs="Arial"/>
          <w:szCs w:val="24"/>
        </w:rPr>
        <w:t>s</w:t>
      </w:r>
      <w:r w:rsidR="00634B82" w:rsidRPr="006C1900">
        <w:rPr>
          <w:rFonts w:ascii="Century Gothic" w:eastAsia="Arial" w:hAnsi="Century Gothic" w:cs="Arial"/>
          <w:szCs w:val="24"/>
        </w:rPr>
        <w:t xml:space="preserve"> Secretar</w:t>
      </w:r>
      <w:r w:rsidR="00D77DCE">
        <w:rPr>
          <w:rFonts w:ascii="Century Gothic" w:eastAsia="Arial" w:hAnsi="Century Gothic" w:cs="Arial"/>
          <w:szCs w:val="24"/>
        </w:rPr>
        <w:t>í</w:t>
      </w:r>
      <w:r w:rsidR="0087379A" w:rsidRPr="006C1900">
        <w:rPr>
          <w:rFonts w:ascii="Century Gothic" w:eastAsia="Arial" w:hAnsi="Century Gothic" w:cs="Arial"/>
          <w:szCs w:val="24"/>
        </w:rPr>
        <w:t xml:space="preserve">as </w:t>
      </w:r>
      <w:r w:rsidR="00634B82" w:rsidRPr="006C1900">
        <w:rPr>
          <w:rFonts w:ascii="Century Gothic" w:eastAsia="Arial" w:hAnsi="Century Gothic" w:cs="Arial"/>
          <w:szCs w:val="24"/>
        </w:rPr>
        <w:t>de Hacienda y Crédito Público</w:t>
      </w:r>
      <w:r w:rsidR="00446361" w:rsidRPr="006C1900">
        <w:rPr>
          <w:rFonts w:ascii="Century Gothic" w:eastAsia="Arial" w:hAnsi="Century Gothic" w:cs="Arial"/>
          <w:szCs w:val="24"/>
        </w:rPr>
        <w:t xml:space="preserve"> y</w:t>
      </w:r>
      <w:r w:rsidRPr="006C1900">
        <w:rPr>
          <w:rFonts w:ascii="Century Gothic" w:eastAsia="Arial" w:hAnsi="Century Gothic" w:cs="Arial"/>
          <w:szCs w:val="24"/>
        </w:rPr>
        <w:t xml:space="preserve"> </w:t>
      </w:r>
      <w:r w:rsidR="0087379A" w:rsidRPr="006C1900">
        <w:rPr>
          <w:rFonts w:ascii="Century Gothic" w:eastAsia="Arial" w:hAnsi="Century Gothic" w:cs="Arial"/>
          <w:szCs w:val="24"/>
        </w:rPr>
        <w:t>de</w:t>
      </w:r>
      <w:r w:rsidRPr="006C1900">
        <w:rPr>
          <w:rFonts w:ascii="Century Gothic" w:eastAsia="Arial" w:hAnsi="Century Gothic" w:cs="Arial"/>
          <w:szCs w:val="24"/>
        </w:rPr>
        <w:t xml:space="preserve"> </w:t>
      </w:r>
      <w:r w:rsidR="00446361" w:rsidRPr="006C1900">
        <w:rPr>
          <w:rFonts w:ascii="Century Gothic" w:eastAsia="Arial" w:hAnsi="Century Gothic" w:cs="Arial"/>
          <w:szCs w:val="24"/>
        </w:rPr>
        <w:t>Infraestructura, Comunicaciones y Transportes</w:t>
      </w:r>
      <w:r w:rsidRPr="006C1900">
        <w:rPr>
          <w:rFonts w:ascii="Century Gothic" w:eastAsia="Arial" w:hAnsi="Century Gothic" w:cs="Arial"/>
          <w:szCs w:val="24"/>
        </w:rPr>
        <w:t>;</w:t>
      </w:r>
      <w:r w:rsidR="00634B82" w:rsidRPr="006C1900">
        <w:rPr>
          <w:rFonts w:ascii="Century Gothic" w:eastAsia="Arial" w:hAnsi="Century Gothic" w:cs="Arial"/>
          <w:szCs w:val="24"/>
        </w:rPr>
        <w:t xml:space="preserve"> al Poder Ejecutivo Estatal</w:t>
      </w:r>
      <w:r w:rsidR="00FF587B" w:rsidRPr="006C1900">
        <w:rPr>
          <w:rFonts w:ascii="Century Gothic" w:eastAsia="Arial" w:hAnsi="Century Gothic" w:cs="Arial"/>
          <w:szCs w:val="24"/>
        </w:rPr>
        <w:t xml:space="preserve">, </w:t>
      </w:r>
      <w:r w:rsidR="00634B82" w:rsidRPr="006C1900">
        <w:rPr>
          <w:rFonts w:ascii="Century Gothic" w:eastAsia="Arial" w:hAnsi="Century Gothic" w:cs="Arial"/>
          <w:szCs w:val="24"/>
        </w:rPr>
        <w:t>y al Ayuntamiento</w:t>
      </w:r>
      <w:r w:rsidR="00634B82">
        <w:rPr>
          <w:rFonts w:ascii="Century Gothic" w:eastAsia="Arial" w:hAnsi="Century Gothic" w:cs="Arial"/>
          <w:szCs w:val="24"/>
        </w:rPr>
        <w:t xml:space="preserve"> de Juárez, para que dentro de sus atribuciones </w:t>
      </w:r>
      <w:r w:rsidR="00634B82" w:rsidRPr="00DB4DAC">
        <w:rPr>
          <w:rFonts w:ascii="Century Gothic" w:hAnsi="Century Gothic"/>
        </w:rPr>
        <w:t xml:space="preserve">lleven a cabo las gestiones necesarias para desarrollar el </w:t>
      </w:r>
      <w:r w:rsidR="00634B82">
        <w:rPr>
          <w:rFonts w:ascii="Century Gothic" w:hAnsi="Century Gothic"/>
        </w:rPr>
        <w:t>P</w:t>
      </w:r>
      <w:r w:rsidR="00634B82" w:rsidRPr="00DB4DAC">
        <w:rPr>
          <w:rFonts w:ascii="Century Gothic" w:hAnsi="Century Gothic"/>
        </w:rPr>
        <w:t xml:space="preserve">royecto </w:t>
      </w:r>
      <w:r w:rsidR="00D0542F">
        <w:rPr>
          <w:rFonts w:ascii="Century Gothic" w:hAnsi="Century Gothic"/>
        </w:rPr>
        <w:t>del Puerto de Entrada Camino Real de Tierra Adentro</w:t>
      </w:r>
      <w:r w:rsidR="00634B82" w:rsidRPr="00DB4DAC">
        <w:rPr>
          <w:rFonts w:ascii="Century Gothic" w:hAnsi="Century Gothic"/>
        </w:rPr>
        <w:t xml:space="preserve"> </w:t>
      </w:r>
      <w:r w:rsidR="00D0542F">
        <w:rPr>
          <w:rFonts w:ascii="Century Gothic" w:hAnsi="Century Gothic"/>
        </w:rPr>
        <w:t>(</w:t>
      </w:r>
      <w:proofErr w:type="spellStart"/>
      <w:r w:rsidR="00634B82" w:rsidRPr="00DB4DAC">
        <w:rPr>
          <w:rFonts w:ascii="Century Gothic" w:hAnsi="Century Gothic"/>
        </w:rPr>
        <w:t>Sunland</w:t>
      </w:r>
      <w:proofErr w:type="spellEnd"/>
      <w:r w:rsidR="00634B82" w:rsidRPr="00DB4DAC">
        <w:rPr>
          <w:rFonts w:ascii="Century Gothic" w:hAnsi="Century Gothic"/>
        </w:rPr>
        <w:t xml:space="preserve"> Park</w:t>
      </w:r>
      <w:r w:rsidR="00D0542F">
        <w:rPr>
          <w:rFonts w:ascii="Century Gothic" w:hAnsi="Century Gothic"/>
        </w:rPr>
        <w:t xml:space="preserve"> - </w:t>
      </w:r>
      <w:proofErr w:type="spellStart"/>
      <w:r w:rsidR="00D0542F">
        <w:rPr>
          <w:rFonts w:ascii="Century Gothic" w:hAnsi="Century Gothic"/>
        </w:rPr>
        <w:t>Anapra</w:t>
      </w:r>
      <w:proofErr w:type="spellEnd"/>
      <w:r w:rsidR="00D0542F">
        <w:rPr>
          <w:rFonts w:ascii="Century Gothic" w:hAnsi="Century Gothic"/>
        </w:rPr>
        <w:t>).</w:t>
      </w:r>
    </w:p>
    <w:p w14:paraId="5428174C" w14:textId="77777777" w:rsidR="00446361" w:rsidRDefault="00B82123" w:rsidP="00B82123">
      <w:pPr>
        <w:widowControl w:val="0"/>
        <w:autoSpaceDE w:val="0"/>
        <w:autoSpaceDN w:val="0"/>
        <w:adjustRightInd w:val="0"/>
        <w:spacing w:line="363" w:lineRule="auto"/>
        <w:ind w:right="85"/>
        <w:jc w:val="both"/>
        <w:rPr>
          <w:rFonts w:ascii="Century Gothic" w:hAnsi="Century Gothic" w:cs="Arial"/>
          <w:szCs w:val="24"/>
        </w:rPr>
      </w:pPr>
      <w:proofErr w:type="gramStart"/>
      <w:r>
        <w:rPr>
          <w:rFonts w:ascii="Century Gothic" w:hAnsi="Century Gothic" w:cs="Arial"/>
          <w:szCs w:val="24"/>
        </w:rPr>
        <w:t>Econó</w:t>
      </w:r>
      <w:r w:rsidRPr="0085049B">
        <w:rPr>
          <w:rFonts w:ascii="Century Gothic" w:hAnsi="Century Gothic" w:cs="Arial"/>
          <w:szCs w:val="24"/>
        </w:rPr>
        <w:t>mico.-</w:t>
      </w:r>
      <w:proofErr w:type="gramEnd"/>
      <w:r w:rsidRPr="00E14DBB">
        <w:rPr>
          <w:rFonts w:ascii="Century Gothic" w:hAnsi="Century Gothic" w:cs="Arial"/>
          <w:szCs w:val="24"/>
        </w:rPr>
        <w:t xml:space="preserve"> Aprobado que sea, túrnese a la Secretaría para los efectos </w:t>
      </w:r>
      <w:r w:rsidR="003C3971">
        <w:rPr>
          <w:rFonts w:ascii="Century Gothic" w:hAnsi="Century Gothic" w:cs="Arial"/>
          <w:szCs w:val="24"/>
        </w:rPr>
        <w:t>correspondientes</w:t>
      </w:r>
      <w:r w:rsidRPr="00E14DBB">
        <w:rPr>
          <w:rFonts w:ascii="Century Gothic" w:hAnsi="Century Gothic" w:cs="Arial"/>
          <w:szCs w:val="24"/>
        </w:rPr>
        <w:t>.</w:t>
      </w:r>
    </w:p>
    <w:p w14:paraId="5A3E007E" w14:textId="4CE05D58" w:rsidR="00B2198E" w:rsidRPr="00E14DBB" w:rsidRDefault="00B82123" w:rsidP="00B82123">
      <w:pPr>
        <w:widowControl w:val="0"/>
        <w:autoSpaceDE w:val="0"/>
        <w:autoSpaceDN w:val="0"/>
        <w:adjustRightInd w:val="0"/>
        <w:spacing w:line="363" w:lineRule="auto"/>
        <w:ind w:right="85"/>
        <w:jc w:val="both"/>
        <w:rPr>
          <w:rStyle w:val="Ninguno"/>
          <w:rFonts w:ascii="Century Gothic" w:hAnsi="Century Gothic" w:cs="Arial"/>
          <w:szCs w:val="24"/>
        </w:rPr>
      </w:pPr>
      <w:r w:rsidRPr="0096746C">
        <w:rPr>
          <w:rFonts w:ascii="Century Gothic" w:hAnsi="Century Gothic" w:cs="Arial"/>
          <w:b/>
          <w:bCs/>
          <w:sz w:val="28"/>
          <w:szCs w:val="28"/>
        </w:rPr>
        <w:t>DADO</w:t>
      </w:r>
      <w:r w:rsidRPr="0065303D">
        <w:rPr>
          <w:rFonts w:ascii="Century Gothic" w:hAnsi="Century Gothic" w:cs="Arial"/>
          <w:szCs w:val="24"/>
        </w:rPr>
        <w:t xml:space="preserve"> en el recinto oficial</w:t>
      </w:r>
      <w:r w:rsidRPr="00E14DBB">
        <w:rPr>
          <w:rFonts w:ascii="Century Gothic" w:hAnsi="Century Gothic" w:cs="Arial"/>
          <w:szCs w:val="24"/>
        </w:rPr>
        <w:t xml:space="preserve"> del Poder Legislativo</w:t>
      </w:r>
      <w:r>
        <w:rPr>
          <w:rFonts w:ascii="Century Gothic" w:hAnsi="Century Gothic" w:cs="Arial"/>
          <w:szCs w:val="24"/>
        </w:rPr>
        <w:t xml:space="preserve"> en la Ciudad de Chihuahua, Chih., a los </w:t>
      </w:r>
      <w:r w:rsidR="00D77DCE">
        <w:rPr>
          <w:rFonts w:ascii="Century Gothic" w:hAnsi="Century Gothic" w:cs="Arial"/>
          <w:szCs w:val="24"/>
        </w:rPr>
        <w:t>trece</w:t>
      </w:r>
      <w:r>
        <w:rPr>
          <w:rFonts w:ascii="Century Gothic" w:hAnsi="Century Gothic" w:cs="Arial"/>
          <w:szCs w:val="24"/>
        </w:rPr>
        <w:t xml:space="preserve"> días del mes de </w:t>
      </w:r>
      <w:r w:rsidR="00D77DCE">
        <w:rPr>
          <w:rFonts w:ascii="Century Gothic" w:hAnsi="Century Gothic" w:cs="Arial"/>
          <w:szCs w:val="24"/>
        </w:rPr>
        <w:t>diciembre</w:t>
      </w:r>
      <w:r>
        <w:rPr>
          <w:rFonts w:ascii="Century Gothic" w:hAnsi="Century Gothic" w:cs="Arial"/>
          <w:szCs w:val="24"/>
        </w:rPr>
        <w:t xml:space="preserve"> de 202</w:t>
      </w:r>
      <w:r w:rsidRPr="00203E0B">
        <w:rPr>
          <w:rFonts w:ascii="Century Gothic" w:hAnsi="Century Gothic" w:cs="Arial"/>
          <w:szCs w:val="24"/>
        </w:rPr>
        <w:t>2</w:t>
      </w:r>
      <w:r w:rsidRPr="00E14DBB">
        <w:rPr>
          <w:rFonts w:ascii="Century Gothic" w:hAnsi="Century Gothic" w:cs="Arial"/>
          <w:szCs w:val="24"/>
        </w:rPr>
        <w:t>.</w:t>
      </w:r>
    </w:p>
    <w:p w14:paraId="7DFA00F2" w14:textId="7E1DE4F9" w:rsidR="00B82123" w:rsidRDefault="00C60146" w:rsidP="00446361">
      <w:pPr>
        <w:pStyle w:val="Normal1"/>
        <w:spacing w:line="360" w:lineRule="auto"/>
        <w:rPr>
          <w:rFonts w:ascii="Century Gothic" w:eastAsia="Arial" w:hAnsi="Century Gothic" w:cs="Arial"/>
          <w:b/>
        </w:rPr>
      </w:pPr>
      <w:r>
        <w:rPr>
          <w:rFonts w:ascii="Century Gothic" w:eastAsia="Arial" w:hAnsi="Century Gothic" w:cs="Arial"/>
          <w:b/>
        </w:rPr>
        <w:lastRenderedPageBreak/>
        <w:t>Así lo aprobó</w:t>
      </w:r>
      <w:r w:rsidR="00B82123" w:rsidRPr="002E753C">
        <w:rPr>
          <w:rFonts w:ascii="Century Gothic" w:eastAsia="Arial" w:hAnsi="Century Gothic" w:cs="Arial"/>
          <w:b/>
        </w:rPr>
        <w:t xml:space="preserve"> la</w:t>
      </w:r>
      <w:r>
        <w:rPr>
          <w:rFonts w:ascii="Century Gothic" w:eastAsia="Arial" w:hAnsi="Century Gothic" w:cs="Arial"/>
          <w:b/>
        </w:rPr>
        <w:t xml:space="preserve"> Comisión</w:t>
      </w:r>
      <w:r w:rsidR="00B82123" w:rsidRPr="002E753C">
        <w:rPr>
          <w:rFonts w:ascii="Century Gothic" w:eastAsia="Arial" w:hAnsi="Century Gothic" w:cs="Arial"/>
          <w:b/>
        </w:rPr>
        <w:t xml:space="preserve"> </w:t>
      </w:r>
      <w:r>
        <w:rPr>
          <w:rFonts w:ascii="Century Gothic" w:eastAsia="Arial" w:hAnsi="Century Gothic" w:cs="Arial"/>
          <w:b/>
        </w:rPr>
        <w:t>de Asuntos Fronterizos y Atención a Migrantes</w:t>
      </w:r>
      <w:r w:rsidR="00B82123" w:rsidRPr="002E753C">
        <w:rPr>
          <w:rFonts w:ascii="Century Gothic" w:eastAsia="Arial" w:hAnsi="Century Gothic" w:cs="Arial"/>
          <w:b/>
        </w:rPr>
        <w:t xml:space="preserve">, en reunión de fecha </w:t>
      </w:r>
      <w:r w:rsidR="003C3971">
        <w:rPr>
          <w:rFonts w:ascii="Century Gothic" w:eastAsia="Arial" w:hAnsi="Century Gothic" w:cs="Arial"/>
          <w:b/>
        </w:rPr>
        <w:t xml:space="preserve">de </w:t>
      </w:r>
      <w:r w:rsidR="00D77DCE">
        <w:rPr>
          <w:rFonts w:ascii="Century Gothic" w:eastAsia="Arial" w:hAnsi="Century Gothic" w:cs="Arial"/>
          <w:b/>
        </w:rPr>
        <w:t>doce</w:t>
      </w:r>
      <w:r w:rsidR="00B82123" w:rsidRPr="002E753C">
        <w:rPr>
          <w:rFonts w:ascii="Century Gothic" w:eastAsia="Arial" w:hAnsi="Century Gothic" w:cs="Arial"/>
          <w:b/>
        </w:rPr>
        <w:t xml:space="preserve"> de </w:t>
      </w:r>
      <w:r w:rsidR="00D77DCE">
        <w:rPr>
          <w:rFonts w:ascii="Century Gothic" w:eastAsia="Arial" w:hAnsi="Century Gothic" w:cs="Arial"/>
          <w:b/>
        </w:rPr>
        <w:t>diciembre</w:t>
      </w:r>
      <w:r w:rsidR="00B82123">
        <w:rPr>
          <w:rFonts w:ascii="Century Gothic" w:eastAsia="Arial" w:hAnsi="Century Gothic" w:cs="Arial"/>
          <w:b/>
        </w:rPr>
        <w:t xml:space="preserve"> del año dos mil veintidós.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446361" w:rsidRPr="002E753C" w14:paraId="3116469B" w14:textId="77777777" w:rsidTr="0078461D">
        <w:trPr>
          <w:jc w:val="center"/>
        </w:trPr>
        <w:tc>
          <w:tcPr>
            <w:tcW w:w="1547" w:type="dxa"/>
            <w:vAlign w:val="center"/>
          </w:tcPr>
          <w:p w14:paraId="7B032D7C" w14:textId="77777777" w:rsidR="00D36AA2" w:rsidRPr="002E753C" w:rsidRDefault="00D36AA2" w:rsidP="0078461D">
            <w:pPr>
              <w:pStyle w:val="Normal1"/>
              <w:jc w:val="center"/>
              <w:rPr>
                <w:rFonts w:ascii="Century Gothic" w:hAnsi="Century Gothic" w:cs="Arial"/>
                <w:b/>
                <w:szCs w:val="24"/>
              </w:rPr>
            </w:pPr>
          </w:p>
        </w:tc>
        <w:tc>
          <w:tcPr>
            <w:tcW w:w="1969" w:type="dxa"/>
            <w:vAlign w:val="center"/>
          </w:tcPr>
          <w:p w14:paraId="43F4EBB4"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262" w:type="dxa"/>
            <w:vAlign w:val="center"/>
          </w:tcPr>
          <w:p w14:paraId="26032365"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6171ACB6"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60FBA5D8" w14:textId="77777777" w:rsidR="00D36AA2" w:rsidRPr="002E753C" w:rsidRDefault="00D36AA2" w:rsidP="0078461D">
            <w:pPr>
              <w:pStyle w:val="Normal1"/>
              <w:jc w:val="center"/>
              <w:rPr>
                <w:rFonts w:ascii="Century Gothic" w:hAnsi="Century Gothic" w:cs="Arial"/>
                <w:b/>
                <w:szCs w:val="24"/>
              </w:rPr>
            </w:pPr>
            <w:r w:rsidRPr="002E753C">
              <w:rPr>
                <w:rFonts w:ascii="Century Gothic" w:hAnsi="Century Gothic" w:cs="Arial"/>
                <w:b/>
                <w:szCs w:val="24"/>
              </w:rPr>
              <w:t>ABSTENCIÓN</w:t>
            </w:r>
          </w:p>
        </w:tc>
      </w:tr>
      <w:tr w:rsidR="00446361" w:rsidRPr="002E753C" w14:paraId="2AF4EEB1" w14:textId="77777777" w:rsidTr="0078461D">
        <w:trPr>
          <w:jc w:val="center"/>
        </w:trPr>
        <w:tc>
          <w:tcPr>
            <w:tcW w:w="1547" w:type="dxa"/>
            <w:vAlign w:val="center"/>
          </w:tcPr>
          <w:p w14:paraId="3E9F7ACE" w14:textId="77777777" w:rsidR="00D36AA2" w:rsidRPr="002E753C" w:rsidRDefault="00C9185B" w:rsidP="0078461D">
            <w:pPr>
              <w:pStyle w:val="Normal1"/>
              <w:spacing w:line="276" w:lineRule="auto"/>
              <w:jc w:val="center"/>
              <w:rPr>
                <w:rFonts w:ascii="Century Gothic" w:hAnsi="Century Gothic" w:cs="Arial"/>
                <w:b/>
                <w:szCs w:val="24"/>
              </w:rPr>
            </w:pPr>
            <w:r>
              <w:rPr>
                <w:noProof/>
                <w:lang w:val="es-MX" w:eastAsia="es-MX"/>
              </w:rPr>
              <w:drawing>
                <wp:inline distT="0" distB="0" distL="0" distR="0" wp14:anchorId="4C9F6722" wp14:editId="1A80938A">
                  <wp:extent cx="658800" cy="871200"/>
                  <wp:effectExtent l="0" t="0" r="8255" b="5715"/>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07370A27" w14:textId="77777777" w:rsidR="00D36AA2" w:rsidRDefault="00D36AA2" w:rsidP="0078461D">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A30EA7">
              <w:rPr>
                <w:rFonts w:ascii="Century Gothic" w:hAnsi="Century Gothic" w:cs="Arial"/>
                <w:b/>
                <w:szCs w:val="24"/>
              </w:rPr>
              <w:t>ANA GEORGINA ZAPATA LUCERO</w:t>
            </w:r>
          </w:p>
          <w:p w14:paraId="658D416C" w14:textId="77777777" w:rsidR="00D36AA2" w:rsidRPr="00175D69"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A30EA7">
              <w:rPr>
                <w:rFonts w:ascii="Century Gothic" w:hAnsi="Century Gothic" w:cs="Arial"/>
                <w:b/>
                <w:color w:val="auto"/>
                <w:szCs w:val="24"/>
              </w:rPr>
              <w:t>ENTA</w:t>
            </w:r>
            <w:r w:rsidRPr="00175D69">
              <w:rPr>
                <w:rFonts w:ascii="Century Gothic" w:hAnsi="Century Gothic" w:cs="Arial"/>
                <w:b/>
                <w:color w:val="auto"/>
                <w:szCs w:val="24"/>
              </w:rPr>
              <w:t>.</w:t>
            </w:r>
          </w:p>
        </w:tc>
        <w:tc>
          <w:tcPr>
            <w:tcW w:w="2262" w:type="dxa"/>
            <w:vAlign w:val="center"/>
          </w:tcPr>
          <w:p w14:paraId="7713C278"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4C18678F"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5F49BD6D" w14:textId="77777777" w:rsidR="00D36AA2" w:rsidRPr="002E753C" w:rsidRDefault="00D36AA2" w:rsidP="0078461D">
            <w:pPr>
              <w:pStyle w:val="Normal1"/>
              <w:spacing w:line="276" w:lineRule="auto"/>
              <w:jc w:val="center"/>
              <w:rPr>
                <w:rFonts w:ascii="Century Gothic" w:hAnsi="Century Gothic" w:cs="Arial"/>
                <w:b/>
                <w:szCs w:val="24"/>
              </w:rPr>
            </w:pPr>
          </w:p>
        </w:tc>
      </w:tr>
      <w:tr w:rsidR="00446361" w:rsidRPr="002E753C" w14:paraId="1D92D6DA" w14:textId="77777777" w:rsidTr="0078461D">
        <w:trPr>
          <w:jc w:val="center"/>
        </w:trPr>
        <w:tc>
          <w:tcPr>
            <w:tcW w:w="1547" w:type="dxa"/>
            <w:vAlign w:val="center"/>
          </w:tcPr>
          <w:p w14:paraId="1175CBF4" w14:textId="77777777" w:rsidR="00D36AA2" w:rsidRPr="002E753C" w:rsidRDefault="00C9185B" w:rsidP="0078461D">
            <w:pPr>
              <w:pStyle w:val="Normal1"/>
              <w:spacing w:line="276" w:lineRule="auto"/>
              <w:jc w:val="center"/>
              <w:rPr>
                <w:rFonts w:ascii="Century Gothic" w:hAnsi="Century Gothic" w:cs="Arial"/>
                <w:b/>
                <w:szCs w:val="24"/>
              </w:rPr>
            </w:pPr>
            <w:r>
              <w:rPr>
                <w:noProof/>
                <w:lang w:val="es-MX" w:eastAsia="es-MX"/>
              </w:rPr>
              <w:drawing>
                <wp:inline distT="0" distB="0" distL="0" distR="0" wp14:anchorId="4BCEF170" wp14:editId="7D50A96C">
                  <wp:extent cx="658800" cy="871200"/>
                  <wp:effectExtent l="0" t="0" r="8255" b="5715"/>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6F1E0656" w14:textId="77777777" w:rsidR="00D36AA2" w:rsidRDefault="00D36AA2" w:rsidP="0078461D">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A30EA7">
              <w:rPr>
                <w:rFonts w:ascii="Century Gothic" w:hAnsi="Century Gothic" w:cs="Arial"/>
                <w:b/>
                <w:szCs w:val="24"/>
              </w:rPr>
              <w:t>ROSANA DÍAZ REYES</w:t>
            </w:r>
            <w:r>
              <w:rPr>
                <w:rFonts w:ascii="Century Gothic" w:hAnsi="Century Gothic" w:cs="Arial"/>
                <w:b/>
                <w:szCs w:val="24"/>
              </w:rPr>
              <w:t>.</w:t>
            </w:r>
          </w:p>
          <w:p w14:paraId="6DE60202" w14:textId="77777777" w:rsidR="00D36AA2" w:rsidRPr="0085168D"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262" w:type="dxa"/>
            <w:vAlign w:val="center"/>
          </w:tcPr>
          <w:p w14:paraId="2BE7EECE"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7BC113D9"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392362D2" w14:textId="77777777" w:rsidR="00D36AA2" w:rsidRPr="002E753C" w:rsidRDefault="00D36AA2" w:rsidP="0078461D">
            <w:pPr>
              <w:pStyle w:val="Normal1"/>
              <w:spacing w:line="276" w:lineRule="auto"/>
              <w:jc w:val="center"/>
              <w:rPr>
                <w:rFonts w:ascii="Century Gothic" w:hAnsi="Century Gothic" w:cs="Arial"/>
                <w:b/>
                <w:szCs w:val="24"/>
              </w:rPr>
            </w:pPr>
          </w:p>
        </w:tc>
      </w:tr>
      <w:tr w:rsidR="00446361" w:rsidRPr="002E753C" w14:paraId="7068E162" w14:textId="77777777" w:rsidTr="0078461D">
        <w:trPr>
          <w:jc w:val="center"/>
        </w:trPr>
        <w:tc>
          <w:tcPr>
            <w:tcW w:w="1547" w:type="dxa"/>
            <w:vAlign w:val="center"/>
          </w:tcPr>
          <w:p w14:paraId="25492464" w14:textId="0C37571A" w:rsidR="00D36AA2" w:rsidRPr="002E753C" w:rsidRDefault="00B54A6C" w:rsidP="0078461D">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2153F3C" wp14:editId="7CD4731A">
                  <wp:extent cx="658800" cy="871200"/>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0205D6D7" w14:textId="77777777" w:rsidR="00D36AA2" w:rsidRDefault="00D36AA2" w:rsidP="0078461D">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5D72F5">
              <w:rPr>
                <w:rFonts w:ascii="Century Gothic" w:hAnsi="Century Gothic" w:cs="Arial"/>
                <w:b/>
                <w:szCs w:val="24"/>
              </w:rPr>
              <w:t>MAGDALENA RENTERÍA PÉREZ</w:t>
            </w:r>
            <w:r>
              <w:rPr>
                <w:rFonts w:ascii="Century Gothic" w:hAnsi="Century Gothic" w:cs="Arial"/>
                <w:b/>
                <w:szCs w:val="24"/>
              </w:rPr>
              <w:t>.</w:t>
            </w:r>
          </w:p>
          <w:p w14:paraId="350FA6A9" w14:textId="77777777" w:rsidR="00D36AA2" w:rsidRPr="0085168D"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34796FD9"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31C4A921"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609933E6" w14:textId="77777777" w:rsidR="00D36AA2" w:rsidRPr="002E753C" w:rsidRDefault="00D36AA2" w:rsidP="0078461D">
            <w:pPr>
              <w:pStyle w:val="Normal1"/>
              <w:spacing w:line="276" w:lineRule="auto"/>
              <w:jc w:val="center"/>
              <w:rPr>
                <w:rFonts w:ascii="Century Gothic" w:hAnsi="Century Gothic" w:cs="Arial"/>
                <w:b/>
                <w:szCs w:val="24"/>
              </w:rPr>
            </w:pPr>
          </w:p>
        </w:tc>
      </w:tr>
      <w:tr w:rsidR="00446361" w:rsidRPr="002E753C" w14:paraId="017ADB88" w14:textId="77777777" w:rsidTr="0078461D">
        <w:trPr>
          <w:jc w:val="center"/>
        </w:trPr>
        <w:tc>
          <w:tcPr>
            <w:tcW w:w="1547" w:type="dxa"/>
            <w:vAlign w:val="center"/>
          </w:tcPr>
          <w:p w14:paraId="029B5CD9" w14:textId="39247E4B" w:rsidR="00D36AA2" w:rsidRPr="002E753C" w:rsidRDefault="00B54A6C" w:rsidP="0078461D">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80DCC27" wp14:editId="41BE199D">
                  <wp:extent cx="658800" cy="871200"/>
                  <wp:effectExtent l="0" t="0" r="825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1D45A835" w14:textId="77777777" w:rsidR="00D36AA2" w:rsidRDefault="00D36AA2" w:rsidP="0078461D">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5D72F5">
              <w:rPr>
                <w:rFonts w:ascii="Century Gothic" w:hAnsi="Century Gothic" w:cs="Arial"/>
                <w:b/>
                <w:szCs w:val="24"/>
              </w:rPr>
              <w:t>LETICIA ORTEGA MÁYNEZ</w:t>
            </w:r>
            <w:r>
              <w:rPr>
                <w:rFonts w:ascii="Century Gothic" w:hAnsi="Century Gothic" w:cs="Arial"/>
                <w:b/>
                <w:szCs w:val="24"/>
              </w:rPr>
              <w:t>.</w:t>
            </w:r>
          </w:p>
          <w:p w14:paraId="1452B5A7" w14:textId="77777777" w:rsidR="00D36AA2" w:rsidRPr="0085168D"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440F7B38"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20F6EBFC"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3BC7F7D1" w14:textId="77777777" w:rsidR="00D36AA2" w:rsidRPr="002E753C" w:rsidRDefault="00D36AA2" w:rsidP="0078461D">
            <w:pPr>
              <w:pStyle w:val="Normal1"/>
              <w:spacing w:line="276" w:lineRule="auto"/>
              <w:jc w:val="center"/>
              <w:rPr>
                <w:rFonts w:ascii="Century Gothic" w:hAnsi="Century Gothic" w:cs="Arial"/>
                <w:b/>
                <w:szCs w:val="24"/>
              </w:rPr>
            </w:pPr>
          </w:p>
        </w:tc>
      </w:tr>
      <w:tr w:rsidR="00446361" w:rsidRPr="002E753C" w14:paraId="272D137B" w14:textId="77777777" w:rsidTr="0078461D">
        <w:trPr>
          <w:trHeight w:val="1330"/>
          <w:jc w:val="center"/>
        </w:trPr>
        <w:tc>
          <w:tcPr>
            <w:tcW w:w="1547" w:type="dxa"/>
            <w:vAlign w:val="center"/>
          </w:tcPr>
          <w:p w14:paraId="61449246" w14:textId="77777777" w:rsidR="00D36AA2" w:rsidRPr="002E753C" w:rsidRDefault="00C9185B" w:rsidP="0078461D">
            <w:pPr>
              <w:pStyle w:val="Normal1"/>
              <w:spacing w:line="276" w:lineRule="auto"/>
              <w:jc w:val="center"/>
              <w:rPr>
                <w:rFonts w:ascii="Century Gothic" w:hAnsi="Century Gothic" w:cs="Arial"/>
                <w:b/>
                <w:szCs w:val="24"/>
              </w:rPr>
            </w:pPr>
            <w:r>
              <w:rPr>
                <w:noProof/>
                <w:lang w:val="es-MX" w:eastAsia="es-MX"/>
              </w:rPr>
              <w:drawing>
                <wp:inline distT="0" distB="0" distL="0" distR="0" wp14:anchorId="7816D72D" wp14:editId="34E97FB1">
                  <wp:extent cx="658800" cy="871200"/>
                  <wp:effectExtent l="0" t="0" r="8255"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1EAC652B" w14:textId="77777777" w:rsidR="00D36AA2" w:rsidRDefault="00D36AA2" w:rsidP="0078461D">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5D72F5">
              <w:rPr>
                <w:rFonts w:ascii="Century Gothic" w:hAnsi="Century Gothic" w:cs="Arial"/>
                <w:b/>
                <w:szCs w:val="24"/>
              </w:rPr>
              <w:t>MARISELA TERRAZAS MUÑOZ</w:t>
            </w:r>
            <w:r>
              <w:rPr>
                <w:rFonts w:ascii="Century Gothic" w:hAnsi="Century Gothic" w:cs="Arial"/>
                <w:b/>
                <w:szCs w:val="24"/>
              </w:rPr>
              <w:t>.</w:t>
            </w:r>
          </w:p>
          <w:p w14:paraId="56B1EA7A" w14:textId="77777777" w:rsidR="00D36AA2" w:rsidRPr="0085168D" w:rsidRDefault="00D36AA2" w:rsidP="0078461D">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027D2B95" w14:textId="77777777" w:rsidR="00D36AA2" w:rsidRPr="002E753C" w:rsidRDefault="00D36AA2" w:rsidP="0078461D">
            <w:pPr>
              <w:pStyle w:val="Normal1"/>
              <w:spacing w:line="276" w:lineRule="auto"/>
              <w:jc w:val="center"/>
              <w:rPr>
                <w:rFonts w:ascii="Century Gothic" w:hAnsi="Century Gothic" w:cs="Arial"/>
                <w:b/>
                <w:szCs w:val="24"/>
              </w:rPr>
            </w:pPr>
          </w:p>
        </w:tc>
        <w:tc>
          <w:tcPr>
            <w:tcW w:w="2177" w:type="dxa"/>
            <w:vAlign w:val="center"/>
          </w:tcPr>
          <w:p w14:paraId="16FD9DC4" w14:textId="77777777" w:rsidR="00D36AA2" w:rsidRPr="002E753C" w:rsidRDefault="00D36AA2" w:rsidP="0078461D">
            <w:pPr>
              <w:pStyle w:val="Normal1"/>
              <w:spacing w:line="276" w:lineRule="auto"/>
              <w:jc w:val="center"/>
              <w:rPr>
                <w:rFonts w:ascii="Century Gothic" w:hAnsi="Century Gothic" w:cs="Arial"/>
                <w:b/>
                <w:szCs w:val="24"/>
              </w:rPr>
            </w:pPr>
          </w:p>
        </w:tc>
        <w:tc>
          <w:tcPr>
            <w:tcW w:w="1969" w:type="dxa"/>
            <w:vAlign w:val="center"/>
          </w:tcPr>
          <w:p w14:paraId="1A9A293F" w14:textId="77777777" w:rsidR="00D36AA2" w:rsidRPr="002E753C" w:rsidRDefault="00D36AA2" w:rsidP="0078461D">
            <w:pPr>
              <w:pStyle w:val="Normal1"/>
              <w:spacing w:line="276" w:lineRule="auto"/>
              <w:jc w:val="center"/>
              <w:rPr>
                <w:rFonts w:ascii="Century Gothic" w:hAnsi="Century Gothic" w:cs="Arial"/>
                <w:b/>
                <w:szCs w:val="24"/>
              </w:rPr>
            </w:pPr>
          </w:p>
        </w:tc>
      </w:tr>
    </w:tbl>
    <w:p w14:paraId="07511500" w14:textId="65EE1FAD" w:rsidR="003D2C01" w:rsidRPr="00446361" w:rsidRDefault="00B82123" w:rsidP="00446361">
      <w:pPr>
        <w:widowControl w:val="0"/>
        <w:autoSpaceDE w:val="0"/>
        <w:autoSpaceDN w:val="0"/>
        <w:adjustRightInd w:val="0"/>
        <w:ind w:right="99" w:firstLine="14"/>
        <w:jc w:val="both"/>
        <w:rPr>
          <w:rFonts w:ascii="Century Gothic" w:hAnsi="Century Gothic" w:cs="Arial"/>
          <w:color w:val="auto"/>
          <w:sz w:val="14"/>
          <w:szCs w:val="14"/>
        </w:rPr>
      </w:pPr>
      <w:r w:rsidRPr="00446361">
        <w:rPr>
          <w:rFonts w:ascii="Century Gothic" w:eastAsia="Arial" w:hAnsi="Century Gothic" w:cs="Arial"/>
          <w:b/>
          <w:color w:val="auto"/>
          <w:sz w:val="14"/>
          <w:szCs w:val="14"/>
        </w:rPr>
        <w:t>Nota:</w:t>
      </w:r>
      <w:r w:rsidRPr="00446361">
        <w:rPr>
          <w:rFonts w:ascii="Century Gothic" w:eastAsia="Arial" w:hAnsi="Century Gothic" w:cs="Arial"/>
          <w:color w:val="auto"/>
          <w:sz w:val="14"/>
          <w:szCs w:val="14"/>
        </w:rPr>
        <w:t xml:space="preserve"> La presente hoja de firm</w:t>
      </w:r>
      <w:r w:rsidR="00F53FCC" w:rsidRPr="00446361">
        <w:rPr>
          <w:rFonts w:ascii="Century Gothic" w:eastAsia="Arial" w:hAnsi="Century Gothic" w:cs="Arial"/>
          <w:color w:val="auto"/>
          <w:sz w:val="14"/>
          <w:szCs w:val="14"/>
        </w:rPr>
        <w:t>as corresponde al Dictamen de</w:t>
      </w:r>
      <w:r w:rsidR="005D72F5" w:rsidRPr="00446361">
        <w:rPr>
          <w:rFonts w:ascii="Century Gothic" w:eastAsia="Arial" w:hAnsi="Century Gothic" w:cs="Arial"/>
          <w:color w:val="auto"/>
          <w:sz w:val="14"/>
          <w:szCs w:val="14"/>
        </w:rPr>
        <w:t xml:space="preserve"> la Comisión</w:t>
      </w:r>
      <w:r w:rsidR="00F53FCC" w:rsidRPr="00446361">
        <w:rPr>
          <w:rFonts w:ascii="Century Gothic" w:eastAsia="Arial" w:hAnsi="Century Gothic" w:cs="Arial"/>
          <w:color w:val="auto"/>
          <w:sz w:val="14"/>
          <w:szCs w:val="14"/>
        </w:rPr>
        <w:t xml:space="preserve"> </w:t>
      </w:r>
      <w:r w:rsidR="005D72F5" w:rsidRPr="00446361">
        <w:rPr>
          <w:rFonts w:ascii="Century Gothic" w:eastAsia="Arial" w:hAnsi="Century Gothic" w:cs="Arial"/>
          <w:color w:val="auto"/>
          <w:sz w:val="14"/>
          <w:szCs w:val="14"/>
        </w:rPr>
        <w:t>de Asuntos Fronterizos y Atención a Migrantes</w:t>
      </w:r>
      <w:r w:rsidRPr="00446361">
        <w:rPr>
          <w:rFonts w:ascii="Century Gothic" w:eastAsia="Arial" w:hAnsi="Century Gothic" w:cs="Arial"/>
          <w:color w:val="auto"/>
          <w:sz w:val="14"/>
          <w:szCs w:val="14"/>
        </w:rPr>
        <w:t xml:space="preserve">, que recayó a la Iniciativa indicada con el número </w:t>
      </w:r>
      <w:r w:rsidR="00B54A6C" w:rsidRPr="00446361">
        <w:rPr>
          <w:rFonts w:ascii="Century Gothic" w:eastAsia="Arial" w:hAnsi="Century Gothic" w:cs="Arial"/>
          <w:color w:val="auto"/>
          <w:sz w:val="14"/>
          <w:szCs w:val="14"/>
        </w:rPr>
        <w:t>1070</w:t>
      </w:r>
      <w:r w:rsidRPr="00446361">
        <w:rPr>
          <w:rFonts w:ascii="Century Gothic" w:eastAsia="Arial" w:hAnsi="Century Gothic" w:cs="Arial"/>
          <w:color w:val="auto"/>
          <w:sz w:val="14"/>
          <w:szCs w:val="14"/>
        </w:rPr>
        <w:t xml:space="preserve">. </w:t>
      </w:r>
    </w:p>
    <w:sectPr w:rsidR="003D2C01" w:rsidRPr="00446361" w:rsidSect="007F414B">
      <w:headerReference w:type="even" r:id="rId13"/>
      <w:headerReference w:type="default" r:id="rId14"/>
      <w:footerReference w:type="default" r:id="rId15"/>
      <w:headerReference w:type="first" r:id="rId16"/>
      <w:pgSz w:w="12240" w:h="15840"/>
      <w:pgMar w:top="3402" w:right="1750"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2F9A" w14:textId="77777777" w:rsidR="006952AC" w:rsidRDefault="006952AC" w:rsidP="00B82123">
      <w:r>
        <w:separator/>
      </w:r>
    </w:p>
  </w:endnote>
  <w:endnote w:type="continuationSeparator" w:id="0">
    <w:p w14:paraId="71691F4D" w14:textId="77777777" w:rsidR="006952AC" w:rsidRDefault="006952AC"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EB7B" w14:textId="14D8A455"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446361">
      <w:rPr>
        <w:noProof/>
      </w:rPr>
      <w:t>11</w:t>
    </w:r>
    <w:r>
      <w:rPr>
        <w:noProof/>
      </w:rPr>
      <w:fldChar w:fldCharType="end"/>
    </w:r>
    <w:r>
      <w:t xml:space="preserve">                                               </w:t>
    </w:r>
    <w:r w:rsidR="00B54A6C">
      <w:rPr>
        <w:rFonts w:ascii="Century Gothic" w:hAnsi="Century Gothic"/>
        <w:sz w:val="16"/>
        <w:szCs w:val="16"/>
        <w:lang w:val="en-US"/>
      </w:rPr>
      <w:t>A1070</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w:t>
    </w:r>
    <w:r w:rsidR="00D4542E" w:rsidRPr="007F414B">
      <w:rPr>
        <w:rFonts w:ascii="Century Gothic" w:hAnsi="Century Gothic"/>
        <w:sz w:val="16"/>
        <w:szCs w:val="16"/>
        <w:lang w:val="en-US"/>
      </w:rPr>
      <w:t>A</w:t>
    </w:r>
    <w:r w:rsidRPr="00322AFA">
      <w:rPr>
        <w:rFonts w:ascii="Century Gothic" w:hAnsi="Century Gothic"/>
        <w:sz w:val="16"/>
        <w:szCs w:val="16"/>
      </w:rPr>
      <w:t>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7B0ED47A" w14:textId="77777777" w:rsidR="00840F17" w:rsidRDefault="000342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9AA1" w14:textId="77777777" w:rsidR="006952AC" w:rsidRDefault="006952AC" w:rsidP="00B82123">
      <w:r>
        <w:separator/>
      </w:r>
    </w:p>
  </w:footnote>
  <w:footnote w:type="continuationSeparator" w:id="0">
    <w:p w14:paraId="1D4C9750" w14:textId="77777777" w:rsidR="006952AC" w:rsidRDefault="006952AC"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03C7" w14:textId="77777777" w:rsidR="00840F17" w:rsidRDefault="00034286">
    <w:pPr>
      <w:pStyle w:val="Encabezado"/>
    </w:pPr>
    <w:r>
      <w:rPr>
        <w:noProof/>
      </w:rPr>
      <w:pict w14:anchorId="2D13E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C1C" w14:textId="77777777" w:rsidR="002D0A87" w:rsidRPr="002D0A87" w:rsidRDefault="00B52FDB" w:rsidP="002D0A87">
    <w:pPr>
      <w:jc w:val="right"/>
      <w:rPr>
        <w:rFonts w:ascii="Century Gothic" w:hAnsi="Century Gothic"/>
        <w:szCs w:val="24"/>
        <w:lang w:eastAsia="es-MX"/>
      </w:rPr>
    </w:pPr>
    <w:bookmarkStart w:id="0" w:name="_Hlk94096984"/>
    <w:r w:rsidRPr="002D0A87">
      <w:rPr>
        <w:rFonts w:ascii="Century Gothic" w:hAnsi="Century Gothic" w:cs="Arial"/>
        <w:b/>
        <w:bCs/>
        <w:i/>
        <w:szCs w:val="24"/>
        <w:shd w:val="clear" w:color="auto" w:fill="FFFFFF"/>
        <w:lang w:eastAsia="es-MX"/>
      </w:rPr>
      <w:t>“2022, Año del Centenario de la llegada de la Comunidad Menonita a Chihuahua.</w:t>
    </w:r>
    <w:r w:rsidRPr="002D0A87">
      <w:rPr>
        <w:rFonts w:ascii="Century Gothic" w:hAnsi="Century Gothic" w:cs="Arial"/>
        <w:b/>
        <w:bCs/>
        <w:i/>
        <w:noProof/>
        <w:szCs w:val="24"/>
      </w:rPr>
      <w:t>”</w:t>
    </w:r>
  </w:p>
  <w:bookmarkEnd w:id="0"/>
  <w:p w14:paraId="3D0A093F" w14:textId="77777777" w:rsidR="00840F17" w:rsidRPr="00DF4D5D" w:rsidRDefault="00034286" w:rsidP="00D05A35">
    <w:pPr>
      <w:pStyle w:val="Encabezado"/>
      <w:jc w:val="right"/>
      <w:rPr>
        <w:rFonts w:ascii="Century Gothic" w:hAnsi="Century Gothic"/>
        <w:b/>
        <w:bCs/>
        <w:sz w:val="18"/>
        <w:szCs w:val="18"/>
        <w:shd w:val="clear" w:color="auto" w:fill="FFFFFF"/>
        <w:lang w:val="es-MX"/>
      </w:rPr>
    </w:pPr>
  </w:p>
  <w:p w14:paraId="45117F04" w14:textId="77777777" w:rsidR="00840F17" w:rsidRPr="00036FBE" w:rsidRDefault="00034286" w:rsidP="00D05A35">
    <w:pPr>
      <w:pStyle w:val="Encabezado"/>
      <w:jc w:val="right"/>
      <w:rPr>
        <w:rFonts w:ascii="Bradley Hand ITC" w:hAnsi="Bradley Hand ITC"/>
        <w:sz w:val="18"/>
        <w:szCs w:val="18"/>
      </w:rPr>
    </w:pPr>
  </w:p>
  <w:p w14:paraId="6AA14B9B" w14:textId="77777777" w:rsidR="00DB4DAC" w:rsidRDefault="00F53FCC"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rPr>
      <w:t>COMISIO</w:t>
    </w:r>
    <w:r w:rsidR="00B52FDB" w:rsidRPr="00033DAD">
      <w:rPr>
        <w:rFonts w:ascii="Century Gothic" w:hAnsi="Century Gothic" w:cs="Tahoma"/>
        <w:b/>
        <w:bCs/>
        <w:sz w:val="28"/>
        <w:szCs w:val="28"/>
        <w:shd w:val="clear" w:color="auto" w:fill="FFFFFF"/>
      </w:rPr>
      <w:t>N</w:t>
    </w:r>
    <w:r>
      <w:rPr>
        <w:rFonts w:ascii="Century Gothic" w:hAnsi="Century Gothic" w:cs="Tahoma"/>
        <w:b/>
        <w:bCs/>
        <w:sz w:val="28"/>
        <w:szCs w:val="28"/>
        <w:shd w:val="clear" w:color="auto" w:fill="FFFFFF"/>
        <w:lang w:val="es-MX"/>
      </w:rPr>
      <w:t xml:space="preserve"> </w:t>
    </w:r>
    <w:r w:rsidR="00191C48">
      <w:rPr>
        <w:rFonts w:ascii="Century Gothic" w:hAnsi="Century Gothic" w:cs="Tahoma"/>
        <w:b/>
        <w:bCs/>
        <w:sz w:val="28"/>
        <w:szCs w:val="28"/>
        <w:shd w:val="clear" w:color="auto" w:fill="FFFFFF"/>
        <w:lang w:val="es-MX"/>
      </w:rPr>
      <w:t xml:space="preserve">DE ASUNTOS FRONTERIZOS </w:t>
    </w:r>
  </w:p>
  <w:p w14:paraId="4B42A115" w14:textId="48DE6CEC" w:rsidR="00DF4D5D" w:rsidRPr="00DF4D5D" w:rsidRDefault="00191C4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ATENCIÓN A MIGRANTES</w:t>
    </w:r>
  </w:p>
  <w:p w14:paraId="562A7A4B"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36A27D04" w14:textId="77777777" w:rsidR="007B12A9" w:rsidRPr="00DF4D5D" w:rsidRDefault="00034286" w:rsidP="00D05A35">
    <w:pPr>
      <w:pStyle w:val="Ttulo"/>
      <w:jc w:val="right"/>
      <w:rPr>
        <w:rFonts w:ascii="Century Gothic" w:hAnsi="Century Gothic" w:cs="Arial"/>
        <w:szCs w:val="24"/>
        <w:lang w:val="x-none"/>
      </w:rPr>
    </w:pPr>
  </w:p>
  <w:p w14:paraId="12A2E044" w14:textId="6E987A86" w:rsidR="00840F17" w:rsidRPr="00F12F3B" w:rsidRDefault="00DB4DAC" w:rsidP="00191C48">
    <w:pPr>
      <w:pStyle w:val="Ttulo"/>
      <w:jc w:val="right"/>
      <w:rPr>
        <w:rFonts w:ascii="Century Gothic" w:hAnsi="Century Gothic" w:cs="Arial"/>
        <w:color w:val="000000"/>
        <w:szCs w:val="24"/>
      </w:rPr>
    </w:pPr>
    <w:r>
      <w:rPr>
        <w:rFonts w:ascii="Century Gothic" w:hAnsi="Century Gothic" w:cs="Arial"/>
        <w:szCs w:val="24"/>
      </w:rPr>
      <w:t>DCAFAM/04</w:t>
    </w:r>
    <w:r w:rsidR="00B52FDB" w:rsidRPr="00F12F3B">
      <w:rPr>
        <w:rFonts w:ascii="Century Gothic" w:hAnsi="Century Gothic" w:cs="Arial"/>
        <w:szCs w:val="24"/>
      </w:rPr>
      <w:t>/202</w:t>
    </w:r>
    <w:r w:rsidR="00B52FDB" w:rsidRPr="00F12F3B">
      <w:rPr>
        <w:rFonts w:ascii="Century Gothic" w:hAnsi="Century Gothic" w:cs="Arial"/>
        <w:color w:val="000000"/>
        <w:szCs w:val="24"/>
      </w:rPr>
      <w:t>2</w:t>
    </w:r>
  </w:p>
  <w:p w14:paraId="0D825411" w14:textId="77777777" w:rsidR="00191C48" w:rsidRPr="00191C48" w:rsidRDefault="00191C48" w:rsidP="00191C48">
    <w:pPr>
      <w:pStyle w:val="Ttulo"/>
      <w:jc w:val="right"/>
      <w:rPr>
        <w:rFonts w:ascii="Century Gothic" w:hAnsi="Century Gothic" w:cs="Arial"/>
        <w:color w:val="000000"/>
        <w:szCs w:val="24"/>
        <w:highlight w:val="yellow"/>
      </w:rPr>
    </w:pPr>
  </w:p>
  <w:p w14:paraId="5BDFCEF7" w14:textId="77777777" w:rsidR="00840F17" w:rsidRDefault="000342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116D" w14:textId="77777777" w:rsidR="00840F17" w:rsidRDefault="00034286">
    <w:pPr>
      <w:pStyle w:val="Encabezado"/>
    </w:pPr>
    <w:r>
      <w:rPr>
        <w:noProof/>
      </w:rPr>
      <w:pict w14:anchorId="6F16B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0359"/>
    <w:multiLevelType w:val="multilevel"/>
    <w:tmpl w:val="4B940532"/>
    <w:lvl w:ilvl="0">
      <w:start w:val="1"/>
      <w:numFmt w:val="decimal"/>
      <w:lvlText w:val="%1."/>
      <w:lvlJc w:val="left"/>
      <w:pPr>
        <w:ind w:left="720" w:hanging="360"/>
      </w:pPr>
      <w:rPr>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D66505"/>
    <w:multiLevelType w:val="hybridMultilevel"/>
    <w:tmpl w:val="67B28B7E"/>
    <w:lvl w:ilvl="0" w:tplc="080A0003">
      <w:start w:val="1"/>
      <w:numFmt w:val="bullet"/>
      <w:lvlText w:val="o"/>
      <w:lvlJc w:val="left"/>
      <w:pPr>
        <w:ind w:left="1287" w:hanging="360"/>
      </w:pPr>
      <w:rPr>
        <w:rFonts w:ascii="Courier New" w:hAnsi="Courier New" w:cs="Courier New"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444F"/>
    <w:rsid w:val="0002613B"/>
    <w:rsid w:val="00034286"/>
    <w:rsid w:val="00037E3D"/>
    <w:rsid w:val="00084D90"/>
    <w:rsid w:val="0009622D"/>
    <w:rsid w:val="000A5ADA"/>
    <w:rsid w:val="000D2A9A"/>
    <w:rsid w:val="000D3F75"/>
    <w:rsid w:val="000E0BF5"/>
    <w:rsid w:val="000E3150"/>
    <w:rsid w:val="000F5E05"/>
    <w:rsid w:val="00103DCE"/>
    <w:rsid w:val="001127FA"/>
    <w:rsid w:val="0013503E"/>
    <w:rsid w:val="001535E5"/>
    <w:rsid w:val="00157A1A"/>
    <w:rsid w:val="00176F65"/>
    <w:rsid w:val="00191C48"/>
    <w:rsid w:val="001B15C1"/>
    <w:rsid w:val="001C6922"/>
    <w:rsid w:val="001D65B5"/>
    <w:rsid w:val="001E0FB9"/>
    <w:rsid w:val="001F25E4"/>
    <w:rsid w:val="002110BE"/>
    <w:rsid w:val="00225F97"/>
    <w:rsid w:val="002A2F50"/>
    <w:rsid w:val="002A6592"/>
    <w:rsid w:val="002E4A14"/>
    <w:rsid w:val="002F25DC"/>
    <w:rsid w:val="00330329"/>
    <w:rsid w:val="00331879"/>
    <w:rsid w:val="003455C2"/>
    <w:rsid w:val="0034776D"/>
    <w:rsid w:val="00385F4D"/>
    <w:rsid w:val="003A4914"/>
    <w:rsid w:val="003C3971"/>
    <w:rsid w:val="003D2C01"/>
    <w:rsid w:val="003F44CD"/>
    <w:rsid w:val="003F7FB4"/>
    <w:rsid w:val="004029D2"/>
    <w:rsid w:val="0041352C"/>
    <w:rsid w:val="00442443"/>
    <w:rsid w:val="00442BE6"/>
    <w:rsid w:val="00446361"/>
    <w:rsid w:val="00446D4C"/>
    <w:rsid w:val="004605C4"/>
    <w:rsid w:val="00470026"/>
    <w:rsid w:val="004B594A"/>
    <w:rsid w:val="004D5BAD"/>
    <w:rsid w:val="00503CC4"/>
    <w:rsid w:val="00506E32"/>
    <w:rsid w:val="00514844"/>
    <w:rsid w:val="00524028"/>
    <w:rsid w:val="00526115"/>
    <w:rsid w:val="005C6C80"/>
    <w:rsid w:val="005D0AAE"/>
    <w:rsid w:val="005D72F5"/>
    <w:rsid w:val="005F3D39"/>
    <w:rsid w:val="005F6EB1"/>
    <w:rsid w:val="006017B0"/>
    <w:rsid w:val="00603FD1"/>
    <w:rsid w:val="00605551"/>
    <w:rsid w:val="006115D0"/>
    <w:rsid w:val="00633A58"/>
    <w:rsid w:val="00634B82"/>
    <w:rsid w:val="00642B10"/>
    <w:rsid w:val="006759FF"/>
    <w:rsid w:val="006952AC"/>
    <w:rsid w:val="0069694C"/>
    <w:rsid w:val="00696BF5"/>
    <w:rsid w:val="006B6324"/>
    <w:rsid w:val="006C1900"/>
    <w:rsid w:val="007072D8"/>
    <w:rsid w:val="0074343F"/>
    <w:rsid w:val="00755868"/>
    <w:rsid w:val="00767260"/>
    <w:rsid w:val="00767DD0"/>
    <w:rsid w:val="007B1C2C"/>
    <w:rsid w:val="007C3CB9"/>
    <w:rsid w:val="007D1B87"/>
    <w:rsid w:val="007D258F"/>
    <w:rsid w:val="007D42E6"/>
    <w:rsid w:val="007F414B"/>
    <w:rsid w:val="00807426"/>
    <w:rsid w:val="00826E6B"/>
    <w:rsid w:val="008272EF"/>
    <w:rsid w:val="00864256"/>
    <w:rsid w:val="0086541F"/>
    <w:rsid w:val="0087379A"/>
    <w:rsid w:val="00891F60"/>
    <w:rsid w:val="008E41F5"/>
    <w:rsid w:val="008F161F"/>
    <w:rsid w:val="008F2749"/>
    <w:rsid w:val="00927A7E"/>
    <w:rsid w:val="0094638B"/>
    <w:rsid w:val="009A58FF"/>
    <w:rsid w:val="009B7544"/>
    <w:rsid w:val="009D653B"/>
    <w:rsid w:val="00A10167"/>
    <w:rsid w:val="00A26BE8"/>
    <w:rsid w:val="00A30EA7"/>
    <w:rsid w:val="00A444C7"/>
    <w:rsid w:val="00AA1EE7"/>
    <w:rsid w:val="00AD296E"/>
    <w:rsid w:val="00B03B2F"/>
    <w:rsid w:val="00B2198E"/>
    <w:rsid w:val="00B244F0"/>
    <w:rsid w:val="00B52FDB"/>
    <w:rsid w:val="00B543BC"/>
    <w:rsid w:val="00B54A6C"/>
    <w:rsid w:val="00B55470"/>
    <w:rsid w:val="00B82123"/>
    <w:rsid w:val="00BB6C1F"/>
    <w:rsid w:val="00BF616A"/>
    <w:rsid w:val="00BF71E4"/>
    <w:rsid w:val="00C06529"/>
    <w:rsid w:val="00C06BBD"/>
    <w:rsid w:val="00C16C04"/>
    <w:rsid w:val="00C33927"/>
    <w:rsid w:val="00C3741D"/>
    <w:rsid w:val="00C409A2"/>
    <w:rsid w:val="00C4457E"/>
    <w:rsid w:val="00C60146"/>
    <w:rsid w:val="00C8670E"/>
    <w:rsid w:val="00C9185B"/>
    <w:rsid w:val="00CA06AD"/>
    <w:rsid w:val="00CC1FDE"/>
    <w:rsid w:val="00D02E53"/>
    <w:rsid w:val="00D0542F"/>
    <w:rsid w:val="00D36AA2"/>
    <w:rsid w:val="00D4542E"/>
    <w:rsid w:val="00D77DCE"/>
    <w:rsid w:val="00DA1C6C"/>
    <w:rsid w:val="00DB4DAC"/>
    <w:rsid w:val="00DC25BE"/>
    <w:rsid w:val="00DF04E9"/>
    <w:rsid w:val="00E45CBC"/>
    <w:rsid w:val="00E667E4"/>
    <w:rsid w:val="00E85FEC"/>
    <w:rsid w:val="00E919F2"/>
    <w:rsid w:val="00EA7BCB"/>
    <w:rsid w:val="00EE37F2"/>
    <w:rsid w:val="00F12F3B"/>
    <w:rsid w:val="00F41E51"/>
    <w:rsid w:val="00F5312C"/>
    <w:rsid w:val="00F538AF"/>
    <w:rsid w:val="00F53FCC"/>
    <w:rsid w:val="00F7316F"/>
    <w:rsid w:val="00FC5220"/>
    <w:rsid w:val="00FC7740"/>
    <w:rsid w:val="00FD632F"/>
    <w:rsid w:val="00FF5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F279D3"/>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CuerpoA">
    <w:name w:val="Cuerpo A"/>
    <w:rsid w:val="0076726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12700" w14:cap="flat" w14:cmpd="sng" w14:algn="ctr">
        <w14:noFill/>
        <w14:prstDash w14:val="solid"/>
        <w14:miter w14:lim="400000"/>
      </w14:textOutline>
    </w:rPr>
  </w:style>
  <w:style w:type="character" w:customStyle="1" w:styleId="smallcaps">
    <w:name w:val="smallcaps"/>
    <w:basedOn w:val="Fuentedeprrafopredeter"/>
    <w:rsid w:val="002A2F50"/>
  </w:style>
  <w:style w:type="paragraph" w:styleId="Textonotapie">
    <w:name w:val="footnote text"/>
    <w:basedOn w:val="Normal"/>
    <w:link w:val="TextonotapieCar"/>
    <w:uiPriority w:val="99"/>
    <w:semiHidden/>
    <w:unhideWhenUsed/>
    <w:rsid w:val="009D653B"/>
    <w:rPr>
      <w:sz w:val="20"/>
    </w:rPr>
  </w:style>
  <w:style w:type="character" w:customStyle="1" w:styleId="TextonotapieCar">
    <w:name w:val="Texto nota pie Car"/>
    <w:basedOn w:val="Fuentedeprrafopredeter"/>
    <w:link w:val="Textonotapie"/>
    <w:uiPriority w:val="99"/>
    <w:semiHidden/>
    <w:rsid w:val="009D653B"/>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9D653B"/>
    <w:rPr>
      <w:vertAlign w:val="superscript"/>
    </w:rPr>
  </w:style>
  <w:style w:type="paragraph" w:styleId="Textonotaalfinal">
    <w:name w:val="endnote text"/>
    <w:basedOn w:val="Normal"/>
    <w:link w:val="TextonotaalfinalCar"/>
    <w:uiPriority w:val="99"/>
    <w:semiHidden/>
    <w:unhideWhenUsed/>
    <w:rsid w:val="00EA7BCB"/>
    <w:rPr>
      <w:sz w:val="20"/>
    </w:rPr>
  </w:style>
  <w:style w:type="character" w:customStyle="1" w:styleId="TextonotaalfinalCar">
    <w:name w:val="Texto nota al final Car"/>
    <w:basedOn w:val="Fuentedeprrafopredeter"/>
    <w:link w:val="Textonotaalfinal"/>
    <w:uiPriority w:val="99"/>
    <w:semiHidden/>
    <w:rsid w:val="00EA7BCB"/>
    <w:rPr>
      <w:rFonts w:ascii="Times New Roman" w:eastAsia="Times New Roman" w:hAnsi="Times New Roman" w:cs="Times New Roman"/>
      <w:color w:val="000000"/>
      <w:sz w:val="20"/>
      <w:szCs w:val="20"/>
      <w:lang w:eastAsia="es-ES"/>
    </w:rPr>
  </w:style>
  <w:style w:type="character" w:styleId="Refdenotaalfinal">
    <w:name w:val="endnote reference"/>
    <w:basedOn w:val="Fuentedeprrafopredeter"/>
    <w:uiPriority w:val="99"/>
    <w:semiHidden/>
    <w:unhideWhenUsed/>
    <w:rsid w:val="00EA7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8472">
      <w:bodyDiv w:val="1"/>
      <w:marLeft w:val="0"/>
      <w:marRight w:val="0"/>
      <w:marTop w:val="0"/>
      <w:marBottom w:val="0"/>
      <w:divBdr>
        <w:top w:val="none" w:sz="0" w:space="0" w:color="auto"/>
        <w:left w:val="none" w:sz="0" w:space="0" w:color="auto"/>
        <w:bottom w:val="none" w:sz="0" w:space="0" w:color="auto"/>
        <w:right w:val="none" w:sz="0" w:space="0" w:color="auto"/>
      </w:divBdr>
    </w:div>
    <w:div w:id="1756239693">
      <w:bodyDiv w:val="1"/>
      <w:marLeft w:val="0"/>
      <w:marRight w:val="0"/>
      <w:marTop w:val="0"/>
      <w:marBottom w:val="0"/>
      <w:divBdr>
        <w:top w:val="none" w:sz="0" w:space="0" w:color="auto"/>
        <w:left w:val="none" w:sz="0" w:space="0" w:color="auto"/>
        <w:bottom w:val="none" w:sz="0" w:space="0" w:color="auto"/>
        <w:right w:val="none" w:sz="0" w:space="0" w:color="auto"/>
      </w:divBdr>
    </w:div>
    <w:div w:id="1813937149">
      <w:bodyDiv w:val="1"/>
      <w:marLeft w:val="0"/>
      <w:marRight w:val="0"/>
      <w:marTop w:val="0"/>
      <w:marBottom w:val="0"/>
      <w:divBdr>
        <w:top w:val="none" w:sz="0" w:space="0" w:color="auto"/>
        <w:left w:val="none" w:sz="0" w:space="0" w:color="auto"/>
        <w:bottom w:val="none" w:sz="0" w:space="0" w:color="auto"/>
        <w:right w:val="none" w:sz="0" w:space="0" w:color="auto"/>
      </w:divBdr>
    </w:div>
    <w:div w:id="19042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94BC-74C1-46E7-85FB-811A9F08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1957</Words>
  <Characters>10769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2022-12-12T15:39:00Z</cp:lastPrinted>
  <dcterms:created xsi:type="dcterms:W3CDTF">2022-12-12T21:00:00Z</dcterms:created>
  <dcterms:modified xsi:type="dcterms:W3CDTF">2022-12-12T21:00:00Z</dcterms:modified>
</cp:coreProperties>
</file>