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D6" w:rsidRPr="00270555" w:rsidRDefault="000800D6" w:rsidP="000800D6">
      <w:pPr>
        <w:spacing w:after="0" w:line="360" w:lineRule="auto"/>
        <w:contextualSpacing/>
        <w:rPr>
          <w:rFonts w:ascii="Century Gothic" w:eastAsia="Arial Unicode MS" w:hAnsi="Century Gothic" w:cs="Arial"/>
          <w:b/>
          <w:sz w:val="24"/>
          <w:szCs w:val="24"/>
        </w:rPr>
      </w:pPr>
      <w:bookmarkStart w:id="0" w:name="_GoBack"/>
      <w:bookmarkEnd w:id="0"/>
      <w:r w:rsidRPr="00270555">
        <w:rPr>
          <w:rFonts w:ascii="Century Gothic" w:eastAsia="Arial Unicode MS" w:hAnsi="Century Gothic" w:cs="Arial"/>
          <w:b/>
          <w:sz w:val="24"/>
          <w:szCs w:val="24"/>
        </w:rPr>
        <w:t>H. CONGRESO DEL ESTADO</w:t>
      </w:r>
    </w:p>
    <w:p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P R E S E N T E.-</w:t>
      </w:r>
    </w:p>
    <w:p w:rsidR="000800D6" w:rsidRPr="00270555" w:rsidRDefault="000800D6" w:rsidP="000800D6">
      <w:pPr>
        <w:spacing w:after="0" w:line="360" w:lineRule="auto"/>
        <w:contextualSpacing/>
        <w:rPr>
          <w:rFonts w:ascii="Century Gothic" w:eastAsia="Arial Unicode MS" w:hAnsi="Century Gothic" w:cs="Arial"/>
          <w:sz w:val="24"/>
          <w:szCs w:val="24"/>
        </w:rPr>
      </w:pPr>
    </w:p>
    <w:p w:rsidR="000800D6" w:rsidRPr="00270555" w:rsidRDefault="000800D6" w:rsidP="000800D6">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sz w:val="24"/>
          <w:szCs w:val="24"/>
        </w:rPr>
        <w:t>La Comisión de</w:t>
      </w:r>
      <w:r w:rsidR="00982223">
        <w:rPr>
          <w:rFonts w:ascii="Century Gothic" w:eastAsia="Arial Unicode MS" w:hAnsi="Century Gothic" w:cs="Arial"/>
          <w:sz w:val="24"/>
          <w:szCs w:val="24"/>
        </w:rPr>
        <w:t xml:space="preserve"> Igualdad</w:t>
      </w:r>
      <w:r w:rsidRPr="00270555">
        <w:rPr>
          <w:rFonts w:ascii="Century Gothic" w:eastAsia="Arial Unicode MS" w:hAnsi="Century Gothic" w:cs="Arial"/>
          <w:sz w:val="24"/>
          <w:szCs w:val="24"/>
        </w:rPr>
        <w:t xml:space="preserve">, </w:t>
      </w:r>
      <w:r w:rsidRPr="00270555">
        <w:rPr>
          <w:rFonts w:ascii="Century Gothic" w:hAnsi="Century Gothic" w:cs="Arial"/>
          <w:sz w:val="24"/>
          <w:szCs w:val="24"/>
        </w:rPr>
        <w:t xml:space="preserve">con fundamento en lo dispuesto por los artículos </w:t>
      </w:r>
      <w:r w:rsidR="00401E10">
        <w:rPr>
          <w:rFonts w:ascii="Century Gothic" w:hAnsi="Century Gothic" w:cs="Arial"/>
          <w:sz w:val="24"/>
          <w:szCs w:val="24"/>
        </w:rPr>
        <w:t>57 y 58</w:t>
      </w:r>
      <w:r w:rsidRPr="00270555">
        <w:rPr>
          <w:rFonts w:ascii="Century Gothic" w:hAnsi="Century Gothic" w:cs="Arial"/>
          <w:sz w:val="24"/>
          <w:szCs w:val="24"/>
        </w:rPr>
        <w:t xml:space="preserve"> de la Constitución Política, 87, 88 y 111 de la Ley Orgánica del Poder Legislativo, así como 80 y 81 del Reglamento Interior y de Prácticas Parlamentarias, todos del Estado de Chihuahua; somete a la consideración del Pleno el presente Dictamen, elaborado con base en los siguientes:</w:t>
      </w:r>
    </w:p>
    <w:p w:rsidR="00347BC4" w:rsidRPr="00270555" w:rsidRDefault="00347BC4" w:rsidP="000800D6">
      <w:pPr>
        <w:spacing w:after="0" w:line="360" w:lineRule="auto"/>
        <w:contextualSpacing/>
        <w:rPr>
          <w:rFonts w:ascii="Century Gothic" w:eastAsia="Arial Unicode MS" w:hAnsi="Century Gothic" w:cs="Arial"/>
          <w:sz w:val="24"/>
          <w:szCs w:val="24"/>
        </w:rPr>
      </w:pPr>
    </w:p>
    <w:p w:rsidR="000800D6" w:rsidRPr="00270555" w:rsidRDefault="000800D6" w:rsidP="00347BC4">
      <w:pPr>
        <w:spacing w:after="0" w:line="360" w:lineRule="auto"/>
        <w:contextualSpacing/>
        <w:jc w:val="center"/>
        <w:rPr>
          <w:rFonts w:ascii="Century Gothic" w:eastAsia="Arial Unicode MS" w:hAnsi="Century Gothic" w:cs="Arial"/>
          <w:b/>
          <w:sz w:val="24"/>
          <w:szCs w:val="24"/>
        </w:rPr>
      </w:pPr>
      <w:r w:rsidRPr="00270555">
        <w:rPr>
          <w:rFonts w:ascii="Century Gothic" w:eastAsia="Arial Unicode MS" w:hAnsi="Century Gothic" w:cs="Arial"/>
          <w:b/>
          <w:sz w:val="24"/>
          <w:szCs w:val="24"/>
        </w:rPr>
        <w:t>A N T E C E D E N T E S</w:t>
      </w:r>
    </w:p>
    <w:p w:rsidR="00347BC4" w:rsidRPr="00270555" w:rsidRDefault="00347BC4" w:rsidP="000800D6">
      <w:pPr>
        <w:spacing w:after="0" w:line="360" w:lineRule="auto"/>
        <w:contextualSpacing/>
        <w:jc w:val="center"/>
        <w:rPr>
          <w:rFonts w:ascii="Century Gothic" w:eastAsia="Arial Unicode MS" w:hAnsi="Century Gothic" w:cs="Arial"/>
          <w:b/>
          <w:sz w:val="24"/>
          <w:szCs w:val="24"/>
        </w:rPr>
      </w:pPr>
    </w:p>
    <w:p w:rsidR="00982223" w:rsidRDefault="00C23BD9" w:rsidP="00645A5C">
      <w:pPr>
        <w:pStyle w:val="Sinespaciado"/>
        <w:spacing w:line="360" w:lineRule="auto"/>
        <w:jc w:val="both"/>
        <w:rPr>
          <w:rFonts w:ascii="Century Gothic" w:eastAsia="Arial Unicode MS" w:hAnsi="Century Gothic" w:cs="Arial"/>
          <w:lang w:val="es-MX"/>
        </w:rPr>
      </w:pPr>
      <w:r w:rsidRPr="00270555">
        <w:rPr>
          <w:rFonts w:ascii="Century Gothic" w:eastAsia="Arial Unicode MS" w:hAnsi="Century Gothic" w:cs="Arial"/>
          <w:b/>
          <w:lang w:val="es-MX"/>
        </w:rPr>
        <w:t xml:space="preserve">I.- </w:t>
      </w:r>
      <w:r w:rsidR="00337C02">
        <w:rPr>
          <w:rFonts w:ascii="Century Gothic" w:eastAsia="Arial Unicode MS" w:hAnsi="Century Gothic" w:cs="Arial"/>
          <w:lang w:val="es-MX"/>
        </w:rPr>
        <w:t>Con fecha veinticuatro de marzo</w:t>
      </w:r>
      <w:r w:rsidR="000800D6" w:rsidRPr="00270555">
        <w:rPr>
          <w:rFonts w:ascii="Century Gothic" w:eastAsia="Arial Unicode MS" w:hAnsi="Century Gothic" w:cs="Arial"/>
          <w:lang w:val="es-MX"/>
        </w:rPr>
        <w:t xml:space="preserve"> del año dos mil veint</w:t>
      </w:r>
      <w:r w:rsidR="0087050E" w:rsidRPr="00270555">
        <w:rPr>
          <w:rFonts w:ascii="Century Gothic" w:eastAsia="Arial Unicode MS" w:hAnsi="Century Gothic" w:cs="Arial"/>
          <w:lang w:val="es-MX"/>
        </w:rPr>
        <w:t>i</w:t>
      </w:r>
      <w:r w:rsidR="00337C02">
        <w:rPr>
          <w:rFonts w:ascii="Century Gothic" w:eastAsia="Arial Unicode MS" w:hAnsi="Century Gothic" w:cs="Arial"/>
          <w:lang w:val="es-MX"/>
        </w:rPr>
        <w:t>dós</w:t>
      </w:r>
      <w:r w:rsidR="000800D6" w:rsidRPr="00270555">
        <w:rPr>
          <w:rFonts w:ascii="Century Gothic" w:eastAsia="Arial Unicode MS" w:hAnsi="Century Gothic" w:cs="Arial"/>
          <w:lang w:val="es-MX"/>
        </w:rPr>
        <w:t xml:space="preserve">, la Diputada </w:t>
      </w:r>
      <w:r w:rsidR="00337C02" w:rsidRPr="00337C02">
        <w:rPr>
          <w:rFonts w:ascii="Century Gothic" w:eastAsia="Arial Unicode MS" w:hAnsi="Century Gothic" w:cs="Arial"/>
          <w:lang w:val="es-MX"/>
        </w:rPr>
        <w:t>Dip. Ilse América García Soto</w:t>
      </w:r>
      <w:r w:rsidR="00337C02">
        <w:rPr>
          <w:rFonts w:ascii="Century Gothic" w:eastAsia="Arial Unicode MS" w:hAnsi="Century Gothic" w:cs="Arial"/>
          <w:lang w:val="es-MX"/>
        </w:rPr>
        <w:t xml:space="preserve"> in</w:t>
      </w:r>
      <w:r w:rsidR="000800D6" w:rsidRPr="00270555">
        <w:rPr>
          <w:rFonts w:ascii="Century Gothic" w:eastAsia="Arial Unicode MS" w:hAnsi="Century Gothic" w:cs="Arial"/>
          <w:lang w:val="es-MX"/>
        </w:rPr>
        <w:t xml:space="preserve">tegrante del Grupo Parlamentario del Partido </w:t>
      </w:r>
      <w:r w:rsidR="00337C02">
        <w:rPr>
          <w:rFonts w:ascii="Century Gothic" w:eastAsia="Arial Unicode MS" w:hAnsi="Century Gothic" w:cs="Arial"/>
          <w:lang w:val="es-MX"/>
        </w:rPr>
        <w:t>Movimiento Ciudadano</w:t>
      </w:r>
      <w:r w:rsidR="000800D6" w:rsidRPr="00270555">
        <w:rPr>
          <w:rFonts w:ascii="Century Gothic" w:eastAsia="Arial Unicode MS" w:hAnsi="Century Gothic" w:cs="Arial"/>
          <w:lang w:val="es-MX"/>
        </w:rPr>
        <w:t>, presentó</w:t>
      </w:r>
      <w:r w:rsidR="00337C02">
        <w:rPr>
          <w:rFonts w:ascii="Century Gothic" w:eastAsia="Arial Unicode MS" w:hAnsi="Century Gothic" w:cs="Arial"/>
          <w:lang w:val="es-MX"/>
        </w:rPr>
        <w:t xml:space="preserve"> la </w:t>
      </w:r>
      <w:r w:rsidR="00337C02" w:rsidRPr="00337C02">
        <w:rPr>
          <w:rFonts w:ascii="Century Gothic" w:eastAsia="Arial Unicode MS" w:hAnsi="Century Gothic" w:cs="Arial"/>
          <w:lang w:val="es-MX"/>
        </w:rPr>
        <w:t>Iniciativa con carácter de punto de acuerdo, a efecto de solicitar al Instituto Chihuahuense de las Mujeres, al Centro de Justicia para las Mujeres, al Centro para el Desarrollo de las Mujeres y al Centro de Atención a la Violencia Contra las Mujeres, para que se emita un Sistema de Referencia colaborativo en relación con los casos de violencia de género contra la mujer.</w:t>
      </w:r>
    </w:p>
    <w:p w:rsidR="000800D6" w:rsidRPr="00270555" w:rsidRDefault="000800D6" w:rsidP="00645A5C">
      <w:pPr>
        <w:pStyle w:val="Sinespaciado"/>
        <w:spacing w:line="360" w:lineRule="auto"/>
        <w:jc w:val="both"/>
        <w:rPr>
          <w:rFonts w:ascii="Century Gothic" w:hAnsi="Century Gothic"/>
          <w:lang w:val="es-ES"/>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b/>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w:t>
      </w:r>
      <w:r w:rsidRPr="00270555">
        <w:rPr>
          <w:rFonts w:ascii="Century Gothic" w:eastAsia="Arial Unicode MS" w:hAnsi="Century Gothic" w:cs="Arial"/>
          <w:sz w:val="24"/>
          <w:szCs w:val="24"/>
        </w:rPr>
        <w:t xml:space="preserve"> La Presidencia del H. Congreso </w:t>
      </w:r>
      <w:r w:rsidR="00337C02">
        <w:rPr>
          <w:rFonts w:ascii="Century Gothic" w:eastAsia="Arial Unicode MS" w:hAnsi="Century Gothic" w:cs="Arial"/>
          <w:sz w:val="24"/>
          <w:szCs w:val="24"/>
        </w:rPr>
        <w:t>del Estado, con fecha veintinueve de marzo</w:t>
      </w:r>
      <w:r w:rsidRPr="00270555">
        <w:rPr>
          <w:rFonts w:ascii="Century Gothic" w:eastAsia="Arial Unicode MS" w:hAnsi="Century Gothic" w:cs="Arial"/>
          <w:sz w:val="24"/>
          <w:szCs w:val="24"/>
        </w:rPr>
        <w:t xml:space="preserve"> del a</w:t>
      </w:r>
      <w:r w:rsidR="00C23BD9" w:rsidRPr="00270555">
        <w:rPr>
          <w:rFonts w:ascii="Century Gothic" w:eastAsia="Arial Unicode MS" w:hAnsi="Century Gothic" w:cs="Arial"/>
          <w:sz w:val="24"/>
          <w:szCs w:val="24"/>
        </w:rPr>
        <w:t>ñ</w:t>
      </w:r>
      <w:r w:rsidRPr="00270555">
        <w:rPr>
          <w:rFonts w:ascii="Century Gothic" w:eastAsia="Arial Unicode MS" w:hAnsi="Century Gothic" w:cs="Arial"/>
          <w:sz w:val="24"/>
          <w:szCs w:val="24"/>
        </w:rPr>
        <w:t>o dos mil</w:t>
      </w:r>
      <w:r w:rsidR="00C23BD9" w:rsidRPr="00270555">
        <w:rPr>
          <w:rFonts w:ascii="Century Gothic" w:eastAsia="Arial Unicode MS" w:hAnsi="Century Gothic" w:cs="Arial"/>
          <w:sz w:val="24"/>
          <w:szCs w:val="24"/>
        </w:rPr>
        <w:t xml:space="preserve"> </w:t>
      </w:r>
      <w:r w:rsidR="00337C02">
        <w:rPr>
          <w:rFonts w:ascii="Century Gothic" w:eastAsia="Arial Unicode MS" w:hAnsi="Century Gothic" w:cs="Arial"/>
          <w:sz w:val="24"/>
          <w:szCs w:val="24"/>
        </w:rPr>
        <w:t>veintidós</w:t>
      </w:r>
      <w:r w:rsidRPr="00270555">
        <w:rPr>
          <w:rFonts w:ascii="Century Gothic" w:eastAsia="Arial Unicode MS" w:hAnsi="Century Gothic" w:cs="Arial"/>
          <w:sz w:val="24"/>
          <w:szCs w:val="24"/>
        </w:rPr>
        <w:t>, tuvo a bien turnar a esta Comis</w:t>
      </w:r>
      <w:r w:rsidR="00D25DFE">
        <w:rPr>
          <w:rFonts w:ascii="Century Gothic" w:eastAsia="Arial Unicode MS" w:hAnsi="Century Gothic" w:cs="Arial"/>
          <w:sz w:val="24"/>
          <w:szCs w:val="24"/>
        </w:rPr>
        <w:t>ión de Dictamen Legislativo la i</w:t>
      </w:r>
      <w:r w:rsidRPr="00270555">
        <w:rPr>
          <w:rFonts w:ascii="Century Gothic" w:eastAsia="Arial Unicode MS" w:hAnsi="Century Gothic" w:cs="Arial"/>
          <w:sz w:val="24"/>
          <w:szCs w:val="24"/>
        </w:rPr>
        <w:t>niciativa de mérito, a efecto de proceder al estudio, análisis y elaboración del Dictamen correspondiente.</w:t>
      </w: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III.-</w:t>
      </w:r>
      <w:r w:rsidRPr="00270555">
        <w:rPr>
          <w:rFonts w:ascii="Century Gothic" w:eastAsia="Arial Unicode MS" w:hAnsi="Century Gothic" w:cs="Arial"/>
          <w:sz w:val="24"/>
          <w:szCs w:val="24"/>
        </w:rPr>
        <w:t xml:space="preserve"> La Iniciativa en mención se sustenta en los siguientes argumentos:</w:t>
      </w:r>
    </w:p>
    <w:p w:rsidR="000800D6" w:rsidRPr="00270555" w:rsidRDefault="000800D6" w:rsidP="00645A5C">
      <w:pPr>
        <w:pStyle w:val="Sinespaciado"/>
        <w:spacing w:line="360" w:lineRule="auto"/>
        <w:jc w:val="both"/>
        <w:rPr>
          <w:rFonts w:ascii="PT Sans" w:hAnsi="PT Sans"/>
          <w:i/>
          <w:iCs/>
          <w:lang w:val="es-ES"/>
        </w:rPr>
      </w:pPr>
    </w:p>
    <w:p w:rsidR="00337C02" w:rsidRPr="00337C02" w:rsidRDefault="00956AC1" w:rsidP="00337C02">
      <w:pPr>
        <w:pStyle w:val="Sinespaciado"/>
        <w:spacing w:line="360" w:lineRule="auto"/>
        <w:ind w:left="567" w:right="616"/>
        <w:jc w:val="both"/>
        <w:rPr>
          <w:rFonts w:ascii="Century Gothic" w:hAnsi="Century Gothic"/>
          <w:i/>
          <w:lang w:val="es-ES"/>
        </w:rPr>
      </w:pPr>
      <w:r>
        <w:rPr>
          <w:rFonts w:ascii="Century Gothic" w:hAnsi="Century Gothic"/>
          <w:i/>
          <w:lang w:val="es-ES"/>
        </w:rPr>
        <w:t>“</w:t>
      </w:r>
      <w:r w:rsidR="00337C02" w:rsidRPr="00337C02">
        <w:rPr>
          <w:rFonts w:ascii="Century Gothic" w:hAnsi="Century Gothic"/>
          <w:i/>
          <w:lang w:val="es-ES"/>
        </w:rPr>
        <w:t xml:space="preserve">La alerta por violencia de género es el único mecanismo gubernamental en el mundo que protege los derechos humanos de las mujeres y está establecido tanto en la Ley General como en la Ley Estatal del Derecho de las Mujeres a una Vida Libre de Violencia. La alerta, consiste en un conjunto de acciones de emergencia que buscan enfrentar y erradicar la violencia feminicida y/o la existencia de un agravio comparado que impida el ejercicio pleno de los derechos humanos de las mujeres, en un ámbito territorial determinado (municipio o entidad federativa).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El </w:t>
      </w:r>
      <w:r w:rsidRPr="00337C02">
        <w:rPr>
          <w:rFonts w:ascii="Century Gothic" w:hAnsi="Century Gothic"/>
          <w:b/>
          <w:i/>
          <w:lang w:val="es-ES"/>
        </w:rPr>
        <w:t>objetivo</w:t>
      </w:r>
      <w:r w:rsidRPr="00337C02">
        <w:rPr>
          <w:rFonts w:ascii="Century Gothic" w:hAnsi="Century Gothic"/>
          <w:i/>
          <w:lang w:val="es-ES"/>
        </w:rPr>
        <w:t xml:space="preserve"> fundamental de la alerta de violencia de género contra las mujeres es garantizar su seguridad; el cese de la violencia en su contra la cual puede ser ejercida tanto por individuos, como por la propia comunidad; frenar la violación de sus derechos humanos, en los espacios público y privado, ocasionada por la forma extrema de violencia contra las mujeres, las mismas están integradas por las conductas de odio o rechazo hacia las mujeres, que pueden no ser sancionadas por la sociedad o por la </w:t>
      </w:r>
      <w:r w:rsidRPr="00337C02">
        <w:rPr>
          <w:rFonts w:ascii="Century Gothic" w:hAnsi="Century Gothic"/>
          <w:i/>
          <w:lang w:val="es-ES"/>
        </w:rPr>
        <w:lastRenderedPageBreak/>
        <w:t>autoridad encargada de hacerlo y que en muchos casos, puede terminar en homicidio u otras formas de muerte violenta.</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El artículo 30 del Reglamento de la Ley General de Acceso de las Mujeres a una Vida Libre de Violencia, establece a la letra que “La declaratoria de alerta de violencia de género tiene como finalidad detener la violencia y erradicarla a través de acciones gubernamentales de emergencia, conducidas por la Secretaría de Gobernación [...]” lo anterior, se lleva a cabo a través de la Comisión Nacional para Prevenir y Erradicar la Violencia contra las Mujeres (CONAVIM) en el ámbito federal y en coordinación con las entidades federativas y los municipios.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En Ciudad Juárez se conformó un amplio movimiento ciudadano que convocó a la participación de mujeres jóvenes en torno a la denominada ¨lucha por la democracia¨, mismo que se extendería al resto del país en las décadas siguientes, derivando finalmente en la transición democrática que llevaría al histórico cambio de poder en el año 2000.</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En la década de 1980 las mujeres de Ciudad Juárez, en su mayoría las de clase media, se dedicaron a  hacer posible la lucha por la democracia, mientras los hombres iban a sus trabajos y negocios durante el día, ellas mantuvieron la convicción de defensa del voto, la división de la iglesia en temas políticos y en general de la democracia en México.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lastRenderedPageBreak/>
        <w:t xml:space="preserve">A nivel  mundial se ha identificado a Ciudad Juárez como el territorio en donde sucedieron las más graves violaciones a derechos humanos por las desapariciones y homicidios de cientos de mujeres y niñas a finales del siglo 20, sin embargo, la posibilidad de que se hiciera un registro y se exigiera justicia en todos los foros estatales, nacionales e internacionales, sólo puede explicarse por el nivel de organización y participación que la sociedad civil de Ciudad Juárez y Chihuahua tenía en ese momento, y que supo aprovechar los recursos disponibles.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Como trabajo dentro del activismo en favor de las mujeres, sobresale el liderazgo de personajes como Emilia González la cual promovió la defensa de sus derechos humanos, dando hincapié a la celebración de un Encuentro Estatal dirigido a los  Derechos Humanos de las Mujeres.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Por otro lado, en 1993 la activista y académica Esther Chávez, comenzó a documentar los brutales y consuetudinarios asesinatos de mujeres en Ciudad Juárez; a dicha lucha, se sumaron personalidades como Judith Galarza, del comité chihuahuense de los derechos humanos, además de María Elena Vargas e Irma Campos.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Esther Chávez Cano fue pionera en el gremio académico con perspectiva de género como lo relata en su libro “Construyendo caminos y esperanzas” donde relata las andanzas de varias mujeres que en los años noventas luchaban arduamente por despenalizar el hostigamiento sexual, logros que hasta el día de hoy, casi 30 años después, comienzan a materializarse en todo México.</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Paralelamente en el año de 1992, cuando llegó el ex patriarca Francisco Barrio Terrazas al gobierno del estado de Chihuahua, varias agrupaciones de mujeres se organizaron para contrarrestar la iniciativa de ley que presentó la diputada Teresa Ortuño para reformar la Constitución y garantizar “Derecho a la vida desde la concepción”. Organizaron diez foros para discutir la reforma, pero no lograron echarla abajo.</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En Ciudad Juárez surgieron grupos de la sociedad civil como la de Centro Orientación de la Mujer Obrera (COMO) la cual fue formada para atender las necesidades de la clase obrera femenina de la ciudad en temas enfocados como la salud y el desarrollo comunitario, a su vez, dicha agrupación dio cabida a la iniciación de diversas organizaciones como la Coordinación en Pro de los Derechos de la Mujer (CPDM) así como a la Organización Popular Independiente (OPI), de la cual derivaría una serie de estructuras de carácter especializada, tales como casa para jóvenes y agrupaciones pro-defensa de los derechos de las mujeres como Red Mesa de Mujeres, Mujeres por Juárez, Asociación de Trabajadores Sociales de la Universidad Autónoma de Ciudad Juarez, Centro para el Desarrollo Integral de la Mujer, Comité de lucha contra la violencia, entre muchas otras.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Sin duda, un parte aguas en la lucha por erradicar la violencia y establecer la igualdad de género en todo el país, fue en el año de 2002 con la marcha nombrada como “Mujeres de Negro”, caravana que recorrió un tramo desde la Ciudad de México hasta Ciudad Juárez con el fin de concientizar a la población sobre la crisis del feminicidio y la gravedad de la violencia de género, la cual tenía la motivación y bases de la marcha mundial de las mujeres realizada en 1998 en Montreal,Canadá.</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El terrible hallazgo de 8 cuerpos de jóvenes mujeres en un campo algodonero en territorio juarense el 6 noviembre de 2001, derivó en una histórica sentencia emitida por la Corte Interamericana de Derechos Humanos, la cual tomó una directriz de señalar un particular ensañamiento en los cuerpos perpetrados por los homicidas, así que la Corte IDH estipulo parámetros para determinar, investigar, prevenir, procesar y castigar la violencia de género y así poder identificar cuando estamos lidiando frente a un caso con esta tipificación.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Todos los sucesos y eventos históricos que he mencionado hasta el momento, dieron paso para que una red de feministas, cuyo trabajo siempre prioriza el derecho de las mujeres a una vida libre de violencia, emitieran propuestas para la prevención y sanción de la violencia feminicida, y ya constituida como asociación civil en el 2008, esta organización fortaleció la incidencia en políticas públicas e impulsó procesos de liderazgos de mujeres a nivel territorial para la defensa de sus derechos.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En la actualidad siguen existiendo diversas colectivas que combaten la violencia de género como mujeres por México donde la icónica Graciela Ramos está al frente, Grupo 8 de marzo en Chihuahua con Elvia Villarreal, todo esto motivó a fortalecer el movimiento estatal de mujeres que promueven la igualdad de género, la violencia contra la mujer y la violencia de género, generando logros importante que heredaron a México como la recomendación de alertar sobre los feminicidios a la Corte Interamericana de Derechos Humanos a través de  la sentencia antes referida.</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Además, Chihuahua fue el primer estado en tener su propio Centro de Justicia para las Mujeres (CEJUM) en el marco del 8 de marzo del 2010, la cual es una institución que concentra servicios interinstitucionales y especializados para facilitar el acceso a la justicia y brindar atención integral con perspectiva de género. El CEJUM cuenta con instancias gubernamentales y aosicaciones de la sociedad civil, que atiende las necesidades de las mujeres víctimas de violencia y de sus hijas e hijos, y sus principales funciones y servicios son las gestiones, canalizaciones y asesoría de trabajo social, terapias psicológicas individuales y/o grupales para mujeres adultas, adolescentes, niñas y niños, terapias alternativas, atención médica según la norma 046 SSA2-2005(violencia sexual,familiar y contra las mujeres), asesoría y trámite jurídico vía familiar, atención a gestoría y apoyos, capacitaciones y talleres grupales así como platicas de los derechos de las mujeres.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Por otro lado, el Centro de Atención a la Violencia Contra las Mujeres (CAVIM) surgió a partir de diferentes carencias nacionales en atención para familias en situación de violencia, el cual fue diseñado a partir de modelos estadounidenses y del Programa de Atención de Alternativas Pacíficas de Monterrey que está comprometida a brindar atención integral con calidad y calidez a fin de fortalecer el proceso de empoderamiento de la mujer, hijas e hijos, para construir una vida libre de violencia. Sus servicios principales son el área legal además de brindar información y orientación sobre los derechos y obligaciones con los que se  cuentan así como alternativas legales con las que se cuentan para hacerlos valer, terapia psicológica individual y a grupos de mujeres así como a infantes y el trabajo social que busca la detección de necesidades y canalizaciones pertinentes.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Otro de los organismos más reconocidos, es el Instituto de la Mujer, el cual fue creado con la intención de promover el mejoramiento de las condiciones y calidad de vida de las mujeres.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Según el Estatuto Orgánico del Instituto Municipal de las Mujeres del Municipio de Chihuahua, fue facultado y obligado a promover la elaboración y ejecución de planes de desarrollo para la mujer bajo las políticas de igualdad y equidad entre hombres y mujeres evitando la discriminación.</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Dentro de dichas facultades, también se encuentra el proponer a cada dependencia de la administración municipal, lineamientos que contengan las metas para lograr que las mujeres accedan a puestos de trabajo en igualdad de condiciones que los hombres, así como sensibilizar a los funcionarios públicos de todos los niveles del municipio, para lograr una actitud positiva, solidaria y eficiente en todas las acciones de equidad que se realicen en su dependencia.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Además, tiene como uno de sus objetivos principales el establecer y operar refugios para la atención de mujeres, niñas y niños que viven en violencia extrema, prestar servicios psicológicos a las mujeres víctimas de violencia, entre muchas otras.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Todas estas instituciones, fueron las precursoras e impulsoras de la Alerta de Género en conjunto con asociaciones civiles y colectivos feministas. Al día de hoy, son 22 los estados que regulan la misma, y solo en 5 estados se encuentra en trámite de vigencia dentro de los que se encuentra el estado de Chihuahua.</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La Alerta de Género conlleva un proceso específico para poder llevarse a cabo, el cual consiste en los siguientes pasos: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1. Emisión y admisión de la solicitud de </w:t>
      </w:r>
      <w:r w:rsidRPr="00337C02">
        <w:rPr>
          <w:rFonts w:ascii="Century Gothic" w:hAnsi="Century Gothic"/>
          <w:b/>
          <w:i/>
          <w:lang w:val="es-ES"/>
        </w:rPr>
        <w:t xml:space="preserve">Alerta de Violencia de Género contra las Mujeres </w:t>
      </w:r>
      <w:r w:rsidRPr="00337C02">
        <w:rPr>
          <w:rFonts w:ascii="Century Gothic" w:hAnsi="Century Gothic"/>
          <w:i/>
          <w:lang w:val="es-ES"/>
        </w:rPr>
        <w:t>(AVGM) la cual debe ser presentada por organizaciones de la sociedad civil y organismos de derechos humanos internacionales, nacionales o locales.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2. Conformación del grupo de trabajo para atender la SAVGM que es conformado por los representantes del Instituto de las Mujeres,CONAVIM, CNDH, CEJUM, el representante del mecanismo para el adelanto de las mujeres en la entidad y cuatro personas seleccionadas por convocatoria pública, 2 académicos/as nacionales y 2 locales.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3. Investigación para atender la SAVGM, visitas de campo en el territorio y creación de un informe que deberá ser entregado a la SEGOB el que deberá incluir conclusiones y propuestas para prevenir y atender la violencia contra las mujeres así como su cumplimiento, todo ello mediante el grupo de trabajo.</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4. La dictaminación del grupo de trabajo para atender la SAVGM. Se analizan las acciones realizadas por el estado y se realiza un Dictámen el cual será entregado directamente a la SEGOB.</w:t>
      </w: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 </w:t>
      </w: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5. Finalmente, se hace la declaratoria de la Alerta de Violencia de Género contra las Mujeres (AVGM) y se emite por parte de la SEGOB. La declaratoria contendrá las acciones preventivas de seguridad y justicia para atender la violencia contra las mujeres y las medidas preventivas que serán implementadas.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Son diversas las leyes que contemplan al menos la idea de la Alerta de Violencia de Género contra las Mujeres, dentro de las que se encuentran diversas normas nacionales, internacionales e incluso Convenciones del Sistema Interamericano y dentro de lo que destaca:  la Ley General de Acceso de las Mujeres a una Vida Libre de Violencia, el Código Civil del Estado de Chihuahua, Sistema Nacional de Prevención, Atención, Sanción y Erradicación de la Violencia contra las Mujeres (SNPASEVM), Redes de Mujeres Constructoras de Paz (MUCPAZ), Convención sobre los Derechos Políticos de la Mujer, Protocolo para Prevenir, Reprimir y Sancionar la Trata de Personas, Especialmente Mujeres y Niños, que complementa la Convención de las Naciones Unidas contra la Delincuencia Organizada Transnacional, Convención sobre la Eliminación de Todas las Formas de Discriminación contra la Mujer “CEDAW”, así como la Convención Interamericana para Prevenir, Sancionar y Erradicar la Violencia contra la Mujer. Convención de Belém do Pará.</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Evidentemente, existe el contexto ideal para pensar que la Alerta de Género funciona como debería, sin embargo, esto no es así, y de cierta manera estamos atrasados en su correcta aplicación, además de que siempre es pertinente evolucionar para que los resultados sean cada vez más positivos. Uno de los puntos principales a tomar en cuenta, es que hace falta la complementación para que éste mecanismo gubernamental sea realmente efectivo. Para ello, mis propuestas son tres en específico pero se relacionan en un punto principal, el cuál consiste en la accesibilidad de la información y la coordinación entre las dependencias encargadas de atender los temas de violencia de género contra las mujeres para que la información fluya de manera adecuada, pronta y pertinente, pero sobre todo que se evite y se logre eliminar la revictimización.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La propuesta medular, consiste en la elaboración de un  Sistema que se propone llevar por nombre “Sistema de Referencia y Contrarreferencia”. De hecho, éste tipo de procedimientos o guías, son constantemente utilizados en el ámbito internacional. Colombia, Chile, Ecuador y Guatemala por ejemplo, utilizan este Sistema en el área de salud, y ha resultado ser de gran utilidad diaria y sobre todo constante a largo plazo.  La idea, es equiparar este Sistema en el tema de violencia de género en las mujeres, y posteriormente, que éste sirva para cualquier otra situación primordial en el estado.</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Para ahondar en los motivos, procedo a definir cada uno de los conceptos: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b/>
          <w:i/>
          <w:lang w:val="es-ES"/>
        </w:rPr>
        <w:t>SISTEMA DE REFERENCIA:</w:t>
      </w:r>
      <w:r w:rsidRPr="00337C02">
        <w:rPr>
          <w:rFonts w:ascii="Century Gothic" w:hAnsi="Century Gothic"/>
          <w:i/>
          <w:lang w:val="es-ES"/>
        </w:rPr>
        <w:t xml:space="preserve"> se define como un conjunto de actividades asistenciales y gerenciales para referir a una sobreviviente de violencia sexual y basada en género (VSBG) de una institucion (de origen) a otra (de destino), de manera que acceda a servicios no disponibles o insuficientes en la primera, para etender determinadas necesidades. Incluye la contrarreferencia para asegurar la continuidad de atención, la protección y la prevención requerida. Debe vincular a todas las instituciones, niveles de atención de la VSBG y las comunidades.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b/>
          <w:i/>
          <w:lang w:val="es-ES"/>
        </w:rPr>
        <w:t>CONTRAREFERENCIA:</w:t>
      </w:r>
      <w:r w:rsidRPr="00337C02">
        <w:rPr>
          <w:rFonts w:ascii="Century Gothic" w:hAnsi="Century Gothic"/>
          <w:i/>
          <w:lang w:val="es-ES"/>
        </w:rPr>
        <w:t xml:space="preserve"> Procedimiento mediante el cual se retorna a la víctima/sobreviviente a la institución de origen y/o a la que pudiese asegurar la continuidad y complementariedad de la atención, luego de haberse atendido satisfactoriamente el requerimiento. Debe incluir la respuesta del personal de la institución de destino al de la institución de origen respecto de la atención solicitada.</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Este Sistema recibe y da seguimiento a la denuncia de la víctima desde la primera instancia que le recibió, ya que consuetudinariamente las víctimas, no tienen el conocimiento sobre las facultades institucionales que las mismas poseen, lo cual provoca un rebote en las antes mencionadas, generando una falta clara de acceso a la justicia garantizada por las diferentes leyes y lineamientos locales y federales.</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Básicamente, considero pertinente el que las Instituciones y Centros que atienden casos de violencia de género contra las mujeres, tengan a la mano, un sistema eficiente que coadyuve en la atención pertinente y eficaz para que los mecanismos tan esenciales como la Alerta de Género, funcionen de manera integral y que de esta manera, se evite contundentemente la revictimización. Lo anterior, iría a la par, de idear campañas masivas en las que se extienda éste tipo de información con la que todas y todos deben contar, y que en muchas ocasiones, por tener desconocimiento sobre un actuar preciso, las consecuencias de éste tipo de casos terminan siendo desgarradoras. </w:t>
      </w:r>
    </w:p>
    <w:p w:rsidR="00337C02" w:rsidRPr="00337C02" w:rsidRDefault="00337C02" w:rsidP="00337C02">
      <w:pPr>
        <w:pStyle w:val="Sinespaciado"/>
        <w:spacing w:line="360" w:lineRule="auto"/>
        <w:ind w:left="567" w:right="616"/>
        <w:jc w:val="both"/>
        <w:rPr>
          <w:rFonts w:ascii="Century Gothic" w:hAnsi="Century Gothic"/>
          <w:i/>
          <w:lang w:val="es-ES"/>
        </w:rPr>
      </w:pPr>
    </w:p>
    <w:p w:rsidR="00337C02" w:rsidRPr="00337C02" w:rsidRDefault="00337C02" w:rsidP="00337C02">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 xml:space="preserve">Es de suma importancia tomar como referencia, todo aquello que en el mundo funciona y permite el desarrollo de un país libre, democrático y consciente con la realidad de sus ciudadanas y ciudadanos. Al momento de intentar colaborar con la realidad en la que vivimos, es indispensable la creatividad asertiva, ya que es así cómo podremos evolucionar a un estado más consciente y sobre todo, más activo que pasivo ante las situaciones tan desgarradoras que nos manchan como sociedad, pero sobre todo que afectan tan directa y profundamente a nuestras mujeres. </w:t>
      </w:r>
    </w:p>
    <w:p w:rsidR="00337C02" w:rsidRPr="00337C02" w:rsidRDefault="00337C02" w:rsidP="00337C02">
      <w:pPr>
        <w:pStyle w:val="Sinespaciado"/>
        <w:spacing w:line="360" w:lineRule="auto"/>
        <w:ind w:left="567" w:right="616"/>
        <w:jc w:val="both"/>
        <w:rPr>
          <w:rFonts w:ascii="Century Gothic" w:hAnsi="Century Gothic"/>
          <w:i/>
          <w:lang w:val="es-ES"/>
        </w:rPr>
      </w:pPr>
    </w:p>
    <w:p w:rsidR="000800D6" w:rsidRPr="00860880" w:rsidRDefault="00337C02" w:rsidP="00860880">
      <w:pPr>
        <w:pStyle w:val="Sinespaciado"/>
        <w:spacing w:line="360" w:lineRule="auto"/>
        <w:ind w:left="567" w:right="616"/>
        <w:jc w:val="both"/>
        <w:rPr>
          <w:rFonts w:ascii="Century Gothic" w:hAnsi="Century Gothic"/>
          <w:i/>
          <w:lang w:val="es-ES"/>
        </w:rPr>
      </w:pPr>
      <w:r w:rsidRPr="00337C02">
        <w:rPr>
          <w:rFonts w:ascii="Century Gothic" w:hAnsi="Century Gothic"/>
          <w:i/>
          <w:lang w:val="es-ES"/>
        </w:rPr>
        <w:t>Estoy convencida que para erradicar los problemas que nos afligen como sociedad, es indispensable proponer cambios pertinentes y atinados desde la misma estructura de gobierno, pasando luego por la situación o problemática misma, hasta llegar a los individuos directamente afectados por lo anterior. Es por ello que tengo a bien presentar esta Iniciativa con el objetivo de poner un grano de arena y acompañar a todas aquellas mujeres que de una u otra manera son víctimas de un sistema ineficiente y carente de políticas públi</w:t>
      </w:r>
      <w:r w:rsidR="00860880">
        <w:rPr>
          <w:rFonts w:ascii="Century Gothic" w:hAnsi="Century Gothic"/>
          <w:i/>
          <w:lang w:val="es-ES"/>
        </w:rPr>
        <w:t>cas congruentes con la realidad</w:t>
      </w:r>
      <w:r w:rsidR="00956AC1" w:rsidRPr="00956AC1">
        <w:rPr>
          <w:rFonts w:ascii="Century Gothic" w:hAnsi="Century Gothic"/>
          <w:i/>
          <w:lang w:val="es-ES"/>
        </w:rPr>
        <w:t>.</w:t>
      </w:r>
      <w:r w:rsidR="00956AC1">
        <w:rPr>
          <w:rFonts w:ascii="Century Gothic" w:hAnsi="Century Gothic"/>
          <w:i/>
          <w:lang w:val="es-ES"/>
        </w:rPr>
        <w:t>”</w:t>
      </w:r>
    </w:p>
    <w:p w:rsidR="000800D6" w:rsidRPr="00270555" w:rsidRDefault="000800D6" w:rsidP="00645A5C">
      <w:pPr>
        <w:spacing w:after="0" w:line="360" w:lineRule="auto"/>
        <w:jc w:val="both"/>
        <w:rPr>
          <w:rFonts w:ascii="Century Gothic" w:hAnsi="Century Gothic" w:cs="Arial"/>
          <w:sz w:val="24"/>
          <w:szCs w:val="24"/>
        </w:rPr>
      </w:pPr>
      <w:r w:rsidRPr="00270555">
        <w:rPr>
          <w:rFonts w:ascii="Century Gothic" w:hAnsi="Century Gothic" w:cs="Arial"/>
          <w:b/>
          <w:sz w:val="24"/>
          <w:szCs w:val="24"/>
        </w:rPr>
        <w:t>IV.-</w:t>
      </w:r>
      <w:r w:rsidRPr="00270555">
        <w:rPr>
          <w:rFonts w:ascii="Century Gothic" w:hAnsi="Century Gothic" w:cs="Arial"/>
          <w:sz w:val="24"/>
          <w:szCs w:val="24"/>
        </w:rPr>
        <w:t xml:space="preserve"> Ahora bien, al entrar al est</w:t>
      </w:r>
      <w:r w:rsidR="00FE5636">
        <w:rPr>
          <w:rFonts w:ascii="Century Gothic" w:hAnsi="Century Gothic" w:cs="Arial"/>
          <w:sz w:val="24"/>
          <w:szCs w:val="24"/>
        </w:rPr>
        <w:t>udio y análisis de la referida i</w:t>
      </w:r>
      <w:r w:rsidRPr="00270555">
        <w:rPr>
          <w:rFonts w:ascii="Century Gothic" w:hAnsi="Century Gothic" w:cs="Arial"/>
          <w:sz w:val="24"/>
          <w:szCs w:val="24"/>
        </w:rPr>
        <w:t>niciativa, quienes integramos esta Comisión, formulamos las siguientes:</w:t>
      </w:r>
    </w:p>
    <w:p w:rsidR="00645A5C" w:rsidRPr="00270555" w:rsidRDefault="00645A5C" w:rsidP="00645A5C">
      <w:pPr>
        <w:spacing w:after="0" w:line="360" w:lineRule="auto"/>
        <w:jc w:val="both"/>
        <w:rPr>
          <w:rFonts w:ascii="Century Gothic" w:hAnsi="Century Gothic" w:cs="Arial"/>
          <w:sz w:val="24"/>
          <w:szCs w:val="24"/>
        </w:rPr>
      </w:pPr>
    </w:p>
    <w:p w:rsidR="000800D6" w:rsidRPr="00270555" w:rsidRDefault="000800D6" w:rsidP="00645A5C">
      <w:pPr>
        <w:spacing w:after="0" w:line="360" w:lineRule="auto"/>
        <w:contextualSpacing/>
        <w:rPr>
          <w:rFonts w:ascii="Century Gothic" w:hAnsi="Century Gothic" w:cs="Arial"/>
          <w:b/>
          <w:bCs/>
          <w:sz w:val="16"/>
          <w:szCs w:val="16"/>
        </w:rPr>
      </w:pPr>
    </w:p>
    <w:p w:rsidR="000800D6" w:rsidRPr="00270555" w:rsidRDefault="000800D6" w:rsidP="00645A5C">
      <w:pPr>
        <w:spacing w:after="0" w:line="360" w:lineRule="auto"/>
        <w:contextualSpacing/>
        <w:jc w:val="center"/>
        <w:rPr>
          <w:rFonts w:ascii="Century Gothic" w:hAnsi="Century Gothic" w:cs="Arial"/>
          <w:b/>
          <w:bCs/>
          <w:sz w:val="24"/>
          <w:szCs w:val="24"/>
        </w:rPr>
      </w:pPr>
      <w:r w:rsidRPr="00270555">
        <w:rPr>
          <w:rFonts w:ascii="Century Gothic" w:hAnsi="Century Gothic" w:cs="Arial"/>
          <w:b/>
          <w:bCs/>
          <w:sz w:val="24"/>
          <w:szCs w:val="24"/>
        </w:rPr>
        <w:t>C O N S I D E R A C I O N E S</w:t>
      </w:r>
    </w:p>
    <w:p w:rsidR="00645A5C" w:rsidRPr="00270555" w:rsidRDefault="00645A5C" w:rsidP="00645A5C">
      <w:pPr>
        <w:spacing w:after="0" w:line="360" w:lineRule="auto"/>
        <w:contextualSpacing/>
        <w:jc w:val="center"/>
        <w:rPr>
          <w:rFonts w:ascii="Century Gothic" w:hAnsi="Century Gothic" w:cs="Arial"/>
          <w:b/>
          <w:bCs/>
          <w:sz w:val="24"/>
          <w:szCs w:val="24"/>
        </w:rPr>
      </w:pPr>
    </w:p>
    <w:p w:rsidR="000800D6" w:rsidRPr="00270555" w:rsidRDefault="000800D6" w:rsidP="00645A5C">
      <w:pPr>
        <w:spacing w:after="0" w:line="360" w:lineRule="auto"/>
        <w:contextualSpacing/>
        <w:jc w:val="center"/>
        <w:rPr>
          <w:rFonts w:ascii="Century Gothic" w:hAnsi="Century Gothic"/>
          <w:i/>
          <w:sz w:val="14"/>
          <w:szCs w:val="14"/>
        </w:rPr>
      </w:pPr>
    </w:p>
    <w:p w:rsidR="000800D6" w:rsidRPr="00270555" w:rsidRDefault="000800D6" w:rsidP="00645A5C">
      <w:pPr>
        <w:shd w:val="clear" w:color="auto" w:fill="FFFFFF"/>
        <w:spacing w:after="0" w:line="360" w:lineRule="auto"/>
        <w:jc w:val="both"/>
        <w:rPr>
          <w:rFonts w:ascii="Century Gothic" w:hAnsi="Century Gothic" w:cs="Arial"/>
          <w:sz w:val="24"/>
          <w:szCs w:val="24"/>
        </w:rPr>
      </w:pPr>
      <w:r w:rsidRPr="00270555">
        <w:rPr>
          <w:rFonts w:ascii="Century Gothic" w:hAnsi="Century Gothic" w:cs="Arial"/>
          <w:b/>
          <w:bCs/>
          <w:sz w:val="24"/>
          <w:szCs w:val="24"/>
        </w:rPr>
        <w:t>I.-</w:t>
      </w:r>
      <w:r w:rsidRPr="00270555">
        <w:rPr>
          <w:rFonts w:ascii="Century Gothic" w:hAnsi="Century Gothic" w:cs="Arial"/>
          <w:sz w:val="24"/>
          <w:szCs w:val="24"/>
        </w:rPr>
        <w:t xml:space="preserve"> Al analizar las facultades competenciales de este Alto Cuerpo Colegiado, no encontramos impedimento alguno para conocer del presente asunto.</w:t>
      </w:r>
    </w:p>
    <w:p w:rsidR="000800D6" w:rsidRPr="00270555" w:rsidRDefault="000800D6" w:rsidP="00645A5C">
      <w:pPr>
        <w:spacing w:after="0" w:line="360" w:lineRule="auto"/>
        <w:jc w:val="both"/>
        <w:rPr>
          <w:rFonts w:ascii="Century Gothic" w:hAnsi="Century Gothic" w:cs="Calibri"/>
          <w:b/>
          <w:sz w:val="24"/>
          <w:szCs w:val="24"/>
        </w:rPr>
      </w:pPr>
    </w:p>
    <w:p w:rsidR="00337C02" w:rsidRDefault="000800D6" w:rsidP="00645A5C">
      <w:pPr>
        <w:spacing w:after="0" w:line="360" w:lineRule="auto"/>
        <w:jc w:val="both"/>
        <w:rPr>
          <w:rFonts w:ascii="Century Gothic" w:eastAsia="Arial Unicode MS" w:hAnsi="Century Gothic" w:cs="Arial"/>
          <w:sz w:val="24"/>
          <w:szCs w:val="24"/>
        </w:rPr>
      </w:pPr>
      <w:r w:rsidRPr="00270555">
        <w:rPr>
          <w:rFonts w:ascii="Century Gothic" w:hAnsi="Century Gothic" w:cs="Calibri"/>
          <w:b/>
          <w:sz w:val="24"/>
          <w:szCs w:val="24"/>
        </w:rPr>
        <w:t xml:space="preserve">II.- </w:t>
      </w:r>
      <w:r w:rsidR="00A83498">
        <w:rPr>
          <w:rFonts w:ascii="Century Gothic" w:hAnsi="Century Gothic" w:cs="Calibri"/>
          <w:sz w:val="24"/>
          <w:szCs w:val="24"/>
        </w:rPr>
        <w:t>La intención de la presente iniciativa versa</w:t>
      </w:r>
      <w:r w:rsidRPr="00270555">
        <w:rPr>
          <w:rFonts w:ascii="Century Gothic" w:hAnsi="Century Gothic" w:cs="Calibri"/>
          <w:sz w:val="24"/>
          <w:szCs w:val="24"/>
        </w:rPr>
        <w:t xml:space="preserve"> en el sentido de exhortar</w:t>
      </w:r>
      <w:r w:rsidRPr="00270555">
        <w:rPr>
          <w:rFonts w:ascii="Century Gothic" w:eastAsia="Arial Unicode MS" w:hAnsi="Century Gothic" w:cs="Arial"/>
          <w:sz w:val="24"/>
          <w:szCs w:val="24"/>
        </w:rPr>
        <w:t> </w:t>
      </w:r>
      <w:r w:rsidR="00337C02" w:rsidRPr="00337C02">
        <w:rPr>
          <w:rFonts w:ascii="Century Gothic" w:eastAsia="Arial Unicode MS" w:hAnsi="Century Gothic" w:cs="Arial"/>
          <w:sz w:val="24"/>
          <w:szCs w:val="24"/>
        </w:rPr>
        <w:t xml:space="preserve">al Instituto Chihuahuense de las Mujeres, al Centro de Justicia para las Mujeres, al Centro para el Desarrollo de las Mujeres y al Centro de Atención a </w:t>
      </w:r>
      <w:r w:rsidR="00337C02">
        <w:rPr>
          <w:rFonts w:ascii="Century Gothic" w:eastAsia="Arial Unicode MS" w:hAnsi="Century Gothic" w:cs="Arial"/>
          <w:sz w:val="24"/>
          <w:szCs w:val="24"/>
        </w:rPr>
        <w:t>la Violencia Contra las Mujeres</w:t>
      </w:r>
      <w:r w:rsidR="00A83498">
        <w:rPr>
          <w:rFonts w:ascii="Century Gothic" w:eastAsia="Arial Unicode MS" w:hAnsi="Century Gothic" w:cs="Arial"/>
          <w:sz w:val="24"/>
          <w:szCs w:val="24"/>
        </w:rPr>
        <w:t>, para que</w:t>
      </w:r>
      <w:r w:rsidR="00337C02">
        <w:rPr>
          <w:rFonts w:ascii="Century Gothic" w:eastAsia="Arial Unicode MS" w:hAnsi="Century Gothic" w:cs="Arial"/>
          <w:sz w:val="24"/>
          <w:szCs w:val="24"/>
        </w:rPr>
        <w:t>:</w:t>
      </w:r>
    </w:p>
    <w:p w:rsidR="00337C02" w:rsidRDefault="00337C02" w:rsidP="00645A5C">
      <w:pPr>
        <w:spacing w:after="0" w:line="360" w:lineRule="auto"/>
        <w:jc w:val="both"/>
        <w:rPr>
          <w:rFonts w:ascii="Century Gothic" w:eastAsia="Arial Unicode MS" w:hAnsi="Century Gothic" w:cs="Arial"/>
          <w:sz w:val="24"/>
          <w:szCs w:val="24"/>
        </w:rPr>
      </w:pPr>
    </w:p>
    <w:p w:rsidR="00C23BD9" w:rsidRDefault="00337C02" w:rsidP="00645A5C">
      <w:pPr>
        <w:spacing w:after="0" w:line="360" w:lineRule="auto"/>
        <w:jc w:val="both"/>
        <w:rPr>
          <w:rFonts w:ascii="Century Gothic" w:hAnsi="Century Gothic"/>
          <w:sz w:val="24"/>
          <w:szCs w:val="24"/>
          <w:lang w:val="es-ES"/>
        </w:rPr>
      </w:pPr>
      <w:r w:rsidRPr="00860880">
        <w:rPr>
          <w:rFonts w:ascii="Century Gothic" w:eastAsia="Arial Unicode MS" w:hAnsi="Century Gothic" w:cs="Arial"/>
          <w:i/>
          <w:sz w:val="24"/>
          <w:szCs w:val="24"/>
        </w:rPr>
        <w:t>Primero.-</w:t>
      </w:r>
      <w:r>
        <w:rPr>
          <w:rFonts w:ascii="Century Gothic" w:eastAsia="Arial Unicode MS" w:hAnsi="Century Gothic" w:cs="Arial"/>
          <w:sz w:val="24"/>
          <w:szCs w:val="24"/>
        </w:rPr>
        <w:t xml:space="preserve"> E</w:t>
      </w:r>
      <w:r w:rsidRPr="00337C02">
        <w:rPr>
          <w:rFonts w:ascii="Century Gothic" w:eastAsia="Arial Unicode MS" w:hAnsi="Century Gothic" w:cs="Arial"/>
          <w:sz w:val="24"/>
          <w:szCs w:val="24"/>
        </w:rPr>
        <w:t>n coordinación y colaboración, se elabore un sistema digital que permita el manejo de información interinstitucional entre los organismos de atención, permitiendo con ello evitar la revictimización.</w:t>
      </w:r>
    </w:p>
    <w:p w:rsidR="00337C02" w:rsidRDefault="00337C02" w:rsidP="00645A5C">
      <w:pPr>
        <w:spacing w:after="0" w:line="360" w:lineRule="auto"/>
        <w:jc w:val="both"/>
        <w:rPr>
          <w:rFonts w:ascii="Century Gothic" w:hAnsi="Century Gothic"/>
          <w:sz w:val="24"/>
          <w:szCs w:val="24"/>
          <w:lang w:val="es-ES"/>
        </w:rPr>
      </w:pPr>
    </w:p>
    <w:p w:rsidR="00337C02" w:rsidRDefault="00337C02" w:rsidP="00645A5C">
      <w:pPr>
        <w:spacing w:after="0" w:line="360" w:lineRule="auto"/>
        <w:jc w:val="both"/>
        <w:rPr>
          <w:rFonts w:ascii="Century Gothic" w:hAnsi="Century Gothic"/>
          <w:sz w:val="24"/>
          <w:szCs w:val="24"/>
          <w:lang w:val="es-ES"/>
        </w:rPr>
      </w:pPr>
      <w:r w:rsidRPr="00860880">
        <w:rPr>
          <w:rFonts w:ascii="Century Gothic" w:hAnsi="Century Gothic"/>
          <w:i/>
          <w:sz w:val="24"/>
          <w:szCs w:val="24"/>
          <w:lang w:val="es-ES"/>
        </w:rPr>
        <w:t>Segundo.-</w:t>
      </w:r>
      <w:r>
        <w:rPr>
          <w:rFonts w:ascii="Century Gothic" w:hAnsi="Century Gothic"/>
          <w:sz w:val="24"/>
          <w:szCs w:val="24"/>
          <w:lang w:val="es-ES"/>
        </w:rPr>
        <w:t xml:space="preserve"> P</w:t>
      </w:r>
      <w:r w:rsidRPr="00337C02">
        <w:rPr>
          <w:rFonts w:ascii="Century Gothic" w:hAnsi="Century Gothic"/>
          <w:sz w:val="24"/>
          <w:szCs w:val="24"/>
          <w:lang w:val="es-ES"/>
        </w:rPr>
        <w:t>ara emitir campañas masivas sobre los diferentes organismos que atienden a niñas y mujeres víctimas de violencia que incluya los diferentes directorios y protocolos necesarios para asegurar el acceso a la justicia de las mujeres y niñas, y de esta manera contribuir con la aplicación eficaz de la Alerta de Género.</w:t>
      </w:r>
      <w:r>
        <w:rPr>
          <w:rFonts w:ascii="Century Gothic" w:hAnsi="Century Gothic"/>
          <w:sz w:val="24"/>
          <w:szCs w:val="24"/>
          <w:lang w:val="es-ES"/>
        </w:rPr>
        <w:t xml:space="preserve"> Y, </w:t>
      </w:r>
    </w:p>
    <w:p w:rsidR="00337C02" w:rsidRDefault="00337C02" w:rsidP="00645A5C">
      <w:pPr>
        <w:spacing w:after="0" w:line="360" w:lineRule="auto"/>
        <w:jc w:val="both"/>
        <w:rPr>
          <w:rFonts w:ascii="Century Gothic" w:hAnsi="Century Gothic"/>
          <w:sz w:val="24"/>
          <w:szCs w:val="24"/>
          <w:lang w:val="es-ES"/>
        </w:rPr>
      </w:pPr>
    </w:p>
    <w:p w:rsidR="00337C02" w:rsidRPr="00270555" w:rsidRDefault="00337C02" w:rsidP="00645A5C">
      <w:pPr>
        <w:spacing w:after="0" w:line="360" w:lineRule="auto"/>
        <w:jc w:val="both"/>
        <w:rPr>
          <w:rFonts w:ascii="Century Gothic" w:eastAsia="Arial Unicode MS" w:hAnsi="Century Gothic" w:cs="Arial"/>
          <w:sz w:val="24"/>
          <w:szCs w:val="24"/>
        </w:rPr>
      </w:pPr>
      <w:r w:rsidRPr="00860880">
        <w:rPr>
          <w:rFonts w:ascii="Century Gothic" w:hAnsi="Century Gothic"/>
          <w:i/>
          <w:sz w:val="24"/>
          <w:szCs w:val="24"/>
          <w:lang w:val="es-ES"/>
        </w:rPr>
        <w:t>Tercero.-</w:t>
      </w:r>
      <w:r>
        <w:rPr>
          <w:rFonts w:ascii="Century Gothic" w:hAnsi="Century Gothic"/>
          <w:sz w:val="24"/>
          <w:szCs w:val="24"/>
          <w:lang w:val="es-ES"/>
        </w:rPr>
        <w:t xml:space="preserve"> P</w:t>
      </w:r>
      <w:r w:rsidRPr="00337C02">
        <w:rPr>
          <w:rFonts w:ascii="Century Gothic" w:hAnsi="Century Gothic"/>
          <w:sz w:val="24"/>
          <w:szCs w:val="24"/>
          <w:lang w:val="es-ES"/>
        </w:rPr>
        <w:t>ara que se ponga a la vista de las víctimas, el flujograma de atención y además los derechos humanos que le corresponden en el caso de no ser atendidas.</w:t>
      </w:r>
    </w:p>
    <w:p w:rsidR="00C23BD9" w:rsidRPr="00270555" w:rsidRDefault="00C23BD9" w:rsidP="005E7EDB">
      <w:pPr>
        <w:spacing w:after="0" w:line="360" w:lineRule="auto"/>
        <w:jc w:val="center"/>
        <w:rPr>
          <w:rFonts w:ascii="Century Gothic" w:eastAsia="Arial Unicode MS" w:hAnsi="Century Gothic" w:cs="Arial"/>
          <w:sz w:val="24"/>
          <w:szCs w:val="24"/>
        </w:rPr>
      </w:pPr>
    </w:p>
    <w:p w:rsidR="001773FF" w:rsidRDefault="00A32EA1" w:rsidP="001773FF">
      <w:pPr>
        <w:spacing w:after="0" w:line="360" w:lineRule="auto"/>
        <w:jc w:val="both"/>
        <w:rPr>
          <w:rFonts w:ascii="Century Gothic" w:hAnsi="Century Gothic" w:cs="Calibri"/>
          <w:sz w:val="24"/>
          <w:szCs w:val="24"/>
        </w:rPr>
      </w:pPr>
      <w:r w:rsidRPr="00270555">
        <w:rPr>
          <w:rFonts w:ascii="Century Gothic" w:hAnsi="Century Gothic" w:cs="Calibri"/>
          <w:b/>
          <w:sz w:val="24"/>
          <w:szCs w:val="24"/>
        </w:rPr>
        <w:t xml:space="preserve">III.- </w:t>
      </w:r>
      <w:r w:rsidR="00396BB4">
        <w:rPr>
          <w:rFonts w:ascii="Century Gothic" w:hAnsi="Century Gothic" w:cs="Calibri"/>
          <w:sz w:val="24"/>
          <w:szCs w:val="24"/>
        </w:rPr>
        <w:t>Esta Comisión</w:t>
      </w:r>
      <w:r w:rsidR="009D63D9">
        <w:rPr>
          <w:rFonts w:ascii="Century Gothic" w:hAnsi="Century Gothic" w:cs="Calibri"/>
          <w:sz w:val="24"/>
          <w:szCs w:val="24"/>
        </w:rPr>
        <w:t xml:space="preserve"> dictaminadora considera que todo Estado democrático </w:t>
      </w:r>
      <w:r w:rsidR="009D63D9" w:rsidRPr="009D63D9">
        <w:rPr>
          <w:rFonts w:ascii="Century Gothic" w:hAnsi="Century Gothic" w:cs="Calibri"/>
          <w:sz w:val="24"/>
          <w:szCs w:val="24"/>
        </w:rPr>
        <w:t>debe ejercer e impulsar acciones tendientes a evitar la violencia en contra de las mujeres, a fin de que no sean limitadas en el ej</w:t>
      </w:r>
      <w:r w:rsidR="009D63D9">
        <w:rPr>
          <w:rFonts w:ascii="Century Gothic" w:hAnsi="Century Gothic" w:cs="Calibri"/>
          <w:sz w:val="24"/>
          <w:szCs w:val="24"/>
        </w:rPr>
        <w:t xml:space="preserve">ercicio pleno de sus derechos. </w:t>
      </w:r>
    </w:p>
    <w:p w:rsidR="009D63D9" w:rsidRDefault="009D63D9" w:rsidP="001773FF">
      <w:pPr>
        <w:spacing w:after="0" w:line="360" w:lineRule="auto"/>
        <w:jc w:val="both"/>
        <w:rPr>
          <w:rFonts w:ascii="Century Gothic" w:hAnsi="Century Gothic" w:cs="Calibri"/>
          <w:sz w:val="24"/>
          <w:szCs w:val="24"/>
        </w:rPr>
      </w:pPr>
    </w:p>
    <w:p w:rsidR="00D453F3" w:rsidRDefault="00CD5478" w:rsidP="00D453F3">
      <w:pPr>
        <w:spacing w:after="0" w:line="360" w:lineRule="auto"/>
        <w:jc w:val="both"/>
        <w:rPr>
          <w:rFonts w:ascii="Century Gothic" w:hAnsi="Century Gothic" w:cs="Calibri"/>
          <w:sz w:val="24"/>
          <w:szCs w:val="24"/>
        </w:rPr>
      </w:pPr>
      <w:r>
        <w:rPr>
          <w:rFonts w:ascii="Century Gothic" w:hAnsi="Century Gothic" w:cs="Calibri"/>
          <w:sz w:val="24"/>
          <w:szCs w:val="24"/>
        </w:rPr>
        <w:t>En las últimas décadas</w:t>
      </w:r>
      <w:r w:rsidRPr="00CD5478">
        <w:rPr>
          <w:rFonts w:ascii="Century Gothic" w:hAnsi="Century Gothic" w:cs="Calibri"/>
          <w:sz w:val="24"/>
          <w:szCs w:val="24"/>
        </w:rPr>
        <w:t xml:space="preserve"> se ha puesto de manifiesto la importancia de defender y reconocer los derechos humanos, particularmente de las niñas, adolescentes y mujeres, comenzando con la </w:t>
      </w:r>
      <w:r w:rsidRPr="00860880">
        <w:rPr>
          <w:rFonts w:ascii="Century Gothic" w:hAnsi="Century Gothic" w:cs="Calibri"/>
          <w:sz w:val="24"/>
          <w:szCs w:val="24"/>
        </w:rPr>
        <w:t>Convención sobre la Eliminación de todas las formas de Discriminación contra la Mujer</w:t>
      </w:r>
      <w:r>
        <w:rPr>
          <w:rStyle w:val="Refdenotaalpie"/>
          <w:rFonts w:ascii="Century Gothic" w:hAnsi="Century Gothic" w:cs="Calibri"/>
          <w:b/>
          <w:sz w:val="24"/>
          <w:szCs w:val="24"/>
        </w:rPr>
        <w:footnoteReference w:id="1"/>
      </w:r>
      <w:r w:rsidRPr="00CD5478">
        <w:rPr>
          <w:rFonts w:ascii="Century Gothic" w:hAnsi="Century Gothic" w:cs="Calibri"/>
          <w:sz w:val="24"/>
          <w:szCs w:val="24"/>
        </w:rPr>
        <w:t xml:space="preserve"> </w:t>
      </w:r>
      <w:r>
        <w:rPr>
          <w:rFonts w:ascii="Century Gothic" w:hAnsi="Century Gothic" w:cs="Calibri"/>
          <w:sz w:val="24"/>
          <w:szCs w:val="24"/>
        </w:rPr>
        <w:t xml:space="preserve">(CEDAW) </w:t>
      </w:r>
      <w:r w:rsidRPr="00CD5478">
        <w:rPr>
          <w:rFonts w:ascii="Century Gothic" w:hAnsi="Century Gothic" w:cs="Calibri"/>
          <w:sz w:val="24"/>
          <w:szCs w:val="24"/>
        </w:rPr>
        <w:t xml:space="preserve">de 1981, contemplado como uno de los convenios más ratificado por parte de los países miembros. Sumando la </w:t>
      </w:r>
      <w:r w:rsidRPr="00860880">
        <w:rPr>
          <w:rFonts w:ascii="Century Gothic" w:hAnsi="Century Gothic" w:cs="Calibri"/>
          <w:sz w:val="24"/>
          <w:szCs w:val="24"/>
        </w:rPr>
        <w:t>Convención lnteramericana para Prevenir, Sancionar y Erradicar la Violencia contra la Mujer</w:t>
      </w:r>
      <w:r w:rsidR="00962904">
        <w:rPr>
          <w:rStyle w:val="Refdenotaalpie"/>
          <w:rFonts w:ascii="Century Gothic" w:hAnsi="Century Gothic" w:cs="Calibri"/>
          <w:b/>
          <w:sz w:val="24"/>
          <w:szCs w:val="24"/>
        </w:rPr>
        <w:footnoteReference w:id="2"/>
      </w:r>
      <w:r w:rsidR="00962904">
        <w:rPr>
          <w:rFonts w:ascii="Century Gothic" w:hAnsi="Century Gothic" w:cs="Calibri"/>
          <w:b/>
          <w:sz w:val="24"/>
          <w:szCs w:val="24"/>
        </w:rPr>
        <w:t xml:space="preserve"> </w:t>
      </w:r>
      <w:r w:rsidR="00962904" w:rsidRPr="00962904">
        <w:rPr>
          <w:rFonts w:ascii="Century Gothic" w:hAnsi="Century Gothic" w:cs="Calibri"/>
          <w:sz w:val="24"/>
          <w:szCs w:val="24"/>
        </w:rPr>
        <w:t>(Belém do Pará)</w:t>
      </w:r>
      <w:r w:rsidRPr="00962904">
        <w:rPr>
          <w:rFonts w:ascii="Century Gothic" w:hAnsi="Century Gothic" w:cs="Calibri"/>
          <w:sz w:val="24"/>
          <w:szCs w:val="24"/>
        </w:rPr>
        <w:t xml:space="preserve"> </w:t>
      </w:r>
      <w:r w:rsidR="00962904">
        <w:rPr>
          <w:rFonts w:ascii="Century Gothic" w:hAnsi="Century Gothic" w:cs="Calibri"/>
          <w:sz w:val="24"/>
          <w:szCs w:val="24"/>
        </w:rPr>
        <w:t xml:space="preserve">de 1994, </w:t>
      </w:r>
      <w:r w:rsidRPr="00CD5478">
        <w:rPr>
          <w:rFonts w:ascii="Century Gothic" w:hAnsi="Century Gothic" w:cs="Calibri"/>
          <w:sz w:val="24"/>
          <w:szCs w:val="24"/>
        </w:rPr>
        <w:t>que ambas, generan el derecho de la mujer a la no discriminación; la última, también señala por primera vez el desarrollo de mecanismos de protección y defensa de los derechos de las mujeres como fundamentales para luchar contra el fenómeno de la violencia contra su integridad física, sexual y psicológica, tanto en el ámbito público como en el privado, teniendo como objetivo primordial el derecho a vivir una vida libre de violencia, así como su reivindicación dentro de la sociedad, legislando para prevenir, sancionar y erradicar la violencia contra las mismas.</w:t>
      </w:r>
    </w:p>
    <w:p w:rsidR="00700907" w:rsidRDefault="00700907" w:rsidP="00F34C36">
      <w:pPr>
        <w:spacing w:after="0" w:line="360" w:lineRule="auto"/>
        <w:jc w:val="both"/>
        <w:rPr>
          <w:rFonts w:ascii="Century Gothic" w:hAnsi="Century Gothic" w:cs="Calibri"/>
          <w:sz w:val="24"/>
          <w:szCs w:val="24"/>
        </w:rPr>
      </w:pPr>
    </w:p>
    <w:p w:rsidR="00685B47" w:rsidRDefault="00700907" w:rsidP="00962904">
      <w:pPr>
        <w:spacing w:after="0" w:line="360" w:lineRule="auto"/>
        <w:jc w:val="both"/>
        <w:rPr>
          <w:rFonts w:ascii="Century Gothic" w:hAnsi="Century Gothic" w:cs="Calibri"/>
          <w:sz w:val="24"/>
          <w:szCs w:val="24"/>
        </w:rPr>
      </w:pPr>
      <w:r w:rsidRPr="00700907">
        <w:rPr>
          <w:rFonts w:ascii="Century Gothic" w:hAnsi="Century Gothic" w:cs="Calibri"/>
          <w:b/>
          <w:sz w:val="24"/>
          <w:szCs w:val="24"/>
        </w:rPr>
        <w:t>IV.-</w:t>
      </w:r>
      <w:r>
        <w:rPr>
          <w:rFonts w:ascii="Century Gothic" w:hAnsi="Century Gothic" w:cs="Calibri"/>
          <w:sz w:val="24"/>
          <w:szCs w:val="24"/>
        </w:rPr>
        <w:t xml:space="preserve"> </w:t>
      </w:r>
      <w:r w:rsidR="00962904">
        <w:rPr>
          <w:rFonts w:ascii="Century Gothic" w:hAnsi="Century Gothic" w:cs="Calibri"/>
          <w:sz w:val="24"/>
          <w:szCs w:val="24"/>
        </w:rPr>
        <w:t xml:space="preserve"> </w:t>
      </w:r>
      <w:r w:rsidR="00962904" w:rsidRPr="00962904">
        <w:rPr>
          <w:rFonts w:ascii="Century Gothic" w:hAnsi="Century Gothic" w:cs="Calibri"/>
          <w:sz w:val="24"/>
          <w:szCs w:val="24"/>
        </w:rPr>
        <w:t xml:space="preserve">La propuesta medular de la iniciadora consiste en </w:t>
      </w:r>
      <w:r w:rsidR="00685B47">
        <w:rPr>
          <w:rFonts w:ascii="Century Gothic" w:hAnsi="Century Gothic" w:cs="Calibri"/>
          <w:sz w:val="24"/>
          <w:szCs w:val="24"/>
        </w:rPr>
        <w:t xml:space="preserve">solicitar </w:t>
      </w:r>
      <w:r w:rsidR="00962904" w:rsidRPr="00962904">
        <w:rPr>
          <w:rFonts w:ascii="Century Gothic" w:hAnsi="Century Gothic" w:cs="Calibri"/>
          <w:sz w:val="24"/>
          <w:szCs w:val="24"/>
        </w:rPr>
        <w:t>la elaboración de un  “Sistema de Referencia y Contra</w:t>
      </w:r>
      <w:r w:rsidR="00862BA4">
        <w:rPr>
          <w:rFonts w:ascii="Century Gothic" w:hAnsi="Century Gothic" w:cs="Calibri"/>
          <w:sz w:val="24"/>
          <w:szCs w:val="24"/>
        </w:rPr>
        <w:t xml:space="preserve">rreferencia” que registre </w:t>
      </w:r>
      <w:r w:rsidR="00962904">
        <w:rPr>
          <w:rFonts w:ascii="Century Gothic" w:hAnsi="Century Gothic" w:cs="Calibri"/>
          <w:sz w:val="24"/>
          <w:szCs w:val="24"/>
        </w:rPr>
        <w:t xml:space="preserve">los procedimientos </w:t>
      </w:r>
      <w:r w:rsidR="00862BA4">
        <w:rPr>
          <w:rFonts w:ascii="Century Gothic" w:hAnsi="Century Gothic" w:cs="Calibri"/>
          <w:sz w:val="24"/>
          <w:szCs w:val="24"/>
        </w:rPr>
        <w:t xml:space="preserve">administrativos y jurisdiccionales </w:t>
      </w:r>
      <w:r w:rsidR="00962904" w:rsidRPr="00962904">
        <w:rPr>
          <w:rFonts w:ascii="Century Gothic" w:hAnsi="Century Gothic" w:cs="Calibri"/>
          <w:sz w:val="24"/>
          <w:szCs w:val="24"/>
        </w:rPr>
        <w:t>nece</w:t>
      </w:r>
      <w:r w:rsidR="00962904">
        <w:rPr>
          <w:rFonts w:ascii="Century Gothic" w:hAnsi="Century Gothic" w:cs="Calibri"/>
          <w:sz w:val="24"/>
          <w:szCs w:val="24"/>
        </w:rPr>
        <w:t>sarios para aminorar la exposición de las mujeres a una</w:t>
      </w:r>
      <w:r w:rsidR="00862BA4">
        <w:rPr>
          <w:rFonts w:ascii="Century Gothic" w:hAnsi="Century Gothic" w:cs="Calibri"/>
          <w:sz w:val="24"/>
          <w:szCs w:val="24"/>
        </w:rPr>
        <w:t xml:space="preserve"> situación de violencia</w:t>
      </w:r>
      <w:r w:rsidR="00962904" w:rsidRPr="00962904">
        <w:rPr>
          <w:rFonts w:ascii="Century Gothic" w:hAnsi="Century Gothic" w:cs="Calibri"/>
          <w:sz w:val="24"/>
          <w:szCs w:val="24"/>
        </w:rPr>
        <w:t xml:space="preserve">, </w:t>
      </w:r>
      <w:r w:rsidR="00685B47">
        <w:rPr>
          <w:rFonts w:ascii="Century Gothic" w:hAnsi="Century Gothic" w:cs="Calibri"/>
          <w:sz w:val="24"/>
          <w:szCs w:val="24"/>
        </w:rPr>
        <w:t xml:space="preserve">el cual debería incluir toda la información referente a la atención médica, psicológica, jurídica y asistencial que brinden las diversas autoridades encargadas de la atención a mujeres víctimas de violencia y que deberá anotarse en un expediente digital único de cada mujer víctima que sea atendida. </w:t>
      </w:r>
    </w:p>
    <w:p w:rsidR="003B59A0" w:rsidRDefault="003B59A0" w:rsidP="002E4E0F">
      <w:pPr>
        <w:spacing w:after="0" w:line="360" w:lineRule="auto"/>
        <w:jc w:val="both"/>
        <w:rPr>
          <w:rFonts w:ascii="Century Gothic" w:hAnsi="Century Gothic" w:cs="Calibri"/>
          <w:sz w:val="24"/>
          <w:szCs w:val="24"/>
        </w:rPr>
      </w:pPr>
    </w:p>
    <w:p w:rsidR="00F565F5" w:rsidRDefault="00D628E7" w:rsidP="002E4E0F">
      <w:pPr>
        <w:spacing w:after="0" w:line="360" w:lineRule="auto"/>
        <w:jc w:val="both"/>
        <w:rPr>
          <w:rFonts w:ascii="Century Gothic" w:hAnsi="Century Gothic" w:cs="Calibri"/>
          <w:sz w:val="24"/>
          <w:szCs w:val="24"/>
        </w:rPr>
      </w:pPr>
      <w:r w:rsidRPr="0035234E">
        <w:rPr>
          <w:rFonts w:ascii="Century Gothic" w:hAnsi="Century Gothic" w:cs="Calibri"/>
          <w:b/>
          <w:sz w:val="24"/>
          <w:szCs w:val="24"/>
        </w:rPr>
        <w:t>V.-</w:t>
      </w:r>
      <w:r>
        <w:rPr>
          <w:rFonts w:ascii="Century Gothic" w:hAnsi="Century Gothic" w:cs="Calibri"/>
          <w:sz w:val="24"/>
          <w:szCs w:val="24"/>
        </w:rPr>
        <w:t xml:space="preserve"> </w:t>
      </w:r>
      <w:r w:rsidR="0035234E">
        <w:rPr>
          <w:rFonts w:ascii="Century Gothic" w:hAnsi="Century Gothic" w:cs="Calibri"/>
          <w:sz w:val="24"/>
          <w:szCs w:val="24"/>
        </w:rPr>
        <w:t xml:space="preserve"> </w:t>
      </w:r>
      <w:r w:rsidR="00F565F5" w:rsidRPr="00F565F5">
        <w:rPr>
          <w:rFonts w:ascii="Century Gothic" w:hAnsi="Century Gothic" w:cs="Calibri"/>
          <w:sz w:val="24"/>
          <w:szCs w:val="24"/>
        </w:rPr>
        <w:t>Los m</w:t>
      </w:r>
      <w:r w:rsidR="00F565F5">
        <w:rPr>
          <w:rFonts w:ascii="Century Gothic" w:hAnsi="Century Gothic" w:cs="Calibri"/>
          <w:sz w:val="24"/>
          <w:szCs w:val="24"/>
        </w:rPr>
        <w:t>arcos normativos internacional, nacional y estatal</w:t>
      </w:r>
      <w:r w:rsidR="00F565F5" w:rsidRPr="00F565F5">
        <w:rPr>
          <w:rFonts w:ascii="Century Gothic" w:hAnsi="Century Gothic" w:cs="Calibri"/>
          <w:sz w:val="24"/>
          <w:szCs w:val="24"/>
        </w:rPr>
        <w:t>, han establecido la importancia de recopilar datos específicos sobre el fenómeno de la violencia en contra de las mujeres, tomando en cuenta el desglose de la información según el tipo de violencia y las circunstancias en que se cometió el acto en donde se incluyan: datos sobre las personas agresoras, las víctimas de estos actos y la relación entre las partes.</w:t>
      </w:r>
    </w:p>
    <w:p w:rsidR="00F565F5" w:rsidRDefault="00F565F5" w:rsidP="002E4E0F">
      <w:pPr>
        <w:spacing w:after="0" w:line="360" w:lineRule="auto"/>
        <w:jc w:val="both"/>
        <w:rPr>
          <w:rFonts w:ascii="Century Gothic" w:hAnsi="Century Gothic" w:cs="Calibri"/>
          <w:sz w:val="24"/>
          <w:szCs w:val="24"/>
        </w:rPr>
      </w:pPr>
    </w:p>
    <w:p w:rsidR="00962904" w:rsidRDefault="0035234E" w:rsidP="002E4E0F">
      <w:pPr>
        <w:spacing w:after="0" w:line="360" w:lineRule="auto"/>
        <w:jc w:val="both"/>
        <w:rPr>
          <w:rFonts w:ascii="Century Gothic" w:hAnsi="Century Gothic" w:cs="Calibri"/>
          <w:sz w:val="24"/>
          <w:szCs w:val="24"/>
        </w:rPr>
      </w:pPr>
      <w:r>
        <w:rPr>
          <w:rFonts w:ascii="Century Gothic" w:hAnsi="Century Gothic" w:cs="Calibri"/>
          <w:sz w:val="24"/>
          <w:szCs w:val="24"/>
        </w:rPr>
        <w:t>En es</w:t>
      </w:r>
      <w:r w:rsidR="00F565F5">
        <w:rPr>
          <w:rFonts w:ascii="Century Gothic" w:hAnsi="Century Gothic" w:cs="Calibri"/>
          <w:sz w:val="24"/>
          <w:szCs w:val="24"/>
        </w:rPr>
        <w:t xml:space="preserve">te sentido, </w:t>
      </w:r>
      <w:r>
        <w:rPr>
          <w:rFonts w:ascii="Century Gothic" w:hAnsi="Century Gothic" w:cs="Calibri"/>
          <w:sz w:val="24"/>
          <w:szCs w:val="24"/>
        </w:rPr>
        <w:t>en el año</w:t>
      </w:r>
      <w:r w:rsidRPr="0035234E">
        <w:rPr>
          <w:rFonts w:ascii="Century Gothic" w:hAnsi="Century Gothic" w:cs="Calibri"/>
          <w:sz w:val="24"/>
          <w:szCs w:val="24"/>
        </w:rPr>
        <w:t xml:space="preserve"> 2007 el Congreso de la Unión aprobó la Ley General de Acceso de las Mujeres a una Vida Libre de Violencia (LGAMVLV), donde en el Artículo 44, fracción III, se le encomienda a la Secretaría de Seguridad Pública “Integrar el </w:t>
      </w:r>
      <w:r w:rsidRPr="00860880">
        <w:rPr>
          <w:rFonts w:ascii="Century Gothic" w:hAnsi="Century Gothic" w:cs="Calibri"/>
          <w:sz w:val="24"/>
          <w:szCs w:val="24"/>
        </w:rPr>
        <w:t>Banco Nacional de Datos e Información sobre Casos de Violencia contra las Mujeres</w:t>
      </w:r>
      <w:r w:rsidRPr="0035234E">
        <w:rPr>
          <w:rFonts w:ascii="Century Gothic" w:hAnsi="Century Gothic" w:cs="Calibri"/>
          <w:sz w:val="24"/>
          <w:szCs w:val="24"/>
        </w:rPr>
        <w:t>” compuesto por la información proporcionada por los miembros del Sistema Nacional para Prevenir, Atender, Sancionar y Erradicar la Violencia contra las Mujeres (SNPASEVM) y las instituciones de gobierno de las Entidades Federativas. Las instituciones integrantes del SNPASEVM ingresan información al BANAVIM sobre los casos de violencia contra las mujeres atendidos o identificados en el ejercicio de sus respectivas atribuciones, con el propósito de generar reportes estadísticos que permitan realizar acciones de prevención y erradicación de la violencia contra las mujeres, así como un seguimiento de cada caso registrado.</w:t>
      </w:r>
    </w:p>
    <w:p w:rsidR="0035234E" w:rsidRDefault="0035234E" w:rsidP="002E4E0F">
      <w:pPr>
        <w:spacing w:after="0" w:line="360" w:lineRule="auto"/>
        <w:jc w:val="both"/>
        <w:rPr>
          <w:rFonts w:ascii="Century Gothic" w:hAnsi="Century Gothic" w:cs="Calibri"/>
          <w:sz w:val="24"/>
          <w:szCs w:val="24"/>
        </w:rPr>
      </w:pPr>
    </w:p>
    <w:p w:rsidR="0035234E" w:rsidRDefault="0035234E" w:rsidP="002E4E0F">
      <w:pPr>
        <w:spacing w:after="0" w:line="360" w:lineRule="auto"/>
        <w:jc w:val="both"/>
        <w:rPr>
          <w:rFonts w:ascii="Century Gothic" w:hAnsi="Century Gothic" w:cs="Calibri"/>
          <w:sz w:val="24"/>
          <w:szCs w:val="24"/>
        </w:rPr>
      </w:pPr>
      <w:r w:rsidRPr="0035234E">
        <w:rPr>
          <w:rFonts w:ascii="Century Gothic" w:hAnsi="Century Gothic" w:cs="Calibri"/>
          <w:b/>
          <w:sz w:val="24"/>
          <w:szCs w:val="24"/>
        </w:rPr>
        <w:t>VI.-</w:t>
      </w:r>
      <w:r>
        <w:rPr>
          <w:rFonts w:ascii="Century Gothic" w:hAnsi="Century Gothic" w:cs="Calibri"/>
          <w:sz w:val="24"/>
          <w:szCs w:val="24"/>
        </w:rPr>
        <w:t xml:space="preserve"> Atendiendo a la labor que realiza el Estado para la integración del ya mencionado Banco Nacional de Datos e Información sobre Casos de Violencia contra las Mujeres, es que con </w:t>
      </w:r>
      <w:r w:rsidR="00F85F7C">
        <w:rPr>
          <w:rFonts w:ascii="Century Gothic" w:hAnsi="Century Gothic" w:cs="Calibri"/>
          <w:sz w:val="24"/>
          <w:szCs w:val="24"/>
        </w:rPr>
        <w:t>fecha 5 de jul</w:t>
      </w:r>
      <w:r>
        <w:rPr>
          <w:rFonts w:ascii="Century Gothic" w:hAnsi="Century Gothic" w:cs="Calibri"/>
          <w:sz w:val="24"/>
          <w:szCs w:val="24"/>
        </w:rPr>
        <w:t xml:space="preserve">io de 2022, las diputadas integrantes de esta Comisión </w:t>
      </w:r>
      <w:r w:rsidR="00F85F7C">
        <w:rPr>
          <w:rFonts w:ascii="Century Gothic" w:hAnsi="Century Gothic" w:cs="Calibri"/>
          <w:sz w:val="24"/>
          <w:szCs w:val="24"/>
        </w:rPr>
        <w:t xml:space="preserve">desarrollamos reunión de trabajo con el </w:t>
      </w:r>
      <w:r>
        <w:rPr>
          <w:rFonts w:ascii="Century Gothic" w:hAnsi="Century Gothic" w:cs="Calibri"/>
          <w:sz w:val="24"/>
          <w:szCs w:val="24"/>
        </w:rPr>
        <w:t xml:space="preserve">titular de la Dirección de Estadística Criminal de la Fiscalía General del Estado, Dr. Luis Alonso Domínguez Ramos quien encabeza la alimentación de dicho banco en nuestra entidad. </w:t>
      </w:r>
    </w:p>
    <w:p w:rsidR="00F85F7C" w:rsidRDefault="00F85F7C" w:rsidP="002E4E0F">
      <w:pPr>
        <w:spacing w:after="0" w:line="360" w:lineRule="auto"/>
        <w:jc w:val="both"/>
        <w:rPr>
          <w:rFonts w:ascii="Century Gothic" w:hAnsi="Century Gothic" w:cs="Calibri"/>
          <w:sz w:val="24"/>
          <w:szCs w:val="24"/>
        </w:rPr>
      </w:pPr>
    </w:p>
    <w:p w:rsidR="00F85F7C" w:rsidRDefault="00F85F7C" w:rsidP="002E4E0F">
      <w:pPr>
        <w:spacing w:after="0" w:line="360" w:lineRule="auto"/>
        <w:jc w:val="both"/>
        <w:rPr>
          <w:rFonts w:ascii="Century Gothic" w:hAnsi="Century Gothic" w:cs="Calibri"/>
          <w:sz w:val="24"/>
          <w:szCs w:val="24"/>
        </w:rPr>
      </w:pPr>
      <w:r>
        <w:rPr>
          <w:rFonts w:ascii="Century Gothic" w:hAnsi="Century Gothic" w:cs="Calibri"/>
          <w:sz w:val="24"/>
          <w:szCs w:val="24"/>
        </w:rPr>
        <w:t>De dicha reunión, destacamos la siguiente información:</w:t>
      </w:r>
    </w:p>
    <w:p w:rsidR="00F85F7C" w:rsidRDefault="00F85F7C" w:rsidP="002E4E0F">
      <w:pPr>
        <w:spacing w:after="0" w:line="360" w:lineRule="auto"/>
        <w:jc w:val="both"/>
        <w:rPr>
          <w:rFonts w:ascii="Century Gothic" w:hAnsi="Century Gothic" w:cs="Calibri"/>
          <w:sz w:val="24"/>
          <w:szCs w:val="24"/>
        </w:rPr>
      </w:pPr>
    </w:p>
    <w:p w:rsidR="001F1102" w:rsidRPr="001F1102" w:rsidRDefault="00F565F5" w:rsidP="001F1102">
      <w:pPr>
        <w:pStyle w:val="Prrafodelista"/>
        <w:numPr>
          <w:ilvl w:val="0"/>
          <w:numId w:val="13"/>
        </w:numPr>
        <w:spacing w:after="0" w:line="360" w:lineRule="auto"/>
        <w:jc w:val="both"/>
        <w:rPr>
          <w:rFonts w:ascii="Century Gothic" w:hAnsi="Century Gothic" w:cs="Calibri"/>
          <w:sz w:val="24"/>
          <w:szCs w:val="24"/>
        </w:rPr>
      </w:pPr>
      <w:r w:rsidRPr="00B42048">
        <w:rPr>
          <w:rFonts w:ascii="Century Gothic" w:hAnsi="Century Gothic" w:cs="Calibri"/>
          <w:sz w:val="24"/>
          <w:szCs w:val="24"/>
        </w:rPr>
        <w:t xml:space="preserve"> </w:t>
      </w:r>
      <w:r w:rsidR="001F1102">
        <w:rPr>
          <w:rFonts w:ascii="Century Gothic" w:hAnsi="Century Gothic" w:cs="Calibri"/>
          <w:sz w:val="24"/>
          <w:szCs w:val="24"/>
        </w:rPr>
        <w:t>E</w:t>
      </w:r>
      <w:r w:rsidR="001F1102" w:rsidRPr="001F1102">
        <w:rPr>
          <w:rFonts w:ascii="Century Gothic" w:hAnsi="Century Gothic" w:cs="Calibri"/>
          <w:sz w:val="24"/>
          <w:szCs w:val="24"/>
        </w:rPr>
        <w:t>l Banco Nacional de Datos e Información sobre Casos de Violencia contra las Mujeres</w:t>
      </w:r>
      <w:r w:rsidR="001F1102">
        <w:rPr>
          <w:rFonts w:ascii="Century Gothic" w:hAnsi="Century Gothic" w:cs="Calibri"/>
          <w:sz w:val="24"/>
          <w:szCs w:val="24"/>
        </w:rPr>
        <w:t xml:space="preserve"> </w:t>
      </w:r>
      <w:r w:rsidR="001F1102" w:rsidRPr="001F1102">
        <w:rPr>
          <w:rFonts w:ascii="Century Gothic" w:hAnsi="Century Gothic" w:cs="Calibri"/>
          <w:sz w:val="24"/>
          <w:szCs w:val="24"/>
        </w:rPr>
        <w:t>tiene como objeto administrar la información procesada por las autoridades integrantes del Sistema Nacional como de los Sistemas Estatales para la atención, prevención, sanción, y erradicación de la violencia en contra de las mujeres, con el fin de instrumentar políticas públicas desde la perspectiva de género y de derechos humanos.</w:t>
      </w:r>
    </w:p>
    <w:p w:rsidR="00B42048" w:rsidRPr="00F565F5" w:rsidRDefault="00B42048" w:rsidP="00B42048">
      <w:pPr>
        <w:pStyle w:val="Prrafodelista"/>
        <w:spacing w:after="0" w:line="360" w:lineRule="auto"/>
        <w:ind w:left="1068"/>
        <w:jc w:val="both"/>
        <w:rPr>
          <w:rFonts w:ascii="Century Gothic" w:hAnsi="Century Gothic" w:cs="Calibri"/>
          <w:sz w:val="24"/>
          <w:szCs w:val="24"/>
        </w:rPr>
      </w:pPr>
    </w:p>
    <w:p w:rsidR="001F1102" w:rsidRPr="001F1102" w:rsidRDefault="001F1102" w:rsidP="001F1102">
      <w:pPr>
        <w:pStyle w:val="Prrafodelista"/>
        <w:numPr>
          <w:ilvl w:val="0"/>
          <w:numId w:val="13"/>
        </w:numPr>
        <w:spacing w:after="0" w:line="360" w:lineRule="auto"/>
        <w:jc w:val="both"/>
        <w:rPr>
          <w:rFonts w:ascii="Century Gothic" w:hAnsi="Century Gothic" w:cs="Calibri"/>
          <w:sz w:val="24"/>
          <w:szCs w:val="24"/>
        </w:rPr>
      </w:pPr>
      <w:r>
        <w:rPr>
          <w:rFonts w:ascii="Century Gothic" w:hAnsi="Century Gothic" w:cs="Calibri"/>
          <w:sz w:val="24"/>
          <w:szCs w:val="24"/>
        </w:rPr>
        <w:t>O</w:t>
      </w:r>
      <w:r w:rsidRPr="001F1102">
        <w:rPr>
          <w:rFonts w:ascii="Century Gothic" w:hAnsi="Century Gothic" w:cs="Calibri"/>
          <w:sz w:val="24"/>
          <w:szCs w:val="24"/>
        </w:rPr>
        <w:t>pera a través de la información contenida en el expediente único generado a partir del registro de un caso de violencia.</w:t>
      </w:r>
    </w:p>
    <w:p w:rsidR="001F1102" w:rsidRPr="001F1102" w:rsidRDefault="001F1102" w:rsidP="001F1102">
      <w:pPr>
        <w:pStyle w:val="Prrafodelista"/>
        <w:spacing w:after="0" w:line="360" w:lineRule="auto"/>
        <w:jc w:val="both"/>
        <w:rPr>
          <w:rFonts w:ascii="Century Gothic" w:hAnsi="Century Gothic" w:cs="Calibri"/>
          <w:sz w:val="24"/>
          <w:szCs w:val="24"/>
        </w:rPr>
      </w:pPr>
      <w:r w:rsidRPr="001F1102">
        <w:rPr>
          <w:rFonts w:ascii="Century Gothic" w:hAnsi="Century Gothic" w:cs="Calibri"/>
          <w:sz w:val="24"/>
          <w:szCs w:val="24"/>
        </w:rPr>
        <w:t>El expediente único debe contener al menos, los datos siguientes:</w:t>
      </w:r>
    </w:p>
    <w:p w:rsidR="001F1102" w:rsidRPr="001F1102" w:rsidRDefault="001F1102" w:rsidP="001F1102">
      <w:pPr>
        <w:pStyle w:val="Prrafodelista"/>
        <w:numPr>
          <w:ilvl w:val="0"/>
          <w:numId w:val="15"/>
        </w:numPr>
        <w:spacing w:after="0" w:line="360" w:lineRule="auto"/>
        <w:jc w:val="both"/>
        <w:rPr>
          <w:rFonts w:ascii="Century Gothic" w:hAnsi="Century Gothic" w:cs="Calibri"/>
          <w:sz w:val="24"/>
          <w:szCs w:val="24"/>
        </w:rPr>
      </w:pPr>
      <w:r w:rsidRPr="001F1102">
        <w:rPr>
          <w:rFonts w:ascii="Century Gothic" w:hAnsi="Century Gothic" w:cs="Calibri"/>
          <w:sz w:val="24"/>
          <w:szCs w:val="24"/>
        </w:rPr>
        <w:t>De la víctima y de la persona agresora;</w:t>
      </w:r>
    </w:p>
    <w:p w:rsidR="001F1102" w:rsidRPr="001F1102" w:rsidRDefault="001F1102" w:rsidP="001F1102">
      <w:pPr>
        <w:pStyle w:val="Prrafodelista"/>
        <w:numPr>
          <w:ilvl w:val="0"/>
          <w:numId w:val="15"/>
        </w:numPr>
        <w:spacing w:after="0" w:line="360" w:lineRule="auto"/>
        <w:jc w:val="both"/>
        <w:rPr>
          <w:rFonts w:ascii="Century Gothic" w:hAnsi="Century Gothic" w:cs="Calibri"/>
          <w:sz w:val="24"/>
          <w:szCs w:val="24"/>
        </w:rPr>
      </w:pPr>
      <w:r w:rsidRPr="001F1102">
        <w:rPr>
          <w:rFonts w:ascii="Century Gothic" w:hAnsi="Century Gothic" w:cs="Calibri"/>
          <w:sz w:val="24"/>
          <w:szCs w:val="24"/>
        </w:rPr>
        <w:t>De las circunstancias de modo, tiempo y lugar respecto al caso de violencia de que se trate;</w:t>
      </w:r>
    </w:p>
    <w:p w:rsidR="001F1102" w:rsidRPr="001F1102" w:rsidRDefault="001F1102" w:rsidP="001F1102">
      <w:pPr>
        <w:pStyle w:val="Prrafodelista"/>
        <w:numPr>
          <w:ilvl w:val="0"/>
          <w:numId w:val="15"/>
        </w:numPr>
        <w:spacing w:after="0" w:line="360" w:lineRule="auto"/>
        <w:jc w:val="both"/>
        <w:rPr>
          <w:rFonts w:ascii="Century Gothic" w:hAnsi="Century Gothic" w:cs="Calibri"/>
          <w:sz w:val="24"/>
          <w:szCs w:val="24"/>
        </w:rPr>
      </w:pPr>
      <w:r w:rsidRPr="001F1102">
        <w:rPr>
          <w:rFonts w:ascii="Century Gothic" w:hAnsi="Century Gothic" w:cs="Calibri"/>
          <w:sz w:val="24"/>
          <w:szCs w:val="24"/>
        </w:rPr>
        <w:t>Información complementaria del caso de violencia, y</w:t>
      </w:r>
    </w:p>
    <w:p w:rsidR="001F1102" w:rsidRDefault="001F1102" w:rsidP="001F1102">
      <w:pPr>
        <w:pStyle w:val="Prrafodelista"/>
        <w:numPr>
          <w:ilvl w:val="0"/>
          <w:numId w:val="15"/>
        </w:numPr>
        <w:spacing w:after="0" w:line="360" w:lineRule="auto"/>
        <w:jc w:val="both"/>
        <w:rPr>
          <w:rFonts w:ascii="Century Gothic" w:hAnsi="Century Gothic" w:cs="Calibri"/>
          <w:sz w:val="24"/>
          <w:szCs w:val="24"/>
        </w:rPr>
      </w:pPr>
      <w:r w:rsidRPr="001F1102">
        <w:rPr>
          <w:rFonts w:ascii="Century Gothic" w:hAnsi="Century Gothic" w:cs="Calibri"/>
          <w:sz w:val="24"/>
          <w:szCs w:val="24"/>
        </w:rPr>
        <w:t>Órdenes de protección, en su caso.</w:t>
      </w:r>
    </w:p>
    <w:p w:rsidR="001F1102" w:rsidRPr="001F1102" w:rsidRDefault="001F1102" w:rsidP="001F1102">
      <w:pPr>
        <w:pStyle w:val="Prrafodelista"/>
        <w:rPr>
          <w:rFonts w:ascii="Century Gothic" w:hAnsi="Century Gothic" w:cs="Calibri"/>
          <w:sz w:val="24"/>
          <w:szCs w:val="24"/>
        </w:rPr>
      </w:pPr>
    </w:p>
    <w:p w:rsidR="001F1102" w:rsidRDefault="001F1102" w:rsidP="001F1102">
      <w:pPr>
        <w:pStyle w:val="Prrafodelista"/>
        <w:numPr>
          <w:ilvl w:val="0"/>
          <w:numId w:val="13"/>
        </w:numPr>
        <w:spacing w:after="0" w:line="360" w:lineRule="auto"/>
        <w:jc w:val="both"/>
        <w:rPr>
          <w:rFonts w:ascii="Century Gothic" w:hAnsi="Century Gothic" w:cs="Calibri"/>
          <w:sz w:val="24"/>
          <w:szCs w:val="24"/>
        </w:rPr>
      </w:pPr>
      <w:r w:rsidRPr="001F1102">
        <w:rPr>
          <w:rFonts w:ascii="Century Gothic" w:hAnsi="Century Gothic" w:cs="Calibri"/>
          <w:sz w:val="24"/>
          <w:szCs w:val="24"/>
        </w:rPr>
        <w:t>La información contenida en el Banco Nacional es procesada para generar reportes, gráficas y estadísticas para su análisis e interpretación, a fin de que permitan conocer sistemáticamente las características y patrones de la violencia, con la finalidad de detectar áreas geográficas y ámbitos de la sociedad que impliquen riesgo para las mujeres, así como las necesidades para su atención.</w:t>
      </w:r>
    </w:p>
    <w:p w:rsidR="00B42048" w:rsidRPr="001F1102" w:rsidRDefault="00B42048" w:rsidP="001F1102">
      <w:pPr>
        <w:spacing w:after="0" w:line="360" w:lineRule="auto"/>
        <w:jc w:val="both"/>
        <w:rPr>
          <w:rFonts w:ascii="Century Gothic" w:hAnsi="Century Gothic" w:cs="Calibri"/>
          <w:sz w:val="24"/>
          <w:szCs w:val="24"/>
        </w:rPr>
      </w:pPr>
    </w:p>
    <w:p w:rsidR="00B42048" w:rsidRDefault="00B42048" w:rsidP="00B42048">
      <w:pPr>
        <w:pStyle w:val="Prrafodelista"/>
        <w:numPr>
          <w:ilvl w:val="0"/>
          <w:numId w:val="13"/>
        </w:numPr>
        <w:spacing w:after="0" w:line="360" w:lineRule="auto"/>
        <w:jc w:val="both"/>
        <w:rPr>
          <w:rFonts w:ascii="Century Gothic" w:hAnsi="Century Gothic" w:cs="Calibri"/>
          <w:sz w:val="24"/>
          <w:szCs w:val="24"/>
        </w:rPr>
      </w:pPr>
      <w:r w:rsidRPr="00B42048">
        <w:rPr>
          <w:rFonts w:ascii="Century Gothic" w:hAnsi="Century Gothic" w:cs="Calibri"/>
          <w:sz w:val="24"/>
          <w:szCs w:val="24"/>
        </w:rPr>
        <w:t>Genera un registro de datos sobre las Órdenes de Protección</w:t>
      </w:r>
      <w:r>
        <w:rPr>
          <w:rFonts w:ascii="Century Gothic" w:hAnsi="Century Gothic" w:cs="Calibri"/>
          <w:sz w:val="24"/>
          <w:szCs w:val="24"/>
        </w:rPr>
        <w:t xml:space="preserve"> </w:t>
      </w:r>
      <w:r w:rsidRPr="00B42048">
        <w:rPr>
          <w:rFonts w:ascii="Century Gothic" w:hAnsi="Century Gothic" w:cs="Calibri"/>
          <w:sz w:val="24"/>
          <w:szCs w:val="24"/>
        </w:rPr>
        <w:t>e identifica situaciones que requieran medidas</w:t>
      </w:r>
      <w:r>
        <w:rPr>
          <w:rFonts w:ascii="Century Gothic" w:hAnsi="Century Gothic" w:cs="Calibri"/>
          <w:sz w:val="24"/>
          <w:szCs w:val="24"/>
        </w:rPr>
        <w:t xml:space="preserve"> </w:t>
      </w:r>
      <w:r w:rsidRPr="00B42048">
        <w:rPr>
          <w:rFonts w:ascii="Century Gothic" w:hAnsi="Century Gothic" w:cs="Calibri"/>
          <w:sz w:val="24"/>
          <w:szCs w:val="24"/>
        </w:rPr>
        <w:t>gubernamentales de urgente aplicación en función de los</w:t>
      </w:r>
      <w:r>
        <w:rPr>
          <w:rFonts w:ascii="Century Gothic" w:hAnsi="Century Gothic" w:cs="Calibri"/>
          <w:sz w:val="24"/>
          <w:szCs w:val="24"/>
        </w:rPr>
        <w:t xml:space="preserve"> </w:t>
      </w:r>
      <w:r w:rsidRPr="00B42048">
        <w:rPr>
          <w:rFonts w:ascii="Century Gothic" w:hAnsi="Century Gothic" w:cs="Calibri"/>
          <w:sz w:val="24"/>
          <w:szCs w:val="24"/>
        </w:rPr>
        <w:t>intereses superiores de las mujeres en situación de violencia</w:t>
      </w:r>
      <w:r>
        <w:rPr>
          <w:rFonts w:ascii="Century Gothic" w:hAnsi="Century Gothic" w:cs="Calibri"/>
          <w:sz w:val="24"/>
          <w:szCs w:val="24"/>
        </w:rPr>
        <w:t xml:space="preserve">. </w:t>
      </w:r>
    </w:p>
    <w:p w:rsidR="00B42048" w:rsidRPr="00B42048" w:rsidRDefault="00B42048" w:rsidP="00B42048">
      <w:pPr>
        <w:pStyle w:val="Prrafodelista"/>
        <w:rPr>
          <w:rFonts w:ascii="Century Gothic" w:hAnsi="Century Gothic" w:cs="Calibri"/>
          <w:sz w:val="24"/>
          <w:szCs w:val="24"/>
        </w:rPr>
      </w:pPr>
    </w:p>
    <w:p w:rsidR="00B42048" w:rsidRDefault="00B42048" w:rsidP="00B42048">
      <w:pPr>
        <w:pStyle w:val="Prrafodelista"/>
        <w:numPr>
          <w:ilvl w:val="0"/>
          <w:numId w:val="13"/>
        </w:numPr>
        <w:spacing w:after="0" w:line="360" w:lineRule="auto"/>
        <w:jc w:val="both"/>
        <w:rPr>
          <w:rFonts w:ascii="Century Gothic" w:hAnsi="Century Gothic" w:cs="Calibri"/>
          <w:sz w:val="24"/>
          <w:szCs w:val="24"/>
        </w:rPr>
      </w:pPr>
      <w:r w:rsidRPr="00B42048">
        <w:rPr>
          <w:rFonts w:ascii="Century Gothic" w:hAnsi="Century Gothic" w:cs="Calibri"/>
          <w:sz w:val="24"/>
          <w:szCs w:val="24"/>
        </w:rPr>
        <w:t>Contiene</w:t>
      </w:r>
      <w:r>
        <w:rPr>
          <w:rFonts w:ascii="Century Gothic" w:hAnsi="Century Gothic" w:cs="Calibri"/>
          <w:sz w:val="24"/>
          <w:szCs w:val="24"/>
        </w:rPr>
        <w:t xml:space="preserve"> </w:t>
      </w:r>
      <w:r w:rsidRPr="00B42048">
        <w:rPr>
          <w:rFonts w:ascii="Century Gothic" w:hAnsi="Century Gothic" w:cs="Calibri"/>
          <w:sz w:val="24"/>
          <w:szCs w:val="24"/>
        </w:rPr>
        <w:t>información de niñas,</w:t>
      </w:r>
      <w:r>
        <w:rPr>
          <w:rFonts w:ascii="Century Gothic" w:hAnsi="Century Gothic" w:cs="Calibri"/>
          <w:sz w:val="24"/>
          <w:szCs w:val="24"/>
        </w:rPr>
        <w:t xml:space="preserve"> </w:t>
      </w:r>
      <w:r w:rsidRPr="00B42048">
        <w:rPr>
          <w:rFonts w:ascii="Century Gothic" w:hAnsi="Century Gothic" w:cs="Calibri"/>
          <w:sz w:val="24"/>
          <w:szCs w:val="24"/>
        </w:rPr>
        <w:t>adolescentes y mujeres</w:t>
      </w:r>
      <w:r>
        <w:rPr>
          <w:rFonts w:ascii="Century Gothic" w:hAnsi="Century Gothic" w:cs="Calibri"/>
          <w:sz w:val="24"/>
          <w:szCs w:val="24"/>
        </w:rPr>
        <w:t xml:space="preserve"> </w:t>
      </w:r>
      <w:r w:rsidRPr="00B42048">
        <w:rPr>
          <w:rFonts w:ascii="Century Gothic" w:hAnsi="Century Gothic" w:cs="Calibri"/>
          <w:sz w:val="24"/>
          <w:szCs w:val="24"/>
        </w:rPr>
        <w:t>que han sufrido violencia</w:t>
      </w:r>
      <w:r>
        <w:rPr>
          <w:rFonts w:ascii="Century Gothic" w:hAnsi="Century Gothic" w:cs="Calibri"/>
          <w:sz w:val="24"/>
          <w:szCs w:val="24"/>
        </w:rPr>
        <w:t xml:space="preserve"> </w:t>
      </w:r>
      <w:r w:rsidRPr="00B42048">
        <w:rPr>
          <w:rFonts w:ascii="Century Gothic" w:hAnsi="Century Gothic" w:cs="Calibri"/>
          <w:sz w:val="24"/>
          <w:szCs w:val="24"/>
        </w:rPr>
        <w:t>física, psicológica, sexual,</w:t>
      </w:r>
      <w:r>
        <w:rPr>
          <w:rFonts w:ascii="Century Gothic" w:hAnsi="Century Gothic" w:cs="Calibri"/>
          <w:sz w:val="24"/>
          <w:szCs w:val="24"/>
        </w:rPr>
        <w:t xml:space="preserve"> </w:t>
      </w:r>
      <w:r w:rsidRPr="00B42048">
        <w:rPr>
          <w:rFonts w:ascii="Century Gothic" w:hAnsi="Century Gothic" w:cs="Calibri"/>
          <w:sz w:val="24"/>
          <w:szCs w:val="24"/>
        </w:rPr>
        <w:t>económica y patrimonial</w:t>
      </w:r>
      <w:r>
        <w:rPr>
          <w:rFonts w:ascii="Century Gothic" w:hAnsi="Century Gothic" w:cs="Calibri"/>
          <w:sz w:val="24"/>
          <w:szCs w:val="24"/>
        </w:rPr>
        <w:t xml:space="preserve"> </w:t>
      </w:r>
      <w:r w:rsidRPr="00B42048">
        <w:rPr>
          <w:rFonts w:ascii="Century Gothic" w:hAnsi="Century Gothic" w:cs="Calibri"/>
          <w:sz w:val="24"/>
          <w:szCs w:val="24"/>
        </w:rPr>
        <w:t>bajo las modalidades de</w:t>
      </w:r>
      <w:r>
        <w:rPr>
          <w:rFonts w:ascii="Century Gothic" w:hAnsi="Century Gothic" w:cs="Calibri"/>
          <w:sz w:val="24"/>
          <w:szCs w:val="24"/>
        </w:rPr>
        <w:t xml:space="preserve"> </w:t>
      </w:r>
      <w:r w:rsidRPr="00B42048">
        <w:rPr>
          <w:rFonts w:ascii="Century Gothic" w:hAnsi="Century Gothic" w:cs="Calibri"/>
          <w:sz w:val="24"/>
          <w:szCs w:val="24"/>
        </w:rPr>
        <w:t>violencia familiar,</w:t>
      </w:r>
      <w:r>
        <w:rPr>
          <w:rFonts w:ascii="Century Gothic" w:hAnsi="Century Gothic" w:cs="Calibri"/>
          <w:sz w:val="24"/>
          <w:szCs w:val="24"/>
        </w:rPr>
        <w:t xml:space="preserve"> </w:t>
      </w:r>
      <w:r w:rsidRPr="00B42048">
        <w:rPr>
          <w:rFonts w:ascii="Century Gothic" w:hAnsi="Century Gothic" w:cs="Calibri"/>
          <w:sz w:val="24"/>
          <w:szCs w:val="24"/>
        </w:rPr>
        <w:t>institucional, laboral y</w:t>
      </w:r>
      <w:r>
        <w:rPr>
          <w:rFonts w:ascii="Century Gothic" w:hAnsi="Century Gothic" w:cs="Calibri"/>
          <w:sz w:val="24"/>
          <w:szCs w:val="24"/>
        </w:rPr>
        <w:t xml:space="preserve"> </w:t>
      </w:r>
      <w:r w:rsidRPr="00B42048">
        <w:rPr>
          <w:rFonts w:ascii="Century Gothic" w:hAnsi="Century Gothic" w:cs="Calibri"/>
          <w:sz w:val="24"/>
          <w:szCs w:val="24"/>
        </w:rPr>
        <w:t>docente, de la comunidad,</w:t>
      </w:r>
      <w:r>
        <w:rPr>
          <w:rFonts w:ascii="Century Gothic" w:hAnsi="Century Gothic" w:cs="Calibri"/>
          <w:sz w:val="24"/>
          <w:szCs w:val="24"/>
        </w:rPr>
        <w:t xml:space="preserve"> </w:t>
      </w:r>
      <w:r w:rsidRPr="00B42048">
        <w:rPr>
          <w:rFonts w:ascii="Century Gothic" w:hAnsi="Century Gothic" w:cs="Calibri"/>
          <w:sz w:val="24"/>
          <w:szCs w:val="24"/>
        </w:rPr>
        <w:t>incluida la violencia</w:t>
      </w:r>
      <w:r>
        <w:rPr>
          <w:rFonts w:ascii="Century Gothic" w:hAnsi="Century Gothic" w:cs="Calibri"/>
          <w:sz w:val="24"/>
          <w:szCs w:val="24"/>
        </w:rPr>
        <w:t xml:space="preserve"> </w:t>
      </w:r>
      <w:r w:rsidRPr="00B42048">
        <w:rPr>
          <w:rFonts w:ascii="Century Gothic" w:hAnsi="Century Gothic" w:cs="Calibri"/>
          <w:sz w:val="24"/>
          <w:szCs w:val="24"/>
        </w:rPr>
        <w:t>feminicida y de género, así</w:t>
      </w:r>
      <w:r>
        <w:rPr>
          <w:rFonts w:ascii="Century Gothic" w:hAnsi="Century Gothic" w:cs="Calibri"/>
          <w:sz w:val="24"/>
          <w:szCs w:val="24"/>
        </w:rPr>
        <w:t xml:space="preserve"> como de la delincuencia </w:t>
      </w:r>
      <w:r w:rsidRPr="00B42048">
        <w:rPr>
          <w:rFonts w:ascii="Century Gothic" w:hAnsi="Century Gothic" w:cs="Calibri"/>
          <w:sz w:val="24"/>
          <w:szCs w:val="24"/>
        </w:rPr>
        <w:t>organizada y de trata de</w:t>
      </w:r>
      <w:r>
        <w:rPr>
          <w:rFonts w:ascii="Century Gothic" w:hAnsi="Century Gothic" w:cs="Calibri"/>
          <w:sz w:val="24"/>
          <w:szCs w:val="24"/>
        </w:rPr>
        <w:t xml:space="preserve"> </w:t>
      </w:r>
      <w:r w:rsidRPr="00B42048">
        <w:rPr>
          <w:rFonts w:ascii="Century Gothic" w:hAnsi="Century Gothic" w:cs="Calibri"/>
          <w:sz w:val="24"/>
          <w:szCs w:val="24"/>
        </w:rPr>
        <w:t>personas.</w:t>
      </w:r>
    </w:p>
    <w:p w:rsidR="00B42048" w:rsidRPr="00B42048" w:rsidRDefault="00B42048" w:rsidP="00B42048">
      <w:pPr>
        <w:pStyle w:val="Prrafodelista"/>
        <w:rPr>
          <w:rFonts w:ascii="Century Gothic" w:hAnsi="Century Gothic" w:cs="Calibri"/>
          <w:sz w:val="24"/>
          <w:szCs w:val="24"/>
        </w:rPr>
      </w:pPr>
    </w:p>
    <w:p w:rsidR="00B42048" w:rsidRDefault="00B42048" w:rsidP="00B42048">
      <w:pPr>
        <w:pStyle w:val="Prrafodelista"/>
        <w:numPr>
          <w:ilvl w:val="0"/>
          <w:numId w:val="13"/>
        </w:numPr>
        <w:spacing w:after="0" w:line="360" w:lineRule="auto"/>
        <w:jc w:val="both"/>
        <w:rPr>
          <w:rFonts w:ascii="Century Gothic" w:hAnsi="Century Gothic" w:cs="Calibri"/>
          <w:sz w:val="24"/>
          <w:szCs w:val="24"/>
        </w:rPr>
      </w:pPr>
      <w:r>
        <w:rPr>
          <w:rFonts w:ascii="Century Gothic" w:hAnsi="Century Gothic" w:cs="Calibri"/>
          <w:sz w:val="24"/>
          <w:szCs w:val="24"/>
        </w:rPr>
        <w:t>F</w:t>
      </w:r>
      <w:r w:rsidRPr="00B42048">
        <w:rPr>
          <w:rFonts w:ascii="Century Gothic" w:hAnsi="Century Gothic" w:cs="Calibri"/>
          <w:sz w:val="24"/>
          <w:szCs w:val="24"/>
        </w:rPr>
        <w:t>orma parte del Sistema</w:t>
      </w:r>
      <w:r>
        <w:rPr>
          <w:rFonts w:ascii="Century Gothic" w:hAnsi="Century Gothic" w:cs="Calibri"/>
          <w:sz w:val="24"/>
          <w:szCs w:val="24"/>
        </w:rPr>
        <w:t xml:space="preserve"> </w:t>
      </w:r>
      <w:r w:rsidRPr="00B42048">
        <w:rPr>
          <w:rFonts w:ascii="Century Gothic" w:hAnsi="Century Gothic" w:cs="Calibri"/>
          <w:sz w:val="24"/>
          <w:szCs w:val="24"/>
        </w:rPr>
        <w:t>Único de Información Criminal</w:t>
      </w:r>
      <w:r>
        <w:rPr>
          <w:rFonts w:ascii="Century Gothic" w:hAnsi="Century Gothic" w:cs="Calibri"/>
          <w:sz w:val="24"/>
          <w:szCs w:val="24"/>
        </w:rPr>
        <w:t xml:space="preserve"> </w:t>
      </w:r>
      <w:r w:rsidRPr="00B42048">
        <w:rPr>
          <w:rFonts w:ascii="Century Gothic" w:hAnsi="Century Gothic" w:cs="Calibri"/>
          <w:sz w:val="24"/>
          <w:szCs w:val="24"/>
        </w:rPr>
        <w:t>(SUIC), dentro de Plataforma</w:t>
      </w:r>
      <w:r>
        <w:rPr>
          <w:rFonts w:ascii="Century Gothic" w:hAnsi="Century Gothic" w:cs="Calibri"/>
          <w:sz w:val="24"/>
          <w:szCs w:val="24"/>
        </w:rPr>
        <w:t xml:space="preserve"> </w:t>
      </w:r>
      <w:r w:rsidRPr="00B42048">
        <w:rPr>
          <w:rFonts w:ascii="Century Gothic" w:hAnsi="Century Gothic" w:cs="Calibri"/>
          <w:sz w:val="24"/>
          <w:szCs w:val="24"/>
        </w:rPr>
        <w:t>México, que se encuentra</w:t>
      </w:r>
      <w:r>
        <w:rPr>
          <w:rFonts w:ascii="Century Gothic" w:hAnsi="Century Gothic" w:cs="Calibri"/>
          <w:sz w:val="24"/>
          <w:szCs w:val="24"/>
        </w:rPr>
        <w:t xml:space="preserve"> </w:t>
      </w:r>
      <w:r w:rsidRPr="00B42048">
        <w:rPr>
          <w:rFonts w:ascii="Century Gothic" w:hAnsi="Century Gothic" w:cs="Calibri"/>
          <w:sz w:val="24"/>
          <w:szCs w:val="24"/>
        </w:rPr>
        <w:t>conformado por más de 40 bases</w:t>
      </w:r>
      <w:r>
        <w:rPr>
          <w:rFonts w:ascii="Century Gothic" w:hAnsi="Century Gothic" w:cs="Calibri"/>
          <w:sz w:val="24"/>
          <w:szCs w:val="24"/>
        </w:rPr>
        <w:t xml:space="preserve"> </w:t>
      </w:r>
      <w:r w:rsidRPr="00B42048">
        <w:rPr>
          <w:rFonts w:ascii="Century Gothic" w:hAnsi="Century Gothic" w:cs="Calibri"/>
          <w:sz w:val="24"/>
          <w:szCs w:val="24"/>
        </w:rPr>
        <w:t>de datos que sirven para la</w:t>
      </w:r>
      <w:r>
        <w:rPr>
          <w:rFonts w:ascii="Century Gothic" w:hAnsi="Century Gothic" w:cs="Calibri"/>
          <w:sz w:val="24"/>
          <w:szCs w:val="24"/>
        </w:rPr>
        <w:t xml:space="preserve"> investigación de conductas </w:t>
      </w:r>
      <w:r w:rsidRPr="00B42048">
        <w:rPr>
          <w:rFonts w:ascii="Century Gothic" w:hAnsi="Century Gothic" w:cs="Calibri"/>
          <w:sz w:val="24"/>
          <w:szCs w:val="24"/>
        </w:rPr>
        <w:t>delictivas, para la aprehensión de</w:t>
      </w:r>
      <w:r>
        <w:rPr>
          <w:rFonts w:ascii="Century Gothic" w:hAnsi="Century Gothic" w:cs="Calibri"/>
          <w:sz w:val="24"/>
          <w:szCs w:val="24"/>
        </w:rPr>
        <w:t xml:space="preserve"> </w:t>
      </w:r>
      <w:r w:rsidRPr="00B42048">
        <w:rPr>
          <w:rFonts w:ascii="Century Gothic" w:hAnsi="Century Gothic" w:cs="Calibri"/>
          <w:sz w:val="24"/>
          <w:szCs w:val="24"/>
        </w:rPr>
        <w:t>las personas responsables y en su</w:t>
      </w:r>
      <w:r>
        <w:rPr>
          <w:rFonts w:ascii="Century Gothic" w:hAnsi="Century Gothic" w:cs="Calibri"/>
          <w:sz w:val="24"/>
          <w:szCs w:val="24"/>
        </w:rPr>
        <w:t xml:space="preserve"> </w:t>
      </w:r>
      <w:r w:rsidRPr="00B42048">
        <w:rPr>
          <w:rFonts w:ascii="Century Gothic" w:hAnsi="Century Gothic" w:cs="Calibri"/>
          <w:sz w:val="24"/>
          <w:szCs w:val="24"/>
        </w:rPr>
        <w:t>caso, enjuiciamiento y sanción, con</w:t>
      </w:r>
      <w:r>
        <w:rPr>
          <w:rFonts w:ascii="Century Gothic" w:hAnsi="Century Gothic" w:cs="Calibri"/>
          <w:sz w:val="24"/>
          <w:szCs w:val="24"/>
        </w:rPr>
        <w:t xml:space="preserve"> </w:t>
      </w:r>
      <w:r w:rsidRPr="00B42048">
        <w:rPr>
          <w:rFonts w:ascii="Century Gothic" w:hAnsi="Century Gothic" w:cs="Calibri"/>
          <w:sz w:val="24"/>
          <w:szCs w:val="24"/>
        </w:rPr>
        <w:t>la finalidad de que se cuente con</w:t>
      </w:r>
      <w:r>
        <w:rPr>
          <w:rFonts w:ascii="Century Gothic" w:hAnsi="Century Gothic" w:cs="Calibri"/>
          <w:sz w:val="24"/>
          <w:szCs w:val="24"/>
        </w:rPr>
        <w:t xml:space="preserve"> </w:t>
      </w:r>
      <w:r w:rsidRPr="00B42048">
        <w:rPr>
          <w:rFonts w:ascii="Century Gothic" w:hAnsi="Century Gothic" w:cs="Calibri"/>
          <w:sz w:val="24"/>
          <w:szCs w:val="24"/>
        </w:rPr>
        <w:t>todos los elementos de</w:t>
      </w:r>
      <w:r>
        <w:rPr>
          <w:rFonts w:ascii="Century Gothic" w:hAnsi="Century Gothic" w:cs="Calibri"/>
          <w:sz w:val="24"/>
          <w:szCs w:val="24"/>
        </w:rPr>
        <w:t xml:space="preserve"> </w:t>
      </w:r>
      <w:r w:rsidRPr="00B42048">
        <w:rPr>
          <w:rFonts w:ascii="Century Gothic" w:hAnsi="Century Gothic" w:cs="Calibri"/>
          <w:sz w:val="24"/>
          <w:szCs w:val="24"/>
        </w:rPr>
        <w:t>información confiable y oportuna,</w:t>
      </w:r>
      <w:r>
        <w:rPr>
          <w:rFonts w:ascii="Century Gothic" w:hAnsi="Century Gothic" w:cs="Calibri"/>
          <w:sz w:val="24"/>
          <w:szCs w:val="24"/>
        </w:rPr>
        <w:t xml:space="preserve"> </w:t>
      </w:r>
      <w:r w:rsidRPr="00B42048">
        <w:rPr>
          <w:rFonts w:ascii="Century Gothic" w:hAnsi="Century Gothic" w:cs="Calibri"/>
          <w:sz w:val="24"/>
          <w:szCs w:val="24"/>
        </w:rPr>
        <w:t>con el propósito de realizar las</w:t>
      </w:r>
      <w:r>
        <w:rPr>
          <w:rFonts w:ascii="Century Gothic" w:hAnsi="Century Gothic" w:cs="Calibri"/>
          <w:sz w:val="24"/>
          <w:szCs w:val="24"/>
        </w:rPr>
        <w:t xml:space="preserve"> </w:t>
      </w:r>
      <w:r w:rsidRPr="00B42048">
        <w:rPr>
          <w:rFonts w:ascii="Century Gothic" w:hAnsi="Century Gothic" w:cs="Calibri"/>
          <w:sz w:val="24"/>
          <w:szCs w:val="24"/>
        </w:rPr>
        <w:t>acciones de investigación y política</w:t>
      </w:r>
      <w:r>
        <w:rPr>
          <w:rFonts w:ascii="Century Gothic" w:hAnsi="Century Gothic" w:cs="Calibri"/>
          <w:sz w:val="24"/>
          <w:szCs w:val="24"/>
        </w:rPr>
        <w:t xml:space="preserve"> </w:t>
      </w:r>
      <w:r w:rsidRPr="00B42048">
        <w:rPr>
          <w:rFonts w:ascii="Century Gothic" w:hAnsi="Century Gothic" w:cs="Calibri"/>
          <w:sz w:val="24"/>
          <w:szCs w:val="24"/>
        </w:rPr>
        <w:t>criminal que correspondan.</w:t>
      </w:r>
    </w:p>
    <w:p w:rsidR="00093A45" w:rsidRPr="001F1102" w:rsidRDefault="00093A45" w:rsidP="001F1102">
      <w:pPr>
        <w:rPr>
          <w:rFonts w:ascii="Century Gothic" w:hAnsi="Century Gothic" w:cs="Calibri"/>
          <w:sz w:val="24"/>
          <w:szCs w:val="24"/>
        </w:rPr>
      </w:pPr>
    </w:p>
    <w:p w:rsidR="00093A45" w:rsidRDefault="00093A45" w:rsidP="00093A45">
      <w:pPr>
        <w:pStyle w:val="Prrafodelista"/>
        <w:numPr>
          <w:ilvl w:val="0"/>
          <w:numId w:val="13"/>
        </w:numPr>
        <w:spacing w:after="0" w:line="360" w:lineRule="auto"/>
        <w:jc w:val="both"/>
        <w:rPr>
          <w:rFonts w:ascii="Century Gothic" w:hAnsi="Century Gothic" w:cs="Calibri"/>
          <w:sz w:val="24"/>
          <w:szCs w:val="24"/>
        </w:rPr>
      </w:pPr>
      <w:r w:rsidRPr="00093A45">
        <w:rPr>
          <w:rFonts w:ascii="Century Gothic" w:hAnsi="Century Gothic" w:cs="Calibri"/>
          <w:sz w:val="24"/>
          <w:szCs w:val="24"/>
        </w:rPr>
        <w:t>El BANAVIM cuenta con un registro de todas las atenciones iniciales y subsecuentes proporcionadas a las víctimas por cada instancia pública y/o de la sociedad civil, así como de las referencias y su retroalimentación.</w:t>
      </w:r>
    </w:p>
    <w:p w:rsidR="00093A45" w:rsidRPr="00093A45" w:rsidRDefault="00093A45" w:rsidP="00093A45">
      <w:pPr>
        <w:pStyle w:val="Prrafodelista"/>
        <w:rPr>
          <w:rFonts w:ascii="Century Gothic" w:hAnsi="Century Gothic" w:cs="Calibri"/>
          <w:sz w:val="24"/>
          <w:szCs w:val="24"/>
        </w:rPr>
      </w:pPr>
    </w:p>
    <w:p w:rsidR="00093A45" w:rsidRPr="00093A45" w:rsidRDefault="00093A45" w:rsidP="00093A45">
      <w:pPr>
        <w:pStyle w:val="Prrafodelista"/>
        <w:numPr>
          <w:ilvl w:val="0"/>
          <w:numId w:val="13"/>
        </w:numPr>
        <w:spacing w:after="0" w:line="360" w:lineRule="auto"/>
        <w:jc w:val="both"/>
        <w:rPr>
          <w:rFonts w:ascii="Century Gothic" w:hAnsi="Century Gothic" w:cs="Calibri"/>
          <w:sz w:val="24"/>
          <w:szCs w:val="24"/>
        </w:rPr>
      </w:pPr>
      <w:r w:rsidRPr="00093A45">
        <w:rPr>
          <w:rFonts w:ascii="Century Gothic" w:hAnsi="Century Gothic" w:cs="Calibri"/>
          <w:sz w:val="24"/>
          <w:szCs w:val="24"/>
        </w:rPr>
        <w:t>Cabe hacer mención que los reportes y estadísticas que el BANAVIM contemplan las siguientes variables:</w:t>
      </w:r>
    </w:p>
    <w:p w:rsidR="00093A45" w:rsidRPr="00093A45" w:rsidRDefault="00093A45" w:rsidP="00093A45">
      <w:pPr>
        <w:pStyle w:val="Prrafodelista"/>
        <w:numPr>
          <w:ilvl w:val="0"/>
          <w:numId w:val="14"/>
        </w:numPr>
        <w:spacing w:after="0" w:line="360" w:lineRule="auto"/>
        <w:jc w:val="both"/>
        <w:rPr>
          <w:rFonts w:ascii="Century Gothic" w:hAnsi="Century Gothic" w:cs="Calibri"/>
          <w:sz w:val="24"/>
          <w:szCs w:val="24"/>
        </w:rPr>
      </w:pPr>
      <w:r w:rsidRPr="00093A45">
        <w:rPr>
          <w:rFonts w:ascii="Century Gothic" w:hAnsi="Century Gothic" w:cs="Calibri"/>
          <w:sz w:val="24"/>
          <w:szCs w:val="24"/>
        </w:rPr>
        <w:t>Tipo de Violencia.</w:t>
      </w:r>
    </w:p>
    <w:p w:rsidR="00093A45" w:rsidRPr="00093A45" w:rsidRDefault="00093A45" w:rsidP="00093A45">
      <w:pPr>
        <w:pStyle w:val="Prrafodelista"/>
        <w:numPr>
          <w:ilvl w:val="0"/>
          <w:numId w:val="14"/>
        </w:numPr>
        <w:spacing w:after="0" w:line="360" w:lineRule="auto"/>
        <w:jc w:val="both"/>
        <w:rPr>
          <w:rFonts w:ascii="Century Gothic" w:hAnsi="Century Gothic" w:cs="Calibri"/>
          <w:sz w:val="24"/>
          <w:szCs w:val="24"/>
        </w:rPr>
      </w:pPr>
      <w:r w:rsidRPr="00093A45">
        <w:rPr>
          <w:rFonts w:ascii="Century Gothic" w:hAnsi="Century Gothic" w:cs="Calibri"/>
          <w:sz w:val="24"/>
          <w:szCs w:val="24"/>
        </w:rPr>
        <w:t>Modalidad de la violencia.</w:t>
      </w:r>
    </w:p>
    <w:p w:rsidR="00093A45" w:rsidRPr="00093A45" w:rsidRDefault="00093A45" w:rsidP="00093A45">
      <w:pPr>
        <w:pStyle w:val="Prrafodelista"/>
        <w:numPr>
          <w:ilvl w:val="0"/>
          <w:numId w:val="14"/>
        </w:numPr>
        <w:spacing w:after="0" w:line="360" w:lineRule="auto"/>
        <w:jc w:val="both"/>
        <w:rPr>
          <w:rFonts w:ascii="Century Gothic" w:hAnsi="Century Gothic" w:cs="Calibri"/>
          <w:sz w:val="24"/>
          <w:szCs w:val="24"/>
        </w:rPr>
      </w:pPr>
      <w:r w:rsidRPr="00093A45">
        <w:rPr>
          <w:rFonts w:ascii="Century Gothic" w:hAnsi="Century Gothic" w:cs="Calibri"/>
          <w:sz w:val="24"/>
          <w:szCs w:val="24"/>
        </w:rPr>
        <w:t>Violencia de género.</w:t>
      </w:r>
    </w:p>
    <w:p w:rsidR="00093A45" w:rsidRPr="00093A45" w:rsidRDefault="00093A45" w:rsidP="00093A45">
      <w:pPr>
        <w:pStyle w:val="Prrafodelista"/>
        <w:numPr>
          <w:ilvl w:val="0"/>
          <w:numId w:val="14"/>
        </w:numPr>
        <w:spacing w:after="0" w:line="360" w:lineRule="auto"/>
        <w:jc w:val="both"/>
        <w:rPr>
          <w:rFonts w:ascii="Century Gothic" w:hAnsi="Century Gothic" w:cs="Calibri"/>
          <w:sz w:val="24"/>
          <w:szCs w:val="24"/>
        </w:rPr>
      </w:pPr>
      <w:r w:rsidRPr="00093A45">
        <w:rPr>
          <w:rFonts w:ascii="Century Gothic" w:hAnsi="Century Gothic" w:cs="Calibri"/>
          <w:sz w:val="24"/>
          <w:szCs w:val="24"/>
        </w:rPr>
        <w:t>Victimarios.</w:t>
      </w:r>
    </w:p>
    <w:p w:rsidR="00093A45" w:rsidRPr="00093A45" w:rsidRDefault="00093A45" w:rsidP="00093A45">
      <w:pPr>
        <w:pStyle w:val="Prrafodelista"/>
        <w:numPr>
          <w:ilvl w:val="0"/>
          <w:numId w:val="14"/>
        </w:numPr>
        <w:spacing w:after="0" w:line="360" w:lineRule="auto"/>
        <w:jc w:val="both"/>
        <w:rPr>
          <w:rFonts w:ascii="Century Gothic" w:hAnsi="Century Gothic" w:cs="Calibri"/>
          <w:sz w:val="24"/>
          <w:szCs w:val="24"/>
        </w:rPr>
      </w:pPr>
      <w:r w:rsidRPr="00093A45">
        <w:rPr>
          <w:rFonts w:ascii="Century Gothic" w:hAnsi="Century Gothic" w:cs="Calibri"/>
          <w:sz w:val="24"/>
          <w:szCs w:val="24"/>
        </w:rPr>
        <w:t>Víctimas por edad y tipo de violencia.</w:t>
      </w:r>
    </w:p>
    <w:p w:rsidR="00093A45" w:rsidRPr="00093A45" w:rsidRDefault="00093A45" w:rsidP="00093A45">
      <w:pPr>
        <w:pStyle w:val="Prrafodelista"/>
        <w:numPr>
          <w:ilvl w:val="0"/>
          <w:numId w:val="14"/>
        </w:numPr>
        <w:spacing w:after="0" w:line="360" w:lineRule="auto"/>
        <w:jc w:val="both"/>
        <w:rPr>
          <w:rFonts w:ascii="Century Gothic" w:hAnsi="Century Gothic" w:cs="Calibri"/>
          <w:sz w:val="24"/>
          <w:szCs w:val="24"/>
        </w:rPr>
      </w:pPr>
      <w:r w:rsidRPr="00093A45">
        <w:rPr>
          <w:rFonts w:ascii="Century Gothic" w:hAnsi="Century Gothic" w:cs="Calibri"/>
          <w:sz w:val="24"/>
          <w:szCs w:val="24"/>
        </w:rPr>
        <w:t>Victimarios por edad y tipo de violencia.</w:t>
      </w:r>
    </w:p>
    <w:p w:rsidR="00093A45" w:rsidRPr="00093A45" w:rsidRDefault="00093A45" w:rsidP="00093A45">
      <w:pPr>
        <w:pStyle w:val="Prrafodelista"/>
        <w:numPr>
          <w:ilvl w:val="0"/>
          <w:numId w:val="14"/>
        </w:numPr>
        <w:spacing w:after="0" w:line="360" w:lineRule="auto"/>
        <w:jc w:val="both"/>
        <w:rPr>
          <w:rFonts w:ascii="Century Gothic" w:hAnsi="Century Gothic" w:cs="Calibri"/>
          <w:sz w:val="24"/>
          <w:szCs w:val="24"/>
        </w:rPr>
      </w:pPr>
      <w:r w:rsidRPr="00093A45">
        <w:rPr>
          <w:rFonts w:ascii="Century Gothic" w:hAnsi="Century Gothic" w:cs="Calibri"/>
          <w:sz w:val="24"/>
          <w:szCs w:val="24"/>
        </w:rPr>
        <w:t>Órdenes de protección.</w:t>
      </w:r>
    </w:p>
    <w:p w:rsidR="00093A45" w:rsidRPr="00093A45" w:rsidRDefault="00093A45" w:rsidP="00093A45">
      <w:pPr>
        <w:pStyle w:val="Prrafodelista"/>
        <w:numPr>
          <w:ilvl w:val="0"/>
          <w:numId w:val="14"/>
        </w:numPr>
        <w:spacing w:after="0" w:line="360" w:lineRule="auto"/>
        <w:jc w:val="both"/>
        <w:rPr>
          <w:rFonts w:ascii="Century Gothic" w:hAnsi="Century Gothic" w:cs="Calibri"/>
          <w:sz w:val="24"/>
          <w:szCs w:val="24"/>
        </w:rPr>
      </w:pPr>
      <w:r w:rsidRPr="00093A45">
        <w:rPr>
          <w:rFonts w:ascii="Century Gothic" w:hAnsi="Century Gothic" w:cs="Calibri"/>
          <w:sz w:val="24"/>
          <w:szCs w:val="24"/>
        </w:rPr>
        <w:t>Casos con conocimiento de alguna autoridad.</w:t>
      </w:r>
    </w:p>
    <w:p w:rsidR="00093A45" w:rsidRPr="00093A45" w:rsidRDefault="00093A45" w:rsidP="00093A45">
      <w:pPr>
        <w:pStyle w:val="Prrafodelista"/>
        <w:numPr>
          <w:ilvl w:val="0"/>
          <w:numId w:val="14"/>
        </w:numPr>
        <w:spacing w:after="0" w:line="360" w:lineRule="auto"/>
        <w:jc w:val="both"/>
        <w:rPr>
          <w:rFonts w:ascii="Century Gothic" w:hAnsi="Century Gothic" w:cs="Calibri"/>
          <w:sz w:val="24"/>
          <w:szCs w:val="24"/>
        </w:rPr>
      </w:pPr>
      <w:r w:rsidRPr="00093A45">
        <w:rPr>
          <w:rFonts w:ascii="Century Gothic" w:hAnsi="Century Gothic" w:cs="Calibri"/>
          <w:sz w:val="24"/>
          <w:szCs w:val="24"/>
        </w:rPr>
        <w:t>Delincuencia organizada.</w:t>
      </w:r>
    </w:p>
    <w:p w:rsidR="00093A45" w:rsidRPr="00093A45" w:rsidRDefault="00093A45" w:rsidP="00093A45">
      <w:pPr>
        <w:pStyle w:val="Prrafodelista"/>
        <w:numPr>
          <w:ilvl w:val="0"/>
          <w:numId w:val="14"/>
        </w:numPr>
        <w:spacing w:after="0" w:line="360" w:lineRule="auto"/>
        <w:jc w:val="both"/>
        <w:rPr>
          <w:rFonts w:ascii="Century Gothic" w:hAnsi="Century Gothic" w:cs="Calibri"/>
          <w:sz w:val="24"/>
          <w:szCs w:val="24"/>
        </w:rPr>
      </w:pPr>
      <w:r w:rsidRPr="00093A45">
        <w:rPr>
          <w:rFonts w:ascii="Century Gothic" w:hAnsi="Century Gothic" w:cs="Calibri"/>
          <w:sz w:val="24"/>
          <w:szCs w:val="24"/>
        </w:rPr>
        <w:t>Órdenes de protección emitidas.</w:t>
      </w:r>
    </w:p>
    <w:p w:rsidR="00011DE1" w:rsidRPr="00011DE1" w:rsidRDefault="00011DE1" w:rsidP="00011DE1">
      <w:pPr>
        <w:pStyle w:val="Prrafodelista"/>
        <w:rPr>
          <w:rFonts w:ascii="Century Gothic" w:hAnsi="Century Gothic" w:cs="Calibri"/>
          <w:sz w:val="24"/>
          <w:szCs w:val="24"/>
        </w:rPr>
      </w:pPr>
    </w:p>
    <w:p w:rsidR="00011DE1" w:rsidRPr="00641523" w:rsidRDefault="00011DE1" w:rsidP="00011DE1">
      <w:pPr>
        <w:pStyle w:val="Prrafodelista"/>
        <w:numPr>
          <w:ilvl w:val="0"/>
          <w:numId w:val="13"/>
        </w:numPr>
        <w:spacing w:after="0" w:line="360" w:lineRule="auto"/>
        <w:jc w:val="both"/>
        <w:rPr>
          <w:rFonts w:ascii="Century Gothic" w:hAnsi="Century Gothic" w:cs="Calibri"/>
          <w:sz w:val="24"/>
          <w:szCs w:val="24"/>
        </w:rPr>
      </w:pPr>
      <w:r w:rsidRPr="00641523">
        <w:rPr>
          <w:rFonts w:ascii="Century Gothic" w:hAnsi="Century Gothic" w:cs="Calibri"/>
          <w:sz w:val="24"/>
          <w:szCs w:val="24"/>
        </w:rPr>
        <w:t>Las instituciones que actualmente participan en la alimentación de este banco como proveedoras de datos son</w:t>
      </w:r>
      <w:r w:rsidR="00641523">
        <w:rPr>
          <w:rFonts w:ascii="Century Gothic" w:hAnsi="Century Gothic" w:cs="Calibri"/>
          <w:sz w:val="24"/>
          <w:szCs w:val="24"/>
        </w:rPr>
        <w:t xml:space="preserve"> solo la Fiscalía General del Estado y el Instituto Chihuahuense de las Mujeres, de 214 autoridades estatales y municipales que tienen esta responsabilidad. </w:t>
      </w:r>
      <w:r w:rsidRPr="00641523">
        <w:rPr>
          <w:rFonts w:ascii="Century Gothic" w:hAnsi="Century Gothic" w:cs="Calibri"/>
          <w:sz w:val="24"/>
          <w:szCs w:val="24"/>
        </w:rPr>
        <w:t xml:space="preserve"> </w:t>
      </w:r>
    </w:p>
    <w:p w:rsidR="0035234E" w:rsidRDefault="0035234E" w:rsidP="002E4E0F">
      <w:pPr>
        <w:spacing w:after="0" w:line="360" w:lineRule="auto"/>
        <w:jc w:val="both"/>
        <w:rPr>
          <w:rFonts w:ascii="Century Gothic" w:hAnsi="Century Gothic" w:cs="Calibri"/>
          <w:sz w:val="24"/>
          <w:szCs w:val="24"/>
        </w:rPr>
      </w:pPr>
    </w:p>
    <w:p w:rsidR="009F5A91" w:rsidRDefault="009F5A91" w:rsidP="009F5A91">
      <w:pPr>
        <w:spacing w:after="0" w:line="360" w:lineRule="auto"/>
        <w:jc w:val="both"/>
        <w:rPr>
          <w:rFonts w:ascii="Century Gothic" w:hAnsi="Century Gothic" w:cs="Calibri"/>
          <w:sz w:val="24"/>
          <w:szCs w:val="24"/>
        </w:rPr>
      </w:pPr>
      <w:r>
        <w:rPr>
          <w:rFonts w:ascii="Century Gothic" w:hAnsi="Century Gothic" w:cs="Calibri"/>
          <w:sz w:val="24"/>
          <w:szCs w:val="24"/>
        </w:rPr>
        <w:t>Después de conocer y analizar la información referida por el Dr. Luis Alonso Domínguez Ramos titular de la Dirección de Estadística Criminal de la Fiscalía General del Estado, las diputadas integrantes de la Comisión, concluimos que el BANAVIM cumple con el objetivo general del sistema de referencia y contra referencia que se pretende solicitar en este punto de acuerdo; sin embargo para su eficaz funcionamiento, es necesario que todas las i</w:t>
      </w:r>
      <w:r w:rsidRPr="009F5A91">
        <w:rPr>
          <w:rFonts w:ascii="Century Gothic" w:hAnsi="Century Gothic" w:cs="Calibri"/>
          <w:sz w:val="24"/>
          <w:szCs w:val="24"/>
        </w:rPr>
        <w:t>nstancias</w:t>
      </w:r>
      <w:r>
        <w:rPr>
          <w:rFonts w:ascii="Century Gothic" w:hAnsi="Century Gothic" w:cs="Calibri"/>
          <w:sz w:val="24"/>
          <w:szCs w:val="24"/>
        </w:rPr>
        <w:t xml:space="preserve"> estatales y municipales</w:t>
      </w:r>
      <w:r w:rsidRPr="009F5A91">
        <w:rPr>
          <w:rFonts w:ascii="Century Gothic" w:hAnsi="Century Gothic" w:cs="Calibri"/>
          <w:sz w:val="24"/>
          <w:szCs w:val="24"/>
        </w:rPr>
        <w:t xml:space="preserve"> involucradas en la atención, prevención, sanción, erradicación</w:t>
      </w:r>
      <w:r>
        <w:rPr>
          <w:rFonts w:ascii="Century Gothic" w:hAnsi="Century Gothic" w:cs="Calibri"/>
          <w:sz w:val="24"/>
          <w:szCs w:val="24"/>
        </w:rPr>
        <w:t xml:space="preserve"> de la violencia contra las mujeres</w:t>
      </w:r>
      <w:r w:rsidRPr="009F5A91">
        <w:rPr>
          <w:rFonts w:ascii="Century Gothic" w:hAnsi="Century Gothic" w:cs="Calibri"/>
          <w:sz w:val="24"/>
          <w:szCs w:val="24"/>
        </w:rPr>
        <w:t xml:space="preserve">, </w:t>
      </w:r>
      <w:r>
        <w:rPr>
          <w:rFonts w:ascii="Century Gothic" w:hAnsi="Century Gothic" w:cs="Calibri"/>
          <w:sz w:val="24"/>
          <w:szCs w:val="24"/>
        </w:rPr>
        <w:t xml:space="preserve">se involucren en su implementación a fin de obtener mayores fuentes de información que puedan traducirse en  </w:t>
      </w:r>
      <w:r w:rsidRPr="009F5A91">
        <w:rPr>
          <w:rFonts w:ascii="Century Gothic" w:hAnsi="Century Gothic" w:cs="Calibri"/>
          <w:sz w:val="24"/>
          <w:szCs w:val="24"/>
        </w:rPr>
        <w:t xml:space="preserve">insumo en la elaboración de políticas públicas en la materia, informes, reportes </w:t>
      </w:r>
      <w:r>
        <w:rPr>
          <w:rFonts w:ascii="Century Gothic" w:hAnsi="Century Gothic" w:cs="Calibri"/>
          <w:sz w:val="24"/>
          <w:szCs w:val="24"/>
        </w:rPr>
        <w:t>y estadísticas, en los ámbitos n</w:t>
      </w:r>
      <w:r w:rsidRPr="009F5A91">
        <w:rPr>
          <w:rFonts w:ascii="Century Gothic" w:hAnsi="Century Gothic" w:cs="Calibri"/>
          <w:sz w:val="24"/>
          <w:szCs w:val="24"/>
        </w:rPr>
        <w:t>acional</w:t>
      </w:r>
      <w:r>
        <w:rPr>
          <w:rFonts w:ascii="Century Gothic" w:hAnsi="Century Gothic" w:cs="Calibri"/>
          <w:sz w:val="24"/>
          <w:szCs w:val="24"/>
        </w:rPr>
        <w:t>, e</w:t>
      </w:r>
      <w:r w:rsidRPr="009F5A91">
        <w:rPr>
          <w:rFonts w:ascii="Century Gothic" w:hAnsi="Century Gothic" w:cs="Calibri"/>
          <w:sz w:val="24"/>
          <w:szCs w:val="24"/>
        </w:rPr>
        <w:t>statal</w:t>
      </w:r>
      <w:r>
        <w:rPr>
          <w:rFonts w:ascii="Century Gothic" w:hAnsi="Century Gothic" w:cs="Calibri"/>
          <w:sz w:val="24"/>
          <w:szCs w:val="24"/>
        </w:rPr>
        <w:t xml:space="preserve"> y municipal</w:t>
      </w:r>
      <w:r w:rsidRPr="009F5A91">
        <w:rPr>
          <w:rFonts w:ascii="Century Gothic" w:hAnsi="Century Gothic" w:cs="Calibri"/>
          <w:sz w:val="24"/>
          <w:szCs w:val="24"/>
        </w:rPr>
        <w:t>.</w:t>
      </w:r>
    </w:p>
    <w:p w:rsidR="009F5A91" w:rsidRDefault="009F5A91" w:rsidP="002E4E0F">
      <w:pPr>
        <w:spacing w:after="0" w:line="360" w:lineRule="auto"/>
        <w:jc w:val="both"/>
        <w:rPr>
          <w:rFonts w:ascii="Century Gothic" w:hAnsi="Century Gothic" w:cs="Calibri"/>
          <w:sz w:val="24"/>
          <w:szCs w:val="24"/>
        </w:rPr>
      </w:pPr>
    </w:p>
    <w:p w:rsidR="009F5A91" w:rsidRPr="009F5A91" w:rsidRDefault="0035234E" w:rsidP="009F5A91">
      <w:pPr>
        <w:spacing w:after="0" w:line="360" w:lineRule="auto"/>
        <w:jc w:val="both"/>
        <w:rPr>
          <w:rFonts w:ascii="Century Gothic" w:hAnsi="Century Gothic" w:cs="Calibri"/>
          <w:sz w:val="24"/>
          <w:szCs w:val="24"/>
        </w:rPr>
      </w:pPr>
      <w:r w:rsidRPr="00F85F7C">
        <w:rPr>
          <w:rFonts w:ascii="Century Gothic" w:hAnsi="Century Gothic" w:cs="Calibri"/>
          <w:b/>
          <w:sz w:val="24"/>
          <w:szCs w:val="24"/>
        </w:rPr>
        <w:t>VII.-</w:t>
      </w:r>
      <w:r w:rsidR="009F5A91">
        <w:rPr>
          <w:rFonts w:ascii="Century Gothic" w:hAnsi="Century Gothic" w:cs="Calibri"/>
          <w:sz w:val="24"/>
          <w:szCs w:val="24"/>
        </w:rPr>
        <w:t xml:space="preserve"> </w:t>
      </w:r>
      <w:r w:rsidR="00B07598">
        <w:rPr>
          <w:rFonts w:ascii="Century Gothic" w:hAnsi="Century Gothic" w:cs="Calibri"/>
          <w:sz w:val="24"/>
          <w:szCs w:val="24"/>
        </w:rPr>
        <w:t>Por lo que respec</w:t>
      </w:r>
      <w:r w:rsidR="003B59A0">
        <w:rPr>
          <w:rFonts w:ascii="Century Gothic" w:hAnsi="Century Gothic" w:cs="Calibri"/>
          <w:sz w:val="24"/>
          <w:szCs w:val="24"/>
        </w:rPr>
        <w:t>ta al segundo resolutivo de la i</w:t>
      </w:r>
      <w:r w:rsidR="00B07598">
        <w:rPr>
          <w:rFonts w:ascii="Century Gothic" w:hAnsi="Century Gothic" w:cs="Calibri"/>
          <w:sz w:val="24"/>
          <w:szCs w:val="24"/>
        </w:rPr>
        <w:t>niciativa presentada, consiste</w:t>
      </w:r>
      <w:r w:rsidR="003B59A0">
        <w:rPr>
          <w:rFonts w:ascii="Century Gothic" w:hAnsi="Century Gothic" w:cs="Calibri"/>
          <w:sz w:val="24"/>
          <w:szCs w:val="24"/>
        </w:rPr>
        <w:t>nte</w:t>
      </w:r>
      <w:r w:rsidR="00B07598">
        <w:rPr>
          <w:rFonts w:ascii="Century Gothic" w:hAnsi="Century Gothic" w:cs="Calibri"/>
          <w:sz w:val="24"/>
          <w:szCs w:val="24"/>
        </w:rPr>
        <w:t xml:space="preserve"> en </w:t>
      </w:r>
      <w:r w:rsidR="009F5A91">
        <w:rPr>
          <w:rFonts w:ascii="Century Gothic" w:hAnsi="Century Gothic" w:cs="Calibri"/>
          <w:sz w:val="24"/>
          <w:szCs w:val="24"/>
        </w:rPr>
        <w:t>solicitar se emitan</w:t>
      </w:r>
      <w:r w:rsidR="009F5A91" w:rsidRPr="009F5A91">
        <w:rPr>
          <w:rFonts w:ascii="Century Gothic" w:hAnsi="Century Gothic" w:cs="Calibri"/>
          <w:sz w:val="24"/>
          <w:szCs w:val="24"/>
        </w:rPr>
        <w:t xml:space="preserve"> campañas masivas sobre los diferentes organismos que atienden a niñas y mujeres víctimas de violencia </w:t>
      </w:r>
      <w:r w:rsidR="009F5A91">
        <w:rPr>
          <w:rFonts w:ascii="Century Gothic" w:hAnsi="Century Gothic" w:cs="Calibri"/>
          <w:sz w:val="24"/>
          <w:szCs w:val="24"/>
        </w:rPr>
        <w:t xml:space="preserve">y </w:t>
      </w:r>
      <w:r w:rsidR="009F5A91" w:rsidRPr="009F5A91">
        <w:rPr>
          <w:rFonts w:ascii="Century Gothic" w:hAnsi="Century Gothic" w:cs="Calibri"/>
          <w:sz w:val="24"/>
          <w:szCs w:val="24"/>
        </w:rPr>
        <w:t xml:space="preserve">que </w:t>
      </w:r>
      <w:r w:rsidR="009F5A91">
        <w:rPr>
          <w:rFonts w:ascii="Century Gothic" w:hAnsi="Century Gothic" w:cs="Calibri"/>
          <w:sz w:val="24"/>
          <w:szCs w:val="24"/>
        </w:rPr>
        <w:t xml:space="preserve">se </w:t>
      </w:r>
      <w:r w:rsidR="009F5A91" w:rsidRPr="009F5A91">
        <w:rPr>
          <w:rFonts w:ascii="Century Gothic" w:hAnsi="Century Gothic" w:cs="Calibri"/>
          <w:sz w:val="24"/>
          <w:szCs w:val="24"/>
        </w:rPr>
        <w:t>incluya</w:t>
      </w:r>
      <w:r w:rsidR="009F5A91">
        <w:rPr>
          <w:rFonts w:ascii="Century Gothic" w:hAnsi="Century Gothic" w:cs="Calibri"/>
          <w:sz w:val="24"/>
          <w:szCs w:val="24"/>
        </w:rPr>
        <w:t>n</w:t>
      </w:r>
      <w:r w:rsidR="009F5A91" w:rsidRPr="009F5A91">
        <w:rPr>
          <w:rFonts w:ascii="Century Gothic" w:hAnsi="Century Gothic" w:cs="Calibri"/>
          <w:sz w:val="24"/>
          <w:szCs w:val="24"/>
        </w:rPr>
        <w:t xml:space="preserve"> los diferentes directorios y protocolos necesarios para asegurar el acceso a la ju</w:t>
      </w:r>
      <w:r w:rsidR="009F5A91">
        <w:rPr>
          <w:rFonts w:ascii="Century Gothic" w:hAnsi="Century Gothic" w:cs="Calibri"/>
          <w:sz w:val="24"/>
          <w:szCs w:val="24"/>
        </w:rPr>
        <w:t xml:space="preserve">sticia de las mujeres y niñas, resulta necesario considerar </w:t>
      </w:r>
      <w:r w:rsidR="009F5A91" w:rsidRPr="009F5A91">
        <w:rPr>
          <w:rFonts w:ascii="Century Gothic" w:hAnsi="Century Gothic" w:cs="Calibri"/>
          <w:sz w:val="24"/>
          <w:szCs w:val="24"/>
        </w:rPr>
        <w:t>que actualmente existen campañas de información, como lo son resp</w:t>
      </w:r>
      <w:r w:rsidR="009F5A91">
        <w:rPr>
          <w:rFonts w:ascii="Century Gothic" w:hAnsi="Century Gothic" w:cs="Calibri"/>
          <w:sz w:val="24"/>
          <w:szCs w:val="24"/>
        </w:rPr>
        <w:t>ecto de los tipos de violencias; acoso y hostigamiento;</w:t>
      </w:r>
      <w:r w:rsidR="009F5A91" w:rsidRPr="009F5A91">
        <w:rPr>
          <w:rFonts w:ascii="Century Gothic" w:hAnsi="Century Gothic" w:cs="Calibri"/>
          <w:sz w:val="24"/>
          <w:szCs w:val="24"/>
        </w:rPr>
        <w:t xml:space="preserve"> prot</w:t>
      </w:r>
      <w:r w:rsidR="009F5A91">
        <w:rPr>
          <w:rFonts w:ascii="Century Gothic" w:hAnsi="Century Gothic" w:cs="Calibri"/>
          <w:sz w:val="24"/>
          <w:szCs w:val="24"/>
        </w:rPr>
        <w:t>ocolo alba;</w:t>
      </w:r>
      <w:r w:rsidR="009F5A91" w:rsidRPr="009F5A91">
        <w:rPr>
          <w:rFonts w:ascii="Century Gothic" w:hAnsi="Century Gothic" w:cs="Calibri"/>
          <w:sz w:val="24"/>
          <w:szCs w:val="24"/>
        </w:rPr>
        <w:t xml:space="preserve"> prevención de la violencia, entre otras.</w:t>
      </w:r>
    </w:p>
    <w:p w:rsidR="009F5A91" w:rsidRDefault="009F5A91" w:rsidP="009F5A91">
      <w:pPr>
        <w:spacing w:after="0" w:line="360" w:lineRule="auto"/>
        <w:jc w:val="both"/>
        <w:rPr>
          <w:rFonts w:ascii="Century Gothic" w:hAnsi="Century Gothic" w:cs="Calibri"/>
          <w:sz w:val="24"/>
          <w:szCs w:val="24"/>
        </w:rPr>
      </w:pPr>
    </w:p>
    <w:p w:rsidR="009F5A91" w:rsidRPr="009F5A91" w:rsidRDefault="00641523" w:rsidP="009F5A91">
      <w:pPr>
        <w:spacing w:after="0" w:line="360" w:lineRule="auto"/>
        <w:jc w:val="both"/>
        <w:rPr>
          <w:rFonts w:ascii="Century Gothic" w:hAnsi="Century Gothic" w:cs="Calibri"/>
          <w:sz w:val="24"/>
          <w:szCs w:val="24"/>
        </w:rPr>
      </w:pPr>
      <w:r>
        <w:rPr>
          <w:rFonts w:ascii="Century Gothic" w:hAnsi="Century Gothic" w:cs="Calibri"/>
          <w:sz w:val="24"/>
          <w:szCs w:val="24"/>
        </w:rPr>
        <w:t>Dichas</w:t>
      </w:r>
      <w:r w:rsidR="009F5A91">
        <w:rPr>
          <w:rFonts w:ascii="Century Gothic" w:hAnsi="Century Gothic" w:cs="Calibri"/>
          <w:sz w:val="24"/>
          <w:szCs w:val="24"/>
        </w:rPr>
        <w:t xml:space="preserve"> campañas publicitarias destacan </w:t>
      </w:r>
      <w:r w:rsidR="009F5A91" w:rsidRPr="009F5A91">
        <w:rPr>
          <w:rFonts w:ascii="Century Gothic" w:hAnsi="Century Gothic" w:cs="Calibri"/>
          <w:sz w:val="24"/>
          <w:szCs w:val="24"/>
        </w:rPr>
        <w:t>los t</w:t>
      </w:r>
      <w:r w:rsidR="009F5A91">
        <w:rPr>
          <w:rFonts w:ascii="Century Gothic" w:hAnsi="Century Gothic" w:cs="Calibri"/>
          <w:sz w:val="24"/>
          <w:szCs w:val="24"/>
        </w:rPr>
        <w:t>eléfonos y direcciones de los once</w:t>
      </w:r>
      <w:r w:rsidR="009F5A91" w:rsidRPr="009F5A91">
        <w:rPr>
          <w:rFonts w:ascii="Century Gothic" w:hAnsi="Century Gothic" w:cs="Calibri"/>
          <w:sz w:val="24"/>
          <w:szCs w:val="24"/>
        </w:rPr>
        <w:t xml:space="preserve"> centros de atención, así como también los servicios que se brindan. </w:t>
      </w:r>
      <w:r w:rsidR="009F5A91">
        <w:rPr>
          <w:rFonts w:ascii="Century Gothic" w:hAnsi="Century Gothic" w:cs="Calibri"/>
          <w:sz w:val="24"/>
          <w:szCs w:val="24"/>
        </w:rPr>
        <w:t>Su difusión se realiza por medio de las redes sociales oficiales del I</w:t>
      </w:r>
      <w:r w:rsidR="009F5A91" w:rsidRPr="009F5A91">
        <w:rPr>
          <w:rFonts w:ascii="Century Gothic" w:hAnsi="Century Gothic" w:cs="Calibri"/>
          <w:sz w:val="24"/>
          <w:szCs w:val="24"/>
        </w:rPr>
        <w:t>nstituto</w:t>
      </w:r>
      <w:r w:rsidR="009F5A91">
        <w:rPr>
          <w:rFonts w:ascii="Century Gothic" w:hAnsi="Century Gothic" w:cs="Calibri"/>
          <w:sz w:val="24"/>
          <w:szCs w:val="24"/>
        </w:rPr>
        <w:t xml:space="preserve"> Chihuahuense de las Mujeres</w:t>
      </w:r>
      <w:r w:rsidR="009F5A91" w:rsidRPr="009F5A91">
        <w:rPr>
          <w:rFonts w:ascii="Century Gothic" w:hAnsi="Century Gothic" w:cs="Calibri"/>
          <w:sz w:val="24"/>
          <w:szCs w:val="24"/>
        </w:rPr>
        <w:t>,</w:t>
      </w:r>
      <w:r w:rsidR="009F5A91">
        <w:rPr>
          <w:rFonts w:ascii="Century Gothic" w:hAnsi="Century Gothic" w:cs="Calibri"/>
          <w:sz w:val="24"/>
          <w:szCs w:val="24"/>
        </w:rPr>
        <w:t xml:space="preserve"> del Gobierno del Estado de Chihuahua y diversos medios de comunicación</w:t>
      </w:r>
      <w:r w:rsidR="009F5A91" w:rsidRPr="009F5A91">
        <w:rPr>
          <w:rFonts w:ascii="Century Gothic" w:hAnsi="Century Gothic" w:cs="Calibri"/>
          <w:sz w:val="24"/>
          <w:szCs w:val="24"/>
        </w:rPr>
        <w:t>.</w:t>
      </w:r>
    </w:p>
    <w:p w:rsidR="009F5A91" w:rsidRDefault="009F5A91" w:rsidP="009F5A91">
      <w:pPr>
        <w:spacing w:after="0" w:line="360" w:lineRule="auto"/>
        <w:jc w:val="both"/>
        <w:rPr>
          <w:rFonts w:ascii="Century Gothic" w:hAnsi="Century Gothic" w:cs="Calibri"/>
          <w:sz w:val="24"/>
          <w:szCs w:val="24"/>
        </w:rPr>
      </w:pPr>
    </w:p>
    <w:p w:rsidR="009F5A91" w:rsidRDefault="009F5A91" w:rsidP="009F5A91">
      <w:pPr>
        <w:spacing w:after="0" w:line="360" w:lineRule="auto"/>
        <w:jc w:val="both"/>
        <w:rPr>
          <w:rFonts w:ascii="Century Gothic" w:hAnsi="Century Gothic" w:cs="Calibri"/>
          <w:sz w:val="24"/>
          <w:szCs w:val="24"/>
        </w:rPr>
      </w:pPr>
      <w:r>
        <w:rPr>
          <w:rFonts w:ascii="Century Gothic" w:hAnsi="Century Gothic" w:cs="Calibri"/>
          <w:sz w:val="24"/>
          <w:szCs w:val="24"/>
        </w:rPr>
        <w:t>Según datos proporcionados por el Instituto Chihuahuense de las Mujeres, p</w:t>
      </w:r>
      <w:r w:rsidRPr="009F5A91">
        <w:rPr>
          <w:rFonts w:ascii="Century Gothic" w:hAnsi="Century Gothic" w:cs="Calibri"/>
          <w:sz w:val="24"/>
          <w:szCs w:val="24"/>
        </w:rPr>
        <w:t>ara este año se tienen proyectadas campañas adicionales a las existentes</w:t>
      </w:r>
      <w:r>
        <w:rPr>
          <w:rFonts w:ascii="Century Gothic" w:hAnsi="Century Gothic" w:cs="Calibri"/>
          <w:sz w:val="24"/>
          <w:szCs w:val="24"/>
        </w:rPr>
        <w:t>, relativas a</w:t>
      </w:r>
      <w:r w:rsidRPr="009F5A91">
        <w:rPr>
          <w:rFonts w:ascii="Century Gothic" w:hAnsi="Century Gothic" w:cs="Calibri"/>
          <w:sz w:val="24"/>
          <w:szCs w:val="24"/>
        </w:rPr>
        <w:t xml:space="preserve"> </w:t>
      </w:r>
      <w:r>
        <w:rPr>
          <w:rFonts w:ascii="Century Gothic" w:hAnsi="Century Gothic" w:cs="Calibri"/>
          <w:sz w:val="24"/>
          <w:szCs w:val="24"/>
        </w:rPr>
        <w:t>prevención de las a</w:t>
      </w:r>
      <w:r w:rsidRPr="009F5A91">
        <w:rPr>
          <w:rFonts w:ascii="Century Gothic" w:hAnsi="Century Gothic" w:cs="Calibri"/>
          <w:sz w:val="24"/>
          <w:szCs w:val="24"/>
        </w:rPr>
        <w:t>dicciones y lanzamientos de progra</w:t>
      </w:r>
      <w:r>
        <w:rPr>
          <w:rFonts w:ascii="Century Gothic" w:hAnsi="Century Gothic" w:cs="Calibri"/>
          <w:sz w:val="24"/>
          <w:szCs w:val="24"/>
        </w:rPr>
        <w:t>mas de prevención</w:t>
      </w:r>
      <w:r w:rsidRPr="009F5A91">
        <w:rPr>
          <w:rFonts w:ascii="Century Gothic" w:hAnsi="Century Gothic" w:cs="Calibri"/>
          <w:sz w:val="24"/>
          <w:szCs w:val="24"/>
        </w:rPr>
        <w:t xml:space="preserve"> y zonas seguras.</w:t>
      </w:r>
    </w:p>
    <w:p w:rsidR="009F5A91" w:rsidRDefault="009F5A91" w:rsidP="00426AC0">
      <w:pPr>
        <w:spacing w:after="0" w:line="360" w:lineRule="auto"/>
        <w:jc w:val="both"/>
        <w:rPr>
          <w:rFonts w:ascii="Century Gothic" w:hAnsi="Century Gothic" w:cs="Calibri"/>
          <w:sz w:val="24"/>
          <w:szCs w:val="24"/>
        </w:rPr>
      </w:pPr>
    </w:p>
    <w:p w:rsidR="009F5A91" w:rsidRDefault="009F5A91" w:rsidP="009F5A91">
      <w:pPr>
        <w:spacing w:after="0" w:line="360" w:lineRule="auto"/>
        <w:jc w:val="both"/>
        <w:rPr>
          <w:rFonts w:ascii="Century Gothic" w:hAnsi="Century Gothic" w:cs="Calibri"/>
          <w:sz w:val="24"/>
          <w:szCs w:val="24"/>
        </w:rPr>
      </w:pPr>
      <w:r>
        <w:rPr>
          <w:rFonts w:ascii="Century Gothic" w:hAnsi="Century Gothic" w:cs="Calibri"/>
          <w:sz w:val="24"/>
          <w:szCs w:val="24"/>
        </w:rPr>
        <w:t>En lo que toca al tercer resolutivo de la iniciativa, respecto de exhortar</w:t>
      </w:r>
      <w:r w:rsidRPr="009F5A91">
        <w:rPr>
          <w:rFonts w:ascii="Century Gothic" w:hAnsi="Century Gothic" w:cs="Calibri"/>
          <w:sz w:val="24"/>
          <w:szCs w:val="24"/>
        </w:rPr>
        <w:t xml:space="preserve"> se ponga a la vista de las víctimas, el flujograma de atención y además los derechos humanos que le corresponden en el caso de no ser atendidas, de</w:t>
      </w:r>
      <w:r>
        <w:rPr>
          <w:rFonts w:ascii="Century Gothic" w:hAnsi="Century Gothic" w:cs="Calibri"/>
          <w:sz w:val="24"/>
          <w:szCs w:val="24"/>
        </w:rPr>
        <w:t xml:space="preserve">stacamos que el </w:t>
      </w:r>
      <w:r w:rsidRPr="009F5A91">
        <w:rPr>
          <w:rFonts w:ascii="Century Gothic" w:hAnsi="Century Gothic" w:cs="Calibri"/>
          <w:i/>
          <w:sz w:val="24"/>
          <w:szCs w:val="24"/>
        </w:rPr>
        <w:t>Manual de Organización y Procedimientos Administrativos del Centro de Atención a la Violencia Contra las Mujeres</w:t>
      </w:r>
      <w:r w:rsidRPr="009F5A91">
        <w:rPr>
          <w:rFonts w:ascii="Century Gothic" w:hAnsi="Century Gothic" w:cs="Calibri"/>
          <w:sz w:val="24"/>
          <w:szCs w:val="24"/>
        </w:rPr>
        <w:t xml:space="preserve"> tiene un flujograma de recepción, el cual es explicado </w:t>
      </w:r>
      <w:r>
        <w:rPr>
          <w:rFonts w:ascii="Century Gothic" w:hAnsi="Century Gothic" w:cs="Calibri"/>
          <w:sz w:val="24"/>
          <w:szCs w:val="24"/>
        </w:rPr>
        <w:t xml:space="preserve">por la trabajadora social que recibe a la víctima como primer enlace de atención. De la misma manera, los Centros de Justicia para las Mujeres cuentan con un manual de proceso de atención que se explica a la víctima paso a paso. </w:t>
      </w:r>
      <w:r w:rsidRPr="009F5A91">
        <w:rPr>
          <w:rFonts w:ascii="Century Gothic" w:hAnsi="Century Gothic" w:cs="Calibri"/>
          <w:sz w:val="24"/>
          <w:szCs w:val="24"/>
        </w:rPr>
        <w:t>Dichos manuales tienen la difusión pertinente en la página web del Instituto</w:t>
      </w:r>
      <w:r>
        <w:rPr>
          <w:rFonts w:ascii="Century Gothic" w:hAnsi="Century Gothic" w:cs="Calibri"/>
          <w:sz w:val="24"/>
          <w:szCs w:val="24"/>
        </w:rPr>
        <w:t xml:space="preserve"> Chihuahuense de las Mujeres y de cada dependencia correspondiente, además de encontrarse publicados en todos los estrados de oficina de atención. </w:t>
      </w:r>
    </w:p>
    <w:p w:rsidR="00426AC0" w:rsidRDefault="00426AC0" w:rsidP="00B22B06">
      <w:pPr>
        <w:spacing w:after="0" w:line="360" w:lineRule="auto"/>
        <w:jc w:val="both"/>
        <w:rPr>
          <w:rFonts w:ascii="Century Gothic" w:hAnsi="Century Gothic" w:cs="Calibri"/>
          <w:sz w:val="24"/>
          <w:szCs w:val="24"/>
        </w:rPr>
      </w:pPr>
    </w:p>
    <w:p w:rsidR="000800D6" w:rsidRPr="00426AC0" w:rsidRDefault="00B22B06" w:rsidP="00426AC0">
      <w:pPr>
        <w:spacing w:after="0" w:line="360" w:lineRule="auto"/>
        <w:jc w:val="both"/>
        <w:rPr>
          <w:rFonts w:ascii="Century Gothic" w:hAnsi="Century Gothic" w:cs="Calibri"/>
          <w:sz w:val="24"/>
          <w:szCs w:val="24"/>
        </w:rPr>
      </w:pPr>
      <w:r w:rsidRPr="00B22B06">
        <w:rPr>
          <w:rFonts w:ascii="Century Gothic" w:hAnsi="Century Gothic" w:cs="Calibri"/>
          <w:sz w:val="24"/>
          <w:szCs w:val="24"/>
        </w:rPr>
        <w:t>Por lo anter</w:t>
      </w:r>
      <w:r w:rsidR="00426AC0">
        <w:rPr>
          <w:rFonts w:ascii="Century Gothic" w:hAnsi="Century Gothic" w:cs="Calibri"/>
          <w:sz w:val="24"/>
          <w:szCs w:val="24"/>
        </w:rPr>
        <w:t>iormente expuesto, las diputadas</w:t>
      </w:r>
      <w:r w:rsidRPr="00B22B06">
        <w:rPr>
          <w:rFonts w:ascii="Century Gothic" w:hAnsi="Century Gothic" w:cs="Calibri"/>
          <w:sz w:val="24"/>
          <w:szCs w:val="24"/>
        </w:rPr>
        <w:t xml:space="preserve"> integrantes de</w:t>
      </w:r>
      <w:r w:rsidR="00426AC0">
        <w:rPr>
          <w:rFonts w:ascii="Century Gothic" w:hAnsi="Century Gothic" w:cs="Calibri"/>
          <w:sz w:val="24"/>
          <w:szCs w:val="24"/>
        </w:rPr>
        <w:t xml:space="preserve"> la Comisión dictaminadora sometemos</w:t>
      </w:r>
      <w:r w:rsidRPr="00B22B06">
        <w:rPr>
          <w:rFonts w:ascii="Century Gothic" w:hAnsi="Century Gothic" w:cs="Calibri"/>
          <w:sz w:val="24"/>
          <w:szCs w:val="24"/>
        </w:rPr>
        <w:t xml:space="preserve"> a la </w:t>
      </w:r>
      <w:r w:rsidR="00426AC0">
        <w:rPr>
          <w:rFonts w:ascii="Century Gothic" w:hAnsi="Century Gothic" w:cs="Calibri"/>
          <w:sz w:val="24"/>
          <w:szCs w:val="24"/>
        </w:rPr>
        <w:t xml:space="preserve">consideración </w:t>
      </w:r>
      <w:r w:rsidR="000800D6" w:rsidRPr="00426AC0">
        <w:rPr>
          <w:rFonts w:ascii="Century Gothic" w:hAnsi="Century Gothic" w:cs="Arial"/>
          <w:sz w:val="24"/>
          <w:szCs w:val="24"/>
        </w:rPr>
        <w:t>del Pleno de este Honorable Congreso del Estado, el presente proyecto con carácter de:</w:t>
      </w:r>
    </w:p>
    <w:p w:rsidR="00347BC4" w:rsidRDefault="00347BC4" w:rsidP="00426AC0">
      <w:pPr>
        <w:spacing w:after="0" w:line="360" w:lineRule="auto"/>
        <w:contextualSpacing/>
        <w:rPr>
          <w:rFonts w:ascii="Century Gothic" w:hAnsi="Century Gothic" w:cs="Arial"/>
          <w:b/>
          <w:bCs/>
          <w:sz w:val="28"/>
          <w:szCs w:val="28"/>
        </w:rPr>
      </w:pPr>
    </w:p>
    <w:p w:rsidR="00D21833" w:rsidRPr="00270555" w:rsidRDefault="00D21833" w:rsidP="00426AC0">
      <w:pPr>
        <w:spacing w:after="0" w:line="360" w:lineRule="auto"/>
        <w:contextualSpacing/>
        <w:rPr>
          <w:rFonts w:ascii="Century Gothic" w:hAnsi="Century Gothic" w:cs="Arial"/>
          <w:b/>
          <w:bCs/>
          <w:sz w:val="28"/>
          <w:szCs w:val="28"/>
        </w:rPr>
      </w:pPr>
    </w:p>
    <w:p w:rsidR="000800D6" w:rsidRPr="00270555" w:rsidRDefault="000800D6" w:rsidP="000800D6">
      <w:pPr>
        <w:spacing w:after="0" w:line="360" w:lineRule="auto"/>
        <w:contextualSpacing/>
        <w:jc w:val="center"/>
        <w:rPr>
          <w:rFonts w:ascii="Century Gothic" w:hAnsi="Century Gothic" w:cs="Arial"/>
          <w:b/>
          <w:bCs/>
          <w:sz w:val="28"/>
          <w:szCs w:val="28"/>
        </w:rPr>
      </w:pPr>
      <w:r w:rsidRPr="00270555">
        <w:rPr>
          <w:rFonts w:ascii="Century Gothic" w:hAnsi="Century Gothic" w:cs="Arial"/>
          <w:b/>
          <w:bCs/>
          <w:sz w:val="28"/>
          <w:szCs w:val="28"/>
        </w:rPr>
        <w:t>A C U E R D O</w:t>
      </w:r>
    </w:p>
    <w:p w:rsidR="006E6B00" w:rsidRDefault="006E6B00" w:rsidP="000800D6">
      <w:pPr>
        <w:spacing w:after="0" w:line="360" w:lineRule="auto"/>
        <w:contextualSpacing/>
        <w:jc w:val="center"/>
        <w:rPr>
          <w:rFonts w:ascii="Century Gothic" w:hAnsi="Century Gothic" w:cs="Arial"/>
          <w:b/>
          <w:bCs/>
          <w:sz w:val="28"/>
          <w:szCs w:val="28"/>
        </w:rPr>
      </w:pPr>
    </w:p>
    <w:p w:rsidR="00D21833" w:rsidRPr="00270555" w:rsidRDefault="00D21833" w:rsidP="000800D6">
      <w:pPr>
        <w:spacing w:after="0" w:line="360" w:lineRule="auto"/>
        <w:contextualSpacing/>
        <w:jc w:val="center"/>
        <w:rPr>
          <w:rFonts w:ascii="Century Gothic" w:hAnsi="Century Gothic" w:cs="Arial"/>
          <w:b/>
          <w:bCs/>
          <w:sz w:val="28"/>
          <w:szCs w:val="28"/>
        </w:rPr>
      </w:pPr>
    </w:p>
    <w:p w:rsidR="000800D6" w:rsidRPr="00860880" w:rsidRDefault="00426AC0" w:rsidP="000800D6">
      <w:pPr>
        <w:spacing w:after="0" w:line="360" w:lineRule="auto"/>
        <w:contextualSpacing/>
        <w:jc w:val="both"/>
        <w:rPr>
          <w:rFonts w:ascii="Century Gothic" w:hAnsi="Century Gothic" w:cs="Arial"/>
          <w:bCs/>
          <w:sz w:val="24"/>
          <w:szCs w:val="24"/>
        </w:rPr>
      </w:pPr>
      <w:r>
        <w:rPr>
          <w:rFonts w:ascii="Century Gothic" w:hAnsi="Century Gothic" w:cs="Arial"/>
          <w:b/>
          <w:bCs/>
          <w:sz w:val="28"/>
          <w:szCs w:val="28"/>
        </w:rPr>
        <w:t>PRIMERO</w:t>
      </w:r>
      <w:r w:rsidR="000800D6" w:rsidRPr="00270555">
        <w:rPr>
          <w:rFonts w:ascii="Century Gothic" w:hAnsi="Century Gothic" w:cs="Arial"/>
          <w:b/>
          <w:bCs/>
          <w:sz w:val="28"/>
          <w:szCs w:val="28"/>
        </w:rPr>
        <w:t xml:space="preserve">.- </w:t>
      </w:r>
      <w:r>
        <w:rPr>
          <w:rFonts w:ascii="Century Gothic" w:hAnsi="Century Gothic" w:cs="Arial"/>
          <w:bCs/>
          <w:sz w:val="24"/>
          <w:szCs w:val="24"/>
        </w:rPr>
        <w:t>La Sexagésima Séptima</w:t>
      </w:r>
      <w:r w:rsidR="000800D6" w:rsidRPr="00270555">
        <w:rPr>
          <w:rFonts w:ascii="Century Gothic" w:hAnsi="Century Gothic" w:cs="Arial"/>
          <w:bCs/>
          <w:sz w:val="24"/>
          <w:szCs w:val="24"/>
        </w:rPr>
        <w:t xml:space="preserve"> Legislatura del Honorable Congreso del Estado de Chihuahua, exhorta de manera respetuosa</w:t>
      </w:r>
      <w:r w:rsidR="0081421F">
        <w:rPr>
          <w:rFonts w:ascii="Century Gothic" w:hAnsi="Century Gothic" w:cs="Arial"/>
          <w:bCs/>
          <w:sz w:val="24"/>
          <w:szCs w:val="24"/>
        </w:rPr>
        <w:t xml:space="preserve"> </w:t>
      </w:r>
      <w:r w:rsidR="00641523" w:rsidRPr="0081421F">
        <w:rPr>
          <w:rFonts w:ascii="Century Gothic" w:hAnsi="Century Gothic" w:cs="Arial"/>
          <w:bCs/>
          <w:sz w:val="24"/>
          <w:szCs w:val="24"/>
        </w:rPr>
        <w:t>a</w:t>
      </w:r>
      <w:r w:rsidR="005B1283" w:rsidRPr="0081421F">
        <w:rPr>
          <w:rFonts w:ascii="Century Gothic" w:hAnsi="Century Gothic" w:cs="Arial"/>
          <w:bCs/>
          <w:sz w:val="24"/>
          <w:szCs w:val="24"/>
        </w:rPr>
        <w:t xml:space="preserve">l Tribunal Superior de Justicia del Estado, </w:t>
      </w:r>
      <w:r w:rsidR="00636FF4" w:rsidRPr="0081421F">
        <w:rPr>
          <w:rFonts w:ascii="Century Gothic" w:hAnsi="Century Gothic" w:cs="Arial"/>
          <w:bCs/>
          <w:sz w:val="24"/>
          <w:szCs w:val="24"/>
        </w:rPr>
        <w:t xml:space="preserve">a la Procuraduría de Protección de Niñas, Niños y Adolescentes, </w:t>
      </w:r>
      <w:r w:rsidR="005B1283" w:rsidRPr="0081421F">
        <w:rPr>
          <w:rFonts w:ascii="Century Gothic" w:hAnsi="Century Gothic" w:cs="Arial"/>
          <w:bCs/>
          <w:sz w:val="24"/>
          <w:szCs w:val="24"/>
        </w:rPr>
        <w:t xml:space="preserve">al Instituto Estatal Electoral, a la Secretaría de Seguridad Pública, a la Secretaría de Desarrollo Humano y Bien Común, a la Secretaría de Educación y Deporte, a la Secretaría de Cultura, al Sistema para el Desarrollo Integral de la Familia, al Sistema Estatal de Protección Integral </w:t>
      </w:r>
      <w:r w:rsidR="00636FF4" w:rsidRPr="0081421F">
        <w:rPr>
          <w:rFonts w:ascii="Century Gothic" w:hAnsi="Century Gothic" w:cs="Arial"/>
          <w:bCs/>
          <w:sz w:val="24"/>
          <w:szCs w:val="24"/>
        </w:rPr>
        <w:t xml:space="preserve">de Niñas, Niños y Adolescentes, </w:t>
      </w:r>
      <w:r w:rsidR="005B1283" w:rsidRPr="0081421F">
        <w:rPr>
          <w:rFonts w:ascii="Century Gothic" w:hAnsi="Century Gothic" w:cs="Arial"/>
          <w:bCs/>
          <w:sz w:val="24"/>
          <w:szCs w:val="24"/>
        </w:rPr>
        <w:t xml:space="preserve"> a la Comisión Estatal para los Pueblos Indígenas, a la Comisión Estatal de Derechos</w:t>
      </w:r>
      <w:r w:rsidR="005B1283">
        <w:rPr>
          <w:rFonts w:ascii="Century Gothic" w:hAnsi="Century Gothic" w:cs="Arial"/>
          <w:bCs/>
          <w:sz w:val="24"/>
          <w:szCs w:val="24"/>
        </w:rPr>
        <w:t xml:space="preserve"> Humanos, a la Unive</w:t>
      </w:r>
      <w:r w:rsidR="00860880">
        <w:rPr>
          <w:rFonts w:ascii="Century Gothic" w:hAnsi="Century Gothic" w:cs="Arial"/>
          <w:bCs/>
          <w:sz w:val="24"/>
          <w:szCs w:val="24"/>
        </w:rPr>
        <w:t xml:space="preserve">rsidad Autónoma de Chihuahua y </w:t>
      </w:r>
      <w:r w:rsidR="005B1283">
        <w:rPr>
          <w:rFonts w:ascii="Century Gothic" w:hAnsi="Century Gothic" w:cs="Arial"/>
          <w:bCs/>
          <w:sz w:val="24"/>
          <w:szCs w:val="24"/>
        </w:rPr>
        <w:t>a la Univers</w:t>
      </w:r>
      <w:r w:rsidR="00860880">
        <w:rPr>
          <w:rFonts w:ascii="Century Gothic" w:hAnsi="Century Gothic" w:cs="Arial"/>
          <w:bCs/>
          <w:sz w:val="24"/>
          <w:szCs w:val="24"/>
        </w:rPr>
        <w:t>idad Autónoma de Ciudad Juárez</w:t>
      </w:r>
      <w:r w:rsidR="00FC531E">
        <w:rPr>
          <w:rFonts w:ascii="Century Gothic" w:hAnsi="Century Gothic" w:cs="Arial"/>
          <w:bCs/>
          <w:sz w:val="24"/>
          <w:szCs w:val="24"/>
        </w:rPr>
        <w:t xml:space="preserve">, </w:t>
      </w:r>
      <w:r w:rsidR="00B8485A">
        <w:rPr>
          <w:rFonts w:ascii="Century Gothic" w:hAnsi="Century Gothic" w:cs="Arial"/>
          <w:bCs/>
          <w:sz w:val="24"/>
          <w:szCs w:val="24"/>
        </w:rPr>
        <w:t>para que</w:t>
      </w:r>
      <w:r w:rsidR="00DE7B93">
        <w:rPr>
          <w:rFonts w:ascii="Century Gothic" w:hAnsi="Century Gothic" w:cs="Arial"/>
          <w:bCs/>
          <w:sz w:val="24"/>
          <w:szCs w:val="24"/>
        </w:rPr>
        <w:t xml:space="preserve"> en coordinación con la Fiscalía General del Estado</w:t>
      </w:r>
      <w:r w:rsidR="00B8485A">
        <w:rPr>
          <w:rFonts w:ascii="Century Gothic" w:hAnsi="Century Gothic" w:cs="Arial"/>
          <w:bCs/>
          <w:sz w:val="24"/>
          <w:szCs w:val="24"/>
        </w:rPr>
        <w:t xml:space="preserve"> ingresen información en su poder y dentro del ámbito de su competencia</w:t>
      </w:r>
      <w:r w:rsidRPr="00426AC0">
        <w:rPr>
          <w:rFonts w:ascii="Century Gothic" w:hAnsi="Century Gothic" w:cs="Arial"/>
          <w:bCs/>
          <w:sz w:val="24"/>
          <w:szCs w:val="24"/>
        </w:rPr>
        <w:t xml:space="preserve"> </w:t>
      </w:r>
      <w:r w:rsidR="00B8485A">
        <w:rPr>
          <w:rFonts w:ascii="Century Gothic" w:hAnsi="Century Gothic" w:cs="Arial"/>
          <w:bCs/>
          <w:sz w:val="24"/>
          <w:szCs w:val="24"/>
        </w:rPr>
        <w:t xml:space="preserve">al Banco </w:t>
      </w:r>
      <w:r w:rsidR="00B8485A">
        <w:rPr>
          <w:rFonts w:ascii="Century Gothic" w:hAnsi="Century Gothic" w:cs="Calibri"/>
          <w:sz w:val="24"/>
          <w:szCs w:val="24"/>
        </w:rPr>
        <w:t>Nacional de Datos e Información sobre Casos de Violencia contra las Mujeres</w:t>
      </w:r>
      <w:r w:rsidR="00DE7B93">
        <w:rPr>
          <w:rFonts w:ascii="Century Gothic" w:hAnsi="Century Gothic" w:cs="Calibri"/>
          <w:sz w:val="24"/>
          <w:szCs w:val="24"/>
        </w:rPr>
        <w:t>.</w:t>
      </w:r>
    </w:p>
    <w:p w:rsidR="003B59A0" w:rsidRDefault="003B59A0" w:rsidP="000800D6">
      <w:pPr>
        <w:spacing w:after="0" w:line="360" w:lineRule="auto"/>
        <w:contextualSpacing/>
        <w:jc w:val="both"/>
        <w:rPr>
          <w:rFonts w:ascii="Century Gothic" w:hAnsi="Century Gothic" w:cs="Arial"/>
          <w:b/>
          <w:bCs/>
          <w:sz w:val="28"/>
          <w:szCs w:val="28"/>
        </w:rPr>
      </w:pPr>
    </w:p>
    <w:p w:rsidR="00F50780" w:rsidRDefault="00F50780" w:rsidP="000800D6">
      <w:pPr>
        <w:spacing w:after="0" w:line="360" w:lineRule="auto"/>
        <w:contextualSpacing/>
        <w:jc w:val="both"/>
        <w:rPr>
          <w:rFonts w:ascii="Century Gothic" w:hAnsi="Century Gothic" w:cs="Arial"/>
          <w:b/>
          <w:bCs/>
          <w:sz w:val="28"/>
          <w:szCs w:val="28"/>
        </w:rPr>
      </w:pPr>
    </w:p>
    <w:p w:rsidR="0081421F" w:rsidRPr="00860880" w:rsidRDefault="00775E60" w:rsidP="0081421F">
      <w:pPr>
        <w:spacing w:after="0" w:line="360" w:lineRule="auto"/>
        <w:contextualSpacing/>
        <w:jc w:val="both"/>
        <w:rPr>
          <w:rFonts w:ascii="Century Gothic" w:hAnsi="Century Gothic" w:cs="Arial"/>
          <w:bCs/>
          <w:sz w:val="24"/>
          <w:szCs w:val="24"/>
        </w:rPr>
      </w:pPr>
      <w:r>
        <w:rPr>
          <w:rFonts w:ascii="Century Gothic" w:hAnsi="Century Gothic" w:cs="Arial"/>
          <w:b/>
          <w:bCs/>
          <w:sz w:val="28"/>
          <w:szCs w:val="28"/>
        </w:rPr>
        <w:t>SEGUNDO</w:t>
      </w:r>
      <w:r w:rsidRPr="00270555">
        <w:rPr>
          <w:rFonts w:ascii="Century Gothic" w:hAnsi="Century Gothic" w:cs="Arial"/>
          <w:b/>
          <w:bCs/>
          <w:sz w:val="28"/>
          <w:szCs w:val="28"/>
        </w:rPr>
        <w:t xml:space="preserve">.- </w:t>
      </w:r>
      <w:r w:rsidR="0081421F">
        <w:rPr>
          <w:rFonts w:ascii="Century Gothic" w:hAnsi="Century Gothic" w:cs="Arial"/>
          <w:bCs/>
          <w:sz w:val="24"/>
          <w:szCs w:val="24"/>
        </w:rPr>
        <w:t>La Sexagésima Séptima</w:t>
      </w:r>
      <w:r w:rsidR="0081421F" w:rsidRPr="00270555">
        <w:rPr>
          <w:rFonts w:ascii="Century Gothic" w:hAnsi="Century Gothic" w:cs="Arial"/>
          <w:bCs/>
          <w:sz w:val="24"/>
          <w:szCs w:val="24"/>
        </w:rPr>
        <w:t xml:space="preserve"> Legislatura del Honorable Congreso del Estado de Chihuahua, exhorta de manera respetuosa</w:t>
      </w:r>
      <w:r w:rsidR="0081421F" w:rsidRPr="00426AC0">
        <w:rPr>
          <w:rFonts w:ascii="Century Gothic" w:hAnsi="Century Gothic" w:cs="Arial"/>
          <w:bCs/>
          <w:sz w:val="24"/>
          <w:szCs w:val="24"/>
        </w:rPr>
        <w:t xml:space="preserve"> a</w:t>
      </w:r>
      <w:r w:rsidR="0081421F">
        <w:rPr>
          <w:rFonts w:ascii="Century Gothic" w:hAnsi="Century Gothic" w:cs="Arial"/>
          <w:bCs/>
          <w:sz w:val="24"/>
          <w:szCs w:val="24"/>
        </w:rPr>
        <w:t xml:space="preserve"> los 67 </w:t>
      </w:r>
      <w:r w:rsidR="0081421F" w:rsidRPr="0081421F">
        <w:rPr>
          <w:rFonts w:ascii="Century Gothic" w:hAnsi="Century Gothic" w:cs="Arial"/>
          <w:bCs/>
          <w:sz w:val="24"/>
          <w:szCs w:val="24"/>
        </w:rPr>
        <w:t xml:space="preserve">Ayuntamientos del Estado, </w:t>
      </w:r>
      <w:r w:rsidR="0081421F">
        <w:rPr>
          <w:rFonts w:ascii="Century Gothic" w:hAnsi="Century Gothic" w:cs="Arial"/>
          <w:bCs/>
          <w:sz w:val="24"/>
          <w:szCs w:val="24"/>
        </w:rPr>
        <w:t>a través de los Institutos Municipales de la M</w:t>
      </w:r>
      <w:r w:rsidR="00FE7811">
        <w:rPr>
          <w:rFonts w:ascii="Century Gothic" w:hAnsi="Century Gothic" w:cs="Arial"/>
          <w:bCs/>
          <w:sz w:val="24"/>
          <w:szCs w:val="24"/>
        </w:rPr>
        <w:t>ujer o instancias correspondientes</w:t>
      </w:r>
      <w:r w:rsidR="0081421F">
        <w:rPr>
          <w:rFonts w:ascii="Century Gothic" w:hAnsi="Century Gothic" w:cs="Arial"/>
          <w:bCs/>
          <w:sz w:val="24"/>
          <w:szCs w:val="24"/>
        </w:rPr>
        <w:t>,</w:t>
      </w:r>
      <w:r w:rsidR="00FE7811">
        <w:rPr>
          <w:rFonts w:ascii="Century Gothic" w:hAnsi="Century Gothic" w:cs="Arial"/>
          <w:bCs/>
          <w:sz w:val="24"/>
          <w:szCs w:val="24"/>
        </w:rPr>
        <w:t xml:space="preserve"> los</w:t>
      </w:r>
      <w:r w:rsidR="0081421F">
        <w:rPr>
          <w:rFonts w:ascii="Century Gothic" w:hAnsi="Century Gothic" w:cs="Arial"/>
          <w:bCs/>
          <w:sz w:val="24"/>
          <w:szCs w:val="24"/>
        </w:rPr>
        <w:t xml:space="preserve"> </w:t>
      </w:r>
      <w:r w:rsidR="0081421F" w:rsidRPr="0081421F">
        <w:rPr>
          <w:rFonts w:ascii="Century Gothic" w:hAnsi="Century Gothic" w:cs="Arial"/>
          <w:bCs/>
          <w:sz w:val="24"/>
          <w:szCs w:val="24"/>
        </w:rPr>
        <w:t>Sistema</w:t>
      </w:r>
      <w:r w:rsidR="0081421F">
        <w:rPr>
          <w:rFonts w:ascii="Century Gothic" w:hAnsi="Century Gothic" w:cs="Arial"/>
          <w:bCs/>
          <w:sz w:val="24"/>
          <w:szCs w:val="24"/>
        </w:rPr>
        <w:t>s</w:t>
      </w:r>
      <w:r w:rsidR="0081421F" w:rsidRPr="0081421F">
        <w:rPr>
          <w:rFonts w:ascii="Century Gothic" w:hAnsi="Century Gothic" w:cs="Arial"/>
          <w:bCs/>
          <w:sz w:val="24"/>
          <w:szCs w:val="24"/>
        </w:rPr>
        <w:t xml:space="preserve"> </w:t>
      </w:r>
      <w:r w:rsidR="0081421F">
        <w:rPr>
          <w:rFonts w:ascii="Century Gothic" w:hAnsi="Century Gothic" w:cs="Arial"/>
          <w:bCs/>
          <w:sz w:val="24"/>
          <w:szCs w:val="24"/>
        </w:rPr>
        <w:t xml:space="preserve"> Municipales </w:t>
      </w:r>
      <w:r w:rsidR="0081421F" w:rsidRPr="0081421F">
        <w:rPr>
          <w:rFonts w:ascii="Century Gothic" w:hAnsi="Century Gothic" w:cs="Arial"/>
          <w:bCs/>
          <w:sz w:val="24"/>
          <w:szCs w:val="24"/>
        </w:rPr>
        <w:t>para el Desarrollo Integral de la Familia</w:t>
      </w:r>
      <w:r w:rsidR="0081421F">
        <w:rPr>
          <w:rFonts w:ascii="Century Gothic" w:hAnsi="Century Gothic" w:cs="Arial"/>
          <w:bCs/>
          <w:sz w:val="24"/>
          <w:szCs w:val="24"/>
        </w:rPr>
        <w:t xml:space="preserve">, </w:t>
      </w:r>
      <w:r w:rsidR="00FE7811">
        <w:rPr>
          <w:rFonts w:ascii="Century Gothic" w:hAnsi="Century Gothic" w:cs="Arial"/>
          <w:bCs/>
          <w:sz w:val="24"/>
          <w:szCs w:val="24"/>
        </w:rPr>
        <w:t xml:space="preserve">los </w:t>
      </w:r>
      <w:r w:rsidR="0081421F" w:rsidRPr="0081421F">
        <w:rPr>
          <w:rFonts w:ascii="Century Gothic" w:hAnsi="Century Gothic" w:cs="Arial"/>
          <w:bCs/>
          <w:sz w:val="24"/>
          <w:szCs w:val="24"/>
        </w:rPr>
        <w:t>Sistema</w:t>
      </w:r>
      <w:r w:rsidR="00FE7811">
        <w:rPr>
          <w:rFonts w:ascii="Century Gothic" w:hAnsi="Century Gothic" w:cs="Arial"/>
          <w:bCs/>
          <w:sz w:val="24"/>
          <w:szCs w:val="24"/>
        </w:rPr>
        <w:t>s Municipales</w:t>
      </w:r>
      <w:r w:rsidR="0081421F" w:rsidRPr="0081421F">
        <w:rPr>
          <w:rFonts w:ascii="Century Gothic" w:hAnsi="Century Gothic" w:cs="Arial"/>
          <w:bCs/>
          <w:sz w:val="24"/>
          <w:szCs w:val="24"/>
        </w:rPr>
        <w:t xml:space="preserve"> de Protección Integral de Niñas, Niños y Adolescentes</w:t>
      </w:r>
      <w:r w:rsidR="00FE7811">
        <w:rPr>
          <w:rFonts w:ascii="Century Gothic" w:hAnsi="Century Gothic" w:cs="Arial"/>
          <w:bCs/>
          <w:sz w:val="24"/>
          <w:szCs w:val="24"/>
        </w:rPr>
        <w:t>, y las Direcciones de Seguridad Pública</w:t>
      </w:r>
      <w:r w:rsidR="0081421F">
        <w:rPr>
          <w:rFonts w:ascii="Century Gothic" w:hAnsi="Century Gothic" w:cs="Arial"/>
          <w:bCs/>
          <w:sz w:val="24"/>
          <w:szCs w:val="24"/>
        </w:rPr>
        <w:t>, para que en coordinación con la Fiscalía General del Estado ingresen información en su poder y dentro del ámbito de su competencia</w:t>
      </w:r>
      <w:r w:rsidR="0081421F" w:rsidRPr="00426AC0">
        <w:rPr>
          <w:rFonts w:ascii="Century Gothic" w:hAnsi="Century Gothic" w:cs="Arial"/>
          <w:bCs/>
          <w:sz w:val="24"/>
          <w:szCs w:val="24"/>
        </w:rPr>
        <w:t xml:space="preserve"> </w:t>
      </w:r>
      <w:r w:rsidR="0081421F">
        <w:rPr>
          <w:rFonts w:ascii="Century Gothic" w:hAnsi="Century Gothic" w:cs="Arial"/>
          <w:bCs/>
          <w:sz w:val="24"/>
          <w:szCs w:val="24"/>
        </w:rPr>
        <w:t xml:space="preserve">al Banco </w:t>
      </w:r>
      <w:r w:rsidR="0081421F">
        <w:rPr>
          <w:rFonts w:ascii="Century Gothic" w:hAnsi="Century Gothic" w:cs="Calibri"/>
          <w:sz w:val="24"/>
          <w:szCs w:val="24"/>
        </w:rPr>
        <w:t>Nacional de Datos e Información sobre Casos de Violencia contra las Mujeres.</w:t>
      </w:r>
    </w:p>
    <w:p w:rsidR="0081421F" w:rsidRDefault="0081421F" w:rsidP="000800D6">
      <w:pPr>
        <w:spacing w:after="0" w:line="360" w:lineRule="auto"/>
        <w:contextualSpacing/>
        <w:jc w:val="both"/>
        <w:rPr>
          <w:rFonts w:ascii="Century Gothic" w:hAnsi="Century Gothic" w:cs="Arial"/>
          <w:b/>
          <w:bCs/>
          <w:sz w:val="28"/>
          <w:szCs w:val="28"/>
        </w:rPr>
      </w:pPr>
    </w:p>
    <w:p w:rsidR="00775E60" w:rsidRPr="00860880" w:rsidRDefault="0081421F" w:rsidP="000800D6">
      <w:pPr>
        <w:spacing w:after="0" w:line="360" w:lineRule="auto"/>
        <w:contextualSpacing/>
        <w:jc w:val="both"/>
        <w:rPr>
          <w:rFonts w:ascii="Century Gothic" w:hAnsi="Century Gothic" w:cs="Arial"/>
          <w:bCs/>
          <w:sz w:val="24"/>
          <w:szCs w:val="24"/>
        </w:rPr>
      </w:pPr>
      <w:r>
        <w:rPr>
          <w:rFonts w:ascii="Century Gothic" w:hAnsi="Century Gothic" w:cs="Arial"/>
          <w:b/>
          <w:bCs/>
          <w:sz w:val="28"/>
          <w:szCs w:val="28"/>
        </w:rPr>
        <w:t xml:space="preserve">TERCERO.- </w:t>
      </w:r>
      <w:r w:rsidR="00775E60">
        <w:rPr>
          <w:rFonts w:ascii="Century Gothic" w:hAnsi="Century Gothic" w:cs="Arial"/>
          <w:bCs/>
          <w:sz w:val="24"/>
          <w:szCs w:val="24"/>
        </w:rPr>
        <w:t>La Sexagésima Séptima</w:t>
      </w:r>
      <w:r w:rsidR="00775E60" w:rsidRPr="00270555">
        <w:rPr>
          <w:rFonts w:ascii="Century Gothic" w:hAnsi="Century Gothic" w:cs="Arial"/>
          <w:bCs/>
          <w:sz w:val="24"/>
          <w:szCs w:val="24"/>
        </w:rPr>
        <w:t xml:space="preserve"> Legislatura de</w:t>
      </w:r>
      <w:r>
        <w:rPr>
          <w:rFonts w:ascii="Century Gothic" w:hAnsi="Century Gothic" w:cs="Arial"/>
          <w:bCs/>
          <w:sz w:val="24"/>
          <w:szCs w:val="24"/>
        </w:rPr>
        <w:t xml:space="preserve">l Honorable Congreso del Estado </w:t>
      </w:r>
      <w:r w:rsidR="00775E60" w:rsidRPr="00270555">
        <w:rPr>
          <w:rFonts w:ascii="Century Gothic" w:hAnsi="Century Gothic" w:cs="Arial"/>
          <w:bCs/>
          <w:sz w:val="24"/>
          <w:szCs w:val="24"/>
        </w:rPr>
        <w:t>de Chihuahua, exhorta de manera respetuosa</w:t>
      </w:r>
      <w:r w:rsidR="00775E60" w:rsidRPr="00775E60">
        <w:rPr>
          <w:rFonts w:ascii="Century Gothic" w:hAnsi="Century Gothic" w:cs="Arial"/>
          <w:bCs/>
          <w:sz w:val="24"/>
          <w:szCs w:val="24"/>
        </w:rPr>
        <w:t xml:space="preserve"> a</w:t>
      </w:r>
      <w:r w:rsidR="00DE7B93">
        <w:rPr>
          <w:rFonts w:ascii="Century Gothic" w:hAnsi="Century Gothic" w:cs="Arial"/>
          <w:bCs/>
          <w:sz w:val="24"/>
          <w:szCs w:val="24"/>
        </w:rPr>
        <w:t xml:space="preserve"> </w:t>
      </w:r>
      <w:r w:rsidR="00775E60" w:rsidRPr="00775E60">
        <w:rPr>
          <w:rFonts w:ascii="Century Gothic" w:hAnsi="Century Gothic" w:cs="Arial"/>
          <w:bCs/>
          <w:sz w:val="24"/>
          <w:szCs w:val="24"/>
        </w:rPr>
        <w:t>l</w:t>
      </w:r>
      <w:r w:rsidR="00DE7B93">
        <w:rPr>
          <w:rFonts w:ascii="Century Gothic" w:hAnsi="Century Gothic" w:cs="Arial"/>
          <w:bCs/>
          <w:sz w:val="24"/>
          <w:szCs w:val="24"/>
        </w:rPr>
        <w:t xml:space="preserve">a Comisión Nacional para Prevenir y Erradicar la Violencia contra las Mujeres para que </w:t>
      </w:r>
      <w:r w:rsidR="00F50780">
        <w:rPr>
          <w:rFonts w:ascii="Century Gothic" w:hAnsi="Century Gothic" w:cs="Arial"/>
          <w:bCs/>
          <w:sz w:val="24"/>
          <w:szCs w:val="24"/>
        </w:rPr>
        <w:t>adecúe y mejore las herramientas tecnológicas y bases de datos</w:t>
      </w:r>
      <w:r w:rsidR="00985CA6">
        <w:rPr>
          <w:rFonts w:ascii="Century Gothic" w:hAnsi="Century Gothic" w:cs="Arial"/>
          <w:bCs/>
          <w:sz w:val="24"/>
          <w:szCs w:val="24"/>
        </w:rPr>
        <w:t>, a fin de</w:t>
      </w:r>
      <w:r w:rsidR="00F50780">
        <w:rPr>
          <w:rFonts w:ascii="Century Gothic" w:hAnsi="Century Gothic" w:cs="Arial"/>
          <w:bCs/>
          <w:sz w:val="24"/>
          <w:szCs w:val="24"/>
        </w:rPr>
        <w:t xml:space="preserve"> </w:t>
      </w:r>
      <w:r w:rsidR="00DE7B93">
        <w:rPr>
          <w:rFonts w:ascii="Century Gothic" w:hAnsi="Century Gothic" w:cs="Arial"/>
          <w:bCs/>
          <w:sz w:val="24"/>
          <w:szCs w:val="24"/>
        </w:rPr>
        <w:t>que fac</w:t>
      </w:r>
      <w:r w:rsidR="00985CA6">
        <w:rPr>
          <w:rFonts w:ascii="Century Gothic" w:hAnsi="Century Gothic" w:cs="Arial"/>
          <w:bCs/>
          <w:sz w:val="24"/>
          <w:szCs w:val="24"/>
        </w:rPr>
        <w:t xml:space="preserve">iliten a los sujetos obligados ingresar y actualizar información </w:t>
      </w:r>
      <w:r w:rsidR="00DE7B93">
        <w:rPr>
          <w:rFonts w:ascii="Century Gothic" w:hAnsi="Century Gothic" w:cs="Arial"/>
          <w:bCs/>
          <w:sz w:val="24"/>
          <w:szCs w:val="24"/>
        </w:rPr>
        <w:t xml:space="preserve">al Banco </w:t>
      </w:r>
      <w:r w:rsidR="00DE7B93">
        <w:rPr>
          <w:rFonts w:ascii="Century Gothic" w:hAnsi="Century Gothic" w:cs="Calibri"/>
          <w:sz w:val="24"/>
          <w:szCs w:val="24"/>
        </w:rPr>
        <w:t>Nacional de Datos e Información sobre Casos de Violencia co</w:t>
      </w:r>
      <w:r w:rsidR="00860880">
        <w:rPr>
          <w:rFonts w:ascii="Century Gothic" w:hAnsi="Century Gothic" w:cs="Calibri"/>
          <w:sz w:val="24"/>
          <w:szCs w:val="24"/>
        </w:rPr>
        <w:t>ntra las Mujeres</w:t>
      </w:r>
      <w:r w:rsidR="00DE7B93">
        <w:rPr>
          <w:rFonts w:ascii="Century Gothic" w:hAnsi="Century Gothic" w:cs="Calibri"/>
          <w:sz w:val="24"/>
          <w:szCs w:val="24"/>
        </w:rPr>
        <w:t xml:space="preserve">. </w:t>
      </w:r>
    </w:p>
    <w:p w:rsidR="000800D6" w:rsidRPr="00270555" w:rsidRDefault="000800D6" w:rsidP="000800D6">
      <w:pPr>
        <w:spacing w:after="0" w:line="360" w:lineRule="auto"/>
        <w:contextualSpacing/>
        <w:jc w:val="both"/>
      </w:pPr>
      <w:r w:rsidRPr="00270555">
        <w:rPr>
          <w:rFonts w:ascii="Century Gothic" w:hAnsi="Century Gothic" w:cs="Arial"/>
          <w:bCs/>
          <w:iCs/>
          <w:sz w:val="24"/>
          <w:szCs w:val="24"/>
        </w:rPr>
        <w:t> </w:t>
      </w:r>
    </w:p>
    <w:p w:rsidR="006E6B00" w:rsidRDefault="000800D6" w:rsidP="000800D6">
      <w:pPr>
        <w:spacing w:after="0" w:line="360" w:lineRule="auto"/>
        <w:contextualSpacing/>
        <w:jc w:val="both"/>
        <w:rPr>
          <w:rFonts w:ascii="Century Gothic" w:hAnsi="Century Gothic" w:cs="Arial"/>
          <w:bCs/>
          <w:sz w:val="24"/>
          <w:szCs w:val="24"/>
        </w:rPr>
      </w:pPr>
      <w:r w:rsidRPr="00270555">
        <w:rPr>
          <w:rFonts w:ascii="Century Gothic" w:hAnsi="Century Gothic" w:cs="Arial"/>
          <w:b/>
          <w:bCs/>
          <w:sz w:val="28"/>
          <w:szCs w:val="28"/>
        </w:rPr>
        <w:t>ECONÓMICO.-</w:t>
      </w:r>
      <w:r w:rsidRPr="00270555">
        <w:rPr>
          <w:rFonts w:ascii="Century Gothic" w:hAnsi="Century Gothic" w:cs="Arial"/>
          <w:bCs/>
          <w:sz w:val="24"/>
          <w:szCs w:val="24"/>
        </w:rPr>
        <w:t xml:space="preserve"> Aprobado que sea, túrnese a la Secretaría para los efectos legales conducentes.</w:t>
      </w:r>
    </w:p>
    <w:p w:rsidR="00D21833" w:rsidRPr="00270555" w:rsidRDefault="00D21833" w:rsidP="000800D6">
      <w:pPr>
        <w:spacing w:after="0" w:line="360" w:lineRule="auto"/>
        <w:contextualSpacing/>
        <w:jc w:val="both"/>
        <w:rPr>
          <w:rFonts w:ascii="Century Gothic" w:hAnsi="Century Gothic" w:cs="Arial"/>
          <w:bCs/>
          <w:sz w:val="24"/>
          <w:szCs w:val="24"/>
        </w:rPr>
      </w:pPr>
    </w:p>
    <w:p w:rsidR="00E45883" w:rsidRDefault="000800D6" w:rsidP="000800D6">
      <w:pPr>
        <w:spacing w:after="0" w:line="360" w:lineRule="auto"/>
        <w:contextualSpacing/>
        <w:jc w:val="both"/>
        <w:rPr>
          <w:rFonts w:ascii="Century Gothic" w:hAnsi="Century Gothic" w:cs="Arial"/>
          <w:sz w:val="24"/>
          <w:szCs w:val="24"/>
        </w:rPr>
      </w:pPr>
      <w:r w:rsidRPr="00270555">
        <w:rPr>
          <w:rFonts w:ascii="Century Gothic" w:hAnsi="Century Gothic" w:cs="Arial"/>
          <w:b/>
          <w:bCs/>
          <w:sz w:val="28"/>
          <w:szCs w:val="28"/>
        </w:rPr>
        <w:t>D a d o</w:t>
      </w:r>
      <w:r w:rsidRPr="00270555">
        <w:rPr>
          <w:rFonts w:ascii="Century Gothic" w:hAnsi="Century Gothic" w:cs="Arial"/>
          <w:sz w:val="24"/>
          <w:szCs w:val="24"/>
        </w:rPr>
        <w:t xml:space="preserve"> </w:t>
      </w:r>
      <w:r w:rsidR="006002C8">
        <w:rPr>
          <w:rFonts w:ascii="Century Gothic" w:hAnsi="Century Gothic" w:cs="Arial"/>
          <w:sz w:val="24"/>
          <w:szCs w:val="24"/>
        </w:rPr>
        <w:t xml:space="preserve">  </w:t>
      </w:r>
      <w:r w:rsidRPr="00270555">
        <w:rPr>
          <w:rFonts w:ascii="Century Gothic" w:hAnsi="Century Gothic" w:cs="Arial"/>
          <w:sz w:val="24"/>
          <w:szCs w:val="24"/>
        </w:rPr>
        <w:t xml:space="preserve">en el Salón de Sesiones del Honorable Congreso del Estado, en la Ciudad de Chihuahua, Chih., a los </w:t>
      </w:r>
      <w:r w:rsidR="00722C35">
        <w:rPr>
          <w:rFonts w:ascii="Century Gothic" w:hAnsi="Century Gothic" w:cs="Arial"/>
          <w:sz w:val="24"/>
          <w:szCs w:val="24"/>
        </w:rPr>
        <w:t>tr</w:t>
      </w:r>
      <w:r w:rsidR="00077E55">
        <w:rPr>
          <w:rFonts w:ascii="Century Gothic" w:hAnsi="Century Gothic" w:cs="Arial"/>
          <w:sz w:val="24"/>
          <w:szCs w:val="24"/>
        </w:rPr>
        <w:t>e</w:t>
      </w:r>
      <w:r w:rsidR="00722C35">
        <w:rPr>
          <w:rFonts w:ascii="Century Gothic" w:hAnsi="Century Gothic" w:cs="Arial"/>
          <w:sz w:val="24"/>
          <w:szCs w:val="24"/>
        </w:rPr>
        <w:t>ce</w:t>
      </w:r>
      <w:r w:rsidR="00630EAC" w:rsidRPr="00270555">
        <w:rPr>
          <w:rFonts w:ascii="Century Gothic" w:hAnsi="Century Gothic" w:cs="Arial"/>
          <w:sz w:val="24"/>
          <w:szCs w:val="24"/>
        </w:rPr>
        <w:t xml:space="preserve"> </w:t>
      </w:r>
      <w:r w:rsidRPr="00270555">
        <w:rPr>
          <w:rFonts w:ascii="Century Gothic" w:hAnsi="Century Gothic" w:cs="Arial"/>
          <w:sz w:val="24"/>
          <w:szCs w:val="24"/>
        </w:rPr>
        <w:t xml:space="preserve">días del mes de </w:t>
      </w:r>
      <w:r w:rsidR="00077E55">
        <w:rPr>
          <w:rFonts w:ascii="Century Gothic" w:hAnsi="Century Gothic" w:cs="Arial"/>
          <w:sz w:val="24"/>
          <w:szCs w:val="24"/>
        </w:rPr>
        <w:t>octubre</w:t>
      </w:r>
      <w:r w:rsidRPr="00270555">
        <w:rPr>
          <w:rFonts w:ascii="Century Gothic" w:hAnsi="Century Gothic" w:cs="Arial"/>
          <w:sz w:val="24"/>
          <w:szCs w:val="24"/>
        </w:rPr>
        <w:t xml:space="preserve"> del año dos mil vein</w:t>
      </w:r>
      <w:r w:rsidR="0087050E" w:rsidRPr="00270555">
        <w:rPr>
          <w:rFonts w:ascii="Century Gothic" w:hAnsi="Century Gothic" w:cs="Arial"/>
          <w:sz w:val="24"/>
          <w:szCs w:val="24"/>
        </w:rPr>
        <w:t>t</w:t>
      </w:r>
      <w:r w:rsidR="00C32302" w:rsidRPr="00270555">
        <w:rPr>
          <w:rFonts w:ascii="Century Gothic" w:hAnsi="Century Gothic" w:cs="Arial"/>
          <w:sz w:val="24"/>
          <w:szCs w:val="24"/>
        </w:rPr>
        <w:t>i</w:t>
      </w:r>
      <w:r w:rsidR="00DE7B93">
        <w:rPr>
          <w:rFonts w:ascii="Century Gothic" w:hAnsi="Century Gothic" w:cs="Arial"/>
          <w:sz w:val="24"/>
          <w:szCs w:val="24"/>
        </w:rPr>
        <w:t>dós</w:t>
      </w:r>
      <w:r w:rsidRPr="00270555">
        <w:rPr>
          <w:rFonts w:ascii="Century Gothic" w:hAnsi="Century Gothic" w:cs="Arial"/>
          <w:sz w:val="24"/>
          <w:szCs w:val="24"/>
        </w:rPr>
        <w:t>.</w:t>
      </w:r>
    </w:p>
    <w:p w:rsidR="00F50780" w:rsidRDefault="00F50780" w:rsidP="000800D6">
      <w:pPr>
        <w:spacing w:after="0" w:line="360" w:lineRule="auto"/>
        <w:contextualSpacing/>
        <w:jc w:val="both"/>
        <w:rPr>
          <w:rFonts w:ascii="Century Gothic" w:hAnsi="Century Gothic" w:cs="Arial"/>
          <w:sz w:val="24"/>
          <w:szCs w:val="24"/>
        </w:rPr>
      </w:pPr>
    </w:p>
    <w:p w:rsidR="00D21833" w:rsidRPr="00270555" w:rsidRDefault="00D21833" w:rsidP="000800D6">
      <w:pPr>
        <w:spacing w:after="0" w:line="360" w:lineRule="auto"/>
        <w:contextualSpacing/>
        <w:jc w:val="both"/>
        <w:rPr>
          <w:rFonts w:ascii="Century Gothic" w:hAnsi="Century Gothic" w:cs="Arial"/>
          <w:sz w:val="24"/>
          <w:szCs w:val="24"/>
        </w:rPr>
      </w:pPr>
    </w:p>
    <w:p w:rsidR="004B7E1C" w:rsidRDefault="000800D6" w:rsidP="000800D6">
      <w:pPr>
        <w:spacing w:after="0" w:line="240" w:lineRule="auto"/>
        <w:jc w:val="both"/>
        <w:rPr>
          <w:rFonts w:ascii="Century Gothic" w:eastAsia="Arial" w:hAnsi="Century Gothic" w:cs="Arial"/>
          <w:b/>
        </w:rPr>
      </w:pPr>
      <w:r w:rsidRPr="00270555">
        <w:rPr>
          <w:rFonts w:ascii="Century Gothic" w:eastAsia="Arial" w:hAnsi="Century Gothic" w:cs="Arial"/>
          <w:b/>
        </w:rPr>
        <w:t>Así lo aprobó la Co</w:t>
      </w:r>
      <w:r w:rsidR="00E45883">
        <w:rPr>
          <w:rFonts w:ascii="Century Gothic" w:eastAsia="Arial" w:hAnsi="Century Gothic" w:cs="Arial"/>
          <w:b/>
        </w:rPr>
        <w:t>misión de Igualdad</w:t>
      </w:r>
      <w:r w:rsidRPr="00270555">
        <w:rPr>
          <w:rFonts w:ascii="Century Gothic" w:eastAsia="Arial" w:hAnsi="Century Gothic" w:cs="Arial"/>
          <w:b/>
        </w:rPr>
        <w:t>, en la reunión de fecha</w:t>
      </w:r>
      <w:r w:rsidR="003E1554">
        <w:rPr>
          <w:rFonts w:ascii="Century Gothic" w:eastAsia="Arial" w:hAnsi="Century Gothic" w:cs="Arial"/>
          <w:b/>
        </w:rPr>
        <w:t xml:space="preserve"> 10 de octubre</w:t>
      </w:r>
      <w:r w:rsidRPr="00270555">
        <w:rPr>
          <w:rFonts w:ascii="Century Gothic" w:eastAsia="Arial" w:hAnsi="Century Gothic" w:cs="Arial"/>
          <w:b/>
        </w:rPr>
        <w:t xml:space="preserve"> del año dos mil </w:t>
      </w:r>
      <w:r w:rsidR="00860880">
        <w:rPr>
          <w:rFonts w:ascii="Century Gothic" w:eastAsia="Arial" w:hAnsi="Century Gothic" w:cs="Arial"/>
          <w:b/>
        </w:rPr>
        <w:t>veintidós</w:t>
      </w:r>
    </w:p>
    <w:p w:rsidR="00D21833" w:rsidRDefault="00D21833" w:rsidP="000800D6">
      <w:pPr>
        <w:spacing w:after="0" w:line="240" w:lineRule="auto"/>
        <w:jc w:val="both"/>
        <w:rPr>
          <w:rFonts w:ascii="Century Gothic" w:eastAsia="Arial" w:hAnsi="Century Gothic" w:cs="Arial"/>
          <w:b/>
        </w:rPr>
      </w:pPr>
    </w:p>
    <w:p w:rsidR="00D21833" w:rsidRDefault="00D21833" w:rsidP="000800D6">
      <w:pPr>
        <w:spacing w:after="0" w:line="240" w:lineRule="auto"/>
        <w:jc w:val="both"/>
        <w:rPr>
          <w:rFonts w:ascii="Century Gothic" w:eastAsia="Arial" w:hAnsi="Century Gothic" w:cs="Arial"/>
          <w:b/>
        </w:rPr>
      </w:pPr>
    </w:p>
    <w:p w:rsidR="00D21833" w:rsidRPr="00270555" w:rsidRDefault="00D21833" w:rsidP="000800D6">
      <w:pPr>
        <w:spacing w:after="0" w:line="240" w:lineRule="auto"/>
        <w:jc w:val="both"/>
        <w:rPr>
          <w:rFonts w:ascii="Century Gothic" w:eastAsia="Arial" w:hAnsi="Century Gothic" w:cs="Arial"/>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270555" w:rsidRPr="00270555" w:rsidTr="00337C02">
        <w:tc>
          <w:tcPr>
            <w:tcW w:w="1702" w:type="dxa"/>
          </w:tcPr>
          <w:p w:rsidR="000800D6" w:rsidRPr="00270555" w:rsidRDefault="000800D6" w:rsidP="00337C02">
            <w:pPr>
              <w:pStyle w:val="Normal1"/>
              <w:jc w:val="both"/>
              <w:rPr>
                <w:rFonts w:ascii="Century Gothic" w:hAnsi="Century Gothic" w:cs="Arial"/>
                <w:b/>
                <w:color w:val="auto"/>
                <w:sz w:val="22"/>
                <w:szCs w:val="22"/>
              </w:rPr>
            </w:pPr>
          </w:p>
        </w:tc>
        <w:tc>
          <w:tcPr>
            <w:tcW w:w="1984" w:type="dxa"/>
          </w:tcPr>
          <w:p w:rsidR="000800D6" w:rsidRPr="00270555" w:rsidRDefault="000800D6" w:rsidP="00337C02">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2268" w:type="dxa"/>
          </w:tcPr>
          <w:p w:rsidR="000800D6" w:rsidRPr="00270555" w:rsidRDefault="000800D6" w:rsidP="00337C02">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2268" w:type="dxa"/>
          </w:tcPr>
          <w:p w:rsidR="000800D6" w:rsidRPr="00270555" w:rsidRDefault="000800D6" w:rsidP="00337C02">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1985" w:type="dxa"/>
          </w:tcPr>
          <w:p w:rsidR="000800D6" w:rsidRPr="00270555" w:rsidRDefault="000800D6" w:rsidP="00337C02">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270555" w:rsidRPr="00270555" w:rsidTr="00337C02">
        <w:tc>
          <w:tcPr>
            <w:tcW w:w="1702" w:type="dxa"/>
          </w:tcPr>
          <w:p w:rsidR="000800D6" w:rsidRPr="00E45883" w:rsidRDefault="00E45883" w:rsidP="00337C02">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anchor distT="0" distB="0" distL="114300" distR="114300" simplePos="0" relativeHeight="251658240" behindDoc="1" locked="0" layoutInCell="1" allowOverlap="1">
                  <wp:simplePos x="0" y="0"/>
                  <wp:positionH relativeFrom="column">
                    <wp:posOffset>10795</wp:posOffset>
                  </wp:positionH>
                  <wp:positionV relativeFrom="paragraph">
                    <wp:posOffset>37465</wp:posOffset>
                  </wp:positionV>
                  <wp:extent cx="941705" cy="10184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3519" cy="10312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rsidR="000800D6" w:rsidRPr="00270555" w:rsidRDefault="000800D6" w:rsidP="00337C02">
            <w:pPr>
              <w:spacing w:after="0" w:line="240" w:lineRule="auto"/>
              <w:ind w:left="284" w:hanging="284"/>
              <w:contextualSpacing/>
              <w:jc w:val="both"/>
              <w:rPr>
                <w:rFonts w:ascii="Century Gothic" w:hAnsi="Century Gothic" w:cs="Arial"/>
                <w:b/>
                <w:bCs/>
                <w:sz w:val="24"/>
                <w:szCs w:val="24"/>
              </w:rPr>
            </w:pPr>
          </w:p>
          <w:p w:rsidR="000800D6" w:rsidRPr="00270555" w:rsidRDefault="00E45883" w:rsidP="00E45883">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rsidR="000800D6" w:rsidRDefault="00E45883" w:rsidP="00E45883">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rsidR="00E45883" w:rsidRPr="00270555" w:rsidRDefault="00E45883" w:rsidP="00337C02">
            <w:pPr>
              <w:spacing w:after="0" w:line="240" w:lineRule="auto"/>
              <w:contextualSpacing/>
              <w:jc w:val="center"/>
              <w:rPr>
                <w:rFonts w:ascii="Century Gothic" w:hAnsi="Century Gothic" w:cs="Arial"/>
                <w:b/>
                <w:sz w:val="24"/>
                <w:szCs w:val="24"/>
              </w:rPr>
            </w:pPr>
          </w:p>
        </w:tc>
        <w:tc>
          <w:tcPr>
            <w:tcW w:w="2268" w:type="dxa"/>
          </w:tcPr>
          <w:p w:rsidR="000800D6" w:rsidRPr="00270555" w:rsidRDefault="000800D6" w:rsidP="00337C02">
            <w:pPr>
              <w:pStyle w:val="Normal1"/>
              <w:jc w:val="both"/>
              <w:rPr>
                <w:rFonts w:ascii="Century Gothic" w:hAnsi="Century Gothic" w:cs="Arial"/>
                <w:b/>
                <w:color w:val="auto"/>
                <w:szCs w:val="24"/>
              </w:rPr>
            </w:pPr>
          </w:p>
        </w:tc>
        <w:tc>
          <w:tcPr>
            <w:tcW w:w="2268" w:type="dxa"/>
          </w:tcPr>
          <w:p w:rsidR="000800D6" w:rsidRPr="00270555" w:rsidRDefault="000800D6" w:rsidP="00337C02">
            <w:pPr>
              <w:pStyle w:val="Normal1"/>
              <w:jc w:val="both"/>
              <w:rPr>
                <w:rFonts w:ascii="Century Gothic" w:hAnsi="Century Gothic" w:cs="Arial"/>
                <w:b/>
                <w:color w:val="auto"/>
                <w:szCs w:val="24"/>
              </w:rPr>
            </w:pPr>
          </w:p>
        </w:tc>
        <w:tc>
          <w:tcPr>
            <w:tcW w:w="1985" w:type="dxa"/>
          </w:tcPr>
          <w:p w:rsidR="000800D6" w:rsidRPr="00270555" w:rsidRDefault="000800D6" w:rsidP="00337C02">
            <w:pPr>
              <w:pStyle w:val="Normal1"/>
              <w:jc w:val="both"/>
              <w:rPr>
                <w:rFonts w:ascii="Century Gothic" w:hAnsi="Century Gothic" w:cs="Arial"/>
                <w:b/>
                <w:color w:val="auto"/>
                <w:szCs w:val="24"/>
              </w:rPr>
            </w:pPr>
          </w:p>
        </w:tc>
      </w:tr>
      <w:tr w:rsidR="00270555" w:rsidRPr="00270555" w:rsidTr="00337C02">
        <w:tc>
          <w:tcPr>
            <w:tcW w:w="1702" w:type="dxa"/>
          </w:tcPr>
          <w:p w:rsidR="000800D6" w:rsidRPr="00270555" w:rsidRDefault="000800D6" w:rsidP="00337C02">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anchor distT="0" distB="0" distL="114300" distR="114300" simplePos="0" relativeHeight="251659264" behindDoc="1" locked="0" layoutInCell="1" allowOverlap="1">
                  <wp:simplePos x="0" y="0"/>
                  <wp:positionH relativeFrom="column">
                    <wp:posOffset>1270</wp:posOffset>
                  </wp:positionH>
                  <wp:positionV relativeFrom="paragraph">
                    <wp:posOffset>-3810</wp:posOffset>
                  </wp:positionV>
                  <wp:extent cx="933450" cy="10560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rsidR="000800D6" w:rsidRPr="00270555" w:rsidRDefault="000800D6" w:rsidP="00337C02">
            <w:pPr>
              <w:spacing w:after="0" w:line="240" w:lineRule="auto"/>
              <w:contextualSpacing/>
              <w:jc w:val="center"/>
              <w:rPr>
                <w:rFonts w:ascii="Century Gothic" w:hAnsi="Century Gothic" w:cs="Arial"/>
                <w:b/>
                <w:bCs/>
                <w:smallCaps/>
                <w:sz w:val="24"/>
                <w:szCs w:val="24"/>
              </w:rPr>
            </w:pPr>
          </w:p>
          <w:p w:rsidR="000800D6" w:rsidRPr="00270555" w:rsidRDefault="00E45883" w:rsidP="00337C02">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rsidR="000800D6" w:rsidRPr="00270555" w:rsidRDefault="00E45883" w:rsidP="00337C02">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rsidR="000800D6" w:rsidRPr="00270555" w:rsidRDefault="000800D6" w:rsidP="00E45883">
            <w:pPr>
              <w:pStyle w:val="Normal1"/>
              <w:rPr>
                <w:rFonts w:ascii="Century Gothic" w:hAnsi="Century Gothic" w:cs="Arial"/>
                <w:b/>
                <w:color w:val="auto"/>
                <w:sz w:val="22"/>
                <w:szCs w:val="22"/>
              </w:rPr>
            </w:pPr>
          </w:p>
        </w:tc>
        <w:tc>
          <w:tcPr>
            <w:tcW w:w="2268" w:type="dxa"/>
          </w:tcPr>
          <w:p w:rsidR="000800D6" w:rsidRPr="00270555" w:rsidRDefault="000800D6" w:rsidP="00337C02">
            <w:pPr>
              <w:pStyle w:val="Normal1"/>
              <w:jc w:val="both"/>
              <w:rPr>
                <w:rFonts w:ascii="Century Gothic" w:hAnsi="Century Gothic" w:cs="Arial"/>
                <w:b/>
                <w:color w:val="auto"/>
                <w:szCs w:val="24"/>
              </w:rPr>
            </w:pPr>
          </w:p>
        </w:tc>
        <w:tc>
          <w:tcPr>
            <w:tcW w:w="2268" w:type="dxa"/>
          </w:tcPr>
          <w:p w:rsidR="000800D6" w:rsidRPr="00270555" w:rsidRDefault="000800D6" w:rsidP="00337C02">
            <w:pPr>
              <w:pStyle w:val="Normal1"/>
              <w:jc w:val="both"/>
              <w:rPr>
                <w:rFonts w:ascii="Century Gothic" w:hAnsi="Century Gothic" w:cs="Arial"/>
                <w:b/>
                <w:color w:val="auto"/>
                <w:szCs w:val="24"/>
              </w:rPr>
            </w:pPr>
          </w:p>
        </w:tc>
        <w:tc>
          <w:tcPr>
            <w:tcW w:w="1985" w:type="dxa"/>
          </w:tcPr>
          <w:p w:rsidR="000800D6" w:rsidRPr="00270555" w:rsidRDefault="000800D6" w:rsidP="00337C02">
            <w:pPr>
              <w:pStyle w:val="Normal1"/>
              <w:jc w:val="both"/>
              <w:rPr>
                <w:rFonts w:ascii="Century Gothic" w:hAnsi="Century Gothic" w:cs="Arial"/>
                <w:b/>
                <w:color w:val="auto"/>
                <w:szCs w:val="24"/>
              </w:rPr>
            </w:pPr>
          </w:p>
        </w:tc>
      </w:tr>
      <w:tr w:rsidR="00270555" w:rsidRPr="00270555" w:rsidTr="00337C02">
        <w:tc>
          <w:tcPr>
            <w:tcW w:w="1702" w:type="dxa"/>
          </w:tcPr>
          <w:p w:rsidR="000800D6" w:rsidRPr="00270555" w:rsidRDefault="00E45883" w:rsidP="00337C02">
            <w:pPr>
              <w:pStyle w:val="Normal1"/>
              <w:jc w:val="both"/>
              <w:rPr>
                <w:color w:val="auto"/>
              </w:rPr>
            </w:pPr>
            <w:r>
              <w:rPr>
                <w:noProof/>
                <w:color w:val="auto"/>
                <w:lang w:val="es-MX" w:eastAsia="es-MX"/>
              </w:rPr>
              <w:drawing>
                <wp:anchor distT="0" distB="0" distL="114300" distR="114300" simplePos="0" relativeHeight="251660288" behindDoc="1" locked="0" layoutInCell="1" allowOverlap="1">
                  <wp:simplePos x="0" y="0"/>
                  <wp:positionH relativeFrom="column">
                    <wp:posOffset>1270</wp:posOffset>
                  </wp:positionH>
                  <wp:positionV relativeFrom="paragraph">
                    <wp:posOffset>36195</wp:posOffset>
                  </wp:positionV>
                  <wp:extent cx="933450" cy="10471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33450" cy="1047115"/>
                          </a:xfrm>
                          <a:prstGeom prst="rect">
                            <a:avLst/>
                          </a:prstGeom>
                        </pic:spPr>
                      </pic:pic>
                    </a:graphicData>
                  </a:graphic>
                  <wp14:sizeRelH relativeFrom="page">
                    <wp14:pctWidth>0</wp14:pctWidth>
                  </wp14:sizeRelH>
                  <wp14:sizeRelV relativeFrom="page">
                    <wp14:pctHeight>0</wp14:pctHeight>
                  </wp14:sizeRelV>
                </wp:anchor>
              </w:drawing>
            </w:r>
          </w:p>
          <w:p w:rsidR="000800D6" w:rsidRPr="00270555" w:rsidRDefault="000800D6" w:rsidP="00337C02">
            <w:pPr>
              <w:pStyle w:val="Normal1"/>
              <w:jc w:val="both"/>
              <w:rPr>
                <w:rFonts w:ascii="Century Gothic" w:hAnsi="Century Gothic" w:cs="Arial"/>
                <w:b/>
                <w:color w:val="auto"/>
                <w:szCs w:val="24"/>
              </w:rPr>
            </w:pPr>
          </w:p>
        </w:tc>
        <w:tc>
          <w:tcPr>
            <w:tcW w:w="1984" w:type="dxa"/>
          </w:tcPr>
          <w:p w:rsidR="000800D6" w:rsidRPr="00270555" w:rsidRDefault="000800D6" w:rsidP="00337C02">
            <w:pPr>
              <w:spacing w:after="0" w:line="240" w:lineRule="auto"/>
              <w:contextualSpacing/>
              <w:jc w:val="center"/>
              <w:rPr>
                <w:rFonts w:ascii="Century Gothic" w:hAnsi="Century Gothic" w:cs="Arial"/>
                <w:b/>
                <w:sz w:val="24"/>
                <w:szCs w:val="24"/>
              </w:rPr>
            </w:pPr>
          </w:p>
          <w:p w:rsidR="000800D6" w:rsidRPr="00270555" w:rsidRDefault="000800D6" w:rsidP="00337C02">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sidR="00E45883">
              <w:rPr>
                <w:rFonts w:ascii="Century Gothic" w:hAnsi="Century Gothic" w:cs="Arial"/>
                <w:b/>
                <w:sz w:val="24"/>
                <w:szCs w:val="24"/>
              </w:rPr>
              <w:t xml:space="preserve"> MARISELA TERRAZAS MUÑOZ</w:t>
            </w:r>
          </w:p>
          <w:p w:rsidR="000800D6" w:rsidRDefault="000800D6" w:rsidP="00337C02">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Pr="00270555" w:rsidRDefault="00E45883" w:rsidP="00337C02">
            <w:pPr>
              <w:spacing w:after="0" w:line="240" w:lineRule="auto"/>
              <w:contextualSpacing/>
              <w:jc w:val="center"/>
              <w:rPr>
                <w:rFonts w:ascii="Century Gothic" w:hAnsi="Century Gothic" w:cs="Arial"/>
                <w:b/>
                <w:sz w:val="24"/>
                <w:szCs w:val="24"/>
              </w:rPr>
            </w:pPr>
          </w:p>
        </w:tc>
        <w:tc>
          <w:tcPr>
            <w:tcW w:w="2268" w:type="dxa"/>
          </w:tcPr>
          <w:p w:rsidR="000800D6" w:rsidRPr="00270555" w:rsidRDefault="000800D6" w:rsidP="00337C02">
            <w:pPr>
              <w:pStyle w:val="Normal1"/>
              <w:jc w:val="both"/>
              <w:rPr>
                <w:rFonts w:ascii="Century Gothic" w:hAnsi="Century Gothic" w:cs="Arial"/>
                <w:b/>
                <w:color w:val="auto"/>
                <w:szCs w:val="24"/>
              </w:rPr>
            </w:pPr>
          </w:p>
        </w:tc>
        <w:tc>
          <w:tcPr>
            <w:tcW w:w="2268" w:type="dxa"/>
          </w:tcPr>
          <w:p w:rsidR="000800D6" w:rsidRPr="00270555" w:rsidRDefault="000800D6" w:rsidP="00337C02">
            <w:pPr>
              <w:pStyle w:val="Normal1"/>
              <w:jc w:val="both"/>
              <w:rPr>
                <w:rFonts w:ascii="Century Gothic" w:hAnsi="Century Gothic" w:cs="Arial"/>
                <w:b/>
                <w:color w:val="auto"/>
                <w:szCs w:val="24"/>
              </w:rPr>
            </w:pPr>
          </w:p>
        </w:tc>
        <w:tc>
          <w:tcPr>
            <w:tcW w:w="1985" w:type="dxa"/>
          </w:tcPr>
          <w:p w:rsidR="000800D6" w:rsidRPr="00270555" w:rsidRDefault="000800D6" w:rsidP="00337C02">
            <w:pPr>
              <w:pStyle w:val="Normal1"/>
              <w:jc w:val="both"/>
              <w:rPr>
                <w:rFonts w:ascii="Century Gothic" w:hAnsi="Century Gothic" w:cs="Arial"/>
                <w:b/>
                <w:color w:val="auto"/>
                <w:szCs w:val="24"/>
              </w:rPr>
            </w:pPr>
          </w:p>
        </w:tc>
      </w:tr>
      <w:tr w:rsidR="00270555" w:rsidRPr="00270555" w:rsidTr="00337C02">
        <w:tc>
          <w:tcPr>
            <w:tcW w:w="1702" w:type="dxa"/>
          </w:tcPr>
          <w:p w:rsidR="000800D6" w:rsidRPr="00270555" w:rsidRDefault="00E45883" w:rsidP="00337C02">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w:drawing>
                <wp:anchor distT="0" distB="0" distL="114300" distR="114300" simplePos="0" relativeHeight="251661312" behindDoc="1" locked="0" layoutInCell="1" allowOverlap="1">
                  <wp:simplePos x="0" y="0"/>
                  <wp:positionH relativeFrom="column">
                    <wp:posOffset>1269</wp:posOffset>
                  </wp:positionH>
                  <wp:positionV relativeFrom="paragraph">
                    <wp:posOffset>-5080</wp:posOffset>
                  </wp:positionV>
                  <wp:extent cx="923925" cy="10852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36338" cy="109979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rsidR="000800D6" w:rsidRPr="00270555" w:rsidRDefault="000800D6" w:rsidP="00337C02">
            <w:pPr>
              <w:spacing w:after="0" w:line="240" w:lineRule="auto"/>
              <w:contextualSpacing/>
              <w:jc w:val="center"/>
              <w:rPr>
                <w:rFonts w:ascii="Century Gothic" w:hAnsi="Century Gothic" w:cs="Arial"/>
                <w:b/>
                <w:sz w:val="24"/>
                <w:szCs w:val="24"/>
              </w:rPr>
            </w:pPr>
          </w:p>
          <w:p w:rsidR="000800D6" w:rsidRPr="00270555" w:rsidRDefault="000800D6" w:rsidP="00337C02">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sidR="00E45883">
              <w:rPr>
                <w:rFonts w:ascii="Century Gothic" w:hAnsi="Century Gothic" w:cs="Arial"/>
                <w:b/>
                <w:sz w:val="24"/>
                <w:szCs w:val="24"/>
              </w:rPr>
              <w:t>IP. AMELIA DEYANIRA OZAETA DÍAZ</w:t>
            </w:r>
          </w:p>
          <w:p w:rsidR="000800D6" w:rsidRDefault="000800D6" w:rsidP="00337C02">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Pr="00270555" w:rsidRDefault="00E45883" w:rsidP="00337C02">
            <w:pPr>
              <w:spacing w:after="0" w:line="240" w:lineRule="auto"/>
              <w:contextualSpacing/>
              <w:jc w:val="center"/>
              <w:rPr>
                <w:rFonts w:ascii="Century Gothic" w:hAnsi="Century Gothic" w:cs="Arial"/>
                <w:b/>
                <w:sz w:val="24"/>
                <w:szCs w:val="24"/>
              </w:rPr>
            </w:pPr>
          </w:p>
        </w:tc>
        <w:tc>
          <w:tcPr>
            <w:tcW w:w="2268" w:type="dxa"/>
          </w:tcPr>
          <w:p w:rsidR="000800D6" w:rsidRPr="00270555" w:rsidRDefault="000800D6" w:rsidP="00337C02">
            <w:pPr>
              <w:pStyle w:val="Normal1"/>
              <w:jc w:val="both"/>
              <w:rPr>
                <w:rFonts w:ascii="Century Gothic" w:hAnsi="Century Gothic" w:cs="Arial"/>
                <w:b/>
                <w:color w:val="auto"/>
                <w:szCs w:val="24"/>
              </w:rPr>
            </w:pPr>
          </w:p>
        </w:tc>
        <w:tc>
          <w:tcPr>
            <w:tcW w:w="2268" w:type="dxa"/>
          </w:tcPr>
          <w:p w:rsidR="000800D6" w:rsidRPr="00270555" w:rsidRDefault="000800D6" w:rsidP="00337C02">
            <w:pPr>
              <w:pStyle w:val="Normal1"/>
              <w:jc w:val="both"/>
              <w:rPr>
                <w:rFonts w:ascii="Century Gothic" w:hAnsi="Century Gothic" w:cs="Arial"/>
                <w:b/>
                <w:color w:val="auto"/>
                <w:szCs w:val="24"/>
              </w:rPr>
            </w:pPr>
          </w:p>
        </w:tc>
        <w:tc>
          <w:tcPr>
            <w:tcW w:w="1985" w:type="dxa"/>
          </w:tcPr>
          <w:p w:rsidR="005E7EDB" w:rsidRPr="00270555" w:rsidRDefault="005E7EDB" w:rsidP="00337C02">
            <w:pPr>
              <w:pStyle w:val="Normal1"/>
              <w:jc w:val="both"/>
              <w:rPr>
                <w:rFonts w:ascii="Century Gothic" w:hAnsi="Century Gothic" w:cs="Arial"/>
                <w:b/>
                <w:color w:val="auto"/>
                <w:szCs w:val="24"/>
              </w:rPr>
            </w:pPr>
          </w:p>
          <w:p w:rsidR="005E7EDB" w:rsidRPr="00270555" w:rsidRDefault="005E7EDB" w:rsidP="005E7EDB">
            <w:pPr>
              <w:rPr>
                <w:lang w:val="es-ES" w:eastAsia="es-ES"/>
              </w:rPr>
            </w:pPr>
          </w:p>
          <w:p w:rsidR="000800D6" w:rsidRPr="00270555" w:rsidRDefault="000800D6" w:rsidP="005E7EDB">
            <w:pPr>
              <w:rPr>
                <w:lang w:val="es-ES" w:eastAsia="es-ES"/>
              </w:rPr>
            </w:pPr>
          </w:p>
        </w:tc>
      </w:tr>
      <w:tr w:rsidR="00270555" w:rsidRPr="00270555" w:rsidTr="00337C02">
        <w:tc>
          <w:tcPr>
            <w:tcW w:w="1702" w:type="dxa"/>
          </w:tcPr>
          <w:p w:rsidR="000800D6" w:rsidRPr="00270555" w:rsidRDefault="000800D6" w:rsidP="00337C02">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inline distT="0" distB="0" distL="0" distR="0">
                  <wp:extent cx="933450" cy="1076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44158" cy="1088672"/>
                          </a:xfrm>
                          <a:prstGeom prst="rect">
                            <a:avLst/>
                          </a:prstGeom>
                          <a:noFill/>
                          <a:ln>
                            <a:noFill/>
                          </a:ln>
                        </pic:spPr>
                      </pic:pic>
                    </a:graphicData>
                  </a:graphic>
                </wp:inline>
              </w:drawing>
            </w:r>
          </w:p>
        </w:tc>
        <w:tc>
          <w:tcPr>
            <w:tcW w:w="1984" w:type="dxa"/>
          </w:tcPr>
          <w:p w:rsidR="000800D6" w:rsidRPr="00270555" w:rsidRDefault="000800D6" w:rsidP="00337C02">
            <w:pPr>
              <w:spacing w:after="0" w:line="240" w:lineRule="auto"/>
              <w:contextualSpacing/>
              <w:jc w:val="center"/>
              <w:rPr>
                <w:rFonts w:ascii="Century Gothic" w:hAnsi="Century Gothic" w:cs="Arial"/>
                <w:b/>
                <w:sz w:val="24"/>
                <w:szCs w:val="24"/>
              </w:rPr>
            </w:pPr>
          </w:p>
          <w:p w:rsidR="000800D6" w:rsidRPr="00270555" w:rsidRDefault="00E45883" w:rsidP="00337C02">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rsidR="00E45883" w:rsidRPr="00E45883" w:rsidRDefault="000800D6" w:rsidP="006D2816">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68" w:type="dxa"/>
          </w:tcPr>
          <w:p w:rsidR="000800D6" w:rsidRPr="00270555" w:rsidRDefault="000800D6" w:rsidP="00337C02">
            <w:pPr>
              <w:pStyle w:val="Normal1"/>
              <w:jc w:val="both"/>
              <w:rPr>
                <w:rFonts w:ascii="Century Gothic" w:hAnsi="Century Gothic" w:cs="Arial"/>
                <w:b/>
                <w:color w:val="auto"/>
                <w:szCs w:val="24"/>
              </w:rPr>
            </w:pPr>
          </w:p>
        </w:tc>
        <w:tc>
          <w:tcPr>
            <w:tcW w:w="2268" w:type="dxa"/>
          </w:tcPr>
          <w:p w:rsidR="000800D6" w:rsidRPr="00270555" w:rsidRDefault="000800D6" w:rsidP="00337C02">
            <w:pPr>
              <w:pStyle w:val="Normal1"/>
              <w:jc w:val="both"/>
              <w:rPr>
                <w:rFonts w:ascii="Century Gothic" w:hAnsi="Century Gothic" w:cs="Arial"/>
                <w:b/>
                <w:color w:val="auto"/>
                <w:szCs w:val="24"/>
              </w:rPr>
            </w:pPr>
          </w:p>
        </w:tc>
        <w:tc>
          <w:tcPr>
            <w:tcW w:w="1985" w:type="dxa"/>
          </w:tcPr>
          <w:p w:rsidR="000800D6" w:rsidRPr="00270555" w:rsidRDefault="000800D6" w:rsidP="00337C02">
            <w:pPr>
              <w:pStyle w:val="Normal1"/>
              <w:jc w:val="both"/>
              <w:rPr>
                <w:rFonts w:ascii="Century Gothic" w:hAnsi="Century Gothic" w:cs="Arial"/>
                <w:b/>
                <w:color w:val="auto"/>
                <w:szCs w:val="24"/>
              </w:rPr>
            </w:pPr>
          </w:p>
        </w:tc>
      </w:tr>
      <w:tr w:rsidR="00E45883" w:rsidRPr="00270555" w:rsidTr="00E45883">
        <w:tc>
          <w:tcPr>
            <w:tcW w:w="1702" w:type="dxa"/>
            <w:tcBorders>
              <w:top w:val="single" w:sz="4" w:space="0" w:color="auto"/>
              <w:left w:val="single" w:sz="4" w:space="0" w:color="auto"/>
              <w:bottom w:val="single" w:sz="4" w:space="0" w:color="auto"/>
              <w:right w:val="single" w:sz="4" w:space="0" w:color="auto"/>
            </w:tcBorders>
          </w:tcPr>
          <w:p w:rsidR="00E45883" w:rsidRPr="00E45883" w:rsidRDefault="00E45883" w:rsidP="00337C02">
            <w:pPr>
              <w:pStyle w:val="Normal1"/>
              <w:jc w:val="both"/>
              <w:rPr>
                <w:rFonts w:ascii="Century Gothic" w:hAnsi="Century Gothic" w:cs="Arial"/>
                <w:b/>
                <w:noProof/>
                <w:color w:val="auto"/>
                <w:szCs w:val="24"/>
                <w:lang w:val="es-MX" w:eastAsia="es-MX"/>
              </w:rPr>
            </w:pPr>
          </w:p>
        </w:tc>
        <w:tc>
          <w:tcPr>
            <w:tcW w:w="1984" w:type="dxa"/>
            <w:tcBorders>
              <w:top w:val="single" w:sz="4" w:space="0" w:color="auto"/>
              <w:left w:val="single" w:sz="4" w:space="0" w:color="auto"/>
              <w:bottom w:val="single" w:sz="4" w:space="0" w:color="auto"/>
              <w:right w:val="single" w:sz="4" w:space="0" w:color="auto"/>
            </w:tcBorders>
          </w:tcPr>
          <w:p w:rsidR="00E45883" w:rsidRPr="00270555" w:rsidRDefault="00E45883" w:rsidP="00337C02">
            <w:pPr>
              <w:spacing w:after="0" w:line="240" w:lineRule="auto"/>
              <w:contextualSpacing/>
              <w:jc w:val="center"/>
              <w:rPr>
                <w:rFonts w:ascii="Century Gothic" w:hAnsi="Century Gothic" w:cs="Arial"/>
                <w:b/>
                <w:sz w:val="24"/>
                <w:szCs w:val="24"/>
              </w:rPr>
            </w:pPr>
          </w:p>
          <w:p w:rsidR="00E45883" w:rsidRPr="00270555" w:rsidRDefault="00E45883" w:rsidP="00337C02">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rsidR="00E45883" w:rsidRDefault="00E45883" w:rsidP="00337C02">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Pr="00270555" w:rsidRDefault="00E45883" w:rsidP="00337C02">
            <w:pPr>
              <w:spacing w:after="0" w:line="240" w:lineRule="auto"/>
              <w:contextualSpacing/>
              <w:jc w:val="center"/>
              <w:rPr>
                <w:rFonts w:ascii="Century Gothic" w:hAnsi="Century Gothic" w:cs="Arial"/>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5883" w:rsidRPr="00270555" w:rsidRDefault="00E45883" w:rsidP="00337C02">
            <w:pPr>
              <w:pStyle w:val="Normal1"/>
              <w:jc w:val="both"/>
              <w:rPr>
                <w:rFonts w:ascii="Century Gothic" w:hAnsi="Century Gothic" w:cs="Arial"/>
                <w:b/>
                <w:color w:val="auto"/>
                <w:szCs w:val="24"/>
              </w:rPr>
            </w:pPr>
          </w:p>
        </w:tc>
        <w:tc>
          <w:tcPr>
            <w:tcW w:w="2268" w:type="dxa"/>
            <w:tcBorders>
              <w:top w:val="single" w:sz="4" w:space="0" w:color="auto"/>
              <w:left w:val="single" w:sz="4" w:space="0" w:color="auto"/>
              <w:bottom w:val="single" w:sz="4" w:space="0" w:color="auto"/>
              <w:right w:val="single" w:sz="4" w:space="0" w:color="auto"/>
            </w:tcBorders>
          </w:tcPr>
          <w:p w:rsidR="00E45883" w:rsidRPr="00270555" w:rsidRDefault="00E45883" w:rsidP="00337C02">
            <w:pPr>
              <w:pStyle w:val="Normal1"/>
              <w:jc w:val="both"/>
              <w:rPr>
                <w:rFonts w:ascii="Century Gothic" w:hAnsi="Century Gothic" w:cs="Arial"/>
                <w:b/>
                <w:color w:val="auto"/>
                <w:szCs w:val="24"/>
              </w:rPr>
            </w:pPr>
          </w:p>
        </w:tc>
        <w:tc>
          <w:tcPr>
            <w:tcW w:w="1985" w:type="dxa"/>
            <w:tcBorders>
              <w:top w:val="single" w:sz="4" w:space="0" w:color="auto"/>
              <w:left w:val="single" w:sz="4" w:space="0" w:color="auto"/>
              <w:bottom w:val="single" w:sz="4" w:space="0" w:color="auto"/>
              <w:right w:val="single" w:sz="4" w:space="0" w:color="auto"/>
            </w:tcBorders>
          </w:tcPr>
          <w:p w:rsidR="00E45883" w:rsidRPr="00270555" w:rsidRDefault="00E45883" w:rsidP="00337C02">
            <w:pPr>
              <w:pStyle w:val="Normal1"/>
              <w:jc w:val="both"/>
              <w:rPr>
                <w:rFonts w:ascii="Century Gothic" w:hAnsi="Century Gothic" w:cs="Arial"/>
                <w:b/>
                <w:color w:val="auto"/>
                <w:szCs w:val="24"/>
              </w:rPr>
            </w:pPr>
          </w:p>
          <w:p w:rsidR="00E45883" w:rsidRPr="00E45883" w:rsidRDefault="00E45883" w:rsidP="00E45883">
            <w:pPr>
              <w:pStyle w:val="Normal1"/>
              <w:jc w:val="both"/>
              <w:rPr>
                <w:rFonts w:ascii="Century Gothic" w:hAnsi="Century Gothic" w:cs="Arial"/>
                <w:b/>
                <w:color w:val="auto"/>
                <w:szCs w:val="24"/>
              </w:rPr>
            </w:pPr>
          </w:p>
          <w:p w:rsidR="00E45883" w:rsidRPr="00E45883" w:rsidRDefault="00E45883" w:rsidP="00E45883">
            <w:pPr>
              <w:pStyle w:val="Normal1"/>
              <w:jc w:val="both"/>
              <w:rPr>
                <w:rFonts w:ascii="Century Gothic" w:hAnsi="Century Gothic" w:cs="Arial"/>
                <w:b/>
                <w:color w:val="auto"/>
                <w:szCs w:val="24"/>
              </w:rPr>
            </w:pPr>
          </w:p>
        </w:tc>
      </w:tr>
      <w:tr w:rsidR="00E45883" w:rsidRPr="00270555" w:rsidTr="00E45883">
        <w:tc>
          <w:tcPr>
            <w:tcW w:w="1702" w:type="dxa"/>
            <w:tcBorders>
              <w:top w:val="single" w:sz="4" w:space="0" w:color="auto"/>
              <w:left w:val="single" w:sz="4" w:space="0" w:color="auto"/>
              <w:bottom w:val="single" w:sz="4" w:space="0" w:color="auto"/>
              <w:right w:val="single" w:sz="4" w:space="0" w:color="auto"/>
            </w:tcBorders>
          </w:tcPr>
          <w:p w:rsidR="00E45883" w:rsidRPr="00E45883" w:rsidRDefault="00E45883" w:rsidP="00337C02">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inline distT="0" distB="0" distL="0" distR="0" wp14:anchorId="65FBB84A" wp14:editId="04D9D277">
                  <wp:extent cx="942854" cy="10877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47729" cy="1093379"/>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rsidR="00E45883" w:rsidRPr="00270555" w:rsidRDefault="00E45883" w:rsidP="00337C02">
            <w:pPr>
              <w:spacing w:after="0" w:line="240" w:lineRule="auto"/>
              <w:contextualSpacing/>
              <w:jc w:val="center"/>
              <w:rPr>
                <w:rFonts w:ascii="Century Gothic" w:hAnsi="Century Gothic" w:cs="Arial"/>
                <w:b/>
                <w:sz w:val="24"/>
                <w:szCs w:val="24"/>
              </w:rPr>
            </w:pPr>
          </w:p>
          <w:p w:rsidR="00E45883" w:rsidRPr="00270555" w:rsidRDefault="00E45883" w:rsidP="00337C02">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rsidR="00E45883" w:rsidRPr="00E45883" w:rsidRDefault="00E45883" w:rsidP="00337C02">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68" w:type="dxa"/>
            <w:tcBorders>
              <w:top w:val="single" w:sz="4" w:space="0" w:color="auto"/>
              <w:left w:val="single" w:sz="4" w:space="0" w:color="auto"/>
              <w:bottom w:val="single" w:sz="4" w:space="0" w:color="auto"/>
              <w:right w:val="single" w:sz="4" w:space="0" w:color="auto"/>
            </w:tcBorders>
          </w:tcPr>
          <w:p w:rsidR="00E45883" w:rsidRPr="00270555" w:rsidRDefault="00E45883" w:rsidP="00337C02">
            <w:pPr>
              <w:pStyle w:val="Normal1"/>
              <w:jc w:val="both"/>
              <w:rPr>
                <w:rFonts w:ascii="Century Gothic" w:hAnsi="Century Gothic" w:cs="Arial"/>
                <w:b/>
                <w:color w:val="auto"/>
                <w:szCs w:val="24"/>
              </w:rPr>
            </w:pPr>
          </w:p>
        </w:tc>
        <w:tc>
          <w:tcPr>
            <w:tcW w:w="2268" w:type="dxa"/>
            <w:tcBorders>
              <w:top w:val="single" w:sz="4" w:space="0" w:color="auto"/>
              <w:left w:val="single" w:sz="4" w:space="0" w:color="auto"/>
              <w:bottom w:val="single" w:sz="4" w:space="0" w:color="auto"/>
              <w:right w:val="single" w:sz="4" w:space="0" w:color="auto"/>
            </w:tcBorders>
          </w:tcPr>
          <w:p w:rsidR="00E45883" w:rsidRPr="00270555" w:rsidRDefault="00E45883" w:rsidP="00337C02">
            <w:pPr>
              <w:pStyle w:val="Normal1"/>
              <w:jc w:val="both"/>
              <w:rPr>
                <w:rFonts w:ascii="Century Gothic" w:hAnsi="Century Gothic" w:cs="Arial"/>
                <w:b/>
                <w:color w:val="auto"/>
                <w:szCs w:val="24"/>
              </w:rPr>
            </w:pPr>
          </w:p>
        </w:tc>
        <w:tc>
          <w:tcPr>
            <w:tcW w:w="1985" w:type="dxa"/>
            <w:tcBorders>
              <w:top w:val="single" w:sz="4" w:space="0" w:color="auto"/>
              <w:left w:val="single" w:sz="4" w:space="0" w:color="auto"/>
              <w:bottom w:val="single" w:sz="4" w:space="0" w:color="auto"/>
              <w:right w:val="single" w:sz="4" w:space="0" w:color="auto"/>
            </w:tcBorders>
          </w:tcPr>
          <w:p w:rsidR="00E45883" w:rsidRPr="00270555" w:rsidRDefault="00E45883" w:rsidP="00337C02">
            <w:pPr>
              <w:pStyle w:val="Normal1"/>
              <w:jc w:val="both"/>
              <w:rPr>
                <w:rFonts w:ascii="Century Gothic" w:hAnsi="Century Gothic" w:cs="Arial"/>
                <w:b/>
                <w:color w:val="auto"/>
                <w:szCs w:val="24"/>
              </w:rPr>
            </w:pPr>
          </w:p>
        </w:tc>
      </w:tr>
    </w:tbl>
    <w:p w:rsidR="000800D6" w:rsidRPr="00270555" w:rsidRDefault="00E45883" w:rsidP="000800D6">
      <w:pPr>
        <w:spacing w:after="0" w:line="360" w:lineRule="auto"/>
        <w:contextualSpacing/>
        <w:jc w:val="both"/>
        <w:rPr>
          <w:rFonts w:ascii="Century Gothic" w:hAnsi="Century Gothic"/>
          <w:b/>
          <w:sz w:val="16"/>
          <w:szCs w:val="16"/>
        </w:rPr>
      </w:pPr>
      <w:r>
        <w:rPr>
          <w:rFonts w:ascii="Century Gothic" w:hAnsi="Century Gothic" w:cs="Arial"/>
          <w:b/>
          <w:noProof/>
          <w:szCs w:val="24"/>
        </w:rPr>
        <w:drawing>
          <wp:anchor distT="0" distB="0" distL="114300" distR="114300" simplePos="0" relativeHeight="251663360" behindDoc="1" locked="0" layoutInCell="1" allowOverlap="1" wp14:anchorId="5B36CE0C" wp14:editId="608B8C02">
            <wp:simplePos x="0" y="0"/>
            <wp:positionH relativeFrom="column">
              <wp:posOffset>32384</wp:posOffset>
            </wp:positionH>
            <wp:positionV relativeFrom="paragraph">
              <wp:posOffset>-2259330</wp:posOffset>
            </wp:positionV>
            <wp:extent cx="1000125" cy="1099185"/>
            <wp:effectExtent l="0" t="0" r="952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a:extLst>
                        <a:ext uri="{28A0092B-C50C-407E-A947-70E740481C1C}">
                          <a14:useLocalDpi xmlns:a14="http://schemas.microsoft.com/office/drawing/2010/main" val="0"/>
                        </a:ext>
                      </a:extLst>
                    </a:blip>
                    <a:stretch>
                      <a:fillRect/>
                    </a:stretch>
                  </pic:blipFill>
                  <pic:spPr>
                    <a:xfrm>
                      <a:off x="0" y="0"/>
                      <a:ext cx="1000125" cy="1099185"/>
                    </a:xfrm>
                    <a:prstGeom prst="rect">
                      <a:avLst/>
                    </a:prstGeom>
                  </pic:spPr>
                </pic:pic>
              </a:graphicData>
            </a:graphic>
            <wp14:sizeRelH relativeFrom="page">
              <wp14:pctWidth>0</wp14:pctWidth>
            </wp14:sizeRelH>
            <wp14:sizeRelV relativeFrom="page">
              <wp14:pctHeight>0</wp14:pctHeight>
            </wp14:sizeRelV>
          </wp:anchor>
        </w:drawing>
      </w:r>
    </w:p>
    <w:p w:rsidR="00180B2C" w:rsidRPr="00270555" w:rsidRDefault="006B0E5C" w:rsidP="004B7E1C">
      <w:pPr>
        <w:spacing w:after="0" w:line="240" w:lineRule="auto"/>
        <w:contextualSpacing/>
        <w:jc w:val="both"/>
      </w:pPr>
      <w:r w:rsidRPr="00270555">
        <w:rPr>
          <w:rFonts w:ascii="Century Gothic" w:eastAsia="Arial" w:hAnsi="Century Gothic" w:cs="Arial"/>
          <w:sz w:val="20"/>
          <w:szCs w:val="20"/>
        </w:rPr>
        <w:t>LA PRESENTE HOJA DE FIRMAS CORRESPONDE AL DI</w:t>
      </w:r>
      <w:r w:rsidR="009D63D9">
        <w:rPr>
          <w:rFonts w:ascii="Century Gothic" w:eastAsia="Arial" w:hAnsi="Century Gothic" w:cs="Arial"/>
          <w:sz w:val="20"/>
          <w:szCs w:val="20"/>
        </w:rPr>
        <w:t>CTAMEN RECAÍDO EN EL ASUNTO 872</w:t>
      </w:r>
      <w:r w:rsidRPr="00270555">
        <w:rPr>
          <w:rFonts w:ascii="Century Gothic" w:eastAsia="Arial" w:hAnsi="Century Gothic" w:cs="Arial"/>
          <w:sz w:val="20"/>
          <w:szCs w:val="20"/>
        </w:rPr>
        <w:t>, DE LA COMISIÓN DE</w:t>
      </w:r>
      <w:r w:rsidR="00E45883">
        <w:rPr>
          <w:rFonts w:ascii="Century Gothic" w:eastAsia="Arial" w:hAnsi="Century Gothic" w:cs="Arial"/>
          <w:sz w:val="20"/>
          <w:szCs w:val="20"/>
        </w:rPr>
        <w:t xml:space="preserve"> IGUALDAD</w:t>
      </w:r>
      <w:r w:rsidRPr="00270555">
        <w:rPr>
          <w:rFonts w:ascii="Century Gothic" w:eastAsia="Arial" w:hAnsi="Century Gothic" w:cs="Arial"/>
          <w:sz w:val="20"/>
          <w:szCs w:val="20"/>
        </w:rPr>
        <w:t>.</w:t>
      </w:r>
    </w:p>
    <w:sectPr w:rsidR="00180B2C" w:rsidRPr="00270555" w:rsidSect="00337C02">
      <w:headerReference w:type="default" r:id="rId15"/>
      <w:footerReference w:type="default" r:id="rId16"/>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0AB" w:rsidRDefault="000960AB" w:rsidP="000800D6">
      <w:pPr>
        <w:spacing w:after="0" w:line="240" w:lineRule="auto"/>
      </w:pPr>
      <w:r>
        <w:separator/>
      </w:r>
    </w:p>
  </w:endnote>
  <w:endnote w:type="continuationSeparator" w:id="0">
    <w:p w:rsidR="000960AB" w:rsidRDefault="000960AB"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T Sans">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5A" w:rsidRDefault="00B8485A" w:rsidP="00337C02">
    <w:pPr>
      <w:pStyle w:val="Piedepgina"/>
      <w:jc w:val="center"/>
    </w:pPr>
  </w:p>
  <w:p w:rsidR="00B8485A" w:rsidRDefault="00B8485A" w:rsidP="00337C02">
    <w:pPr>
      <w:pStyle w:val="Piedepgina"/>
      <w:jc w:val="center"/>
    </w:pPr>
  </w:p>
  <w:p w:rsidR="00B8485A" w:rsidRPr="00E830A2" w:rsidRDefault="00B8485A" w:rsidP="00337C02">
    <w:pPr>
      <w:pStyle w:val="Piedepgina"/>
      <w:jc w:val="right"/>
      <w:rPr>
        <w:rFonts w:ascii="Century Gothic" w:hAnsi="Century Gothic"/>
        <w:sz w:val="18"/>
        <w:szCs w:val="18"/>
        <w:lang w:val="en-US"/>
      </w:rPr>
    </w:pPr>
    <w:r w:rsidRPr="00B15660">
      <w:rPr>
        <w:rFonts w:ascii="Century Gothic" w:hAnsi="Century Gothic"/>
        <w:sz w:val="18"/>
        <w:szCs w:val="18"/>
        <w:lang w:val="en-US"/>
      </w:rPr>
      <w:t>A</w:t>
    </w:r>
    <w:r>
      <w:rPr>
        <w:rFonts w:ascii="Century Gothic" w:hAnsi="Century Gothic"/>
        <w:sz w:val="18"/>
        <w:szCs w:val="18"/>
        <w:lang w:val="en-US"/>
      </w:rPr>
      <w:t>872</w:t>
    </w:r>
    <w:r w:rsidR="00D21833">
      <w:rPr>
        <w:rFonts w:ascii="Century Gothic" w:hAnsi="Century Gothic"/>
        <w:sz w:val="18"/>
        <w:szCs w:val="18"/>
        <w:lang w:val="en-US"/>
      </w:rPr>
      <w:t>/ERS/GAOR/RMO</w:t>
    </w:r>
    <w:r w:rsidRPr="00B15660">
      <w:rPr>
        <w:rFonts w:ascii="Century Gothic" w:hAnsi="Century Gothic"/>
        <w:sz w:val="18"/>
        <w:szCs w:val="18"/>
        <w:lang w:val="en-US"/>
      </w:rPr>
      <w:t>/FCLC</w:t>
    </w:r>
    <w:r w:rsidRPr="00E830A2">
      <w:rPr>
        <w:rFonts w:ascii="Century Gothic" w:hAnsi="Century Gothic"/>
        <w:sz w:val="18"/>
        <w:szCs w:val="18"/>
        <w:lang w:val="en-US"/>
      </w:rPr>
      <w:t xml:space="preserve"> </w:t>
    </w:r>
  </w:p>
  <w:p w:rsidR="00B8485A" w:rsidRPr="007D2BD6" w:rsidRDefault="00B8485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0AB" w:rsidRDefault="000960AB" w:rsidP="000800D6">
      <w:pPr>
        <w:spacing w:after="0" w:line="240" w:lineRule="auto"/>
      </w:pPr>
      <w:r>
        <w:separator/>
      </w:r>
    </w:p>
  </w:footnote>
  <w:footnote w:type="continuationSeparator" w:id="0">
    <w:p w:rsidR="000960AB" w:rsidRDefault="000960AB" w:rsidP="000800D6">
      <w:pPr>
        <w:spacing w:after="0" w:line="240" w:lineRule="auto"/>
      </w:pPr>
      <w:r>
        <w:continuationSeparator/>
      </w:r>
    </w:p>
  </w:footnote>
  <w:footnote w:id="1">
    <w:p w:rsidR="00B8485A" w:rsidRDefault="00B8485A">
      <w:pPr>
        <w:pStyle w:val="Textonotapie"/>
      </w:pPr>
      <w:r>
        <w:rPr>
          <w:rStyle w:val="Refdenotaalpie"/>
        </w:rPr>
        <w:footnoteRef/>
      </w:r>
      <w:r>
        <w:t xml:space="preserve"> </w:t>
      </w:r>
      <w:r w:rsidRPr="00CD5478">
        <w:t>Convención sobre la eliminación de todas las formas de discriminación contra la mujer</w:t>
      </w:r>
      <w:r>
        <w:t xml:space="preserve">. Disponible en: </w:t>
      </w:r>
      <w:hyperlink r:id="rId1" w:history="1">
        <w:r w:rsidRPr="00A155BE">
          <w:rPr>
            <w:rStyle w:val="Hipervnculo"/>
          </w:rPr>
          <w:t>https://www.ohchr.org/es/instruments-mechanisms/instruments/convention-elimination-all-forms-discrimination-against-women</w:t>
        </w:r>
      </w:hyperlink>
      <w:r>
        <w:t xml:space="preserve"> </w:t>
      </w:r>
    </w:p>
  </w:footnote>
  <w:footnote w:id="2">
    <w:p w:rsidR="00B8485A" w:rsidRDefault="00B8485A">
      <w:pPr>
        <w:pStyle w:val="Textonotapie"/>
      </w:pPr>
      <w:r>
        <w:rPr>
          <w:rStyle w:val="Refdenotaalpie"/>
        </w:rPr>
        <w:footnoteRef/>
      </w:r>
      <w:r>
        <w:t xml:space="preserve"> </w:t>
      </w:r>
      <w:r w:rsidRPr="00962904">
        <w:t>Convención lnteramericana para Prevenir, Sancionar y Erradicar la Violencia contra la Mujer</w:t>
      </w:r>
      <w:r>
        <w:t xml:space="preserve">. Disponible en: </w:t>
      </w:r>
      <w:hyperlink r:id="rId2" w:history="1">
        <w:r w:rsidRPr="00A155BE">
          <w:rPr>
            <w:rStyle w:val="Hipervnculo"/>
          </w:rPr>
          <w:t>https://www.oas.org/juridico/spanish/tratados/a-61.html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5A" w:rsidRPr="00911E2E" w:rsidRDefault="00B8485A" w:rsidP="00634276">
    <w:pPr>
      <w:shd w:val="clear" w:color="auto" w:fill="FFFFFF"/>
      <w:ind w:right="23"/>
      <w:jc w:val="right"/>
      <w:rPr>
        <w:rFonts w:cs="Calibri"/>
        <w:b/>
      </w:rPr>
    </w:pPr>
    <w:r>
      <w:rPr>
        <w:rFonts w:ascii="Century Gothic" w:hAnsi="Century Gothic"/>
        <w:sz w:val="18"/>
        <w:szCs w:val="18"/>
      </w:rPr>
      <w:t xml:space="preserve">       </w:t>
    </w:r>
    <w:r w:rsidRPr="00F27A9E">
      <w:rPr>
        <w:rFonts w:ascii="Century Gothic" w:hAnsi="Century Gothic"/>
        <w:sz w:val="18"/>
        <w:szCs w:val="18"/>
      </w:rPr>
      <w:t xml:space="preserve"> </w:t>
    </w:r>
    <w:r w:rsidRPr="00911E2E">
      <w:rPr>
        <w:rFonts w:ascii="Century Gothic" w:hAnsi="Century Gothic" w:cs="Arial"/>
        <w:b/>
      </w:rPr>
      <w:t>“</w:t>
    </w:r>
    <w:r>
      <w:rPr>
        <w:rFonts w:ascii="Century Gothic" w:hAnsi="Century Gothic" w:cs="Calibri"/>
        <w:b/>
        <w:bCs/>
        <w:color w:val="201F1E"/>
      </w:rPr>
      <w:t>2022, Año del C</w:t>
    </w:r>
    <w:r w:rsidRPr="00911E2E">
      <w:rPr>
        <w:rFonts w:ascii="Century Gothic" w:hAnsi="Century Gothic" w:cs="Calibri"/>
        <w:b/>
        <w:bCs/>
        <w:color w:val="201F1E"/>
      </w:rPr>
      <w:t>entenario de la</w:t>
    </w:r>
    <w:r>
      <w:rPr>
        <w:rFonts w:ascii="Century Gothic" w:hAnsi="Century Gothic" w:cs="Calibri"/>
        <w:b/>
        <w:bCs/>
        <w:color w:val="201F1E"/>
      </w:rPr>
      <w:t xml:space="preserve"> Llegada de la Comunidad Menonita a Chihuahua</w:t>
    </w:r>
    <w:r w:rsidRPr="00911E2E">
      <w:rPr>
        <w:rFonts w:ascii="Century Gothic" w:hAnsi="Century Gothic" w:cs="Calibri"/>
        <w:b/>
        <w:bCs/>
        <w:color w:val="201F1E"/>
      </w:rPr>
      <w:t>”</w:t>
    </w:r>
  </w:p>
  <w:p w:rsidR="00B8485A" w:rsidRPr="000800D6" w:rsidRDefault="00B8485A" w:rsidP="00634276">
    <w:pPr>
      <w:shd w:val="clear" w:color="auto" w:fill="FFFFFF"/>
      <w:spacing w:after="0" w:line="240" w:lineRule="auto"/>
      <w:jc w:val="right"/>
      <w:rPr>
        <w:rFonts w:ascii="Century Gothic" w:eastAsiaTheme="minorHAnsi" w:hAnsi="Century Gothic" w:cs="Calibri"/>
        <w:b/>
        <w:bCs/>
        <w:color w:val="000000"/>
        <w:sz w:val="24"/>
        <w:szCs w:val="24"/>
        <w:lang w:eastAsia="en-US"/>
      </w:rPr>
    </w:pPr>
  </w:p>
  <w:p w:rsidR="00B8485A" w:rsidRPr="000800D6" w:rsidRDefault="00B8485A" w:rsidP="000800D6">
    <w:pPr>
      <w:shd w:val="clear" w:color="auto" w:fill="FFFFFF"/>
      <w:spacing w:after="0" w:line="240" w:lineRule="auto"/>
      <w:jc w:val="right"/>
      <w:rPr>
        <w:rFonts w:ascii="Century Gothic" w:eastAsiaTheme="minorHAnsi" w:hAnsi="Century Gothic" w:cs="Calibri"/>
        <w:b/>
        <w:bCs/>
        <w:color w:val="000000"/>
        <w:sz w:val="24"/>
        <w:szCs w:val="24"/>
        <w:lang w:eastAsia="en-US"/>
      </w:rPr>
    </w:pPr>
  </w:p>
  <w:p w:rsidR="00B8485A" w:rsidRPr="000800D6" w:rsidRDefault="00B8485A" w:rsidP="00982223">
    <w:pPr>
      <w:shd w:val="clear" w:color="auto" w:fill="FFFFFF"/>
      <w:spacing w:after="0" w:line="240" w:lineRule="auto"/>
      <w:jc w:val="right"/>
      <w:rPr>
        <w:rFonts w:ascii="Century Gothic" w:hAnsi="Century Gothic"/>
        <w:b/>
        <w:i/>
        <w:sz w:val="28"/>
        <w:szCs w:val="28"/>
      </w:rPr>
    </w:pPr>
    <w:r w:rsidRPr="000800D6">
      <w:rPr>
        <w:rFonts w:ascii="Century Gothic" w:eastAsiaTheme="minorHAnsi" w:hAnsi="Century Gothic" w:cstheme="minorBidi"/>
        <w:b/>
        <w:i/>
        <w:sz w:val="28"/>
        <w:szCs w:val="28"/>
        <w:lang w:eastAsia="en-US"/>
      </w:rPr>
      <w:t xml:space="preserve">COMISIÓN DE </w:t>
    </w:r>
    <w:r>
      <w:rPr>
        <w:rFonts w:ascii="Century Gothic" w:eastAsiaTheme="minorHAnsi" w:hAnsi="Century Gothic" w:cstheme="minorBidi"/>
        <w:b/>
        <w:i/>
        <w:sz w:val="28"/>
        <w:szCs w:val="28"/>
        <w:lang w:eastAsia="en-US"/>
      </w:rPr>
      <w:t>IGUALDAD</w:t>
    </w:r>
  </w:p>
  <w:p w:rsidR="00B8485A" w:rsidRPr="000800D6" w:rsidRDefault="00B8485A" w:rsidP="000800D6">
    <w:pPr>
      <w:tabs>
        <w:tab w:val="center" w:pos="4419"/>
        <w:tab w:val="right" w:pos="8838"/>
      </w:tabs>
      <w:spacing w:after="0" w:line="240" w:lineRule="auto"/>
      <w:jc w:val="right"/>
      <w:rPr>
        <w:rFonts w:ascii="Century Gothic" w:hAnsi="Century Gothic"/>
        <w:b/>
        <w:sz w:val="28"/>
        <w:szCs w:val="28"/>
      </w:rPr>
    </w:pPr>
    <w:r w:rsidRPr="000800D6">
      <w:rPr>
        <w:rFonts w:ascii="Century Gothic" w:hAnsi="Century Gothic"/>
        <w:b/>
        <w:sz w:val="28"/>
        <w:szCs w:val="28"/>
      </w:rPr>
      <w:t>LXVI</w:t>
    </w:r>
    <w:r>
      <w:rPr>
        <w:rFonts w:ascii="Century Gothic" w:hAnsi="Century Gothic"/>
        <w:b/>
        <w:sz w:val="28"/>
        <w:szCs w:val="28"/>
      </w:rPr>
      <w:t>I</w:t>
    </w:r>
    <w:r w:rsidRPr="000800D6">
      <w:rPr>
        <w:rFonts w:ascii="Century Gothic" w:hAnsi="Century Gothic"/>
        <w:b/>
        <w:sz w:val="28"/>
        <w:szCs w:val="28"/>
      </w:rPr>
      <w:t xml:space="preserve"> LEGISLATURA</w:t>
    </w:r>
  </w:p>
  <w:p w:rsidR="00B8485A" w:rsidRDefault="003E1554" w:rsidP="000800D6">
    <w:pPr>
      <w:pStyle w:val="Encabezado"/>
      <w:jc w:val="right"/>
      <w:rPr>
        <w:rFonts w:ascii="Century Gothic" w:hAnsi="Century Gothic"/>
        <w:b/>
        <w:sz w:val="24"/>
        <w:szCs w:val="24"/>
      </w:rPr>
    </w:pPr>
    <w:r>
      <w:rPr>
        <w:rFonts w:ascii="Century Gothic" w:hAnsi="Century Gothic"/>
        <w:b/>
        <w:sz w:val="24"/>
        <w:szCs w:val="24"/>
      </w:rPr>
      <w:t>ACI/07</w:t>
    </w:r>
    <w:r w:rsidR="00B8485A">
      <w:rPr>
        <w:rFonts w:ascii="Century Gothic" w:hAnsi="Century Gothic"/>
        <w:b/>
        <w:sz w:val="24"/>
        <w:szCs w:val="24"/>
      </w:rPr>
      <w:t>/2022</w:t>
    </w:r>
  </w:p>
  <w:p w:rsidR="00B8485A" w:rsidRPr="000217A0" w:rsidRDefault="00B8485A" w:rsidP="00337C02">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402"/>
    <w:multiLevelType w:val="hybridMultilevel"/>
    <w:tmpl w:val="6FE2B76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8A82A6F"/>
    <w:multiLevelType w:val="hybridMultilevel"/>
    <w:tmpl w:val="5EB825A0"/>
    <w:lvl w:ilvl="0" w:tplc="D5329D1A">
      <w:start w:val="1"/>
      <w:numFmt w:val="bullet"/>
      <w:lvlText w:val=""/>
      <w:lvlJc w:val="left"/>
      <w:pPr>
        <w:ind w:left="720" w:hanging="360"/>
      </w:pPr>
      <w:rPr>
        <w:rFonts w:ascii="Wingdings 3" w:hAnsi="Wingdings 3"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733912"/>
    <w:multiLevelType w:val="hybridMultilevel"/>
    <w:tmpl w:val="6932FD4C"/>
    <w:lvl w:ilvl="0" w:tplc="D5329D1A">
      <w:start w:val="1"/>
      <w:numFmt w:val="bullet"/>
      <w:lvlText w:val=""/>
      <w:lvlJc w:val="left"/>
      <w:pPr>
        <w:ind w:left="1440" w:hanging="360"/>
      </w:pPr>
      <w:rPr>
        <w:rFonts w:ascii="Wingdings 3" w:hAnsi="Wingdings 3"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79D6BB9"/>
    <w:multiLevelType w:val="hybridMultilevel"/>
    <w:tmpl w:val="BE7ACE56"/>
    <w:lvl w:ilvl="0" w:tplc="080A0017">
      <w:start w:val="1"/>
      <w:numFmt w:val="lowerLetter"/>
      <w:lvlText w:val="%1)"/>
      <w:lvlJc w:val="left"/>
      <w:pPr>
        <w:ind w:left="720" w:hanging="360"/>
      </w:pPr>
    </w:lvl>
    <w:lvl w:ilvl="1" w:tplc="71A6732E">
      <w:start w:val="2"/>
      <w:numFmt w:val="bullet"/>
      <w:lvlText w:val="•"/>
      <w:lvlJc w:val="left"/>
      <w:pPr>
        <w:ind w:left="1785" w:hanging="705"/>
      </w:pPr>
      <w:rPr>
        <w:rFonts w:ascii="Century Gothic" w:eastAsia="Times New Roman" w:hAnsi="Century Gothic"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D42FDF"/>
    <w:multiLevelType w:val="hybridMultilevel"/>
    <w:tmpl w:val="76528D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C51103"/>
    <w:multiLevelType w:val="hybridMultilevel"/>
    <w:tmpl w:val="3DFE8848"/>
    <w:lvl w:ilvl="0" w:tplc="173CA646">
      <w:start w:val="1"/>
      <w:numFmt w:val="upperRoman"/>
      <w:lvlText w:val="%1."/>
      <w:lvlJc w:val="left"/>
      <w:pPr>
        <w:ind w:left="1080" w:hanging="720"/>
      </w:pPr>
      <w:rPr>
        <w:rFonts w:eastAsia="Arial Unicode M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B2E7F"/>
    <w:multiLevelType w:val="hybridMultilevel"/>
    <w:tmpl w:val="E9E0B846"/>
    <w:lvl w:ilvl="0" w:tplc="98C41AB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8038E6"/>
    <w:multiLevelType w:val="hybridMultilevel"/>
    <w:tmpl w:val="1D7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E4018"/>
    <w:multiLevelType w:val="hybridMultilevel"/>
    <w:tmpl w:val="1876EE1A"/>
    <w:lvl w:ilvl="0" w:tplc="D5329D1A">
      <w:start w:val="1"/>
      <w:numFmt w:val="bullet"/>
      <w:lvlText w:val=""/>
      <w:lvlJc w:val="left"/>
      <w:pPr>
        <w:ind w:left="1428" w:hanging="360"/>
      </w:pPr>
      <w:rPr>
        <w:rFonts w:ascii="Wingdings 3" w:hAnsi="Wingdings 3"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5CCF3A67"/>
    <w:multiLevelType w:val="hybridMultilevel"/>
    <w:tmpl w:val="5E8A3126"/>
    <w:lvl w:ilvl="0" w:tplc="080A0017">
      <w:start w:val="1"/>
      <w:numFmt w:val="lowerLetter"/>
      <w:lvlText w:val="%1)"/>
      <w:lvlJc w:val="left"/>
      <w:pPr>
        <w:ind w:left="793" w:hanging="360"/>
      </w:pPr>
    </w:lvl>
    <w:lvl w:ilvl="1" w:tplc="080A0019" w:tentative="1">
      <w:start w:val="1"/>
      <w:numFmt w:val="lowerLetter"/>
      <w:lvlText w:val="%2."/>
      <w:lvlJc w:val="left"/>
      <w:pPr>
        <w:ind w:left="1513" w:hanging="360"/>
      </w:pPr>
    </w:lvl>
    <w:lvl w:ilvl="2" w:tplc="080A001B" w:tentative="1">
      <w:start w:val="1"/>
      <w:numFmt w:val="lowerRoman"/>
      <w:lvlText w:val="%3."/>
      <w:lvlJc w:val="right"/>
      <w:pPr>
        <w:ind w:left="2233" w:hanging="180"/>
      </w:pPr>
    </w:lvl>
    <w:lvl w:ilvl="3" w:tplc="080A000F" w:tentative="1">
      <w:start w:val="1"/>
      <w:numFmt w:val="decimal"/>
      <w:lvlText w:val="%4."/>
      <w:lvlJc w:val="left"/>
      <w:pPr>
        <w:ind w:left="2953" w:hanging="360"/>
      </w:pPr>
    </w:lvl>
    <w:lvl w:ilvl="4" w:tplc="080A0019" w:tentative="1">
      <w:start w:val="1"/>
      <w:numFmt w:val="lowerLetter"/>
      <w:lvlText w:val="%5."/>
      <w:lvlJc w:val="left"/>
      <w:pPr>
        <w:ind w:left="3673" w:hanging="360"/>
      </w:pPr>
    </w:lvl>
    <w:lvl w:ilvl="5" w:tplc="080A001B" w:tentative="1">
      <w:start w:val="1"/>
      <w:numFmt w:val="lowerRoman"/>
      <w:lvlText w:val="%6."/>
      <w:lvlJc w:val="right"/>
      <w:pPr>
        <w:ind w:left="4393" w:hanging="180"/>
      </w:pPr>
    </w:lvl>
    <w:lvl w:ilvl="6" w:tplc="080A000F" w:tentative="1">
      <w:start w:val="1"/>
      <w:numFmt w:val="decimal"/>
      <w:lvlText w:val="%7."/>
      <w:lvlJc w:val="left"/>
      <w:pPr>
        <w:ind w:left="5113" w:hanging="360"/>
      </w:pPr>
    </w:lvl>
    <w:lvl w:ilvl="7" w:tplc="080A0019" w:tentative="1">
      <w:start w:val="1"/>
      <w:numFmt w:val="lowerLetter"/>
      <w:lvlText w:val="%8."/>
      <w:lvlJc w:val="left"/>
      <w:pPr>
        <w:ind w:left="5833" w:hanging="360"/>
      </w:pPr>
    </w:lvl>
    <w:lvl w:ilvl="8" w:tplc="080A001B" w:tentative="1">
      <w:start w:val="1"/>
      <w:numFmt w:val="lowerRoman"/>
      <w:lvlText w:val="%9."/>
      <w:lvlJc w:val="right"/>
      <w:pPr>
        <w:ind w:left="6553" w:hanging="180"/>
      </w:pPr>
    </w:lvl>
  </w:abstractNum>
  <w:abstractNum w:abstractNumId="10" w15:restartNumberingAfterBreak="0">
    <w:nsid w:val="696C1489"/>
    <w:multiLevelType w:val="hybridMultilevel"/>
    <w:tmpl w:val="81AAC6DA"/>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6C427B24"/>
    <w:multiLevelType w:val="hybridMultilevel"/>
    <w:tmpl w:val="26946A8A"/>
    <w:lvl w:ilvl="0" w:tplc="79984A9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CC3C29"/>
    <w:multiLevelType w:val="hybridMultilevel"/>
    <w:tmpl w:val="CC86CA42"/>
    <w:lvl w:ilvl="0" w:tplc="5076368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2249A8"/>
    <w:multiLevelType w:val="hybridMultilevel"/>
    <w:tmpl w:val="FE3CD38C"/>
    <w:lvl w:ilvl="0" w:tplc="080A000F">
      <w:start w:val="1"/>
      <w:numFmt w:val="decimal"/>
      <w:lvlText w:val="%1."/>
      <w:lvlJc w:val="left"/>
      <w:pPr>
        <w:ind w:left="720" w:hanging="360"/>
      </w:pPr>
      <w:rPr>
        <w:rFonts w:hint="default"/>
      </w:rPr>
    </w:lvl>
    <w:lvl w:ilvl="1" w:tplc="D5329D1A">
      <w:start w:val="1"/>
      <w:numFmt w:val="bullet"/>
      <w:lvlText w:val=""/>
      <w:lvlJc w:val="left"/>
      <w:pPr>
        <w:ind w:left="1440" w:hanging="360"/>
      </w:pPr>
      <w:rPr>
        <w:rFonts w:ascii="Wingdings 3" w:hAnsi="Wingdings 3" w:hint="default"/>
      </w:rPr>
    </w:lvl>
    <w:lvl w:ilvl="2" w:tplc="9998F066">
      <w:numFmt w:val="bullet"/>
      <w:lvlText w:val="•"/>
      <w:lvlJc w:val="left"/>
      <w:pPr>
        <w:ind w:left="2340" w:hanging="360"/>
      </w:pPr>
      <w:rPr>
        <w:rFonts w:ascii="Century Gothic" w:eastAsia="Times New Roman" w:hAnsi="Century Gothic" w:cs="Calibri" w:hint="default"/>
      </w:rPr>
    </w:lvl>
    <w:lvl w:ilvl="3" w:tplc="5558A6AE">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3861BC"/>
    <w:multiLevelType w:val="hybridMultilevel"/>
    <w:tmpl w:val="F8F6B7F4"/>
    <w:lvl w:ilvl="0" w:tplc="0F767034">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5"/>
  </w:num>
  <w:num w:numId="3">
    <w:abstractNumId w:val="4"/>
  </w:num>
  <w:num w:numId="4">
    <w:abstractNumId w:val="12"/>
  </w:num>
  <w:num w:numId="5">
    <w:abstractNumId w:val="3"/>
  </w:num>
  <w:num w:numId="6">
    <w:abstractNumId w:val="11"/>
  </w:num>
  <w:num w:numId="7">
    <w:abstractNumId w:val="6"/>
  </w:num>
  <w:num w:numId="8">
    <w:abstractNumId w:val="0"/>
  </w:num>
  <w:num w:numId="9">
    <w:abstractNumId w:val="14"/>
  </w:num>
  <w:num w:numId="10">
    <w:abstractNumId w:val="1"/>
  </w:num>
  <w:num w:numId="11">
    <w:abstractNumId w:val="9"/>
  </w:num>
  <w:num w:numId="12">
    <w:abstractNumId w:val="10"/>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D6"/>
    <w:rsid w:val="00011DE1"/>
    <w:rsid w:val="000223FC"/>
    <w:rsid w:val="000620EB"/>
    <w:rsid w:val="00077E55"/>
    <w:rsid w:val="000800D6"/>
    <w:rsid w:val="00085E60"/>
    <w:rsid w:val="00093A45"/>
    <w:rsid w:val="000960AB"/>
    <w:rsid w:val="000E0147"/>
    <w:rsid w:val="000E32D4"/>
    <w:rsid w:val="00106485"/>
    <w:rsid w:val="00157735"/>
    <w:rsid w:val="0017325F"/>
    <w:rsid w:val="001773FF"/>
    <w:rsid w:val="00180B2C"/>
    <w:rsid w:val="00193ADB"/>
    <w:rsid w:val="001C5132"/>
    <w:rsid w:val="001D337E"/>
    <w:rsid w:val="001F1102"/>
    <w:rsid w:val="002226BD"/>
    <w:rsid w:val="002237D5"/>
    <w:rsid w:val="00246BEA"/>
    <w:rsid w:val="00270555"/>
    <w:rsid w:val="002E4E0F"/>
    <w:rsid w:val="003149C0"/>
    <w:rsid w:val="00321AF6"/>
    <w:rsid w:val="00337C02"/>
    <w:rsid w:val="00347BC4"/>
    <w:rsid w:val="0035234E"/>
    <w:rsid w:val="00383F7A"/>
    <w:rsid w:val="00396BB4"/>
    <w:rsid w:val="003B59A0"/>
    <w:rsid w:val="003E1554"/>
    <w:rsid w:val="00401E10"/>
    <w:rsid w:val="0042658D"/>
    <w:rsid w:val="00426AC0"/>
    <w:rsid w:val="004519D1"/>
    <w:rsid w:val="00472A6D"/>
    <w:rsid w:val="004B7E1C"/>
    <w:rsid w:val="004C3BE2"/>
    <w:rsid w:val="004E7CF5"/>
    <w:rsid w:val="00521585"/>
    <w:rsid w:val="005264F7"/>
    <w:rsid w:val="005306CE"/>
    <w:rsid w:val="005B1283"/>
    <w:rsid w:val="005C2289"/>
    <w:rsid w:val="005E7EDB"/>
    <w:rsid w:val="006002C8"/>
    <w:rsid w:val="0061071B"/>
    <w:rsid w:val="00625B93"/>
    <w:rsid w:val="00630EAC"/>
    <w:rsid w:val="0063269A"/>
    <w:rsid w:val="00634276"/>
    <w:rsid w:val="00636FF4"/>
    <w:rsid w:val="00641523"/>
    <w:rsid w:val="00645A5C"/>
    <w:rsid w:val="00670B13"/>
    <w:rsid w:val="00685B47"/>
    <w:rsid w:val="006B0E5C"/>
    <w:rsid w:val="006D2816"/>
    <w:rsid w:val="006E6B00"/>
    <w:rsid w:val="00700907"/>
    <w:rsid w:val="007052EB"/>
    <w:rsid w:val="007074AD"/>
    <w:rsid w:val="00722C35"/>
    <w:rsid w:val="00725572"/>
    <w:rsid w:val="007304C5"/>
    <w:rsid w:val="00752D74"/>
    <w:rsid w:val="00757ED3"/>
    <w:rsid w:val="007705BE"/>
    <w:rsid w:val="00775E60"/>
    <w:rsid w:val="0081421F"/>
    <w:rsid w:val="00860880"/>
    <w:rsid w:val="008617AE"/>
    <w:rsid w:val="00862BA4"/>
    <w:rsid w:val="0087050E"/>
    <w:rsid w:val="008716F2"/>
    <w:rsid w:val="008C029C"/>
    <w:rsid w:val="00931197"/>
    <w:rsid w:val="00935A8C"/>
    <w:rsid w:val="00936D90"/>
    <w:rsid w:val="00943CE2"/>
    <w:rsid w:val="00947DA2"/>
    <w:rsid w:val="00956AC1"/>
    <w:rsid w:val="00962904"/>
    <w:rsid w:val="00982223"/>
    <w:rsid w:val="00985CA6"/>
    <w:rsid w:val="009C7B53"/>
    <w:rsid w:val="009D63D9"/>
    <w:rsid w:val="009D7508"/>
    <w:rsid w:val="009F5A91"/>
    <w:rsid w:val="009F5EAF"/>
    <w:rsid w:val="00A14071"/>
    <w:rsid w:val="00A21A3A"/>
    <w:rsid w:val="00A32EA1"/>
    <w:rsid w:val="00A4792D"/>
    <w:rsid w:val="00A83498"/>
    <w:rsid w:val="00AD380A"/>
    <w:rsid w:val="00AD44E1"/>
    <w:rsid w:val="00AE0929"/>
    <w:rsid w:val="00B07598"/>
    <w:rsid w:val="00B15660"/>
    <w:rsid w:val="00B22B06"/>
    <w:rsid w:val="00B2741C"/>
    <w:rsid w:val="00B33D09"/>
    <w:rsid w:val="00B33D42"/>
    <w:rsid w:val="00B42048"/>
    <w:rsid w:val="00B42186"/>
    <w:rsid w:val="00B8485A"/>
    <w:rsid w:val="00B85E5F"/>
    <w:rsid w:val="00C23BD9"/>
    <w:rsid w:val="00C32302"/>
    <w:rsid w:val="00CC59EE"/>
    <w:rsid w:val="00CD5478"/>
    <w:rsid w:val="00D21833"/>
    <w:rsid w:val="00D25DFE"/>
    <w:rsid w:val="00D3620A"/>
    <w:rsid w:val="00D453F3"/>
    <w:rsid w:val="00D50444"/>
    <w:rsid w:val="00D628E7"/>
    <w:rsid w:val="00DA3524"/>
    <w:rsid w:val="00DE7B93"/>
    <w:rsid w:val="00E07757"/>
    <w:rsid w:val="00E45883"/>
    <w:rsid w:val="00E53990"/>
    <w:rsid w:val="00EC70C9"/>
    <w:rsid w:val="00F34C36"/>
    <w:rsid w:val="00F50780"/>
    <w:rsid w:val="00F565F5"/>
    <w:rsid w:val="00F64C72"/>
    <w:rsid w:val="00F85F7C"/>
    <w:rsid w:val="00F875D4"/>
    <w:rsid w:val="00FB217F"/>
    <w:rsid w:val="00FC531E"/>
    <w:rsid w:val="00FE5636"/>
    <w:rsid w:val="00FE7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EF197-3B29-4B0A-878D-D53FE12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semiHidden/>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notes.xml.rels><?xml version="1.0" encoding="UTF-8" standalone="yes"?>
<Relationships xmlns="http://schemas.openxmlformats.org/package/2006/relationships"><Relationship Id="rId2" Type="http://schemas.openxmlformats.org/officeDocument/2006/relationships/hyperlink" Target="https://www.oas.org/juridico/spanish/tratados/a-61.html" TargetMode="External"/><Relationship Id="rId1" Type="http://schemas.openxmlformats.org/officeDocument/2006/relationships/hyperlink" Target="https://www.ohchr.org/es/instruments-mechanisms/instruments/convention-elimination-all-forms-discrimination-against-w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D22D-F5EE-4101-9A59-17BC2AD3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5132</Words>
  <Characters>28226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Brenda Sarahi Gonzalez Dominguez</cp:lastModifiedBy>
  <cp:revision>2</cp:revision>
  <cp:lastPrinted>2022-10-11T16:03:00Z</cp:lastPrinted>
  <dcterms:created xsi:type="dcterms:W3CDTF">2022-10-11T17:19:00Z</dcterms:created>
  <dcterms:modified xsi:type="dcterms:W3CDTF">2022-10-11T17:19:00Z</dcterms:modified>
</cp:coreProperties>
</file>