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A557" w14:textId="77777777" w:rsidR="00331CBA" w:rsidRPr="009568FB" w:rsidRDefault="00331CBA" w:rsidP="002E2CD6">
      <w:pPr>
        <w:pStyle w:val="Ttulo1"/>
        <w:tabs>
          <w:tab w:val="left" w:pos="5385"/>
        </w:tabs>
        <w:ind w:right="332"/>
        <w:rPr>
          <w:rFonts w:ascii="Century Gothic" w:hAnsi="Century Gothic"/>
        </w:rPr>
      </w:pPr>
      <w:bookmarkStart w:id="0" w:name="_GoBack"/>
      <w:bookmarkEnd w:id="0"/>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6C342BF8" w14:textId="77777777" w:rsidR="00267DA3" w:rsidRDefault="00331CBA" w:rsidP="00267DA3">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E95C4A">
        <w:rPr>
          <w:rFonts w:ascii="Century Gothic" w:hAnsi="Century Gothic" w:cs="Arial"/>
        </w:rPr>
        <w:t>31 de mayo de 2022</w:t>
      </w:r>
      <w:r w:rsidRPr="005D3AD1">
        <w:rPr>
          <w:rFonts w:ascii="Century Gothic" w:hAnsi="Century Gothic" w:cs="Arial"/>
        </w:rPr>
        <w:t>,</w:t>
      </w:r>
      <w:r w:rsidR="000701D0">
        <w:rPr>
          <w:rFonts w:ascii="Century Gothic" w:hAnsi="Century Gothic" w:cs="Arial"/>
        </w:rPr>
        <w:t xml:space="preserve"> </w:t>
      </w:r>
      <w:r w:rsidR="009103FD">
        <w:rPr>
          <w:rFonts w:ascii="Century Gothic" w:hAnsi="Century Gothic" w:cs="Arial"/>
        </w:rPr>
        <w:t>las y los diputados</w:t>
      </w:r>
      <w:r w:rsidR="00E95C4A" w:rsidRPr="00E95C4A">
        <w:rPr>
          <w:rFonts w:ascii="Century Gothic" w:hAnsi="Century Gothic" w:cs="Arial"/>
        </w:rPr>
        <w:t xml:space="preserve"> Adriana Terrazas Porras,</w:t>
      </w:r>
      <w:r w:rsidR="00352938">
        <w:rPr>
          <w:rFonts w:ascii="Century Gothic" w:hAnsi="Century Gothic" w:cs="Arial"/>
        </w:rPr>
        <w:t xml:space="preserve"> Benjamín Carrera Chávez</w:t>
      </w:r>
      <w:r w:rsidR="00E95C4A" w:rsidRPr="00E95C4A">
        <w:rPr>
          <w:rFonts w:ascii="Century Gothic" w:hAnsi="Century Gothic" w:cs="Arial"/>
        </w:rPr>
        <w:t>,</w:t>
      </w:r>
      <w:r w:rsidR="00352938">
        <w:rPr>
          <w:rFonts w:ascii="Century Gothic" w:hAnsi="Century Gothic" w:cs="Arial"/>
        </w:rPr>
        <w:t xml:space="preserve"> David Óscar Castrejón Rivas</w:t>
      </w:r>
      <w:r w:rsidR="00E95C4A" w:rsidRPr="00E95C4A">
        <w:rPr>
          <w:rFonts w:ascii="Century Gothic" w:hAnsi="Century Gothic" w:cs="Arial"/>
        </w:rPr>
        <w:t xml:space="preserve">, </w:t>
      </w:r>
      <w:r w:rsidR="00352938">
        <w:rPr>
          <w:rFonts w:ascii="Century Gothic" w:hAnsi="Century Gothic" w:cs="Arial"/>
        </w:rPr>
        <w:t>Edin Cuauhtémoc Estrada Sotelo</w:t>
      </w:r>
      <w:r w:rsidR="00E95C4A" w:rsidRPr="00E95C4A">
        <w:rPr>
          <w:rFonts w:ascii="Century Gothic" w:hAnsi="Century Gothic" w:cs="Arial"/>
        </w:rPr>
        <w:t xml:space="preserve">, Gustavo De la Rosa Hickerson, Leticia Ortega Máynez, Magdalena Rentería Pérez, María Antonieta Pérez Reyes, Óscar Daniel Avitia Arellanes, Rosana Díaz Reyes </w:t>
      </w:r>
      <w:r w:rsidR="00927BEC">
        <w:rPr>
          <w:rFonts w:ascii="Century Gothic" w:hAnsi="Century Gothic" w:cs="Arial"/>
        </w:rPr>
        <w:t>integrante</w:t>
      </w:r>
      <w:r w:rsidR="009103FD">
        <w:rPr>
          <w:rFonts w:ascii="Century Gothic" w:hAnsi="Century Gothic" w:cs="Arial"/>
        </w:rPr>
        <w:t>s</w:t>
      </w:r>
      <w:r w:rsidR="00927BEC">
        <w:rPr>
          <w:rFonts w:ascii="Century Gothic" w:hAnsi="Century Gothic" w:cs="Arial"/>
        </w:rPr>
        <w:t xml:space="preserve"> del </w:t>
      </w:r>
      <w:r w:rsidR="00D65F10">
        <w:rPr>
          <w:rFonts w:ascii="Century Gothic" w:hAnsi="Century Gothic" w:cs="Arial"/>
        </w:rPr>
        <w:t>Grupo Parlamentario del Part</w:t>
      </w:r>
      <w:r w:rsidR="009103FD">
        <w:rPr>
          <w:rFonts w:ascii="Century Gothic" w:hAnsi="Century Gothic" w:cs="Arial"/>
        </w:rPr>
        <w:t xml:space="preserve">ido </w:t>
      </w:r>
      <w:r w:rsidR="00267DA3">
        <w:rPr>
          <w:rFonts w:ascii="Century Gothic" w:hAnsi="Century Gothic" w:cs="Arial"/>
        </w:rPr>
        <w:t>MORENA</w:t>
      </w:r>
      <w:r w:rsidR="009103FD">
        <w:rPr>
          <w:rFonts w:ascii="Century Gothic" w:hAnsi="Century Gothic" w:cs="Arial"/>
        </w:rPr>
        <w:t>, presentaron</w:t>
      </w:r>
      <w:r w:rsidR="00927BEC">
        <w:rPr>
          <w:rFonts w:ascii="Century Gothic" w:hAnsi="Century Gothic" w:cs="Arial"/>
        </w:rPr>
        <w:t xml:space="preserve"> </w:t>
      </w:r>
      <w:r w:rsidR="00D65F10">
        <w:rPr>
          <w:rFonts w:ascii="Century Gothic" w:hAnsi="Century Gothic" w:cs="Arial"/>
        </w:rPr>
        <w:t xml:space="preserve">iniciativa con carácter de </w:t>
      </w:r>
      <w:r w:rsidR="00D65F10" w:rsidRPr="00D65F10">
        <w:rPr>
          <w:rFonts w:ascii="Century Gothic" w:hAnsi="Century Gothic" w:cs="Arial"/>
        </w:rPr>
        <w:t xml:space="preserve">decreto, </w:t>
      </w:r>
      <w:r w:rsidR="009103FD" w:rsidRPr="009103FD">
        <w:rPr>
          <w:rFonts w:ascii="Century Gothic" w:hAnsi="Century Gothic" w:cs="Arial"/>
        </w:rPr>
        <w:t>a efecto de</w:t>
      </w:r>
      <w:r w:rsidR="00267DA3" w:rsidRPr="00267DA3">
        <w:rPr>
          <w:rFonts w:ascii="Arial" w:hAnsi="Arial" w:cs="Arial"/>
          <w:color w:val="4A4A4A"/>
          <w:sz w:val="23"/>
          <w:szCs w:val="23"/>
          <w:shd w:val="clear" w:color="auto" w:fill="FAF8F6"/>
        </w:rPr>
        <w:t xml:space="preserve"> </w:t>
      </w:r>
      <w:r w:rsidR="00267DA3" w:rsidRPr="00267DA3">
        <w:rPr>
          <w:rFonts w:ascii="Century Gothic" w:hAnsi="Century Gothic" w:cs="Arial"/>
        </w:rPr>
        <w:t>reformar el artículo 180 Bis y adicionar una fracción XI, al artículo 204 Bis del Código Penal del Estado de Chihuahua, a fin de agravar la pena del delito conocido como “Sexting”, cuando existe una relación afectiva o de subordinación, se use el contenido con fines de lucro, así también, para penalizar el uso de contenido íntimo como medio para la comisión del delito de extorsión.</w:t>
      </w:r>
    </w:p>
    <w:p w14:paraId="01CE2BE6" w14:textId="2887B1B2" w:rsidR="009103FD" w:rsidRDefault="00267DA3" w:rsidP="00267DA3">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rPr>
        <w:t xml:space="preserve"> </w:t>
      </w:r>
    </w:p>
    <w:p w14:paraId="6692C258" w14:textId="2D2FA06C"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lastRenderedPageBreak/>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267DA3">
        <w:rPr>
          <w:rFonts w:ascii="Century Gothic" w:hAnsi="Century Gothic" w:cs="Arial"/>
        </w:rPr>
        <w:t>06</w:t>
      </w:r>
      <w:r w:rsidR="001C7F07">
        <w:rPr>
          <w:rFonts w:ascii="Century Gothic" w:hAnsi="Century Gothic" w:cs="Arial"/>
        </w:rPr>
        <w:t xml:space="preserve"> de </w:t>
      </w:r>
      <w:r w:rsidR="00267DA3">
        <w:rPr>
          <w:rFonts w:ascii="Century Gothic" w:hAnsi="Century Gothic" w:cs="Arial"/>
        </w:rPr>
        <w:t>junio de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3C840048"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5625B4">
        <w:rPr>
          <w:rFonts w:ascii="Century Gothic" w:hAnsi="Century Gothic" w:cs="Arial"/>
          <w:bCs/>
        </w:rPr>
        <w:t>1068</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1474D100" w14:textId="77777777" w:rsidR="005625B4" w:rsidRDefault="00FA7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5625B4" w:rsidRPr="005625B4">
        <w:rPr>
          <w:rFonts w:ascii="Century Gothic" w:eastAsia="Arial" w:hAnsi="Century Gothic"/>
          <w:i/>
          <w:sz w:val="22"/>
          <w:szCs w:val="22"/>
          <w:lang w:val="es-MX"/>
        </w:rPr>
        <w:t>La palabra sexting, es el resultado de la contracción de los términos “sex” (sexo) y “texting” (texto, mensaje) es una práctica consistente en el envío de imágenes o videos de contenido íntimo, normalmente de carácter erótico o pornográfico.</w:t>
      </w:r>
    </w:p>
    <w:p w14:paraId="3DAB6AAF"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6082A74B"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 xml:space="preserve">La conducta consiste en que una persona se graba o se toma fotos de manera intima o se deja grabar o fotografiar, y luego la otra parte difunde ese material sin su consentimiento, normalmente por redes sociales, páginas de difusión masiva y grupos de WhatsApp. </w:t>
      </w:r>
    </w:p>
    <w:p w14:paraId="0F58CE3A"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Es por eso, que del mismo modo que se producen avances sociales o tecnológicos, la violencia contra grupos vulnerables también aparece, en ocasiones, reconvertida y adaptada a una sociedad en constante evolución. Esto dificulta la identificación de la violencia machista debido, entre otras cosas, al velo de modernidad que la envuelve.</w:t>
      </w:r>
    </w:p>
    <w:p w14:paraId="5CEC42B6"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6EC8306F"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lastRenderedPageBreak/>
        <w:t>La difusión de imágenes o vídeos con contenido erótico y </w:t>
      </w:r>
      <w:r w:rsidRPr="005625B4">
        <w:rPr>
          <w:rFonts w:ascii="Century Gothic" w:eastAsia="Arial" w:hAnsi="Century Gothic"/>
          <w:b/>
          <w:bCs/>
          <w:i/>
          <w:sz w:val="22"/>
          <w:szCs w:val="22"/>
          <w:lang w:val="es-MX"/>
        </w:rPr>
        <w:t>sin el consentimiento</w:t>
      </w:r>
      <w:r w:rsidRPr="005625B4">
        <w:rPr>
          <w:rFonts w:ascii="Century Gothic" w:eastAsia="Arial" w:hAnsi="Century Gothic"/>
          <w:i/>
          <w:sz w:val="22"/>
          <w:szCs w:val="22"/>
          <w:lang w:val="es-MX"/>
        </w:rPr>
        <w:t> de la persona que los protagoniza se comprende como una </w:t>
      </w:r>
      <w:r w:rsidRPr="005625B4">
        <w:rPr>
          <w:rFonts w:ascii="Century Gothic" w:eastAsia="Arial" w:hAnsi="Century Gothic"/>
          <w:b/>
          <w:bCs/>
          <w:i/>
          <w:sz w:val="22"/>
          <w:szCs w:val="22"/>
          <w:lang w:val="es-MX"/>
        </w:rPr>
        <w:t xml:space="preserve"> forma de violencia machista</w:t>
      </w:r>
      <w:r w:rsidRPr="005625B4">
        <w:rPr>
          <w:rFonts w:ascii="Century Gothic" w:eastAsia="Arial" w:hAnsi="Century Gothic"/>
          <w:i/>
          <w:sz w:val="22"/>
          <w:szCs w:val="22"/>
          <w:lang w:val="es-MX"/>
        </w:rPr>
        <w:t>.</w:t>
      </w:r>
    </w:p>
    <w:p w14:paraId="10F6F6E2"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6D69E695"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Esta práctica de violencia puede derivar en daños irreparables para los involucrados, ya que al enviar una imagen, ésta puede compartirse muy fácilmente y hacerse viral en las redes sociales.</w:t>
      </w:r>
    </w:p>
    <w:p w14:paraId="12BFE1F6" w14:textId="77777777" w:rsid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Además  pone a las y los afectados en riesgo de sufrir extorsiones, acoso, humillación, descalificaciones y, en general, causar daños irreparables a su imagen.</w:t>
      </w:r>
    </w:p>
    <w:p w14:paraId="15807EA3"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664C4958" w14:textId="77777777" w:rsid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En México como cualquier otro país, los niños, niñas, adolescentes y mujeres, sin excluir a los hombres, están expuestos a sufrir distintos tipos de violencia debido a diversos factores.</w:t>
      </w:r>
    </w:p>
    <w:p w14:paraId="7D86F67F"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17A6B0E7" w14:textId="77777777" w:rsid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Sin embargo, la ruta aun es larga, la lucha para erradicar la violencia contra niños, niñas, adolescentes y mujeres en cualquiera de sus expresiones, tiene muchos pendientes, y  aún le falta un largo camino por recorrer, a pesar de modificaciones a las leyes, debemos subsanar omisiones legislativas y  también debemos concientizar, informar y educar en el uso responsable, respetuoso, crítico y creativo de la red a todas y todos los usuarios.</w:t>
      </w:r>
    </w:p>
    <w:p w14:paraId="21C82001"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70DD5206" w14:textId="77777777" w:rsid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 xml:space="preserve">Actualmente, 25 de cada de cada 100 jóvenes usuarios de internet ha sido víctima del ciberacoso y el ciberbullying, según lo ha </w:t>
      </w:r>
      <w:r w:rsidRPr="005625B4">
        <w:rPr>
          <w:rFonts w:ascii="Century Gothic" w:eastAsia="Arial" w:hAnsi="Century Gothic"/>
          <w:i/>
          <w:sz w:val="22"/>
          <w:szCs w:val="22"/>
          <w:lang w:val="es-MX"/>
        </w:rPr>
        <w:lastRenderedPageBreak/>
        <w:t xml:space="preserve">afirmado el propio INEGI y las denuncias expuestas a nivel nacional e internacional por ‘The Social Intelligence Unit’. </w:t>
      </w:r>
    </w:p>
    <w:p w14:paraId="552C5BBC"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75A0B4A6"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Por otra parte, el grupo de usuarios de Internet que resulta ser más vulnerable, es el que fluctúa en edades de entre los 12 y los 20 años, destacando que han sido las mujeres, quienes con frecuencia son sistemáticamente más violentadas, ya que el 28% ha vivido ciberacoso en comparación con el 25% de los hombres, lo anterior se traduce en al menos 9 millones 64 mil 365 mujeres que ya han sido víctimas de ciberacoso y otros ilícitos análogos.</w:t>
      </w:r>
    </w:p>
    <w:p w14:paraId="313F49E7"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6402F7A9"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 xml:space="preserve">Buscamos perfeccionar la penalización del delito popularmente conocido como “Sexting”, que se encuadra en el 180 Bis, con la denominación técnica de Delitos Contra la Intimidad Sexual, por ello, que con la presente iniciativa de reforma se pretende aumentar en dos terceras partes la pena, cuando se cometa el delito aprovechándose de una relación consanguínea, laboral, civil o socioafectiva; así también, el mismo aumento de pena cuando se cometa en contra de menores de 16 años aunque otorguen su consentimiento, logrando la protección más amplia de niñas, niños y adolescentes; y por último, tipificar el uso de imágenes, textos, grabaciones de voz o audiovisuales de contenido erótico o sexual para extorsionar a la víctima, lo anterior como agravante en el delito de extorsión, es decir, se busca que cuando se utilice la multimedia con contenido íntimo de una </w:t>
      </w:r>
      <w:r w:rsidRPr="005625B4">
        <w:rPr>
          <w:rFonts w:ascii="Century Gothic" w:eastAsia="Arial" w:hAnsi="Century Gothic"/>
          <w:i/>
          <w:sz w:val="22"/>
          <w:szCs w:val="22"/>
          <w:lang w:val="es-MX"/>
        </w:rPr>
        <w:lastRenderedPageBreak/>
        <w:t xml:space="preserve">persona para extorsionarla, sea penada como extorsión agravada. </w:t>
      </w:r>
    </w:p>
    <w:p w14:paraId="24D21AA2"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2B546D9A"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El aumento de la pena en dos terceras partes cuando intermedie una relación de confianza se basa en las siguientes consideraciones:</w:t>
      </w:r>
    </w:p>
    <w:p w14:paraId="60FD81FD"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7870A6F7"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Cuando hay un bien tutelado jurídicamente a través de un tipo penal, este se activa con una conducta típica o con la tipicidad, y esta debe ser juzgada en consideración de todas las aristas posibles.</w:t>
      </w:r>
    </w:p>
    <w:p w14:paraId="14C24CB1"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7D04D89F"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En ese entendido, y partiendo de una de las aristas de las circunstancias humanas en la comisión de un delito, las relaciones entre las personas que generan esquemas de seguridad y confianza hacen vulnerables al sujeto pasivo, quién considera que el sujeto activo no actuará en su contra, de manera tal, que permanece desprotegido frente al mismo.</w:t>
      </w:r>
    </w:p>
    <w:p w14:paraId="3DF7400D"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516108F7"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 xml:space="preserve">Lo anterior mencionado, se ejemplifica en el homicidio y lesiones, cuando se coloca como requisito para que estos sean delitos calificados, cuando hay ciertas circunstancias que facilitan la comisión del delito. Así sucede cuando hay situaciones como lo es una relación previa entre sujetos que generan en el sujeto pasivo la sensación de confianza en el sujeto activo, provocando un estado de vulnerabilidad de uno frente al otro. Cuando hay una </w:t>
      </w:r>
      <w:r w:rsidRPr="005625B4">
        <w:rPr>
          <w:rFonts w:ascii="Century Gothic" w:eastAsia="Arial" w:hAnsi="Century Gothic"/>
          <w:i/>
          <w:sz w:val="22"/>
          <w:szCs w:val="22"/>
          <w:lang w:val="es-MX"/>
        </w:rPr>
        <w:lastRenderedPageBreak/>
        <w:t xml:space="preserve">ruptura de esta confianza se actualizan ciertas previsiones del tipo penal para que un homicidio simple se convierta en calificado, por la naturaleza de vulnerabilidad que se ha mencionado de la víctima. </w:t>
      </w:r>
    </w:p>
    <w:p w14:paraId="12A1C832"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6389DF2F"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De tal manera, que el uso de esas relaciones como facilitadores pueden ser considerados como formas de alevosía (puesto que dispone al agente activo de una posición que permite sorprender al pasivo, o en su caso, para que éste no se defienda), o de traición (por el quebrantamiento mismo de la confianza), que hacen particularmente más grave el delito, los tribunales federales por ejemplo tienen estándares para la existencia de la traición:</w:t>
      </w:r>
    </w:p>
    <w:p w14:paraId="3B43F0AE"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38751E8D"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 xml:space="preserve">Época: Novena Época Registro: 181411 Instancia: Tribunales Colegiados de Circuito Tipo de Tesis: Aislada Fuente: Semanario Judicial de la Federación y su Gaceta Tomo XIX, Mayo de 2004 Materia(s): Penal Tesis: I.8o.P.16 P Página: 1850 </w:t>
      </w:r>
    </w:p>
    <w:p w14:paraId="0021CAD0"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2B6E3AE5"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TRAICIÓN. PARA PROBAR EL "SENTIMIENTO DE CONFIANZA" DE ESTA CALIFICATIVA, NO BASTA LA EXISTENCIA DE UNA RELACIÓN DE TRABAJO ENTRE ACTIVO Y PASIVO, SINO QUE ÉSTA SEA CONSTANTE Y ESTRECHA QUE DÉ LUGAR A LAZOS DE LEALTAD, FIDELIDAD Y SEGURIDAD ENTRE ELLOS, PREVIA A LA COMISIÓN DEL HECHO DELICTUOSO.</w:t>
      </w:r>
    </w:p>
    <w:p w14:paraId="3ED638E9"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3B522314"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lastRenderedPageBreak/>
        <w:t xml:space="preserve">Para acreditar la calificativa de traición, acorde con lo establecido en el artículo 319 del Código Penal para el Distrito Federal abrogado, se requiere que el sujeto activo </w:t>
      </w:r>
      <w:r w:rsidRPr="005625B4">
        <w:rPr>
          <w:rFonts w:ascii="Century Gothic" w:eastAsia="Arial" w:hAnsi="Century Gothic"/>
          <w:b/>
          <w:i/>
          <w:sz w:val="22"/>
          <w:szCs w:val="22"/>
          <w:lang w:val="es-MX"/>
        </w:rPr>
        <w:t>"no solamente emplee la alevosía sino también la perfidia, violando la fe o seguridad que expresamente había prometido a su víctima, o la tácita que ésta debía prometerse de aquél por sus relaciones de parentesco, gratitud, amistad o cualquiera otra que inspire confianza";</w:t>
      </w:r>
      <w:r w:rsidRPr="005625B4">
        <w:rPr>
          <w:rFonts w:ascii="Century Gothic" w:eastAsia="Arial" w:hAnsi="Century Gothic"/>
          <w:i/>
          <w:sz w:val="22"/>
          <w:szCs w:val="22"/>
          <w:lang w:val="es-MX"/>
        </w:rPr>
        <w:t xml:space="preserve"> por lo cual, para que ese sentimiento de confianza sea probado, no basta la existencia de la relación de trabajo entre activo y pasivo sino, que es necesaria una relación constante y estrecha que dé lugar a lazos de lealtad, fidelidad y seguridad entre una y otra persona. En consecuencia, al no existir estas consideraciones previamente a la comisión del hecho delictuoso, no se acredita la calificativa referida.</w:t>
      </w:r>
    </w:p>
    <w:p w14:paraId="59188756"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1D0CDC9D"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Partiendo de lo dicho, es que se puede afirmar que estas consideraciones particulares en el Código Penal de Chihuahua no son únicas y exclusivas para los delitos de homicidio y lesiones, puesto que es un criterio general para la individualización de penas para todos los tipos penales, de acuerdo al artículo 67 y 68 del mismo.</w:t>
      </w:r>
    </w:p>
    <w:p w14:paraId="11783BDE"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4C9D7C67"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 xml:space="preserve">Cuando hablamos de los delitos contra la intimidad sexual, encontramos que se pueden dar dinámicas de convivencia que facilitan tener acceso al contenido íntimo de una persona, cuando existen relaciones familiares, civiles, sentimentales, laborales e </w:t>
      </w:r>
      <w:r w:rsidRPr="005625B4">
        <w:rPr>
          <w:rFonts w:ascii="Century Gothic" w:eastAsia="Arial" w:hAnsi="Century Gothic"/>
          <w:i/>
          <w:sz w:val="22"/>
          <w:szCs w:val="22"/>
          <w:lang w:val="es-MX"/>
        </w:rPr>
        <w:lastRenderedPageBreak/>
        <w:t>incluso de simple amistad. Conforme a ese orden de ideas, la situación de confianza genera en las víctimas una especial vulnerabilidad conforme ya se expuso, sobre todo en las personas menores de edad, y debe ser previsto en código penal del Estado Chihuahua.</w:t>
      </w:r>
    </w:p>
    <w:p w14:paraId="50BA6391"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198A9DF3"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En tanto a la cuestión de considerar estos contenidos íntimos y su uso para lograr un beneficio como agravante de extorsión, se argumento bajo la consideración de la fracción primera del artículo 204 Bis:</w:t>
      </w:r>
    </w:p>
    <w:p w14:paraId="75DA38CF"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4FC24C9E"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 xml:space="preserve">Artículo 204 Bis. A quien por cualquier conducto, con ánimo de lucro, obligare a otro, con violencia moral o intimidación, a realizar, omitir o tolerara un acto, en su perjuicio o de algún tercero, se le impondrán de cinco a treinta años de prisión y de cien a ochocientos días multa. Se impondrá prisión de treinta a setenta años, cuando en la comisión del delito se dé alguna de las siguientes modalidades: </w:t>
      </w:r>
    </w:p>
    <w:p w14:paraId="6C022722"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29A4261C" w14:textId="77777777" w:rsidR="005625B4" w:rsidRPr="005625B4" w:rsidRDefault="005625B4" w:rsidP="005625B4">
      <w:pPr>
        <w:numPr>
          <w:ilvl w:val="0"/>
          <w:numId w:val="42"/>
        </w:numPr>
        <w:autoSpaceDE w:val="0"/>
        <w:autoSpaceDN w:val="0"/>
        <w:adjustRightInd w:val="0"/>
        <w:spacing w:line="360" w:lineRule="auto"/>
        <w:ind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 xml:space="preserve"> Se logre que la víctima o un tercero, entregue alguna cantidad de dinero o algún bien u objeto para evitar el daño con que se amenaza;</w:t>
      </w:r>
    </w:p>
    <w:p w14:paraId="1956C33C"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308C9E14"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r w:rsidRPr="005625B4">
        <w:rPr>
          <w:rFonts w:ascii="Century Gothic" w:eastAsia="Arial" w:hAnsi="Century Gothic"/>
          <w:i/>
          <w:sz w:val="22"/>
          <w:szCs w:val="22"/>
          <w:lang w:val="es-MX"/>
        </w:rPr>
        <w:t xml:space="preserve">En este sentido, se ha hecho popular en redes sociales y diversas páginas de internet sacar algún lucro o provecho del contenido íntimo de una persona sin su consentimiento, pero además, se </w:t>
      </w:r>
      <w:r w:rsidRPr="005625B4">
        <w:rPr>
          <w:rFonts w:ascii="Century Gothic" w:eastAsia="Arial" w:hAnsi="Century Gothic"/>
          <w:i/>
          <w:sz w:val="22"/>
          <w:szCs w:val="22"/>
          <w:lang w:val="es-MX"/>
        </w:rPr>
        <w:lastRenderedPageBreak/>
        <w:t>utiliza para obligar a la víctima, o a un tercero que busque proteger la intimidad sexual de una persona, a cometer actos en contra de su voluntad, como es la generación de más contenido íntimo u otras conductas especialmente crueles contra la víctima, que es coaccionada por el temor de que se use su privacidad y la estigmatización sexual en su contra. Observando el espíritu de la fracción primera, es notorio que se busca en el Código proteger a la víctima o a los terceros cuando se ven obligados a entregar, hacer o no hacer para evitar un daño.</w:t>
      </w:r>
    </w:p>
    <w:p w14:paraId="1D993178" w14:textId="77777777" w:rsidR="005625B4" w:rsidRPr="005625B4" w:rsidRDefault="005625B4" w:rsidP="005625B4">
      <w:pPr>
        <w:autoSpaceDE w:val="0"/>
        <w:autoSpaceDN w:val="0"/>
        <w:adjustRightInd w:val="0"/>
        <w:spacing w:line="360" w:lineRule="auto"/>
        <w:ind w:left="851" w:right="1466"/>
        <w:jc w:val="both"/>
        <w:rPr>
          <w:rFonts w:ascii="Century Gothic" w:eastAsia="Arial" w:hAnsi="Century Gothic"/>
          <w:i/>
          <w:sz w:val="22"/>
          <w:szCs w:val="22"/>
          <w:lang w:val="es-MX"/>
        </w:rPr>
      </w:pPr>
    </w:p>
    <w:p w14:paraId="19D34935" w14:textId="202C0E46" w:rsidR="005D3EF3" w:rsidRPr="009103FD" w:rsidRDefault="005625B4" w:rsidP="005625B4">
      <w:pPr>
        <w:autoSpaceDE w:val="0"/>
        <w:autoSpaceDN w:val="0"/>
        <w:adjustRightInd w:val="0"/>
        <w:spacing w:line="360" w:lineRule="auto"/>
        <w:ind w:left="851" w:right="1466"/>
        <w:jc w:val="both"/>
        <w:rPr>
          <w:rFonts w:ascii="Century Gothic" w:eastAsia="Arial" w:hAnsi="Century Gothic"/>
          <w:i/>
          <w:sz w:val="22"/>
          <w:szCs w:val="22"/>
        </w:rPr>
      </w:pPr>
      <w:r w:rsidRPr="005625B4">
        <w:rPr>
          <w:rFonts w:ascii="Century Gothic" w:eastAsia="Arial" w:hAnsi="Century Gothic"/>
          <w:i/>
          <w:sz w:val="22"/>
          <w:szCs w:val="22"/>
          <w:lang w:val="es-MX"/>
        </w:rPr>
        <w:t>Los colectivos que han refrendado esta iniciativa expresan una particular inconformidad con los criterios de los juzgadores, que invisibilizan o estigmatizan a la víctima en el delito contra la intimidad sexual, por ello, que dentro del ejercicio de la actividad jurisdiccional han visto como la parte juzgadora no considera el delito de extorsión cuando se usa el contenido íntimo como medio de comisión del delito, por ello que urge hacer visible este</w:t>
      </w:r>
      <w:r>
        <w:rPr>
          <w:rFonts w:ascii="Century Gothic" w:eastAsia="Arial" w:hAnsi="Century Gothic"/>
          <w:i/>
          <w:sz w:val="22"/>
          <w:szCs w:val="22"/>
          <w:lang w:val="es-MX"/>
        </w:rPr>
        <w:t xml:space="preserve"> medio comisivo de la extorsión</w:t>
      </w:r>
      <w:r w:rsidR="009103FD" w:rsidRPr="009103FD">
        <w:rPr>
          <w:rFonts w:ascii="Century Gothic" w:eastAsia="Arial" w:hAnsi="Century Gothic"/>
          <w:i/>
          <w:sz w:val="22"/>
          <w:szCs w:val="22"/>
        </w:rPr>
        <w:t>.</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lastRenderedPageBreak/>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67236595" w14:textId="324DB952" w:rsidR="005625B4" w:rsidRPr="005625B4" w:rsidRDefault="008D70F5" w:rsidP="005625B4">
      <w:pPr>
        <w:spacing w:line="360" w:lineRule="auto"/>
        <w:ind w:right="335"/>
        <w:jc w:val="both"/>
        <w:rPr>
          <w:rFonts w:ascii="Century Gothic" w:hAnsi="Century Gothic" w:cs="Arial"/>
          <w:lang w:val="es-MX"/>
        </w:rPr>
      </w:pPr>
      <w:r>
        <w:rPr>
          <w:rFonts w:ascii="Century Gothic" w:hAnsi="Century Gothic" w:cs="Arial"/>
          <w:b/>
          <w:lang w:val="es-MX"/>
        </w:rPr>
        <w:t xml:space="preserve">II.- </w:t>
      </w:r>
      <w:r w:rsidR="005625B4" w:rsidRPr="005625B4">
        <w:rPr>
          <w:rFonts w:ascii="Century Gothic" w:hAnsi="Century Gothic" w:cs="Arial"/>
          <w:lang w:val="es-MX"/>
        </w:rPr>
        <w:t xml:space="preserve">La iniciativa se centra en el delito contra la intimidad sexual, contemplado en el artículo 180 Bis de nuestro Código Penal, conocido como Sexting; exponiendo </w:t>
      </w:r>
      <w:r w:rsidR="005625B4" w:rsidRPr="00CF5752">
        <w:rPr>
          <w:rFonts w:ascii="Century Gothic" w:hAnsi="Century Gothic" w:cs="Arial"/>
          <w:lang w:val="es-MX"/>
        </w:rPr>
        <w:t>dos áreas de oportunidad legislativa</w:t>
      </w:r>
      <w:r w:rsidR="00CF5752" w:rsidRPr="00CF5752">
        <w:rPr>
          <w:rFonts w:ascii="Century Gothic" w:hAnsi="Century Gothic" w:cs="Arial"/>
          <w:lang w:val="es-MX"/>
        </w:rPr>
        <w:t xml:space="preserve">, la primera, gira en torno a los </w:t>
      </w:r>
      <w:r w:rsidR="00CF5752" w:rsidRPr="00CF5752">
        <w:rPr>
          <w:rFonts w:ascii="Century Gothic" w:hAnsi="Century Gothic" w:cs="Arial"/>
        </w:rPr>
        <w:t xml:space="preserve">Delitos Contra la Libertad </w:t>
      </w:r>
      <w:r w:rsidR="007F7B4E">
        <w:rPr>
          <w:rFonts w:ascii="Century Gothic" w:hAnsi="Century Gothic" w:cs="Arial"/>
        </w:rPr>
        <w:t>y la Seguridad Sexual</w:t>
      </w:r>
      <w:r w:rsidR="00CF5752" w:rsidRPr="00CF5752">
        <w:rPr>
          <w:rFonts w:ascii="Century Gothic" w:hAnsi="Century Gothic" w:cs="Arial"/>
        </w:rPr>
        <w:t xml:space="preserve"> y el Normal Desarrollo Psicosexual, en la vertiente que atenta contra la </w:t>
      </w:r>
      <w:r w:rsidR="00CF5752" w:rsidRPr="00494AA7">
        <w:rPr>
          <w:rFonts w:ascii="Century Gothic" w:hAnsi="Century Gothic" w:cs="Arial"/>
          <w:b/>
        </w:rPr>
        <w:t>Intimidad Sexual</w:t>
      </w:r>
      <w:r w:rsidR="00CF5752" w:rsidRPr="00CF5752">
        <w:rPr>
          <w:rFonts w:ascii="Century Gothic" w:hAnsi="Century Gothic" w:cs="Arial"/>
        </w:rPr>
        <w:t xml:space="preserve">; la segunda, dentro de los Delitos Contra la Paz, la Seguridad de las Personas y la Inviolabilidad del Domicilio, en su modalidad expuesta en la </w:t>
      </w:r>
      <w:r w:rsidR="00CF5752" w:rsidRPr="00494AA7">
        <w:rPr>
          <w:rFonts w:ascii="Century Gothic" w:hAnsi="Century Gothic" w:cs="Arial"/>
          <w:b/>
        </w:rPr>
        <w:t>Extorsión</w:t>
      </w:r>
      <w:r w:rsidR="00CF5752">
        <w:rPr>
          <w:rFonts w:ascii="Century Gothic" w:hAnsi="Century Gothic" w:cs="Arial"/>
        </w:rPr>
        <w:t xml:space="preserve">; lo anterior, </w:t>
      </w:r>
      <w:r w:rsidR="005625B4" w:rsidRPr="005625B4">
        <w:rPr>
          <w:rFonts w:ascii="Century Gothic" w:hAnsi="Century Gothic" w:cs="Arial"/>
          <w:lang w:val="es-MX"/>
        </w:rPr>
        <w:t>a la luz de la siguiente problemática planteada.</w:t>
      </w:r>
    </w:p>
    <w:p w14:paraId="53FCE64F" w14:textId="77777777" w:rsidR="005625B4" w:rsidRPr="005625B4" w:rsidRDefault="005625B4" w:rsidP="005625B4">
      <w:pPr>
        <w:spacing w:line="360" w:lineRule="auto"/>
        <w:ind w:right="335"/>
        <w:jc w:val="both"/>
        <w:rPr>
          <w:rFonts w:ascii="Century Gothic" w:hAnsi="Century Gothic" w:cs="Arial"/>
          <w:lang w:val="es-MX"/>
        </w:rPr>
      </w:pPr>
    </w:p>
    <w:p w14:paraId="281C5518" w14:textId="77777777" w:rsidR="005625B4" w:rsidRPr="005625B4" w:rsidRDefault="005625B4" w:rsidP="005625B4">
      <w:pPr>
        <w:spacing w:line="360" w:lineRule="auto"/>
        <w:ind w:right="335"/>
        <w:jc w:val="both"/>
        <w:rPr>
          <w:rFonts w:ascii="Century Gothic" w:hAnsi="Century Gothic" w:cs="Arial"/>
          <w:lang w:val="es-MX"/>
        </w:rPr>
      </w:pPr>
      <w:r w:rsidRPr="005625B4">
        <w:rPr>
          <w:rFonts w:ascii="Century Gothic" w:hAnsi="Century Gothic" w:cs="Arial"/>
          <w:lang w:val="es-MX"/>
        </w:rPr>
        <w:t>La exposición de motivos refiere que este tipo de violencia expone a las víctimas a sufrir extorsiones, acoso, humillación, descalificaciones y, en general, causar daños irreparables a su imagen.</w:t>
      </w:r>
    </w:p>
    <w:p w14:paraId="61F93EE0" w14:textId="77777777" w:rsidR="005625B4" w:rsidRPr="005625B4" w:rsidRDefault="005625B4" w:rsidP="005625B4">
      <w:pPr>
        <w:spacing w:line="360" w:lineRule="auto"/>
        <w:ind w:right="335"/>
        <w:jc w:val="both"/>
        <w:rPr>
          <w:rFonts w:ascii="Century Gothic" w:hAnsi="Century Gothic" w:cs="Arial"/>
          <w:lang w:val="es-MX"/>
        </w:rPr>
      </w:pPr>
    </w:p>
    <w:p w14:paraId="31EE0A51" w14:textId="69B665A8" w:rsidR="005625B4" w:rsidRPr="00494AA7" w:rsidRDefault="005625B4" w:rsidP="005625B4">
      <w:pPr>
        <w:spacing w:line="360" w:lineRule="auto"/>
        <w:ind w:right="335"/>
        <w:jc w:val="both"/>
        <w:rPr>
          <w:rFonts w:ascii="Century Gothic" w:hAnsi="Century Gothic" w:cs="Arial"/>
          <w:i/>
          <w:lang w:val="es-MX"/>
        </w:rPr>
      </w:pPr>
      <w:r w:rsidRPr="005625B4">
        <w:rPr>
          <w:rFonts w:ascii="Century Gothic" w:hAnsi="Century Gothic" w:cs="Arial"/>
          <w:lang w:val="es-MX"/>
        </w:rPr>
        <w:t xml:space="preserve">Continua refiriendo la iniciativa que </w:t>
      </w:r>
      <w:r w:rsidRPr="005625B4">
        <w:rPr>
          <w:rFonts w:ascii="Century Gothic" w:hAnsi="Century Gothic" w:cs="Arial"/>
          <w:i/>
          <w:lang w:val="es-MX"/>
        </w:rPr>
        <w:t xml:space="preserve">actualmente, 25 de cada de cada 100 jóvenes usuarios de internet ha sido víctima del ciberacoso y el ciberbullying, según lo ha afirmado el propio INEGI. </w:t>
      </w:r>
      <w:r>
        <w:rPr>
          <w:rFonts w:ascii="Century Gothic" w:hAnsi="Century Gothic" w:cs="Arial"/>
          <w:lang w:val="es-MX"/>
        </w:rPr>
        <w:t>d</w:t>
      </w:r>
      <w:r w:rsidRPr="005625B4">
        <w:rPr>
          <w:rFonts w:ascii="Century Gothic" w:hAnsi="Century Gothic" w:cs="Arial"/>
          <w:lang w:val="es-MX"/>
        </w:rPr>
        <w:t xml:space="preserve">estacando que </w:t>
      </w:r>
      <w:r w:rsidRPr="00494AA7">
        <w:rPr>
          <w:rFonts w:ascii="Century Gothic" w:hAnsi="Century Gothic" w:cs="Arial"/>
          <w:i/>
          <w:lang w:val="es-MX"/>
        </w:rPr>
        <w:t>el grupo de usuarios de Internet que resulta ser más vulnerable, es el que fluctúa en edades de entre los 12 y los 20 años.</w:t>
      </w:r>
    </w:p>
    <w:p w14:paraId="140E9155" w14:textId="77777777" w:rsidR="005625B4" w:rsidRPr="005625B4" w:rsidRDefault="005625B4" w:rsidP="005625B4">
      <w:pPr>
        <w:spacing w:line="360" w:lineRule="auto"/>
        <w:ind w:right="335"/>
        <w:jc w:val="both"/>
        <w:rPr>
          <w:rFonts w:ascii="Century Gothic" w:hAnsi="Century Gothic" w:cs="Arial"/>
          <w:b/>
          <w:i/>
          <w:lang w:val="es-MX"/>
        </w:rPr>
      </w:pPr>
    </w:p>
    <w:p w14:paraId="0DEA1D6F" w14:textId="135C7041" w:rsidR="005625B4" w:rsidRPr="005625B4" w:rsidRDefault="005625B4" w:rsidP="005625B4">
      <w:pPr>
        <w:spacing w:line="360" w:lineRule="auto"/>
        <w:ind w:right="335"/>
        <w:jc w:val="both"/>
        <w:rPr>
          <w:rFonts w:ascii="Century Gothic" w:hAnsi="Century Gothic" w:cs="Arial"/>
          <w:lang w:val="es-MX"/>
        </w:rPr>
      </w:pPr>
      <w:r w:rsidRPr="005625B4">
        <w:rPr>
          <w:rFonts w:ascii="Century Gothic" w:hAnsi="Century Gothic" w:cs="Arial"/>
          <w:lang w:val="es-MX"/>
        </w:rPr>
        <w:t>1. En lo particular, relacionado con el caso Chihuahua, refieren las y los legisladores expositores</w:t>
      </w:r>
      <w:r>
        <w:rPr>
          <w:rFonts w:ascii="Century Gothic" w:hAnsi="Century Gothic" w:cs="Arial"/>
          <w:lang w:val="es-MX"/>
        </w:rPr>
        <w:t>,</w:t>
      </w:r>
      <w:r w:rsidRPr="005625B4">
        <w:rPr>
          <w:rFonts w:ascii="Century Gothic" w:hAnsi="Century Gothic" w:cs="Arial"/>
          <w:lang w:val="es-MX"/>
        </w:rPr>
        <w:t xml:space="preserve"> que la dinámica de las interacciones humanas hace </w:t>
      </w:r>
      <w:r w:rsidRPr="005625B4">
        <w:rPr>
          <w:rFonts w:ascii="Century Gothic" w:hAnsi="Century Gothic" w:cs="Arial"/>
          <w:lang w:val="es-MX"/>
        </w:rPr>
        <w:lastRenderedPageBreak/>
        <w:t>que en ciertas ocasiones existan relaciones de seguridad y confianza entre ambas partes</w:t>
      </w:r>
      <w:r w:rsidR="00BC1E84">
        <w:rPr>
          <w:rFonts w:ascii="Century Gothic" w:hAnsi="Century Gothic" w:cs="Arial"/>
          <w:lang w:val="es-MX"/>
        </w:rPr>
        <w:t xml:space="preserve">, </w:t>
      </w:r>
      <w:r w:rsidRPr="005625B4">
        <w:rPr>
          <w:rFonts w:ascii="Century Gothic" w:hAnsi="Century Gothic" w:cs="Arial"/>
          <w:lang w:val="es-MX"/>
        </w:rPr>
        <w:t>lo que ocasiona, cuando una de estas comete un delito en contra de la otra</w:t>
      </w:r>
      <w:r w:rsidR="00BC1E84">
        <w:rPr>
          <w:rFonts w:ascii="Century Gothic" w:hAnsi="Century Gothic" w:cs="Arial"/>
          <w:lang w:val="es-MX"/>
        </w:rPr>
        <w:t>,</w:t>
      </w:r>
      <w:r w:rsidRPr="005625B4">
        <w:rPr>
          <w:rFonts w:ascii="Century Gothic" w:hAnsi="Century Gothic" w:cs="Arial"/>
          <w:lang w:val="es-MX"/>
        </w:rPr>
        <w:t xml:space="preserve"> </w:t>
      </w:r>
      <w:r w:rsidR="00BC1E84">
        <w:rPr>
          <w:rFonts w:ascii="Century Gothic" w:hAnsi="Century Gothic" w:cs="Arial"/>
          <w:lang w:val="es-MX"/>
        </w:rPr>
        <w:t xml:space="preserve">a la </w:t>
      </w:r>
      <w:r w:rsidRPr="005625B4">
        <w:rPr>
          <w:rFonts w:ascii="Century Gothic" w:hAnsi="Century Gothic" w:cs="Arial"/>
          <w:lang w:val="es-MX"/>
        </w:rPr>
        <w:t>que</w:t>
      </w:r>
      <w:r w:rsidR="00BC1E84">
        <w:rPr>
          <w:rFonts w:ascii="Century Gothic" w:hAnsi="Century Gothic" w:cs="Arial"/>
          <w:lang w:val="es-MX"/>
        </w:rPr>
        <w:t xml:space="preserve"> se</w:t>
      </w:r>
      <w:r w:rsidRPr="005625B4">
        <w:rPr>
          <w:rFonts w:ascii="Century Gothic" w:hAnsi="Century Gothic" w:cs="Arial"/>
          <w:lang w:val="es-MX"/>
        </w:rPr>
        <w:t xml:space="preserve"> le tenía confianza, que la conducta se agrave, porque la víctima se encuentra en una situación de vulnerabilidad respecto al victimario ya que confía en que no traicionará esta relación. </w:t>
      </w:r>
    </w:p>
    <w:p w14:paraId="6977DD99" w14:textId="77777777" w:rsidR="005625B4" w:rsidRPr="005625B4" w:rsidRDefault="005625B4" w:rsidP="005625B4">
      <w:pPr>
        <w:spacing w:line="360" w:lineRule="auto"/>
        <w:ind w:right="335"/>
        <w:jc w:val="both"/>
        <w:rPr>
          <w:rFonts w:ascii="Century Gothic" w:hAnsi="Century Gothic" w:cs="Arial"/>
          <w:lang w:val="es-MX"/>
        </w:rPr>
      </w:pPr>
    </w:p>
    <w:p w14:paraId="367D3237" w14:textId="77777777" w:rsidR="005625B4" w:rsidRPr="005625B4" w:rsidRDefault="005625B4" w:rsidP="005625B4">
      <w:pPr>
        <w:spacing w:line="360" w:lineRule="auto"/>
        <w:ind w:right="335"/>
        <w:jc w:val="both"/>
        <w:rPr>
          <w:rFonts w:ascii="Century Gothic" w:hAnsi="Century Gothic" w:cs="Arial"/>
          <w:lang w:val="es-MX"/>
        </w:rPr>
      </w:pPr>
      <w:r w:rsidRPr="005625B4">
        <w:rPr>
          <w:rFonts w:ascii="Century Gothic" w:hAnsi="Century Gothic" w:cs="Arial"/>
          <w:lang w:val="es-MX"/>
        </w:rPr>
        <w:t>Ejemplificando lo que acontece en las lesiones y homicidios calificados bajo la modalidad de traición, esto es, “</w:t>
      </w:r>
      <w:r w:rsidRPr="005625B4">
        <w:rPr>
          <w:rFonts w:ascii="Century Gothic" w:hAnsi="Century Gothic" w:cs="Arial"/>
          <w:i/>
          <w:lang w:val="es-MX"/>
        </w:rPr>
        <w:t>cuando el agente realiza el hecho quebrantando la confianza o seguridad que expresamente le había prometido a la víctima…</w:t>
      </w:r>
      <w:r w:rsidRPr="005625B4">
        <w:rPr>
          <w:rFonts w:ascii="Century Gothic" w:hAnsi="Century Gothic" w:cs="Arial"/>
          <w:lang w:val="es-MX"/>
        </w:rPr>
        <w:t xml:space="preserve">” </w:t>
      </w:r>
    </w:p>
    <w:p w14:paraId="7BFC3694" w14:textId="77777777" w:rsidR="005625B4" w:rsidRPr="005625B4" w:rsidRDefault="005625B4" w:rsidP="005625B4">
      <w:pPr>
        <w:spacing w:line="360" w:lineRule="auto"/>
        <w:ind w:right="335"/>
        <w:jc w:val="both"/>
        <w:rPr>
          <w:rFonts w:ascii="Century Gothic" w:hAnsi="Century Gothic" w:cs="Arial"/>
          <w:lang w:val="es-MX"/>
        </w:rPr>
      </w:pPr>
    </w:p>
    <w:p w14:paraId="15C6BA5D" w14:textId="163388BE" w:rsidR="005625B4" w:rsidRPr="005625B4" w:rsidRDefault="005625B4" w:rsidP="005625B4">
      <w:pPr>
        <w:spacing w:line="360" w:lineRule="auto"/>
        <w:ind w:right="335"/>
        <w:jc w:val="both"/>
        <w:rPr>
          <w:rFonts w:ascii="Century Gothic" w:hAnsi="Century Gothic" w:cs="Arial"/>
          <w:lang w:val="es-MX"/>
        </w:rPr>
      </w:pPr>
      <w:r w:rsidRPr="005625B4">
        <w:rPr>
          <w:rFonts w:ascii="Century Gothic" w:hAnsi="Century Gothic" w:cs="Arial"/>
          <w:lang w:val="es-MX"/>
        </w:rPr>
        <w:t xml:space="preserve">2. De igual forma expone que debemos otorgar la protección más amplia </w:t>
      </w:r>
      <w:r w:rsidR="007F7B4E">
        <w:rPr>
          <w:rFonts w:ascii="Century Gothic" w:hAnsi="Century Gothic" w:cs="Arial"/>
          <w:lang w:val="es-MX"/>
        </w:rPr>
        <w:t>a</w:t>
      </w:r>
      <w:r w:rsidRPr="005625B4">
        <w:rPr>
          <w:rFonts w:ascii="Century Gothic" w:hAnsi="Century Gothic" w:cs="Arial"/>
          <w:lang w:val="es-MX"/>
        </w:rPr>
        <w:t xml:space="preserve"> niñas, niños y adolescentes ante la comisión de este delito. </w:t>
      </w:r>
    </w:p>
    <w:p w14:paraId="03E83929" w14:textId="77777777" w:rsidR="005625B4" w:rsidRPr="005625B4" w:rsidRDefault="005625B4" w:rsidP="005625B4">
      <w:pPr>
        <w:spacing w:line="360" w:lineRule="auto"/>
        <w:ind w:right="335"/>
        <w:jc w:val="both"/>
        <w:rPr>
          <w:rFonts w:ascii="Century Gothic" w:hAnsi="Century Gothic" w:cs="Arial"/>
          <w:lang w:val="es-MX"/>
        </w:rPr>
      </w:pPr>
    </w:p>
    <w:p w14:paraId="7EE59649" w14:textId="1143F561" w:rsidR="005625B4" w:rsidRPr="005625B4" w:rsidRDefault="005625B4" w:rsidP="005625B4">
      <w:pPr>
        <w:spacing w:line="360" w:lineRule="auto"/>
        <w:ind w:right="335"/>
        <w:jc w:val="both"/>
        <w:rPr>
          <w:rFonts w:ascii="Century Gothic" w:hAnsi="Century Gothic" w:cs="Arial"/>
          <w:lang w:val="es-MX"/>
        </w:rPr>
      </w:pPr>
      <w:r w:rsidRPr="005625B4">
        <w:rPr>
          <w:rFonts w:ascii="Century Gothic" w:hAnsi="Century Gothic" w:cs="Arial"/>
          <w:lang w:val="es-MX"/>
        </w:rPr>
        <w:t xml:space="preserve">3. </w:t>
      </w:r>
      <w:r w:rsidR="00BC1E84">
        <w:rPr>
          <w:rFonts w:ascii="Century Gothic" w:hAnsi="Century Gothic" w:cs="Arial"/>
          <w:lang w:val="es-MX"/>
        </w:rPr>
        <w:t>Ya por último, la iniciativa refiere que s</w:t>
      </w:r>
      <w:r w:rsidRPr="005625B4">
        <w:rPr>
          <w:rFonts w:ascii="Century Gothic" w:hAnsi="Century Gothic" w:cs="Arial"/>
          <w:lang w:val="es-MX"/>
        </w:rPr>
        <w:t>e ha hecho popular en redes sociales y diversas páginas de internet</w:t>
      </w:r>
      <w:r w:rsidR="00BC1E84">
        <w:rPr>
          <w:rFonts w:ascii="Century Gothic" w:hAnsi="Century Gothic" w:cs="Arial"/>
          <w:lang w:val="es-MX"/>
        </w:rPr>
        <w:t>,</w:t>
      </w:r>
      <w:r w:rsidRPr="005625B4">
        <w:rPr>
          <w:rFonts w:ascii="Century Gothic" w:hAnsi="Century Gothic" w:cs="Arial"/>
          <w:lang w:val="es-MX"/>
        </w:rPr>
        <w:t xml:space="preserve"> sacar algún lucro o provecho del contenido íntimo de una persona sin su consentimiento, y que además, </w:t>
      </w:r>
      <w:r w:rsidR="007F7B4E" w:rsidRPr="005625B4">
        <w:rPr>
          <w:rFonts w:ascii="Century Gothic" w:hAnsi="Century Gothic" w:cs="Arial"/>
          <w:lang w:val="es-MX"/>
        </w:rPr>
        <w:t>coaccionada por el temor de que se use su privacidad y la estigmatización sexual en su contra</w:t>
      </w:r>
      <w:r w:rsidR="007F7B4E">
        <w:rPr>
          <w:rFonts w:ascii="Century Gothic" w:hAnsi="Century Gothic" w:cs="Arial"/>
          <w:lang w:val="es-MX"/>
        </w:rPr>
        <w:t>,</w:t>
      </w:r>
      <w:r w:rsidR="007F7B4E" w:rsidRPr="005625B4">
        <w:rPr>
          <w:rFonts w:ascii="Century Gothic" w:hAnsi="Century Gothic" w:cs="Arial"/>
          <w:lang w:val="es-MX"/>
        </w:rPr>
        <w:t xml:space="preserve"> </w:t>
      </w:r>
      <w:r w:rsidR="007F7B4E">
        <w:rPr>
          <w:rFonts w:ascii="Century Gothic" w:hAnsi="Century Gothic" w:cs="Arial"/>
          <w:lang w:val="es-MX"/>
        </w:rPr>
        <w:t xml:space="preserve">ese material </w:t>
      </w:r>
      <w:r w:rsidRPr="005625B4">
        <w:rPr>
          <w:rFonts w:ascii="Century Gothic" w:hAnsi="Century Gothic" w:cs="Arial"/>
          <w:lang w:val="es-MX"/>
        </w:rPr>
        <w:t>se utiliza para obligar a la ví</w:t>
      </w:r>
      <w:r w:rsidR="00BC1E84">
        <w:rPr>
          <w:rFonts w:ascii="Century Gothic" w:hAnsi="Century Gothic" w:cs="Arial"/>
          <w:lang w:val="es-MX"/>
        </w:rPr>
        <w:t>ctima</w:t>
      </w:r>
      <w:r w:rsidRPr="005625B4">
        <w:rPr>
          <w:rFonts w:ascii="Century Gothic" w:hAnsi="Century Gothic" w:cs="Arial"/>
          <w:lang w:val="es-MX"/>
        </w:rPr>
        <w:t xml:space="preserve"> a cometer actos en contra de su voluntad, como la generación de más contenido íntimo u otras conductas</w:t>
      </w:r>
      <w:r w:rsidR="007F7B4E">
        <w:rPr>
          <w:rFonts w:ascii="Century Gothic" w:hAnsi="Century Gothic" w:cs="Arial"/>
          <w:lang w:val="es-MX"/>
        </w:rPr>
        <w:t xml:space="preserve"> crueles.</w:t>
      </w:r>
      <w:r w:rsidRPr="005625B4">
        <w:rPr>
          <w:rFonts w:ascii="Century Gothic" w:hAnsi="Century Gothic" w:cs="Arial"/>
          <w:lang w:val="es-MX"/>
        </w:rPr>
        <w:t xml:space="preserve"> </w:t>
      </w:r>
    </w:p>
    <w:p w14:paraId="48C357CB" w14:textId="77777777" w:rsidR="005625B4" w:rsidRPr="005625B4" w:rsidRDefault="005625B4" w:rsidP="005625B4">
      <w:pPr>
        <w:spacing w:line="360" w:lineRule="auto"/>
        <w:ind w:right="335"/>
        <w:jc w:val="both"/>
        <w:rPr>
          <w:rFonts w:ascii="Century Gothic" w:hAnsi="Century Gothic" w:cs="Arial"/>
          <w:lang w:val="es-MX"/>
        </w:rPr>
      </w:pPr>
    </w:p>
    <w:p w14:paraId="090BE888" w14:textId="3F2B6CCC" w:rsidR="005625B4" w:rsidRPr="005625B4" w:rsidRDefault="005625B4" w:rsidP="005625B4">
      <w:pPr>
        <w:spacing w:line="360" w:lineRule="auto"/>
        <w:ind w:right="335"/>
        <w:jc w:val="both"/>
        <w:rPr>
          <w:rFonts w:ascii="Century Gothic" w:hAnsi="Century Gothic" w:cs="Arial"/>
          <w:lang w:val="es-MX"/>
        </w:rPr>
      </w:pPr>
      <w:r w:rsidRPr="005625B4">
        <w:rPr>
          <w:rFonts w:ascii="Century Gothic" w:hAnsi="Century Gothic" w:cs="Arial"/>
          <w:lang w:val="es-MX"/>
        </w:rPr>
        <w:t xml:space="preserve">Entendemos que el principal problema </w:t>
      </w:r>
      <w:r w:rsidR="00BC1E84">
        <w:rPr>
          <w:rFonts w:ascii="Century Gothic" w:hAnsi="Century Gothic" w:cs="Arial"/>
          <w:lang w:val="es-MX"/>
        </w:rPr>
        <w:t>planteado en</w:t>
      </w:r>
      <w:r w:rsidRPr="005625B4">
        <w:rPr>
          <w:rFonts w:ascii="Century Gothic" w:hAnsi="Century Gothic" w:cs="Arial"/>
          <w:lang w:val="es-MX"/>
        </w:rPr>
        <w:t xml:space="preserve"> la iniciativa</w:t>
      </w:r>
      <w:r w:rsidR="00BC1E84">
        <w:rPr>
          <w:rFonts w:ascii="Century Gothic" w:hAnsi="Century Gothic" w:cs="Arial"/>
          <w:lang w:val="es-MX"/>
        </w:rPr>
        <w:t xml:space="preserve"> en relación con lo expresado en el párrafo anterior,</w:t>
      </w:r>
      <w:r w:rsidRPr="005625B4">
        <w:rPr>
          <w:rFonts w:ascii="Century Gothic" w:hAnsi="Century Gothic" w:cs="Arial"/>
          <w:lang w:val="es-MX"/>
        </w:rPr>
        <w:t xml:space="preserve"> es que dentro del ejercicio de la </w:t>
      </w:r>
      <w:r w:rsidRPr="005625B4">
        <w:rPr>
          <w:rFonts w:ascii="Century Gothic" w:hAnsi="Century Gothic" w:cs="Arial"/>
          <w:lang w:val="es-MX"/>
        </w:rPr>
        <w:lastRenderedPageBreak/>
        <w:t>actividad jurisdiccional, los colectivos</w:t>
      </w:r>
      <w:r w:rsidR="00BC1E84">
        <w:rPr>
          <w:rFonts w:ascii="Century Gothic" w:hAnsi="Century Gothic" w:cs="Arial"/>
          <w:lang w:val="es-MX"/>
        </w:rPr>
        <w:t xml:space="preserve"> de víctimas</w:t>
      </w:r>
      <w:r w:rsidRPr="005625B4">
        <w:rPr>
          <w:rFonts w:ascii="Century Gothic" w:hAnsi="Century Gothic" w:cs="Arial"/>
          <w:lang w:val="es-MX"/>
        </w:rPr>
        <w:t xml:space="preserve"> han visto como la parte juzgadora no considera como extorsión cuando se usa el contenido íntimo como medio de comisión del delito, por ello </w:t>
      </w:r>
      <w:r w:rsidR="00BC1E84">
        <w:rPr>
          <w:rFonts w:ascii="Century Gothic" w:hAnsi="Century Gothic" w:cs="Arial"/>
          <w:lang w:val="es-MX"/>
        </w:rPr>
        <w:t>expone la urgencia de</w:t>
      </w:r>
      <w:r w:rsidRPr="005625B4">
        <w:rPr>
          <w:rFonts w:ascii="Century Gothic" w:hAnsi="Century Gothic" w:cs="Arial"/>
          <w:lang w:val="es-MX"/>
        </w:rPr>
        <w:t xml:space="preserve"> hacer visible este medio comisivo de la extorsión.  </w:t>
      </w:r>
    </w:p>
    <w:p w14:paraId="576BA603" w14:textId="45144109" w:rsidR="0083549E" w:rsidRPr="005625B4" w:rsidRDefault="0083549E" w:rsidP="005625B4">
      <w:pPr>
        <w:spacing w:line="360" w:lineRule="auto"/>
        <w:ind w:right="335"/>
        <w:jc w:val="both"/>
        <w:rPr>
          <w:rFonts w:ascii="Century Gothic" w:hAnsi="Century Gothic" w:cs="Arial"/>
          <w:lang w:val="es-MX"/>
        </w:rPr>
      </w:pPr>
    </w:p>
    <w:p w14:paraId="72F5A2A6" w14:textId="5BA331A6" w:rsidR="00494AA7" w:rsidRDefault="00BC1E84" w:rsidP="005625B4">
      <w:pPr>
        <w:spacing w:line="360" w:lineRule="auto"/>
        <w:ind w:right="335"/>
        <w:jc w:val="both"/>
        <w:rPr>
          <w:rFonts w:ascii="Century Gothic" w:hAnsi="Century Gothic" w:cs="Arial"/>
          <w:lang w:val="es-MX"/>
        </w:rPr>
      </w:pPr>
      <w:r>
        <w:rPr>
          <w:rFonts w:ascii="Century Gothic" w:hAnsi="Century Gothic" w:cs="Arial"/>
          <w:b/>
          <w:lang w:val="es-MX"/>
        </w:rPr>
        <w:t xml:space="preserve">III.- </w:t>
      </w:r>
      <w:r w:rsidR="00494AA7">
        <w:rPr>
          <w:rFonts w:ascii="Century Gothic" w:hAnsi="Century Gothic" w:cs="Arial"/>
          <w:lang w:val="es-MX"/>
        </w:rPr>
        <w:t>Como se mencionó anteriormente, la problemática planteada es abordada desde dos áreas legislativas</w:t>
      </w:r>
      <w:r w:rsidR="008B4083">
        <w:rPr>
          <w:rFonts w:ascii="Century Gothic" w:hAnsi="Century Gothic" w:cs="Arial"/>
          <w:lang w:val="es-MX"/>
        </w:rPr>
        <w:t>.</w:t>
      </w:r>
      <w:r w:rsidR="00494AA7">
        <w:rPr>
          <w:rFonts w:ascii="Century Gothic" w:hAnsi="Century Gothic" w:cs="Arial"/>
          <w:lang w:val="es-MX"/>
        </w:rPr>
        <w:t xml:space="preserve"> </w:t>
      </w:r>
      <w:r w:rsidR="008B4083">
        <w:rPr>
          <w:rFonts w:ascii="Century Gothic" w:hAnsi="Century Gothic" w:cs="Arial"/>
          <w:lang w:val="es-MX"/>
        </w:rPr>
        <w:t>E</w:t>
      </w:r>
      <w:r w:rsidR="00494AA7">
        <w:rPr>
          <w:rFonts w:ascii="Century Gothic" w:hAnsi="Century Gothic" w:cs="Arial"/>
          <w:lang w:val="es-MX"/>
        </w:rPr>
        <w:t xml:space="preserve">n relación con la Intimidad Sexual, contemplada en el artículo 180 Bis. del Código Penal del Estado de Chihuahua, conocido como Sexting, se </w:t>
      </w:r>
      <w:r w:rsidR="008B4083">
        <w:rPr>
          <w:rFonts w:ascii="Century Gothic" w:hAnsi="Century Gothic" w:cs="Arial"/>
          <w:lang w:val="es-MX"/>
        </w:rPr>
        <w:t>proponen</w:t>
      </w:r>
      <w:r w:rsidR="00494AA7">
        <w:rPr>
          <w:rFonts w:ascii="Century Gothic" w:hAnsi="Century Gothic" w:cs="Arial"/>
          <w:lang w:val="es-MX"/>
        </w:rPr>
        <w:t xml:space="preserve"> tres reformas.</w:t>
      </w:r>
    </w:p>
    <w:p w14:paraId="5F818571" w14:textId="77777777" w:rsidR="00494AA7" w:rsidRDefault="00494AA7" w:rsidP="00494AA7">
      <w:pPr>
        <w:spacing w:line="360" w:lineRule="auto"/>
        <w:ind w:right="335"/>
        <w:jc w:val="both"/>
        <w:rPr>
          <w:rFonts w:ascii="Century Gothic" w:hAnsi="Century Gothic" w:cs="Arial"/>
          <w:lang w:val="es-MX"/>
        </w:rPr>
      </w:pPr>
    </w:p>
    <w:p w14:paraId="74C163F5" w14:textId="12F51768" w:rsidR="00494AA7" w:rsidRPr="00494AA7" w:rsidRDefault="00494AA7" w:rsidP="00DB5BD7">
      <w:pPr>
        <w:spacing w:line="360" w:lineRule="auto"/>
        <w:ind w:right="335" w:firstLine="708"/>
        <w:jc w:val="both"/>
        <w:rPr>
          <w:rFonts w:ascii="Century Gothic" w:hAnsi="Century Gothic" w:cs="Arial"/>
          <w:lang w:val="es-MX"/>
        </w:rPr>
      </w:pPr>
      <w:r w:rsidRPr="00DB5BD7">
        <w:rPr>
          <w:rFonts w:ascii="Century Gothic" w:hAnsi="Century Gothic" w:cs="Arial"/>
          <w:b/>
          <w:lang w:val="es-MX"/>
        </w:rPr>
        <w:t>1.</w:t>
      </w:r>
      <w:r w:rsidRPr="00494AA7">
        <w:rPr>
          <w:rFonts w:ascii="Century Gothic" w:hAnsi="Century Gothic" w:cs="Arial"/>
          <w:lang w:val="es-MX"/>
        </w:rPr>
        <w:t xml:space="preserve"> </w:t>
      </w:r>
      <w:r>
        <w:rPr>
          <w:rFonts w:ascii="Century Gothic" w:hAnsi="Century Gothic" w:cs="Arial"/>
          <w:lang w:val="es-MX"/>
        </w:rPr>
        <w:t xml:space="preserve">En primer lugar </w:t>
      </w:r>
      <w:r w:rsidR="008B4083">
        <w:rPr>
          <w:rFonts w:ascii="Century Gothic" w:hAnsi="Century Gothic" w:cs="Arial"/>
          <w:lang w:val="es-MX"/>
        </w:rPr>
        <w:t>requiere</w:t>
      </w:r>
      <w:r w:rsidRPr="00494AA7">
        <w:rPr>
          <w:rFonts w:ascii="Century Gothic" w:hAnsi="Century Gothic" w:cs="Arial"/>
          <w:lang w:val="es-MX"/>
        </w:rPr>
        <w:t xml:space="preserve"> aumentar la pena de la agravante</w:t>
      </w:r>
      <w:r w:rsidR="008822CF">
        <w:rPr>
          <w:rFonts w:ascii="Century Gothic" w:hAnsi="Century Gothic" w:cs="Arial"/>
          <w:lang w:val="es-MX"/>
        </w:rPr>
        <w:t xml:space="preserve"> del Sexting, pasando de </w:t>
      </w:r>
      <w:r w:rsidRPr="00494AA7">
        <w:rPr>
          <w:rFonts w:ascii="Century Gothic" w:hAnsi="Century Gothic" w:cs="Arial"/>
          <w:lang w:val="es-MX"/>
        </w:rPr>
        <w:t>una mitad a dos tercios. Traducido en años, actualmente la probable pena agravada a imponer es de 9 meses a 6 años de prisión y la propuesta es que se eleve de 10 meses a 6 ½ años de prisión; esto es, aumenta 3 meses la mínima y 6 meses la pena máxima.</w:t>
      </w:r>
    </w:p>
    <w:p w14:paraId="39A2DA12" w14:textId="77777777" w:rsidR="00494AA7" w:rsidRPr="00494AA7" w:rsidRDefault="00494AA7" w:rsidP="00494AA7">
      <w:pPr>
        <w:spacing w:line="360" w:lineRule="auto"/>
        <w:ind w:right="335"/>
        <w:jc w:val="both"/>
        <w:rPr>
          <w:rFonts w:ascii="Century Gothic" w:hAnsi="Century Gothic" w:cs="Arial"/>
          <w:lang w:val="es-MX"/>
        </w:rPr>
      </w:pPr>
    </w:p>
    <w:p w14:paraId="3794A6B4" w14:textId="58C3CFFE" w:rsidR="00494AA7" w:rsidRPr="00494AA7" w:rsidRDefault="00494AA7" w:rsidP="00DB5BD7">
      <w:pPr>
        <w:spacing w:line="360" w:lineRule="auto"/>
        <w:ind w:right="335" w:firstLine="708"/>
        <w:jc w:val="both"/>
        <w:rPr>
          <w:rFonts w:ascii="Century Gothic" w:hAnsi="Century Gothic" w:cs="Arial"/>
          <w:lang w:val="es-MX"/>
        </w:rPr>
      </w:pPr>
      <w:r w:rsidRPr="00DB5BD7">
        <w:rPr>
          <w:rFonts w:ascii="Century Gothic" w:hAnsi="Century Gothic" w:cs="Arial"/>
          <w:b/>
          <w:lang w:val="es-MX"/>
        </w:rPr>
        <w:t>2.</w:t>
      </w:r>
      <w:r w:rsidRPr="00494AA7">
        <w:rPr>
          <w:rFonts w:ascii="Century Gothic" w:hAnsi="Century Gothic" w:cs="Arial"/>
          <w:lang w:val="es-MX"/>
        </w:rPr>
        <w:t xml:space="preserve"> </w:t>
      </w:r>
      <w:r w:rsidR="008822CF">
        <w:rPr>
          <w:rFonts w:ascii="Century Gothic" w:hAnsi="Century Gothic" w:cs="Arial"/>
          <w:lang w:val="es-MX"/>
        </w:rPr>
        <w:t>Después a</w:t>
      </w:r>
      <w:r w:rsidRPr="00494AA7">
        <w:rPr>
          <w:rFonts w:ascii="Century Gothic" w:hAnsi="Century Gothic" w:cs="Arial"/>
          <w:lang w:val="es-MX"/>
        </w:rPr>
        <w:t>umenta la edad de 14 a 16 años en la agravante, es decir, actualmente cuando el delito se comete en contra de una persona menor de 14 años de edad, se actualiza la agravante, aún y cuando mediare el consentimiento de la persona adolescente; por lo que ahora se pretend</w:t>
      </w:r>
      <w:r w:rsidR="008822CF">
        <w:rPr>
          <w:rFonts w:ascii="Century Gothic" w:hAnsi="Century Gothic" w:cs="Arial"/>
          <w:lang w:val="es-MX"/>
        </w:rPr>
        <w:t>e que la edad aumente a 16 años</w:t>
      </w:r>
      <w:r w:rsidR="00DB5BD7">
        <w:rPr>
          <w:rFonts w:ascii="Century Gothic" w:hAnsi="Century Gothic" w:cs="Arial"/>
          <w:lang w:val="es-MX"/>
        </w:rPr>
        <w:t>, aún y cuando medie el consentimiento</w:t>
      </w:r>
      <w:r w:rsidR="008822CF">
        <w:rPr>
          <w:rFonts w:ascii="Century Gothic" w:hAnsi="Century Gothic" w:cs="Arial"/>
          <w:lang w:val="es-MX"/>
        </w:rPr>
        <w:t xml:space="preserve">. </w:t>
      </w:r>
    </w:p>
    <w:p w14:paraId="5CCC09C7" w14:textId="77777777" w:rsidR="00494AA7" w:rsidRPr="00494AA7" w:rsidRDefault="00494AA7" w:rsidP="00494AA7">
      <w:pPr>
        <w:spacing w:line="360" w:lineRule="auto"/>
        <w:ind w:right="335"/>
        <w:jc w:val="both"/>
        <w:rPr>
          <w:rFonts w:ascii="Century Gothic" w:hAnsi="Century Gothic" w:cs="Arial"/>
          <w:lang w:val="es-MX"/>
        </w:rPr>
      </w:pPr>
    </w:p>
    <w:p w14:paraId="1A9FEE96" w14:textId="233E996E" w:rsidR="00494AA7" w:rsidRPr="00494AA7" w:rsidRDefault="00494AA7" w:rsidP="00DB5BD7">
      <w:pPr>
        <w:spacing w:line="360" w:lineRule="auto"/>
        <w:ind w:right="335" w:firstLine="708"/>
        <w:jc w:val="both"/>
        <w:rPr>
          <w:rFonts w:ascii="Century Gothic" w:hAnsi="Century Gothic" w:cs="Arial"/>
          <w:lang w:val="es-MX"/>
        </w:rPr>
      </w:pPr>
      <w:r w:rsidRPr="00DB5BD7">
        <w:rPr>
          <w:rFonts w:ascii="Century Gothic" w:hAnsi="Century Gothic" w:cs="Arial"/>
          <w:b/>
          <w:lang w:val="es-MX"/>
        </w:rPr>
        <w:t>3.</w:t>
      </w:r>
      <w:r w:rsidRPr="00494AA7">
        <w:rPr>
          <w:rFonts w:ascii="Century Gothic" w:hAnsi="Century Gothic" w:cs="Arial"/>
          <w:lang w:val="es-MX"/>
        </w:rPr>
        <w:t xml:space="preserve"> </w:t>
      </w:r>
      <w:r w:rsidR="008822CF">
        <w:rPr>
          <w:rFonts w:ascii="Century Gothic" w:hAnsi="Century Gothic" w:cs="Arial"/>
          <w:lang w:val="es-MX"/>
        </w:rPr>
        <w:t xml:space="preserve">Y la tercera vertiente legislativa que </w:t>
      </w:r>
      <w:r w:rsidR="00DB5BD7">
        <w:rPr>
          <w:rFonts w:ascii="Century Gothic" w:hAnsi="Century Gothic" w:cs="Arial"/>
          <w:lang w:val="es-MX"/>
        </w:rPr>
        <w:t xml:space="preserve">se </w:t>
      </w:r>
      <w:r w:rsidR="008822CF">
        <w:rPr>
          <w:rFonts w:ascii="Century Gothic" w:hAnsi="Century Gothic" w:cs="Arial"/>
          <w:lang w:val="es-MX"/>
        </w:rPr>
        <w:t>pretende reformar en este delito, es la introducción de</w:t>
      </w:r>
      <w:r w:rsidRPr="00494AA7">
        <w:rPr>
          <w:rFonts w:ascii="Century Gothic" w:hAnsi="Century Gothic" w:cs="Arial"/>
          <w:lang w:val="es-MX"/>
        </w:rPr>
        <w:t xml:space="preserve"> una nueva hipótesis agravante en virtud de la </w:t>
      </w:r>
      <w:r w:rsidRPr="00494AA7">
        <w:rPr>
          <w:rFonts w:ascii="Century Gothic" w:hAnsi="Century Gothic" w:cs="Arial"/>
          <w:lang w:val="es-MX"/>
        </w:rPr>
        <w:lastRenderedPageBreak/>
        <w:t>cualidad afectiva entre víctima-victimario, es decir, cuando exista una relación de seguridad o confianza entre ambas partes y se cometa el delito, se agravará la pena de prisión.</w:t>
      </w:r>
    </w:p>
    <w:p w14:paraId="6F57E854" w14:textId="54094E44" w:rsidR="005625B4" w:rsidRPr="00494AA7" w:rsidRDefault="005625B4" w:rsidP="005625B4">
      <w:pPr>
        <w:spacing w:line="360" w:lineRule="auto"/>
        <w:ind w:right="335"/>
        <w:jc w:val="both"/>
        <w:rPr>
          <w:rFonts w:ascii="Century Gothic" w:hAnsi="Century Gothic" w:cs="Arial"/>
          <w:lang w:val="es-MX"/>
        </w:rPr>
      </w:pPr>
    </w:p>
    <w:p w14:paraId="7282C187" w14:textId="3F6F211A" w:rsidR="00B86213" w:rsidRDefault="008822CF" w:rsidP="00B86213">
      <w:pPr>
        <w:spacing w:line="360" w:lineRule="auto"/>
        <w:ind w:right="335"/>
        <w:jc w:val="both"/>
        <w:rPr>
          <w:rFonts w:ascii="Century Gothic" w:hAnsi="Century Gothic" w:cs="Arial"/>
          <w:lang w:val="es-MX"/>
        </w:rPr>
      </w:pPr>
      <w:r>
        <w:rPr>
          <w:rFonts w:ascii="Century Gothic" w:hAnsi="Century Gothic" w:cs="Arial"/>
          <w:b/>
          <w:lang w:val="es-MX"/>
        </w:rPr>
        <w:t xml:space="preserve">A.- </w:t>
      </w:r>
      <w:r>
        <w:rPr>
          <w:rFonts w:ascii="Century Gothic" w:hAnsi="Century Gothic" w:cs="Arial"/>
          <w:lang w:val="es-MX"/>
        </w:rPr>
        <w:t xml:space="preserve">Respecto a la </w:t>
      </w:r>
      <w:r w:rsidR="0000667A">
        <w:rPr>
          <w:rFonts w:ascii="Century Gothic" w:hAnsi="Century Gothic" w:cs="Arial"/>
          <w:lang w:val="es-MX"/>
        </w:rPr>
        <w:t>primera</w:t>
      </w:r>
      <w:r>
        <w:rPr>
          <w:rFonts w:ascii="Century Gothic" w:hAnsi="Century Gothic" w:cs="Arial"/>
          <w:lang w:val="es-MX"/>
        </w:rPr>
        <w:t xml:space="preserve"> reforma planteada, esto es, aumentar la pena </w:t>
      </w:r>
      <w:r w:rsidR="00B86213">
        <w:rPr>
          <w:rFonts w:ascii="Century Gothic" w:hAnsi="Century Gothic" w:cs="Arial"/>
          <w:lang w:val="es-MX"/>
        </w:rPr>
        <w:t>en</w:t>
      </w:r>
      <w:r>
        <w:rPr>
          <w:rFonts w:ascii="Century Gothic" w:hAnsi="Century Gothic" w:cs="Arial"/>
          <w:lang w:val="es-MX"/>
        </w:rPr>
        <w:t xml:space="preserve"> la agravante, </w:t>
      </w:r>
      <w:r w:rsidR="00B86213">
        <w:rPr>
          <w:rFonts w:ascii="Century Gothic" w:hAnsi="Century Gothic" w:cs="Arial"/>
          <w:lang w:val="es-MX"/>
        </w:rPr>
        <w:t>debemos recordar lo que esta Comisión de dictamen legislativo ha venido reflexionando en cuanto al aumento de penas en los diversos asuntos que se han expuesto, quedando firme el criterio, de analizar su proporcionalidad y racionalidad cuando se pretenda aumentar la punibilidad en cualesquier delito</w:t>
      </w:r>
      <w:r w:rsidR="00DB5BD7">
        <w:rPr>
          <w:rStyle w:val="Refdenotaalpie"/>
          <w:rFonts w:ascii="Century Gothic" w:hAnsi="Century Gothic" w:cs="Arial"/>
          <w:lang w:val="es-MX"/>
        </w:rPr>
        <w:footnoteReference w:id="1"/>
      </w:r>
      <w:r w:rsidR="00B86213">
        <w:rPr>
          <w:rFonts w:ascii="Century Gothic" w:hAnsi="Century Gothic" w:cs="Arial"/>
          <w:lang w:val="es-MX"/>
        </w:rPr>
        <w:t xml:space="preserve">. </w:t>
      </w:r>
    </w:p>
    <w:p w14:paraId="4DEAA8E6" w14:textId="77777777" w:rsidR="00B86213" w:rsidRDefault="00B86213" w:rsidP="00B86213">
      <w:pPr>
        <w:spacing w:line="360" w:lineRule="auto"/>
        <w:ind w:right="335"/>
        <w:jc w:val="both"/>
        <w:rPr>
          <w:rFonts w:ascii="Century Gothic" w:hAnsi="Century Gothic" w:cs="Arial"/>
          <w:lang w:val="es-MX"/>
        </w:rPr>
      </w:pPr>
    </w:p>
    <w:p w14:paraId="2B8434A9" w14:textId="22850393" w:rsidR="00B86213" w:rsidRPr="00B86213" w:rsidRDefault="00B86213" w:rsidP="00B86213">
      <w:pPr>
        <w:spacing w:line="360" w:lineRule="auto"/>
        <w:ind w:right="335"/>
        <w:jc w:val="both"/>
        <w:rPr>
          <w:rFonts w:ascii="Century Gothic" w:hAnsi="Century Gothic" w:cs="Arial"/>
          <w:bCs/>
          <w:lang w:val="es-MX"/>
        </w:rPr>
      </w:pPr>
      <w:r>
        <w:rPr>
          <w:rFonts w:ascii="Century Gothic" w:hAnsi="Century Gothic" w:cs="Arial"/>
          <w:lang w:val="es-MX"/>
        </w:rPr>
        <w:t>En dichas reflexiones, hemos establecido que p</w:t>
      </w:r>
      <w:r w:rsidRPr="00B86213">
        <w:rPr>
          <w:rFonts w:ascii="Century Gothic" w:hAnsi="Century Gothic" w:cs="Arial"/>
          <w:bCs/>
        </w:rPr>
        <w:t xml:space="preserve">ara determinar la proporcionalidad de las penas debemos </w:t>
      </w:r>
      <w:r w:rsidRPr="00B86213">
        <w:rPr>
          <w:rFonts w:ascii="Century Gothic" w:hAnsi="Century Gothic" w:cs="Arial"/>
          <w:bCs/>
          <w:lang w:val="es-MX"/>
        </w:rPr>
        <w:t xml:space="preserve">partir de lo que la Primera Sala de la SCJN ha establecido: </w:t>
      </w:r>
      <w:r w:rsidRPr="00B86213">
        <w:rPr>
          <w:rFonts w:ascii="Century Gothic" w:hAnsi="Century Gothic" w:cs="Arial"/>
          <w:bCs/>
          <w:i/>
          <w:lang w:val="es-MX"/>
        </w:rPr>
        <w:t>La gravedad de la pena debe ser proporcional a la del hecho antijurídico y del grado de afectación al bien jurídico protegido; de manera que las penas más graves deben dirigirse a los tipos penales que protegen los bienes jurídicos más importantes</w:t>
      </w:r>
      <w:r w:rsidRPr="00B86213">
        <w:rPr>
          <w:rFonts w:ascii="Century Gothic" w:hAnsi="Century Gothic" w:cs="Arial"/>
          <w:bCs/>
          <w:lang w:val="es-MX"/>
        </w:rPr>
        <w:t>.</w:t>
      </w:r>
      <w:r w:rsidRPr="00B86213">
        <w:rPr>
          <w:rFonts w:ascii="Century Gothic" w:hAnsi="Century Gothic" w:cs="Arial"/>
          <w:bCs/>
          <w:vertAlign w:val="superscript"/>
          <w:lang w:val="es-MX"/>
        </w:rPr>
        <w:footnoteReference w:id="2"/>
      </w:r>
    </w:p>
    <w:p w14:paraId="09E51150" w14:textId="77777777" w:rsidR="00B86213" w:rsidRPr="00B86213" w:rsidRDefault="00B86213" w:rsidP="00B86213">
      <w:pPr>
        <w:spacing w:line="360" w:lineRule="auto"/>
        <w:ind w:right="335"/>
        <w:jc w:val="both"/>
        <w:rPr>
          <w:rFonts w:ascii="Century Gothic" w:hAnsi="Century Gothic" w:cs="Arial"/>
          <w:bCs/>
          <w:lang w:val="es-MX"/>
        </w:rPr>
      </w:pPr>
    </w:p>
    <w:p w14:paraId="33D5DC57" w14:textId="77777777" w:rsidR="00B86213" w:rsidRPr="00B86213" w:rsidRDefault="00B86213" w:rsidP="00B86213">
      <w:pPr>
        <w:spacing w:line="360" w:lineRule="auto"/>
        <w:ind w:right="335"/>
        <w:jc w:val="both"/>
        <w:rPr>
          <w:rFonts w:ascii="Century Gothic" w:hAnsi="Century Gothic" w:cs="Arial"/>
          <w:bCs/>
          <w:lang w:val="es-MX"/>
        </w:rPr>
      </w:pPr>
      <w:r w:rsidRPr="00B86213">
        <w:rPr>
          <w:rFonts w:ascii="Century Gothic" w:hAnsi="Century Gothic" w:cs="Arial"/>
          <w:bCs/>
          <w:lang w:val="es-MX"/>
        </w:rPr>
        <w:lastRenderedPageBreak/>
        <w:t xml:space="preserve">De lo contrario estaríamos vulnerando el contenido del artículo 22 de la Constitución Política de los Estados Unidos Mexicanos, al no guardar proporcionalidad, de acuerdo al último enunciado del precepto que estipula: </w:t>
      </w:r>
      <w:r w:rsidRPr="00B86213">
        <w:rPr>
          <w:rFonts w:ascii="Century Gothic" w:hAnsi="Century Gothic" w:cs="Arial"/>
          <w:bCs/>
          <w:i/>
          <w:iCs/>
          <w:lang w:val="es-MX"/>
        </w:rPr>
        <w:t xml:space="preserve">… </w:t>
      </w:r>
      <w:r w:rsidRPr="00B86213">
        <w:rPr>
          <w:rFonts w:ascii="Century Gothic" w:hAnsi="Century Gothic" w:cs="Arial"/>
          <w:bCs/>
          <w:i/>
          <w:iCs/>
        </w:rPr>
        <w:t>Toda pena deberá ser proporcional al delito que sancione y al bien jurídico afectado</w:t>
      </w:r>
      <w:r w:rsidRPr="00B86213">
        <w:rPr>
          <w:rFonts w:ascii="Century Gothic" w:hAnsi="Century Gothic" w:cs="Arial"/>
          <w:bCs/>
        </w:rPr>
        <w:t>.</w:t>
      </w:r>
    </w:p>
    <w:p w14:paraId="2E72CAE0" w14:textId="77777777" w:rsidR="00B86213" w:rsidRPr="00B86213" w:rsidRDefault="00B86213" w:rsidP="00B86213">
      <w:pPr>
        <w:spacing w:line="360" w:lineRule="auto"/>
        <w:ind w:right="335"/>
        <w:jc w:val="both"/>
        <w:rPr>
          <w:rFonts w:ascii="Century Gothic" w:hAnsi="Century Gothic" w:cs="Arial"/>
          <w:bCs/>
          <w:lang w:val="es-MX"/>
        </w:rPr>
      </w:pPr>
    </w:p>
    <w:p w14:paraId="04DDC1FB" w14:textId="77777777" w:rsidR="00B86213" w:rsidRPr="00B86213" w:rsidRDefault="00B86213" w:rsidP="00B86213">
      <w:pPr>
        <w:spacing w:line="360" w:lineRule="auto"/>
        <w:ind w:right="335"/>
        <w:jc w:val="both"/>
        <w:rPr>
          <w:rFonts w:ascii="Century Gothic" w:hAnsi="Century Gothic" w:cs="Arial"/>
          <w:bCs/>
          <w:lang w:val="es-MX"/>
        </w:rPr>
      </w:pPr>
      <w:r w:rsidRPr="00B86213">
        <w:rPr>
          <w:rFonts w:ascii="Century Gothic" w:hAnsi="Century Gothic" w:cs="Arial"/>
          <w:bCs/>
          <w:lang w:val="es-MX"/>
        </w:rPr>
        <w:t>Lo anterior representa una obligación al legislativo, para que, al momento de establecer una pena, este atienda (a) la importancia del bien jurídico protegido, (b) la intensidad del ataque, es decir, el grado en el que resulta lesionado o puesto en peligro el bien protegido y (c) el grado de responsabilidad subjetiva, esto es, si fue doloso o culposo.</w:t>
      </w:r>
      <w:r w:rsidRPr="00B86213">
        <w:rPr>
          <w:rFonts w:ascii="Century Gothic" w:hAnsi="Century Gothic" w:cs="Arial"/>
          <w:bCs/>
          <w:vertAlign w:val="superscript"/>
          <w:lang w:val="es-MX"/>
        </w:rPr>
        <w:footnoteReference w:id="3"/>
      </w:r>
      <w:r w:rsidRPr="00B86213">
        <w:rPr>
          <w:rFonts w:ascii="Century Gothic" w:hAnsi="Century Gothic" w:cs="Arial"/>
          <w:bCs/>
          <w:lang w:val="es-MX"/>
        </w:rPr>
        <w:t xml:space="preserve">  </w:t>
      </w:r>
    </w:p>
    <w:p w14:paraId="4A675C0D" w14:textId="77777777" w:rsidR="00B86213" w:rsidRPr="00B86213" w:rsidRDefault="00B86213" w:rsidP="00B86213">
      <w:pPr>
        <w:spacing w:line="360" w:lineRule="auto"/>
        <w:ind w:right="335"/>
        <w:jc w:val="both"/>
        <w:rPr>
          <w:rFonts w:ascii="Century Gothic" w:hAnsi="Century Gothic" w:cs="Arial"/>
          <w:bCs/>
          <w:lang w:val="es-MX"/>
        </w:rPr>
      </w:pPr>
    </w:p>
    <w:p w14:paraId="5F1BC866" w14:textId="50BC4AB8" w:rsidR="00B86213" w:rsidRDefault="00B86213" w:rsidP="00B86213">
      <w:pPr>
        <w:spacing w:line="360" w:lineRule="auto"/>
        <w:ind w:right="335"/>
        <w:jc w:val="both"/>
        <w:rPr>
          <w:rFonts w:ascii="Century Gothic" w:hAnsi="Century Gothic" w:cs="Arial"/>
          <w:bCs/>
          <w:lang w:val="es-MX"/>
        </w:rPr>
      </w:pPr>
      <w:r>
        <w:rPr>
          <w:rFonts w:ascii="Century Gothic" w:hAnsi="Century Gothic" w:cs="Arial"/>
          <w:bCs/>
          <w:lang w:val="es-MX"/>
        </w:rPr>
        <w:t xml:space="preserve">En el asunto expuesto, </w:t>
      </w:r>
      <w:r w:rsidRPr="00B86213">
        <w:rPr>
          <w:rFonts w:ascii="Century Gothic" w:hAnsi="Century Gothic" w:cs="Arial"/>
          <w:bCs/>
          <w:lang w:val="es-MX"/>
        </w:rPr>
        <w:t xml:space="preserve">se trata de un delito doloso que lesiona </w:t>
      </w:r>
      <w:r>
        <w:rPr>
          <w:rFonts w:ascii="Century Gothic" w:hAnsi="Century Gothic" w:cs="Arial"/>
          <w:bCs/>
          <w:lang w:val="es-MX"/>
        </w:rPr>
        <w:t>la intimidad</w:t>
      </w:r>
      <w:r w:rsidRPr="00B86213">
        <w:rPr>
          <w:rFonts w:ascii="Century Gothic" w:hAnsi="Century Gothic" w:cs="Arial"/>
          <w:bCs/>
          <w:lang w:val="es-MX"/>
        </w:rPr>
        <w:t xml:space="preserve"> sexual, </w:t>
      </w:r>
      <w:r>
        <w:rPr>
          <w:rFonts w:ascii="Century Gothic" w:hAnsi="Century Gothic" w:cs="Arial"/>
          <w:bCs/>
          <w:lang w:val="es-MX"/>
        </w:rPr>
        <w:t>ya que la revelación sin consentimiento del contenido íntimo sexual de la víctima, trae aparejado diversas situaciones dañosas, como a su honor, rep</w:t>
      </w:r>
      <w:r w:rsidR="003A0421">
        <w:rPr>
          <w:rFonts w:ascii="Century Gothic" w:hAnsi="Century Gothic" w:cs="Arial"/>
          <w:bCs/>
          <w:lang w:val="es-MX"/>
        </w:rPr>
        <w:t>utación, intimidad</w:t>
      </w:r>
      <w:r w:rsidR="00E14E39">
        <w:rPr>
          <w:rFonts w:ascii="Century Gothic" w:hAnsi="Century Gothic" w:cs="Arial"/>
          <w:bCs/>
          <w:lang w:val="es-MX"/>
        </w:rPr>
        <w:t>,</w:t>
      </w:r>
      <w:r w:rsidR="003A0421">
        <w:rPr>
          <w:rFonts w:ascii="Century Gothic" w:hAnsi="Century Gothic" w:cs="Arial"/>
          <w:bCs/>
          <w:lang w:val="es-MX"/>
        </w:rPr>
        <w:t xml:space="preserve"> entre otras; circunstancias que aumentan su reprochabilidad, cuando la víctima es una </w:t>
      </w:r>
      <w:r w:rsidR="003A0421" w:rsidRPr="003A0421">
        <w:rPr>
          <w:rFonts w:ascii="Century Gothic" w:hAnsi="Century Gothic" w:cs="Arial"/>
          <w:bCs/>
        </w:rPr>
        <w:t xml:space="preserve">persona menor de catorce años o que no </w:t>
      </w:r>
      <w:r w:rsidR="003A0421">
        <w:rPr>
          <w:rFonts w:ascii="Century Gothic" w:hAnsi="Century Gothic" w:cs="Arial"/>
          <w:bCs/>
        </w:rPr>
        <w:t>tiene</w:t>
      </w:r>
      <w:r w:rsidR="003A0421" w:rsidRPr="003A0421">
        <w:rPr>
          <w:rFonts w:ascii="Century Gothic" w:hAnsi="Century Gothic" w:cs="Arial"/>
          <w:bCs/>
        </w:rPr>
        <w:t xml:space="preserve"> la capacidad de comprender el significado del hecho o que por cual</w:t>
      </w:r>
      <w:r w:rsidR="00E14E39">
        <w:rPr>
          <w:rFonts w:ascii="Century Gothic" w:hAnsi="Century Gothic" w:cs="Arial"/>
          <w:bCs/>
        </w:rPr>
        <w:t>quier causa no pueda resistirlo;</w:t>
      </w:r>
      <w:r w:rsidR="003A0421">
        <w:rPr>
          <w:rFonts w:ascii="Century Gothic" w:hAnsi="Century Gothic" w:cs="Arial"/>
          <w:bCs/>
        </w:rPr>
        <w:t xml:space="preserve"> </w:t>
      </w:r>
      <w:r w:rsidR="00E14E39">
        <w:rPr>
          <w:rFonts w:ascii="Century Gothic" w:hAnsi="Century Gothic" w:cs="Arial"/>
          <w:bCs/>
        </w:rPr>
        <w:t>ello, en razón del estado de</w:t>
      </w:r>
      <w:r w:rsidR="003A0421">
        <w:rPr>
          <w:rFonts w:ascii="Century Gothic" w:hAnsi="Century Gothic" w:cs="Arial"/>
          <w:bCs/>
        </w:rPr>
        <w:t xml:space="preserve"> vulnerabilidad en la que se encuentra</w:t>
      </w:r>
      <w:r w:rsidR="00E14E39">
        <w:rPr>
          <w:rFonts w:ascii="Century Gothic" w:hAnsi="Century Gothic" w:cs="Arial"/>
          <w:bCs/>
        </w:rPr>
        <w:t>n</w:t>
      </w:r>
      <w:r w:rsidR="003A0421">
        <w:rPr>
          <w:rFonts w:ascii="Century Gothic" w:hAnsi="Century Gothic" w:cs="Arial"/>
          <w:bCs/>
        </w:rPr>
        <w:t xml:space="preserve">. </w:t>
      </w:r>
    </w:p>
    <w:p w14:paraId="56943DEE" w14:textId="77777777" w:rsidR="00440B4E" w:rsidRDefault="00440B4E" w:rsidP="00B86213">
      <w:pPr>
        <w:spacing w:line="360" w:lineRule="auto"/>
        <w:ind w:right="335"/>
        <w:jc w:val="both"/>
        <w:rPr>
          <w:rFonts w:ascii="Century Gothic" w:hAnsi="Century Gothic" w:cs="Arial"/>
          <w:bCs/>
          <w:lang w:val="es-MX"/>
        </w:rPr>
      </w:pPr>
    </w:p>
    <w:p w14:paraId="52B68E59" w14:textId="4FFE164C" w:rsidR="00B86213" w:rsidRPr="00B86213" w:rsidRDefault="00E14E39" w:rsidP="00B86213">
      <w:pPr>
        <w:spacing w:line="360" w:lineRule="auto"/>
        <w:ind w:right="335"/>
        <w:jc w:val="both"/>
        <w:rPr>
          <w:rFonts w:ascii="Century Gothic" w:hAnsi="Century Gothic" w:cs="Arial"/>
          <w:bCs/>
          <w:lang w:val="es-MX"/>
        </w:rPr>
      </w:pPr>
      <w:r>
        <w:rPr>
          <w:rFonts w:ascii="Century Gothic" w:hAnsi="Century Gothic" w:cs="Arial"/>
          <w:bCs/>
          <w:lang w:val="es-MX"/>
        </w:rPr>
        <w:lastRenderedPageBreak/>
        <w:t xml:space="preserve">Hasta este momento y toda vez que la pena propuesta no supera sanciones de bienes jurídicos que requieren una mayor protección, como en el caso del Abuso Sexual, en donde la pena de prisión a imponer se agrava de 3 a 10 años cuando la víctima es </w:t>
      </w:r>
      <w:r w:rsidRPr="00220EBB">
        <w:rPr>
          <w:rFonts w:ascii="Century Gothic" w:hAnsi="Century Gothic" w:cs="Arial"/>
          <w:bCs/>
          <w:i/>
          <w:lang w:val="es-MX"/>
        </w:rPr>
        <w:t xml:space="preserve">una </w:t>
      </w:r>
      <w:r w:rsidRPr="00220EBB">
        <w:rPr>
          <w:rFonts w:ascii="Century Gothic" w:hAnsi="Century Gothic" w:cs="Arial"/>
          <w:bCs/>
          <w:i/>
        </w:rPr>
        <w:t>persona menor de catorce años</w:t>
      </w:r>
      <w:r w:rsidRPr="00E14E39">
        <w:rPr>
          <w:rFonts w:ascii="Century Gothic" w:hAnsi="Century Gothic" w:cs="Arial"/>
          <w:bCs/>
        </w:rPr>
        <w:t xml:space="preserve"> o</w:t>
      </w:r>
      <w:r>
        <w:rPr>
          <w:rFonts w:ascii="Century Gothic" w:hAnsi="Century Gothic" w:cs="Arial"/>
          <w:bCs/>
        </w:rPr>
        <w:t xml:space="preserve"> </w:t>
      </w:r>
      <w:r w:rsidRPr="00E14E39">
        <w:rPr>
          <w:rFonts w:ascii="Century Gothic" w:hAnsi="Century Gothic" w:cs="Arial"/>
          <w:bCs/>
        </w:rPr>
        <w:t xml:space="preserve">persona </w:t>
      </w:r>
      <w:r w:rsidRPr="00220EBB">
        <w:rPr>
          <w:rFonts w:ascii="Century Gothic" w:hAnsi="Century Gothic" w:cs="Arial"/>
          <w:bCs/>
          <w:i/>
        </w:rPr>
        <w:t>que no tiene la capacidad de comprender el significado del hecho</w:t>
      </w:r>
      <w:r w:rsidRPr="00E14E39">
        <w:rPr>
          <w:rFonts w:ascii="Century Gothic" w:hAnsi="Century Gothic" w:cs="Arial"/>
          <w:bCs/>
        </w:rPr>
        <w:t xml:space="preserve"> o que </w:t>
      </w:r>
      <w:r w:rsidRPr="00220EBB">
        <w:rPr>
          <w:rFonts w:ascii="Century Gothic" w:hAnsi="Century Gothic" w:cs="Arial"/>
          <w:bCs/>
          <w:i/>
        </w:rPr>
        <w:t>por cualquier causa no puede resistirlo</w:t>
      </w:r>
      <w:r>
        <w:rPr>
          <w:rFonts w:ascii="Century Gothic" w:hAnsi="Century Gothic" w:cs="Arial"/>
          <w:bCs/>
        </w:rPr>
        <w:t xml:space="preserve">, y en el caso de la propuesta evidenciada en la iniciativa en estudio, la pena agravada por estas circunstancias en el delito Contra la Intimidad Sexual,  es de 10 meses a 6 ½ de prisión, por ende, desde esta perspectiva </w:t>
      </w:r>
      <w:r w:rsidR="00220EBB">
        <w:rPr>
          <w:rFonts w:ascii="Century Gothic" w:hAnsi="Century Gothic" w:cs="Arial"/>
          <w:bCs/>
        </w:rPr>
        <w:t>parece proporcional</w:t>
      </w:r>
      <w:r w:rsidR="00BE255D">
        <w:rPr>
          <w:rFonts w:ascii="Century Gothic" w:hAnsi="Century Gothic" w:cs="Arial"/>
          <w:bCs/>
        </w:rPr>
        <w:t xml:space="preserve"> la propuesta</w:t>
      </w:r>
      <w:r w:rsidR="00220EBB">
        <w:rPr>
          <w:rFonts w:ascii="Century Gothic" w:hAnsi="Century Gothic" w:cs="Arial"/>
          <w:bCs/>
        </w:rPr>
        <w:t xml:space="preserve">, </w:t>
      </w:r>
      <w:r w:rsidR="00B86213" w:rsidRPr="00B86213">
        <w:rPr>
          <w:rFonts w:ascii="Century Gothic" w:hAnsi="Century Gothic" w:cs="Arial"/>
          <w:bCs/>
          <w:lang w:val="es-MX"/>
        </w:rPr>
        <w:t xml:space="preserve">ya que este principio expone que </w:t>
      </w:r>
      <w:r w:rsidR="00B86213" w:rsidRPr="00B86213">
        <w:rPr>
          <w:rFonts w:ascii="Century Gothic" w:hAnsi="Century Gothic" w:cs="Arial"/>
          <w:bCs/>
          <w:i/>
          <w:lang w:val="es-MX"/>
        </w:rPr>
        <w:t>las penas más graves deben dirigirse a los tipos penales que protegen los bienes jurídicos más importantes</w:t>
      </w:r>
      <w:r w:rsidR="00B86213" w:rsidRPr="00B86213">
        <w:rPr>
          <w:rFonts w:ascii="Century Gothic" w:hAnsi="Century Gothic" w:cs="Arial"/>
          <w:bCs/>
          <w:lang w:val="es-MX"/>
        </w:rPr>
        <w:t>.</w:t>
      </w:r>
      <w:r w:rsidR="00B86213" w:rsidRPr="00B86213">
        <w:rPr>
          <w:rFonts w:ascii="Century Gothic" w:hAnsi="Century Gothic" w:cs="Arial"/>
          <w:bCs/>
          <w:vertAlign w:val="superscript"/>
          <w:lang w:val="es-MX"/>
        </w:rPr>
        <w:footnoteReference w:id="4"/>
      </w:r>
    </w:p>
    <w:p w14:paraId="407FD60E" w14:textId="77777777" w:rsidR="00B86213" w:rsidRPr="00B86213" w:rsidRDefault="00B86213" w:rsidP="00B86213">
      <w:pPr>
        <w:spacing w:line="360" w:lineRule="auto"/>
        <w:ind w:right="335"/>
        <w:jc w:val="both"/>
        <w:rPr>
          <w:rFonts w:ascii="Century Gothic" w:hAnsi="Century Gothic" w:cs="Arial"/>
          <w:bCs/>
          <w:lang w:val="es-MX"/>
        </w:rPr>
      </w:pPr>
    </w:p>
    <w:p w14:paraId="0343BC3E" w14:textId="70593DA2" w:rsidR="00B86213" w:rsidRPr="00B86213" w:rsidRDefault="00B86213" w:rsidP="00B86213">
      <w:pPr>
        <w:spacing w:line="360" w:lineRule="auto"/>
        <w:ind w:right="335"/>
        <w:jc w:val="both"/>
        <w:rPr>
          <w:rFonts w:ascii="Century Gothic" w:hAnsi="Century Gothic" w:cs="Arial"/>
          <w:bCs/>
        </w:rPr>
      </w:pPr>
      <w:r w:rsidRPr="00B86213">
        <w:rPr>
          <w:rFonts w:ascii="Century Gothic" w:hAnsi="Century Gothic" w:cs="Arial"/>
          <w:bCs/>
          <w:lang w:val="es-MX"/>
        </w:rPr>
        <w:t>Además, en la exposición de motivos de una de las iniciativas</w:t>
      </w:r>
      <w:r w:rsidR="00BE255D">
        <w:rPr>
          <w:rFonts w:ascii="Century Gothic" w:hAnsi="Century Gothic" w:cs="Arial"/>
          <w:bCs/>
          <w:lang w:val="es-MX"/>
        </w:rPr>
        <w:t xml:space="preserve"> adoptadas</w:t>
      </w:r>
      <w:r w:rsidRPr="00B86213">
        <w:rPr>
          <w:rFonts w:ascii="Century Gothic" w:hAnsi="Century Gothic" w:cs="Arial"/>
          <w:bCs/>
          <w:lang w:val="es-MX"/>
        </w:rPr>
        <w:t xml:space="preserve"> por el dictamen del constituyente permanente que legisló en el 2008 la Constitución Política de los Estados Unidos Mexicanos, </w:t>
      </w:r>
      <w:r w:rsidRPr="00B86213">
        <w:rPr>
          <w:rFonts w:ascii="Century Gothic" w:hAnsi="Century Gothic" w:cs="Arial"/>
          <w:bCs/>
        </w:rPr>
        <w:t xml:space="preserve">para establecer las bases que regulan el sistema procesal penal acusatorio, </w:t>
      </w:r>
      <w:r w:rsidR="00BE255D">
        <w:rPr>
          <w:rFonts w:ascii="Century Gothic" w:hAnsi="Century Gothic" w:cs="Arial"/>
          <w:bCs/>
        </w:rPr>
        <w:t xml:space="preserve">se </w:t>
      </w:r>
      <w:r w:rsidRPr="00B86213">
        <w:rPr>
          <w:rFonts w:ascii="Century Gothic" w:hAnsi="Century Gothic" w:cs="Arial"/>
          <w:bCs/>
        </w:rPr>
        <w:t xml:space="preserve">menciona lo siguiente: </w:t>
      </w:r>
    </w:p>
    <w:p w14:paraId="5899523D" w14:textId="77777777" w:rsidR="00B86213" w:rsidRPr="00B86213" w:rsidRDefault="00B86213" w:rsidP="00B86213">
      <w:pPr>
        <w:spacing w:line="360" w:lineRule="auto"/>
        <w:ind w:right="335"/>
        <w:jc w:val="both"/>
        <w:rPr>
          <w:rFonts w:ascii="Century Gothic" w:hAnsi="Century Gothic" w:cs="Arial"/>
          <w:bCs/>
          <w:lang w:val="es-MX"/>
        </w:rPr>
      </w:pPr>
    </w:p>
    <w:p w14:paraId="0CF4E574" w14:textId="77777777" w:rsidR="00B86213" w:rsidRPr="00B86213" w:rsidRDefault="00B86213" w:rsidP="00B86213">
      <w:pPr>
        <w:spacing w:line="360" w:lineRule="auto"/>
        <w:ind w:right="335"/>
        <w:jc w:val="both"/>
        <w:rPr>
          <w:rFonts w:ascii="Century Gothic" w:hAnsi="Century Gothic" w:cs="Arial"/>
          <w:bCs/>
          <w:lang w:val="es-MX"/>
        </w:rPr>
      </w:pPr>
      <w:r w:rsidRPr="00B86213">
        <w:rPr>
          <w:rFonts w:ascii="Century Gothic" w:hAnsi="Century Gothic" w:cs="Arial"/>
          <w:bCs/>
          <w:i/>
          <w:iCs/>
          <w:lang w:val="es-MX"/>
        </w:rPr>
        <w:t xml:space="preserve"> “… </w:t>
      </w:r>
      <w:r w:rsidRPr="00B86213">
        <w:rPr>
          <w:rFonts w:ascii="Century Gothic" w:hAnsi="Century Gothic" w:cs="Arial"/>
          <w:bCs/>
          <w:i/>
          <w:iCs/>
        </w:rPr>
        <w:t xml:space="preserve">El principio de proporcionalidad supone que el legislador deberá tomar en cuenta la magnitud del bien jurídico afectado por una conducta delictiva al momento de determinar qué sanción se le debe aplicar; para ello se deberá </w:t>
      </w:r>
      <w:r w:rsidRPr="00B86213">
        <w:rPr>
          <w:rFonts w:ascii="Century Gothic" w:hAnsi="Century Gothic" w:cs="Arial"/>
          <w:bCs/>
          <w:i/>
          <w:iCs/>
        </w:rPr>
        <w:lastRenderedPageBreak/>
        <w:t>atender, entre otros elementos, al resto del sistema de sanciones, de modo que a una conducta que dañe un bien jurídico de menor importancia no se le aplique una sanción que supera a la que se le aplica a una conducta que sanciona un bien jurídico de mayor importancia</w:t>
      </w:r>
      <w:r w:rsidRPr="00B86213">
        <w:rPr>
          <w:rFonts w:ascii="Century Gothic" w:hAnsi="Century Gothic" w:cs="Arial"/>
          <w:bCs/>
        </w:rPr>
        <w:t>.”</w:t>
      </w:r>
      <w:r w:rsidRPr="00B86213">
        <w:rPr>
          <w:rFonts w:ascii="Century Gothic" w:hAnsi="Century Gothic" w:cs="Arial"/>
          <w:bCs/>
          <w:vertAlign w:val="superscript"/>
        </w:rPr>
        <w:footnoteReference w:id="5"/>
      </w:r>
    </w:p>
    <w:p w14:paraId="2A133DDA" w14:textId="77777777" w:rsidR="00B86213" w:rsidRPr="00B86213" w:rsidRDefault="00B86213" w:rsidP="00B86213">
      <w:pPr>
        <w:spacing w:line="360" w:lineRule="auto"/>
        <w:ind w:right="335"/>
        <w:jc w:val="both"/>
        <w:rPr>
          <w:rFonts w:ascii="Century Gothic" w:hAnsi="Century Gothic" w:cs="Arial"/>
          <w:bCs/>
          <w:lang w:val="es-MX"/>
        </w:rPr>
      </w:pPr>
    </w:p>
    <w:p w14:paraId="7C0035F4" w14:textId="7C6506B7" w:rsidR="00220EBB" w:rsidRDefault="00220EBB" w:rsidP="00B86213">
      <w:pPr>
        <w:spacing w:line="360" w:lineRule="auto"/>
        <w:ind w:right="335"/>
        <w:jc w:val="both"/>
        <w:rPr>
          <w:rFonts w:ascii="Century Gothic" w:hAnsi="Century Gothic" w:cs="Arial"/>
          <w:bCs/>
          <w:lang w:val="es-MX"/>
        </w:rPr>
      </w:pPr>
      <w:r>
        <w:rPr>
          <w:rFonts w:ascii="Century Gothic" w:hAnsi="Century Gothic" w:cs="Arial"/>
          <w:bCs/>
          <w:lang w:val="es-MX"/>
        </w:rPr>
        <w:t xml:space="preserve">Es por ello, que hasta este momento la propuesta es proporcional, sin embargo, dentro de este parámetro, debemos </w:t>
      </w:r>
      <w:r w:rsidR="00B571EF">
        <w:rPr>
          <w:rFonts w:ascii="Century Gothic" w:hAnsi="Century Gothic" w:cs="Arial"/>
          <w:bCs/>
          <w:lang w:val="es-MX"/>
        </w:rPr>
        <w:t>examinar</w:t>
      </w:r>
      <w:r>
        <w:rPr>
          <w:rFonts w:ascii="Century Gothic" w:hAnsi="Century Gothic" w:cs="Arial"/>
          <w:bCs/>
          <w:lang w:val="es-MX"/>
        </w:rPr>
        <w:t xml:space="preserve"> su racionalidad. </w:t>
      </w:r>
    </w:p>
    <w:p w14:paraId="668E3524" w14:textId="77777777" w:rsidR="00220EBB" w:rsidRDefault="00220EBB" w:rsidP="00B86213">
      <w:pPr>
        <w:spacing w:line="360" w:lineRule="auto"/>
        <w:ind w:right="335"/>
        <w:jc w:val="both"/>
        <w:rPr>
          <w:rFonts w:ascii="Century Gothic" w:hAnsi="Century Gothic" w:cs="Arial"/>
          <w:bCs/>
          <w:lang w:val="es-MX"/>
        </w:rPr>
      </w:pPr>
    </w:p>
    <w:p w14:paraId="521264F6" w14:textId="335620A1" w:rsidR="00B86213" w:rsidRPr="00B86213" w:rsidRDefault="00220EBB" w:rsidP="00B86213">
      <w:pPr>
        <w:spacing w:line="360" w:lineRule="auto"/>
        <w:ind w:right="335"/>
        <w:jc w:val="both"/>
        <w:rPr>
          <w:rFonts w:ascii="Century Gothic" w:hAnsi="Century Gothic" w:cs="Arial"/>
          <w:bCs/>
        </w:rPr>
      </w:pPr>
      <w:r>
        <w:rPr>
          <w:rFonts w:ascii="Century Gothic" w:hAnsi="Century Gothic" w:cs="Arial"/>
          <w:bCs/>
          <w:lang w:val="es-MX"/>
        </w:rPr>
        <w:t>E</w:t>
      </w:r>
      <w:r w:rsidR="00B86213" w:rsidRPr="00B86213">
        <w:rPr>
          <w:rFonts w:ascii="Century Gothic" w:hAnsi="Century Gothic" w:cs="Arial"/>
          <w:bCs/>
          <w:lang w:val="es-MX"/>
        </w:rPr>
        <w:t>l Pleno de la SCJN al analizar el alcance del artículo 22 de la Constitución federal, en cuan</w:t>
      </w:r>
      <w:r w:rsidR="00B571EF">
        <w:rPr>
          <w:rFonts w:ascii="Century Gothic" w:hAnsi="Century Gothic" w:cs="Arial"/>
          <w:bCs/>
          <w:lang w:val="es-MX"/>
        </w:rPr>
        <w:t>t</w:t>
      </w:r>
      <w:r w:rsidR="00B86213" w:rsidRPr="00B86213">
        <w:rPr>
          <w:rFonts w:ascii="Century Gothic" w:hAnsi="Century Gothic" w:cs="Arial"/>
          <w:bCs/>
          <w:lang w:val="es-MX"/>
        </w:rPr>
        <w:t xml:space="preserve">o a los límites que tiene el legislativo para determinar una pena, estableció que </w:t>
      </w:r>
      <w:r w:rsidR="00B86213" w:rsidRPr="00B86213">
        <w:rPr>
          <w:rFonts w:ascii="Century Gothic" w:hAnsi="Century Gothic" w:cs="Arial"/>
          <w:bCs/>
          <w:i/>
          <w:iCs/>
          <w:lang w:val="es-MX"/>
        </w:rPr>
        <w:t xml:space="preserve">el legislador penal tiene amplia libertad para diseñar el rumbo de la política criminal, </w:t>
      </w:r>
      <w:r w:rsidR="00B86213" w:rsidRPr="00B86213">
        <w:rPr>
          <w:rFonts w:ascii="Century Gothic" w:hAnsi="Century Gothic" w:cs="Arial"/>
          <w:bCs/>
          <w:i/>
          <w:iCs/>
        </w:rPr>
        <w:t>es decir, para elegir los bienes jurídicamente tutelados, las conductas típicas antijurídicas y las sanciones penales, de acuerdo con las necesidades sociales del momento histórico respectivo.</w:t>
      </w:r>
      <w:r w:rsidR="00B86213" w:rsidRPr="00B86213">
        <w:rPr>
          <w:rFonts w:ascii="Century Gothic" w:hAnsi="Century Gothic" w:cs="Arial"/>
          <w:bCs/>
          <w:i/>
          <w:iCs/>
          <w:vertAlign w:val="superscript"/>
        </w:rPr>
        <w:footnoteReference w:id="6"/>
      </w:r>
    </w:p>
    <w:p w14:paraId="26B81998" w14:textId="77777777" w:rsidR="00B86213" w:rsidRPr="00B86213" w:rsidRDefault="00B86213" w:rsidP="00B86213">
      <w:pPr>
        <w:spacing w:line="360" w:lineRule="auto"/>
        <w:ind w:right="335"/>
        <w:jc w:val="both"/>
        <w:rPr>
          <w:rFonts w:ascii="Century Gothic" w:hAnsi="Century Gothic" w:cs="Arial"/>
          <w:bCs/>
        </w:rPr>
      </w:pPr>
    </w:p>
    <w:p w14:paraId="74C285B3" w14:textId="7FBAA917" w:rsidR="00B86213" w:rsidRDefault="00B86213" w:rsidP="00B86213">
      <w:pPr>
        <w:spacing w:line="360" w:lineRule="auto"/>
        <w:ind w:right="335"/>
        <w:jc w:val="both"/>
        <w:rPr>
          <w:rFonts w:ascii="Century Gothic" w:hAnsi="Century Gothic" w:cs="Arial"/>
          <w:bCs/>
          <w:lang w:val="es-MX"/>
        </w:rPr>
      </w:pPr>
      <w:r w:rsidRPr="00B86213">
        <w:rPr>
          <w:rFonts w:ascii="Century Gothic" w:hAnsi="Century Gothic" w:cs="Arial"/>
          <w:bCs/>
          <w:lang w:val="es-MX"/>
        </w:rPr>
        <w:t>Esto es, el legislativo, de acuerdo a la política criminal de Estado, para disminuir cierta actividad delictiva, es que aumenta las penas en base a la necesidad del momento histórico, por ende, para evaluar la proporcionalidad de las penas, no basta circular solo por aquellos tres parámetros (a, b y c), sino que debería, para poder pasar aquel umbral trazado por el trio de parametrización, establecer que se trata de un delito cuya alta incidencia lo lleva a enderezar una intervención penal que se traduzca en una pena mayor</w:t>
      </w:r>
      <w:r w:rsidRPr="00B86213">
        <w:rPr>
          <w:rFonts w:ascii="Century Gothic" w:hAnsi="Century Gothic" w:cs="Arial"/>
          <w:bCs/>
          <w:vertAlign w:val="superscript"/>
          <w:lang w:val="es-MX"/>
        </w:rPr>
        <w:footnoteReference w:id="7"/>
      </w:r>
      <w:r w:rsidRPr="00B86213">
        <w:rPr>
          <w:rFonts w:ascii="Century Gothic" w:hAnsi="Century Gothic" w:cs="Arial"/>
          <w:bCs/>
          <w:lang w:val="es-MX"/>
        </w:rPr>
        <w:t>.</w:t>
      </w:r>
    </w:p>
    <w:p w14:paraId="78999651" w14:textId="77777777" w:rsidR="00220EBB" w:rsidRDefault="00220EBB" w:rsidP="00B86213">
      <w:pPr>
        <w:spacing w:line="360" w:lineRule="auto"/>
        <w:ind w:right="335"/>
        <w:jc w:val="both"/>
        <w:rPr>
          <w:rFonts w:ascii="Century Gothic" w:hAnsi="Century Gothic" w:cs="Arial"/>
          <w:bCs/>
          <w:lang w:val="es-MX"/>
        </w:rPr>
      </w:pPr>
    </w:p>
    <w:p w14:paraId="42669CFB" w14:textId="3919F7BB" w:rsidR="001068CB" w:rsidRDefault="00220EBB" w:rsidP="00B86213">
      <w:pPr>
        <w:spacing w:line="360" w:lineRule="auto"/>
        <w:ind w:right="335"/>
        <w:jc w:val="both"/>
        <w:rPr>
          <w:rFonts w:ascii="Century Gothic" w:hAnsi="Century Gothic" w:cs="Arial"/>
          <w:bCs/>
          <w:lang w:val="es-MX"/>
        </w:rPr>
      </w:pPr>
      <w:r>
        <w:rPr>
          <w:rFonts w:ascii="Century Gothic" w:hAnsi="Century Gothic" w:cs="Arial"/>
          <w:bCs/>
          <w:lang w:val="es-MX"/>
        </w:rPr>
        <w:t>Por lo que, si bien es cierto que la iniciativa nos refiere una serie de datos nacionales a los que esta Comisión no puede permanecer ajeno, también es cierto que</w:t>
      </w:r>
      <w:r w:rsidR="001068CB">
        <w:rPr>
          <w:rFonts w:ascii="Century Gothic" w:hAnsi="Century Gothic" w:cs="Arial"/>
          <w:bCs/>
          <w:lang w:val="es-MX"/>
        </w:rPr>
        <w:t xml:space="preserve"> no encontramos una relación causal que permita establecer que con el aumento en 3 meses</w:t>
      </w:r>
      <w:r w:rsidR="00B571EF">
        <w:rPr>
          <w:rFonts w:ascii="Century Gothic" w:hAnsi="Century Gothic" w:cs="Arial"/>
          <w:bCs/>
          <w:lang w:val="es-MX"/>
        </w:rPr>
        <w:t>,</w:t>
      </w:r>
      <w:r w:rsidR="001068CB">
        <w:rPr>
          <w:rFonts w:ascii="Century Gothic" w:hAnsi="Century Gothic" w:cs="Arial"/>
          <w:bCs/>
          <w:lang w:val="es-MX"/>
        </w:rPr>
        <w:t xml:space="preserve"> la pena de prisión mínima</w:t>
      </w:r>
      <w:r w:rsidR="00B571EF">
        <w:rPr>
          <w:rFonts w:ascii="Century Gothic" w:hAnsi="Century Gothic" w:cs="Arial"/>
          <w:bCs/>
          <w:lang w:val="es-MX"/>
        </w:rPr>
        <w:t>,</w:t>
      </w:r>
      <w:r w:rsidR="001068CB">
        <w:rPr>
          <w:rFonts w:ascii="Century Gothic" w:hAnsi="Century Gothic" w:cs="Arial"/>
          <w:bCs/>
          <w:lang w:val="es-MX"/>
        </w:rPr>
        <w:t xml:space="preserve"> y 6 meses la máxima</w:t>
      </w:r>
      <w:r w:rsidR="00BE255D">
        <w:rPr>
          <w:rFonts w:ascii="Century Gothic" w:hAnsi="Century Gothic" w:cs="Arial"/>
          <w:bCs/>
          <w:lang w:val="es-MX"/>
        </w:rPr>
        <w:t>, se</w:t>
      </w:r>
      <w:r w:rsidR="001068CB">
        <w:rPr>
          <w:rFonts w:ascii="Century Gothic" w:hAnsi="Century Gothic" w:cs="Arial"/>
          <w:bCs/>
          <w:lang w:val="es-MX"/>
        </w:rPr>
        <w:t xml:space="preserve"> pueda contribuir en la disminución de la actividad delictiva para tratar de enderezar el momento histórico que expone en su iniciativa. </w:t>
      </w:r>
    </w:p>
    <w:p w14:paraId="41E7ED18" w14:textId="77777777" w:rsidR="001068CB" w:rsidRDefault="001068CB" w:rsidP="00B86213">
      <w:pPr>
        <w:spacing w:line="360" w:lineRule="auto"/>
        <w:ind w:right="335"/>
        <w:jc w:val="both"/>
        <w:rPr>
          <w:rFonts w:ascii="Century Gothic" w:hAnsi="Century Gothic" w:cs="Arial"/>
          <w:bCs/>
          <w:lang w:val="es-MX"/>
        </w:rPr>
      </w:pPr>
    </w:p>
    <w:p w14:paraId="797F93DF" w14:textId="56FC109E" w:rsidR="001068CB" w:rsidRDefault="001068CB" w:rsidP="00B86213">
      <w:pPr>
        <w:spacing w:line="360" w:lineRule="auto"/>
        <w:ind w:right="335"/>
        <w:jc w:val="both"/>
        <w:rPr>
          <w:rFonts w:ascii="Century Gothic" w:hAnsi="Century Gothic" w:cs="Arial"/>
          <w:bCs/>
          <w:lang w:val="es-MX"/>
        </w:rPr>
      </w:pPr>
      <w:r>
        <w:rPr>
          <w:rFonts w:ascii="Century Gothic" w:hAnsi="Century Gothic" w:cs="Arial"/>
          <w:bCs/>
          <w:lang w:val="es-MX"/>
        </w:rPr>
        <w:lastRenderedPageBreak/>
        <w:t xml:space="preserve">En relación con lo anterior, tampoco encontramos esa causalidad que influya en el sistema penal con el aumento punitivo, como lo sería la restricción de alguna salida alterna, como la suspensión condicional del proceso, por que la media aritmética quedaría –si se aprobase el aumento de penas en la agravante- en 3.6 años, y para </w:t>
      </w:r>
      <w:r w:rsidR="005574D3">
        <w:rPr>
          <w:rFonts w:ascii="Century Gothic" w:hAnsi="Century Gothic" w:cs="Arial"/>
          <w:bCs/>
          <w:lang w:val="es-MX"/>
        </w:rPr>
        <w:t>impedir</w:t>
      </w:r>
      <w:r>
        <w:rPr>
          <w:rFonts w:ascii="Century Gothic" w:hAnsi="Century Gothic" w:cs="Arial"/>
          <w:bCs/>
          <w:lang w:val="es-MX"/>
        </w:rPr>
        <w:t xml:space="preserve"> la procedencia de aquella salida, se requiere que la media aritmética sea superior a los 5 años</w:t>
      </w:r>
      <w:r>
        <w:rPr>
          <w:rStyle w:val="Refdenotaalpie"/>
          <w:rFonts w:ascii="Century Gothic" w:hAnsi="Century Gothic" w:cs="Arial"/>
          <w:bCs/>
          <w:lang w:val="es-MX"/>
        </w:rPr>
        <w:footnoteReference w:id="8"/>
      </w:r>
      <w:r w:rsidR="0012758E">
        <w:rPr>
          <w:rFonts w:ascii="Century Gothic" w:hAnsi="Century Gothic" w:cs="Arial"/>
          <w:bCs/>
          <w:lang w:val="es-MX"/>
        </w:rPr>
        <w:t xml:space="preserve">, de ahí que no encontremos ese nexo causal. </w:t>
      </w:r>
      <w:r>
        <w:rPr>
          <w:rFonts w:ascii="Century Gothic" w:hAnsi="Century Gothic" w:cs="Arial"/>
          <w:bCs/>
          <w:lang w:val="es-MX"/>
        </w:rPr>
        <w:t xml:space="preserve"> </w:t>
      </w:r>
    </w:p>
    <w:p w14:paraId="4242296C" w14:textId="77777777" w:rsidR="001068CB" w:rsidRDefault="001068CB" w:rsidP="00B86213">
      <w:pPr>
        <w:spacing w:line="360" w:lineRule="auto"/>
        <w:ind w:right="335"/>
        <w:jc w:val="both"/>
        <w:rPr>
          <w:rFonts w:ascii="Century Gothic" w:hAnsi="Century Gothic" w:cs="Arial"/>
          <w:bCs/>
          <w:lang w:val="es-MX"/>
        </w:rPr>
      </w:pPr>
    </w:p>
    <w:p w14:paraId="73D32663" w14:textId="454C5EF5" w:rsidR="001068CB" w:rsidRDefault="001068CB" w:rsidP="001068CB">
      <w:pPr>
        <w:spacing w:line="360" w:lineRule="auto"/>
        <w:ind w:right="335"/>
        <w:jc w:val="both"/>
        <w:rPr>
          <w:rFonts w:ascii="Century Gothic" w:hAnsi="Century Gothic" w:cs="Arial"/>
          <w:lang w:val="es-MX"/>
        </w:rPr>
      </w:pPr>
      <w:r>
        <w:rPr>
          <w:rFonts w:ascii="Century Gothic" w:hAnsi="Century Gothic" w:cs="Arial"/>
          <w:bCs/>
          <w:lang w:val="es-MX"/>
        </w:rPr>
        <w:t>Además</w:t>
      </w:r>
      <w:r w:rsidR="0012758E">
        <w:rPr>
          <w:rFonts w:ascii="Century Gothic" w:hAnsi="Century Gothic" w:cs="Arial"/>
          <w:bCs/>
          <w:lang w:val="es-MX"/>
        </w:rPr>
        <w:t>, r</w:t>
      </w:r>
      <w:r w:rsidRPr="001068CB">
        <w:rPr>
          <w:rFonts w:ascii="Century Gothic" w:hAnsi="Century Gothic" w:cs="Arial"/>
          <w:lang w:val="es-MX"/>
        </w:rPr>
        <w:t>ecordemos que</w:t>
      </w:r>
      <w:r w:rsidR="0012758E">
        <w:rPr>
          <w:rFonts w:ascii="Century Gothic" w:hAnsi="Century Gothic" w:cs="Arial"/>
          <w:lang w:val="es-MX"/>
        </w:rPr>
        <w:t xml:space="preserve"> el sexting</w:t>
      </w:r>
      <w:r w:rsidRPr="001068CB">
        <w:rPr>
          <w:rFonts w:ascii="Century Gothic" w:hAnsi="Century Gothic" w:cs="Arial"/>
          <w:lang w:val="es-MX"/>
        </w:rPr>
        <w:t xml:space="preserve"> es un delito que acaba de surgir en el 2017 y reformado en el 2021, entonces tendríamos que recabar información que nos permita hacer un test de proporcionalidad y racionabilidad para modificar a la alza el sistema punitivo de este delito. </w:t>
      </w:r>
    </w:p>
    <w:p w14:paraId="1DE3BDBD" w14:textId="77777777" w:rsidR="0012758E" w:rsidRDefault="0012758E" w:rsidP="001068CB">
      <w:pPr>
        <w:spacing w:line="360" w:lineRule="auto"/>
        <w:ind w:right="335"/>
        <w:jc w:val="both"/>
        <w:rPr>
          <w:rFonts w:ascii="Century Gothic" w:hAnsi="Century Gothic" w:cs="Arial"/>
          <w:lang w:val="es-MX"/>
        </w:rPr>
      </w:pPr>
    </w:p>
    <w:p w14:paraId="44F2C23E" w14:textId="4EDEB928" w:rsidR="0012758E" w:rsidRDefault="0012758E" w:rsidP="001068CB">
      <w:pPr>
        <w:spacing w:line="360" w:lineRule="auto"/>
        <w:ind w:right="335"/>
        <w:jc w:val="both"/>
        <w:rPr>
          <w:rFonts w:ascii="Century Gothic" w:hAnsi="Century Gothic" w:cs="Arial"/>
          <w:lang w:val="es-MX"/>
        </w:rPr>
      </w:pPr>
      <w:r>
        <w:rPr>
          <w:rFonts w:ascii="Century Gothic" w:hAnsi="Century Gothic" w:cs="Arial"/>
          <w:lang w:val="es-MX"/>
        </w:rPr>
        <w:t xml:space="preserve">Es por lo anterior </w:t>
      </w:r>
      <w:r w:rsidR="005574D3">
        <w:rPr>
          <w:rFonts w:ascii="Century Gothic" w:hAnsi="Century Gothic" w:cs="Arial"/>
          <w:lang w:val="es-MX"/>
        </w:rPr>
        <w:t>que,</w:t>
      </w:r>
      <w:r>
        <w:rPr>
          <w:rFonts w:ascii="Century Gothic" w:hAnsi="Century Gothic" w:cs="Arial"/>
          <w:lang w:val="es-MX"/>
        </w:rPr>
        <w:t xml:space="preserve"> pareciera proporcional la propuesta de aumentar las penas en la agravante del sexting, </w:t>
      </w:r>
      <w:r w:rsidR="005574D3">
        <w:rPr>
          <w:rFonts w:ascii="Century Gothic" w:hAnsi="Century Gothic" w:cs="Arial"/>
          <w:lang w:val="es-MX"/>
        </w:rPr>
        <w:t xml:space="preserve">sin embargo, </w:t>
      </w:r>
      <w:r>
        <w:rPr>
          <w:rFonts w:ascii="Century Gothic" w:hAnsi="Century Gothic" w:cs="Arial"/>
          <w:lang w:val="es-MX"/>
        </w:rPr>
        <w:t>esta no guarda racionalidad, por ende, consideramos que no es el momento oportuno para aprobar un aumento de penas. Esto no quiere decir que</w:t>
      </w:r>
      <w:r w:rsidR="00F2418C">
        <w:rPr>
          <w:rFonts w:ascii="Century Gothic" w:hAnsi="Century Gothic" w:cs="Arial"/>
          <w:lang w:val="es-MX"/>
        </w:rPr>
        <w:t>,</w:t>
      </w:r>
      <w:r>
        <w:rPr>
          <w:rFonts w:ascii="Century Gothic" w:hAnsi="Century Gothic" w:cs="Arial"/>
          <w:lang w:val="es-MX"/>
        </w:rPr>
        <w:t xml:space="preserve"> en un análisis posterior, con datos que el tiempo nos permita recolectar, se pueda aumentar la pena de prisión en esta agravante.  </w:t>
      </w:r>
    </w:p>
    <w:p w14:paraId="15F2AFE2" w14:textId="1A522A93" w:rsidR="005574D3" w:rsidRDefault="005574D3" w:rsidP="001068CB">
      <w:pPr>
        <w:spacing w:line="360" w:lineRule="auto"/>
        <w:ind w:right="335"/>
        <w:jc w:val="both"/>
        <w:rPr>
          <w:rFonts w:ascii="Century Gothic" w:hAnsi="Century Gothic" w:cs="Arial"/>
          <w:lang w:val="es-MX"/>
        </w:rPr>
      </w:pPr>
    </w:p>
    <w:p w14:paraId="6FBB0571" w14:textId="51721CA8" w:rsidR="005574D3" w:rsidRDefault="005574D3" w:rsidP="005574D3">
      <w:pPr>
        <w:spacing w:line="360" w:lineRule="auto"/>
        <w:ind w:right="335"/>
        <w:jc w:val="both"/>
        <w:rPr>
          <w:rFonts w:ascii="Century Gothic" w:hAnsi="Century Gothic" w:cs="Arial"/>
          <w:lang w:val="es-MX"/>
        </w:rPr>
      </w:pPr>
      <w:r w:rsidRPr="005574D3">
        <w:rPr>
          <w:rFonts w:ascii="Century Gothic" w:hAnsi="Century Gothic" w:cs="Arial"/>
          <w:b/>
          <w:bCs/>
          <w:lang w:val="es-MX"/>
        </w:rPr>
        <w:t>B.</w:t>
      </w:r>
      <w:r>
        <w:rPr>
          <w:rFonts w:ascii="Century Gothic" w:hAnsi="Century Gothic" w:cs="Arial"/>
          <w:lang w:val="es-MX"/>
        </w:rPr>
        <w:t xml:space="preserve"> Respecto a la segunda propuesta de reforma planteada en el delito contra</w:t>
      </w:r>
      <w:r w:rsidR="00F2418C">
        <w:rPr>
          <w:rFonts w:ascii="Century Gothic" w:hAnsi="Century Gothic" w:cs="Arial"/>
          <w:lang w:val="es-MX"/>
        </w:rPr>
        <w:t xml:space="preserve"> </w:t>
      </w:r>
      <w:r>
        <w:rPr>
          <w:rFonts w:ascii="Century Gothic" w:hAnsi="Century Gothic" w:cs="Arial"/>
          <w:lang w:val="es-MX"/>
        </w:rPr>
        <w:t xml:space="preserve">la Intimidad Sexual, esto es, </w:t>
      </w:r>
      <w:r>
        <w:rPr>
          <w:rFonts w:ascii="Century Gothic" w:hAnsi="Century Gothic" w:cs="Arial"/>
          <w:bCs/>
          <w:lang w:val="es-MX"/>
        </w:rPr>
        <w:t xml:space="preserve">aumentar la edad </w:t>
      </w:r>
      <w:r w:rsidRPr="005574D3">
        <w:rPr>
          <w:rFonts w:ascii="Century Gothic" w:hAnsi="Century Gothic" w:cs="Arial"/>
          <w:lang w:val="es-MX"/>
        </w:rPr>
        <w:t>de 14 a 16 años en la agravante</w:t>
      </w:r>
      <w:r>
        <w:rPr>
          <w:rFonts w:ascii="Century Gothic" w:hAnsi="Century Gothic" w:cs="Arial"/>
          <w:lang w:val="es-MX"/>
        </w:rPr>
        <w:t xml:space="preserve">, aun y cuando medie </w:t>
      </w:r>
      <w:r w:rsidRPr="005574D3">
        <w:rPr>
          <w:rFonts w:ascii="Century Gothic" w:hAnsi="Century Gothic" w:cs="Arial"/>
          <w:lang w:val="es-MX"/>
        </w:rPr>
        <w:t>el consentimiento.</w:t>
      </w:r>
    </w:p>
    <w:p w14:paraId="58657CD0" w14:textId="48720F01" w:rsidR="00A83B5A" w:rsidRDefault="00A83B5A" w:rsidP="005574D3">
      <w:pPr>
        <w:spacing w:line="360" w:lineRule="auto"/>
        <w:ind w:right="335"/>
        <w:jc w:val="both"/>
        <w:rPr>
          <w:rFonts w:ascii="Century Gothic" w:hAnsi="Century Gothic" w:cs="Arial"/>
          <w:lang w:val="es-MX"/>
        </w:rPr>
      </w:pPr>
    </w:p>
    <w:p w14:paraId="4CCCA254" w14:textId="302A1B99" w:rsidR="00437DBB" w:rsidRDefault="00A83B5A" w:rsidP="00437DBB">
      <w:pPr>
        <w:spacing w:line="360" w:lineRule="auto"/>
        <w:ind w:right="335"/>
        <w:jc w:val="both"/>
        <w:rPr>
          <w:rFonts w:ascii="Century Gothic" w:hAnsi="Century Gothic" w:cs="Arial"/>
          <w:lang w:val="es-MX"/>
        </w:rPr>
      </w:pPr>
      <w:r>
        <w:rPr>
          <w:rFonts w:ascii="Century Gothic" w:hAnsi="Century Gothic" w:cs="Arial"/>
          <w:lang w:val="es-MX"/>
        </w:rPr>
        <w:t xml:space="preserve">Lo primero que debemos hacer antes de abordar la viabilidad o no de la propuesta, es analizar el bien jurídico que se tutela en este apartado, </w:t>
      </w:r>
      <w:r w:rsidR="00437DBB">
        <w:rPr>
          <w:rFonts w:ascii="Century Gothic" w:hAnsi="Century Gothic" w:cs="Arial"/>
          <w:lang w:val="es-MX"/>
        </w:rPr>
        <w:t>ya que,</w:t>
      </w:r>
      <w:r>
        <w:rPr>
          <w:rFonts w:ascii="Century Gothic" w:hAnsi="Century Gothic" w:cs="Arial"/>
          <w:lang w:val="es-MX"/>
        </w:rPr>
        <w:t xml:space="preserve"> si bien sabemos</w:t>
      </w:r>
      <w:r w:rsidR="00437DBB">
        <w:rPr>
          <w:rFonts w:ascii="Century Gothic" w:hAnsi="Century Gothic" w:cs="Arial"/>
          <w:lang w:val="es-MX"/>
        </w:rPr>
        <w:t>,</w:t>
      </w:r>
      <w:r>
        <w:rPr>
          <w:rFonts w:ascii="Century Gothic" w:hAnsi="Century Gothic" w:cs="Arial"/>
          <w:lang w:val="es-MX"/>
        </w:rPr>
        <w:t xml:space="preserve"> protege la </w:t>
      </w:r>
      <w:r w:rsidR="00437DBB">
        <w:rPr>
          <w:rFonts w:ascii="Century Gothic" w:hAnsi="Century Gothic" w:cs="Arial"/>
          <w:lang w:val="es-MX"/>
        </w:rPr>
        <w:t>intimidad</w:t>
      </w:r>
      <w:r>
        <w:rPr>
          <w:rFonts w:ascii="Century Gothic" w:hAnsi="Century Gothic" w:cs="Arial"/>
          <w:lang w:val="es-MX"/>
        </w:rPr>
        <w:t xml:space="preserve"> sexual, también debe</w:t>
      </w:r>
      <w:r w:rsidR="00437DBB">
        <w:rPr>
          <w:rFonts w:ascii="Century Gothic" w:hAnsi="Century Gothic" w:cs="Arial"/>
          <w:lang w:val="es-MX"/>
        </w:rPr>
        <w:t xml:space="preserve"> ser de nuestro conocimiento que el espectro que arropa aquella intimidad, es la libertad y seguridad sexual, para lo cual, la Primera Sala de la SCJN menciona que estos dos aspectos -libertad y seguridad sexual- constituyen manifestaciones del derecho al libre desarrollo de la personalidad; </w:t>
      </w:r>
      <w:r w:rsidR="00437DBB">
        <w:rPr>
          <w:rFonts w:ascii="Century Gothic" w:hAnsi="Century Gothic" w:cs="Arial"/>
          <w:i/>
          <w:iCs/>
          <w:lang w:val="es-MX"/>
        </w:rPr>
        <w:t>a</w:t>
      </w:r>
      <w:r w:rsidR="00437DBB" w:rsidRPr="00437DBB">
        <w:rPr>
          <w:rFonts w:ascii="Century Gothic" w:hAnsi="Century Gothic" w:cs="Arial"/>
          <w:i/>
          <w:iCs/>
          <w:lang w:val="es-MX"/>
        </w:rPr>
        <w:t>sí, la libertad sexual significa la capacidad y posibilidad de decidir autónomamente, sin coerción ni violencia y con consentimiento pleno, sobre las personas –quienes también deben estar de acuerdo–, situaciones, circunstancias y tiempos, en las cuales se quiere tener comportamientos, intercambios o vínculos erótico-sexuales, incluida la cópula. Por otra parte, la seguridad sexual es la necesaria protección y debida garantía de que esta libertad y autonomía efectivamente se expresen, dado el riesgo que ciertas circunstancias, propias de la persona o del contexto específico en que se encuentra, entrañan para la producción espontánea de consentimiento</w:t>
      </w:r>
      <w:r w:rsidR="008F6264">
        <w:rPr>
          <w:rStyle w:val="Refdenotaalpie"/>
          <w:rFonts w:ascii="Century Gothic" w:hAnsi="Century Gothic" w:cs="Arial"/>
          <w:i/>
          <w:iCs/>
          <w:lang w:val="es-MX"/>
        </w:rPr>
        <w:footnoteReference w:id="9"/>
      </w:r>
      <w:r w:rsidR="00437DBB" w:rsidRPr="00437DBB">
        <w:rPr>
          <w:rFonts w:ascii="Century Gothic" w:hAnsi="Century Gothic" w:cs="Arial"/>
          <w:i/>
          <w:iCs/>
          <w:lang w:val="es-MX"/>
        </w:rPr>
        <w:t>.</w:t>
      </w:r>
      <w:r w:rsidR="00437DBB" w:rsidRPr="00437DBB">
        <w:rPr>
          <w:rFonts w:ascii="Century Gothic" w:hAnsi="Century Gothic" w:cs="Arial"/>
          <w:lang w:val="es-MX"/>
        </w:rPr>
        <w:t xml:space="preserve"> </w:t>
      </w:r>
    </w:p>
    <w:p w14:paraId="44F8153E" w14:textId="77777777" w:rsidR="00437DBB" w:rsidRDefault="00437DBB" w:rsidP="00437DBB">
      <w:pPr>
        <w:spacing w:line="360" w:lineRule="auto"/>
        <w:ind w:right="335"/>
        <w:jc w:val="both"/>
        <w:rPr>
          <w:rFonts w:ascii="Century Gothic" w:hAnsi="Century Gothic" w:cs="Arial"/>
          <w:lang w:val="es-MX"/>
        </w:rPr>
      </w:pPr>
    </w:p>
    <w:p w14:paraId="2C1DBCED" w14:textId="55017D31" w:rsidR="00437DBB" w:rsidRDefault="008F6264" w:rsidP="005574D3">
      <w:pPr>
        <w:spacing w:line="360" w:lineRule="auto"/>
        <w:ind w:right="335"/>
        <w:jc w:val="both"/>
        <w:rPr>
          <w:rFonts w:ascii="Century Gothic" w:hAnsi="Century Gothic" w:cs="Arial"/>
          <w:lang w:val="es-MX"/>
        </w:rPr>
      </w:pPr>
      <w:r>
        <w:rPr>
          <w:rFonts w:ascii="Century Gothic" w:hAnsi="Century Gothic" w:cs="Arial"/>
          <w:lang w:val="es-MX"/>
        </w:rPr>
        <w:t xml:space="preserve">Concluyendo que el consentimiento </w:t>
      </w:r>
      <w:r w:rsidRPr="008F6264">
        <w:rPr>
          <w:rFonts w:ascii="Century Gothic" w:hAnsi="Century Gothic" w:cs="Arial"/>
          <w:i/>
          <w:iCs/>
          <w:lang w:val="es-MX"/>
        </w:rPr>
        <w:t>pleno</w:t>
      </w:r>
      <w:r w:rsidRPr="008F6264">
        <w:rPr>
          <w:rFonts w:ascii="Century Gothic" w:hAnsi="Century Gothic" w:cs="Arial"/>
          <w:lang w:val="es-MX"/>
        </w:rPr>
        <w:t xml:space="preserve"> y </w:t>
      </w:r>
      <w:r w:rsidRPr="008F6264">
        <w:rPr>
          <w:rFonts w:ascii="Century Gothic" w:hAnsi="Century Gothic" w:cs="Arial"/>
          <w:i/>
          <w:iCs/>
          <w:lang w:val="es-MX"/>
        </w:rPr>
        <w:t>válido</w:t>
      </w:r>
      <w:r w:rsidRPr="008F6264">
        <w:rPr>
          <w:rFonts w:ascii="Century Gothic" w:hAnsi="Century Gothic" w:cs="Arial"/>
          <w:lang w:val="es-MX"/>
        </w:rPr>
        <w:t xml:space="preserve"> de </w:t>
      </w:r>
      <w:r>
        <w:rPr>
          <w:rFonts w:ascii="Century Gothic" w:hAnsi="Century Gothic" w:cs="Arial"/>
          <w:lang w:val="es-MX"/>
        </w:rPr>
        <w:t xml:space="preserve">las personas que participan en </w:t>
      </w:r>
      <w:r w:rsidR="001A1094">
        <w:rPr>
          <w:rFonts w:ascii="Century Gothic" w:hAnsi="Century Gothic" w:cs="Arial"/>
          <w:lang w:val="es-MX"/>
        </w:rPr>
        <w:t>cualquiera actividad sexual, es el</w:t>
      </w:r>
      <w:r w:rsidRPr="008F6264">
        <w:rPr>
          <w:rFonts w:ascii="Century Gothic" w:hAnsi="Century Gothic" w:cs="Arial"/>
          <w:lang w:val="es-MX"/>
        </w:rPr>
        <w:t xml:space="preserve"> elemento fundamental para el </w:t>
      </w:r>
      <w:r w:rsidRPr="001A1094">
        <w:rPr>
          <w:rFonts w:ascii="Century Gothic" w:hAnsi="Century Gothic" w:cs="Arial"/>
          <w:i/>
          <w:iCs/>
          <w:lang w:val="es-MX"/>
        </w:rPr>
        <w:t>respeto</w:t>
      </w:r>
      <w:r w:rsidRPr="008F6264">
        <w:rPr>
          <w:rFonts w:ascii="Century Gothic" w:hAnsi="Century Gothic" w:cs="Arial"/>
          <w:lang w:val="es-MX"/>
        </w:rPr>
        <w:t xml:space="preserve">, </w:t>
      </w:r>
      <w:r w:rsidRPr="001A1094">
        <w:rPr>
          <w:rFonts w:ascii="Century Gothic" w:hAnsi="Century Gothic" w:cs="Arial"/>
          <w:i/>
          <w:iCs/>
          <w:lang w:val="es-MX"/>
        </w:rPr>
        <w:t>protección</w:t>
      </w:r>
      <w:r w:rsidRPr="008F6264">
        <w:rPr>
          <w:rFonts w:ascii="Century Gothic" w:hAnsi="Century Gothic" w:cs="Arial"/>
          <w:lang w:val="es-MX"/>
        </w:rPr>
        <w:t xml:space="preserve"> y </w:t>
      </w:r>
      <w:r w:rsidRPr="001A1094">
        <w:rPr>
          <w:rFonts w:ascii="Century Gothic" w:hAnsi="Century Gothic" w:cs="Arial"/>
          <w:i/>
          <w:iCs/>
          <w:lang w:val="es-MX"/>
        </w:rPr>
        <w:t>garantía</w:t>
      </w:r>
      <w:r w:rsidRPr="008F6264">
        <w:rPr>
          <w:rFonts w:ascii="Century Gothic" w:hAnsi="Century Gothic" w:cs="Arial"/>
          <w:lang w:val="es-MX"/>
        </w:rPr>
        <w:t xml:space="preserve"> de la libertad y seguridad sexuales, </w:t>
      </w:r>
      <w:r w:rsidR="001A1094">
        <w:rPr>
          <w:rFonts w:ascii="Century Gothic" w:hAnsi="Century Gothic" w:cs="Arial"/>
          <w:lang w:val="es-MX"/>
        </w:rPr>
        <w:t xml:space="preserve">para lo </w:t>
      </w:r>
      <w:r w:rsidR="001A1094">
        <w:rPr>
          <w:rFonts w:ascii="Century Gothic" w:hAnsi="Century Gothic" w:cs="Arial"/>
          <w:lang w:val="es-MX"/>
        </w:rPr>
        <w:lastRenderedPageBreak/>
        <w:t xml:space="preserve">cual </w:t>
      </w:r>
      <w:r>
        <w:rPr>
          <w:rFonts w:ascii="Century Gothic" w:hAnsi="Century Gothic" w:cs="Arial"/>
          <w:lang w:val="es-MX"/>
        </w:rPr>
        <w:t>el Estado tienen una obligación de velar por que se tutele est</w:t>
      </w:r>
      <w:r w:rsidR="001A1094">
        <w:rPr>
          <w:rFonts w:ascii="Century Gothic" w:hAnsi="Century Gothic" w:cs="Arial"/>
          <w:lang w:val="es-MX"/>
        </w:rPr>
        <w:t>e consentimiento</w:t>
      </w:r>
      <w:r>
        <w:rPr>
          <w:rFonts w:ascii="Century Gothic" w:hAnsi="Century Gothic" w:cs="Arial"/>
          <w:lang w:val="es-MX"/>
        </w:rPr>
        <w:t>.</w:t>
      </w:r>
    </w:p>
    <w:p w14:paraId="151170D5" w14:textId="213DE511" w:rsidR="008F6264" w:rsidRDefault="008F6264" w:rsidP="005574D3">
      <w:pPr>
        <w:spacing w:line="360" w:lineRule="auto"/>
        <w:ind w:right="335"/>
        <w:jc w:val="both"/>
        <w:rPr>
          <w:rFonts w:ascii="Century Gothic" w:hAnsi="Century Gothic" w:cs="Arial"/>
          <w:lang w:val="es-MX"/>
        </w:rPr>
      </w:pPr>
    </w:p>
    <w:p w14:paraId="1A95BC73" w14:textId="68CF6245" w:rsidR="00F0720E" w:rsidRPr="00F0720E" w:rsidRDefault="00046901" w:rsidP="00F0720E">
      <w:pPr>
        <w:spacing w:line="360" w:lineRule="auto"/>
        <w:ind w:right="335"/>
        <w:jc w:val="both"/>
        <w:rPr>
          <w:rFonts w:ascii="Century Gothic" w:hAnsi="Century Gothic" w:cs="Arial"/>
          <w:lang w:val="es-ES_tradnl"/>
        </w:rPr>
      </w:pPr>
      <w:r>
        <w:rPr>
          <w:rFonts w:ascii="Century Gothic" w:hAnsi="Century Gothic" w:cs="Arial"/>
          <w:lang w:val="es-MX"/>
        </w:rPr>
        <w:t>Bajo esta tesitura, en nuestro sistema penal</w:t>
      </w:r>
      <w:r w:rsidR="007B5E34">
        <w:rPr>
          <w:rFonts w:ascii="Century Gothic" w:hAnsi="Century Gothic" w:cs="Arial"/>
          <w:lang w:val="es-MX"/>
        </w:rPr>
        <w:t>, las personas que tienen derecho a otorgar su consentimiento para revelar su intimidad sexual</w:t>
      </w:r>
      <w:r w:rsidR="00F0720E" w:rsidRPr="00F0720E">
        <w:rPr>
          <w:rFonts w:ascii="Century Gothic" w:hAnsi="Century Gothic" w:cs="Arial"/>
        </w:rPr>
        <w:t xml:space="preserve">, son aquellas que pueden disponer del bien jurídico y esta disposición se divide en dos vías: primero, a) las personas mayores de 18 años, pero que </w:t>
      </w:r>
      <w:r w:rsidR="00F0720E" w:rsidRPr="00F0720E">
        <w:rPr>
          <w:rFonts w:ascii="Century Gothic" w:hAnsi="Century Gothic" w:cs="Arial"/>
          <w:lang w:val="es-ES_tradnl"/>
        </w:rPr>
        <w:t>tengan la capacidad de comprender el significado del hecho</w:t>
      </w:r>
      <w:r w:rsidR="00F0720E" w:rsidRPr="00F0720E">
        <w:rPr>
          <w:rFonts w:ascii="Century Gothic" w:hAnsi="Century Gothic" w:cs="Arial"/>
        </w:rPr>
        <w:t xml:space="preserve"> y/o que el consentimiento no se encuentre viciado en virtud de que por cualquier causa no puedan resistir el hecho; y b) las personas menores de 18 años, pero mayores de 14; lo anterior en armonía con lo expresado por el artículo 1</w:t>
      </w:r>
      <w:r w:rsidR="00F0720E" w:rsidRPr="00F0720E">
        <w:rPr>
          <w:rFonts w:ascii="Century Gothic" w:hAnsi="Century Gothic" w:cs="Arial"/>
          <w:lang w:val="es-ES_tradnl"/>
        </w:rPr>
        <w:t>72 del Código Penal del Estado de Chihuahua</w:t>
      </w:r>
      <w:r w:rsidR="00F0720E" w:rsidRPr="00F0720E">
        <w:rPr>
          <w:rFonts w:ascii="Century Gothic" w:hAnsi="Century Gothic" w:cs="Arial"/>
          <w:vertAlign w:val="superscript"/>
          <w:lang w:val="es-ES_tradnl"/>
        </w:rPr>
        <w:footnoteReference w:id="10"/>
      </w:r>
      <w:r w:rsidR="00F0720E" w:rsidRPr="00F0720E">
        <w:rPr>
          <w:rFonts w:ascii="Century Gothic" w:hAnsi="Century Gothic" w:cs="Arial"/>
          <w:lang w:val="es-ES_tradnl"/>
        </w:rPr>
        <w:t xml:space="preserve">, en relación con lo manifestado por la Primera Sala de la </w:t>
      </w:r>
      <w:r w:rsidR="007B5E34">
        <w:rPr>
          <w:rFonts w:ascii="Century Gothic" w:hAnsi="Century Gothic" w:cs="Arial"/>
          <w:lang w:val="es-ES_tradnl"/>
        </w:rPr>
        <w:t>SCJN</w:t>
      </w:r>
      <w:r w:rsidR="00F0720E" w:rsidRPr="00F0720E">
        <w:rPr>
          <w:rFonts w:ascii="Century Gothic" w:hAnsi="Century Gothic" w:cs="Arial"/>
          <w:lang w:val="es-ES_tradnl"/>
        </w:rPr>
        <w:t xml:space="preserve"> en marzo de 2019, en su tesis registrada bajo el número </w:t>
      </w:r>
      <w:r w:rsidR="00F0720E" w:rsidRPr="00F0720E">
        <w:rPr>
          <w:rFonts w:ascii="Century Gothic" w:hAnsi="Century Gothic" w:cs="Arial"/>
        </w:rPr>
        <w:t>2019415,</w:t>
      </w:r>
      <w:r w:rsidR="00F0720E" w:rsidRPr="00F0720E">
        <w:rPr>
          <w:rFonts w:ascii="Century Gothic" w:hAnsi="Century Gothic" w:cs="Arial"/>
          <w:lang w:val="es-ES_tradnl"/>
        </w:rPr>
        <w:t xml:space="preserve"> al referir lo siguiente: </w:t>
      </w:r>
    </w:p>
    <w:p w14:paraId="7D6B564C" w14:textId="77777777" w:rsidR="00F0720E" w:rsidRPr="00F0720E" w:rsidRDefault="00F0720E" w:rsidP="00F0720E">
      <w:pPr>
        <w:spacing w:line="360" w:lineRule="auto"/>
        <w:ind w:right="335"/>
        <w:jc w:val="both"/>
        <w:rPr>
          <w:rFonts w:ascii="Century Gothic" w:hAnsi="Century Gothic" w:cs="Arial"/>
          <w:lang w:val="es-ES_tradnl"/>
        </w:rPr>
      </w:pPr>
    </w:p>
    <w:p w14:paraId="19DAAF9A" w14:textId="77777777" w:rsidR="00F0720E" w:rsidRPr="00F0720E" w:rsidRDefault="00F0720E" w:rsidP="00F0720E">
      <w:pPr>
        <w:spacing w:line="360" w:lineRule="auto"/>
        <w:ind w:right="335"/>
        <w:jc w:val="both"/>
        <w:rPr>
          <w:rFonts w:ascii="Century Gothic" w:hAnsi="Century Gothic" w:cs="Arial"/>
          <w:i/>
        </w:rPr>
      </w:pPr>
      <w:r w:rsidRPr="00F0720E">
        <w:rPr>
          <w:rFonts w:ascii="Century Gothic" w:hAnsi="Century Gothic" w:cs="Arial"/>
        </w:rPr>
        <w:t>“</w:t>
      </w:r>
      <w:r w:rsidRPr="00F0720E">
        <w:rPr>
          <w:rFonts w:ascii="Century Gothic" w:hAnsi="Century Gothic" w:cs="Arial"/>
          <w:i/>
        </w:rPr>
        <w:t>DELITO DE CORRUPCIÓN DE PERSONAS MENORES DE EDAD. PARA VERIFICAR EL SUPUESTO TÍPICO DE VÍCTIMAS ADOLESCENTES EN ACTOS SEXUALES SE DEBE PONDERAR SI EJERCIERON LIBREMENTE SUS DERECHOS.</w:t>
      </w:r>
    </w:p>
    <w:p w14:paraId="758F6283" w14:textId="77777777" w:rsidR="00F0720E" w:rsidRPr="00F0720E" w:rsidRDefault="00F0720E" w:rsidP="00F0720E">
      <w:pPr>
        <w:spacing w:line="360" w:lineRule="auto"/>
        <w:ind w:right="335"/>
        <w:jc w:val="both"/>
        <w:rPr>
          <w:rFonts w:ascii="Century Gothic" w:hAnsi="Century Gothic" w:cs="Arial"/>
          <w:i/>
        </w:rPr>
      </w:pPr>
    </w:p>
    <w:p w14:paraId="18C324F1" w14:textId="77777777" w:rsidR="00F0720E" w:rsidRPr="00F0720E" w:rsidRDefault="00F0720E" w:rsidP="00F0720E">
      <w:pPr>
        <w:spacing w:line="360" w:lineRule="auto"/>
        <w:ind w:right="335"/>
        <w:jc w:val="both"/>
        <w:rPr>
          <w:rFonts w:ascii="Century Gothic" w:hAnsi="Century Gothic" w:cs="Arial"/>
          <w:i/>
        </w:rPr>
      </w:pPr>
      <w:r w:rsidRPr="00F0720E">
        <w:rPr>
          <w:rFonts w:ascii="Century Gothic" w:hAnsi="Century Gothic" w:cs="Arial"/>
          <w:i/>
        </w:rPr>
        <w:t xml:space="preserve">El artículo 184 del Código Penal para la Ciudad de México prevé el delito de corrupción de personas menores de dieciocho años de edad bajo el supuesto </w:t>
      </w:r>
      <w:r w:rsidRPr="00F0720E">
        <w:rPr>
          <w:rFonts w:ascii="Century Gothic" w:hAnsi="Century Gothic" w:cs="Arial"/>
          <w:i/>
        </w:rPr>
        <w:lastRenderedPageBreak/>
        <w:t>típico de inducirlas a realizar actos sexuales. La anterior descripción legal exige verificar la vulneración al bien jurídico tutelado por la norma penal; mas puede conllevar también la actualización de hipótesis bajo las cuales no se configure el delito. En principio, se debe distinguir cuando la víctima sea infante, en cuyo caso, siempre se configura el delito. En cambio, ante el diverso caso de que la persona identificada como víctima sea adolescente, se debe ponderar si pudo existir una situación de igualdad y libertad frente a la señalada como imputada, lo que justificaría el válido consentimiento de aquélla, pues en estas condiciones no se vulneraría el bien jurídico penal consistente en su sano y libre desarrollo sexual. …”</w:t>
      </w:r>
      <w:r w:rsidRPr="00F0720E">
        <w:rPr>
          <w:rFonts w:ascii="Century Gothic" w:hAnsi="Century Gothic" w:cs="Arial"/>
          <w:i/>
          <w:vertAlign w:val="superscript"/>
        </w:rPr>
        <w:footnoteReference w:id="11"/>
      </w:r>
    </w:p>
    <w:p w14:paraId="116CF404" w14:textId="314CAF51" w:rsidR="00F0720E" w:rsidRDefault="00F0720E" w:rsidP="00F0720E">
      <w:pPr>
        <w:spacing w:line="360" w:lineRule="auto"/>
        <w:ind w:right="335"/>
        <w:jc w:val="both"/>
        <w:rPr>
          <w:rFonts w:ascii="Century Gothic" w:hAnsi="Century Gothic" w:cs="Arial"/>
          <w:i/>
        </w:rPr>
      </w:pPr>
    </w:p>
    <w:p w14:paraId="0CC7514D" w14:textId="21C22CCE" w:rsidR="00FE6D50" w:rsidRDefault="00FE6D50" w:rsidP="00F0720E">
      <w:pPr>
        <w:spacing w:line="360" w:lineRule="auto"/>
        <w:ind w:right="335"/>
        <w:jc w:val="both"/>
        <w:rPr>
          <w:rFonts w:ascii="Century Gothic" w:hAnsi="Century Gothic" w:cs="Arial"/>
          <w:iCs/>
        </w:rPr>
      </w:pPr>
      <w:r>
        <w:rPr>
          <w:rFonts w:ascii="Century Gothic" w:hAnsi="Century Gothic" w:cs="Arial"/>
          <w:iCs/>
        </w:rPr>
        <w:t xml:space="preserve">Por lo que el consentimiento de una persona adolescente que se encuentre en este rango etario, al tener disponibilidad del bien jurídico, se infiere que es válido para sostener una relación o acto sexual. </w:t>
      </w:r>
    </w:p>
    <w:p w14:paraId="2D734ADA" w14:textId="77777777" w:rsidR="00FE6D50" w:rsidRDefault="00FE6D50" w:rsidP="00F0720E">
      <w:pPr>
        <w:spacing w:line="360" w:lineRule="auto"/>
        <w:ind w:right="335"/>
        <w:jc w:val="both"/>
        <w:rPr>
          <w:rFonts w:ascii="Century Gothic" w:hAnsi="Century Gothic" w:cs="Arial"/>
          <w:iCs/>
        </w:rPr>
      </w:pPr>
    </w:p>
    <w:p w14:paraId="65EE7B6F" w14:textId="313D9129" w:rsidR="00FE6D50" w:rsidRPr="00F0720E" w:rsidRDefault="00FE6D50" w:rsidP="00F0720E">
      <w:pPr>
        <w:spacing w:line="360" w:lineRule="auto"/>
        <w:ind w:right="335"/>
        <w:jc w:val="both"/>
        <w:rPr>
          <w:rFonts w:ascii="Century Gothic" w:hAnsi="Century Gothic" w:cs="Arial"/>
          <w:iCs/>
        </w:rPr>
      </w:pPr>
      <w:r>
        <w:rPr>
          <w:rFonts w:ascii="Century Gothic" w:hAnsi="Century Gothic" w:cs="Arial"/>
          <w:iCs/>
        </w:rPr>
        <w:t xml:space="preserve">Esto no quiere decir que todo consentimiento otorgado por la persona adolescente sea válido, ya que puede estar viciado por diversos factores, y es aquí donde la autoridad debe analizar si </w:t>
      </w:r>
      <w:r w:rsidRPr="00FE6D50">
        <w:rPr>
          <w:rFonts w:ascii="Century Gothic" w:hAnsi="Century Gothic" w:cs="Arial"/>
          <w:i/>
          <w:lang w:val="es-MX"/>
        </w:rPr>
        <w:t>no existe una relación asimétrica de poder o cualquier otra condición de desigualdad que impidiera reconocer su consentimiento válido; por ejemplo, una notoria diferencia de edad y desproporcional para justificar lo anterior, cuestiones jerárquicas –de supra a subordinación– que revelaran una condición de poder u otra que viciara su consentimiento válido</w:t>
      </w:r>
      <w:r>
        <w:rPr>
          <w:rFonts w:ascii="Century Gothic" w:hAnsi="Century Gothic" w:cs="Arial"/>
          <w:i/>
          <w:lang w:val="es-MX"/>
        </w:rPr>
        <w:t>.</w:t>
      </w:r>
      <w:r>
        <w:rPr>
          <w:rStyle w:val="Refdenotaalpie"/>
          <w:rFonts w:ascii="Century Gothic" w:hAnsi="Century Gothic" w:cs="Arial"/>
          <w:i/>
          <w:lang w:val="es-MX"/>
        </w:rPr>
        <w:footnoteReference w:id="12"/>
      </w:r>
    </w:p>
    <w:p w14:paraId="0A20E6EA" w14:textId="77777777" w:rsidR="00FE6D50" w:rsidRDefault="00FE6D50" w:rsidP="00F0720E">
      <w:pPr>
        <w:spacing w:line="360" w:lineRule="auto"/>
        <w:ind w:right="335"/>
        <w:jc w:val="both"/>
        <w:rPr>
          <w:rFonts w:ascii="Century Gothic" w:hAnsi="Century Gothic" w:cs="Arial"/>
        </w:rPr>
      </w:pPr>
    </w:p>
    <w:p w14:paraId="6C8735F2" w14:textId="21F69FD2" w:rsidR="00FE6D50" w:rsidRDefault="00DE2535" w:rsidP="00F0720E">
      <w:pPr>
        <w:spacing w:line="360" w:lineRule="auto"/>
        <w:ind w:right="335"/>
        <w:jc w:val="both"/>
        <w:rPr>
          <w:rFonts w:ascii="Century Gothic" w:hAnsi="Century Gothic" w:cs="Arial"/>
          <w:lang w:val="es-MX"/>
        </w:rPr>
      </w:pPr>
      <w:r>
        <w:rPr>
          <w:rFonts w:ascii="Century Gothic" w:hAnsi="Century Gothic" w:cs="Arial"/>
          <w:lang w:val="es-MX"/>
        </w:rPr>
        <w:t>Es por ello que</w:t>
      </w:r>
      <w:r w:rsidR="00F2418C">
        <w:rPr>
          <w:rFonts w:ascii="Century Gothic" w:hAnsi="Century Gothic" w:cs="Arial"/>
          <w:lang w:val="es-MX"/>
        </w:rPr>
        <w:t>,</w:t>
      </w:r>
      <w:r>
        <w:rPr>
          <w:rFonts w:ascii="Century Gothic" w:hAnsi="Century Gothic" w:cs="Arial"/>
          <w:lang w:val="es-MX"/>
        </w:rPr>
        <w:t xml:space="preserve"> </w:t>
      </w:r>
      <w:r w:rsidRPr="00DE2535">
        <w:rPr>
          <w:rFonts w:ascii="Century Gothic" w:hAnsi="Century Gothic" w:cs="Arial"/>
          <w:i/>
          <w:iCs/>
          <w:lang w:val="es-MX"/>
        </w:rPr>
        <w:t>bajo el principio del interés superior de la persona adolescente</w:t>
      </w:r>
      <w:r w:rsidRPr="00DE2535">
        <w:rPr>
          <w:rFonts w:ascii="Century Gothic" w:hAnsi="Century Gothic" w:cs="Arial"/>
          <w:lang w:val="es-MX"/>
        </w:rPr>
        <w:t xml:space="preserve">, </w:t>
      </w:r>
      <w:r>
        <w:rPr>
          <w:rFonts w:ascii="Century Gothic" w:hAnsi="Century Gothic" w:cs="Arial"/>
          <w:lang w:val="es-MX"/>
        </w:rPr>
        <w:t xml:space="preserve">se satisface </w:t>
      </w:r>
      <w:r w:rsidRPr="00DE2535">
        <w:rPr>
          <w:rFonts w:ascii="Century Gothic" w:hAnsi="Century Gothic" w:cs="Arial"/>
          <w:lang w:val="es-MX"/>
        </w:rPr>
        <w:t xml:space="preserve">su derecho a </w:t>
      </w:r>
      <w:r w:rsidRPr="00DE2535">
        <w:rPr>
          <w:rFonts w:ascii="Century Gothic" w:hAnsi="Century Gothic" w:cs="Arial"/>
          <w:i/>
          <w:iCs/>
          <w:lang w:val="es-MX"/>
        </w:rPr>
        <w:t>ejercer su sexualidad de manera libre</w:t>
      </w:r>
      <w:r w:rsidRPr="00DE2535">
        <w:rPr>
          <w:rFonts w:ascii="Century Gothic" w:hAnsi="Century Gothic" w:cs="Arial"/>
          <w:lang w:val="es-MX"/>
        </w:rPr>
        <w:t>; sin prohibición del Estado</w:t>
      </w:r>
      <w:r>
        <w:rPr>
          <w:rFonts w:ascii="Century Gothic" w:hAnsi="Century Gothic" w:cs="Arial"/>
          <w:lang w:val="es-MX"/>
        </w:rPr>
        <w:t xml:space="preserve">, de lo contrario, estaríamos atentando contra el libre desarrollo de su personalidad. </w:t>
      </w:r>
    </w:p>
    <w:p w14:paraId="6E9FB6A2" w14:textId="002E4A15" w:rsidR="00DE2535" w:rsidRDefault="00DE2535" w:rsidP="00F0720E">
      <w:pPr>
        <w:spacing w:line="360" w:lineRule="auto"/>
        <w:ind w:right="335"/>
        <w:jc w:val="both"/>
        <w:rPr>
          <w:rFonts w:ascii="Century Gothic" w:hAnsi="Century Gothic" w:cs="Arial"/>
          <w:lang w:val="es-MX"/>
        </w:rPr>
      </w:pPr>
    </w:p>
    <w:p w14:paraId="6D1808E2" w14:textId="1A2F75B4" w:rsidR="005625B4" w:rsidRDefault="00DE2535" w:rsidP="005625B4">
      <w:pPr>
        <w:spacing w:line="360" w:lineRule="auto"/>
        <w:ind w:right="335"/>
        <w:jc w:val="both"/>
        <w:rPr>
          <w:rFonts w:ascii="Century Gothic" w:hAnsi="Century Gothic" w:cs="Arial"/>
          <w:lang w:val="es-MX"/>
        </w:rPr>
      </w:pPr>
      <w:r>
        <w:rPr>
          <w:rFonts w:ascii="Century Gothic" w:hAnsi="Century Gothic" w:cs="Arial"/>
          <w:lang w:val="es-MX"/>
        </w:rPr>
        <w:t xml:space="preserve">De ahí que, al subir la edad de 14 a 16 años, estaríamos vulnerando desde la Ley, su libre desarrollo, al prohibirles consentir </w:t>
      </w:r>
      <w:r w:rsidR="00F2418C">
        <w:rPr>
          <w:rFonts w:ascii="Century Gothic" w:hAnsi="Century Gothic" w:cs="Arial"/>
          <w:lang w:val="es-MX"/>
        </w:rPr>
        <w:t>la realización de</w:t>
      </w:r>
      <w:r>
        <w:rPr>
          <w:rFonts w:ascii="Century Gothic" w:hAnsi="Century Gothic" w:cs="Arial"/>
          <w:lang w:val="es-MX"/>
        </w:rPr>
        <w:t xml:space="preserve"> una actividad </w:t>
      </w:r>
      <w:r>
        <w:rPr>
          <w:rFonts w:ascii="Century Gothic" w:hAnsi="Century Gothic" w:cs="Arial"/>
          <w:lang w:val="es-MX"/>
        </w:rPr>
        <w:lastRenderedPageBreak/>
        <w:t>sexual</w:t>
      </w:r>
      <w:r w:rsidR="009B7577">
        <w:rPr>
          <w:rFonts w:ascii="Century Gothic" w:hAnsi="Century Gothic" w:cs="Arial"/>
          <w:lang w:val="es-MX"/>
        </w:rPr>
        <w:t>; enfatizando, que esta libertad no es absoluta, ya que conlleva en este rango etario, el verificar que</w:t>
      </w:r>
      <w:r w:rsidR="00F2418C">
        <w:rPr>
          <w:rFonts w:ascii="Century Gothic" w:hAnsi="Century Gothic" w:cs="Arial"/>
          <w:lang w:val="es-MX"/>
        </w:rPr>
        <w:t>,</w:t>
      </w:r>
      <w:r w:rsidR="009B7577">
        <w:rPr>
          <w:rFonts w:ascii="Century Gothic" w:hAnsi="Century Gothic" w:cs="Arial"/>
          <w:lang w:val="es-MX"/>
        </w:rPr>
        <w:t xml:space="preserve"> al momento de otorgar ese consentimiento no existió algún elemento que viciara su permiso.</w:t>
      </w:r>
    </w:p>
    <w:p w14:paraId="452951A5" w14:textId="5D2DF58A" w:rsidR="009B7577" w:rsidRDefault="009B7577" w:rsidP="005625B4">
      <w:pPr>
        <w:spacing w:line="360" w:lineRule="auto"/>
        <w:ind w:right="335"/>
        <w:jc w:val="both"/>
        <w:rPr>
          <w:rFonts w:ascii="Century Gothic" w:hAnsi="Century Gothic" w:cs="Arial"/>
          <w:lang w:val="es-MX"/>
        </w:rPr>
      </w:pPr>
    </w:p>
    <w:p w14:paraId="47319DBA" w14:textId="29C34253" w:rsidR="009B7577" w:rsidRDefault="009B7577" w:rsidP="005625B4">
      <w:pPr>
        <w:spacing w:line="360" w:lineRule="auto"/>
        <w:ind w:right="335"/>
        <w:jc w:val="both"/>
        <w:rPr>
          <w:rFonts w:ascii="Century Gothic" w:hAnsi="Century Gothic" w:cs="Arial"/>
          <w:lang w:val="es-MX"/>
        </w:rPr>
      </w:pPr>
      <w:r>
        <w:rPr>
          <w:rFonts w:ascii="Century Gothic" w:hAnsi="Century Gothic" w:cs="Arial"/>
          <w:lang w:val="es-MX"/>
        </w:rPr>
        <w:t>Es por lo anterior, que no estamos de acuerdo e</w:t>
      </w:r>
      <w:r w:rsidR="00F2418C">
        <w:rPr>
          <w:rFonts w:ascii="Century Gothic" w:hAnsi="Century Gothic" w:cs="Arial"/>
          <w:lang w:val="es-MX"/>
        </w:rPr>
        <w:t>n</w:t>
      </w:r>
      <w:r>
        <w:rPr>
          <w:rFonts w:ascii="Century Gothic" w:hAnsi="Century Gothic" w:cs="Arial"/>
          <w:lang w:val="es-MX"/>
        </w:rPr>
        <w:t xml:space="preserve"> la propuesta para subir el rango etario. </w:t>
      </w:r>
    </w:p>
    <w:p w14:paraId="03EDFB94" w14:textId="5BD919FB" w:rsidR="009B7577" w:rsidRDefault="009B7577" w:rsidP="005625B4">
      <w:pPr>
        <w:spacing w:line="360" w:lineRule="auto"/>
        <w:ind w:right="335"/>
        <w:jc w:val="both"/>
        <w:rPr>
          <w:rFonts w:ascii="Century Gothic" w:hAnsi="Century Gothic" w:cs="Arial"/>
          <w:lang w:val="es-MX"/>
        </w:rPr>
      </w:pPr>
    </w:p>
    <w:p w14:paraId="74913FBC" w14:textId="77777777" w:rsidR="00A03DF9" w:rsidRDefault="009B7577" w:rsidP="007967AF">
      <w:pPr>
        <w:spacing w:line="360" w:lineRule="auto"/>
        <w:ind w:right="335"/>
        <w:jc w:val="both"/>
        <w:rPr>
          <w:rFonts w:ascii="Century Gothic" w:hAnsi="Century Gothic" w:cs="Arial"/>
          <w:lang w:val="es-MX"/>
        </w:rPr>
      </w:pPr>
      <w:r w:rsidRPr="009B7577">
        <w:rPr>
          <w:rFonts w:ascii="Century Gothic" w:hAnsi="Century Gothic" w:cs="Arial"/>
          <w:b/>
          <w:bCs/>
          <w:lang w:val="es-MX"/>
        </w:rPr>
        <w:t>C.</w:t>
      </w:r>
      <w:r>
        <w:rPr>
          <w:rFonts w:ascii="Century Gothic" w:hAnsi="Century Gothic" w:cs="Arial"/>
          <w:lang w:val="es-MX"/>
        </w:rPr>
        <w:t xml:space="preserve"> En cuanto a la </w:t>
      </w:r>
      <w:r w:rsidRPr="009B7577">
        <w:rPr>
          <w:rFonts w:ascii="Century Gothic" w:hAnsi="Century Gothic" w:cs="Arial"/>
          <w:lang w:val="es-MX"/>
        </w:rPr>
        <w:t xml:space="preserve">tercera vertiente legislativa que se pretende reformar en este delito, </w:t>
      </w:r>
      <w:r>
        <w:rPr>
          <w:rFonts w:ascii="Century Gothic" w:hAnsi="Century Gothic" w:cs="Arial"/>
          <w:lang w:val="es-MX"/>
        </w:rPr>
        <w:t xml:space="preserve">esto es, </w:t>
      </w:r>
      <w:r w:rsidR="007967AF" w:rsidRPr="007967AF">
        <w:rPr>
          <w:rFonts w:ascii="Century Gothic" w:hAnsi="Century Gothic" w:cs="Arial"/>
          <w:lang w:val="es-MX"/>
        </w:rPr>
        <w:t xml:space="preserve">aumentar las penas cuando entre el activo y pasivo del sexting exista esta relación de confianza o seguridad, ya sea por parentesco, sentimental, </w:t>
      </w:r>
      <w:r w:rsidR="00A03DF9">
        <w:rPr>
          <w:rFonts w:ascii="Century Gothic" w:hAnsi="Century Gothic" w:cs="Arial"/>
          <w:lang w:val="es-MX"/>
        </w:rPr>
        <w:t>u</w:t>
      </w:r>
      <w:r w:rsidR="007967AF" w:rsidRPr="007967AF">
        <w:rPr>
          <w:rFonts w:ascii="Century Gothic" w:hAnsi="Century Gothic" w:cs="Arial"/>
          <w:lang w:val="es-MX"/>
        </w:rPr>
        <w:t xml:space="preserve"> otras.</w:t>
      </w:r>
    </w:p>
    <w:p w14:paraId="58866F1B" w14:textId="77777777" w:rsidR="00A03DF9" w:rsidRDefault="00A03DF9" w:rsidP="007967AF">
      <w:pPr>
        <w:spacing w:line="360" w:lineRule="auto"/>
        <w:ind w:right="335"/>
        <w:jc w:val="both"/>
        <w:rPr>
          <w:rFonts w:ascii="Century Gothic" w:hAnsi="Century Gothic" w:cs="Arial"/>
          <w:lang w:val="es-MX"/>
        </w:rPr>
      </w:pPr>
    </w:p>
    <w:p w14:paraId="7E8AE70B" w14:textId="60E3C0CD" w:rsidR="007967AF" w:rsidRPr="007967AF" w:rsidRDefault="00A03DF9" w:rsidP="007967AF">
      <w:pPr>
        <w:spacing w:line="360" w:lineRule="auto"/>
        <w:ind w:right="335"/>
        <w:jc w:val="both"/>
        <w:rPr>
          <w:rFonts w:ascii="Century Gothic" w:hAnsi="Century Gothic" w:cs="Arial"/>
          <w:bCs/>
          <w:lang w:val="es-MX"/>
        </w:rPr>
      </w:pPr>
      <w:r>
        <w:rPr>
          <w:rFonts w:ascii="Century Gothic" w:hAnsi="Century Gothic" w:cs="Arial"/>
          <w:lang w:val="es-MX"/>
        </w:rPr>
        <w:t>Su propuesta se sustenta</w:t>
      </w:r>
      <w:r w:rsidR="007967AF">
        <w:rPr>
          <w:rFonts w:ascii="Century Gothic" w:hAnsi="Century Gothic" w:cs="Arial"/>
          <w:lang w:val="es-MX"/>
        </w:rPr>
        <w:t xml:space="preserve"> bajo el argumento de que </w:t>
      </w:r>
      <w:r w:rsidR="007967AF" w:rsidRPr="007967AF">
        <w:rPr>
          <w:rFonts w:ascii="Century Gothic" w:hAnsi="Century Gothic" w:cs="Arial"/>
          <w:lang w:val="es-MX"/>
        </w:rPr>
        <w:t xml:space="preserve">cuando una de estas personas comete un delito en contra de la otra a la que le tenía confianza, la conducta debe agravarse </w:t>
      </w:r>
      <w:r w:rsidR="007967AF" w:rsidRPr="007967AF">
        <w:rPr>
          <w:rFonts w:ascii="Century Gothic" w:hAnsi="Century Gothic" w:cs="Arial"/>
          <w:bCs/>
          <w:lang w:val="es-MX"/>
        </w:rPr>
        <w:t xml:space="preserve">porque la víctima se encuentra en una situación de vulnerabilidad respecto al victimario ya que confía en que no traicionará esta relación. </w:t>
      </w:r>
    </w:p>
    <w:p w14:paraId="32C69B62" w14:textId="31CE7B19" w:rsidR="009B7577" w:rsidRPr="007967AF" w:rsidRDefault="009B7577" w:rsidP="005625B4">
      <w:pPr>
        <w:spacing w:line="360" w:lineRule="auto"/>
        <w:ind w:right="335"/>
        <w:jc w:val="both"/>
        <w:rPr>
          <w:rFonts w:ascii="Century Gothic" w:hAnsi="Century Gothic" w:cs="Arial"/>
          <w:lang w:val="es-MX"/>
        </w:rPr>
      </w:pPr>
    </w:p>
    <w:p w14:paraId="48828AB1" w14:textId="0AD1DAA1" w:rsidR="009B7577" w:rsidRPr="009B7577" w:rsidRDefault="009B7577" w:rsidP="009B7577">
      <w:pPr>
        <w:spacing w:line="360" w:lineRule="auto"/>
        <w:ind w:right="335"/>
        <w:jc w:val="both"/>
        <w:rPr>
          <w:rFonts w:ascii="Century Gothic" w:hAnsi="Century Gothic" w:cs="Arial"/>
          <w:lang w:val="es-MX"/>
        </w:rPr>
      </w:pPr>
      <w:r w:rsidRPr="009B7577">
        <w:rPr>
          <w:rFonts w:ascii="Century Gothic" w:hAnsi="Century Gothic" w:cs="Arial"/>
          <w:lang w:val="es-MX"/>
        </w:rPr>
        <w:t xml:space="preserve">Ahora </w:t>
      </w:r>
      <w:r w:rsidR="007967AF" w:rsidRPr="007967AF">
        <w:rPr>
          <w:rFonts w:ascii="Century Gothic" w:hAnsi="Century Gothic" w:cs="Arial"/>
          <w:lang w:val="es-MX"/>
        </w:rPr>
        <w:t>bien,</w:t>
      </w:r>
      <w:r w:rsidRPr="009B7577">
        <w:rPr>
          <w:rFonts w:ascii="Century Gothic" w:hAnsi="Century Gothic" w:cs="Arial"/>
          <w:lang w:val="es-MX"/>
        </w:rPr>
        <w:t xml:space="preserve"> antes de </w:t>
      </w:r>
      <w:r w:rsidR="007967AF" w:rsidRPr="007967AF">
        <w:rPr>
          <w:rFonts w:ascii="Century Gothic" w:hAnsi="Century Gothic" w:cs="Arial"/>
          <w:lang w:val="es-MX"/>
        </w:rPr>
        <w:t xml:space="preserve">tomar </w:t>
      </w:r>
      <w:r w:rsidRPr="009B7577">
        <w:rPr>
          <w:rFonts w:ascii="Century Gothic" w:hAnsi="Century Gothic" w:cs="Arial"/>
          <w:lang w:val="es-MX"/>
        </w:rPr>
        <w:t>la determinación de agravar o no la conducta en base a la cualidad interactiva sentimental</w:t>
      </w:r>
      <w:r w:rsidR="00AD529D">
        <w:rPr>
          <w:rFonts w:ascii="Century Gothic" w:hAnsi="Century Gothic" w:cs="Arial"/>
          <w:lang w:val="es-MX"/>
        </w:rPr>
        <w:t>,</w:t>
      </w:r>
      <w:r w:rsidRPr="009B7577">
        <w:rPr>
          <w:rFonts w:ascii="Century Gothic" w:hAnsi="Century Gothic" w:cs="Arial"/>
          <w:lang w:val="es-MX"/>
        </w:rPr>
        <w:t xml:space="preserve"> habremos de contextualizar:</w:t>
      </w:r>
    </w:p>
    <w:p w14:paraId="530F885C" w14:textId="77777777" w:rsidR="009B7577" w:rsidRPr="009B7577" w:rsidRDefault="009B7577" w:rsidP="009B7577">
      <w:pPr>
        <w:spacing w:line="360" w:lineRule="auto"/>
        <w:ind w:right="335"/>
        <w:jc w:val="both"/>
        <w:rPr>
          <w:rFonts w:ascii="Century Gothic" w:hAnsi="Century Gothic" w:cs="Arial"/>
          <w:lang w:val="es-MX"/>
        </w:rPr>
      </w:pPr>
    </w:p>
    <w:p w14:paraId="02824110" w14:textId="77777777" w:rsidR="00CF5299" w:rsidRDefault="007967AF" w:rsidP="00CF5299">
      <w:pPr>
        <w:spacing w:line="360" w:lineRule="auto"/>
        <w:ind w:right="335"/>
        <w:jc w:val="both"/>
        <w:rPr>
          <w:rFonts w:ascii="Century Gothic" w:hAnsi="Century Gothic" w:cs="Arial"/>
          <w:lang w:val="es-MX"/>
        </w:rPr>
      </w:pPr>
      <w:r w:rsidRPr="00072A4D">
        <w:rPr>
          <w:rFonts w:ascii="Century Gothic" w:hAnsi="Century Gothic" w:cs="Arial"/>
          <w:bCs/>
          <w:lang w:val="es-MX"/>
        </w:rPr>
        <w:t>El sexting, podríamos decir, fue visibilizado a través de un movimiento nacional</w:t>
      </w:r>
      <w:r>
        <w:rPr>
          <w:rFonts w:ascii="Century Gothic" w:hAnsi="Century Gothic" w:cs="Arial"/>
          <w:b/>
          <w:lang w:val="es-MX"/>
        </w:rPr>
        <w:t xml:space="preserve"> </w:t>
      </w:r>
      <w:r w:rsidR="009B7577" w:rsidRPr="009B7577">
        <w:rPr>
          <w:rFonts w:ascii="Century Gothic" w:hAnsi="Century Gothic" w:cs="Arial"/>
          <w:lang w:val="es-MX"/>
        </w:rPr>
        <w:t xml:space="preserve">para tipificar en todas las entidades </w:t>
      </w:r>
      <w:r>
        <w:rPr>
          <w:rFonts w:ascii="Century Gothic" w:hAnsi="Century Gothic" w:cs="Arial"/>
          <w:lang w:val="es-MX"/>
        </w:rPr>
        <w:t>este</w:t>
      </w:r>
      <w:r w:rsidR="009B7577" w:rsidRPr="009B7577">
        <w:rPr>
          <w:rFonts w:ascii="Century Gothic" w:hAnsi="Century Gothic" w:cs="Arial"/>
          <w:lang w:val="es-MX"/>
        </w:rPr>
        <w:t xml:space="preserve"> delito</w:t>
      </w:r>
      <w:r w:rsidR="00CF5299">
        <w:rPr>
          <w:rFonts w:ascii="Century Gothic" w:hAnsi="Century Gothic" w:cs="Arial"/>
          <w:lang w:val="es-MX"/>
        </w:rPr>
        <w:t>.</w:t>
      </w:r>
    </w:p>
    <w:p w14:paraId="4E750797" w14:textId="77777777" w:rsidR="00CF5299" w:rsidRDefault="00CF5299" w:rsidP="00CF5299">
      <w:pPr>
        <w:spacing w:line="360" w:lineRule="auto"/>
        <w:ind w:right="335"/>
        <w:jc w:val="both"/>
        <w:rPr>
          <w:rFonts w:ascii="Century Gothic" w:hAnsi="Century Gothic" w:cs="Arial"/>
          <w:lang w:val="es-MX"/>
        </w:rPr>
      </w:pPr>
    </w:p>
    <w:p w14:paraId="699EB461" w14:textId="29866C5F" w:rsidR="00CF5299" w:rsidRPr="00CF5299" w:rsidRDefault="00CF5299" w:rsidP="00CF5299">
      <w:pPr>
        <w:spacing w:line="360" w:lineRule="auto"/>
        <w:ind w:right="335"/>
        <w:jc w:val="both"/>
        <w:rPr>
          <w:rFonts w:ascii="Century Gothic" w:hAnsi="Century Gothic" w:cs="Arial"/>
          <w:lang w:val="es-MX"/>
        </w:rPr>
      </w:pPr>
      <w:r>
        <w:rPr>
          <w:rFonts w:ascii="Century Gothic" w:hAnsi="Century Gothic" w:cs="Arial"/>
          <w:lang w:val="es-MX"/>
        </w:rPr>
        <w:lastRenderedPageBreak/>
        <w:t xml:space="preserve">Este movimiento fue </w:t>
      </w:r>
      <w:r w:rsidR="007967AF">
        <w:rPr>
          <w:rFonts w:ascii="Century Gothic" w:hAnsi="Century Gothic" w:cs="Arial"/>
          <w:lang w:val="es-MX"/>
        </w:rPr>
        <w:t xml:space="preserve">encabezado por </w:t>
      </w:r>
      <w:r w:rsidR="00072A4D" w:rsidRPr="009B7577">
        <w:rPr>
          <w:rFonts w:ascii="Century Gothic" w:hAnsi="Century Gothic" w:cs="Arial"/>
          <w:lang w:val="es-MX"/>
        </w:rPr>
        <w:t>Olimpia Coral Melo</w:t>
      </w:r>
      <w:r>
        <w:rPr>
          <w:rFonts w:ascii="Century Gothic" w:hAnsi="Century Gothic" w:cs="Arial"/>
          <w:lang w:val="es-MX"/>
        </w:rPr>
        <w:t xml:space="preserve">, el cual se remonta </w:t>
      </w:r>
      <w:r w:rsidRPr="00CF5299">
        <w:rPr>
          <w:rFonts w:ascii="Century Gothic" w:hAnsi="Century Gothic" w:cs="Arial"/>
          <w:lang w:val="es-MX"/>
        </w:rPr>
        <w:t xml:space="preserve">a cuando Olimpia tenía 18 años de edad y su pareja le pidió que filmaran un video sexual, por lo que accedió, el novio la grabó, pero solo ella aparecía en la imagen, ya que él tomó la grabación. </w:t>
      </w:r>
    </w:p>
    <w:p w14:paraId="087AD4A5" w14:textId="77777777" w:rsidR="00CF5299" w:rsidRPr="00CF5299" w:rsidRDefault="00CF5299" w:rsidP="00CF5299">
      <w:pPr>
        <w:spacing w:line="360" w:lineRule="auto"/>
        <w:ind w:right="335"/>
        <w:jc w:val="both"/>
        <w:rPr>
          <w:rFonts w:ascii="Century Gothic" w:hAnsi="Century Gothic" w:cs="Arial"/>
          <w:lang w:val="es-MX"/>
        </w:rPr>
      </w:pPr>
    </w:p>
    <w:p w14:paraId="6B3C6487" w14:textId="77777777" w:rsidR="00CF5299" w:rsidRPr="00CF5299" w:rsidRDefault="00CF5299" w:rsidP="00CF5299">
      <w:pPr>
        <w:spacing w:line="360" w:lineRule="auto"/>
        <w:ind w:right="335"/>
        <w:jc w:val="both"/>
        <w:rPr>
          <w:rFonts w:ascii="Century Gothic" w:hAnsi="Century Gothic" w:cs="Arial"/>
          <w:lang w:val="es-MX"/>
        </w:rPr>
      </w:pPr>
      <w:r w:rsidRPr="00CF5299">
        <w:rPr>
          <w:rFonts w:ascii="Century Gothic" w:hAnsi="Century Gothic" w:cs="Arial"/>
          <w:lang w:val="es-MX"/>
        </w:rPr>
        <w:t>Este video fue transmitido por la pareja a otras personas, sin el consentimiento de Olimpia; primero se viralizó en WhatsApp y luego en Facebook, y hasta un periódico local publicó imágenes.</w:t>
      </w:r>
    </w:p>
    <w:p w14:paraId="06E97DCA" w14:textId="77777777" w:rsidR="00CF5299" w:rsidRPr="00CF5299" w:rsidRDefault="00CF5299" w:rsidP="00CF5299">
      <w:pPr>
        <w:spacing w:line="360" w:lineRule="auto"/>
        <w:ind w:right="335"/>
        <w:jc w:val="both"/>
        <w:rPr>
          <w:rFonts w:ascii="Century Gothic" w:hAnsi="Century Gothic" w:cs="Arial"/>
          <w:lang w:val="es-MX"/>
        </w:rPr>
      </w:pPr>
    </w:p>
    <w:p w14:paraId="468B73D7" w14:textId="77777777" w:rsidR="00CF5299" w:rsidRPr="00CF5299" w:rsidRDefault="00CF5299" w:rsidP="00CF5299">
      <w:pPr>
        <w:spacing w:line="360" w:lineRule="auto"/>
        <w:ind w:right="335"/>
        <w:jc w:val="both"/>
        <w:rPr>
          <w:rFonts w:ascii="Century Gothic" w:hAnsi="Century Gothic" w:cs="Arial"/>
          <w:lang w:val="es-MX"/>
        </w:rPr>
      </w:pPr>
      <w:r w:rsidRPr="00CF5299">
        <w:rPr>
          <w:rFonts w:ascii="Century Gothic" w:hAnsi="Century Gothic" w:cs="Arial"/>
          <w:lang w:val="es-MX"/>
        </w:rPr>
        <w:t>En la ciudad de Puebla le pusieron un apodo a Olimpia, la cual intentó suicidarse hasta en tres ocasiones, sin embargo, pudo salir adelante y tomó conciencia de que ella no era la culpable, sino la víctima, y que esa conducta no estaba tipificada como un delito, por ende, la autoridad ministerial no investigaba; tampoco estaba reconocida como una manifestación de violencia en contra de las mujeres</w:t>
      </w:r>
      <w:r w:rsidRPr="00CF5299">
        <w:rPr>
          <w:rFonts w:ascii="Century Gothic" w:hAnsi="Century Gothic" w:cs="Arial"/>
          <w:vertAlign w:val="superscript"/>
          <w:lang w:val="es-MX"/>
        </w:rPr>
        <w:footnoteReference w:id="13"/>
      </w:r>
      <w:r w:rsidRPr="00CF5299">
        <w:rPr>
          <w:rFonts w:ascii="Century Gothic" w:hAnsi="Century Gothic" w:cs="Arial"/>
          <w:lang w:val="es-MX"/>
        </w:rPr>
        <w:t xml:space="preserve">. </w:t>
      </w:r>
    </w:p>
    <w:p w14:paraId="6EE7E78E" w14:textId="77777777" w:rsidR="00CF5299" w:rsidRPr="00CF5299" w:rsidRDefault="00CF5299" w:rsidP="00CF5299">
      <w:pPr>
        <w:spacing w:line="360" w:lineRule="auto"/>
        <w:ind w:right="335"/>
        <w:jc w:val="both"/>
        <w:rPr>
          <w:rFonts w:ascii="Century Gothic" w:hAnsi="Century Gothic" w:cs="Arial"/>
          <w:lang w:val="es-MX"/>
        </w:rPr>
      </w:pPr>
    </w:p>
    <w:p w14:paraId="51AB145E" w14:textId="77777777" w:rsidR="00CF5299" w:rsidRPr="00CF5299" w:rsidRDefault="00CF5299" w:rsidP="00CF5299">
      <w:pPr>
        <w:spacing w:line="360" w:lineRule="auto"/>
        <w:ind w:right="335"/>
        <w:jc w:val="both"/>
        <w:rPr>
          <w:rFonts w:ascii="Century Gothic" w:hAnsi="Century Gothic" w:cs="Arial"/>
          <w:bCs/>
          <w:i/>
          <w:lang w:val="es-MX"/>
        </w:rPr>
      </w:pPr>
      <w:r w:rsidRPr="00CF5299">
        <w:rPr>
          <w:rFonts w:ascii="Century Gothic" w:hAnsi="Century Gothic" w:cs="Arial"/>
          <w:bCs/>
          <w:lang w:val="es-MX"/>
        </w:rPr>
        <w:t xml:space="preserve">A partir de ahí, Olimpia empezó un movimiento que fue creciendo hasta llegar a influir en legislaciones para la realización de diversas reformas que reconozcan la violencia digital y </w:t>
      </w:r>
      <w:r w:rsidRPr="00CF5299">
        <w:rPr>
          <w:rFonts w:ascii="Century Gothic" w:hAnsi="Century Gothic" w:cs="Arial"/>
          <w:bCs/>
          <w:i/>
          <w:lang w:val="es-MX"/>
        </w:rPr>
        <w:t>sancionar los delitos que violen la intimidad sexual de las personas a través de medios digitales, también conocida como ciberviolencia</w:t>
      </w:r>
      <w:r w:rsidRPr="00CF5299">
        <w:rPr>
          <w:rFonts w:ascii="Century Gothic" w:hAnsi="Century Gothic" w:cs="Arial"/>
          <w:bCs/>
          <w:i/>
          <w:vertAlign w:val="superscript"/>
          <w:lang w:val="es-MX"/>
        </w:rPr>
        <w:footnoteReference w:id="14"/>
      </w:r>
    </w:p>
    <w:p w14:paraId="2B3935A3" w14:textId="77777777" w:rsidR="00CF5299" w:rsidRPr="00CF5299" w:rsidRDefault="00CF5299" w:rsidP="00CF5299">
      <w:pPr>
        <w:spacing w:line="360" w:lineRule="auto"/>
        <w:ind w:right="335"/>
        <w:jc w:val="both"/>
        <w:rPr>
          <w:rFonts w:ascii="Century Gothic" w:hAnsi="Century Gothic" w:cs="Arial"/>
          <w:i/>
          <w:lang w:val="es-MX"/>
        </w:rPr>
      </w:pPr>
    </w:p>
    <w:p w14:paraId="4CCB7FBD" w14:textId="39494FDF" w:rsidR="00CF5299" w:rsidRPr="00CF5299" w:rsidRDefault="00CF5299" w:rsidP="00CF5299">
      <w:pPr>
        <w:spacing w:line="360" w:lineRule="auto"/>
        <w:ind w:right="335"/>
        <w:jc w:val="both"/>
        <w:rPr>
          <w:rFonts w:ascii="Century Gothic" w:hAnsi="Century Gothic" w:cs="Arial"/>
          <w:lang w:val="es-MX"/>
        </w:rPr>
      </w:pPr>
      <w:r w:rsidRPr="00CF5299">
        <w:rPr>
          <w:rFonts w:ascii="Century Gothic" w:hAnsi="Century Gothic" w:cs="Arial"/>
          <w:lang w:val="es-MX"/>
        </w:rPr>
        <w:lastRenderedPageBreak/>
        <w:t>Estas conductas han sido reconocidas como aquellas que atentan contra la intimidad sexual y son</w:t>
      </w:r>
      <w:r w:rsidR="00AD529D">
        <w:rPr>
          <w:rFonts w:ascii="Century Gothic" w:hAnsi="Century Gothic" w:cs="Arial"/>
          <w:lang w:val="es-MX"/>
        </w:rPr>
        <w:t>:</w:t>
      </w:r>
      <w:r w:rsidRPr="00CF5299">
        <w:rPr>
          <w:rFonts w:ascii="Century Gothic" w:hAnsi="Century Gothic" w:cs="Arial"/>
          <w:lang w:val="es-MX"/>
        </w:rPr>
        <w:t xml:space="preserve"> </w:t>
      </w:r>
      <w:r w:rsidR="00AD529D">
        <w:rPr>
          <w:rFonts w:ascii="Century Gothic" w:hAnsi="Century Gothic" w:cs="Arial"/>
          <w:lang w:val="es-MX"/>
        </w:rPr>
        <w:t>El v</w:t>
      </w:r>
      <w:r w:rsidRPr="00CF5299">
        <w:rPr>
          <w:rFonts w:ascii="Century Gothic" w:hAnsi="Century Gothic" w:cs="Arial"/>
          <w:i/>
          <w:lang w:val="es-MX"/>
        </w:rPr>
        <w:t>ideo grabar, audio grabar, fotografiar o elaborar videos reales o simulados de contenido sexual íntimo, de una persona sin su consentimiento o mediante engaño</w:t>
      </w:r>
      <w:r w:rsidRPr="00CF5299">
        <w:rPr>
          <w:rFonts w:ascii="Century Gothic" w:hAnsi="Century Gothic" w:cs="Arial"/>
          <w:lang w:val="es-MX"/>
        </w:rPr>
        <w:t xml:space="preserve">. o </w:t>
      </w:r>
      <w:r w:rsidRPr="00CF5299">
        <w:rPr>
          <w:rFonts w:ascii="Century Gothic" w:hAnsi="Century Gothic" w:cs="Arial"/>
          <w:i/>
          <w:lang w:val="es-MX"/>
        </w:rPr>
        <w:t>Exponer, distribuir, difundir, exhibir, reproducir, transmitir, comercializar, ofertar, intercambiar y compartir imágenes, audios o videos de contenido sexual íntimo de una persona, a sabiendas de que no existe consentimiento, mediante materiales impresos, correo electrónico, mensajes telefónicos, redes sociales o cualquier medio tecnológico</w:t>
      </w:r>
      <w:r w:rsidRPr="00CF5299">
        <w:rPr>
          <w:rFonts w:ascii="Century Gothic" w:hAnsi="Century Gothic" w:cs="Arial"/>
          <w:lang w:val="es-MX"/>
        </w:rPr>
        <w:t>.</w:t>
      </w:r>
      <w:r w:rsidRPr="00CF5299">
        <w:rPr>
          <w:rFonts w:ascii="Century Gothic" w:hAnsi="Century Gothic" w:cs="Arial"/>
          <w:vertAlign w:val="superscript"/>
          <w:lang w:val="es-MX"/>
        </w:rPr>
        <w:footnoteReference w:id="15"/>
      </w:r>
    </w:p>
    <w:p w14:paraId="09FFDDB8" w14:textId="77777777" w:rsidR="009B7577" w:rsidRPr="009B7577" w:rsidRDefault="009B7577" w:rsidP="009B7577">
      <w:pPr>
        <w:spacing w:line="360" w:lineRule="auto"/>
        <w:ind w:right="335"/>
        <w:jc w:val="both"/>
        <w:rPr>
          <w:rFonts w:ascii="Century Gothic" w:hAnsi="Century Gothic" w:cs="Arial"/>
          <w:lang w:val="es-MX"/>
        </w:rPr>
      </w:pPr>
    </w:p>
    <w:p w14:paraId="37E99191" w14:textId="77777777" w:rsidR="009B7577" w:rsidRPr="009B7577" w:rsidRDefault="009B7577" w:rsidP="009B7577">
      <w:pPr>
        <w:spacing w:line="360" w:lineRule="auto"/>
        <w:ind w:right="335"/>
        <w:jc w:val="both"/>
        <w:rPr>
          <w:rFonts w:ascii="Century Gothic" w:hAnsi="Century Gothic" w:cs="Arial"/>
          <w:lang w:val="es-MX"/>
        </w:rPr>
      </w:pPr>
      <w:r w:rsidRPr="009B7577">
        <w:rPr>
          <w:rFonts w:ascii="Century Gothic" w:hAnsi="Century Gothic" w:cs="Arial"/>
          <w:lang w:val="es-MX"/>
        </w:rPr>
        <w:t xml:space="preserve">Posterior, en marzo de 2017, en Chihuahua se tipifica el sexting, aquí se sancionaba esa conducta primigenia que da origen al movimiento Olimpia, es decir, se penaliza el compartir sin el consentimiento de la persona implicada, material de contenido sexual. </w:t>
      </w:r>
    </w:p>
    <w:p w14:paraId="16824A95" w14:textId="77777777" w:rsidR="009B7577" w:rsidRPr="009B7577" w:rsidRDefault="009B7577" w:rsidP="009B7577">
      <w:pPr>
        <w:spacing w:line="360" w:lineRule="auto"/>
        <w:ind w:right="335"/>
        <w:jc w:val="both"/>
        <w:rPr>
          <w:rFonts w:ascii="Century Gothic" w:hAnsi="Century Gothic" w:cs="Arial"/>
          <w:lang w:val="es-MX"/>
        </w:rPr>
      </w:pPr>
    </w:p>
    <w:p w14:paraId="1F7406FB" w14:textId="390A1ACE" w:rsidR="009B7577" w:rsidRPr="009B7577" w:rsidRDefault="009B7577" w:rsidP="009B7577">
      <w:pPr>
        <w:spacing w:line="360" w:lineRule="auto"/>
        <w:ind w:right="335"/>
        <w:jc w:val="both"/>
        <w:rPr>
          <w:rFonts w:ascii="Century Gothic" w:hAnsi="Century Gothic" w:cs="Arial"/>
          <w:lang w:val="es-MX"/>
        </w:rPr>
      </w:pPr>
      <w:r w:rsidRPr="009B7577">
        <w:rPr>
          <w:rFonts w:ascii="Century Gothic" w:hAnsi="Century Gothic" w:cs="Arial"/>
          <w:lang w:val="es-MX"/>
        </w:rPr>
        <w:t>Por ende, y de acuerdo al dictamen de creación</w:t>
      </w:r>
      <w:r w:rsidRPr="009B7577">
        <w:rPr>
          <w:rFonts w:ascii="Century Gothic" w:hAnsi="Century Gothic" w:cs="Arial"/>
          <w:vertAlign w:val="superscript"/>
          <w:lang w:val="es-MX"/>
        </w:rPr>
        <w:footnoteReference w:id="16"/>
      </w:r>
      <w:r w:rsidRPr="009B7577">
        <w:rPr>
          <w:rFonts w:ascii="Century Gothic" w:hAnsi="Century Gothic" w:cs="Arial"/>
          <w:lang w:val="es-MX"/>
        </w:rPr>
        <w:t>,  el tipo penal sancionaba a dos tipos de personas</w:t>
      </w:r>
      <w:r w:rsidR="00CF5299">
        <w:rPr>
          <w:rFonts w:ascii="Century Gothic" w:hAnsi="Century Gothic" w:cs="Arial"/>
          <w:lang w:val="es-MX"/>
        </w:rPr>
        <w:t>:</w:t>
      </w:r>
      <w:r w:rsidRPr="009B7577">
        <w:rPr>
          <w:rFonts w:ascii="Century Gothic" w:hAnsi="Century Gothic" w:cs="Arial"/>
          <w:lang w:val="es-MX"/>
        </w:rPr>
        <w:t xml:space="preserve"> </w:t>
      </w:r>
      <w:r w:rsidR="00CF5299">
        <w:rPr>
          <w:rFonts w:ascii="Century Gothic" w:hAnsi="Century Gothic" w:cs="Arial"/>
          <w:lang w:val="es-MX"/>
        </w:rPr>
        <w:t>(</w:t>
      </w:r>
      <w:r w:rsidRPr="009B7577">
        <w:rPr>
          <w:rFonts w:ascii="Century Gothic" w:hAnsi="Century Gothic" w:cs="Arial"/>
          <w:lang w:val="es-MX"/>
        </w:rPr>
        <w:t>1</w:t>
      </w:r>
      <w:r w:rsidR="00CF5299">
        <w:rPr>
          <w:rFonts w:ascii="Century Gothic" w:hAnsi="Century Gothic" w:cs="Arial"/>
          <w:lang w:val="es-MX"/>
        </w:rPr>
        <w:t>)</w:t>
      </w:r>
      <w:r w:rsidRPr="009B7577">
        <w:rPr>
          <w:rFonts w:ascii="Century Gothic" w:hAnsi="Century Gothic" w:cs="Arial"/>
          <w:lang w:val="es-MX"/>
        </w:rPr>
        <w:t xml:space="preserve"> </w:t>
      </w:r>
      <w:r w:rsidR="00781835">
        <w:rPr>
          <w:rFonts w:ascii="Century Gothic" w:hAnsi="Century Gothic" w:cs="Arial"/>
          <w:lang w:val="es-MX"/>
        </w:rPr>
        <w:t>A</w:t>
      </w:r>
      <w:r w:rsidRPr="009B7577">
        <w:rPr>
          <w:rFonts w:ascii="Century Gothic" w:hAnsi="Century Gothic" w:cs="Arial"/>
          <w:lang w:val="es-MX"/>
        </w:rPr>
        <w:t xml:space="preserve"> quien obtiene o recibe ese material</w:t>
      </w:r>
      <w:r w:rsidR="00781835">
        <w:rPr>
          <w:rFonts w:ascii="Century Gothic" w:hAnsi="Century Gothic" w:cs="Arial"/>
          <w:lang w:val="es-MX"/>
        </w:rPr>
        <w:t xml:space="preserve"> de la víctima</w:t>
      </w:r>
      <w:r w:rsidRPr="009B7577">
        <w:rPr>
          <w:rFonts w:ascii="Century Gothic" w:hAnsi="Century Gothic" w:cs="Arial"/>
          <w:lang w:val="es-MX"/>
        </w:rPr>
        <w:t xml:space="preserve"> y </w:t>
      </w:r>
      <w:r w:rsidR="00781835">
        <w:rPr>
          <w:rFonts w:ascii="Century Gothic" w:hAnsi="Century Gothic" w:cs="Arial"/>
          <w:lang w:val="es-MX"/>
        </w:rPr>
        <w:t>(2)</w:t>
      </w:r>
      <w:r w:rsidRPr="009B7577">
        <w:rPr>
          <w:rFonts w:ascii="Century Gothic" w:hAnsi="Century Gothic" w:cs="Arial"/>
          <w:lang w:val="es-MX"/>
        </w:rPr>
        <w:t xml:space="preserve"> A quien furtivamente obtienen ese </w:t>
      </w:r>
      <w:r w:rsidR="00781835">
        <w:rPr>
          <w:rFonts w:ascii="Century Gothic" w:hAnsi="Century Gothic" w:cs="Arial"/>
          <w:lang w:val="es-MX"/>
        </w:rPr>
        <w:t>contenido</w:t>
      </w:r>
      <w:r w:rsidRPr="009B7577">
        <w:rPr>
          <w:rFonts w:ascii="Century Gothic" w:hAnsi="Century Gothic" w:cs="Arial"/>
          <w:lang w:val="es-MX"/>
        </w:rPr>
        <w:t>.</w:t>
      </w:r>
    </w:p>
    <w:p w14:paraId="413C7E49" w14:textId="77777777" w:rsidR="009B7577" w:rsidRPr="009B7577" w:rsidRDefault="009B7577" w:rsidP="009B7577">
      <w:pPr>
        <w:spacing w:line="360" w:lineRule="auto"/>
        <w:ind w:right="335"/>
        <w:jc w:val="both"/>
        <w:rPr>
          <w:rFonts w:ascii="Century Gothic" w:hAnsi="Century Gothic" w:cs="Arial"/>
          <w:lang w:val="es-MX"/>
        </w:rPr>
      </w:pPr>
    </w:p>
    <w:p w14:paraId="48C58BB6" w14:textId="77777777" w:rsidR="009B7577" w:rsidRPr="009B7577" w:rsidRDefault="009B7577" w:rsidP="009B7577">
      <w:pPr>
        <w:spacing w:line="360" w:lineRule="auto"/>
        <w:ind w:right="335"/>
        <w:jc w:val="both"/>
        <w:rPr>
          <w:rFonts w:ascii="Century Gothic" w:hAnsi="Century Gothic" w:cs="Arial"/>
          <w:lang w:val="es-MX"/>
        </w:rPr>
      </w:pPr>
      <w:r w:rsidRPr="009B7577">
        <w:rPr>
          <w:rFonts w:ascii="Century Gothic" w:hAnsi="Century Gothic" w:cs="Arial"/>
          <w:lang w:val="es-MX"/>
        </w:rPr>
        <w:t xml:space="preserve">En enero de 2021, entró en vigor una modificación al sexting para sancionar, un tercer grupo de personas, esto es, aquellas que no obtienen directamente de la víctima esta información o que lo hacen a escondidas, sino que les </w:t>
      </w:r>
      <w:r w:rsidRPr="009B7577">
        <w:rPr>
          <w:rFonts w:ascii="Century Gothic" w:hAnsi="Century Gothic" w:cs="Arial"/>
          <w:lang w:val="es-MX"/>
        </w:rPr>
        <w:lastRenderedPageBreak/>
        <w:t xml:space="preserve">comparten el material sexual, y saben que la difusión se realiza sin el consentimiento de la persona implicada y aun así lo trasmiten. </w:t>
      </w:r>
    </w:p>
    <w:p w14:paraId="5D8DB31C" w14:textId="77777777" w:rsidR="009B7577" w:rsidRPr="009B7577" w:rsidRDefault="009B7577" w:rsidP="009B7577">
      <w:pPr>
        <w:spacing w:line="360" w:lineRule="auto"/>
        <w:ind w:right="335"/>
        <w:jc w:val="both"/>
        <w:rPr>
          <w:rFonts w:ascii="Century Gothic" w:hAnsi="Century Gothic" w:cs="Arial"/>
          <w:lang w:val="es-MX"/>
        </w:rPr>
      </w:pPr>
    </w:p>
    <w:p w14:paraId="1A2980D4" w14:textId="63D87A78" w:rsidR="009B7577" w:rsidRPr="009B7577" w:rsidRDefault="009B7577" w:rsidP="009B7577">
      <w:pPr>
        <w:spacing w:line="360" w:lineRule="auto"/>
        <w:ind w:right="335"/>
        <w:jc w:val="both"/>
        <w:rPr>
          <w:rFonts w:ascii="Century Gothic" w:hAnsi="Century Gothic" w:cs="Arial"/>
          <w:lang w:val="es-MX"/>
        </w:rPr>
      </w:pPr>
      <w:r w:rsidRPr="009B7577">
        <w:rPr>
          <w:rFonts w:ascii="Century Gothic" w:hAnsi="Century Gothic" w:cs="Arial"/>
          <w:lang w:val="es-MX"/>
        </w:rPr>
        <w:t>En resumen, el tipo básico sanciona a quien obtiene (ya sea porque el mismo lo grava o porque la víctima le comparte esta información sexual) y a quien furtivamente recopila este material. Y existe una atenuante para aquellos terceros que comparten dicha información</w:t>
      </w:r>
      <w:r w:rsidR="00781835">
        <w:rPr>
          <w:rFonts w:ascii="Century Gothic" w:hAnsi="Century Gothic" w:cs="Arial"/>
          <w:lang w:val="es-MX"/>
        </w:rPr>
        <w:t xml:space="preserve"> a sabiendas que fue trasmitido sin consentimiento de la víctima</w:t>
      </w:r>
      <w:r w:rsidRPr="009B7577">
        <w:rPr>
          <w:rFonts w:ascii="Century Gothic" w:hAnsi="Century Gothic" w:cs="Arial"/>
          <w:lang w:val="es-MX"/>
        </w:rPr>
        <w:t>.</w:t>
      </w:r>
      <w:r w:rsidRPr="009B7577">
        <w:rPr>
          <w:rFonts w:ascii="Century Gothic" w:hAnsi="Century Gothic" w:cs="Arial"/>
          <w:vertAlign w:val="superscript"/>
          <w:lang w:val="es-MX"/>
        </w:rPr>
        <w:footnoteReference w:id="17"/>
      </w:r>
      <w:r w:rsidRPr="009B7577">
        <w:rPr>
          <w:rFonts w:ascii="Century Gothic" w:hAnsi="Century Gothic" w:cs="Arial"/>
          <w:lang w:val="es-MX"/>
        </w:rPr>
        <w:t xml:space="preserve">  </w:t>
      </w:r>
    </w:p>
    <w:p w14:paraId="454004EE" w14:textId="77777777" w:rsidR="009B7577" w:rsidRPr="009B7577" w:rsidRDefault="009B7577" w:rsidP="009B7577">
      <w:pPr>
        <w:spacing w:line="360" w:lineRule="auto"/>
        <w:ind w:right="335"/>
        <w:jc w:val="both"/>
        <w:rPr>
          <w:rFonts w:ascii="Century Gothic" w:hAnsi="Century Gothic" w:cs="Arial"/>
          <w:lang w:val="es-MX"/>
        </w:rPr>
      </w:pPr>
    </w:p>
    <w:p w14:paraId="4409F5FA" w14:textId="2D67F32A" w:rsidR="009B7577" w:rsidRPr="009B7577" w:rsidRDefault="009B7577" w:rsidP="009B7577">
      <w:pPr>
        <w:spacing w:line="360" w:lineRule="auto"/>
        <w:ind w:right="335"/>
        <w:jc w:val="both"/>
        <w:rPr>
          <w:rFonts w:ascii="Century Gothic" w:hAnsi="Century Gothic" w:cs="Arial"/>
          <w:lang w:val="es-MX"/>
        </w:rPr>
      </w:pPr>
      <w:r w:rsidRPr="009B7577">
        <w:rPr>
          <w:rFonts w:ascii="Century Gothic" w:hAnsi="Century Gothic" w:cs="Arial"/>
          <w:lang w:val="es-MX"/>
        </w:rPr>
        <w:t xml:space="preserve">Una vez contextualizado, </w:t>
      </w:r>
      <w:r w:rsidR="00781835">
        <w:rPr>
          <w:rFonts w:ascii="Century Gothic" w:hAnsi="Century Gothic" w:cs="Arial"/>
          <w:lang w:val="es-MX"/>
        </w:rPr>
        <w:t>y e</w:t>
      </w:r>
      <w:r w:rsidR="00EA6E89">
        <w:rPr>
          <w:rFonts w:ascii="Century Gothic" w:hAnsi="Century Gothic" w:cs="Arial"/>
          <w:lang w:val="es-MX"/>
        </w:rPr>
        <w:t>n</w:t>
      </w:r>
      <w:r w:rsidR="00781835">
        <w:rPr>
          <w:rFonts w:ascii="Century Gothic" w:hAnsi="Century Gothic" w:cs="Arial"/>
          <w:lang w:val="es-MX"/>
        </w:rPr>
        <w:t xml:space="preserve"> virtud del ejemplo de homicidio, en el que sustenta su propuesta para agravar la pena cuando se traiciona la confianza, debemos comprender que </w:t>
      </w:r>
      <w:r w:rsidRPr="009B7577">
        <w:rPr>
          <w:rFonts w:ascii="Century Gothic" w:hAnsi="Century Gothic" w:cs="Arial"/>
          <w:lang w:val="es-MX"/>
        </w:rPr>
        <w:t xml:space="preserve">la naturaleza del homicidio y el sexting son distintos, en el primero, cualquier persona puede ser víctima-victimario, en cambio en el sexting no, ya que como acabamos de ver, surge de una confianza que le guarda la víctima al victimario para compartirle la información intima. Por ende, entendemos que la mayor parte de casos se presentan por motivo de la traición a esta confianza. </w:t>
      </w:r>
    </w:p>
    <w:p w14:paraId="4D2E57A7" w14:textId="77777777" w:rsidR="009B7577" w:rsidRPr="009B7577" w:rsidRDefault="009B7577" w:rsidP="009B7577">
      <w:pPr>
        <w:spacing w:line="360" w:lineRule="auto"/>
        <w:ind w:right="335"/>
        <w:jc w:val="both"/>
        <w:rPr>
          <w:rFonts w:ascii="Century Gothic" w:hAnsi="Century Gothic" w:cs="Arial"/>
          <w:lang w:val="es-MX"/>
        </w:rPr>
      </w:pPr>
    </w:p>
    <w:p w14:paraId="05E587B9" w14:textId="785D05B6" w:rsidR="009B7577" w:rsidRPr="009B7577" w:rsidRDefault="009B7577" w:rsidP="009B7577">
      <w:pPr>
        <w:spacing w:line="360" w:lineRule="auto"/>
        <w:ind w:right="335"/>
        <w:jc w:val="both"/>
        <w:rPr>
          <w:rFonts w:ascii="Century Gothic" w:hAnsi="Century Gothic" w:cs="Arial"/>
          <w:lang w:val="es-MX"/>
        </w:rPr>
      </w:pPr>
      <w:r w:rsidRPr="009B7577">
        <w:rPr>
          <w:rFonts w:ascii="Century Gothic" w:hAnsi="Century Gothic" w:cs="Arial"/>
          <w:lang w:val="es-MX"/>
        </w:rPr>
        <w:t>De ahí que, si se accede a agravar la pena e</w:t>
      </w:r>
      <w:r w:rsidR="00EA6E89">
        <w:rPr>
          <w:rFonts w:ascii="Century Gothic" w:hAnsi="Century Gothic" w:cs="Arial"/>
          <w:lang w:val="es-MX"/>
        </w:rPr>
        <w:t>n</w:t>
      </w:r>
      <w:r w:rsidRPr="009B7577">
        <w:rPr>
          <w:rFonts w:ascii="Century Gothic" w:hAnsi="Century Gothic" w:cs="Arial"/>
          <w:lang w:val="es-MX"/>
        </w:rPr>
        <w:t xml:space="preserve"> virtud de la </w:t>
      </w:r>
      <w:r w:rsidRPr="009B7577">
        <w:rPr>
          <w:rFonts w:ascii="Century Gothic" w:hAnsi="Century Gothic" w:cs="Arial"/>
          <w:bCs/>
          <w:lang w:val="es-MX"/>
        </w:rPr>
        <w:t>cualidad interactiva sentimental</w:t>
      </w:r>
      <w:r w:rsidRPr="009B7577">
        <w:rPr>
          <w:rFonts w:ascii="Century Gothic" w:hAnsi="Century Gothic" w:cs="Arial"/>
          <w:lang w:val="es-MX"/>
        </w:rPr>
        <w:t xml:space="preserve">, la mayor parte de los delitos serian agravados. </w:t>
      </w:r>
    </w:p>
    <w:p w14:paraId="519486D1" w14:textId="77777777" w:rsidR="009B7577" w:rsidRPr="009B7577" w:rsidRDefault="009B7577" w:rsidP="009B7577">
      <w:pPr>
        <w:spacing w:line="360" w:lineRule="auto"/>
        <w:ind w:right="335"/>
        <w:jc w:val="both"/>
        <w:rPr>
          <w:rFonts w:ascii="Century Gothic" w:hAnsi="Century Gothic" w:cs="Arial"/>
          <w:lang w:val="es-MX"/>
        </w:rPr>
      </w:pPr>
    </w:p>
    <w:p w14:paraId="4A04EC1F" w14:textId="13FF424D" w:rsidR="009B7577" w:rsidRPr="009B7577" w:rsidRDefault="00EA6E89" w:rsidP="009B7577">
      <w:pPr>
        <w:spacing w:line="360" w:lineRule="auto"/>
        <w:ind w:right="335"/>
        <w:jc w:val="both"/>
        <w:rPr>
          <w:rFonts w:ascii="Century Gothic" w:hAnsi="Century Gothic" w:cs="Arial"/>
          <w:lang w:val="es-MX"/>
        </w:rPr>
      </w:pPr>
      <w:r>
        <w:rPr>
          <w:rFonts w:ascii="Century Gothic" w:hAnsi="Century Gothic" w:cs="Arial"/>
          <w:lang w:val="es-MX"/>
        </w:rPr>
        <w:lastRenderedPageBreak/>
        <w:t xml:space="preserve">Si accediéramos a la </w:t>
      </w:r>
      <w:r w:rsidR="009B7577" w:rsidRPr="009B7577">
        <w:rPr>
          <w:rFonts w:ascii="Century Gothic" w:hAnsi="Century Gothic" w:cs="Arial"/>
          <w:lang w:val="es-MX"/>
        </w:rPr>
        <w:t xml:space="preserve">propuesta de la iniciativa, el tipo básico serían los casos furtivos, la agravante seria por esta relación sentimental y la atenuante por aquellos </w:t>
      </w:r>
      <w:r>
        <w:rPr>
          <w:rFonts w:ascii="Century Gothic" w:hAnsi="Century Gothic" w:cs="Arial"/>
          <w:lang w:val="es-MX"/>
        </w:rPr>
        <w:t>terceros</w:t>
      </w:r>
      <w:r w:rsidR="009B7577" w:rsidRPr="009B7577">
        <w:rPr>
          <w:rFonts w:ascii="Century Gothic" w:hAnsi="Century Gothic" w:cs="Arial"/>
          <w:lang w:val="es-MX"/>
        </w:rPr>
        <w:t xml:space="preserve">, </w:t>
      </w:r>
      <w:r>
        <w:rPr>
          <w:rFonts w:ascii="Century Gothic" w:hAnsi="Century Gothic" w:cs="Arial"/>
          <w:lang w:val="es-MX"/>
        </w:rPr>
        <w:t>desnaturalizando con ello el delito.</w:t>
      </w:r>
      <w:r w:rsidR="009B7577" w:rsidRPr="009B7577">
        <w:rPr>
          <w:rFonts w:ascii="Century Gothic" w:hAnsi="Century Gothic" w:cs="Arial"/>
          <w:lang w:val="es-MX"/>
        </w:rPr>
        <w:t xml:space="preserve"> </w:t>
      </w:r>
    </w:p>
    <w:p w14:paraId="39E34631" w14:textId="77777777" w:rsidR="009B7577" w:rsidRPr="009B7577" w:rsidRDefault="009B7577" w:rsidP="009B7577">
      <w:pPr>
        <w:spacing w:line="360" w:lineRule="auto"/>
        <w:ind w:right="335"/>
        <w:jc w:val="both"/>
        <w:rPr>
          <w:rFonts w:ascii="Century Gothic" w:hAnsi="Century Gothic" w:cs="Arial"/>
          <w:lang w:val="es-MX"/>
        </w:rPr>
      </w:pPr>
    </w:p>
    <w:p w14:paraId="5F0892FA" w14:textId="7A7E7A73" w:rsidR="009B7577" w:rsidRPr="009B7577" w:rsidRDefault="009B7577" w:rsidP="009B7577">
      <w:pPr>
        <w:spacing w:line="360" w:lineRule="auto"/>
        <w:ind w:right="335"/>
        <w:jc w:val="both"/>
        <w:rPr>
          <w:rFonts w:ascii="Century Gothic" w:hAnsi="Century Gothic" w:cs="Arial"/>
          <w:lang w:val="es-MX"/>
        </w:rPr>
      </w:pPr>
      <w:r w:rsidRPr="009B7577">
        <w:rPr>
          <w:rFonts w:ascii="Century Gothic" w:hAnsi="Century Gothic" w:cs="Arial"/>
          <w:lang w:val="es-MX"/>
        </w:rPr>
        <w:t>Sin embargo, lo anterior no es impedimento para no aumentar las penas, ya que podrían quedar con una atenuante</w:t>
      </w:r>
      <w:r w:rsidR="00EA6E89">
        <w:rPr>
          <w:rFonts w:ascii="Century Gothic" w:hAnsi="Century Gothic" w:cs="Arial"/>
          <w:lang w:val="es-MX"/>
        </w:rPr>
        <w:t xml:space="preserve"> la hipótesis de terceros, </w:t>
      </w:r>
      <w:r w:rsidRPr="009B7577">
        <w:rPr>
          <w:rFonts w:ascii="Century Gothic" w:hAnsi="Century Gothic" w:cs="Arial"/>
          <w:lang w:val="es-MX"/>
        </w:rPr>
        <w:t>una agravante de la atenuante los casos furtivos</w:t>
      </w:r>
      <w:r w:rsidR="00EA6E89">
        <w:rPr>
          <w:rFonts w:ascii="Century Gothic" w:hAnsi="Century Gothic" w:cs="Arial"/>
          <w:lang w:val="es-MX"/>
        </w:rPr>
        <w:t>,</w:t>
      </w:r>
      <w:r w:rsidRPr="009B7577">
        <w:rPr>
          <w:rFonts w:ascii="Century Gothic" w:hAnsi="Century Gothic" w:cs="Arial"/>
          <w:lang w:val="es-MX"/>
        </w:rPr>
        <w:t xml:space="preserve"> y el tipo básico en las relaciones de confianza</w:t>
      </w:r>
      <w:r w:rsidR="00EA6E89">
        <w:rPr>
          <w:rFonts w:ascii="Century Gothic" w:hAnsi="Century Gothic" w:cs="Arial"/>
          <w:lang w:val="es-MX"/>
        </w:rPr>
        <w:t>, con ello la naturaleza del tipo básico continua,</w:t>
      </w:r>
      <w:r w:rsidRPr="009B7577">
        <w:rPr>
          <w:rFonts w:ascii="Century Gothic" w:hAnsi="Century Gothic" w:cs="Arial"/>
          <w:lang w:val="es-MX"/>
        </w:rPr>
        <w:t xml:space="preserve"> empero, no hemos encontrado justificación, hasta este momento</w:t>
      </w:r>
      <w:r w:rsidR="00EA6E89">
        <w:rPr>
          <w:rFonts w:ascii="Century Gothic" w:hAnsi="Century Gothic" w:cs="Arial"/>
          <w:lang w:val="es-MX"/>
        </w:rPr>
        <w:t>,</w:t>
      </w:r>
      <w:r w:rsidRPr="009B7577">
        <w:rPr>
          <w:rFonts w:ascii="Century Gothic" w:hAnsi="Century Gothic" w:cs="Arial"/>
          <w:lang w:val="es-MX"/>
        </w:rPr>
        <w:t xml:space="preserve"> que nos obligue a modificar todo el sistema punitivo del sexting. </w:t>
      </w:r>
    </w:p>
    <w:p w14:paraId="66FB5E1B" w14:textId="77777777" w:rsidR="009B7577" w:rsidRPr="009B7577" w:rsidRDefault="009B7577" w:rsidP="009B7577">
      <w:pPr>
        <w:spacing w:line="360" w:lineRule="auto"/>
        <w:ind w:right="335"/>
        <w:jc w:val="both"/>
        <w:rPr>
          <w:rFonts w:ascii="Century Gothic" w:hAnsi="Century Gothic" w:cs="Arial"/>
          <w:lang w:val="es-MX"/>
        </w:rPr>
      </w:pPr>
    </w:p>
    <w:p w14:paraId="4D87E8C1" w14:textId="3423CA03" w:rsidR="009B7577" w:rsidRDefault="0079792A" w:rsidP="005625B4">
      <w:pPr>
        <w:spacing w:line="360" w:lineRule="auto"/>
        <w:ind w:right="335"/>
        <w:jc w:val="both"/>
        <w:rPr>
          <w:rFonts w:ascii="Century Gothic" w:hAnsi="Century Gothic" w:cs="Arial"/>
          <w:lang w:val="es-MX"/>
        </w:rPr>
      </w:pPr>
      <w:r w:rsidRPr="0079792A">
        <w:rPr>
          <w:rFonts w:ascii="Century Gothic" w:hAnsi="Century Gothic" w:cs="Arial"/>
          <w:b/>
          <w:bCs/>
        </w:rPr>
        <w:t xml:space="preserve">IV.- </w:t>
      </w:r>
      <w:r>
        <w:rPr>
          <w:rFonts w:ascii="Century Gothic" w:hAnsi="Century Gothic" w:cs="Arial"/>
        </w:rPr>
        <w:t xml:space="preserve">En otro orden de ideas, respecto a </w:t>
      </w:r>
      <w:r w:rsidRPr="0079792A">
        <w:rPr>
          <w:rFonts w:ascii="Century Gothic" w:hAnsi="Century Gothic" w:cs="Arial"/>
        </w:rPr>
        <w:t>la segunda</w:t>
      </w:r>
      <w:r>
        <w:rPr>
          <w:rFonts w:ascii="Century Gothic" w:hAnsi="Century Gothic" w:cs="Arial"/>
        </w:rPr>
        <w:t xml:space="preserve"> área de oportunidad legislativa, visualizada</w:t>
      </w:r>
      <w:r w:rsidRPr="0079792A">
        <w:rPr>
          <w:rFonts w:ascii="Century Gothic" w:hAnsi="Century Gothic" w:cs="Arial"/>
        </w:rPr>
        <w:t xml:space="preserve"> dentro de los Delitos Contra la Paz, la Seguridad de las Personas y la Inviolabilidad del Domicilio, en su modalidad expuesta en la </w:t>
      </w:r>
      <w:r w:rsidRPr="0079792A">
        <w:rPr>
          <w:rFonts w:ascii="Century Gothic" w:hAnsi="Century Gothic" w:cs="Arial"/>
          <w:b/>
        </w:rPr>
        <w:t>Extorsión</w:t>
      </w:r>
      <w:r w:rsidRPr="0079792A">
        <w:rPr>
          <w:rFonts w:ascii="Century Gothic" w:hAnsi="Century Gothic" w:cs="Arial"/>
          <w:lang w:val="es-MX"/>
        </w:rPr>
        <w:t>.</w:t>
      </w:r>
      <w:r w:rsidR="00733F3B">
        <w:rPr>
          <w:rFonts w:ascii="Century Gothic" w:hAnsi="Century Gothic" w:cs="Arial"/>
          <w:lang w:val="es-MX"/>
        </w:rPr>
        <w:t xml:space="preserve"> La iniciativa</w:t>
      </w:r>
      <w:r w:rsidR="00733F3B" w:rsidRPr="00733F3B">
        <w:rPr>
          <w:rFonts w:ascii="Century Gothic" w:hAnsi="Century Gothic" w:cs="Arial"/>
          <w:lang w:val="es-MX"/>
        </w:rPr>
        <w:t xml:space="preserve"> solicita que se visibilice el sexting, introduciéndolo como una hipótesis agravante.</w:t>
      </w:r>
    </w:p>
    <w:p w14:paraId="78AAB18E" w14:textId="476A8068" w:rsidR="009B7577" w:rsidRDefault="009B7577" w:rsidP="005625B4">
      <w:pPr>
        <w:spacing w:line="360" w:lineRule="auto"/>
        <w:ind w:right="335"/>
        <w:jc w:val="both"/>
        <w:rPr>
          <w:rFonts w:ascii="Century Gothic" w:hAnsi="Century Gothic" w:cs="Arial"/>
          <w:lang w:val="es-MX"/>
        </w:rPr>
      </w:pPr>
    </w:p>
    <w:p w14:paraId="319C18A0" w14:textId="78D9AF79" w:rsidR="00733F3B" w:rsidRPr="00733F3B" w:rsidRDefault="00733F3B" w:rsidP="00733F3B">
      <w:pPr>
        <w:spacing w:line="360" w:lineRule="auto"/>
        <w:ind w:right="335"/>
        <w:jc w:val="both"/>
        <w:rPr>
          <w:rFonts w:ascii="Century Gothic" w:hAnsi="Century Gothic" w:cs="Arial"/>
          <w:bCs/>
          <w:lang w:val="es-MX"/>
        </w:rPr>
      </w:pPr>
      <w:r w:rsidRPr="00733F3B">
        <w:rPr>
          <w:rFonts w:ascii="Century Gothic" w:hAnsi="Century Gothic" w:cs="Arial"/>
          <w:bCs/>
          <w:lang w:val="es-MX"/>
        </w:rPr>
        <w:t>Si lo que se pretende es visibilizar el sextin</w:t>
      </w:r>
      <w:r>
        <w:rPr>
          <w:rFonts w:ascii="Century Gothic" w:hAnsi="Century Gothic" w:cs="Arial"/>
          <w:bCs/>
          <w:lang w:val="es-MX"/>
        </w:rPr>
        <w:t>g</w:t>
      </w:r>
      <w:r w:rsidRPr="00733F3B">
        <w:rPr>
          <w:rFonts w:ascii="Century Gothic" w:hAnsi="Century Gothic" w:cs="Arial"/>
          <w:bCs/>
          <w:lang w:val="es-MX"/>
        </w:rPr>
        <w:t xml:space="preserve"> en la extorsión como medio comisivo, y que la autoridad jurisdiccional condene por esta figura, hay que comprender que el elemento finalista de la extorsión es el </w:t>
      </w:r>
      <w:r>
        <w:rPr>
          <w:rFonts w:ascii="Century Gothic" w:hAnsi="Century Gothic" w:cs="Arial"/>
          <w:bCs/>
          <w:lang w:val="es-MX"/>
        </w:rPr>
        <w:t>l</w:t>
      </w:r>
      <w:r w:rsidRPr="00733F3B">
        <w:rPr>
          <w:rFonts w:ascii="Century Gothic" w:hAnsi="Century Gothic" w:cs="Arial"/>
          <w:bCs/>
          <w:lang w:val="es-MX"/>
        </w:rPr>
        <w:t>ucro, en cambio</w:t>
      </w:r>
      <w:r w:rsidR="0001038C">
        <w:rPr>
          <w:rFonts w:ascii="Century Gothic" w:hAnsi="Century Gothic" w:cs="Arial"/>
          <w:bCs/>
          <w:lang w:val="es-MX"/>
        </w:rPr>
        <w:t>,</w:t>
      </w:r>
      <w:r w:rsidRPr="00733F3B">
        <w:rPr>
          <w:rFonts w:ascii="Century Gothic" w:hAnsi="Century Gothic" w:cs="Arial"/>
          <w:bCs/>
          <w:lang w:val="es-MX"/>
        </w:rPr>
        <w:t xml:space="preserve"> en el sexting </w:t>
      </w:r>
      <w:r>
        <w:rPr>
          <w:rFonts w:ascii="Century Gothic" w:hAnsi="Century Gothic" w:cs="Arial"/>
          <w:bCs/>
          <w:lang w:val="es-MX"/>
        </w:rPr>
        <w:t xml:space="preserve">tenemos </w:t>
      </w:r>
      <w:r w:rsidRPr="00733F3B">
        <w:rPr>
          <w:rFonts w:ascii="Century Gothic" w:hAnsi="Century Gothic" w:cs="Arial"/>
          <w:bCs/>
          <w:lang w:val="es-MX"/>
        </w:rPr>
        <w:t>elementos</w:t>
      </w:r>
      <w:r>
        <w:rPr>
          <w:rFonts w:ascii="Century Gothic" w:hAnsi="Century Gothic" w:cs="Arial"/>
          <w:bCs/>
          <w:lang w:val="es-MX"/>
        </w:rPr>
        <w:t xml:space="preserve"> en donde no se </w:t>
      </w:r>
      <w:r w:rsidR="00CF4498">
        <w:rPr>
          <w:rFonts w:ascii="Century Gothic" w:hAnsi="Century Gothic" w:cs="Arial"/>
          <w:bCs/>
          <w:lang w:val="es-MX"/>
        </w:rPr>
        <w:t>expresa</w:t>
      </w:r>
      <w:r>
        <w:rPr>
          <w:rFonts w:ascii="Century Gothic" w:hAnsi="Century Gothic" w:cs="Arial"/>
          <w:bCs/>
          <w:lang w:val="es-MX"/>
        </w:rPr>
        <w:t xml:space="preserve"> aquella finalidad lucrativa, como la </w:t>
      </w:r>
      <w:r w:rsidRPr="00733F3B">
        <w:rPr>
          <w:rFonts w:ascii="Century Gothic" w:hAnsi="Century Gothic" w:cs="Arial"/>
          <w:bCs/>
          <w:lang w:val="es-MX"/>
        </w:rPr>
        <w:t>obtención de imágenes</w:t>
      </w:r>
      <w:r w:rsidR="0001038C">
        <w:rPr>
          <w:rFonts w:ascii="Century Gothic" w:hAnsi="Century Gothic" w:cs="Arial"/>
          <w:bCs/>
          <w:lang w:val="es-MX"/>
        </w:rPr>
        <w:t xml:space="preserve"> de contenido sexual</w:t>
      </w:r>
      <w:r w:rsidRPr="00733F3B">
        <w:rPr>
          <w:rFonts w:ascii="Century Gothic" w:hAnsi="Century Gothic" w:cs="Arial"/>
          <w:bCs/>
          <w:lang w:val="es-MX"/>
        </w:rPr>
        <w:t>,</w:t>
      </w:r>
      <w:r w:rsidR="0001038C">
        <w:rPr>
          <w:rFonts w:ascii="Century Gothic" w:hAnsi="Century Gothic" w:cs="Arial"/>
          <w:bCs/>
          <w:lang w:val="es-MX"/>
        </w:rPr>
        <w:t xml:space="preserve"> </w:t>
      </w:r>
      <w:r w:rsidR="00CF4498">
        <w:rPr>
          <w:rFonts w:ascii="Century Gothic" w:hAnsi="Century Gothic" w:cs="Arial"/>
          <w:bCs/>
          <w:lang w:val="es-MX"/>
        </w:rPr>
        <w:t>su</w:t>
      </w:r>
      <w:r w:rsidRPr="00733F3B">
        <w:rPr>
          <w:rFonts w:ascii="Century Gothic" w:hAnsi="Century Gothic" w:cs="Arial"/>
          <w:bCs/>
          <w:lang w:val="es-MX"/>
        </w:rPr>
        <w:t xml:space="preserve"> revelación sin consentimiento</w:t>
      </w:r>
      <w:r>
        <w:rPr>
          <w:rFonts w:ascii="Century Gothic" w:hAnsi="Century Gothic" w:cs="Arial"/>
          <w:bCs/>
          <w:lang w:val="es-MX"/>
        </w:rPr>
        <w:t xml:space="preserve"> </w:t>
      </w:r>
      <w:r w:rsidR="0001038C">
        <w:rPr>
          <w:rFonts w:ascii="Century Gothic" w:hAnsi="Century Gothic" w:cs="Arial"/>
          <w:bCs/>
          <w:lang w:val="es-MX"/>
        </w:rPr>
        <w:t>de la víctima</w:t>
      </w:r>
      <w:r w:rsidRPr="00733F3B">
        <w:rPr>
          <w:rFonts w:ascii="Century Gothic" w:hAnsi="Century Gothic" w:cs="Arial"/>
          <w:bCs/>
          <w:lang w:val="es-MX"/>
        </w:rPr>
        <w:t xml:space="preserve"> y</w:t>
      </w:r>
      <w:r w:rsidR="0001038C">
        <w:rPr>
          <w:rFonts w:ascii="Century Gothic" w:hAnsi="Century Gothic" w:cs="Arial"/>
          <w:bCs/>
          <w:lang w:val="es-MX"/>
        </w:rPr>
        <w:t xml:space="preserve"> la</w:t>
      </w:r>
      <w:r w:rsidRPr="00733F3B">
        <w:rPr>
          <w:rFonts w:ascii="Century Gothic" w:hAnsi="Century Gothic" w:cs="Arial"/>
          <w:bCs/>
          <w:lang w:val="es-MX"/>
        </w:rPr>
        <w:t xml:space="preserve"> afectación</w:t>
      </w:r>
      <w:r w:rsidR="00CF4498">
        <w:rPr>
          <w:rFonts w:ascii="Century Gothic" w:hAnsi="Century Gothic" w:cs="Arial"/>
          <w:bCs/>
          <w:lang w:val="es-MX"/>
        </w:rPr>
        <w:t xml:space="preserve"> a</w:t>
      </w:r>
      <w:r w:rsidRPr="00733F3B">
        <w:rPr>
          <w:rFonts w:ascii="Century Gothic" w:hAnsi="Century Gothic" w:cs="Arial"/>
          <w:bCs/>
          <w:lang w:val="es-MX"/>
        </w:rPr>
        <w:t xml:space="preserve"> </w:t>
      </w:r>
      <w:r w:rsidR="0001038C">
        <w:rPr>
          <w:rFonts w:ascii="Century Gothic" w:hAnsi="Century Gothic" w:cs="Arial"/>
          <w:bCs/>
          <w:lang w:val="es-MX"/>
        </w:rPr>
        <w:t xml:space="preserve">su intimidad; estos </w:t>
      </w:r>
      <w:r w:rsidR="0001038C">
        <w:rPr>
          <w:rFonts w:ascii="Century Gothic" w:hAnsi="Century Gothic" w:cs="Arial"/>
          <w:bCs/>
          <w:lang w:val="es-MX"/>
        </w:rPr>
        <w:lastRenderedPageBreak/>
        <w:t xml:space="preserve">elementos objetivos, pueden tener una finalidad distinta al lucro, como el violentar a la víctima o satisfacer su lascivia. </w:t>
      </w:r>
    </w:p>
    <w:p w14:paraId="4C697BDB" w14:textId="77777777" w:rsidR="00733F3B" w:rsidRPr="00733F3B" w:rsidRDefault="00733F3B" w:rsidP="00733F3B">
      <w:pPr>
        <w:spacing w:line="360" w:lineRule="auto"/>
        <w:ind w:right="335"/>
        <w:jc w:val="both"/>
        <w:rPr>
          <w:rFonts w:ascii="Century Gothic" w:hAnsi="Century Gothic" w:cs="Arial"/>
          <w:bCs/>
          <w:lang w:val="es-MX"/>
        </w:rPr>
      </w:pPr>
    </w:p>
    <w:p w14:paraId="228AF16B" w14:textId="720EB36C" w:rsidR="00980BF5" w:rsidRDefault="00CF4498" w:rsidP="00733F3B">
      <w:pPr>
        <w:spacing w:line="360" w:lineRule="auto"/>
        <w:ind w:right="335"/>
        <w:jc w:val="both"/>
        <w:rPr>
          <w:rFonts w:ascii="Century Gothic" w:hAnsi="Century Gothic" w:cs="Arial"/>
          <w:bCs/>
          <w:lang w:val="es-MX"/>
        </w:rPr>
      </w:pPr>
      <w:r>
        <w:rPr>
          <w:rFonts w:ascii="Century Gothic" w:hAnsi="Century Gothic" w:cs="Arial"/>
          <w:bCs/>
          <w:lang w:val="es-MX"/>
        </w:rPr>
        <w:t xml:space="preserve">Es por </w:t>
      </w:r>
      <w:r w:rsidR="00980BF5">
        <w:rPr>
          <w:rFonts w:ascii="Century Gothic" w:hAnsi="Century Gothic" w:cs="Arial"/>
          <w:bCs/>
          <w:lang w:val="es-MX"/>
        </w:rPr>
        <w:t>ello que</w:t>
      </w:r>
      <w:r w:rsidR="003D63FC">
        <w:rPr>
          <w:rFonts w:ascii="Century Gothic" w:hAnsi="Century Gothic" w:cs="Arial"/>
          <w:bCs/>
          <w:lang w:val="es-MX"/>
        </w:rPr>
        <w:t>,</w:t>
      </w:r>
      <w:r w:rsidR="00980BF5">
        <w:rPr>
          <w:rFonts w:ascii="Century Gothic" w:hAnsi="Century Gothic" w:cs="Arial"/>
          <w:bCs/>
          <w:lang w:val="es-MX"/>
        </w:rPr>
        <w:t xml:space="preserve"> si establecemos el sexting como agravante de la extorsión, necesariamente, para activar la reprochabilidad agravada, se necesita colmar las hipótesis del tipo básico de la extorsión, entre las que se encuentra el elemento subjetivo del delito, esto es, la intencionalidad de obtener un lucro.</w:t>
      </w:r>
    </w:p>
    <w:p w14:paraId="3B8AA097" w14:textId="77777777" w:rsidR="00980BF5" w:rsidRDefault="00980BF5" w:rsidP="00733F3B">
      <w:pPr>
        <w:spacing w:line="360" w:lineRule="auto"/>
        <w:ind w:right="335"/>
        <w:jc w:val="both"/>
        <w:rPr>
          <w:rFonts w:ascii="Century Gothic" w:hAnsi="Century Gothic" w:cs="Arial"/>
          <w:bCs/>
          <w:lang w:val="es-MX"/>
        </w:rPr>
      </w:pPr>
    </w:p>
    <w:p w14:paraId="674D48CD" w14:textId="5B3B600D" w:rsidR="003D63FC" w:rsidRDefault="00980BF5" w:rsidP="00980BF5">
      <w:pPr>
        <w:spacing w:line="360" w:lineRule="auto"/>
        <w:ind w:right="335"/>
        <w:jc w:val="both"/>
        <w:rPr>
          <w:rFonts w:ascii="Century Gothic" w:hAnsi="Century Gothic" w:cs="Arial"/>
          <w:bCs/>
        </w:rPr>
      </w:pPr>
      <w:r>
        <w:rPr>
          <w:rFonts w:ascii="Century Gothic" w:hAnsi="Century Gothic" w:cs="Arial"/>
          <w:bCs/>
          <w:lang w:val="es-MX"/>
        </w:rPr>
        <w:t xml:space="preserve">En otras palabras, el activo estaría </w:t>
      </w:r>
      <w:r w:rsidR="003D63FC">
        <w:rPr>
          <w:rFonts w:ascii="Century Gothic" w:hAnsi="Century Gothic" w:cs="Arial"/>
          <w:bCs/>
          <w:lang w:val="es-MX"/>
        </w:rPr>
        <w:t>obligando</w:t>
      </w:r>
      <w:r>
        <w:rPr>
          <w:rFonts w:ascii="Century Gothic" w:hAnsi="Century Gothic" w:cs="Arial"/>
          <w:bCs/>
          <w:lang w:val="es-MX"/>
        </w:rPr>
        <w:t xml:space="preserve"> a la víctima,</w:t>
      </w:r>
      <w:r w:rsidR="003D63FC">
        <w:rPr>
          <w:rFonts w:ascii="Century Gothic" w:hAnsi="Century Gothic" w:cs="Arial"/>
          <w:bCs/>
          <w:lang w:val="es-MX"/>
        </w:rPr>
        <w:t xml:space="preserve"> a través de la violencia o la intimidación, para que le proporcione</w:t>
      </w:r>
      <w:r>
        <w:rPr>
          <w:rFonts w:ascii="Century Gothic" w:hAnsi="Century Gothic" w:cs="Arial"/>
          <w:bCs/>
          <w:lang w:val="es-MX"/>
        </w:rPr>
        <w:t xml:space="preserve"> contenido </w:t>
      </w:r>
      <w:r w:rsidR="003D63FC">
        <w:rPr>
          <w:rFonts w:ascii="Century Gothic" w:hAnsi="Century Gothic" w:cs="Arial"/>
          <w:bCs/>
          <w:lang w:val="es-MX"/>
        </w:rPr>
        <w:t xml:space="preserve">intimo </w:t>
      </w:r>
      <w:r>
        <w:rPr>
          <w:rFonts w:ascii="Century Gothic" w:hAnsi="Century Gothic" w:cs="Arial"/>
          <w:bCs/>
          <w:lang w:val="es-MX"/>
        </w:rPr>
        <w:t>sexual, no para satisfacer su lascivia o dañarla, sino para obtener un beneficio económico</w:t>
      </w:r>
      <w:r w:rsidR="003D63FC">
        <w:rPr>
          <w:rFonts w:ascii="Century Gothic" w:hAnsi="Century Gothic" w:cs="Arial"/>
          <w:bCs/>
          <w:lang w:val="es-MX"/>
        </w:rPr>
        <w:t xml:space="preserve">, pero si fuese así, consideramos que este tipo de casos, ya son contemplados en </w:t>
      </w:r>
      <w:r w:rsidR="003D63FC" w:rsidRPr="003D63FC">
        <w:rPr>
          <w:rFonts w:ascii="Century Gothic" w:hAnsi="Century Gothic" w:cs="Arial"/>
          <w:bCs/>
        </w:rPr>
        <w:t xml:space="preserve">Ley General </w:t>
      </w:r>
      <w:r w:rsidR="003D63FC">
        <w:rPr>
          <w:rFonts w:ascii="Century Gothic" w:hAnsi="Century Gothic" w:cs="Arial"/>
          <w:bCs/>
        </w:rPr>
        <w:t>p</w:t>
      </w:r>
      <w:r w:rsidR="003D63FC" w:rsidRPr="003D63FC">
        <w:rPr>
          <w:rFonts w:ascii="Century Gothic" w:hAnsi="Century Gothic" w:cs="Arial"/>
          <w:bCs/>
        </w:rPr>
        <w:t xml:space="preserve">ara Prevenir, Sancionar </w:t>
      </w:r>
      <w:r w:rsidR="003D63FC">
        <w:rPr>
          <w:rFonts w:ascii="Century Gothic" w:hAnsi="Century Gothic" w:cs="Arial"/>
          <w:bCs/>
        </w:rPr>
        <w:t>y</w:t>
      </w:r>
      <w:r w:rsidR="003D63FC" w:rsidRPr="003D63FC">
        <w:rPr>
          <w:rFonts w:ascii="Century Gothic" w:hAnsi="Century Gothic" w:cs="Arial"/>
          <w:bCs/>
        </w:rPr>
        <w:t xml:space="preserve"> Erradicar </w:t>
      </w:r>
      <w:r w:rsidR="003D63FC">
        <w:rPr>
          <w:rFonts w:ascii="Century Gothic" w:hAnsi="Century Gothic" w:cs="Arial"/>
          <w:bCs/>
        </w:rPr>
        <w:t>l</w:t>
      </w:r>
      <w:r w:rsidR="003D63FC" w:rsidRPr="003D63FC">
        <w:rPr>
          <w:rFonts w:ascii="Century Gothic" w:hAnsi="Century Gothic" w:cs="Arial"/>
          <w:bCs/>
        </w:rPr>
        <w:t xml:space="preserve">os Delitos </w:t>
      </w:r>
      <w:r w:rsidR="003D63FC">
        <w:rPr>
          <w:rFonts w:ascii="Century Gothic" w:hAnsi="Century Gothic" w:cs="Arial"/>
          <w:bCs/>
        </w:rPr>
        <w:t>e</w:t>
      </w:r>
      <w:r w:rsidR="003D63FC" w:rsidRPr="003D63FC">
        <w:rPr>
          <w:rFonts w:ascii="Century Gothic" w:hAnsi="Century Gothic" w:cs="Arial"/>
          <w:bCs/>
        </w:rPr>
        <w:t xml:space="preserve">n Materia </w:t>
      </w:r>
      <w:r w:rsidR="003D63FC">
        <w:rPr>
          <w:rFonts w:ascii="Century Gothic" w:hAnsi="Century Gothic" w:cs="Arial"/>
          <w:bCs/>
        </w:rPr>
        <w:t>d</w:t>
      </w:r>
      <w:r w:rsidR="003D63FC" w:rsidRPr="003D63FC">
        <w:rPr>
          <w:rFonts w:ascii="Century Gothic" w:hAnsi="Century Gothic" w:cs="Arial"/>
          <w:bCs/>
        </w:rPr>
        <w:t xml:space="preserve">e Trata </w:t>
      </w:r>
      <w:r w:rsidR="003D63FC">
        <w:rPr>
          <w:rFonts w:ascii="Century Gothic" w:hAnsi="Century Gothic" w:cs="Arial"/>
          <w:bCs/>
        </w:rPr>
        <w:t>d</w:t>
      </w:r>
      <w:r w:rsidR="003D63FC" w:rsidRPr="003D63FC">
        <w:rPr>
          <w:rFonts w:ascii="Century Gothic" w:hAnsi="Century Gothic" w:cs="Arial"/>
          <w:bCs/>
        </w:rPr>
        <w:t xml:space="preserve">e Personas </w:t>
      </w:r>
      <w:r w:rsidR="003D63FC">
        <w:rPr>
          <w:rFonts w:ascii="Century Gothic" w:hAnsi="Century Gothic" w:cs="Arial"/>
          <w:bCs/>
        </w:rPr>
        <w:t>y</w:t>
      </w:r>
      <w:r w:rsidR="003D63FC" w:rsidRPr="003D63FC">
        <w:rPr>
          <w:rFonts w:ascii="Century Gothic" w:hAnsi="Century Gothic" w:cs="Arial"/>
          <w:bCs/>
        </w:rPr>
        <w:t xml:space="preserve"> </w:t>
      </w:r>
      <w:r w:rsidR="003D63FC">
        <w:rPr>
          <w:rFonts w:ascii="Century Gothic" w:hAnsi="Century Gothic" w:cs="Arial"/>
          <w:bCs/>
        </w:rPr>
        <w:t>p</w:t>
      </w:r>
      <w:r w:rsidR="003D63FC" w:rsidRPr="003D63FC">
        <w:rPr>
          <w:rFonts w:ascii="Century Gothic" w:hAnsi="Century Gothic" w:cs="Arial"/>
          <w:bCs/>
        </w:rPr>
        <w:t xml:space="preserve">ara </w:t>
      </w:r>
      <w:r w:rsidR="003D63FC">
        <w:rPr>
          <w:rFonts w:ascii="Century Gothic" w:hAnsi="Century Gothic" w:cs="Arial"/>
          <w:bCs/>
        </w:rPr>
        <w:t>l</w:t>
      </w:r>
      <w:r w:rsidR="003D63FC" w:rsidRPr="003D63FC">
        <w:rPr>
          <w:rFonts w:ascii="Century Gothic" w:hAnsi="Century Gothic" w:cs="Arial"/>
          <w:bCs/>
        </w:rPr>
        <w:t xml:space="preserve">a Protección </w:t>
      </w:r>
      <w:r w:rsidR="003D63FC">
        <w:rPr>
          <w:rFonts w:ascii="Century Gothic" w:hAnsi="Century Gothic" w:cs="Arial"/>
          <w:bCs/>
        </w:rPr>
        <w:t>y</w:t>
      </w:r>
      <w:r w:rsidR="003D63FC" w:rsidRPr="003D63FC">
        <w:rPr>
          <w:rFonts w:ascii="Century Gothic" w:hAnsi="Century Gothic" w:cs="Arial"/>
          <w:bCs/>
        </w:rPr>
        <w:t xml:space="preserve"> Asistencia </w:t>
      </w:r>
      <w:r w:rsidR="003D63FC">
        <w:rPr>
          <w:rFonts w:ascii="Century Gothic" w:hAnsi="Century Gothic" w:cs="Arial"/>
          <w:bCs/>
        </w:rPr>
        <w:t>a</w:t>
      </w:r>
      <w:r w:rsidR="003D63FC" w:rsidRPr="003D63FC">
        <w:rPr>
          <w:rFonts w:ascii="Century Gothic" w:hAnsi="Century Gothic" w:cs="Arial"/>
          <w:bCs/>
        </w:rPr>
        <w:t xml:space="preserve"> </w:t>
      </w:r>
      <w:r w:rsidR="003D63FC">
        <w:rPr>
          <w:rFonts w:ascii="Century Gothic" w:hAnsi="Century Gothic" w:cs="Arial"/>
          <w:bCs/>
        </w:rPr>
        <w:t>l</w:t>
      </w:r>
      <w:r w:rsidR="003D63FC" w:rsidRPr="003D63FC">
        <w:rPr>
          <w:rFonts w:ascii="Century Gothic" w:hAnsi="Century Gothic" w:cs="Arial"/>
          <w:bCs/>
        </w:rPr>
        <w:t xml:space="preserve">as Víctimas </w:t>
      </w:r>
      <w:r w:rsidR="003D63FC">
        <w:rPr>
          <w:rFonts w:ascii="Century Gothic" w:hAnsi="Century Gothic" w:cs="Arial"/>
          <w:bCs/>
        </w:rPr>
        <w:t>d</w:t>
      </w:r>
      <w:r w:rsidR="003D63FC" w:rsidRPr="003D63FC">
        <w:rPr>
          <w:rFonts w:ascii="Century Gothic" w:hAnsi="Century Gothic" w:cs="Arial"/>
          <w:bCs/>
        </w:rPr>
        <w:t xml:space="preserve">e </w:t>
      </w:r>
      <w:r w:rsidR="003D63FC">
        <w:rPr>
          <w:rFonts w:ascii="Century Gothic" w:hAnsi="Century Gothic" w:cs="Arial"/>
          <w:bCs/>
        </w:rPr>
        <w:t>e</w:t>
      </w:r>
      <w:r w:rsidR="003D63FC" w:rsidRPr="003D63FC">
        <w:rPr>
          <w:rFonts w:ascii="Century Gothic" w:hAnsi="Century Gothic" w:cs="Arial"/>
          <w:bCs/>
        </w:rPr>
        <w:t>stos Delitos</w:t>
      </w:r>
      <w:r w:rsidR="007B6673">
        <w:rPr>
          <w:rFonts w:ascii="Century Gothic" w:hAnsi="Century Gothic" w:cs="Arial"/>
          <w:bCs/>
        </w:rPr>
        <w:t xml:space="preserve">; tal y como se refiere a continuación: </w:t>
      </w:r>
    </w:p>
    <w:p w14:paraId="56653E97" w14:textId="77777777" w:rsidR="003D63FC" w:rsidRDefault="003D63FC" w:rsidP="00980BF5">
      <w:pPr>
        <w:spacing w:line="360" w:lineRule="auto"/>
        <w:ind w:right="335"/>
        <w:jc w:val="both"/>
        <w:rPr>
          <w:rFonts w:ascii="Century Gothic" w:hAnsi="Century Gothic" w:cs="Arial"/>
          <w:bCs/>
        </w:rPr>
      </w:pPr>
    </w:p>
    <w:p w14:paraId="13479423" w14:textId="77777777" w:rsidR="007B6673" w:rsidRPr="007B6673" w:rsidRDefault="007B6673" w:rsidP="004D5D21">
      <w:pPr>
        <w:spacing w:line="360" w:lineRule="auto"/>
        <w:ind w:left="851" w:right="899"/>
        <w:jc w:val="both"/>
        <w:rPr>
          <w:rFonts w:ascii="Century Gothic" w:hAnsi="Century Gothic" w:cs="Arial"/>
          <w:bCs/>
          <w:lang w:val="es-MX"/>
        </w:rPr>
      </w:pPr>
      <w:r w:rsidRPr="007B6673">
        <w:rPr>
          <w:rFonts w:ascii="Century Gothic" w:hAnsi="Century Gothic" w:cs="Arial"/>
          <w:bCs/>
          <w:lang w:val="es-MX"/>
        </w:rPr>
        <w:t xml:space="preserve">Artículo 14. Será sancionado con pena de 10 a 15 años de prisión y de un mil a 30 mil días multa, al que someta a una persona o </w:t>
      </w:r>
      <w:r w:rsidRPr="007B6673">
        <w:rPr>
          <w:rFonts w:ascii="Century Gothic" w:hAnsi="Century Gothic" w:cs="Arial"/>
          <w:b/>
          <w:bCs/>
          <w:lang w:val="es-MX"/>
        </w:rPr>
        <w:t>se beneficie de someter a una persona</w:t>
      </w:r>
      <w:r w:rsidRPr="007B6673">
        <w:rPr>
          <w:rFonts w:ascii="Century Gothic" w:hAnsi="Century Gothic" w:cs="Arial"/>
          <w:bCs/>
          <w:lang w:val="es-MX"/>
        </w:rPr>
        <w:t xml:space="preserve"> para que realice actos pornográficos, o </w:t>
      </w:r>
      <w:r w:rsidRPr="007B6673">
        <w:rPr>
          <w:rFonts w:ascii="Century Gothic" w:hAnsi="Century Gothic" w:cs="Arial"/>
          <w:b/>
          <w:bCs/>
          <w:lang w:val="es-MX"/>
        </w:rPr>
        <w:t>produzca</w:t>
      </w:r>
      <w:r w:rsidRPr="007B6673">
        <w:rPr>
          <w:rFonts w:ascii="Century Gothic" w:hAnsi="Century Gothic" w:cs="Arial"/>
          <w:bCs/>
          <w:lang w:val="es-MX"/>
        </w:rPr>
        <w:t xml:space="preserve"> o </w:t>
      </w:r>
      <w:r w:rsidRPr="007B6673">
        <w:rPr>
          <w:rFonts w:ascii="Century Gothic" w:hAnsi="Century Gothic" w:cs="Arial"/>
          <w:b/>
          <w:bCs/>
          <w:lang w:val="es-MX"/>
        </w:rPr>
        <w:t>se beneficie de la producción de material pornográfico</w:t>
      </w:r>
      <w:r w:rsidRPr="007B6673">
        <w:rPr>
          <w:rFonts w:ascii="Century Gothic" w:hAnsi="Century Gothic" w:cs="Arial"/>
          <w:bCs/>
          <w:lang w:val="es-MX"/>
        </w:rPr>
        <w:t>, o engañe o participe en engañar a una persona para prestar servicios sexuales o realizar actos pornográficos.</w:t>
      </w:r>
    </w:p>
    <w:p w14:paraId="3BA486D4" w14:textId="77777777" w:rsidR="007B6673" w:rsidRDefault="007B6673" w:rsidP="004D5D21">
      <w:pPr>
        <w:spacing w:line="360" w:lineRule="auto"/>
        <w:ind w:left="851" w:right="899"/>
        <w:jc w:val="both"/>
        <w:rPr>
          <w:rFonts w:ascii="Century Gothic" w:hAnsi="Century Gothic" w:cs="Arial"/>
          <w:bCs/>
          <w:lang w:val="es-MX"/>
        </w:rPr>
      </w:pPr>
    </w:p>
    <w:p w14:paraId="3C0AADCD" w14:textId="677A9F11" w:rsidR="007B6673" w:rsidRPr="007B6673" w:rsidRDefault="007B6673" w:rsidP="004D5D21">
      <w:pPr>
        <w:spacing w:line="360" w:lineRule="auto"/>
        <w:ind w:left="851" w:right="899"/>
        <w:jc w:val="both"/>
        <w:rPr>
          <w:rFonts w:ascii="Century Gothic" w:hAnsi="Century Gothic" w:cs="Arial"/>
          <w:bCs/>
          <w:lang w:val="es-MX"/>
        </w:rPr>
      </w:pPr>
      <w:r w:rsidRPr="007B6673">
        <w:rPr>
          <w:rFonts w:ascii="Century Gothic" w:hAnsi="Century Gothic" w:cs="Arial"/>
          <w:bCs/>
          <w:lang w:val="es-MX"/>
        </w:rPr>
        <w:t xml:space="preserve">Artículo 10.- </w:t>
      </w:r>
      <w:r>
        <w:rPr>
          <w:rFonts w:ascii="Century Gothic" w:hAnsi="Century Gothic" w:cs="Arial"/>
          <w:bCs/>
          <w:lang w:val="es-MX"/>
        </w:rPr>
        <w:t>…</w:t>
      </w:r>
    </w:p>
    <w:p w14:paraId="00BA55F6" w14:textId="66354C87" w:rsidR="007B6673" w:rsidRDefault="007B6673" w:rsidP="004D5D21">
      <w:pPr>
        <w:spacing w:line="360" w:lineRule="auto"/>
        <w:ind w:left="851" w:right="899"/>
        <w:jc w:val="both"/>
        <w:rPr>
          <w:rFonts w:ascii="Century Gothic" w:hAnsi="Century Gothic" w:cs="Arial"/>
          <w:bCs/>
          <w:lang w:val="es-MX"/>
        </w:rPr>
      </w:pPr>
      <w:r w:rsidRPr="007B6673">
        <w:rPr>
          <w:rFonts w:ascii="Century Gothic" w:hAnsi="Century Gothic" w:cs="Arial"/>
          <w:bCs/>
          <w:lang w:val="es-MX"/>
        </w:rPr>
        <w:t>Se entenderá por explotación de una persona a:</w:t>
      </w:r>
    </w:p>
    <w:p w14:paraId="25C5D2D4" w14:textId="1E4E713A" w:rsidR="007B6673" w:rsidRPr="007B6673" w:rsidRDefault="007B6673" w:rsidP="004D5D21">
      <w:pPr>
        <w:spacing w:line="360" w:lineRule="auto"/>
        <w:ind w:left="851" w:right="899"/>
        <w:jc w:val="both"/>
        <w:rPr>
          <w:rFonts w:ascii="Century Gothic" w:hAnsi="Century Gothic" w:cs="Arial"/>
          <w:bCs/>
          <w:lang w:val="es-MX"/>
        </w:rPr>
      </w:pPr>
      <w:r>
        <w:rPr>
          <w:rFonts w:ascii="Century Gothic" w:hAnsi="Century Gothic" w:cs="Arial"/>
          <w:bCs/>
          <w:lang w:val="es-MX"/>
        </w:rPr>
        <w:t>I. y II. …</w:t>
      </w:r>
    </w:p>
    <w:p w14:paraId="07807299" w14:textId="01B87C90" w:rsidR="007B6673" w:rsidRDefault="007B6673" w:rsidP="004D5D21">
      <w:pPr>
        <w:spacing w:line="360" w:lineRule="auto"/>
        <w:ind w:left="851" w:right="899"/>
        <w:jc w:val="both"/>
        <w:rPr>
          <w:rFonts w:ascii="Century Gothic" w:hAnsi="Century Gothic" w:cs="Arial"/>
          <w:bCs/>
          <w:lang w:val="es-MX"/>
        </w:rPr>
      </w:pPr>
      <w:r w:rsidRPr="007B6673">
        <w:rPr>
          <w:rFonts w:ascii="Century Gothic" w:hAnsi="Century Gothic" w:cs="Arial"/>
          <w:bCs/>
          <w:lang w:val="es-MX"/>
        </w:rPr>
        <w:t>III. La prostitución ajena u otras formas de explotación sexual, en los términos de los artículos 13 a 20 de la presente Ley;</w:t>
      </w:r>
    </w:p>
    <w:p w14:paraId="1D8F640D" w14:textId="1A88B29F" w:rsidR="007B6673" w:rsidRDefault="007B6673" w:rsidP="004D5D21">
      <w:pPr>
        <w:spacing w:line="360" w:lineRule="auto"/>
        <w:ind w:left="851" w:right="899"/>
        <w:jc w:val="both"/>
        <w:rPr>
          <w:rFonts w:ascii="Century Gothic" w:hAnsi="Century Gothic" w:cs="Arial"/>
          <w:bCs/>
          <w:lang w:val="es-MX"/>
        </w:rPr>
      </w:pPr>
      <w:r>
        <w:rPr>
          <w:rFonts w:ascii="Century Gothic" w:hAnsi="Century Gothic" w:cs="Arial"/>
          <w:bCs/>
          <w:lang w:val="es-MX"/>
        </w:rPr>
        <w:t>IV. a XI. …</w:t>
      </w:r>
    </w:p>
    <w:p w14:paraId="2557FBCA" w14:textId="77777777" w:rsidR="007B6673" w:rsidRPr="007B6673" w:rsidRDefault="007B6673" w:rsidP="004D5D21">
      <w:pPr>
        <w:spacing w:line="360" w:lineRule="auto"/>
        <w:ind w:left="851" w:right="899"/>
        <w:jc w:val="both"/>
        <w:rPr>
          <w:rFonts w:ascii="Century Gothic" w:hAnsi="Century Gothic" w:cs="Arial"/>
          <w:bCs/>
          <w:lang w:val="es-MX"/>
        </w:rPr>
      </w:pPr>
    </w:p>
    <w:p w14:paraId="567B0E47" w14:textId="77777777" w:rsidR="007B6673" w:rsidRPr="007B6673" w:rsidRDefault="007B6673" w:rsidP="004D5D21">
      <w:pPr>
        <w:spacing w:line="360" w:lineRule="auto"/>
        <w:ind w:left="851" w:right="899"/>
        <w:jc w:val="both"/>
        <w:rPr>
          <w:rFonts w:ascii="Century Gothic" w:hAnsi="Century Gothic" w:cs="Arial"/>
          <w:bCs/>
          <w:lang w:val="es-MX"/>
        </w:rPr>
      </w:pPr>
      <w:r w:rsidRPr="007B6673">
        <w:rPr>
          <w:rFonts w:ascii="Century Gothic" w:hAnsi="Century Gothic" w:cs="Arial"/>
          <w:bCs/>
          <w:lang w:val="es-MX"/>
        </w:rPr>
        <w:t xml:space="preserve">Artículo 13. Será sancionado con pena de 15 a 30 años de prisión y de un mil a 30 mil días multa, al que se </w:t>
      </w:r>
      <w:r w:rsidRPr="007B6673">
        <w:rPr>
          <w:rFonts w:ascii="Century Gothic" w:hAnsi="Century Gothic" w:cs="Arial"/>
          <w:b/>
          <w:bCs/>
          <w:lang w:val="es-MX"/>
        </w:rPr>
        <w:t>beneficie de la explotación de una o más personas a través</w:t>
      </w:r>
      <w:r w:rsidRPr="007B6673">
        <w:rPr>
          <w:rFonts w:ascii="Century Gothic" w:hAnsi="Century Gothic" w:cs="Arial"/>
          <w:bCs/>
          <w:lang w:val="es-MX"/>
        </w:rPr>
        <w:t xml:space="preserve"> de la prostitución, </w:t>
      </w:r>
      <w:r w:rsidRPr="007B6673">
        <w:rPr>
          <w:rFonts w:ascii="Century Gothic" w:hAnsi="Century Gothic" w:cs="Arial"/>
          <w:b/>
          <w:bCs/>
          <w:lang w:val="es-MX"/>
        </w:rPr>
        <w:t>la pornografía</w:t>
      </w:r>
      <w:r w:rsidRPr="007B6673">
        <w:rPr>
          <w:rFonts w:ascii="Century Gothic" w:hAnsi="Century Gothic" w:cs="Arial"/>
          <w:bCs/>
          <w:lang w:val="es-MX"/>
        </w:rPr>
        <w:t xml:space="preserve">, las exhibiciones públicas o privadas de orden sexual, el turismo sexual o cualquier otra actividad sexual remunerada mediante: </w:t>
      </w:r>
    </w:p>
    <w:p w14:paraId="23770546" w14:textId="0F1CBE07" w:rsidR="007B6673" w:rsidRPr="007B6673" w:rsidRDefault="007B6673" w:rsidP="004D5D21">
      <w:pPr>
        <w:spacing w:line="360" w:lineRule="auto"/>
        <w:ind w:left="851" w:right="899"/>
        <w:jc w:val="both"/>
        <w:rPr>
          <w:rFonts w:ascii="Century Gothic" w:hAnsi="Century Gothic" w:cs="Arial"/>
          <w:bCs/>
        </w:rPr>
      </w:pPr>
      <w:r w:rsidRPr="007B6673">
        <w:rPr>
          <w:rFonts w:ascii="Century Gothic" w:hAnsi="Century Gothic" w:cs="Arial"/>
          <w:bCs/>
          <w:lang w:val="es-MX"/>
        </w:rPr>
        <w:t>I.</w:t>
      </w:r>
      <w:r w:rsidRPr="007B6673">
        <w:rPr>
          <w:rFonts w:ascii="Century Gothic" w:hAnsi="Century Gothic" w:cs="Arial"/>
          <w:bCs/>
        </w:rPr>
        <w:t xml:space="preserve"> El engaño; </w:t>
      </w:r>
    </w:p>
    <w:p w14:paraId="57DEA6D5" w14:textId="77777777" w:rsidR="007B6673" w:rsidRPr="007B6673" w:rsidRDefault="007B6673" w:rsidP="004D5D21">
      <w:pPr>
        <w:spacing w:line="360" w:lineRule="auto"/>
        <w:ind w:left="851" w:right="899"/>
        <w:jc w:val="both"/>
        <w:rPr>
          <w:rFonts w:ascii="Century Gothic" w:hAnsi="Century Gothic"/>
        </w:rPr>
      </w:pPr>
      <w:r w:rsidRPr="007B6673">
        <w:rPr>
          <w:rFonts w:ascii="Century Gothic" w:hAnsi="Century Gothic"/>
        </w:rPr>
        <w:t xml:space="preserve">II. </w:t>
      </w:r>
      <w:r w:rsidRPr="007B6673">
        <w:rPr>
          <w:rFonts w:ascii="Century Gothic" w:hAnsi="Century Gothic"/>
          <w:b/>
        </w:rPr>
        <w:t>La violencia física o moral</w:t>
      </w:r>
      <w:r w:rsidRPr="007B6673">
        <w:rPr>
          <w:rFonts w:ascii="Century Gothic" w:hAnsi="Century Gothic"/>
        </w:rPr>
        <w:t xml:space="preserve">; </w:t>
      </w:r>
    </w:p>
    <w:p w14:paraId="5B98731D" w14:textId="2F6C61DE" w:rsidR="007B6673" w:rsidRPr="007B6673" w:rsidRDefault="007B6673" w:rsidP="004D5D21">
      <w:pPr>
        <w:spacing w:line="360" w:lineRule="auto"/>
        <w:ind w:left="851" w:right="899"/>
        <w:jc w:val="both"/>
        <w:rPr>
          <w:rFonts w:ascii="Century Gothic" w:hAnsi="Century Gothic"/>
        </w:rPr>
      </w:pPr>
      <w:r w:rsidRPr="007B6673">
        <w:rPr>
          <w:rFonts w:ascii="Century Gothic" w:hAnsi="Century Gothic"/>
        </w:rPr>
        <w:t xml:space="preserve">III. El abuso de poder; </w:t>
      </w:r>
    </w:p>
    <w:p w14:paraId="4088DDBA" w14:textId="77777777" w:rsidR="007B6673" w:rsidRPr="007B6673" w:rsidRDefault="007B6673" w:rsidP="004D5D21">
      <w:pPr>
        <w:spacing w:line="360" w:lineRule="auto"/>
        <w:ind w:left="851" w:right="899"/>
        <w:jc w:val="both"/>
        <w:rPr>
          <w:rFonts w:ascii="Century Gothic" w:hAnsi="Century Gothic"/>
        </w:rPr>
      </w:pPr>
      <w:r w:rsidRPr="007B6673">
        <w:rPr>
          <w:rFonts w:ascii="Century Gothic" w:hAnsi="Century Gothic"/>
        </w:rPr>
        <w:t xml:space="preserve">IV. El aprovechamiento de una situación de vulnerabilidad; </w:t>
      </w:r>
    </w:p>
    <w:p w14:paraId="65B8FBD9" w14:textId="49DAF356" w:rsidR="007B6673" w:rsidRDefault="007B6673" w:rsidP="004D5D21">
      <w:pPr>
        <w:spacing w:line="360" w:lineRule="auto"/>
        <w:ind w:left="851" w:right="899"/>
        <w:jc w:val="both"/>
        <w:rPr>
          <w:rFonts w:ascii="Century Gothic" w:hAnsi="Century Gothic"/>
        </w:rPr>
      </w:pPr>
      <w:r w:rsidRPr="007B6673">
        <w:rPr>
          <w:rFonts w:ascii="Century Gothic" w:hAnsi="Century Gothic"/>
        </w:rPr>
        <w:t>V. Daño grave o amenaza de daño grave; o</w:t>
      </w:r>
    </w:p>
    <w:p w14:paraId="6FB5F7F1" w14:textId="4BD14040" w:rsidR="00BD0531" w:rsidRDefault="00BD0531" w:rsidP="004D5D21">
      <w:pPr>
        <w:spacing w:line="360" w:lineRule="auto"/>
        <w:ind w:left="851" w:right="899"/>
        <w:jc w:val="both"/>
        <w:rPr>
          <w:rFonts w:ascii="Century Gothic" w:hAnsi="Century Gothic"/>
        </w:rPr>
      </w:pPr>
      <w:r>
        <w:rPr>
          <w:rFonts w:ascii="Century Gothic" w:hAnsi="Century Gothic"/>
        </w:rPr>
        <w:t>VI. …</w:t>
      </w:r>
    </w:p>
    <w:p w14:paraId="359AC459" w14:textId="7C98EB2F" w:rsidR="00BD0531" w:rsidRDefault="00BD0531" w:rsidP="004D5D21">
      <w:pPr>
        <w:spacing w:line="360" w:lineRule="auto"/>
        <w:ind w:left="851" w:right="899"/>
        <w:jc w:val="both"/>
        <w:rPr>
          <w:rFonts w:ascii="Century Gothic" w:hAnsi="Century Gothic"/>
        </w:rPr>
      </w:pPr>
      <w:r>
        <w:rPr>
          <w:rFonts w:ascii="Century Gothic" w:hAnsi="Century Gothic"/>
        </w:rPr>
        <w:t>…</w:t>
      </w:r>
    </w:p>
    <w:p w14:paraId="118366AF" w14:textId="7906FDBF" w:rsidR="00BD0531" w:rsidRDefault="00BD0531" w:rsidP="007B6673">
      <w:pPr>
        <w:spacing w:line="360" w:lineRule="auto"/>
        <w:jc w:val="both"/>
        <w:rPr>
          <w:rFonts w:ascii="Century Gothic" w:hAnsi="Century Gothic"/>
        </w:rPr>
      </w:pPr>
    </w:p>
    <w:p w14:paraId="45200916" w14:textId="77777777" w:rsidR="00BD0531" w:rsidRDefault="00BD0531" w:rsidP="007B6673">
      <w:pPr>
        <w:spacing w:line="360" w:lineRule="auto"/>
        <w:jc w:val="both"/>
        <w:rPr>
          <w:rFonts w:ascii="Century Gothic" w:hAnsi="Century Gothic"/>
        </w:rPr>
      </w:pPr>
      <w:r>
        <w:rPr>
          <w:rFonts w:ascii="Century Gothic" w:hAnsi="Century Gothic"/>
        </w:rPr>
        <w:t>Por ende, la hipótesis planteada en la iniciativa, podría satisfacerse con lo expresado en la Ley General antes referida.</w:t>
      </w:r>
    </w:p>
    <w:p w14:paraId="77A24994" w14:textId="77777777" w:rsidR="00BD0531" w:rsidRDefault="00BD0531" w:rsidP="007B6673">
      <w:pPr>
        <w:spacing w:line="360" w:lineRule="auto"/>
        <w:jc w:val="both"/>
        <w:rPr>
          <w:rFonts w:ascii="Century Gothic" w:hAnsi="Century Gothic"/>
        </w:rPr>
      </w:pPr>
    </w:p>
    <w:p w14:paraId="1C416EBE" w14:textId="05DAAACC" w:rsidR="00BD0531" w:rsidRDefault="00BD0531" w:rsidP="007B6673">
      <w:pPr>
        <w:spacing w:line="360" w:lineRule="auto"/>
        <w:jc w:val="both"/>
        <w:rPr>
          <w:rFonts w:ascii="Century Gothic" w:hAnsi="Century Gothic"/>
        </w:rPr>
      </w:pPr>
      <w:r>
        <w:rPr>
          <w:rFonts w:ascii="Century Gothic" w:hAnsi="Century Gothic"/>
        </w:rPr>
        <w:t xml:space="preserve">Por otro lado, hay </w:t>
      </w:r>
      <w:r w:rsidR="00E922F0">
        <w:rPr>
          <w:rFonts w:ascii="Century Gothic" w:hAnsi="Century Gothic"/>
        </w:rPr>
        <w:t>debemos mencionar</w:t>
      </w:r>
      <w:r>
        <w:rPr>
          <w:rFonts w:ascii="Century Gothic" w:hAnsi="Century Gothic"/>
        </w:rPr>
        <w:t xml:space="preserve"> que</w:t>
      </w:r>
      <w:r w:rsidR="00E922F0">
        <w:rPr>
          <w:rFonts w:ascii="Century Gothic" w:hAnsi="Century Gothic"/>
        </w:rPr>
        <w:t>,</w:t>
      </w:r>
      <w:r>
        <w:rPr>
          <w:rFonts w:ascii="Century Gothic" w:hAnsi="Century Gothic"/>
        </w:rPr>
        <w:t xml:space="preserve"> si el activo obtiene esas imágenes, son trasmitidas sin consentimiento de la víctima y se afecta la intimidad de la misma, y a la par o posterior, se obtiene un lucro, podría existir un concurso</w:t>
      </w:r>
      <w:r w:rsidR="00587454">
        <w:rPr>
          <w:rFonts w:ascii="Century Gothic" w:hAnsi="Century Gothic"/>
        </w:rPr>
        <w:t xml:space="preserve"> de delitos</w:t>
      </w:r>
      <w:r>
        <w:rPr>
          <w:rFonts w:ascii="Century Gothic" w:hAnsi="Century Gothic"/>
        </w:rPr>
        <w:t xml:space="preserve">. </w:t>
      </w:r>
    </w:p>
    <w:p w14:paraId="42694AD7" w14:textId="5C68FFA2" w:rsidR="00BD0531" w:rsidRDefault="00BD0531" w:rsidP="007B6673">
      <w:pPr>
        <w:spacing w:line="360" w:lineRule="auto"/>
        <w:jc w:val="both"/>
        <w:rPr>
          <w:rFonts w:ascii="Century Gothic" w:hAnsi="Century Gothic"/>
        </w:rPr>
      </w:pPr>
    </w:p>
    <w:p w14:paraId="4323C869" w14:textId="6079DFCF" w:rsidR="00BD0531" w:rsidRPr="007B6673" w:rsidRDefault="00BD0531" w:rsidP="007B6673">
      <w:pPr>
        <w:spacing w:line="360" w:lineRule="auto"/>
        <w:jc w:val="both"/>
        <w:rPr>
          <w:rFonts w:ascii="Century Gothic" w:hAnsi="Century Gothic"/>
        </w:rPr>
      </w:pPr>
      <w:r>
        <w:rPr>
          <w:rFonts w:ascii="Century Gothic" w:hAnsi="Century Gothic"/>
        </w:rPr>
        <w:t>Ahora bien, si lo que se pretende es que no se est</w:t>
      </w:r>
      <w:r w:rsidR="004D5D21">
        <w:rPr>
          <w:rFonts w:ascii="Century Gothic" w:hAnsi="Century Gothic"/>
        </w:rPr>
        <w:t>é</w:t>
      </w:r>
      <w:r>
        <w:rPr>
          <w:rFonts w:ascii="Century Gothic" w:hAnsi="Century Gothic"/>
        </w:rPr>
        <w:t xml:space="preserve"> </w:t>
      </w:r>
      <w:r w:rsidR="004D5D21">
        <w:rPr>
          <w:rFonts w:ascii="Century Gothic" w:hAnsi="Century Gothic"/>
        </w:rPr>
        <w:t>obligando</w:t>
      </w:r>
      <w:r>
        <w:rPr>
          <w:rFonts w:ascii="Century Gothic" w:hAnsi="Century Gothic"/>
        </w:rPr>
        <w:t xml:space="preserve"> a la víctima </w:t>
      </w:r>
      <w:r w:rsidR="004D5D21">
        <w:rPr>
          <w:rFonts w:ascii="Century Gothic" w:hAnsi="Century Gothic"/>
        </w:rPr>
        <w:t xml:space="preserve">a proporcionar este material para satisfacer la lascivia del activo, tendríamos que explorar otro tipo de figuras delictivas o agravarlas; pero en la forma expuesta en la iniciativa, nos queda claro que el elemento subjetivo de la extorsión, hace incompatible plasmar la propuesta iniciadora en el Código Penal.  </w:t>
      </w:r>
    </w:p>
    <w:p w14:paraId="5094AFB4" w14:textId="758C4327" w:rsidR="0035713A" w:rsidRPr="001C7F07" w:rsidRDefault="003167C5" w:rsidP="0035713A">
      <w:pPr>
        <w:spacing w:line="360" w:lineRule="auto"/>
        <w:ind w:right="335"/>
        <w:jc w:val="both"/>
        <w:rPr>
          <w:rFonts w:ascii="Century Gothic" w:hAnsi="Century Gothic" w:cs="Arial"/>
          <w:bCs/>
          <w:lang w:val="es-MX"/>
        </w:rPr>
      </w:pPr>
      <w:r>
        <w:rPr>
          <w:rFonts w:ascii="Century Gothic" w:hAnsi="Century Gothic" w:cs="Arial"/>
          <w:lang w:val="es-MX"/>
        </w:rPr>
        <w:t xml:space="preserve">  </w:t>
      </w:r>
      <w:r w:rsidR="00F92C06">
        <w:rPr>
          <w:rFonts w:ascii="Century Gothic" w:hAnsi="Century Gothic" w:cs="Arial"/>
          <w:lang w:val="es-MX"/>
        </w:rPr>
        <w:t xml:space="preserve"> </w:t>
      </w:r>
    </w:p>
    <w:p w14:paraId="5ABF3E16" w14:textId="1868996A" w:rsidR="0014239A" w:rsidRPr="0014239A" w:rsidRDefault="005525CC" w:rsidP="00316196">
      <w:pPr>
        <w:pStyle w:val="Textoindependiente"/>
        <w:spacing w:line="360" w:lineRule="auto"/>
        <w:rPr>
          <w:rFonts w:ascii="Century Gothic" w:hAnsi="Century Gothic" w:cs="Arial"/>
          <w:bCs/>
        </w:rPr>
      </w:pPr>
      <w:r>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B2162D" w:rsidRDefault="0014239A" w:rsidP="0014239A">
      <w:pPr>
        <w:pStyle w:val="Normal1"/>
        <w:tabs>
          <w:tab w:val="left" w:pos="993"/>
        </w:tabs>
        <w:spacing w:line="360" w:lineRule="auto"/>
        <w:jc w:val="center"/>
        <w:rPr>
          <w:rFonts w:ascii="Century Gothic" w:eastAsia="Arial" w:hAnsi="Century Gothic" w:cs="Arial"/>
          <w:b/>
          <w:sz w:val="28"/>
          <w:szCs w:val="28"/>
        </w:rPr>
      </w:pPr>
    </w:p>
    <w:p w14:paraId="08D797A8" w14:textId="3425B89E" w:rsidR="0014239A" w:rsidRPr="004162A0" w:rsidRDefault="00587454"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 xml:space="preserve">A C U E R D O </w:t>
      </w:r>
    </w:p>
    <w:p w14:paraId="7B3350AA" w14:textId="77777777" w:rsidR="002377E1" w:rsidRPr="00B2162D" w:rsidRDefault="002377E1" w:rsidP="002377E1">
      <w:pPr>
        <w:pStyle w:val="Normal1"/>
        <w:pBdr>
          <w:top w:val="nil"/>
          <w:left w:val="nil"/>
          <w:bottom w:val="nil"/>
          <w:right w:val="nil"/>
          <w:between w:val="nil"/>
        </w:pBdr>
        <w:spacing w:line="360" w:lineRule="auto"/>
        <w:rPr>
          <w:rFonts w:ascii="Century Gothic" w:eastAsia="Century Gothic" w:hAnsi="Century Gothic" w:cs="Century Gothic"/>
          <w:b/>
          <w:sz w:val="28"/>
          <w:szCs w:val="28"/>
        </w:rPr>
      </w:pPr>
    </w:p>
    <w:p w14:paraId="0D6617AF" w14:textId="6ED3B0B8" w:rsidR="005709D0" w:rsidRPr="005709D0" w:rsidRDefault="002377E1" w:rsidP="005709D0">
      <w:pPr>
        <w:spacing w:line="360" w:lineRule="auto"/>
        <w:jc w:val="both"/>
        <w:rPr>
          <w:rFonts w:ascii="Century Gothic" w:hAnsi="Century Gothic"/>
        </w:rPr>
      </w:pPr>
      <w:r w:rsidRPr="00B2162D">
        <w:rPr>
          <w:rFonts w:ascii="Century Gothic" w:hAnsi="Century Gothic"/>
          <w:b/>
          <w:sz w:val="28"/>
          <w:szCs w:val="28"/>
        </w:rPr>
        <w:t>ARTÍCULO ÚNICO.-</w:t>
      </w:r>
      <w:r w:rsidRPr="00B2162D">
        <w:rPr>
          <w:rFonts w:ascii="Century Gothic" w:hAnsi="Century Gothic"/>
          <w:sz w:val="28"/>
          <w:szCs w:val="28"/>
        </w:rPr>
        <w:t xml:space="preserve"> </w:t>
      </w:r>
      <w:r w:rsidR="00587454" w:rsidRPr="00587454">
        <w:rPr>
          <w:rFonts w:ascii="Century Gothic" w:hAnsi="Century Gothic"/>
          <w:lang w:val="es-MX"/>
        </w:rPr>
        <w:t>La Sexagésima Séptima Legislatura del Honorable Congreso del Estado de Chihuahua</w:t>
      </w:r>
      <w:r w:rsidR="005709D0">
        <w:rPr>
          <w:rFonts w:ascii="Century Gothic" w:hAnsi="Century Gothic"/>
        </w:rPr>
        <w:t>,</w:t>
      </w:r>
      <w:r w:rsidRPr="00F079DD">
        <w:rPr>
          <w:rFonts w:ascii="Century Gothic" w:hAnsi="Century Gothic"/>
        </w:rPr>
        <w:t xml:space="preserve"> </w:t>
      </w:r>
      <w:r w:rsidR="00587454">
        <w:rPr>
          <w:rFonts w:ascii="Century Gothic" w:hAnsi="Century Gothic"/>
        </w:rPr>
        <w:t>da por improcedente la iniciativa</w:t>
      </w:r>
      <w:r w:rsidR="005709D0">
        <w:rPr>
          <w:rFonts w:ascii="Century Gothic" w:hAnsi="Century Gothic"/>
        </w:rPr>
        <w:t xml:space="preserve"> que pretendía</w:t>
      </w:r>
      <w:r w:rsidR="00587454">
        <w:rPr>
          <w:rFonts w:ascii="Century Gothic" w:hAnsi="Century Gothic"/>
        </w:rPr>
        <w:t xml:space="preserve"> </w:t>
      </w:r>
      <w:r w:rsidR="005709D0" w:rsidRPr="005709D0">
        <w:rPr>
          <w:rFonts w:ascii="Century Gothic" w:hAnsi="Century Gothic"/>
        </w:rPr>
        <w:t xml:space="preserve">reformar el artículo 180 Bis y adicionar una fracción XI, al artículo 204 Bis del Código Penal del Estado de Chihuahua, a fin de agravar la pena del delito conocido como “Sexting”, cuando existe una relación afectiva o de subordinación, se use el contenido con fines de lucro, así también, para penalizar </w:t>
      </w:r>
      <w:r w:rsidR="005709D0" w:rsidRPr="005709D0">
        <w:rPr>
          <w:rFonts w:ascii="Century Gothic" w:hAnsi="Century Gothic"/>
        </w:rPr>
        <w:lastRenderedPageBreak/>
        <w:t>el uso de contenido íntimo como medio para la comisión del delito de extorsión.</w:t>
      </w:r>
      <w:r w:rsidR="005709D0">
        <w:rPr>
          <w:rFonts w:ascii="Century Gothic" w:hAnsi="Century Gothic"/>
        </w:rPr>
        <w:t xml:space="preserve"> Lo anterior, debido a que no se encontró racionalidad en el aumento de penas</w:t>
      </w:r>
      <w:r w:rsidR="002B5FF8">
        <w:rPr>
          <w:rFonts w:ascii="Century Gothic" w:hAnsi="Century Gothic"/>
        </w:rPr>
        <w:t xml:space="preserve">; </w:t>
      </w:r>
      <w:r w:rsidR="005709D0">
        <w:rPr>
          <w:rFonts w:ascii="Century Gothic" w:hAnsi="Century Gothic"/>
        </w:rPr>
        <w:t>el rango de edad propuesto para la agravante vulneraria la libertad y seguridad sexual de las personas adolescentes</w:t>
      </w:r>
      <w:r w:rsidR="002B5FF8">
        <w:rPr>
          <w:rFonts w:ascii="Century Gothic" w:hAnsi="Century Gothic"/>
        </w:rPr>
        <w:t>;</w:t>
      </w:r>
      <w:r w:rsidR="005709D0">
        <w:rPr>
          <w:rFonts w:ascii="Century Gothic" w:hAnsi="Century Gothic"/>
        </w:rPr>
        <w:t xml:space="preserve"> el </w:t>
      </w:r>
      <w:r w:rsidR="005709D0" w:rsidRPr="005709D0">
        <w:rPr>
          <w:rFonts w:ascii="Century Gothic" w:hAnsi="Century Gothic"/>
          <w:lang w:val="es-MX"/>
        </w:rPr>
        <w:t>agravar la pena e</w:t>
      </w:r>
      <w:r w:rsidR="00CF0CFA">
        <w:rPr>
          <w:rFonts w:ascii="Century Gothic" w:hAnsi="Century Gothic"/>
          <w:lang w:val="es-MX"/>
        </w:rPr>
        <w:t>n</w:t>
      </w:r>
      <w:r w:rsidR="005709D0" w:rsidRPr="005709D0">
        <w:rPr>
          <w:rFonts w:ascii="Century Gothic" w:hAnsi="Century Gothic"/>
          <w:lang w:val="es-MX"/>
        </w:rPr>
        <w:t xml:space="preserve"> virtud de la cualidad interactiva sentimental</w:t>
      </w:r>
      <w:r w:rsidR="005709D0">
        <w:rPr>
          <w:rFonts w:ascii="Century Gothic" w:hAnsi="Century Gothic"/>
          <w:lang w:val="es-MX"/>
        </w:rPr>
        <w:t xml:space="preserve"> desnaturaliza el delito contra la intimidad sexual</w:t>
      </w:r>
      <w:r w:rsidR="002B5FF8">
        <w:rPr>
          <w:rFonts w:ascii="Century Gothic" w:hAnsi="Century Gothic"/>
          <w:lang w:val="es-MX"/>
        </w:rPr>
        <w:t>;</w:t>
      </w:r>
      <w:r w:rsidR="005709D0">
        <w:rPr>
          <w:rFonts w:ascii="Century Gothic" w:hAnsi="Century Gothic"/>
          <w:lang w:val="es-MX"/>
        </w:rPr>
        <w:t xml:space="preserve"> y el elemento finalista de la extorsión es distinto al de la libertad y seguridad sexual. </w:t>
      </w:r>
    </w:p>
    <w:p w14:paraId="059DE37E" w14:textId="77777777" w:rsidR="00AF74C6" w:rsidRPr="003208D8" w:rsidRDefault="00AF74C6" w:rsidP="0014239A">
      <w:pPr>
        <w:spacing w:line="360" w:lineRule="auto"/>
        <w:jc w:val="both"/>
        <w:rPr>
          <w:rFonts w:ascii="Century Gothic" w:hAnsi="Century Gothic" w:cs="Arial"/>
          <w:sz w:val="28"/>
        </w:rPr>
      </w:pPr>
    </w:p>
    <w:p w14:paraId="2160654D" w14:textId="77777777" w:rsidR="0014239A" w:rsidRDefault="0014239A" w:rsidP="0014239A">
      <w:pPr>
        <w:spacing w:line="360" w:lineRule="auto"/>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A1AF845" w14:textId="77777777" w:rsidR="0014239A" w:rsidRPr="003208D8" w:rsidRDefault="0014239A" w:rsidP="0014239A">
      <w:pPr>
        <w:spacing w:line="360" w:lineRule="auto"/>
        <w:jc w:val="both"/>
        <w:rPr>
          <w:rFonts w:ascii="Century Gothic" w:hAnsi="Century Gothic" w:cs="Arial"/>
          <w:sz w:val="28"/>
        </w:rPr>
      </w:pPr>
    </w:p>
    <w:p w14:paraId="47B31282" w14:textId="68621422" w:rsidR="0014239A" w:rsidRDefault="0014239A" w:rsidP="0014239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9919E0">
        <w:rPr>
          <w:rFonts w:ascii="Century Gothic" w:hAnsi="Century Gothic"/>
        </w:rPr>
        <w:t>22</w:t>
      </w:r>
      <w:r w:rsidRPr="006618E1">
        <w:rPr>
          <w:rFonts w:ascii="Century Gothic" w:hAnsi="Century Gothic"/>
        </w:rPr>
        <w:t xml:space="preserve"> días del mes de </w:t>
      </w:r>
      <w:r w:rsidR="009919E0">
        <w:rPr>
          <w:rFonts w:ascii="Century Gothic" w:hAnsi="Century Gothic"/>
        </w:rPr>
        <w:t>septiembre</w:t>
      </w:r>
      <w:r w:rsidRPr="006618E1">
        <w:rPr>
          <w:rFonts w:ascii="Century Gothic" w:hAnsi="Century Gothic"/>
        </w:rPr>
        <w:t xml:space="preserve"> del año </w:t>
      </w:r>
      <w:r>
        <w:rPr>
          <w:rFonts w:ascii="Century Gothic" w:hAnsi="Century Gothic"/>
        </w:rPr>
        <w:t>20</w:t>
      </w:r>
      <w:r w:rsidR="007F6482">
        <w:rPr>
          <w:rFonts w:ascii="Century Gothic" w:hAnsi="Century Gothic"/>
        </w:rPr>
        <w:t>22</w:t>
      </w:r>
      <w:r>
        <w:rPr>
          <w:rFonts w:ascii="Century Gothic" w:hAnsi="Century Gothic"/>
        </w:rPr>
        <w:t>.</w:t>
      </w:r>
    </w:p>
    <w:p w14:paraId="6A6F74EC" w14:textId="75A30D31" w:rsidR="00C52A9F" w:rsidRDefault="00C52A9F" w:rsidP="00C52A9F">
      <w:pPr>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2B5FF8">
        <w:rPr>
          <w:rFonts w:ascii="Century Gothic" w:eastAsia="Arial" w:hAnsi="Century Gothic" w:cs="Arial"/>
          <w:b/>
          <w:sz w:val="22"/>
          <w:szCs w:val="22"/>
          <w:lang w:val="es-MX" w:eastAsia="es-MX"/>
        </w:rPr>
        <w:t xml:space="preserve"> </w:t>
      </w:r>
      <w:r w:rsidR="009919E0">
        <w:rPr>
          <w:rFonts w:ascii="Century Gothic" w:eastAsia="Arial" w:hAnsi="Century Gothic" w:cs="Arial"/>
          <w:b/>
          <w:sz w:val="22"/>
          <w:szCs w:val="22"/>
          <w:lang w:val="es-MX" w:eastAsia="es-MX"/>
        </w:rPr>
        <w:t>19</w:t>
      </w:r>
      <w:r w:rsidRPr="00C52A9F">
        <w:rPr>
          <w:rFonts w:ascii="Century Gothic" w:eastAsia="Arial" w:hAnsi="Century Gothic" w:cs="Arial"/>
          <w:b/>
          <w:sz w:val="22"/>
          <w:szCs w:val="22"/>
          <w:lang w:val="es-MX" w:eastAsia="es-MX"/>
        </w:rPr>
        <w:t xml:space="preserve"> de </w:t>
      </w:r>
      <w:r w:rsidR="009919E0">
        <w:rPr>
          <w:rFonts w:ascii="Century Gothic" w:eastAsia="Arial" w:hAnsi="Century Gothic" w:cs="Arial"/>
          <w:b/>
          <w:sz w:val="22"/>
          <w:szCs w:val="22"/>
          <w:lang w:val="es-MX" w:eastAsia="es-MX"/>
        </w:rPr>
        <w:t xml:space="preserve">septiembre </w:t>
      </w:r>
      <w:r w:rsidRPr="00C52A9F">
        <w:rPr>
          <w:rFonts w:ascii="Century Gothic" w:eastAsia="Arial" w:hAnsi="Century Gothic" w:cs="Arial"/>
          <w:b/>
          <w:sz w:val="22"/>
          <w:szCs w:val="22"/>
          <w:lang w:val="es-MX" w:eastAsia="es-MX"/>
        </w:rPr>
        <w:t xml:space="preserve">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anchor distT="0" distB="0" distL="114300" distR="114300" simplePos="0" relativeHeight="251659264" behindDoc="1" locked="0" layoutInCell="1" allowOverlap="1" wp14:anchorId="4B4D38CE" wp14:editId="3AA2EE65">
                  <wp:simplePos x="0" y="0"/>
                  <wp:positionH relativeFrom="column">
                    <wp:posOffset>20320</wp:posOffset>
                  </wp:positionH>
                  <wp:positionV relativeFrom="paragraph">
                    <wp:posOffset>37465</wp:posOffset>
                  </wp:positionV>
                  <wp:extent cx="932815" cy="11430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77777777" w:rsidR="00C52A9F" w:rsidRPr="00C52A9F" w:rsidRDefault="00C52A9F" w:rsidP="00C52A9F">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DIP. GEORGINA ALEJANDRA BUJANDA RÍOS</w:t>
            </w:r>
          </w:p>
          <w:p w14:paraId="21D063A7" w14:textId="33441DC2" w:rsidR="00C52A9F" w:rsidRPr="00C52A9F" w:rsidRDefault="00C52A9F" w:rsidP="003208D8">
            <w:pPr>
              <w:contextualSpacing/>
              <w:jc w:val="center"/>
              <w:rPr>
                <w:rFonts w:ascii="Century Gothic" w:hAnsi="Century Gothic" w:cs="Arial"/>
                <w:b/>
                <w:lang w:val="es-MX" w:eastAsia="es-MX"/>
              </w:rPr>
            </w:pPr>
            <w:r w:rsidRPr="00C52A9F">
              <w:rPr>
                <w:rFonts w:ascii="Century Gothic" w:hAnsi="Century Gothic" w:cs="Arial"/>
                <w:b/>
                <w:bCs/>
                <w:smallCaps/>
                <w:lang w:val="es-MX" w:eastAsia="es-MX"/>
              </w:rPr>
              <w:t>PRESIDENTA</w:t>
            </w: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lastRenderedPageBreak/>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7980F98E" w14:textId="3487E287" w:rsidR="00C52A9F" w:rsidRPr="002377E1" w:rsidRDefault="00C52A9F" w:rsidP="00116DFF">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2B5FF8">
        <w:rPr>
          <w:rFonts w:ascii="Century Gothic" w:eastAsia="Arial" w:hAnsi="Century Gothic" w:cs="Arial"/>
          <w:sz w:val="18"/>
          <w:szCs w:val="20"/>
          <w:lang w:val="es-MX" w:eastAsia="es-MX"/>
        </w:rPr>
        <w:t>1068</w:t>
      </w:r>
      <w:r w:rsidRPr="00116DFF">
        <w:rPr>
          <w:rFonts w:ascii="Century Gothic" w:eastAsia="Arial" w:hAnsi="Century Gothic" w:cs="Arial"/>
          <w:sz w:val="18"/>
          <w:szCs w:val="20"/>
          <w:lang w:val="es-MX" w:eastAsia="es-MX"/>
        </w:rPr>
        <w:t>, DE LA COMISIÓN DE JUSTICIA.</w:t>
      </w:r>
    </w:p>
    <w:sectPr w:rsidR="00C52A9F" w:rsidRPr="002377E1"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87857" w14:textId="77777777" w:rsidR="00220EBB" w:rsidRDefault="00220EBB" w:rsidP="00331CBA">
      <w:r>
        <w:separator/>
      </w:r>
    </w:p>
  </w:endnote>
  <w:endnote w:type="continuationSeparator" w:id="0">
    <w:p w14:paraId="2088C0AD" w14:textId="77777777" w:rsidR="00220EBB" w:rsidRDefault="00220EBB"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4095" w14:textId="77777777" w:rsidR="00220EBB" w:rsidRDefault="00220EB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220EBB" w:rsidRDefault="00220E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14:paraId="56F04F2D" w14:textId="77777777" w:rsidR="00220EBB" w:rsidRDefault="00220EBB">
        <w:pPr>
          <w:pStyle w:val="Piedepgina"/>
          <w:jc w:val="right"/>
        </w:pPr>
        <w:r>
          <w:rPr>
            <w:noProof/>
          </w:rPr>
          <w:fldChar w:fldCharType="begin"/>
        </w:r>
        <w:r>
          <w:rPr>
            <w:noProof/>
          </w:rPr>
          <w:instrText xml:space="preserve"> PAGE   \* MERGEFORMAT </w:instrText>
        </w:r>
        <w:r>
          <w:rPr>
            <w:noProof/>
          </w:rPr>
          <w:fldChar w:fldCharType="separate"/>
        </w:r>
        <w:r w:rsidR="001B4C1B">
          <w:rPr>
            <w:noProof/>
          </w:rPr>
          <w:t>1</w:t>
        </w:r>
        <w:r>
          <w:rPr>
            <w:noProof/>
          </w:rPr>
          <w:fldChar w:fldCharType="end"/>
        </w:r>
      </w:p>
    </w:sdtContent>
  </w:sdt>
  <w:p w14:paraId="5C1A4E08" w14:textId="4DB92E87" w:rsidR="00220EBB" w:rsidRPr="00FC48FC" w:rsidRDefault="00220EBB" w:rsidP="00356B4E">
    <w:pPr>
      <w:pStyle w:val="Piedepgina"/>
      <w:tabs>
        <w:tab w:val="center" w:pos="4986"/>
        <w:tab w:val="left" w:pos="7185"/>
      </w:tabs>
      <w:rPr>
        <w:lang w:val="en-US"/>
      </w:rPr>
    </w:pPr>
    <w:r>
      <w:rPr>
        <w:rFonts w:ascii="Arial" w:hAnsi="Arial" w:cs="Arial"/>
        <w:sz w:val="16"/>
        <w:szCs w:val="16"/>
        <w:lang w:val="en-US"/>
      </w:rPr>
      <w:t>A1068/ERS/GAOR/RMO/GTN</w:t>
    </w:r>
  </w:p>
  <w:p w14:paraId="78307D31" w14:textId="77777777" w:rsidR="00220EBB" w:rsidRPr="00FC48FC" w:rsidRDefault="00220EBB"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59B55" w14:textId="77777777" w:rsidR="00220EBB" w:rsidRDefault="00220EBB" w:rsidP="00331CBA">
      <w:r>
        <w:separator/>
      </w:r>
    </w:p>
  </w:footnote>
  <w:footnote w:type="continuationSeparator" w:id="0">
    <w:p w14:paraId="6AD9ECA5" w14:textId="77777777" w:rsidR="00220EBB" w:rsidRDefault="00220EBB" w:rsidP="00331CBA">
      <w:r>
        <w:continuationSeparator/>
      </w:r>
    </w:p>
  </w:footnote>
  <w:footnote w:id="1">
    <w:p w14:paraId="2555BA7D" w14:textId="0F4190EE" w:rsidR="00220EBB" w:rsidRPr="00DB5BD7" w:rsidRDefault="00220EBB">
      <w:pPr>
        <w:pStyle w:val="Textonotapie"/>
        <w:rPr>
          <w:lang w:val="es-MX"/>
        </w:rPr>
      </w:pPr>
      <w:r>
        <w:rPr>
          <w:rStyle w:val="Refdenotaalpie"/>
        </w:rPr>
        <w:footnoteRef/>
      </w:r>
      <w:r>
        <w:t xml:space="preserve"> H. Congreso del Estado de Chihuahua. LXVII. Legislatura. Comisión de Justicia. Dictamen que recae en el asunto 658, Consideraciones, VIII, p19. Aprobado a los 15 días de marzo de 2022. En el mismo sentido el dictamen que recae en el asunto 541. Consideraciones. Punto III, 3. P17, aprobado el 26 de abril de 2022. </w:t>
      </w:r>
    </w:p>
  </w:footnote>
  <w:footnote w:id="2">
    <w:p w14:paraId="36F5E57F" w14:textId="77777777" w:rsidR="00220EBB" w:rsidRPr="00E759ED" w:rsidRDefault="00220EBB" w:rsidP="00B86213">
      <w:pPr>
        <w:pStyle w:val="Textonotapie"/>
        <w:jc w:val="both"/>
      </w:pPr>
      <w:r>
        <w:rPr>
          <w:rStyle w:val="Refdenotaalpie"/>
        </w:rPr>
        <w:footnoteRef/>
      </w:r>
      <w:r>
        <w:t xml:space="preserve"> </w:t>
      </w:r>
      <w:r w:rsidRPr="00E759ED">
        <w:rPr>
          <w:i/>
        </w:rPr>
        <w:t>Vid.</w:t>
      </w:r>
      <w:r>
        <w:t xml:space="preserve"> Registro: </w:t>
      </w:r>
      <w:r w:rsidRPr="00E759ED">
        <w:t>2008415</w:t>
      </w:r>
      <w:r>
        <w:t xml:space="preserve">. </w:t>
      </w:r>
      <w:r w:rsidRPr="00E759ED">
        <w:t>Instancia: Primera Sala</w:t>
      </w:r>
      <w:r>
        <w:t xml:space="preserve">. </w:t>
      </w:r>
      <w:r w:rsidRPr="00E759ED">
        <w:t>Décima Época</w:t>
      </w:r>
      <w:r>
        <w:t xml:space="preserve">. </w:t>
      </w:r>
      <w:r w:rsidRPr="00E759ED">
        <w:t>Materias(s): Constitucional, Penal</w:t>
      </w:r>
      <w:r>
        <w:t xml:space="preserve">. </w:t>
      </w:r>
      <w:r w:rsidRPr="00E759ED">
        <w:t>Tesis: 1a. LII/2015 (10a.)</w:t>
      </w:r>
      <w:r>
        <w:t>. Febrero de 2015.</w:t>
      </w:r>
      <w:r w:rsidRPr="00E759ED">
        <w:t xml:space="preserve"> Tipo: Aislada PEDERASTIA. EL ARTÍCULO 209 BIS DEL CÓDIGO PENAL FEDERAL, QUE ESTABLECE LA SANCIÓN PARA QUIEN COMETA ESE DELITO, NO VULNERA EL PRINCIPIO DE PROPORCIONALIDAD DE LA PENA.</w:t>
      </w:r>
    </w:p>
    <w:p w14:paraId="127202A5" w14:textId="77777777" w:rsidR="00220EBB" w:rsidRDefault="00220EBB" w:rsidP="00B86213">
      <w:pPr>
        <w:pStyle w:val="Textonotapie"/>
        <w:jc w:val="both"/>
      </w:pPr>
    </w:p>
  </w:footnote>
  <w:footnote w:id="3">
    <w:p w14:paraId="3ADC2EB0" w14:textId="77777777" w:rsidR="00220EBB" w:rsidRDefault="00220EBB" w:rsidP="00B86213">
      <w:pPr>
        <w:pStyle w:val="Textonotapie"/>
        <w:jc w:val="both"/>
      </w:pPr>
      <w:r>
        <w:rPr>
          <w:rStyle w:val="Refdenotaalpie"/>
        </w:rPr>
        <w:footnoteRef/>
      </w:r>
      <w:r>
        <w:t xml:space="preserve"> </w:t>
      </w:r>
      <w:r w:rsidRPr="007F28C2">
        <w:rPr>
          <w:i/>
          <w:iCs/>
        </w:rPr>
        <w:t>Vid</w:t>
      </w:r>
      <w:r>
        <w:t>. Suprema Corte de Justicia de la Nación. Primera Sala. Amparo Directo en Revisión 776/214. Estudio de Fondo.  Parr.104.</w:t>
      </w:r>
    </w:p>
  </w:footnote>
  <w:footnote w:id="4">
    <w:p w14:paraId="2BF7D900" w14:textId="77777777" w:rsidR="00220EBB" w:rsidRPr="00E759ED" w:rsidRDefault="00220EBB" w:rsidP="00B86213">
      <w:pPr>
        <w:pStyle w:val="Textonotapie"/>
        <w:jc w:val="both"/>
      </w:pPr>
      <w:r>
        <w:rPr>
          <w:rStyle w:val="Refdenotaalpie"/>
        </w:rPr>
        <w:footnoteRef/>
      </w:r>
      <w:r>
        <w:t xml:space="preserve"> </w:t>
      </w:r>
      <w:r w:rsidRPr="00E759ED">
        <w:rPr>
          <w:i/>
        </w:rPr>
        <w:t>Vid.</w:t>
      </w:r>
      <w:r>
        <w:t xml:space="preserve"> Registro: </w:t>
      </w:r>
      <w:r w:rsidRPr="00E759ED">
        <w:t>2008415</w:t>
      </w:r>
      <w:r>
        <w:t xml:space="preserve">. </w:t>
      </w:r>
      <w:r w:rsidRPr="00E759ED">
        <w:t>Instancia: Primera Sala</w:t>
      </w:r>
      <w:r>
        <w:t xml:space="preserve">. </w:t>
      </w:r>
      <w:r w:rsidRPr="00E759ED">
        <w:t>Décima Época</w:t>
      </w:r>
      <w:r>
        <w:t xml:space="preserve">. </w:t>
      </w:r>
      <w:r w:rsidRPr="00E759ED">
        <w:t>Materias(s): Constitucional, Penal</w:t>
      </w:r>
      <w:r>
        <w:t xml:space="preserve">. </w:t>
      </w:r>
      <w:r w:rsidRPr="00E759ED">
        <w:t>Tesis: 1a. LII/2015 (10a.)</w:t>
      </w:r>
      <w:r>
        <w:t>. Febrero de 2015.</w:t>
      </w:r>
      <w:r w:rsidRPr="00E759ED">
        <w:t xml:space="preserve"> Tipo: Aislada PEDERASTIA. EL ARTÍCULO 209 BIS DEL CÓDIGO PENAL FEDERAL, QUE ESTABLECE LA SANCIÓN PARA QUIEN COMETA ESE DELITO, NO VULNERA EL PRINCIPIO DE PROPORCIONALIDAD DE LA PENA.</w:t>
      </w:r>
    </w:p>
    <w:p w14:paraId="5E4C9E47" w14:textId="77777777" w:rsidR="00220EBB" w:rsidRDefault="00220EBB" w:rsidP="00B86213">
      <w:pPr>
        <w:pStyle w:val="Textonotapie"/>
        <w:jc w:val="both"/>
      </w:pPr>
    </w:p>
  </w:footnote>
  <w:footnote w:id="5">
    <w:p w14:paraId="3C60FC5C" w14:textId="77777777" w:rsidR="00220EBB" w:rsidRDefault="00220EBB" w:rsidP="00B86213">
      <w:pPr>
        <w:pStyle w:val="Textonotapie"/>
        <w:jc w:val="both"/>
      </w:pPr>
      <w:r>
        <w:rPr>
          <w:rStyle w:val="Refdenotaalpie"/>
        </w:rPr>
        <w:footnoteRef/>
      </w:r>
      <w:r>
        <w:t xml:space="preserve"> </w:t>
      </w:r>
      <w:r w:rsidRPr="005A477C">
        <w:rPr>
          <w:i/>
          <w:iCs/>
        </w:rPr>
        <w:t>Vid</w:t>
      </w:r>
      <w:r>
        <w:t>. 18 de junio de 208. Dictamen por el que se reforman y adicionan diversas disposiciones de la Constitución Política de los Estados Unidos Mexicanos. Reforma integral que establece las bases para regular el sistema procesal penal acusatorio y aplica diversas modificaciones al sistema penitenciario y de seguridad pública. Proceso Legislativo.</w:t>
      </w:r>
    </w:p>
  </w:footnote>
  <w:footnote w:id="6">
    <w:p w14:paraId="6FBE24D8" w14:textId="77777777" w:rsidR="00220EBB" w:rsidRDefault="00220EBB" w:rsidP="00B86213">
      <w:pPr>
        <w:pStyle w:val="Textonotapie"/>
        <w:jc w:val="both"/>
      </w:pPr>
      <w:r>
        <w:rPr>
          <w:rStyle w:val="Refdenotaalpie"/>
        </w:rPr>
        <w:footnoteRef/>
      </w:r>
      <w:r>
        <w:t xml:space="preserve"> Vid. Suprema Corte de Justicia de la Nación. Pleno. Jurisprudencia Registro digital: 168878. Novena Época.  Materia: Constitucional, Penal. Septiembre de 2008. LEYES PENALES. AL EXAMINAR SU CONSTITUCIONALIDAD DEBEN ANALIZARSE LOS PRINCIPIOS DE PROPORCIONALIDAD Y RAZONABILIDAD JURÍDICA.</w:t>
      </w:r>
    </w:p>
    <w:p w14:paraId="6C9860FC" w14:textId="77777777" w:rsidR="00220EBB" w:rsidRDefault="00220EBB" w:rsidP="00B86213">
      <w:pPr>
        <w:pStyle w:val="Textonotapie"/>
        <w:jc w:val="both"/>
      </w:pPr>
    </w:p>
    <w:p w14:paraId="2CCDA0C1" w14:textId="77777777" w:rsidR="00220EBB" w:rsidRDefault="00220EBB" w:rsidP="00B86213">
      <w:pPr>
        <w:pStyle w:val="Textonotapie"/>
        <w:jc w:val="both"/>
      </w:pPr>
      <w:r>
        <w:t>El legislador en materia penal tiene amplia libertad para diseñar el rumbo de la política criminal, es decir, para elegir los bienes jurídicamente tutelados, las conductas típicas antijurídicas y las sanciones penales, de acuerdo con las necesidades sociales del momento histórico respectivo; sin embargo, al configurar las leyes relativas debe respetar el contenido de diversos principios constitucionales, entre ellos los de proporcionalidad y razonabilidad jurídica, a fin de que la aplicación de las penas no sea infamante, cruel, excesiva, inusitada, trascendental o contraria a la dignidad del ser humano, conforme a los artículos 14, 16, 18, 19, 20, 21 y 22 de la Constitución Política de los Estados Unidos Mexicanos. Por esa razón, el Juez constitucional, al examinar la constitucionalidad de las leyes penales, debe analizar que exista proporción y razonabilidad suficientes entre la cuantía de la pena y la gravedad del delito cometido, para lo cual debe considerar el daño al bien jurídico protegido, la posibilidad para individualizarla entre un mínimo y un máximo, el grado de reprochabilidad atribuible al sujeto activo, la idoneidad del tipo y de la cuantía de la pena para alcanzar la prevención del delito, así como la viabilidad de lograr, mediante su aplicación, la resocialización del sentenciado.</w:t>
      </w:r>
    </w:p>
    <w:p w14:paraId="679CD3AB" w14:textId="77777777" w:rsidR="00220EBB" w:rsidRDefault="00220EBB" w:rsidP="00B86213">
      <w:pPr>
        <w:pStyle w:val="Textonotapie"/>
        <w:jc w:val="both"/>
      </w:pPr>
    </w:p>
    <w:p w14:paraId="067132DF" w14:textId="77777777" w:rsidR="00220EBB" w:rsidRDefault="00220EBB" w:rsidP="00B86213">
      <w:pPr>
        <w:pStyle w:val="Textonotapie"/>
        <w:jc w:val="both"/>
      </w:pPr>
      <w:r>
        <w:t xml:space="preserve">Acción de inconstitucionalidad 31/2006. Procurador General de la República. 19 de febrero de 2008. Mayoría de ocho votos. Disidentes: Margarita Beatriz Luna Ramos, Olga Sánchez Cordero de García Villegas y Juan N. Silva Meza. Ponente: Margarita Beatriz Luna Ramos. Secretarios: Fernando Silva García y Alfredo Villeda Ayala. </w:t>
      </w:r>
    </w:p>
    <w:p w14:paraId="3FB95021" w14:textId="77777777" w:rsidR="00220EBB" w:rsidRDefault="00220EBB" w:rsidP="00B86213">
      <w:pPr>
        <w:pStyle w:val="Textonotapie"/>
        <w:jc w:val="both"/>
      </w:pPr>
    </w:p>
    <w:p w14:paraId="4343E7E4" w14:textId="77777777" w:rsidR="00220EBB" w:rsidRDefault="00220EBB" w:rsidP="00B86213">
      <w:pPr>
        <w:pStyle w:val="Textonotapie"/>
        <w:jc w:val="both"/>
      </w:pPr>
      <w:r>
        <w:t>El Tribunal Pleno, el dieciocho de agosto en curso, aprobó, con el número 102/2008, la tesis jurisprudencial que antecede. México, Distrito Federal, a dieciocho de agosto de dos mil ocho.</w:t>
      </w:r>
    </w:p>
  </w:footnote>
  <w:footnote w:id="7">
    <w:p w14:paraId="1F23F0DE" w14:textId="77777777" w:rsidR="00220EBB" w:rsidRDefault="00220EBB" w:rsidP="00B86213">
      <w:pPr>
        <w:pStyle w:val="Textonotapie"/>
        <w:jc w:val="both"/>
      </w:pPr>
      <w:r>
        <w:rPr>
          <w:rStyle w:val="Refdenotaalpie"/>
        </w:rPr>
        <w:footnoteRef/>
      </w:r>
      <w:r>
        <w:t xml:space="preserve"> </w:t>
      </w:r>
      <w:r w:rsidRPr="00DF576C">
        <w:rPr>
          <w:i/>
          <w:iCs/>
        </w:rPr>
        <w:t>Vid</w:t>
      </w:r>
      <w:r w:rsidRPr="00DF576C">
        <w:t xml:space="preserve">. Suprema Corte de Justicia de la Nación. Primera Sala. Amparo Directo en Revisión 776/214. </w:t>
      </w:r>
      <w:r>
        <w:t>Estudio de</w:t>
      </w:r>
      <w:r w:rsidRPr="00DF576C">
        <w:t xml:space="preserve"> Fondo.  Parr.</w:t>
      </w:r>
      <w:r>
        <w:t>120</w:t>
      </w:r>
      <w:r w:rsidRPr="00DF576C">
        <w:t>.</w:t>
      </w:r>
    </w:p>
  </w:footnote>
  <w:footnote w:id="8">
    <w:p w14:paraId="7D617FB0" w14:textId="00A587C1" w:rsidR="001068CB" w:rsidRPr="001068CB" w:rsidRDefault="001068CB">
      <w:pPr>
        <w:pStyle w:val="Textonotapie"/>
        <w:rPr>
          <w:lang w:val="es-MX"/>
        </w:rPr>
      </w:pPr>
      <w:r>
        <w:rPr>
          <w:rStyle w:val="Refdenotaalpie"/>
        </w:rPr>
        <w:footnoteRef/>
      </w:r>
      <w:r>
        <w:t xml:space="preserve"> </w:t>
      </w:r>
      <w:r w:rsidRPr="001068CB">
        <w:rPr>
          <w:i/>
          <w:lang w:val="es-MX"/>
        </w:rPr>
        <w:t>Vid</w:t>
      </w:r>
      <w:r>
        <w:rPr>
          <w:lang w:val="es-MX"/>
        </w:rPr>
        <w:t xml:space="preserve">. Código Nacional de Procedentitos Penales. </w:t>
      </w:r>
      <w:r w:rsidRPr="001068CB">
        <w:t>Artículo 192. Procedencia</w:t>
      </w:r>
      <w:r>
        <w:t>. Fracción I. vigente al 15/09/2022</w:t>
      </w:r>
    </w:p>
  </w:footnote>
  <w:footnote w:id="9">
    <w:p w14:paraId="1506FC32" w14:textId="0E9A971F" w:rsidR="008F6264" w:rsidRPr="008F6264" w:rsidRDefault="008F6264" w:rsidP="008F6264">
      <w:pPr>
        <w:pStyle w:val="Textonotapie"/>
        <w:rPr>
          <w:lang w:val="es-MX"/>
        </w:rPr>
      </w:pPr>
      <w:r>
        <w:rPr>
          <w:rStyle w:val="Refdenotaalpie"/>
        </w:rPr>
        <w:footnoteRef/>
      </w:r>
      <w:r>
        <w:t xml:space="preserve"> SCJN. </w:t>
      </w:r>
      <w:r w:rsidRPr="008F6264">
        <w:rPr>
          <w:lang w:val="es-MX"/>
        </w:rPr>
        <w:t>Instancia: Primera Sala</w:t>
      </w:r>
      <w:r>
        <w:rPr>
          <w:lang w:val="es-MX"/>
        </w:rPr>
        <w:t xml:space="preserve">. </w:t>
      </w:r>
      <w:r w:rsidRPr="008F6264">
        <w:rPr>
          <w:lang w:val="es-MX"/>
        </w:rPr>
        <w:t>Registro digital: 2020986</w:t>
      </w:r>
      <w:r>
        <w:rPr>
          <w:lang w:val="es-MX"/>
        </w:rPr>
        <w:t xml:space="preserve">. </w:t>
      </w:r>
      <w:r w:rsidRPr="008F6264">
        <w:rPr>
          <w:lang w:val="es-MX"/>
        </w:rPr>
        <w:t>Décima Época</w:t>
      </w:r>
      <w:r>
        <w:rPr>
          <w:lang w:val="es-MX"/>
        </w:rPr>
        <w:t xml:space="preserve">. </w:t>
      </w:r>
      <w:r w:rsidRPr="008F6264">
        <w:rPr>
          <w:lang w:val="es-MX"/>
        </w:rPr>
        <w:t>Materias(s): Penal, Constitucional</w:t>
      </w:r>
    </w:p>
    <w:p w14:paraId="00CB51F2" w14:textId="53245C03" w:rsidR="008F6264" w:rsidRPr="008F6264" w:rsidRDefault="008F6264" w:rsidP="008F6264">
      <w:pPr>
        <w:pStyle w:val="Textonotapie"/>
        <w:rPr>
          <w:lang w:val="es-MX"/>
        </w:rPr>
      </w:pPr>
      <w:r w:rsidRPr="008F6264">
        <w:rPr>
          <w:lang w:val="es-MX"/>
        </w:rPr>
        <w:t>Tesis: 1a. XCIV/2019 (10a.)</w:t>
      </w:r>
      <w:r>
        <w:rPr>
          <w:lang w:val="es-MX"/>
        </w:rPr>
        <w:t xml:space="preserve">. </w:t>
      </w:r>
      <w:r w:rsidRPr="008F6264">
        <w:rPr>
          <w:lang w:val="es-MX"/>
        </w:rPr>
        <w:t>Fuente: Gaceta del Semanario Judicial de la Federación. Libro 72, Noviembre de 2019, Tomo I, página 375</w:t>
      </w:r>
      <w:r>
        <w:rPr>
          <w:lang w:val="es-MX"/>
        </w:rPr>
        <w:t>.</w:t>
      </w:r>
      <w:r w:rsidRPr="008F6264">
        <w:rPr>
          <w:lang w:val="es-MX"/>
        </w:rPr>
        <w:t>Tipo: Aislada</w:t>
      </w:r>
      <w:r>
        <w:rPr>
          <w:lang w:val="es-MX"/>
        </w:rPr>
        <w:t xml:space="preserve">. </w:t>
      </w:r>
      <w:r w:rsidRPr="008F6264">
        <w:rPr>
          <w:lang w:val="es-MX"/>
        </w:rPr>
        <w:t>LIBERTAD Y SEGURIDAD SEXUAL. SU CONTENIDO Y ALCANCE COMO BIENES JURÍDICAMENTE TUTELADOS EN LOS DELITOS COMETIDOS CONTRA ÉSTOS.</w:t>
      </w:r>
    </w:p>
    <w:p w14:paraId="5A719811" w14:textId="13135628" w:rsidR="008F6264" w:rsidRDefault="008F6264">
      <w:pPr>
        <w:pStyle w:val="Textonotapie"/>
      </w:pPr>
    </w:p>
  </w:footnote>
  <w:footnote w:id="10">
    <w:p w14:paraId="13A64481" w14:textId="77777777" w:rsidR="00F0720E" w:rsidRPr="00F136CB" w:rsidRDefault="00F0720E" w:rsidP="00F0720E">
      <w:pPr>
        <w:pStyle w:val="Textonotapie"/>
        <w:jc w:val="both"/>
        <w:rPr>
          <w:rFonts w:cs="Calibri"/>
          <w:lang w:val="es-ES_tradnl"/>
        </w:rPr>
      </w:pPr>
      <w:r w:rsidRPr="00F136CB">
        <w:rPr>
          <w:rStyle w:val="Refdenotaalpie"/>
          <w:rFonts w:cs="Calibri"/>
        </w:rPr>
        <w:footnoteRef/>
      </w:r>
      <w:r w:rsidRPr="00F136CB">
        <w:rPr>
          <w:rFonts w:cs="Calibri"/>
        </w:rPr>
        <w:t xml:space="preserve"> Cfr. H. Congreso del Estado de Chihuahua. Código Penal del Estado de Chihuahua. Artículo 172, primer párrafo, fracc I. “artículo 172.  </w:t>
      </w:r>
      <w:r w:rsidRPr="00F136CB">
        <w:rPr>
          <w:rFonts w:cs="Calibri"/>
          <w:lang w:val="es-ES_tradnl"/>
        </w:rPr>
        <w:t xml:space="preserve">Se aplicarán de diez a treinta años de prisión a quien: </w:t>
      </w:r>
    </w:p>
    <w:p w14:paraId="6C9ED54A" w14:textId="77777777" w:rsidR="00F0720E" w:rsidRPr="00F136CB" w:rsidRDefault="00F0720E" w:rsidP="00F0720E">
      <w:pPr>
        <w:pStyle w:val="Textonotapie"/>
        <w:jc w:val="both"/>
        <w:rPr>
          <w:rFonts w:cs="Calibri"/>
        </w:rPr>
      </w:pPr>
      <w:r w:rsidRPr="00F136CB">
        <w:rPr>
          <w:rFonts w:cs="Calibri"/>
          <w:lang w:val="es-ES_tradnl"/>
        </w:rPr>
        <w:t>I. Realice cópula con persona menor de catorce años de edad o con persona que no tenga la capacidad de comprender el significado del hecho o por cualquier causa no pueda resistirlo; o” vigente al día 22 de agosto de 2019.</w:t>
      </w:r>
    </w:p>
    <w:p w14:paraId="24695C37" w14:textId="77777777" w:rsidR="00F0720E" w:rsidRPr="00F136CB" w:rsidRDefault="00F0720E" w:rsidP="00F0720E">
      <w:pPr>
        <w:pStyle w:val="Textonotapie"/>
        <w:jc w:val="both"/>
        <w:rPr>
          <w:rFonts w:cs="Calibri"/>
        </w:rPr>
      </w:pPr>
    </w:p>
  </w:footnote>
  <w:footnote w:id="11">
    <w:p w14:paraId="790365D8" w14:textId="77777777" w:rsidR="00F0720E" w:rsidRPr="00F136CB" w:rsidRDefault="00F0720E" w:rsidP="00F0720E">
      <w:pPr>
        <w:pStyle w:val="Textonotapie"/>
        <w:jc w:val="both"/>
        <w:rPr>
          <w:rFonts w:cs="Calibri"/>
        </w:rPr>
      </w:pPr>
      <w:r w:rsidRPr="00F136CB">
        <w:rPr>
          <w:rStyle w:val="Refdenotaalpie"/>
          <w:rFonts w:cs="Calibri"/>
        </w:rPr>
        <w:footnoteRef/>
      </w:r>
      <w:r w:rsidRPr="00F136CB">
        <w:rPr>
          <w:rFonts w:cs="Calibri"/>
        </w:rPr>
        <w:t xml:space="preserve"> </w:t>
      </w:r>
      <w:r>
        <w:rPr>
          <w:rFonts w:cs="Calibri"/>
        </w:rPr>
        <w:t xml:space="preserve">Cfr. </w:t>
      </w:r>
      <w:r w:rsidRPr="00F136CB">
        <w:rPr>
          <w:rFonts w:cs="Calibri"/>
        </w:rPr>
        <w:t>Época: Décima Época. Registro: 2019415. Instancia: Primera Sala. Tipo de Tesis: Aislada.</w:t>
      </w:r>
    </w:p>
    <w:p w14:paraId="126714B2" w14:textId="77777777" w:rsidR="00F0720E" w:rsidRPr="00F136CB" w:rsidRDefault="00F0720E" w:rsidP="00F0720E">
      <w:pPr>
        <w:pStyle w:val="Textonotapie"/>
        <w:jc w:val="both"/>
        <w:rPr>
          <w:rFonts w:cs="Calibri"/>
        </w:rPr>
      </w:pPr>
      <w:r w:rsidRPr="00F136CB">
        <w:rPr>
          <w:rFonts w:cs="Calibri"/>
        </w:rPr>
        <w:t xml:space="preserve">Marzo de 2019, Materia(s): Penal. Tesis: 1a. XXII/2019 (10a.) </w:t>
      </w:r>
    </w:p>
    <w:p w14:paraId="1791A2A5" w14:textId="77777777" w:rsidR="00F0720E" w:rsidRPr="00F136CB" w:rsidRDefault="00F0720E" w:rsidP="00F0720E">
      <w:pPr>
        <w:pStyle w:val="Textonotapie"/>
        <w:jc w:val="both"/>
        <w:rPr>
          <w:rFonts w:cs="Calibri"/>
        </w:rPr>
      </w:pPr>
      <w:r w:rsidRPr="00F136CB">
        <w:rPr>
          <w:rFonts w:cs="Calibri"/>
        </w:rPr>
        <w:t>DELITO DE CORRUPCIÓN DE PERSONAS MENORES DE EDAD. PARA VERIFICAR EL SUPUESTO TÍPICO DE VÍCTIMAS ADOLESCENTES EN ACTOS SEXUALES SE DEBE PONDERAR SI EJERCIERON LIBREMENTE SUS DERECHOS.</w:t>
      </w:r>
    </w:p>
    <w:p w14:paraId="49194D56" w14:textId="77777777" w:rsidR="00F0720E" w:rsidRPr="00F136CB" w:rsidRDefault="00F0720E" w:rsidP="00F0720E">
      <w:pPr>
        <w:pStyle w:val="Textonotapie"/>
        <w:jc w:val="both"/>
        <w:rPr>
          <w:rFonts w:cs="Calibri"/>
        </w:rPr>
      </w:pPr>
    </w:p>
    <w:p w14:paraId="33503DE6" w14:textId="7A446900" w:rsidR="00F0720E" w:rsidRPr="00F136CB" w:rsidRDefault="00F0720E" w:rsidP="00F0720E">
      <w:pPr>
        <w:pStyle w:val="Textonotapie"/>
        <w:jc w:val="both"/>
        <w:rPr>
          <w:rFonts w:cs="Calibri"/>
        </w:rPr>
      </w:pPr>
      <w:r w:rsidRPr="00F136CB">
        <w:rPr>
          <w:rFonts w:cs="Calibri"/>
        </w:rPr>
        <w:t>El artículo 184 del Código Penal para la Ciudad de México prevé el delito de corrupción de personas menores de dieciocho años de edad bajo el supuesto típico de inducirlas a realizar actos sexuales. La anterior descripción legal exige verificar la vulneración al bien jurídico tutelado por la norma penal; mas puede conllevar también la actualización de hipótesis bajo las cuales no se configure el delito. En principio, se debe distinguir cuando la víctima sea infante, en cuyo caso, siempre se configura el delito. En cambio, ante el diverso caso de que la persona identificada como víctima sea adolescente, se debe ponderar si pudo existir una situación de igualdad y libertad frente a la señalada como imputada, lo que justificaría el válido consentimiento de aquélla, pues en estas condiciones no se vulneraría el bien jurídico penal consistente en su sano y libre desarrollo sexual. Bajo este contexto, son válidas las situaciones en que puede afirmarse, de manera objetiva y razonable, que hubo consentimiento válido de la persona adolescente para sostener una relación o acto sexual; esto es, cuando no existe una relación asimétrica de poder o cualquier otra condición de desigualdad que impidiera reconocer su consentimiento válido; por ejemplo, una notoria diferencia de edad y desproporcional para justificar lo anterior, cuestiones jerárquicas –de supra a subordinación– que revelaran una condición de poder u otra que viciara su consentimiento válido. Así, bajo el principio del interés superior de la persona adolescente, se actualiza, de manera especial, su derecho a que se les escuche, así como a ejercer su sexualidad de manera libre; esto es, sin prohibición del Estado, antes bien, éste debe garantizarla conforme a un sistema integral de salud e información; de ahí que la autoridad que aplica la norma debe ponderar sus derechos de igualdad y libre desarrollo de la personalidad, así como sexuales o reproductivos. Del mismo modo, debe ponderar la validez de reprochar penalmente actos sexuales bajo este contexto a la persona señalada como imputada, para lo cual deberá verificar si dicho reproche penal se sustenta en fines legítimos, además de que la medida sea idónea y necesaria, así como si es proporcional frente al bien jurídico penal que se pretende proteger. En consecuencia, se deben ponderar las situaciones bajo las que una persona adolescente pudo válidamente haber tenido una relación o acto sexual; lo que no configuraría un delito reprochado a otra como imputada, sino que aquélla ejerció libremente sus derechos sexuales o reproductivos.</w:t>
      </w:r>
    </w:p>
  </w:footnote>
  <w:footnote w:id="12">
    <w:p w14:paraId="32C3BC87" w14:textId="060EA108" w:rsidR="00FE6D50" w:rsidRDefault="00FE6D50">
      <w:pPr>
        <w:pStyle w:val="Textonotapie"/>
      </w:pPr>
      <w:r>
        <w:rPr>
          <w:rStyle w:val="Refdenotaalpie"/>
        </w:rPr>
        <w:footnoteRef/>
      </w:r>
      <w:r>
        <w:t xml:space="preserve"> Ídem.</w:t>
      </w:r>
    </w:p>
  </w:footnote>
  <w:footnote w:id="13">
    <w:p w14:paraId="5CFECC00" w14:textId="77777777" w:rsidR="00CF5299" w:rsidRDefault="00CF5299" w:rsidP="00CF5299">
      <w:pPr>
        <w:pStyle w:val="Textonotapie"/>
      </w:pPr>
      <w:r>
        <w:rPr>
          <w:rStyle w:val="Refdenotaalpie"/>
        </w:rPr>
        <w:footnoteRef/>
      </w:r>
      <w:r>
        <w:t xml:space="preserve">  Vid. </w:t>
      </w:r>
      <w:hyperlink r:id="rId1" w:history="1">
        <w:r w:rsidRPr="00193C5E">
          <w:rPr>
            <w:rStyle w:val="Hipervnculo"/>
          </w:rPr>
          <w:t>https://www.youtube.com/watch?v=uvsWCm7JcQY</w:t>
        </w:r>
      </w:hyperlink>
      <w:r>
        <w:t xml:space="preserve"> 01/06/2020</w:t>
      </w:r>
    </w:p>
  </w:footnote>
  <w:footnote w:id="14">
    <w:p w14:paraId="35E50D5E" w14:textId="77777777" w:rsidR="00CF5299" w:rsidRDefault="00CF5299" w:rsidP="00CF5299">
      <w:pPr>
        <w:pStyle w:val="Textonotapie"/>
      </w:pPr>
      <w:r>
        <w:rPr>
          <w:rStyle w:val="Refdenotaalpie"/>
        </w:rPr>
        <w:footnoteRef/>
      </w:r>
      <w:r>
        <w:t xml:space="preserve"> Vid. </w:t>
      </w:r>
      <w:hyperlink r:id="rId2" w:history="1">
        <w:r w:rsidRPr="00A62E1B">
          <w:rPr>
            <w:rStyle w:val="Hipervnculo"/>
          </w:rPr>
          <w:t>http://ordenjuridico.gob.mx/violenciagenero/LEY%20OLIMPIA.pdf</w:t>
        </w:r>
      </w:hyperlink>
    </w:p>
  </w:footnote>
  <w:footnote w:id="15">
    <w:p w14:paraId="2F3EA22C" w14:textId="77777777" w:rsidR="00CF5299" w:rsidRDefault="00CF5299" w:rsidP="00CF5299">
      <w:pPr>
        <w:pStyle w:val="Textonotapie"/>
      </w:pPr>
      <w:r>
        <w:rPr>
          <w:rStyle w:val="Refdenotaalpie"/>
        </w:rPr>
        <w:footnoteRef/>
      </w:r>
      <w:r>
        <w:t xml:space="preserve"> Ídem</w:t>
      </w:r>
    </w:p>
  </w:footnote>
  <w:footnote w:id="16">
    <w:p w14:paraId="04DB878A" w14:textId="77777777" w:rsidR="009B7577" w:rsidRDefault="009B7577" w:rsidP="009B7577">
      <w:pPr>
        <w:pStyle w:val="Textonotapie"/>
      </w:pPr>
      <w:r>
        <w:rPr>
          <w:rStyle w:val="Refdenotaalpie"/>
        </w:rPr>
        <w:footnoteRef/>
      </w:r>
      <w:r>
        <w:t xml:space="preserve"> Punto VII de consideraciones P15</w:t>
      </w:r>
    </w:p>
  </w:footnote>
  <w:footnote w:id="17">
    <w:p w14:paraId="74EB723A" w14:textId="77777777" w:rsidR="009B7577" w:rsidRPr="00B60E38" w:rsidRDefault="009B7577" w:rsidP="009B7577">
      <w:pPr>
        <w:pStyle w:val="Textonotapie"/>
      </w:pPr>
      <w:r>
        <w:rPr>
          <w:rStyle w:val="Refdenotaalpie"/>
        </w:rPr>
        <w:footnoteRef/>
      </w:r>
      <w:r>
        <w:t xml:space="preserve"> </w:t>
      </w:r>
      <w:r w:rsidRPr="00B60E38">
        <w:t xml:space="preserve">Quien no traiciona la confianza u obtiene furtivamente la información de la víctima, debe ser sancionada en menor grado, con una agravante de la atenuante cuando las víctimas sean menores de catorce años </w:t>
      </w:r>
      <w:r w:rsidRPr="00B60E38">
        <w:rPr>
          <w:lang w:val="es-ES_tradnl"/>
        </w:rPr>
        <w:t>o que no tenga la capacidad de comprender el significado del hecho o que por cualquier causa no pueda resistirlo</w:t>
      </w:r>
      <w:r w:rsidRPr="00B60E38">
        <w:t>, cuidando la proporcionalidad de la pena.</w:t>
      </w:r>
    </w:p>
    <w:p w14:paraId="078A04A6" w14:textId="77777777" w:rsidR="009B7577" w:rsidRDefault="009B7577" w:rsidP="009B757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324" w14:textId="77777777" w:rsidR="00220EBB" w:rsidRPr="00A739FE" w:rsidRDefault="00220EBB"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220EBB" w:rsidRPr="00450450" w:rsidRDefault="00220EBB" w:rsidP="007C6780">
    <w:pPr>
      <w:pStyle w:val="Encabezado"/>
      <w:jc w:val="center"/>
      <w:rPr>
        <w:rFonts w:ascii="Arial" w:hAnsi="Arial" w:cs="Arial"/>
        <w:b/>
        <w:sz w:val="20"/>
        <w:szCs w:val="20"/>
      </w:rPr>
    </w:pPr>
  </w:p>
  <w:p w14:paraId="1C5468F9" w14:textId="77777777" w:rsidR="00220EBB" w:rsidRPr="0091427A" w:rsidRDefault="00220EBB"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220EBB" w:rsidRPr="0091427A" w:rsidRDefault="00220EBB"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220EBB" w:rsidRDefault="00220EBB" w:rsidP="007C6780">
    <w:pPr>
      <w:pStyle w:val="Encabezado"/>
      <w:jc w:val="right"/>
      <w:rPr>
        <w:rFonts w:ascii="Century Gothic" w:hAnsi="Century Gothic"/>
        <w:b/>
      </w:rPr>
    </w:pPr>
  </w:p>
  <w:p w14:paraId="44175D43" w14:textId="39D062B2" w:rsidR="00220EBB" w:rsidRDefault="00220EBB" w:rsidP="00621915">
    <w:pPr>
      <w:pStyle w:val="Encabezado"/>
      <w:jc w:val="right"/>
      <w:rPr>
        <w:rFonts w:ascii="Century Gothic" w:hAnsi="Century Gothic"/>
        <w:b/>
      </w:rPr>
    </w:pPr>
    <w:r>
      <w:rPr>
        <w:rFonts w:ascii="Century Gothic" w:hAnsi="Century Gothic"/>
        <w:b/>
      </w:rPr>
      <w:t>DCJ/013/2022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74221"/>
    <w:multiLevelType w:val="hybridMultilevel"/>
    <w:tmpl w:val="B3CC4184"/>
    <w:lvl w:ilvl="0" w:tplc="8F089D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AD39C7"/>
    <w:multiLevelType w:val="hybridMultilevel"/>
    <w:tmpl w:val="EA4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5746B"/>
    <w:multiLevelType w:val="hybridMultilevel"/>
    <w:tmpl w:val="22C2B584"/>
    <w:lvl w:ilvl="0" w:tplc="A8347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350EF"/>
    <w:multiLevelType w:val="hybridMultilevel"/>
    <w:tmpl w:val="5300B962"/>
    <w:lvl w:ilvl="0" w:tplc="176832B2">
      <w:start w:val="1"/>
      <w:numFmt w:val="upperRoman"/>
      <w:lvlText w:val="%1."/>
      <w:lvlJc w:val="left"/>
      <w:pPr>
        <w:ind w:left="1515" w:hanging="72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14"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5"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6A511D"/>
    <w:multiLevelType w:val="hybridMultilevel"/>
    <w:tmpl w:val="2C981CBA"/>
    <w:lvl w:ilvl="0" w:tplc="BEF8A26A">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5C5A3EF0"/>
    <w:multiLevelType w:val="hybridMultilevel"/>
    <w:tmpl w:val="863E866E"/>
    <w:lvl w:ilvl="0" w:tplc="72EAD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FA7393"/>
    <w:multiLevelType w:val="hybridMultilevel"/>
    <w:tmpl w:val="F9EA28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15:restartNumberingAfterBreak="0">
    <w:nsid w:val="6DB61D7E"/>
    <w:multiLevelType w:val="hybridMultilevel"/>
    <w:tmpl w:val="A79C9966"/>
    <w:lvl w:ilvl="0" w:tplc="9DF2D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337C68"/>
    <w:multiLevelType w:val="multilevel"/>
    <w:tmpl w:val="E1809B40"/>
    <w:numStyleLink w:val="Estilo1"/>
  </w:abstractNum>
  <w:abstractNum w:abstractNumId="40"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5"/>
  </w:num>
  <w:num w:numId="2">
    <w:abstractNumId w:val="40"/>
  </w:num>
  <w:num w:numId="3">
    <w:abstractNumId w:val="12"/>
  </w:num>
  <w:num w:numId="4">
    <w:abstractNumId w:val="19"/>
  </w:num>
  <w:num w:numId="5">
    <w:abstractNumId w:val="6"/>
  </w:num>
  <w:num w:numId="6">
    <w:abstractNumId w:val="39"/>
  </w:num>
  <w:num w:numId="7">
    <w:abstractNumId w:val="14"/>
  </w:num>
  <w:num w:numId="8">
    <w:abstractNumId w:val="32"/>
  </w:num>
  <w:num w:numId="9">
    <w:abstractNumId w:val="18"/>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38"/>
  </w:num>
  <w:num w:numId="13">
    <w:abstractNumId w:val="2"/>
  </w:num>
  <w:num w:numId="14">
    <w:abstractNumId w:val="30"/>
  </w:num>
  <w:num w:numId="15">
    <w:abstractNumId w:val="8"/>
  </w:num>
  <w:num w:numId="16">
    <w:abstractNumId w:val="1"/>
  </w:num>
  <w:num w:numId="17">
    <w:abstractNumId w:val="20"/>
  </w:num>
  <w:num w:numId="18">
    <w:abstractNumId w:val="29"/>
  </w:num>
  <w:num w:numId="19">
    <w:abstractNumId w:val="10"/>
  </w:num>
  <w:num w:numId="20">
    <w:abstractNumId w:val="36"/>
  </w:num>
  <w:num w:numId="21">
    <w:abstractNumId w:val="21"/>
  </w:num>
  <w:num w:numId="22">
    <w:abstractNumId w:val="34"/>
  </w:num>
  <w:num w:numId="23">
    <w:abstractNumId w:val="37"/>
  </w:num>
  <w:num w:numId="24">
    <w:abstractNumId w:val="16"/>
  </w:num>
  <w:num w:numId="25">
    <w:abstractNumId w:val="3"/>
  </w:num>
  <w:num w:numId="26">
    <w:abstractNumId w:val="11"/>
  </w:num>
  <w:num w:numId="27">
    <w:abstractNumId w:val="7"/>
  </w:num>
  <w:num w:numId="28">
    <w:abstractNumId w:val="17"/>
  </w:num>
  <w:num w:numId="29">
    <w:abstractNumId w:val="26"/>
  </w:num>
  <w:num w:numId="30">
    <w:abstractNumId w:val="0"/>
  </w:num>
  <w:num w:numId="31">
    <w:abstractNumId w:val="33"/>
  </w:num>
  <w:num w:numId="32">
    <w:abstractNumId w:val="22"/>
  </w:num>
  <w:num w:numId="33">
    <w:abstractNumId w:val="25"/>
  </w:num>
  <w:num w:numId="34">
    <w:abstractNumId w:val="35"/>
  </w:num>
  <w:num w:numId="35">
    <w:abstractNumId w:val="27"/>
  </w:num>
  <w:num w:numId="36">
    <w:abstractNumId w:val="28"/>
  </w:num>
  <w:num w:numId="37">
    <w:abstractNumId w:val="23"/>
  </w:num>
  <w:num w:numId="38">
    <w:abstractNumId w:val="24"/>
  </w:num>
  <w:num w:numId="39">
    <w:abstractNumId w:val="9"/>
  </w:num>
  <w:num w:numId="40">
    <w:abstractNumId w:val="31"/>
  </w:num>
  <w:num w:numId="41">
    <w:abstractNumId w:val="5"/>
  </w:num>
  <w:num w:numId="42">
    <w:abstractNumId w:val="1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2DE"/>
    <w:rsid w:val="0000667A"/>
    <w:rsid w:val="0001038C"/>
    <w:rsid w:val="000119FD"/>
    <w:rsid w:val="000133EF"/>
    <w:rsid w:val="00014A86"/>
    <w:rsid w:val="00022EC4"/>
    <w:rsid w:val="00026077"/>
    <w:rsid w:val="00030F31"/>
    <w:rsid w:val="00031568"/>
    <w:rsid w:val="00036145"/>
    <w:rsid w:val="00037019"/>
    <w:rsid w:val="000429E1"/>
    <w:rsid w:val="00042BE2"/>
    <w:rsid w:val="00043CA6"/>
    <w:rsid w:val="00046901"/>
    <w:rsid w:val="00051AB5"/>
    <w:rsid w:val="00051D9C"/>
    <w:rsid w:val="0005404A"/>
    <w:rsid w:val="000556C9"/>
    <w:rsid w:val="00057FD5"/>
    <w:rsid w:val="00060A1D"/>
    <w:rsid w:val="00064D71"/>
    <w:rsid w:val="00066693"/>
    <w:rsid w:val="000677BC"/>
    <w:rsid w:val="000701D0"/>
    <w:rsid w:val="00072A4D"/>
    <w:rsid w:val="000743C2"/>
    <w:rsid w:val="0008079B"/>
    <w:rsid w:val="00084A53"/>
    <w:rsid w:val="00084B09"/>
    <w:rsid w:val="00085026"/>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C06B6"/>
    <w:rsid w:val="000C2791"/>
    <w:rsid w:val="000C2DAC"/>
    <w:rsid w:val="000D022B"/>
    <w:rsid w:val="000D50DC"/>
    <w:rsid w:val="000E399D"/>
    <w:rsid w:val="000E40B2"/>
    <w:rsid w:val="000E607A"/>
    <w:rsid w:val="000F44C0"/>
    <w:rsid w:val="000F4F41"/>
    <w:rsid w:val="000F51B0"/>
    <w:rsid w:val="000F56AB"/>
    <w:rsid w:val="000F70D0"/>
    <w:rsid w:val="000F76C9"/>
    <w:rsid w:val="00100C26"/>
    <w:rsid w:val="00101D85"/>
    <w:rsid w:val="001068CB"/>
    <w:rsid w:val="00110C51"/>
    <w:rsid w:val="001125B9"/>
    <w:rsid w:val="0011350B"/>
    <w:rsid w:val="00116DFF"/>
    <w:rsid w:val="00120612"/>
    <w:rsid w:val="00122AFC"/>
    <w:rsid w:val="0012758E"/>
    <w:rsid w:val="001316AF"/>
    <w:rsid w:val="00134515"/>
    <w:rsid w:val="0013500E"/>
    <w:rsid w:val="0013577D"/>
    <w:rsid w:val="001362B8"/>
    <w:rsid w:val="00136581"/>
    <w:rsid w:val="00141A70"/>
    <w:rsid w:val="0014239A"/>
    <w:rsid w:val="00144D96"/>
    <w:rsid w:val="00145872"/>
    <w:rsid w:val="00147529"/>
    <w:rsid w:val="001501B3"/>
    <w:rsid w:val="00150BF4"/>
    <w:rsid w:val="00151ACF"/>
    <w:rsid w:val="00152BDB"/>
    <w:rsid w:val="00152C67"/>
    <w:rsid w:val="001535B1"/>
    <w:rsid w:val="0015696D"/>
    <w:rsid w:val="001625AC"/>
    <w:rsid w:val="00163B54"/>
    <w:rsid w:val="00163B7D"/>
    <w:rsid w:val="00165C38"/>
    <w:rsid w:val="00166858"/>
    <w:rsid w:val="001716FD"/>
    <w:rsid w:val="00172105"/>
    <w:rsid w:val="001750A1"/>
    <w:rsid w:val="0018294E"/>
    <w:rsid w:val="00190E37"/>
    <w:rsid w:val="001933D0"/>
    <w:rsid w:val="001938C1"/>
    <w:rsid w:val="00195117"/>
    <w:rsid w:val="001955AE"/>
    <w:rsid w:val="001955ED"/>
    <w:rsid w:val="00197FC0"/>
    <w:rsid w:val="001A1094"/>
    <w:rsid w:val="001A19BF"/>
    <w:rsid w:val="001A3CCD"/>
    <w:rsid w:val="001A5B6C"/>
    <w:rsid w:val="001A7A08"/>
    <w:rsid w:val="001B1AAA"/>
    <w:rsid w:val="001B2385"/>
    <w:rsid w:val="001B4C1B"/>
    <w:rsid w:val="001B720D"/>
    <w:rsid w:val="001C11BC"/>
    <w:rsid w:val="001C3E49"/>
    <w:rsid w:val="001C4EF4"/>
    <w:rsid w:val="001C7DC8"/>
    <w:rsid w:val="001C7E9B"/>
    <w:rsid w:val="001C7F07"/>
    <w:rsid w:val="001D18E0"/>
    <w:rsid w:val="001D44E1"/>
    <w:rsid w:val="001E56B3"/>
    <w:rsid w:val="001E58B7"/>
    <w:rsid w:val="001F1ECF"/>
    <w:rsid w:val="0020030B"/>
    <w:rsid w:val="00201247"/>
    <w:rsid w:val="002025F6"/>
    <w:rsid w:val="00202A20"/>
    <w:rsid w:val="00202FAB"/>
    <w:rsid w:val="002128DC"/>
    <w:rsid w:val="00220EBB"/>
    <w:rsid w:val="00232854"/>
    <w:rsid w:val="00232FC2"/>
    <w:rsid w:val="00234E7F"/>
    <w:rsid w:val="002364BE"/>
    <w:rsid w:val="00236583"/>
    <w:rsid w:val="0023737C"/>
    <w:rsid w:val="002377E1"/>
    <w:rsid w:val="002409EA"/>
    <w:rsid w:val="002420D3"/>
    <w:rsid w:val="00245BFF"/>
    <w:rsid w:val="00246F9A"/>
    <w:rsid w:val="002540ED"/>
    <w:rsid w:val="002556F6"/>
    <w:rsid w:val="00267943"/>
    <w:rsid w:val="00267DA3"/>
    <w:rsid w:val="0027160A"/>
    <w:rsid w:val="0027206F"/>
    <w:rsid w:val="00273927"/>
    <w:rsid w:val="0027447C"/>
    <w:rsid w:val="00277CA8"/>
    <w:rsid w:val="00282246"/>
    <w:rsid w:val="00287728"/>
    <w:rsid w:val="00287930"/>
    <w:rsid w:val="00297E7A"/>
    <w:rsid w:val="002A1151"/>
    <w:rsid w:val="002A3572"/>
    <w:rsid w:val="002A534A"/>
    <w:rsid w:val="002A578A"/>
    <w:rsid w:val="002A5852"/>
    <w:rsid w:val="002A799F"/>
    <w:rsid w:val="002B1DBD"/>
    <w:rsid w:val="002B3040"/>
    <w:rsid w:val="002B4E13"/>
    <w:rsid w:val="002B5FF8"/>
    <w:rsid w:val="002B6B7F"/>
    <w:rsid w:val="002B710B"/>
    <w:rsid w:val="002C16A8"/>
    <w:rsid w:val="002C38F9"/>
    <w:rsid w:val="002C3D19"/>
    <w:rsid w:val="002D14CC"/>
    <w:rsid w:val="002D3A8D"/>
    <w:rsid w:val="002D4618"/>
    <w:rsid w:val="002E2814"/>
    <w:rsid w:val="002E2CD6"/>
    <w:rsid w:val="002E442D"/>
    <w:rsid w:val="002E68E5"/>
    <w:rsid w:val="002F16F0"/>
    <w:rsid w:val="002F1F34"/>
    <w:rsid w:val="002F7B8E"/>
    <w:rsid w:val="00303621"/>
    <w:rsid w:val="00303CDD"/>
    <w:rsid w:val="00306540"/>
    <w:rsid w:val="003123AE"/>
    <w:rsid w:val="00314CD4"/>
    <w:rsid w:val="00315537"/>
    <w:rsid w:val="00316196"/>
    <w:rsid w:val="003167C5"/>
    <w:rsid w:val="003208D8"/>
    <w:rsid w:val="0032260F"/>
    <w:rsid w:val="00323399"/>
    <w:rsid w:val="00323DC4"/>
    <w:rsid w:val="00327059"/>
    <w:rsid w:val="00331CBA"/>
    <w:rsid w:val="00335252"/>
    <w:rsid w:val="00335E88"/>
    <w:rsid w:val="00346C62"/>
    <w:rsid w:val="00347E26"/>
    <w:rsid w:val="00352938"/>
    <w:rsid w:val="00352F37"/>
    <w:rsid w:val="00354620"/>
    <w:rsid w:val="00356B4E"/>
    <w:rsid w:val="0035713A"/>
    <w:rsid w:val="00357185"/>
    <w:rsid w:val="00357F2C"/>
    <w:rsid w:val="0037265C"/>
    <w:rsid w:val="003751B7"/>
    <w:rsid w:val="00376DBD"/>
    <w:rsid w:val="00380BCB"/>
    <w:rsid w:val="00386C7D"/>
    <w:rsid w:val="00391766"/>
    <w:rsid w:val="00392891"/>
    <w:rsid w:val="003A0421"/>
    <w:rsid w:val="003A19FF"/>
    <w:rsid w:val="003A218E"/>
    <w:rsid w:val="003A2630"/>
    <w:rsid w:val="003A2E95"/>
    <w:rsid w:val="003A3242"/>
    <w:rsid w:val="003A5C7B"/>
    <w:rsid w:val="003A627F"/>
    <w:rsid w:val="003B10E3"/>
    <w:rsid w:val="003B4235"/>
    <w:rsid w:val="003B45A0"/>
    <w:rsid w:val="003B56D7"/>
    <w:rsid w:val="003B7091"/>
    <w:rsid w:val="003C2048"/>
    <w:rsid w:val="003C53C1"/>
    <w:rsid w:val="003D1450"/>
    <w:rsid w:val="003D452D"/>
    <w:rsid w:val="003D63FC"/>
    <w:rsid w:val="003E4467"/>
    <w:rsid w:val="003E44B8"/>
    <w:rsid w:val="003F07B2"/>
    <w:rsid w:val="003F2106"/>
    <w:rsid w:val="003F2951"/>
    <w:rsid w:val="003F33B7"/>
    <w:rsid w:val="003F626B"/>
    <w:rsid w:val="003F6D35"/>
    <w:rsid w:val="00401D97"/>
    <w:rsid w:val="0040279F"/>
    <w:rsid w:val="00403160"/>
    <w:rsid w:val="0040528B"/>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37DBB"/>
    <w:rsid w:val="00440B4E"/>
    <w:rsid w:val="0044585F"/>
    <w:rsid w:val="0044590F"/>
    <w:rsid w:val="00446C31"/>
    <w:rsid w:val="00447E47"/>
    <w:rsid w:val="00450C7A"/>
    <w:rsid w:val="00453EF8"/>
    <w:rsid w:val="00454505"/>
    <w:rsid w:val="004613AA"/>
    <w:rsid w:val="00467A10"/>
    <w:rsid w:val="00473041"/>
    <w:rsid w:val="00476ECF"/>
    <w:rsid w:val="00476FF2"/>
    <w:rsid w:val="00477AB3"/>
    <w:rsid w:val="00477C16"/>
    <w:rsid w:val="00484DD5"/>
    <w:rsid w:val="00485B62"/>
    <w:rsid w:val="00494AA7"/>
    <w:rsid w:val="0049512E"/>
    <w:rsid w:val="00495AAC"/>
    <w:rsid w:val="004A0470"/>
    <w:rsid w:val="004A24F1"/>
    <w:rsid w:val="004A618D"/>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5D21"/>
    <w:rsid w:val="004D6E07"/>
    <w:rsid w:val="004E1676"/>
    <w:rsid w:val="004E1878"/>
    <w:rsid w:val="004E3E97"/>
    <w:rsid w:val="004E44AD"/>
    <w:rsid w:val="004E5739"/>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5D79"/>
    <w:rsid w:val="0053771D"/>
    <w:rsid w:val="00537A89"/>
    <w:rsid w:val="005403EE"/>
    <w:rsid w:val="00540B8F"/>
    <w:rsid w:val="00540FBB"/>
    <w:rsid w:val="0054378B"/>
    <w:rsid w:val="005506D5"/>
    <w:rsid w:val="005525CC"/>
    <w:rsid w:val="00555A2D"/>
    <w:rsid w:val="005573BF"/>
    <w:rsid w:val="005574D3"/>
    <w:rsid w:val="00557E52"/>
    <w:rsid w:val="005625B4"/>
    <w:rsid w:val="00564841"/>
    <w:rsid w:val="00565B1C"/>
    <w:rsid w:val="005709D0"/>
    <w:rsid w:val="005722A4"/>
    <w:rsid w:val="005732B8"/>
    <w:rsid w:val="00575377"/>
    <w:rsid w:val="00575458"/>
    <w:rsid w:val="0058079D"/>
    <w:rsid w:val="00582411"/>
    <w:rsid w:val="0058436F"/>
    <w:rsid w:val="00587454"/>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3228"/>
    <w:rsid w:val="00603F48"/>
    <w:rsid w:val="00604DD4"/>
    <w:rsid w:val="00606A8D"/>
    <w:rsid w:val="0061375E"/>
    <w:rsid w:val="00613794"/>
    <w:rsid w:val="00616768"/>
    <w:rsid w:val="00621135"/>
    <w:rsid w:val="0062121E"/>
    <w:rsid w:val="00621915"/>
    <w:rsid w:val="00626CA9"/>
    <w:rsid w:val="00633E8E"/>
    <w:rsid w:val="00635B02"/>
    <w:rsid w:val="00635F77"/>
    <w:rsid w:val="00636CDA"/>
    <w:rsid w:val="0064149F"/>
    <w:rsid w:val="00642AA1"/>
    <w:rsid w:val="006460F1"/>
    <w:rsid w:val="00654E49"/>
    <w:rsid w:val="006614FD"/>
    <w:rsid w:val="00661958"/>
    <w:rsid w:val="0066252E"/>
    <w:rsid w:val="006639C8"/>
    <w:rsid w:val="0066423A"/>
    <w:rsid w:val="00666235"/>
    <w:rsid w:val="0067333E"/>
    <w:rsid w:val="00673499"/>
    <w:rsid w:val="00673673"/>
    <w:rsid w:val="006740B7"/>
    <w:rsid w:val="006740DE"/>
    <w:rsid w:val="0067413F"/>
    <w:rsid w:val="00674CD6"/>
    <w:rsid w:val="00680EF3"/>
    <w:rsid w:val="0068314B"/>
    <w:rsid w:val="00683FAE"/>
    <w:rsid w:val="00685F55"/>
    <w:rsid w:val="00691D0B"/>
    <w:rsid w:val="006950C0"/>
    <w:rsid w:val="006976BE"/>
    <w:rsid w:val="006A071E"/>
    <w:rsid w:val="006A3F99"/>
    <w:rsid w:val="006A55EA"/>
    <w:rsid w:val="006A5C70"/>
    <w:rsid w:val="006B1047"/>
    <w:rsid w:val="006B3B0A"/>
    <w:rsid w:val="006B4389"/>
    <w:rsid w:val="006C391B"/>
    <w:rsid w:val="006C3CD3"/>
    <w:rsid w:val="006C426B"/>
    <w:rsid w:val="006D1E60"/>
    <w:rsid w:val="006D3D3F"/>
    <w:rsid w:val="006D68A5"/>
    <w:rsid w:val="006D7339"/>
    <w:rsid w:val="006D7C5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3F3B"/>
    <w:rsid w:val="00734E9C"/>
    <w:rsid w:val="00741892"/>
    <w:rsid w:val="007422ED"/>
    <w:rsid w:val="007428DB"/>
    <w:rsid w:val="00743151"/>
    <w:rsid w:val="00751959"/>
    <w:rsid w:val="007576C2"/>
    <w:rsid w:val="007577FA"/>
    <w:rsid w:val="00763234"/>
    <w:rsid w:val="00763F74"/>
    <w:rsid w:val="00765507"/>
    <w:rsid w:val="00767666"/>
    <w:rsid w:val="007723A0"/>
    <w:rsid w:val="007732B2"/>
    <w:rsid w:val="007768F7"/>
    <w:rsid w:val="00776C4D"/>
    <w:rsid w:val="00781835"/>
    <w:rsid w:val="00782883"/>
    <w:rsid w:val="00782A35"/>
    <w:rsid w:val="0078362A"/>
    <w:rsid w:val="00783820"/>
    <w:rsid w:val="00787F8E"/>
    <w:rsid w:val="007907DB"/>
    <w:rsid w:val="00793B76"/>
    <w:rsid w:val="007967AF"/>
    <w:rsid w:val="00796EDF"/>
    <w:rsid w:val="0079792A"/>
    <w:rsid w:val="007A061C"/>
    <w:rsid w:val="007A07E7"/>
    <w:rsid w:val="007A3C7B"/>
    <w:rsid w:val="007A6216"/>
    <w:rsid w:val="007A6523"/>
    <w:rsid w:val="007B4563"/>
    <w:rsid w:val="007B5E34"/>
    <w:rsid w:val="007B6673"/>
    <w:rsid w:val="007B6D66"/>
    <w:rsid w:val="007C1866"/>
    <w:rsid w:val="007C187F"/>
    <w:rsid w:val="007C2D7D"/>
    <w:rsid w:val="007C4279"/>
    <w:rsid w:val="007C6780"/>
    <w:rsid w:val="007D3BD2"/>
    <w:rsid w:val="007D676D"/>
    <w:rsid w:val="007D6990"/>
    <w:rsid w:val="007E711E"/>
    <w:rsid w:val="007E7F92"/>
    <w:rsid w:val="007F28C2"/>
    <w:rsid w:val="007F420C"/>
    <w:rsid w:val="007F4C63"/>
    <w:rsid w:val="007F61D8"/>
    <w:rsid w:val="007F6482"/>
    <w:rsid w:val="007F7B4E"/>
    <w:rsid w:val="008007F8"/>
    <w:rsid w:val="00800A6D"/>
    <w:rsid w:val="008014D2"/>
    <w:rsid w:val="0080281B"/>
    <w:rsid w:val="00804E5D"/>
    <w:rsid w:val="00806205"/>
    <w:rsid w:val="008104AD"/>
    <w:rsid w:val="0082101A"/>
    <w:rsid w:val="0083194E"/>
    <w:rsid w:val="00834453"/>
    <w:rsid w:val="0083549E"/>
    <w:rsid w:val="00835C67"/>
    <w:rsid w:val="00836838"/>
    <w:rsid w:val="00837BE8"/>
    <w:rsid w:val="008407B8"/>
    <w:rsid w:val="00842A89"/>
    <w:rsid w:val="00843D8A"/>
    <w:rsid w:val="0084460D"/>
    <w:rsid w:val="00850AE0"/>
    <w:rsid w:val="00850EEA"/>
    <w:rsid w:val="00851AAF"/>
    <w:rsid w:val="008522E9"/>
    <w:rsid w:val="00853AF0"/>
    <w:rsid w:val="00854ECC"/>
    <w:rsid w:val="00855B39"/>
    <w:rsid w:val="00856091"/>
    <w:rsid w:val="008573DE"/>
    <w:rsid w:val="00860E41"/>
    <w:rsid w:val="008619DE"/>
    <w:rsid w:val="00863C7C"/>
    <w:rsid w:val="00865B79"/>
    <w:rsid w:val="00866D56"/>
    <w:rsid w:val="00866E9C"/>
    <w:rsid w:val="0087090B"/>
    <w:rsid w:val="00870EFA"/>
    <w:rsid w:val="0087178A"/>
    <w:rsid w:val="00874757"/>
    <w:rsid w:val="008748CD"/>
    <w:rsid w:val="008822CF"/>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083"/>
    <w:rsid w:val="008B4461"/>
    <w:rsid w:val="008C19D6"/>
    <w:rsid w:val="008C59F5"/>
    <w:rsid w:val="008C5C9D"/>
    <w:rsid w:val="008C64DA"/>
    <w:rsid w:val="008D3A78"/>
    <w:rsid w:val="008D6F45"/>
    <w:rsid w:val="008D70F5"/>
    <w:rsid w:val="008E09E0"/>
    <w:rsid w:val="008E267B"/>
    <w:rsid w:val="008E3D0C"/>
    <w:rsid w:val="008E3E5E"/>
    <w:rsid w:val="008E5D49"/>
    <w:rsid w:val="008E66B7"/>
    <w:rsid w:val="008E672D"/>
    <w:rsid w:val="008F021D"/>
    <w:rsid w:val="008F251B"/>
    <w:rsid w:val="008F3D11"/>
    <w:rsid w:val="008F6264"/>
    <w:rsid w:val="00903A9D"/>
    <w:rsid w:val="00906D2D"/>
    <w:rsid w:val="009103FD"/>
    <w:rsid w:val="00913B0B"/>
    <w:rsid w:val="0091427A"/>
    <w:rsid w:val="00915B00"/>
    <w:rsid w:val="00917BA4"/>
    <w:rsid w:val="009235AB"/>
    <w:rsid w:val="00925EF3"/>
    <w:rsid w:val="009261EF"/>
    <w:rsid w:val="00927BEC"/>
    <w:rsid w:val="00927E51"/>
    <w:rsid w:val="00943066"/>
    <w:rsid w:val="00944602"/>
    <w:rsid w:val="00944928"/>
    <w:rsid w:val="00945843"/>
    <w:rsid w:val="009466AE"/>
    <w:rsid w:val="00946E99"/>
    <w:rsid w:val="009515A0"/>
    <w:rsid w:val="0095240E"/>
    <w:rsid w:val="009534A4"/>
    <w:rsid w:val="00955B5C"/>
    <w:rsid w:val="00960839"/>
    <w:rsid w:val="00961AAC"/>
    <w:rsid w:val="0096282B"/>
    <w:rsid w:val="00962F8F"/>
    <w:rsid w:val="009630E9"/>
    <w:rsid w:val="00963B0C"/>
    <w:rsid w:val="009648FD"/>
    <w:rsid w:val="009677F2"/>
    <w:rsid w:val="009705BC"/>
    <w:rsid w:val="00970683"/>
    <w:rsid w:val="00971A44"/>
    <w:rsid w:val="00973E0B"/>
    <w:rsid w:val="00974307"/>
    <w:rsid w:val="00977A67"/>
    <w:rsid w:val="00980BF5"/>
    <w:rsid w:val="00983A5B"/>
    <w:rsid w:val="00985CF0"/>
    <w:rsid w:val="009919E0"/>
    <w:rsid w:val="0099513F"/>
    <w:rsid w:val="00995192"/>
    <w:rsid w:val="009953A4"/>
    <w:rsid w:val="00995FD4"/>
    <w:rsid w:val="009B067E"/>
    <w:rsid w:val="009B1912"/>
    <w:rsid w:val="009B7577"/>
    <w:rsid w:val="009C45F1"/>
    <w:rsid w:val="009C6EF9"/>
    <w:rsid w:val="009D1950"/>
    <w:rsid w:val="009D7E85"/>
    <w:rsid w:val="009E2813"/>
    <w:rsid w:val="009E33A2"/>
    <w:rsid w:val="009F0267"/>
    <w:rsid w:val="009F4BA3"/>
    <w:rsid w:val="009F792D"/>
    <w:rsid w:val="00A00639"/>
    <w:rsid w:val="00A01BDA"/>
    <w:rsid w:val="00A03B35"/>
    <w:rsid w:val="00A03DF9"/>
    <w:rsid w:val="00A0597D"/>
    <w:rsid w:val="00A07DBB"/>
    <w:rsid w:val="00A1082E"/>
    <w:rsid w:val="00A111CE"/>
    <w:rsid w:val="00A12C9E"/>
    <w:rsid w:val="00A17271"/>
    <w:rsid w:val="00A24122"/>
    <w:rsid w:val="00A24FD5"/>
    <w:rsid w:val="00A268DA"/>
    <w:rsid w:val="00A355DD"/>
    <w:rsid w:val="00A35F1E"/>
    <w:rsid w:val="00A36F8A"/>
    <w:rsid w:val="00A40D80"/>
    <w:rsid w:val="00A420D5"/>
    <w:rsid w:val="00A44157"/>
    <w:rsid w:val="00A456FB"/>
    <w:rsid w:val="00A47EF9"/>
    <w:rsid w:val="00A52300"/>
    <w:rsid w:val="00A5362F"/>
    <w:rsid w:val="00A56B5B"/>
    <w:rsid w:val="00A6126E"/>
    <w:rsid w:val="00A642C1"/>
    <w:rsid w:val="00A65F2A"/>
    <w:rsid w:val="00A72A22"/>
    <w:rsid w:val="00A739FE"/>
    <w:rsid w:val="00A760F1"/>
    <w:rsid w:val="00A83B5A"/>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D529D"/>
    <w:rsid w:val="00AE0CB1"/>
    <w:rsid w:val="00AE17A8"/>
    <w:rsid w:val="00AE1E7B"/>
    <w:rsid w:val="00AE35C5"/>
    <w:rsid w:val="00AE61A9"/>
    <w:rsid w:val="00AF057F"/>
    <w:rsid w:val="00AF332A"/>
    <w:rsid w:val="00AF3755"/>
    <w:rsid w:val="00AF3DD2"/>
    <w:rsid w:val="00AF74C6"/>
    <w:rsid w:val="00B02D98"/>
    <w:rsid w:val="00B0340D"/>
    <w:rsid w:val="00B06620"/>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0CB"/>
    <w:rsid w:val="00B377C2"/>
    <w:rsid w:val="00B379DA"/>
    <w:rsid w:val="00B40D94"/>
    <w:rsid w:val="00B4377F"/>
    <w:rsid w:val="00B438AA"/>
    <w:rsid w:val="00B43B48"/>
    <w:rsid w:val="00B44334"/>
    <w:rsid w:val="00B46904"/>
    <w:rsid w:val="00B51325"/>
    <w:rsid w:val="00B55226"/>
    <w:rsid w:val="00B56B0C"/>
    <w:rsid w:val="00B571EF"/>
    <w:rsid w:val="00B61AC9"/>
    <w:rsid w:val="00B63E65"/>
    <w:rsid w:val="00B71574"/>
    <w:rsid w:val="00B71694"/>
    <w:rsid w:val="00B764D2"/>
    <w:rsid w:val="00B81167"/>
    <w:rsid w:val="00B81E5E"/>
    <w:rsid w:val="00B8591B"/>
    <w:rsid w:val="00B86213"/>
    <w:rsid w:val="00B90391"/>
    <w:rsid w:val="00B931BD"/>
    <w:rsid w:val="00BA097D"/>
    <w:rsid w:val="00BA0D41"/>
    <w:rsid w:val="00BA5C59"/>
    <w:rsid w:val="00BB21CA"/>
    <w:rsid w:val="00BB4EFE"/>
    <w:rsid w:val="00BB5353"/>
    <w:rsid w:val="00BC19BA"/>
    <w:rsid w:val="00BC1AE7"/>
    <w:rsid w:val="00BC1E84"/>
    <w:rsid w:val="00BC45F5"/>
    <w:rsid w:val="00BC4B29"/>
    <w:rsid w:val="00BD0531"/>
    <w:rsid w:val="00BD2BB0"/>
    <w:rsid w:val="00BE1574"/>
    <w:rsid w:val="00BE255D"/>
    <w:rsid w:val="00BE2F8D"/>
    <w:rsid w:val="00BE5707"/>
    <w:rsid w:val="00BE5BE8"/>
    <w:rsid w:val="00BE6320"/>
    <w:rsid w:val="00BE7642"/>
    <w:rsid w:val="00BF13A9"/>
    <w:rsid w:val="00BF4CD4"/>
    <w:rsid w:val="00BF742D"/>
    <w:rsid w:val="00BF75BF"/>
    <w:rsid w:val="00C052B1"/>
    <w:rsid w:val="00C074C6"/>
    <w:rsid w:val="00C07B0F"/>
    <w:rsid w:val="00C15903"/>
    <w:rsid w:val="00C16AE7"/>
    <w:rsid w:val="00C1703A"/>
    <w:rsid w:val="00C200F0"/>
    <w:rsid w:val="00C20164"/>
    <w:rsid w:val="00C22EE1"/>
    <w:rsid w:val="00C23E70"/>
    <w:rsid w:val="00C240D3"/>
    <w:rsid w:val="00C24DA9"/>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606B"/>
    <w:rsid w:val="00C8625D"/>
    <w:rsid w:val="00C916DA"/>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F5F"/>
    <w:rsid w:val="00CD50DF"/>
    <w:rsid w:val="00CD733C"/>
    <w:rsid w:val="00CE2EB7"/>
    <w:rsid w:val="00CE6A09"/>
    <w:rsid w:val="00CF0676"/>
    <w:rsid w:val="00CF0CFA"/>
    <w:rsid w:val="00CF2AB0"/>
    <w:rsid w:val="00CF4297"/>
    <w:rsid w:val="00CF4498"/>
    <w:rsid w:val="00CF4D43"/>
    <w:rsid w:val="00CF5299"/>
    <w:rsid w:val="00CF5752"/>
    <w:rsid w:val="00CF675F"/>
    <w:rsid w:val="00CF6A53"/>
    <w:rsid w:val="00D01D6D"/>
    <w:rsid w:val="00D0485E"/>
    <w:rsid w:val="00D11159"/>
    <w:rsid w:val="00D120AD"/>
    <w:rsid w:val="00D14054"/>
    <w:rsid w:val="00D1447F"/>
    <w:rsid w:val="00D17C0F"/>
    <w:rsid w:val="00D2002E"/>
    <w:rsid w:val="00D2304A"/>
    <w:rsid w:val="00D24E97"/>
    <w:rsid w:val="00D24F69"/>
    <w:rsid w:val="00D329F2"/>
    <w:rsid w:val="00D51F46"/>
    <w:rsid w:val="00D539B9"/>
    <w:rsid w:val="00D567EE"/>
    <w:rsid w:val="00D573B9"/>
    <w:rsid w:val="00D575B2"/>
    <w:rsid w:val="00D61045"/>
    <w:rsid w:val="00D617DB"/>
    <w:rsid w:val="00D645A3"/>
    <w:rsid w:val="00D64F64"/>
    <w:rsid w:val="00D65F10"/>
    <w:rsid w:val="00D65F97"/>
    <w:rsid w:val="00D66472"/>
    <w:rsid w:val="00D75D0A"/>
    <w:rsid w:val="00D77C2B"/>
    <w:rsid w:val="00D803DC"/>
    <w:rsid w:val="00D82E50"/>
    <w:rsid w:val="00D840E3"/>
    <w:rsid w:val="00D85D49"/>
    <w:rsid w:val="00D8746D"/>
    <w:rsid w:val="00D90013"/>
    <w:rsid w:val="00D9299E"/>
    <w:rsid w:val="00D92A15"/>
    <w:rsid w:val="00D94AB9"/>
    <w:rsid w:val="00DA584A"/>
    <w:rsid w:val="00DA588D"/>
    <w:rsid w:val="00DA6F1F"/>
    <w:rsid w:val="00DB0B91"/>
    <w:rsid w:val="00DB40DF"/>
    <w:rsid w:val="00DB5BD7"/>
    <w:rsid w:val="00DC1740"/>
    <w:rsid w:val="00DC1F31"/>
    <w:rsid w:val="00DC65C4"/>
    <w:rsid w:val="00DD42AA"/>
    <w:rsid w:val="00DD683C"/>
    <w:rsid w:val="00DE0AA2"/>
    <w:rsid w:val="00DE0F12"/>
    <w:rsid w:val="00DE142E"/>
    <w:rsid w:val="00DE2535"/>
    <w:rsid w:val="00DE27C1"/>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4E39"/>
    <w:rsid w:val="00E16FDF"/>
    <w:rsid w:val="00E1713E"/>
    <w:rsid w:val="00E17F42"/>
    <w:rsid w:val="00E21F45"/>
    <w:rsid w:val="00E249F1"/>
    <w:rsid w:val="00E25FD9"/>
    <w:rsid w:val="00E27837"/>
    <w:rsid w:val="00E42FA0"/>
    <w:rsid w:val="00E4354A"/>
    <w:rsid w:val="00E46D70"/>
    <w:rsid w:val="00E47989"/>
    <w:rsid w:val="00E47FCD"/>
    <w:rsid w:val="00E512AA"/>
    <w:rsid w:val="00E517B0"/>
    <w:rsid w:val="00E5196C"/>
    <w:rsid w:val="00E52DCF"/>
    <w:rsid w:val="00E56383"/>
    <w:rsid w:val="00E6335A"/>
    <w:rsid w:val="00E660BF"/>
    <w:rsid w:val="00E700D1"/>
    <w:rsid w:val="00E7120C"/>
    <w:rsid w:val="00E7322D"/>
    <w:rsid w:val="00E73362"/>
    <w:rsid w:val="00E75C44"/>
    <w:rsid w:val="00E768BF"/>
    <w:rsid w:val="00E80D9F"/>
    <w:rsid w:val="00E82168"/>
    <w:rsid w:val="00E8302C"/>
    <w:rsid w:val="00E83F16"/>
    <w:rsid w:val="00E86014"/>
    <w:rsid w:val="00E86620"/>
    <w:rsid w:val="00E8696D"/>
    <w:rsid w:val="00E87959"/>
    <w:rsid w:val="00E922F0"/>
    <w:rsid w:val="00E95C4A"/>
    <w:rsid w:val="00EA663F"/>
    <w:rsid w:val="00EA6E89"/>
    <w:rsid w:val="00EA74F4"/>
    <w:rsid w:val="00EB42BD"/>
    <w:rsid w:val="00EB5F1C"/>
    <w:rsid w:val="00EC291E"/>
    <w:rsid w:val="00ED048B"/>
    <w:rsid w:val="00ED28E2"/>
    <w:rsid w:val="00ED2D1E"/>
    <w:rsid w:val="00ED35E7"/>
    <w:rsid w:val="00ED428B"/>
    <w:rsid w:val="00EE1E10"/>
    <w:rsid w:val="00EE2584"/>
    <w:rsid w:val="00EE2D91"/>
    <w:rsid w:val="00EE4E4F"/>
    <w:rsid w:val="00EE749C"/>
    <w:rsid w:val="00EE7B53"/>
    <w:rsid w:val="00EF5CC2"/>
    <w:rsid w:val="00F0015D"/>
    <w:rsid w:val="00F00F51"/>
    <w:rsid w:val="00F01169"/>
    <w:rsid w:val="00F01515"/>
    <w:rsid w:val="00F0156B"/>
    <w:rsid w:val="00F049E2"/>
    <w:rsid w:val="00F063D9"/>
    <w:rsid w:val="00F0720E"/>
    <w:rsid w:val="00F103C6"/>
    <w:rsid w:val="00F1142F"/>
    <w:rsid w:val="00F11658"/>
    <w:rsid w:val="00F11D38"/>
    <w:rsid w:val="00F13633"/>
    <w:rsid w:val="00F14EDA"/>
    <w:rsid w:val="00F15509"/>
    <w:rsid w:val="00F206A2"/>
    <w:rsid w:val="00F217AA"/>
    <w:rsid w:val="00F21EC8"/>
    <w:rsid w:val="00F2418C"/>
    <w:rsid w:val="00F26641"/>
    <w:rsid w:val="00F30C66"/>
    <w:rsid w:val="00F32C54"/>
    <w:rsid w:val="00F33CFF"/>
    <w:rsid w:val="00F45E8E"/>
    <w:rsid w:val="00F4622F"/>
    <w:rsid w:val="00F47E24"/>
    <w:rsid w:val="00F53E64"/>
    <w:rsid w:val="00F614A1"/>
    <w:rsid w:val="00F736ED"/>
    <w:rsid w:val="00F7750D"/>
    <w:rsid w:val="00F80D64"/>
    <w:rsid w:val="00F8157D"/>
    <w:rsid w:val="00F8469E"/>
    <w:rsid w:val="00F90945"/>
    <w:rsid w:val="00F91FEA"/>
    <w:rsid w:val="00F92C06"/>
    <w:rsid w:val="00FA0304"/>
    <w:rsid w:val="00FA1A9F"/>
    <w:rsid w:val="00FA442D"/>
    <w:rsid w:val="00FA75B4"/>
    <w:rsid w:val="00FB4239"/>
    <w:rsid w:val="00FB6502"/>
    <w:rsid w:val="00FB687E"/>
    <w:rsid w:val="00FC03D5"/>
    <w:rsid w:val="00FC0690"/>
    <w:rsid w:val="00FC22A0"/>
    <w:rsid w:val="00FC48FC"/>
    <w:rsid w:val="00FC5AD1"/>
    <w:rsid w:val="00FC5D29"/>
    <w:rsid w:val="00FC6AF8"/>
    <w:rsid w:val="00FD54D9"/>
    <w:rsid w:val="00FD55B1"/>
    <w:rsid w:val="00FE4EDA"/>
    <w:rsid w:val="00FE5015"/>
    <w:rsid w:val="00FE51D9"/>
    <w:rsid w:val="00FE6791"/>
    <w:rsid w:val="00FE67CD"/>
    <w:rsid w:val="00FE6D50"/>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UnresolvedMention">
    <w:name w:val="Unresolved Mention"/>
    <w:basedOn w:val="Fuentedeprrafopredeter"/>
    <w:uiPriority w:val="99"/>
    <w:semiHidden/>
    <w:unhideWhenUsed/>
    <w:rsid w:val="009B7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notes.xml.rels><?xml version="1.0" encoding="UTF-8" standalone="yes"?>
<Relationships xmlns="http://schemas.openxmlformats.org/package/2006/relationships"><Relationship Id="rId2" Type="http://schemas.openxmlformats.org/officeDocument/2006/relationships/hyperlink" Target="http://ordenjuridico.gob.mx/violenciagenero/LEY%20OLIMPIA.pdf" TargetMode="External"/><Relationship Id="rId1" Type="http://schemas.openxmlformats.org/officeDocument/2006/relationships/hyperlink" Target="https://www.youtube.com/watch?v=uvsWCm7JcQ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235C9-68C4-48D7-82F3-A4AF2437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5838</Words>
  <Characters>32112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Brenda Sarahi Gonzalez Dominguez</cp:lastModifiedBy>
  <cp:revision>2</cp:revision>
  <cp:lastPrinted>2022-03-10T17:58:00Z</cp:lastPrinted>
  <dcterms:created xsi:type="dcterms:W3CDTF">2022-09-21T19:27:00Z</dcterms:created>
  <dcterms:modified xsi:type="dcterms:W3CDTF">2022-09-21T19:27:00Z</dcterms:modified>
</cp:coreProperties>
</file>