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ABA557" w14:textId="77777777" w:rsidR="00331CBA" w:rsidRPr="009568FB" w:rsidRDefault="00331CBA" w:rsidP="002E2CD6">
      <w:pPr>
        <w:pStyle w:val="Ttulo1"/>
        <w:tabs>
          <w:tab w:val="left" w:pos="5385"/>
        </w:tabs>
        <w:ind w:right="332"/>
        <w:rPr>
          <w:rFonts w:ascii="Century Gothic" w:hAnsi="Century Gothic"/>
        </w:rPr>
      </w:pPr>
      <w:r w:rsidRPr="009568FB">
        <w:rPr>
          <w:rFonts w:ascii="Century Gothic" w:hAnsi="Century Gothic"/>
        </w:rPr>
        <w:t>H. CONGRESO DEL ESTADO</w:t>
      </w:r>
    </w:p>
    <w:p w14:paraId="3AF2B427" w14:textId="77777777" w:rsidR="00331CBA" w:rsidRPr="009568FB" w:rsidRDefault="00331CBA" w:rsidP="002E2CD6">
      <w:pPr>
        <w:ind w:right="332"/>
        <w:jc w:val="both"/>
        <w:rPr>
          <w:rFonts w:ascii="Century Gothic" w:hAnsi="Century Gothic" w:cs="Arial"/>
          <w:b/>
          <w:bCs/>
        </w:rPr>
      </w:pPr>
      <w:r w:rsidRPr="009568FB">
        <w:rPr>
          <w:rFonts w:ascii="Century Gothic" w:hAnsi="Century Gothic" w:cs="Arial"/>
          <w:b/>
          <w:bCs/>
        </w:rPr>
        <w:t>P R E S E N T E. –</w:t>
      </w:r>
    </w:p>
    <w:p w14:paraId="0BF602D4" w14:textId="77777777" w:rsidR="00331CBA" w:rsidRPr="009568FB" w:rsidRDefault="00331CBA" w:rsidP="002E2CD6">
      <w:pPr>
        <w:tabs>
          <w:tab w:val="left" w:pos="6840"/>
        </w:tabs>
        <w:spacing w:line="360" w:lineRule="auto"/>
        <w:ind w:right="332"/>
        <w:jc w:val="both"/>
        <w:rPr>
          <w:rFonts w:ascii="Century Gothic" w:hAnsi="Century Gothic" w:cs="Arial"/>
          <w:b/>
          <w:bCs/>
        </w:rPr>
      </w:pPr>
      <w:r>
        <w:rPr>
          <w:rFonts w:ascii="Century Gothic" w:hAnsi="Century Gothic" w:cs="Arial"/>
          <w:b/>
          <w:bCs/>
        </w:rPr>
        <w:tab/>
      </w:r>
    </w:p>
    <w:p w14:paraId="77D73D81" w14:textId="77777777" w:rsidR="00331CBA" w:rsidRPr="009568FB" w:rsidRDefault="00FB6502" w:rsidP="002E2CD6">
      <w:pPr>
        <w:pStyle w:val="Textoindependiente"/>
        <w:spacing w:line="360" w:lineRule="auto"/>
        <w:ind w:right="332"/>
        <w:rPr>
          <w:rFonts w:ascii="Century Gothic" w:hAnsi="Century Gothic" w:cs="Arial"/>
        </w:rPr>
      </w:pPr>
      <w:r>
        <w:rPr>
          <w:rFonts w:ascii="Century Gothic" w:hAnsi="Century Gothic" w:cs="Arial"/>
        </w:rPr>
        <w:t xml:space="preserve">La Comisión </w:t>
      </w:r>
      <w:r w:rsidR="00FC48FC">
        <w:rPr>
          <w:rFonts w:ascii="Century Gothic" w:hAnsi="Century Gothic" w:cs="Arial"/>
        </w:rPr>
        <w:t xml:space="preserve">de </w:t>
      </w:r>
      <w:r w:rsidR="005D3AD1">
        <w:rPr>
          <w:rFonts w:ascii="Century Gothic" w:hAnsi="Century Gothic" w:cs="Arial"/>
        </w:rPr>
        <w:t>Justicia</w:t>
      </w:r>
      <w:r w:rsidR="00FC48FC">
        <w:rPr>
          <w:rFonts w:ascii="Century Gothic" w:hAnsi="Century Gothic" w:cs="Arial"/>
        </w:rPr>
        <w:t>,</w:t>
      </w:r>
      <w:r w:rsidR="00331CBA" w:rsidRPr="009568FB">
        <w:rPr>
          <w:rFonts w:ascii="Century Gothic" w:hAnsi="Century Gothic" w:cs="Arial"/>
        </w:rPr>
        <w:t xml:space="preserve"> </w:t>
      </w:r>
      <w:r w:rsidR="00331CBA" w:rsidRPr="0002744E">
        <w:rPr>
          <w:rFonts w:ascii="Century Gothic" w:eastAsia="Arial" w:hAnsi="Century Gothic" w:cs="Arial"/>
        </w:rPr>
        <w:t>con fundamento en lo dispuesto</w:t>
      </w:r>
      <w:r w:rsidR="009C6EF9">
        <w:rPr>
          <w:rFonts w:ascii="Century Gothic" w:eastAsia="Arial" w:hAnsi="Century Gothic" w:cs="Arial"/>
        </w:rPr>
        <w:t xml:space="preserve"> </w:t>
      </w:r>
      <w:r w:rsidR="00621915">
        <w:rPr>
          <w:rFonts w:ascii="Century Gothic" w:eastAsia="Arial" w:hAnsi="Century Gothic" w:cs="Arial"/>
        </w:rPr>
        <w:t xml:space="preserve">por los artículos 57 y </w:t>
      </w:r>
      <w:r w:rsidR="00621915" w:rsidRPr="00B139DA">
        <w:rPr>
          <w:rFonts w:ascii="Century Gothic" w:eastAsia="Arial" w:hAnsi="Century Gothic" w:cs="Arial"/>
        </w:rPr>
        <w:t xml:space="preserve">64, fracción I </w:t>
      </w:r>
      <w:r w:rsidR="00621915" w:rsidRPr="003B1094">
        <w:rPr>
          <w:rFonts w:ascii="Century Gothic" w:eastAsia="Arial" w:hAnsi="Century Gothic" w:cs="Arial"/>
        </w:rPr>
        <w:t>de la Constitución Política del Estado de Chihuahua; 87, 88 y 111 de la Ley Orgánica; así como 80 y 81 del Reglamento Interior y de Prácticas Parlamentarias</w:t>
      </w:r>
      <w:r w:rsidR="00621915">
        <w:rPr>
          <w:rFonts w:ascii="Century Gothic" w:eastAsia="Arial" w:hAnsi="Century Gothic" w:cs="Arial"/>
        </w:rPr>
        <w:t>, ambos ordenamientos del Poder Legislativo del Estado de Chihuahua;</w:t>
      </w:r>
      <w:r w:rsidR="00621915" w:rsidRPr="0002744E">
        <w:rPr>
          <w:rFonts w:ascii="Century Gothic" w:eastAsia="Arial" w:hAnsi="Century Gothic" w:cs="Arial"/>
        </w:rPr>
        <w:t xml:space="preserve"> somete a la consideración del Pleno el presente Dictamen, elaborado con base en los siguientes</w:t>
      </w:r>
      <w:r w:rsidR="00621915">
        <w:rPr>
          <w:rFonts w:ascii="Century Gothic" w:eastAsia="Arial" w:hAnsi="Century Gothic" w:cs="Arial"/>
        </w:rPr>
        <w:t>:</w:t>
      </w:r>
    </w:p>
    <w:p w14:paraId="175F6A70" w14:textId="77777777" w:rsidR="00331CBA" w:rsidRDefault="00331CBA" w:rsidP="002E2CD6">
      <w:pPr>
        <w:pStyle w:val="Textoindependiente"/>
        <w:ind w:right="332" w:firstLine="993"/>
        <w:rPr>
          <w:rFonts w:ascii="Century Gothic" w:hAnsi="Century Gothic" w:cs="Arial"/>
          <w:b/>
        </w:rPr>
      </w:pPr>
    </w:p>
    <w:p w14:paraId="428305CE" w14:textId="77777777" w:rsidR="00331CBA" w:rsidRDefault="00331CBA" w:rsidP="002E2CD6">
      <w:pPr>
        <w:pStyle w:val="Ttulo2"/>
        <w:spacing w:line="360" w:lineRule="auto"/>
        <w:ind w:right="332"/>
        <w:rPr>
          <w:rFonts w:ascii="Century Gothic" w:hAnsi="Century Gothic" w:cs="Arial"/>
        </w:rPr>
      </w:pPr>
      <w:r w:rsidRPr="009568FB">
        <w:rPr>
          <w:rFonts w:ascii="Century Gothic" w:hAnsi="Century Gothic" w:cs="Arial"/>
        </w:rPr>
        <w:t>A N T E C E D E N T E S</w:t>
      </w:r>
    </w:p>
    <w:p w14:paraId="378295BD" w14:textId="77777777" w:rsidR="00331CBA" w:rsidRPr="009568FB" w:rsidRDefault="00331CBA" w:rsidP="002E2CD6">
      <w:pPr>
        <w:ind w:right="332"/>
        <w:rPr>
          <w:rFonts w:ascii="Century Gothic" w:hAnsi="Century Gothic" w:cs="Arial"/>
        </w:rPr>
      </w:pPr>
    </w:p>
    <w:p w14:paraId="0FDE84A1" w14:textId="6F87A9E5" w:rsidR="008A50ED" w:rsidRDefault="00331CBA" w:rsidP="002E2CD6">
      <w:pPr>
        <w:shd w:val="clear" w:color="auto" w:fill="FFFFFF"/>
        <w:tabs>
          <w:tab w:val="left" w:pos="9763"/>
        </w:tabs>
        <w:spacing w:line="360" w:lineRule="auto"/>
        <w:ind w:right="332"/>
        <w:jc w:val="both"/>
        <w:rPr>
          <w:rFonts w:ascii="Century Gothic" w:hAnsi="Century Gothic" w:cs="Arial"/>
        </w:rPr>
      </w:pPr>
      <w:r w:rsidRPr="005D3AD1">
        <w:rPr>
          <w:rFonts w:ascii="Century Gothic" w:hAnsi="Century Gothic" w:cs="Arial"/>
          <w:b/>
          <w:bCs/>
        </w:rPr>
        <w:t xml:space="preserve">I.- </w:t>
      </w:r>
      <w:r w:rsidRPr="005D3AD1">
        <w:rPr>
          <w:rFonts w:ascii="Century Gothic" w:hAnsi="Century Gothic" w:cs="Arial"/>
        </w:rPr>
        <w:t xml:space="preserve">Con fecha </w:t>
      </w:r>
      <w:r w:rsidR="00824B3E">
        <w:rPr>
          <w:rFonts w:ascii="Century Gothic" w:hAnsi="Century Gothic" w:cs="Arial"/>
        </w:rPr>
        <w:t>17</w:t>
      </w:r>
      <w:r w:rsidR="009103FD">
        <w:rPr>
          <w:rFonts w:ascii="Century Gothic" w:hAnsi="Century Gothic" w:cs="Arial"/>
        </w:rPr>
        <w:t xml:space="preserve"> de </w:t>
      </w:r>
      <w:r w:rsidR="00824B3E">
        <w:rPr>
          <w:rFonts w:ascii="Century Gothic" w:hAnsi="Century Gothic" w:cs="Arial"/>
        </w:rPr>
        <w:t>marzo</w:t>
      </w:r>
      <w:r w:rsidR="00DE2F42">
        <w:rPr>
          <w:rFonts w:ascii="Century Gothic" w:hAnsi="Century Gothic" w:cs="Arial"/>
        </w:rPr>
        <w:t xml:space="preserve"> de 2022</w:t>
      </w:r>
      <w:r w:rsidRPr="005D3AD1">
        <w:rPr>
          <w:rFonts w:ascii="Century Gothic" w:hAnsi="Century Gothic" w:cs="Arial"/>
        </w:rPr>
        <w:t>,</w:t>
      </w:r>
      <w:r w:rsidR="000701D0">
        <w:rPr>
          <w:rFonts w:ascii="Century Gothic" w:hAnsi="Century Gothic" w:cs="Arial"/>
        </w:rPr>
        <w:t xml:space="preserve"> </w:t>
      </w:r>
      <w:r w:rsidR="00824B3E">
        <w:rPr>
          <w:rFonts w:ascii="Century Gothic" w:hAnsi="Century Gothic" w:cs="Arial"/>
        </w:rPr>
        <w:t xml:space="preserve">las y los diputados </w:t>
      </w:r>
      <w:r w:rsidR="00824B3E" w:rsidRPr="00824B3E">
        <w:rPr>
          <w:rFonts w:ascii="Century Gothic" w:hAnsi="Century Gothic" w:cs="Arial"/>
        </w:rPr>
        <w:t xml:space="preserve">Carla Yamileth Rivas Martínez, Carlos Alfredo Olson San Vicente, Diana Ivette Pereda Gutiérrez, Gabriel Ángel García Cantú, Georgina Alejandra Bujanda Ríos, Ismael Pérez Pavía, José Alfredo Chávez Madrid, Luis Alberto Aguilar Lozoya, </w:t>
      </w:r>
      <w:r w:rsidR="00824B3E">
        <w:rPr>
          <w:rFonts w:ascii="Century Gothic" w:hAnsi="Century Gothic" w:cs="Arial"/>
        </w:rPr>
        <w:t>Mario Humberto Vázquez Robles</w:t>
      </w:r>
      <w:r w:rsidR="00824B3E" w:rsidRPr="00824B3E">
        <w:rPr>
          <w:rFonts w:ascii="Century Gothic" w:hAnsi="Century Gothic" w:cs="Arial"/>
        </w:rPr>
        <w:t>, Marisela Terrazas Muñoz, Roberto Marcelino Carreón Huitrón, Rocio Guadalupe Sarmiento Rufino, Rosa Isela Martínez Díaz, Saúl Mireles Corral</w:t>
      </w:r>
      <w:r w:rsidR="00824B3E">
        <w:rPr>
          <w:rFonts w:ascii="Century Gothic" w:hAnsi="Century Gothic" w:cs="Arial"/>
        </w:rPr>
        <w:t xml:space="preserve"> y</w:t>
      </w:r>
      <w:r w:rsidR="00824B3E" w:rsidRPr="00824B3E">
        <w:rPr>
          <w:rFonts w:ascii="Century Gothic" w:hAnsi="Century Gothic" w:cs="Arial"/>
        </w:rPr>
        <w:t xml:space="preserve"> Ye</w:t>
      </w:r>
      <w:r w:rsidR="00824B3E">
        <w:rPr>
          <w:rFonts w:ascii="Century Gothic" w:hAnsi="Century Gothic" w:cs="Arial"/>
        </w:rPr>
        <w:t>senia Guadalupe Reyes Calzadías</w:t>
      </w:r>
      <w:r w:rsidR="00DE2F42">
        <w:rPr>
          <w:rFonts w:ascii="Century Gothic" w:hAnsi="Century Gothic" w:cs="Arial"/>
        </w:rPr>
        <w:t>, integrante</w:t>
      </w:r>
      <w:r w:rsidR="00824B3E">
        <w:rPr>
          <w:rFonts w:ascii="Century Gothic" w:hAnsi="Century Gothic" w:cs="Arial"/>
        </w:rPr>
        <w:t>s</w:t>
      </w:r>
      <w:r w:rsidR="00DE2F42">
        <w:rPr>
          <w:rFonts w:ascii="Century Gothic" w:hAnsi="Century Gothic" w:cs="Arial"/>
        </w:rPr>
        <w:t xml:space="preserve"> del Grupo Parlamentario del Partido Acción Nacional, de la Sexagésima Séptima Legislatura del H. Congreso del Estado</w:t>
      </w:r>
      <w:r w:rsidR="00824B3E">
        <w:rPr>
          <w:rFonts w:ascii="Century Gothic" w:hAnsi="Century Gothic" w:cs="Arial"/>
        </w:rPr>
        <w:t>,</w:t>
      </w:r>
      <w:r w:rsidR="009103FD">
        <w:rPr>
          <w:rFonts w:ascii="Century Gothic" w:hAnsi="Century Gothic" w:cs="Arial"/>
        </w:rPr>
        <w:t xml:space="preserve"> </w:t>
      </w:r>
      <w:r w:rsidR="00824B3E">
        <w:rPr>
          <w:rFonts w:ascii="Century Gothic" w:hAnsi="Century Gothic" w:cs="Arial"/>
        </w:rPr>
        <w:t>presentaron</w:t>
      </w:r>
      <w:r w:rsidR="00DE2F42">
        <w:rPr>
          <w:rFonts w:ascii="Century Gothic" w:hAnsi="Century Gothic" w:cs="Arial"/>
        </w:rPr>
        <w:t xml:space="preserve"> </w:t>
      </w:r>
      <w:r w:rsidR="00D65F10">
        <w:rPr>
          <w:rFonts w:ascii="Century Gothic" w:hAnsi="Century Gothic" w:cs="Arial"/>
        </w:rPr>
        <w:t xml:space="preserve">iniciativa con carácter de </w:t>
      </w:r>
      <w:r w:rsidR="00D65F10" w:rsidRPr="00D65F10">
        <w:rPr>
          <w:rFonts w:ascii="Century Gothic" w:hAnsi="Century Gothic" w:cs="Arial"/>
        </w:rPr>
        <w:t xml:space="preserve">decreto, </w:t>
      </w:r>
      <w:r w:rsidR="00DE2F42">
        <w:rPr>
          <w:rFonts w:ascii="Century Gothic" w:hAnsi="Century Gothic" w:cs="Arial"/>
        </w:rPr>
        <w:t xml:space="preserve">a efecto de </w:t>
      </w:r>
      <w:r w:rsidR="00824B3E" w:rsidRPr="00824B3E">
        <w:rPr>
          <w:rFonts w:ascii="Century Gothic" w:hAnsi="Century Gothic" w:cs="Arial"/>
        </w:rPr>
        <w:t>a efecto de reformar el artículo 177 del Código Penal del Estado de Chihuahua, con el propósito de aumentar las penas del delito de estupro.</w:t>
      </w:r>
    </w:p>
    <w:p w14:paraId="01CE2BE6" w14:textId="77777777" w:rsidR="009103FD" w:rsidRDefault="009103FD" w:rsidP="002E2CD6">
      <w:pPr>
        <w:shd w:val="clear" w:color="auto" w:fill="FFFFFF"/>
        <w:tabs>
          <w:tab w:val="left" w:pos="9763"/>
        </w:tabs>
        <w:spacing w:line="360" w:lineRule="auto"/>
        <w:ind w:right="332"/>
        <w:jc w:val="both"/>
        <w:rPr>
          <w:rFonts w:ascii="Century Gothic" w:hAnsi="Century Gothic" w:cs="Arial"/>
        </w:rPr>
      </w:pPr>
    </w:p>
    <w:p w14:paraId="6692C258" w14:textId="60FA6659" w:rsidR="007E7F92" w:rsidRPr="007E7F92" w:rsidRDefault="00F0156B" w:rsidP="002E2CD6">
      <w:pPr>
        <w:shd w:val="clear" w:color="auto" w:fill="FFFFFF"/>
        <w:tabs>
          <w:tab w:val="left" w:pos="9763"/>
        </w:tabs>
        <w:spacing w:line="360" w:lineRule="auto"/>
        <w:ind w:right="332"/>
        <w:jc w:val="both"/>
        <w:rPr>
          <w:rFonts w:ascii="Century Gothic" w:eastAsia="Arial" w:hAnsi="Century Gothic" w:cs="Arial"/>
        </w:rPr>
      </w:pPr>
      <w:r w:rsidRPr="00F0156B">
        <w:rPr>
          <w:rFonts w:ascii="Century Gothic" w:hAnsi="Century Gothic" w:cs="Arial"/>
          <w:b/>
        </w:rPr>
        <w:lastRenderedPageBreak/>
        <w:t>II.-</w:t>
      </w:r>
      <w:r>
        <w:rPr>
          <w:rFonts w:ascii="Century Gothic" w:hAnsi="Century Gothic" w:cs="Arial"/>
        </w:rPr>
        <w:t xml:space="preserve"> </w:t>
      </w:r>
      <w:r w:rsidR="007E7F92">
        <w:rPr>
          <w:rFonts w:ascii="Century Gothic" w:hAnsi="Century Gothic" w:cs="Arial"/>
        </w:rPr>
        <w:t xml:space="preserve">La Presidencia del H. Congreso del Estado, con fecha </w:t>
      </w:r>
      <w:r w:rsidR="00824B3E">
        <w:rPr>
          <w:rFonts w:ascii="Century Gothic" w:hAnsi="Century Gothic" w:cs="Arial"/>
        </w:rPr>
        <w:t>22</w:t>
      </w:r>
      <w:r w:rsidR="001C7F07">
        <w:rPr>
          <w:rFonts w:ascii="Century Gothic" w:hAnsi="Century Gothic" w:cs="Arial"/>
        </w:rPr>
        <w:t xml:space="preserve"> de </w:t>
      </w:r>
      <w:r w:rsidR="00824B3E">
        <w:rPr>
          <w:rFonts w:ascii="Century Gothic" w:hAnsi="Century Gothic" w:cs="Arial"/>
        </w:rPr>
        <w:t>marzo</w:t>
      </w:r>
      <w:r w:rsidR="00DE2F42">
        <w:rPr>
          <w:rFonts w:ascii="Century Gothic" w:hAnsi="Century Gothic" w:cs="Arial"/>
        </w:rPr>
        <w:t xml:space="preserve"> de 2022</w:t>
      </w:r>
      <w:r w:rsidR="008A50ED">
        <w:rPr>
          <w:rFonts w:ascii="Century Gothic" w:hAnsi="Century Gothic" w:cs="Arial"/>
        </w:rPr>
        <w:t>,</w:t>
      </w:r>
      <w:r w:rsidR="007E7F92">
        <w:rPr>
          <w:rFonts w:ascii="Century Gothic" w:hAnsi="Century Gothic" w:cs="Arial"/>
        </w:rPr>
        <w:t xml:space="preserve"> en </w:t>
      </w:r>
      <w:r w:rsidR="007E7F92">
        <w:rPr>
          <w:rFonts w:ascii="Century Gothic" w:eastAsia="Arial" w:hAnsi="Century Gothic" w:cs="Arial"/>
        </w:rPr>
        <w:t xml:space="preserve">uso de las facultades que le confiere el artículo 75, fracción XIII, de la Ley Orgánica del Poder Legislativo, tuvo a bien turnar a la Comisión de </w:t>
      </w:r>
      <w:r w:rsidR="005D3AD1">
        <w:rPr>
          <w:rFonts w:ascii="Century Gothic" w:eastAsia="Arial" w:hAnsi="Century Gothic" w:cs="Arial"/>
        </w:rPr>
        <w:t>Justicia</w:t>
      </w:r>
      <w:r w:rsidR="00245BFF">
        <w:rPr>
          <w:rFonts w:ascii="Century Gothic" w:eastAsia="Arial" w:hAnsi="Century Gothic" w:cs="Arial"/>
        </w:rPr>
        <w:t xml:space="preserve">, la </w:t>
      </w:r>
      <w:r w:rsidR="005100FF">
        <w:rPr>
          <w:rFonts w:ascii="Century Gothic" w:eastAsia="Arial" w:hAnsi="Century Gothic" w:cs="Arial"/>
        </w:rPr>
        <w:t>i</w:t>
      </w:r>
      <w:r w:rsidR="00BC19BA">
        <w:rPr>
          <w:rFonts w:ascii="Century Gothic" w:eastAsia="Arial" w:hAnsi="Century Gothic" w:cs="Arial"/>
        </w:rPr>
        <w:t>niciativa de mérito</w:t>
      </w:r>
      <w:r w:rsidR="007E7F92" w:rsidRPr="00A91DCA">
        <w:rPr>
          <w:rFonts w:ascii="Century Gothic" w:hAnsi="Century Gothic" w:cs="Arial"/>
        </w:rPr>
        <w:t>,</w:t>
      </w:r>
      <w:r w:rsidR="007E7F92">
        <w:rPr>
          <w:rFonts w:ascii="Century Gothic" w:eastAsia="Arial" w:hAnsi="Century Gothic" w:cs="Arial"/>
        </w:rPr>
        <w:t xml:space="preserve"> a efecto de proceder al estudio, análisis y elaboración del dictamen correspondiente.</w:t>
      </w:r>
    </w:p>
    <w:p w14:paraId="27368A1B" w14:textId="77777777" w:rsidR="00917BA4" w:rsidRDefault="00917BA4" w:rsidP="002E2CD6">
      <w:pPr>
        <w:shd w:val="clear" w:color="auto" w:fill="FFFFFF"/>
        <w:tabs>
          <w:tab w:val="left" w:pos="9763"/>
        </w:tabs>
        <w:spacing w:line="360" w:lineRule="auto"/>
        <w:ind w:right="332"/>
        <w:jc w:val="both"/>
        <w:rPr>
          <w:rFonts w:ascii="Century Gothic" w:hAnsi="Century Gothic" w:cs="Arial"/>
        </w:rPr>
      </w:pPr>
    </w:p>
    <w:p w14:paraId="725CE301" w14:textId="7FEFE41D" w:rsidR="00331CBA" w:rsidRPr="003B10E3" w:rsidRDefault="00022EC4" w:rsidP="002E2CD6">
      <w:pPr>
        <w:shd w:val="clear" w:color="auto" w:fill="FFFFFF"/>
        <w:tabs>
          <w:tab w:val="left" w:pos="9763"/>
        </w:tabs>
        <w:spacing w:line="360" w:lineRule="auto"/>
        <w:ind w:right="332"/>
        <w:jc w:val="both"/>
        <w:rPr>
          <w:rFonts w:ascii="Century Gothic" w:eastAsia="Arial" w:hAnsi="Century Gothic" w:cs="Arial"/>
        </w:rPr>
      </w:pPr>
      <w:r>
        <w:rPr>
          <w:rFonts w:ascii="Century Gothic" w:hAnsi="Century Gothic" w:cs="Arial"/>
          <w:b/>
        </w:rPr>
        <w:t>I</w:t>
      </w:r>
      <w:r w:rsidR="002A578A">
        <w:rPr>
          <w:rFonts w:ascii="Century Gothic" w:hAnsi="Century Gothic" w:cs="Arial"/>
          <w:b/>
        </w:rPr>
        <w:t>II</w:t>
      </w:r>
      <w:r w:rsidR="00F33CFF" w:rsidRPr="00E24D27">
        <w:rPr>
          <w:rFonts w:ascii="Century Gothic" w:hAnsi="Century Gothic" w:cs="Arial"/>
          <w:b/>
        </w:rPr>
        <w:t>.-</w:t>
      </w:r>
      <w:r w:rsidR="00F33CFF">
        <w:rPr>
          <w:rFonts w:ascii="Century Gothic" w:hAnsi="Century Gothic" w:cs="Arial"/>
        </w:rPr>
        <w:t xml:space="preserve"> </w:t>
      </w:r>
      <w:r w:rsidR="008A50ED">
        <w:rPr>
          <w:rFonts w:ascii="Century Gothic" w:hAnsi="Century Gothic" w:cs="Arial"/>
          <w:bCs/>
        </w:rPr>
        <w:t xml:space="preserve">La iniciativa </w:t>
      </w:r>
      <w:r w:rsidR="005D3EF3">
        <w:rPr>
          <w:rFonts w:ascii="Century Gothic" w:hAnsi="Century Gothic" w:cs="Arial"/>
          <w:bCs/>
        </w:rPr>
        <w:t xml:space="preserve">enunciada como asunto </w:t>
      </w:r>
      <w:r w:rsidR="00824B3E">
        <w:rPr>
          <w:rFonts w:ascii="Century Gothic" w:hAnsi="Century Gothic" w:cs="Arial"/>
          <w:bCs/>
        </w:rPr>
        <w:t>851</w:t>
      </w:r>
      <w:r w:rsidR="005D3EF3">
        <w:rPr>
          <w:rFonts w:ascii="Century Gothic" w:hAnsi="Century Gothic" w:cs="Arial"/>
          <w:bCs/>
        </w:rPr>
        <w:t>,</w:t>
      </w:r>
      <w:r w:rsidR="00331CBA" w:rsidRPr="009568FB">
        <w:rPr>
          <w:rFonts w:ascii="Century Gothic" w:hAnsi="Century Gothic" w:cs="Arial"/>
          <w:bCs/>
        </w:rPr>
        <w:t xml:space="preserve"> </w:t>
      </w:r>
      <w:r w:rsidR="00323DC4">
        <w:rPr>
          <w:rFonts w:ascii="Century Gothic" w:hAnsi="Century Gothic" w:cs="Arial"/>
          <w:bCs/>
        </w:rPr>
        <w:t>se sustenta en los</w:t>
      </w:r>
      <w:r w:rsidR="00331CBA">
        <w:rPr>
          <w:rFonts w:ascii="Century Gothic" w:hAnsi="Century Gothic" w:cs="Arial"/>
          <w:bCs/>
        </w:rPr>
        <w:t xml:space="preserve"> siguiente</w:t>
      </w:r>
      <w:r w:rsidR="00323DC4">
        <w:rPr>
          <w:rFonts w:ascii="Century Gothic" w:hAnsi="Century Gothic" w:cs="Arial"/>
          <w:bCs/>
        </w:rPr>
        <w:t>s argumentos</w:t>
      </w:r>
      <w:r w:rsidR="00331CBA">
        <w:rPr>
          <w:rFonts w:ascii="Century Gothic" w:hAnsi="Century Gothic" w:cs="Arial"/>
          <w:bCs/>
        </w:rPr>
        <w:t>:</w:t>
      </w:r>
    </w:p>
    <w:p w14:paraId="707D9C37" w14:textId="77777777" w:rsidR="006C3CD3" w:rsidRPr="00917BA4" w:rsidRDefault="006C3CD3" w:rsidP="002E2CD6">
      <w:pPr>
        <w:pStyle w:val="Textoindependiente"/>
        <w:spacing w:line="360" w:lineRule="auto"/>
        <w:ind w:right="332"/>
        <w:rPr>
          <w:rFonts w:ascii="Century Gothic" w:hAnsi="Century Gothic" w:cs="Arial"/>
          <w:bCs/>
          <w:lang w:val="es-MX"/>
        </w:rPr>
      </w:pPr>
    </w:p>
    <w:p w14:paraId="09491438" w14:textId="0135424C" w:rsidR="00824B3E" w:rsidRDefault="00B46904" w:rsidP="00824B3E">
      <w:pPr>
        <w:autoSpaceDE w:val="0"/>
        <w:autoSpaceDN w:val="0"/>
        <w:adjustRightInd w:val="0"/>
        <w:spacing w:line="360" w:lineRule="auto"/>
        <w:ind w:left="851" w:right="1466"/>
        <w:jc w:val="both"/>
        <w:rPr>
          <w:rFonts w:ascii="Century Gothic" w:eastAsia="Arial" w:hAnsi="Century Gothic"/>
          <w:i/>
          <w:sz w:val="22"/>
          <w:szCs w:val="22"/>
          <w:lang w:val="es-MX"/>
        </w:rPr>
      </w:pPr>
      <w:r w:rsidRPr="003E44B8">
        <w:rPr>
          <w:rFonts w:ascii="Century Gothic" w:eastAsia="Arial" w:hAnsi="Century Gothic"/>
          <w:i/>
          <w:sz w:val="22"/>
          <w:szCs w:val="22"/>
        </w:rPr>
        <w:t>“</w:t>
      </w:r>
      <w:r w:rsidR="00824B3E" w:rsidRPr="00824B3E">
        <w:rPr>
          <w:rFonts w:ascii="Century Gothic" w:eastAsia="Arial" w:hAnsi="Century Gothic"/>
          <w:i/>
          <w:sz w:val="22"/>
          <w:szCs w:val="22"/>
          <w:lang w:val="es-MX"/>
        </w:rPr>
        <w:t>La protección de los derechos de las y los adolescentes, debe de ser prioridad para los estados, como se señala en diversas disposiciones jurídicas internacionales, nacionales y locales. En este sentido, es importante que nuestro marco normativo proteja integralmente sus derechos humanos; sobre todo cuando se trata de aquellos relacionados a su seguridad sexual.</w:t>
      </w:r>
    </w:p>
    <w:p w14:paraId="513EC6D1" w14:textId="77777777" w:rsidR="00824B3E" w:rsidRPr="00824B3E" w:rsidRDefault="00824B3E" w:rsidP="00824B3E">
      <w:pPr>
        <w:autoSpaceDE w:val="0"/>
        <w:autoSpaceDN w:val="0"/>
        <w:adjustRightInd w:val="0"/>
        <w:spacing w:line="360" w:lineRule="auto"/>
        <w:ind w:left="851" w:right="1466"/>
        <w:jc w:val="both"/>
        <w:rPr>
          <w:rFonts w:ascii="Century Gothic" w:eastAsia="Arial" w:hAnsi="Century Gothic"/>
          <w:i/>
          <w:sz w:val="22"/>
          <w:szCs w:val="22"/>
          <w:lang w:val="es-MX"/>
        </w:rPr>
      </w:pPr>
    </w:p>
    <w:p w14:paraId="5399682F" w14:textId="77777777" w:rsidR="00824B3E" w:rsidRDefault="00824B3E" w:rsidP="00824B3E">
      <w:pPr>
        <w:autoSpaceDE w:val="0"/>
        <w:autoSpaceDN w:val="0"/>
        <w:adjustRightInd w:val="0"/>
        <w:spacing w:line="360" w:lineRule="auto"/>
        <w:ind w:left="851" w:right="1466"/>
        <w:jc w:val="both"/>
        <w:rPr>
          <w:rFonts w:ascii="Century Gothic" w:eastAsia="Arial" w:hAnsi="Century Gothic"/>
          <w:i/>
          <w:sz w:val="22"/>
          <w:szCs w:val="22"/>
          <w:lang w:val="es-MX"/>
        </w:rPr>
      </w:pPr>
      <w:r w:rsidRPr="00824B3E">
        <w:rPr>
          <w:rFonts w:ascii="Century Gothic" w:eastAsia="Arial" w:hAnsi="Century Gothic"/>
          <w:i/>
          <w:sz w:val="22"/>
          <w:szCs w:val="22"/>
          <w:lang w:val="es-MX"/>
        </w:rPr>
        <w:t>La violencia sexual contra de adolescentes lamentablemente tiene alta incidencia en México y Chihuahua. Lo peor del caso, es que no visibilizamos el problema, o incluso se normalizan este tipo de ilícitos.</w:t>
      </w:r>
    </w:p>
    <w:p w14:paraId="287951AB" w14:textId="77777777" w:rsidR="00824B3E" w:rsidRPr="00824B3E" w:rsidRDefault="00824B3E" w:rsidP="00824B3E">
      <w:pPr>
        <w:autoSpaceDE w:val="0"/>
        <w:autoSpaceDN w:val="0"/>
        <w:adjustRightInd w:val="0"/>
        <w:spacing w:line="360" w:lineRule="auto"/>
        <w:ind w:left="851" w:right="1466"/>
        <w:jc w:val="both"/>
        <w:rPr>
          <w:rFonts w:ascii="Century Gothic" w:eastAsia="Arial" w:hAnsi="Century Gothic"/>
          <w:i/>
          <w:sz w:val="22"/>
          <w:szCs w:val="22"/>
          <w:lang w:val="es-MX"/>
        </w:rPr>
      </w:pPr>
    </w:p>
    <w:p w14:paraId="3F3EA39F" w14:textId="77777777" w:rsidR="00824B3E" w:rsidRDefault="00824B3E" w:rsidP="00824B3E">
      <w:pPr>
        <w:autoSpaceDE w:val="0"/>
        <w:autoSpaceDN w:val="0"/>
        <w:adjustRightInd w:val="0"/>
        <w:spacing w:line="360" w:lineRule="auto"/>
        <w:ind w:left="851" w:right="1466"/>
        <w:jc w:val="both"/>
        <w:rPr>
          <w:rFonts w:ascii="Century Gothic" w:eastAsia="Arial" w:hAnsi="Century Gothic"/>
          <w:i/>
          <w:sz w:val="22"/>
          <w:szCs w:val="22"/>
          <w:lang w:val="es-MX"/>
        </w:rPr>
      </w:pPr>
      <w:r w:rsidRPr="00824B3E">
        <w:rPr>
          <w:rFonts w:ascii="Century Gothic" w:eastAsia="Arial" w:hAnsi="Century Gothic"/>
          <w:i/>
          <w:sz w:val="22"/>
          <w:szCs w:val="22"/>
          <w:lang w:val="es-MX"/>
        </w:rPr>
        <w:t xml:space="preserve">En el marco de la conmemoración del Día Internacional de la Mujer, debemos considerar que quienes más padecen de estas conductas delictivas son las adolescentes, situación inherente a la normalización de la violencia en contra de las mujeres en nuestra sociedad. </w:t>
      </w:r>
    </w:p>
    <w:p w14:paraId="1527872C" w14:textId="77777777" w:rsidR="00824B3E" w:rsidRPr="00824B3E" w:rsidRDefault="00824B3E" w:rsidP="00824B3E">
      <w:pPr>
        <w:autoSpaceDE w:val="0"/>
        <w:autoSpaceDN w:val="0"/>
        <w:adjustRightInd w:val="0"/>
        <w:spacing w:line="360" w:lineRule="auto"/>
        <w:ind w:left="851" w:right="1466"/>
        <w:jc w:val="both"/>
        <w:rPr>
          <w:rFonts w:ascii="Century Gothic" w:eastAsia="Arial" w:hAnsi="Century Gothic"/>
          <w:i/>
          <w:sz w:val="22"/>
          <w:szCs w:val="22"/>
          <w:lang w:val="es-MX"/>
        </w:rPr>
      </w:pPr>
    </w:p>
    <w:p w14:paraId="6117EEB7" w14:textId="77777777" w:rsidR="00824B3E" w:rsidRDefault="00824B3E" w:rsidP="00824B3E">
      <w:pPr>
        <w:autoSpaceDE w:val="0"/>
        <w:autoSpaceDN w:val="0"/>
        <w:adjustRightInd w:val="0"/>
        <w:spacing w:line="360" w:lineRule="auto"/>
        <w:ind w:left="851" w:right="1466"/>
        <w:jc w:val="both"/>
        <w:rPr>
          <w:rFonts w:ascii="Century Gothic" w:eastAsia="Arial" w:hAnsi="Century Gothic"/>
          <w:i/>
          <w:sz w:val="22"/>
          <w:szCs w:val="22"/>
          <w:lang w:val="es-MX"/>
        </w:rPr>
      </w:pPr>
      <w:r w:rsidRPr="00824B3E">
        <w:rPr>
          <w:rFonts w:ascii="Century Gothic" w:eastAsia="Arial" w:hAnsi="Century Gothic"/>
          <w:i/>
          <w:sz w:val="22"/>
          <w:szCs w:val="22"/>
          <w:lang w:val="es-MX"/>
        </w:rPr>
        <w:t xml:space="preserve">Por estos motivos, diversos entes internacionales han hecho recomendaciones al estado mexicano con el propósito de que se encaminen acciones para lograr disminuir este tipo de violencia hacia este grupo vulnerable, a través de los cambios legislativos y políticas públicas. </w:t>
      </w:r>
    </w:p>
    <w:p w14:paraId="245CBF67" w14:textId="77777777" w:rsidR="00824B3E" w:rsidRPr="00824B3E" w:rsidRDefault="00824B3E" w:rsidP="00824B3E">
      <w:pPr>
        <w:autoSpaceDE w:val="0"/>
        <w:autoSpaceDN w:val="0"/>
        <w:adjustRightInd w:val="0"/>
        <w:spacing w:line="360" w:lineRule="auto"/>
        <w:ind w:left="851" w:right="1466"/>
        <w:jc w:val="both"/>
        <w:rPr>
          <w:rFonts w:ascii="Century Gothic" w:eastAsia="Arial" w:hAnsi="Century Gothic"/>
          <w:i/>
          <w:sz w:val="22"/>
          <w:szCs w:val="22"/>
          <w:lang w:val="es-MX"/>
        </w:rPr>
      </w:pPr>
    </w:p>
    <w:p w14:paraId="6E2DC828" w14:textId="77777777" w:rsidR="00824B3E" w:rsidRDefault="00824B3E" w:rsidP="00824B3E">
      <w:pPr>
        <w:autoSpaceDE w:val="0"/>
        <w:autoSpaceDN w:val="0"/>
        <w:adjustRightInd w:val="0"/>
        <w:spacing w:line="360" w:lineRule="auto"/>
        <w:ind w:left="851" w:right="1466"/>
        <w:jc w:val="both"/>
        <w:rPr>
          <w:rFonts w:ascii="Century Gothic" w:eastAsia="Arial" w:hAnsi="Century Gothic"/>
          <w:i/>
          <w:sz w:val="22"/>
          <w:szCs w:val="22"/>
          <w:lang w:val="es-MX"/>
        </w:rPr>
      </w:pPr>
      <w:r w:rsidRPr="00824B3E">
        <w:rPr>
          <w:rFonts w:ascii="Century Gothic" w:eastAsia="Arial" w:hAnsi="Century Gothic"/>
          <w:i/>
          <w:sz w:val="22"/>
          <w:szCs w:val="22"/>
          <w:lang w:val="es-MX"/>
        </w:rPr>
        <w:t xml:space="preserve">UNICEF indica que es más probable que sea forzada la iniciación sexual de las niñas y las mujeres si se produce a edades más tempranas. </w:t>
      </w:r>
      <w:r w:rsidRPr="00824B3E">
        <w:rPr>
          <w:rFonts w:ascii="Century Gothic" w:eastAsia="Arial" w:hAnsi="Century Gothic"/>
          <w:i/>
          <w:sz w:val="22"/>
          <w:szCs w:val="22"/>
          <w:vertAlign w:val="superscript"/>
          <w:lang w:val="es-MX"/>
        </w:rPr>
        <w:footnoteReference w:id="1"/>
      </w:r>
      <w:r w:rsidRPr="00824B3E">
        <w:rPr>
          <w:rFonts w:ascii="Century Gothic" w:eastAsia="Arial" w:hAnsi="Century Gothic"/>
          <w:i/>
          <w:sz w:val="22"/>
          <w:szCs w:val="22"/>
          <w:lang w:val="es-MX"/>
        </w:rPr>
        <w:t>También se debe tener en cuenta la diferencia de edad entre las parejas involucradas, como un indicio del equilibrio del poder y manipulación en la pareja.</w:t>
      </w:r>
    </w:p>
    <w:p w14:paraId="50F6BA7A" w14:textId="77777777" w:rsidR="00824B3E" w:rsidRPr="00824B3E" w:rsidRDefault="00824B3E" w:rsidP="00824B3E">
      <w:pPr>
        <w:autoSpaceDE w:val="0"/>
        <w:autoSpaceDN w:val="0"/>
        <w:adjustRightInd w:val="0"/>
        <w:spacing w:line="360" w:lineRule="auto"/>
        <w:ind w:left="851" w:right="1466"/>
        <w:jc w:val="both"/>
        <w:rPr>
          <w:rFonts w:ascii="Century Gothic" w:eastAsia="Arial" w:hAnsi="Century Gothic"/>
          <w:i/>
          <w:sz w:val="22"/>
          <w:szCs w:val="22"/>
          <w:lang w:val="es-MX"/>
        </w:rPr>
      </w:pPr>
    </w:p>
    <w:p w14:paraId="6D649306" w14:textId="77777777" w:rsidR="00824B3E" w:rsidRDefault="00824B3E" w:rsidP="00824B3E">
      <w:pPr>
        <w:autoSpaceDE w:val="0"/>
        <w:autoSpaceDN w:val="0"/>
        <w:adjustRightInd w:val="0"/>
        <w:spacing w:line="360" w:lineRule="auto"/>
        <w:ind w:left="851" w:right="1466"/>
        <w:jc w:val="both"/>
        <w:rPr>
          <w:rFonts w:ascii="Century Gothic" w:eastAsia="Arial" w:hAnsi="Century Gothic"/>
          <w:i/>
          <w:sz w:val="22"/>
          <w:szCs w:val="22"/>
          <w:lang w:val="es-MX"/>
        </w:rPr>
      </w:pPr>
      <w:r w:rsidRPr="00824B3E">
        <w:rPr>
          <w:rFonts w:ascii="Century Gothic" w:eastAsia="Arial" w:hAnsi="Century Gothic"/>
          <w:i/>
          <w:sz w:val="22"/>
          <w:szCs w:val="22"/>
          <w:lang w:val="es-MX"/>
        </w:rPr>
        <w:t>Todos los días alrededor del mundo, 20 mil mujeres de menos de 18 años dan a luz en países en desarrollo</w:t>
      </w:r>
      <w:r w:rsidRPr="00824B3E">
        <w:rPr>
          <w:rFonts w:ascii="Century Gothic" w:eastAsia="Arial" w:hAnsi="Century Gothic"/>
          <w:i/>
          <w:sz w:val="22"/>
          <w:szCs w:val="22"/>
          <w:vertAlign w:val="superscript"/>
          <w:lang w:val="es-MX"/>
        </w:rPr>
        <w:footnoteReference w:id="2"/>
      </w:r>
      <w:r w:rsidRPr="00824B3E">
        <w:rPr>
          <w:rFonts w:ascii="Century Gothic" w:eastAsia="Arial" w:hAnsi="Century Gothic"/>
          <w:i/>
          <w:sz w:val="22"/>
          <w:szCs w:val="22"/>
          <w:lang w:val="es-MX"/>
        </w:rPr>
        <w:t>. México ocupa el primer lugar en el tema, entre los países de la Organización para la Cooperación y el Desarrollo Económico, con una tasa de fecundidad de 77 nacimientos por cada mil adolescentes de 15 a 19 años de edad. Asimismo, 23% de las y los adolescentes inician su vida sexual entre los 12 y los 19 años.</w:t>
      </w:r>
      <w:r w:rsidRPr="00824B3E">
        <w:rPr>
          <w:rFonts w:ascii="Century Gothic" w:eastAsia="Arial" w:hAnsi="Century Gothic"/>
          <w:i/>
          <w:sz w:val="22"/>
          <w:szCs w:val="22"/>
          <w:vertAlign w:val="superscript"/>
          <w:lang w:val="es-MX"/>
        </w:rPr>
        <w:footnoteReference w:id="3"/>
      </w:r>
    </w:p>
    <w:p w14:paraId="5B7274C6" w14:textId="77777777" w:rsidR="00824B3E" w:rsidRPr="00824B3E" w:rsidRDefault="00824B3E" w:rsidP="00824B3E">
      <w:pPr>
        <w:autoSpaceDE w:val="0"/>
        <w:autoSpaceDN w:val="0"/>
        <w:adjustRightInd w:val="0"/>
        <w:spacing w:line="360" w:lineRule="auto"/>
        <w:ind w:left="851" w:right="1466"/>
        <w:jc w:val="both"/>
        <w:rPr>
          <w:rFonts w:ascii="Century Gothic" w:eastAsia="Arial" w:hAnsi="Century Gothic"/>
          <w:i/>
          <w:sz w:val="22"/>
          <w:szCs w:val="22"/>
          <w:lang w:val="es-MX"/>
        </w:rPr>
      </w:pPr>
    </w:p>
    <w:p w14:paraId="46694DFB" w14:textId="77777777" w:rsidR="00824B3E" w:rsidRDefault="00824B3E" w:rsidP="00824B3E">
      <w:pPr>
        <w:autoSpaceDE w:val="0"/>
        <w:autoSpaceDN w:val="0"/>
        <w:adjustRightInd w:val="0"/>
        <w:spacing w:line="360" w:lineRule="auto"/>
        <w:ind w:left="851" w:right="1466"/>
        <w:jc w:val="both"/>
        <w:rPr>
          <w:rFonts w:ascii="Century Gothic" w:eastAsia="Arial" w:hAnsi="Century Gothic"/>
          <w:i/>
          <w:sz w:val="22"/>
          <w:szCs w:val="22"/>
          <w:lang w:val="es-MX"/>
        </w:rPr>
      </w:pPr>
      <w:r w:rsidRPr="00824B3E">
        <w:rPr>
          <w:rFonts w:ascii="Century Gothic" w:eastAsia="Arial" w:hAnsi="Century Gothic"/>
          <w:i/>
          <w:sz w:val="22"/>
          <w:szCs w:val="22"/>
          <w:lang w:val="es-MX"/>
        </w:rPr>
        <w:t>Según el Instituto Nacional de Estadística y Geografía, en el último censo correspondiente al año 2019, Chihuahua, ocupa el décimo lugar a nivel nacional por defunciones en embarazadas menores de 18 años.</w:t>
      </w:r>
      <w:r w:rsidRPr="00824B3E">
        <w:rPr>
          <w:rFonts w:ascii="Century Gothic" w:eastAsia="Arial" w:hAnsi="Century Gothic"/>
          <w:i/>
          <w:sz w:val="22"/>
          <w:szCs w:val="22"/>
          <w:vertAlign w:val="superscript"/>
          <w:lang w:val="es-MX"/>
        </w:rPr>
        <w:footnoteReference w:id="4"/>
      </w:r>
    </w:p>
    <w:p w14:paraId="1B710FA9" w14:textId="77777777" w:rsidR="00824B3E" w:rsidRPr="00824B3E" w:rsidRDefault="00824B3E" w:rsidP="00824B3E">
      <w:pPr>
        <w:autoSpaceDE w:val="0"/>
        <w:autoSpaceDN w:val="0"/>
        <w:adjustRightInd w:val="0"/>
        <w:spacing w:line="360" w:lineRule="auto"/>
        <w:ind w:left="851" w:right="1466"/>
        <w:jc w:val="both"/>
        <w:rPr>
          <w:rFonts w:ascii="Century Gothic" w:eastAsia="Arial" w:hAnsi="Century Gothic"/>
          <w:i/>
          <w:sz w:val="22"/>
          <w:szCs w:val="22"/>
          <w:lang w:val="es-MX"/>
        </w:rPr>
      </w:pPr>
    </w:p>
    <w:p w14:paraId="50E17950" w14:textId="77777777" w:rsidR="00824B3E" w:rsidRDefault="00824B3E" w:rsidP="00824B3E">
      <w:pPr>
        <w:autoSpaceDE w:val="0"/>
        <w:autoSpaceDN w:val="0"/>
        <w:adjustRightInd w:val="0"/>
        <w:spacing w:line="360" w:lineRule="auto"/>
        <w:ind w:left="851" w:right="1466"/>
        <w:jc w:val="both"/>
        <w:rPr>
          <w:rFonts w:ascii="Century Gothic" w:eastAsia="Arial" w:hAnsi="Century Gothic"/>
          <w:i/>
          <w:sz w:val="22"/>
          <w:szCs w:val="22"/>
          <w:lang w:val="es-ES_tradnl"/>
        </w:rPr>
      </w:pPr>
      <w:r w:rsidRPr="00824B3E">
        <w:rPr>
          <w:rFonts w:ascii="Century Gothic" w:eastAsia="Arial" w:hAnsi="Century Gothic"/>
          <w:i/>
          <w:sz w:val="22"/>
          <w:szCs w:val="22"/>
          <w:lang w:val="es-ES_tradnl"/>
        </w:rPr>
        <w:t>En las Observaciones finales sobre los informes periódicos cuarto y quinto consolidados de México, del Comité de los Derechos del Niño se expresa la preocupación por la reinante impunidad en los casos de violencia contra niños, niñas y adolescentes, específicamente en el inciso b, manifiesta su preocupación por “la</w:t>
      </w:r>
      <w:r w:rsidRPr="00824B3E">
        <w:rPr>
          <w:rFonts w:ascii="Century Gothic" w:eastAsia="Arial" w:hAnsi="Century Gothic"/>
          <w:i/>
          <w:iCs/>
          <w:sz w:val="22"/>
          <w:szCs w:val="22"/>
          <w:lang w:val="es-ES_tradnl"/>
        </w:rPr>
        <w:t xml:space="preserve"> creciente violencia, incluida la violencia sexual, y acoso en las escuelas y la elevada tasa de adolescentes que son víctimas de malos tratos en Internet…</w:t>
      </w:r>
      <w:r w:rsidRPr="00824B3E">
        <w:rPr>
          <w:rFonts w:ascii="Century Gothic" w:eastAsia="Arial" w:hAnsi="Century Gothic"/>
          <w:i/>
          <w:sz w:val="22"/>
          <w:szCs w:val="22"/>
          <w:lang w:val="es-ES_tradnl"/>
        </w:rPr>
        <w:t xml:space="preserve">” </w:t>
      </w:r>
      <w:r w:rsidRPr="00824B3E">
        <w:rPr>
          <w:rFonts w:ascii="Century Gothic" w:eastAsia="Arial" w:hAnsi="Century Gothic"/>
          <w:i/>
          <w:sz w:val="22"/>
          <w:szCs w:val="22"/>
          <w:vertAlign w:val="superscript"/>
          <w:lang w:val="es-ES_tradnl"/>
        </w:rPr>
        <w:footnoteReference w:id="5"/>
      </w:r>
    </w:p>
    <w:p w14:paraId="709B935B" w14:textId="77777777" w:rsidR="00824B3E" w:rsidRPr="00824B3E" w:rsidRDefault="00824B3E" w:rsidP="00824B3E">
      <w:pPr>
        <w:autoSpaceDE w:val="0"/>
        <w:autoSpaceDN w:val="0"/>
        <w:adjustRightInd w:val="0"/>
        <w:spacing w:line="360" w:lineRule="auto"/>
        <w:ind w:left="851" w:right="1466"/>
        <w:jc w:val="both"/>
        <w:rPr>
          <w:rFonts w:ascii="Century Gothic" w:eastAsia="Arial" w:hAnsi="Century Gothic"/>
          <w:i/>
          <w:sz w:val="22"/>
          <w:szCs w:val="22"/>
          <w:lang w:val="es-ES_tradnl"/>
        </w:rPr>
      </w:pPr>
    </w:p>
    <w:p w14:paraId="74F7D7D0" w14:textId="77777777" w:rsidR="00824B3E" w:rsidRDefault="00824B3E" w:rsidP="00824B3E">
      <w:pPr>
        <w:autoSpaceDE w:val="0"/>
        <w:autoSpaceDN w:val="0"/>
        <w:adjustRightInd w:val="0"/>
        <w:spacing w:line="360" w:lineRule="auto"/>
        <w:ind w:left="851" w:right="1466"/>
        <w:jc w:val="both"/>
        <w:rPr>
          <w:rFonts w:ascii="Century Gothic" w:eastAsia="Arial" w:hAnsi="Century Gothic"/>
          <w:i/>
          <w:sz w:val="22"/>
          <w:szCs w:val="22"/>
          <w:lang w:val="es-MX"/>
        </w:rPr>
      </w:pPr>
      <w:r w:rsidRPr="00824B3E">
        <w:rPr>
          <w:rFonts w:ascii="Century Gothic" w:eastAsia="Arial" w:hAnsi="Century Gothic"/>
          <w:i/>
          <w:sz w:val="22"/>
          <w:szCs w:val="22"/>
          <w:lang w:val="es-MX"/>
        </w:rPr>
        <w:t>El artículo 11 de la Convención Iberoamericana de Derechos de los Jóvenes establece la protección contra los abusos sexuales, por lo que los Estados Parte tomarán todas las medidas necesarias para la prevención de la explotación, el abuso y el turismo sexual así como de cualquier otro tipo de violencia o maltrato contra jóvenes, y promoverán la recuperación física, psicológica, social y económica de las víctimas.</w:t>
      </w:r>
      <w:r w:rsidRPr="00824B3E">
        <w:rPr>
          <w:rFonts w:ascii="Century Gothic" w:eastAsia="Arial" w:hAnsi="Century Gothic"/>
          <w:i/>
          <w:sz w:val="22"/>
          <w:szCs w:val="22"/>
          <w:vertAlign w:val="superscript"/>
          <w:lang w:val="es-MX"/>
        </w:rPr>
        <w:footnoteReference w:id="6"/>
      </w:r>
    </w:p>
    <w:p w14:paraId="214BB641" w14:textId="77777777" w:rsidR="00824B3E" w:rsidRPr="00824B3E" w:rsidRDefault="00824B3E" w:rsidP="00824B3E">
      <w:pPr>
        <w:autoSpaceDE w:val="0"/>
        <w:autoSpaceDN w:val="0"/>
        <w:adjustRightInd w:val="0"/>
        <w:spacing w:line="360" w:lineRule="auto"/>
        <w:ind w:left="851" w:right="1466"/>
        <w:jc w:val="both"/>
        <w:rPr>
          <w:rFonts w:ascii="Century Gothic" w:eastAsia="Arial" w:hAnsi="Century Gothic"/>
          <w:i/>
          <w:sz w:val="22"/>
          <w:szCs w:val="22"/>
          <w:lang w:val="es-MX"/>
        </w:rPr>
      </w:pPr>
    </w:p>
    <w:p w14:paraId="631F3A06" w14:textId="77777777" w:rsidR="00824B3E" w:rsidRDefault="00824B3E" w:rsidP="00824B3E">
      <w:pPr>
        <w:autoSpaceDE w:val="0"/>
        <w:autoSpaceDN w:val="0"/>
        <w:adjustRightInd w:val="0"/>
        <w:spacing w:line="360" w:lineRule="auto"/>
        <w:ind w:left="851" w:right="1466"/>
        <w:jc w:val="both"/>
        <w:rPr>
          <w:rFonts w:ascii="Century Gothic" w:eastAsia="Arial" w:hAnsi="Century Gothic"/>
          <w:i/>
          <w:sz w:val="22"/>
          <w:szCs w:val="22"/>
          <w:lang w:val="es-MX"/>
        </w:rPr>
      </w:pPr>
      <w:r w:rsidRPr="00824B3E">
        <w:rPr>
          <w:rFonts w:ascii="Century Gothic" w:eastAsia="Arial" w:hAnsi="Century Gothic"/>
          <w:i/>
          <w:sz w:val="22"/>
          <w:szCs w:val="22"/>
          <w:lang w:val="es-MX"/>
        </w:rPr>
        <w:t>La Ley General de los derechos de las Niñas, Niños y adolescentes dispone en su artículo 46 que las “Niñas, niños y adolescentes tienen derecho a vivir una vida libre de toda forma de violencia y a que se resguarde su integridad personal, a fin de lograr las mejores condiciones de bienestar y el libre desarrollo de su personalidad.”</w:t>
      </w:r>
    </w:p>
    <w:p w14:paraId="4EEAD073" w14:textId="77777777" w:rsidR="00824B3E" w:rsidRPr="00824B3E" w:rsidRDefault="00824B3E" w:rsidP="00824B3E">
      <w:pPr>
        <w:autoSpaceDE w:val="0"/>
        <w:autoSpaceDN w:val="0"/>
        <w:adjustRightInd w:val="0"/>
        <w:spacing w:line="360" w:lineRule="auto"/>
        <w:ind w:left="851" w:right="1466"/>
        <w:jc w:val="both"/>
        <w:rPr>
          <w:rFonts w:ascii="Century Gothic" w:eastAsia="Arial" w:hAnsi="Century Gothic"/>
          <w:i/>
          <w:sz w:val="22"/>
          <w:szCs w:val="22"/>
          <w:lang w:val="es-MX"/>
        </w:rPr>
      </w:pPr>
    </w:p>
    <w:p w14:paraId="4E5AC79A" w14:textId="77777777" w:rsidR="00824B3E" w:rsidRDefault="00824B3E" w:rsidP="00824B3E">
      <w:pPr>
        <w:autoSpaceDE w:val="0"/>
        <w:autoSpaceDN w:val="0"/>
        <w:adjustRightInd w:val="0"/>
        <w:spacing w:line="360" w:lineRule="auto"/>
        <w:ind w:left="851" w:right="1466"/>
        <w:jc w:val="both"/>
        <w:rPr>
          <w:rFonts w:ascii="Century Gothic" w:eastAsia="Arial" w:hAnsi="Century Gothic"/>
          <w:i/>
          <w:sz w:val="22"/>
          <w:szCs w:val="22"/>
          <w:lang w:val="es-MX"/>
        </w:rPr>
      </w:pPr>
      <w:r w:rsidRPr="00824B3E">
        <w:rPr>
          <w:rFonts w:ascii="Century Gothic" w:eastAsia="Arial" w:hAnsi="Century Gothic"/>
          <w:i/>
          <w:sz w:val="22"/>
          <w:szCs w:val="22"/>
          <w:lang w:val="es-MX"/>
        </w:rPr>
        <w:t xml:space="preserve">En atención a lo anterior, nuestro estado ha encaminado esfuerzos legislativos y de política pública para colaborar a erradicar los atentados en contra de las y los adolescentes así como prevenirlos. </w:t>
      </w:r>
    </w:p>
    <w:p w14:paraId="4001F4F0" w14:textId="0BA8344B" w:rsidR="00824B3E" w:rsidRDefault="00824B3E" w:rsidP="00824B3E">
      <w:pPr>
        <w:autoSpaceDE w:val="0"/>
        <w:autoSpaceDN w:val="0"/>
        <w:adjustRightInd w:val="0"/>
        <w:spacing w:line="360" w:lineRule="auto"/>
        <w:ind w:left="851" w:right="1466"/>
        <w:jc w:val="both"/>
        <w:rPr>
          <w:rFonts w:ascii="Century Gothic" w:eastAsia="Arial" w:hAnsi="Century Gothic"/>
          <w:i/>
          <w:sz w:val="22"/>
          <w:szCs w:val="22"/>
          <w:lang w:val="es-MX"/>
        </w:rPr>
      </w:pPr>
      <w:r w:rsidRPr="00824B3E">
        <w:rPr>
          <w:rFonts w:ascii="Century Gothic" w:eastAsia="Arial" w:hAnsi="Century Gothic"/>
          <w:i/>
          <w:sz w:val="22"/>
          <w:szCs w:val="22"/>
          <w:lang w:val="es-MX"/>
        </w:rPr>
        <w:t>Aun cuando el contexto social y cultural es complejo, esto debido a la pluralidad de ideologías.</w:t>
      </w:r>
    </w:p>
    <w:p w14:paraId="4C40005D" w14:textId="77777777" w:rsidR="00824B3E" w:rsidRPr="00824B3E" w:rsidRDefault="00824B3E" w:rsidP="00824B3E">
      <w:pPr>
        <w:autoSpaceDE w:val="0"/>
        <w:autoSpaceDN w:val="0"/>
        <w:adjustRightInd w:val="0"/>
        <w:spacing w:line="360" w:lineRule="auto"/>
        <w:ind w:left="851" w:right="1466"/>
        <w:jc w:val="both"/>
        <w:rPr>
          <w:rFonts w:ascii="Century Gothic" w:eastAsia="Arial" w:hAnsi="Century Gothic"/>
          <w:i/>
          <w:sz w:val="22"/>
          <w:szCs w:val="22"/>
          <w:lang w:val="es-MX"/>
        </w:rPr>
      </w:pPr>
    </w:p>
    <w:p w14:paraId="261E5F39" w14:textId="77777777" w:rsidR="00824B3E" w:rsidRDefault="00824B3E" w:rsidP="00824B3E">
      <w:pPr>
        <w:autoSpaceDE w:val="0"/>
        <w:autoSpaceDN w:val="0"/>
        <w:adjustRightInd w:val="0"/>
        <w:spacing w:line="360" w:lineRule="auto"/>
        <w:ind w:left="851" w:right="1466"/>
        <w:jc w:val="both"/>
        <w:rPr>
          <w:rFonts w:ascii="Century Gothic" w:eastAsia="Arial" w:hAnsi="Century Gothic"/>
          <w:i/>
          <w:sz w:val="22"/>
          <w:szCs w:val="22"/>
          <w:lang w:val="es-MX"/>
        </w:rPr>
      </w:pPr>
      <w:r w:rsidRPr="00824B3E">
        <w:rPr>
          <w:rFonts w:ascii="Century Gothic" w:eastAsia="Arial" w:hAnsi="Century Gothic"/>
          <w:i/>
          <w:sz w:val="22"/>
          <w:szCs w:val="22"/>
          <w:lang w:val="es-MX"/>
        </w:rPr>
        <w:t xml:space="preserve">En Chihuahua, mantener cópula con una persona mayor de catorce años y menor de dieciocho, cuando se obtenga el consentimiento de la misma por medio del engaño es considerado como el delito de estupro. </w:t>
      </w:r>
    </w:p>
    <w:p w14:paraId="4F6AB8CA" w14:textId="77777777" w:rsidR="00824B3E" w:rsidRPr="00824B3E" w:rsidRDefault="00824B3E" w:rsidP="00824B3E">
      <w:pPr>
        <w:autoSpaceDE w:val="0"/>
        <w:autoSpaceDN w:val="0"/>
        <w:adjustRightInd w:val="0"/>
        <w:spacing w:line="360" w:lineRule="auto"/>
        <w:ind w:left="851" w:right="1466"/>
        <w:jc w:val="both"/>
        <w:rPr>
          <w:rFonts w:ascii="Century Gothic" w:eastAsia="Arial" w:hAnsi="Century Gothic"/>
          <w:i/>
          <w:sz w:val="22"/>
          <w:szCs w:val="22"/>
          <w:lang w:val="es-MX"/>
        </w:rPr>
      </w:pPr>
    </w:p>
    <w:p w14:paraId="7637E4D8" w14:textId="77777777" w:rsidR="00824B3E" w:rsidRDefault="00824B3E" w:rsidP="00824B3E">
      <w:pPr>
        <w:autoSpaceDE w:val="0"/>
        <w:autoSpaceDN w:val="0"/>
        <w:adjustRightInd w:val="0"/>
        <w:spacing w:line="360" w:lineRule="auto"/>
        <w:ind w:left="851" w:right="1466"/>
        <w:jc w:val="both"/>
        <w:rPr>
          <w:rFonts w:ascii="Century Gothic" w:eastAsia="Arial" w:hAnsi="Century Gothic"/>
          <w:i/>
          <w:sz w:val="22"/>
          <w:szCs w:val="22"/>
          <w:lang w:val="es-MX"/>
        </w:rPr>
      </w:pPr>
      <w:r w:rsidRPr="00824B3E">
        <w:rPr>
          <w:rFonts w:ascii="Century Gothic" w:eastAsia="Arial" w:hAnsi="Century Gothic"/>
          <w:i/>
          <w:sz w:val="22"/>
          <w:szCs w:val="22"/>
          <w:lang w:val="es-MX"/>
        </w:rPr>
        <w:t xml:space="preserve">Es importante señalar que el estupro se distingue del abuso sexual infantil, porque según la Ley, las víctimas de este delito ya tienen la edad de otorgar el consentimiento para mantener una relación sexual. Pero hay que dejar claro que en ocasiones este consentimiento se obtiene mediante engaño, aprovechando generalmente la condición de superioridad del sujeto activo hacia el pasivo. </w:t>
      </w:r>
    </w:p>
    <w:p w14:paraId="7B8F9C43" w14:textId="77777777" w:rsidR="00824B3E" w:rsidRPr="00824B3E" w:rsidRDefault="00824B3E" w:rsidP="00824B3E">
      <w:pPr>
        <w:autoSpaceDE w:val="0"/>
        <w:autoSpaceDN w:val="0"/>
        <w:adjustRightInd w:val="0"/>
        <w:spacing w:line="360" w:lineRule="auto"/>
        <w:ind w:left="851" w:right="1466"/>
        <w:jc w:val="both"/>
        <w:rPr>
          <w:rFonts w:ascii="Century Gothic" w:eastAsia="Arial" w:hAnsi="Century Gothic"/>
          <w:i/>
          <w:sz w:val="22"/>
          <w:szCs w:val="22"/>
          <w:lang w:val="es-MX"/>
        </w:rPr>
      </w:pPr>
    </w:p>
    <w:p w14:paraId="59533C30" w14:textId="77777777" w:rsidR="00824B3E" w:rsidRDefault="00824B3E" w:rsidP="00824B3E">
      <w:pPr>
        <w:autoSpaceDE w:val="0"/>
        <w:autoSpaceDN w:val="0"/>
        <w:adjustRightInd w:val="0"/>
        <w:spacing w:line="360" w:lineRule="auto"/>
        <w:ind w:left="851" w:right="1466"/>
        <w:jc w:val="both"/>
        <w:rPr>
          <w:rFonts w:ascii="Century Gothic" w:eastAsia="Arial" w:hAnsi="Century Gothic"/>
          <w:i/>
          <w:sz w:val="22"/>
          <w:szCs w:val="22"/>
          <w:lang w:val="es-MX"/>
        </w:rPr>
      </w:pPr>
      <w:r w:rsidRPr="00824B3E">
        <w:rPr>
          <w:rFonts w:ascii="Century Gothic" w:eastAsia="Arial" w:hAnsi="Century Gothic"/>
          <w:i/>
          <w:sz w:val="22"/>
          <w:szCs w:val="22"/>
          <w:lang w:val="es-MX"/>
        </w:rPr>
        <w:t>La tesis aislada 187985 establece que el engaño es la tendenciosa actividad por la que el agente activo del antijurídico, altera la verdad o produce en el agente pasivo un estado de error, confusión o equivocación por el que accede a la pretensión erótica.</w:t>
      </w:r>
      <w:r w:rsidRPr="00824B3E">
        <w:rPr>
          <w:rFonts w:ascii="Century Gothic" w:eastAsia="Arial" w:hAnsi="Century Gothic"/>
          <w:i/>
          <w:sz w:val="22"/>
          <w:szCs w:val="22"/>
          <w:vertAlign w:val="superscript"/>
          <w:lang w:val="es-MX"/>
        </w:rPr>
        <w:footnoteReference w:id="7"/>
      </w:r>
    </w:p>
    <w:p w14:paraId="0F8EFD14" w14:textId="77777777" w:rsidR="00824B3E" w:rsidRPr="00824B3E" w:rsidRDefault="00824B3E" w:rsidP="00824B3E">
      <w:pPr>
        <w:autoSpaceDE w:val="0"/>
        <w:autoSpaceDN w:val="0"/>
        <w:adjustRightInd w:val="0"/>
        <w:spacing w:line="360" w:lineRule="auto"/>
        <w:ind w:left="851" w:right="1466"/>
        <w:jc w:val="both"/>
        <w:rPr>
          <w:rFonts w:ascii="Century Gothic" w:eastAsia="Arial" w:hAnsi="Century Gothic"/>
          <w:i/>
          <w:sz w:val="22"/>
          <w:szCs w:val="22"/>
          <w:lang w:val="es-MX"/>
        </w:rPr>
      </w:pPr>
    </w:p>
    <w:p w14:paraId="6938D1E1" w14:textId="77777777" w:rsidR="00824B3E" w:rsidRDefault="00824B3E" w:rsidP="00824B3E">
      <w:pPr>
        <w:autoSpaceDE w:val="0"/>
        <w:autoSpaceDN w:val="0"/>
        <w:adjustRightInd w:val="0"/>
        <w:spacing w:line="360" w:lineRule="auto"/>
        <w:ind w:left="851" w:right="1466"/>
        <w:jc w:val="both"/>
        <w:rPr>
          <w:rFonts w:ascii="Century Gothic" w:eastAsia="Arial" w:hAnsi="Century Gothic"/>
          <w:i/>
          <w:sz w:val="22"/>
          <w:szCs w:val="22"/>
          <w:lang w:val="es-MX"/>
        </w:rPr>
      </w:pPr>
      <w:r w:rsidRPr="00824B3E">
        <w:rPr>
          <w:rFonts w:ascii="Century Gothic" w:eastAsia="Arial" w:hAnsi="Century Gothic"/>
          <w:i/>
          <w:sz w:val="22"/>
          <w:szCs w:val="22"/>
          <w:lang w:val="es-MX"/>
        </w:rPr>
        <w:t xml:space="preserve">El Código Penal Federal, tipifica el estupro en el numeral 272, disponiendo la edad para otorgar dicho consentimiento la de quince años, y castigándolo con pena privativa de la libertad de tres meses a cuatro años de prisión. </w:t>
      </w:r>
    </w:p>
    <w:p w14:paraId="33B3B0B6" w14:textId="77777777" w:rsidR="00824B3E" w:rsidRPr="00824B3E" w:rsidRDefault="00824B3E" w:rsidP="00824B3E">
      <w:pPr>
        <w:autoSpaceDE w:val="0"/>
        <w:autoSpaceDN w:val="0"/>
        <w:adjustRightInd w:val="0"/>
        <w:spacing w:line="360" w:lineRule="auto"/>
        <w:ind w:left="851" w:right="1466"/>
        <w:jc w:val="both"/>
        <w:rPr>
          <w:rFonts w:ascii="Century Gothic" w:eastAsia="Arial" w:hAnsi="Century Gothic"/>
          <w:i/>
          <w:sz w:val="22"/>
          <w:szCs w:val="22"/>
          <w:lang w:val="es-MX"/>
        </w:rPr>
      </w:pPr>
    </w:p>
    <w:p w14:paraId="43D899C7" w14:textId="77777777" w:rsidR="00824B3E" w:rsidRDefault="00824B3E" w:rsidP="00824B3E">
      <w:pPr>
        <w:autoSpaceDE w:val="0"/>
        <w:autoSpaceDN w:val="0"/>
        <w:adjustRightInd w:val="0"/>
        <w:spacing w:line="360" w:lineRule="auto"/>
        <w:ind w:left="851" w:right="1466"/>
        <w:jc w:val="both"/>
        <w:rPr>
          <w:rFonts w:ascii="Century Gothic" w:eastAsia="Arial" w:hAnsi="Century Gothic"/>
          <w:i/>
          <w:sz w:val="22"/>
          <w:szCs w:val="22"/>
          <w:lang w:val="es-MX"/>
        </w:rPr>
      </w:pPr>
      <w:r w:rsidRPr="00824B3E">
        <w:rPr>
          <w:rFonts w:ascii="Century Gothic" w:eastAsia="Arial" w:hAnsi="Century Gothic"/>
          <w:i/>
          <w:sz w:val="22"/>
          <w:szCs w:val="22"/>
          <w:lang w:val="es-MX"/>
        </w:rPr>
        <w:t xml:space="preserve">El artículo 177 del Código Penal de Chihuahua, establece que este ilícito se castigará con prisión de uno a cuatro años y multa de treinta a ochenta veces el valor diario de la Unidad de Medida y Actualización. </w:t>
      </w:r>
    </w:p>
    <w:p w14:paraId="21BB90EE" w14:textId="77777777" w:rsidR="00824B3E" w:rsidRPr="00824B3E" w:rsidRDefault="00824B3E" w:rsidP="00824B3E">
      <w:pPr>
        <w:autoSpaceDE w:val="0"/>
        <w:autoSpaceDN w:val="0"/>
        <w:adjustRightInd w:val="0"/>
        <w:spacing w:line="360" w:lineRule="auto"/>
        <w:ind w:left="851" w:right="1466"/>
        <w:jc w:val="both"/>
        <w:rPr>
          <w:rFonts w:ascii="Century Gothic" w:eastAsia="Arial" w:hAnsi="Century Gothic"/>
          <w:i/>
          <w:sz w:val="22"/>
          <w:szCs w:val="22"/>
          <w:lang w:val="es-MX"/>
        </w:rPr>
      </w:pPr>
    </w:p>
    <w:p w14:paraId="6790367D" w14:textId="77777777" w:rsidR="00824B3E" w:rsidRDefault="00824B3E" w:rsidP="00824B3E">
      <w:pPr>
        <w:autoSpaceDE w:val="0"/>
        <w:autoSpaceDN w:val="0"/>
        <w:adjustRightInd w:val="0"/>
        <w:spacing w:line="360" w:lineRule="auto"/>
        <w:ind w:left="851" w:right="1466"/>
        <w:jc w:val="both"/>
        <w:rPr>
          <w:rFonts w:ascii="Century Gothic" w:eastAsia="Arial" w:hAnsi="Century Gothic"/>
          <w:i/>
          <w:sz w:val="22"/>
          <w:szCs w:val="22"/>
          <w:lang w:val="es-MX"/>
        </w:rPr>
      </w:pPr>
      <w:r w:rsidRPr="00824B3E">
        <w:rPr>
          <w:rFonts w:ascii="Century Gothic" w:eastAsia="Arial" w:hAnsi="Century Gothic"/>
          <w:i/>
          <w:sz w:val="22"/>
          <w:szCs w:val="22"/>
          <w:lang w:val="es-MX"/>
        </w:rPr>
        <w:t xml:space="preserve">En 28 entidades federativas se contempla el delito de estupro. En 4 entidades no se contempla este delito: Guerrero, Jalisco, Oaxaca y Zacatecas. Mientras los estados de Chiapas, Sonora, Guanajuato, Baja California y Nuevo León tienen penas más altas que oscilan de los tres a los veinte años de prisión, así como una multa correspondiente. </w:t>
      </w:r>
    </w:p>
    <w:p w14:paraId="53849E59" w14:textId="77777777" w:rsidR="00824B3E" w:rsidRPr="00824B3E" w:rsidRDefault="00824B3E" w:rsidP="00824B3E">
      <w:pPr>
        <w:autoSpaceDE w:val="0"/>
        <w:autoSpaceDN w:val="0"/>
        <w:adjustRightInd w:val="0"/>
        <w:spacing w:line="360" w:lineRule="auto"/>
        <w:ind w:left="851" w:right="1466"/>
        <w:jc w:val="both"/>
        <w:rPr>
          <w:rFonts w:ascii="Century Gothic" w:eastAsia="Arial" w:hAnsi="Century Gothic"/>
          <w:i/>
          <w:sz w:val="22"/>
          <w:szCs w:val="22"/>
          <w:lang w:val="es-MX"/>
        </w:rPr>
      </w:pPr>
    </w:p>
    <w:p w14:paraId="22875964" w14:textId="77777777" w:rsidR="00824B3E" w:rsidRDefault="00824B3E" w:rsidP="00824B3E">
      <w:pPr>
        <w:autoSpaceDE w:val="0"/>
        <w:autoSpaceDN w:val="0"/>
        <w:adjustRightInd w:val="0"/>
        <w:spacing w:line="360" w:lineRule="auto"/>
        <w:ind w:left="851" w:right="1466"/>
        <w:jc w:val="both"/>
        <w:rPr>
          <w:rFonts w:ascii="Century Gothic" w:eastAsia="Arial" w:hAnsi="Century Gothic"/>
          <w:i/>
          <w:sz w:val="22"/>
          <w:szCs w:val="22"/>
          <w:lang w:val="es-MX"/>
        </w:rPr>
      </w:pPr>
      <w:r w:rsidRPr="00824B3E">
        <w:rPr>
          <w:rFonts w:ascii="Century Gothic" w:eastAsia="Arial" w:hAnsi="Century Gothic"/>
          <w:i/>
          <w:sz w:val="22"/>
          <w:szCs w:val="22"/>
          <w:lang w:val="es-MX"/>
        </w:rPr>
        <w:t>Al analizar este tipo penal, se habla de personas que se consideran dentro de la adolescencia, 14-18 años, quienes por diversas circunstancias se encuentran en una condición de vulnerabilidad, más si son mujeres. Por lo que a la par, el acceso a la justicia para dicho grupo se encuentra sesgado por una serie de estigmas.</w:t>
      </w:r>
    </w:p>
    <w:p w14:paraId="26E8FED3" w14:textId="77777777" w:rsidR="00824B3E" w:rsidRPr="00824B3E" w:rsidRDefault="00824B3E" w:rsidP="00824B3E">
      <w:pPr>
        <w:autoSpaceDE w:val="0"/>
        <w:autoSpaceDN w:val="0"/>
        <w:adjustRightInd w:val="0"/>
        <w:spacing w:line="360" w:lineRule="auto"/>
        <w:ind w:left="851" w:right="1466"/>
        <w:jc w:val="both"/>
        <w:rPr>
          <w:rFonts w:ascii="Century Gothic" w:eastAsia="Arial" w:hAnsi="Century Gothic"/>
          <w:i/>
          <w:sz w:val="22"/>
          <w:szCs w:val="22"/>
          <w:lang w:val="es-MX"/>
        </w:rPr>
      </w:pPr>
    </w:p>
    <w:p w14:paraId="3D7D0E18" w14:textId="77777777" w:rsidR="00824B3E" w:rsidRDefault="00824B3E" w:rsidP="00824B3E">
      <w:pPr>
        <w:autoSpaceDE w:val="0"/>
        <w:autoSpaceDN w:val="0"/>
        <w:adjustRightInd w:val="0"/>
        <w:spacing w:line="360" w:lineRule="auto"/>
        <w:ind w:left="851" w:right="1466"/>
        <w:jc w:val="both"/>
        <w:rPr>
          <w:rFonts w:ascii="Century Gothic" w:eastAsia="Arial" w:hAnsi="Century Gothic"/>
          <w:i/>
          <w:sz w:val="22"/>
          <w:szCs w:val="22"/>
          <w:lang w:val="es-MX"/>
        </w:rPr>
      </w:pPr>
      <w:r w:rsidRPr="00824B3E">
        <w:rPr>
          <w:rFonts w:ascii="Century Gothic" w:eastAsia="Arial" w:hAnsi="Century Gothic"/>
          <w:i/>
          <w:sz w:val="22"/>
          <w:szCs w:val="22"/>
          <w:lang w:val="es-MX"/>
        </w:rPr>
        <w:t>Cabe resaltar que las penas contempladas para este delito, son mucho menor que las previstas en la de violación a menores. Lo anterior, debido a que se establece que a diferencia de la violación la víctima otorgó su consentimiento. El Estupro ha sido uno de los delitos cargados de estereotipos de género, hasta hace poco en algunas legislaciones se preveía dentro de la redacción del tipo, que la mujer fuera casta y honesta o se extinguía la sanción si el imputado se casaba con la mujer ofendida.</w:t>
      </w:r>
    </w:p>
    <w:p w14:paraId="26ABC673" w14:textId="77777777" w:rsidR="00824B3E" w:rsidRPr="00824B3E" w:rsidRDefault="00824B3E" w:rsidP="00824B3E">
      <w:pPr>
        <w:autoSpaceDE w:val="0"/>
        <w:autoSpaceDN w:val="0"/>
        <w:adjustRightInd w:val="0"/>
        <w:spacing w:line="360" w:lineRule="auto"/>
        <w:ind w:left="851" w:right="1466"/>
        <w:jc w:val="both"/>
        <w:rPr>
          <w:rFonts w:ascii="Century Gothic" w:eastAsia="Arial" w:hAnsi="Century Gothic"/>
          <w:i/>
          <w:sz w:val="22"/>
          <w:szCs w:val="22"/>
          <w:lang w:val="es-MX"/>
        </w:rPr>
      </w:pPr>
    </w:p>
    <w:p w14:paraId="0192947A" w14:textId="77777777" w:rsidR="00824B3E" w:rsidRDefault="00824B3E" w:rsidP="00824B3E">
      <w:pPr>
        <w:autoSpaceDE w:val="0"/>
        <w:autoSpaceDN w:val="0"/>
        <w:adjustRightInd w:val="0"/>
        <w:spacing w:line="360" w:lineRule="auto"/>
        <w:ind w:left="851" w:right="1466"/>
        <w:jc w:val="both"/>
        <w:rPr>
          <w:rFonts w:ascii="Century Gothic" w:eastAsia="Arial" w:hAnsi="Century Gothic"/>
          <w:i/>
          <w:sz w:val="22"/>
          <w:szCs w:val="22"/>
          <w:lang w:val="es-MX"/>
        </w:rPr>
      </w:pPr>
      <w:r w:rsidRPr="00824B3E">
        <w:rPr>
          <w:rFonts w:ascii="Century Gothic" w:eastAsia="Arial" w:hAnsi="Century Gothic"/>
          <w:i/>
          <w:sz w:val="22"/>
          <w:szCs w:val="22"/>
          <w:lang w:val="es-MX"/>
        </w:rPr>
        <w:t xml:space="preserve">No obstante, debemos de atender la situación actual, en donde los embarazos adolescentes van en aumento, además de que se vive constantemente una violencia en contra de las mujeres en los diversos entornos de su vida. Así mismo, no podemos asegurar que las y los adolescentes tengan la madurez necesaria para tomar la decisión de tener una relación sexual con una persona de 27-30 años. </w:t>
      </w:r>
    </w:p>
    <w:p w14:paraId="08D6774F" w14:textId="77777777" w:rsidR="00824B3E" w:rsidRPr="00824B3E" w:rsidRDefault="00824B3E" w:rsidP="00824B3E">
      <w:pPr>
        <w:autoSpaceDE w:val="0"/>
        <w:autoSpaceDN w:val="0"/>
        <w:adjustRightInd w:val="0"/>
        <w:spacing w:line="360" w:lineRule="auto"/>
        <w:ind w:left="851" w:right="1466"/>
        <w:jc w:val="both"/>
        <w:rPr>
          <w:rFonts w:ascii="Century Gothic" w:eastAsia="Arial" w:hAnsi="Century Gothic"/>
          <w:i/>
          <w:sz w:val="22"/>
          <w:szCs w:val="22"/>
          <w:lang w:val="es-MX"/>
        </w:rPr>
      </w:pPr>
    </w:p>
    <w:p w14:paraId="19D34935" w14:textId="681F0382" w:rsidR="005D3EF3" w:rsidRPr="00824B3E" w:rsidRDefault="00824B3E" w:rsidP="00824B3E">
      <w:pPr>
        <w:autoSpaceDE w:val="0"/>
        <w:autoSpaceDN w:val="0"/>
        <w:adjustRightInd w:val="0"/>
        <w:spacing w:line="360" w:lineRule="auto"/>
        <w:ind w:left="851" w:right="1466"/>
        <w:jc w:val="both"/>
        <w:rPr>
          <w:rFonts w:ascii="Century Gothic" w:eastAsia="Arial" w:hAnsi="Century Gothic"/>
          <w:i/>
          <w:sz w:val="22"/>
          <w:szCs w:val="22"/>
          <w:lang w:val="es-MX"/>
        </w:rPr>
      </w:pPr>
      <w:r w:rsidRPr="00824B3E">
        <w:rPr>
          <w:rFonts w:ascii="Century Gothic" w:eastAsia="Arial" w:hAnsi="Century Gothic"/>
          <w:i/>
          <w:sz w:val="22"/>
          <w:szCs w:val="22"/>
          <w:lang w:val="es-MX"/>
        </w:rPr>
        <w:t>Por estos motivos, retomo la presente propuesta hecha en la legislatura pasada por mi compañera diputada Blanca Gámez Gutiérrez, de incrementar la pena mínima y máxima del tipo penal de estupro, con el propósito de otorgar justicia a las víctimas, así como atender a las recomendaciones internacionales hechas por diversos entes. Las y los adolescentes, merecen y tienen el derecho de que su integridad sexual se respete</w:t>
      </w:r>
      <w:r w:rsidR="009103FD" w:rsidRPr="009103FD">
        <w:rPr>
          <w:rFonts w:ascii="Century Gothic" w:eastAsia="Arial" w:hAnsi="Century Gothic"/>
          <w:i/>
          <w:sz w:val="22"/>
          <w:szCs w:val="22"/>
        </w:rPr>
        <w:t>.</w:t>
      </w:r>
      <w:r w:rsidR="005D3EF3" w:rsidRPr="003E44B8">
        <w:rPr>
          <w:rFonts w:ascii="Century Gothic" w:eastAsia="Arial" w:hAnsi="Century Gothic"/>
          <w:i/>
          <w:sz w:val="22"/>
          <w:szCs w:val="22"/>
          <w:lang w:val="es-MX"/>
        </w:rPr>
        <w:t>”</w:t>
      </w:r>
    </w:p>
    <w:p w14:paraId="59AC39D7" w14:textId="77777777" w:rsidR="008B4461" w:rsidRDefault="008B4461" w:rsidP="002E2CD6">
      <w:pPr>
        <w:pStyle w:val="Textoindependiente"/>
        <w:spacing w:line="360" w:lineRule="auto"/>
        <w:ind w:right="332"/>
        <w:rPr>
          <w:rFonts w:ascii="Century Gothic" w:eastAsia="Arial" w:hAnsi="Century Gothic" w:cs="Arial"/>
          <w:lang w:val="es-MX"/>
        </w:rPr>
      </w:pPr>
    </w:p>
    <w:p w14:paraId="3F33C0CD" w14:textId="77777777" w:rsidR="00315537" w:rsidRDefault="00315537" w:rsidP="002E2CD6">
      <w:pPr>
        <w:pStyle w:val="Textoindependiente"/>
        <w:spacing w:line="360" w:lineRule="auto"/>
        <w:ind w:right="332"/>
        <w:rPr>
          <w:rFonts w:ascii="Century Gothic" w:eastAsia="Arial" w:hAnsi="Century Gothic" w:cs="Arial"/>
          <w:lang w:val="es-MX"/>
        </w:rPr>
      </w:pPr>
      <w:r w:rsidRPr="00A335F4">
        <w:rPr>
          <w:rFonts w:ascii="Century Gothic" w:eastAsia="Arial" w:hAnsi="Century Gothic" w:cs="Arial"/>
          <w:lang w:val="es-MX"/>
        </w:rPr>
        <w:t>Ahora bien, al entrar al estudi</w:t>
      </w:r>
      <w:r w:rsidR="00DC1F31">
        <w:rPr>
          <w:rFonts w:ascii="Century Gothic" w:eastAsia="Arial" w:hAnsi="Century Gothic" w:cs="Arial"/>
          <w:lang w:val="es-MX"/>
        </w:rPr>
        <w:t>o y análisis de la I</w:t>
      </w:r>
      <w:r>
        <w:rPr>
          <w:rFonts w:ascii="Century Gothic" w:eastAsia="Arial" w:hAnsi="Century Gothic" w:cs="Arial"/>
          <w:lang w:val="es-MX"/>
        </w:rPr>
        <w:t>niciativa en comento</w:t>
      </w:r>
      <w:r w:rsidRPr="00A335F4">
        <w:rPr>
          <w:rFonts w:ascii="Century Gothic" w:eastAsia="Arial" w:hAnsi="Century Gothic" w:cs="Arial"/>
          <w:lang w:val="es-MX"/>
        </w:rPr>
        <w:t>, quienes integramos la Comisión citada en el proemio del presente Dictamen, formulamos las siguientes</w:t>
      </w:r>
      <w:r>
        <w:rPr>
          <w:rFonts w:ascii="Century Gothic" w:eastAsia="Arial" w:hAnsi="Century Gothic" w:cs="Arial"/>
          <w:lang w:val="es-MX"/>
        </w:rPr>
        <w:t>:</w:t>
      </w:r>
    </w:p>
    <w:p w14:paraId="3F784E31" w14:textId="77777777" w:rsidR="00315537" w:rsidRDefault="00315537" w:rsidP="002E2CD6">
      <w:pPr>
        <w:pStyle w:val="Textoindependiente"/>
        <w:spacing w:line="360" w:lineRule="auto"/>
        <w:ind w:right="332"/>
        <w:rPr>
          <w:rFonts w:ascii="Century Gothic" w:hAnsi="Century Gothic" w:cs="Arial"/>
        </w:rPr>
      </w:pPr>
    </w:p>
    <w:p w14:paraId="055C7FDA" w14:textId="77777777" w:rsidR="00315537" w:rsidRDefault="00315537" w:rsidP="002E2CD6">
      <w:pPr>
        <w:pStyle w:val="Textoindependiente"/>
        <w:spacing w:line="360" w:lineRule="auto"/>
        <w:ind w:right="332"/>
        <w:jc w:val="center"/>
        <w:rPr>
          <w:rFonts w:ascii="Century Gothic" w:hAnsi="Century Gothic" w:cs="Arial"/>
          <w:b/>
          <w:bCs/>
        </w:rPr>
      </w:pPr>
      <w:r>
        <w:rPr>
          <w:rFonts w:ascii="Century Gothic" w:hAnsi="Century Gothic" w:cs="Arial"/>
          <w:b/>
          <w:bCs/>
        </w:rPr>
        <w:t>C</w:t>
      </w:r>
      <w:r w:rsidRPr="009568FB">
        <w:rPr>
          <w:rFonts w:ascii="Century Gothic" w:hAnsi="Century Gothic" w:cs="Arial"/>
          <w:b/>
          <w:bCs/>
        </w:rPr>
        <w:t xml:space="preserve"> O N S I D E R A C I O N E S</w:t>
      </w:r>
    </w:p>
    <w:p w14:paraId="48A17DB3" w14:textId="77777777" w:rsidR="00315537" w:rsidRPr="009568FB" w:rsidRDefault="00315537" w:rsidP="002E2CD6">
      <w:pPr>
        <w:spacing w:line="360" w:lineRule="auto"/>
        <w:ind w:right="332"/>
        <w:jc w:val="both"/>
        <w:rPr>
          <w:rFonts w:ascii="Century Gothic" w:hAnsi="Century Gothic" w:cs="Arial"/>
          <w:b/>
          <w:bCs/>
        </w:rPr>
      </w:pPr>
    </w:p>
    <w:p w14:paraId="76601C02" w14:textId="79ECE72A" w:rsidR="00315537" w:rsidRDefault="00315537" w:rsidP="00850EEA">
      <w:pPr>
        <w:spacing w:line="360" w:lineRule="auto"/>
        <w:ind w:right="335"/>
        <w:jc w:val="both"/>
        <w:rPr>
          <w:rFonts w:ascii="Century Gothic" w:hAnsi="Century Gothic" w:cs="Arial"/>
        </w:rPr>
      </w:pPr>
      <w:r w:rsidRPr="00850EEA">
        <w:rPr>
          <w:rFonts w:ascii="Century Gothic" w:hAnsi="Century Gothic" w:cs="Arial"/>
          <w:b/>
          <w:bCs/>
        </w:rPr>
        <w:t>I.-</w:t>
      </w:r>
      <w:r w:rsidRPr="00850EEA">
        <w:rPr>
          <w:rFonts w:ascii="Century Gothic" w:hAnsi="Century Gothic" w:cs="Arial"/>
        </w:rPr>
        <w:t xml:space="preserve"> El H. Congreso del Estado, a través de esta Comisión, es competente para conocer y resolver sobre la iniciativa en </w:t>
      </w:r>
      <w:r w:rsidR="00645895">
        <w:rPr>
          <w:rFonts w:ascii="Century Gothic" w:hAnsi="Century Gothic" w:cs="Arial"/>
        </w:rPr>
        <w:t>referencia</w:t>
      </w:r>
      <w:r w:rsidRPr="00850EEA">
        <w:rPr>
          <w:rFonts w:ascii="Century Gothic" w:hAnsi="Century Gothic" w:cs="Arial"/>
        </w:rPr>
        <w:t xml:space="preserve">. </w:t>
      </w:r>
    </w:p>
    <w:p w14:paraId="601F6CB7" w14:textId="77777777" w:rsidR="008D70F5" w:rsidRDefault="008D70F5" w:rsidP="00850EEA">
      <w:pPr>
        <w:spacing w:line="360" w:lineRule="auto"/>
        <w:ind w:right="335"/>
        <w:jc w:val="both"/>
        <w:rPr>
          <w:rFonts w:ascii="Century Gothic" w:hAnsi="Century Gothic" w:cs="Arial"/>
        </w:rPr>
      </w:pPr>
    </w:p>
    <w:p w14:paraId="32DBD01F" w14:textId="05CC6EC7" w:rsidR="005B0F8D" w:rsidRPr="005B0F8D" w:rsidRDefault="008D70F5" w:rsidP="005B0F8D">
      <w:pPr>
        <w:spacing w:line="360" w:lineRule="auto"/>
        <w:ind w:right="335"/>
        <w:jc w:val="both"/>
        <w:rPr>
          <w:rFonts w:ascii="Century Gothic" w:hAnsi="Century Gothic" w:cs="Arial"/>
          <w:bCs/>
          <w:u w:val="single"/>
          <w:lang w:val="es-MX"/>
        </w:rPr>
      </w:pPr>
      <w:r>
        <w:rPr>
          <w:rFonts w:ascii="Century Gothic" w:hAnsi="Century Gothic" w:cs="Arial"/>
          <w:b/>
          <w:lang w:val="es-MX"/>
        </w:rPr>
        <w:t>II.-</w:t>
      </w:r>
      <w:r w:rsidR="00AA148E">
        <w:rPr>
          <w:rFonts w:ascii="Century Gothic" w:hAnsi="Century Gothic" w:cs="Arial"/>
          <w:b/>
          <w:lang w:val="es-MX"/>
        </w:rPr>
        <w:t xml:space="preserve"> </w:t>
      </w:r>
      <w:r w:rsidR="005B0F8D">
        <w:rPr>
          <w:rFonts w:ascii="Century Gothic" w:hAnsi="Century Gothic" w:cs="Arial"/>
          <w:lang w:val="es-MX"/>
        </w:rPr>
        <w:t xml:space="preserve">Esta Comisión coincide con la iniciativa y reconoce el problema planteado, </w:t>
      </w:r>
      <w:r w:rsidR="00A6727E">
        <w:rPr>
          <w:rFonts w:ascii="Century Gothic" w:hAnsi="Century Gothic" w:cs="Arial"/>
          <w:lang w:val="es-MX"/>
        </w:rPr>
        <w:t xml:space="preserve">de igual forma </w:t>
      </w:r>
      <w:r w:rsidR="005B0F8D">
        <w:rPr>
          <w:rFonts w:ascii="Century Gothic" w:hAnsi="Century Gothic" w:cs="Arial"/>
          <w:lang w:val="es-MX"/>
        </w:rPr>
        <w:t xml:space="preserve">enfatizamos lo mencionado en antecedentes respecto a que </w:t>
      </w:r>
      <w:r w:rsidR="005B0F8D" w:rsidRPr="005B0F8D">
        <w:rPr>
          <w:rFonts w:ascii="Century Gothic" w:hAnsi="Century Gothic" w:cs="Arial"/>
          <w:bCs/>
          <w:i/>
          <w:lang w:val="es-MX"/>
        </w:rPr>
        <w:t>UNICEF indica que es más probable que sea forzada la iniciación sexual de las niñas y las mujeres si se produce a edades más tempranas.</w:t>
      </w:r>
      <w:r w:rsidR="005B0F8D" w:rsidRPr="005B0F8D">
        <w:rPr>
          <w:rFonts w:ascii="Century Gothic" w:hAnsi="Century Gothic" w:cs="Arial"/>
          <w:bCs/>
          <w:i/>
          <w:vertAlign w:val="superscript"/>
          <w:lang w:val="es-MX"/>
        </w:rPr>
        <w:footnoteReference w:id="8"/>
      </w:r>
      <w:r w:rsidR="005B0F8D" w:rsidRPr="005B0F8D">
        <w:rPr>
          <w:rFonts w:ascii="Century Gothic" w:hAnsi="Century Gothic" w:cs="Arial"/>
          <w:bCs/>
          <w:i/>
          <w:lang w:val="es-MX"/>
        </w:rPr>
        <w:t xml:space="preserve"> También se debe tener en cuenta la diferencia de edad entre las parejas involucradas, como un indicio del equilibrio del poder y manipulación en la pareja.</w:t>
      </w:r>
    </w:p>
    <w:p w14:paraId="1FACD55D" w14:textId="77777777" w:rsidR="005B0F8D" w:rsidRDefault="005B0F8D" w:rsidP="005B0F8D">
      <w:pPr>
        <w:spacing w:line="360" w:lineRule="auto"/>
        <w:ind w:right="335"/>
        <w:jc w:val="both"/>
        <w:rPr>
          <w:rFonts w:ascii="Century Gothic" w:hAnsi="Century Gothic" w:cs="Arial"/>
          <w:bCs/>
          <w:u w:val="single"/>
          <w:lang w:val="es-MX"/>
        </w:rPr>
      </w:pPr>
    </w:p>
    <w:p w14:paraId="35CBFDDE" w14:textId="533BC6F5" w:rsidR="005B0F8D" w:rsidRPr="005B0F8D" w:rsidRDefault="005B0F8D" w:rsidP="005B0F8D">
      <w:pPr>
        <w:spacing w:line="360" w:lineRule="auto"/>
        <w:ind w:right="335"/>
        <w:jc w:val="both"/>
        <w:rPr>
          <w:rFonts w:ascii="Century Gothic" w:hAnsi="Century Gothic" w:cs="Arial"/>
          <w:bCs/>
          <w:lang w:val="es-MX"/>
        </w:rPr>
      </w:pPr>
      <w:r w:rsidRPr="005B0F8D">
        <w:rPr>
          <w:rFonts w:ascii="Century Gothic" w:hAnsi="Century Gothic" w:cs="Arial"/>
          <w:bCs/>
          <w:lang w:val="es-MX"/>
        </w:rPr>
        <w:t xml:space="preserve">De igual </w:t>
      </w:r>
      <w:r w:rsidR="00A6727E">
        <w:rPr>
          <w:rFonts w:ascii="Century Gothic" w:hAnsi="Century Gothic" w:cs="Arial"/>
          <w:bCs/>
          <w:lang w:val="es-MX"/>
        </w:rPr>
        <w:t>manera</w:t>
      </w:r>
      <w:r w:rsidRPr="005B0F8D">
        <w:rPr>
          <w:rFonts w:ascii="Century Gothic" w:hAnsi="Century Gothic" w:cs="Arial"/>
          <w:bCs/>
          <w:lang w:val="es-MX"/>
        </w:rPr>
        <w:t xml:space="preserve"> se refiere que todos los días alrededor del mundo, 20 mil mujeres de menos de 18 años dan a luz en países en desarrollo</w:t>
      </w:r>
      <w:r w:rsidRPr="005B0F8D">
        <w:rPr>
          <w:rFonts w:ascii="Century Gothic" w:hAnsi="Century Gothic" w:cs="Arial"/>
          <w:bCs/>
          <w:vertAlign w:val="superscript"/>
          <w:lang w:val="es-MX"/>
        </w:rPr>
        <w:footnoteReference w:id="9"/>
      </w:r>
      <w:r w:rsidRPr="005B0F8D">
        <w:rPr>
          <w:rFonts w:ascii="Century Gothic" w:hAnsi="Century Gothic" w:cs="Arial"/>
          <w:bCs/>
          <w:lang w:val="es-MX"/>
        </w:rPr>
        <w:t>. México ocupa el primer lugar en el tema, entre los países de la Organización para la Cooperación y el Desarrollo Económico, con una tasa de fecundidad de 77 nacimientos por cada mil adolescentes de 15 a 19 años de edad. Asimismo, 23% de las y los adolescentes inician su vida sexual entre los 12 y los 19 años.</w:t>
      </w:r>
      <w:r w:rsidRPr="005B0F8D">
        <w:rPr>
          <w:rFonts w:ascii="Century Gothic" w:hAnsi="Century Gothic" w:cs="Arial"/>
          <w:bCs/>
          <w:vertAlign w:val="superscript"/>
          <w:lang w:val="es-MX"/>
        </w:rPr>
        <w:footnoteReference w:id="10"/>
      </w:r>
    </w:p>
    <w:p w14:paraId="3E06152D" w14:textId="77777777" w:rsidR="005B0F8D" w:rsidRPr="005B0F8D" w:rsidRDefault="005B0F8D" w:rsidP="005B0F8D">
      <w:pPr>
        <w:spacing w:line="360" w:lineRule="auto"/>
        <w:ind w:right="335"/>
        <w:jc w:val="both"/>
        <w:rPr>
          <w:rFonts w:ascii="Century Gothic" w:hAnsi="Century Gothic" w:cs="Arial"/>
          <w:bCs/>
          <w:lang w:val="es-MX"/>
        </w:rPr>
      </w:pPr>
    </w:p>
    <w:p w14:paraId="6DD707DC" w14:textId="77777777" w:rsidR="005B0F8D" w:rsidRPr="005B0F8D" w:rsidRDefault="005B0F8D" w:rsidP="005B0F8D">
      <w:pPr>
        <w:spacing w:line="360" w:lineRule="auto"/>
        <w:ind w:right="335"/>
        <w:jc w:val="both"/>
        <w:rPr>
          <w:rFonts w:ascii="Century Gothic" w:hAnsi="Century Gothic" w:cs="Arial"/>
          <w:bCs/>
          <w:lang w:val="es-MX"/>
        </w:rPr>
      </w:pPr>
      <w:r w:rsidRPr="005B0F8D">
        <w:rPr>
          <w:rFonts w:ascii="Century Gothic" w:hAnsi="Century Gothic" w:cs="Arial"/>
          <w:bCs/>
          <w:lang w:val="es-MX"/>
        </w:rPr>
        <w:t>Según el Instituto Nacional de Estadística y Geografía, en el último censo correspondiente al año 2019, Chihuahua, ocupa el décimo lugar a nivel nacional por defunciones en embarazadas menores de 18 años.</w:t>
      </w:r>
      <w:r w:rsidRPr="005B0F8D">
        <w:rPr>
          <w:rFonts w:ascii="Century Gothic" w:hAnsi="Century Gothic" w:cs="Arial"/>
          <w:bCs/>
          <w:vertAlign w:val="superscript"/>
          <w:lang w:val="es-MX"/>
        </w:rPr>
        <w:footnoteReference w:id="11"/>
      </w:r>
    </w:p>
    <w:p w14:paraId="6D55776F" w14:textId="77777777" w:rsidR="005B0F8D" w:rsidRPr="005B0F8D" w:rsidRDefault="005B0F8D" w:rsidP="005B0F8D">
      <w:pPr>
        <w:spacing w:line="360" w:lineRule="auto"/>
        <w:ind w:right="335"/>
        <w:jc w:val="both"/>
        <w:rPr>
          <w:rFonts w:ascii="Century Gothic" w:hAnsi="Century Gothic" w:cs="Arial"/>
          <w:bCs/>
          <w:u w:val="single"/>
          <w:lang w:val="es-MX"/>
        </w:rPr>
      </w:pPr>
    </w:p>
    <w:p w14:paraId="5A7509B3" w14:textId="3312C52D" w:rsidR="005B0F8D" w:rsidRDefault="007D4913" w:rsidP="005B0F8D">
      <w:pPr>
        <w:spacing w:line="360" w:lineRule="auto"/>
        <w:ind w:right="335"/>
        <w:jc w:val="both"/>
        <w:rPr>
          <w:rFonts w:ascii="Century Gothic" w:hAnsi="Century Gothic" w:cs="Arial"/>
          <w:bCs/>
          <w:lang w:val="es-MX"/>
        </w:rPr>
      </w:pPr>
      <w:r>
        <w:rPr>
          <w:rFonts w:ascii="Century Gothic" w:hAnsi="Century Gothic" w:cs="Arial"/>
          <w:b/>
          <w:bCs/>
          <w:lang w:val="es-MX"/>
        </w:rPr>
        <w:t>III</w:t>
      </w:r>
      <w:r w:rsidRPr="007D4913">
        <w:rPr>
          <w:rFonts w:ascii="Century Gothic" w:hAnsi="Century Gothic" w:cs="Arial"/>
          <w:b/>
          <w:bCs/>
          <w:lang w:val="es-MX"/>
        </w:rPr>
        <w:t>.-</w:t>
      </w:r>
      <w:r>
        <w:rPr>
          <w:rFonts w:ascii="Century Gothic" w:hAnsi="Century Gothic" w:cs="Arial"/>
          <w:bCs/>
          <w:lang w:val="es-MX"/>
        </w:rPr>
        <w:t xml:space="preserve"> </w:t>
      </w:r>
      <w:r w:rsidR="005B0F8D">
        <w:rPr>
          <w:rFonts w:ascii="Century Gothic" w:hAnsi="Century Gothic" w:cs="Arial"/>
          <w:bCs/>
          <w:lang w:val="es-MX"/>
        </w:rPr>
        <w:t>Como podemos observar, el 23% de las mujeres inician su a</w:t>
      </w:r>
      <w:r w:rsidR="00A6727E">
        <w:rPr>
          <w:rFonts w:ascii="Century Gothic" w:hAnsi="Century Gothic" w:cs="Arial"/>
          <w:bCs/>
          <w:lang w:val="es-MX"/>
        </w:rPr>
        <w:t>ctividad sexual a temprana edad;</w:t>
      </w:r>
      <w:r w:rsidR="005B0F8D">
        <w:rPr>
          <w:rFonts w:ascii="Century Gothic" w:hAnsi="Century Gothic" w:cs="Arial"/>
          <w:bCs/>
          <w:lang w:val="es-MX"/>
        </w:rPr>
        <w:t xml:space="preserve"> si tomamos en consideración que en esa relación sexual se encuentra una persona menor de 14 años, estamos frente a una violación agravada, aún y cuando mediare el consentimiento de la persona adolescente, tal y como se menciona en el artículo 172 del Código Penal del Estado de Chihuahua que a continuación se transcribe:</w:t>
      </w:r>
    </w:p>
    <w:p w14:paraId="02D3C88D" w14:textId="5701F4A3" w:rsidR="005B0F8D" w:rsidRPr="005B0F8D" w:rsidRDefault="005B0F8D" w:rsidP="005B0F8D">
      <w:pPr>
        <w:spacing w:line="360" w:lineRule="auto"/>
        <w:ind w:left="851" w:right="899"/>
        <w:jc w:val="both"/>
        <w:rPr>
          <w:rFonts w:ascii="Century Gothic" w:hAnsi="Century Gothic" w:cs="Arial"/>
          <w:bCs/>
          <w:lang w:val="es-MX"/>
        </w:rPr>
      </w:pPr>
      <w:r>
        <w:rPr>
          <w:rFonts w:ascii="Century Gothic" w:hAnsi="Century Gothic" w:cs="Arial"/>
          <w:bCs/>
          <w:lang w:val="es-MX"/>
        </w:rPr>
        <w:t xml:space="preserve"> </w:t>
      </w:r>
    </w:p>
    <w:p w14:paraId="7DCA4FF4" w14:textId="77777777" w:rsidR="005B0F8D" w:rsidRDefault="005B0F8D" w:rsidP="005B0F8D">
      <w:pPr>
        <w:spacing w:line="360" w:lineRule="auto"/>
        <w:ind w:left="851" w:right="899"/>
        <w:jc w:val="both"/>
        <w:rPr>
          <w:rFonts w:ascii="Century Gothic" w:hAnsi="Century Gothic" w:cs="Arial"/>
          <w:bCs/>
        </w:rPr>
      </w:pPr>
      <w:r w:rsidRPr="005B0F8D">
        <w:rPr>
          <w:rFonts w:ascii="Century Gothic" w:hAnsi="Century Gothic" w:cs="Arial"/>
          <w:bCs/>
        </w:rPr>
        <w:t xml:space="preserve">Artículo 172. Se aplicarán de diez a treinta años de prisión a quien: </w:t>
      </w:r>
    </w:p>
    <w:p w14:paraId="6951E049" w14:textId="77777777" w:rsidR="005B0F8D" w:rsidRDefault="005B0F8D" w:rsidP="005B0F8D">
      <w:pPr>
        <w:spacing w:line="360" w:lineRule="auto"/>
        <w:ind w:left="851" w:right="899"/>
        <w:jc w:val="both"/>
        <w:rPr>
          <w:rFonts w:ascii="Century Gothic" w:hAnsi="Century Gothic" w:cs="Arial"/>
          <w:bCs/>
        </w:rPr>
      </w:pPr>
    </w:p>
    <w:p w14:paraId="30C22FFA" w14:textId="5B72101A" w:rsidR="00623BE2" w:rsidRDefault="005B0F8D" w:rsidP="005B0F8D">
      <w:pPr>
        <w:spacing w:line="360" w:lineRule="auto"/>
        <w:ind w:left="851" w:right="899"/>
        <w:jc w:val="both"/>
        <w:rPr>
          <w:rFonts w:ascii="Century Gothic" w:hAnsi="Century Gothic" w:cs="Arial"/>
          <w:bCs/>
        </w:rPr>
      </w:pPr>
      <w:r w:rsidRPr="005B0F8D">
        <w:rPr>
          <w:rFonts w:ascii="Century Gothic" w:hAnsi="Century Gothic" w:cs="Arial"/>
          <w:bCs/>
        </w:rPr>
        <w:t>I. Realice cópula con persona menor de catorce años de edad o con persona que no tenga la</w:t>
      </w:r>
      <w:r w:rsidR="00240C09">
        <w:rPr>
          <w:rFonts w:ascii="Century Gothic" w:hAnsi="Century Gothic" w:cs="Arial"/>
          <w:bCs/>
        </w:rPr>
        <w:t xml:space="preserve"> </w:t>
      </w:r>
      <w:r w:rsidRPr="005B0F8D">
        <w:rPr>
          <w:rFonts w:ascii="Century Gothic" w:hAnsi="Century Gothic" w:cs="Arial"/>
          <w:bCs/>
        </w:rPr>
        <w:t>capacidad de comprender el significado del hecho o por cualquier causa no pueda resistirlo; o</w:t>
      </w:r>
    </w:p>
    <w:p w14:paraId="3BBC4D2F" w14:textId="77777777" w:rsidR="005B0F8D" w:rsidRDefault="005B0F8D" w:rsidP="005B0F8D">
      <w:pPr>
        <w:spacing w:line="360" w:lineRule="auto"/>
        <w:ind w:left="851" w:right="899"/>
        <w:jc w:val="both"/>
        <w:rPr>
          <w:rFonts w:ascii="Century Gothic" w:hAnsi="Century Gothic" w:cs="Arial"/>
          <w:bCs/>
        </w:rPr>
      </w:pPr>
    </w:p>
    <w:p w14:paraId="051635AD" w14:textId="19F2EE20" w:rsidR="005B0F8D" w:rsidRDefault="005B0F8D" w:rsidP="005B0F8D">
      <w:pPr>
        <w:spacing w:line="360" w:lineRule="auto"/>
        <w:ind w:left="851" w:right="899"/>
        <w:jc w:val="both"/>
        <w:rPr>
          <w:rFonts w:ascii="Century Gothic" w:hAnsi="Century Gothic" w:cs="Arial"/>
          <w:bCs/>
        </w:rPr>
      </w:pPr>
      <w:r>
        <w:rPr>
          <w:rFonts w:ascii="Century Gothic" w:hAnsi="Century Gothic" w:cs="Arial"/>
          <w:bCs/>
        </w:rPr>
        <w:t>II. …”</w:t>
      </w:r>
    </w:p>
    <w:p w14:paraId="34D63333" w14:textId="77777777" w:rsidR="005B0F8D" w:rsidRDefault="005B0F8D" w:rsidP="00B071FC">
      <w:pPr>
        <w:spacing w:line="360" w:lineRule="auto"/>
        <w:ind w:right="335"/>
        <w:jc w:val="both"/>
        <w:rPr>
          <w:rFonts w:ascii="Century Gothic" w:hAnsi="Century Gothic" w:cs="Arial"/>
          <w:bCs/>
        </w:rPr>
      </w:pPr>
    </w:p>
    <w:p w14:paraId="41E9D6DF" w14:textId="18CA0EAB" w:rsidR="005B0F8D" w:rsidRDefault="005B0F8D" w:rsidP="00B071FC">
      <w:pPr>
        <w:spacing w:line="360" w:lineRule="auto"/>
        <w:ind w:right="335"/>
        <w:jc w:val="both"/>
        <w:rPr>
          <w:rFonts w:ascii="Century Gothic" w:hAnsi="Century Gothic" w:cs="Arial"/>
          <w:bCs/>
        </w:rPr>
      </w:pPr>
      <w:r>
        <w:rPr>
          <w:rFonts w:ascii="Century Gothic" w:hAnsi="Century Gothic" w:cs="Arial"/>
          <w:bCs/>
        </w:rPr>
        <w:t>Ahora bien, si la persona adolescente en el rango etario de mayor de 14 años y menor de 18 años de edad, tiene una relación sexual que implique la cópula con su consentimiento, esta conducta no es reprochable penalmente, ya que cuenta con la disponibilidad del bien jurídico, es decir, esta persona puede decidir, con quien, como y cuando llevar una práctica sexual consensuada.</w:t>
      </w:r>
      <w:r w:rsidR="00173C9D">
        <w:rPr>
          <w:rStyle w:val="Refdenotaalpie"/>
          <w:rFonts w:ascii="Century Gothic" w:hAnsi="Century Gothic" w:cs="Arial"/>
          <w:bCs/>
        </w:rPr>
        <w:footnoteReference w:id="12"/>
      </w:r>
      <w:r>
        <w:rPr>
          <w:rFonts w:ascii="Century Gothic" w:hAnsi="Century Gothic" w:cs="Arial"/>
          <w:bCs/>
        </w:rPr>
        <w:t xml:space="preserve"> </w:t>
      </w:r>
    </w:p>
    <w:p w14:paraId="34DB2BC4" w14:textId="77777777" w:rsidR="005B0F8D" w:rsidRDefault="005B0F8D" w:rsidP="00B071FC">
      <w:pPr>
        <w:spacing w:line="360" w:lineRule="auto"/>
        <w:ind w:right="335"/>
        <w:jc w:val="both"/>
        <w:rPr>
          <w:rFonts w:ascii="Century Gothic" w:hAnsi="Century Gothic" w:cs="Arial"/>
          <w:bCs/>
        </w:rPr>
      </w:pPr>
    </w:p>
    <w:p w14:paraId="572AC9A8" w14:textId="55183A05" w:rsidR="005B0F8D" w:rsidRDefault="005B0F8D" w:rsidP="00B071FC">
      <w:pPr>
        <w:spacing w:line="360" w:lineRule="auto"/>
        <w:ind w:right="335"/>
        <w:jc w:val="both"/>
        <w:rPr>
          <w:rFonts w:ascii="Century Gothic" w:hAnsi="Century Gothic" w:cs="Arial"/>
          <w:bCs/>
        </w:rPr>
      </w:pPr>
      <w:r>
        <w:rPr>
          <w:rFonts w:ascii="Century Gothic" w:hAnsi="Century Gothic" w:cs="Arial"/>
          <w:bCs/>
        </w:rPr>
        <w:t xml:space="preserve">Por ello, nuestra legislación penal no se ocupa de sancionar la anterior conducta, sin embargo, </w:t>
      </w:r>
      <w:r w:rsidR="004D36E7">
        <w:rPr>
          <w:rFonts w:ascii="Century Gothic" w:hAnsi="Century Gothic" w:cs="Arial"/>
          <w:bCs/>
        </w:rPr>
        <w:t>cuando su consentimiento se vio viciado por medio de cualquier tipo de engaño, es aquí cuando entra</w:t>
      </w:r>
      <w:r w:rsidR="00A6727E">
        <w:rPr>
          <w:rFonts w:ascii="Century Gothic" w:hAnsi="Century Gothic" w:cs="Arial"/>
          <w:bCs/>
        </w:rPr>
        <w:t xml:space="preserve"> el derecho penal a sancionar</w:t>
      </w:r>
      <w:r w:rsidR="004D36E7">
        <w:rPr>
          <w:rFonts w:ascii="Century Gothic" w:hAnsi="Century Gothic" w:cs="Arial"/>
          <w:bCs/>
        </w:rPr>
        <w:t>, ya que si bien la víctima tiene disponibilidad del bien jurídico, sigue siendo una persona adolescente y su consentimiento</w:t>
      </w:r>
      <w:r w:rsidR="00173C9D">
        <w:rPr>
          <w:rFonts w:ascii="Century Gothic" w:hAnsi="Century Gothic" w:cs="Arial"/>
          <w:bCs/>
        </w:rPr>
        <w:t xml:space="preserve"> fue arrancado con engaño.</w:t>
      </w:r>
      <w:r w:rsidR="00173C9D">
        <w:rPr>
          <w:rStyle w:val="Refdenotaalpie"/>
          <w:rFonts w:ascii="Century Gothic" w:hAnsi="Century Gothic" w:cs="Arial"/>
          <w:bCs/>
        </w:rPr>
        <w:footnoteReference w:id="13"/>
      </w:r>
    </w:p>
    <w:p w14:paraId="42C36C95" w14:textId="77777777" w:rsidR="004D36E7" w:rsidRDefault="004D36E7" w:rsidP="00B071FC">
      <w:pPr>
        <w:spacing w:line="360" w:lineRule="auto"/>
        <w:ind w:right="335"/>
        <w:jc w:val="both"/>
        <w:rPr>
          <w:rFonts w:ascii="Century Gothic" w:hAnsi="Century Gothic" w:cs="Arial"/>
          <w:bCs/>
        </w:rPr>
      </w:pPr>
    </w:p>
    <w:p w14:paraId="7AE158F2" w14:textId="5F4901AD" w:rsidR="00173C9D" w:rsidRDefault="00173C9D" w:rsidP="00B071FC">
      <w:pPr>
        <w:spacing w:line="360" w:lineRule="auto"/>
        <w:ind w:right="335"/>
        <w:jc w:val="both"/>
        <w:rPr>
          <w:rFonts w:ascii="Century Gothic" w:hAnsi="Century Gothic" w:cs="Arial"/>
          <w:bCs/>
        </w:rPr>
      </w:pPr>
      <w:r>
        <w:rPr>
          <w:rFonts w:ascii="Century Gothic" w:hAnsi="Century Gothic" w:cs="Arial"/>
          <w:bCs/>
        </w:rPr>
        <w:t>Es decir, como dijo la Primera Sala de la Suprema Corte de Justicia de la Nación en la tesis</w:t>
      </w:r>
      <w:r w:rsidRPr="00173C9D">
        <w:rPr>
          <w:rFonts w:ascii="Century Gothic" w:hAnsi="Century Gothic" w:cs="Arial"/>
          <w:bCs/>
        </w:rPr>
        <w:t>: 1a. XXII/2019 (10a.)</w:t>
      </w:r>
      <w:r>
        <w:rPr>
          <w:rFonts w:ascii="Century Gothic" w:hAnsi="Century Gothic" w:cs="Arial"/>
          <w:bCs/>
        </w:rPr>
        <w:t xml:space="preserve"> …</w:t>
      </w:r>
      <w:r w:rsidRPr="00173C9D">
        <w:rPr>
          <w:rFonts w:ascii="Century Gothic" w:hAnsi="Century Gothic" w:cs="Arial"/>
          <w:bCs/>
          <w:i/>
        </w:rPr>
        <w:t>se debe ponderar si pudo existir una situación de igualdad y libertad frente a la señalada como imputada, lo que justificaría el válido consentimiento de aquélla, pues en estas condiciones no se vulneraría el bien jurídico penal consistente en su sano y libre desarrollo sexual</w:t>
      </w:r>
      <w:r w:rsidRPr="00173C9D">
        <w:rPr>
          <w:rFonts w:ascii="Century Gothic" w:hAnsi="Century Gothic" w:cs="Arial"/>
          <w:bCs/>
        </w:rPr>
        <w:t>.</w:t>
      </w:r>
      <w:r>
        <w:rPr>
          <w:rFonts w:ascii="Century Gothic" w:hAnsi="Century Gothic" w:cs="Arial"/>
          <w:bCs/>
        </w:rPr>
        <w:t xml:space="preserve"> … </w:t>
      </w:r>
    </w:p>
    <w:p w14:paraId="2F650077" w14:textId="77777777" w:rsidR="00173C9D" w:rsidRDefault="00173C9D" w:rsidP="00B071FC">
      <w:pPr>
        <w:spacing w:line="360" w:lineRule="auto"/>
        <w:ind w:right="335"/>
        <w:jc w:val="both"/>
        <w:rPr>
          <w:rFonts w:ascii="Century Gothic" w:hAnsi="Century Gothic" w:cs="Arial"/>
          <w:bCs/>
        </w:rPr>
      </w:pPr>
    </w:p>
    <w:p w14:paraId="50CF912C" w14:textId="5E38BE57" w:rsidR="00173C9D" w:rsidRDefault="00BD706B" w:rsidP="00B071FC">
      <w:pPr>
        <w:spacing w:line="360" w:lineRule="auto"/>
        <w:ind w:right="335"/>
        <w:jc w:val="both"/>
        <w:rPr>
          <w:rFonts w:ascii="Century Gothic" w:hAnsi="Century Gothic" w:cs="Arial"/>
          <w:bCs/>
          <w:i/>
        </w:rPr>
      </w:pPr>
      <w:r>
        <w:rPr>
          <w:rFonts w:ascii="Century Gothic" w:hAnsi="Century Gothic" w:cs="Arial"/>
          <w:bCs/>
        </w:rPr>
        <w:t>Esto es</w:t>
      </w:r>
      <w:r w:rsidR="00173C9D">
        <w:rPr>
          <w:rFonts w:ascii="Century Gothic" w:hAnsi="Century Gothic" w:cs="Arial"/>
          <w:bCs/>
        </w:rPr>
        <w:t xml:space="preserve">, su consentimiento es válido </w:t>
      </w:r>
      <w:r w:rsidR="00173C9D" w:rsidRPr="00173C9D">
        <w:rPr>
          <w:rFonts w:ascii="Century Gothic" w:hAnsi="Century Gothic" w:cs="Arial"/>
          <w:bCs/>
          <w:i/>
        </w:rPr>
        <w:t>cuando no existe una relación asimétrica de poder o cualquier otra condición de desigualdad que impidiera reconocer su consentimiento válido; por ejemplo, una notoria diferencia de edad y desproporcional para justificar lo anterior, cuestiones jerárquicas –de supra a subordinación– que revelaran una condición de poder u otra que viciara su consentimiento válido</w:t>
      </w:r>
      <w:r w:rsidR="00173C9D">
        <w:rPr>
          <w:rStyle w:val="Refdenotaalpie"/>
          <w:rFonts w:ascii="Century Gothic" w:hAnsi="Century Gothic" w:cs="Arial"/>
          <w:bCs/>
          <w:i/>
        </w:rPr>
        <w:footnoteReference w:id="14"/>
      </w:r>
      <w:r w:rsidR="00173C9D">
        <w:rPr>
          <w:rFonts w:ascii="Century Gothic" w:hAnsi="Century Gothic" w:cs="Arial"/>
          <w:bCs/>
          <w:i/>
        </w:rPr>
        <w:t>.</w:t>
      </w:r>
    </w:p>
    <w:p w14:paraId="4A32FF2F" w14:textId="77777777" w:rsidR="00173C9D" w:rsidRDefault="00173C9D" w:rsidP="00B071FC">
      <w:pPr>
        <w:spacing w:line="360" w:lineRule="auto"/>
        <w:ind w:right="335"/>
        <w:jc w:val="both"/>
        <w:rPr>
          <w:rFonts w:ascii="Century Gothic" w:hAnsi="Century Gothic" w:cs="Arial"/>
          <w:bCs/>
          <w:i/>
        </w:rPr>
      </w:pPr>
    </w:p>
    <w:p w14:paraId="0F2FE671" w14:textId="61F7F882" w:rsidR="00173C9D" w:rsidRDefault="00173C9D" w:rsidP="00B071FC">
      <w:pPr>
        <w:spacing w:line="360" w:lineRule="auto"/>
        <w:ind w:right="335"/>
        <w:jc w:val="both"/>
        <w:rPr>
          <w:rFonts w:ascii="Century Gothic" w:hAnsi="Century Gothic" w:cs="Arial"/>
          <w:bCs/>
        </w:rPr>
      </w:pPr>
      <w:r>
        <w:rPr>
          <w:rFonts w:ascii="Century Gothic" w:hAnsi="Century Gothic" w:cs="Arial"/>
          <w:bCs/>
        </w:rPr>
        <w:t xml:space="preserve">De ahí que </w:t>
      </w:r>
      <w:r w:rsidR="00A6727E">
        <w:rPr>
          <w:rFonts w:ascii="Century Gothic" w:hAnsi="Century Gothic" w:cs="Arial"/>
          <w:bCs/>
        </w:rPr>
        <w:t>la</w:t>
      </w:r>
      <w:r>
        <w:rPr>
          <w:rFonts w:ascii="Century Gothic" w:hAnsi="Century Gothic" w:cs="Arial"/>
          <w:bCs/>
        </w:rPr>
        <w:t xml:space="preserve"> legislación penal</w:t>
      </w:r>
      <w:r w:rsidR="00A6727E">
        <w:rPr>
          <w:rFonts w:ascii="Century Gothic" w:hAnsi="Century Gothic" w:cs="Arial"/>
          <w:bCs/>
        </w:rPr>
        <w:t xml:space="preserve"> en Chihuahua,</w:t>
      </w:r>
      <w:r>
        <w:rPr>
          <w:rFonts w:ascii="Century Gothic" w:hAnsi="Century Gothic" w:cs="Arial"/>
          <w:bCs/>
        </w:rPr>
        <w:t xml:space="preserve"> sanciona a las personas que obtienen por medio del engaño el consentimiento para realizar la cópula con una persona mayor de 14 años y menor de 18 años de edad. </w:t>
      </w:r>
    </w:p>
    <w:p w14:paraId="3E9DA028" w14:textId="77777777" w:rsidR="00173C9D" w:rsidRDefault="00173C9D" w:rsidP="00B071FC">
      <w:pPr>
        <w:spacing w:line="360" w:lineRule="auto"/>
        <w:ind w:right="335"/>
        <w:jc w:val="both"/>
        <w:rPr>
          <w:rFonts w:ascii="Century Gothic" w:hAnsi="Century Gothic" w:cs="Arial"/>
          <w:bCs/>
        </w:rPr>
      </w:pPr>
    </w:p>
    <w:p w14:paraId="691F1C29" w14:textId="7B36B077" w:rsidR="007D4913" w:rsidRDefault="007D4913" w:rsidP="00B071FC">
      <w:pPr>
        <w:spacing w:line="360" w:lineRule="auto"/>
        <w:ind w:right="335"/>
        <w:jc w:val="both"/>
        <w:rPr>
          <w:rFonts w:ascii="Century Gothic" w:hAnsi="Century Gothic" w:cs="Arial"/>
          <w:bCs/>
        </w:rPr>
      </w:pPr>
      <w:r w:rsidRPr="007D4913">
        <w:rPr>
          <w:rFonts w:ascii="Century Gothic" w:hAnsi="Century Gothic" w:cs="Arial"/>
          <w:b/>
          <w:bCs/>
        </w:rPr>
        <w:t>IV.-</w:t>
      </w:r>
      <w:r>
        <w:rPr>
          <w:rFonts w:ascii="Century Gothic" w:hAnsi="Century Gothic" w:cs="Arial"/>
          <w:bCs/>
        </w:rPr>
        <w:t xml:space="preserve"> </w:t>
      </w:r>
      <w:r w:rsidR="00124191">
        <w:rPr>
          <w:rFonts w:ascii="Century Gothic" w:hAnsi="Century Gothic" w:cs="Arial"/>
          <w:bCs/>
        </w:rPr>
        <w:t xml:space="preserve">Aquello </w:t>
      </w:r>
      <w:r>
        <w:rPr>
          <w:rFonts w:ascii="Century Gothic" w:hAnsi="Century Gothic" w:cs="Arial"/>
          <w:bCs/>
        </w:rPr>
        <w:t xml:space="preserve">nos permite observar que en el estupro, existe una afectación al bien jurídico, en este caso, se vulnera por medio del engaño, es decir, su consentimiento está viciado, por ende, la figura que más se le asemeja es la violación, solo que esta tiene una pena de 8 a 20 años de prisión y el estupro, de 1 a 4 años de prisión.  </w:t>
      </w:r>
    </w:p>
    <w:p w14:paraId="4A3C9F42" w14:textId="77777777" w:rsidR="007D4913" w:rsidRDefault="007D4913" w:rsidP="00B071FC">
      <w:pPr>
        <w:spacing w:line="360" w:lineRule="auto"/>
        <w:ind w:right="335"/>
        <w:jc w:val="both"/>
        <w:rPr>
          <w:rFonts w:ascii="Century Gothic" w:hAnsi="Century Gothic" w:cs="Arial"/>
          <w:bCs/>
        </w:rPr>
      </w:pPr>
    </w:p>
    <w:p w14:paraId="12B69533" w14:textId="789530A2" w:rsidR="007D4913" w:rsidRDefault="007D4913" w:rsidP="00B071FC">
      <w:pPr>
        <w:spacing w:line="360" w:lineRule="auto"/>
        <w:ind w:right="335"/>
        <w:jc w:val="both"/>
        <w:rPr>
          <w:rFonts w:ascii="Century Gothic" w:hAnsi="Century Gothic" w:cs="Arial"/>
          <w:bCs/>
        </w:rPr>
      </w:pPr>
      <w:r>
        <w:rPr>
          <w:rFonts w:ascii="Century Gothic" w:hAnsi="Century Gothic" w:cs="Arial"/>
          <w:bCs/>
        </w:rPr>
        <w:t xml:space="preserve">Si a lo anterior subrayamos que debemos </w:t>
      </w:r>
      <w:r w:rsidRPr="00124191">
        <w:rPr>
          <w:rFonts w:ascii="Century Gothic" w:hAnsi="Century Gothic" w:cs="Arial"/>
          <w:bCs/>
          <w:i/>
        </w:rPr>
        <w:t>colocar a los niños en un lugar primordial en el que deben ser especialmente protegidos por su particular vulnerabilidad, al ser sujetos que empiezan la vida y se encuentran en situación de indefensión, que requieren de especial atención por parte de la familia, la sociedad y el Estado y sin cuya asistencia no podrían alcanzar el pleno y armonioso desarrollo de su personalidad</w:t>
      </w:r>
      <w:r w:rsidR="00124191">
        <w:rPr>
          <w:rStyle w:val="Refdenotaalpie"/>
          <w:rFonts w:ascii="Century Gothic" w:hAnsi="Century Gothic" w:cs="Arial"/>
          <w:bCs/>
          <w:i/>
        </w:rPr>
        <w:footnoteReference w:id="15"/>
      </w:r>
      <w:r w:rsidR="00124191">
        <w:rPr>
          <w:rFonts w:ascii="Century Gothic" w:hAnsi="Century Gothic" w:cs="Arial"/>
          <w:bCs/>
        </w:rPr>
        <w:t xml:space="preserve">, nos daremos cuenta de que debemos aumentar las penas del delito de estupro. </w:t>
      </w:r>
    </w:p>
    <w:p w14:paraId="0E77BEB3" w14:textId="77777777" w:rsidR="00124191" w:rsidRDefault="00124191" w:rsidP="00B071FC">
      <w:pPr>
        <w:spacing w:line="360" w:lineRule="auto"/>
        <w:ind w:right="335"/>
        <w:jc w:val="both"/>
        <w:rPr>
          <w:rFonts w:ascii="Century Gothic" w:hAnsi="Century Gothic" w:cs="Arial"/>
          <w:bCs/>
        </w:rPr>
      </w:pPr>
    </w:p>
    <w:p w14:paraId="49C0A65B" w14:textId="167B41BE" w:rsidR="00124191" w:rsidRPr="00124191" w:rsidRDefault="00124191" w:rsidP="00124191">
      <w:pPr>
        <w:spacing w:line="360" w:lineRule="auto"/>
        <w:ind w:right="335"/>
        <w:jc w:val="both"/>
        <w:rPr>
          <w:rFonts w:ascii="Century Gothic" w:hAnsi="Century Gothic" w:cs="Arial"/>
          <w:bCs/>
          <w:lang w:val="es-MX"/>
        </w:rPr>
      </w:pPr>
      <w:r>
        <w:rPr>
          <w:rFonts w:ascii="Century Gothic" w:hAnsi="Century Gothic" w:cs="Arial"/>
          <w:bCs/>
        </w:rPr>
        <w:t>Y para ello, es decir, p</w:t>
      </w:r>
      <w:r w:rsidRPr="00124191">
        <w:rPr>
          <w:rFonts w:ascii="Century Gothic" w:hAnsi="Century Gothic" w:cs="Arial"/>
          <w:bCs/>
        </w:rPr>
        <w:t xml:space="preserve">ara determinar la proporcionalidad de las penas debemos </w:t>
      </w:r>
      <w:r w:rsidRPr="00124191">
        <w:rPr>
          <w:rFonts w:ascii="Century Gothic" w:hAnsi="Century Gothic" w:cs="Arial"/>
          <w:bCs/>
          <w:lang w:val="es-MX"/>
        </w:rPr>
        <w:t xml:space="preserve">partir de lo que la Primera Sala de la SCJN ha establecido: </w:t>
      </w:r>
      <w:r w:rsidRPr="00124191">
        <w:rPr>
          <w:rFonts w:ascii="Century Gothic" w:hAnsi="Century Gothic" w:cs="Arial"/>
          <w:bCs/>
          <w:i/>
          <w:lang w:val="es-MX"/>
        </w:rPr>
        <w:t>La gravedad de la pena debe ser proporcional a la del hecho antijurídico y del grado de afectación al bien jurídico protegido; de manera que las penas más graves deben dirigirse a los tipos penales que protegen los bienes jurídicos más importantes</w:t>
      </w:r>
      <w:r w:rsidRPr="00124191">
        <w:rPr>
          <w:rFonts w:ascii="Century Gothic" w:hAnsi="Century Gothic" w:cs="Arial"/>
          <w:bCs/>
          <w:lang w:val="es-MX"/>
        </w:rPr>
        <w:t>.</w:t>
      </w:r>
      <w:r w:rsidRPr="00124191">
        <w:rPr>
          <w:rFonts w:ascii="Century Gothic" w:hAnsi="Century Gothic" w:cs="Arial"/>
          <w:bCs/>
          <w:vertAlign w:val="superscript"/>
          <w:lang w:val="es-MX"/>
        </w:rPr>
        <w:footnoteReference w:id="16"/>
      </w:r>
    </w:p>
    <w:p w14:paraId="7EBAC26D" w14:textId="77777777" w:rsidR="00124191" w:rsidRPr="00124191" w:rsidRDefault="00124191" w:rsidP="00124191">
      <w:pPr>
        <w:spacing w:line="360" w:lineRule="auto"/>
        <w:ind w:right="335"/>
        <w:jc w:val="both"/>
        <w:rPr>
          <w:rFonts w:ascii="Century Gothic" w:hAnsi="Century Gothic" w:cs="Arial"/>
          <w:bCs/>
          <w:lang w:val="es-MX"/>
        </w:rPr>
      </w:pPr>
    </w:p>
    <w:p w14:paraId="5DC1D9D7" w14:textId="77777777" w:rsidR="00124191" w:rsidRPr="00124191" w:rsidRDefault="00124191" w:rsidP="00124191">
      <w:pPr>
        <w:spacing w:line="360" w:lineRule="auto"/>
        <w:ind w:right="335"/>
        <w:jc w:val="both"/>
        <w:rPr>
          <w:rFonts w:ascii="Century Gothic" w:hAnsi="Century Gothic" w:cs="Arial"/>
          <w:bCs/>
          <w:lang w:val="es-MX"/>
        </w:rPr>
      </w:pPr>
      <w:r w:rsidRPr="00124191">
        <w:rPr>
          <w:rFonts w:ascii="Century Gothic" w:hAnsi="Century Gothic" w:cs="Arial"/>
          <w:bCs/>
          <w:lang w:val="es-MX"/>
        </w:rPr>
        <w:t xml:space="preserve">De lo contrario estaríamos vulnerando el contenido del artículo 22 de la Constitución Política de los Estados Unidos Mexicanos, al no guardar proporcionalidad, de acuerdo al último enunciado del precepto que estipula: </w:t>
      </w:r>
      <w:r w:rsidRPr="00124191">
        <w:rPr>
          <w:rFonts w:ascii="Century Gothic" w:hAnsi="Century Gothic" w:cs="Arial"/>
          <w:bCs/>
          <w:i/>
          <w:iCs/>
          <w:lang w:val="es-MX"/>
        </w:rPr>
        <w:t xml:space="preserve">… </w:t>
      </w:r>
      <w:r w:rsidRPr="00124191">
        <w:rPr>
          <w:rFonts w:ascii="Century Gothic" w:hAnsi="Century Gothic" w:cs="Arial"/>
          <w:bCs/>
          <w:i/>
          <w:iCs/>
        </w:rPr>
        <w:t>Toda pena deberá ser proporcional al delito que sancione y al bien jurídico afectado</w:t>
      </w:r>
      <w:r w:rsidRPr="00124191">
        <w:rPr>
          <w:rFonts w:ascii="Century Gothic" w:hAnsi="Century Gothic" w:cs="Arial"/>
          <w:bCs/>
        </w:rPr>
        <w:t>.</w:t>
      </w:r>
    </w:p>
    <w:p w14:paraId="70CEEBE3" w14:textId="77777777" w:rsidR="00124191" w:rsidRPr="00124191" w:rsidRDefault="00124191" w:rsidP="00124191">
      <w:pPr>
        <w:spacing w:line="360" w:lineRule="auto"/>
        <w:ind w:right="335"/>
        <w:jc w:val="both"/>
        <w:rPr>
          <w:rFonts w:ascii="Century Gothic" w:hAnsi="Century Gothic" w:cs="Arial"/>
          <w:bCs/>
          <w:lang w:val="es-MX"/>
        </w:rPr>
      </w:pPr>
    </w:p>
    <w:p w14:paraId="4D3C5B0D" w14:textId="77777777" w:rsidR="00124191" w:rsidRPr="00124191" w:rsidRDefault="00124191" w:rsidP="00124191">
      <w:pPr>
        <w:spacing w:line="360" w:lineRule="auto"/>
        <w:ind w:right="335"/>
        <w:jc w:val="both"/>
        <w:rPr>
          <w:rFonts w:ascii="Century Gothic" w:hAnsi="Century Gothic" w:cs="Arial"/>
          <w:bCs/>
          <w:lang w:val="es-MX"/>
        </w:rPr>
      </w:pPr>
      <w:r w:rsidRPr="00124191">
        <w:rPr>
          <w:rFonts w:ascii="Century Gothic" w:hAnsi="Century Gothic" w:cs="Arial"/>
          <w:bCs/>
          <w:lang w:val="es-MX"/>
        </w:rPr>
        <w:t>Lo anterior representa una obligación al legislativo, para que, al momento de establecer una pena, este atienda (a) la importancia del bien jurídico protegido, (b) la intensidad del ataque, es decir, el grado en el que resulta lesionado o puesto en peligro el bien protegido y (c) el grado de responsabilidad subjetiva, esto es, si fue doloso o culposo.</w:t>
      </w:r>
      <w:r w:rsidRPr="00124191">
        <w:rPr>
          <w:rFonts w:ascii="Century Gothic" w:hAnsi="Century Gothic" w:cs="Arial"/>
          <w:bCs/>
          <w:vertAlign w:val="superscript"/>
          <w:lang w:val="es-MX"/>
        </w:rPr>
        <w:footnoteReference w:id="17"/>
      </w:r>
      <w:r w:rsidRPr="00124191">
        <w:rPr>
          <w:rFonts w:ascii="Century Gothic" w:hAnsi="Century Gothic" w:cs="Arial"/>
          <w:bCs/>
          <w:lang w:val="es-MX"/>
        </w:rPr>
        <w:t xml:space="preserve">  </w:t>
      </w:r>
    </w:p>
    <w:p w14:paraId="22DB98A5" w14:textId="058234F2" w:rsidR="00124191" w:rsidRDefault="00124191" w:rsidP="00B071FC">
      <w:pPr>
        <w:spacing w:line="360" w:lineRule="auto"/>
        <w:ind w:right="335"/>
        <w:jc w:val="both"/>
        <w:rPr>
          <w:rFonts w:ascii="Century Gothic" w:hAnsi="Century Gothic" w:cs="Arial"/>
          <w:bCs/>
        </w:rPr>
      </w:pPr>
    </w:p>
    <w:p w14:paraId="1195D604" w14:textId="4AB134EB" w:rsidR="00124191" w:rsidRDefault="00124191" w:rsidP="00B071FC">
      <w:pPr>
        <w:spacing w:line="360" w:lineRule="auto"/>
        <w:ind w:right="335"/>
        <w:jc w:val="both"/>
        <w:rPr>
          <w:rFonts w:ascii="Century Gothic" w:hAnsi="Century Gothic" w:cs="Arial"/>
          <w:bCs/>
        </w:rPr>
      </w:pPr>
      <w:r>
        <w:rPr>
          <w:rFonts w:ascii="Century Gothic" w:hAnsi="Century Gothic" w:cs="Arial"/>
          <w:bCs/>
        </w:rPr>
        <w:t>Y en el caso que nos ocupa, si bien el consentimiento para la relación sexual fue otorgado por parte de la víctima, este se encuentra viciado, y recordemos que se trata de una persona adolescente, por ende la importancia que guarda</w:t>
      </w:r>
      <w:r w:rsidRPr="00124191">
        <w:rPr>
          <w:rFonts w:ascii="Century Gothic" w:hAnsi="Century Gothic" w:cs="Arial"/>
          <w:bCs/>
        </w:rPr>
        <w:t xml:space="preserve"> la libertad y e</w:t>
      </w:r>
      <w:r>
        <w:rPr>
          <w:rFonts w:ascii="Century Gothic" w:hAnsi="Century Gothic" w:cs="Arial"/>
          <w:bCs/>
        </w:rPr>
        <w:t xml:space="preserve">l normal desarrollo psicosexual, a la luz del interés superior del niño. </w:t>
      </w:r>
    </w:p>
    <w:p w14:paraId="37C2AB34" w14:textId="77777777" w:rsidR="00184D38" w:rsidRDefault="003167C5" w:rsidP="00F11683">
      <w:pPr>
        <w:spacing w:line="360" w:lineRule="auto"/>
        <w:ind w:right="335"/>
        <w:jc w:val="both"/>
        <w:rPr>
          <w:rFonts w:ascii="Century Gothic" w:hAnsi="Century Gothic" w:cs="Arial"/>
          <w:lang w:val="es-MX"/>
        </w:rPr>
      </w:pPr>
      <w:r>
        <w:rPr>
          <w:rFonts w:ascii="Century Gothic" w:hAnsi="Century Gothic" w:cs="Arial"/>
          <w:lang w:val="es-MX"/>
        </w:rPr>
        <w:t xml:space="preserve">  </w:t>
      </w:r>
    </w:p>
    <w:p w14:paraId="05170190" w14:textId="77777777" w:rsidR="00A6727E" w:rsidRDefault="00A6727E" w:rsidP="00F11683">
      <w:pPr>
        <w:spacing w:line="360" w:lineRule="auto"/>
        <w:ind w:right="335"/>
        <w:jc w:val="both"/>
        <w:rPr>
          <w:rFonts w:ascii="Century Gothic" w:hAnsi="Century Gothic" w:cs="Arial"/>
          <w:lang w:val="es-MX"/>
        </w:rPr>
      </w:pPr>
      <w:r>
        <w:rPr>
          <w:rFonts w:ascii="Century Gothic" w:hAnsi="Century Gothic" w:cs="Arial"/>
          <w:lang w:val="es-MX"/>
        </w:rPr>
        <w:t xml:space="preserve">Por ello accedemos a la pretensión de la iniciativa tal y como se muestra en el siguiente cuadro comparativo: </w:t>
      </w:r>
    </w:p>
    <w:p w14:paraId="49C44AB9" w14:textId="77777777" w:rsidR="00A6727E" w:rsidRDefault="00A6727E" w:rsidP="00F11683">
      <w:pPr>
        <w:spacing w:line="360" w:lineRule="auto"/>
        <w:ind w:right="335"/>
        <w:jc w:val="both"/>
        <w:rPr>
          <w:rFonts w:ascii="Century Gothic" w:hAnsi="Century Gothic" w:cs="Arial"/>
          <w:lang w:val="es-MX"/>
        </w:rPr>
      </w:pPr>
    </w:p>
    <w:p w14:paraId="270932A0" w14:textId="77777777" w:rsidR="00A6727E" w:rsidRDefault="00A6727E" w:rsidP="00F11683">
      <w:pPr>
        <w:spacing w:line="360" w:lineRule="auto"/>
        <w:ind w:right="335"/>
        <w:jc w:val="both"/>
        <w:rPr>
          <w:rFonts w:ascii="Century Gothic" w:hAnsi="Century Gothic" w:cs="Arial"/>
          <w:lang w:val="es-MX"/>
        </w:rPr>
      </w:pPr>
      <w:r>
        <w:rPr>
          <w:rFonts w:ascii="Century Gothic" w:hAnsi="Century Gothic" w:cs="Arial"/>
          <w:lang w:val="es-MX"/>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A6727E" w:rsidRPr="00A6727E" w14:paraId="10F240EC" w14:textId="77777777" w:rsidTr="003069E1">
        <w:tc>
          <w:tcPr>
            <w:tcW w:w="8978" w:type="dxa"/>
            <w:gridSpan w:val="2"/>
            <w:shd w:val="clear" w:color="auto" w:fill="auto"/>
          </w:tcPr>
          <w:p w14:paraId="26E7E697" w14:textId="77777777" w:rsidR="00A6727E" w:rsidRPr="00A6727E" w:rsidRDefault="00A6727E" w:rsidP="00A6727E">
            <w:pPr>
              <w:spacing w:line="360" w:lineRule="auto"/>
              <w:jc w:val="center"/>
              <w:rPr>
                <w:rFonts w:ascii="Century Gothic" w:eastAsia="Calibri" w:hAnsi="Century Gothic"/>
                <w:lang w:val="es-MX" w:eastAsia="en-US"/>
              </w:rPr>
            </w:pPr>
            <w:r w:rsidRPr="00A6727E">
              <w:rPr>
                <w:rFonts w:ascii="Century Gothic" w:eastAsia="Calibri" w:hAnsi="Century Gothic"/>
                <w:lang w:val="es-MX" w:eastAsia="en-US"/>
              </w:rPr>
              <w:t>Código Penal</w:t>
            </w:r>
          </w:p>
          <w:p w14:paraId="2985E6C1" w14:textId="77777777" w:rsidR="00A6727E" w:rsidRPr="00A6727E" w:rsidRDefault="00A6727E" w:rsidP="00A6727E">
            <w:pPr>
              <w:spacing w:line="360" w:lineRule="auto"/>
              <w:jc w:val="center"/>
              <w:rPr>
                <w:rFonts w:ascii="Century Gothic" w:eastAsia="Calibri" w:hAnsi="Century Gothic"/>
                <w:lang w:val="es-MX" w:eastAsia="en-US"/>
              </w:rPr>
            </w:pPr>
            <w:r w:rsidRPr="00A6727E">
              <w:rPr>
                <w:rFonts w:ascii="Century Gothic" w:eastAsia="Calibri" w:hAnsi="Century Gothic"/>
                <w:lang w:val="es-MX" w:eastAsia="en-US"/>
              </w:rPr>
              <w:t>Estupro</w:t>
            </w:r>
          </w:p>
        </w:tc>
      </w:tr>
      <w:tr w:rsidR="00A6727E" w:rsidRPr="00A6727E" w14:paraId="58E3EBDD" w14:textId="77777777" w:rsidTr="003069E1">
        <w:tc>
          <w:tcPr>
            <w:tcW w:w="4489" w:type="dxa"/>
            <w:shd w:val="clear" w:color="auto" w:fill="auto"/>
          </w:tcPr>
          <w:p w14:paraId="38B16A29" w14:textId="477F5CCD" w:rsidR="00A6727E" w:rsidRPr="00A6727E" w:rsidRDefault="00A6727E" w:rsidP="00A6727E">
            <w:pPr>
              <w:spacing w:line="360" w:lineRule="auto"/>
              <w:jc w:val="center"/>
              <w:rPr>
                <w:rFonts w:ascii="Century Gothic" w:eastAsia="Calibri" w:hAnsi="Century Gothic"/>
                <w:lang w:val="es-MX" w:eastAsia="en-US"/>
              </w:rPr>
            </w:pPr>
            <w:r w:rsidRPr="00A6727E">
              <w:rPr>
                <w:rFonts w:ascii="Century Gothic" w:eastAsia="Calibri" w:hAnsi="Century Gothic"/>
                <w:lang w:val="es-MX" w:eastAsia="en-US"/>
              </w:rPr>
              <w:t>Vigente</w:t>
            </w:r>
          </w:p>
        </w:tc>
        <w:tc>
          <w:tcPr>
            <w:tcW w:w="4489" w:type="dxa"/>
            <w:shd w:val="clear" w:color="auto" w:fill="auto"/>
          </w:tcPr>
          <w:p w14:paraId="09428B3A" w14:textId="7C1808B9" w:rsidR="00A6727E" w:rsidRPr="00A6727E" w:rsidRDefault="00A6727E" w:rsidP="00A6727E">
            <w:pPr>
              <w:spacing w:line="360" w:lineRule="auto"/>
              <w:jc w:val="center"/>
              <w:rPr>
                <w:rFonts w:ascii="Century Gothic" w:eastAsia="Calibri" w:hAnsi="Century Gothic"/>
                <w:lang w:val="es-MX" w:eastAsia="en-US"/>
              </w:rPr>
            </w:pPr>
            <w:r>
              <w:rPr>
                <w:rFonts w:ascii="Century Gothic" w:eastAsia="Calibri" w:hAnsi="Century Gothic"/>
                <w:lang w:val="es-MX" w:eastAsia="en-US"/>
              </w:rPr>
              <w:t>Iniciativa/Dictamen</w:t>
            </w:r>
          </w:p>
        </w:tc>
      </w:tr>
      <w:tr w:rsidR="00A6727E" w:rsidRPr="00A6727E" w14:paraId="28B15210" w14:textId="77777777" w:rsidTr="003069E1">
        <w:tc>
          <w:tcPr>
            <w:tcW w:w="4489" w:type="dxa"/>
            <w:shd w:val="clear" w:color="auto" w:fill="auto"/>
          </w:tcPr>
          <w:p w14:paraId="3ADC552D" w14:textId="77777777" w:rsidR="00A6727E" w:rsidRPr="00A6727E" w:rsidRDefault="00A6727E" w:rsidP="00A6727E">
            <w:pPr>
              <w:spacing w:line="360" w:lineRule="auto"/>
              <w:jc w:val="both"/>
              <w:rPr>
                <w:rFonts w:ascii="Century Gothic" w:eastAsia="Calibri" w:hAnsi="Century Gothic"/>
                <w:lang w:val="es-MX" w:eastAsia="en-US"/>
              </w:rPr>
            </w:pPr>
          </w:p>
          <w:p w14:paraId="31BC7BA9" w14:textId="77777777" w:rsidR="00A6727E" w:rsidRPr="00A6727E" w:rsidRDefault="00A6727E" w:rsidP="00A6727E">
            <w:pPr>
              <w:spacing w:line="360" w:lineRule="auto"/>
              <w:jc w:val="both"/>
              <w:rPr>
                <w:rFonts w:ascii="Century Gothic" w:eastAsia="Calibri" w:hAnsi="Century Gothic"/>
                <w:lang w:val="es-MX" w:eastAsia="en-US"/>
              </w:rPr>
            </w:pPr>
            <w:r w:rsidRPr="00A6727E">
              <w:rPr>
                <w:rFonts w:ascii="Century Gothic" w:eastAsia="Calibri" w:hAnsi="Century Gothic"/>
                <w:lang w:val="es-MX" w:eastAsia="en-US"/>
              </w:rPr>
              <w:t xml:space="preserve">Artículo 177. A quien tenga cópula con persona mayor de catorce y menor de dieciocho años, obteniendo su consentimiento por medio de cualquier tipo de engaño, se le impondrá de </w:t>
            </w:r>
            <w:r w:rsidRPr="00A6727E">
              <w:rPr>
                <w:rFonts w:ascii="Century Gothic" w:eastAsia="Calibri" w:hAnsi="Century Gothic"/>
                <w:u w:val="single"/>
                <w:lang w:val="es-MX" w:eastAsia="en-US"/>
              </w:rPr>
              <w:t>uno</w:t>
            </w:r>
            <w:r w:rsidRPr="00A6727E">
              <w:rPr>
                <w:rFonts w:ascii="Century Gothic" w:eastAsia="Calibri" w:hAnsi="Century Gothic"/>
                <w:lang w:val="es-MX" w:eastAsia="en-US"/>
              </w:rPr>
              <w:t xml:space="preserve"> a </w:t>
            </w:r>
            <w:r w:rsidRPr="00A6727E">
              <w:rPr>
                <w:rFonts w:ascii="Century Gothic" w:eastAsia="Calibri" w:hAnsi="Century Gothic"/>
                <w:u w:val="single"/>
                <w:lang w:val="es-MX" w:eastAsia="en-US"/>
              </w:rPr>
              <w:t>cuatro</w:t>
            </w:r>
            <w:r w:rsidRPr="00A6727E">
              <w:rPr>
                <w:rFonts w:ascii="Century Gothic" w:eastAsia="Calibri" w:hAnsi="Century Gothic"/>
                <w:lang w:val="es-MX" w:eastAsia="en-US"/>
              </w:rPr>
              <w:t xml:space="preserve"> años de prisión y multa de treinta a ochenta veces el valor diario de la Unidad de Medida y Actualización.</w:t>
            </w:r>
          </w:p>
        </w:tc>
        <w:tc>
          <w:tcPr>
            <w:tcW w:w="4489" w:type="dxa"/>
            <w:shd w:val="clear" w:color="auto" w:fill="auto"/>
          </w:tcPr>
          <w:p w14:paraId="26E0D3D8" w14:textId="77777777" w:rsidR="00A6727E" w:rsidRPr="00A6727E" w:rsidRDefault="00A6727E" w:rsidP="00A6727E">
            <w:pPr>
              <w:spacing w:line="360" w:lineRule="auto"/>
              <w:jc w:val="both"/>
              <w:rPr>
                <w:rFonts w:ascii="Century Gothic" w:eastAsia="Calibri" w:hAnsi="Century Gothic"/>
                <w:lang w:val="es-MX" w:eastAsia="en-US"/>
              </w:rPr>
            </w:pPr>
          </w:p>
          <w:p w14:paraId="1CEF703B" w14:textId="4113A2C2" w:rsidR="00A6727E" w:rsidRPr="00A6727E" w:rsidRDefault="00A6727E" w:rsidP="00A6727E">
            <w:pPr>
              <w:spacing w:line="360" w:lineRule="auto"/>
              <w:jc w:val="both"/>
              <w:rPr>
                <w:rFonts w:ascii="Century Gothic" w:eastAsia="Calibri" w:hAnsi="Century Gothic"/>
                <w:lang w:val="es-MX" w:eastAsia="en-US"/>
              </w:rPr>
            </w:pPr>
            <w:r w:rsidRPr="00A6727E">
              <w:rPr>
                <w:rFonts w:ascii="Century Gothic" w:eastAsia="Calibri" w:hAnsi="Century Gothic"/>
                <w:lang w:val="es-ES_tradnl" w:eastAsia="en-US"/>
              </w:rPr>
              <w:t xml:space="preserve">Artículo 177. A quien tenga copula con persona mayor de catorce y menor de dieciocho años, obteniendo su consentimiento por medio de cualquier tipo de engaño, se le impondrá de </w:t>
            </w:r>
            <w:r w:rsidRPr="00A6727E">
              <w:rPr>
                <w:rFonts w:ascii="Century Gothic" w:eastAsia="Calibri" w:hAnsi="Century Gothic"/>
                <w:b/>
                <w:bCs/>
                <w:i/>
                <w:lang w:val="es-ES_tradnl" w:eastAsia="en-US"/>
              </w:rPr>
              <w:t>dos</w:t>
            </w:r>
            <w:r w:rsidRPr="00A6727E">
              <w:rPr>
                <w:rFonts w:ascii="Century Gothic" w:eastAsia="Calibri" w:hAnsi="Century Gothic"/>
                <w:lang w:val="es-ES_tradnl" w:eastAsia="en-US"/>
              </w:rPr>
              <w:t xml:space="preserve"> a </w:t>
            </w:r>
            <w:r w:rsidRPr="00A6727E">
              <w:rPr>
                <w:rFonts w:ascii="Century Gothic" w:eastAsia="Calibri" w:hAnsi="Century Gothic"/>
                <w:b/>
                <w:bCs/>
                <w:i/>
                <w:lang w:val="es-ES_tradnl" w:eastAsia="en-US"/>
              </w:rPr>
              <w:t>seis</w:t>
            </w:r>
            <w:r w:rsidRPr="00A6727E">
              <w:rPr>
                <w:rFonts w:ascii="Century Gothic" w:eastAsia="Calibri" w:hAnsi="Century Gothic"/>
                <w:lang w:val="es-ES_tradnl" w:eastAsia="en-US"/>
              </w:rPr>
              <w:t xml:space="preserve"> años de prisión y multa de treinta a ochenta veces el Valor Diario De Unidad De Medida Y Actualización.</w:t>
            </w:r>
          </w:p>
        </w:tc>
      </w:tr>
    </w:tbl>
    <w:p w14:paraId="01057B02" w14:textId="228D6FDD" w:rsidR="00A6727E" w:rsidRDefault="00A6727E" w:rsidP="00F11683">
      <w:pPr>
        <w:spacing w:line="360" w:lineRule="auto"/>
        <w:ind w:right="335"/>
        <w:jc w:val="both"/>
        <w:rPr>
          <w:rFonts w:ascii="Century Gothic" w:hAnsi="Century Gothic" w:cs="Arial"/>
          <w:lang w:val="es-MX"/>
        </w:rPr>
      </w:pPr>
    </w:p>
    <w:p w14:paraId="5ABF3E16" w14:textId="422ECAEC" w:rsidR="0014239A" w:rsidRPr="0014239A" w:rsidRDefault="00F92C06" w:rsidP="00F11683">
      <w:pPr>
        <w:spacing w:line="360" w:lineRule="auto"/>
        <w:ind w:right="335"/>
        <w:jc w:val="both"/>
        <w:rPr>
          <w:rFonts w:ascii="Century Gothic" w:hAnsi="Century Gothic" w:cs="Arial"/>
          <w:bCs/>
        </w:rPr>
      </w:pPr>
      <w:r>
        <w:rPr>
          <w:rFonts w:ascii="Century Gothic" w:hAnsi="Century Gothic" w:cs="Arial"/>
          <w:lang w:val="es-MX"/>
        </w:rPr>
        <w:t xml:space="preserve"> </w:t>
      </w:r>
      <w:r w:rsidR="005525CC">
        <w:rPr>
          <w:rFonts w:ascii="Century Gothic" w:hAnsi="Century Gothic" w:cs="Arial"/>
          <w:bCs/>
        </w:rPr>
        <w:t>E</w:t>
      </w:r>
      <w:r w:rsidR="00316196">
        <w:rPr>
          <w:rFonts w:ascii="Century Gothic" w:hAnsi="Century Gothic" w:cs="Arial"/>
          <w:bCs/>
        </w:rPr>
        <w:t xml:space="preserve">n base a todo lo expuesto, </w:t>
      </w:r>
      <w:r w:rsidR="0014239A" w:rsidRPr="0014239A">
        <w:rPr>
          <w:rFonts w:ascii="Century Gothic" w:hAnsi="Century Gothic" w:cs="Arial"/>
          <w:bCs/>
        </w:rPr>
        <w:t>la Comisión de Justicia, somete a la consideración del Pleno el siguiente proyecto de:</w:t>
      </w:r>
    </w:p>
    <w:p w14:paraId="75BDAE60" w14:textId="77777777" w:rsidR="0014239A" w:rsidRPr="00F11683" w:rsidRDefault="0014239A" w:rsidP="0014239A">
      <w:pPr>
        <w:pStyle w:val="Normal1"/>
        <w:tabs>
          <w:tab w:val="left" w:pos="993"/>
        </w:tabs>
        <w:spacing w:line="360" w:lineRule="auto"/>
        <w:jc w:val="center"/>
        <w:rPr>
          <w:rFonts w:ascii="Century Gothic" w:eastAsia="Arial" w:hAnsi="Century Gothic" w:cs="Arial"/>
          <w:b/>
          <w:sz w:val="22"/>
          <w:szCs w:val="22"/>
        </w:rPr>
      </w:pPr>
    </w:p>
    <w:p w14:paraId="08D797A8" w14:textId="0BE6FAB6" w:rsidR="0014239A" w:rsidRDefault="00B141D5" w:rsidP="0014239A">
      <w:pPr>
        <w:pStyle w:val="Normal1"/>
        <w:tabs>
          <w:tab w:val="left" w:pos="993"/>
        </w:tabs>
        <w:spacing w:line="360" w:lineRule="auto"/>
        <w:jc w:val="center"/>
        <w:rPr>
          <w:rFonts w:ascii="Century Gothic" w:eastAsia="Arial" w:hAnsi="Century Gothic" w:cs="Arial"/>
          <w:b/>
          <w:sz w:val="28"/>
        </w:rPr>
      </w:pPr>
      <w:r>
        <w:rPr>
          <w:rFonts w:ascii="Century Gothic" w:eastAsia="Arial" w:hAnsi="Century Gothic" w:cs="Arial"/>
          <w:b/>
          <w:sz w:val="28"/>
        </w:rPr>
        <w:t xml:space="preserve">D E C R E T O </w:t>
      </w:r>
    </w:p>
    <w:p w14:paraId="774CF335" w14:textId="77777777" w:rsidR="00747586" w:rsidRDefault="00747586" w:rsidP="00747586">
      <w:pPr>
        <w:pStyle w:val="Normal1"/>
        <w:tabs>
          <w:tab w:val="left" w:pos="993"/>
        </w:tabs>
        <w:spacing w:line="360" w:lineRule="auto"/>
        <w:jc w:val="both"/>
        <w:rPr>
          <w:rFonts w:ascii="Century Gothic" w:eastAsia="Arial" w:hAnsi="Century Gothic" w:cs="Arial"/>
          <w:b/>
          <w:sz w:val="28"/>
        </w:rPr>
      </w:pPr>
    </w:p>
    <w:p w14:paraId="5E1B1E01" w14:textId="3410DDC9" w:rsidR="00747586" w:rsidRPr="00747586" w:rsidRDefault="00747586" w:rsidP="00747586">
      <w:pPr>
        <w:pStyle w:val="Normal1"/>
        <w:tabs>
          <w:tab w:val="left" w:pos="993"/>
        </w:tabs>
        <w:spacing w:line="360" w:lineRule="auto"/>
        <w:jc w:val="both"/>
        <w:rPr>
          <w:rFonts w:ascii="Century Gothic" w:eastAsia="Arial" w:hAnsi="Century Gothic" w:cs="Arial"/>
        </w:rPr>
      </w:pPr>
      <w:r>
        <w:rPr>
          <w:rFonts w:ascii="Century Gothic" w:eastAsia="Arial" w:hAnsi="Century Gothic" w:cs="Arial"/>
          <w:b/>
          <w:sz w:val="28"/>
        </w:rPr>
        <w:t xml:space="preserve">ARTÍCULO ÚNICO.- </w:t>
      </w:r>
      <w:r>
        <w:rPr>
          <w:rFonts w:ascii="Century Gothic" w:eastAsia="Arial" w:hAnsi="Century Gothic" w:cs="Arial"/>
        </w:rPr>
        <w:t xml:space="preserve">Se reforma el artículo 177, primer párrafo; del Código Penal del Estado de Chihuahua, para quedar redactado </w:t>
      </w:r>
      <w:r w:rsidR="00E668ED">
        <w:rPr>
          <w:rFonts w:ascii="Century Gothic" w:eastAsia="Arial" w:hAnsi="Century Gothic" w:cs="Arial"/>
        </w:rPr>
        <w:t>de la siguiente forma:</w:t>
      </w:r>
      <w:r>
        <w:rPr>
          <w:rFonts w:ascii="Century Gothic" w:eastAsia="Arial" w:hAnsi="Century Gothic" w:cs="Arial"/>
        </w:rPr>
        <w:t xml:space="preserve"> </w:t>
      </w:r>
    </w:p>
    <w:p w14:paraId="447947B3" w14:textId="7BC06CA0" w:rsidR="00F7750D" w:rsidRDefault="00F7750D" w:rsidP="002377E1">
      <w:pPr>
        <w:spacing w:line="360" w:lineRule="auto"/>
        <w:jc w:val="both"/>
        <w:rPr>
          <w:rFonts w:ascii="Century Gothic" w:eastAsia="Arial" w:hAnsi="Century Gothic" w:cs="Arial"/>
          <w:b/>
          <w:sz w:val="28"/>
          <w:szCs w:val="28"/>
        </w:rPr>
      </w:pPr>
    </w:p>
    <w:p w14:paraId="1D113B9A" w14:textId="77777777" w:rsidR="00A6727E" w:rsidRDefault="00A6727E" w:rsidP="002377E1">
      <w:pPr>
        <w:spacing w:line="360" w:lineRule="auto"/>
        <w:jc w:val="both"/>
        <w:rPr>
          <w:rFonts w:ascii="Century Gothic" w:hAnsi="Century Gothic"/>
          <w:lang w:val="es-MX"/>
        </w:rPr>
      </w:pPr>
      <w:r w:rsidRPr="00A6727E">
        <w:rPr>
          <w:rFonts w:ascii="Century Gothic" w:hAnsi="Century Gothic"/>
          <w:b/>
          <w:lang w:val="es-MX"/>
        </w:rPr>
        <w:t>Artículo 177.</w:t>
      </w:r>
      <w:r w:rsidRPr="00A6727E">
        <w:rPr>
          <w:rFonts w:ascii="Century Gothic" w:hAnsi="Century Gothic"/>
          <w:lang w:val="es-MX"/>
        </w:rPr>
        <w:t xml:space="preserve"> </w:t>
      </w:r>
    </w:p>
    <w:p w14:paraId="678AE6C1" w14:textId="7836A8E0" w:rsidR="00824B3E" w:rsidRDefault="00A6727E" w:rsidP="002377E1">
      <w:pPr>
        <w:spacing w:line="360" w:lineRule="auto"/>
        <w:jc w:val="both"/>
        <w:rPr>
          <w:rFonts w:ascii="Century Gothic" w:hAnsi="Century Gothic"/>
          <w:lang w:val="es-MX"/>
        </w:rPr>
      </w:pPr>
      <w:r w:rsidRPr="00A6727E">
        <w:rPr>
          <w:rFonts w:ascii="Century Gothic" w:hAnsi="Century Gothic"/>
          <w:lang w:val="es-MX"/>
        </w:rPr>
        <w:t xml:space="preserve">A quien tenga cópula con persona mayor de catorce y menor de dieciocho años, obteniendo su consentimiento por medio de cualquier tipo de engaño, se le impondrá de </w:t>
      </w:r>
      <w:r w:rsidR="00E668ED" w:rsidRPr="00E668ED">
        <w:rPr>
          <w:rFonts w:ascii="Century Gothic" w:hAnsi="Century Gothic"/>
          <w:b/>
          <w:lang w:val="es-MX"/>
        </w:rPr>
        <w:t>dos</w:t>
      </w:r>
      <w:r w:rsidRPr="00A6727E">
        <w:rPr>
          <w:rFonts w:ascii="Century Gothic" w:hAnsi="Century Gothic"/>
          <w:lang w:val="es-MX"/>
        </w:rPr>
        <w:t xml:space="preserve"> a </w:t>
      </w:r>
      <w:r w:rsidR="00E668ED" w:rsidRPr="00E668ED">
        <w:rPr>
          <w:rFonts w:ascii="Century Gothic" w:hAnsi="Century Gothic"/>
          <w:b/>
          <w:lang w:val="es-MX"/>
        </w:rPr>
        <w:t>seis</w:t>
      </w:r>
      <w:r w:rsidRPr="00A6727E">
        <w:rPr>
          <w:rFonts w:ascii="Century Gothic" w:hAnsi="Century Gothic"/>
          <w:lang w:val="es-MX"/>
        </w:rPr>
        <w:t xml:space="preserve"> años de prisión y multa de treinta a ochenta veces el valor diario de la Unidad de Medida y Actualización.</w:t>
      </w:r>
    </w:p>
    <w:p w14:paraId="390AECE1" w14:textId="77777777" w:rsidR="00747586" w:rsidRDefault="00747586" w:rsidP="002377E1">
      <w:pPr>
        <w:spacing w:line="360" w:lineRule="auto"/>
        <w:jc w:val="both"/>
        <w:rPr>
          <w:rFonts w:ascii="Century Gothic" w:hAnsi="Century Gothic"/>
          <w:lang w:val="es-MX"/>
        </w:rPr>
      </w:pPr>
    </w:p>
    <w:p w14:paraId="732E3885" w14:textId="04EB3663" w:rsidR="00747586" w:rsidRDefault="00747586" w:rsidP="002377E1">
      <w:pPr>
        <w:spacing w:line="360" w:lineRule="auto"/>
        <w:jc w:val="both"/>
        <w:rPr>
          <w:rFonts w:ascii="Century Gothic" w:hAnsi="Century Gothic"/>
        </w:rPr>
      </w:pPr>
      <w:r>
        <w:rPr>
          <w:rFonts w:ascii="Century Gothic" w:hAnsi="Century Gothic"/>
          <w:lang w:val="es-MX"/>
        </w:rPr>
        <w:t>…</w:t>
      </w:r>
    </w:p>
    <w:p w14:paraId="198EAE5E" w14:textId="572F7A1A" w:rsidR="00426195" w:rsidRDefault="00426195" w:rsidP="00426195">
      <w:pPr>
        <w:spacing w:line="360" w:lineRule="auto"/>
        <w:jc w:val="center"/>
        <w:rPr>
          <w:rFonts w:ascii="Century Gothic" w:hAnsi="Century Gothic"/>
          <w:b/>
          <w:sz w:val="28"/>
          <w:szCs w:val="28"/>
        </w:rPr>
      </w:pPr>
      <w:r w:rsidRPr="00D44852">
        <w:rPr>
          <w:rFonts w:ascii="Century Gothic" w:hAnsi="Century Gothic"/>
          <w:b/>
          <w:sz w:val="28"/>
          <w:szCs w:val="28"/>
        </w:rPr>
        <w:t>T R A N S I T O R I O</w:t>
      </w:r>
      <w:r w:rsidR="00426F66">
        <w:rPr>
          <w:rFonts w:ascii="Century Gothic" w:hAnsi="Century Gothic"/>
          <w:b/>
          <w:sz w:val="28"/>
          <w:szCs w:val="28"/>
        </w:rPr>
        <w:t xml:space="preserve"> S</w:t>
      </w:r>
    </w:p>
    <w:p w14:paraId="11C418E1" w14:textId="77777777" w:rsidR="00426195" w:rsidRPr="001F3A0F" w:rsidRDefault="00426195" w:rsidP="00426195">
      <w:pPr>
        <w:spacing w:line="360" w:lineRule="auto"/>
        <w:jc w:val="center"/>
        <w:rPr>
          <w:rFonts w:ascii="Century Gothic" w:hAnsi="Century Gothic"/>
          <w:b/>
          <w:sz w:val="16"/>
          <w:szCs w:val="16"/>
        </w:rPr>
      </w:pPr>
    </w:p>
    <w:p w14:paraId="4ED53E88" w14:textId="4BC402E6" w:rsidR="00426F66" w:rsidRPr="00D03E82" w:rsidRDefault="00426F66" w:rsidP="00426F66">
      <w:pPr>
        <w:spacing w:line="360" w:lineRule="auto"/>
        <w:jc w:val="both"/>
        <w:rPr>
          <w:rFonts w:ascii="Century Gothic" w:eastAsia="Arial" w:hAnsi="Century Gothic" w:cs="Arial"/>
        </w:rPr>
      </w:pPr>
      <w:bookmarkStart w:id="0" w:name="_Hlk104035748"/>
      <w:r w:rsidRPr="00426F66">
        <w:rPr>
          <w:rFonts w:ascii="Century Gothic" w:eastAsia="Arial" w:hAnsi="Century Gothic" w:cs="Arial"/>
          <w:b/>
          <w:sz w:val="28"/>
          <w:szCs w:val="28"/>
        </w:rPr>
        <w:t xml:space="preserve">ARTÍCULO </w:t>
      </w:r>
      <w:bookmarkEnd w:id="0"/>
      <w:r w:rsidR="00E668ED">
        <w:rPr>
          <w:rFonts w:ascii="Century Gothic" w:eastAsia="Arial" w:hAnsi="Century Gothic" w:cs="Arial"/>
          <w:b/>
          <w:sz w:val="28"/>
          <w:szCs w:val="28"/>
        </w:rPr>
        <w:t xml:space="preserve">ÚNICO.- </w:t>
      </w:r>
      <w:r w:rsidR="00BD706B">
        <w:rPr>
          <w:rFonts w:ascii="Century Gothic" w:eastAsia="Arial" w:hAnsi="Century Gothic" w:cs="Arial"/>
        </w:rPr>
        <w:t>El presente D</w:t>
      </w:r>
      <w:r w:rsidRPr="00D03E82">
        <w:rPr>
          <w:rFonts w:ascii="Century Gothic" w:eastAsia="Arial" w:hAnsi="Century Gothic" w:cs="Arial"/>
        </w:rPr>
        <w:t>ecreto entrar</w:t>
      </w:r>
      <w:r>
        <w:rPr>
          <w:rFonts w:ascii="Century Gothic" w:eastAsia="Arial" w:hAnsi="Century Gothic" w:cs="Arial"/>
        </w:rPr>
        <w:t>á</w:t>
      </w:r>
      <w:r w:rsidRPr="00D03E82">
        <w:rPr>
          <w:rFonts w:ascii="Century Gothic" w:eastAsia="Arial" w:hAnsi="Century Gothic" w:cs="Arial"/>
        </w:rPr>
        <w:t xml:space="preserve"> en vigor </w:t>
      </w:r>
      <w:r>
        <w:rPr>
          <w:rFonts w:ascii="Century Gothic" w:eastAsia="Arial" w:hAnsi="Century Gothic" w:cs="Arial"/>
        </w:rPr>
        <w:t>al día siguiente</w:t>
      </w:r>
      <w:r w:rsidRPr="00D03E82">
        <w:rPr>
          <w:rFonts w:ascii="Century Gothic" w:eastAsia="Arial" w:hAnsi="Century Gothic" w:cs="Arial"/>
        </w:rPr>
        <w:t xml:space="preserve"> de su publicación en el Periódico Oficial del Estado. </w:t>
      </w:r>
    </w:p>
    <w:p w14:paraId="65CCCC8F" w14:textId="77777777" w:rsidR="00426F66" w:rsidRPr="00D03E82" w:rsidRDefault="00426F66" w:rsidP="00426F66">
      <w:pPr>
        <w:spacing w:line="360" w:lineRule="auto"/>
        <w:jc w:val="both"/>
        <w:rPr>
          <w:rFonts w:ascii="Century Gothic" w:eastAsia="Arial" w:hAnsi="Century Gothic" w:cs="Arial"/>
        </w:rPr>
      </w:pPr>
    </w:p>
    <w:p w14:paraId="2160654D" w14:textId="44540FCF" w:rsidR="0014239A" w:rsidRDefault="0014239A" w:rsidP="0014239A">
      <w:pPr>
        <w:spacing w:line="360" w:lineRule="auto"/>
        <w:jc w:val="both"/>
        <w:rPr>
          <w:rFonts w:ascii="Century Gothic" w:hAnsi="Century Gothic"/>
        </w:rPr>
      </w:pPr>
      <w:r w:rsidRPr="00426F66">
        <w:rPr>
          <w:rFonts w:ascii="Century Gothic" w:hAnsi="Century Gothic"/>
          <w:b/>
          <w:sz w:val="28"/>
          <w:szCs w:val="28"/>
        </w:rPr>
        <w:t>Económico.-</w:t>
      </w:r>
      <w:r w:rsidRPr="00426F66">
        <w:rPr>
          <w:rFonts w:ascii="Century Gothic" w:hAnsi="Century Gothic"/>
          <w:sz w:val="28"/>
          <w:szCs w:val="28"/>
        </w:rPr>
        <w:t xml:space="preserve"> </w:t>
      </w:r>
      <w:r w:rsidRPr="001C66B6">
        <w:rPr>
          <w:rFonts w:ascii="Century Gothic" w:hAnsi="Century Gothic"/>
        </w:rPr>
        <w:t>Aprobado que sea, túrnese a la Secretaría para los efectos legales correspondientes.</w:t>
      </w:r>
    </w:p>
    <w:p w14:paraId="0A1AF845" w14:textId="77777777" w:rsidR="0014239A" w:rsidRPr="005C4A3E" w:rsidRDefault="0014239A" w:rsidP="0014239A">
      <w:pPr>
        <w:spacing w:line="360" w:lineRule="auto"/>
        <w:jc w:val="both"/>
        <w:rPr>
          <w:rFonts w:ascii="Century Gothic" w:hAnsi="Century Gothic" w:cs="Arial"/>
        </w:rPr>
      </w:pPr>
    </w:p>
    <w:p w14:paraId="47B31282" w14:textId="7B882AC7" w:rsidR="0014239A" w:rsidRDefault="0014239A" w:rsidP="0014239A">
      <w:pPr>
        <w:spacing w:line="360" w:lineRule="auto"/>
        <w:jc w:val="both"/>
        <w:rPr>
          <w:rFonts w:ascii="Century Gothic" w:hAnsi="Century Gothic"/>
        </w:rPr>
      </w:pPr>
      <w:r w:rsidRPr="006618E1">
        <w:rPr>
          <w:rFonts w:ascii="Century Gothic" w:hAnsi="Century Gothic"/>
          <w:b/>
        </w:rPr>
        <w:t xml:space="preserve">D A D O </w:t>
      </w:r>
      <w:r w:rsidRPr="006618E1">
        <w:rPr>
          <w:rFonts w:ascii="Century Gothic" w:hAnsi="Century Gothic"/>
        </w:rPr>
        <w:t xml:space="preserve">en el Salón de Sesiones del Poder Legislativo, </w:t>
      </w:r>
      <w:r>
        <w:rPr>
          <w:rFonts w:ascii="Century Gothic" w:hAnsi="Century Gothic"/>
        </w:rPr>
        <w:t>en ciudad</w:t>
      </w:r>
      <w:r w:rsidR="00BD706B">
        <w:rPr>
          <w:rFonts w:ascii="Century Gothic" w:hAnsi="Century Gothic"/>
        </w:rPr>
        <w:t xml:space="preserve"> Juárez</w:t>
      </w:r>
      <w:r>
        <w:rPr>
          <w:rFonts w:ascii="Century Gothic" w:hAnsi="Century Gothic"/>
        </w:rPr>
        <w:t xml:space="preserve"> Chihuahua</w:t>
      </w:r>
      <w:r w:rsidRPr="006618E1">
        <w:rPr>
          <w:rFonts w:ascii="Century Gothic" w:hAnsi="Century Gothic"/>
        </w:rPr>
        <w:t xml:space="preserve">, a los </w:t>
      </w:r>
      <w:r w:rsidR="00B90436">
        <w:rPr>
          <w:rFonts w:ascii="Century Gothic" w:hAnsi="Century Gothic"/>
        </w:rPr>
        <w:t>31</w:t>
      </w:r>
      <w:r w:rsidRPr="006618E1">
        <w:rPr>
          <w:rFonts w:ascii="Century Gothic" w:hAnsi="Century Gothic"/>
        </w:rPr>
        <w:t xml:space="preserve"> días del mes de </w:t>
      </w:r>
      <w:r w:rsidR="00184D38">
        <w:rPr>
          <w:rFonts w:ascii="Century Gothic" w:hAnsi="Century Gothic"/>
        </w:rPr>
        <w:t>mayo</w:t>
      </w:r>
      <w:r w:rsidRPr="006618E1">
        <w:rPr>
          <w:rFonts w:ascii="Century Gothic" w:hAnsi="Century Gothic"/>
        </w:rPr>
        <w:t xml:space="preserve"> del año </w:t>
      </w:r>
      <w:r>
        <w:rPr>
          <w:rFonts w:ascii="Century Gothic" w:hAnsi="Century Gothic"/>
        </w:rPr>
        <w:t>20</w:t>
      </w:r>
      <w:r w:rsidR="007F6482">
        <w:rPr>
          <w:rFonts w:ascii="Century Gothic" w:hAnsi="Century Gothic"/>
        </w:rPr>
        <w:t>22</w:t>
      </w:r>
      <w:r>
        <w:rPr>
          <w:rFonts w:ascii="Century Gothic" w:hAnsi="Century Gothic"/>
        </w:rPr>
        <w:t>.</w:t>
      </w:r>
    </w:p>
    <w:p w14:paraId="09211992" w14:textId="77777777" w:rsidR="00BD706B" w:rsidRDefault="00BD706B" w:rsidP="00C52A9F">
      <w:pPr>
        <w:jc w:val="both"/>
        <w:rPr>
          <w:rFonts w:ascii="Century Gothic" w:eastAsia="Arial" w:hAnsi="Century Gothic" w:cs="Arial"/>
          <w:b/>
          <w:sz w:val="22"/>
          <w:szCs w:val="22"/>
          <w:lang w:val="es-MX" w:eastAsia="es-MX"/>
        </w:rPr>
      </w:pPr>
      <w:bookmarkStart w:id="1" w:name="_GoBack"/>
      <w:bookmarkEnd w:id="1"/>
    </w:p>
    <w:p w14:paraId="6A6F74EC" w14:textId="405B67D5" w:rsidR="00C52A9F" w:rsidRPr="00C52A9F" w:rsidRDefault="00C52A9F" w:rsidP="00C52A9F">
      <w:pPr>
        <w:jc w:val="both"/>
        <w:rPr>
          <w:rFonts w:ascii="Century Gothic" w:eastAsia="Arial" w:hAnsi="Century Gothic" w:cs="Arial"/>
          <w:b/>
          <w:sz w:val="22"/>
          <w:szCs w:val="22"/>
          <w:lang w:val="es-MX" w:eastAsia="es-MX"/>
        </w:rPr>
      </w:pPr>
      <w:r w:rsidRPr="00C52A9F">
        <w:rPr>
          <w:rFonts w:ascii="Century Gothic" w:eastAsia="Arial" w:hAnsi="Century Gothic" w:cs="Arial"/>
          <w:b/>
          <w:sz w:val="22"/>
          <w:szCs w:val="22"/>
          <w:lang w:val="es-MX" w:eastAsia="es-MX"/>
        </w:rPr>
        <w:t xml:space="preserve">Así lo aprobó la Comisión de Justicia, en la reunión de fecha </w:t>
      </w:r>
      <w:r w:rsidR="00B90436">
        <w:rPr>
          <w:rFonts w:ascii="Century Gothic" w:eastAsia="Arial" w:hAnsi="Century Gothic" w:cs="Arial"/>
          <w:b/>
          <w:sz w:val="22"/>
          <w:szCs w:val="22"/>
          <w:lang w:val="es-MX" w:eastAsia="es-MX"/>
        </w:rPr>
        <w:t>25</w:t>
      </w:r>
      <w:r w:rsidRPr="00C52A9F">
        <w:rPr>
          <w:rFonts w:ascii="Century Gothic" w:eastAsia="Arial" w:hAnsi="Century Gothic" w:cs="Arial"/>
          <w:b/>
          <w:sz w:val="22"/>
          <w:szCs w:val="22"/>
          <w:lang w:val="es-MX" w:eastAsia="es-MX"/>
        </w:rPr>
        <w:t xml:space="preserve"> de </w:t>
      </w:r>
      <w:r w:rsidR="00184D38">
        <w:rPr>
          <w:rFonts w:ascii="Century Gothic" w:eastAsia="Arial" w:hAnsi="Century Gothic" w:cs="Arial"/>
          <w:b/>
          <w:sz w:val="22"/>
          <w:szCs w:val="22"/>
          <w:lang w:val="es-MX" w:eastAsia="es-MX"/>
        </w:rPr>
        <w:t>mayo</w:t>
      </w:r>
      <w:r w:rsidRPr="00C52A9F">
        <w:rPr>
          <w:rFonts w:ascii="Century Gothic" w:eastAsia="Arial" w:hAnsi="Century Gothic" w:cs="Arial"/>
          <w:b/>
          <w:sz w:val="22"/>
          <w:szCs w:val="22"/>
          <w:lang w:val="es-MX" w:eastAsia="es-MX"/>
        </w:rPr>
        <w:t xml:space="preserve"> del año </w:t>
      </w:r>
      <w:r>
        <w:rPr>
          <w:rFonts w:ascii="Century Gothic" w:eastAsia="Arial" w:hAnsi="Century Gothic" w:cs="Arial"/>
          <w:b/>
          <w:sz w:val="22"/>
          <w:szCs w:val="22"/>
          <w:lang w:val="es-MX" w:eastAsia="es-MX"/>
        </w:rPr>
        <w:t>202</w:t>
      </w:r>
      <w:r w:rsidR="00B3020A">
        <w:rPr>
          <w:rFonts w:ascii="Century Gothic" w:eastAsia="Arial" w:hAnsi="Century Gothic" w:cs="Arial"/>
          <w:b/>
          <w:sz w:val="22"/>
          <w:szCs w:val="22"/>
          <w:lang w:val="es-MX" w:eastAsia="es-MX"/>
        </w:rPr>
        <w:t>2</w:t>
      </w:r>
      <w:r w:rsidRPr="00C52A9F">
        <w:rPr>
          <w:rFonts w:ascii="Century Gothic" w:eastAsia="Arial" w:hAnsi="Century Gothic" w:cs="Arial"/>
          <w:b/>
          <w:sz w:val="22"/>
          <w:szCs w:val="22"/>
          <w:lang w:val="es-MX" w:eastAsia="es-MX"/>
        </w:rPr>
        <w:t>.</w:t>
      </w:r>
    </w:p>
    <w:p w14:paraId="50E56636" w14:textId="77777777" w:rsidR="00C52A9F" w:rsidRPr="00C52A9F" w:rsidRDefault="00C52A9F" w:rsidP="00C52A9F">
      <w:pPr>
        <w:jc w:val="both"/>
        <w:rPr>
          <w:rFonts w:ascii="Century Gothic" w:eastAsia="Arial" w:hAnsi="Century Gothic" w:cs="Arial"/>
          <w:b/>
          <w:sz w:val="22"/>
          <w:szCs w:val="22"/>
          <w:lang w:val="es-MX" w:eastAsia="es-MX"/>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984"/>
        <w:gridCol w:w="2268"/>
        <w:gridCol w:w="2268"/>
        <w:gridCol w:w="1985"/>
      </w:tblGrid>
      <w:tr w:rsidR="00C52A9F" w:rsidRPr="00C52A9F" w14:paraId="6981FF88" w14:textId="77777777" w:rsidTr="000C06B6">
        <w:tc>
          <w:tcPr>
            <w:tcW w:w="1702" w:type="dxa"/>
          </w:tcPr>
          <w:p w14:paraId="0B8F15B7" w14:textId="77777777" w:rsidR="00C52A9F" w:rsidRPr="00C52A9F" w:rsidRDefault="00C52A9F" w:rsidP="00C52A9F">
            <w:pPr>
              <w:jc w:val="both"/>
              <w:rPr>
                <w:rFonts w:ascii="Century Gothic" w:hAnsi="Century Gothic" w:cs="Arial"/>
                <w:b/>
                <w:sz w:val="22"/>
                <w:szCs w:val="22"/>
              </w:rPr>
            </w:pPr>
          </w:p>
        </w:tc>
        <w:tc>
          <w:tcPr>
            <w:tcW w:w="1984" w:type="dxa"/>
          </w:tcPr>
          <w:p w14:paraId="0B40B6C5" w14:textId="77777777" w:rsidR="00C52A9F" w:rsidRPr="00C52A9F" w:rsidRDefault="00C52A9F" w:rsidP="00C52A9F">
            <w:pPr>
              <w:jc w:val="center"/>
              <w:rPr>
                <w:rFonts w:ascii="Century Gothic" w:hAnsi="Century Gothic" w:cs="Arial"/>
                <w:b/>
                <w:sz w:val="22"/>
                <w:szCs w:val="22"/>
              </w:rPr>
            </w:pPr>
            <w:r w:rsidRPr="00C52A9F">
              <w:rPr>
                <w:rFonts w:ascii="Century Gothic" w:hAnsi="Century Gothic" w:cs="Arial"/>
                <w:b/>
                <w:sz w:val="22"/>
                <w:szCs w:val="22"/>
              </w:rPr>
              <w:t>INTEGRANTES</w:t>
            </w:r>
          </w:p>
        </w:tc>
        <w:tc>
          <w:tcPr>
            <w:tcW w:w="2268" w:type="dxa"/>
          </w:tcPr>
          <w:p w14:paraId="4CB05A43" w14:textId="77777777" w:rsidR="00C52A9F" w:rsidRPr="00C52A9F" w:rsidRDefault="00C52A9F" w:rsidP="00C52A9F">
            <w:pPr>
              <w:jc w:val="center"/>
              <w:rPr>
                <w:rFonts w:ascii="Century Gothic" w:hAnsi="Century Gothic" w:cs="Arial"/>
                <w:b/>
                <w:sz w:val="22"/>
                <w:szCs w:val="22"/>
              </w:rPr>
            </w:pPr>
            <w:r w:rsidRPr="00C52A9F">
              <w:rPr>
                <w:rFonts w:ascii="Century Gothic" w:hAnsi="Century Gothic" w:cs="Arial"/>
                <w:b/>
                <w:sz w:val="22"/>
                <w:szCs w:val="22"/>
              </w:rPr>
              <w:t>A FAVOR</w:t>
            </w:r>
          </w:p>
        </w:tc>
        <w:tc>
          <w:tcPr>
            <w:tcW w:w="2268" w:type="dxa"/>
          </w:tcPr>
          <w:p w14:paraId="2483AD1C" w14:textId="77777777" w:rsidR="00C52A9F" w:rsidRPr="00C52A9F" w:rsidRDefault="00C52A9F" w:rsidP="00C52A9F">
            <w:pPr>
              <w:jc w:val="center"/>
              <w:rPr>
                <w:rFonts w:ascii="Century Gothic" w:hAnsi="Century Gothic" w:cs="Arial"/>
                <w:b/>
                <w:sz w:val="22"/>
                <w:szCs w:val="22"/>
              </w:rPr>
            </w:pPr>
            <w:r w:rsidRPr="00C52A9F">
              <w:rPr>
                <w:rFonts w:ascii="Century Gothic" w:hAnsi="Century Gothic" w:cs="Arial"/>
                <w:b/>
                <w:sz w:val="22"/>
                <w:szCs w:val="22"/>
              </w:rPr>
              <w:t>EN CONTRA</w:t>
            </w:r>
          </w:p>
        </w:tc>
        <w:tc>
          <w:tcPr>
            <w:tcW w:w="1985" w:type="dxa"/>
          </w:tcPr>
          <w:p w14:paraId="6A94CCCF" w14:textId="77777777" w:rsidR="00C52A9F" w:rsidRPr="00C52A9F" w:rsidRDefault="00C52A9F" w:rsidP="00C52A9F">
            <w:pPr>
              <w:jc w:val="center"/>
              <w:rPr>
                <w:rFonts w:ascii="Century Gothic" w:hAnsi="Century Gothic" w:cs="Arial"/>
                <w:b/>
                <w:sz w:val="22"/>
                <w:szCs w:val="22"/>
              </w:rPr>
            </w:pPr>
            <w:r w:rsidRPr="00C52A9F">
              <w:rPr>
                <w:rFonts w:ascii="Century Gothic" w:hAnsi="Century Gothic" w:cs="Arial"/>
                <w:b/>
                <w:sz w:val="22"/>
                <w:szCs w:val="22"/>
              </w:rPr>
              <w:t>ABSTENCIÓN</w:t>
            </w:r>
          </w:p>
        </w:tc>
      </w:tr>
      <w:tr w:rsidR="00C52A9F" w:rsidRPr="00C52A9F" w14:paraId="18AE657E" w14:textId="77777777" w:rsidTr="000C06B6">
        <w:tc>
          <w:tcPr>
            <w:tcW w:w="1702" w:type="dxa"/>
          </w:tcPr>
          <w:p w14:paraId="3B34F88C" w14:textId="77777777" w:rsidR="00C52A9F" w:rsidRPr="00C52A9F" w:rsidRDefault="00C52A9F" w:rsidP="00C52A9F">
            <w:pPr>
              <w:jc w:val="both"/>
              <w:rPr>
                <w:rFonts w:ascii="Century Gothic" w:hAnsi="Century Gothic" w:cs="Arial"/>
                <w:b/>
                <w:noProof/>
                <w:lang w:val="es-MX" w:eastAsia="es-MX"/>
              </w:rPr>
            </w:pPr>
            <w:r w:rsidRPr="00C52A9F">
              <w:rPr>
                <w:rFonts w:ascii="Century Gothic" w:hAnsi="Century Gothic" w:cs="Arial"/>
                <w:b/>
                <w:noProof/>
                <w:lang w:val="es-MX" w:eastAsia="es-MX"/>
              </w:rPr>
              <w:drawing>
                <wp:anchor distT="0" distB="0" distL="114300" distR="114300" simplePos="0" relativeHeight="251659264" behindDoc="1" locked="0" layoutInCell="1" allowOverlap="1" wp14:anchorId="4B4D38CE" wp14:editId="3AA2EE65">
                  <wp:simplePos x="0" y="0"/>
                  <wp:positionH relativeFrom="column">
                    <wp:posOffset>20320</wp:posOffset>
                  </wp:positionH>
                  <wp:positionV relativeFrom="paragraph">
                    <wp:posOffset>37465</wp:posOffset>
                  </wp:positionV>
                  <wp:extent cx="932815" cy="1143000"/>
                  <wp:effectExtent l="0" t="0" r="63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http://www.congresochihuahua.gob.mx/TimThumb.php?src=diputados/imagenes/fotos/1193.jpg&amp;w=260&amp;h=260&amp;zc=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932815" cy="1143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84" w:type="dxa"/>
          </w:tcPr>
          <w:p w14:paraId="7A2FDB29" w14:textId="77777777" w:rsidR="00C52A9F" w:rsidRPr="00C52A9F" w:rsidRDefault="00C52A9F" w:rsidP="00C52A9F">
            <w:pPr>
              <w:ind w:left="284" w:hanging="284"/>
              <w:contextualSpacing/>
              <w:jc w:val="both"/>
              <w:rPr>
                <w:rFonts w:ascii="Century Gothic" w:hAnsi="Century Gothic" w:cs="Arial"/>
                <w:b/>
                <w:bCs/>
                <w:lang w:val="es-MX" w:eastAsia="es-MX"/>
              </w:rPr>
            </w:pPr>
          </w:p>
          <w:p w14:paraId="18F7BEF7" w14:textId="77777777" w:rsidR="00C52A9F" w:rsidRPr="00C52A9F" w:rsidRDefault="00C52A9F" w:rsidP="00C52A9F">
            <w:pPr>
              <w:ind w:left="284" w:hanging="284"/>
              <w:contextualSpacing/>
              <w:jc w:val="center"/>
              <w:rPr>
                <w:rFonts w:ascii="Century Gothic" w:hAnsi="Century Gothic" w:cs="Arial"/>
                <w:b/>
                <w:lang w:val="es-MX" w:eastAsia="es-MX"/>
              </w:rPr>
            </w:pPr>
            <w:r w:rsidRPr="00C52A9F">
              <w:rPr>
                <w:rFonts w:ascii="Century Gothic" w:hAnsi="Century Gothic" w:cs="Arial"/>
                <w:b/>
                <w:bCs/>
                <w:lang w:val="es-MX" w:eastAsia="es-MX"/>
              </w:rPr>
              <w:t>DIP. GEORGINA ALEJANDRA BUJANDA RÍOS</w:t>
            </w:r>
          </w:p>
          <w:p w14:paraId="7365C200" w14:textId="77777777" w:rsidR="00C52A9F" w:rsidRPr="00C52A9F" w:rsidRDefault="00C52A9F" w:rsidP="00C52A9F">
            <w:pPr>
              <w:contextualSpacing/>
              <w:jc w:val="center"/>
              <w:rPr>
                <w:rFonts w:ascii="Century Gothic" w:hAnsi="Century Gothic" w:cs="Arial"/>
                <w:b/>
                <w:bCs/>
                <w:smallCaps/>
                <w:lang w:val="es-MX" w:eastAsia="es-MX"/>
              </w:rPr>
            </w:pPr>
            <w:r w:rsidRPr="00C52A9F">
              <w:rPr>
                <w:rFonts w:ascii="Century Gothic" w:hAnsi="Century Gothic" w:cs="Arial"/>
                <w:b/>
                <w:bCs/>
                <w:smallCaps/>
                <w:lang w:val="es-MX" w:eastAsia="es-MX"/>
              </w:rPr>
              <w:t>PRESIDENTA</w:t>
            </w:r>
          </w:p>
          <w:p w14:paraId="21D063A7" w14:textId="77777777" w:rsidR="00C52A9F" w:rsidRPr="00C52A9F" w:rsidRDefault="00C52A9F" w:rsidP="00C52A9F">
            <w:pPr>
              <w:contextualSpacing/>
              <w:jc w:val="center"/>
              <w:rPr>
                <w:rFonts w:ascii="Century Gothic" w:hAnsi="Century Gothic" w:cs="Arial"/>
                <w:b/>
                <w:lang w:val="es-MX" w:eastAsia="es-MX"/>
              </w:rPr>
            </w:pPr>
          </w:p>
        </w:tc>
        <w:tc>
          <w:tcPr>
            <w:tcW w:w="2268" w:type="dxa"/>
          </w:tcPr>
          <w:p w14:paraId="528BB5A3" w14:textId="77777777" w:rsidR="00C52A9F" w:rsidRPr="00C52A9F" w:rsidRDefault="00C52A9F" w:rsidP="00C52A9F">
            <w:pPr>
              <w:jc w:val="both"/>
              <w:rPr>
                <w:rFonts w:ascii="Century Gothic" w:hAnsi="Century Gothic" w:cs="Arial"/>
                <w:b/>
              </w:rPr>
            </w:pPr>
          </w:p>
        </w:tc>
        <w:tc>
          <w:tcPr>
            <w:tcW w:w="2268" w:type="dxa"/>
          </w:tcPr>
          <w:p w14:paraId="54C4225A" w14:textId="77777777" w:rsidR="00C52A9F" w:rsidRPr="00C52A9F" w:rsidRDefault="00C52A9F" w:rsidP="00C52A9F">
            <w:pPr>
              <w:jc w:val="both"/>
              <w:rPr>
                <w:rFonts w:ascii="Century Gothic" w:hAnsi="Century Gothic" w:cs="Arial"/>
                <w:b/>
              </w:rPr>
            </w:pPr>
          </w:p>
        </w:tc>
        <w:tc>
          <w:tcPr>
            <w:tcW w:w="1985" w:type="dxa"/>
          </w:tcPr>
          <w:p w14:paraId="0366C55E" w14:textId="77777777" w:rsidR="00C52A9F" w:rsidRPr="00C52A9F" w:rsidRDefault="00C52A9F" w:rsidP="00C52A9F">
            <w:pPr>
              <w:jc w:val="both"/>
              <w:rPr>
                <w:rFonts w:ascii="Century Gothic" w:hAnsi="Century Gothic" w:cs="Arial"/>
                <w:b/>
              </w:rPr>
            </w:pPr>
          </w:p>
        </w:tc>
      </w:tr>
      <w:tr w:rsidR="00C52A9F" w:rsidRPr="00C52A9F" w14:paraId="0397E60C" w14:textId="77777777" w:rsidTr="000C06B6">
        <w:tc>
          <w:tcPr>
            <w:tcW w:w="1702" w:type="dxa"/>
          </w:tcPr>
          <w:p w14:paraId="75784B0B" w14:textId="77777777" w:rsidR="00C52A9F" w:rsidRPr="00C52A9F" w:rsidRDefault="00C52A9F" w:rsidP="00C52A9F">
            <w:pPr>
              <w:jc w:val="both"/>
              <w:rPr>
                <w:rFonts w:ascii="Century Gothic" w:hAnsi="Century Gothic" w:cs="Arial"/>
                <w:b/>
              </w:rPr>
            </w:pPr>
            <w:r w:rsidRPr="00C52A9F">
              <w:rPr>
                <w:rFonts w:ascii="Century Gothic" w:hAnsi="Century Gothic" w:cs="Arial"/>
                <w:b/>
                <w:noProof/>
                <w:lang w:val="es-MX" w:eastAsia="es-MX"/>
              </w:rPr>
              <w:drawing>
                <wp:anchor distT="0" distB="0" distL="114300" distR="114300" simplePos="0" relativeHeight="251660288" behindDoc="1" locked="0" layoutInCell="1" allowOverlap="1" wp14:anchorId="621DA556" wp14:editId="265CBC05">
                  <wp:simplePos x="0" y="0"/>
                  <wp:positionH relativeFrom="column">
                    <wp:posOffset>1270</wp:posOffset>
                  </wp:positionH>
                  <wp:positionV relativeFrom="paragraph">
                    <wp:posOffset>117475</wp:posOffset>
                  </wp:positionV>
                  <wp:extent cx="976006" cy="11049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http://www.congresochihuahua.gob.mx/TimThumb.php?src=diputados/imagenes/fotos/1186.jpg&amp;w=260&amp;h=260&amp;zc=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976006" cy="1104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84" w:type="dxa"/>
          </w:tcPr>
          <w:p w14:paraId="22E3CEA6" w14:textId="77777777" w:rsidR="00C52A9F" w:rsidRPr="00C52A9F" w:rsidRDefault="00C52A9F" w:rsidP="00C52A9F">
            <w:pPr>
              <w:contextualSpacing/>
              <w:jc w:val="center"/>
              <w:rPr>
                <w:rFonts w:ascii="Century Gothic" w:hAnsi="Century Gothic" w:cs="Arial"/>
                <w:b/>
                <w:bCs/>
                <w:smallCaps/>
                <w:lang w:val="es-MX" w:eastAsia="es-MX"/>
              </w:rPr>
            </w:pPr>
          </w:p>
          <w:p w14:paraId="187B6E47" w14:textId="77777777" w:rsidR="00C52A9F" w:rsidRPr="00C52A9F" w:rsidRDefault="00C52A9F" w:rsidP="00C52A9F">
            <w:pPr>
              <w:contextualSpacing/>
              <w:jc w:val="center"/>
              <w:rPr>
                <w:rFonts w:ascii="Century Gothic" w:hAnsi="Century Gothic" w:cs="Arial"/>
                <w:b/>
                <w:bCs/>
                <w:smallCaps/>
                <w:lang w:val="es-MX" w:eastAsia="es-MX"/>
              </w:rPr>
            </w:pPr>
            <w:r w:rsidRPr="00C52A9F">
              <w:rPr>
                <w:rFonts w:ascii="Century Gothic" w:hAnsi="Century Gothic" w:cs="Arial"/>
                <w:b/>
                <w:bCs/>
                <w:smallCaps/>
                <w:lang w:val="es-MX" w:eastAsia="es-MX"/>
              </w:rPr>
              <w:t>DIP. DAVID OSCAR CASTREJÓN RIVAS</w:t>
            </w:r>
          </w:p>
          <w:p w14:paraId="52426791" w14:textId="77777777" w:rsidR="00C52A9F" w:rsidRPr="00C52A9F" w:rsidRDefault="00C52A9F" w:rsidP="00C52A9F">
            <w:pPr>
              <w:contextualSpacing/>
              <w:jc w:val="center"/>
              <w:rPr>
                <w:rFonts w:ascii="Century Gothic" w:hAnsi="Century Gothic" w:cs="Arial"/>
                <w:b/>
                <w:bCs/>
                <w:smallCaps/>
                <w:lang w:val="es-MX" w:eastAsia="es-MX"/>
              </w:rPr>
            </w:pPr>
            <w:r w:rsidRPr="00C52A9F">
              <w:rPr>
                <w:rFonts w:ascii="Century Gothic" w:hAnsi="Century Gothic" w:cs="Arial"/>
                <w:b/>
                <w:bCs/>
                <w:smallCaps/>
                <w:lang w:val="es-MX" w:eastAsia="es-MX"/>
              </w:rPr>
              <w:t xml:space="preserve">SECRETARIO </w:t>
            </w:r>
          </w:p>
          <w:p w14:paraId="588C1458" w14:textId="77777777" w:rsidR="00C52A9F" w:rsidRPr="00C52A9F" w:rsidRDefault="00C52A9F" w:rsidP="00C52A9F">
            <w:pPr>
              <w:rPr>
                <w:rFonts w:ascii="Century Gothic" w:hAnsi="Century Gothic" w:cs="Arial"/>
                <w:b/>
                <w:sz w:val="22"/>
                <w:szCs w:val="22"/>
              </w:rPr>
            </w:pPr>
          </w:p>
        </w:tc>
        <w:tc>
          <w:tcPr>
            <w:tcW w:w="2268" w:type="dxa"/>
          </w:tcPr>
          <w:p w14:paraId="10F558AD" w14:textId="77777777" w:rsidR="00C52A9F" w:rsidRPr="00C52A9F" w:rsidRDefault="00C52A9F" w:rsidP="00C52A9F">
            <w:pPr>
              <w:jc w:val="both"/>
              <w:rPr>
                <w:rFonts w:ascii="Century Gothic" w:hAnsi="Century Gothic" w:cs="Arial"/>
                <w:b/>
              </w:rPr>
            </w:pPr>
          </w:p>
        </w:tc>
        <w:tc>
          <w:tcPr>
            <w:tcW w:w="2268" w:type="dxa"/>
          </w:tcPr>
          <w:p w14:paraId="2F579D1F" w14:textId="77777777" w:rsidR="00C52A9F" w:rsidRPr="00C52A9F" w:rsidRDefault="00C52A9F" w:rsidP="00C52A9F">
            <w:pPr>
              <w:jc w:val="both"/>
              <w:rPr>
                <w:rFonts w:ascii="Century Gothic" w:hAnsi="Century Gothic" w:cs="Arial"/>
                <w:b/>
              </w:rPr>
            </w:pPr>
          </w:p>
        </w:tc>
        <w:tc>
          <w:tcPr>
            <w:tcW w:w="1985" w:type="dxa"/>
          </w:tcPr>
          <w:p w14:paraId="4F33718C" w14:textId="77777777" w:rsidR="00C52A9F" w:rsidRPr="00C52A9F" w:rsidRDefault="00C52A9F" w:rsidP="00C52A9F">
            <w:pPr>
              <w:jc w:val="both"/>
              <w:rPr>
                <w:rFonts w:ascii="Century Gothic" w:hAnsi="Century Gothic" w:cs="Arial"/>
                <w:b/>
              </w:rPr>
            </w:pPr>
          </w:p>
        </w:tc>
      </w:tr>
      <w:tr w:rsidR="00C52A9F" w:rsidRPr="00C52A9F" w14:paraId="2F195D6C" w14:textId="77777777" w:rsidTr="000C06B6">
        <w:tc>
          <w:tcPr>
            <w:tcW w:w="1702" w:type="dxa"/>
          </w:tcPr>
          <w:p w14:paraId="75611A32" w14:textId="77777777" w:rsidR="00C52A9F" w:rsidRPr="00C52A9F" w:rsidRDefault="00C52A9F" w:rsidP="00C52A9F">
            <w:pPr>
              <w:jc w:val="both"/>
              <w:rPr>
                <w:szCs w:val="20"/>
              </w:rPr>
            </w:pPr>
            <w:r w:rsidRPr="00C52A9F">
              <w:rPr>
                <w:noProof/>
                <w:szCs w:val="20"/>
                <w:lang w:val="es-MX" w:eastAsia="es-MX"/>
              </w:rPr>
              <w:drawing>
                <wp:anchor distT="0" distB="0" distL="114300" distR="114300" simplePos="0" relativeHeight="251661312" behindDoc="1" locked="0" layoutInCell="1" allowOverlap="1" wp14:anchorId="4EA5D53F" wp14:editId="4AF2AC06">
                  <wp:simplePos x="0" y="0"/>
                  <wp:positionH relativeFrom="column">
                    <wp:posOffset>29210</wp:posOffset>
                  </wp:positionH>
                  <wp:positionV relativeFrom="paragraph">
                    <wp:posOffset>123825</wp:posOffset>
                  </wp:positionV>
                  <wp:extent cx="913765" cy="1046480"/>
                  <wp:effectExtent l="0" t="0" r="635" b="127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isela.jpg"/>
                          <pic:cNvPicPr/>
                        </pic:nvPicPr>
                        <pic:blipFill>
                          <a:blip r:embed="rId10">
                            <a:extLst>
                              <a:ext uri="{28A0092B-C50C-407E-A947-70E740481C1C}">
                                <a14:useLocalDpi xmlns:a14="http://schemas.microsoft.com/office/drawing/2010/main" val="0"/>
                              </a:ext>
                            </a:extLst>
                          </a:blip>
                          <a:stretch>
                            <a:fillRect/>
                          </a:stretch>
                        </pic:blipFill>
                        <pic:spPr>
                          <a:xfrm>
                            <a:off x="0" y="0"/>
                            <a:ext cx="913765" cy="1046480"/>
                          </a:xfrm>
                          <a:prstGeom prst="rect">
                            <a:avLst/>
                          </a:prstGeom>
                        </pic:spPr>
                      </pic:pic>
                    </a:graphicData>
                  </a:graphic>
                  <wp14:sizeRelH relativeFrom="page">
                    <wp14:pctWidth>0</wp14:pctWidth>
                  </wp14:sizeRelH>
                  <wp14:sizeRelV relativeFrom="page">
                    <wp14:pctHeight>0</wp14:pctHeight>
                  </wp14:sizeRelV>
                </wp:anchor>
              </w:drawing>
            </w:r>
          </w:p>
          <w:p w14:paraId="2936E714" w14:textId="77777777" w:rsidR="00C52A9F" w:rsidRPr="00C52A9F" w:rsidRDefault="00C52A9F" w:rsidP="00C52A9F">
            <w:pPr>
              <w:jc w:val="both"/>
              <w:rPr>
                <w:rFonts w:ascii="Century Gothic" w:hAnsi="Century Gothic" w:cs="Arial"/>
                <w:b/>
              </w:rPr>
            </w:pPr>
          </w:p>
        </w:tc>
        <w:tc>
          <w:tcPr>
            <w:tcW w:w="1984" w:type="dxa"/>
          </w:tcPr>
          <w:p w14:paraId="3A4BA7EF" w14:textId="77777777" w:rsidR="00C52A9F" w:rsidRPr="00C52A9F" w:rsidRDefault="00C52A9F" w:rsidP="00C52A9F">
            <w:pPr>
              <w:contextualSpacing/>
              <w:jc w:val="center"/>
              <w:rPr>
                <w:rFonts w:ascii="Century Gothic" w:hAnsi="Century Gothic" w:cs="Arial"/>
                <w:b/>
                <w:lang w:val="es-MX" w:eastAsia="es-MX"/>
              </w:rPr>
            </w:pPr>
          </w:p>
          <w:p w14:paraId="0376421C" w14:textId="77777777" w:rsidR="00C52A9F" w:rsidRPr="00C52A9F" w:rsidRDefault="00C52A9F" w:rsidP="00C52A9F">
            <w:pPr>
              <w:contextualSpacing/>
              <w:rPr>
                <w:rFonts w:ascii="Century Gothic" w:hAnsi="Century Gothic" w:cs="Arial"/>
                <w:b/>
                <w:lang w:val="es-MX" w:eastAsia="es-MX"/>
              </w:rPr>
            </w:pPr>
          </w:p>
          <w:p w14:paraId="6AD2EE2E" w14:textId="77777777" w:rsidR="00C52A9F" w:rsidRPr="00C52A9F" w:rsidRDefault="00C52A9F" w:rsidP="00C52A9F">
            <w:pPr>
              <w:contextualSpacing/>
              <w:jc w:val="center"/>
              <w:rPr>
                <w:rFonts w:ascii="Century Gothic" w:hAnsi="Century Gothic" w:cs="Arial"/>
                <w:b/>
                <w:lang w:val="es-MX" w:eastAsia="es-MX"/>
              </w:rPr>
            </w:pPr>
            <w:r w:rsidRPr="00C52A9F">
              <w:rPr>
                <w:rFonts w:ascii="Century Gothic" w:hAnsi="Century Gothic" w:cs="Arial"/>
                <w:b/>
                <w:lang w:val="es-MX" w:eastAsia="es-MX"/>
              </w:rPr>
              <w:t>DIP. ILSE AMÉRICA GARCÍA SOTO</w:t>
            </w:r>
          </w:p>
          <w:p w14:paraId="39085BE3" w14:textId="77777777" w:rsidR="00C52A9F" w:rsidRPr="00C52A9F" w:rsidRDefault="00C52A9F" w:rsidP="00C52A9F">
            <w:pPr>
              <w:contextualSpacing/>
              <w:jc w:val="center"/>
              <w:rPr>
                <w:rFonts w:ascii="Century Gothic" w:hAnsi="Century Gothic" w:cs="Arial"/>
                <w:b/>
                <w:lang w:val="es-MX" w:eastAsia="es-MX"/>
              </w:rPr>
            </w:pPr>
            <w:r w:rsidRPr="00C52A9F">
              <w:rPr>
                <w:rFonts w:ascii="Century Gothic" w:hAnsi="Century Gothic" w:cs="Arial"/>
                <w:b/>
                <w:lang w:val="es-MX" w:eastAsia="es-MX"/>
              </w:rPr>
              <w:t>VOCAL</w:t>
            </w:r>
          </w:p>
          <w:p w14:paraId="10B9F300" w14:textId="77777777" w:rsidR="00C52A9F" w:rsidRPr="00C52A9F" w:rsidRDefault="00C52A9F" w:rsidP="00C52A9F">
            <w:pPr>
              <w:contextualSpacing/>
              <w:rPr>
                <w:rFonts w:ascii="Century Gothic" w:hAnsi="Century Gothic" w:cs="Arial"/>
                <w:b/>
                <w:lang w:val="es-MX" w:eastAsia="es-MX"/>
              </w:rPr>
            </w:pPr>
          </w:p>
        </w:tc>
        <w:tc>
          <w:tcPr>
            <w:tcW w:w="2268" w:type="dxa"/>
          </w:tcPr>
          <w:p w14:paraId="48AC112E" w14:textId="77777777" w:rsidR="00C52A9F" w:rsidRPr="00C52A9F" w:rsidRDefault="00C52A9F" w:rsidP="00C52A9F">
            <w:pPr>
              <w:jc w:val="both"/>
              <w:rPr>
                <w:rFonts w:ascii="Century Gothic" w:hAnsi="Century Gothic" w:cs="Arial"/>
                <w:b/>
              </w:rPr>
            </w:pPr>
          </w:p>
        </w:tc>
        <w:tc>
          <w:tcPr>
            <w:tcW w:w="2268" w:type="dxa"/>
          </w:tcPr>
          <w:p w14:paraId="0C1BE4CF" w14:textId="77777777" w:rsidR="00C52A9F" w:rsidRPr="00C52A9F" w:rsidRDefault="00C52A9F" w:rsidP="00C52A9F">
            <w:pPr>
              <w:jc w:val="both"/>
              <w:rPr>
                <w:rFonts w:ascii="Century Gothic" w:hAnsi="Century Gothic" w:cs="Arial"/>
                <w:b/>
              </w:rPr>
            </w:pPr>
          </w:p>
        </w:tc>
        <w:tc>
          <w:tcPr>
            <w:tcW w:w="1985" w:type="dxa"/>
          </w:tcPr>
          <w:p w14:paraId="25259D89" w14:textId="77777777" w:rsidR="00C52A9F" w:rsidRPr="00C52A9F" w:rsidRDefault="00C52A9F" w:rsidP="00C52A9F">
            <w:pPr>
              <w:jc w:val="both"/>
              <w:rPr>
                <w:rFonts w:ascii="Century Gothic" w:hAnsi="Century Gothic" w:cs="Arial"/>
                <w:b/>
              </w:rPr>
            </w:pPr>
          </w:p>
        </w:tc>
      </w:tr>
      <w:tr w:rsidR="00C52A9F" w:rsidRPr="00C52A9F" w14:paraId="1908C551" w14:textId="77777777" w:rsidTr="000C06B6">
        <w:tc>
          <w:tcPr>
            <w:tcW w:w="1702" w:type="dxa"/>
          </w:tcPr>
          <w:p w14:paraId="7B21CB1A" w14:textId="77777777" w:rsidR="00C52A9F" w:rsidRPr="00C52A9F" w:rsidRDefault="00C52A9F" w:rsidP="00C52A9F">
            <w:pPr>
              <w:jc w:val="both"/>
              <w:rPr>
                <w:rFonts w:ascii="Century Gothic" w:hAnsi="Century Gothic" w:cs="Arial"/>
                <w:b/>
              </w:rPr>
            </w:pPr>
            <w:r w:rsidRPr="00C52A9F">
              <w:rPr>
                <w:rFonts w:ascii="Century Gothic" w:hAnsi="Century Gothic" w:cs="Arial"/>
                <w:b/>
                <w:noProof/>
                <w:lang w:val="es-MX" w:eastAsia="es-MX"/>
              </w:rPr>
              <w:drawing>
                <wp:anchor distT="0" distB="0" distL="114300" distR="114300" simplePos="0" relativeHeight="251662336" behindDoc="1" locked="0" layoutInCell="1" allowOverlap="1" wp14:anchorId="5ABE4FB9" wp14:editId="52055B7A">
                  <wp:simplePos x="0" y="0"/>
                  <wp:positionH relativeFrom="column">
                    <wp:posOffset>10795</wp:posOffset>
                  </wp:positionH>
                  <wp:positionV relativeFrom="paragraph">
                    <wp:posOffset>62865</wp:posOffset>
                  </wp:positionV>
                  <wp:extent cx="913765" cy="1099185"/>
                  <wp:effectExtent l="0" t="0" r="635" b="571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yanira.jpg"/>
                          <pic:cNvPicPr/>
                        </pic:nvPicPr>
                        <pic:blipFill>
                          <a:blip r:embed="rId11">
                            <a:extLst>
                              <a:ext uri="{28A0092B-C50C-407E-A947-70E740481C1C}">
                                <a14:useLocalDpi xmlns:a14="http://schemas.microsoft.com/office/drawing/2010/main" val="0"/>
                              </a:ext>
                            </a:extLst>
                          </a:blip>
                          <a:stretch>
                            <a:fillRect/>
                          </a:stretch>
                        </pic:blipFill>
                        <pic:spPr>
                          <a:xfrm>
                            <a:off x="0" y="0"/>
                            <a:ext cx="913765" cy="1099185"/>
                          </a:xfrm>
                          <a:prstGeom prst="rect">
                            <a:avLst/>
                          </a:prstGeom>
                        </pic:spPr>
                      </pic:pic>
                    </a:graphicData>
                  </a:graphic>
                  <wp14:sizeRelH relativeFrom="page">
                    <wp14:pctWidth>0</wp14:pctWidth>
                  </wp14:sizeRelH>
                  <wp14:sizeRelV relativeFrom="page">
                    <wp14:pctHeight>0</wp14:pctHeight>
                  </wp14:sizeRelV>
                </wp:anchor>
              </w:drawing>
            </w:r>
          </w:p>
        </w:tc>
        <w:tc>
          <w:tcPr>
            <w:tcW w:w="1984" w:type="dxa"/>
          </w:tcPr>
          <w:p w14:paraId="5A79A09A" w14:textId="77777777" w:rsidR="00C52A9F" w:rsidRPr="00C52A9F" w:rsidRDefault="00C52A9F" w:rsidP="00C52A9F">
            <w:pPr>
              <w:contextualSpacing/>
              <w:jc w:val="center"/>
              <w:rPr>
                <w:rFonts w:ascii="Century Gothic" w:hAnsi="Century Gothic" w:cs="Arial"/>
                <w:b/>
                <w:lang w:val="es-MX" w:eastAsia="es-MX"/>
              </w:rPr>
            </w:pPr>
          </w:p>
          <w:p w14:paraId="07130D0A" w14:textId="77777777" w:rsidR="00C52A9F" w:rsidRPr="00C52A9F" w:rsidRDefault="00C52A9F" w:rsidP="00C52A9F">
            <w:pPr>
              <w:contextualSpacing/>
              <w:jc w:val="center"/>
              <w:rPr>
                <w:rFonts w:ascii="Century Gothic" w:hAnsi="Century Gothic" w:cs="Arial"/>
                <w:b/>
                <w:lang w:val="es-MX" w:eastAsia="es-MX"/>
              </w:rPr>
            </w:pPr>
            <w:r w:rsidRPr="00C52A9F">
              <w:rPr>
                <w:rFonts w:ascii="Century Gothic" w:hAnsi="Century Gothic" w:cs="Arial"/>
                <w:b/>
                <w:lang w:val="es-MX" w:eastAsia="es-MX"/>
              </w:rPr>
              <w:t>DIP. JOSÉ ALFREDO CHÁVEZ MADRID</w:t>
            </w:r>
          </w:p>
          <w:p w14:paraId="00E7EAFD" w14:textId="77777777" w:rsidR="00C52A9F" w:rsidRPr="00C52A9F" w:rsidRDefault="00C52A9F" w:rsidP="00C52A9F">
            <w:pPr>
              <w:contextualSpacing/>
              <w:jc w:val="center"/>
              <w:rPr>
                <w:rFonts w:ascii="Century Gothic" w:hAnsi="Century Gothic" w:cs="Arial"/>
                <w:b/>
                <w:lang w:val="es-MX" w:eastAsia="es-MX"/>
              </w:rPr>
            </w:pPr>
            <w:r w:rsidRPr="00C52A9F">
              <w:rPr>
                <w:rFonts w:ascii="Century Gothic" w:hAnsi="Century Gothic" w:cs="Arial"/>
                <w:b/>
                <w:lang w:val="es-MX" w:eastAsia="es-MX"/>
              </w:rPr>
              <w:t>VOCAL</w:t>
            </w:r>
          </w:p>
          <w:p w14:paraId="5C2EA1C8" w14:textId="77777777" w:rsidR="00C52A9F" w:rsidRPr="00C52A9F" w:rsidRDefault="00C52A9F" w:rsidP="00C52A9F">
            <w:pPr>
              <w:contextualSpacing/>
              <w:jc w:val="center"/>
              <w:rPr>
                <w:rFonts w:ascii="Century Gothic" w:hAnsi="Century Gothic" w:cs="Arial"/>
                <w:b/>
                <w:lang w:val="es-MX" w:eastAsia="es-MX"/>
              </w:rPr>
            </w:pPr>
          </w:p>
        </w:tc>
        <w:tc>
          <w:tcPr>
            <w:tcW w:w="2268" w:type="dxa"/>
          </w:tcPr>
          <w:p w14:paraId="04016681" w14:textId="77777777" w:rsidR="00C52A9F" w:rsidRPr="00C52A9F" w:rsidRDefault="00C52A9F" w:rsidP="00C52A9F">
            <w:pPr>
              <w:jc w:val="both"/>
              <w:rPr>
                <w:rFonts w:ascii="Century Gothic" w:hAnsi="Century Gothic" w:cs="Arial"/>
                <w:b/>
              </w:rPr>
            </w:pPr>
          </w:p>
        </w:tc>
        <w:tc>
          <w:tcPr>
            <w:tcW w:w="2268" w:type="dxa"/>
          </w:tcPr>
          <w:p w14:paraId="44C61092" w14:textId="77777777" w:rsidR="00C52A9F" w:rsidRPr="00C52A9F" w:rsidRDefault="00C52A9F" w:rsidP="00C52A9F">
            <w:pPr>
              <w:jc w:val="both"/>
              <w:rPr>
                <w:rFonts w:ascii="Century Gothic" w:hAnsi="Century Gothic" w:cs="Arial"/>
                <w:b/>
              </w:rPr>
            </w:pPr>
          </w:p>
        </w:tc>
        <w:tc>
          <w:tcPr>
            <w:tcW w:w="1985" w:type="dxa"/>
          </w:tcPr>
          <w:p w14:paraId="7D76833B" w14:textId="77777777" w:rsidR="00C52A9F" w:rsidRPr="00C52A9F" w:rsidRDefault="00C52A9F" w:rsidP="00C52A9F">
            <w:pPr>
              <w:jc w:val="both"/>
              <w:rPr>
                <w:rFonts w:ascii="Century Gothic" w:hAnsi="Century Gothic" w:cs="Arial"/>
                <w:b/>
              </w:rPr>
            </w:pPr>
          </w:p>
          <w:p w14:paraId="4695789A" w14:textId="77777777" w:rsidR="00C52A9F" w:rsidRPr="00C52A9F" w:rsidRDefault="00C52A9F" w:rsidP="00C52A9F">
            <w:pPr>
              <w:spacing w:after="200" w:line="276" w:lineRule="auto"/>
              <w:rPr>
                <w:rFonts w:ascii="Calibri" w:hAnsi="Calibri"/>
                <w:sz w:val="22"/>
                <w:szCs w:val="22"/>
              </w:rPr>
            </w:pPr>
          </w:p>
          <w:p w14:paraId="6F4083AF" w14:textId="77777777" w:rsidR="00C52A9F" w:rsidRPr="00C52A9F" w:rsidRDefault="00C52A9F" w:rsidP="00C52A9F">
            <w:pPr>
              <w:spacing w:after="200" w:line="276" w:lineRule="auto"/>
              <w:rPr>
                <w:rFonts w:ascii="Calibri" w:hAnsi="Calibri"/>
                <w:sz w:val="22"/>
                <w:szCs w:val="22"/>
              </w:rPr>
            </w:pPr>
          </w:p>
        </w:tc>
      </w:tr>
      <w:tr w:rsidR="00C52A9F" w:rsidRPr="00C52A9F" w14:paraId="7C2E2FA2" w14:textId="77777777" w:rsidTr="000C06B6">
        <w:tc>
          <w:tcPr>
            <w:tcW w:w="1702" w:type="dxa"/>
          </w:tcPr>
          <w:p w14:paraId="008667E8" w14:textId="77777777" w:rsidR="00C52A9F" w:rsidRPr="00C52A9F" w:rsidRDefault="00C52A9F" w:rsidP="00C52A9F">
            <w:pPr>
              <w:jc w:val="both"/>
              <w:rPr>
                <w:rFonts w:ascii="Century Gothic" w:hAnsi="Century Gothic" w:cs="Arial"/>
                <w:b/>
              </w:rPr>
            </w:pPr>
            <w:r w:rsidRPr="00C52A9F">
              <w:rPr>
                <w:rFonts w:ascii="Century Gothic" w:hAnsi="Century Gothic" w:cs="Arial"/>
                <w:b/>
                <w:noProof/>
                <w:lang w:val="es-MX" w:eastAsia="es-MX"/>
              </w:rPr>
              <w:drawing>
                <wp:inline distT="0" distB="0" distL="0" distR="0" wp14:anchorId="3293270C" wp14:editId="524DB506">
                  <wp:extent cx="941717" cy="124777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érez.jpg"/>
                          <pic:cNvPicPr/>
                        </pic:nvPicPr>
                        <pic:blipFill>
                          <a:blip r:embed="rId12">
                            <a:extLst>
                              <a:ext uri="{28A0092B-C50C-407E-A947-70E740481C1C}">
                                <a14:useLocalDpi xmlns:a14="http://schemas.microsoft.com/office/drawing/2010/main" val="0"/>
                              </a:ext>
                            </a:extLst>
                          </a:blip>
                          <a:stretch>
                            <a:fillRect/>
                          </a:stretch>
                        </pic:blipFill>
                        <pic:spPr>
                          <a:xfrm>
                            <a:off x="0" y="0"/>
                            <a:ext cx="959985" cy="1271980"/>
                          </a:xfrm>
                          <a:prstGeom prst="rect">
                            <a:avLst/>
                          </a:prstGeom>
                        </pic:spPr>
                      </pic:pic>
                    </a:graphicData>
                  </a:graphic>
                </wp:inline>
              </w:drawing>
            </w:r>
          </w:p>
        </w:tc>
        <w:tc>
          <w:tcPr>
            <w:tcW w:w="1984" w:type="dxa"/>
          </w:tcPr>
          <w:p w14:paraId="3F4CDA97" w14:textId="77777777" w:rsidR="00C52A9F" w:rsidRPr="00C52A9F" w:rsidRDefault="00C52A9F" w:rsidP="00C52A9F">
            <w:pPr>
              <w:contextualSpacing/>
              <w:jc w:val="center"/>
              <w:rPr>
                <w:rFonts w:ascii="Century Gothic" w:hAnsi="Century Gothic" w:cs="Arial"/>
                <w:b/>
                <w:lang w:val="es-MX" w:eastAsia="es-MX"/>
              </w:rPr>
            </w:pPr>
          </w:p>
          <w:p w14:paraId="026AAC40" w14:textId="77777777" w:rsidR="00C52A9F" w:rsidRPr="00C52A9F" w:rsidRDefault="00C52A9F" w:rsidP="00C52A9F">
            <w:pPr>
              <w:contextualSpacing/>
              <w:jc w:val="center"/>
              <w:rPr>
                <w:rFonts w:ascii="Century Gothic" w:hAnsi="Century Gothic" w:cs="Arial"/>
                <w:b/>
                <w:lang w:val="es-MX" w:eastAsia="es-MX"/>
              </w:rPr>
            </w:pPr>
          </w:p>
          <w:p w14:paraId="515EC693" w14:textId="77777777" w:rsidR="00C52A9F" w:rsidRPr="00C52A9F" w:rsidRDefault="00C52A9F" w:rsidP="00C52A9F">
            <w:pPr>
              <w:contextualSpacing/>
              <w:jc w:val="center"/>
              <w:rPr>
                <w:rFonts w:ascii="Century Gothic" w:hAnsi="Century Gothic" w:cs="Arial"/>
                <w:b/>
                <w:lang w:val="es-MX" w:eastAsia="es-MX"/>
              </w:rPr>
            </w:pPr>
            <w:r w:rsidRPr="00C52A9F">
              <w:rPr>
                <w:rFonts w:ascii="Century Gothic" w:hAnsi="Century Gothic" w:cs="Arial"/>
                <w:b/>
                <w:lang w:val="es-MX" w:eastAsia="es-MX"/>
              </w:rPr>
              <w:t>DIP. ISMAEL PÉREZ PAVÍA</w:t>
            </w:r>
          </w:p>
          <w:p w14:paraId="3BF4DF81" w14:textId="77777777" w:rsidR="00C52A9F" w:rsidRPr="00C52A9F" w:rsidRDefault="00C52A9F" w:rsidP="00C52A9F">
            <w:pPr>
              <w:contextualSpacing/>
              <w:jc w:val="center"/>
              <w:rPr>
                <w:rFonts w:ascii="Century Gothic" w:hAnsi="Century Gothic" w:cs="Arial"/>
                <w:b/>
                <w:lang w:val="es-MX" w:eastAsia="es-MX"/>
              </w:rPr>
            </w:pPr>
            <w:r w:rsidRPr="00C52A9F">
              <w:rPr>
                <w:rFonts w:ascii="Century Gothic" w:hAnsi="Century Gothic" w:cs="Arial"/>
                <w:b/>
                <w:lang w:val="es-MX" w:eastAsia="es-MX"/>
              </w:rPr>
              <w:t>VOCAL</w:t>
            </w:r>
          </w:p>
        </w:tc>
        <w:tc>
          <w:tcPr>
            <w:tcW w:w="2268" w:type="dxa"/>
          </w:tcPr>
          <w:p w14:paraId="3C2F2A23" w14:textId="77777777" w:rsidR="00C52A9F" w:rsidRPr="00C52A9F" w:rsidRDefault="00C52A9F" w:rsidP="00C52A9F">
            <w:pPr>
              <w:jc w:val="both"/>
              <w:rPr>
                <w:rFonts w:ascii="Century Gothic" w:hAnsi="Century Gothic" w:cs="Arial"/>
                <w:b/>
              </w:rPr>
            </w:pPr>
          </w:p>
        </w:tc>
        <w:tc>
          <w:tcPr>
            <w:tcW w:w="2268" w:type="dxa"/>
          </w:tcPr>
          <w:p w14:paraId="7870451F" w14:textId="77777777" w:rsidR="00C52A9F" w:rsidRPr="00C52A9F" w:rsidRDefault="00C52A9F" w:rsidP="00C52A9F">
            <w:pPr>
              <w:jc w:val="both"/>
              <w:rPr>
                <w:rFonts w:ascii="Century Gothic" w:hAnsi="Century Gothic" w:cs="Arial"/>
                <w:b/>
              </w:rPr>
            </w:pPr>
          </w:p>
        </w:tc>
        <w:tc>
          <w:tcPr>
            <w:tcW w:w="1985" w:type="dxa"/>
          </w:tcPr>
          <w:p w14:paraId="0618B040" w14:textId="77777777" w:rsidR="00C52A9F" w:rsidRPr="00C52A9F" w:rsidRDefault="00C52A9F" w:rsidP="00C52A9F">
            <w:pPr>
              <w:jc w:val="both"/>
              <w:rPr>
                <w:rFonts w:ascii="Century Gothic" w:hAnsi="Century Gothic" w:cs="Arial"/>
                <w:b/>
              </w:rPr>
            </w:pPr>
          </w:p>
        </w:tc>
      </w:tr>
      <w:tr w:rsidR="00C52A9F" w:rsidRPr="00C52A9F" w14:paraId="34CF9194" w14:textId="77777777" w:rsidTr="000C06B6">
        <w:tc>
          <w:tcPr>
            <w:tcW w:w="1702" w:type="dxa"/>
            <w:tcBorders>
              <w:top w:val="single" w:sz="4" w:space="0" w:color="auto"/>
              <w:left w:val="single" w:sz="4" w:space="0" w:color="auto"/>
              <w:bottom w:val="single" w:sz="4" w:space="0" w:color="auto"/>
              <w:right w:val="single" w:sz="4" w:space="0" w:color="auto"/>
            </w:tcBorders>
          </w:tcPr>
          <w:p w14:paraId="12E65663" w14:textId="77777777" w:rsidR="00C52A9F" w:rsidRPr="00C52A9F" w:rsidRDefault="00C52A9F" w:rsidP="00C52A9F">
            <w:pPr>
              <w:jc w:val="both"/>
              <w:rPr>
                <w:rFonts w:ascii="Century Gothic" w:hAnsi="Century Gothic" w:cs="Arial"/>
                <w:b/>
                <w:noProof/>
                <w:lang w:val="es-MX" w:eastAsia="es-MX"/>
              </w:rPr>
            </w:pPr>
            <w:r w:rsidRPr="00C52A9F">
              <w:rPr>
                <w:rFonts w:ascii="Century Gothic" w:hAnsi="Century Gothic" w:cs="Arial"/>
                <w:b/>
                <w:noProof/>
                <w:color w:val="000000"/>
                <w:lang w:val="es-MX" w:eastAsia="es-MX"/>
              </w:rPr>
              <w:drawing>
                <wp:anchor distT="0" distB="0" distL="114300" distR="114300" simplePos="0" relativeHeight="251663360" behindDoc="1" locked="0" layoutInCell="1" allowOverlap="1" wp14:anchorId="0A2693D4" wp14:editId="0501EE08">
                  <wp:simplePos x="0" y="0"/>
                  <wp:positionH relativeFrom="column">
                    <wp:posOffset>67310</wp:posOffset>
                  </wp:positionH>
                  <wp:positionV relativeFrom="paragraph">
                    <wp:posOffset>88900</wp:posOffset>
                  </wp:positionV>
                  <wp:extent cx="829310" cy="1099185"/>
                  <wp:effectExtent l="0" t="0" r="8890" b="571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yanira.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29310" cy="1099185"/>
                          </a:xfrm>
                          <a:prstGeom prst="rect">
                            <a:avLst/>
                          </a:prstGeom>
                        </pic:spPr>
                      </pic:pic>
                    </a:graphicData>
                  </a:graphic>
                  <wp14:sizeRelH relativeFrom="page">
                    <wp14:pctWidth>0</wp14:pctWidth>
                  </wp14:sizeRelH>
                  <wp14:sizeRelV relativeFrom="page">
                    <wp14:pctHeight>0</wp14:pctHeight>
                  </wp14:sizeRelV>
                </wp:anchor>
              </w:drawing>
            </w:r>
          </w:p>
        </w:tc>
        <w:tc>
          <w:tcPr>
            <w:tcW w:w="1984" w:type="dxa"/>
            <w:tcBorders>
              <w:top w:val="single" w:sz="4" w:space="0" w:color="auto"/>
              <w:left w:val="single" w:sz="4" w:space="0" w:color="auto"/>
              <w:bottom w:val="single" w:sz="4" w:space="0" w:color="auto"/>
              <w:right w:val="single" w:sz="4" w:space="0" w:color="auto"/>
            </w:tcBorders>
          </w:tcPr>
          <w:p w14:paraId="298CC33F" w14:textId="77777777" w:rsidR="00C52A9F" w:rsidRPr="00C52A9F" w:rsidRDefault="00C52A9F" w:rsidP="00C52A9F">
            <w:pPr>
              <w:contextualSpacing/>
              <w:jc w:val="center"/>
              <w:rPr>
                <w:rFonts w:ascii="Century Gothic" w:hAnsi="Century Gothic" w:cs="Arial"/>
                <w:b/>
                <w:lang w:val="es-MX" w:eastAsia="es-MX"/>
              </w:rPr>
            </w:pPr>
          </w:p>
          <w:p w14:paraId="182B12F8" w14:textId="77777777" w:rsidR="00C52A9F" w:rsidRPr="00C52A9F" w:rsidRDefault="00C52A9F" w:rsidP="00C52A9F">
            <w:pPr>
              <w:contextualSpacing/>
              <w:jc w:val="center"/>
              <w:rPr>
                <w:rFonts w:ascii="Century Gothic" w:hAnsi="Century Gothic" w:cs="Arial"/>
                <w:b/>
                <w:lang w:val="es-MX" w:eastAsia="es-MX"/>
              </w:rPr>
            </w:pPr>
            <w:r w:rsidRPr="00C52A9F">
              <w:rPr>
                <w:rFonts w:ascii="Century Gothic" w:hAnsi="Century Gothic" w:cs="Arial"/>
                <w:b/>
                <w:lang w:val="es-MX" w:eastAsia="es-MX"/>
              </w:rPr>
              <w:t>DIP. GUSTAVO DE LA ROSA HICKERSON</w:t>
            </w:r>
          </w:p>
          <w:p w14:paraId="478367B8" w14:textId="77777777" w:rsidR="00C52A9F" w:rsidRPr="00C52A9F" w:rsidRDefault="00C52A9F" w:rsidP="00C52A9F">
            <w:pPr>
              <w:contextualSpacing/>
              <w:jc w:val="center"/>
              <w:rPr>
                <w:rFonts w:ascii="Century Gothic" w:hAnsi="Century Gothic" w:cs="Arial"/>
                <w:b/>
                <w:lang w:val="es-MX" w:eastAsia="es-MX"/>
              </w:rPr>
            </w:pPr>
            <w:r w:rsidRPr="00C52A9F">
              <w:rPr>
                <w:rFonts w:ascii="Century Gothic" w:hAnsi="Century Gothic" w:cs="Arial"/>
                <w:b/>
                <w:lang w:val="es-MX" w:eastAsia="es-MX"/>
              </w:rPr>
              <w:t>VOCAL</w:t>
            </w:r>
          </w:p>
          <w:p w14:paraId="172EDD74" w14:textId="77777777" w:rsidR="00C52A9F" w:rsidRPr="00C52A9F" w:rsidRDefault="00C52A9F" w:rsidP="00C52A9F">
            <w:pPr>
              <w:contextualSpacing/>
              <w:jc w:val="center"/>
              <w:rPr>
                <w:rFonts w:ascii="Century Gothic" w:hAnsi="Century Gothic" w:cs="Arial"/>
                <w:b/>
                <w:lang w:val="es-MX" w:eastAsia="es-MX"/>
              </w:rPr>
            </w:pPr>
          </w:p>
          <w:p w14:paraId="7BF27C49" w14:textId="77777777" w:rsidR="00C52A9F" w:rsidRPr="00C52A9F" w:rsidRDefault="00C52A9F" w:rsidP="00C52A9F">
            <w:pPr>
              <w:contextualSpacing/>
              <w:jc w:val="center"/>
              <w:rPr>
                <w:rFonts w:ascii="Century Gothic" w:hAnsi="Century Gothic" w:cs="Arial"/>
                <w:b/>
                <w:lang w:val="es-MX" w:eastAsia="es-MX"/>
              </w:rPr>
            </w:pPr>
          </w:p>
        </w:tc>
        <w:tc>
          <w:tcPr>
            <w:tcW w:w="2268" w:type="dxa"/>
            <w:tcBorders>
              <w:top w:val="single" w:sz="4" w:space="0" w:color="auto"/>
              <w:left w:val="single" w:sz="4" w:space="0" w:color="auto"/>
              <w:bottom w:val="single" w:sz="4" w:space="0" w:color="auto"/>
              <w:right w:val="single" w:sz="4" w:space="0" w:color="auto"/>
            </w:tcBorders>
          </w:tcPr>
          <w:p w14:paraId="2096F1DC" w14:textId="77777777" w:rsidR="00C52A9F" w:rsidRPr="00C52A9F" w:rsidRDefault="00C52A9F" w:rsidP="00C52A9F">
            <w:pPr>
              <w:jc w:val="both"/>
              <w:rPr>
                <w:rFonts w:ascii="Century Gothic" w:hAnsi="Century Gothic" w:cs="Arial"/>
                <w:b/>
              </w:rPr>
            </w:pPr>
          </w:p>
        </w:tc>
        <w:tc>
          <w:tcPr>
            <w:tcW w:w="2268" w:type="dxa"/>
            <w:tcBorders>
              <w:top w:val="single" w:sz="4" w:space="0" w:color="auto"/>
              <w:left w:val="single" w:sz="4" w:space="0" w:color="auto"/>
              <w:bottom w:val="single" w:sz="4" w:space="0" w:color="auto"/>
              <w:right w:val="single" w:sz="4" w:space="0" w:color="auto"/>
            </w:tcBorders>
          </w:tcPr>
          <w:p w14:paraId="59C949C8" w14:textId="77777777" w:rsidR="00C52A9F" w:rsidRPr="00C52A9F" w:rsidRDefault="00C52A9F" w:rsidP="00C52A9F">
            <w:pPr>
              <w:jc w:val="both"/>
              <w:rPr>
                <w:rFonts w:ascii="Century Gothic" w:hAnsi="Century Gothic" w:cs="Arial"/>
                <w:b/>
              </w:rPr>
            </w:pPr>
          </w:p>
        </w:tc>
        <w:tc>
          <w:tcPr>
            <w:tcW w:w="1985" w:type="dxa"/>
            <w:tcBorders>
              <w:top w:val="single" w:sz="4" w:space="0" w:color="auto"/>
              <w:left w:val="single" w:sz="4" w:space="0" w:color="auto"/>
              <w:bottom w:val="single" w:sz="4" w:space="0" w:color="auto"/>
              <w:right w:val="single" w:sz="4" w:space="0" w:color="auto"/>
            </w:tcBorders>
          </w:tcPr>
          <w:p w14:paraId="1A2054BA" w14:textId="77777777" w:rsidR="00C52A9F" w:rsidRPr="00C52A9F" w:rsidRDefault="00C52A9F" w:rsidP="00C52A9F">
            <w:pPr>
              <w:jc w:val="both"/>
              <w:rPr>
                <w:rFonts w:ascii="Century Gothic" w:hAnsi="Century Gothic" w:cs="Arial"/>
                <w:b/>
              </w:rPr>
            </w:pPr>
          </w:p>
          <w:p w14:paraId="655F1997" w14:textId="77777777" w:rsidR="00C52A9F" w:rsidRPr="00C52A9F" w:rsidRDefault="00C52A9F" w:rsidP="00C52A9F">
            <w:pPr>
              <w:jc w:val="both"/>
              <w:rPr>
                <w:rFonts w:ascii="Century Gothic" w:hAnsi="Century Gothic" w:cs="Arial"/>
                <w:b/>
              </w:rPr>
            </w:pPr>
          </w:p>
          <w:p w14:paraId="0C65B4A3" w14:textId="77777777" w:rsidR="00C52A9F" w:rsidRPr="00C52A9F" w:rsidRDefault="00C52A9F" w:rsidP="00C52A9F">
            <w:pPr>
              <w:jc w:val="both"/>
              <w:rPr>
                <w:rFonts w:ascii="Century Gothic" w:hAnsi="Century Gothic" w:cs="Arial"/>
                <w:b/>
              </w:rPr>
            </w:pPr>
          </w:p>
        </w:tc>
      </w:tr>
      <w:tr w:rsidR="00C52A9F" w:rsidRPr="00C52A9F" w14:paraId="558A02C3" w14:textId="77777777" w:rsidTr="000C06B6">
        <w:tc>
          <w:tcPr>
            <w:tcW w:w="1702" w:type="dxa"/>
            <w:tcBorders>
              <w:top w:val="single" w:sz="4" w:space="0" w:color="auto"/>
              <w:left w:val="single" w:sz="4" w:space="0" w:color="auto"/>
              <w:bottom w:val="single" w:sz="4" w:space="0" w:color="auto"/>
              <w:right w:val="single" w:sz="4" w:space="0" w:color="auto"/>
            </w:tcBorders>
          </w:tcPr>
          <w:p w14:paraId="1A10B5BB" w14:textId="77777777" w:rsidR="00C52A9F" w:rsidRPr="00C52A9F" w:rsidRDefault="00C52A9F" w:rsidP="00C52A9F">
            <w:pPr>
              <w:jc w:val="both"/>
              <w:rPr>
                <w:rFonts w:ascii="Century Gothic" w:hAnsi="Century Gothic" w:cs="Arial"/>
                <w:b/>
                <w:noProof/>
                <w:lang w:val="es-MX" w:eastAsia="es-MX"/>
              </w:rPr>
            </w:pPr>
            <w:r w:rsidRPr="00C52A9F">
              <w:rPr>
                <w:rFonts w:ascii="Century Gothic" w:hAnsi="Century Gothic" w:cs="Arial"/>
                <w:b/>
                <w:noProof/>
                <w:lang w:val="es-MX" w:eastAsia="es-MX"/>
              </w:rPr>
              <w:drawing>
                <wp:inline distT="0" distB="0" distL="0" distR="0" wp14:anchorId="36155D5B" wp14:editId="6CAB4B97">
                  <wp:extent cx="920151" cy="12192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lson.jpg"/>
                          <pic:cNvPicPr/>
                        </pic:nvPicPr>
                        <pic:blipFill>
                          <a:blip r:embed="rId14">
                            <a:extLst>
                              <a:ext uri="{28A0092B-C50C-407E-A947-70E740481C1C}">
                                <a14:useLocalDpi xmlns:a14="http://schemas.microsoft.com/office/drawing/2010/main" val="0"/>
                              </a:ext>
                            </a:extLst>
                          </a:blip>
                          <a:stretch>
                            <a:fillRect/>
                          </a:stretch>
                        </pic:blipFill>
                        <pic:spPr>
                          <a:xfrm>
                            <a:off x="0" y="0"/>
                            <a:ext cx="941714" cy="1247771"/>
                          </a:xfrm>
                          <a:prstGeom prst="rect">
                            <a:avLst/>
                          </a:prstGeom>
                        </pic:spPr>
                      </pic:pic>
                    </a:graphicData>
                  </a:graphic>
                </wp:inline>
              </w:drawing>
            </w:r>
          </w:p>
        </w:tc>
        <w:tc>
          <w:tcPr>
            <w:tcW w:w="1984" w:type="dxa"/>
            <w:tcBorders>
              <w:top w:val="single" w:sz="4" w:space="0" w:color="auto"/>
              <w:left w:val="single" w:sz="4" w:space="0" w:color="auto"/>
              <w:bottom w:val="single" w:sz="4" w:space="0" w:color="auto"/>
              <w:right w:val="single" w:sz="4" w:space="0" w:color="auto"/>
            </w:tcBorders>
          </w:tcPr>
          <w:p w14:paraId="0E188E0B" w14:textId="77777777" w:rsidR="00C52A9F" w:rsidRPr="00C52A9F" w:rsidRDefault="00C52A9F" w:rsidP="00C52A9F">
            <w:pPr>
              <w:contextualSpacing/>
              <w:jc w:val="center"/>
              <w:rPr>
                <w:rFonts w:ascii="Century Gothic" w:hAnsi="Century Gothic" w:cs="Arial"/>
                <w:b/>
                <w:lang w:val="es-MX" w:eastAsia="es-MX"/>
              </w:rPr>
            </w:pPr>
          </w:p>
          <w:p w14:paraId="5F0DFDEE" w14:textId="77777777" w:rsidR="00C52A9F" w:rsidRPr="00C52A9F" w:rsidRDefault="00C52A9F" w:rsidP="00C52A9F">
            <w:pPr>
              <w:contextualSpacing/>
              <w:jc w:val="center"/>
              <w:rPr>
                <w:rFonts w:ascii="Century Gothic" w:hAnsi="Century Gothic" w:cs="Arial"/>
                <w:b/>
                <w:lang w:val="es-MX" w:eastAsia="es-MX"/>
              </w:rPr>
            </w:pPr>
            <w:r w:rsidRPr="00C52A9F">
              <w:rPr>
                <w:rFonts w:ascii="Century Gothic" w:hAnsi="Century Gothic" w:cs="Arial"/>
                <w:b/>
                <w:lang w:val="es-MX" w:eastAsia="es-MX"/>
              </w:rPr>
              <w:t>DIP. CARLOS ALFREDO OLSON SAN VICENTE</w:t>
            </w:r>
          </w:p>
          <w:p w14:paraId="36D38DAB" w14:textId="77777777" w:rsidR="00C52A9F" w:rsidRPr="00C52A9F" w:rsidRDefault="00C52A9F" w:rsidP="00C52A9F">
            <w:pPr>
              <w:contextualSpacing/>
              <w:jc w:val="center"/>
              <w:rPr>
                <w:rFonts w:ascii="Century Gothic" w:hAnsi="Century Gothic" w:cs="Arial"/>
                <w:b/>
                <w:lang w:val="es-MX" w:eastAsia="es-MX"/>
              </w:rPr>
            </w:pPr>
            <w:r w:rsidRPr="00C52A9F">
              <w:rPr>
                <w:rFonts w:ascii="Century Gothic" w:hAnsi="Century Gothic" w:cs="Arial"/>
                <w:b/>
                <w:lang w:val="es-MX" w:eastAsia="es-MX"/>
              </w:rPr>
              <w:t>VOCAL</w:t>
            </w:r>
          </w:p>
          <w:p w14:paraId="6CEEBCC6" w14:textId="77777777" w:rsidR="00C52A9F" w:rsidRPr="00C52A9F" w:rsidRDefault="00C52A9F" w:rsidP="00C52A9F">
            <w:pPr>
              <w:contextualSpacing/>
              <w:jc w:val="center"/>
              <w:rPr>
                <w:rFonts w:ascii="Century Gothic" w:hAnsi="Century Gothic" w:cs="Arial"/>
                <w:b/>
                <w:lang w:val="es-MX" w:eastAsia="es-MX"/>
              </w:rPr>
            </w:pPr>
          </w:p>
        </w:tc>
        <w:tc>
          <w:tcPr>
            <w:tcW w:w="2268" w:type="dxa"/>
            <w:tcBorders>
              <w:top w:val="single" w:sz="4" w:space="0" w:color="auto"/>
              <w:left w:val="single" w:sz="4" w:space="0" w:color="auto"/>
              <w:bottom w:val="single" w:sz="4" w:space="0" w:color="auto"/>
              <w:right w:val="single" w:sz="4" w:space="0" w:color="auto"/>
            </w:tcBorders>
          </w:tcPr>
          <w:p w14:paraId="1DCCE81A" w14:textId="77777777" w:rsidR="00C52A9F" w:rsidRPr="00C52A9F" w:rsidRDefault="00C52A9F" w:rsidP="00C52A9F">
            <w:pPr>
              <w:jc w:val="both"/>
              <w:rPr>
                <w:rFonts w:ascii="Century Gothic" w:hAnsi="Century Gothic" w:cs="Arial"/>
                <w:b/>
              </w:rPr>
            </w:pPr>
          </w:p>
        </w:tc>
        <w:tc>
          <w:tcPr>
            <w:tcW w:w="2268" w:type="dxa"/>
            <w:tcBorders>
              <w:top w:val="single" w:sz="4" w:space="0" w:color="auto"/>
              <w:left w:val="single" w:sz="4" w:space="0" w:color="auto"/>
              <w:bottom w:val="single" w:sz="4" w:space="0" w:color="auto"/>
              <w:right w:val="single" w:sz="4" w:space="0" w:color="auto"/>
            </w:tcBorders>
          </w:tcPr>
          <w:p w14:paraId="58F0DDC6" w14:textId="77777777" w:rsidR="00C52A9F" w:rsidRPr="00C52A9F" w:rsidRDefault="00C52A9F" w:rsidP="00C52A9F">
            <w:pPr>
              <w:jc w:val="both"/>
              <w:rPr>
                <w:rFonts w:ascii="Century Gothic" w:hAnsi="Century Gothic" w:cs="Arial"/>
                <w:b/>
              </w:rPr>
            </w:pPr>
          </w:p>
        </w:tc>
        <w:tc>
          <w:tcPr>
            <w:tcW w:w="1985" w:type="dxa"/>
            <w:tcBorders>
              <w:top w:val="single" w:sz="4" w:space="0" w:color="auto"/>
              <w:left w:val="single" w:sz="4" w:space="0" w:color="auto"/>
              <w:bottom w:val="single" w:sz="4" w:space="0" w:color="auto"/>
              <w:right w:val="single" w:sz="4" w:space="0" w:color="auto"/>
            </w:tcBorders>
          </w:tcPr>
          <w:p w14:paraId="2B78D4D7" w14:textId="77777777" w:rsidR="00C52A9F" w:rsidRPr="00C52A9F" w:rsidRDefault="00C52A9F" w:rsidP="00C52A9F">
            <w:pPr>
              <w:jc w:val="both"/>
              <w:rPr>
                <w:rFonts w:ascii="Century Gothic" w:hAnsi="Century Gothic" w:cs="Arial"/>
                <w:b/>
              </w:rPr>
            </w:pPr>
          </w:p>
        </w:tc>
      </w:tr>
    </w:tbl>
    <w:p w14:paraId="7980F98E" w14:textId="7B429788" w:rsidR="00C52A9F" w:rsidRPr="002377E1" w:rsidRDefault="00C52A9F" w:rsidP="00116DFF">
      <w:pPr>
        <w:contextualSpacing/>
        <w:jc w:val="both"/>
        <w:rPr>
          <w:rFonts w:ascii="Century Gothic" w:hAnsi="Century Gothic"/>
        </w:rPr>
      </w:pPr>
      <w:r w:rsidRPr="00116DFF">
        <w:rPr>
          <w:rFonts w:ascii="Century Gothic" w:eastAsia="Arial" w:hAnsi="Century Gothic" w:cs="Arial"/>
          <w:sz w:val="18"/>
          <w:szCs w:val="20"/>
          <w:lang w:val="es-MX" w:eastAsia="es-MX"/>
        </w:rPr>
        <w:t xml:space="preserve">LA PRESENTE HOJA DE FIRMAS CORRESPONDE AL DICTAMEN RECAÍDO EN EL ASUNTO </w:t>
      </w:r>
      <w:r w:rsidR="00E668ED">
        <w:rPr>
          <w:rFonts w:ascii="Century Gothic" w:eastAsia="Arial" w:hAnsi="Century Gothic" w:cs="Arial"/>
          <w:sz w:val="18"/>
          <w:szCs w:val="20"/>
          <w:lang w:val="es-MX" w:eastAsia="es-MX"/>
        </w:rPr>
        <w:t>851</w:t>
      </w:r>
      <w:r w:rsidRPr="00116DFF">
        <w:rPr>
          <w:rFonts w:ascii="Century Gothic" w:eastAsia="Arial" w:hAnsi="Century Gothic" w:cs="Arial"/>
          <w:sz w:val="18"/>
          <w:szCs w:val="20"/>
          <w:lang w:val="es-MX" w:eastAsia="es-MX"/>
        </w:rPr>
        <w:t>, DE LA COMISIÓN DE JUSTICIA.</w:t>
      </w:r>
    </w:p>
    <w:sectPr w:rsidR="00C52A9F" w:rsidRPr="002377E1" w:rsidSect="00BD706B">
      <w:headerReference w:type="default" r:id="rId15"/>
      <w:footerReference w:type="even" r:id="rId16"/>
      <w:footerReference w:type="default" r:id="rId17"/>
      <w:pgSz w:w="12240" w:h="15840" w:code="1"/>
      <w:pgMar w:top="3402" w:right="1418" w:bottom="1701" w:left="1418"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4C8F3C" w14:textId="77777777" w:rsidR="008C56B7" w:rsidRDefault="008C56B7" w:rsidP="00331CBA">
      <w:r>
        <w:separator/>
      </w:r>
    </w:p>
  </w:endnote>
  <w:endnote w:type="continuationSeparator" w:id="0">
    <w:p w14:paraId="40600461" w14:textId="77777777" w:rsidR="008C56B7" w:rsidRDefault="008C56B7" w:rsidP="00331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F4095" w14:textId="77777777" w:rsidR="00A75A22" w:rsidRDefault="00A75A2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71D7889" w14:textId="77777777" w:rsidR="00A75A22" w:rsidRDefault="00A75A2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75007"/>
      <w:docPartObj>
        <w:docPartGallery w:val="Page Numbers (Bottom of Page)"/>
        <w:docPartUnique/>
      </w:docPartObj>
    </w:sdtPr>
    <w:sdtEndPr/>
    <w:sdtContent>
      <w:p w14:paraId="56F04F2D" w14:textId="77777777" w:rsidR="00A75A22" w:rsidRDefault="00A75A22">
        <w:pPr>
          <w:pStyle w:val="Piedepgina"/>
          <w:jc w:val="right"/>
        </w:pPr>
        <w:r>
          <w:rPr>
            <w:noProof/>
          </w:rPr>
          <w:fldChar w:fldCharType="begin"/>
        </w:r>
        <w:r>
          <w:rPr>
            <w:noProof/>
          </w:rPr>
          <w:instrText xml:space="preserve"> PAGE   \* MERGEFORMAT </w:instrText>
        </w:r>
        <w:r>
          <w:rPr>
            <w:noProof/>
          </w:rPr>
          <w:fldChar w:fldCharType="separate"/>
        </w:r>
        <w:r w:rsidR="008C56B7">
          <w:rPr>
            <w:noProof/>
          </w:rPr>
          <w:t>1</w:t>
        </w:r>
        <w:r>
          <w:rPr>
            <w:noProof/>
          </w:rPr>
          <w:fldChar w:fldCharType="end"/>
        </w:r>
      </w:p>
    </w:sdtContent>
  </w:sdt>
  <w:p w14:paraId="5C1A4E08" w14:textId="5D53528B" w:rsidR="00A75A22" w:rsidRPr="00FC48FC" w:rsidRDefault="005A7DE0" w:rsidP="00356B4E">
    <w:pPr>
      <w:pStyle w:val="Piedepgina"/>
      <w:tabs>
        <w:tab w:val="center" w:pos="4986"/>
        <w:tab w:val="left" w:pos="7185"/>
      </w:tabs>
      <w:rPr>
        <w:lang w:val="en-US"/>
      </w:rPr>
    </w:pPr>
    <w:r>
      <w:rPr>
        <w:rFonts w:ascii="Arial" w:hAnsi="Arial" w:cs="Arial"/>
        <w:sz w:val="16"/>
        <w:szCs w:val="16"/>
        <w:lang w:val="en-US"/>
      </w:rPr>
      <w:t>A851</w:t>
    </w:r>
    <w:r w:rsidR="00A75A22">
      <w:rPr>
        <w:rFonts w:ascii="Arial" w:hAnsi="Arial" w:cs="Arial"/>
        <w:sz w:val="16"/>
        <w:szCs w:val="16"/>
        <w:lang w:val="en-US"/>
      </w:rPr>
      <w:t xml:space="preserve"> /ERS/GAOR/RMO/GTN</w:t>
    </w:r>
  </w:p>
  <w:p w14:paraId="78307D31" w14:textId="77777777" w:rsidR="00A75A22" w:rsidRPr="00FC48FC" w:rsidRDefault="00A75A22" w:rsidP="0091427A">
    <w:pPr>
      <w:pStyle w:val="Piedepgina"/>
      <w:tabs>
        <w:tab w:val="center" w:pos="4986"/>
        <w:tab w:val="left" w:pos="7185"/>
      </w:tabs>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DAB946" w14:textId="77777777" w:rsidR="008C56B7" w:rsidRDefault="008C56B7" w:rsidP="00331CBA">
      <w:r>
        <w:separator/>
      </w:r>
    </w:p>
  </w:footnote>
  <w:footnote w:type="continuationSeparator" w:id="0">
    <w:p w14:paraId="6604A89A" w14:textId="77777777" w:rsidR="008C56B7" w:rsidRDefault="008C56B7" w:rsidP="00331CBA">
      <w:r>
        <w:continuationSeparator/>
      </w:r>
    </w:p>
  </w:footnote>
  <w:footnote w:id="1">
    <w:p w14:paraId="6C201CC4" w14:textId="77777777" w:rsidR="00824B3E" w:rsidRPr="00833C77" w:rsidRDefault="00824B3E" w:rsidP="00824B3E">
      <w:pPr>
        <w:pStyle w:val="Textonotapie"/>
        <w:jc w:val="both"/>
        <w:rPr>
          <w:sz w:val="16"/>
          <w:szCs w:val="16"/>
        </w:rPr>
      </w:pPr>
      <w:r>
        <w:rPr>
          <w:rStyle w:val="Refdenotaalpie"/>
        </w:rPr>
        <w:footnoteRef/>
      </w:r>
      <w:r>
        <w:t xml:space="preserve"> </w:t>
      </w:r>
      <w:r w:rsidRPr="00833C77">
        <w:rPr>
          <w:rFonts w:ascii="Century Gothic" w:hAnsi="Century Gothic"/>
          <w:sz w:val="16"/>
          <w:szCs w:val="16"/>
        </w:rPr>
        <w:t>Edades mínimas legales para la realización de los derechos de las y los adolescentes, UNICEF. Recuperado el 02 de diciembre de 2020, disponible en https://www.unicef.org/lac/media/2646/file/PDF%20Edad%20m%C3%ADnima%20para%20el%20consentimiento%20sexual.pdf</w:t>
      </w:r>
    </w:p>
  </w:footnote>
  <w:footnote w:id="2">
    <w:p w14:paraId="26FC7A2C" w14:textId="77777777" w:rsidR="00824B3E" w:rsidRDefault="00824B3E" w:rsidP="00824B3E">
      <w:pPr>
        <w:pStyle w:val="Textonotapie"/>
      </w:pPr>
      <w:r w:rsidRPr="00ED7348">
        <w:rPr>
          <w:rFonts w:ascii="Century Gothic" w:hAnsi="Century Gothic"/>
          <w:sz w:val="16"/>
          <w:szCs w:val="16"/>
        </w:rPr>
        <w:footnoteRef/>
      </w:r>
      <w:r w:rsidRPr="00ED7348">
        <w:rPr>
          <w:rFonts w:ascii="Century Gothic" w:hAnsi="Century Gothic"/>
          <w:sz w:val="16"/>
          <w:szCs w:val="16"/>
        </w:rPr>
        <w:t xml:space="preserve"> Embarazo en Adolescentes, Fondo de Población de las Naciones Unidas. Recuperado el 02 de diciembre de 2021, disponible en https://mexico.unfpa.org/es/topics/embarazo-en-adolescentes</w:t>
      </w:r>
    </w:p>
  </w:footnote>
  <w:footnote w:id="3">
    <w:p w14:paraId="3EE7C446" w14:textId="77777777" w:rsidR="00824B3E" w:rsidRDefault="00824B3E" w:rsidP="00824B3E">
      <w:pPr>
        <w:pStyle w:val="Textonotapie"/>
        <w:jc w:val="both"/>
      </w:pPr>
      <w:r>
        <w:rPr>
          <w:rStyle w:val="Refdenotaalpie"/>
        </w:rPr>
        <w:footnoteRef/>
      </w:r>
      <w:r>
        <w:t xml:space="preserve"> </w:t>
      </w:r>
      <w:r w:rsidRPr="0005518F">
        <w:rPr>
          <w:rFonts w:ascii="Century Gothic" w:hAnsi="Century Gothic"/>
          <w:sz w:val="16"/>
          <w:szCs w:val="16"/>
        </w:rPr>
        <w:t>Estrategia Nacional para la Prevención del Embarazo en Adolescentes, Instituto Nacional de las Mujeres. Recuperado el 02 de diciembre de 2021, disponible en https://www.gob.mx/inmujeres/acciones-y-programas/estrategia-nacional-para-la-prevencion-del-embarazo-en-adolescentes-33454</w:t>
      </w:r>
    </w:p>
  </w:footnote>
  <w:footnote w:id="4">
    <w:p w14:paraId="5C61868C" w14:textId="77777777" w:rsidR="00824B3E" w:rsidRDefault="00824B3E" w:rsidP="00824B3E">
      <w:pPr>
        <w:pStyle w:val="Textonotapie"/>
        <w:jc w:val="both"/>
      </w:pPr>
      <w:r w:rsidRPr="00C42A11">
        <w:rPr>
          <w:rFonts w:ascii="Century Gothic" w:hAnsi="Century Gothic"/>
          <w:sz w:val="16"/>
          <w:szCs w:val="16"/>
        </w:rPr>
        <w:footnoteRef/>
      </w:r>
      <w:r w:rsidRPr="00C42A11">
        <w:rPr>
          <w:rFonts w:ascii="Century Gothic" w:hAnsi="Century Gothic"/>
          <w:sz w:val="16"/>
          <w:szCs w:val="16"/>
        </w:rPr>
        <w:t xml:space="preserve"> Al alza, embarazos adolescentes en el Estado de Chihuahua, El Heraldo de Chihuhua. Recuperado el 02 de diciembre de 2021, disponible en https://www.elheraldodechihuahua.com.mx/local/al-alza-embarazos-en-adolescentes-en-el-estado-de-chihuahua-salud-publica-natalidad-mortalidad-infantil-6838051.html</w:t>
      </w:r>
    </w:p>
  </w:footnote>
  <w:footnote w:id="5">
    <w:p w14:paraId="24738FE3" w14:textId="77777777" w:rsidR="00824B3E" w:rsidRDefault="00824B3E" w:rsidP="00824B3E">
      <w:pPr>
        <w:pStyle w:val="Textonotapie"/>
      </w:pPr>
      <w:r w:rsidRPr="00833C77">
        <w:rPr>
          <w:rStyle w:val="Refdenotaalpie"/>
          <w:sz w:val="16"/>
          <w:szCs w:val="16"/>
        </w:rPr>
        <w:footnoteRef/>
      </w:r>
      <w:r w:rsidRPr="00833C77">
        <w:rPr>
          <w:sz w:val="16"/>
          <w:szCs w:val="16"/>
        </w:rPr>
        <w:t xml:space="preserve"> </w:t>
      </w:r>
      <w:r w:rsidRPr="00833C77">
        <w:rPr>
          <w:rFonts w:ascii="Century Gothic" w:hAnsi="Century Gothic" w:cs="Arial"/>
          <w:sz w:val="16"/>
          <w:szCs w:val="16"/>
          <w:lang w:val="es-ES_tradnl"/>
        </w:rPr>
        <w:t>Observaciones finales sobre los informes periódicos cuarto y quinto consolidados de México. Comité de los Derechos del Niño. Recuperado el 04 de diciembre de 2021, disponible en https://hchr.org.mx/wp/wp-content/themes/hchr/images/doc_pub/CRC_C_MEX_CO_4-5.pdf</w:t>
      </w:r>
    </w:p>
  </w:footnote>
  <w:footnote w:id="6">
    <w:p w14:paraId="0063C7F1" w14:textId="77777777" w:rsidR="00824B3E" w:rsidRDefault="00824B3E" w:rsidP="00824B3E">
      <w:pPr>
        <w:pStyle w:val="Textonotapie"/>
        <w:jc w:val="both"/>
      </w:pPr>
      <w:r>
        <w:rPr>
          <w:rStyle w:val="Refdenotaalpie"/>
        </w:rPr>
        <w:footnoteRef/>
      </w:r>
      <w:r>
        <w:t xml:space="preserve"> </w:t>
      </w:r>
      <w:r w:rsidRPr="00C56BAF">
        <w:rPr>
          <w:rFonts w:ascii="Century Gothic" w:hAnsi="Century Gothic"/>
          <w:sz w:val="16"/>
        </w:rPr>
        <w:t>Convención Iberoamericana de Derechos de los Jóvenes</w:t>
      </w:r>
      <w:r>
        <w:rPr>
          <w:rFonts w:ascii="Century Gothic" w:hAnsi="Century Gothic"/>
          <w:sz w:val="16"/>
        </w:rPr>
        <w:t xml:space="preserve">, Organismo Internacional de Juventud para Iberoamérica. Recuperado el 02 de diciembre de 2021, disponible en </w:t>
      </w:r>
      <w:r w:rsidRPr="00C56BAF">
        <w:rPr>
          <w:rFonts w:ascii="Century Gothic" w:hAnsi="Century Gothic"/>
          <w:sz w:val="16"/>
        </w:rPr>
        <w:t>https://oij.org/wp-content/uploads/2017/01/Convenci%C3%B3n.pdf</w:t>
      </w:r>
    </w:p>
  </w:footnote>
  <w:footnote w:id="7">
    <w:p w14:paraId="0EFA1F2D" w14:textId="77777777" w:rsidR="00824B3E" w:rsidRDefault="00824B3E" w:rsidP="00824B3E">
      <w:pPr>
        <w:pStyle w:val="Textonotapie"/>
        <w:jc w:val="both"/>
      </w:pPr>
      <w:r>
        <w:rPr>
          <w:rStyle w:val="Refdenotaalpie"/>
        </w:rPr>
        <w:footnoteRef/>
      </w:r>
      <w:r>
        <w:t xml:space="preserve"> </w:t>
      </w:r>
      <w:r w:rsidRPr="005066A9">
        <w:rPr>
          <w:rFonts w:ascii="Century Gothic" w:eastAsia="Century Gothic" w:hAnsi="Century Gothic" w:cs="Century Gothic"/>
          <w:color w:val="000000"/>
          <w:sz w:val="16"/>
          <w:szCs w:val="24"/>
        </w:rPr>
        <w:t>Tesis [A.]: TCC IX.2o.26 P, Semanario judicial de la Federación y su Gaceta, Novena Época, Tomo XV, Enero de 2002, página 1286, Reg. digital 187985.</w:t>
      </w:r>
    </w:p>
  </w:footnote>
  <w:footnote w:id="8">
    <w:p w14:paraId="11C17A01" w14:textId="77777777" w:rsidR="005B0F8D" w:rsidRPr="00833C77" w:rsidRDefault="005B0F8D" w:rsidP="005B0F8D">
      <w:pPr>
        <w:pStyle w:val="Textonotapie"/>
        <w:jc w:val="both"/>
        <w:rPr>
          <w:sz w:val="16"/>
          <w:szCs w:val="16"/>
        </w:rPr>
      </w:pPr>
      <w:r>
        <w:rPr>
          <w:rStyle w:val="Refdenotaalpie"/>
        </w:rPr>
        <w:footnoteRef/>
      </w:r>
      <w:r>
        <w:t xml:space="preserve"> </w:t>
      </w:r>
      <w:r w:rsidRPr="00833C77">
        <w:rPr>
          <w:rFonts w:ascii="Century Gothic" w:hAnsi="Century Gothic"/>
          <w:sz w:val="16"/>
          <w:szCs w:val="16"/>
        </w:rPr>
        <w:t>Edades mínimas legales para la realización de los derechos de las y los adolescentes, UNICEF. Recuperado el 02 de diciembre de 2020, disponible en https://www.unicef.org/lac/media/2646/file/PDF%20Edad%20m%C3%ADnima%20para%20el%20consentimiento%20sexual.pdf</w:t>
      </w:r>
    </w:p>
  </w:footnote>
  <w:footnote w:id="9">
    <w:p w14:paraId="4672355B" w14:textId="77777777" w:rsidR="005B0F8D" w:rsidRDefault="005B0F8D" w:rsidP="005B0F8D">
      <w:pPr>
        <w:pStyle w:val="Textonotapie"/>
      </w:pPr>
      <w:r w:rsidRPr="00ED7348">
        <w:rPr>
          <w:rFonts w:ascii="Century Gothic" w:hAnsi="Century Gothic"/>
          <w:sz w:val="16"/>
          <w:szCs w:val="16"/>
        </w:rPr>
        <w:footnoteRef/>
      </w:r>
      <w:r w:rsidRPr="00ED7348">
        <w:rPr>
          <w:rFonts w:ascii="Century Gothic" w:hAnsi="Century Gothic"/>
          <w:sz w:val="16"/>
          <w:szCs w:val="16"/>
        </w:rPr>
        <w:t xml:space="preserve"> Embarazo en Adolescentes, Fondo de Población de las Naciones Unidas. Recuperado el 02 de diciembre de 2021, disponible en https://mexico.unfpa.org/es/topics/embarazo-en-adolescentes</w:t>
      </w:r>
    </w:p>
  </w:footnote>
  <w:footnote w:id="10">
    <w:p w14:paraId="2675CF5C" w14:textId="77777777" w:rsidR="005B0F8D" w:rsidRDefault="005B0F8D" w:rsidP="005B0F8D">
      <w:pPr>
        <w:pStyle w:val="Textonotapie"/>
        <w:jc w:val="both"/>
      </w:pPr>
      <w:r>
        <w:rPr>
          <w:rStyle w:val="Refdenotaalpie"/>
        </w:rPr>
        <w:footnoteRef/>
      </w:r>
      <w:r>
        <w:t xml:space="preserve"> </w:t>
      </w:r>
      <w:r w:rsidRPr="0005518F">
        <w:rPr>
          <w:rFonts w:ascii="Century Gothic" w:hAnsi="Century Gothic"/>
          <w:sz w:val="16"/>
          <w:szCs w:val="16"/>
        </w:rPr>
        <w:t>Estrategia Nacional para la Prevención del Embarazo en Adolescentes, Instituto Nacional de las Mujeres. Recuperado el 02 de diciembre de 2021, disponible en https://www.gob.mx/inmujeres/acciones-y-programas/estrategia-nacional-para-la-prevencion-del-embarazo-en-adolescentes-33454</w:t>
      </w:r>
    </w:p>
  </w:footnote>
  <w:footnote w:id="11">
    <w:p w14:paraId="10A0B419" w14:textId="77777777" w:rsidR="005B0F8D" w:rsidRDefault="005B0F8D" w:rsidP="005B0F8D">
      <w:pPr>
        <w:pStyle w:val="Textonotapie"/>
        <w:jc w:val="both"/>
      </w:pPr>
      <w:r w:rsidRPr="00C42A11">
        <w:rPr>
          <w:rFonts w:ascii="Century Gothic" w:hAnsi="Century Gothic"/>
          <w:sz w:val="16"/>
          <w:szCs w:val="16"/>
        </w:rPr>
        <w:footnoteRef/>
      </w:r>
      <w:r w:rsidRPr="00C42A11">
        <w:rPr>
          <w:rFonts w:ascii="Century Gothic" w:hAnsi="Century Gothic"/>
          <w:sz w:val="16"/>
          <w:szCs w:val="16"/>
        </w:rPr>
        <w:t xml:space="preserve"> Al alza, embarazos adolescentes en el Estado de Chihuahua, El Heraldo de Chihuhua. Recuperado el 02 de diciembre de 2021, disponible en https://www.elheraldodechihuahua.com.mx/local/al-alza-embarazos-en-adolescentes-en-el-estado-de-chihuahua-salud-publica-natalidad-mortalidad-infantil-6838051.html</w:t>
      </w:r>
    </w:p>
  </w:footnote>
  <w:footnote w:id="12">
    <w:p w14:paraId="1AA16EEB" w14:textId="1CCAF48F" w:rsidR="00173C9D" w:rsidRPr="00173C9D" w:rsidRDefault="00173C9D" w:rsidP="00173C9D">
      <w:pPr>
        <w:pStyle w:val="Textonotapie"/>
      </w:pPr>
      <w:r>
        <w:rPr>
          <w:rStyle w:val="Refdenotaalpie"/>
        </w:rPr>
        <w:footnoteRef/>
      </w:r>
      <w:r>
        <w:t xml:space="preserve"> Suprema Corte de Justicia de la Nación. Registro digital: 2019415.Instancia: Primera Sala. Décima Época. Materias(s): Penal. Tesis: 1a. XXII/2019 (10a.). Fuente: Gaceta del Semanario Judicial de la Federación. Libro 64, Marzo de 2019, Tomo II, página 1400. Tipo: Aislada. DELITO DE CORRUPCIÓN DE PERSONAS MENORES DE EDAD. PARA VERIFICAR EL SUPUESTO TÍPICO DE VÍCTIMAS ADOLESCENTES EN ACTOS SEXUALES SE DEBE PONDERAR SI EJERCIERON LIBREMENTE SUS DERECHOS.</w:t>
      </w:r>
    </w:p>
  </w:footnote>
  <w:footnote w:id="13">
    <w:p w14:paraId="69CE58A8" w14:textId="26291B1D" w:rsidR="00173C9D" w:rsidRPr="00173C9D" w:rsidRDefault="00173C9D">
      <w:pPr>
        <w:pStyle w:val="Textonotapie"/>
        <w:rPr>
          <w:lang w:val="es-MX"/>
        </w:rPr>
      </w:pPr>
      <w:r>
        <w:rPr>
          <w:rStyle w:val="Refdenotaalpie"/>
        </w:rPr>
        <w:footnoteRef/>
      </w:r>
      <w:r>
        <w:t xml:space="preserve"> Ídem. </w:t>
      </w:r>
    </w:p>
  </w:footnote>
  <w:footnote w:id="14">
    <w:p w14:paraId="60DD13C4" w14:textId="121EFF40" w:rsidR="00173C9D" w:rsidRPr="00173C9D" w:rsidRDefault="00173C9D">
      <w:pPr>
        <w:pStyle w:val="Textonotapie"/>
        <w:rPr>
          <w:lang w:val="es-MX"/>
        </w:rPr>
      </w:pPr>
      <w:r>
        <w:rPr>
          <w:rStyle w:val="Refdenotaalpie"/>
        </w:rPr>
        <w:footnoteRef/>
      </w:r>
      <w:r>
        <w:t xml:space="preserve"> Ídem </w:t>
      </w:r>
    </w:p>
  </w:footnote>
  <w:footnote w:id="15">
    <w:p w14:paraId="38AB6002" w14:textId="0E42FFC5" w:rsidR="00124191" w:rsidRPr="00124191" w:rsidRDefault="00124191" w:rsidP="00124191">
      <w:pPr>
        <w:pStyle w:val="Textonotapie"/>
      </w:pPr>
      <w:r>
        <w:rPr>
          <w:rStyle w:val="Refdenotaalpie"/>
        </w:rPr>
        <w:footnoteRef/>
      </w:r>
      <w:r>
        <w:t xml:space="preserve"> Suprema Corte de Justicia de la Nación. Registro digital: 2018695. Instancia: Primera Sala. Décima Época. Materias(s): Constitucional. Tesis: 1a. CCLXXXI/2018 (10a.). Fuente: Gaceta del Semanario Judicial de la Federación. Libro 61, Diciembre de 2018, Tomo I, página 336. Tipo: Aislada. INTERÉS SUPERIOR DEL MENOR. EL ARTÍCULO 23 DEL CÓDIGO CIVIL DEL ESTADO DE QUERÉTARO, QUE LO DEFINE COMO LA PRIORIDAD QUE HA DE OTORGARSE A LOS DERECHOS DE LOS MENORES, RESPECTO DE LOS DE CUALQUIER OTRA PERSONA, ES CONSTITUCIONAL. </w:t>
      </w:r>
    </w:p>
  </w:footnote>
  <w:footnote w:id="16">
    <w:p w14:paraId="1F7DD7AB" w14:textId="77777777" w:rsidR="00124191" w:rsidRPr="00E759ED" w:rsidRDefault="00124191" w:rsidP="00124191">
      <w:pPr>
        <w:pStyle w:val="Textonotapie"/>
        <w:jc w:val="both"/>
      </w:pPr>
      <w:r>
        <w:rPr>
          <w:rStyle w:val="Refdenotaalpie"/>
        </w:rPr>
        <w:footnoteRef/>
      </w:r>
      <w:r>
        <w:t xml:space="preserve"> </w:t>
      </w:r>
      <w:r w:rsidRPr="00E759ED">
        <w:rPr>
          <w:i/>
        </w:rPr>
        <w:t>Vid.</w:t>
      </w:r>
      <w:r>
        <w:t xml:space="preserve"> Registro: </w:t>
      </w:r>
      <w:r w:rsidRPr="00E759ED">
        <w:t>2008415</w:t>
      </w:r>
      <w:r>
        <w:t xml:space="preserve">. </w:t>
      </w:r>
      <w:r w:rsidRPr="00E759ED">
        <w:t>Instancia: Primera Sala</w:t>
      </w:r>
      <w:r>
        <w:t xml:space="preserve">. </w:t>
      </w:r>
      <w:r w:rsidRPr="00E759ED">
        <w:t>Décima Época</w:t>
      </w:r>
      <w:r>
        <w:t xml:space="preserve">. </w:t>
      </w:r>
      <w:r w:rsidRPr="00E759ED">
        <w:t>Materias(s): Constitucional, Penal</w:t>
      </w:r>
      <w:r>
        <w:t xml:space="preserve">. </w:t>
      </w:r>
      <w:r w:rsidRPr="00E759ED">
        <w:t>Tesis: 1a. LII/2015 (10a.)</w:t>
      </w:r>
      <w:r>
        <w:t>. Febrero de 2015.</w:t>
      </w:r>
      <w:r w:rsidRPr="00E759ED">
        <w:t xml:space="preserve"> Tipo: Aislada PEDERASTIA. EL ARTÍCULO 209 BIS DEL CÓDIGO PENAL FEDERAL, QUE ESTABLECE LA SANCIÓN PARA QUIEN COMETA ESE DELITO, NO VULNERA EL PRINCIPIO DE PROPORCIONALIDAD DE LA PENA.</w:t>
      </w:r>
    </w:p>
    <w:p w14:paraId="39C77BB6" w14:textId="77777777" w:rsidR="00124191" w:rsidRDefault="00124191" w:rsidP="00124191">
      <w:pPr>
        <w:pStyle w:val="Textonotapie"/>
        <w:jc w:val="both"/>
      </w:pPr>
    </w:p>
  </w:footnote>
  <w:footnote w:id="17">
    <w:p w14:paraId="34E1BE9F" w14:textId="77777777" w:rsidR="00124191" w:rsidRDefault="00124191" w:rsidP="00124191">
      <w:pPr>
        <w:pStyle w:val="Textonotapie"/>
        <w:jc w:val="both"/>
      </w:pPr>
      <w:r>
        <w:rPr>
          <w:rStyle w:val="Refdenotaalpie"/>
        </w:rPr>
        <w:footnoteRef/>
      </w:r>
      <w:r>
        <w:t xml:space="preserve"> </w:t>
      </w:r>
      <w:r w:rsidRPr="007F28C2">
        <w:rPr>
          <w:i/>
          <w:iCs/>
        </w:rPr>
        <w:t>Vid</w:t>
      </w:r>
      <w:r>
        <w:t>. Suprema Corte de Justicia de la Nación. Primera Sala. Amparo Directo en Revisión 776/214. Estudio de Fondo.  Parr.104.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A9324" w14:textId="77777777" w:rsidR="00A75A22" w:rsidRPr="00A739FE" w:rsidRDefault="00A75A22" w:rsidP="00A739FE">
    <w:pPr>
      <w:pStyle w:val="Encabezado"/>
      <w:jc w:val="right"/>
      <w:rPr>
        <w:rFonts w:ascii="Century Gothic" w:eastAsia="Calibri" w:hAnsi="Century Gothic" w:cs="Arial"/>
        <w:b/>
        <w:bCs/>
        <w:sz w:val="18"/>
        <w:szCs w:val="18"/>
        <w:lang w:val="es-MX" w:eastAsia="en-US"/>
      </w:rPr>
    </w:pPr>
    <w:r w:rsidRPr="00A739FE">
      <w:rPr>
        <w:rFonts w:ascii="Century Gothic" w:eastAsia="Calibri" w:hAnsi="Century Gothic" w:cs="Arial"/>
        <w:b/>
        <w:bCs/>
        <w:sz w:val="18"/>
        <w:szCs w:val="18"/>
        <w:lang w:val="es-MX" w:eastAsia="en-US"/>
      </w:rPr>
      <w:t>"2022, Año del Centenario de la llegada de la Comunidad Menonita a Chihuahua”</w:t>
    </w:r>
  </w:p>
  <w:p w14:paraId="55BBAFCF" w14:textId="77777777" w:rsidR="00A75A22" w:rsidRPr="00450450" w:rsidRDefault="00A75A22" w:rsidP="007C6780">
    <w:pPr>
      <w:pStyle w:val="Encabezado"/>
      <w:jc w:val="center"/>
      <w:rPr>
        <w:rFonts w:ascii="Arial" w:hAnsi="Arial" w:cs="Arial"/>
        <w:b/>
        <w:sz w:val="20"/>
        <w:szCs w:val="20"/>
      </w:rPr>
    </w:pPr>
  </w:p>
  <w:p w14:paraId="1C5468F9" w14:textId="77777777" w:rsidR="00A75A22" w:rsidRPr="0091427A" w:rsidRDefault="00A75A22" w:rsidP="00FC48FC">
    <w:pPr>
      <w:pStyle w:val="Encabezado"/>
      <w:jc w:val="right"/>
      <w:rPr>
        <w:rFonts w:ascii="Century Gothic" w:hAnsi="Century Gothic"/>
        <w:b/>
      </w:rPr>
    </w:pPr>
    <w:r w:rsidRPr="0091427A">
      <w:rPr>
        <w:rFonts w:ascii="Century Gothic" w:hAnsi="Century Gothic"/>
        <w:b/>
      </w:rPr>
      <w:t xml:space="preserve">Comisión de </w:t>
    </w:r>
    <w:r>
      <w:rPr>
        <w:rFonts w:ascii="Century Gothic" w:hAnsi="Century Gothic"/>
        <w:b/>
      </w:rPr>
      <w:t>Justicia</w:t>
    </w:r>
    <w:r w:rsidRPr="0091427A">
      <w:rPr>
        <w:rFonts w:ascii="Century Gothic" w:hAnsi="Century Gothic"/>
        <w:b/>
      </w:rPr>
      <w:t>.</w:t>
    </w:r>
  </w:p>
  <w:p w14:paraId="6D4BEAF3" w14:textId="77777777" w:rsidR="00A75A22" w:rsidRPr="0091427A" w:rsidRDefault="00A75A22" w:rsidP="007C6780">
    <w:pPr>
      <w:pStyle w:val="Encabezado"/>
      <w:jc w:val="right"/>
      <w:rPr>
        <w:rFonts w:ascii="Century Gothic" w:hAnsi="Century Gothic"/>
        <w:b/>
      </w:rPr>
    </w:pPr>
    <w:r w:rsidRPr="0091427A">
      <w:rPr>
        <w:rFonts w:ascii="Century Gothic" w:hAnsi="Century Gothic"/>
        <w:b/>
      </w:rPr>
      <w:t>LXVI</w:t>
    </w:r>
    <w:r>
      <w:rPr>
        <w:rFonts w:ascii="Century Gothic" w:hAnsi="Century Gothic"/>
        <w:b/>
      </w:rPr>
      <w:t>I</w:t>
    </w:r>
    <w:r w:rsidRPr="0091427A">
      <w:rPr>
        <w:rFonts w:ascii="Century Gothic" w:hAnsi="Century Gothic"/>
        <w:b/>
      </w:rPr>
      <w:t xml:space="preserve"> LEGISLATURA</w:t>
    </w:r>
  </w:p>
  <w:p w14:paraId="14816BF5" w14:textId="77777777" w:rsidR="00A75A22" w:rsidRDefault="00A75A22" w:rsidP="007C6780">
    <w:pPr>
      <w:pStyle w:val="Encabezado"/>
      <w:jc w:val="right"/>
      <w:rPr>
        <w:rFonts w:ascii="Century Gothic" w:hAnsi="Century Gothic"/>
        <w:b/>
      </w:rPr>
    </w:pPr>
  </w:p>
  <w:p w14:paraId="44175D43" w14:textId="2CE76234" w:rsidR="00A75A22" w:rsidRDefault="00A75A22" w:rsidP="00621915">
    <w:pPr>
      <w:pStyle w:val="Encabezado"/>
      <w:jc w:val="right"/>
      <w:rPr>
        <w:rFonts w:ascii="Century Gothic" w:hAnsi="Century Gothic"/>
        <w:b/>
      </w:rPr>
    </w:pPr>
    <w:r>
      <w:rPr>
        <w:rFonts w:ascii="Century Gothic" w:hAnsi="Century Gothic"/>
        <w:b/>
      </w:rPr>
      <w:t>DCJ/</w:t>
    </w:r>
    <w:r w:rsidR="005A7DE0">
      <w:rPr>
        <w:rFonts w:ascii="Century Gothic" w:hAnsi="Century Gothic"/>
        <w:b/>
      </w:rPr>
      <w:t>011</w:t>
    </w:r>
    <w:r>
      <w:rPr>
        <w:rFonts w:ascii="Century Gothic" w:hAnsi="Century Gothic"/>
        <w:b/>
      </w:rPr>
      <w:t>/2022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8D2421"/>
    <w:multiLevelType w:val="multilevel"/>
    <w:tmpl w:val="E1809B40"/>
    <w:styleLink w:val="Estilo1"/>
    <w:lvl w:ilvl="0">
      <w:start w:val="1"/>
      <w:numFmt w:val="lowerLetter"/>
      <w:lvlText w:val="%1."/>
      <w:lvlJc w:val="left"/>
      <w:pPr>
        <w:ind w:left="1815" w:hanging="360"/>
      </w:pPr>
    </w:lvl>
    <w:lvl w:ilvl="1">
      <w:start w:val="1"/>
      <w:numFmt w:val="lowerLetter"/>
      <w:lvlText w:val="%2."/>
      <w:lvlJc w:val="left"/>
      <w:pPr>
        <w:ind w:left="2535" w:hanging="360"/>
      </w:pPr>
    </w:lvl>
    <w:lvl w:ilvl="2">
      <w:start w:val="1"/>
      <w:numFmt w:val="lowerRoman"/>
      <w:lvlText w:val="%3."/>
      <w:lvlJc w:val="right"/>
      <w:pPr>
        <w:ind w:left="3255" w:hanging="180"/>
      </w:pPr>
    </w:lvl>
    <w:lvl w:ilvl="3">
      <w:start w:val="1"/>
      <w:numFmt w:val="decimal"/>
      <w:lvlText w:val="%4."/>
      <w:lvlJc w:val="left"/>
      <w:pPr>
        <w:ind w:left="3975" w:hanging="360"/>
      </w:pPr>
    </w:lvl>
    <w:lvl w:ilvl="4">
      <w:start w:val="1"/>
      <w:numFmt w:val="lowerLetter"/>
      <w:lvlText w:val="%5."/>
      <w:lvlJc w:val="left"/>
      <w:pPr>
        <w:ind w:left="4695" w:hanging="360"/>
      </w:pPr>
    </w:lvl>
    <w:lvl w:ilvl="5">
      <w:start w:val="1"/>
      <w:numFmt w:val="lowerRoman"/>
      <w:lvlText w:val="%6."/>
      <w:lvlJc w:val="right"/>
      <w:pPr>
        <w:ind w:left="5415" w:hanging="180"/>
      </w:pPr>
    </w:lvl>
    <w:lvl w:ilvl="6">
      <w:start w:val="1"/>
      <w:numFmt w:val="decimal"/>
      <w:lvlText w:val="%7."/>
      <w:lvlJc w:val="left"/>
      <w:pPr>
        <w:ind w:left="6135" w:hanging="360"/>
      </w:pPr>
    </w:lvl>
    <w:lvl w:ilvl="7">
      <w:start w:val="1"/>
      <w:numFmt w:val="lowerLetter"/>
      <w:lvlText w:val="%8."/>
      <w:lvlJc w:val="left"/>
      <w:pPr>
        <w:ind w:left="6855" w:hanging="360"/>
      </w:pPr>
    </w:lvl>
    <w:lvl w:ilvl="8">
      <w:start w:val="1"/>
      <w:numFmt w:val="lowerRoman"/>
      <w:lvlText w:val="%9."/>
      <w:lvlJc w:val="right"/>
      <w:pPr>
        <w:ind w:left="7575" w:hanging="180"/>
      </w:pPr>
    </w:lvl>
  </w:abstractNum>
  <w:abstractNum w:abstractNumId="1" w15:restartNumberingAfterBreak="0">
    <w:nsid w:val="7B721C5F"/>
    <w:multiLevelType w:val="hybridMultilevel"/>
    <w:tmpl w:val="232CA2E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CBA"/>
    <w:rsid w:val="000012DE"/>
    <w:rsid w:val="000119FD"/>
    <w:rsid w:val="000133EF"/>
    <w:rsid w:val="00014A86"/>
    <w:rsid w:val="00017B0E"/>
    <w:rsid w:val="00021FD2"/>
    <w:rsid w:val="00022EC4"/>
    <w:rsid w:val="00026077"/>
    <w:rsid w:val="00030F31"/>
    <w:rsid w:val="00031568"/>
    <w:rsid w:val="00033C9F"/>
    <w:rsid w:val="00036145"/>
    <w:rsid w:val="00037019"/>
    <w:rsid w:val="000429E1"/>
    <w:rsid w:val="00042BE2"/>
    <w:rsid w:val="00043CA6"/>
    <w:rsid w:val="00051AB5"/>
    <w:rsid w:val="00051D9C"/>
    <w:rsid w:val="0005404A"/>
    <w:rsid w:val="000556C9"/>
    <w:rsid w:val="00056BA9"/>
    <w:rsid w:val="00057FD5"/>
    <w:rsid w:val="00060A1D"/>
    <w:rsid w:val="00064D71"/>
    <w:rsid w:val="00066693"/>
    <w:rsid w:val="00067612"/>
    <w:rsid w:val="000677BC"/>
    <w:rsid w:val="000701D0"/>
    <w:rsid w:val="000743C2"/>
    <w:rsid w:val="0008079B"/>
    <w:rsid w:val="00084A53"/>
    <w:rsid w:val="00084B09"/>
    <w:rsid w:val="00085026"/>
    <w:rsid w:val="00085038"/>
    <w:rsid w:val="00085129"/>
    <w:rsid w:val="00087799"/>
    <w:rsid w:val="000909A0"/>
    <w:rsid w:val="00090D0B"/>
    <w:rsid w:val="000917C9"/>
    <w:rsid w:val="0009428B"/>
    <w:rsid w:val="0009442B"/>
    <w:rsid w:val="000971FA"/>
    <w:rsid w:val="000A227B"/>
    <w:rsid w:val="000A31A4"/>
    <w:rsid w:val="000A3638"/>
    <w:rsid w:val="000A63C9"/>
    <w:rsid w:val="000A7AF2"/>
    <w:rsid w:val="000A7BA7"/>
    <w:rsid w:val="000B0550"/>
    <w:rsid w:val="000B0DAD"/>
    <w:rsid w:val="000C06B6"/>
    <w:rsid w:val="000C2791"/>
    <w:rsid w:val="000C2DAC"/>
    <w:rsid w:val="000D022B"/>
    <w:rsid w:val="000D50DC"/>
    <w:rsid w:val="000E399D"/>
    <w:rsid w:val="000E40B2"/>
    <w:rsid w:val="000E607A"/>
    <w:rsid w:val="000F44C0"/>
    <w:rsid w:val="000F4F41"/>
    <w:rsid w:val="000F51B0"/>
    <w:rsid w:val="000F70D0"/>
    <w:rsid w:val="000F76C9"/>
    <w:rsid w:val="00100C26"/>
    <w:rsid w:val="001019B7"/>
    <w:rsid w:val="00101D85"/>
    <w:rsid w:val="00110C51"/>
    <w:rsid w:val="001125B9"/>
    <w:rsid w:val="0011350B"/>
    <w:rsid w:val="00116DFF"/>
    <w:rsid w:val="00120612"/>
    <w:rsid w:val="00122AFC"/>
    <w:rsid w:val="00124191"/>
    <w:rsid w:val="001316AF"/>
    <w:rsid w:val="001339E6"/>
    <w:rsid w:val="00134515"/>
    <w:rsid w:val="0013500E"/>
    <w:rsid w:val="001362B8"/>
    <w:rsid w:val="001419EB"/>
    <w:rsid w:val="00141A70"/>
    <w:rsid w:val="0014239A"/>
    <w:rsid w:val="00144D96"/>
    <w:rsid w:val="00145872"/>
    <w:rsid w:val="00146091"/>
    <w:rsid w:val="00147529"/>
    <w:rsid w:val="001501B3"/>
    <w:rsid w:val="00150BF4"/>
    <w:rsid w:val="00151ACF"/>
    <w:rsid w:val="00152BDB"/>
    <w:rsid w:val="00152C67"/>
    <w:rsid w:val="001535B1"/>
    <w:rsid w:val="0015471C"/>
    <w:rsid w:val="0015696D"/>
    <w:rsid w:val="00156C55"/>
    <w:rsid w:val="001625AC"/>
    <w:rsid w:val="00163502"/>
    <w:rsid w:val="00163B54"/>
    <w:rsid w:val="00163B7D"/>
    <w:rsid w:val="00165C38"/>
    <w:rsid w:val="00166858"/>
    <w:rsid w:val="001716FD"/>
    <w:rsid w:val="00172105"/>
    <w:rsid w:val="00173C9D"/>
    <w:rsid w:val="001750A1"/>
    <w:rsid w:val="00175BEB"/>
    <w:rsid w:val="0018294E"/>
    <w:rsid w:val="00184D38"/>
    <w:rsid w:val="0018581B"/>
    <w:rsid w:val="00190E37"/>
    <w:rsid w:val="001933D0"/>
    <w:rsid w:val="001938C1"/>
    <w:rsid w:val="00195117"/>
    <w:rsid w:val="001955AE"/>
    <w:rsid w:val="001955ED"/>
    <w:rsid w:val="00197FC0"/>
    <w:rsid w:val="001A19BF"/>
    <w:rsid w:val="001A3CCD"/>
    <w:rsid w:val="001A5B6C"/>
    <w:rsid w:val="001A7A08"/>
    <w:rsid w:val="001B1AAA"/>
    <w:rsid w:val="001B2385"/>
    <w:rsid w:val="001B720D"/>
    <w:rsid w:val="001C0EFF"/>
    <w:rsid w:val="001C11BC"/>
    <w:rsid w:val="001C3E49"/>
    <w:rsid w:val="001C4EF4"/>
    <w:rsid w:val="001C7DC8"/>
    <w:rsid w:val="001C7E9B"/>
    <w:rsid w:val="001C7F07"/>
    <w:rsid w:val="001D18E0"/>
    <w:rsid w:val="001D2554"/>
    <w:rsid w:val="001D44E1"/>
    <w:rsid w:val="001E56B3"/>
    <w:rsid w:val="001E58B7"/>
    <w:rsid w:val="001F1ECF"/>
    <w:rsid w:val="0020030B"/>
    <w:rsid w:val="00201247"/>
    <w:rsid w:val="002025F6"/>
    <w:rsid w:val="00202A20"/>
    <w:rsid w:val="00202FAB"/>
    <w:rsid w:val="002128DC"/>
    <w:rsid w:val="00232854"/>
    <w:rsid w:val="00232FC2"/>
    <w:rsid w:val="00234E7F"/>
    <w:rsid w:val="002364BE"/>
    <w:rsid w:val="00236583"/>
    <w:rsid w:val="0023737C"/>
    <w:rsid w:val="002377E1"/>
    <w:rsid w:val="002409EA"/>
    <w:rsid w:val="00240C09"/>
    <w:rsid w:val="002420D3"/>
    <w:rsid w:val="00245BFF"/>
    <w:rsid w:val="00246F9A"/>
    <w:rsid w:val="0025380B"/>
    <w:rsid w:val="002540ED"/>
    <w:rsid w:val="002556F6"/>
    <w:rsid w:val="00267943"/>
    <w:rsid w:val="0027160A"/>
    <w:rsid w:val="0027206F"/>
    <w:rsid w:val="0027384C"/>
    <w:rsid w:val="00273927"/>
    <w:rsid w:val="0027447C"/>
    <w:rsid w:val="0027784E"/>
    <w:rsid w:val="00277CA8"/>
    <w:rsid w:val="00282246"/>
    <w:rsid w:val="00287728"/>
    <w:rsid w:val="00287930"/>
    <w:rsid w:val="00297E7A"/>
    <w:rsid w:val="002A1151"/>
    <w:rsid w:val="002A3572"/>
    <w:rsid w:val="002A534A"/>
    <w:rsid w:val="002A578A"/>
    <w:rsid w:val="002A5852"/>
    <w:rsid w:val="002A799F"/>
    <w:rsid w:val="002B1DBD"/>
    <w:rsid w:val="002B3040"/>
    <w:rsid w:val="002B4E13"/>
    <w:rsid w:val="002B6B7F"/>
    <w:rsid w:val="002B710B"/>
    <w:rsid w:val="002C16A8"/>
    <w:rsid w:val="002C38F9"/>
    <w:rsid w:val="002C3D19"/>
    <w:rsid w:val="002D2B59"/>
    <w:rsid w:val="002D3A8D"/>
    <w:rsid w:val="002D4618"/>
    <w:rsid w:val="002E0352"/>
    <w:rsid w:val="002E1735"/>
    <w:rsid w:val="002E2814"/>
    <w:rsid w:val="002E2CD6"/>
    <w:rsid w:val="002E442D"/>
    <w:rsid w:val="002E68E5"/>
    <w:rsid w:val="002F16F0"/>
    <w:rsid w:val="002F1F34"/>
    <w:rsid w:val="002F7B8E"/>
    <w:rsid w:val="00303621"/>
    <w:rsid w:val="00303CDD"/>
    <w:rsid w:val="00306540"/>
    <w:rsid w:val="003101EF"/>
    <w:rsid w:val="003123AE"/>
    <w:rsid w:val="00314CD4"/>
    <w:rsid w:val="00315537"/>
    <w:rsid w:val="00316196"/>
    <w:rsid w:val="003167C5"/>
    <w:rsid w:val="0032260F"/>
    <w:rsid w:val="00323399"/>
    <w:rsid w:val="00323DC4"/>
    <w:rsid w:val="00324264"/>
    <w:rsid w:val="003269F3"/>
    <w:rsid w:val="00327059"/>
    <w:rsid w:val="00331CBA"/>
    <w:rsid w:val="00335252"/>
    <w:rsid w:val="00335E88"/>
    <w:rsid w:val="00346C62"/>
    <w:rsid w:val="00347940"/>
    <w:rsid w:val="00347E26"/>
    <w:rsid w:val="00352F37"/>
    <w:rsid w:val="00354620"/>
    <w:rsid w:val="00356B4E"/>
    <w:rsid w:val="0035713A"/>
    <w:rsid w:val="00357185"/>
    <w:rsid w:val="00357F2C"/>
    <w:rsid w:val="003629CC"/>
    <w:rsid w:val="0037265C"/>
    <w:rsid w:val="003751B7"/>
    <w:rsid w:val="00376DBD"/>
    <w:rsid w:val="00380BCB"/>
    <w:rsid w:val="00386C7D"/>
    <w:rsid w:val="00391766"/>
    <w:rsid w:val="00392891"/>
    <w:rsid w:val="00393146"/>
    <w:rsid w:val="003A19FF"/>
    <w:rsid w:val="003A218E"/>
    <w:rsid w:val="003A2630"/>
    <w:rsid w:val="003A2E95"/>
    <w:rsid w:val="003A3242"/>
    <w:rsid w:val="003A5C7B"/>
    <w:rsid w:val="003A627F"/>
    <w:rsid w:val="003B10E3"/>
    <w:rsid w:val="003B2B39"/>
    <w:rsid w:val="003B56D7"/>
    <w:rsid w:val="003B7091"/>
    <w:rsid w:val="003C2048"/>
    <w:rsid w:val="003C53C1"/>
    <w:rsid w:val="003D1450"/>
    <w:rsid w:val="003D452D"/>
    <w:rsid w:val="003E226D"/>
    <w:rsid w:val="003E4467"/>
    <w:rsid w:val="003E44B8"/>
    <w:rsid w:val="003F07B2"/>
    <w:rsid w:val="003F2106"/>
    <w:rsid w:val="003F2951"/>
    <w:rsid w:val="003F33B7"/>
    <w:rsid w:val="003F626B"/>
    <w:rsid w:val="003F6D35"/>
    <w:rsid w:val="003F6FB6"/>
    <w:rsid w:val="00401D97"/>
    <w:rsid w:val="0040279F"/>
    <w:rsid w:val="00403160"/>
    <w:rsid w:val="00404D0E"/>
    <w:rsid w:val="0040528B"/>
    <w:rsid w:val="004121C5"/>
    <w:rsid w:val="00412D14"/>
    <w:rsid w:val="0041371E"/>
    <w:rsid w:val="0041565C"/>
    <w:rsid w:val="004163A5"/>
    <w:rsid w:val="00416C73"/>
    <w:rsid w:val="00417264"/>
    <w:rsid w:val="004176A1"/>
    <w:rsid w:val="00420990"/>
    <w:rsid w:val="00423A04"/>
    <w:rsid w:val="00423F36"/>
    <w:rsid w:val="0042542C"/>
    <w:rsid w:val="0042542D"/>
    <w:rsid w:val="00426195"/>
    <w:rsid w:val="00426F66"/>
    <w:rsid w:val="004279BB"/>
    <w:rsid w:val="00431D79"/>
    <w:rsid w:val="004334B3"/>
    <w:rsid w:val="00434ADD"/>
    <w:rsid w:val="00435E05"/>
    <w:rsid w:val="004375E9"/>
    <w:rsid w:val="0044585F"/>
    <w:rsid w:val="0044590F"/>
    <w:rsid w:val="00446C31"/>
    <w:rsid w:val="00447E47"/>
    <w:rsid w:val="00450C7A"/>
    <w:rsid w:val="00453EF8"/>
    <w:rsid w:val="00454505"/>
    <w:rsid w:val="004613AA"/>
    <w:rsid w:val="00467A10"/>
    <w:rsid w:val="00470F29"/>
    <w:rsid w:val="00476ECF"/>
    <w:rsid w:val="00476FF2"/>
    <w:rsid w:val="00477AB3"/>
    <w:rsid w:val="00477C16"/>
    <w:rsid w:val="00484DD5"/>
    <w:rsid w:val="00485B62"/>
    <w:rsid w:val="0049512E"/>
    <w:rsid w:val="004957F2"/>
    <w:rsid w:val="00495AAC"/>
    <w:rsid w:val="004A0470"/>
    <w:rsid w:val="004A236A"/>
    <w:rsid w:val="004A24F1"/>
    <w:rsid w:val="004A618D"/>
    <w:rsid w:val="004A78A7"/>
    <w:rsid w:val="004B2661"/>
    <w:rsid w:val="004B4059"/>
    <w:rsid w:val="004B66B8"/>
    <w:rsid w:val="004C0ACD"/>
    <w:rsid w:val="004C17AA"/>
    <w:rsid w:val="004C3B8D"/>
    <w:rsid w:val="004C4633"/>
    <w:rsid w:val="004D1BBB"/>
    <w:rsid w:val="004D1F18"/>
    <w:rsid w:val="004D2181"/>
    <w:rsid w:val="004D36E7"/>
    <w:rsid w:val="004D4DD0"/>
    <w:rsid w:val="004D51BD"/>
    <w:rsid w:val="004D5AB9"/>
    <w:rsid w:val="004D6E07"/>
    <w:rsid w:val="004D7595"/>
    <w:rsid w:val="004E1676"/>
    <w:rsid w:val="004E1763"/>
    <w:rsid w:val="004E1878"/>
    <w:rsid w:val="004E3E97"/>
    <w:rsid w:val="004E44AD"/>
    <w:rsid w:val="004F1C0A"/>
    <w:rsid w:val="004F3F73"/>
    <w:rsid w:val="004F4D83"/>
    <w:rsid w:val="005011CC"/>
    <w:rsid w:val="0050367D"/>
    <w:rsid w:val="005047F1"/>
    <w:rsid w:val="00505D71"/>
    <w:rsid w:val="00506834"/>
    <w:rsid w:val="005100FF"/>
    <w:rsid w:val="00513316"/>
    <w:rsid w:val="005210B8"/>
    <w:rsid w:val="00522340"/>
    <w:rsid w:val="005251D2"/>
    <w:rsid w:val="0052679C"/>
    <w:rsid w:val="00527483"/>
    <w:rsid w:val="005332E5"/>
    <w:rsid w:val="00535D79"/>
    <w:rsid w:val="00537559"/>
    <w:rsid w:val="0053771D"/>
    <w:rsid w:val="00537A89"/>
    <w:rsid w:val="005403EE"/>
    <w:rsid w:val="00540B8F"/>
    <w:rsid w:val="00540FBB"/>
    <w:rsid w:val="0054378B"/>
    <w:rsid w:val="005506D5"/>
    <w:rsid w:val="005525CC"/>
    <w:rsid w:val="00555A2D"/>
    <w:rsid w:val="005573BF"/>
    <w:rsid w:val="00557E52"/>
    <w:rsid w:val="00564841"/>
    <w:rsid w:val="005650E4"/>
    <w:rsid w:val="00565B1C"/>
    <w:rsid w:val="005732B8"/>
    <w:rsid w:val="00575458"/>
    <w:rsid w:val="0058079D"/>
    <w:rsid w:val="00582411"/>
    <w:rsid w:val="0058436F"/>
    <w:rsid w:val="005902D8"/>
    <w:rsid w:val="0059074A"/>
    <w:rsid w:val="00590E94"/>
    <w:rsid w:val="00596EA7"/>
    <w:rsid w:val="005A2C32"/>
    <w:rsid w:val="005A31FE"/>
    <w:rsid w:val="005A3410"/>
    <w:rsid w:val="005A34DD"/>
    <w:rsid w:val="005A38D8"/>
    <w:rsid w:val="005A39CF"/>
    <w:rsid w:val="005A477C"/>
    <w:rsid w:val="005A5F92"/>
    <w:rsid w:val="005A6998"/>
    <w:rsid w:val="005A7DE0"/>
    <w:rsid w:val="005B0F8D"/>
    <w:rsid w:val="005B2B38"/>
    <w:rsid w:val="005B47BC"/>
    <w:rsid w:val="005B4AFD"/>
    <w:rsid w:val="005B62FB"/>
    <w:rsid w:val="005C0966"/>
    <w:rsid w:val="005C142F"/>
    <w:rsid w:val="005C2EB7"/>
    <w:rsid w:val="005D00EB"/>
    <w:rsid w:val="005D3AD1"/>
    <w:rsid w:val="005D3CDB"/>
    <w:rsid w:val="005D3EF3"/>
    <w:rsid w:val="005D4722"/>
    <w:rsid w:val="005D53FC"/>
    <w:rsid w:val="005D556C"/>
    <w:rsid w:val="005E263F"/>
    <w:rsid w:val="005E3A77"/>
    <w:rsid w:val="005E3E08"/>
    <w:rsid w:val="005E7596"/>
    <w:rsid w:val="005F24C9"/>
    <w:rsid w:val="005F39A9"/>
    <w:rsid w:val="005F49A2"/>
    <w:rsid w:val="00603093"/>
    <w:rsid w:val="00603228"/>
    <w:rsid w:val="00603F48"/>
    <w:rsid w:val="00604DD4"/>
    <w:rsid w:val="00606A8D"/>
    <w:rsid w:val="0061375E"/>
    <w:rsid w:val="00613794"/>
    <w:rsid w:val="00616768"/>
    <w:rsid w:val="00621135"/>
    <w:rsid w:val="0062121E"/>
    <w:rsid w:val="00621915"/>
    <w:rsid w:val="00623BE2"/>
    <w:rsid w:val="00626CA9"/>
    <w:rsid w:val="00633E8E"/>
    <w:rsid w:val="00635B02"/>
    <w:rsid w:val="00635F77"/>
    <w:rsid w:val="00636CDA"/>
    <w:rsid w:val="0064149F"/>
    <w:rsid w:val="00642AA1"/>
    <w:rsid w:val="00645895"/>
    <w:rsid w:val="006460F1"/>
    <w:rsid w:val="00654E49"/>
    <w:rsid w:val="006614FD"/>
    <w:rsid w:val="00661958"/>
    <w:rsid w:val="0066252E"/>
    <w:rsid w:val="006639C8"/>
    <w:rsid w:val="0066423A"/>
    <w:rsid w:val="00666235"/>
    <w:rsid w:val="0067333E"/>
    <w:rsid w:val="00673499"/>
    <w:rsid w:val="00673673"/>
    <w:rsid w:val="006740B7"/>
    <w:rsid w:val="006740DE"/>
    <w:rsid w:val="0067413F"/>
    <w:rsid w:val="00674CD6"/>
    <w:rsid w:val="00680EF3"/>
    <w:rsid w:val="0068314B"/>
    <w:rsid w:val="00683FAE"/>
    <w:rsid w:val="00685F55"/>
    <w:rsid w:val="00691D0B"/>
    <w:rsid w:val="006950C0"/>
    <w:rsid w:val="006976BE"/>
    <w:rsid w:val="006A071E"/>
    <w:rsid w:val="006A3F99"/>
    <w:rsid w:val="006A55EA"/>
    <w:rsid w:val="006A5C70"/>
    <w:rsid w:val="006B1047"/>
    <w:rsid w:val="006B195F"/>
    <w:rsid w:val="006B3B0A"/>
    <w:rsid w:val="006C391B"/>
    <w:rsid w:val="006C3CD3"/>
    <w:rsid w:val="006C426B"/>
    <w:rsid w:val="006D3D3F"/>
    <w:rsid w:val="006D68A5"/>
    <w:rsid w:val="006D7339"/>
    <w:rsid w:val="006D7C50"/>
    <w:rsid w:val="006E443C"/>
    <w:rsid w:val="006E6EDF"/>
    <w:rsid w:val="006F1822"/>
    <w:rsid w:val="006F5983"/>
    <w:rsid w:val="007009BC"/>
    <w:rsid w:val="00700E13"/>
    <w:rsid w:val="00702D96"/>
    <w:rsid w:val="00703335"/>
    <w:rsid w:val="007066CA"/>
    <w:rsid w:val="00706760"/>
    <w:rsid w:val="00710627"/>
    <w:rsid w:val="007118B2"/>
    <w:rsid w:val="007139D2"/>
    <w:rsid w:val="00714CE4"/>
    <w:rsid w:val="00714CFA"/>
    <w:rsid w:val="0072109F"/>
    <w:rsid w:val="00722993"/>
    <w:rsid w:val="00726E0F"/>
    <w:rsid w:val="00734E9C"/>
    <w:rsid w:val="00741892"/>
    <w:rsid w:val="007422ED"/>
    <w:rsid w:val="007428DB"/>
    <w:rsid w:val="00743151"/>
    <w:rsid w:val="0074643A"/>
    <w:rsid w:val="00747586"/>
    <w:rsid w:val="00750F23"/>
    <w:rsid w:val="00751959"/>
    <w:rsid w:val="00755739"/>
    <w:rsid w:val="007576C2"/>
    <w:rsid w:val="007577FA"/>
    <w:rsid w:val="00763234"/>
    <w:rsid w:val="00763F74"/>
    <w:rsid w:val="00765493"/>
    <w:rsid w:val="00765507"/>
    <w:rsid w:val="00767666"/>
    <w:rsid w:val="007723A0"/>
    <w:rsid w:val="007732B2"/>
    <w:rsid w:val="007768F7"/>
    <w:rsid w:val="00776C4D"/>
    <w:rsid w:val="00782883"/>
    <w:rsid w:val="00782A35"/>
    <w:rsid w:val="00783558"/>
    <w:rsid w:val="0078362A"/>
    <w:rsid w:val="00783820"/>
    <w:rsid w:val="00787F8E"/>
    <w:rsid w:val="007907DB"/>
    <w:rsid w:val="00793B76"/>
    <w:rsid w:val="00796EDF"/>
    <w:rsid w:val="007A061C"/>
    <w:rsid w:val="007A07E7"/>
    <w:rsid w:val="007A3C7B"/>
    <w:rsid w:val="007A6216"/>
    <w:rsid w:val="007A6523"/>
    <w:rsid w:val="007B4563"/>
    <w:rsid w:val="007B6D66"/>
    <w:rsid w:val="007C1866"/>
    <w:rsid w:val="007C187F"/>
    <w:rsid w:val="007C1922"/>
    <w:rsid w:val="007C2D7D"/>
    <w:rsid w:val="007C4279"/>
    <w:rsid w:val="007C5121"/>
    <w:rsid w:val="007C5D3A"/>
    <w:rsid w:val="007C6780"/>
    <w:rsid w:val="007C72AC"/>
    <w:rsid w:val="007D3BD2"/>
    <w:rsid w:val="007D4913"/>
    <w:rsid w:val="007D676D"/>
    <w:rsid w:val="007D6990"/>
    <w:rsid w:val="007E2B04"/>
    <w:rsid w:val="007E5B53"/>
    <w:rsid w:val="007E711E"/>
    <w:rsid w:val="007E7F92"/>
    <w:rsid w:val="007F1F8F"/>
    <w:rsid w:val="007F28C2"/>
    <w:rsid w:val="007F420C"/>
    <w:rsid w:val="007F4C63"/>
    <w:rsid w:val="007F6482"/>
    <w:rsid w:val="008007F8"/>
    <w:rsid w:val="00800A6D"/>
    <w:rsid w:val="008014D2"/>
    <w:rsid w:val="0080281B"/>
    <w:rsid w:val="00804E5D"/>
    <w:rsid w:val="00806205"/>
    <w:rsid w:val="008104AD"/>
    <w:rsid w:val="0082101A"/>
    <w:rsid w:val="00824B3E"/>
    <w:rsid w:val="00827589"/>
    <w:rsid w:val="0083194E"/>
    <w:rsid w:val="00832317"/>
    <w:rsid w:val="00834453"/>
    <w:rsid w:val="0083549E"/>
    <w:rsid w:val="00835C67"/>
    <w:rsid w:val="00836776"/>
    <w:rsid w:val="00836838"/>
    <w:rsid w:val="00837BE8"/>
    <w:rsid w:val="008407B8"/>
    <w:rsid w:val="00841F64"/>
    <w:rsid w:val="00842A89"/>
    <w:rsid w:val="00843D8A"/>
    <w:rsid w:val="0084460D"/>
    <w:rsid w:val="00850AE0"/>
    <w:rsid w:val="00850EEA"/>
    <w:rsid w:val="00851AAF"/>
    <w:rsid w:val="008522E9"/>
    <w:rsid w:val="00853AF0"/>
    <w:rsid w:val="00854ECC"/>
    <w:rsid w:val="00855B39"/>
    <w:rsid w:val="00856091"/>
    <w:rsid w:val="008573DE"/>
    <w:rsid w:val="00860E41"/>
    <w:rsid w:val="008619DE"/>
    <w:rsid w:val="00865B79"/>
    <w:rsid w:val="00866D56"/>
    <w:rsid w:val="00866E9C"/>
    <w:rsid w:val="0087090B"/>
    <w:rsid w:val="00870EFA"/>
    <w:rsid w:val="0087178A"/>
    <w:rsid w:val="00874757"/>
    <w:rsid w:val="008748CD"/>
    <w:rsid w:val="008834A4"/>
    <w:rsid w:val="0088488E"/>
    <w:rsid w:val="00886F46"/>
    <w:rsid w:val="0088770C"/>
    <w:rsid w:val="00887DD0"/>
    <w:rsid w:val="00887F60"/>
    <w:rsid w:val="0089457F"/>
    <w:rsid w:val="00894730"/>
    <w:rsid w:val="008A50ED"/>
    <w:rsid w:val="008A5E2F"/>
    <w:rsid w:val="008A617F"/>
    <w:rsid w:val="008A6967"/>
    <w:rsid w:val="008B2416"/>
    <w:rsid w:val="008B3220"/>
    <w:rsid w:val="008B3C7F"/>
    <w:rsid w:val="008B4461"/>
    <w:rsid w:val="008C19D6"/>
    <w:rsid w:val="008C56B7"/>
    <w:rsid w:val="008C5C9D"/>
    <w:rsid w:val="008C64DA"/>
    <w:rsid w:val="008D3A78"/>
    <w:rsid w:val="008D6F45"/>
    <w:rsid w:val="008D70F5"/>
    <w:rsid w:val="008E09E0"/>
    <w:rsid w:val="008E267B"/>
    <w:rsid w:val="008E3D0C"/>
    <w:rsid w:val="008E3E5E"/>
    <w:rsid w:val="008E521E"/>
    <w:rsid w:val="008E5D49"/>
    <w:rsid w:val="008E66B7"/>
    <w:rsid w:val="008E672D"/>
    <w:rsid w:val="008F021D"/>
    <w:rsid w:val="008F251B"/>
    <w:rsid w:val="008F35A2"/>
    <w:rsid w:val="008F3D11"/>
    <w:rsid w:val="00900C7D"/>
    <w:rsid w:val="00903A9D"/>
    <w:rsid w:val="00906D2D"/>
    <w:rsid w:val="009103FD"/>
    <w:rsid w:val="00913B0B"/>
    <w:rsid w:val="0091427A"/>
    <w:rsid w:val="00915B00"/>
    <w:rsid w:val="00917BA4"/>
    <w:rsid w:val="009235AB"/>
    <w:rsid w:val="00925EF3"/>
    <w:rsid w:val="009261EF"/>
    <w:rsid w:val="00927BEC"/>
    <w:rsid w:val="00927E51"/>
    <w:rsid w:val="00943066"/>
    <w:rsid w:val="00944602"/>
    <w:rsid w:val="00944928"/>
    <w:rsid w:val="00945843"/>
    <w:rsid w:val="009466AE"/>
    <w:rsid w:val="00946E99"/>
    <w:rsid w:val="00950879"/>
    <w:rsid w:val="009515A0"/>
    <w:rsid w:val="0095240E"/>
    <w:rsid w:val="009534A4"/>
    <w:rsid w:val="00955B5C"/>
    <w:rsid w:val="00960839"/>
    <w:rsid w:val="00961AAC"/>
    <w:rsid w:val="0096282B"/>
    <w:rsid w:val="00962F8F"/>
    <w:rsid w:val="009630E9"/>
    <w:rsid w:val="00963B0C"/>
    <w:rsid w:val="009648FD"/>
    <w:rsid w:val="009677F2"/>
    <w:rsid w:val="009705BC"/>
    <w:rsid w:val="00970683"/>
    <w:rsid w:val="00971A44"/>
    <w:rsid w:val="00972B2E"/>
    <w:rsid w:val="00973E0B"/>
    <w:rsid w:val="00974307"/>
    <w:rsid w:val="00977A67"/>
    <w:rsid w:val="00983A5B"/>
    <w:rsid w:val="00985CF0"/>
    <w:rsid w:val="0099513F"/>
    <w:rsid w:val="00995192"/>
    <w:rsid w:val="009953A4"/>
    <w:rsid w:val="00995FD4"/>
    <w:rsid w:val="00996573"/>
    <w:rsid w:val="009A6BD6"/>
    <w:rsid w:val="009A72FE"/>
    <w:rsid w:val="009B067E"/>
    <w:rsid w:val="009B1912"/>
    <w:rsid w:val="009C45F1"/>
    <w:rsid w:val="009C6C4A"/>
    <w:rsid w:val="009C6EF9"/>
    <w:rsid w:val="009D1950"/>
    <w:rsid w:val="009D7E85"/>
    <w:rsid w:val="009E2813"/>
    <w:rsid w:val="009E33A2"/>
    <w:rsid w:val="009E46FF"/>
    <w:rsid w:val="009F0267"/>
    <w:rsid w:val="009F4BA3"/>
    <w:rsid w:val="009F792D"/>
    <w:rsid w:val="00A00639"/>
    <w:rsid w:val="00A00C35"/>
    <w:rsid w:val="00A0173F"/>
    <w:rsid w:val="00A01BDA"/>
    <w:rsid w:val="00A03B35"/>
    <w:rsid w:val="00A03FF4"/>
    <w:rsid w:val="00A0597D"/>
    <w:rsid w:val="00A07DBB"/>
    <w:rsid w:val="00A1082E"/>
    <w:rsid w:val="00A111CE"/>
    <w:rsid w:val="00A17271"/>
    <w:rsid w:val="00A23D77"/>
    <w:rsid w:val="00A24122"/>
    <w:rsid w:val="00A24FD5"/>
    <w:rsid w:val="00A268DA"/>
    <w:rsid w:val="00A3079A"/>
    <w:rsid w:val="00A355DD"/>
    <w:rsid w:val="00A35F1E"/>
    <w:rsid w:val="00A36F8A"/>
    <w:rsid w:val="00A40D80"/>
    <w:rsid w:val="00A420D5"/>
    <w:rsid w:val="00A44157"/>
    <w:rsid w:val="00A445BF"/>
    <w:rsid w:val="00A456FB"/>
    <w:rsid w:val="00A47EF9"/>
    <w:rsid w:val="00A52300"/>
    <w:rsid w:val="00A5362F"/>
    <w:rsid w:val="00A56B5B"/>
    <w:rsid w:val="00A6126E"/>
    <w:rsid w:val="00A642C1"/>
    <w:rsid w:val="00A65F2A"/>
    <w:rsid w:val="00A6727E"/>
    <w:rsid w:val="00A72A22"/>
    <w:rsid w:val="00A739FE"/>
    <w:rsid w:val="00A75A22"/>
    <w:rsid w:val="00A760F1"/>
    <w:rsid w:val="00A858EF"/>
    <w:rsid w:val="00A90AF2"/>
    <w:rsid w:val="00A91728"/>
    <w:rsid w:val="00A930CF"/>
    <w:rsid w:val="00A9387E"/>
    <w:rsid w:val="00AA023B"/>
    <w:rsid w:val="00AA050F"/>
    <w:rsid w:val="00AA0712"/>
    <w:rsid w:val="00AA148E"/>
    <w:rsid w:val="00AA3955"/>
    <w:rsid w:val="00AA4F0D"/>
    <w:rsid w:val="00AA50AD"/>
    <w:rsid w:val="00AA6057"/>
    <w:rsid w:val="00AA75CF"/>
    <w:rsid w:val="00AB00FF"/>
    <w:rsid w:val="00AB5B2C"/>
    <w:rsid w:val="00AC1857"/>
    <w:rsid w:val="00AC2003"/>
    <w:rsid w:val="00AC2894"/>
    <w:rsid w:val="00AC38F5"/>
    <w:rsid w:val="00AC5805"/>
    <w:rsid w:val="00AC7BAA"/>
    <w:rsid w:val="00AD2801"/>
    <w:rsid w:val="00AE0CB1"/>
    <w:rsid w:val="00AE17A8"/>
    <w:rsid w:val="00AE1E7B"/>
    <w:rsid w:val="00AE35C5"/>
    <w:rsid w:val="00AE61A9"/>
    <w:rsid w:val="00AF057F"/>
    <w:rsid w:val="00AF332A"/>
    <w:rsid w:val="00AF3755"/>
    <w:rsid w:val="00AF3DD2"/>
    <w:rsid w:val="00AF74C6"/>
    <w:rsid w:val="00B02D98"/>
    <w:rsid w:val="00B0340D"/>
    <w:rsid w:val="00B06620"/>
    <w:rsid w:val="00B071FC"/>
    <w:rsid w:val="00B11450"/>
    <w:rsid w:val="00B11B8F"/>
    <w:rsid w:val="00B12389"/>
    <w:rsid w:val="00B12FF3"/>
    <w:rsid w:val="00B13417"/>
    <w:rsid w:val="00B141D5"/>
    <w:rsid w:val="00B14721"/>
    <w:rsid w:val="00B2162D"/>
    <w:rsid w:val="00B21E0B"/>
    <w:rsid w:val="00B25B1C"/>
    <w:rsid w:val="00B26255"/>
    <w:rsid w:val="00B278F7"/>
    <w:rsid w:val="00B301F8"/>
    <w:rsid w:val="00B3020A"/>
    <w:rsid w:val="00B3237A"/>
    <w:rsid w:val="00B352DA"/>
    <w:rsid w:val="00B377C2"/>
    <w:rsid w:val="00B379DA"/>
    <w:rsid w:val="00B40414"/>
    <w:rsid w:val="00B40D94"/>
    <w:rsid w:val="00B4377F"/>
    <w:rsid w:val="00B438AA"/>
    <w:rsid w:val="00B43B48"/>
    <w:rsid w:val="00B44334"/>
    <w:rsid w:val="00B46904"/>
    <w:rsid w:val="00B51325"/>
    <w:rsid w:val="00B55226"/>
    <w:rsid w:val="00B56B0C"/>
    <w:rsid w:val="00B61558"/>
    <w:rsid w:val="00B61AC9"/>
    <w:rsid w:val="00B63E65"/>
    <w:rsid w:val="00B71574"/>
    <w:rsid w:val="00B71694"/>
    <w:rsid w:val="00B764D2"/>
    <w:rsid w:val="00B772FF"/>
    <w:rsid w:val="00B81167"/>
    <w:rsid w:val="00B81E5E"/>
    <w:rsid w:val="00B8591B"/>
    <w:rsid w:val="00B90391"/>
    <w:rsid w:val="00B90436"/>
    <w:rsid w:val="00B931BD"/>
    <w:rsid w:val="00BA097D"/>
    <w:rsid w:val="00BA0D41"/>
    <w:rsid w:val="00BA25DB"/>
    <w:rsid w:val="00BA5C59"/>
    <w:rsid w:val="00BB21CA"/>
    <w:rsid w:val="00BB4EFE"/>
    <w:rsid w:val="00BB5353"/>
    <w:rsid w:val="00BC19BA"/>
    <w:rsid w:val="00BC1AE7"/>
    <w:rsid w:val="00BC45F5"/>
    <w:rsid w:val="00BC4B29"/>
    <w:rsid w:val="00BC74F8"/>
    <w:rsid w:val="00BD2BB0"/>
    <w:rsid w:val="00BD706B"/>
    <w:rsid w:val="00BE1574"/>
    <w:rsid w:val="00BE2F8D"/>
    <w:rsid w:val="00BE5707"/>
    <w:rsid w:val="00BE5BE8"/>
    <w:rsid w:val="00BE7642"/>
    <w:rsid w:val="00BF13A9"/>
    <w:rsid w:val="00BF4CD4"/>
    <w:rsid w:val="00BF742D"/>
    <w:rsid w:val="00BF75BF"/>
    <w:rsid w:val="00C04469"/>
    <w:rsid w:val="00C052B1"/>
    <w:rsid w:val="00C074C6"/>
    <w:rsid w:val="00C07B0F"/>
    <w:rsid w:val="00C15903"/>
    <w:rsid w:val="00C16AE7"/>
    <w:rsid w:val="00C200F0"/>
    <w:rsid w:val="00C20164"/>
    <w:rsid w:val="00C2243D"/>
    <w:rsid w:val="00C22EE1"/>
    <w:rsid w:val="00C23781"/>
    <w:rsid w:val="00C23E70"/>
    <w:rsid w:val="00C240D3"/>
    <w:rsid w:val="00C31629"/>
    <w:rsid w:val="00C31736"/>
    <w:rsid w:val="00C3322A"/>
    <w:rsid w:val="00C344E6"/>
    <w:rsid w:val="00C406B0"/>
    <w:rsid w:val="00C40E7B"/>
    <w:rsid w:val="00C43C95"/>
    <w:rsid w:val="00C51661"/>
    <w:rsid w:val="00C5183D"/>
    <w:rsid w:val="00C52A9F"/>
    <w:rsid w:val="00C52D77"/>
    <w:rsid w:val="00C53F46"/>
    <w:rsid w:val="00C564E3"/>
    <w:rsid w:val="00C57F9A"/>
    <w:rsid w:val="00C6738C"/>
    <w:rsid w:val="00C70B86"/>
    <w:rsid w:val="00C726AE"/>
    <w:rsid w:val="00C72957"/>
    <w:rsid w:val="00C751F2"/>
    <w:rsid w:val="00C75F4F"/>
    <w:rsid w:val="00C8082C"/>
    <w:rsid w:val="00C853D7"/>
    <w:rsid w:val="00C8606B"/>
    <w:rsid w:val="00C8625D"/>
    <w:rsid w:val="00C916DA"/>
    <w:rsid w:val="00C9438D"/>
    <w:rsid w:val="00CA437B"/>
    <w:rsid w:val="00CA59D6"/>
    <w:rsid w:val="00CA6EAC"/>
    <w:rsid w:val="00CA7E98"/>
    <w:rsid w:val="00CB111B"/>
    <w:rsid w:val="00CB4A13"/>
    <w:rsid w:val="00CC2483"/>
    <w:rsid w:val="00CC28D1"/>
    <w:rsid w:val="00CC2D4C"/>
    <w:rsid w:val="00CC2EAE"/>
    <w:rsid w:val="00CC3876"/>
    <w:rsid w:val="00CC52D7"/>
    <w:rsid w:val="00CD01EB"/>
    <w:rsid w:val="00CD077B"/>
    <w:rsid w:val="00CD14DB"/>
    <w:rsid w:val="00CD1F5F"/>
    <w:rsid w:val="00CD50DF"/>
    <w:rsid w:val="00CD733C"/>
    <w:rsid w:val="00CE14EF"/>
    <w:rsid w:val="00CE2EB7"/>
    <w:rsid w:val="00CE6A09"/>
    <w:rsid w:val="00CF0676"/>
    <w:rsid w:val="00CF2AB0"/>
    <w:rsid w:val="00CF4297"/>
    <w:rsid w:val="00CF4D43"/>
    <w:rsid w:val="00CF675F"/>
    <w:rsid w:val="00CF6A53"/>
    <w:rsid w:val="00D00AE7"/>
    <w:rsid w:val="00D01D6D"/>
    <w:rsid w:val="00D02A50"/>
    <w:rsid w:val="00D0485E"/>
    <w:rsid w:val="00D11159"/>
    <w:rsid w:val="00D120AD"/>
    <w:rsid w:val="00D14054"/>
    <w:rsid w:val="00D1447F"/>
    <w:rsid w:val="00D17C0F"/>
    <w:rsid w:val="00D2002E"/>
    <w:rsid w:val="00D2304A"/>
    <w:rsid w:val="00D24E97"/>
    <w:rsid w:val="00D24F69"/>
    <w:rsid w:val="00D25903"/>
    <w:rsid w:val="00D329F2"/>
    <w:rsid w:val="00D51F46"/>
    <w:rsid w:val="00D539B9"/>
    <w:rsid w:val="00D567EE"/>
    <w:rsid w:val="00D573B9"/>
    <w:rsid w:val="00D575B2"/>
    <w:rsid w:val="00D61045"/>
    <w:rsid w:val="00D617DB"/>
    <w:rsid w:val="00D645A3"/>
    <w:rsid w:val="00D64F64"/>
    <w:rsid w:val="00D65F10"/>
    <w:rsid w:val="00D65F97"/>
    <w:rsid w:val="00D66472"/>
    <w:rsid w:val="00D75D0A"/>
    <w:rsid w:val="00D77C2B"/>
    <w:rsid w:val="00D803DC"/>
    <w:rsid w:val="00D82E50"/>
    <w:rsid w:val="00D840E3"/>
    <w:rsid w:val="00D85D49"/>
    <w:rsid w:val="00D8746D"/>
    <w:rsid w:val="00D90013"/>
    <w:rsid w:val="00D9299E"/>
    <w:rsid w:val="00D92A15"/>
    <w:rsid w:val="00D94AB9"/>
    <w:rsid w:val="00DA584A"/>
    <w:rsid w:val="00DA588D"/>
    <w:rsid w:val="00DA60AD"/>
    <w:rsid w:val="00DA6F1F"/>
    <w:rsid w:val="00DB0B91"/>
    <w:rsid w:val="00DB3799"/>
    <w:rsid w:val="00DB40DF"/>
    <w:rsid w:val="00DC1740"/>
    <w:rsid w:val="00DC1F31"/>
    <w:rsid w:val="00DC65C4"/>
    <w:rsid w:val="00DD42AA"/>
    <w:rsid w:val="00DD683C"/>
    <w:rsid w:val="00DE0AA2"/>
    <w:rsid w:val="00DE0F12"/>
    <w:rsid w:val="00DE142E"/>
    <w:rsid w:val="00DE27C1"/>
    <w:rsid w:val="00DE2ABD"/>
    <w:rsid w:val="00DE2B78"/>
    <w:rsid w:val="00DE2F42"/>
    <w:rsid w:val="00DE52DC"/>
    <w:rsid w:val="00DE5E69"/>
    <w:rsid w:val="00DF05E5"/>
    <w:rsid w:val="00DF157E"/>
    <w:rsid w:val="00DF4877"/>
    <w:rsid w:val="00DF576C"/>
    <w:rsid w:val="00DF7907"/>
    <w:rsid w:val="00E0082F"/>
    <w:rsid w:val="00E027EB"/>
    <w:rsid w:val="00E04FF6"/>
    <w:rsid w:val="00E05280"/>
    <w:rsid w:val="00E0799A"/>
    <w:rsid w:val="00E1361A"/>
    <w:rsid w:val="00E1534C"/>
    <w:rsid w:val="00E15B2E"/>
    <w:rsid w:val="00E16FDF"/>
    <w:rsid w:val="00E1713E"/>
    <w:rsid w:val="00E17F42"/>
    <w:rsid w:val="00E21F45"/>
    <w:rsid w:val="00E249F1"/>
    <w:rsid w:val="00E24F6A"/>
    <w:rsid w:val="00E25FD9"/>
    <w:rsid w:val="00E26A94"/>
    <w:rsid w:val="00E27837"/>
    <w:rsid w:val="00E42FA0"/>
    <w:rsid w:val="00E4354A"/>
    <w:rsid w:val="00E46D70"/>
    <w:rsid w:val="00E47989"/>
    <w:rsid w:val="00E47FCD"/>
    <w:rsid w:val="00E512AA"/>
    <w:rsid w:val="00E517B0"/>
    <w:rsid w:val="00E5196C"/>
    <w:rsid w:val="00E52DCF"/>
    <w:rsid w:val="00E56383"/>
    <w:rsid w:val="00E6335A"/>
    <w:rsid w:val="00E63B43"/>
    <w:rsid w:val="00E660BF"/>
    <w:rsid w:val="00E668ED"/>
    <w:rsid w:val="00E7120C"/>
    <w:rsid w:val="00E7322D"/>
    <w:rsid w:val="00E73362"/>
    <w:rsid w:val="00E75C44"/>
    <w:rsid w:val="00E768BF"/>
    <w:rsid w:val="00E80D9F"/>
    <w:rsid w:val="00E82168"/>
    <w:rsid w:val="00E8302C"/>
    <w:rsid w:val="00E83F16"/>
    <w:rsid w:val="00E86014"/>
    <w:rsid w:val="00E86620"/>
    <w:rsid w:val="00E8696D"/>
    <w:rsid w:val="00E87959"/>
    <w:rsid w:val="00EA1B9D"/>
    <w:rsid w:val="00EA663F"/>
    <w:rsid w:val="00EA74F4"/>
    <w:rsid w:val="00EB1C16"/>
    <w:rsid w:val="00EB42BD"/>
    <w:rsid w:val="00EB5F1C"/>
    <w:rsid w:val="00EC291E"/>
    <w:rsid w:val="00ED048B"/>
    <w:rsid w:val="00ED28E2"/>
    <w:rsid w:val="00ED2D1E"/>
    <w:rsid w:val="00ED35E7"/>
    <w:rsid w:val="00ED428B"/>
    <w:rsid w:val="00ED449D"/>
    <w:rsid w:val="00EE1E10"/>
    <w:rsid w:val="00EE2584"/>
    <w:rsid w:val="00EE2D91"/>
    <w:rsid w:val="00EE3CAB"/>
    <w:rsid w:val="00EE4E4F"/>
    <w:rsid w:val="00EE749C"/>
    <w:rsid w:val="00EE7B53"/>
    <w:rsid w:val="00EE7B5C"/>
    <w:rsid w:val="00EF5CC2"/>
    <w:rsid w:val="00F0015D"/>
    <w:rsid w:val="00F00F51"/>
    <w:rsid w:val="00F01515"/>
    <w:rsid w:val="00F0156B"/>
    <w:rsid w:val="00F049E2"/>
    <w:rsid w:val="00F063D9"/>
    <w:rsid w:val="00F103C6"/>
    <w:rsid w:val="00F1142F"/>
    <w:rsid w:val="00F11658"/>
    <w:rsid w:val="00F11683"/>
    <w:rsid w:val="00F11D38"/>
    <w:rsid w:val="00F13633"/>
    <w:rsid w:val="00F14EDA"/>
    <w:rsid w:val="00F15509"/>
    <w:rsid w:val="00F206A2"/>
    <w:rsid w:val="00F217AA"/>
    <w:rsid w:val="00F21EC8"/>
    <w:rsid w:val="00F26641"/>
    <w:rsid w:val="00F30C66"/>
    <w:rsid w:val="00F32C54"/>
    <w:rsid w:val="00F33CFF"/>
    <w:rsid w:val="00F45E8E"/>
    <w:rsid w:val="00F4622F"/>
    <w:rsid w:val="00F47E24"/>
    <w:rsid w:val="00F53E64"/>
    <w:rsid w:val="00F614A1"/>
    <w:rsid w:val="00F736ED"/>
    <w:rsid w:val="00F7750D"/>
    <w:rsid w:val="00F80D64"/>
    <w:rsid w:val="00F8157D"/>
    <w:rsid w:val="00F8469E"/>
    <w:rsid w:val="00F90945"/>
    <w:rsid w:val="00F91FEA"/>
    <w:rsid w:val="00F92C06"/>
    <w:rsid w:val="00FA0304"/>
    <w:rsid w:val="00FA1A9F"/>
    <w:rsid w:val="00FA30CF"/>
    <w:rsid w:val="00FA442D"/>
    <w:rsid w:val="00FA5113"/>
    <w:rsid w:val="00FA52EA"/>
    <w:rsid w:val="00FA75B4"/>
    <w:rsid w:val="00FB4239"/>
    <w:rsid w:val="00FB6502"/>
    <w:rsid w:val="00FB687E"/>
    <w:rsid w:val="00FC03D5"/>
    <w:rsid w:val="00FC0690"/>
    <w:rsid w:val="00FC22A0"/>
    <w:rsid w:val="00FC48FC"/>
    <w:rsid w:val="00FC5AD1"/>
    <w:rsid w:val="00FC5D29"/>
    <w:rsid w:val="00FC6AF8"/>
    <w:rsid w:val="00FD4B25"/>
    <w:rsid w:val="00FD54D9"/>
    <w:rsid w:val="00FD55B1"/>
    <w:rsid w:val="00FE4EDA"/>
    <w:rsid w:val="00FE5015"/>
    <w:rsid w:val="00FE51D9"/>
    <w:rsid w:val="00FE6791"/>
    <w:rsid w:val="00FE67CD"/>
    <w:rsid w:val="00FF2638"/>
    <w:rsid w:val="00FF5E28"/>
    <w:rsid w:val="00FF6483"/>
    <w:rsid w:val="00FF68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747D44"/>
  <w15:docId w15:val="{463896BF-6562-4B09-86EA-537D711A3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CB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331CBA"/>
    <w:pPr>
      <w:keepNext/>
      <w:jc w:val="both"/>
      <w:outlineLvl w:val="0"/>
    </w:pPr>
    <w:rPr>
      <w:rFonts w:ascii="Arial" w:hAnsi="Arial" w:cs="Arial"/>
      <w:b/>
      <w:bCs/>
    </w:rPr>
  </w:style>
  <w:style w:type="paragraph" w:styleId="Ttulo2">
    <w:name w:val="heading 2"/>
    <w:basedOn w:val="Normal"/>
    <w:next w:val="Normal"/>
    <w:link w:val="Ttulo2Car"/>
    <w:qFormat/>
    <w:rsid w:val="00331CBA"/>
    <w:pPr>
      <w:keepNext/>
      <w:jc w:val="center"/>
      <w:outlineLvl w:val="1"/>
    </w:pPr>
    <w:rPr>
      <w:rFonts w:ascii="Book Antiqua" w:hAnsi="Book Antiqua"/>
      <w:b/>
      <w:bCs/>
    </w:rPr>
  </w:style>
  <w:style w:type="paragraph" w:styleId="Ttulo3">
    <w:name w:val="heading 3"/>
    <w:basedOn w:val="Normal"/>
    <w:next w:val="Normal"/>
    <w:link w:val="Ttulo3Car"/>
    <w:uiPriority w:val="9"/>
    <w:semiHidden/>
    <w:unhideWhenUsed/>
    <w:qFormat/>
    <w:rsid w:val="001A7A08"/>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31CBA"/>
    <w:rPr>
      <w:rFonts w:ascii="Arial" w:eastAsia="Times New Roman" w:hAnsi="Arial" w:cs="Arial"/>
      <w:b/>
      <w:bCs/>
      <w:sz w:val="24"/>
      <w:szCs w:val="24"/>
      <w:lang w:val="es-ES" w:eastAsia="es-ES"/>
    </w:rPr>
  </w:style>
  <w:style w:type="character" w:customStyle="1" w:styleId="Ttulo2Car">
    <w:name w:val="Título 2 Car"/>
    <w:basedOn w:val="Fuentedeprrafopredeter"/>
    <w:link w:val="Ttulo2"/>
    <w:rsid w:val="00331CBA"/>
    <w:rPr>
      <w:rFonts w:ascii="Book Antiqua" w:eastAsia="Times New Roman" w:hAnsi="Book Antiqua" w:cs="Times New Roman"/>
      <w:b/>
      <w:bCs/>
      <w:sz w:val="24"/>
      <w:szCs w:val="24"/>
      <w:lang w:val="es-ES" w:eastAsia="es-ES"/>
    </w:rPr>
  </w:style>
  <w:style w:type="paragraph" w:styleId="Encabezado">
    <w:name w:val="header"/>
    <w:basedOn w:val="Normal"/>
    <w:link w:val="EncabezadoCar"/>
    <w:uiPriority w:val="99"/>
    <w:rsid w:val="00331CBA"/>
    <w:pPr>
      <w:tabs>
        <w:tab w:val="center" w:pos="4419"/>
        <w:tab w:val="right" w:pos="8838"/>
      </w:tabs>
    </w:pPr>
  </w:style>
  <w:style w:type="character" w:customStyle="1" w:styleId="EncabezadoCar">
    <w:name w:val="Encabezado Car"/>
    <w:basedOn w:val="Fuentedeprrafopredeter"/>
    <w:link w:val="Encabezado"/>
    <w:uiPriority w:val="99"/>
    <w:rsid w:val="00331C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331CBA"/>
    <w:pPr>
      <w:tabs>
        <w:tab w:val="center" w:pos="4419"/>
        <w:tab w:val="right" w:pos="8838"/>
      </w:tabs>
    </w:pPr>
  </w:style>
  <w:style w:type="character" w:customStyle="1" w:styleId="PiedepginaCar">
    <w:name w:val="Pie de página Car"/>
    <w:basedOn w:val="Fuentedeprrafopredeter"/>
    <w:link w:val="Piedepgina"/>
    <w:uiPriority w:val="99"/>
    <w:rsid w:val="00331CBA"/>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331CBA"/>
    <w:pPr>
      <w:jc w:val="both"/>
    </w:pPr>
    <w:rPr>
      <w:rFonts w:ascii="Book Antiqua" w:hAnsi="Book Antiqua"/>
    </w:rPr>
  </w:style>
  <w:style w:type="character" w:customStyle="1" w:styleId="TextoindependienteCar">
    <w:name w:val="Texto independiente Car"/>
    <w:basedOn w:val="Fuentedeprrafopredeter"/>
    <w:link w:val="Textoindependiente"/>
    <w:rsid w:val="00331CBA"/>
    <w:rPr>
      <w:rFonts w:ascii="Book Antiqua" w:eastAsia="Times New Roman" w:hAnsi="Book Antiqua" w:cs="Times New Roman"/>
      <w:sz w:val="24"/>
      <w:szCs w:val="24"/>
      <w:lang w:val="es-ES" w:eastAsia="es-ES"/>
    </w:rPr>
  </w:style>
  <w:style w:type="character" w:styleId="Nmerodepgina">
    <w:name w:val="page number"/>
    <w:basedOn w:val="Fuentedeprrafopredeter"/>
    <w:rsid w:val="00331CBA"/>
  </w:style>
  <w:style w:type="paragraph" w:styleId="Prrafodelista">
    <w:name w:val="List Paragraph"/>
    <w:basedOn w:val="Normal"/>
    <w:uiPriority w:val="34"/>
    <w:qFormat/>
    <w:rsid w:val="00331CBA"/>
    <w:pPr>
      <w:spacing w:after="200" w:line="276" w:lineRule="auto"/>
      <w:ind w:left="720"/>
      <w:contextualSpacing/>
      <w:jc w:val="both"/>
    </w:pPr>
    <w:rPr>
      <w:rFonts w:ascii="Arial" w:hAnsi="Arial"/>
      <w:sz w:val="22"/>
      <w:szCs w:val="22"/>
      <w:lang w:val="es-MX" w:eastAsia="en-US"/>
    </w:rPr>
  </w:style>
  <w:style w:type="paragraph" w:styleId="Sinespaciado">
    <w:name w:val="No Spacing"/>
    <w:link w:val="SinespaciadoCar"/>
    <w:uiPriority w:val="1"/>
    <w:qFormat/>
    <w:rsid w:val="00331CBA"/>
    <w:pPr>
      <w:spacing w:after="0" w:line="240" w:lineRule="auto"/>
    </w:pPr>
    <w:rPr>
      <w:rFonts w:ascii="Calibri" w:eastAsia="Calibri" w:hAnsi="Calibri" w:cs="Times New Roman"/>
    </w:rPr>
  </w:style>
  <w:style w:type="character" w:customStyle="1" w:styleId="Estilo2">
    <w:name w:val="Estilo2"/>
    <w:uiPriority w:val="1"/>
    <w:rsid w:val="00331CBA"/>
    <w:rPr>
      <w:rFonts w:ascii="Arial" w:hAnsi="Arial"/>
      <w:b/>
      <w:caps/>
      <w:sz w:val="24"/>
    </w:rPr>
  </w:style>
  <w:style w:type="paragraph" w:styleId="Textonotapie">
    <w:name w:val="footnote text"/>
    <w:basedOn w:val="Normal"/>
    <w:link w:val="TextonotapieCar"/>
    <w:uiPriority w:val="99"/>
    <w:unhideWhenUsed/>
    <w:rsid w:val="00331CBA"/>
    <w:rPr>
      <w:sz w:val="20"/>
      <w:szCs w:val="20"/>
    </w:rPr>
  </w:style>
  <w:style w:type="character" w:customStyle="1" w:styleId="TextonotapieCar">
    <w:name w:val="Texto nota pie Car"/>
    <w:basedOn w:val="Fuentedeprrafopredeter"/>
    <w:link w:val="Textonotapie"/>
    <w:uiPriority w:val="99"/>
    <w:rsid w:val="00331CBA"/>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w:unhideWhenUsed/>
    <w:qFormat/>
    <w:rsid w:val="00331CBA"/>
    <w:rPr>
      <w:vertAlign w:val="superscript"/>
    </w:rPr>
  </w:style>
  <w:style w:type="paragraph" w:customStyle="1" w:styleId="Normal1">
    <w:name w:val="Normal1"/>
    <w:rsid w:val="00331CBA"/>
    <w:pPr>
      <w:spacing w:after="0" w:line="240" w:lineRule="auto"/>
    </w:pPr>
    <w:rPr>
      <w:rFonts w:ascii="Times New Roman" w:eastAsia="Times New Roman" w:hAnsi="Times New Roman" w:cs="Times New Roman"/>
      <w:color w:val="000000"/>
      <w:sz w:val="24"/>
      <w:szCs w:val="24"/>
      <w:lang w:eastAsia="es-MX"/>
    </w:rPr>
  </w:style>
  <w:style w:type="character" w:styleId="Hipervnculo">
    <w:name w:val="Hyperlink"/>
    <w:uiPriority w:val="99"/>
    <w:rsid w:val="00331CBA"/>
    <w:rPr>
      <w:color w:val="0000FF"/>
      <w:u w:val="single"/>
    </w:rPr>
  </w:style>
  <w:style w:type="character" w:customStyle="1" w:styleId="SinespaciadoCar">
    <w:name w:val="Sin espaciado Car"/>
    <w:link w:val="Sinespaciado"/>
    <w:uiPriority w:val="1"/>
    <w:rsid w:val="00331CBA"/>
    <w:rPr>
      <w:rFonts w:ascii="Calibri" w:eastAsia="Calibri" w:hAnsi="Calibri" w:cs="Times New Roman"/>
    </w:rPr>
  </w:style>
  <w:style w:type="paragraph" w:customStyle="1" w:styleId="Texto">
    <w:name w:val="Texto"/>
    <w:basedOn w:val="Normal"/>
    <w:link w:val="TextoCar"/>
    <w:rsid w:val="00331CBA"/>
    <w:pPr>
      <w:spacing w:after="101" w:line="216" w:lineRule="exact"/>
      <w:ind w:firstLine="288"/>
      <w:jc w:val="both"/>
    </w:pPr>
    <w:rPr>
      <w:rFonts w:ascii="Arial" w:hAnsi="Arial"/>
      <w:sz w:val="18"/>
      <w:szCs w:val="20"/>
    </w:rPr>
  </w:style>
  <w:style w:type="character" w:customStyle="1" w:styleId="TextoCar">
    <w:name w:val="Texto Car"/>
    <w:link w:val="Texto"/>
    <w:locked/>
    <w:rsid w:val="00331CBA"/>
    <w:rPr>
      <w:rFonts w:ascii="Arial" w:eastAsia="Times New Roman" w:hAnsi="Arial" w:cs="Times New Roman"/>
      <w:sz w:val="18"/>
      <w:szCs w:val="20"/>
      <w:lang w:val="es-ES" w:eastAsia="es-ES"/>
    </w:rPr>
  </w:style>
  <w:style w:type="character" w:styleId="Textoennegrita">
    <w:name w:val="Strong"/>
    <w:uiPriority w:val="22"/>
    <w:qFormat/>
    <w:rsid w:val="00331CBA"/>
    <w:rPr>
      <w:b/>
      <w:bCs/>
    </w:rPr>
  </w:style>
  <w:style w:type="paragraph" w:styleId="Textodeglobo">
    <w:name w:val="Balloon Text"/>
    <w:basedOn w:val="Normal"/>
    <w:link w:val="TextodegloboCar"/>
    <w:uiPriority w:val="99"/>
    <w:semiHidden/>
    <w:unhideWhenUsed/>
    <w:rsid w:val="00331CBA"/>
    <w:rPr>
      <w:rFonts w:ascii="Tahoma" w:hAnsi="Tahoma" w:cs="Tahoma"/>
      <w:sz w:val="16"/>
      <w:szCs w:val="16"/>
    </w:rPr>
  </w:style>
  <w:style w:type="character" w:customStyle="1" w:styleId="TextodegloboCar">
    <w:name w:val="Texto de globo Car"/>
    <w:basedOn w:val="Fuentedeprrafopredeter"/>
    <w:link w:val="Textodeglobo"/>
    <w:uiPriority w:val="99"/>
    <w:semiHidden/>
    <w:rsid w:val="00331CBA"/>
    <w:rPr>
      <w:rFonts w:ascii="Tahoma" w:eastAsia="Times New Roman" w:hAnsi="Tahoma" w:cs="Tahoma"/>
      <w:sz w:val="16"/>
      <w:szCs w:val="16"/>
      <w:lang w:val="es-ES" w:eastAsia="es-ES"/>
    </w:rPr>
  </w:style>
  <w:style w:type="paragraph" w:styleId="NormalWeb">
    <w:name w:val="Normal (Web)"/>
    <w:basedOn w:val="Normal"/>
    <w:uiPriority w:val="99"/>
    <w:unhideWhenUsed/>
    <w:rsid w:val="00DE5E69"/>
    <w:pPr>
      <w:spacing w:before="100" w:beforeAutospacing="1" w:after="100" w:afterAutospacing="1"/>
    </w:pPr>
    <w:rPr>
      <w:lang w:val="es-MX" w:eastAsia="es-MX"/>
    </w:rPr>
  </w:style>
  <w:style w:type="paragraph" w:customStyle="1" w:styleId="letter-capitular">
    <w:name w:val="letter-capitular"/>
    <w:basedOn w:val="Normal"/>
    <w:rsid w:val="0066423A"/>
    <w:pPr>
      <w:spacing w:before="100" w:beforeAutospacing="1" w:after="100" w:afterAutospacing="1"/>
    </w:pPr>
    <w:rPr>
      <w:lang w:val="es-MX" w:eastAsia="es-MX"/>
    </w:rPr>
  </w:style>
  <w:style w:type="numbering" w:customStyle="1" w:styleId="Estilo1">
    <w:name w:val="Estilo1"/>
    <w:uiPriority w:val="99"/>
    <w:rsid w:val="00CD733C"/>
    <w:pPr>
      <w:numPr>
        <w:numId w:val="1"/>
      </w:numPr>
    </w:pPr>
  </w:style>
  <w:style w:type="character" w:styleId="Hipervnculovisitado">
    <w:name w:val="FollowedHyperlink"/>
    <w:basedOn w:val="Fuentedeprrafopredeter"/>
    <w:uiPriority w:val="99"/>
    <w:semiHidden/>
    <w:unhideWhenUsed/>
    <w:rsid w:val="00C72957"/>
    <w:rPr>
      <w:color w:val="800080" w:themeColor="followedHyperlink"/>
      <w:u w:val="single"/>
    </w:rPr>
  </w:style>
  <w:style w:type="paragraph" w:customStyle="1" w:styleId="Default">
    <w:name w:val="Default"/>
    <w:link w:val="DefaultChar"/>
    <w:rsid w:val="0042542C"/>
    <w:pPr>
      <w:autoSpaceDE w:val="0"/>
      <w:autoSpaceDN w:val="0"/>
      <w:adjustRightInd w:val="0"/>
      <w:spacing w:after="0" w:line="240" w:lineRule="auto"/>
    </w:pPr>
    <w:rPr>
      <w:rFonts w:ascii="Calibri" w:eastAsia="Calibri" w:hAnsi="Calibri" w:cs="Calibri"/>
      <w:color w:val="000000"/>
      <w:sz w:val="24"/>
      <w:szCs w:val="24"/>
    </w:rPr>
  </w:style>
  <w:style w:type="paragraph" w:customStyle="1" w:styleId="Normal2">
    <w:name w:val="Normal2"/>
    <w:rsid w:val="000556C9"/>
    <w:pPr>
      <w:spacing w:after="0" w:line="240" w:lineRule="auto"/>
    </w:pPr>
    <w:rPr>
      <w:rFonts w:ascii="Times New Roman" w:eastAsia="Times New Roman" w:hAnsi="Times New Roman" w:cs="Times New Roman"/>
      <w:color w:val="000000"/>
      <w:sz w:val="24"/>
      <w:szCs w:val="20"/>
      <w:lang w:val="es-ES" w:eastAsia="es-ES"/>
    </w:rPr>
  </w:style>
  <w:style w:type="character" w:customStyle="1" w:styleId="DefaultChar">
    <w:name w:val="Default Char"/>
    <w:link w:val="Default"/>
    <w:rsid w:val="00714CE4"/>
    <w:rPr>
      <w:rFonts w:ascii="Calibri" w:eastAsia="Calibri" w:hAnsi="Calibri" w:cs="Calibri"/>
      <w:color w:val="000000"/>
      <w:sz w:val="24"/>
      <w:szCs w:val="24"/>
    </w:rPr>
  </w:style>
  <w:style w:type="character" w:customStyle="1" w:styleId="Ninguno">
    <w:name w:val="Ninguno"/>
    <w:rsid w:val="00714CE4"/>
  </w:style>
  <w:style w:type="paragraph" w:customStyle="1" w:styleId="western">
    <w:name w:val="western"/>
    <w:basedOn w:val="Normal"/>
    <w:rsid w:val="005D3AD1"/>
    <w:pPr>
      <w:spacing w:before="100" w:beforeAutospacing="1" w:after="100" w:afterAutospacing="1"/>
    </w:pPr>
    <w:rPr>
      <w:lang w:val="es-MX" w:eastAsia="es-MX"/>
    </w:rPr>
  </w:style>
  <w:style w:type="paragraph" w:customStyle="1" w:styleId="Normal3">
    <w:name w:val="Normal3"/>
    <w:rsid w:val="004613AA"/>
    <w:rPr>
      <w:rFonts w:ascii="Calibri" w:eastAsia="Calibri" w:hAnsi="Calibri" w:cs="Calibri"/>
      <w:color w:val="000000"/>
      <w:lang w:val="es-ES" w:eastAsia="es-ES"/>
    </w:rPr>
  </w:style>
  <w:style w:type="table" w:styleId="Tablaconcuadrcula">
    <w:name w:val="Table Grid"/>
    <w:basedOn w:val="Tablanormal"/>
    <w:uiPriority w:val="39"/>
    <w:rsid w:val="008B32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195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CC2483"/>
    <w:rPr>
      <w:color w:val="605E5C"/>
      <w:shd w:val="clear" w:color="auto" w:fill="E1DFDD"/>
    </w:rPr>
  </w:style>
  <w:style w:type="character" w:customStyle="1" w:styleId="Ttulo3Car">
    <w:name w:val="Título 3 Car"/>
    <w:basedOn w:val="Fuentedeprrafopredeter"/>
    <w:link w:val="Ttulo3"/>
    <w:uiPriority w:val="9"/>
    <w:semiHidden/>
    <w:rsid w:val="001A7A08"/>
    <w:rPr>
      <w:rFonts w:asciiTheme="majorHAnsi" w:eastAsiaTheme="majorEastAsia" w:hAnsiTheme="majorHAnsi" w:cstheme="majorBidi"/>
      <w:color w:val="243F60" w:themeColor="accent1" w:themeShade="7F"/>
      <w:sz w:val="24"/>
      <w:szCs w:val="24"/>
      <w:lang w:val="es-ES" w:eastAsia="es-ES"/>
    </w:rPr>
  </w:style>
  <w:style w:type="character" w:customStyle="1" w:styleId="Mencinsinresolver2">
    <w:name w:val="Mención sin resolver2"/>
    <w:basedOn w:val="Fuentedeprrafopredeter"/>
    <w:uiPriority w:val="99"/>
    <w:semiHidden/>
    <w:unhideWhenUsed/>
    <w:rsid w:val="005267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52191">
      <w:bodyDiv w:val="1"/>
      <w:marLeft w:val="0"/>
      <w:marRight w:val="0"/>
      <w:marTop w:val="0"/>
      <w:marBottom w:val="0"/>
      <w:divBdr>
        <w:top w:val="none" w:sz="0" w:space="0" w:color="auto"/>
        <w:left w:val="none" w:sz="0" w:space="0" w:color="auto"/>
        <w:bottom w:val="none" w:sz="0" w:space="0" w:color="auto"/>
        <w:right w:val="none" w:sz="0" w:space="0" w:color="auto"/>
      </w:divBdr>
    </w:div>
    <w:div w:id="56900824">
      <w:bodyDiv w:val="1"/>
      <w:marLeft w:val="0"/>
      <w:marRight w:val="0"/>
      <w:marTop w:val="0"/>
      <w:marBottom w:val="0"/>
      <w:divBdr>
        <w:top w:val="none" w:sz="0" w:space="0" w:color="auto"/>
        <w:left w:val="none" w:sz="0" w:space="0" w:color="auto"/>
        <w:bottom w:val="none" w:sz="0" w:space="0" w:color="auto"/>
        <w:right w:val="none" w:sz="0" w:space="0" w:color="auto"/>
      </w:divBdr>
    </w:div>
    <w:div w:id="83304434">
      <w:bodyDiv w:val="1"/>
      <w:marLeft w:val="0"/>
      <w:marRight w:val="0"/>
      <w:marTop w:val="0"/>
      <w:marBottom w:val="0"/>
      <w:divBdr>
        <w:top w:val="none" w:sz="0" w:space="0" w:color="auto"/>
        <w:left w:val="none" w:sz="0" w:space="0" w:color="auto"/>
        <w:bottom w:val="none" w:sz="0" w:space="0" w:color="auto"/>
        <w:right w:val="none" w:sz="0" w:space="0" w:color="auto"/>
      </w:divBdr>
    </w:div>
    <w:div w:id="261111878">
      <w:bodyDiv w:val="1"/>
      <w:marLeft w:val="0"/>
      <w:marRight w:val="0"/>
      <w:marTop w:val="0"/>
      <w:marBottom w:val="0"/>
      <w:divBdr>
        <w:top w:val="none" w:sz="0" w:space="0" w:color="auto"/>
        <w:left w:val="none" w:sz="0" w:space="0" w:color="auto"/>
        <w:bottom w:val="none" w:sz="0" w:space="0" w:color="auto"/>
        <w:right w:val="none" w:sz="0" w:space="0" w:color="auto"/>
      </w:divBdr>
    </w:div>
    <w:div w:id="485711182">
      <w:bodyDiv w:val="1"/>
      <w:marLeft w:val="0"/>
      <w:marRight w:val="0"/>
      <w:marTop w:val="0"/>
      <w:marBottom w:val="0"/>
      <w:divBdr>
        <w:top w:val="none" w:sz="0" w:space="0" w:color="auto"/>
        <w:left w:val="none" w:sz="0" w:space="0" w:color="auto"/>
        <w:bottom w:val="none" w:sz="0" w:space="0" w:color="auto"/>
        <w:right w:val="none" w:sz="0" w:space="0" w:color="auto"/>
      </w:divBdr>
    </w:div>
    <w:div w:id="548304797">
      <w:bodyDiv w:val="1"/>
      <w:marLeft w:val="0"/>
      <w:marRight w:val="0"/>
      <w:marTop w:val="0"/>
      <w:marBottom w:val="0"/>
      <w:divBdr>
        <w:top w:val="none" w:sz="0" w:space="0" w:color="auto"/>
        <w:left w:val="none" w:sz="0" w:space="0" w:color="auto"/>
        <w:bottom w:val="none" w:sz="0" w:space="0" w:color="auto"/>
        <w:right w:val="none" w:sz="0" w:space="0" w:color="auto"/>
      </w:divBdr>
    </w:div>
    <w:div w:id="911893331">
      <w:bodyDiv w:val="1"/>
      <w:marLeft w:val="0"/>
      <w:marRight w:val="0"/>
      <w:marTop w:val="0"/>
      <w:marBottom w:val="0"/>
      <w:divBdr>
        <w:top w:val="none" w:sz="0" w:space="0" w:color="auto"/>
        <w:left w:val="none" w:sz="0" w:space="0" w:color="auto"/>
        <w:bottom w:val="none" w:sz="0" w:space="0" w:color="auto"/>
        <w:right w:val="none" w:sz="0" w:space="0" w:color="auto"/>
      </w:divBdr>
    </w:div>
    <w:div w:id="1409688761">
      <w:bodyDiv w:val="1"/>
      <w:marLeft w:val="0"/>
      <w:marRight w:val="0"/>
      <w:marTop w:val="0"/>
      <w:marBottom w:val="0"/>
      <w:divBdr>
        <w:top w:val="none" w:sz="0" w:space="0" w:color="auto"/>
        <w:left w:val="none" w:sz="0" w:space="0" w:color="auto"/>
        <w:bottom w:val="none" w:sz="0" w:space="0" w:color="auto"/>
        <w:right w:val="none" w:sz="0" w:space="0" w:color="auto"/>
      </w:divBdr>
    </w:div>
    <w:div w:id="1415513521">
      <w:bodyDiv w:val="1"/>
      <w:marLeft w:val="0"/>
      <w:marRight w:val="0"/>
      <w:marTop w:val="0"/>
      <w:marBottom w:val="0"/>
      <w:divBdr>
        <w:top w:val="none" w:sz="0" w:space="0" w:color="auto"/>
        <w:left w:val="none" w:sz="0" w:space="0" w:color="auto"/>
        <w:bottom w:val="none" w:sz="0" w:space="0" w:color="auto"/>
        <w:right w:val="none" w:sz="0" w:space="0" w:color="auto"/>
      </w:divBdr>
      <w:divsChild>
        <w:div w:id="1097095789">
          <w:marLeft w:val="0"/>
          <w:marRight w:val="0"/>
          <w:marTop w:val="0"/>
          <w:marBottom w:val="0"/>
          <w:divBdr>
            <w:top w:val="none" w:sz="0" w:space="0" w:color="auto"/>
            <w:left w:val="none" w:sz="0" w:space="0" w:color="auto"/>
            <w:bottom w:val="none" w:sz="0" w:space="0" w:color="auto"/>
            <w:right w:val="none" w:sz="0" w:space="0" w:color="auto"/>
          </w:divBdr>
        </w:div>
        <w:div w:id="407076702">
          <w:marLeft w:val="0"/>
          <w:marRight w:val="0"/>
          <w:marTop w:val="0"/>
          <w:marBottom w:val="0"/>
          <w:divBdr>
            <w:top w:val="none" w:sz="0" w:space="0" w:color="auto"/>
            <w:left w:val="none" w:sz="0" w:space="0" w:color="auto"/>
            <w:bottom w:val="none" w:sz="0" w:space="0" w:color="auto"/>
            <w:right w:val="none" w:sz="0" w:space="0" w:color="auto"/>
          </w:divBdr>
        </w:div>
        <w:div w:id="1496727174">
          <w:marLeft w:val="0"/>
          <w:marRight w:val="0"/>
          <w:marTop w:val="0"/>
          <w:marBottom w:val="0"/>
          <w:divBdr>
            <w:top w:val="none" w:sz="0" w:space="0" w:color="auto"/>
            <w:left w:val="none" w:sz="0" w:space="0" w:color="auto"/>
            <w:bottom w:val="none" w:sz="0" w:space="0" w:color="auto"/>
            <w:right w:val="none" w:sz="0" w:space="0" w:color="auto"/>
          </w:divBdr>
        </w:div>
        <w:div w:id="945115210">
          <w:marLeft w:val="0"/>
          <w:marRight w:val="0"/>
          <w:marTop w:val="0"/>
          <w:marBottom w:val="0"/>
          <w:divBdr>
            <w:top w:val="none" w:sz="0" w:space="0" w:color="auto"/>
            <w:left w:val="none" w:sz="0" w:space="0" w:color="auto"/>
            <w:bottom w:val="none" w:sz="0" w:space="0" w:color="auto"/>
            <w:right w:val="none" w:sz="0" w:space="0" w:color="auto"/>
          </w:divBdr>
        </w:div>
        <w:div w:id="957567941">
          <w:marLeft w:val="0"/>
          <w:marRight w:val="0"/>
          <w:marTop w:val="0"/>
          <w:marBottom w:val="0"/>
          <w:divBdr>
            <w:top w:val="none" w:sz="0" w:space="0" w:color="auto"/>
            <w:left w:val="none" w:sz="0" w:space="0" w:color="auto"/>
            <w:bottom w:val="none" w:sz="0" w:space="0" w:color="auto"/>
            <w:right w:val="none" w:sz="0" w:space="0" w:color="auto"/>
          </w:divBdr>
        </w:div>
        <w:div w:id="1278022414">
          <w:marLeft w:val="0"/>
          <w:marRight w:val="0"/>
          <w:marTop w:val="0"/>
          <w:marBottom w:val="0"/>
          <w:divBdr>
            <w:top w:val="none" w:sz="0" w:space="0" w:color="auto"/>
            <w:left w:val="none" w:sz="0" w:space="0" w:color="auto"/>
            <w:bottom w:val="none" w:sz="0" w:space="0" w:color="auto"/>
            <w:right w:val="none" w:sz="0" w:space="0" w:color="auto"/>
          </w:divBdr>
        </w:div>
        <w:div w:id="241061412">
          <w:marLeft w:val="0"/>
          <w:marRight w:val="0"/>
          <w:marTop w:val="0"/>
          <w:marBottom w:val="0"/>
          <w:divBdr>
            <w:top w:val="none" w:sz="0" w:space="0" w:color="auto"/>
            <w:left w:val="none" w:sz="0" w:space="0" w:color="auto"/>
            <w:bottom w:val="none" w:sz="0" w:space="0" w:color="auto"/>
            <w:right w:val="none" w:sz="0" w:space="0" w:color="auto"/>
          </w:divBdr>
        </w:div>
      </w:divsChild>
    </w:div>
    <w:div w:id="1447239483">
      <w:bodyDiv w:val="1"/>
      <w:marLeft w:val="0"/>
      <w:marRight w:val="0"/>
      <w:marTop w:val="0"/>
      <w:marBottom w:val="0"/>
      <w:divBdr>
        <w:top w:val="none" w:sz="0" w:space="0" w:color="auto"/>
        <w:left w:val="none" w:sz="0" w:space="0" w:color="auto"/>
        <w:bottom w:val="none" w:sz="0" w:space="0" w:color="auto"/>
        <w:right w:val="none" w:sz="0" w:space="0" w:color="auto"/>
      </w:divBdr>
    </w:div>
    <w:div w:id="1631083654">
      <w:bodyDiv w:val="1"/>
      <w:marLeft w:val="0"/>
      <w:marRight w:val="0"/>
      <w:marTop w:val="0"/>
      <w:marBottom w:val="0"/>
      <w:divBdr>
        <w:top w:val="none" w:sz="0" w:space="0" w:color="auto"/>
        <w:left w:val="none" w:sz="0" w:space="0" w:color="auto"/>
        <w:bottom w:val="none" w:sz="0" w:space="0" w:color="auto"/>
        <w:right w:val="none" w:sz="0" w:space="0" w:color="auto"/>
      </w:divBdr>
    </w:div>
    <w:div w:id="1804157916">
      <w:bodyDiv w:val="1"/>
      <w:marLeft w:val="0"/>
      <w:marRight w:val="0"/>
      <w:marTop w:val="0"/>
      <w:marBottom w:val="0"/>
      <w:divBdr>
        <w:top w:val="none" w:sz="0" w:space="0" w:color="auto"/>
        <w:left w:val="none" w:sz="0" w:space="0" w:color="auto"/>
        <w:bottom w:val="none" w:sz="0" w:space="0" w:color="auto"/>
        <w:right w:val="none" w:sz="0" w:space="0" w:color="auto"/>
      </w:divBdr>
    </w:div>
    <w:div w:id="1830292682">
      <w:bodyDiv w:val="1"/>
      <w:marLeft w:val="0"/>
      <w:marRight w:val="0"/>
      <w:marTop w:val="0"/>
      <w:marBottom w:val="0"/>
      <w:divBdr>
        <w:top w:val="none" w:sz="0" w:space="0" w:color="auto"/>
        <w:left w:val="none" w:sz="0" w:space="0" w:color="auto"/>
        <w:bottom w:val="none" w:sz="0" w:space="0" w:color="auto"/>
        <w:right w:val="none" w:sz="0" w:space="0" w:color="auto"/>
      </w:divBdr>
    </w:div>
    <w:div w:id="1882478326">
      <w:bodyDiv w:val="1"/>
      <w:marLeft w:val="0"/>
      <w:marRight w:val="0"/>
      <w:marTop w:val="0"/>
      <w:marBottom w:val="0"/>
      <w:divBdr>
        <w:top w:val="none" w:sz="0" w:space="0" w:color="auto"/>
        <w:left w:val="none" w:sz="0" w:space="0" w:color="auto"/>
        <w:bottom w:val="none" w:sz="0" w:space="0" w:color="auto"/>
        <w:right w:val="none" w:sz="0" w:space="0" w:color="auto"/>
      </w:divBdr>
    </w:div>
    <w:div w:id="2010520542">
      <w:bodyDiv w:val="1"/>
      <w:marLeft w:val="0"/>
      <w:marRight w:val="0"/>
      <w:marTop w:val="0"/>
      <w:marBottom w:val="0"/>
      <w:divBdr>
        <w:top w:val="none" w:sz="0" w:space="0" w:color="auto"/>
        <w:left w:val="none" w:sz="0" w:space="0" w:color="auto"/>
        <w:bottom w:val="none" w:sz="0" w:space="0" w:color="auto"/>
        <w:right w:val="none" w:sz="0" w:space="0" w:color="auto"/>
      </w:divBdr>
    </w:div>
    <w:div w:id="207003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40DCB2-7B0C-46CE-875C-7FD896595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2617</Words>
  <Characters>14395</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roaguirre</dc:creator>
  <cp:lastModifiedBy>Guillermo Trejo Neder</cp:lastModifiedBy>
  <cp:revision>2</cp:revision>
  <cp:lastPrinted>2022-03-10T17:58:00Z</cp:lastPrinted>
  <dcterms:created xsi:type="dcterms:W3CDTF">2022-06-06T18:17:00Z</dcterms:created>
  <dcterms:modified xsi:type="dcterms:W3CDTF">2022-06-06T18:17:00Z</dcterms:modified>
</cp:coreProperties>
</file>