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A557" w14:textId="77777777"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6A6CAC3A" w14:textId="7F39A221" w:rsidR="005303E2"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5303E2">
        <w:rPr>
          <w:rFonts w:ascii="Century Gothic" w:hAnsi="Century Gothic" w:cs="Arial"/>
        </w:rPr>
        <w:t>16</w:t>
      </w:r>
      <w:r w:rsidR="009103FD">
        <w:rPr>
          <w:rFonts w:ascii="Century Gothic" w:hAnsi="Century Gothic" w:cs="Arial"/>
        </w:rPr>
        <w:t xml:space="preserve"> de noviembre de 2021</w:t>
      </w:r>
      <w:r w:rsidRPr="005D3AD1">
        <w:rPr>
          <w:rFonts w:ascii="Century Gothic" w:hAnsi="Century Gothic" w:cs="Arial"/>
        </w:rPr>
        <w:t>,</w:t>
      </w:r>
      <w:r w:rsidR="000701D0">
        <w:rPr>
          <w:rFonts w:ascii="Century Gothic" w:hAnsi="Century Gothic" w:cs="Arial"/>
        </w:rPr>
        <w:t xml:space="preserve"> </w:t>
      </w:r>
      <w:r w:rsidR="009103FD">
        <w:rPr>
          <w:rFonts w:ascii="Century Gothic" w:hAnsi="Century Gothic" w:cs="Arial"/>
        </w:rPr>
        <w:t>las y los diputados</w:t>
      </w:r>
      <w:r w:rsidR="009103FD" w:rsidRPr="009103FD">
        <w:rPr>
          <w:rFonts w:ascii="Century Gothic" w:hAnsi="Century Gothic" w:cs="Arial"/>
        </w:rPr>
        <w:t xml:space="preserve"> </w:t>
      </w:r>
      <w:r w:rsidR="009E46FF" w:rsidRPr="009E46FF">
        <w:rPr>
          <w:rFonts w:ascii="Century Gothic" w:hAnsi="Century Gothic" w:cs="Arial"/>
        </w:rPr>
        <w:t xml:space="preserve">Rosana Díaz Reyes, Adriana Terrazas Porras, Benjamín Carrera Chávez, David Óscar Castrejón Rivas, </w:t>
      </w:r>
      <w:proofErr w:type="spellStart"/>
      <w:r w:rsidR="009E46FF" w:rsidRPr="009E46FF">
        <w:rPr>
          <w:rFonts w:ascii="Century Gothic" w:hAnsi="Century Gothic" w:cs="Arial"/>
        </w:rPr>
        <w:t>Edin</w:t>
      </w:r>
      <w:proofErr w:type="spellEnd"/>
      <w:r w:rsidR="009E46FF" w:rsidRPr="009E46FF">
        <w:rPr>
          <w:rFonts w:ascii="Century Gothic" w:hAnsi="Century Gothic" w:cs="Arial"/>
        </w:rPr>
        <w:t xml:space="preserve"> Cuauhtémoc Estrada Sotelo, Gustavo De la Rosa </w:t>
      </w:r>
      <w:proofErr w:type="spellStart"/>
      <w:r w:rsidR="009E46FF" w:rsidRPr="009E46FF">
        <w:rPr>
          <w:rFonts w:ascii="Century Gothic" w:hAnsi="Century Gothic" w:cs="Arial"/>
        </w:rPr>
        <w:t>Hickerson</w:t>
      </w:r>
      <w:proofErr w:type="spellEnd"/>
      <w:r w:rsidR="009E46FF" w:rsidRPr="009E46FF">
        <w:rPr>
          <w:rFonts w:ascii="Century Gothic" w:hAnsi="Century Gothic" w:cs="Arial"/>
        </w:rPr>
        <w:t xml:space="preserve">, Leticia Ortega Máynez, Magdalena Rentería Pérez, María Antonieta Pérez Reyes, Óscar Daniel </w:t>
      </w:r>
      <w:proofErr w:type="spellStart"/>
      <w:r w:rsidR="009E46FF" w:rsidRPr="009E46FF">
        <w:rPr>
          <w:rFonts w:ascii="Century Gothic" w:hAnsi="Century Gothic" w:cs="Arial"/>
        </w:rPr>
        <w:t>Avitia</w:t>
      </w:r>
      <w:proofErr w:type="spellEnd"/>
      <w:r w:rsidR="009E46FF" w:rsidRPr="009E46FF">
        <w:rPr>
          <w:rFonts w:ascii="Century Gothic" w:hAnsi="Century Gothic" w:cs="Arial"/>
        </w:rPr>
        <w:t xml:space="preserve"> </w:t>
      </w:r>
      <w:proofErr w:type="spellStart"/>
      <w:r w:rsidR="009E46FF" w:rsidRPr="009E46FF">
        <w:rPr>
          <w:rFonts w:ascii="Century Gothic" w:hAnsi="Century Gothic" w:cs="Arial"/>
        </w:rPr>
        <w:t>Arellanes</w:t>
      </w:r>
      <w:proofErr w:type="spellEnd"/>
      <w:r w:rsidR="009E46FF">
        <w:rPr>
          <w:rFonts w:ascii="Century Gothic" w:hAnsi="Century Gothic" w:cs="Arial"/>
        </w:rPr>
        <w:t>, integrantes del Grupo Parlamentario del Partido MORENA</w:t>
      </w:r>
      <w:r w:rsidR="009103FD">
        <w:rPr>
          <w:rFonts w:ascii="Century Gothic" w:hAnsi="Century Gothic" w:cs="Arial"/>
        </w:rPr>
        <w:t>, presentaron</w:t>
      </w:r>
      <w:r w:rsidR="00927BEC">
        <w:rPr>
          <w:rFonts w:ascii="Century Gothic" w:hAnsi="Century Gothic" w:cs="Arial"/>
        </w:rPr>
        <w:t xml:space="preserve"> </w:t>
      </w:r>
      <w:r w:rsidR="00D65F10">
        <w:rPr>
          <w:rFonts w:ascii="Century Gothic" w:hAnsi="Century Gothic" w:cs="Arial"/>
        </w:rPr>
        <w:t xml:space="preserve">iniciativa con carácter de </w:t>
      </w:r>
      <w:r w:rsidR="00D65F10" w:rsidRPr="00D65F10">
        <w:rPr>
          <w:rFonts w:ascii="Century Gothic" w:hAnsi="Century Gothic" w:cs="Arial"/>
        </w:rPr>
        <w:t>decreto</w:t>
      </w:r>
      <w:r w:rsidR="005303E2" w:rsidRPr="005303E2">
        <w:rPr>
          <w:rFonts w:ascii="Arial" w:hAnsi="Arial" w:cs="Arial"/>
          <w:color w:val="4A4A4A"/>
          <w:sz w:val="23"/>
          <w:szCs w:val="23"/>
          <w:shd w:val="clear" w:color="auto" w:fill="FAF8F6"/>
        </w:rPr>
        <w:t xml:space="preserve"> </w:t>
      </w:r>
      <w:r w:rsidR="005303E2" w:rsidRPr="005303E2">
        <w:rPr>
          <w:rFonts w:ascii="Century Gothic" w:hAnsi="Century Gothic" w:cs="Arial"/>
        </w:rPr>
        <w:t xml:space="preserve">a fin de adicionar el artículo 195 bis, al Código Civil del Estado de Chihuahua, </w:t>
      </w:r>
      <w:r w:rsidR="005303E2">
        <w:rPr>
          <w:rFonts w:ascii="Century Gothic" w:hAnsi="Century Gothic" w:cs="Arial"/>
        </w:rPr>
        <w:t>para</w:t>
      </w:r>
      <w:r w:rsidR="005303E2" w:rsidRPr="005303E2">
        <w:rPr>
          <w:rFonts w:ascii="Century Gothic" w:hAnsi="Century Gothic" w:cs="Arial"/>
        </w:rPr>
        <w:t xml:space="preserve"> incluir la compensación económica, como un mecanismo tendiente a lograr la igualdad de derechos y obligaciones entre cónyuges, ante los posibles desequilibrios económicos en el patrimonio mediante el régimen de separación de bienes.</w:t>
      </w:r>
    </w:p>
    <w:p w14:paraId="445A9878" w14:textId="77777777" w:rsidR="005303E2" w:rsidRDefault="005303E2" w:rsidP="002E2CD6">
      <w:pPr>
        <w:shd w:val="clear" w:color="auto" w:fill="FFFFFF"/>
        <w:tabs>
          <w:tab w:val="left" w:pos="9763"/>
        </w:tabs>
        <w:spacing w:line="360" w:lineRule="auto"/>
        <w:ind w:right="332"/>
        <w:jc w:val="both"/>
        <w:rPr>
          <w:rFonts w:ascii="Century Gothic" w:hAnsi="Century Gothic" w:cs="Arial"/>
        </w:rPr>
      </w:pPr>
    </w:p>
    <w:p w14:paraId="6692C258" w14:textId="692B87E0"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lastRenderedPageBreak/>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5303E2">
        <w:rPr>
          <w:rFonts w:ascii="Century Gothic" w:hAnsi="Century Gothic" w:cs="Arial"/>
        </w:rPr>
        <w:t>23</w:t>
      </w:r>
      <w:r w:rsidR="001C7F07">
        <w:rPr>
          <w:rFonts w:ascii="Century Gothic" w:hAnsi="Century Gothic" w:cs="Arial"/>
        </w:rPr>
        <w:t xml:space="preserve"> de </w:t>
      </w:r>
      <w:r w:rsidR="009103FD">
        <w:rPr>
          <w:rFonts w:ascii="Century Gothic" w:hAnsi="Century Gothic" w:cs="Arial"/>
        </w:rPr>
        <w:t>noviembre 2021</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4E4446CC"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 xml:space="preserve">enunciada como asunto </w:t>
      </w:r>
      <w:r w:rsidR="005303E2">
        <w:rPr>
          <w:rFonts w:ascii="Century Gothic" w:hAnsi="Century Gothic" w:cs="Arial"/>
          <w:bCs/>
        </w:rPr>
        <w:t>506</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2A637A78" w14:textId="77777777" w:rsidR="005303E2" w:rsidRPr="005303E2" w:rsidRDefault="00FA75B4"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5303E2" w:rsidRPr="005303E2">
        <w:rPr>
          <w:rFonts w:ascii="Century Gothic" w:eastAsia="Arial" w:hAnsi="Century Gothic"/>
          <w:i/>
          <w:sz w:val="22"/>
          <w:szCs w:val="22"/>
          <w:lang w:val="es-MX"/>
        </w:rPr>
        <w:t xml:space="preserve">La asignación tradicional de roles dentro del funcionamiento del matrimonio ha coartado, históricamente, la libertad de las mujeres para desarrollarse profesional y laboralmente, teniendo la responsabilidad total del hogar, y del cuidado de las y los hijos, se limita su tiempo para realizar otras actividades que permitan incluso generar sus propios ingresos, teniendo como consecuencia una desigualdad económica entre los cónyuges. En estos casos el patrimonio familiar se conforma solamente con la aportación del cónyuge que trabaja y provee de recursos al hogar para su subsistencia, siendo éste el que ostenta el dominio económico. </w:t>
      </w:r>
    </w:p>
    <w:p w14:paraId="455E215D"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4732C979"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 xml:space="preserve">Estas situaciones refuerzan conceptos estereotipados de las funciones de la mujer y del hombre que perpetúan una discriminación de facto en su contra dentro de la esfera familiar, y que, a su vez, tienen el efecto de dificultar la capacidad de los hombres para desarrollar plenamente sus papeles dentro del </w:t>
      </w:r>
      <w:r w:rsidRPr="005303E2">
        <w:rPr>
          <w:rFonts w:ascii="Century Gothic" w:eastAsia="Arial" w:hAnsi="Century Gothic"/>
          <w:i/>
          <w:sz w:val="22"/>
          <w:szCs w:val="22"/>
          <w:lang w:val="es-MX"/>
        </w:rPr>
        <w:lastRenderedPageBreak/>
        <w:t xml:space="preserve">matrimonio y de la familia. Generando desequilibrio en la vida familiar. </w:t>
      </w:r>
    </w:p>
    <w:p w14:paraId="0267F4E3"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692A5858"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 xml:space="preserve">Normalmente el trabajo doméstico no es remunerado y representa un costo de oportunidad para las mujeres. Las labores domésticas y el trabajo de cuidado están asignados a las mujeres a través de una visión estereotípica a partir de su sexo, se les adscribe el rol de madres y amas de casa por el solo hecho de ser mujeres. Estas circunstancias impiden que las mujeres logren desarrollar plenamente su proyecto de vida profesional, al dedicarse exclusivamente al cuidado del hogar o al tener una “doble jornada laboral”–un empleo fuera del hogar y la realización de tareas domésticas– que acaban por consumir su tiempo. </w:t>
      </w:r>
    </w:p>
    <w:p w14:paraId="188C046F"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4E92E659"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Esta dependencia económica comúnmente limita la posibilidad de llevar a cabo un divorcio, pues generalmente las mujeres se ven obligadas a permanecer en matrimonio dadas las desventajas económicas que tendrían que enfrentar ante una separación, máxime que son ellas quienes, generalmente, se quedan a cargo del cuidado y crianza de los hijos e hijas.</w:t>
      </w:r>
    </w:p>
    <w:p w14:paraId="749BBDDE"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15CFF02D"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 xml:space="preserve">De acuerdo con información de las bases de datos de 89 países en desarrollo, las mujeres divorciadas de 15 años o más tienen el doble de probabilidades de vivir en pobreza que hombres divorciados de ese mismo grupo de edad. América Latina es la </w:t>
      </w:r>
      <w:r w:rsidRPr="005303E2">
        <w:rPr>
          <w:rFonts w:ascii="Century Gothic" w:eastAsia="Arial" w:hAnsi="Century Gothic"/>
          <w:i/>
          <w:sz w:val="22"/>
          <w:szCs w:val="22"/>
          <w:lang w:val="es-MX"/>
        </w:rPr>
        <w:lastRenderedPageBreak/>
        <w:t>región con el mayor porcentaje de mujeres divorciadas entre la población femenina en situación de pobreza, con un 15.8%.</w:t>
      </w:r>
    </w:p>
    <w:p w14:paraId="653DB202"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0AE2D165"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Ante una separación, las mujeres se ven obligadas a resolver los problemas que con ello se generan, a buscar nuevas formas de organización de la familia, a ubicar redes de apoyo y de cuidado dada la necesidad de incorporarse al mercado laboral, del que en ocasiones tienen años sin involucrarse, para de esta manera obtener sus propios ingresos económicos, e incluso tristemente en ocasiones se ven obligadas a tener que buscar un lugar para vivir con sus hijos. Estas cargas encuentran su principal legitimidad en las leyes que rigen el matrimonio, mismas que se han creado y replicado a partir de una visión tradicional del derecho familiar como rama de la esfera privada en donde el Estado no debe inmiscuirse.</w:t>
      </w:r>
    </w:p>
    <w:p w14:paraId="3A87BAED"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041AE886"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Mediante una perspectiva de género, los cónyuges deben gozar de igualdad de derechos y obligaciones en el cuidado, protección, crianza y mantenimiento de las hijas y los hijos o familiares a cargo. Igualdad que no puede ser ciega a las nuevas condiciones familiares que surgen ante la disolución del matrimonio o la separación.</w:t>
      </w:r>
    </w:p>
    <w:p w14:paraId="175708AA"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00F42D24"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 xml:space="preserve">Las leyes o costumbres que conceden al hombre, de forma implícita o explícita, el derecho a una mayor parte del patrimonio cuando se extingue el matrimonio o la relación familiar, son </w:t>
      </w:r>
      <w:r w:rsidRPr="005303E2">
        <w:rPr>
          <w:rFonts w:ascii="Century Gothic" w:eastAsia="Arial" w:hAnsi="Century Gothic"/>
          <w:i/>
          <w:sz w:val="22"/>
          <w:szCs w:val="22"/>
          <w:lang w:val="es-MX"/>
        </w:rPr>
        <w:lastRenderedPageBreak/>
        <w:t>contrarias al principio de igualdad entre cónyuges. Asimismo, aquéllas que coartan el derecho de la mujer a obtener o conservar una parte igual del patrimonio, menoscaban su posición de persona independiente, responsable y valiosa dentro de la sociedad a la que pertenece. Por ello, cuando la actual legislación limita su posibilidad de ejercicio de derechos derivados del matrimonio o de su disolución en igualdad de condiciones que el hombre.</w:t>
      </w:r>
    </w:p>
    <w:p w14:paraId="32746737"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36A8781B"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Como lo reconoció la Comisión Interamericana de Derechos Humanos en el informe Nº 4/0150, los Estados deben evitar la repetición de legislación o imperativos normativos que institucionalicen desequilibrios en los derechos y deberes de los cónyuges que, por ejemplo, establezcan situaciones de dependencia para la esposa que crean un desequilibrio incorregible en la autoridad de los consortes dentro del matrimonio.</w:t>
      </w:r>
    </w:p>
    <w:p w14:paraId="781481F4"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45CA6394"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 xml:space="preserve">Procurar la igualdad de derechos entre cónyuges permitiría a su vez encontrar una sociedad mexicana más igualitaria, para lograrlo debe tomarse en cuenta que son principalmente las mujeres quienes, ante una separación o divorcio, siguen llevando a cabo las labores de crianza de hijos e hijas y por tanto, la organización de la familia. </w:t>
      </w:r>
    </w:p>
    <w:p w14:paraId="005AFB03"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3D5C5830"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lastRenderedPageBreak/>
        <w:t>Tradicionalmente se reconocen dos formas de disposición de los bienes que se adquieren durante la vigencia del matrimonio: sociedad conyugal y separación de bienes. Éste último, consiste en un régimen en el que cada uno de los cónyuges conserva la propiedad y administración de sus bienes, así como sus frutos y accesorios, sin necesidad de la participación de la otra parte. La sociedad conyugal, por el contrario, es un régimen a través del cual los cónyuges se hacen copartícipes de derechos y obligaciones.</w:t>
      </w:r>
    </w:p>
    <w:p w14:paraId="1AB008D3"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6E4F5147"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 xml:space="preserve">A diferencia del matrimonio por sociedad conyugal, en el de separación de bienes puede ser mayor el desequilibrio económico a raíz del divorcio, sobre todo cuando uno de los o las consortes se dedicó preponderantemente a las labores del hogar y de crianza, y no se tuvieron las condiciones para forjar un patrimonio propio durante la vida marital. En estos casos, existe una desproporción patrimonial entre el o la cónyuge que se dedicó a un trabajo remunerado, de aquel que se dedicó preponderantemente al cuidado de la familia, por lo que vio mermadas sus posibilidades de dedicarse a otras actividades y así adquirir bienes y derechos de carácter económico, sin omitir la responsabilidad que tienen ambos consortes de aportar conjuntamente a la atención del hogar y la educación de los hijos. </w:t>
      </w:r>
    </w:p>
    <w:p w14:paraId="73EE0DB2"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0E905E14"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 xml:space="preserve">Mediante el régimen de separación de bienes la masa patrimonial de cada una de las partes se mantiene independiente al trabajo </w:t>
      </w:r>
      <w:r w:rsidRPr="005303E2">
        <w:rPr>
          <w:rFonts w:ascii="Century Gothic" w:eastAsia="Arial" w:hAnsi="Century Gothic"/>
          <w:i/>
          <w:sz w:val="22"/>
          <w:szCs w:val="22"/>
          <w:lang w:val="es-MX"/>
        </w:rPr>
        <w:lastRenderedPageBreak/>
        <w:t xml:space="preserve">realizado por los miembros de la familia, por lo que </w:t>
      </w:r>
      <w:proofErr w:type="spellStart"/>
      <w:r w:rsidRPr="005303E2">
        <w:rPr>
          <w:rFonts w:ascii="Century Gothic" w:eastAsia="Arial" w:hAnsi="Century Gothic"/>
          <w:i/>
          <w:sz w:val="22"/>
          <w:szCs w:val="22"/>
          <w:lang w:val="es-MX"/>
        </w:rPr>
        <w:t>invisibiliza</w:t>
      </w:r>
      <w:proofErr w:type="spellEnd"/>
      <w:r w:rsidRPr="005303E2">
        <w:rPr>
          <w:rFonts w:ascii="Century Gothic" w:eastAsia="Arial" w:hAnsi="Century Gothic"/>
          <w:i/>
          <w:sz w:val="22"/>
          <w:szCs w:val="22"/>
          <w:lang w:val="es-MX"/>
        </w:rPr>
        <w:t xml:space="preserve"> a aquel o aquella que realiza actividades no remuneradas que no se traducen en un beneficio económico, durante el tiempo que apoyó a su pareja para desarrollarse y crear un patrimonio propio. </w:t>
      </w:r>
    </w:p>
    <w:p w14:paraId="5375D4D8"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iCs/>
          <w:sz w:val="22"/>
          <w:szCs w:val="22"/>
          <w:lang w:val="es-MX"/>
        </w:rPr>
      </w:pPr>
    </w:p>
    <w:p w14:paraId="6A73496B"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A través de la presente iniciativa se pretende establecer la llamada compensación</w:t>
      </w:r>
      <w:r w:rsidRPr="005303E2">
        <w:rPr>
          <w:rFonts w:ascii="Century Gothic" w:eastAsia="Arial" w:hAnsi="Century Gothic"/>
          <w:i/>
          <w:sz w:val="22"/>
          <w:szCs w:val="22"/>
          <w:vertAlign w:val="superscript"/>
          <w:lang w:val="es-MX"/>
        </w:rPr>
        <w:footnoteReference w:id="1"/>
      </w:r>
      <w:r w:rsidRPr="005303E2">
        <w:rPr>
          <w:rFonts w:ascii="Century Gothic" w:eastAsia="Arial" w:hAnsi="Century Gothic"/>
          <w:i/>
          <w:sz w:val="22"/>
          <w:szCs w:val="22"/>
          <w:lang w:val="es-MX"/>
        </w:rPr>
        <w:t xml:space="preserve">, entendida como medida legislativa que procura la igualdad de derechos y responsabilidades de ambos cónyuges en el matrimonio, su duración y disolución, conforme al Pacto Internacional de Derechos Civiles y Políticos y la Convención Americana sobre Derechos Humanos. Es una medida tendiente a reivindicar el valor del trabajo doméstico y de cuidado largamente </w:t>
      </w:r>
      <w:proofErr w:type="spellStart"/>
      <w:r w:rsidRPr="005303E2">
        <w:rPr>
          <w:rFonts w:ascii="Century Gothic" w:eastAsia="Arial" w:hAnsi="Century Gothic"/>
          <w:i/>
          <w:sz w:val="22"/>
          <w:szCs w:val="22"/>
          <w:lang w:val="es-MX"/>
        </w:rPr>
        <w:t>invisibilizado</w:t>
      </w:r>
      <w:proofErr w:type="spellEnd"/>
      <w:r w:rsidRPr="005303E2">
        <w:rPr>
          <w:rFonts w:ascii="Century Gothic" w:eastAsia="Arial" w:hAnsi="Century Gothic"/>
          <w:i/>
          <w:sz w:val="22"/>
          <w:szCs w:val="22"/>
          <w:lang w:val="es-MX"/>
        </w:rPr>
        <w:t xml:space="preserve"> en la sociedad</w:t>
      </w:r>
      <w:r w:rsidRPr="005303E2">
        <w:rPr>
          <w:rFonts w:ascii="Century Gothic" w:eastAsia="Arial" w:hAnsi="Century Gothic"/>
          <w:i/>
          <w:sz w:val="22"/>
          <w:szCs w:val="22"/>
          <w:vertAlign w:val="superscript"/>
          <w:lang w:val="es-MX"/>
        </w:rPr>
        <w:footnoteReference w:id="2"/>
      </w:r>
      <w:r w:rsidRPr="005303E2">
        <w:rPr>
          <w:rFonts w:ascii="Century Gothic" w:eastAsia="Arial" w:hAnsi="Century Gothic"/>
          <w:i/>
          <w:sz w:val="22"/>
          <w:szCs w:val="22"/>
          <w:lang w:val="es-MX"/>
        </w:rPr>
        <w:t xml:space="preserve">. </w:t>
      </w:r>
    </w:p>
    <w:p w14:paraId="63D47DBD"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69E89CC4"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 xml:space="preserve">La compensación permite corregir situaciones de enriquecimiento y empobrecimiento injustos, derivadas de que uno de los cónyuges, comúnmente la mujer, asumió las cargas domésticas en mayor medida que el otro. En términos económicos, se trata de compensar o resarcir el costo de oportunidad que puede conllevar la menor obtención de experiencia laboral, la no obtención de salario, o de uno menor durante el matrimonio, entre otros perjuicios. </w:t>
      </w:r>
    </w:p>
    <w:p w14:paraId="1BD2F4A1"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06FF8DC6"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lastRenderedPageBreak/>
        <w:t>La Suprema Corte de Justicia de la Nación, en días pasados, estableció mediante la resolución del amparo directo en revisión 7653/2018 que las legislaciones locales que no contemplan la compensación sobre bienes adquiridos durante el matrimonio celebrado bajo el régimen de separación de bienes, son inconstitucionales, en contravención al principio de igualdad entre cónyuges, en términos de los artículos 1 y 4 de la Constitución federal en relación con el artículo 23 del Pacto Internacional de Derechos Civiles y Políticos, así como el artículo 17 de la Convención Americana Sobre Derechos Humanos</w:t>
      </w:r>
    </w:p>
    <w:p w14:paraId="14EE8AC5"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1E4E76FE"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Así, esta iniciativa tiene la finalidad de establecer en el Estado de Chihuahua este mecanismo resarcitorio tendiente a lograr la igualdad de derechos y obligaciones entre cónyuges, ante los posibles desequilibrios económicos en el patrimonio mediante el régimen de separación de bienes.</w:t>
      </w:r>
    </w:p>
    <w:p w14:paraId="4337B66E" w14:textId="77777777" w:rsidR="005303E2" w:rsidRPr="005303E2"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p>
    <w:p w14:paraId="19D34935" w14:textId="430CA2E3" w:rsidR="005D3EF3" w:rsidRPr="009E46FF" w:rsidRDefault="005303E2" w:rsidP="005303E2">
      <w:pPr>
        <w:autoSpaceDE w:val="0"/>
        <w:autoSpaceDN w:val="0"/>
        <w:adjustRightInd w:val="0"/>
        <w:spacing w:line="360" w:lineRule="auto"/>
        <w:ind w:left="851" w:right="1466"/>
        <w:jc w:val="both"/>
        <w:rPr>
          <w:rFonts w:ascii="Century Gothic" w:eastAsia="Arial" w:hAnsi="Century Gothic"/>
          <w:i/>
          <w:sz w:val="22"/>
          <w:szCs w:val="22"/>
          <w:lang w:val="es-MX"/>
        </w:rPr>
      </w:pPr>
      <w:r w:rsidRPr="005303E2">
        <w:rPr>
          <w:rFonts w:ascii="Century Gothic" w:eastAsia="Arial" w:hAnsi="Century Gothic"/>
          <w:i/>
          <w:sz w:val="22"/>
          <w:szCs w:val="22"/>
          <w:lang w:val="es-MX"/>
        </w:rPr>
        <w:t xml:space="preserve">El trabajo en el hogar o el cuidado de los hijos tiene el mismo valor que el realizado afuera. Reivindiquemos el valor del trabajo doméstico y de cuidado largamente </w:t>
      </w:r>
      <w:proofErr w:type="spellStart"/>
      <w:r w:rsidRPr="005303E2">
        <w:rPr>
          <w:rFonts w:ascii="Century Gothic" w:eastAsia="Arial" w:hAnsi="Century Gothic"/>
          <w:i/>
          <w:sz w:val="22"/>
          <w:szCs w:val="22"/>
          <w:lang w:val="es-MX"/>
        </w:rPr>
        <w:t>invisibilizado</w:t>
      </w:r>
      <w:proofErr w:type="spellEnd"/>
      <w:r w:rsidRPr="005303E2">
        <w:rPr>
          <w:rFonts w:ascii="Century Gothic" w:eastAsia="Arial" w:hAnsi="Century Gothic"/>
          <w:i/>
          <w:sz w:val="22"/>
          <w:szCs w:val="22"/>
          <w:lang w:val="es-MX"/>
        </w:rPr>
        <w:t xml:space="preserve"> en nuestra sociedad.</w:t>
      </w:r>
      <w:r w:rsidR="005D3EF3" w:rsidRPr="003E44B8">
        <w:rPr>
          <w:rFonts w:ascii="Century Gothic" w:eastAsia="Arial" w:hAnsi="Century Gothic"/>
          <w:i/>
          <w:sz w:val="22"/>
          <w:szCs w:val="22"/>
          <w:lang w:val="es-MX"/>
        </w:rPr>
        <w:t>”</w:t>
      </w:r>
    </w:p>
    <w:p w14:paraId="59AC39D7" w14:textId="77777777" w:rsidR="008B4461" w:rsidRDefault="008B4461" w:rsidP="002E2CD6">
      <w:pPr>
        <w:pStyle w:val="Textoindependiente"/>
        <w:spacing w:line="360" w:lineRule="auto"/>
        <w:ind w:right="332"/>
        <w:rPr>
          <w:rFonts w:ascii="Century Gothic" w:eastAsia="Arial" w:hAnsi="Century Gothic" w:cs="Arial"/>
          <w:lang w:val="es-MX"/>
        </w:rPr>
      </w:pPr>
    </w:p>
    <w:p w14:paraId="3F33C0CD" w14:textId="77777777"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lastRenderedPageBreak/>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79ECE72A"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w:t>
      </w:r>
      <w:r w:rsidR="00645895">
        <w:rPr>
          <w:rFonts w:ascii="Century Gothic" w:hAnsi="Century Gothic" w:cs="Arial"/>
        </w:rPr>
        <w:t>referencia</w:t>
      </w:r>
      <w:r w:rsidRPr="00850EEA">
        <w:rPr>
          <w:rFonts w:ascii="Century Gothic" w:hAnsi="Century Gothic" w:cs="Arial"/>
        </w:rPr>
        <w:t xml:space="preserve">. </w:t>
      </w:r>
    </w:p>
    <w:p w14:paraId="601F6CB7" w14:textId="77777777" w:rsidR="008D70F5" w:rsidRDefault="008D70F5" w:rsidP="00850EEA">
      <w:pPr>
        <w:spacing w:line="360" w:lineRule="auto"/>
        <w:ind w:right="335"/>
        <w:jc w:val="both"/>
        <w:rPr>
          <w:rFonts w:ascii="Century Gothic" w:hAnsi="Century Gothic" w:cs="Arial"/>
        </w:rPr>
      </w:pPr>
    </w:p>
    <w:p w14:paraId="725DDEC7" w14:textId="77777777" w:rsidR="005303E2" w:rsidRPr="005303E2" w:rsidRDefault="008D70F5" w:rsidP="005303E2">
      <w:pPr>
        <w:spacing w:line="360" w:lineRule="auto"/>
        <w:ind w:right="335"/>
        <w:jc w:val="both"/>
        <w:rPr>
          <w:rFonts w:ascii="Century Gothic" w:hAnsi="Century Gothic" w:cs="Arial"/>
          <w:lang w:val="es-MX"/>
        </w:rPr>
      </w:pPr>
      <w:r w:rsidRPr="005303E2">
        <w:rPr>
          <w:rFonts w:ascii="Century Gothic" w:hAnsi="Century Gothic" w:cs="Arial"/>
          <w:b/>
          <w:lang w:val="es-MX"/>
        </w:rPr>
        <w:t>II.-</w:t>
      </w:r>
      <w:r w:rsidRPr="005303E2">
        <w:rPr>
          <w:rFonts w:ascii="Century Gothic" w:hAnsi="Century Gothic" w:cs="Arial"/>
          <w:lang w:val="es-MX"/>
        </w:rPr>
        <w:t xml:space="preserve"> </w:t>
      </w:r>
      <w:r w:rsidR="005303E2" w:rsidRPr="005303E2">
        <w:rPr>
          <w:rFonts w:ascii="Century Gothic" w:hAnsi="Century Gothic" w:cs="Arial"/>
          <w:lang w:val="es-MX"/>
        </w:rPr>
        <w:t xml:space="preserve">La iniciativa nos menciona que tradicionalmente se han establecido roles estereotipados dentro del matrimonio, que han impedido a las mujeres desarrollarse profesional o laboralmente, como la obligación de dedicarse a las labores del hogar y al cuidado de las y los hijos, por el hecho de ser mujer.   </w:t>
      </w:r>
    </w:p>
    <w:p w14:paraId="1638774D" w14:textId="77777777" w:rsidR="005303E2" w:rsidRPr="005303E2" w:rsidRDefault="005303E2" w:rsidP="005303E2">
      <w:pPr>
        <w:spacing w:line="360" w:lineRule="auto"/>
        <w:ind w:right="335"/>
        <w:jc w:val="both"/>
        <w:rPr>
          <w:rFonts w:ascii="Century Gothic" w:hAnsi="Century Gothic" w:cs="Arial"/>
          <w:lang w:val="es-MX"/>
        </w:rPr>
      </w:pPr>
    </w:p>
    <w:p w14:paraId="0F4573F5" w14:textId="7A2DA6CC" w:rsidR="005303E2" w:rsidRPr="005303E2" w:rsidRDefault="005303E2" w:rsidP="005303E2">
      <w:pPr>
        <w:spacing w:line="360" w:lineRule="auto"/>
        <w:ind w:right="335"/>
        <w:jc w:val="both"/>
        <w:rPr>
          <w:rFonts w:ascii="Century Gothic" w:hAnsi="Century Gothic" w:cs="Arial"/>
          <w:lang w:val="es-MX"/>
        </w:rPr>
      </w:pPr>
      <w:r w:rsidRPr="005303E2">
        <w:rPr>
          <w:rFonts w:ascii="Century Gothic" w:hAnsi="Century Gothic" w:cs="Arial"/>
          <w:lang w:val="es-MX"/>
        </w:rPr>
        <w:t xml:space="preserve">Esta situación genera, en caso de que ejerzan un empleo fuera del hogar, </w:t>
      </w:r>
      <w:r>
        <w:rPr>
          <w:rFonts w:ascii="Century Gothic" w:hAnsi="Century Gothic" w:cs="Arial"/>
          <w:lang w:val="es-MX"/>
        </w:rPr>
        <w:t>u</w:t>
      </w:r>
      <w:r w:rsidRPr="005303E2">
        <w:rPr>
          <w:rFonts w:ascii="Century Gothic" w:hAnsi="Century Gothic" w:cs="Arial"/>
          <w:lang w:val="es-MX"/>
        </w:rPr>
        <w:t xml:space="preserve">na doble jornada laboral; y en caso de que solo se dediquen al hogar, la mujer asume los costos de oportunidad ante "la relativa imposibilidad de establecer cuál hubiera sido su éxito profesional y laboral". </w:t>
      </w:r>
    </w:p>
    <w:p w14:paraId="767E2D35" w14:textId="77777777" w:rsidR="005303E2" w:rsidRPr="005303E2" w:rsidRDefault="005303E2" w:rsidP="005303E2">
      <w:pPr>
        <w:spacing w:line="360" w:lineRule="auto"/>
        <w:ind w:right="335"/>
        <w:jc w:val="both"/>
        <w:rPr>
          <w:rFonts w:ascii="Century Gothic" w:hAnsi="Century Gothic" w:cs="Arial"/>
          <w:lang w:val="es-MX"/>
        </w:rPr>
      </w:pPr>
    </w:p>
    <w:p w14:paraId="619934BA" w14:textId="77777777" w:rsidR="005303E2" w:rsidRPr="005303E2" w:rsidRDefault="005303E2" w:rsidP="005303E2">
      <w:pPr>
        <w:spacing w:line="360" w:lineRule="auto"/>
        <w:ind w:right="335"/>
        <w:jc w:val="both"/>
        <w:rPr>
          <w:rFonts w:ascii="Century Gothic" w:hAnsi="Century Gothic" w:cs="Arial"/>
          <w:lang w:val="es-MX"/>
        </w:rPr>
      </w:pPr>
      <w:r w:rsidRPr="005303E2">
        <w:rPr>
          <w:rFonts w:ascii="Century Gothic" w:hAnsi="Century Gothic" w:cs="Arial"/>
          <w:lang w:val="es-MX"/>
        </w:rPr>
        <w:t xml:space="preserve">Aquellos roles, establecen que el hombre sea el proveedor económico, por ende, es quien tiene un salario o un ingreso, por eso, cuando se disuelve el matrimonio, hay un desequilibrio económico porque la mujer, al asumir la mayor carga doméstica, no pudo obtener experiencia laboral, tener un salario o desarrollarse profesionalmente para no depender económicamente del hombre. Por lo que tienen el doble de probabilidad de vivir en pobreza que el hombre divorciado. </w:t>
      </w:r>
    </w:p>
    <w:p w14:paraId="4D88A1C1" w14:textId="77777777" w:rsidR="005303E2" w:rsidRPr="005303E2" w:rsidRDefault="005303E2" w:rsidP="005303E2">
      <w:pPr>
        <w:spacing w:line="360" w:lineRule="auto"/>
        <w:ind w:right="335"/>
        <w:jc w:val="both"/>
        <w:rPr>
          <w:rFonts w:ascii="Century Gothic" w:hAnsi="Century Gothic" w:cs="Arial"/>
          <w:lang w:val="es-MX"/>
        </w:rPr>
      </w:pPr>
    </w:p>
    <w:p w14:paraId="05F7F3DD" w14:textId="2050EAB0" w:rsidR="005303E2" w:rsidRPr="005303E2" w:rsidRDefault="005303E2" w:rsidP="005303E2">
      <w:pPr>
        <w:spacing w:line="360" w:lineRule="auto"/>
        <w:ind w:right="335"/>
        <w:jc w:val="both"/>
        <w:rPr>
          <w:rFonts w:ascii="Century Gothic" w:hAnsi="Century Gothic" w:cs="Arial"/>
          <w:lang w:val="es-MX"/>
        </w:rPr>
      </w:pPr>
      <w:r w:rsidRPr="005303E2">
        <w:rPr>
          <w:rFonts w:ascii="Century Gothic" w:hAnsi="Century Gothic" w:cs="Arial"/>
          <w:lang w:val="es-MX"/>
        </w:rPr>
        <w:lastRenderedPageBreak/>
        <w:t xml:space="preserve">Es por ello que a efecto de reconocer el aporte de las mujeres al patrimonio familiar </w:t>
      </w:r>
      <w:r w:rsidR="00363C1C">
        <w:rPr>
          <w:rFonts w:ascii="Century Gothic" w:hAnsi="Century Gothic" w:cs="Arial"/>
          <w:lang w:val="es-MX"/>
        </w:rPr>
        <w:t xml:space="preserve">y </w:t>
      </w:r>
      <w:r w:rsidRPr="005303E2">
        <w:rPr>
          <w:rFonts w:ascii="Century Gothic" w:hAnsi="Century Gothic" w:cs="Arial"/>
          <w:lang w:val="es-MX"/>
        </w:rPr>
        <w:t>para garantizar su acceso efectivo al derecho a la igua</w:t>
      </w:r>
      <w:r>
        <w:rPr>
          <w:rFonts w:ascii="Century Gothic" w:hAnsi="Century Gothic" w:cs="Arial"/>
          <w:lang w:val="es-MX"/>
        </w:rPr>
        <w:t>ldad</w:t>
      </w:r>
      <w:r w:rsidR="00363C1C">
        <w:rPr>
          <w:rFonts w:ascii="Century Gothic" w:hAnsi="Century Gothic" w:cs="Arial"/>
          <w:lang w:val="es-MX"/>
        </w:rPr>
        <w:t>,</w:t>
      </w:r>
      <w:r>
        <w:rPr>
          <w:rFonts w:ascii="Century Gothic" w:hAnsi="Century Gothic" w:cs="Arial"/>
          <w:lang w:val="es-MX"/>
        </w:rPr>
        <w:t xml:space="preserve"> que la iniciativa propone e</w:t>
      </w:r>
      <w:r w:rsidRPr="005303E2">
        <w:rPr>
          <w:rFonts w:ascii="Century Gothic" w:hAnsi="Century Gothic" w:cs="Arial"/>
          <w:lang w:val="es-MX"/>
        </w:rPr>
        <w:t>l establecimiento de una compensación resarcitoria de hasta el 50% de los bienes adquiridos durante el matrimonio; bajo los siguientes presupuestos:</w:t>
      </w:r>
    </w:p>
    <w:p w14:paraId="14532055" w14:textId="77777777" w:rsidR="005303E2" w:rsidRPr="005303E2" w:rsidRDefault="005303E2" w:rsidP="005303E2">
      <w:pPr>
        <w:spacing w:line="360" w:lineRule="auto"/>
        <w:ind w:right="335"/>
        <w:jc w:val="both"/>
        <w:rPr>
          <w:rFonts w:ascii="Century Gothic" w:hAnsi="Century Gothic" w:cs="Arial"/>
          <w:lang w:val="es-MX"/>
        </w:rPr>
      </w:pPr>
    </w:p>
    <w:p w14:paraId="540C1573" w14:textId="50604CA4" w:rsidR="005303E2" w:rsidRDefault="005303E2" w:rsidP="005303E2">
      <w:pPr>
        <w:spacing w:line="360" w:lineRule="auto"/>
        <w:ind w:right="335"/>
        <w:jc w:val="both"/>
        <w:rPr>
          <w:rFonts w:ascii="Century Gothic" w:hAnsi="Century Gothic" w:cs="Arial"/>
          <w:lang w:val="es-MX"/>
        </w:rPr>
      </w:pPr>
      <w:r w:rsidRPr="005303E2">
        <w:rPr>
          <w:rFonts w:ascii="Century Gothic" w:hAnsi="Century Gothic" w:cs="Arial"/>
          <w:lang w:val="es-MX"/>
        </w:rPr>
        <w:t>1. Que se encuentren casados en régimen de separación de bienes.</w:t>
      </w:r>
      <w:r>
        <w:rPr>
          <w:rFonts w:ascii="Century Gothic" w:hAnsi="Century Gothic" w:cs="Arial"/>
          <w:lang w:val="es-MX"/>
        </w:rPr>
        <w:t xml:space="preserve"> Y</w:t>
      </w:r>
    </w:p>
    <w:p w14:paraId="53F71D58" w14:textId="77777777" w:rsidR="005303E2" w:rsidRPr="005303E2" w:rsidRDefault="005303E2" w:rsidP="005303E2">
      <w:pPr>
        <w:spacing w:line="360" w:lineRule="auto"/>
        <w:ind w:right="335"/>
        <w:jc w:val="both"/>
        <w:rPr>
          <w:rFonts w:ascii="Century Gothic" w:hAnsi="Century Gothic" w:cs="Arial"/>
          <w:lang w:val="es-MX"/>
        </w:rPr>
      </w:pPr>
    </w:p>
    <w:p w14:paraId="6E9FBBEF" w14:textId="77777777" w:rsidR="005303E2" w:rsidRPr="005303E2" w:rsidRDefault="005303E2" w:rsidP="005303E2">
      <w:pPr>
        <w:spacing w:line="360" w:lineRule="auto"/>
        <w:ind w:right="335"/>
        <w:jc w:val="both"/>
        <w:rPr>
          <w:rFonts w:ascii="Century Gothic" w:hAnsi="Century Gothic" w:cs="Arial"/>
          <w:lang w:val="es-MX"/>
        </w:rPr>
      </w:pPr>
      <w:r w:rsidRPr="005303E2">
        <w:rPr>
          <w:rFonts w:ascii="Century Gothic" w:hAnsi="Century Gothic" w:cs="Arial"/>
          <w:lang w:val="es-MX"/>
        </w:rPr>
        <w:t xml:space="preserve">2. Que el cónyuge haya realizado el trabajo del hogar o cuidado de la familia de manera cotidiana.   </w:t>
      </w:r>
    </w:p>
    <w:p w14:paraId="00F9B3E4" w14:textId="77777777" w:rsidR="005303E2" w:rsidRPr="005303E2" w:rsidRDefault="005303E2" w:rsidP="005303E2">
      <w:pPr>
        <w:spacing w:line="360" w:lineRule="auto"/>
        <w:ind w:right="335"/>
        <w:jc w:val="both"/>
        <w:rPr>
          <w:rFonts w:ascii="Century Gothic" w:hAnsi="Century Gothic" w:cs="Arial"/>
          <w:bCs/>
          <w:lang w:val="es-MX"/>
        </w:rPr>
      </w:pPr>
    </w:p>
    <w:p w14:paraId="6AD42846" w14:textId="4AC91114" w:rsidR="005303E2" w:rsidRPr="005303E2" w:rsidRDefault="005303E2" w:rsidP="005303E2">
      <w:pPr>
        <w:spacing w:line="360" w:lineRule="auto"/>
        <w:ind w:right="335"/>
        <w:jc w:val="both"/>
        <w:rPr>
          <w:rFonts w:ascii="Century Gothic" w:hAnsi="Century Gothic" w:cs="Arial"/>
          <w:bCs/>
          <w:lang w:val="es-MX"/>
        </w:rPr>
      </w:pPr>
      <w:r w:rsidRPr="005303E2">
        <w:rPr>
          <w:rFonts w:ascii="Century Gothic" w:hAnsi="Century Gothic" w:cs="Arial"/>
          <w:bCs/>
          <w:lang w:val="es-MX"/>
        </w:rPr>
        <w:t xml:space="preserve">Luego </w:t>
      </w:r>
      <w:r>
        <w:rPr>
          <w:rFonts w:ascii="Century Gothic" w:hAnsi="Century Gothic" w:cs="Arial"/>
          <w:bCs/>
          <w:lang w:val="es-MX"/>
        </w:rPr>
        <w:t xml:space="preserve">se </w:t>
      </w:r>
      <w:r w:rsidRPr="005303E2">
        <w:rPr>
          <w:rFonts w:ascii="Century Gothic" w:hAnsi="Century Gothic" w:cs="Arial"/>
          <w:bCs/>
          <w:lang w:val="es-MX"/>
        </w:rPr>
        <w:t>establece</w:t>
      </w:r>
      <w:r>
        <w:rPr>
          <w:rFonts w:ascii="Century Gothic" w:hAnsi="Century Gothic" w:cs="Arial"/>
          <w:bCs/>
          <w:lang w:val="es-MX"/>
        </w:rPr>
        <w:t>n</w:t>
      </w:r>
      <w:r w:rsidRPr="005303E2">
        <w:rPr>
          <w:rFonts w:ascii="Century Gothic" w:hAnsi="Century Gothic" w:cs="Arial"/>
          <w:bCs/>
          <w:lang w:val="es-MX"/>
        </w:rPr>
        <w:t xml:space="preserve"> unas directrices jurisdiccionales para</w:t>
      </w:r>
      <w:r>
        <w:rPr>
          <w:rFonts w:ascii="Century Gothic" w:hAnsi="Century Gothic" w:cs="Arial"/>
          <w:bCs/>
          <w:lang w:val="es-MX"/>
        </w:rPr>
        <w:t xml:space="preserve"> que </w:t>
      </w:r>
      <w:r w:rsidR="00363C1C">
        <w:rPr>
          <w:rFonts w:ascii="Century Gothic" w:hAnsi="Century Gothic" w:cs="Arial"/>
          <w:bCs/>
          <w:lang w:val="es-MX"/>
        </w:rPr>
        <w:t>tomen en consideración como</w:t>
      </w:r>
      <w:r w:rsidRPr="005303E2">
        <w:rPr>
          <w:rFonts w:ascii="Century Gothic" w:hAnsi="Century Gothic" w:cs="Arial"/>
          <w:bCs/>
          <w:lang w:val="es-MX"/>
        </w:rPr>
        <w:t xml:space="preserve"> el tiempo</w:t>
      </w:r>
      <w:r w:rsidR="00363C1C">
        <w:rPr>
          <w:rFonts w:ascii="Century Gothic" w:hAnsi="Century Gothic" w:cs="Arial"/>
          <w:bCs/>
          <w:lang w:val="es-MX"/>
        </w:rPr>
        <w:t xml:space="preserve"> del matrimonio</w:t>
      </w:r>
      <w:r w:rsidRPr="005303E2">
        <w:rPr>
          <w:rFonts w:ascii="Century Gothic" w:hAnsi="Century Gothic" w:cs="Arial"/>
          <w:bCs/>
          <w:lang w:val="es-MX"/>
        </w:rPr>
        <w:t>, los bienes y la custodia de las y los hijos.</w:t>
      </w:r>
      <w:r>
        <w:rPr>
          <w:rFonts w:ascii="Century Gothic" w:hAnsi="Century Gothic" w:cs="Arial"/>
          <w:bCs/>
          <w:lang w:val="es-MX"/>
        </w:rPr>
        <w:t xml:space="preserve"> </w:t>
      </w:r>
      <w:r w:rsidRPr="005303E2">
        <w:rPr>
          <w:rFonts w:ascii="Century Gothic" w:hAnsi="Century Gothic" w:cs="Arial"/>
          <w:bCs/>
          <w:lang w:val="es-MX"/>
        </w:rPr>
        <w:t xml:space="preserve">Exceptuando los bienes adquiridos por sucesión o donación. </w:t>
      </w:r>
    </w:p>
    <w:p w14:paraId="114AEDB8" w14:textId="77777777" w:rsidR="005303E2" w:rsidRDefault="005303E2" w:rsidP="005303E2">
      <w:pPr>
        <w:spacing w:line="360" w:lineRule="auto"/>
        <w:ind w:right="335"/>
        <w:jc w:val="both"/>
        <w:rPr>
          <w:rFonts w:ascii="Century Gothic" w:hAnsi="Century Gothic" w:cs="Arial"/>
          <w:bCs/>
        </w:rPr>
      </w:pPr>
    </w:p>
    <w:p w14:paraId="1F287549" w14:textId="01446236" w:rsidR="00836776" w:rsidRDefault="00836776" w:rsidP="00146091">
      <w:pPr>
        <w:spacing w:line="360" w:lineRule="auto"/>
        <w:ind w:right="335"/>
        <w:jc w:val="both"/>
        <w:rPr>
          <w:rFonts w:ascii="Century Gothic" w:hAnsi="Century Gothic" w:cs="Arial"/>
          <w:bCs/>
        </w:rPr>
      </w:pPr>
      <w:r>
        <w:rPr>
          <w:rFonts w:ascii="Century Gothic" w:hAnsi="Century Gothic" w:cs="Arial"/>
          <w:bCs/>
        </w:rPr>
        <w:t xml:space="preserve">La propuesta de la iniciativa la podemos visualizar en el siguiente cuadro comparativo: </w:t>
      </w:r>
    </w:p>
    <w:p w14:paraId="377868FD" w14:textId="216094AB" w:rsidR="00836776" w:rsidRDefault="00836776" w:rsidP="00146091">
      <w:pPr>
        <w:spacing w:line="360" w:lineRule="auto"/>
        <w:ind w:right="335"/>
        <w:jc w:val="both"/>
        <w:rPr>
          <w:rFonts w:ascii="Century Gothic" w:hAnsi="Century Gothic"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5303E2" w:rsidRPr="005303E2" w14:paraId="50F20179" w14:textId="77777777" w:rsidTr="003C6EA8">
        <w:tc>
          <w:tcPr>
            <w:tcW w:w="8978" w:type="dxa"/>
            <w:gridSpan w:val="2"/>
            <w:shd w:val="clear" w:color="auto" w:fill="auto"/>
          </w:tcPr>
          <w:p w14:paraId="18EB87A6" w14:textId="77777777" w:rsidR="005303E2" w:rsidRPr="005303E2" w:rsidRDefault="005303E2" w:rsidP="005303E2">
            <w:pPr>
              <w:spacing w:line="360" w:lineRule="auto"/>
              <w:jc w:val="center"/>
              <w:rPr>
                <w:rFonts w:ascii="Century Gothic" w:eastAsia="Calibri" w:hAnsi="Century Gothic"/>
                <w:b/>
                <w:sz w:val="22"/>
                <w:szCs w:val="22"/>
                <w:lang w:val="es-MX" w:eastAsia="en-US"/>
              </w:rPr>
            </w:pPr>
            <w:r w:rsidRPr="005303E2">
              <w:rPr>
                <w:rFonts w:ascii="Century Gothic" w:eastAsia="Calibri" w:hAnsi="Century Gothic"/>
                <w:b/>
                <w:sz w:val="22"/>
                <w:szCs w:val="22"/>
                <w:lang w:val="es-MX" w:eastAsia="en-US"/>
              </w:rPr>
              <w:t>Código Civil del Estado de Chihuahua</w:t>
            </w:r>
          </w:p>
          <w:p w14:paraId="1EBFBBDB" w14:textId="77777777" w:rsidR="005303E2" w:rsidRPr="005303E2" w:rsidRDefault="005303E2" w:rsidP="005303E2">
            <w:pPr>
              <w:spacing w:line="360" w:lineRule="auto"/>
              <w:jc w:val="center"/>
              <w:rPr>
                <w:rFonts w:ascii="Century Gothic" w:eastAsia="Calibri" w:hAnsi="Century Gothic"/>
                <w:sz w:val="22"/>
                <w:szCs w:val="22"/>
                <w:lang w:val="es-MX" w:eastAsia="en-US"/>
              </w:rPr>
            </w:pPr>
            <w:r w:rsidRPr="005303E2">
              <w:rPr>
                <w:rFonts w:ascii="Century Gothic" w:eastAsia="Calibri" w:hAnsi="Century Gothic"/>
                <w:sz w:val="22"/>
                <w:szCs w:val="22"/>
                <w:lang w:val="es-MX" w:eastAsia="en-US"/>
              </w:rPr>
              <w:t xml:space="preserve">Título Quinto </w:t>
            </w:r>
          </w:p>
          <w:p w14:paraId="3C969527" w14:textId="77777777" w:rsidR="005303E2" w:rsidRPr="005303E2" w:rsidRDefault="005303E2" w:rsidP="005303E2">
            <w:pPr>
              <w:spacing w:line="360" w:lineRule="auto"/>
              <w:jc w:val="center"/>
              <w:rPr>
                <w:rFonts w:ascii="Century Gothic" w:eastAsia="Calibri" w:hAnsi="Century Gothic"/>
                <w:sz w:val="22"/>
                <w:szCs w:val="22"/>
                <w:lang w:val="es-MX" w:eastAsia="en-US"/>
              </w:rPr>
            </w:pPr>
            <w:r w:rsidRPr="005303E2">
              <w:rPr>
                <w:rFonts w:ascii="Century Gothic" w:eastAsia="Calibri" w:hAnsi="Century Gothic"/>
                <w:sz w:val="22"/>
                <w:szCs w:val="22"/>
                <w:lang w:val="es-MX" w:eastAsia="en-US"/>
              </w:rPr>
              <w:t>Matrimonio</w:t>
            </w:r>
          </w:p>
          <w:p w14:paraId="77E4D5C7" w14:textId="77777777" w:rsidR="005303E2" w:rsidRPr="005303E2" w:rsidRDefault="005303E2" w:rsidP="005303E2">
            <w:pPr>
              <w:spacing w:line="360" w:lineRule="auto"/>
              <w:jc w:val="center"/>
              <w:rPr>
                <w:rFonts w:ascii="Century Gothic" w:eastAsia="Calibri" w:hAnsi="Century Gothic"/>
                <w:sz w:val="22"/>
                <w:szCs w:val="22"/>
                <w:lang w:val="es-MX" w:eastAsia="en-US"/>
              </w:rPr>
            </w:pPr>
            <w:r w:rsidRPr="005303E2">
              <w:rPr>
                <w:rFonts w:ascii="Century Gothic" w:eastAsia="Calibri" w:hAnsi="Century Gothic"/>
                <w:sz w:val="22"/>
                <w:szCs w:val="22"/>
                <w:lang w:val="es-MX" w:eastAsia="en-US"/>
              </w:rPr>
              <w:t xml:space="preserve">Capítulo V </w:t>
            </w:r>
          </w:p>
          <w:p w14:paraId="20EA209E" w14:textId="77777777" w:rsidR="005303E2" w:rsidRPr="005303E2" w:rsidRDefault="005303E2" w:rsidP="005303E2">
            <w:pPr>
              <w:spacing w:line="360" w:lineRule="auto"/>
              <w:jc w:val="center"/>
              <w:rPr>
                <w:rFonts w:ascii="Century Gothic" w:eastAsia="Calibri" w:hAnsi="Century Gothic"/>
                <w:sz w:val="22"/>
                <w:szCs w:val="22"/>
                <w:lang w:val="es-MX" w:eastAsia="en-US"/>
              </w:rPr>
            </w:pPr>
            <w:r w:rsidRPr="005303E2">
              <w:rPr>
                <w:rFonts w:ascii="Century Gothic" w:eastAsia="Calibri" w:hAnsi="Century Gothic"/>
                <w:sz w:val="22"/>
                <w:szCs w:val="22"/>
                <w:lang w:val="es-MX" w:eastAsia="en-US"/>
              </w:rPr>
              <w:t>De la Separación de Bienes</w:t>
            </w:r>
          </w:p>
        </w:tc>
      </w:tr>
      <w:tr w:rsidR="005303E2" w:rsidRPr="005303E2" w14:paraId="4E98C1AC" w14:textId="77777777" w:rsidTr="003C6EA8">
        <w:tc>
          <w:tcPr>
            <w:tcW w:w="4489" w:type="dxa"/>
            <w:shd w:val="clear" w:color="auto" w:fill="auto"/>
          </w:tcPr>
          <w:p w14:paraId="6F2F6202" w14:textId="77777777" w:rsidR="005303E2" w:rsidRPr="005303E2" w:rsidRDefault="005303E2" w:rsidP="005303E2">
            <w:pPr>
              <w:spacing w:line="360" w:lineRule="auto"/>
              <w:jc w:val="both"/>
              <w:rPr>
                <w:rFonts w:ascii="Century Gothic" w:eastAsia="Calibri" w:hAnsi="Century Gothic"/>
                <w:sz w:val="22"/>
                <w:szCs w:val="22"/>
                <w:lang w:val="es-MX" w:eastAsia="en-US"/>
              </w:rPr>
            </w:pPr>
            <w:r w:rsidRPr="005303E2">
              <w:rPr>
                <w:rFonts w:ascii="Century Gothic" w:eastAsia="Calibri" w:hAnsi="Century Gothic"/>
                <w:sz w:val="22"/>
                <w:szCs w:val="22"/>
                <w:lang w:val="es-MX" w:eastAsia="en-US"/>
              </w:rPr>
              <w:t xml:space="preserve">Vigente </w:t>
            </w:r>
          </w:p>
        </w:tc>
        <w:tc>
          <w:tcPr>
            <w:tcW w:w="4489" w:type="dxa"/>
            <w:shd w:val="clear" w:color="auto" w:fill="auto"/>
          </w:tcPr>
          <w:p w14:paraId="07CFEBE1" w14:textId="77777777" w:rsidR="005303E2" w:rsidRPr="005303E2" w:rsidRDefault="005303E2" w:rsidP="005303E2">
            <w:pPr>
              <w:spacing w:line="360" w:lineRule="auto"/>
              <w:jc w:val="both"/>
              <w:rPr>
                <w:rFonts w:ascii="Century Gothic" w:eastAsia="Calibri" w:hAnsi="Century Gothic"/>
                <w:sz w:val="22"/>
                <w:szCs w:val="22"/>
                <w:lang w:val="es-MX" w:eastAsia="en-US"/>
              </w:rPr>
            </w:pPr>
            <w:r w:rsidRPr="005303E2">
              <w:rPr>
                <w:rFonts w:ascii="Century Gothic" w:eastAsia="Calibri" w:hAnsi="Century Gothic"/>
                <w:sz w:val="22"/>
                <w:szCs w:val="22"/>
                <w:lang w:val="es-MX" w:eastAsia="en-US"/>
              </w:rPr>
              <w:t>Propuesta</w:t>
            </w:r>
          </w:p>
        </w:tc>
      </w:tr>
      <w:tr w:rsidR="005303E2" w:rsidRPr="005303E2" w14:paraId="7064BBAF" w14:textId="77777777" w:rsidTr="003C6EA8">
        <w:tc>
          <w:tcPr>
            <w:tcW w:w="4489" w:type="dxa"/>
            <w:shd w:val="clear" w:color="auto" w:fill="auto"/>
          </w:tcPr>
          <w:p w14:paraId="554AC065" w14:textId="77777777" w:rsidR="005303E2" w:rsidRPr="005303E2" w:rsidRDefault="005303E2" w:rsidP="005303E2">
            <w:pPr>
              <w:spacing w:line="360" w:lineRule="auto"/>
              <w:jc w:val="both"/>
              <w:rPr>
                <w:rFonts w:ascii="Century Gothic" w:eastAsia="Calibri" w:hAnsi="Century Gothic"/>
                <w:sz w:val="22"/>
                <w:szCs w:val="22"/>
                <w:lang w:val="es-MX" w:eastAsia="en-US"/>
              </w:rPr>
            </w:pPr>
            <w:r w:rsidRPr="005303E2">
              <w:rPr>
                <w:rFonts w:ascii="Century Gothic" w:eastAsia="Calibri" w:hAnsi="Century Gothic"/>
                <w:sz w:val="22"/>
                <w:szCs w:val="22"/>
                <w:lang w:val="es-MX" w:eastAsia="en-US"/>
              </w:rPr>
              <w:lastRenderedPageBreak/>
              <w:t>Sin correlativo</w:t>
            </w:r>
          </w:p>
        </w:tc>
        <w:tc>
          <w:tcPr>
            <w:tcW w:w="4489" w:type="dxa"/>
            <w:shd w:val="clear" w:color="auto" w:fill="auto"/>
          </w:tcPr>
          <w:p w14:paraId="2FC3C586" w14:textId="77777777" w:rsidR="005303E2" w:rsidRPr="005303E2" w:rsidRDefault="005303E2" w:rsidP="005303E2">
            <w:pPr>
              <w:spacing w:line="360" w:lineRule="auto"/>
              <w:jc w:val="both"/>
              <w:rPr>
                <w:rFonts w:ascii="Century Gothic" w:eastAsia="Calibri" w:hAnsi="Century Gothic"/>
                <w:b/>
                <w:bCs/>
                <w:sz w:val="22"/>
                <w:szCs w:val="22"/>
                <w:lang w:val="es-MX" w:eastAsia="en-US"/>
              </w:rPr>
            </w:pPr>
            <w:r w:rsidRPr="005303E2">
              <w:rPr>
                <w:rFonts w:ascii="Century Gothic" w:eastAsia="Calibri" w:hAnsi="Century Gothic"/>
                <w:b/>
                <w:bCs/>
                <w:sz w:val="22"/>
                <w:szCs w:val="22"/>
                <w:lang w:val="es-MX" w:eastAsia="en-US"/>
              </w:rPr>
              <w:t>Artículo 195 bis. Para efectos de divorcio al existir régimen de separación de bienes, cuando alguno de los cónyuges haya realizado trabajo del hogar consistente en tareas de administración, dirección, atención del mismo o cuidado de la familia de manera cotidiana, tendrá derecho a la repartición de los bienes adquiridos durante el matrimonio hasta por el cincuenta por ciento, con base en los principios de equidad y proporcionalidad.</w:t>
            </w:r>
          </w:p>
          <w:p w14:paraId="047D6F90" w14:textId="77777777" w:rsidR="005303E2" w:rsidRPr="005303E2" w:rsidRDefault="005303E2" w:rsidP="005303E2">
            <w:pPr>
              <w:spacing w:line="360" w:lineRule="auto"/>
              <w:jc w:val="both"/>
              <w:rPr>
                <w:rFonts w:ascii="Century Gothic" w:eastAsia="Calibri" w:hAnsi="Century Gothic"/>
                <w:b/>
                <w:bCs/>
                <w:sz w:val="22"/>
                <w:szCs w:val="22"/>
                <w:lang w:val="es-MX" w:eastAsia="en-US"/>
              </w:rPr>
            </w:pPr>
          </w:p>
          <w:p w14:paraId="5B2D9E89" w14:textId="77777777" w:rsidR="005303E2" w:rsidRPr="005303E2" w:rsidRDefault="005303E2" w:rsidP="005303E2">
            <w:pPr>
              <w:spacing w:line="360" w:lineRule="auto"/>
              <w:jc w:val="both"/>
              <w:rPr>
                <w:rFonts w:ascii="Century Gothic" w:eastAsia="Calibri" w:hAnsi="Century Gothic"/>
                <w:b/>
                <w:bCs/>
                <w:sz w:val="22"/>
                <w:szCs w:val="22"/>
                <w:lang w:val="es-MX" w:eastAsia="en-US"/>
              </w:rPr>
            </w:pPr>
            <w:r w:rsidRPr="005303E2">
              <w:rPr>
                <w:rFonts w:ascii="Century Gothic" w:eastAsia="Calibri" w:hAnsi="Century Gothic"/>
                <w:b/>
                <w:bCs/>
                <w:sz w:val="22"/>
                <w:szCs w:val="22"/>
                <w:lang w:val="es-MX" w:eastAsia="en-US"/>
              </w:rPr>
              <w:t>La o el Juez habrá de resolver atendiendo al tiempo que duró el matrimonio, los bienes con que cuenten los cónyuges, la custodia de los hijos y las demás circunstancias especiales de cada caso.</w:t>
            </w:r>
          </w:p>
          <w:p w14:paraId="0027C298" w14:textId="77777777" w:rsidR="005303E2" w:rsidRPr="005303E2" w:rsidRDefault="005303E2" w:rsidP="005303E2">
            <w:pPr>
              <w:spacing w:line="360" w:lineRule="auto"/>
              <w:jc w:val="both"/>
              <w:rPr>
                <w:rFonts w:ascii="Century Gothic" w:eastAsia="Calibri" w:hAnsi="Century Gothic"/>
                <w:b/>
                <w:bCs/>
                <w:sz w:val="22"/>
                <w:szCs w:val="22"/>
                <w:lang w:val="es-MX" w:eastAsia="en-US"/>
              </w:rPr>
            </w:pPr>
          </w:p>
          <w:p w14:paraId="1060E603" w14:textId="77777777" w:rsidR="005303E2" w:rsidRPr="005303E2" w:rsidRDefault="005303E2" w:rsidP="005303E2">
            <w:pPr>
              <w:spacing w:line="360" w:lineRule="auto"/>
              <w:jc w:val="both"/>
              <w:rPr>
                <w:rFonts w:ascii="Century Gothic" w:eastAsia="Calibri" w:hAnsi="Century Gothic"/>
                <w:sz w:val="22"/>
                <w:szCs w:val="22"/>
                <w:lang w:val="es-MX" w:eastAsia="en-US"/>
              </w:rPr>
            </w:pPr>
            <w:r w:rsidRPr="005303E2">
              <w:rPr>
                <w:rFonts w:ascii="Century Gothic" w:eastAsia="Calibri" w:hAnsi="Century Gothic"/>
                <w:b/>
                <w:bCs/>
                <w:sz w:val="22"/>
                <w:szCs w:val="22"/>
                <w:lang w:val="es-MX" w:eastAsia="en-US"/>
              </w:rPr>
              <w:t>Se exceptúan de los bienes establecidos en este artículo, los que se adquieran por sucesión y donación.</w:t>
            </w:r>
          </w:p>
        </w:tc>
      </w:tr>
    </w:tbl>
    <w:p w14:paraId="11343280" w14:textId="77777777" w:rsidR="00836776" w:rsidRDefault="00836776" w:rsidP="00146091">
      <w:pPr>
        <w:spacing w:line="360" w:lineRule="auto"/>
        <w:ind w:right="335"/>
        <w:jc w:val="both"/>
        <w:rPr>
          <w:rFonts w:ascii="Century Gothic" w:hAnsi="Century Gothic" w:cs="Arial"/>
          <w:bCs/>
        </w:rPr>
      </w:pPr>
    </w:p>
    <w:p w14:paraId="40565B41" w14:textId="77777777" w:rsidR="005303E2" w:rsidRDefault="005303E2" w:rsidP="00146091">
      <w:pPr>
        <w:spacing w:line="360" w:lineRule="auto"/>
        <w:ind w:right="335"/>
        <w:jc w:val="both"/>
        <w:rPr>
          <w:rFonts w:ascii="Century Gothic" w:hAnsi="Century Gothic" w:cs="Arial"/>
          <w:bCs/>
        </w:rPr>
      </w:pPr>
    </w:p>
    <w:p w14:paraId="631FDBB7" w14:textId="48B9E42E" w:rsidR="00C27AE9" w:rsidRDefault="001419EB" w:rsidP="006C4599">
      <w:pPr>
        <w:spacing w:line="360" w:lineRule="auto"/>
        <w:ind w:right="335"/>
        <w:jc w:val="both"/>
        <w:rPr>
          <w:rFonts w:ascii="Century Gothic" w:hAnsi="Century Gothic" w:cs="Arial"/>
          <w:bCs/>
          <w:lang w:val="es-MX"/>
        </w:rPr>
      </w:pPr>
      <w:r w:rsidRPr="001419EB">
        <w:rPr>
          <w:rFonts w:ascii="Century Gothic" w:hAnsi="Century Gothic" w:cs="Arial"/>
          <w:b/>
          <w:bCs/>
          <w:lang w:val="es-MX"/>
        </w:rPr>
        <w:lastRenderedPageBreak/>
        <w:t>III.-</w:t>
      </w:r>
      <w:r>
        <w:rPr>
          <w:rFonts w:ascii="Century Gothic" w:hAnsi="Century Gothic" w:cs="Arial"/>
          <w:bCs/>
          <w:lang w:val="es-MX"/>
        </w:rPr>
        <w:t xml:space="preserve"> </w:t>
      </w:r>
      <w:r w:rsidR="000F053C">
        <w:rPr>
          <w:rFonts w:ascii="Century Gothic" w:hAnsi="Century Gothic" w:cs="Arial"/>
          <w:bCs/>
          <w:lang w:val="es-MX"/>
        </w:rPr>
        <w:t>Esta Comisión coincide en los términos planteado</w:t>
      </w:r>
      <w:r w:rsidR="00C27AE9">
        <w:rPr>
          <w:rFonts w:ascii="Century Gothic" w:hAnsi="Century Gothic" w:cs="Arial"/>
          <w:bCs/>
          <w:lang w:val="es-MX"/>
        </w:rPr>
        <w:t>s en la iniciativa</w:t>
      </w:r>
      <w:r w:rsidR="00411B9E">
        <w:rPr>
          <w:rFonts w:ascii="Century Gothic" w:hAnsi="Century Gothic" w:cs="Arial"/>
          <w:bCs/>
          <w:lang w:val="es-MX"/>
        </w:rPr>
        <w:t xml:space="preserve"> y como se menciona, h</w:t>
      </w:r>
      <w:r w:rsidR="00C27AE9">
        <w:rPr>
          <w:rFonts w:ascii="Century Gothic" w:hAnsi="Century Gothic" w:cs="Arial"/>
          <w:bCs/>
          <w:lang w:val="es-MX"/>
        </w:rPr>
        <w:t xml:space="preserve">emos atestiguado que en la historia se han establecido roles estereotipados respecto a las funciones que “deben” desempeñar las personas de acuerdo a su sexo. </w:t>
      </w:r>
    </w:p>
    <w:p w14:paraId="31F2DADD" w14:textId="77777777" w:rsidR="00C27AE9" w:rsidRDefault="00C27AE9" w:rsidP="006C4599">
      <w:pPr>
        <w:spacing w:line="360" w:lineRule="auto"/>
        <w:ind w:right="335"/>
        <w:jc w:val="both"/>
        <w:rPr>
          <w:rFonts w:ascii="Century Gothic" w:hAnsi="Century Gothic" w:cs="Arial"/>
          <w:bCs/>
          <w:lang w:val="es-MX"/>
        </w:rPr>
      </w:pPr>
    </w:p>
    <w:p w14:paraId="20DB20AA" w14:textId="77777777" w:rsidR="00411B9E" w:rsidRDefault="00C27AE9" w:rsidP="006C4599">
      <w:pPr>
        <w:spacing w:line="360" w:lineRule="auto"/>
        <w:ind w:right="335"/>
        <w:jc w:val="both"/>
        <w:rPr>
          <w:rFonts w:ascii="Century Gothic" w:hAnsi="Century Gothic" w:cs="Arial"/>
          <w:bCs/>
          <w:lang w:val="es-MX"/>
        </w:rPr>
      </w:pPr>
      <w:r>
        <w:rPr>
          <w:rFonts w:ascii="Century Gothic" w:hAnsi="Century Gothic" w:cs="Arial"/>
          <w:bCs/>
          <w:lang w:val="es-MX"/>
        </w:rPr>
        <w:t xml:space="preserve">Uno de ellos, es aquel que establece la “obligatoriedad” a las mujeres, por el hecho de ser mujer, de encargarse de las labores del hogar, incluida el cuidado de los hijos. </w:t>
      </w:r>
    </w:p>
    <w:p w14:paraId="185385AF" w14:textId="77777777" w:rsidR="00411B9E" w:rsidRDefault="00411B9E" w:rsidP="006C4599">
      <w:pPr>
        <w:spacing w:line="360" w:lineRule="auto"/>
        <w:ind w:right="335"/>
        <w:jc w:val="both"/>
        <w:rPr>
          <w:rFonts w:ascii="Century Gothic" w:hAnsi="Century Gothic" w:cs="Arial"/>
          <w:bCs/>
          <w:lang w:val="es-MX"/>
        </w:rPr>
      </w:pPr>
    </w:p>
    <w:p w14:paraId="4E53BBAA" w14:textId="7CA8BE61" w:rsidR="00411B9E" w:rsidRDefault="00C27AE9" w:rsidP="006C4599">
      <w:pPr>
        <w:spacing w:line="360" w:lineRule="auto"/>
        <w:ind w:right="335"/>
        <w:jc w:val="both"/>
        <w:rPr>
          <w:rFonts w:ascii="Century Gothic" w:hAnsi="Century Gothic" w:cs="Arial"/>
          <w:bCs/>
        </w:rPr>
      </w:pPr>
      <w:r>
        <w:rPr>
          <w:rFonts w:ascii="Century Gothic" w:hAnsi="Century Gothic" w:cs="Arial"/>
          <w:bCs/>
          <w:lang w:val="es-MX"/>
        </w:rPr>
        <w:t xml:space="preserve">Este tipo de aseveraciones, </w:t>
      </w:r>
      <w:r w:rsidR="00411B9E">
        <w:rPr>
          <w:rFonts w:ascii="Century Gothic" w:hAnsi="Century Gothic" w:cs="Arial"/>
          <w:bCs/>
          <w:lang w:val="es-MX"/>
        </w:rPr>
        <w:t xml:space="preserve">se consideran </w:t>
      </w:r>
      <w:r>
        <w:rPr>
          <w:rFonts w:ascii="Century Gothic" w:hAnsi="Century Gothic" w:cs="Arial"/>
          <w:bCs/>
          <w:lang w:val="es-MX"/>
        </w:rPr>
        <w:t xml:space="preserve">estereotipos de supremacía </w:t>
      </w:r>
      <w:r w:rsidR="00411B9E">
        <w:rPr>
          <w:rFonts w:ascii="Century Gothic" w:hAnsi="Century Gothic" w:cs="Arial"/>
          <w:bCs/>
          <w:lang w:val="es-MX"/>
        </w:rPr>
        <w:t>masculina</w:t>
      </w:r>
      <w:r>
        <w:rPr>
          <w:rFonts w:ascii="Century Gothic" w:hAnsi="Century Gothic" w:cs="Arial"/>
          <w:bCs/>
          <w:lang w:val="es-MX"/>
        </w:rPr>
        <w:t xml:space="preserve"> y son generadores de violencia, tan es así, que en la Ley General de Acceso a las Mujeres a una Vida Libre de Violencia, se obliga</w:t>
      </w:r>
      <w:r w:rsidR="00411B9E">
        <w:rPr>
          <w:rFonts w:ascii="Century Gothic" w:hAnsi="Century Gothic" w:cs="Arial"/>
          <w:bCs/>
          <w:lang w:val="es-MX"/>
        </w:rPr>
        <w:t xml:space="preserve"> a las autoridades a brindar servicios reducativos al agresor en la violencia familiar, para que elimine </w:t>
      </w:r>
      <w:r w:rsidR="00411B9E" w:rsidRPr="00411B9E">
        <w:rPr>
          <w:rFonts w:ascii="Century Gothic" w:hAnsi="Century Gothic" w:cs="Arial"/>
          <w:bCs/>
          <w:i/>
        </w:rPr>
        <w:t>los estereotipos de supremacía masculina, y los patrones machistas que generaron su violencia</w:t>
      </w:r>
      <w:r w:rsidR="00411B9E">
        <w:rPr>
          <w:rFonts w:ascii="Century Gothic" w:hAnsi="Century Gothic" w:cs="Arial"/>
          <w:bCs/>
          <w:i/>
        </w:rPr>
        <w:t>;</w:t>
      </w:r>
      <w:r w:rsidR="00411B9E">
        <w:rPr>
          <w:rStyle w:val="Refdenotaalpie"/>
          <w:rFonts w:ascii="Century Gothic" w:hAnsi="Century Gothic" w:cs="Arial"/>
          <w:bCs/>
          <w:i/>
        </w:rPr>
        <w:footnoteReference w:id="3"/>
      </w:r>
      <w:r w:rsidR="00411B9E">
        <w:rPr>
          <w:rFonts w:ascii="Century Gothic" w:hAnsi="Century Gothic" w:cs="Arial"/>
          <w:bCs/>
          <w:i/>
        </w:rPr>
        <w:t xml:space="preserve"> </w:t>
      </w:r>
      <w:r w:rsidR="00411B9E" w:rsidRPr="00411B9E">
        <w:rPr>
          <w:rFonts w:ascii="Century Gothic" w:hAnsi="Century Gothic" w:cs="Arial"/>
          <w:bCs/>
        </w:rPr>
        <w:t>ello para garantizar a las mujeres su seguridad y el ejercicio pleno de sus derechos humanos.</w:t>
      </w:r>
    </w:p>
    <w:p w14:paraId="709C90F0" w14:textId="77777777" w:rsidR="00411B9E" w:rsidRDefault="00411B9E" w:rsidP="006C4599">
      <w:pPr>
        <w:spacing w:line="360" w:lineRule="auto"/>
        <w:ind w:right="335"/>
        <w:jc w:val="both"/>
        <w:rPr>
          <w:rFonts w:ascii="Century Gothic" w:hAnsi="Century Gothic" w:cs="Arial"/>
          <w:bCs/>
        </w:rPr>
      </w:pPr>
    </w:p>
    <w:p w14:paraId="41713136" w14:textId="439ADF75" w:rsidR="00411B9E" w:rsidRDefault="00411B9E" w:rsidP="006C4599">
      <w:pPr>
        <w:spacing w:line="360" w:lineRule="auto"/>
        <w:ind w:right="335"/>
        <w:jc w:val="both"/>
        <w:rPr>
          <w:rFonts w:ascii="Century Gothic" w:hAnsi="Century Gothic" w:cs="Arial"/>
          <w:bCs/>
        </w:rPr>
      </w:pPr>
      <w:r>
        <w:rPr>
          <w:rFonts w:ascii="Century Gothic" w:hAnsi="Century Gothic" w:cs="Arial"/>
          <w:bCs/>
        </w:rPr>
        <w:t xml:space="preserve">Como podemos apreciar, los roles estereotipados obstaculizan el acceso efectivo al derecho a la igualdad, por ende, a una vida libre de violencia, y en el caso que nos atañe, si la mujer, </w:t>
      </w:r>
      <w:r w:rsidR="00320670">
        <w:rPr>
          <w:rFonts w:ascii="Century Gothic" w:hAnsi="Century Gothic" w:cs="Arial"/>
          <w:bCs/>
        </w:rPr>
        <w:t xml:space="preserve">es quien ha asumido las cargas del trabajo del hogar y/o del cuidado de la descendencia en mayor medida que el cónyuge o concubinario, esto implica que se vean disminuidas sus </w:t>
      </w:r>
      <w:r w:rsidR="00320670">
        <w:rPr>
          <w:rFonts w:ascii="Century Gothic" w:hAnsi="Century Gothic" w:cs="Arial"/>
          <w:bCs/>
        </w:rPr>
        <w:lastRenderedPageBreak/>
        <w:t xml:space="preserve">posibilidades de desarrollarse </w:t>
      </w:r>
      <w:r w:rsidR="00320670" w:rsidRPr="00320670">
        <w:rPr>
          <w:rFonts w:ascii="Century Gothic" w:hAnsi="Century Gothic" w:cs="Arial"/>
          <w:bCs/>
          <w:i/>
        </w:rPr>
        <w:t>con igual tiempo, intensidad y diligencia</w:t>
      </w:r>
      <w:r w:rsidR="00320670" w:rsidRPr="00320670">
        <w:rPr>
          <w:rFonts w:ascii="Century Gothic" w:hAnsi="Century Gothic" w:cs="Arial"/>
          <w:bCs/>
        </w:rPr>
        <w:t xml:space="preserve"> </w:t>
      </w:r>
      <w:r w:rsidR="00320670" w:rsidRPr="00320670">
        <w:rPr>
          <w:rFonts w:ascii="Century Gothic" w:hAnsi="Century Gothic" w:cs="Arial"/>
          <w:bCs/>
          <w:i/>
        </w:rPr>
        <w:t>en el mercado laboral convencional</w:t>
      </w:r>
      <w:r w:rsidR="00320670">
        <w:rPr>
          <w:rFonts w:ascii="Century Gothic" w:hAnsi="Century Gothic" w:cs="Arial"/>
          <w:bCs/>
        </w:rPr>
        <w:t>.</w:t>
      </w:r>
      <w:r w:rsidR="00320670" w:rsidRPr="00320670">
        <w:rPr>
          <w:rStyle w:val="Refdenotaalpie"/>
          <w:rFonts w:ascii="Century Gothic" w:hAnsi="Century Gothic" w:cs="Arial"/>
          <w:bCs/>
        </w:rPr>
        <w:t xml:space="preserve"> </w:t>
      </w:r>
      <w:r w:rsidR="00320670">
        <w:rPr>
          <w:rStyle w:val="Refdenotaalpie"/>
          <w:rFonts w:ascii="Century Gothic" w:hAnsi="Century Gothic" w:cs="Arial"/>
          <w:bCs/>
        </w:rPr>
        <w:footnoteReference w:id="4"/>
      </w:r>
      <w:r w:rsidR="00320670">
        <w:rPr>
          <w:rFonts w:ascii="Century Gothic" w:hAnsi="Century Gothic" w:cs="Arial"/>
          <w:bCs/>
        </w:rPr>
        <w:t xml:space="preserve"> </w:t>
      </w:r>
    </w:p>
    <w:p w14:paraId="41BB2BDC" w14:textId="77777777" w:rsidR="00320670" w:rsidRDefault="00320670" w:rsidP="006C4599">
      <w:pPr>
        <w:spacing w:line="360" w:lineRule="auto"/>
        <w:ind w:right="335"/>
        <w:jc w:val="both"/>
        <w:rPr>
          <w:rFonts w:ascii="Century Gothic" w:hAnsi="Century Gothic" w:cs="Arial"/>
          <w:bCs/>
        </w:rPr>
      </w:pPr>
    </w:p>
    <w:p w14:paraId="18EAD51C" w14:textId="77777777" w:rsidR="00A6646E" w:rsidRDefault="00320670" w:rsidP="006C4599">
      <w:pPr>
        <w:spacing w:line="360" w:lineRule="auto"/>
        <w:ind w:right="335"/>
        <w:jc w:val="both"/>
        <w:rPr>
          <w:rFonts w:ascii="Century Gothic" w:hAnsi="Century Gothic" w:cs="Arial"/>
          <w:bCs/>
        </w:rPr>
      </w:pPr>
      <w:r>
        <w:rPr>
          <w:rFonts w:ascii="Century Gothic" w:hAnsi="Century Gothic" w:cs="Arial"/>
          <w:bCs/>
        </w:rPr>
        <w:t>Es por ello que</w:t>
      </w:r>
      <w:r w:rsidR="00A6646E">
        <w:rPr>
          <w:rFonts w:ascii="Century Gothic" w:hAnsi="Century Gothic" w:cs="Arial"/>
          <w:bCs/>
        </w:rPr>
        <w:t xml:space="preserve"> al asumir este rol estereotipado pone en situación de desigualdad a la mujer, ya que la vuelve dependiente económica del hombre, e incluso es el presupuesto lógico y natural de la violencia económica. </w:t>
      </w:r>
    </w:p>
    <w:p w14:paraId="4C3F879B" w14:textId="77777777" w:rsidR="00A6646E" w:rsidRDefault="00A6646E" w:rsidP="006C4599">
      <w:pPr>
        <w:spacing w:line="360" w:lineRule="auto"/>
        <w:ind w:right="335"/>
        <w:jc w:val="both"/>
        <w:rPr>
          <w:rFonts w:ascii="Century Gothic" w:hAnsi="Century Gothic" w:cs="Arial"/>
          <w:bCs/>
        </w:rPr>
      </w:pPr>
    </w:p>
    <w:p w14:paraId="448E6E4A" w14:textId="7675120D" w:rsidR="00320670" w:rsidRDefault="00A6646E" w:rsidP="006C4599">
      <w:pPr>
        <w:spacing w:line="360" w:lineRule="auto"/>
        <w:ind w:right="335"/>
        <w:jc w:val="both"/>
        <w:rPr>
          <w:rFonts w:ascii="Century Gothic" w:hAnsi="Century Gothic" w:cs="Arial"/>
          <w:bCs/>
          <w:lang w:val="es-MX"/>
        </w:rPr>
      </w:pPr>
      <w:r>
        <w:rPr>
          <w:rFonts w:ascii="Century Gothic" w:hAnsi="Century Gothic" w:cs="Arial"/>
          <w:bCs/>
        </w:rPr>
        <w:t>Lo anterior pone d</w:t>
      </w:r>
      <w:r w:rsidR="00FE2B43">
        <w:rPr>
          <w:rFonts w:ascii="Century Gothic" w:hAnsi="Century Gothic" w:cs="Arial"/>
          <w:bCs/>
        </w:rPr>
        <w:t>e manifiesto la necesidad de regular esta figura de forma</w:t>
      </w:r>
      <w:r>
        <w:rPr>
          <w:rFonts w:ascii="Century Gothic" w:hAnsi="Century Gothic" w:cs="Arial"/>
          <w:bCs/>
        </w:rPr>
        <w:t xml:space="preserve"> no asistencial, como lo serían los alimentos, sino compensatoria, destacando que el objeto no es</w:t>
      </w:r>
      <w:r w:rsidR="00FE2B43">
        <w:rPr>
          <w:rFonts w:ascii="Century Gothic" w:hAnsi="Century Gothic" w:cs="Arial"/>
          <w:bCs/>
        </w:rPr>
        <w:t xml:space="preserve"> sancionador, sino reparador</w:t>
      </w:r>
      <w:r w:rsidR="00FE2B43">
        <w:rPr>
          <w:rStyle w:val="Refdenotaalpie"/>
          <w:rFonts w:ascii="Century Gothic" w:hAnsi="Century Gothic" w:cs="Arial"/>
          <w:bCs/>
        </w:rPr>
        <w:footnoteReference w:id="5"/>
      </w:r>
      <w:r>
        <w:rPr>
          <w:rFonts w:ascii="Century Gothic" w:hAnsi="Century Gothic" w:cs="Arial"/>
          <w:bCs/>
        </w:rPr>
        <w:t xml:space="preserve"> </w:t>
      </w:r>
      <w:r w:rsidR="00FE2B43">
        <w:rPr>
          <w:rFonts w:ascii="Century Gothic" w:hAnsi="Century Gothic" w:cs="Arial"/>
          <w:bCs/>
        </w:rPr>
        <w:t>por haber asumido</w:t>
      </w:r>
      <w:r w:rsidR="00320670">
        <w:rPr>
          <w:rFonts w:ascii="Century Gothic" w:hAnsi="Century Gothic" w:cs="Arial"/>
          <w:bCs/>
        </w:rPr>
        <w:t xml:space="preserve"> </w:t>
      </w:r>
      <w:r w:rsidR="00FE2B43" w:rsidRPr="00FE2B43">
        <w:rPr>
          <w:rFonts w:ascii="Century Gothic" w:hAnsi="Century Gothic" w:cs="Arial"/>
          <w:bCs/>
          <w:lang w:val="es-MX"/>
        </w:rPr>
        <w:t>los costos de oportunidad ante "la relativa imposibilidad de establecer cuál hubiera sido su éxito profesional y laboral".</w:t>
      </w:r>
    </w:p>
    <w:p w14:paraId="504C1881" w14:textId="77777777" w:rsidR="00FE2B43" w:rsidRDefault="00FE2B43" w:rsidP="006C4599">
      <w:pPr>
        <w:spacing w:line="360" w:lineRule="auto"/>
        <w:ind w:right="335"/>
        <w:jc w:val="both"/>
        <w:rPr>
          <w:rFonts w:ascii="Century Gothic" w:hAnsi="Century Gothic" w:cs="Arial"/>
          <w:bCs/>
          <w:lang w:val="es-MX"/>
        </w:rPr>
      </w:pPr>
    </w:p>
    <w:p w14:paraId="1254E80E" w14:textId="3FFCCA28" w:rsidR="00FE2B43" w:rsidRDefault="00FE2B43" w:rsidP="006C4599">
      <w:pPr>
        <w:spacing w:line="360" w:lineRule="auto"/>
        <w:ind w:right="335"/>
        <w:jc w:val="both"/>
        <w:rPr>
          <w:rFonts w:ascii="Century Gothic" w:hAnsi="Century Gothic" w:cs="Arial"/>
          <w:bCs/>
        </w:rPr>
      </w:pPr>
      <w:r w:rsidRPr="00FE2B43">
        <w:rPr>
          <w:rFonts w:ascii="Century Gothic" w:hAnsi="Century Gothic" w:cs="Arial"/>
          <w:b/>
          <w:bCs/>
          <w:lang w:val="es-MX"/>
        </w:rPr>
        <w:t>IV.-</w:t>
      </w:r>
      <w:r>
        <w:rPr>
          <w:rFonts w:ascii="Century Gothic" w:hAnsi="Century Gothic" w:cs="Arial"/>
          <w:bCs/>
          <w:lang w:val="es-MX"/>
        </w:rPr>
        <w:t xml:space="preserve"> Ahora bien, la propuesta expone el caso del matrimonio, sin embargo se deja de lado al concubinato</w:t>
      </w:r>
      <w:r w:rsidR="00542C35">
        <w:rPr>
          <w:rFonts w:ascii="Century Gothic" w:hAnsi="Century Gothic" w:cs="Arial"/>
          <w:bCs/>
          <w:lang w:val="es-MX"/>
        </w:rPr>
        <w:t>, mismo que consideramos incorporarlo a esta institución de la compensación económica, ya que si bien es cierto, son figuras distintas</w:t>
      </w:r>
      <w:r w:rsidR="00C73F68">
        <w:rPr>
          <w:rFonts w:ascii="Century Gothic" w:hAnsi="Century Gothic" w:cs="Arial"/>
          <w:bCs/>
          <w:lang w:val="es-MX"/>
        </w:rPr>
        <w:t xml:space="preserve"> –el matrimonio y el concubinato-</w:t>
      </w:r>
      <w:r w:rsidR="00542C35">
        <w:rPr>
          <w:rFonts w:ascii="Century Gothic" w:hAnsi="Century Gothic" w:cs="Arial"/>
          <w:bCs/>
          <w:lang w:val="es-MX"/>
        </w:rPr>
        <w:t xml:space="preserve">, también es cierto que lo que estamos dictaminando no es el establecimiento de requisitos </w:t>
      </w:r>
      <w:r w:rsidR="00C73F68">
        <w:rPr>
          <w:rFonts w:ascii="Century Gothic" w:hAnsi="Century Gothic" w:cs="Arial"/>
          <w:bCs/>
          <w:lang w:val="es-MX"/>
        </w:rPr>
        <w:t xml:space="preserve">para conformar cualquiera de estas uniones, sino una medida compensatoria que coadyuve </w:t>
      </w:r>
      <w:r w:rsidR="00C73F68">
        <w:rPr>
          <w:rFonts w:ascii="Century Gothic" w:hAnsi="Century Gothic" w:cs="Arial"/>
          <w:bCs/>
          <w:lang w:val="es-MX"/>
        </w:rPr>
        <w:lastRenderedPageBreak/>
        <w:t>en</w:t>
      </w:r>
      <w:r>
        <w:rPr>
          <w:rFonts w:ascii="Century Gothic" w:hAnsi="Century Gothic" w:cs="Arial"/>
          <w:bCs/>
          <w:lang w:val="es-MX"/>
        </w:rPr>
        <w:t xml:space="preserve"> </w:t>
      </w:r>
      <w:r w:rsidR="00C73F68" w:rsidRPr="00C73F68">
        <w:rPr>
          <w:rFonts w:ascii="Century Gothic" w:hAnsi="Century Gothic" w:cs="Arial"/>
          <w:bCs/>
        </w:rPr>
        <w:t>el acceso efectivo al derecho a la igualdad, por ende, a una vida libre de violencia</w:t>
      </w:r>
      <w:r w:rsidR="00C73F68">
        <w:rPr>
          <w:rFonts w:ascii="Century Gothic" w:hAnsi="Century Gothic" w:cs="Arial"/>
          <w:bCs/>
        </w:rPr>
        <w:t xml:space="preserve">. </w:t>
      </w:r>
    </w:p>
    <w:p w14:paraId="1D82DA48" w14:textId="77777777" w:rsidR="00C73F68" w:rsidRDefault="00C73F68" w:rsidP="006C4599">
      <w:pPr>
        <w:spacing w:line="360" w:lineRule="auto"/>
        <w:ind w:right="335"/>
        <w:jc w:val="both"/>
        <w:rPr>
          <w:rFonts w:ascii="Century Gothic" w:hAnsi="Century Gothic" w:cs="Arial"/>
          <w:bCs/>
        </w:rPr>
      </w:pPr>
    </w:p>
    <w:p w14:paraId="774F71B6" w14:textId="68E36E48" w:rsidR="00C73F68" w:rsidRDefault="00C73F68" w:rsidP="006C4599">
      <w:pPr>
        <w:spacing w:line="360" w:lineRule="auto"/>
        <w:ind w:right="335"/>
        <w:jc w:val="both"/>
        <w:rPr>
          <w:rFonts w:ascii="Century Gothic" w:hAnsi="Century Gothic" w:cs="Arial"/>
          <w:bCs/>
        </w:rPr>
      </w:pPr>
      <w:r>
        <w:rPr>
          <w:rFonts w:ascii="Century Gothic" w:hAnsi="Century Gothic" w:cs="Arial"/>
          <w:bCs/>
        </w:rPr>
        <w:t xml:space="preserve">Es decir, como sabemos, en el matrimonio existe una voluntariedad para adoptar una serie de derechos y obligaciones que se encuentran desarrollados en varias partes del Código Civil, como las capitulaciones matrimoniales, el deber de cuidado, los alimentos, la forma en que podrían disolver el matrimonio entre otras cuestiones. En cambio en el concubinato, es la unión de dos personas sin formalidades jurídicas; por lo que, si no se crean ciertas hipótesis, el derecho no les reconoce mayores deberes y obligaciones. </w:t>
      </w:r>
    </w:p>
    <w:p w14:paraId="780AB5CA" w14:textId="77777777" w:rsidR="00C73F68" w:rsidRDefault="00C73F68" w:rsidP="006C4599">
      <w:pPr>
        <w:spacing w:line="360" w:lineRule="auto"/>
        <w:ind w:right="335"/>
        <w:jc w:val="both"/>
        <w:rPr>
          <w:rFonts w:ascii="Century Gothic" w:hAnsi="Century Gothic" w:cs="Arial"/>
          <w:bCs/>
        </w:rPr>
      </w:pPr>
    </w:p>
    <w:p w14:paraId="4DED0D54" w14:textId="4F264691" w:rsidR="00C73F68" w:rsidRDefault="00C73F68" w:rsidP="006C4599">
      <w:pPr>
        <w:spacing w:line="360" w:lineRule="auto"/>
        <w:ind w:right="335"/>
        <w:jc w:val="both"/>
        <w:rPr>
          <w:rFonts w:ascii="Century Gothic" w:hAnsi="Century Gothic" w:cs="Arial"/>
          <w:bCs/>
        </w:rPr>
      </w:pPr>
      <w:r>
        <w:rPr>
          <w:rFonts w:ascii="Century Gothic" w:hAnsi="Century Gothic" w:cs="Arial"/>
          <w:bCs/>
        </w:rPr>
        <w:t xml:space="preserve">Como apreciamos la institución del matrimonio es más compleja, </w:t>
      </w:r>
      <w:r w:rsidR="00310FFC">
        <w:rPr>
          <w:rFonts w:ascii="Century Gothic" w:hAnsi="Century Gothic" w:cs="Arial"/>
          <w:bCs/>
        </w:rPr>
        <w:t xml:space="preserve">sin embargo, como ya se ha mencionado, la figura de esta compensación económica es proteger a la concubina o concubino, o a cualquiera de los cónyuges más desfavorecidos, por haber asumido los trabajos del hogar </w:t>
      </w:r>
      <w:r w:rsidR="00310FFC" w:rsidRPr="00310FFC">
        <w:rPr>
          <w:rFonts w:ascii="Century Gothic" w:hAnsi="Century Gothic" w:cs="Arial"/>
          <w:bCs/>
          <w:i/>
        </w:rPr>
        <w:t>pues sobre dichas personas existe la presunción de desventaja económica, al no haber podido desempeñarse laboralmente fuera de la casa para la creación de un patrimonio propio durante la duración de la relación</w:t>
      </w:r>
      <w:r w:rsidR="00310FFC">
        <w:rPr>
          <w:rFonts w:ascii="Century Gothic" w:hAnsi="Century Gothic" w:cs="Arial"/>
          <w:bCs/>
          <w:i/>
        </w:rPr>
        <w:t>.</w:t>
      </w:r>
      <w:r w:rsidR="00310FFC">
        <w:rPr>
          <w:rStyle w:val="Refdenotaalpie"/>
          <w:rFonts w:ascii="Century Gothic" w:hAnsi="Century Gothic" w:cs="Arial"/>
          <w:bCs/>
          <w:i/>
        </w:rPr>
        <w:footnoteReference w:id="6"/>
      </w:r>
    </w:p>
    <w:p w14:paraId="4CAF766F" w14:textId="77777777" w:rsidR="00C73F68" w:rsidRDefault="00C73F68" w:rsidP="006C4599">
      <w:pPr>
        <w:spacing w:line="360" w:lineRule="auto"/>
        <w:ind w:right="335"/>
        <w:jc w:val="both"/>
        <w:rPr>
          <w:rFonts w:ascii="Century Gothic" w:hAnsi="Century Gothic" w:cs="Arial"/>
          <w:bCs/>
        </w:rPr>
      </w:pPr>
    </w:p>
    <w:p w14:paraId="2847DE13" w14:textId="229689EE" w:rsidR="00FE2B43" w:rsidRPr="00FE2B43" w:rsidRDefault="00310FFC" w:rsidP="00FE2B43">
      <w:pPr>
        <w:spacing w:line="360" w:lineRule="auto"/>
        <w:ind w:right="335"/>
        <w:jc w:val="both"/>
        <w:rPr>
          <w:rFonts w:ascii="Century Gothic" w:hAnsi="Century Gothic" w:cs="Arial"/>
          <w:bCs/>
          <w:lang w:val="es-MX"/>
        </w:rPr>
      </w:pPr>
      <w:r w:rsidRPr="00A674F1">
        <w:rPr>
          <w:rFonts w:ascii="Century Gothic" w:hAnsi="Century Gothic" w:cs="Arial"/>
          <w:b/>
          <w:bCs/>
        </w:rPr>
        <w:t>V.-</w:t>
      </w:r>
      <w:r>
        <w:rPr>
          <w:rFonts w:ascii="Century Gothic" w:hAnsi="Century Gothic" w:cs="Arial"/>
          <w:bCs/>
        </w:rPr>
        <w:t xml:space="preserve"> P</w:t>
      </w:r>
      <w:proofErr w:type="spellStart"/>
      <w:r>
        <w:rPr>
          <w:rFonts w:ascii="Century Gothic" w:hAnsi="Century Gothic" w:cs="Arial"/>
          <w:bCs/>
          <w:lang w:val="es-MX"/>
        </w:rPr>
        <w:t>or</w:t>
      </w:r>
      <w:proofErr w:type="spellEnd"/>
      <w:r>
        <w:rPr>
          <w:rFonts w:ascii="Century Gothic" w:hAnsi="Century Gothic" w:cs="Arial"/>
          <w:bCs/>
          <w:lang w:val="es-MX"/>
        </w:rPr>
        <w:t xml:space="preserve"> ello, </w:t>
      </w:r>
      <w:r w:rsidR="00FE2B43" w:rsidRPr="00FE2B43">
        <w:rPr>
          <w:rFonts w:ascii="Century Gothic" w:hAnsi="Century Gothic" w:cs="Arial"/>
          <w:bCs/>
          <w:lang w:val="es-MX"/>
        </w:rPr>
        <w:t xml:space="preserve">a efecto de reconocer el aporte de las mujeres al patrimonio familiar </w:t>
      </w:r>
      <w:r>
        <w:rPr>
          <w:rFonts w:ascii="Century Gothic" w:hAnsi="Century Gothic" w:cs="Arial"/>
          <w:bCs/>
          <w:lang w:val="es-MX"/>
        </w:rPr>
        <w:t xml:space="preserve">y </w:t>
      </w:r>
      <w:r w:rsidR="00FE2B43" w:rsidRPr="00FE2B43">
        <w:rPr>
          <w:rFonts w:ascii="Century Gothic" w:hAnsi="Century Gothic" w:cs="Arial"/>
          <w:bCs/>
          <w:lang w:val="es-MX"/>
        </w:rPr>
        <w:t>para garantizar su acceso efectivo al derecho a la igualdad</w:t>
      </w:r>
      <w:r w:rsidR="00363C1C">
        <w:rPr>
          <w:rFonts w:ascii="Century Gothic" w:hAnsi="Century Gothic" w:cs="Arial"/>
          <w:bCs/>
          <w:lang w:val="es-MX"/>
        </w:rPr>
        <w:t>,</w:t>
      </w:r>
      <w:r w:rsidR="00FE2B43" w:rsidRPr="00FE2B43">
        <w:rPr>
          <w:rFonts w:ascii="Century Gothic" w:hAnsi="Century Gothic" w:cs="Arial"/>
          <w:bCs/>
          <w:lang w:val="es-MX"/>
        </w:rPr>
        <w:t xml:space="preserve"> </w:t>
      </w:r>
      <w:r>
        <w:rPr>
          <w:rFonts w:ascii="Century Gothic" w:hAnsi="Century Gothic" w:cs="Arial"/>
          <w:bCs/>
          <w:lang w:val="es-MX"/>
        </w:rPr>
        <w:t xml:space="preserve">que </w:t>
      </w:r>
      <w:r w:rsidR="00FE2B43" w:rsidRPr="00FE2B43">
        <w:rPr>
          <w:rFonts w:ascii="Century Gothic" w:hAnsi="Century Gothic" w:cs="Arial"/>
          <w:bCs/>
          <w:lang w:val="es-MX"/>
        </w:rPr>
        <w:t>propone</w:t>
      </w:r>
      <w:r>
        <w:rPr>
          <w:rFonts w:ascii="Century Gothic" w:hAnsi="Century Gothic" w:cs="Arial"/>
          <w:bCs/>
          <w:lang w:val="es-MX"/>
        </w:rPr>
        <w:t>mos</w:t>
      </w:r>
      <w:r w:rsidR="00FE2B43" w:rsidRPr="00FE2B43">
        <w:rPr>
          <w:rFonts w:ascii="Century Gothic" w:hAnsi="Century Gothic" w:cs="Arial"/>
          <w:bCs/>
          <w:lang w:val="es-MX"/>
        </w:rPr>
        <w:t xml:space="preserve"> el establecimiento de una compensación resarcitoria de hasta </w:t>
      </w:r>
      <w:r w:rsidR="00FE2B43" w:rsidRPr="00FE2B43">
        <w:rPr>
          <w:rFonts w:ascii="Century Gothic" w:hAnsi="Century Gothic" w:cs="Arial"/>
          <w:bCs/>
          <w:lang w:val="es-MX"/>
        </w:rPr>
        <w:lastRenderedPageBreak/>
        <w:t>el 50% de los bienes adquiridos durante el matrimonio</w:t>
      </w:r>
      <w:r w:rsidR="00363C1C">
        <w:rPr>
          <w:rFonts w:ascii="Century Gothic" w:hAnsi="Century Gothic" w:cs="Arial"/>
          <w:bCs/>
          <w:lang w:val="es-MX"/>
        </w:rPr>
        <w:t xml:space="preserve"> o el concubinato</w:t>
      </w:r>
      <w:r w:rsidR="00FE2B43" w:rsidRPr="00FE2B43">
        <w:rPr>
          <w:rFonts w:ascii="Century Gothic" w:hAnsi="Century Gothic" w:cs="Arial"/>
          <w:bCs/>
          <w:lang w:val="es-MX"/>
        </w:rPr>
        <w:t>; bajo los siguientes presupuestos:</w:t>
      </w:r>
    </w:p>
    <w:p w14:paraId="681F3AFE" w14:textId="77777777" w:rsidR="00FE2B43" w:rsidRPr="00FE2B43" w:rsidRDefault="00FE2B43" w:rsidP="00FE2B43">
      <w:pPr>
        <w:spacing w:line="360" w:lineRule="auto"/>
        <w:ind w:right="335"/>
        <w:jc w:val="both"/>
        <w:rPr>
          <w:rFonts w:ascii="Century Gothic" w:hAnsi="Century Gothic" w:cs="Arial"/>
          <w:bCs/>
          <w:lang w:val="es-MX"/>
        </w:rPr>
      </w:pPr>
    </w:p>
    <w:p w14:paraId="1127160A" w14:textId="553CD88D" w:rsidR="00FE2B43" w:rsidRPr="00FE2B43" w:rsidRDefault="00FE2B43" w:rsidP="00FE2B43">
      <w:pPr>
        <w:spacing w:line="360" w:lineRule="auto"/>
        <w:ind w:right="335"/>
        <w:jc w:val="both"/>
        <w:rPr>
          <w:rFonts w:ascii="Century Gothic" w:hAnsi="Century Gothic" w:cs="Arial"/>
          <w:bCs/>
          <w:lang w:val="es-MX"/>
        </w:rPr>
      </w:pPr>
      <w:r w:rsidRPr="00FE2B43">
        <w:rPr>
          <w:rFonts w:ascii="Century Gothic" w:hAnsi="Century Gothic" w:cs="Arial"/>
          <w:bCs/>
          <w:lang w:val="es-MX"/>
        </w:rPr>
        <w:t xml:space="preserve">1. Que </w:t>
      </w:r>
      <w:r w:rsidR="00363C1C">
        <w:rPr>
          <w:rFonts w:ascii="Century Gothic" w:hAnsi="Century Gothic" w:cs="Arial"/>
          <w:bCs/>
          <w:lang w:val="es-MX"/>
        </w:rPr>
        <w:t>se encuentren en concubinato o en matrimonio bajo</w:t>
      </w:r>
      <w:r w:rsidR="00A674F1">
        <w:rPr>
          <w:rFonts w:ascii="Century Gothic" w:hAnsi="Century Gothic" w:cs="Arial"/>
          <w:bCs/>
          <w:lang w:val="es-MX"/>
        </w:rPr>
        <w:t xml:space="preserve"> </w:t>
      </w:r>
      <w:r w:rsidR="00363C1C">
        <w:rPr>
          <w:rFonts w:ascii="Century Gothic" w:hAnsi="Century Gothic" w:cs="Arial"/>
          <w:bCs/>
          <w:lang w:val="es-MX"/>
        </w:rPr>
        <w:t>el</w:t>
      </w:r>
      <w:r w:rsidRPr="00FE2B43">
        <w:rPr>
          <w:rFonts w:ascii="Century Gothic" w:hAnsi="Century Gothic" w:cs="Arial"/>
          <w:bCs/>
          <w:lang w:val="es-MX"/>
        </w:rPr>
        <w:t xml:space="preserve"> rég</w:t>
      </w:r>
      <w:r w:rsidR="00363C1C">
        <w:rPr>
          <w:rFonts w:ascii="Century Gothic" w:hAnsi="Century Gothic" w:cs="Arial"/>
          <w:bCs/>
          <w:lang w:val="es-MX"/>
        </w:rPr>
        <w:t>imen de separación de bienes</w:t>
      </w:r>
      <w:r w:rsidR="00310FFC">
        <w:rPr>
          <w:rFonts w:ascii="Century Gothic" w:hAnsi="Century Gothic" w:cs="Arial"/>
          <w:bCs/>
          <w:lang w:val="es-MX"/>
        </w:rPr>
        <w:t>.</w:t>
      </w:r>
      <w:r w:rsidRPr="00FE2B43">
        <w:rPr>
          <w:rFonts w:ascii="Century Gothic" w:hAnsi="Century Gothic" w:cs="Arial"/>
          <w:bCs/>
          <w:lang w:val="es-MX"/>
        </w:rPr>
        <w:t xml:space="preserve"> Y</w:t>
      </w:r>
    </w:p>
    <w:p w14:paraId="23854976" w14:textId="77777777" w:rsidR="00FE2B43" w:rsidRPr="00FE2B43" w:rsidRDefault="00FE2B43" w:rsidP="00FE2B43">
      <w:pPr>
        <w:spacing w:line="360" w:lineRule="auto"/>
        <w:ind w:right="335"/>
        <w:jc w:val="both"/>
        <w:rPr>
          <w:rFonts w:ascii="Century Gothic" w:hAnsi="Century Gothic" w:cs="Arial"/>
          <w:bCs/>
          <w:lang w:val="es-MX"/>
        </w:rPr>
      </w:pPr>
    </w:p>
    <w:p w14:paraId="4B6006D0" w14:textId="01CA3FC8" w:rsidR="00FE2B43" w:rsidRPr="00FE2B43" w:rsidRDefault="00FE2B43" w:rsidP="00FE2B43">
      <w:pPr>
        <w:spacing w:line="360" w:lineRule="auto"/>
        <w:ind w:right="335"/>
        <w:jc w:val="both"/>
        <w:rPr>
          <w:rFonts w:ascii="Century Gothic" w:hAnsi="Century Gothic" w:cs="Arial"/>
          <w:bCs/>
          <w:lang w:val="es-MX"/>
        </w:rPr>
      </w:pPr>
      <w:r w:rsidRPr="00FE2B43">
        <w:rPr>
          <w:rFonts w:ascii="Century Gothic" w:hAnsi="Century Gothic" w:cs="Arial"/>
          <w:bCs/>
          <w:lang w:val="es-MX"/>
        </w:rPr>
        <w:t xml:space="preserve">2. Que </w:t>
      </w:r>
      <w:r w:rsidR="00363C1C">
        <w:rPr>
          <w:rFonts w:ascii="Century Gothic" w:hAnsi="Century Gothic" w:cs="Arial"/>
          <w:bCs/>
          <w:lang w:val="es-MX"/>
        </w:rPr>
        <w:t xml:space="preserve">la persona </w:t>
      </w:r>
      <w:r w:rsidRPr="00FE2B43">
        <w:rPr>
          <w:rFonts w:ascii="Century Gothic" w:hAnsi="Century Gothic" w:cs="Arial"/>
          <w:bCs/>
          <w:lang w:val="es-MX"/>
        </w:rPr>
        <w:t>haya realizado el trabajo del hogar o cuidado de la familia de manera cotidiana</w:t>
      </w:r>
      <w:r w:rsidR="00310FFC">
        <w:rPr>
          <w:rFonts w:ascii="Century Gothic" w:hAnsi="Century Gothic" w:cs="Arial"/>
          <w:bCs/>
          <w:lang w:val="es-MX"/>
        </w:rPr>
        <w:t xml:space="preserve"> y/o preponderante</w:t>
      </w:r>
      <w:r w:rsidRPr="00FE2B43">
        <w:rPr>
          <w:rFonts w:ascii="Century Gothic" w:hAnsi="Century Gothic" w:cs="Arial"/>
          <w:bCs/>
          <w:lang w:val="es-MX"/>
        </w:rPr>
        <w:t xml:space="preserve">.   </w:t>
      </w:r>
    </w:p>
    <w:p w14:paraId="3DF23653" w14:textId="77777777" w:rsidR="00FE2B43" w:rsidRPr="00FE2B43" w:rsidRDefault="00FE2B43" w:rsidP="00FE2B43">
      <w:pPr>
        <w:spacing w:line="360" w:lineRule="auto"/>
        <w:ind w:right="335"/>
        <w:jc w:val="both"/>
        <w:rPr>
          <w:rFonts w:ascii="Century Gothic" w:hAnsi="Century Gothic" w:cs="Arial"/>
          <w:bCs/>
          <w:lang w:val="es-MX"/>
        </w:rPr>
      </w:pPr>
    </w:p>
    <w:p w14:paraId="101AE30D" w14:textId="08C4D8E4" w:rsidR="00FE2B43" w:rsidRPr="00FE2B43" w:rsidRDefault="00FE2B43" w:rsidP="00FE2B43">
      <w:pPr>
        <w:spacing w:line="360" w:lineRule="auto"/>
        <w:ind w:right="335"/>
        <w:jc w:val="both"/>
        <w:rPr>
          <w:rFonts w:ascii="Century Gothic" w:hAnsi="Century Gothic" w:cs="Arial"/>
          <w:bCs/>
          <w:lang w:val="es-MX"/>
        </w:rPr>
      </w:pPr>
      <w:r w:rsidRPr="00FE2B43">
        <w:rPr>
          <w:rFonts w:ascii="Century Gothic" w:hAnsi="Century Gothic" w:cs="Arial"/>
          <w:bCs/>
          <w:lang w:val="es-MX"/>
        </w:rPr>
        <w:t xml:space="preserve">Luego se establecen unas directrices jurisdiccionales para que </w:t>
      </w:r>
      <w:r w:rsidR="00363C1C">
        <w:rPr>
          <w:rFonts w:ascii="Century Gothic" w:hAnsi="Century Gothic" w:cs="Arial"/>
          <w:bCs/>
          <w:lang w:val="es-MX"/>
        </w:rPr>
        <w:t>tomen en consideración, como</w:t>
      </w:r>
      <w:r w:rsidRPr="00FE2B43">
        <w:rPr>
          <w:rFonts w:ascii="Century Gothic" w:hAnsi="Century Gothic" w:cs="Arial"/>
          <w:bCs/>
          <w:lang w:val="es-MX"/>
        </w:rPr>
        <w:t xml:space="preserve"> el tiempo, los bienes y la custodia de las y los hijos. Exceptuando los bienes adquiridos por sucesión o donación. </w:t>
      </w:r>
    </w:p>
    <w:p w14:paraId="1F4A1075" w14:textId="77777777" w:rsidR="00A674F1" w:rsidRDefault="00A674F1" w:rsidP="002E0352">
      <w:pPr>
        <w:spacing w:line="360" w:lineRule="auto"/>
        <w:ind w:right="332"/>
        <w:jc w:val="both"/>
        <w:rPr>
          <w:rFonts w:ascii="Century Gothic" w:hAnsi="Century Gothic" w:cs="Arial"/>
          <w:bCs/>
        </w:rPr>
      </w:pPr>
    </w:p>
    <w:p w14:paraId="0F485FFC" w14:textId="247EBB16" w:rsidR="00A674F1" w:rsidRDefault="00A674F1" w:rsidP="002E0352">
      <w:pPr>
        <w:spacing w:line="360" w:lineRule="auto"/>
        <w:ind w:right="332"/>
        <w:jc w:val="both"/>
        <w:rPr>
          <w:rFonts w:ascii="Century Gothic" w:hAnsi="Century Gothic" w:cs="Arial"/>
          <w:bCs/>
        </w:rPr>
      </w:pPr>
      <w:r>
        <w:rPr>
          <w:rFonts w:ascii="Century Gothic" w:hAnsi="Century Gothic" w:cs="Arial"/>
          <w:bCs/>
        </w:rPr>
        <w:t xml:space="preserve">Cabe precisar que si bien la figura se motiva con la pretensión de seguir conformando instrumentos que coadyuven en el acceso a una vida libre de violencia de las mujeres, coadyuvando en la eliminación de los </w:t>
      </w:r>
      <w:r w:rsidR="004A17EA">
        <w:rPr>
          <w:rFonts w:ascii="Century Gothic" w:hAnsi="Century Gothic" w:cs="Arial"/>
          <w:bCs/>
        </w:rPr>
        <w:t xml:space="preserve">roles estereotipados; también es cierto que esta compensación podría hacerse efectiva para los hombres que hayan asumido como actividad preponderante el trabajo del hogar y/o cuidado de las y los hijos.   </w:t>
      </w:r>
      <w:r>
        <w:rPr>
          <w:rFonts w:ascii="Century Gothic" w:hAnsi="Century Gothic" w:cs="Arial"/>
          <w:bCs/>
        </w:rPr>
        <w:t xml:space="preserve"> </w:t>
      </w:r>
    </w:p>
    <w:p w14:paraId="481F7411" w14:textId="77777777" w:rsidR="00A674F1" w:rsidRDefault="00A674F1" w:rsidP="002E0352">
      <w:pPr>
        <w:spacing w:line="360" w:lineRule="auto"/>
        <w:ind w:right="332"/>
        <w:jc w:val="both"/>
        <w:rPr>
          <w:rFonts w:ascii="Century Gothic" w:hAnsi="Century Gothic" w:cs="Arial"/>
          <w:bCs/>
        </w:rPr>
      </w:pPr>
    </w:p>
    <w:p w14:paraId="744D7BD1" w14:textId="7B5104C6" w:rsidR="00E15B2E" w:rsidRDefault="00E15B2E" w:rsidP="002E0352">
      <w:pPr>
        <w:spacing w:line="360" w:lineRule="auto"/>
        <w:ind w:right="332"/>
        <w:jc w:val="both"/>
        <w:rPr>
          <w:rFonts w:ascii="Century Gothic" w:hAnsi="Century Gothic" w:cs="Arial"/>
          <w:bCs/>
        </w:rPr>
      </w:pPr>
      <w:r>
        <w:rPr>
          <w:rFonts w:ascii="Century Gothic" w:hAnsi="Century Gothic" w:cs="Arial"/>
          <w:bCs/>
        </w:rPr>
        <w:t xml:space="preserve">La propuesta la podemos apreciar en el siguiente cuadro comparativo: </w:t>
      </w:r>
    </w:p>
    <w:p w14:paraId="636CBABF" w14:textId="77660F6C" w:rsidR="006C4599" w:rsidRDefault="006C4599" w:rsidP="0035713A">
      <w:pPr>
        <w:spacing w:line="360" w:lineRule="auto"/>
        <w:ind w:right="335"/>
        <w:jc w:val="both"/>
        <w:rPr>
          <w:rFonts w:ascii="Century Gothic" w:hAnsi="Century Gothic" w:cs="Arial"/>
          <w:lang w:val="es-MX"/>
        </w:rPr>
      </w:pPr>
    </w:p>
    <w:tbl>
      <w:tblPr>
        <w:tblStyle w:val="Tablaconcuadrcula"/>
        <w:tblW w:w="0" w:type="auto"/>
        <w:tblLook w:val="04A0" w:firstRow="1" w:lastRow="0" w:firstColumn="1" w:lastColumn="0" w:noHBand="0" w:noVBand="1"/>
      </w:tblPr>
      <w:tblGrid>
        <w:gridCol w:w="2992"/>
        <w:gridCol w:w="2993"/>
        <w:gridCol w:w="2993"/>
      </w:tblGrid>
      <w:tr w:rsidR="006C4599" w:rsidRPr="006C4599" w14:paraId="62B0B04B" w14:textId="77777777" w:rsidTr="003C6EA8">
        <w:tc>
          <w:tcPr>
            <w:tcW w:w="2992" w:type="dxa"/>
          </w:tcPr>
          <w:p w14:paraId="5D451E68" w14:textId="77777777" w:rsidR="006C4599" w:rsidRPr="00363C1C" w:rsidRDefault="006C4599" w:rsidP="006C4599">
            <w:pPr>
              <w:spacing w:line="360" w:lineRule="auto"/>
              <w:ind w:right="335"/>
              <w:jc w:val="center"/>
              <w:rPr>
                <w:rFonts w:ascii="Century Gothic" w:hAnsi="Century Gothic" w:cs="Arial"/>
                <w:lang w:val="es-MX"/>
              </w:rPr>
            </w:pPr>
          </w:p>
        </w:tc>
        <w:tc>
          <w:tcPr>
            <w:tcW w:w="2993" w:type="dxa"/>
          </w:tcPr>
          <w:p w14:paraId="3FAC60A3" w14:textId="77777777" w:rsidR="006C4599" w:rsidRPr="00363C1C" w:rsidRDefault="006C4599" w:rsidP="006C4599">
            <w:pPr>
              <w:spacing w:line="360" w:lineRule="auto"/>
              <w:jc w:val="center"/>
              <w:rPr>
                <w:rFonts w:ascii="Century Gothic" w:hAnsi="Century Gothic" w:cs="Arial"/>
                <w:lang w:val="es-MX"/>
              </w:rPr>
            </w:pPr>
            <w:r w:rsidRPr="00363C1C">
              <w:rPr>
                <w:rFonts w:ascii="Century Gothic" w:hAnsi="Century Gothic" w:cs="Arial"/>
                <w:lang w:val="es-MX"/>
              </w:rPr>
              <w:t>Código Civil del Estado de Chihuahua</w:t>
            </w:r>
          </w:p>
          <w:p w14:paraId="5304136C" w14:textId="77777777" w:rsidR="006C4599" w:rsidRPr="00363C1C" w:rsidRDefault="006C4599" w:rsidP="006C4599">
            <w:pPr>
              <w:spacing w:line="360" w:lineRule="auto"/>
              <w:jc w:val="center"/>
              <w:rPr>
                <w:rFonts w:ascii="Century Gothic" w:hAnsi="Century Gothic" w:cs="Arial"/>
                <w:lang w:val="es-MX"/>
              </w:rPr>
            </w:pPr>
            <w:r w:rsidRPr="00363C1C">
              <w:rPr>
                <w:rFonts w:ascii="Century Gothic" w:hAnsi="Century Gothic" w:cs="Arial"/>
                <w:lang w:val="es-MX"/>
              </w:rPr>
              <w:lastRenderedPageBreak/>
              <w:t>Título Quinto</w:t>
            </w:r>
          </w:p>
          <w:p w14:paraId="5E69F7A4" w14:textId="77777777" w:rsidR="006C4599" w:rsidRPr="00363C1C" w:rsidRDefault="006C4599" w:rsidP="006C4599">
            <w:pPr>
              <w:spacing w:line="360" w:lineRule="auto"/>
              <w:jc w:val="center"/>
              <w:rPr>
                <w:rFonts w:ascii="Century Gothic" w:hAnsi="Century Gothic" w:cs="Arial"/>
                <w:lang w:val="es-MX"/>
              </w:rPr>
            </w:pPr>
            <w:r w:rsidRPr="00363C1C">
              <w:rPr>
                <w:rFonts w:ascii="Century Gothic" w:hAnsi="Century Gothic" w:cs="Arial"/>
                <w:lang w:val="es-MX"/>
              </w:rPr>
              <w:t>Matrimonio</w:t>
            </w:r>
          </w:p>
          <w:p w14:paraId="77969DB5" w14:textId="77777777" w:rsidR="006C4599" w:rsidRPr="00363C1C" w:rsidRDefault="006C4599" w:rsidP="006C4599">
            <w:pPr>
              <w:spacing w:line="360" w:lineRule="auto"/>
              <w:jc w:val="center"/>
              <w:rPr>
                <w:rFonts w:ascii="Century Gothic" w:hAnsi="Century Gothic" w:cs="Arial"/>
                <w:lang w:val="es-MX"/>
              </w:rPr>
            </w:pPr>
          </w:p>
          <w:p w14:paraId="224E2D84" w14:textId="77777777" w:rsidR="006C4599" w:rsidRPr="00363C1C" w:rsidRDefault="006C4599" w:rsidP="006C4599">
            <w:pPr>
              <w:spacing w:line="360" w:lineRule="auto"/>
              <w:jc w:val="center"/>
              <w:rPr>
                <w:rFonts w:ascii="Century Gothic" w:hAnsi="Century Gothic" w:cs="Arial"/>
                <w:lang w:val="es-MX"/>
              </w:rPr>
            </w:pPr>
            <w:r w:rsidRPr="00363C1C">
              <w:rPr>
                <w:rFonts w:ascii="Century Gothic" w:hAnsi="Century Gothic" w:cs="Arial"/>
                <w:lang w:val="es-MX"/>
              </w:rPr>
              <w:t>Capítulo V</w:t>
            </w:r>
          </w:p>
          <w:p w14:paraId="2C34D9C0" w14:textId="77777777" w:rsidR="006C4599" w:rsidRPr="00363C1C" w:rsidRDefault="006C4599" w:rsidP="006C4599">
            <w:pPr>
              <w:spacing w:line="360" w:lineRule="auto"/>
              <w:jc w:val="center"/>
              <w:rPr>
                <w:rFonts w:ascii="Century Gothic" w:hAnsi="Century Gothic" w:cs="Arial"/>
                <w:lang w:val="es-MX"/>
              </w:rPr>
            </w:pPr>
            <w:r w:rsidRPr="00363C1C">
              <w:rPr>
                <w:rFonts w:ascii="Century Gothic" w:hAnsi="Century Gothic" w:cs="Arial"/>
                <w:lang w:val="es-MX"/>
              </w:rPr>
              <w:t>De la Separación de Bienes</w:t>
            </w:r>
          </w:p>
        </w:tc>
        <w:tc>
          <w:tcPr>
            <w:tcW w:w="2993" w:type="dxa"/>
          </w:tcPr>
          <w:p w14:paraId="02926874" w14:textId="77777777" w:rsidR="006C4599" w:rsidRPr="00363C1C" w:rsidRDefault="006C4599" w:rsidP="006C4599">
            <w:pPr>
              <w:spacing w:line="360" w:lineRule="auto"/>
              <w:jc w:val="center"/>
              <w:rPr>
                <w:rFonts w:ascii="Century Gothic" w:hAnsi="Century Gothic" w:cs="Arial"/>
                <w:lang w:val="es-MX"/>
              </w:rPr>
            </w:pPr>
          </w:p>
          <w:p w14:paraId="45BDEB7A" w14:textId="77777777" w:rsidR="006C4599" w:rsidRPr="00363C1C" w:rsidRDefault="006C4599" w:rsidP="006C4599">
            <w:pPr>
              <w:spacing w:line="360" w:lineRule="auto"/>
              <w:jc w:val="center"/>
              <w:rPr>
                <w:rFonts w:ascii="Century Gothic" w:hAnsi="Century Gothic" w:cs="Arial"/>
                <w:lang w:val="es-MX"/>
              </w:rPr>
            </w:pPr>
          </w:p>
          <w:p w14:paraId="21FF9026" w14:textId="77777777" w:rsidR="006C4599" w:rsidRPr="00363C1C" w:rsidRDefault="006C4599" w:rsidP="006C4599">
            <w:pPr>
              <w:spacing w:line="360" w:lineRule="auto"/>
              <w:jc w:val="center"/>
              <w:rPr>
                <w:rFonts w:ascii="Century Gothic" w:hAnsi="Century Gothic" w:cs="Arial"/>
                <w:lang w:val="es-MX"/>
              </w:rPr>
            </w:pPr>
          </w:p>
          <w:p w14:paraId="682D12C6" w14:textId="77777777" w:rsidR="006C4599" w:rsidRPr="00363C1C" w:rsidRDefault="006C4599" w:rsidP="006C4599">
            <w:pPr>
              <w:spacing w:line="360" w:lineRule="auto"/>
              <w:jc w:val="center"/>
              <w:rPr>
                <w:rFonts w:ascii="Century Gothic" w:hAnsi="Century Gothic" w:cs="Arial"/>
                <w:lang w:val="es-MX"/>
              </w:rPr>
            </w:pPr>
          </w:p>
          <w:p w14:paraId="6449D0B4" w14:textId="77777777" w:rsidR="006C4599" w:rsidRPr="00363C1C" w:rsidRDefault="006C4599" w:rsidP="006C4599">
            <w:pPr>
              <w:spacing w:line="360" w:lineRule="auto"/>
              <w:jc w:val="center"/>
              <w:rPr>
                <w:rFonts w:ascii="Century Gothic" w:hAnsi="Century Gothic" w:cs="Arial"/>
                <w:lang w:val="es-MX"/>
              </w:rPr>
            </w:pPr>
          </w:p>
          <w:p w14:paraId="7ED86D7E" w14:textId="77777777" w:rsidR="006C4599" w:rsidRPr="00363C1C" w:rsidRDefault="006C4599" w:rsidP="006C4599">
            <w:pPr>
              <w:spacing w:line="360" w:lineRule="auto"/>
              <w:jc w:val="center"/>
              <w:rPr>
                <w:rFonts w:ascii="Century Gothic" w:hAnsi="Century Gothic" w:cs="Arial"/>
                <w:lang w:val="es-MX"/>
              </w:rPr>
            </w:pPr>
            <w:r w:rsidRPr="00363C1C">
              <w:rPr>
                <w:rFonts w:ascii="Century Gothic" w:hAnsi="Century Gothic" w:cs="Arial"/>
                <w:lang w:val="es-MX"/>
              </w:rPr>
              <w:t>Capítulo IX</w:t>
            </w:r>
          </w:p>
          <w:p w14:paraId="4FED6E63" w14:textId="77777777" w:rsidR="006C4599" w:rsidRPr="00363C1C" w:rsidRDefault="006C4599" w:rsidP="006C4599">
            <w:pPr>
              <w:spacing w:line="360" w:lineRule="auto"/>
              <w:jc w:val="center"/>
              <w:rPr>
                <w:rFonts w:ascii="Century Gothic" w:hAnsi="Century Gothic" w:cs="Arial"/>
                <w:lang w:val="es-MX"/>
              </w:rPr>
            </w:pPr>
            <w:r w:rsidRPr="00363C1C">
              <w:rPr>
                <w:rFonts w:ascii="Century Gothic" w:hAnsi="Century Gothic" w:cs="Arial"/>
                <w:lang w:val="es-MX"/>
              </w:rPr>
              <w:t>Del Divorcio</w:t>
            </w:r>
          </w:p>
        </w:tc>
      </w:tr>
      <w:tr w:rsidR="006C4599" w:rsidRPr="006C4599" w14:paraId="55F75589" w14:textId="77777777" w:rsidTr="003C6EA8">
        <w:tc>
          <w:tcPr>
            <w:tcW w:w="2992" w:type="dxa"/>
          </w:tcPr>
          <w:p w14:paraId="2F680F67" w14:textId="77777777" w:rsidR="006C4599" w:rsidRPr="006C4599" w:rsidRDefault="006C4599" w:rsidP="006C4599">
            <w:pPr>
              <w:spacing w:line="360" w:lineRule="auto"/>
              <w:ind w:right="335"/>
              <w:jc w:val="center"/>
              <w:rPr>
                <w:rFonts w:ascii="Century Gothic" w:hAnsi="Century Gothic" w:cs="Arial"/>
                <w:sz w:val="22"/>
                <w:lang w:val="es-MX"/>
              </w:rPr>
            </w:pPr>
            <w:r w:rsidRPr="006C4599">
              <w:rPr>
                <w:rFonts w:ascii="Century Gothic" w:hAnsi="Century Gothic" w:cs="Arial"/>
                <w:sz w:val="22"/>
                <w:lang w:val="es-MX"/>
              </w:rPr>
              <w:lastRenderedPageBreak/>
              <w:t>Vigente</w:t>
            </w:r>
          </w:p>
        </w:tc>
        <w:tc>
          <w:tcPr>
            <w:tcW w:w="2993" w:type="dxa"/>
          </w:tcPr>
          <w:p w14:paraId="4623BA4F" w14:textId="77777777" w:rsidR="006C4599" w:rsidRPr="006C4599" w:rsidRDefault="006C4599" w:rsidP="006C4599">
            <w:pPr>
              <w:spacing w:line="360" w:lineRule="auto"/>
              <w:jc w:val="center"/>
              <w:rPr>
                <w:rFonts w:ascii="Century Gothic" w:hAnsi="Century Gothic" w:cs="Arial"/>
                <w:sz w:val="22"/>
                <w:lang w:val="es-MX"/>
              </w:rPr>
            </w:pPr>
            <w:r w:rsidRPr="006C4599">
              <w:rPr>
                <w:rFonts w:ascii="Century Gothic" w:hAnsi="Century Gothic" w:cs="Arial"/>
                <w:sz w:val="22"/>
                <w:lang w:val="es-MX"/>
              </w:rPr>
              <w:t>Iniciativa</w:t>
            </w:r>
          </w:p>
        </w:tc>
        <w:tc>
          <w:tcPr>
            <w:tcW w:w="2993" w:type="dxa"/>
          </w:tcPr>
          <w:p w14:paraId="63AF4502" w14:textId="77777777" w:rsidR="006C4599" w:rsidRPr="006C4599" w:rsidRDefault="006C4599" w:rsidP="006C4599">
            <w:pPr>
              <w:spacing w:line="360" w:lineRule="auto"/>
              <w:jc w:val="center"/>
              <w:rPr>
                <w:rFonts w:ascii="Century Gothic" w:hAnsi="Century Gothic" w:cs="Arial"/>
                <w:sz w:val="22"/>
                <w:lang w:val="es-MX"/>
              </w:rPr>
            </w:pPr>
            <w:r w:rsidRPr="006C4599">
              <w:rPr>
                <w:rFonts w:ascii="Century Gothic" w:hAnsi="Century Gothic" w:cs="Arial"/>
                <w:sz w:val="22"/>
                <w:lang w:val="es-MX"/>
              </w:rPr>
              <w:t>Dictamen</w:t>
            </w:r>
          </w:p>
        </w:tc>
      </w:tr>
      <w:tr w:rsidR="006C4599" w:rsidRPr="006C4599" w14:paraId="23CA0E7D" w14:textId="77777777" w:rsidTr="003C6EA8">
        <w:tc>
          <w:tcPr>
            <w:tcW w:w="2992" w:type="dxa"/>
          </w:tcPr>
          <w:p w14:paraId="0C99539F" w14:textId="77777777" w:rsidR="006C4599" w:rsidRPr="006C4599" w:rsidRDefault="006C4599" w:rsidP="006C4599">
            <w:pPr>
              <w:spacing w:line="360" w:lineRule="auto"/>
              <w:ind w:right="335"/>
              <w:jc w:val="both"/>
              <w:rPr>
                <w:rFonts w:ascii="Century Gothic" w:hAnsi="Century Gothic" w:cs="Arial"/>
                <w:sz w:val="22"/>
                <w:lang w:val="es-MX"/>
              </w:rPr>
            </w:pPr>
            <w:r w:rsidRPr="006C4599">
              <w:rPr>
                <w:rFonts w:ascii="Century Gothic" w:hAnsi="Century Gothic" w:cs="Arial"/>
                <w:sz w:val="22"/>
                <w:lang w:val="es-MX"/>
              </w:rPr>
              <w:t>Sin correlativo</w:t>
            </w:r>
          </w:p>
        </w:tc>
        <w:tc>
          <w:tcPr>
            <w:tcW w:w="2993" w:type="dxa"/>
          </w:tcPr>
          <w:p w14:paraId="7129AEFC" w14:textId="77777777" w:rsidR="006C4599" w:rsidRPr="006C4599" w:rsidRDefault="006C4599" w:rsidP="006C4599">
            <w:pPr>
              <w:spacing w:line="360" w:lineRule="auto"/>
              <w:jc w:val="both"/>
              <w:rPr>
                <w:rFonts w:ascii="Century Gothic" w:hAnsi="Century Gothic" w:cs="Arial"/>
                <w:b/>
                <w:bCs/>
                <w:sz w:val="22"/>
                <w:lang w:val="es-MX"/>
              </w:rPr>
            </w:pPr>
            <w:r w:rsidRPr="006C4599">
              <w:rPr>
                <w:rFonts w:ascii="Century Gothic" w:hAnsi="Century Gothic" w:cs="Arial"/>
                <w:b/>
                <w:bCs/>
                <w:sz w:val="22"/>
                <w:lang w:val="es-MX"/>
              </w:rPr>
              <w:t xml:space="preserve">Artículo 195 bis. Para efectos de divorcio al existir régimen de separación de bienes, cuando alguno de los cónyuges haya realizado trabajo del hogar consistente en tareas de administración, dirección, atención del mismo o cuidado de la familia de manera </w:t>
            </w:r>
            <w:r w:rsidRPr="00731FF1">
              <w:rPr>
                <w:rFonts w:ascii="Century Gothic" w:hAnsi="Century Gothic" w:cs="Arial"/>
                <w:b/>
                <w:bCs/>
                <w:sz w:val="22"/>
                <w:lang w:val="es-MX"/>
              </w:rPr>
              <w:t>cotidiana</w:t>
            </w:r>
            <w:r w:rsidRPr="006C4599">
              <w:rPr>
                <w:rFonts w:ascii="Century Gothic" w:hAnsi="Century Gothic" w:cs="Arial"/>
                <w:b/>
                <w:bCs/>
                <w:sz w:val="22"/>
                <w:lang w:val="es-MX"/>
              </w:rPr>
              <w:t xml:space="preserve">, tendrá derecho a la repartición de los bienes adquiridos durante el matrimonio hasta por el cincuenta por ciento, con base en los </w:t>
            </w:r>
            <w:r w:rsidRPr="006C4599">
              <w:rPr>
                <w:rFonts w:ascii="Century Gothic" w:hAnsi="Century Gothic" w:cs="Arial"/>
                <w:b/>
                <w:bCs/>
                <w:sz w:val="22"/>
                <w:lang w:val="es-MX"/>
              </w:rPr>
              <w:lastRenderedPageBreak/>
              <w:t>principios de equidad y proporcionalidad.</w:t>
            </w:r>
          </w:p>
          <w:p w14:paraId="672AEA89" w14:textId="77777777" w:rsidR="006C4599" w:rsidRPr="006C4599" w:rsidRDefault="006C4599" w:rsidP="006C4599">
            <w:pPr>
              <w:spacing w:line="360" w:lineRule="auto"/>
              <w:jc w:val="both"/>
              <w:rPr>
                <w:rFonts w:ascii="Century Gothic" w:hAnsi="Century Gothic" w:cs="Arial"/>
                <w:b/>
                <w:bCs/>
                <w:sz w:val="22"/>
                <w:lang w:val="es-MX"/>
              </w:rPr>
            </w:pPr>
          </w:p>
          <w:p w14:paraId="747486AC" w14:textId="77777777" w:rsidR="006C4599" w:rsidRDefault="006C4599" w:rsidP="006C4599">
            <w:pPr>
              <w:spacing w:line="360" w:lineRule="auto"/>
              <w:jc w:val="both"/>
              <w:rPr>
                <w:rFonts w:ascii="Century Gothic" w:hAnsi="Century Gothic" w:cs="Arial"/>
                <w:b/>
                <w:bCs/>
                <w:sz w:val="22"/>
                <w:lang w:val="es-MX"/>
              </w:rPr>
            </w:pPr>
          </w:p>
          <w:p w14:paraId="24363708" w14:textId="77777777" w:rsidR="006C4599" w:rsidRPr="006C4599" w:rsidRDefault="006C4599" w:rsidP="006C4599">
            <w:pPr>
              <w:spacing w:line="360" w:lineRule="auto"/>
              <w:jc w:val="both"/>
              <w:rPr>
                <w:rFonts w:ascii="Century Gothic" w:hAnsi="Century Gothic" w:cs="Arial"/>
                <w:b/>
                <w:bCs/>
                <w:sz w:val="2"/>
                <w:lang w:val="es-MX"/>
              </w:rPr>
            </w:pPr>
          </w:p>
          <w:p w14:paraId="4EEA0679" w14:textId="77777777" w:rsidR="006C4599" w:rsidRPr="006C4599" w:rsidRDefault="006C4599" w:rsidP="006C4599">
            <w:pPr>
              <w:spacing w:line="360" w:lineRule="auto"/>
              <w:jc w:val="both"/>
              <w:rPr>
                <w:rFonts w:ascii="Century Gothic" w:hAnsi="Century Gothic" w:cs="Arial"/>
                <w:b/>
                <w:bCs/>
                <w:sz w:val="22"/>
                <w:lang w:val="es-MX"/>
              </w:rPr>
            </w:pPr>
          </w:p>
          <w:p w14:paraId="355F6CD2" w14:textId="77777777" w:rsidR="006C4599" w:rsidRPr="006C4599" w:rsidRDefault="006C4599" w:rsidP="006C4599">
            <w:pPr>
              <w:spacing w:line="360" w:lineRule="auto"/>
              <w:jc w:val="both"/>
              <w:rPr>
                <w:rFonts w:ascii="Century Gothic" w:hAnsi="Century Gothic" w:cs="Arial"/>
                <w:b/>
                <w:bCs/>
                <w:sz w:val="22"/>
                <w:lang w:val="es-MX"/>
              </w:rPr>
            </w:pPr>
            <w:r w:rsidRPr="006C4599">
              <w:rPr>
                <w:rFonts w:ascii="Century Gothic" w:hAnsi="Century Gothic" w:cs="Arial"/>
                <w:b/>
                <w:bCs/>
                <w:sz w:val="22"/>
                <w:lang w:val="es-MX"/>
              </w:rPr>
              <w:t>La o el Juez habrá de resolver atendiendo al tiempo que duró el matrimonio, los bienes con que cuenten los cónyuges, la custodia de los hijos y las demás circunstancias especiales de cada caso.</w:t>
            </w:r>
          </w:p>
          <w:p w14:paraId="28DE8357" w14:textId="77777777" w:rsidR="006C4599" w:rsidRPr="006C4599" w:rsidRDefault="006C4599" w:rsidP="006C4599">
            <w:pPr>
              <w:spacing w:line="360" w:lineRule="auto"/>
              <w:jc w:val="both"/>
              <w:rPr>
                <w:rFonts w:ascii="Century Gothic" w:hAnsi="Century Gothic" w:cs="Arial"/>
                <w:b/>
                <w:bCs/>
                <w:sz w:val="22"/>
                <w:lang w:val="es-MX"/>
              </w:rPr>
            </w:pPr>
          </w:p>
          <w:p w14:paraId="7B616C48" w14:textId="77777777" w:rsidR="006C4599" w:rsidRPr="006C4599" w:rsidRDefault="006C4599" w:rsidP="006C4599">
            <w:pPr>
              <w:spacing w:line="360" w:lineRule="auto"/>
              <w:jc w:val="both"/>
              <w:rPr>
                <w:rFonts w:ascii="Century Gothic" w:hAnsi="Century Gothic" w:cs="Arial"/>
                <w:b/>
                <w:bCs/>
                <w:sz w:val="22"/>
                <w:lang w:val="es-MX"/>
              </w:rPr>
            </w:pPr>
          </w:p>
          <w:p w14:paraId="6383F187" w14:textId="77777777" w:rsidR="006C4599" w:rsidRPr="006C4599" w:rsidRDefault="006C4599" w:rsidP="006C4599">
            <w:pPr>
              <w:spacing w:line="360" w:lineRule="auto"/>
              <w:jc w:val="both"/>
              <w:rPr>
                <w:rFonts w:ascii="Century Gothic" w:hAnsi="Century Gothic" w:cs="Arial"/>
                <w:b/>
                <w:bCs/>
                <w:sz w:val="22"/>
                <w:lang w:val="es-MX"/>
              </w:rPr>
            </w:pPr>
          </w:p>
          <w:p w14:paraId="57D5AD1F" w14:textId="77777777" w:rsidR="006C4599" w:rsidRPr="006C4599" w:rsidRDefault="006C4599" w:rsidP="006C4599">
            <w:pPr>
              <w:spacing w:line="360" w:lineRule="auto"/>
              <w:jc w:val="both"/>
              <w:rPr>
                <w:rFonts w:ascii="Century Gothic" w:hAnsi="Century Gothic" w:cs="Arial"/>
                <w:sz w:val="22"/>
                <w:lang w:val="es-MX"/>
              </w:rPr>
            </w:pPr>
            <w:r w:rsidRPr="006C4599">
              <w:rPr>
                <w:rFonts w:ascii="Century Gothic" w:hAnsi="Century Gothic" w:cs="Arial"/>
                <w:b/>
                <w:bCs/>
                <w:sz w:val="22"/>
                <w:lang w:val="es-MX"/>
              </w:rPr>
              <w:t>Se exceptúan de los bienes establecidos en este artículo, los que se adquieran por sucesión y donación.</w:t>
            </w:r>
          </w:p>
        </w:tc>
        <w:tc>
          <w:tcPr>
            <w:tcW w:w="2993" w:type="dxa"/>
          </w:tcPr>
          <w:p w14:paraId="3B5F5960" w14:textId="1D44ACC1" w:rsidR="006C4599" w:rsidRPr="006C4599" w:rsidRDefault="006C4599" w:rsidP="006C4599">
            <w:pPr>
              <w:spacing w:line="360" w:lineRule="auto"/>
              <w:jc w:val="both"/>
              <w:rPr>
                <w:rFonts w:ascii="Century Gothic" w:hAnsi="Century Gothic" w:cs="Arial"/>
                <w:b/>
                <w:bCs/>
                <w:sz w:val="22"/>
                <w:lang w:val="es-MX"/>
              </w:rPr>
            </w:pPr>
            <w:r w:rsidRPr="006C4599">
              <w:rPr>
                <w:rFonts w:ascii="Century Gothic" w:hAnsi="Century Gothic" w:cs="Arial"/>
                <w:b/>
                <w:bCs/>
                <w:sz w:val="22"/>
                <w:lang w:val="es-MX"/>
              </w:rPr>
              <w:lastRenderedPageBreak/>
              <w:t xml:space="preserve">Artículo 268 bis. </w:t>
            </w:r>
            <w:r w:rsidRPr="006C4599">
              <w:rPr>
                <w:rFonts w:ascii="Century Gothic" w:hAnsi="Century Gothic" w:cs="Arial"/>
                <w:b/>
                <w:bCs/>
                <w:sz w:val="22"/>
                <w:u w:val="single"/>
                <w:lang w:val="es-MX"/>
              </w:rPr>
              <w:t>En la disolución del concubinato o del matrimonio contraído</w:t>
            </w:r>
            <w:r w:rsidRPr="006C4599">
              <w:rPr>
                <w:rFonts w:ascii="Century Gothic" w:hAnsi="Century Gothic" w:cs="Arial"/>
                <w:b/>
                <w:bCs/>
                <w:sz w:val="22"/>
                <w:lang w:val="es-MX"/>
              </w:rPr>
              <w:t xml:space="preserve"> </w:t>
            </w:r>
            <w:r w:rsidRPr="006C4599">
              <w:rPr>
                <w:rFonts w:ascii="Century Gothic" w:hAnsi="Century Gothic" w:cs="Arial"/>
                <w:b/>
                <w:bCs/>
                <w:sz w:val="22"/>
                <w:u w:val="single"/>
                <w:lang w:val="es-MX"/>
              </w:rPr>
              <w:t>bajo</w:t>
            </w:r>
            <w:r w:rsidRPr="006C4599">
              <w:rPr>
                <w:rFonts w:ascii="Century Gothic" w:hAnsi="Century Gothic" w:cs="Arial"/>
                <w:b/>
                <w:bCs/>
                <w:sz w:val="22"/>
                <w:lang w:val="es-MX"/>
              </w:rPr>
              <w:t xml:space="preserve"> el régimen de separación de bienes, </w:t>
            </w:r>
            <w:r w:rsidRPr="006C4599">
              <w:rPr>
                <w:rFonts w:ascii="Century Gothic" w:hAnsi="Century Gothic" w:cs="Arial"/>
                <w:b/>
                <w:bCs/>
                <w:sz w:val="22"/>
                <w:u w:val="single"/>
                <w:lang w:val="es-MX"/>
              </w:rPr>
              <w:t xml:space="preserve">cualquiera de las personas concubinarias o cónyuges que </w:t>
            </w:r>
            <w:r w:rsidRPr="006C4599">
              <w:rPr>
                <w:rFonts w:ascii="Century Gothic" w:hAnsi="Century Gothic" w:cs="Arial"/>
                <w:b/>
                <w:bCs/>
                <w:sz w:val="22"/>
                <w:lang w:val="es-MX"/>
              </w:rPr>
              <w:t xml:space="preserve">haya realizado trabajo del hogar consistente en tareas de administración, dirección, atención del mismo o cuidado de la familia de manera </w:t>
            </w:r>
            <w:r w:rsidR="00731FF1">
              <w:rPr>
                <w:rFonts w:ascii="Century Gothic" w:hAnsi="Century Gothic" w:cs="Arial"/>
                <w:b/>
                <w:bCs/>
                <w:sz w:val="22"/>
                <w:lang w:val="es-MX"/>
              </w:rPr>
              <w:t>cotidiana</w:t>
            </w:r>
            <w:r w:rsidRPr="006C4599">
              <w:rPr>
                <w:rFonts w:ascii="Century Gothic" w:hAnsi="Century Gothic" w:cs="Arial"/>
                <w:b/>
                <w:bCs/>
                <w:sz w:val="22"/>
                <w:lang w:val="es-MX"/>
              </w:rPr>
              <w:t xml:space="preserve">, tendrá derecho a la repartición de los bienes adquiridos </w:t>
            </w:r>
            <w:r w:rsidRPr="006C4599">
              <w:rPr>
                <w:rFonts w:ascii="Century Gothic" w:hAnsi="Century Gothic" w:cs="Arial"/>
                <w:b/>
                <w:bCs/>
                <w:sz w:val="22"/>
                <w:lang w:val="es-MX"/>
              </w:rPr>
              <w:lastRenderedPageBreak/>
              <w:t xml:space="preserve">durante el matrimonio </w:t>
            </w:r>
            <w:r w:rsidRPr="006C4599">
              <w:rPr>
                <w:rFonts w:ascii="Century Gothic" w:hAnsi="Century Gothic" w:cs="Arial"/>
                <w:b/>
                <w:bCs/>
                <w:sz w:val="22"/>
                <w:u w:val="single"/>
                <w:lang w:val="es-MX"/>
              </w:rPr>
              <w:t>o el concubinato</w:t>
            </w:r>
            <w:r w:rsidRPr="006C4599">
              <w:rPr>
                <w:rFonts w:ascii="Century Gothic" w:hAnsi="Century Gothic" w:cs="Arial"/>
                <w:b/>
                <w:bCs/>
                <w:sz w:val="22"/>
                <w:lang w:val="es-MX"/>
              </w:rPr>
              <w:t xml:space="preserve"> hasta por el cincuenta por ciento. </w:t>
            </w:r>
          </w:p>
          <w:p w14:paraId="53F48CEB" w14:textId="77777777" w:rsidR="006C4599" w:rsidRDefault="006C4599" w:rsidP="006C4599">
            <w:pPr>
              <w:spacing w:line="360" w:lineRule="auto"/>
              <w:jc w:val="both"/>
              <w:rPr>
                <w:rFonts w:ascii="Century Gothic" w:hAnsi="Century Gothic" w:cs="Arial"/>
                <w:b/>
                <w:bCs/>
                <w:sz w:val="22"/>
                <w:lang w:val="es-MX"/>
              </w:rPr>
            </w:pPr>
          </w:p>
          <w:p w14:paraId="02C15C14" w14:textId="77777777" w:rsidR="00363C1C" w:rsidRPr="006C4599" w:rsidRDefault="00363C1C" w:rsidP="006C4599">
            <w:pPr>
              <w:spacing w:line="360" w:lineRule="auto"/>
              <w:jc w:val="both"/>
              <w:rPr>
                <w:rFonts w:ascii="Century Gothic" w:hAnsi="Century Gothic" w:cs="Arial"/>
                <w:b/>
                <w:bCs/>
                <w:sz w:val="22"/>
                <w:lang w:val="es-MX"/>
              </w:rPr>
            </w:pPr>
          </w:p>
          <w:p w14:paraId="67CEF36D" w14:textId="43209CB3" w:rsidR="006C4599" w:rsidRPr="006C4599" w:rsidRDefault="006C4599" w:rsidP="006C4599">
            <w:pPr>
              <w:spacing w:line="360" w:lineRule="auto"/>
              <w:jc w:val="both"/>
              <w:rPr>
                <w:rFonts w:ascii="Century Gothic" w:hAnsi="Century Gothic" w:cs="Arial"/>
                <w:b/>
                <w:bCs/>
                <w:sz w:val="22"/>
                <w:lang w:val="es-MX"/>
              </w:rPr>
            </w:pPr>
            <w:r w:rsidRPr="006C4599">
              <w:rPr>
                <w:rFonts w:ascii="Century Gothic" w:hAnsi="Century Gothic" w:cs="Arial"/>
                <w:b/>
                <w:bCs/>
                <w:sz w:val="22"/>
                <w:lang w:val="es-MX"/>
              </w:rPr>
              <w:t>L</w:t>
            </w:r>
            <w:r>
              <w:rPr>
                <w:rFonts w:ascii="Century Gothic" w:hAnsi="Century Gothic" w:cs="Arial"/>
                <w:b/>
                <w:bCs/>
                <w:sz w:val="22"/>
                <w:lang w:val="es-MX"/>
              </w:rPr>
              <w:t xml:space="preserve">a </w:t>
            </w:r>
            <w:r w:rsidRPr="006C4599">
              <w:rPr>
                <w:rFonts w:ascii="Century Gothic" w:hAnsi="Century Gothic" w:cs="Arial"/>
                <w:b/>
                <w:bCs/>
                <w:sz w:val="22"/>
                <w:u w:val="single"/>
                <w:lang w:val="es-MX"/>
              </w:rPr>
              <w:t>autoridad jurisdiccional</w:t>
            </w:r>
            <w:r w:rsidRPr="006C4599">
              <w:rPr>
                <w:rFonts w:ascii="Century Gothic" w:hAnsi="Century Gothic" w:cs="Arial"/>
                <w:b/>
                <w:bCs/>
                <w:sz w:val="22"/>
                <w:lang w:val="es-MX"/>
              </w:rPr>
              <w:t xml:space="preserve"> habrá de resolver atendiendo al tiempo que duró el matrimonio </w:t>
            </w:r>
            <w:r w:rsidRPr="006C4599">
              <w:rPr>
                <w:rFonts w:ascii="Century Gothic" w:hAnsi="Century Gothic" w:cs="Arial"/>
                <w:b/>
                <w:bCs/>
                <w:sz w:val="22"/>
                <w:u w:val="single"/>
                <w:lang w:val="es-MX"/>
              </w:rPr>
              <w:t>o el concubinato;</w:t>
            </w:r>
            <w:r w:rsidRPr="006C4599">
              <w:rPr>
                <w:rFonts w:ascii="Century Gothic" w:hAnsi="Century Gothic" w:cs="Arial"/>
                <w:b/>
                <w:bCs/>
                <w:sz w:val="22"/>
                <w:lang w:val="es-MX"/>
              </w:rPr>
              <w:t xml:space="preserve"> los bienes con que cuenten; los cónyuges la custodia de </w:t>
            </w:r>
            <w:r w:rsidRPr="006C4599">
              <w:rPr>
                <w:rFonts w:ascii="Century Gothic" w:hAnsi="Century Gothic" w:cs="Arial"/>
                <w:b/>
                <w:bCs/>
                <w:sz w:val="22"/>
                <w:u w:val="single"/>
                <w:lang w:val="es-MX"/>
              </w:rPr>
              <w:t>la descendencia;</w:t>
            </w:r>
            <w:r w:rsidRPr="006C4599">
              <w:rPr>
                <w:rFonts w:ascii="Century Gothic" w:hAnsi="Century Gothic" w:cs="Arial"/>
                <w:b/>
                <w:bCs/>
                <w:sz w:val="22"/>
                <w:lang w:val="es-MX"/>
              </w:rPr>
              <w:t xml:space="preserve"> y las demás circunstancias especiales de cada caso.</w:t>
            </w:r>
          </w:p>
          <w:p w14:paraId="095D978F" w14:textId="77777777" w:rsidR="006C4599" w:rsidRPr="006C4599" w:rsidRDefault="006C4599" w:rsidP="006C4599">
            <w:pPr>
              <w:spacing w:line="360" w:lineRule="auto"/>
              <w:jc w:val="both"/>
              <w:rPr>
                <w:rFonts w:ascii="Century Gothic" w:hAnsi="Century Gothic" w:cs="Arial"/>
                <w:b/>
                <w:bCs/>
                <w:sz w:val="22"/>
                <w:lang w:val="es-MX"/>
              </w:rPr>
            </w:pPr>
          </w:p>
          <w:p w14:paraId="668BFF32" w14:textId="77777777" w:rsidR="006C4599" w:rsidRPr="006C4599" w:rsidRDefault="006C4599" w:rsidP="006C4599">
            <w:pPr>
              <w:spacing w:line="360" w:lineRule="auto"/>
              <w:jc w:val="both"/>
              <w:rPr>
                <w:rFonts w:ascii="Century Gothic" w:hAnsi="Century Gothic" w:cs="Arial"/>
                <w:b/>
                <w:bCs/>
                <w:sz w:val="22"/>
                <w:lang w:val="es-MX"/>
              </w:rPr>
            </w:pPr>
            <w:r w:rsidRPr="006C4599">
              <w:rPr>
                <w:rFonts w:ascii="Century Gothic" w:hAnsi="Century Gothic" w:cs="Arial"/>
                <w:b/>
                <w:bCs/>
                <w:sz w:val="22"/>
                <w:lang w:val="es-MX"/>
              </w:rPr>
              <w:t>Se exceptúan de los bienes establecidos en este artículo, los que se adquieran por sucesión y donación.</w:t>
            </w:r>
          </w:p>
        </w:tc>
      </w:tr>
    </w:tbl>
    <w:p w14:paraId="5094AFB4" w14:textId="0F9F0AC4" w:rsidR="0035713A" w:rsidRPr="001C7F07" w:rsidRDefault="00F92C06" w:rsidP="0035713A">
      <w:pPr>
        <w:spacing w:line="360" w:lineRule="auto"/>
        <w:ind w:right="335"/>
        <w:jc w:val="both"/>
        <w:rPr>
          <w:rFonts w:ascii="Century Gothic" w:hAnsi="Century Gothic" w:cs="Arial"/>
          <w:bCs/>
          <w:lang w:val="es-MX"/>
        </w:rPr>
      </w:pPr>
      <w:r>
        <w:rPr>
          <w:rFonts w:ascii="Century Gothic" w:hAnsi="Century Gothic" w:cs="Arial"/>
          <w:lang w:val="es-MX"/>
        </w:rPr>
        <w:lastRenderedPageBreak/>
        <w:t xml:space="preserve"> </w:t>
      </w:r>
    </w:p>
    <w:p w14:paraId="5ABF3E16" w14:textId="1868996A" w:rsidR="0014239A" w:rsidRPr="0014239A" w:rsidRDefault="005525CC" w:rsidP="00316196">
      <w:pPr>
        <w:pStyle w:val="Textoindependiente"/>
        <w:spacing w:line="360" w:lineRule="auto"/>
        <w:rPr>
          <w:rFonts w:ascii="Century Gothic" w:hAnsi="Century Gothic" w:cs="Arial"/>
          <w:bCs/>
        </w:rPr>
      </w:pPr>
      <w:r>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75BDAE60" w14:textId="77777777" w:rsidR="0014239A" w:rsidRPr="00B2162D" w:rsidRDefault="0014239A" w:rsidP="0014239A">
      <w:pPr>
        <w:pStyle w:val="Normal1"/>
        <w:tabs>
          <w:tab w:val="left" w:pos="993"/>
        </w:tabs>
        <w:spacing w:line="360" w:lineRule="auto"/>
        <w:jc w:val="center"/>
        <w:rPr>
          <w:rFonts w:ascii="Century Gothic" w:eastAsia="Arial" w:hAnsi="Century Gothic" w:cs="Arial"/>
          <w:b/>
          <w:sz w:val="28"/>
          <w:szCs w:val="28"/>
        </w:rPr>
      </w:pPr>
    </w:p>
    <w:p w14:paraId="08D797A8" w14:textId="0BE6FAB6" w:rsidR="0014239A" w:rsidRPr="004162A0" w:rsidRDefault="00B141D5"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lastRenderedPageBreak/>
        <w:t xml:space="preserve">D E C R E T O </w:t>
      </w:r>
    </w:p>
    <w:p w14:paraId="7B3350AA" w14:textId="77777777" w:rsidR="002377E1" w:rsidRPr="00B2162D" w:rsidRDefault="002377E1" w:rsidP="002377E1">
      <w:pPr>
        <w:pStyle w:val="Normal1"/>
        <w:pBdr>
          <w:top w:val="nil"/>
          <w:left w:val="nil"/>
          <w:bottom w:val="nil"/>
          <w:right w:val="nil"/>
          <w:between w:val="nil"/>
        </w:pBdr>
        <w:spacing w:line="360" w:lineRule="auto"/>
        <w:rPr>
          <w:rFonts w:ascii="Century Gothic" w:eastAsia="Century Gothic" w:hAnsi="Century Gothic" w:cs="Century Gothic"/>
          <w:b/>
          <w:sz w:val="28"/>
          <w:szCs w:val="28"/>
        </w:rPr>
      </w:pPr>
    </w:p>
    <w:p w14:paraId="7AAA7F2B" w14:textId="099E5C76" w:rsidR="002377E1" w:rsidRDefault="002377E1" w:rsidP="00B2162D">
      <w:pPr>
        <w:spacing w:line="360" w:lineRule="auto"/>
        <w:jc w:val="both"/>
        <w:rPr>
          <w:rFonts w:ascii="Century Gothic" w:hAnsi="Century Gothic"/>
        </w:rPr>
      </w:pPr>
      <w:r w:rsidRPr="00B2162D">
        <w:rPr>
          <w:rFonts w:ascii="Century Gothic" w:hAnsi="Century Gothic"/>
          <w:b/>
          <w:sz w:val="28"/>
          <w:szCs w:val="28"/>
        </w:rPr>
        <w:t>ARTÍCULO ÚNICO.-</w:t>
      </w:r>
      <w:r w:rsidRPr="00B2162D">
        <w:rPr>
          <w:rFonts w:ascii="Century Gothic" w:hAnsi="Century Gothic"/>
          <w:sz w:val="28"/>
          <w:szCs w:val="28"/>
        </w:rPr>
        <w:t xml:space="preserve"> </w:t>
      </w:r>
      <w:r w:rsidRPr="00F079DD">
        <w:rPr>
          <w:rFonts w:ascii="Century Gothic" w:hAnsi="Century Gothic"/>
        </w:rPr>
        <w:t xml:space="preserve">Se </w:t>
      </w:r>
      <w:r w:rsidR="006C4599">
        <w:rPr>
          <w:rFonts w:ascii="Century Gothic" w:hAnsi="Century Gothic"/>
        </w:rPr>
        <w:t>adiciona</w:t>
      </w:r>
      <w:r w:rsidR="00B2162D">
        <w:rPr>
          <w:rFonts w:ascii="Century Gothic" w:hAnsi="Century Gothic"/>
        </w:rPr>
        <w:t xml:space="preserve"> </w:t>
      </w:r>
      <w:r w:rsidR="006C4599">
        <w:rPr>
          <w:rFonts w:ascii="Century Gothic" w:hAnsi="Century Gothic"/>
        </w:rPr>
        <w:t>el artículo 268 Bis; al</w:t>
      </w:r>
      <w:r w:rsidR="00056BA9">
        <w:rPr>
          <w:rFonts w:ascii="Century Gothic" w:hAnsi="Century Gothic"/>
        </w:rPr>
        <w:t xml:space="preserve"> </w:t>
      </w:r>
      <w:r w:rsidR="00B2162D">
        <w:rPr>
          <w:rFonts w:ascii="Century Gothic" w:hAnsi="Century Gothic"/>
        </w:rPr>
        <w:t xml:space="preserve">Código </w:t>
      </w:r>
      <w:r w:rsidR="00056BA9">
        <w:rPr>
          <w:rFonts w:ascii="Century Gothic" w:hAnsi="Century Gothic"/>
        </w:rPr>
        <w:t>Civil del Estado de Chihuahua, para quedar redactado</w:t>
      </w:r>
      <w:r w:rsidR="00B2162D">
        <w:rPr>
          <w:rFonts w:ascii="Century Gothic" w:hAnsi="Century Gothic"/>
        </w:rPr>
        <w:t xml:space="preserve"> de la siguiente manera:</w:t>
      </w:r>
      <w:r w:rsidRPr="00F079DD">
        <w:rPr>
          <w:rFonts w:ascii="Century Gothic" w:hAnsi="Century Gothic"/>
        </w:rPr>
        <w:t xml:space="preserve"> </w:t>
      </w:r>
    </w:p>
    <w:p w14:paraId="2ACA9117" w14:textId="77777777" w:rsidR="00056BA9" w:rsidRDefault="00056BA9" w:rsidP="00B2162D">
      <w:pPr>
        <w:spacing w:line="360" w:lineRule="auto"/>
        <w:jc w:val="both"/>
        <w:rPr>
          <w:rFonts w:ascii="Century Gothic" w:hAnsi="Century Gothic"/>
        </w:rPr>
      </w:pPr>
    </w:p>
    <w:p w14:paraId="54E520DF" w14:textId="2A10B287" w:rsidR="006C4599" w:rsidRPr="006C4599" w:rsidRDefault="006C4599" w:rsidP="006C4599">
      <w:pPr>
        <w:spacing w:line="360" w:lineRule="auto"/>
        <w:jc w:val="both"/>
        <w:rPr>
          <w:rFonts w:ascii="Century Gothic" w:hAnsi="Century Gothic"/>
          <w:b/>
          <w:bCs/>
          <w:lang w:val="es-MX"/>
        </w:rPr>
      </w:pPr>
      <w:r w:rsidRPr="006C4599">
        <w:rPr>
          <w:rFonts w:ascii="Century Gothic" w:hAnsi="Century Gothic"/>
          <w:b/>
          <w:bCs/>
          <w:lang w:val="es-MX"/>
        </w:rPr>
        <w:t xml:space="preserve">Artículo 268 Bis. En la disolución del concubinato o del matrimonio contraído bajo el régimen de separación de bienes, cualquiera de las personas concubinarias o cónyuges que haya realizado trabajo del hogar consistente en tareas de administración, dirección, atención del mismo o cuidado de la familia de manera </w:t>
      </w:r>
      <w:r w:rsidR="00731FF1">
        <w:rPr>
          <w:rFonts w:ascii="Century Gothic" w:hAnsi="Century Gothic"/>
          <w:b/>
          <w:bCs/>
          <w:lang w:val="es-MX"/>
        </w:rPr>
        <w:t>cotidiana</w:t>
      </w:r>
      <w:r w:rsidRPr="006C4599">
        <w:rPr>
          <w:rFonts w:ascii="Century Gothic" w:hAnsi="Century Gothic"/>
          <w:b/>
          <w:bCs/>
          <w:lang w:val="es-MX"/>
        </w:rPr>
        <w:t xml:space="preserve">, tendrá derecho a la repartición de los bienes adquiridos durante el matrimonio o el concubinato hasta por el cincuenta por ciento. </w:t>
      </w:r>
    </w:p>
    <w:p w14:paraId="752ADFAE" w14:textId="77777777" w:rsidR="006C4599" w:rsidRPr="006C4599" w:rsidRDefault="006C4599" w:rsidP="006C4599">
      <w:pPr>
        <w:spacing w:line="360" w:lineRule="auto"/>
        <w:jc w:val="both"/>
        <w:rPr>
          <w:rFonts w:ascii="Century Gothic" w:hAnsi="Century Gothic"/>
          <w:b/>
          <w:bCs/>
          <w:lang w:val="es-MX"/>
        </w:rPr>
      </w:pPr>
    </w:p>
    <w:p w14:paraId="08D3F9CB" w14:textId="566EA90D" w:rsidR="006C4599" w:rsidRPr="006C4599" w:rsidRDefault="006C4599" w:rsidP="006C4599">
      <w:pPr>
        <w:spacing w:line="360" w:lineRule="auto"/>
        <w:jc w:val="both"/>
        <w:rPr>
          <w:rFonts w:ascii="Century Gothic" w:hAnsi="Century Gothic"/>
          <w:b/>
          <w:bCs/>
          <w:lang w:val="es-MX"/>
        </w:rPr>
      </w:pPr>
      <w:r w:rsidRPr="006C4599">
        <w:rPr>
          <w:rFonts w:ascii="Century Gothic" w:hAnsi="Century Gothic"/>
          <w:b/>
          <w:bCs/>
          <w:lang w:val="es-MX"/>
        </w:rPr>
        <w:t>La autoridad jurisdiccional habrá de resolver atendiendo al tiempo que duró el matrimonio o el concubinato; los bienes con que cuenten los cónyuges</w:t>
      </w:r>
      <w:r w:rsidR="006E48A4" w:rsidRPr="006C4599">
        <w:rPr>
          <w:rFonts w:ascii="Century Gothic" w:hAnsi="Century Gothic"/>
          <w:b/>
          <w:bCs/>
          <w:lang w:val="es-MX"/>
        </w:rPr>
        <w:t>;</w:t>
      </w:r>
      <w:r w:rsidRPr="006C4599">
        <w:rPr>
          <w:rFonts w:ascii="Century Gothic" w:hAnsi="Century Gothic"/>
          <w:b/>
          <w:bCs/>
          <w:lang w:val="es-MX"/>
        </w:rPr>
        <w:t xml:space="preserve"> la custodia de la descendencia; y las demás circunstancias </w:t>
      </w:r>
      <w:bookmarkStart w:id="0" w:name="_GoBack"/>
      <w:bookmarkEnd w:id="0"/>
      <w:r w:rsidRPr="006C4599">
        <w:rPr>
          <w:rFonts w:ascii="Century Gothic" w:hAnsi="Century Gothic"/>
          <w:b/>
          <w:bCs/>
          <w:lang w:val="es-MX"/>
        </w:rPr>
        <w:t>especiales de cada caso.</w:t>
      </w:r>
    </w:p>
    <w:p w14:paraId="4722A3A8" w14:textId="77777777" w:rsidR="006C4599" w:rsidRPr="006C4599" w:rsidRDefault="006C4599" w:rsidP="006C4599">
      <w:pPr>
        <w:spacing w:line="360" w:lineRule="auto"/>
        <w:jc w:val="both"/>
        <w:rPr>
          <w:rFonts w:ascii="Century Gothic" w:hAnsi="Century Gothic"/>
          <w:b/>
          <w:bCs/>
          <w:lang w:val="es-MX"/>
        </w:rPr>
      </w:pPr>
    </w:p>
    <w:p w14:paraId="447947B3" w14:textId="16ED45BE" w:rsidR="00F7750D" w:rsidRDefault="006C4599" w:rsidP="006C4599">
      <w:pPr>
        <w:spacing w:line="360" w:lineRule="auto"/>
        <w:jc w:val="both"/>
        <w:rPr>
          <w:rFonts w:ascii="Century Gothic" w:hAnsi="Century Gothic"/>
          <w:b/>
          <w:bCs/>
          <w:lang w:val="es-MX"/>
        </w:rPr>
      </w:pPr>
      <w:r w:rsidRPr="006C4599">
        <w:rPr>
          <w:rFonts w:ascii="Century Gothic" w:hAnsi="Century Gothic"/>
          <w:b/>
          <w:bCs/>
          <w:lang w:val="es-MX"/>
        </w:rPr>
        <w:t>Se exceptúan de los bienes establecidos en este artículo, los que se adquieran por sucesión y donación.</w:t>
      </w:r>
    </w:p>
    <w:p w14:paraId="70A90D0C" w14:textId="77777777" w:rsidR="002749FB" w:rsidRPr="006C4599" w:rsidRDefault="002749FB" w:rsidP="006C4599">
      <w:pPr>
        <w:spacing w:line="360" w:lineRule="auto"/>
        <w:jc w:val="both"/>
        <w:rPr>
          <w:rFonts w:ascii="Century Gothic" w:hAnsi="Century Gothic"/>
        </w:rPr>
      </w:pPr>
    </w:p>
    <w:p w14:paraId="198EAE5E" w14:textId="77777777" w:rsidR="00426195" w:rsidRDefault="00426195" w:rsidP="00426195">
      <w:pPr>
        <w:spacing w:line="360" w:lineRule="auto"/>
        <w:jc w:val="center"/>
        <w:rPr>
          <w:rFonts w:ascii="Century Gothic" w:hAnsi="Century Gothic"/>
          <w:b/>
          <w:sz w:val="28"/>
          <w:szCs w:val="28"/>
        </w:rPr>
      </w:pPr>
      <w:r w:rsidRPr="00D44852">
        <w:rPr>
          <w:rFonts w:ascii="Century Gothic" w:hAnsi="Century Gothic"/>
          <w:b/>
          <w:sz w:val="28"/>
          <w:szCs w:val="28"/>
        </w:rPr>
        <w:t>T R A N S I T O R I O</w:t>
      </w:r>
    </w:p>
    <w:p w14:paraId="11C418E1" w14:textId="77777777" w:rsidR="00426195" w:rsidRPr="002749FB" w:rsidRDefault="00426195" w:rsidP="00426195">
      <w:pPr>
        <w:spacing w:line="360" w:lineRule="auto"/>
        <w:jc w:val="center"/>
        <w:rPr>
          <w:rFonts w:ascii="Century Gothic" w:hAnsi="Century Gothic"/>
          <w:b/>
          <w:sz w:val="22"/>
          <w:szCs w:val="16"/>
        </w:rPr>
      </w:pPr>
    </w:p>
    <w:p w14:paraId="2AFB2337" w14:textId="77777777" w:rsidR="00426195" w:rsidRPr="00D44852" w:rsidRDefault="00426195" w:rsidP="00426195">
      <w:pPr>
        <w:spacing w:line="360" w:lineRule="auto"/>
        <w:jc w:val="both"/>
        <w:rPr>
          <w:rFonts w:ascii="Century Gothic" w:hAnsi="Century Gothic"/>
          <w:bCs/>
        </w:rPr>
      </w:pPr>
      <w:r>
        <w:rPr>
          <w:rFonts w:ascii="Century Gothic" w:hAnsi="Century Gothic"/>
          <w:b/>
          <w:sz w:val="28"/>
          <w:szCs w:val="28"/>
        </w:rPr>
        <w:lastRenderedPageBreak/>
        <w:t xml:space="preserve">ARTÍCULO ÚNICO.- </w:t>
      </w:r>
      <w:r>
        <w:rPr>
          <w:rFonts w:ascii="Century Gothic" w:hAnsi="Century Gothic"/>
          <w:bCs/>
        </w:rPr>
        <w:t xml:space="preserve">El presente decreto entrará en vigor al día siguiente de su publicación en el Periódico Oficial del Estado. </w:t>
      </w:r>
    </w:p>
    <w:p w14:paraId="059DE37E" w14:textId="77777777" w:rsidR="00AF74C6" w:rsidRDefault="00AF74C6" w:rsidP="0014239A">
      <w:pPr>
        <w:spacing w:line="360" w:lineRule="auto"/>
        <w:jc w:val="both"/>
        <w:rPr>
          <w:rFonts w:ascii="Century Gothic" w:hAnsi="Century Gothic" w:cs="Arial"/>
        </w:rPr>
      </w:pPr>
    </w:p>
    <w:p w14:paraId="2160654D" w14:textId="77777777" w:rsidR="0014239A" w:rsidRDefault="0014239A" w:rsidP="0014239A">
      <w:pPr>
        <w:spacing w:line="360" w:lineRule="auto"/>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0A1AF845" w14:textId="77777777" w:rsidR="0014239A" w:rsidRPr="005C4A3E" w:rsidRDefault="0014239A" w:rsidP="0014239A">
      <w:pPr>
        <w:spacing w:line="360" w:lineRule="auto"/>
        <w:jc w:val="both"/>
        <w:rPr>
          <w:rFonts w:ascii="Century Gothic" w:hAnsi="Century Gothic" w:cs="Arial"/>
        </w:rPr>
      </w:pPr>
    </w:p>
    <w:p w14:paraId="47B31282" w14:textId="43886CF9" w:rsidR="0014239A" w:rsidRDefault="0014239A" w:rsidP="0014239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C93D55">
        <w:rPr>
          <w:rFonts w:ascii="Century Gothic" w:hAnsi="Century Gothic"/>
        </w:rPr>
        <w:t>24</w:t>
      </w:r>
      <w:r w:rsidRPr="006618E1">
        <w:rPr>
          <w:rFonts w:ascii="Century Gothic" w:hAnsi="Century Gothic"/>
        </w:rPr>
        <w:t xml:space="preserve"> días del mes de </w:t>
      </w:r>
      <w:r w:rsidR="002749FB">
        <w:rPr>
          <w:rFonts w:ascii="Century Gothic" w:hAnsi="Century Gothic"/>
        </w:rPr>
        <w:t>mayo</w:t>
      </w:r>
      <w:r w:rsidRPr="006618E1">
        <w:rPr>
          <w:rFonts w:ascii="Century Gothic" w:hAnsi="Century Gothic"/>
        </w:rPr>
        <w:t xml:space="preserve"> del año </w:t>
      </w:r>
      <w:r>
        <w:rPr>
          <w:rFonts w:ascii="Century Gothic" w:hAnsi="Century Gothic"/>
        </w:rPr>
        <w:t>20</w:t>
      </w:r>
      <w:r w:rsidR="007F6482">
        <w:rPr>
          <w:rFonts w:ascii="Century Gothic" w:hAnsi="Century Gothic"/>
        </w:rPr>
        <w:t>22</w:t>
      </w:r>
      <w:r>
        <w:rPr>
          <w:rFonts w:ascii="Century Gothic" w:hAnsi="Century Gothic"/>
        </w:rPr>
        <w:t>.</w:t>
      </w:r>
    </w:p>
    <w:p w14:paraId="6A6F74EC" w14:textId="3DD6E0C5" w:rsidR="00C52A9F" w:rsidRDefault="00C52A9F" w:rsidP="00C52A9F">
      <w:pPr>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t xml:space="preserve">Así lo aprobó la Comisión de Justicia, en la reunión de fecha </w:t>
      </w:r>
      <w:r w:rsidR="00C93D55">
        <w:rPr>
          <w:rFonts w:ascii="Century Gothic" w:eastAsia="Arial" w:hAnsi="Century Gothic" w:cs="Arial"/>
          <w:b/>
          <w:sz w:val="22"/>
          <w:szCs w:val="22"/>
          <w:lang w:val="es-MX" w:eastAsia="es-MX"/>
        </w:rPr>
        <w:t>16</w:t>
      </w:r>
      <w:r w:rsidRPr="00C52A9F">
        <w:rPr>
          <w:rFonts w:ascii="Century Gothic" w:eastAsia="Arial" w:hAnsi="Century Gothic" w:cs="Arial"/>
          <w:b/>
          <w:sz w:val="22"/>
          <w:szCs w:val="22"/>
          <w:lang w:val="es-MX" w:eastAsia="es-MX"/>
        </w:rPr>
        <w:t xml:space="preserve"> de </w:t>
      </w:r>
      <w:r w:rsidR="002749FB">
        <w:rPr>
          <w:rFonts w:ascii="Century Gothic" w:eastAsia="Arial" w:hAnsi="Century Gothic" w:cs="Arial"/>
          <w:b/>
          <w:sz w:val="22"/>
          <w:szCs w:val="22"/>
          <w:lang w:val="es-MX" w:eastAsia="es-MX"/>
        </w:rPr>
        <w:t>mayo</w:t>
      </w:r>
      <w:r w:rsidRPr="00C52A9F">
        <w:rPr>
          <w:rFonts w:ascii="Century Gothic" w:eastAsia="Arial" w:hAnsi="Century Gothic" w:cs="Arial"/>
          <w:b/>
          <w:sz w:val="22"/>
          <w:szCs w:val="22"/>
          <w:lang w:val="es-MX" w:eastAsia="es-MX"/>
        </w:rPr>
        <w:t xml:space="preserve"> del año </w:t>
      </w:r>
      <w:r>
        <w:rPr>
          <w:rFonts w:ascii="Century Gothic" w:eastAsia="Arial" w:hAnsi="Century Gothic" w:cs="Arial"/>
          <w:b/>
          <w:sz w:val="22"/>
          <w:szCs w:val="22"/>
          <w:lang w:val="es-MX" w:eastAsia="es-MX"/>
        </w:rPr>
        <w:t>202</w:t>
      </w:r>
      <w:r w:rsidR="00B3020A">
        <w:rPr>
          <w:rFonts w:ascii="Century Gothic" w:eastAsia="Arial" w:hAnsi="Century Gothic" w:cs="Arial"/>
          <w:b/>
          <w:sz w:val="22"/>
          <w:szCs w:val="22"/>
          <w:lang w:val="es-MX" w:eastAsia="es-MX"/>
        </w:rPr>
        <w:t>2</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anchor distT="0" distB="0" distL="114300" distR="114300" simplePos="0" relativeHeight="251659264" behindDoc="1" locked="0" layoutInCell="1" allowOverlap="1" wp14:anchorId="4B4D38CE" wp14:editId="3AA2EE65">
                  <wp:simplePos x="0" y="0"/>
                  <wp:positionH relativeFrom="column">
                    <wp:posOffset>20320</wp:posOffset>
                  </wp:positionH>
                  <wp:positionV relativeFrom="paragraph">
                    <wp:posOffset>37465</wp:posOffset>
                  </wp:positionV>
                  <wp:extent cx="932815" cy="1143000"/>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281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18F7BEF7" w14:textId="77777777" w:rsidR="00C52A9F" w:rsidRPr="00C52A9F" w:rsidRDefault="00C52A9F" w:rsidP="00C52A9F">
            <w:pPr>
              <w:ind w:left="284" w:hanging="284"/>
              <w:contextualSpacing/>
              <w:jc w:val="center"/>
              <w:rPr>
                <w:rFonts w:ascii="Century Gothic" w:hAnsi="Century Gothic" w:cs="Arial"/>
                <w:b/>
                <w:lang w:val="es-MX" w:eastAsia="es-MX"/>
              </w:rPr>
            </w:pPr>
            <w:r w:rsidRPr="00C52A9F">
              <w:rPr>
                <w:rFonts w:ascii="Century Gothic" w:hAnsi="Century Gothic" w:cs="Arial"/>
                <w:b/>
                <w:bCs/>
                <w:lang w:val="es-MX" w:eastAsia="es-MX"/>
              </w:rPr>
              <w:t>DIP. GEORGINA ALEJANDRA BUJANDA RÍOS</w:t>
            </w:r>
          </w:p>
          <w:p w14:paraId="7365C200"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PRESIDENTA</w:t>
            </w:r>
          </w:p>
          <w:p w14:paraId="21D063A7"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265CBC05">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5FC07106">
                  <wp:simplePos x="0" y="0"/>
                  <wp:positionH relativeFrom="column">
                    <wp:posOffset>62865</wp:posOffset>
                  </wp:positionH>
                  <wp:positionV relativeFrom="paragraph">
                    <wp:posOffset>38100</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7B21CB1A"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52055B7A">
                  <wp:simplePos x="0" y="0"/>
                  <wp:positionH relativeFrom="column">
                    <wp:posOffset>10795</wp:posOffset>
                  </wp:positionH>
                  <wp:positionV relativeFrom="paragraph">
                    <wp:posOffset>62865</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07130D0A"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2">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4">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7980F98E" w14:textId="205566FA" w:rsidR="00C52A9F" w:rsidRPr="002377E1" w:rsidRDefault="00C52A9F" w:rsidP="00116DFF">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EL ASUNTO </w:t>
      </w:r>
      <w:r w:rsidR="002749FB">
        <w:rPr>
          <w:rFonts w:ascii="Century Gothic" w:eastAsia="Arial" w:hAnsi="Century Gothic" w:cs="Arial"/>
          <w:sz w:val="18"/>
          <w:szCs w:val="20"/>
          <w:lang w:val="es-MX" w:eastAsia="es-MX"/>
        </w:rPr>
        <w:t>506</w:t>
      </w:r>
      <w:r w:rsidRPr="00116DFF">
        <w:rPr>
          <w:rFonts w:ascii="Century Gothic" w:eastAsia="Arial" w:hAnsi="Century Gothic" w:cs="Arial"/>
          <w:sz w:val="18"/>
          <w:szCs w:val="20"/>
          <w:lang w:val="es-MX" w:eastAsia="es-MX"/>
        </w:rPr>
        <w:t>, DE LA COMISIÓN DE JUSTICIA.</w:t>
      </w:r>
    </w:p>
    <w:sectPr w:rsidR="00C52A9F" w:rsidRPr="002377E1" w:rsidSect="007422ED">
      <w:headerReference w:type="default" r:id="rId15"/>
      <w:footerReference w:type="even" r:id="rId16"/>
      <w:footerReference w:type="default" r:id="rId17"/>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6866" w14:textId="77777777" w:rsidR="00A0173F" w:rsidRDefault="00A0173F" w:rsidP="00331CBA">
      <w:r>
        <w:separator/>
      </w:r>
    </w:p>
  </w:endnote>
  <w:endnote w:type="continuationSeparator" w:id="0">
    <w:p w14:paraId="38D33DB2" w14:textId="77777777" w:rsidR="00A0173F" w:rsidRDefault="00A0173F"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F4095" w14:textId="77777777" w:rsidR="00A0173F" w:rsidRDefault="00A017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A0173F" w:rsidRDefault="00A017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14:paraId="56F04F2D" w14:textId="77777777" w:rsidR="00A0173F" w:rsidRDefault="00A0173F">
        <w:pPr>
          <w:pStyle w:val="Piedepgina"/>
          <w:jc w:val="right"/>
        </w:pPr>
        <w:r>
          <w:rPr>
            <w:noProof/>
          </w:rPr>
          <w:fldChar w:fldCharType="begin"/>
        </w:r>
        <w:r>
          <w:rPr>
            <w:noProof/>
          </w:rPr>
          <w:instrText xml:space="preserve"> PAGE   \* MERGEFORMAT </w:instrText>
        </w:r>
        <w:r>
          <w:rPr>
            <w:noProof/>
          </w:rPr>
          <w:fldChar w:fldCharType="separate"/>
        </w:r>
        <w:r w:rsidR="006E48A4">
          <w:rPr>
            <w:noProof/>
          </w:rPr>
          <w:t>18</w:t>
        </w:r>
        <w:r>
          <w:rPr>
            <w:noProof/>
          </w:rPr>
          <w:fldChar w:fldCharType="end"/>
        </w:r>
      </w:p>
    </w:sdtContent>
  </w:sdt>
  <w:p w14:paraId="5C1A4E08" w14:textId="0E1813B3" w:rsidR="00A0173F" w:rsidRPr="00FC48FC" w:rsidRDefault="00E76BF4" w:rsidP="00356B4E">
    <w:pPr>
      <w:pStyle w:val="Piedepgina"/>
      <w:tabs>
        <w:tab w:val="center" w:pos="4986"/>
        <w:tab w:val="left" w:pos="7185"/>
      </w:tabs>
      <w:rPr>
        <w:lang w:val="en-US"/>
      </w:rPr>
    </w:pPr>
    <w:r>
      <w:rPr>
        <w:rFonts w:ascii="Arial" w:hAnsi="Arial" w:cs="Arial"/>
        <w:sz w:val="16"/>
        <w:szCs w:val="16"/>
        <w:lang w:val="en-US"/>
      </w:rPr>
      <w:t>A506</w:t>
    </w:r>
    <w:r w:rsidR="00A0173F">
      <w:rPr>
        <w:rFonts w:ascii="Arial" w:hAnsi="Arial" w:cs="Arial"/>
        <w:sz w:val="16"/>
        <w:szCs w:val="16"/>
        <w:lang w:val="en-US"/>
      </w:rPr>
      <w:t xml:space="preserve"> /ERS/GAOR/RMO/GTN</w:t>
    </w:r>
  </w:p>
  <w:p w14:paraId="78307D31" w14:textId="77777777" w:rsidR="00A0173F" w:rsidRPr="00FC48FC" w:rsidRDefault="00A0173F"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FD067" w14:textId="77777777" w:rsidR="00A0173F" w:rsidRDefault="00A0173F" w:rsidP="00331CBA">
      <w:r>
        <w:separator/>
      </w:r>
    </w:p>
  </w:footnote>
  <w:footnote w:type="continuationSeparator" w:id="0">
    <w:p w14:paraId="2360D840" w14:textId="77777777" w:rsidR="00A0173F" w:rsidRDefault="00A0173F" w:rsidP="00331CBA">
      <w:r>
        <w:continuationSeparator/>
      </w:r>
    </w:p>
  </w:footnote>
  <w:footnote w:id="1">
    <w:p w14:paraId="01177673" w14:textId="77777777" w:rsidR="005303E2" w:rsidRPr="00BB36C8" w:rsidRDefault="005303E2" w:rsidP="005303E2">
      <w:pPr>
        <w:pStyle w:val="Textonotapie"/>
        <w:rPr>
          <w:lang w:val="es-419"/>
        </w:rPr>
      </w:pPr>
      <w:r>
        <w:rPr>
          <w:rStyle w:val="Refdenotaalpie"/>
        </w:rPr>
        <w:footnoteRef/>
      </w:r>
      <w:r>
        <w:t xml:space="preserve"> La figura se introdujo por primera vez a nivel nacional en el Código Civil para el Distrito Federal en el año 2000.</w:t>
      </w:r>
    </w:p>
  </w:footnote>
  <w:footnote w:id="2">
    <w:p w14:paraId="7C27DC4F" w14:textId="77777777" w:rsidR="005303E2" w:rsidRPr="009A7A3C" w:rsidRDefault="005303E2" w:rsidP="005303E2">
      <w:pPr>
        <w:pStyle w:val="Textonotapie"/>
        <w:rPr>
          <w:lang w:val="es-419"/>
        </w:rPr>
      </w:pPr>
      <w:r>
        <w:rPr>
          <w:rStyle w:val="Refdenotaalpie"/>
        </w:rPr>
        <w:footnoteRef/>
      </w:r>
      <w:r>
        <w:t>Véanse los artículos 279 a 281 del Código Civil para el Estado de Nuevo León, el artículo 267, fracción VI, del Código Civil para el Distrito Federal y 4.46 del Código Civil del Estado de México. Véase también, los artículos 281 del Código Civil para el Estado de Nayarit y 342-A del Código Civil para el Estado de Guanajuato.</w:t>
      </w:r>
    </w:p>
  </w:footnote>
  <w:footnote w:id="3">
    <w:p w14:paraId="437B8693" w14:textId="6E3EAEFE" w:rsidR="00411B9E" w:rsidRPr="00411B9E" w:rsidRDefault="00411B9E">
      <w:pPr>
        <w:pStyle w:val="Textonotapie"/>
        <w:rPr>
          <w:lang w:val="es-MX"/>
        </w:rPr>
      </w:pPr>
      <w:r>
        <w:rPr>
          <w:rStyle w:val="Refdenotaalpie"/>
        </w:rPr>
        <w:footnoteRef/>
      </w:r>
      <w:r>
        <w:t xml:space="preserve"> </w:t>
      </w:r>
      <w:r w:rsidRPr="00411B9E">
        <w:rPr>
          <w:bCs/>
          <w:lang w:val="es-MX"/>
        </w:rPr>
        <w:t>Ley General de Acceso a las Mujeres a una Vida Libre de Violencia</w:t>
      </w:r>
      <w:r>
        <w:rPr>
          <w:bCs/>
          <w:lang w:val="es-MX"/>
        </w:rPr>
        <w:t>. Artículo 8. Fracción II. Vigente al 09/05/22</w:t>
      </w:r>
    </w:p>
  </w:footnote>
  <w:footnote w:id="4">
    <w:p w14:paraId="7A485904" w14:textId="77777777" w:rsidR="00320670" w:rsidRPr="00320670" w:rsidRDefault="00320670" w:rsidP="00320670">
      <w:pPr>
        <w:pStyle w:val="Textonotapie"/>
        <w:rPr>
          <w:b/>
        </w:rPr>
      </w:pPr>
      <w:r>
        <w:rPr>
          <w:rStyle w:val="Refdenotaalpie"/>
        </w:rPr>
        <w:footnoteRef/>
      </w:r>
      <w:r>
        <w:t xml:space="preserve"> </w:t>
      </w:r>
      <w:r>
        <w:rPr>
          <w:lang w:val="es-MX"/>
        </w:rPr>
        <w:t xml:space="preserve">Amparo Directo en Revisión 3073/2015 párrafo 55 </w:t>
      </w:r>
    </w:p>
    <w:p w14:paraId="448BD5EE" w14:textId="77777777" w:rsidR="00320670" w:rsidRPr="00320670" w:rsidRDefault="00320670" w:rsidP="00320670">
      <w:pPr>
        <w:pStyle w:val="Textonotapie"/>
        <w:rPr>
          <w:lang w:val="es-MX"/>
        </w:rPr>
      </w:pPr>
    </w:p>
  </w:footnote>
  <w:footnote w:id="5">
    <w:p w14:paraId="3F9CE928" w14:textId="5A6B6D94" w:rsidR="00FE2B43" w:rsidRPr="00FE2B43" w:rsidRDefault="00FE2B43" w:rsidP="00FE2B43">
      <w:pPr>
        <w:pStyle w:val="Textonotapie"/>
        <w:rPr>
          <w:lang w:val="es-ES_tradnl"/>
        </w:rPr>
      </w:pPr>
      <w:r>
        <w:rPr>
          <w:rStyle w:val="Refdenotaalpie"/>
        </w:rPr>
        <w:footnoteRef/>
      </w:r>
      <w:r>
        <w:t xml:space="preserve"> </w:t>
      </w:r>
      <w:r>
        <w:rPr>
          <w:lang w:val="es-MX"/>
        </w:rPr>
        <w:t>Amparo Directo en Revisión 2</w:t>
      </w:r>
      <w:r w:rsidRPr="00FE2B43">
        <w:rPr>
          <w:lang w:val="es-MX"/>
        </w:rPr>
        <w:t>194/2014 apartado Quinto Estudio de Fondo. Punto El artículo 4.46 del Código Civil del Estado del México no vulnera el principio de irretroactividad de la ley contenido en el artículo 14 constitucional. Último párrafo</w:t>
      </w:r>
    </w:p>
    <w:p w14:paraId="16FE4D42" w14:textId="6B5539F2" w:rsidR="00FE2B43" w:rsidRPr="00FE2B43" w:rsidRDefault="00FE2B43">
      <w:pPr>
        <w:pStyle w:val="Textonotapie"/>
        <w:rPr>
          <w:lang w:val="es-MX"/>
        </w:rPr>
      </w:pPr>
    </w:p>
  </w:footnote>
  <w:footnote w:id="6">
    <w:p w14:paraId="0047562B" w14:textId="7F73C4E7" w:rsidR="00310FFC" w:rsidRPr="00310FFC" w:rsidRDefault="00310FFC">
      <w:pPr>
        <w:pStyle w:val="Textonotapie"/>
        <w:rPr>
          <w:lang w:val="es-MX"/>
        </w:rPr>
      </w:pPr>
      <w:r>
        <w:rPr>
          <w:rStyle w:val="Refdenotaalpie"/>
        </w:rPr>
        <w:footnoteRef/>
      </w:r>
      <w:r>
        <w:t xml:space="preserve"> </w:t>
      </w:r>
      <w:r>
        <w:rPr>
          <w:lang w:val="es-MX"/>
        </w:rPr>
        <w:t>Amparo directo en revisión 597/2014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324" w14:textId="77777777" w:rsidR="00A0173F" w:rsidRPr="00A739FE" w:rsidRDefault="00A0173F"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14:paraId="55BBAFCF" w14:textId="77777777" w:rsidR="00A0173F" w:rsidRPr="00450450" w:rsidRDefault="00A0173F" w:rsidP="007C6780">
    <w:pPr>
      <w:pStyle w:val="Encabezado"/>
      <w:jc w:val="center"/>
      <w:rPr>
        <w:rFonts w:ascii="Arial" w:hAnsi="Arial" w:cs="Arial"/>
        <w:b/>
        <w:sz w:val="20"/>
        <w:szCs w:val="20"/>
      </w:rPr>
    </w:pPr>
  </w:p>
  <w:p w14:paraId="1C5468F9" w14:textId="77777777" w:rsidR="00A0173F" w:rsidRPr="0091427A" w:rsidRDefault="00A0173F"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A0173F" w:rsidRPr="0091427A" w:rsidRDefault="00A0173F"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A0173F" w:rsidRDefault="00A0173F" w:rsidP="007C6780">
    <w:pPr>
      <w:pStyle w:val="Encabezado"/>
      <w:jc w:val="right"/>
      <w:rPr>
        <w:rFonts w:ascii="Century Gothic" w:hAnsi="Century Gothic"/>
        <w:b/>
      </w:rPr>
    </w:pPr>
  </w:p>
  <w:p w14:paraId="44175D43" w14:textId="1566D183" w:rsidR="00A0173F" w:rsidRDefault="00A0173F" w:rsidP="00621915">
    <w:pPr>
      <w:pStyle w:val="Encabezado"/>
      <w:jc w:val="right"/>
      <w:rPr>
        <w:rFonts w:ascii="Century Gothic" w:hAnsi="Century Gothic"/>
        <w:b/>
      </w:rPr>
    </w:pPr>
    <w:r>
      <w:rPr>
        <w:rFonts w:ascii="Century Gothic" w:hAnsi="Century Gothic"/>
        <w:b/>
      </w:rPr>
      <w:t>DCJ/00</w:t>
    </w:r>
    <w:r w:rsidR="00E76BF4">
      <w:rPr>
        <w:rFonts w:ascii="Century Gothic" w:hAnsi="Century Gothic"/>
        <w:b/>
      </w:rPr>
      <w:t>7</w:t>
    </w:r>
    <w:r>
      <w:rPr>
        <w:rFonts w:ascii="Century Gothic" w:hAnsi="Century Gothic"/>
        <w:b/>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759D0"/>
    <w:multiLevelType w:val="hybridMultilevel"/>
    <w:tmpl w:val="2140D6CE"/>
    <w:lvl w:ilvl="0" w:tplc="D83AB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33A1D"/>
    <w:multiLevelType w:val="hybridMultilevel"/>
    <w:tmpl w:val="5096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AD39C7"/>
    <w:multiLevelType w:val="hybridMultilevel"/>
    <w:tmpl w:val="EA4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5746B"/>
    <w:multiLevelType w:val="hybridMultilevel"/>
    <w:tmpl w:val="22C2B584"/>
    <w:lvl w:ilvl="0" w:tplc="A8347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15A02"/>
    <w:multiLevelType w:val="hybridMultilevel"/>
    <w:tmpl w:val="6492D272"/>
    <w:lvl w:ilvl="0" w:tplc="B3D6C6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6"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8B5017"/>
    <w:multiLevelType w:val="hybridMultilevel"/>
    <w:tmpl w:val="1256CE08"/>
    <w:lvl w:ilvl="0" w:tplc="801C432C">
      <w:start w:val="1"/>
      <w:numFmt w:val="upperRoman"/>
      <w:lvlText w:val="%1."/>
      <w:lvlJc w:val="left"/>
      <w:pPr>
        <w:ind w:left="1684" w:hanging="975"/>
      </w:pPr>
      <w:rPr>
        <w:rFonts w:hint="default"/>
        <w:b/>
        <w:sz w:val="3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6A511D"/>
    <w:multiLevelType w:val="hybridMultilevel"/>
    <w:tmpl w:val="2C981CBA"/>
    <w:lvl w:ilvl="0" w:tplc="BEF8A26A">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6" w15:restartNumberingAfterBreak="0">
    <w:nsid w:val="5C5A3EF0"/>
    <w:multiLevelType w:val="hybridMultilevel"/>
    <w:tmpl w:val="863E866E"/>
    <w:lvl w:ilvl="0" w:tplc="72EAD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FA7393"/>
    <w:multiLevelType w:val="hybridMultilevel"/>
    <w:tmpl w:val="F9EA28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3" w15:restartNumberingAfterBreak="0">
    <w:nsid w:val="6DB61D7E"/>
    <w:multiLevelType w:val="hybridMultilevel"/>
    <w:tmpl w:val="A79C9966"/>
    <w:lvl w:ilvl="0" w:tplc="9DF2D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337C68"/>
    <w:multiLevelType w:val="multilevel"/>
    <w:tmpl w:val="E1809B40"/>
    <w:numStyleLink w:val="Estilo1"/>
  </w:abstractNum>
  <w:abstractNum w:abstractNumId="42"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42"/>
  </w:num>
  <w:num w:numId="3">
    <w:abstractNumId w:val="14"/>
  </w:num>
  <w:num w:numId="4">
    <w:abstractNumId w:val="21"/>
  </w:num>
  <w:num w:numId="5">
    <w:abstractNumId w:val="7"/>
  </w:num>
  <w:num w:numId="6">
    <w:abstractNumId w:val="41"/>
  </w:num>
  <w:num w:numId="7">
    <w:abstractNumId w:val="15"/>
  </w:num>
  <w:num w:numId="8">
    <w:abstractNumId w:val="34"/>
  </w:num>
  <w:num w:numId="9">
    <w:abstractNumId w:val="20"/>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40"/>
  </w:num>
  <w:num w:numId="13">
    <w:abstractNumId w:val="3"/>
  </w:num>
  <w:num w:numId="14">
    <w:abstractNumId w:val="32"/>
  </w:num>
  <w:num w:numId="15">
    <w:abstractNumId w:val="9"/>
  </w:num>
  <w:num w:numId="16">
    <w:abstractNumId w:val="2"/>
  </w:num>
  <w:num w:numId="17">
    <w:abstractNumId w:val="22"/>
  </w:num>
  <w:num w:numId="18">
    <w:abstractNumId w:val="31"/>
  </w:num>
  <w:num w:numId="19">
    <w:abstractNumId w:val="11"/>
  </w:num>
  <w:num w:numId="20">
    <w:abstractNumId w:val="38"/>
  </w:num>
  <w:num w:numId="21">
    <w:abstractNumId w:val="23"/>
  </w:num>
  <w:num w:numId="22">
    <w:abstractNumId w:val="36"/>
  </w:num>
  <w:num w:numId="23">
    <w:abstractNumId w:val="39"/>
  </w:num>
  <w:num w:numId="24">
    <w:abstractNumId w:val="17"/>
  </w:num>
  <w:num w:numId="25">
    <w:abstractNumId w:val="5"/>
  </w:num>
  <w:num w:numId="26">
    <w:abstractNumId w:val="12"/>
  </w:num>
  <w:num w:numId="27">
    <w:abstractNumId w:val="8"/>
  </w:num>
  <w:num w:numId="28">
    <w:abstractNumId w:val="18"/>
  </w:num>
  <w:num w:numId="29">
    <w:abstractNumId w:val="28"/>
  </w:num>
  <w:num w:numId="30">
    <w:abstractNumId w:val="0"/>
  </w:num>
  <w:num w:numId="31">
    <w:abstractNumId w:val="35"/>
  </w:num>
  <w:num w:numId="32">
    <w:abstractNumId w:val="24"/>
  </w:num>
  <w:num w:numId="33">
    <w:abstractNumId w:val="27"/>
  </w:num>
  <w:num w:numId="34">
    <w:abstractNumId w:val="37"/>
  </w:num>
  <w:num w:numId="35">
    <w:abstractNumId w:val="29"/>
  </w:num>
  <w:num w:numId="36">
    <w:abstractNumId w:val="30"/>
  </w:num>
  <w:num w:numId="37">
    <w:abstractNumId w:val="25"/>
  </w:num>
  <w:num w:numId="38">
    <w:abstractNumId w:val="26"/>
  </w:num>
  <w:num w:numId="39">
    <w:abstractNumId w:val="10"/>
  </w:num>
  <w:num w:numId="40">
    <w:abstractNumId w:val="33"/>
  </w:num>
  <w:num w:numId="41">
    <w:abstractNumId w:val="6"/>
  </w:num>
  <w:num w:numId="42">
    <w:abstractNumId w:val="4"/>
  </w:num>
  <w:num w:numId="43">
    <w:abstractNumId w:val="1"/>
  </w:num>
  <w:num w:numId="44">
    <w:abstractNumId w:val="1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2DE"/>
    <w:rsid w:val="000119FD"/>
    <w:rsid w:val="000133EF"/>
    <w:rsid w:val="00014A86"/>
    <w:rsid w:val="00022EC4"/>
    <w:rsid w:val="00026077"/>
    <w:rsid w:val="00030F31"/>
    <w:rsid w:val="00031568"/>
    <w:rsid w:val="00036145"/>
    <w:rsid w:val="00037019"/>
    <w:rsid w:val="000429E1"/>
    <w:rsid w:val="00042BE2"/>
    <w:rsid w:val="00043CA6"/>
    <w:rsid w:val="00051AB5"/>
    <w:rsid w:val="00051D9C"/>
    <w:rsid w:val="0005404A"/>
    <w:rsid w:val="000556C9"/>
    <w:rsid w:val="00056BA9"/>
    <w:rsid w:val="00057FD5"/>
    <w:rsid w:val="00060A1D"/>
    <w:rsid w:val="00064D71"/>
    <w:rsid w:val="00066693"/>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C06B6"/>
    <w:rsid w:val="000C2791"/>
    <w:rsid w:val="000C2DAC"/>
    <w:rsid w:val="000D022B"/>
    <w:rsid w:val="000D50DC"/>
    <w:rsid w:val="000E399D"/>
    <w:rsid w:val="000E40B2"/>
    <w:rsid w:val="000E607A"/>
    <w:rsid w:val="000F053C"/>
    <w:rsid w:val="000F44C0"/>
    <w:rsid w:val="000F4F41"/>
    <w:rsid w:val="000F51B0"/>
    <w:rsid w:val="000F70D0"/>
    <w:rsid w:val="000F76C9"/>
    <w:rsid w:val="00100C26"/>
    <w:rsid w:val="00101D85"/>
    <w:rsid w:val="00104C3C"/>
    <w:rsid w:val="00110C51"/>
    <w:rsid w:val="001125B9"/>
    <w:rsid w:val="0011350B"/>
    <w:rsid w:val="00116DFF"/>
    <w:rsid w:val="00120612"/>
    <w:rsid w:val="00122AFC"/>
    <w:rsid w:val="001316AF"/>
    <w:rsid w:val="00134515"/>
    <w:rsid w:val="0013500E"/>
    <w:rsid w:val="001362B8"/>
    <w:rsid w:val="001419EB"/>
    <w:rsid w:val="00141A70"/>
    <w:rsid w:val="0014239A"/>
    <w:rsid w:val="00144D96"/>
    <w:rsid w:val="00145872"/>
    <w:rsid w:val="00146091"/>
    <w:rsid w:val="00147529"/>
    <w:rsid w:val="001501B3"/>
    <w:rsid w:val="00150BF4"/>
    <w:rsid w:val="00151ACF"/>
    <w:rsid w:val="00152BDB"/>
    <w:rsid w:val="00152C67"/>
    <w:rsid w:val="001535B1"/>
    <w:rsid w:val="0015471C"/>
    <w:rsid w:val="0015696D"/>
    <w:rsid w:val="001625AC"/>
    <w:rsid w:val="00163502"/>
    <w:rsid w:val="00163B54"/>
    <w:rsid w:val="00163B7D"/>
    <w:rsid w:val="00165C38"/>
    <w:rsid w:val="00166858"/>
    <w:rsid w:val="001716FD"/>
    <w:rsid w:val="00172105"/>
    <w:rsid w:val="001750A1"/>
    <w:rsid w:val="00175BEB"/>
    <w:rsid w:val="0018294E"/>
    <w:rsid w:val="00190E37"/>
    <w:rsid w:val="001933D0"/>
    <w:rsid w:val="001938C1"/>
    <w:rsid w:val="00195117"/>
    <w:rsid w:val="001955AE"/>
    <w:rsid w:val="001955ED"/>
    <w:rsid w:val="00197FC0"/>
    <w:rsid w:val="001A19BF"/>
    <w:rsid w:val="001A3CCD"/>
    <w:rsid w:val="001A5B6C"/>
    <w:rsid w:val="001A7A08"/>
    <w:rsid w:val="001B1AAA"/>
    <w:rsid w:val="001B2385"/>
    <w:rsid w:val="001B720D"/>
    <w:rsid w:val="001C11BC"/>
    <w:rsid w:val="001C3E49"/>
    <w:rsid w:val="001C4EF4"/>
    <w:rsid w:val="001C7DC8"/>
    <w:rsid w:val="001C7E9B"/>
    <w:rsid w:val="001C7F07"/>
    <w:rsid w:val="001D18E0"/>
    <w:rsid w:val="001D2554"/>
    <w:rsid w:val="001D44E1"/>
    <w:rsid w:val="001E56B3"/>
    <w:rsid w:val="001E58B7"/>
    <w:rsid w:val="001F1ECF"/>
    <w:rsid w:val="0020030B"/>
    <w:rsid w:val="00201247"/>
    <w:rsid w:val="002025F6"/>
    <w:rsid w:val="00202A20"/>
    <w:rsid w:val="00202FAB"/>
    <w:rsid w:val="002128DC"/>
    <w:rsid w:val="00232854"/>
    <w:rsid w:val="00232FC2"/>
    <w:rsid w:val="00234E7F"/>
    <w:rsid w:val="002364BE"/>
    <w:rsid w:val="00236583"/>
    <w:rsid w:val="0023737C"/>
    <w:rsid w:val="002377E1"/>
    <w:rsid w:val="002409EA"/>
    <w:rsid w:val="002420D3"/>
    <w:rsid w:val="00245BFF"/>
    <w:rsid w:val="00246F9A"/>
    <w:rsid w:val="0025380B"/>
    <w:rsid w:val="002540ED"/>
    <w:rsid w:val="002556F6"/>
    <w:rsid w:val="00267943"/>
    <w:rsid w:val="0027160A"/>
    <w:rsid w:val="0027206F"/>
    <w:rsid w:val="00273927"/>
    <w:rsid w:val="0027447C"/>
    <w:rsid w:val="002749FB"/>
    <w:rsid w:val="0027784E"/>
    <w:rsid w:val="00277CA8"/>
    <w:rsid w:val="00282246"/>
    <w:rsid w:val="00287728"/>
    <w:rsid w:val="00287930"/>
    <w:rsid w:val="00297E7A"/>
    <w:rsid w:val="002A1151"/>
    <w:rsid w:val="002A3572"/>
    <w:rsid w:val="002A534A"/>
    <w:rsid w:val="002A578A"/>
    <w:rsid w:val="002A5852"/>
    <w:rsid w:val="002A799F"/>
    <w:rsid w:val="002B1DBD"/>
    <w:rsid w:val="002B3040"/>
    <w:rsid w:val="002B4E13"/>
    <w:rsid w:val="002B6B7F"/>
    <w:rsid w:val="002B710B"/>
    <w:rsid w:val="002C16A8"/>
    <w:rsid w:val="002C38F9"/>
    <w:rsid w:val="002C3D19"/>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0FFC"/>
    <w:rsid w:val="003123AE"/>
    <w:rsid w:val="00314CD4"/>
    <w:rsid w:val="00315537"/>
    <w:rsid w:val="00316196"/>
    <w:rsid w:val="003167C5"/>
    <w:rsid w:val="00320670"/>
    <w:rsid w:val="0032260F"/>
    <w:rsid w:val="00323399"/>
    <w:rsid w:val="00323DC4"/>
    <w:rsid w:val="00324264"/>
    <w:rsid w:val="003269F3"/>
    <w:rsid w:val="00327059"/>
    <w:rsid w:val="00331CBA"/>
    <w:rsid w:val="00335252"/>
    <w:rsid w:val="00335E88"/>
    <w:rsid w:val="00346C62"/>
    <w:rsid w:val="00347940"/>
    <w:rsid w:val="00347E26"/>
    <w:rsid w:val="00352F37"/>
    <w:rsid w:val="00354620"/>
    <w:rsid w:val="00356B4E"/>
    <w:rsid w:val="0035713A"/>
    <w:rsid w:val="00357185"/>
    <w:rsid w:val="00357F2C"/>
    <w:rsid w:val="003629CC"/>
    <w:rsid w:val="00363C1C"/>
    <w:rsid w:val="0037265C"/>
    <w:rsid w:val="003751B7"/>
    <w:rsid w:val="00376DBD"/>
    <w:rsid w:val="00380BCB"/>
    <w:rsid w:val="00386C7D"/>
    <w:rsid w:val="00391766"/>
    <w:rsid w:val="00392891"/>
    <w:rsid w:val="003A19FF"/>
    <w:rsid w:val="003A218E"/>
    <w:rsid w:val="003A2630"/>
    <w:rsid w:val="003A2E95"/>
    <w:rsid w:val="003A3242"/>
    <w:rsid w:val="003A5C7B"/>
    <w:rsid w:val="003A627F"/>
    <w:rsid w:val="003B10E3"/>
    <w:rsid w:val="003B2B39"/>
    <w:rsid w:val="003B56D7"/>
    <w:rsid w:val="003B7091"/>
    <w:rsid w:val="003C2048"/>
    <w:rsid w:val="003C53C1"/>
    <w:rsid w:val="003D1450"/>
    <w:rsid w:val="003D452D"/>
    <w:rsid w:val="003E4467"/>
    <w:rsid w:val="003E44B8"/>
    <w:rsid w:val="003F07B2"/>
    <w:rsid w:val="003F2106"/>
    <w:rsid w:val="003F2951"/>
    <w:rsid w:val="003F33B7"/>
    <w:rsid w:val="003F626B"/>
    <w:rsid w:val="003F6D35"/>
    <w:rsid w:val="00401D97"/>
    <w:rsid w:val="0040279F"/>
    <w:rsid w:val="00403160"/>
    <w:rsid w:val="00404D0E"/>
    <w:rsid w:val="0040528B"/>
    <w:rsid w:val="00411B9E"/>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4585F"/>
    <w:rsid w:val="0044590F"/>
    <w:rsid w:val="00446C31"/>
    <w:rsid w:val="00447E47"/>
    <w:rsid w:val="00450C7A"/>
    <w:rsid w:val="00453EF8"/>
    <w:rsid w:val="00454505"/>
    <w:rsid w:val="004613AA"/>
    <w:rsid w:val="00467A10"/>
    <w:rsid w:val="00476ECF"/>
    <w:rsid w:val="00476FF2"/>
    <w:rsid w:val="00477AB3"/>
    <w:rsid w:val="00477C16"/>
    <w:rsid w:val="00484DD5"/>
    <w:rsid w:val="00485B62"/>
    <w:rsid w:val="0049512E"/>
    <w:rsid w:val="00495AAC"/>
    <w:rsid w:val="004A0470"/>
    <w:rsid w:val="004A17EA"/>
    <w:rsid w:val="004A236A"/>
    <w:rsid w:val="004A24F1"/>
    <w:rsid w:val="004A618D"/>
    <w:rsid w:val="004A78A7"/>
    <w:rsid w:val="004B2661"/>
    <w:rsid w:val="004B4059"/>
    <w:rsid w:val="004B66B8"/>
    <w:rsid w:val="004C0ACD"/>
    <w:rsid w:val="004C17AA"/>
    <w:rsid w:val="004C3B8D"/>
    <w:rsid w:val="004C4633"/>
    <w:rsid w:val="004D1BBB"/>
    <w:rsid w:val="004D1F18"/>
    <w:rsid w:val="004D2181"/>
    <w:rsid w:val="004D4DD0"/>
    <w:rsid w:val="004D51BD"/>
    <w:rsid w:val="004D5AB9"/>
    <w:rsid w:val="004D6E07"/>
    <w:rsid w:val="004D7595"/>
    <w:rsid w:val="004E1676"/>
    <w:rsid w:val="004E1878"/>
    <w:rsid w:val="004E3E97"/>
    <w:rsid w:val="004E44AD"/>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03E2"/>
    <w:rsid w:val="005332E5"/>
    <w:rsid w:val="00535D79"/>
    <w:rsid w:val="00537559"/>
    <w:rsid w:val="0053771D"/>
    <w:rsid w:val="00537A89"/>
    <w:rsid w:val="005403EE"/>
    <w:rsid w:val="00540B8F"/>
    <w:rsid w:val="00540FBB"/>
    <w:rsid w:val="00542C35"/>
    <w:rsid w:val="0054378B"/>
    <w:rsid w:val="005506D5"/>
    <w:rsid w:val="005525CC"/>
    <w:rsid w:val="00555A2D"/>
    <w:rsid w:val="005573BF"/>
    <w:rsid w:val="00557E52"/>
    <w:rsid w:val="00564841"/>
    <w:rsid w:val="005650E4"/>
    <w:rsid w:val="00565B1C"/>
    <w:rsid w:val="005732B8"/>
    <w:rsid w:val="00575458"/>
    <w:rsid w:val="0058079D"/>
    <w:rsid w:val="00582411"/>
    <w:rsid w:val="0058436F"/>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3093"/>
    <w:rsid w:val="00603228"/>
    <w:rsid w:val="00603F48"/>
    <w:rsid w:val="00604DD4"/>
    <w:rsid w:val="00606A8D"/>
    <w:rsid w:val="0061375E"/>
    <w:rsid w:val="00613794"/>
    <w:rsid w:val="00616768"/>
    <w:rsid w:val="00621135"/>
    <w:rsid w:val="0062121E"/>
    <w:rsid w:val="00621915"/>
    <w:rsid w:val="00626CA9"/>
    <w:rsid w:val="00633E8E"/>
    <w:rsid w:val="00635B02"/>
    <w:rsid w:val="00635F77"/>
    <w:rsid w:val="00636CDA"/>
    <w:rsid w:val="0064149F"/>
    <w:rsid w:val="00642AA1"/>
    <w:rsid w:val="00645895"/>
    <w:rsid w:val="006460F1"/>
    <w:rsid w:val="00654E49"/>
    <w:rsid w:val="006614FD"/>
    <w:rsid w:val="00661958"/>
    <w:rsid w:val="0066252E"/>
    <w:rsid w:val="006639C8"/>
    <w:rsid w:val="0066423A"/>
    <w:rsid w:val="00666235"/>
    <w:rsid w:val="0067333E"/>
    <w:rsid w:val="00673499"/>
    <w:rsid w:val="00673673"/>
    <w:rsid w:val="006740B7"/>
    <w:rsid w:val="006740DE"/>
    <w:rsid w:val="0067413F"/>
    <w:rsid w:val="00674CD6"/>
    <w:rsid w:val="00680EF3"/>
    <w:rsid w:val="0068314B"/>
    <w:rsid w:val="00683FAE"/>
    <w:rsid w:val="00685F55"/>
    <w:rsid w:val="00691D0B"/>
    <w:rsid w:val="006950C0"/>
    <w:rsid w:val="006976BE"/>
    <w:rsid w:val="006A071E"/>
    <w:rsid w:val="006A3F99"/>
    <w:rsid w:val="006A55EA"/>
    <w:rsid w:val="006A5C70"/>
    <w:rsid w:val="006B1047"/>
    <w:rsid w:val="006B3B0A"/>
    <w:rsid w:val="006C391B"/>
    <w:rsid w:val="006C3CD3"/>
    <w:rsid w:val="006C426B"/>
    <w:rsid w:val="006C4599"/>
    <w:rsid w:val="006D3D3F"/>
    <w:rsid w:val="006D68A5"/>
    <w:rsid w:val="006D7339"/>
    <w:rsid w:val="006D7C50"/>
    <w:rsid w:val="006E443C"/>
    <w:rsid w:val="006E48A4"/>
    <w:rsid w:val="006E6EDF"/>
    <w:rsid w:val="006F1822"/>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1FF1"/>
    <w:rsid w:val="00734E9C"/>
    <w:rsid w:val="00741892"/>
    <w:rsid w:val="007422ED"/>
    <w:rsid w:val="007428DB"/>
    <w:rsid w:val="00743151"/>
    <w:rsid w:val="0074643A"/>
    <w:rsid w:val="00750F23"/>
    <w:rsid w:val="00751959"/>
    <w:rsid w:val="00755739"/>
    <w:rsid w:val="007576C2"/>
    <w:rsid w:val="007577FA"/>
    <w:rsid w:val="00763234"/>
    <w:rsid w:val="00763F74"/>
    <w:rsid w:val="00765493"/>
    <w:rsid w:val="00765507"/>
    <w:rsid w:val="00767666"/>
    <w:rsid w:val="007723A0"/>
    <w:rsid w:val="007732B2"/>
    <w:rsid w:val="007768F7"/>
    <w:rsid w:val="00776C4D"/>
    <w:rsid w:val="00782883"/>
    <w:rsid w:val="00782A35"/>
    <w:rsid w:val="00783558"/>
    <w:rsid w:val="0078362A"/>
    <w:rsid w:val="00783820"/>
    <w:rsid w:val="00787F8E"/>
    <w:rsid w:val="007907DB"/>
    <w:rsid w:val="00793B76"/>
    <w:rsid w:val="00796EDF"/>
    <w:rsid w:val="007A061C"/>
    <w:rsid w:val="007A07E7"/>
    <w:rsid w:val="007A3C7B"/>
    <w:rsid w:val="007A6216"/>
    <w:rsid w:val="007A6523"/>
    <w:rsid w:val="007B4563"/>
    <w:rsid w:val="007B6D66"/>
    <w:rsid w:val="007C1866"/>
    <w:rsid w:val="007C187F"/>
    <w:rsid w:val="007C1922"/>
    <w:rsid w:val="007C2D7D"/>
    <w:rsid w:val="007C4279"/>
    <w:rsid w:val="007C5121"/>
    <w:rsid w:val="007C5D3A"/>
    <w:rsid w:val="007C6780"/>
    <w:rsid w:val="007D3BD2"/>
    <w:rsid w:val="007D676D"/>
    <w:rsid w:val="007D6990"/>
    <w:rsid w:val="007E2B04"/>
    <w:rsid w:val="007E711E"/>
    <w:rsid w:val="007E7F92"/>
    <w:rsid w:val="007F1F8F"/>
    <w:rsid w:val="007F28C2"/>
    <w:rsid w:val="007F420C"/>
    <w:rsid w:val="007F4C63"/>
    <w:rsid w:val="007F6482"/>
    <w:rsid w:val="008007F8"/>
    <w:rsid w:val="00800A6D"/>
    <w:rsid w:val="008014D2"/>
    <w:rsid w:val="0080281B"/>
    <w:rsid w:val="00804E5D"/>
    <w:rsid w:val="00806205"/>
    <w:rsid w:val="008104AD"/>
    <w:rsid w:val="0082101A"/>
    <w:rsid w:val="0083194E"/>
    <w:rsid w:val="00834453"/>
    <w:rsid w:val="0083549E"/>
    <w:rsid w:val="00835C67"/>
    <w:rsid w:val="00836776"/>
    <w:rsid w:val="00836838"/>
    <w:rsid w:val="00837BE8"/>
    <w:rsid w:val="008407B8"/>
    <w:rsid w:val="00842A89"/>
    <w:rsid w:val="00843D8A"/>
    <w:rsid w:val="0084460D"/>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4757"/>
    <w:rsid w:val="008748CD"/>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461"/>
    <w:rsid w:val="008C19D6"/>
    <w:rsid w:val="008C5C9D"/>
    <w:rsid w:val="008C64DA"/>
    <w:rsid w:val="008D3A78"/>
    <w:rsid w:val="008D6F45"/>
    <w:rsid w:val="008D70F5"/>
    <w:rsid w:val="008E09E0"/>
    <w:rsid w:val="008E267B"/>
    <w:rsid w:val="008E3D0C"/>
    <w:rsid w:val="008E3E5E"/>
    <w:rsid w:val="008E521E"/>
    <w:rsid w:val="008E5D49"/>
    <w:rsid w:val="008E66B7"/>
    <w:rsid w:val="008E672D"/>
    <w:rsid w:val="008F021D"/>
    <w:rsid w:val="008F251B"/>
    <w:rsid w:val="008F3D11"/>
    <w:rsid w:val="00903A9D"/>
    <w:rsid w:val="00906D2D"/>
    <w:rsid w:val="009103FD"/>
    <w:rsid w:val="00913B0B"/>
    <w:rsid w:val="0091427A"/>
    <w:rsid w:val="00915B00"/>
    <w:rsid w:val="00917BA4"/>
    <w:rsid w:val="009235AB"/>
    <w:rsid w:val="00925EF3"/>
    <w:rsid w:val="009261EF"/>
    <w:rsid w:val="00927BEC"/>
    <w:rsid w:val="00927E51"/>
    <w:rsid w:val="00943066"/>
    <w:rsid w:val="00944602"/>
    <w:rsid w:val="00944928"/>
    <w:rsid w:val="00945843"/>
    <w:rsid w:val="009466AE"/>
    <w:rsid w:val="00946E99"/>
    <w:rsid w:val="00950879"/>
    <w:rsid w:val="009515A0"/>
    <w:rsid w:val="0095240E"/>
    <w:rsid w:val="009534A4"/>
    <w:rsid w:val="00955B5C"/>
    <w:rsid w:val="00960839"/>
    <w:rsid w:val="00961AAC"/>
    <w:rsid w:val="0096282B"/>
    <w:rsid w:val="00962F8F"/>
    <w:rsid w:val="009630E9"/>
    <w:rsid w:val="00963B0C"/>
    <w:rsid w:val="009648FD"/>
    <w:rsid w:val="009677F2"/>
    <w:rsid w:val="009705BC"/>
    <w:rsid w:val="00970683"/>
    <w:rsid w:val="00971A44"/>
    <w:rsid w:val="00972B2E"/>
    <w:rsid w:val="00973E0B"/>
    <w:rsid w:val="00974307"/>
    <w:rsid w:val="00977A67"/>
    <w:rsid w:val="00983A5B"/>
    <w:rsid w:val="00985CF0"/>
    <w:rsid w:val="0099513F"/>
    <w:rsid w:val="00995192"/>
    <w:rsid w:val="009953A4"/>
    <w:rsid w:val="00995FD4"/>
    <w:rsid w:val="009A6BD6"/>
    <w:rsid w:val="009B067E"/>
    <w:rsid w:val="009B1912"/>
    <w:rsid w:val="009C45F1"/>
    <w:rsid w:val="009C6EF9"/>
    <w:rsid w:val="009D1950"/>
    <w:rsid w:val="009D7E85"/>
    <w:rsid w:val="009E2813"/>
    <w:rsid w:val="009E33A2"/>
    <w:rsid w:val="009E46FF"/>
    <w:rsid w:val="009F0267"/>
    <w:rsid w:val="009F4BA3"/>
    <w:rsid w:val="009F792D"/>
    <w:rsid w:val="00A00639"/>
    <w:rsid w:val="00A00C35"/>
    <w:rsid w:val="00A0173F"/>
    <w:rsid w:val="00A01BDA"/>
    <w:rsid w:val="00A03B35"/>
    <w:rsid w:val="00A0597D"/>
    <w:rsid w:val="00A07DBB"/>
    <w:rsid w:val="00A1082E"/>
    <w:rsid w:val="00A111CE"/>
    <w:rsid w:val="00A17271"/>
    <w:rsid w:val="00A23D77"/>
    <w:rsid w:val="00A24122"/>
    <w:rsid w:val="00A24FD5"/>
    <w:rsid w:val="00A268DA"/>
    <w:rsid w:val="00A355DD"/>
    <w:rsid w:val="00A35F1E"/>
    <w:rsid w:val="00A36F8A"/>
    <w:rsid w:val="00A40D80"/>
    <w:rsid w:val="00A420D5"/>
    <w:rsid w:val="00A44157"/>
    <w:rsid w:val="00A445BF"/>
    <w:rsid w:val="00A456FB"/>
    <w:rsid w:val="00A47EF9"/>
    <w:rsid w:val="00A52300"/>
    <w:rsid w:val="00A5362F"/>
    <w:rsid w:val="00A56B5B"/>
    <w:rsid w:val="00A6126E"/>
    <w:rsid w:val="00A642C1"/>
    <w:rsid w:val="00A65F2A"/>
    <w:rsid w:val="00A6646E"/>
    <w:rsid w:val="00A674F1"/>
    <w:rsid w:val="00A72A22"/>
    <w:rsid w:val="00A739FE"/>
    <w:rsid w:val="00A760F1"/>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7C2"/>
    <w:rsid w:val="00B379DA"/>
    <w:rsid w:val="00B40414"/>
    <w:rsid w:val="00B40D94"/>
    <w:rsid w:val="00B4377F"/>
    <w:rsid w:val="00B438AA"/>
    <w:rsid w:val="00B43B48"/>
    <w:rsid w:val="00B44334"/>
    <w:rsid w:val="00B46904"/>
    <w:rsid w:val="00B51325"/>
    <w:rsid w:val="00B55226"/>
    <w:rsid w:val="00B56B0C"/>
    <w:rsid w:val="00B61AC9"/>
    <w:rsid w:val="00B63E65"/>
    <w:rsid w:val="00B71574"/>
    <w:rsid w:val="00B71694"/>
    <w:rsid w:val="00B764D2"/>
    <w:rsid w:val="00B772FF"/>
    <w:rsid w:val="00B81167"/>
    <w:rsid w:val="00B81E5E"/>
    <w:rsid w:val="00B8591B"/>
    <w:rsid w:val="00B90391"/>
    <w:rsid w:val="00B931BD"/>
    <w:rsid w:val="00BA097D"/>
    <w:rsid w:val="00BA0D41"/>
    <w:rsid w:val="00BA5C59"/>
    <w:rsid w:val="00BB21CA"/>
    <w:rsid w:val="00BB4EFE"/>
    <w:rsid w:val="00BB5353"/>
    <w:rsid w:val="00BC19BA"/>
    <w:rsid w:val="00BC1AE7"/>
    <w:rsid w:val="00BC45F5"/>
    <w:rsid w:val="00BC4B29"/>
    <w:rsid w:val="00BC74F8"/>
    <w:rsid w:val="00BD2BB0"/>
    <w:rsid w:val="00BE1574"/>
    <w:rsid w:val="00BE2F8D"/>
    <w:rsid w:val="00BE5707"/>
    <w:rsid w:val="00BE5BE8"/>
    <w:rsid w:val="00BE7642"/>
    <w:rsid w:val="00BF13A9"/>
    <w:rsid w:val="00BF4CD4"/>
    <w:rsid w:val="00BF742D"/>
    <w:rsid w:val="00BF75BF"/>
    <w:rsid w:val="00C04469"/>
    <w:rsid w:val="00C052B1"/>
    <w:rsid w:val="00C074C6"/>
    <w:rsid w:val="00C07B0F"/>
    <w:rsid w:val="00C15903"/>
    <w:rsid w:val="00C16AE7"/>
    <w:rsid w:val="00C200F0"/>
    <w:rsid w:val="00C20164"/>
    <w:rsid w:val="00C2243D"/>
    <w:rsid w:val="00C22EE1"/>
    <w:rsid w:val="00C23781"/>
    <w:rsid w:val="00C23E70"/>
    <w:rsid w:val="00C240D3"/>
    <w:rsid w:val="00C27AE9"/>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26AE"/>
    <w:rsid w:val="00C72957"/>
    <w:rsid w:val="00C73F68"/>
    <w:rsid w:val="00C751F2"/>
    <w:rsid w:val="00C75F4F"/>
    <w:rsid w:val="00C8082C"/>
    <w:rsid w:val="00C8606B"/>
    <w:rsid w:val="00C8625D"/>
    <w:rsid w:val="00C916DA"/>
    <w:rsid w:val="00C93D55"/>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F5F"/>
    <w:rsid w:val="00CD50DF"/>
    <w:rsid w:val="00CD733C"/>
    <w:rsid w:val="00CE2EB7"/>
    <w:rsid w:val="00CE6A09"/>
    <w:rsid w:val="00CF0676"/>
    <w:rsid w:val="00CF2AB0"/>
    <w:rsid w:val="00CF4297"/>
    <w:rsid w:val="00CF4D43"/>
    <w:rsid w:val="00CF675F"/>
    <w:rsid w:val="00CF6A53"/>
    <w:rsid w:val="00D01D6D"/>
    <w:rsid w:val="00D0485E"/>
    <w:rsid w:val="00D11159"/>
    <w:rsid w:val="00D120AD"/>
    <w:rsid w:val="00D14054"/>
    <w:rsid w:val="00D1447F"/>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F64"/>
    <w:rsid w:val="00D65F10"/>
    <w:rsid w:val="00D65F97"/>
    <w:rsid w:val="00D66472"/>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F1F"/>
    <w:rsid w:val="00DB0B91"/>
    <w:rsid w:val="00DB3799"/>
    <w:rsid w:val="00DB40DF"/>
    <w:rsid w:val="00DC1740"/>
    <w:rsid w:val="00DC1F31"/>
    <w:rsid w:val="00DC65C4"/>
    <w:rsid w:val="00DD42AA"/>
    <w:rsid w:val="00DD683C"/>
    <w:rsid w:val="00DE0AA2"/>
    <w:rsid w:val="00DE0F12"/>
    <w:rsid w:val="00DE142E"/>
    <w:rsid w:val="00DE27C1"/>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534C"/>
    <w:rsid w:val="00E15B2E"/>
    <w:rsid w:val="00E16FDF"/>
    <w:rsid w:val="00E1713E"/>
    <w:rsid w:val="00E17F42"/>
    <w:rsid w:val="00E21F45"/>
    <w:rsid w:val="00E249F1"/>
    <w:rsid w:val="00E25FD9"/>
    <w:rsid w:val="00E26A94"/>
    <w:rsid w:val="00E27837"/>
    <w:rsid w:val="00E42FA0"/>
    <w:rsid w:val="00E4354A"/>
    <w:rsid w:val="00E46D70"/>
    <w:rsid w:val="00E47989"/>
    <w:rsid w:val="00E47FCD"/>
    <w:rsid w:val="00E512AA"/>
    <w:rsid w:val="00E517B0"/>
    <w:rsid w:val="00E5196C"/>
    <w:rsid w:val="00E52DCF"/>
    <w:rsid w:val="00E56383"/>
    <w:rsid w:val="00E6335A"/>
    <w:rsid w:val="00E63B43"/>
    <w:rsid w:val="00E660BF"/>
    <w:rsid w:val="00E7120C"/>
    <w:rsid w:val="00E7322D"/>
    <w:rsid w:val="00E73362"/>
    <w:rsid w:val="00E75C44"/>
    <w:rsid w:val="00E768BF"/>
    <w:rsid w:val="00E76BF4"/>
    <w:rsid w:val="00E80D9F"/>
    <w:rsid w:val="00E82168"/>
    <w:rsid w:val="00E8302C"/>
    <w:rsid w:val="00E83F16"/>
    <w:rsid w:val="00E86014"/>
    <w:rsid w:val="00E86620"/>
    <w:rsid w:val="00E8696D"/>
    <w:rsid w:val="00E87959"/>
    <w:rsid w:val="00EA663F"/>
    <w:rsid w:val="00EA74F4"/>
    <w:rsid w:val="00EB42BD"/>
    <w:rsid w:val="00EB5F1C"/>
    <w:rsid w:val="00EC291E"/>
    <w:rsid w:val="00ED048B"/>
    <w:rsid w:val="00ED28E2"/>
    <w:rsid w:val="00ED2D1E"/>
    <w:rsid w:val="00ED35E7"/>
    <w:rsid w:val="00ED428B"/>
    <w:rsid w:val="00EE1E10"/>
    <w:rsid w:val="00EE2584"/>
    <w:rsid w:val="00EE2D91"/>
    <w:rsid w:val="00EE3CAB"/>
    <w:rsid w:val="00EE4E4F"/>
    <w:rsid w:val="00EE749C"/>
    <w:rsid w:val="00EE7B53"/>
    <w:rsid w:val="00EF5CC2"/>
    <w:rsid w:val="00F0015D"/>
    <w:rsid w:val="00F00F51"/>
    <w:rsid w:val="00F01515"/>
    <w:rsid w:val="00F0156B"/>
    <w:rsid w:val="00F049E2"/>
    <w:rsid w:val="00F063D9"/>
    <w:rsid w:val="00F103C6"/>
    <w:rsid w:val="00F1142F"/>
    <w:rsid w:val="00F11658"/>
    <w:rsid w:val="00F11D38"/>
    <w:rsid w:val="00F13633"/>
    <w:rsid w:val="00F14EDA"/>
    <w:rsid w:val="00F15509"/>
    <w:rsid w:val="00F206A2"/>
    <w:rsid w:val="00F217AA"/>
    <w:rsid w:val="00F21EC8"/>
    <w:rsid w:val="00F26641"/>
    <w:rsid w:val="00F30C66"/>
    <w:rsid w:val="00F32C54"/>
    <w:rsid w:val="00F33CFF"/>
    <w:rsid w:val="00F45E8E"/>
    <w:rsid w:val="00F4622F"/>
    <w:rsid w:val="00F47E24"/>
    <w:rsid w:val="00F53E64"/>
    <w:rsid w:val="00F614A1"/>
    <w:rsid w:val="00F736ED"/>
    <w:rsid w:val="00F7750D"/>
    <w:rsid w:val="00F80D64"/>
    <w:rsid w:val="00F8157D"/>
    <w:rsid w:val="00F8469E"/>
    <w:rsid w:val="00F90945"/>
    <w:rsid w:val="00F91FEA"/>
    <w:rsid w:val="00F92C06"/>
    <w:rsid w:val="00FA0304"/>
    <w:rsid w:val="00FA1A9F"/>
    <w:rsid w:val="00FA442D"/>
    <w:rsid w:val="00FA5113"/>
    <w:rsid w:val="00FA75B4"/>
    <w:rsid w:val="00FB4239"/>
    <w:rsid w:val="00FB6502"/>
    <w:rsid w:val="00FB687E"/>
    <w:rsid w:val="00FC03D5"/>
    <w:rsid w:val="00FC0690"/>
    <w:rsid w:val="00FC22A0"/>
    <w:rsid w:val="00FC48FC"/>
    <w:rsid w:val="00FC5AD1"/>
    <w:rsid w:val="00FC5D29"/>
    <w:rsid w:val="00FC6AF8"/>
    <w:rsid w:val="00FD54D9"/>
    <w:rsid w:val="00FD55B1"/>
    <w:rsid w:val="00FE2B43"/>
    <w:rsid w:val="00FE4EDA"/>
    <w:rsid w:val="00FE5015"/>
    <w:rsid w:val="00FE51D9"/>
    <w:rsid w:val="00FE6791"/>
    <w:rsid w:val="00FE67CD"/>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BVI fnr"/>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UnresolvedMention">
    <w:name w:val="Unresolved Mention"/>
    <w:basedOn w:val="Fuentedeprrafopredeter"/>
    <w:uiPriority w:val="99"/>
    <w:semiHidden/>
    <w:unhideWhenUsed/>
    <w:rsid w:val="00526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A8582-67A8-49CF-96C7-C2A67356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20</Pages>
  <Words>3353</Words>
  <Characters>18442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Guillermo Trejo Neder</cp:lastModifiedBy>
  <cp:revision>7</cp:revision>
  <cp:lastPrinted>2022-03-10T17:58:00Z</cp:lastPrinted>
  <dcterms:created xsi:type="dcterms:W3CDTF">2022-05-09T18:24:00Z</dcterms:created>
  <dcterms:modified xsi:type="dcterms:W3CDTF">2022-05-24T22:26:00Z</dcterms:modified>
</cp:coreProperties>
</file>