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CC" w:rsidRPr="00AA2C7F"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6D373E">
        <w:rPr>
          <w:rFonts w:ascii="Century Gothic" w:eastAsia="Times New Roman" w:hAnsi="Century Gothic" w:cs="Times New Roman"/>
          <w:b/>
          <w:sz w:val="24"/>
          <w:szCs w:val="20"/>
          <w:lang w:val="es-ES" w:eastAsia="es-ES"/>
        </w:rPr>
        <w:t xml:space="preserve">H. CONGRESO DEL ESTADO </w:t>
      </w:r>
    </w:p>
    <w:p w:rsidR="004954CC" w:rsidRPr="00AA2C7F" w:rsidRDefault="004954CC" w:rsidP="004954CC">
      <w:pPr>
        <w:spacing w:after="0" w:line="360" w:lineRule="auto"/>
        <w:rPr>
          <w:rFonts w:ascii="Century Gothic" w:eastAsia="Calibri" w:hAnsi="Century Gothic" w:cs="Times New Roman"/>
          <w:b/>
          <w:sz w:val="24"/>
          <w:szCs w:val="24"/>
        </w:rPr>
      </w:pPr>
      <w:r w:rsidRPr="00AA2C7F">
        <w:rPr>
          <w:rFonts w:ascii="Century Gothic" w:eastAsia="Calibri" w:hAnsi="Century Gothic" w:cs="Times New Roman"/>
          <w:b/>
          <w:sz w:val="24"/>
          <w:szCs w:val="24"/>
        </w:rPr>
        <w:t>P</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R</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S</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N</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T</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 xml:space="preserve">E.- </w:t>
      </w:r>
    </w:p>
    <w:p w:rsidR="004954CC" w:rsidRPr="00AA2C7F" w:rsidRDefault="004954CC" w:rsidP="004954CC">
      <w:pPr>
        <w:spacing w:after="0" w:line="360" w:lineRule="auto"/>
        <w:jc w:val="both"/>
        <w:rPr>
          <w:rFonts w:ascii="Century Gothic" w:eastAsia="Calibri" w:hAnsi="Century Gothic" w:cs="Times New Roman"/>
          <w:b/>
          <w:sz w:val="24"/>
          <w:szCs w:val="24"/>
        </w:rPr>
      </w:pPr>
    </w:p>
    <w:p w:rsidR="004954CC" w:rsidRPr="00AA2C7F" w:rsidRDefault="00533EDD" w:rsidP="00AA2C7F">
      <w:pPr>
        <w:tabs>
          <w:tab w:val="center" w:pos="4252"/>
          <w:tab w:val="right" w:pos="8647"/>
        </w:tabs>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ab/>
      </w:r>
      <w:r w:rsidR="004954CC" w:rsidRPr="00AA2C7F">
        <w:rPr>
          <w:rFonts w:ascii="Century Gothic" w:eastAsia="Times New Roman" w:hAnsi="Century Gothic" w:cs="Arial"/>
          <w:sz w:val="24"/>
          <w:szCs w:val="24"/>
          <w:lang w:val="es-ES_tradnl" w:eastAsia="es-ES_tradnl"/>
        </w:rPr>
        <w:t xml:space="preserve">La </w:t>
      </w:r>
      <w:r w:rsidR="004954CC" w:rsidRPr="00AA2C7F">
        <w:rPr>
          <w:rFonts w:ascii="Century Gothic" w:eastAsia="Times New Roman" w:hAnsi="Century Gothic" w:cs="Arial"/>
          <w:sz w:val="24"/>
          <w:szCs w:val="24"/>
          <w:lang w:eastAsia="es-ES_tradnl"/>
        </w:rPr>
        <w:t xml:space="preserve">Comisión de </w:t>
      </w:r>
      <w:r w:rsidR="00074A46" w:rsidRPr="00AA2C7F">
        <w:rPr>
          <w:rFonts w:ascii="Century Gothic" w:eastAsia="Times New Roman" w:hAnsi="Century Gothic" w:cs="Arial"/>
          <w:sz w:val="24"/>
          <w:szCs w:val="24"/>
          <w:lang w:eastAsia="es-ES_tradnl"/>
        </w:rPr>
        <w:t>Salud</w:t>
      </w:r>
      <w:r w:rsidR="004954CC" w:rsidRPr="00AA2C7F">
        <w:rPr>
          <w:rFonts w:ascii="Century Gothic" w:eastAsia="Times New Roman" w:hAnsi="Century Gothic" w:cs="Arial"/>
          <w:sz w:val="24"/>
          <w:szCs w:val="24"/>
          <w:lang w:val="es-ES_tradnl" w:eastAsia="es-ES_tradnl"/>
        </w:rPr>
        <w:t>, con fundamento en lo disp</w:t>
      </w:r>
      <w:bookmarkStart w:id="0" w:name="_GoBack"/>
      <w:bookmarkEnd w:id="0"/>
      <w:r w:rsidR="004954CC" w:rsidRPr="00AA2C7F">
        <w:rPr>
          <w:rFonts w:ascii="Century Gothic" w:eastAsia="Times New Roman" w:hAnsi="Century Gothic" w:cs="Arial"/>
          <w:sz w:val="24"/>
          <w:szCs w:val="24"/>
          <w:lang w:val="es-ES_tradnl" w:eastAsia="es-ES_tradnl"/>
        </w:rPr>
        <w:t xml:space="preserve">uesto por los artículos </w:t>
      </w:r>
      <w:r w:rsidR="00E21897">
        <w:rPr>
          <w:rFonts w:ascii="Century Gothic" w:eastAsia="Times New Roman" w:hAnsi="Century Gothic" w:cs="Arial"/>
          <w:sz w:val="24"/>
          <w:szCs w:val="24"/>
          <w:lang w:val="es-ES_tradnl" w:eastAsia="es-ES_tradnl"/>
        </w:rPr>
        <w:t>57 y 58</w:t>
      </w:r>
      <w:r w:rsidR="001B135B">
        <w:rPr>
          <w:rFonts w:ascii="Century Gothic" w:eastAsia="Times New Roman" w:hAnsi="Century Gothic" w:cs="Arial"/>
          <w:sz w:val="24"/>
          <w:szCs w:val="24"/>
          <w:lang w:val="es-ES_tradnl" w:eastAsia="es-ES_tradnl"/>
        </w:rPr>
        <w:t xml:space="preserve"> </w:t>
      </w:r>
      <w:r w:rsidR="004954CC" w:rsidRPr="00AA2C7F">
        <w:rPr>
          <w:rFonts w:ascii="Century Gothic" w:eastAsia="Times New Roman" w:hAnsi="Century Gothic" w:cs="Arial"/>
          <w:sz w:val="24"/>
          <w:szCs w:val="24"/>
          <w:lang w:val="es-ES_tradnl" w:eastAsia="es-ES_tradnl"/>
        </w:rPr>
        <w:t>de la Constitución P</w:t>
      </w:r>
      <w:r w:rsidR="00E21897">
        <w:rPr>
          <w:rFonts w:ascii="Century Gothic" w:eastAsia="Times New Roman" w:hAnsi="Century Gothic" w:cs="Arial"/>
          <w:sz w:val="24"/>
          <w:szCs w:val="24"/>
          <w:lang w:val="es-ES_tradnl" w:eastAsia="es-ES_tradnl"/>
        </w:rPr>
        <w:t>olítica del Estado de Chihuahua;</w:t>
      </w:r>
      <w:r w:rsidR="004954CC" w:rsidRPr="00AA2C7F">
        <w:rPr>
          <w:rFonts w:ascii="Century Gothic" w:eastAsia="Times New Roman" w:hAnsi="Century Gothic" w:cs="Arial"/>
          <w:sz w:val="24"/>
          <w:szCs w:val="24"/>
          <w:lang w:val="es-ES_tradnl" w:eastAsia="es-ES_tradnl"/>
        </w:rPr>
        <w:t xml:space="preserve"> 87, 88 y 111 de la Ley Orgánica</w:t>
      </w:r>
      <w:r>
        <w:rPr>
          <w:rFonts w:ascii="Century Gothic" w:eastAsia="Times New Roman" w:hAnsi="Century Gothic" w:cs="Arial"/>
          <w:sz w:val="24"/>
          <w:szCs w:val="24"/>
          <w:lang w:val="es-ES_tradnl" w:eastAsia="es-ES_tradnl"/>
        </w:rPr>
        <w:t xml:space="preserve"> del Poder Legislativo</w:t>
      </w:r>
      <w:r w:rsidR="004954CC" w:rsidRPr="00AA2C7F">
        <w:rPr>
          <w:rFonts w:ascii="Century Gothic" w:eastAsia="Times New Roman" w:hAnsi="Century Gothic" w:cs="Arial"/>
          <w:sz w:val="24"/>
          <w:szCs w:val="24"/>
          <w:lang w:val="es-ES_tradnl" w:eastAsia="es-ES_tradnl"/>
        </w:rPr>
        <w:t xml:space="preserve">, así como por los artículos 80 y 81 del Reglamento Interior y de Prácticas Parlamentarias, </w:t>
      </w:r>
      <w:r w:rsidR="00447542">
        <w:rPr>
          <w:rFonts w:ascii="Century Gothic" w:eastAsia="Times New Roman" w:hAnsi="Century Gothic" w:cs="Arial"/>
          <w:sz w:val="24"/>
          <w:szCs w:val="24"/>
          <w:lang w:val="es-ES_tradnl" w:eastAsia="es-ES_tradnl"/>
        </w:rPr>
        <w:t>ambo</w:t>
      </w:r>
      <w:r>
        <w:rPr>
          <w:rFonts w:ascii="Century Gothic" w:eastAsia="Times New Roman" w:hAnsi="Century Gothic" w:cs="Arial"/>
          <w:sz w:val="24"/>
          <w:szCs w:val="24"/>
          <w:lang w:val="es-ES_tradnl" w:eastAsia="es-ES_tradnl"/>
        </w:rPr>
        <w:t>s del Estado de Chihuahua;</w:t>
      </w:r>
      <w:r w:rsidR="004954CC" w:rsidRPr="00AA2C7F">
        <w:rPr>
          <w:rFonts w:ascii="Century Gothic" w:eastAsia="Times New Roman" w:hAnsi="Century Gothic" w:cs="Arial"/>
          <w:sz w:val="24"/>
          <w:szCs w:val="24"/>
          <w:lang w:val="es-ES_tradnl" w:eastAsia="es-ES_tradnl"/>
        </w:rPr>
        <w:t xml:space="preserve"> somete a la consideración del Pleno el presente </w:t>
      </w:r>
      <w:r>
        <w:rPr>
          <w:rFonts w:ascii="Century Gothic" w:eastAsia="Times New Roman" w:hAnsi="Century Gothic" w:cs="Arial"/>
          <w:sz w:val="24"/>
          <w:szCs w:val="24"/>
          <w:lang w:val="es-ES_tradnl" w:eastAsia="es-ES_tradnl"/>
        </w:rPr>
        <w:t>d</w:t>
      </w:r>
      <w:r w:rsidR="004954CC" w:rsidRPr="00AA2C7F">
        <w:rPr>
          <w:rFonts w:ascii="Century Gothic" w:eastAsia="Times New Roman" w:hAnsi="Century Gothic" w:cs="Arial"/>
          <w:sz w:val="24"/>
          <w:szCs w:val="24"/>
          <w:lang w:val="es-ES_tradnl" w:eastAsia="es-ES_tradnl"/>
        </w:rPr>
        <w:t>ictamen, elaborado con base en los siguientes:</w:t>
      </w:r>
    </w:p>
    <w:p w:rsidR="004954CC" w:rsidRPr="00AA2C7F" w:rsidRDefault="004954CC" w:rsidP="004954CC">
      <w:pPr>
        <w:spacing w:after="0" w:line="360" w:lineRule="auto"/>
        <w:jc w:val="both"/>
        <w:rPr>
          <w:rFonts w:ascii="Century Gothic" w:eastAsia="Calibri" w:hAnsi="Century Gothic" w:cs="Arial"/>
          <w:sz w:val="24"/>
          <w:szCs w:val="24"/>
          <w:lang w:val="es-ES_tradnl"/>
        </w:rPr>
      </w:pPr>
    </w:p>
    <w:p w:rsidR="004954CC" w:rsidRPr="00AA2C7F" w:rsidRDefault="004954CC" w:rsidP="004954CC">
      <w:pPr>
        <w:spacing w:after="0" w:line="360" w:lineRule="auto"/>
        <w:jc w:val="center"/>
        <w:rPr>
          <w:rFonts w:ascii="Century Gothic" w:eastAsia="Calibri" w:hAnsi="Century Gothic" w:cs="Arial"/>
          <w:b/>
          <w:bCs/>
          <w:sz w:val="24"/>
          <w:szCs w:val="24"/>
        </w:rPr>
      </w:pPr>
      <w:r w:rsidRPr="00AA2C7F">
        <w:rPr>
          <w:rFonts w:ascii="Century Gothic" w:eastAsia="Calibri" w:hAnsi="Century Gothic" w:cs="Arial"/>
          <w:b/>
          <w:bCs/>
          <w:sz w:val="24"/>
          <w:szCs w:val="24"/>
        </w:rPr>
        <w:t>A</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C</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D</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S</w:t>
      </w:r>
    </w:p>
    <w:p w:rsidR="004954CC" w:rsidRPr="00AA2C7F" w:rsidRDefault="004954CC" w:rsidP="004954CC">
      <w:pPr>
        <w:spacing w:after="0" w:line="360" w:lineRule="auto"/>
        <w:jc w:val="center"/>
        <w:rPr>
          <w:rFonts w:ascii="Century Gothic" w:eastAsia="Calibri" w:hAnsi="Century Gothic" w:cs="Arial"/>
          <w:b/>
          <w:bCs/>
          <w:sz w:val="24"/>
          <w:szCs w:val="24"/>
        </w:rPr>
      </w:pPr>
    </w:p>
    <w:p w:rsidR="00ED6A36" w:rsidRPr="00AA2C7F" w:rsidRDefault="004954CC" w:rsidP="004954CC">
      <w:pPr>
        <w:spacing w:after="0" w:line="360" w:lineRule="auto"/>
        <w:jc w:val="both"/>
        <w:rPr>
          <w:rFonts w:ascii="Century Gothic" w:hAnsi="Century Gothic" w:cs="Arial"/>
          <w:sz w:val="24"/>
          <w:szCs w:val="24"/>
        </w:rPr>
      </w:pPr>
      <w:r w:rsidRPr="00AA2C7F">
        <w:rPr>
          <w:rFonts w:ascii="Century Gothic" w:eastAsia="Calibri" w:hAnsi="Century Gothic" w:cs="Arial"/>
          <w:sz w:val="24"/>
          <w:szCs w:val="24"/>
          <w:lang w:val="es-ES_tradnl"/>
        </w:rPr>
        <w:t xml:space="preserve"> </w:t>
      </w:r>
      <w:r w:rsidRPr="00AA2C7F">
        <w:rPr>
          <w:rFonts w:ascii="Century Gothic" w:eastAsia="Calibri" w:hAnsi="Century Gothic" w:cs="Arial"/>
          <w:b/>
          <w:sz w:val="24"/>
          <w:szCs w:val="24"/>
        </w:rPr>
        <w:t xml:space="preserve">I.- </w:t>
      </w:r>
      <w:r w:rsidRPr="00AA2C7F">
        <w:rPr>
          <w:rFonts w:ascii="Century Gothic" w:eastAsia="Calibri" w:hAnsi="Century Gothic" w:cs="Arial"/>
          <w:sz w:val="24"/>
          <w:szCs w:val="24"/>
        </w:rPr>
        <w:t xml:space="preserve">Con fecha </w:t>
      </w:r>
      <w:r w:rsidR="00B04C99">
        <w:rPr>
          <w:rFonts w:ascii="Century Gothic" w:eastAsia="Calibri" w:hAnsi="Century Gothic" w:cs="Arial"/>
          <w:sz w:val="24"/>
          <w:szCs w:val="24"/>
        </w:rPr>
        <w:t>06</w:t>
      </w:r>
      <w:r w:rsidRPr="00AA2C7F">
        <w:rPr>
          <w:rFonts w:ascii="Century Gothic" w:eastAsia="Calibri" w:hAnsi="Century Gothic" w:cs="Arial"/>
          <w:sz w:val="24"/>
          <w:szCs w:val="24"/>
        </w:rPr>
        <w:t xml:space="preserve"> de </w:t>
      </w:r>
      <w:r w:rsidR="00B04C99">
        <w:rPr>
          <w:rFonts w:ascii="Century Gothic" w:eastAsia="Calibri" w:hAnsi="Century Gothic" w:cs="Arial"/>
          <w:sz w:val="24"/>
          <w:szCs w:val="24"/>
        </w:rPr>
        <w:t>enero del 2022</w:t>
      </w:r>
      <w:r w:rsidRPr="00AA2C7F">
        <w:rPr>
          <w:rFonts w:ascii="Century Gothic" w:eastAsia="Calibri" w:hAnsi="Century Gothic" w:cs="Arial"/>
          <w:sz w:val="24"/>
          <w:szCs w:val="24"/>
        </w:rPr>
        <w:t xml:space="preserve">, </w:t>
      </w:r>
      <w:r w:rsidR="00ED6A36" w:rsidRPr="00AA2C7F">
        <w:rPr>
          <w:rFonts w:ascii="Century Gothic" w:eastAsia="Calibri" w:hAnsi="Century Gothic" w:cs="Arial"/>
          <w:sz w:val="24"/>
          <w:szCs w:val="24"/>
        </w:rPr>
        <w:t xml:space="preserve">el </w:t>
      </w:r>
      <w:r w:rsidR="00EF717E" w:rsidRPr="00AA2C7F">
        <w:rPr>
          <w:rFonts w:ascii="Century Gothic" w:eastAsia="Calibri" w:hAnsi="Century Gothic" w:cs="Arial"/>
          <w:sz w:val="24"/>
          <w:szCs w:val="24"/>
        </w:rPr>
        <w:t>Diputad</w:t>
      </w:r>
      <w:r w:rsidR="00ED6A36" w:rsidRPr="00AA2C7F">
        <w:rPr>
          <w:rFonts w:ascii="Century Gothic" w:eastAsia="Calibri" w:hAnsi="Century Gothic" w:cs="Arial"/>
          <w:sz w:val="24"/>
          <w:szCs w:val="24"/>
        </w:rPr>
        <w:t>o Omar Bazán Flores</w:t>
      </w:r>
      <w:r w:rsidR="00EF717E" w:rsidRPr="00AA2C7F">
        <w:rPr>
          <w:rFonts w:ascii="Century Gothic" w:eastAsia="Calibri" w:hAnsi="Century Gothic" w:cs="Arial"/>
          <w:sz w:val="24"/>
          <w:szCs w:val="24"/>
        </w:rPr>
        <w:t>, integrante del Grupo Parlamentario del Partido Revolucionario Institucional, present</w:t>
      </w:r>
      <w:r w:rsidR="00074A46" w:rsidRPr="00AA2C7F">
        <w:rPr>
          <w:rFonts w:ascii="Century Gothic" w:eastAsia="Calibri" w:hAnsi="Century Gothic" w:cs="Arial"/>
          <w:sz w:val="24"/>
          <w:szCs w:val="24"/>
        </w:rPr>
        <w:t>ó iniciativa</w:t>
      </w:r>
      <w:r w:rsidRPr="00AA2C7F">
        <w:rPr>
          <w:rFonts w:ascii="Century Gothic" w:eastAsia="Calibri" w:hAnsi="Century Gothic" w:cs="Arial"/>
          <w:sz w:val="24"/>
          <w:szCs w:val="24"/>
        </w:rPr>
        <w:t xml:space="preserve"> </w:t>
      </w:r>
      <w:r w:rsidR="00E56931">
        <w:rPr>
          <w:rFonts w:ascii="Century Gothic" w:hAnsi="Century Gothic"/>
          <w:sz w:val="24"/>
          <w:szCs w:val="24"/>
        </w:rPr>
        <w:t xml:space="preserve">con carácter de </w:t>
      </w:r>
      <w:r w:rsidR="00B04C99">
        <w:rPr>
          <w:rFonts w:ascii="Century Gothic" w:hAnsi="Century Gothic" w:cs="Arial"/>
          <w:sz w:val="24"/>
          <w:szCs w:val="24"/>
        </w:rPr>
        <w:t>decreto, a fin de reformar la Ley que Regula el Uso Obligatorio de Cubrebocas y Demás Medidas para Prevenir la Transmisión de la Enfermedad Covid-19 en el Estado de Chihuahua, en materia de aplicación de pruebas de detección.</w:t>
      </w:r>
    </w:p>
    <w:p w:rsidR="00F71DB4" w:rsidRPr="00AA2C7F" w:rsidRDefault="00F71DB4" w:rsidP="004954CC">
      <w:pPr>
        <w:spacing w:after="0" w:line="360" w:lineRule="auto"/>
        <w:jc w:val="both"/>
        <w:rPr>
          <w:rFonts w:ascii="Century Gothic" w:eastAsia="Calibri" w:hAnsi="Century Gothic" w:cs="Arial"/>
          <w:sz w:val="24"/>
          <w:szCs w:val="24"/>
        </w:rPr>
      </w:pPr>
    </w:p>
    <w:p w:rsidR="004954CC" w:rsidRPr="00AA2C7F" w:rsidRDefault="004954CC" w:rsidP="004954CC">
      <w:pPr>
        <w:spacing w:after="0" w:line="360" w:lineRule="auto"/>
        <w:jc w:val="both"/>
        <w:rPr>
          <w:rFonts w:ascii="Century Gothic" w:eastAsia="Times New Roman" w:hAnsi="Century Gothic" w:cs="Arial"/>
          <w:color w:val="000000"/>
          <w:sz w:val="24"/>
          <w:szCs w:val="24"/>
          <w:lang w:val="es-ES" w:eastAsia="es-MX"/>
        </w:rPr>
      </w:pPr>
      <w:r w:rsidRPr="00AA2C7F">
        <w:rPr>
          <w:rFonts w:ascii="Century Gothic" w:eastAsia="Calibri" w:hAnsi="Century Gothic" w:cs="Arial"/>
          <w:b/>
          <w:sz w:val="24"/>
          <w:szCs w:val="24"/>
        </w:rPr>
        <w:t>II.-</w:t>
      </w:r>
      <w:r w:rsidRPr="00AA2C7F">
        <w:rPr>
          <w:rFonts w:ascii="Century Gothic" w:eastAsia="Calibri" w:hAnsi="Century Gothic" w:cs="Arial"/>
          <w:sz w:val="24"/>
          <w:szCs w:val="24"/>
        </w:rPr>
        <w:t xml:space="preserve"> </w:t>
      </w:r>
      <w:r w:rsidRPr="00AA2C7F">
        <w:rPr>
          <w:rFonts w:ascii="Century Gothic" w:eastAsia="Times New Roman" w:hAnsi="Century Gothic" w:cs="Arial"/>
          <w:color w:val="000000"/>
          <w:sz w:val="24"/>
          <w:szCs w:val="24"/>
          <w:lang w:val="es-ES" w:eastAsia="es-MX"/>
        </w:rPr>
        <w:t xml:space="preserve">La Presidencia del H. Congreso del Estado, con fecha </w:t>
      </w:r>
      <w:r w:rsidR="00B04C99">
        <w:rPr>
          <w:rFonts w:ascii="Century Gothic" w:eastAsia="Times New Roman" w:hAnsi="Century Gothic" w:cs="Arial"/>
          <w:color w:val="000000"/>
          <w:sz w:val="24"/>
          <w:szCs w:val="24"/>
          <w:lang w:val="es-ES" w:eastAsia="es-MX"/>
        </w:rPr>
        <w:t>07</w:t>
      </w:r>
      <w:r w:rsidRPr="00AA2C7F">
        <w:rPr>
          <w:rFonts w:ascii="Century Gothic" w:eastAsia="Times New Roman" w:hAnsi="Century Gothic" w:cs="Arial"/>
          <w:color w:val="000000"/>
          <w:sz w:val="24"/>
          <w:szCs w:val="24"/>
          <w:lang w:val="es-ES" w:eastAsia="es-MX"/>
        </w:rPr>
        <w:t xml:space="preserve"> de </w:t>
      </w:r>
      <w:r w:rsidR="00B04C99">
        <w:rPr>
          <w:rFonts w:ascii="Century Gothic" w:eastAsia="Times New Roman" w:hAnsi="Century Gothic" w:cs="Arial"/>
          <w:color w:val="000000"/>
          <w:sz w:val="24"/>
          <w:szCs w:val="24"/>
          <w:lang w:val="es-ES" w:eastAsia="es-MX"/>
        </w:rPr>
        <w:t>enero</w:t>
      </w:r>
      <w:r w:rsidRPr="00AA2C7F">
        <w:rPr>
          <w:rFonts w:ascii="Century Gothic" w:eastAsia="Times New Roman" w:hAnsi="Century Gothic" w:cs="Arial"/>
          <w:color w:val="000000"/>
          <w:sz w:val="24"/>
          <w:szCs w:val="24"/>
          <w:lang w:val="es-ES" w:eastAsia="es-MX"/>
        </w:rPr>
        <w:t xml:space="preserve"> del 202</w:t>
      </w:r>
      <w:r w:rsidR="00B04C99">
        <w:rPr>
          <w:rFonts w:ascii="Century Gothic" w:eastAsia="Times New Roman" w:hAnsi="Century Gothic" w:cs="Arial"/>
          <w:color w:val="000000"/>
          <w:sz w:val="24"/>
          <w:szCs w:val="24"/>
          <w:lang w:val="es-ES" w:eastAsia="es-MX"/>
        </w:rPr>
        <w:t>2</w:t>
      </w:r>
      <w:r w:rsidRPr="00AA2C7F">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AA2C7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954CC" w:rsidRPr="00AA2C7F" w:rsidRDefault="004954CC" w:rsidP="004954CC">
      <w:pPr>
        <w:spacing w:after="0" w:line="360" w:lineRule="auto"/>
        <w:jc w:val="both"/>
        <w:rPr>
          <w:rFonts w:ascii="Century Gothic" w:eastAsia="Calibri" w:hAnsi="Century Gothic" w:cs="Arial"/>
          <w:b/>
          <w:sz w:val="24"/>
          <w:szCs w:val="24"/>
        </w:rPr>
      </w:pPr>
    </w:p>
    <w:p w:rsidR="001166EB" w:rsidRPr="00AA2C7F" w:rsidRDefault="004954CC" w:rsidP="001166EB">
      <w:pPr>
        <w:spacing w:line="360" w:lineRule="auto"/>
        <w:jc w:val="both"/>
        <w:rPr>
          <w:rFonts w:ascii="Century Gothic" w:eastAsia="Arial" w:hAnsi="Century Gothic" w:cs="Arial"/>
          <w:sz w:val="24"/>
          <w:szCs w:val="24"/>
        </w:rPr>
      </w:pPr>
      <w:r w:rsidRPr="00AA2C7F">
        <w:rPr>
          <w:rFonts w:ascii="Century Gothic" w:eastAsia="Calibri" w:hAnsi="Century Gothic" w:cs="Arial"/>
          <w:b/>
          <w:sz w:val="24"/>
          <w:szCs w:val="24"/>
        </w:rPr>
        <w:t>III.-</w:t>
      </w:r>
      <w:r w:rsidR="001166EB" w:rsidRPr="00AA2C7F">
        <w:rPr>
          <w:rFonts w:ascii="Century Gothic" w:eastAsia="Arial" w:hAnsi="Century Gothic" w:cs="Arial"/>
          <w:szCs w:val="24"/>
        </w:rPr>
        <w:t xml:space="preserve"> </w:t>
      </w:r>
      <w:r w:rsidR="001166EB" w:rsidRPr="00AA2C7F">
        <w:rPr>
          <w:rFonts w:ascii="Century Gothic" w:eastAsia="Arial" w:hAnsi="Century Gothic" w:cs="Arial"/>
          <w:sz w:val="24"/>
          <w:szCs w:val="24"/>
        </w:rPr>
        <w:t xml:space="preserve">La iniciativa se sustenta esencialmente en </w:t>
      </w:r>
      <w:r w:rsidR="004506DE">
        <w:rPr>
          <w:rFonts w:ascii="Century Gothic" w:eastAsia="Arial" w:hAnsi="Century Gothic" w:cs="Arial"/>
          <w:sz w:val="24"/>
          <w:szCs w:val="24"/>
        </w:rPr>
        <w:t>el</w:t>
      </w:r>
      <w:r w:rsidR="001166EB" w:rsidRPr="00AA2C7F">
        <w:rPr>
          <w:rFonts w:ascii="Century Gothic" w:eastAsia="Arial" w:hAnsi="Century Gothic" w:cs="Arial"/>
          <w:sz w:val="24"/>
          <w:szCs w:val="24"/>
        </w:rPr>
        <w:t xml:space="preserve"> siguiente argumento, </w:t>
      </w:r>
      <w:r w:rsidR="004506DE">
        <w:rPr>
          <w:rFonts w:ascii="Century Gothic" w:eastAsia="Arial" w:hAnsi="Century Gothic" w:cs="Arial"/>
          <w:sz w:val="24"/>
          <w:szCs w:val="24"/>
        </w:rPr>
        <w:t>el</w:t>
      </w:r>
      <w:r w:rsidR="001166EB" w:rsidRPr="00AA2C7F">
        <w:rPr>
          <w:rFonts w:ascii="Century Gothic" w:eastAsia="Arial" w:hAnsi="Century Gothic" w:cs="Arial"/>
          <w:sz w:val="24"/>
          <w:szCs w:val="24"/>
        </w:rPr>
        <w:t xml:space="preserve"> cual </w:t>
      </w:r>
      <w:r w:rsidR="004506DE">
        <w:rPr>
          <w:rFonts w:ascii="Century Gothic" w:eastAsia="Arial" w:hAnsi="Century Gothic" w:cs="Arial"/>
          <w:sz w:val="24"/>
          <w:szCs w:val="24"/>
        </w:rPr>
        <w:t>es</w:t>
      </w:r>
      <w:r w:rsidR="001166EB" w:rsidRPr="00AA2C7F">
        <w:rPr>
          <w:rFonts w:ascii="Century Gothic" w:eastAsia="Arial" w:hAnsi="Century Gothic" w:cs="Arial"/>
          <w:sz w:val="24"/>
          <w:szCs w:val="24"/>
        </w:rPr>
        <w:t xml:space="preserve"> copia textual de su parte expositiva:</w:t>
      </w:r>
    </w:p>
    <w:p w:rsidR="00B04C99" w:rsidRPr="00B04C99" w:rsidRDefault="00B04C99" w:rsidP="00B04C99">
      <w:pPr>
        <w:spacing w:line="360" w:lineRule="auto"/>
        <w:ind w:left="567" w:right="567"/>
        <w:jc w:val="both"/>
        <w:rPr>
          <w:rFonts w:ascii="Arial" w:hAnsi="Arial" w:cs="Arial"/>
          <w:i/>
          <w:sz w:val="24"/>
          <w:szCs w:val="24"/>
        </w:rPr>
      </w:pPr>
      <w:r>
        <w:rPr>
          <w:rFonts w:ascii="Arial" w:hAnsi="Arial" w:cs="Arial"/>
          <w:i/>
          <w:sz w:val="24"/>
          <w:szCs w:val="24"/>
        </w:rPr>
        <w:lastRenderedPageBreak/>
        <w:t>“</w:t>
      </w:r>
      <w:r w:rsidRPr="00B04C99">
        <w:rPr>
          <w:rFonts w:ascii="Arial" w:hAnsi="Arial" w:cs="Arial"/>
          <w:i/>
          <w:sz w:val="24"/>
          <w:szCs w:val="24"/>
        </w:rPr>
        <w:t>El Consejo de Salubridad General declaró emergencia sanitaria por causa de fuerza mayor a la epidemia de enfermedad generada por el virus SARS-CoV2 el 30 de marzo de 2020, indicando que la Secretaría de Salud (“SS”) sería la encargada de determinar todas las acciones necesarias para atender la emergencia del COVID-19.</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Al día siguiente, la Secretaría de Salud emitió un Acuerdo en donde establece acciones extraordinarias para atender la emergencia sanitaria generada por el virus SARS-CoV2, que los sectores público, social y privado deberán implementar, siendo dichas medidas las siguientes:</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I. Suspensión inmediata, de todas las actividades no esenciales del 30 de marzo al 30 de abril de 2020 (el “Periodo”), con la finalidad de mitigar la dispersión y transmisión del COVID-19 en la comunidad, para disminuir la carga de enfermedad, sus complicaciones y la muerte por COVID-19 en la población residente en el territorio nacional.</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 xml:space="preserve">II. Únicamente podrán continuar en funcionamiento las empresas que realicen las siguientes actividades, consideradas esenciales: </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 xml:space="preserve">a) Las que son directamente necesarias para atender la emergencia sanitaria, como son las actividades laborales de la rama médica, paramédica, administrativa y de apoyo en todo el Sistema Nacional de Salud. También los que participan en su abasto, servicios y proveeduría, entre las que destacan el sector farmacéutico, tanto en su producción como en su distribución (farmacias); la manufactura de insumos, equipamiento médico y tecnologías para la atención de la salud; los involucrados en la disposición adecuada de los residuos peligrosos biológicos infecciosos (RPBI), así como la limpieza y sanitización de las unidades médicas en los diferentes niveles de atención; </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lastRenderedPageBreak/>
        <w:t xml:space="preserve">b) Las de los sectores fundamentales de la economía: financieros, recaudación tributaria, distribución y venta de energéticos, gasolineras y gas, generación y distribución de agua potable, industria de alimentos y bebidas no alcohólicas, mercados de alimentos, supermercados, tiendas de autoservicio, abarrotes y venta de alimentos preparados; servicios de transporte de pasajeros y de carga; producción agrícola, pesquera y pecuaria, agroindustria, industria química, productos de limpieza; ferreterías, servicios de mensajería, guardias en labores de seguridad privada; guarderías y estancias infantiles, asilos y estancias para personas adultas mayores, refugios y centros de atención a mujeres víctimas de violencia, sus hijas e hijos; telecomunicaciones y medios de información; servicios privados de emergencia, servicios funerarios y de inhumación, servicios de almacenamiento y cadena de frío de insumos esenciales; logística (aeropuertos, puertos y ferrocarriles), así como actividades cuya suspensión pueda tener efectos irreversibles para su continuación; y </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c) Las necesarias para la conservación, mantenimiento y reparación de la infraestructura crítica que asegura la producción y distribución de servicios indispensables; a saber: agua potable, energía eléctrica, gas, petróleo, gasolina, turbosina, saneamiento básico, transporte público, infraestructura hospitalaria y médica, entre otros más que pudieran listarse en esta categoría.</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 xml:space="preserve">III. En todos los lugares y recintos en los que se realizan actividades esenciales, se deberán observar, de manera obligatoria, las siguientes prácticas: </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 xml:space="preserve">a) No se podrán realizar reuniones o congregaciones de más de 50 personas; </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 xml:space="preserve">b) Las personas deberán lavarse las manos frecuentemente, estornudar o toser aplicando la etiqueta respiratoria (cubriendo nariz y boca con un pañuelo </w:t>
      </w:r>
      <w:r w:rsidRPr="00B04C99">
        <w:rPr>
          <w:rFonts w:ascii="Arial" w:hAnsi="Arial" w:cs="Arial"/>
          <w:i/>
          <w:sz w:val="24"/>
          <w:szCs w:val="24"/>
        </w:rPr>
        <w:lastRenderedPageBreak/>
        <w:t xml:space="preserve">desechable o con el antebrazo); c) No saludar de beso, de mano o abrazo (saludo a distancia), y </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d) Todas las demás medidas de sana distancia vigentes, emitidas por la Secretaría de Salud Federal;</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IV. Resguardo de manera estricta durante el Periodo, a toda persona mayor de 60 años, estado de embarazo o puerperio inmediato, o con diagnóstico de hipertensión arterial, diabetes mellitus, enfermedad cardíaca o pulmonar crónicas, inmunosupresión (adquirida o provocada), insuficiencia renal o hepática, independientemente de si su actividad laboral se considera esencial. Las personas que pertenecientes a los grupos vulnerables, deberán ausentarse de sus centros de trabajo con permiso con goce de sueldo, aun cuando realicen actividades esenciales.</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Desde luego que estas medidas crearon una parálisis económica que afecto a todos los estaos sociales en el mundo y México no fue ajeno a ello, con altos contagios y miles de personas fallecidas a partir del 1 de junio de 2020, en México se instala en esquema de monitoreo para flexibilizar la medidas</w:t>
      </w:r>
      <w:r w:rsidR="00E56931">
        <w:rPr>
          <w:rFonts w:ascii="Arial" w:hAnsi="Arial" w:cs="Arial"/>
          <w:i/>
          <w:sz w:val="24"/>
          <w:szCs w:val="24"/>
        </w:rPr>
        <w:t xml:space="preserve"> de resguardo domiciliario, </w:t>
      </w:r>
      <w:r w:rsidRPr="00B04C99">
        <w:rPr>
          <w:rFonts w:ascii="Arial" w:hAnsi="Arial" w:cs="Arial"/>
          <w:i/>
          <w:sz w:val="24"/>
          <w:szCs w:val="24"/>
        </w:rPr>
        <w:t xml:space="preserve">semanalmente se define el riesgo de contagio por región, a través de un sistema de semáforo. El color del semáforo indicará las actividades que es posible realizar en los ámbitos económico, educativo y social. </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 xml:space="preserve">En lo relativo al ámbito económico, en las regiones identificadas con color rojo (con riesgo epidemiológico máximo), estarán permitidas únicamente las actividades esenciales que no se han detenido desde el inicio de la Jornada Nacional de Sana Distancia, añadiendo las actividades dentro de los sectores de construcción, minería y fabricación de equipo de transporte. En las regiones identificadas con el color naranja (riesgo epidemiológico alto), además de las </w:t>
      </w:r>
      <w:r w:rsidRPr="00B04C99">
        <w:rPr>
          <w:rFonts w:ascii="Arial" w:hAnsi="Arial" w:cs="Arial"/>
          <w:i/>
          <w:sz w:val="24"/>
          <w:szCs w:val="24"/>
        </w:rPr>
        <w:lastRenderedPageBreak/>
        <w:t>actividades esenciales, las actividades no esenciales podrán reactivarse, aunque deberán realizarse con una capacidad de únicamente el 30% del personal y con medidas de sana distancia estrictas. En cambio, las regiones identificadas con los colores amarillo y verde (riesgo epidemiológico intermedio y cotidiano, respectivamente), las actividades económicas esenciales y no esenciales podrán volver a operar con capacidad completa, mientras se sigan tomando medidas para proteger la salud de los trabajadores y de los usuarios.</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 xml:space="preserve">En este esquema si bien es cierto se realiza un monitoreo diario de todas las variables y parámetros que permitan identificar la magnitud del riesgo y se comunicará semanalmente en la conferencia sobre COVID-19; de tal manera que las personas puedan identificar en qué nivel de riesgo epidemiológico se encuentran y se modifiquen las actividades que se pueden realizar, la mutación del virus ha provocado nuevos contagios con las variables delta y </w:t>
      </w:r>
      <w:r w:rsidRPr="00B04C99">
        <w:rPr>
          <w:i/>
          <w:color w:val="000000"/>
          <w:sz w:val="27"/>
          <w:szCs w:val="27"/>
        </w:rPr>
        <w:t>Omicron</w:t>
      </w:r>
      <w:r w:rsidRPr="00B04C99">
        <w:rPr>
          <w:rFonts w:ascii="Arial" w:hAnsi="Arial" w:cs="Arial"/>
          <w:i/>
          <w:sz w:val="24"/>
          <w:szCs w:val="24"/>
        </w:rPr>
        <w:t>, más contagiosas y peligrosas según los expertos, en lo que se ha denominado la tercera ola.</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Sabemos que se deben seguir de manera estricta las intervenciones de sana distancia, dependiendo del color de semáforo en el que se encuentren a nivel local. De no hacerlo se corre el riesgo de que en los lugares en que no se ha incrementado de forma sustancial la actividad epidémica, pueda emerger la epidemia de forma abrupta, con la necesidad de imponer medidas más restrictivas que no convienen a la vida pública y la economía.</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 xml:space="preserve">De ahí que en Chihuahua, a mi parecer, de forma atinada se expide la Ley que Regula El Uso Obligatorio de Cubrebocas y Demás Medidas para Prevenir la Transmisión de la Enfermedad Covid-19 en el Estado De Chihuahua, Publicado en el Periódico Oficial del Estado No. 92 del 14 de noviembre de 2020, mostrando </w:t>
      </w:r>
      <w:r w:rsidRPr="00B04C99">
        <w:rPr>
          <w:rFonts w:ascii="Arial" w:hAnsi="Arial" w:cs="Arial"/>
          <w:i/>
          <w:sz w:val="24"/>
          <w:szCs w:val="24"/>
        </w:rPr>
        <w:lastRenderedPageBreak/>
        <w:t xml:space="preserve">que esa medida básica desdeñada en el inicio de los contagios por la Secretaría de Salud del Gobierno Federal, es un medio eficaz para evitar los contagios en lugares públicos, de esta menara creo, que también la vacunación aunque voluntaria debe ser una medida solidaria de prevención, si nos vacunamos nos protegemos en lo personal y a la vez protegemos a los demás, de ahí la necesidad de que aunque se mantenga en el nivel de aplicación de forma voluntaria, se exija el certificado de vacunación para acceder a determinados lugares y servicios públicos cuando el momento de contagio lo exija para detener la transmisión de la enfermedad, de la </w:t>
      </w:r>
      <w:r w:rsidRPr="004078C6">
        <w:rPr>
          <w:rFonts w:ascii="Arial" w:hAnsi="Arial" w:cs="Arial"/>
          <w:i/>
          <w:sz w:val="24"/>
          <w:szCs w:val="24"/>
        </w:rPr>
        <w:t>misma forma estimo que se deben exigir la aplicación de pruebas de detección del virus, también con ese propósito, siempre tratando de cuidar la libertad de los chihuahuenses, pero bajo la premisa mayor de preservar la salud y la vida de todo,</w:t>
      </w:r>
      <w:r w:rsidRPr="00B04C99">
        <w:rPr>
          <w:rFonts w:ascii="Arial" w:hAnsi="Arial" w:cs="Arial"/>
          <w:i/>
          <w:sz w:val="24"/>
          <w:szCs w:val="24"/>
        </w:rPr>
        <w:t xml:space="preserve"> por lo que me permito someter a la consideración de esta Asamblea el presente proyecto de Decreto:</w:t>
      </w:r>
    </w:p>
    <w:p w:rsidR="00B04C99" w:rsidRPr="00B04C99" w:rsidRDefault="00B04C99" w:rsidP="00B04C99">
      <w:pPr>
        <w:autoSpaceDE w:val="0"/>
        <w:autoSpaceDN w:val="0"/>
        <w:adjustRightInd w:val="0"/>
        <w:spacing w:after="0" w:line="360" w:lineRule="auto"/>
        <w:ind w:left="567" w:right="567"/>
        <w:jc w:val="both"/>
        <w:rPr>
          <w:rFonts w:ascii="Arial" w:hAnsi="Arial" w:cs="Arial"/>
          <w:i/>
          <w:sz w:val="24"/>
          <w:szCs w:val="24"/>
        </w:rPr>
      </w:pPr>
    </w:p>
    <w:p w:rsidR="00B04C99" w:rsidRPr="00B04C99" w:rsidRDefault="00B04C99" w:rsidP="00B04C99">
      <w:pPr>
        <w:spacing w:line="360" w:lineRule="auto"/>
        <w:ind w:left="567" w:right="567"/>
        <w:jc w:val="center"/>
        <w:rPr>
          <w:rFonts w:ascii="Arial" w:hAnsi="Arial" w:cs="Arial"/>
          <w:b/>
          <w:i/>
          <w:sz w:val="24"/>
          <w:szCs w:val="24"/>
        </w:rPr>
      </w:pPr>
      <w:r w:rsidRPr="00B04C99">
        <w:rPr>
          <w:rFonts w:ascii="Arial" w:hAnsi="Arial" w:cs="Arial"/>
          <w:b/>
          <w:bCs/>
          <w:i/>
          <w:sz w:val="24"/>
          <w:szCs w:val="24"/>
        </w:rPr>
        <w:t>DECRETO</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b/>
          <w:i/>
          <w:sz w:val="24"/>
          <w:szCs w:val="24"/>
        </w:rPr>
        <w:t xml:space="preserve">ARTÍCULO ÚNICO.- </w:t>
      </w:r>
      <w:r w:rsidRPr="00B04C99">
        <w:rPr>
          <w:rFonts w:ascii="Arial" w:hAnsi="Arial" w:cs="Arial"/>
          <w:i/>
          <w:sz w:val="24"/>
          <w:szCs w:val="24"/>
        </w:rPr>
        <w:t xml:space="preserve">Se </w:t>
      </w:r>
      <w:r w:rsidRPr="00B04C99">
        <w:rPr>
          <w:rFonts w:ascii="Arial" w:hAnsi="Arial" w:cs="Arial"/>
          <w:bCs/>
          <w:i/>
          <w:iCs/>
          <w:sz w:val="24"/>
          <w:szCs w:val="24"/>
        </w:rPr>
        <w:t>reforma</w:t>
      </w:r>
      <w:r w:rsidRPr="00B04C99">
        <w:rPr>
          <w:rFonts w:ascii="Arial" w:hAnsi="Arial" w:cs="Arial"/>
          <w:b/>
          <w:i/>
          <w:iCs/>
          <w:sz w:val="24"/>
          <w:szCs w:val="24"/>
        </w:rPr>
        <w:t xml:space="preserve"> el artículo 3 y adiciona el artículo 12 bis de la Ley que Regula el Uso Obligatorio de Cubrebocas y demás Medidas para Prevenir la Transmisión de la Enfermedad Covid-19 en el Estado De Chihuahua</w:t>
      </w:r>
      <w:r w:rsidRPr="00B04C99">
        <w:rPr>
          <w:rFonts w:ascii="Arial" w:hAnsi="Arial" w:cs="Arial"/>
          <w:i/>
          <w:sz w:val="24"/>
          <w:szCs w:val="24"/>
        </w:rPr>
        <w:t>, para quedar redactados de la siguiente manera:</w:t>
      </w:r>
    </w:p>
    <w:p w:rsidR="00B04C99" w:rsidRPr="00B04C99" w:rsidRDefault="00B04C99" w:rsidP="00B04C99">
      <w:pPr>
        <w:widowControl w:val="0"/>
        <w:ind w:left="567" w:right="567"/>
        <w:jc w:val="both"/>
        <w:rPr>
          <w:rFonts w:ascii="Arial" w:hAnsi="Arial" w:cs="Arial"/>
          <w:b/>
          <w:bCs/>
          <w:i/>
          <w:sz w:val="24"/>
          <w:szCs w:val="24"/>
          <w:lang w:val="es-ES_tradnl"/>
        </w:rPr>
      </w:pPr>
      <w:r w:rsidRPr="00B04C99">
        <w:rPr>
          <w:rFonts w:ascii="Arial" w:hAnsi="Arial" w:cs="Arial"/>
          <w:b/>
          <w:bCs/>
          <w:i/>
          <w:sz w:val="24"/>
          <w:szCs w:val="24"/>
          <w:lang w:val="es-ES_tradnl"/>
        </w:rPr>
        <w:t xml:space="preserve">Artículo 3. Medidas complementarias al uso de cubrebocas. </w:t>
      </w:r>
    </w:p>
    <w:p w:rsidR="00B04C99" w:rsidRPr="00B04C99" w:rsidRDefault="00B04C99" w:rsidP="00B04C99">
      <w:pPr>
        <w:widowControl w:val="0"/>
        <w:ind w:left="567" w:right="567"/>
        <w:jc w:val="both"/>
        <w:rPr>
          <w:rFonts w:ascii="Arial" w:hAnsi="Arial" w:cs="Arial"/>
          <w:i/>
          <w:sz w:val="24"/>
          <w:szCs w:val="24"/>
          <w:lang w:val="es-ES_tradnl"/>
        </w:rPr>
      </w:pPr>
      <w:r w:rsidRPr="00B04C99">
        <w:rPr>
          <w:rFonts w:ascii="Arial" w:hAnsi="Arial" w:cs="Arial"/>
          <w:i/>
          <w:sz w:val="24"/>
          <w:szCs w:val="24"/>
          <w:lang w:val="es-ES_tradnl"/>
        </w:rPr>
        <w:t xml:space="preserve">Son medidas sanitarias adicionales al uso del cubrebocas, las siguientes: </w:t>
      </w:r>
    </w:p>
    <w:p w:rsidR="00B04C99" w:rsidRPr="00B04C99" w:rsidRDefault="00B04C99" w:rsidP="00B04C99">
      <w:pPr>
        <w:widowControl w:val="0"/>
        <w:ind w:left="567" w:right="567"/>
        <w:jc w:val="both"/>
        <w:rPr>
          <w:rFonts w:ascii="Arial" w:hAnsi="Arial" w:cs="Arial"/>
          <w:i/>
          <w:sz w:val="24"/>
          <w:szCs w:val="24"/>
          <w:lang w:val="es-ES_tradnl"/>
        </w:rPr>
      </w:pPr>
    </w:p>
    <w:p w:rsidR="00B04C99" w:rsidRPr="00B04C99" w:rsidRDefault="00B04C99" w:rsidP="00B04C99">
      <w:pPr>
        <w:widowControl w:val="0"/>
        <w:spacing w:after="0" w:line="240" w:lineRule="auto"/>
        <w:ind w:left="567" w:right="567"/>
        <w:jc w:val="both"/>
        <w:rPr>
          <w:rFonts w:ascii="Arial" w:hAnsi="Arial" w:cs="Arial"/>
          <w:i/>
          <w:sz w:val="24"/>
          <w:szCs w:val="24"/>
          <w:lang w:val="es-ES_tradnl"/>
        </w:rPr>
      </w:pPr>
      <w:r>
        <w:rPr>
          <w:rFonts w:ascii="Arial" w:hAnsi="Arial" w:cs="Arial"/>
          <w:i/>
          <w:sz w:val="24"/>
          <w:szCs w:val="24"/>
          <w:lang w:val="es-ES_tradnl"/>
        </w:rPr>
        <w:t xml:space="preserve">I. </w:t>
      </w:r>
      <w:r w:rsidRPr="00B04C99">
        <w:rPr>
          <w:rFonts w:ascii="Arial" w:hAnsi="Arial" w:cs="Arial"/>
          <w:i/>
          <w:sz w:val="24"/>
          <w:szCs w:val="24"/>
          <w:lang w:val="es-ES_tradnl"/>
        </w:rPr>
        <w:t>a la VI ...</w:t>
      </w:r>
    </w:p>
    <w:p w:rsidR="00B04C99" w:rsidRPr="00B04C99" w:rsidRDefault="00B04C99" w:rsidP="00B04C99">
      <w:pPr>
        <w:widowControl w:val="0"/>
        <w:spacing w:after="0" w:line="240" w:lineRule="auto"/>
        <w:ind w:left="567" w:right="567"/>
        <w:jc w:val="both"/>
        <w:rPr>
          <w:rFonts w:ascii="Arial" w:hAnsi="Arial" w:cs="Arial"/>
          <w:i/>
          <w:sz w:val="24"/>
          <w:szCs w:val="24"/>
          <w:lang w:val="es-ES_tradnl"/>
        </w:rPr>
      </w:pPr>
    </w:p>
    <w:p w:rsidR="00B04C99" w:rsidRPr="00B04C99" w:rsidRDefault="00B04C99" w:rsidP="00B04C99">
      <w:pPr>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VII. </w:t>
      </w:r>
      <w:r w:rsidRPr="00B04C99">
        <w:rPr>
          <w:rFonts w:ascii="Arial" w:hAnsi="Arial" w:cs="Arial"/>
          <w:b/>
          <w:bCs/>
          <w:i/>
          <w:iCs/>
          <w:sz w:val="24"/>
          <w:szCs w:val="24"/>
          <w:lang w:val="es-ES_tradnl"/>
        </w:rPr>
        <w:t>La práctica obligatoria de detección del virus</w:t>
      </w:r>
      <w:r w:rsidRPr="00B04C99">
        <w:rPr>
          <w:rFonts w:ascii="Arial" w:hAnsi="Arial" w:cs="Arial"/>
          <w:b/>
          <w:bCs/>
          <w:i/>
          <w:iCs/>
          <w:sz w:val="24"/>
          <w:szCs w:val="24"/>
        </w:rPr>
        <w:t xml:space="preserve"> SARS-CoV-2</w:t>
      </w:r>
      <w:r w:rsidRPr="00B04C99">
        <w:rPr>
          <w:rFonts w:ascii="Arial" w:hAnsi="Arial" w:cs="Arial"/>
          <w:b/>
          <w:bCs/>
          <w:i/>
          <w:iCs/>
          <w:sz w:val="24"/>
          <w:szCs w:val="24"/>
          <w:lang w:val="es-ES_tradnl"/>
        </w:rPr>
        <w:t xml:space="preserve"> aprobadas por la Comisión Federal para la Protección contra Riesgos Sanitarios. </w:t>
      </w:r>
    </w:p>
    <w:p w:rsidR="00B04C99" w:rsidRPr="00B04C99" w:rsidRDefault="00B04C99" w:rsidP="00B04C99">
      <w:pPr>
        <w:pStyle w:val="Prrafodelista"/>
        <w:ind w:left="567" w:right="567"/>
        <w:rPr>
          <w:rFonts w:ascii="Arial" w:hAnsi="Arial" w:cs="Arial"/>
          <w:b/>
          <w:bCs/>
          <w:i/>
          <w:iCs/>
          <w:sz w:val="24"/>
          <w:szCs w:val="24"/>
          <w:lang w:val="es-ES_tradnl"/>
        </w:rPr>
      </w:pPr>
    </w:p>
    <w:p w:rsidR="00B04C99" w:rsidRPr="00B04C99" w:rsidRDefault="00B04C99" w:rsidP="00B04C99">
      <w:pPr>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VIII. </w:t>
      </w:r>
      <w:r w:rsidRPr="00B04C99">
        <w:rPr>
          <w:rFonts w:ascii="Arial" w:hAnsi="Arial" w:cs="Arial"/>
          <w:b/>
          <w:bCs/>
          <w:i/>
          <w:iCs/>
          <w:sz w:val="24"/>
          <w:szCs w:val="24"/>
          <w:lang w:val="es-ES_tradnl"/>
        </w:rPr>
        <w:t xml:space="preserve">La exhibición del certificado de vacunación contra el virus </w:t>
      </w:r>
      <w:r w:rsidRPr="00B04C99">
        <w:rPr>
          <w:rFonts w:ascii="Arial" w:hAnsi="Arial" w:cs="Arial"/>
          <w:b/>
          <w:bCs/>
          <w:i/>
          <w:iCs/>
          <w:sz w:val="24"/>
          <w:szCs w:val="24"/>
        </w:rPr>
        <w:t>SARS-CoV-2 expedido por la Secretaría de Salud.</w:t>
      </w:r>
    </w:p>
    <w:p w:rsidR="00B04C99" w:rsidRPr="00B04C99" w:rsidRDefault="00B04C99" w:rsidP="00B04C99">
      <w:pPr>
        <w:pStyle w:val="Prrafodelista"/>
        <w:ind w:left="567" w:right="567"/>
        <w:rPr>
          <w:rFonts w:ascii="Arial" w:hAnsi="Arial" w:cs="Arial"/>
          <w:b/>
          <w:bCs/>
          <w:i/>
          <w:sz w:val="24"/>
          <w:szCs w:val="24"/>
          <w:lang w:val="es-ES_tradnl"/>
        </w:rPr>
      </w:pPr>
    </w:p>
    <w:p w:rsidR="00B04C99" w:rsidRPr="00B04C99" w:rsidRDefault="00B04C99" w:rsidP="00B04C99">
      <w:pPr>
        <w:widowControl w:val="0"/>
        <w:spacing w:after="0" w:line="240" w:lineRule="auto"/>
        <w:ind w:left="567" w:right="567"/>
        <w:jc w:val="both"/>
        <w:rPr>
          <w:rFonts w:ascii="Arial" w:hAnsi="Arial" w:cs="Arial"/>
          <w:i/>
          <w:sz w:val="24"/>
          <w:szCs w:val="24"/>
          <w:lang w:val="es-ES_tradnl"/>
        </w:rPr>
      </w:pPr>
      <w:r>
        <w:rPr>
          <w:rFonts w:ascii="Arial" w:hAnsi="Arial" w:cs="Arial"/>
          <w:i/>
          <w:sz w:val="24"/>
          <w:szCs w:val="24"/>
          <w:lang w:val="es-ES_tradnl"/>
        </w:rPr>
        <w:t>IX. …</w:t>
      </w:r>
    </w:p>
    <w:p w:rsidR="00B04C99" w:rsidRPr="00B04C99" w:rsidRDefault="00B04C99" w:rsidP="004D0BC2">
      <w:pPr>
        <w:ind w:right="567"/>
        <w:rPr>
          <w:i/>
        </w:rPr>
      </w:pPr>
    </w:p>
    <w:p w:rsidR="00B04C99" w:rsidRPr="00B04C99" w:rsidRDefault="00B04C99" w:rsidP="00B04C99">
      <w:pPr>
        <w:widowControl w:val="0"/>
        <w:ind w:left="567" w:right="567"/>
        <w:jc w:val="both"/>
        <w:rPr>
          <w:rFonts w:ascii="Arial" w:hAnsi="Arial" w:cs="Arial"/>
          <w:b/>
          <w:bCs/>
          <w:i/>
          <w:iCs/>
          <w:sz w:val="24"/>
          <w:szCs w:val="24"/>
          <w:lang w:val="es-ES_tradnl"/>
        </w:rPr>
      </w:pPr>
      <w:r w:rsidRPr="00B04C99">
        <w:rPr>
          <w:rFonts w:ascii="Arial" w:hAnsi="Arial" w:cs="Arial"/>
          <w:b/>
          <w:bCs/>
          <w:i/>
          <w:iCs/>
          <w:sz w:val="24"/>
          <w:szCs w:val="24"/>
          <w:lang w:val="es-ES_tradnl"/>
        </w:rPr>
        <w:t xml:space="preserve">Artículo 12bis. Disposiciones para la práctica obligatoria de pruebas de detección y exhibición de certificado de vacunación. El Ejecutivo del Estado en cualquier momento como medida de contención de la infección, podrá determinar la práctica obligatoria de pruebas de detección del virus SARS-CoV-2 aprobadas por la Comisión Federal para la Protección contra Riesgos Sanitarios y/o la exhibición del certificado de vacunación contra el virus </w:t>
      </w:r>
      <w:r w:rsidRPr="00B04C99">
        <w:rPr>
          <w:rFonts w:ascii="Arial" w:hAnsi="Arial" w:cs="Arial"/>
          <w:b/>
          <w:bCs/>
          <w:i/>
          <w:iCs/>
          <w:sz w:val="24"/>
          <w:szCs w:val="24"/>
        </w:rPr>
        <w:t>SARS-CoV-2 expedido por la Secretaría de Salud</w:t>
      </w:r>
      <w:r w:rsidRPr="00B04C99">
        <w:rPr>
          <w:rFonts w:ascii="Arial" w:hAnsi="Arial" w:cs="Arial"/>
          <w:b/>
          <w:bCs/>
          <w:i/>
          <w:iCs/>
          <w:sz w:val="24"/>
          <w:szCs w:val="24"/>
          <w:lang w:val="es-ES_tradnl"/>
        </w:rPr>
        <w:t xml:space="preserve"> conforme a las siguientes reglas:</w:t>
      </w:r>
    </w:p>
    <w:p w:rsidR="00B04C99" w:rsidRPr="00B04C99" w:rsidRDefault="00B04C99" w:rsidP="00B04C99">
      <w:pPr>
        <w:widowControl w:val="0"/>
        <w:ind w:left="567" w:right="567"/>
        <w:jc w:val="both"/>
        <w:rPr>
          <w:rFonts w:ascii="Arial" w:hAnsi="Arial" w:cs="Arial"/>
          <w:b/>
          <w:bCs/>
          <w:i/>
          <w:iCs/>
          <w:sz w:val="24"/>
          <w:szCs w:val="24"/>
          <w:lang w:val="es-ES_tradnl"/>
        </w:rPr>
      </w:pPr>
    </w:p>
    <w:p w:rsidR="00B04C99" w:rsidRPr="00B04C99" w:rsidRDefault="00B04C99" w:rsidP="00B04C99">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I. </w:t>
      </w:r>
      <w:r w:rsidRPr="00B04C99">
        <w:rPr>
          <w:rFonts w:ascii="Arial" w:hAnsi="Arial" w:cs="Arial"/>
          <w:b/>
          <w:bCs/>
          <w:i/>
          <w:iCs/>
          <w:sz w:val="24"/>
          <w:szCs w:val="24"/>
          <w:lang w:val="es-ES_tradnl"/>
        </w:rPr>
        <w:t>Las pruebas de detección que se podrán practicar son las siguientes:</w:t>
      </w:r>
    </w:p>
    <w:p w:rsidR="00B04C99" w:rsidRPr="00B04C99" w:rsidRDefault="00B04C99" w:rsidP="00B04C99">
      <w:pPr>
        <w:pStyle w:val="Prrafodelista"/>
        <w:widowControl w:val="0"/>
        <w:ind w:left="567" w:right="567"/>
        <w:jc w:val="both"/>
        <w:rPr>
          <w:rFonts w:ascii="Arial" w:hAnsi="Arial" w:cs="Arial"/>
          <w:b/>
          <w:bCs/>
          <w:i/>
          <w:iCs/>
          <w:sz w:val="24"/>
          <w:szCs w:val="24"/>
          <w:lang w:val="es-ES_tradnl"/>
        </w:rPr>
      </w:pPr>
    </w:p>
    <w:p w:rsidR="00B04C99" w:rsidRPr="00B04C99" w:rsidRDefault="00B04C99" w:rsidP="00B04C99">
      <w:pPr>
        <w:pStyle w:val="Prrafodelista"/>
        <w:spacing w:after="0" w:line="240" w:lineRule="auto"/>
        <w:ind w:left="567" w:right="567"/>
        <w:rPr>
          <w:rFonts w:ascii="Arial" w:hAnsi="Arial" w:cs="Arial"/>
          <w:b/>
          <w:bCs/>
          <w:i/>
          <w:iCs/>
          <w:sz w:val="24"/>
          <w:szCs w:val="24"/>
        </w:rPr>
      </w:pPr>
      <w:r>
        <w:rPr>
          <w:rFonts w:ascii="Arial" w:hAnsi="Arial" w:cs="Arial"/>
          <w:b/>
          <w:bCs/>
          <w:i/>
          <w:iCs/>
          <w:sz w:val="24"/>
          <w:szCs w:val="24"/>
        </w:rPr>
        <w:t xml:space="preserve">A. </w:t>
      </w:r>
      <w:r w:rsidRPr="00B04C99">
        <w:rPr>
          <w:rFonts w:ascii="Arial" w:hAnsi="Arial" w:cs="Arial"/>
          <w:b/>
          <w:bCs/>
          <w:i/>
          <w:iCs/>
          <w:sz w:val="24"/>
          <w:szCs w:val="24"/>
        </w:rPr>
        <w:t xml:space="preserve">prueba Covid-19 PCR (por sus siglas en inglés de “Reacción en Cadena de la Polimersa”), </w:t>
      </w:r>
    </w:p>
    <w:p w:rsidR="00B04C99" w:rsidRPr="00B04C99" w:rsidRDefault="00B04C99" w:rsidP="00B04C99">
      <w:pPr>
        <w:ind w:left="567" w:right="567"/>
        <w:rPr>
          <w:rFonts w:ascii="Arial" w:hAnsi="Arial" w:cs="Arial"/>
          <w:b/>
          <w:bCs/>
          <w:i/>
          <w:iCs/>
          <w:sz w:val="24"/>
          <w:szCs w:val="24"/>
        </w:rPr>
      </w:pPr>
    </w:p>
    <w:p w:rsidR="00B04C99" w:rsidRPr="00B04C99" w:rsidRDefault="00B04C99" w:rsidP="00B04C99">
      <w:pPr>
        <w:pStyle w:val="Prrafodelista"/>
        <w:spacing w:after="0" w:line="240" w:lineRule="auto"/>
        <w:ind w:left="567" w:right="567"/>
        <w:rPr>
          <w:rFonts w:ascii="Arial" w:hAnsi="Arial" w:cs="Arial"/>
          <w:b/>
          <w:bCs/>
          <w:i/>
          <w:iCs/>
          <w:sz w:val="24"/>
          <w:szCs w:val="24"/>
        </w:rPr>
      </w:pPr>
      <w:r>
        <w:rPr>
          <w:rFonts w:ascii="Arial" w:hAnsi="Arial" w:cs="Arial"/>
          <w:b/>
          <w:bCs/>
          <w:i/>
          <w:iCs/>
          <w:sz w:val="24"/>
          <w:szCs w:val="24"/>
        </w:rPr>
        <w:t xml:space="preserve">B. </w:t>
      </w:r>
      <w:r w:rsidRPr="00B04C99">
        <w:rPr>
          <w:rFonts w:ascii="Arial" w:hAnsi="Arial" w:cs="Arial"/>
          <w:b/>
          <w:bCs/>
          <w:i/>
          <w:iCs/>
          <w:sz w:val="24"/>
          <w:szCs w:val="24"/>
        </w:rPr>
        <w:t>Pruebas de antígeno.</w:t>
      </w:r>
    </w:p>
    <w:p w:rsidR="00B04C99" w:rsidRPr="00B04C99" w:rsidRDefault="00B04C99" w:rsidP="00B04C99">
      <w:pPr>
        <w:ind w:left="567" w:right="567"/>
        <w:rPr>
          <w:rFonts w:ascii="Arial" w:hAnsi="Arial" w:cs="Arial"/>
          <w:b/>
          <w:bCs/>
          <w:i/>
          <w:iCs/>
          <w:sz w:val="24"/>
          <w:szCs w:val="24"/>
        </w:rPr>
      </w:pPr>
    </w:p>
    <w:p w:rsidR="00B04C99" w:rsidRPr="00B04C99" w:rsidRDefault="0073014D" w:rsidP="0073014D">
      <w:pPr>
        <w:pStyle w:val="Prrafodelista"/>
        <w:spacing w:after="0" w:line="240" w:lineRule="auto"/>
        <w:ind w:left="567" w:right="567"/>
        <w:rPr>
          <w:rFonts w:ascii="Arial" w:hAnsi="Arial" w:cs="Arial"/>
          <w:b/>
          <w:bCs/>
          <w:i/>
          <w:iCs/>
          <w:sz w:val="24"/>
          <w:szCs w:val="24"/>
          <w:lang w:val="es-ES_tradnl"/>
        </w:rPr>
      </w:pPr>
      <w:r>
        <w:rPr>
          <w:rFonts w:ascii="Arial" w:hAnsi="Arial" w:cs="Arial"/>
          <w:b/>
          <w:bCs/>
          <w:i/>
          <w:iCs/>
          <w:sz w:val="24"/>
          <w:szCs w:val="24"/>
        </w:rPr>
        <w:t xml:space="preserve">C. </w:t>
      </w:r>
      <w:r w:rsidR="00B04C99" w:rsidRPr="00B04C99">
        <w:rPr>
          <w:rFonts w:ascii="Arial" w:hAnsi="Arial" w:cs="Arial"/>
          <w:b/>
          <w:bCs/>
          <w:i/>
          <w:iCs/>
          <w:sz w:val="24"/>
          <w:szCs w:val="24"/>
        </w:rPr>
        <w:t>Prueba de detección de Anticuerpos Covid-19 o serológicas.</w:t>
      </w:r>
    </w:p>
    <w:p w:rsidR="00B04C99" w:rsidRPr="00B04C99" w:rsidRDefault="00B04C99" w:rsidP="00B04C99">
      <w:pPr>
        <w:pStyle w:val="Prrafodelista"/>
        <w:ind w:left="567" w:right="567"/>
        <w:rPr>
          <w:rFonts w:ascii="Arial" w:hAnsi="Arial" w:cs="Arial"/>
          <w:b/>
          <w:bCs/>
          <w:i/>
          <w:iCs/>
          <w:sz w:val="24"/>
          <w:szCs w:val="24"/>
          <w:lang w:val="es-ES_tradnl"/>
        </w:rPr>
      </w:pPr>
    </w:p>
    <w:p w:rsidR="00B04C99" w:rsidRPr="00B04C99" w:rsidRDefault="00B04C99" w:rsidP="00B04C99">
      <w:pPr>
        <w:pStyle w:val="Prrafodelista"/>
        <w:ind w:left="567" w:right="567"/>
        <w:rPr>
          <w:rFonts w:ascii="Arial" w:hAnsi="Arial" w:cs="Arial"/>
          <w:b/>
          <w:bCs/>
          <w:i/>
          <w:iCs/>
          <w:sz w:val="24"/>
          <w:szCs w:val="24"/>
          <w:lang w:val="es-ES_tradnl"/>
        </w:rPr>
      </w:pP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II. </w:t>
      </w:r>
      <w:r w:rsidR="00B04C99" w:rsidRPr="00B04C99">
        <w:rPr>
          <w:rFonts w:ascii="Arial" w:hAnsi="Arial" w:cs="Arial"/>
          <w:b/>
          <w:bCs/>
          <w:i/>
          <w:iCs/>
          <w:sz w:val="24"/>
          <w:szCs w:val="24"/>
          <w:lang w:val="es-ES_tradnl"/>
        </w:rPr>
        <w:t>Se deberá informar a la población a la que va dirigida la medida de prevención, ya sea por:</w:t>
      </w:r>
    </w:p>
    <w:p w:rsidR="00B04C99" w:rsidRPr="00B04C99" w:rsidRDefault="00B04C99" w:rsidP="00B04C99">
      <w:pPr>
        <w:pStyle w:val="Prrafodelista"/>
        <w:widowControl w:val="0"/>
        <w:ind w:left="567" w:right="567"/>
        <w:jc w:val="both"/>
        <w:rPr>
          <w:rFonts w:ascii="Arial" w:hAnsi="Arial" w:cs="Arial"/>
          <w:b/>
          <w:bCs/>
          <w:i/>
          <w:iCs/>
          <w:sz w:val="24"/>
          <w:szCs w:val="24"/>
          <w:lang w:val="es-ES_tradnl"/>
        </w:rPr>
      </w:pP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a. </w:t>
      </w:r>
      <w:r w:rsidR="00B04C99" w:rsidRPr="00B04C99">
        <w:rPr>
          <w:rFonts w:ascii="Arial" w:hAnsi="Arial" w:cs="Arial"/>
          <w:b/>
          <w:bCs/>
          <w:i/>
          <w:iCs/>
          <w:sz w:val="24"/>
          <w:szCs w:val="24"/>
          <w:lang w:val="es-ES_tradnl"/>
        </w:rPr>
        <w:t xml:space="preserve">motivo de su actividad. </w:t>
      </w: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b. </w:t>
      </w:r>
      <w:r w:rsidR="00B04C99" w:rsidRPr="00B04C99">
        <w:rPr>
          <w:rFonts w:ascii="Arial" w:hAnsi="Arial" w:cs="Arial"/>
          <w:b/>
          <w:bCs/>
          <w:i/>
          <w:iCs/>
          <w:sz w:val="24"/>
          <w:szCs w:val="24"/>
          <w:lang w:val="es-ES_tradnl"/>
        </w:rPr>
        <w:t>riesgo de contagio.</w:t>
      </w: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c. </w:t>
      </w:r>
      <w:r w:rsidR="00B04C99" w:rsidRPr="00B04C99">
        <w:rPr>
          <w:rFonts w:ascii="Arial" w:hAnsi="Arial" w:cs="Arial"/>
          <w:b/>
          <w:bCs/>
          <w:i/>
          <w:iCs/>
          <w:sz w:val="24"/>
          <w:szCs w:val="24"/>
          <w:lang w:val="es-ES_tradnl"/>
        </w:rPr>
        <w:t>zona geográfica en la que se desenvuelve.</w:t>
      </w: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d. </w:t>
      </w:r>
      <w:r w:rsidR="00B04C99" w:rsidRPr="00B04C99">
        <w:rPr>
          <w:rFonts w:ascii="Arial" w:hAnsi="Arial" w:cs="Arial"/>
          <w:b/>
          <w:bCs/>
          <w:i/>
          <w:iCs/>
          <w:sz w:val="24"/>
          <w:szCs w:val="24"/>
          <w:lang w:val="es-ES_tradnl"/>
        </w:rPr>
        <w:t>Migración.</w:t>
      </w: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e. </w:t>
      </w:r>
      <w:r w:rsidR="00B04C99" w:rsidRPr="00B04C99">
        <w:rPr>
          <w:rFonts w:ascii="Arial" w:hAnsi="Arial" w:cs="Arial"/>
          <w:b/>
          <w:bCs/>
          <w:i/>
          <w:iCs/>
          <w:sz w:val="24"/>
          <w:szCs w:val="24"/>
          <w:lang w:val="es-ES_tradnl"/>
        </w:rPr>
        <w:t>Actividad turística o de servicios.</w:t>
      </w: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f. </w:t>
      </w:r>
      <w:r w:rsidR="00B04C99" w:rsidRPr="00B04C99">
        <w:rPr>
          <w:rFonts w:ascii="Arial" w:hAnsi="Arial" w:cs="Arial"/>
          <w:b/>
          <w:bCs/>
          <w:i/>
          <w:iCs/>
          <w:sz w:val="24"/>
          <w:szCs w:val="24"/>
          <w:lang w:val="es-ES_tradnl"/>
        </w:rPr>
        <w:t>Cualquier otra análoga.</w:t>
      </w:r>
    </w:p>
    <w:p w:rsidR="00B04C99" w:rsidRPr="00B04C99" w:rsidRDefault="00B04C99" w:rsidP="00B04C99">
      <w:pPr>
        <w:pStyle w:val="Prrafodelista"/>
        <w:widowControl w:val="0"/>
        <w:ind w:left="567" w:right="567"/>
        <w:jc w:val="both"/>
        <w:rPr>
          <w:rFonts w:ascii="Arial" w:hAnsi="Arial" w:cs="Arial"/>
          <w:b/>
          <w:bCs/>
          <w:i/>
          <w:iCs/>
          <w:sz w:val="24"/>
          <w:szCs w:val="24"/>
          <w:lang w:val="es-ES_tradnl"/>
        </w:rPr>
      </w:pP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III. </w:t>
      </w:r>
      <w:r w:rsidR="00B04C99" w:rsidRPr="00B04C99">
        <w:rPr>
          <w:rFonts w:ascii="Arial" w:hAnsi="Arial" w:cs="Arial"/>
          <w:b/>
          <w:bCs/>
          <w:i/>
          <w:iCs/>
          <w:sz w:val="24"/>
          <w:szCs w:val="24"/>
          <w:lang w:val="es-ES_tradnl"/>
        </w:rPr>
        <w:t xml:space="preserve">Se </w:t>
      </w:r>
      <w:r w:rsidR="00B04C99" w:rsidRPr="004078C6">
        <w:rPr>
          <w:rFonts w:ascii="Arial" w:hAnsi="Arial" w:cs="Arial"/>
          <w:b/>
          <w:bCs/>
          <w:i/>
          <w:iCs/>
          <w:sz w:val="24"/>
          <w:szCs w:val="24"/>
          <w:lang w:val="es-ES_tradnl"/>
        </w:rPr>
        <w:t>deberá precisar el tipo de prueba que se debe practicar para acceder a determinados servicios públicos.</w:t>
      </w:r>
    </w:p>
    <w:p w:rsidR="00B04C99" w:rsidRPr="00B04C99" w:rsidRDefault="00B04C99" w:rsidP="00B04C99">
      <w:pPr>
        <w:pStyle w:val="Prrafodelista"/>
        <w:widowControl w:val="0"/>
        <w:ind w:left="567" w:right="567"/>
        <w:jc w:val="both"/>
        <w:rPr>
          <w:rFonts w:ascii="Arial" w:hAnsi="Arial" w:cs="Arial"/>
          <w:b/>
          <w:bCs/>
          <w:i/>
          <w:iCs/>
          <w:sz w:val="24"/>
          <w:szCs w:val="24"/>
          <w:lang w:val="es-ES_tradnl"/>
        </w:rPr>
      </w:pP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IV. </w:t>
      </w:r>
      <w:r w:rsidR="00B04C99" w:rsidRPr="00B04C99">
        <w:rPr>
          <w:rFonts w:ascii="Arial" w:hAnsi="Arial" w:cs="Arial"/>
          <w:b/>
          <w:bCs/>
          <w:i/>
          <w:iCs/>
          <w:sz w:val="24"/>
          <w:szCs w:val="24"/>
          <w:lang w:val="es-ES_tradnl"/>
        </w:rPr>
        <w:t>Se deberá precisar en qué casos se deberá presentar el certificado de vacunación.</w:t>
      </w:r>
    </w:p>
    <w:p w:rsidR="00B04C99" w:rsidRPr="00B04C99" w:rsidRDefault="00B04C99" w:rsidP="00B04C99">
      <w:pPr>
        <w:widowControl w:val="0"/>
        <w:ind w:left="567" w:right="567"/>
        <w:jc w:val="both"/>
        <w:rPr>
          <w:rFonts w:ascii="Arial" w:hAnsi="Arial" w:cs="Arial"/>
          <w:b/>
          <w:bCs/>
          <w:i/>
          <w:iCs/>
          <w:sz w:val="24"/>
          <w:szCs w:val="24"/>
          <w:lang w:val="es-ES_tradnl"/>
        </w:rPr>
      </w:pP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V. </w:t>
      </w:r>
      <w:r w:rsidR="00B04C99" w:rsidRPr="004078C6">
        <w:rPr>
          <w:rFonts w:ascii="Arial" w:hAnsi="Arial" w:cs="Arial"/>
          <w:b/>
          <w:bCs/>
          <w:i/>
          <w:iCs/>
          <w:sz w:val="24"/>
          <w:szCs w:val="24"/>
          <w:lang w:val="es-ES_tradnl"/>
        </w:rPr>
        <w:t>Se deberán establecer lugares para aplicación gratuita de la prueba y además lugares avalados para realizarla a bajo costo.</w:t>
      </w:r>
    </w:p>
    <w:p w:rsidR="00B04C99" w:rsidRPr="00B04C99" w:rsidRDefault="00B04C99" w:rsidP="00B04C99">
      <w:pPr>
        <w:widowControl w:val="0"/>
        <w:ind w:left="567" w:right="567"/>
        <w:jc w:val="both"/>
        <w:rPr>
          <w:rFonts w:ascii="Arial" w:hAnsi="Arial" w:cs="Arial"/>
          <w:b/>
          <w:bCs/>
          <w:i/>
          <w:iCs/>
          <w:sz w:val="24"/>
          <w:szCs w:val="24"/>
          <w:lang w:val="es-ES_tradnl"/>
        </w:rPr>
      </w:pPr>
    </w:p>
    <w:p w:rsidR="00B04C99" w:rsidRPr="00B04C99" w:rsidRDefault="0073014D" w:rsidP="0073014D">
      <w:pPr>
        <w:pStyle w:val="Prrafodelista"/>
        <w:widowControl w:val="0"/>
        <w:spacing w:after="0" w:line="240" w:lineRule="auto"/>
        <w:ind w:left="567" w:right="567"/>
        <w:jc w:val="both"/>
        <w:rPr>
          <w:rFonts w:ascii="Arial" w:hAnsi="Arial" w:cs="Arial"/>
          <w:b/>
          <w:bCs/>
          <w:i/>
          <w:iCs/>
          <w:sz w:val="24"/>
          <w:szCs w:val="24"/>
          <w:lang w:val="es-ES_tradnl"/>
        </w:rPr>
      </w:pPr>
      <w:r>
        <w:rPr>
          <w:rFonts w:ascii="Arial" w:hAnsi="Arial" w:cs="Arial"/>
          <w:b/>
          <w:bCs/>
          <w:i/>
          <w:iCs/>
          <w:sz w:val="24"/>
          <w:szCs w:val="24"/>
          <w:lang w:val="es-ES_tradnl"/>
        </w:rPr>
        <w:t xml:space="preserve">VI. </w:t>
      </w:r>
      <w:r w:rsidR="00B04C99" w:rsidRPr="00B04C99">
        <w:rPr>
          <w:rFonts w:ascii="Arial" w:hAnsi="Arial" w:cs="Arial"/>
          <w:b/>
          <w:bCs/>
          <w:i/>
          <w:iCs/>
          <w:sz w:val="24"/>
          <w:szCs w:val="24"/>
          <w:lang w:val="es-ES_tradnl"/>
        </w:rPr>
        <w:t>Al establecer la medida se deberá publicar en el periódico Oficial del Estado precisando el motivo de esta, su temporalidad y los servicios públicos a los que se tendrá que acceder previa constancia de aplicación de la prueba y/o exhibición del certificado de vacunación.</w:t>
      </w:r>
    </w:p>
    <w:p w:rsidR="00B04C99" w:rsidRPr="00B04C99" w:rsidRDefault="00B04C99" w:rsidP="00B04C99">
      <w:pPr>
        <w:pStyle w:val="Prrafodelista"/>
        <w:ind w:left="567" w:right="567"/>
        <w:rPr>
          <w:rFonts w:ascii="Arial" w:hAnsi="Arial" w:cs="Arial"/>
          <w:b/>
          <w:bCs/>
          <w:i/>
          <w:iCs/>
          <w:sz w:val="24"/>
          <w:szCs w:val="24"/>
          <w:lang w:val="es-ES_tradnl"/>
        </w:rPr>
      </w:pPr>
    </w:p>
    <w:p w:rsidR="00B04C99" w:rsidRPr="00B04C99" w:rsidRDefault="00B04C99" w:rsidP="00B04C99">
      <w:pPr>
        <w:widowControl w:val="0"/>
        <w:ind w:left="567" w:right="567"/>
        <w:jc w:val="both"/>
        <w:rPr>
          <w:rFonts w:ascii="Arial" w:hAnsi="Arial" w:cs="Arial"/>
          <w:b/>
          <w:bCs/>
          <w:i/>
          <w:iCs/>
          <w:sz w:val="24"/>
          <w:szCs w:val="24"/>
          <w:lang w:val="es-ES_tradnl"/>
        </w:rPr>
      </w:pPr>
      <w:r w:rsidRPr="00B04C99">
        <w:rPr>
          <w:rFonts w:ascii="Arial" w:hAnsi="Arial" w:cs="Arial"/>
          <w:b/>
          <w:bCs/>
          <w:i/>
          <w:iCs/>
          <w:sz w:val="24"/>
          <w:szCs w:val="24"/>
          <w:lang w:val="es-ES_tradnl"/>
        </w:rPr>
        <w:t>En caso de que para ingresar el territorio del Estado se requiera se deberá proveer lo necesario para difundir la medida adecuadamente, evitando en lo posible causar perjuicios a las personas en sus traslados.</w:t>
      </w:r>
    </w:p>
    <w:p w:rsidR="00B04C99" w:rsidRPr="0073014D" w:rsidRDefault="00B04C99" w:rsidP="0073014D">
      <w:pPr>
        <w:widowControl w:val="0"/>
        <w:ind w:left="567" w:right="567"/>
        <w:jc w:val="both"/>
        <w:rPr>
          <w:rFonts w:ascii="Arial" w:hAnsi="Arial" w:cs="Arial"/>
          <w:b/>
          <w:bCs/>
          <w:i/>
          <w:iCs/>
          <w:sz w:val="24"/>
          <w:szCs w:val="24"/>
          <w:lang w:val="es-ES_tradnl"/>
        </w:rPr>
      </w:pPr>
      <w:r w:rsidRPr="00B04C99">
        <w:rPr>
          <w:rFonts w:ascii="Arial" w:hAnsi="Arial" w:cs="Arial"/>
          <w:b/>
          <w:bCs/>
          <w:i/>
          <w:iCs/>
          <w:sz w:val="24"/>
          <w:szCs w:val="24"/>
          <w:lang w:val="es-ES_tradnl"/>
        </w:rPr>
        <w:t xml:space="preserve">El Congreso del Estado podrá en cualquier tiempo al Ejecutivo del Estado imponer alguna de las medidas prevista en esta Ley, fundado y motivando su solicitud. </w:t>
      </w:r>
    </w:p>
    <w:p w:rsidR="00B04C99" w:rsidRPr="00B04C99" w:rsidRDefault="00B04C99" w:rsidP="00B04C99">
      <w:pPr>
        <w:spacing w:line="360" w:lineRule="auto"/>
        <w:ind w:left="567" w:right="567"/>
        <w:jc w:val="center"/>
        <w:rPr>
          <w:rFonts w:ascii="Arial" w:hAnsi="Arial" w:cs="Arial"/>
          <w:i/>
          <w:sz w:val="24"/>
          <w:szCs w:val="24"/>
        </w:rPr>
      </w:pPr>
      <w:r w:rsidRPr="00B04C99">
        <w:rPr>
          <w:rFonts w:ascii="Arial" w:hAnsi="Arial" w:cs="Arial"/>
          <w:b/>
          <w:i/>
          <w:sz w:val="24"/>
          <w:szCs w:val="24"/>
        </w:rPr>
        <w:t>TRANSITORIOS:</w:t>
      </w:r>
    </w:p>
    <w:p w:rsidR="00B04C99" w:rsidRPr="00B04C99" w:rsidRDefault="00B04C99" w:rsidP="00B04C99">
      <w:pPr>
        <w:spacing w:line="360" w:lineRule="auto"/>
        <w:ind w:left="567" w:right="567"/>
        <w:jc w:val="both"/>
        <w:rPr>
          <w:rFonts w:ascii="Arial" w:hAnsi="Arial" w:cs="Arial"/>
          <w:i/>
          <w:sz w:val="24"/>
          <w:szCs w:val="24"/>
        </w:rPr>
      </w:pPr>
      <w:r w:rsidRPr="00B04C99">
        <w:rPr>
          <w:rFonts w:ascii="Arial" w:hAnsi="Arial" w:cs="Arial"/>
          <w:i/>
          <w:sz w:val="24"/>
          <w:szCs w:val="24"/>
        </w:rPr>
        <w:t>UNICO.- El presente decreto entrará en vigor el día siguiente de su publicación en el Periódico Oficial del Estado</w:t>
      </w:r>
      <w:r w:rsidR="0073014D">
        <w:rPr>
          <w:rFonts w:ascii="Arial" w:hAnsi="Arial" w:cs="Arial"/>
          <w:i/>
          <w:sz w:val="24"/>
          <w:szCs w:val="24"/>
        </w:rPr>
        <w:t>”</w:t>
      </w:r>
      <w:r w:rsidRPr="00B04C99">
        <w:rPr>
          <w:rFonts w:ascii="Arial" w:hAnsi="Arial" w:cs="Arial"/>
          <w:i/>
          <w:sz w:val="24"/>
          <w:szCs w:val="24"/>
        </w:rPr>
        <w:t>.</w:t>
      </w:r>
    </w:p>
    <w:p w:rsidR="00A45074" w:rsidRPr="00A45074" w:rsidRDefault="00A45074" w:rsidP="004954CC">
      <w:pPr>
        <w:spacing w:after="0" w:line="360" w:lineRule="auto"/>
        <w:jc w:val="both"/>
        <w:rPr>
          <w:rFonts w:ascii="Century Gothic" w:eastAsia="Calibri" w:hAnsi="Century Gothic" w:cs="Arial"/>
          <w:b/>
          <w:sz w:val="24"/>
          <w:szCs w:val="24"/>
        </w:rPr>
      </w:pPr>
    </w:p>
    <w:p w:rsidR="004506DE" w:rsidRDefault="004506DE" w:rsidP="004954CC">
      <w:pPr>
        <w:spacing w:after="0" w:line="360" w:lineRule="auto"/>
        <w:jc w:val="both"/>
        <w:rPr>
          <w:rFonts w:ascii="Century Gothic" w:eastAsia="Calibri" w:hAnsi="Century Gothic" w:cs="Arial"/>
          <w:b/>
          <w:sz w:val="24"/>
          <w:szCs w:val="24"/>
        </w:rPr>
      </w:pPr>
    </w:p>
    <w:p w:rsidR="004954CC" w:rsidRPr="00AA2C7F" w:rsidRDefault="004954CC" w:rsidP="004954CC">
      <w:pPr>
        <w:spacing w:after="0" w:line="360" w:lineRule="auto"/>
        <w:jc w:val="both"/>
        <w:rPr>
          <w:rFonts w:ascii="Century Gothic" w:eastAsia="Arial" w:hAnsi="Century Gothic" w:cs="Arial"/>
          <w:color w:val="000000"/>
          <w:sz w:val="24"/>
          <w:szCs w:val="24"/>
          <w:lang w:eastAsia="es-ES"/>
        </w:rPr>
      </w:pPr>
      <w:r w:rsidRPr="00A45074">
        <w:rPr>
          <w:rFonts w:ascii="Century Gothic" w:eastAsia="Calibri" w:hAnsi="Century Gothic" w:cs="Arial"/>
          <w:b/>
          <w:sz w:val="24"/>
          <w:szCs w:val="24"/>
        </w:rPr>
        <w:t>IV.-</w:t>
      </w:r>
      <w:r w:rsidRPr="00A45074">
        <w:rPr>
          <w:rFonts w:ascii="Century Gothic" w:eastAsia="Calibri" w:hAnsi="Century Gothic" w:cs="Arial"/>
          <w:sz w:val="24"/>
          <w:szCs w:val="24"/>
        </w:rPr>
        <w:t xml:space="preserve"> </w:t>
      </w:r>
      <w:r w:rsidRPr="00A45074">
        <w:rPr>
          <w:rFonts w:ascii="Century Gothic" w:eastAsia="Arial" w:hAnsi="Century Gothic" w:cs="Arial"/>
          <w:color w:val="000000"/>
          <w:sz w:val="24"/>
          <w:szCs w:val="24"/>
          <w:lang w:eastAsia="es-ES"/>
        </w:rPr>
        <w:t>Ahora bien, al entrar</w:t>
      </w:r>
      <w:r w:rsidRPr="00AA2C7F">
        <w:rPr>
          <w:rFonts w:ascii="Century Gothic" w:eastAsia="Arial" w:hAnsi="Century Gothic" w:cs="Arial"/>
          <w:color w:val="000000"/>
          <w:sz w:val="24"/>
          <w:szCs w:val="24"/>
          <w:lang w:eastAsia="es-ES"/>
        </w:rPr>
        <w:t xml:space="preserve"> al estudio y análisis de la iniciativa en comento, quienes integramos la Comisión citada en el proemio del presente dictamen, formulamos las siguientes:</w:t>
      </w:r>
    </w:p>
    <w:p w:rsidR="00A45074" w:rsidRDefault="00A45074" w:rsidP="004954CC">
      <w:pPr>
        <w:spacing w:after="0" w:line="360" w:lineRule="auto"/>
        <w:jc w:val="center"/>
        <w:rPr>
          <w:rFonts w:ascii="Century Gothic" w:eastAsia="Calibri" w:hAnsi="Century Gothic" w:cs="Arial"/>
          <w:b/>
          <w:sz w:val="24"/>
          <w:szCs w:val="24"/>
        </w:rPr>
      </w:pPr>
    </w:p>
    <w:p w:rsidR="004954CC" w:rsidRPr="00AA2C7F" w:rsidRDefault="00EB380E" w:rsidP="004954CC">
      <w:pPr>
        <w:spacing w:after="0" w:line="360" w:lineRule="auto"/>
        <w:jc w:val="center"/>
        <w:rPr>
          <w:rFonts w:ascii="Century Gothic" w:eastAsia="Calibri" w:hAnsi="Century Gothic" w:cs="Arial"/>
          <w:b/>
          <w:sz w:val="24"/>
          <w:szCs w:val="24"/>
        </w:rPr>
      </w:pPr>
      <w:r w:rsidRPr="00AA2C7F">
        <w:rPr>
          <w:rFonts w:ascii="Century Gothic" w:eastAsia="Calibri" w:hAnsi="Century Gothic" w:cs="Arial"/>
          <w:b/>
          <w:sz w:val="24"/>
          <w:szCs w:val="24"/>
        </w:rPr>
        <w:lastRenderedPageBreak/>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D</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R</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A</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p>
    <w:p w:rsidR="004954CC" w:rsidRPr="00D25F0C" w:rsidRDefault="004954CC" w:rsidP="0030435C">
      <w:pPr>
        <w:spacing w:after="0" w:line="360" w:lineRule="auto"/>
        <w:jc w:val="both"/>
        <w:rPr>
          <w:rFonts w:ascii="Century Gothic" w:eastAsia="Calibri" w:hAnsi="Century Gothic" w:cs="Arial"/>
          <w:b/>
          <w:sz w:val="24"/>
          <w:szCs w:val="24"/>
        </w:rPr>
      </w:pPr>
    </w:p>
    <w:p w:rsidR="004954CC" w:rsidRDefault="004954CC" w:rsidP="0030435C">
      <w:pPr>
        <w:spacing w:line="360" w:lineRule="auto"/>
        <w:jc w:val="both"/>
        <w:rPr>
          <w:rFonts w:ascii="Century Gothic" w:hAnsi="Century Gothic"/>
          <w:sz w:val="24"/>
          <w:szCs w:val="24"/>
        </w:rPr>
      </w:pPr>
      <w:r w:rsidRPr="0030435C">
        <w:rPr>
          <w:rFonts w:ascii="Century Gothic" w:hAnsi="Century Gothic"/>
          <w:b/>
          <w:sz w:val="24"/>
          <w:szCs w:val="24"/>
        </w:rPr>
        <w:t>I.-</w:t>
      </w:r>
      <w:r w:rsidRPr="003A5243">
        <w:rPr>
          <w:rFonts w:ascii="Century Gothic" w:hAnsi="Century Gothic"/>
          <w:sz w:val="24"/>
          <w:szCs w:val="24"/>
        </w:rPr>
        <w:t xml:space="preserve"> Al analizar las facultades competenciales de este Alto Cuerpo Colegiado, quienes integramos esta Comisión de Dictamen Legislativo, no encontramos impedimento alguno para conocer del presente asunto.</w:t>
      </w:r>
    </w:p>
    <w:p w:rsidR="00315689" w:rsidRDefault="00FF5DFE" w:rsidP="004B558C">
      <w:pPr>
        <w:spacing w:line="360" w:lineRule="auto"/>
        <w:jc w:val="both"/>
        <w:rPr>
          <w:rFonts w:ascii="Century Gothic" w:hAnsi="Century Gothic"/>
          <w:sz w:val="24"/>
          <w:szCs w:val="24"/>
        </w:rPr>
      </w:pPr>
      <w:r w:rsidRPr="00E56931">
        <w:rPr>
          <w:rFonts w:ascii="Century Gothic" w:hAnsi="Century Gothic"/>
          <w:b/>
          <w:sz w:val="24"/>
          <w:szCs w:val="24"/>
        </w:rPr>
        <w:t>II.-</w:t>
      </w:r>
      <w:r w:rsidR="006520B3">
        <w:rPr>
          <w:rFonts w:ascii="Century Gothic" w:hAnsi="Century Gothic"/>
          <w:b/>
          <w:sz w:val="24"/>
          <w:szCs w:val="24"/>
        </w:rPr>
        <w:t xml:space="preserve"> </w:t>
      </w:r>
      <w:r w:rsidR="00315689" w:rsidRPr="003A5243">
        <w:rPr>
          <w:rFonts w:ascii="Century Gothic" w:hAnsi="Century Gothic"/>
          <w:sz w:val="24"/>
          <w:szCs w:val="24"/>
        </w:rPr>
        <w:t xml:space="preserve">Tal y como se expone en los antecedentes de este documento, </w:t>
      </w:r>
      <w:r w:rsidR="00315689">
        <w:rPr>
          <w:rFonts w:ascii="Century Gothic" w:hAnsi="Century Gothic"/>
          <w:sz w:val="24"/>
          <w:szCs w:val="24"/>
        </w:rPr>
        <w:t>la i</w:t>
      </w:r>
      <w:r w:rsidR="00315689" w:rsidRPr="003A5243">
        <w:rPr>
          <w:rFonts w:ascii="Century Gothic" w:hAnsi="Century Gothic"/>
          <w:sz w:val="24"/>
          <w:szCs w:val="24"/>
        </w:rPr>
        <w:t>niciativa cuyo análisis hoy nos ocupa, tiene como finalidad</w:t>
      </w:r>
      <w:r w:rsidR="00315689">
        <w:rPr>
          <w:rFonts w:ascii="Century Gothic" w:hAnsi="Century Gothic"/>
          <w:sz w:val="24"/>
          <w:szCs w:val="24"/>
        </w:rPr>
        <w:t xml:space="preserve"> realizar reformas a fin de que se observe la práctica obligatoria de</w:t>
      </w:r>
      <w:r w:rsidR="00E56931">
        <w:rPr>
          <w:rFonts w:ascii="Century Gothic" w:hAnsi="Century Gothic"/>
          <w:sz w:val="24"/>
          <w:szCs w:val="24"/>
        </w:rPr>
        <w:t xml:space="preserve"> pruebas de</w:t>
      </w:r>
      <w:r w:rsidR="00315689">
        <w:rPr>
          <w:rFonts w:ascii="Century Gothic" w:hAnsi="Century Gothic"/>
          <w:sz w:val="24"/>
          <w:szCs w:val="24"/>
        </w:rPr>
        <w:t xml:space="preserve"> detección del virus Covid-19, así como la respectiva exhibición del certificado de vacunación contra el citado virus. </w:t>
      </w:r>
    </w:p>
    <w:p w:rsidR="004E47F0" w:rsidRPr="004E47F0" w:rsidRDefault="00315689" w:rsidP="004E47F0">
      <w:pPr>
        <w:spacing w:line="360" w:lineRule="auto"/>
        <w:jc w:val="both"/>
        <w:rPr>
          <w:rFonts w:ascii="Century Gothic" w:hAnsi="Century Gothic"/>
          <w:sz w:val="24"/>
          <w:szCs w:val="24"/>
        </w:rPr>
      </w:pPr>
      <w:r>
        <w:rPr>
          <w:rFonts w:ascii="Century Gothic" w:hAnsi="Century Gothic"/>
          <w:sz w:val="24"/>
          <w:szCs w:val="24"/>
        </w:rPr>
        <w:t>A la luz de la pretensión planteada, resulta importante referir</w:t>
      </w:r>
      <w:r w:rsidR="004E47F0">
        <w:rPr>
          <w:rFonts w:ascii="Century Gothic" w:hAnsi="Century Gothic"/>
          <w:sz w:val="24"/>
          <w:szCs w:val="24"/>
        </w:rPr>
        <w:t xml:space="preserve"> </w:t>
      </w:r>
      <w:r w:rsidR="00E50D98">
        <w:rPr>
          <w:rFonts w:ascii="Century Gothic" w:hAnsi="Century Gothic"/>
          <w:sz w:val="24"/>
          <w:szCs w:val="24"/>
        </w:rPr>
        <w:t xml:space="preserve">lo siguiente: </w:t>
      </w:r>
      <w:r w:rsidR="004E47F0">
        <w:rPr>
          <w:rFonts w:ascii="Century Gothic" w:hAnsi="Century Gothic"/>
          <w:sz w:val="24"/>
          <w:szCs w:val="24"/>
        </w:rPr>
        <w:t xml:space="preserve">según el </w:t>
      </w:r>
      <w:r w:rsidR="004E47F0" w:rsidRPr="004E47F0">
        <w:rPr>
          <w:rFonts w:ascii="Century Gothic" w:hAnsi="Century Gothic"/>
          <w:sz w:val="24"/>
          <w:szCs w:val="24"/>
        </w:rPr>
        <w:t>Centro de Investigación en Políticas, Población y Salud de la Facultad</w:t>
      </w:r>
      <w:r w:rsidR="004E47F0">
        <w:rPr>
          <w:rFonts w:ascii="Century Gothic" w:hAnsi="Century Gothic"/>
          <w:sz w:val="24"/>
          <w:szCs w:val="24"/>
        </w:rPr>
        <w:t xml:space="preserve"> de Medicina de la Universidad Autónoma de México</w:t>
      </w:r>
      <w:r w:rsidR="004E47F0">
        <w:rPr>
          <w:rStyle w:val="Refdenotaalpie"/>
          <w:rFonts w:ascii="Century Gothic" w:hAnsi="Century Gothic"/>
          <w:sz w:val="24"/>
          <w:szCs w:val="24"/>
        </w:rPr>
        <w:footnoteReference w:id="2"/>
      </w:r>
      <w:r w:rsidR="004E47F0" w:rsidRPr="004E47F0">
        <w:rPr>
          <w:rFonts w:ascii="Century Gothic" w:hAnsi="Century Gothic"/>
          <w:sz w:val="24"/>
          <w:szCs w:val="24"/>
        </w:rPr>
        <w:t>, señaló que las pruebas diagnósticas presentan diferencias dependiendo de la etapa de la enfermedad en la que se encuentra un paciente. Estas fases abarcan: el periodo de ventana o incubación donde hay contagio (pero todavía no se desarrollan síntomas), fase inicial de la infección, infección activa, fase final, fase de recuperación y fase de infección superada. Estas etapas están determinadas por la carga viral, los síntomas y la pr</w:t>
      </w:r>
      <w:r w:rsidR="00E50D98">
        <w:rPr>
          <w:rFonts w:ascii="Century Gothic" w:hAnsi="Century Gothic"/>
          <w:sz w:val="24"/>
          <w:szCs w:val="24"/>
        </w:rPr>
        <w:t>esencia de las inmunoglobulinas.</w:t>
      </w:r>
    </w:p>
    <w:p w:rsidR="00E50D98" w:rsidRDefault="00E50D98" w:rsidP="004E47F0">
      <w:pPr>
        <w:spacing w:line="360" w:lineRule="auto"/>
        <w:jc w:val="both"/>
        <w:rPr>
          <w:rFonts w:ascii="Century Gothic" w:hAnsi="Century Gothic"/>
          <w:sz w:val="24"/>
          <w:szCs w:val="24"/>
        </w:rPr>
      </w:pPr>
      <w:r>
        <w:rPr>
          <w:rFonts w:ascii="Century Gothic" w:hAnsi="Century Gothic"/>
          <w:sz w:val="24"/>
          <w:szCs w:val="24"/>
        </w:rPr>
        <w:t>Ahora bien, c</w:t>
      </w:r>
      <w:r w:rsidR="004E47F0" w:rsidRPr="004E47F0">
        <w:rPr>
          <w:rFonts w:ascii="Century Gothic" w:hAnsi="Century Gothic"/>
          <w:sz w:val="24"/>
          <w:szCs w:val="24"/>
        </w:rPr>
        <w:t xml:space="preserve">on las pruebas disponibles se persiguen tres objetivos específicos: </w:t>
      </w:r>
      <w:r>
        <w:rPr>
          <w:rFonts w:ascii="Century Gothic" w:hAnsi="Century Gothic"/>
          <w:sz w:val="24"/>
          <w:szCs w:val="24"/>
        </w:rPr>
        <w:t xml:space="preserve">tamizaje, </w:t>
      </w:r>
      <w:r w:rsidR="004E47F0" w:rsidRPr="004E47F0">
        <w:rPr>
          <w:rFonts w:ascii="Century Gothic" w:hAnsi="Century Gothic"/>
          <w:sz w:val="24"/>
          <w:szCs w:val="24"/>
        </w:rPr>
        <w:t xml:space="preserve">diagnóstico y seguimiento. </w:t>
      </w:r>
    </w:p>
    <w:p w:rsidR="00E50D98" w:rsidRDefault="00E50D98" w:rsidP="004E47F0">
      <w:pPr>
        <w:spacing w:line="360" w:lineRule="auto"/>
        <w:jc w:val="both"/>
        <w:rPr>
          <w:rFonts w:ascii="Century Gothic" w:hAnsi="Century Gothic"/>
          <w:sz w:val="24"/>
          <w:szCs w:val="24"/>
        </w:rPr>
      </w:pPr>
      <w:r>
        <w:rPr>
          <w:rFonts w:ascii="Century Gothic" w:hAnsi="Century Gothic"/>
          <w:sz w:val="24"/>
          <w:szCs w:val="24"/>
        </w:rPr>
        <w:lastRenderedPageBreak/>
        <w:t xml:space="preserve">1.- </w:t>
      </w:r>
      <w:r w:rsidR="004E47F0" w:rsidRPr="004E47F0">
        <w:rPr>
          <w:rFonts w:ascii="Century Gothic" w:hAnsi="Century Gothic"/>
          <w:sz w:val="24"/>
          <w:szCs w:val="24"/>
        </w:rPr>
        <w:t>El tamizaje</w:t>
      </w:r>
      <w:r>
        <w:rPr>
          <w:rFonts w:ascii="Century Gothic" w:hAnsi="Century Gothic"/>
          <w:sz w:val="24"/>
          <w:szCs w:val="24"/>
        </w:rPr>
        <w:t>,</w:t>
      </w:r>
      <w:r w:rsidR="004E47F0" w:rsidRPr="004E47F0">
        <w:rPr>
          <w:rFonts w:ascii="Century Gothic" w:hAnsi="Century Gothic"/>
          <w:sz w:val="24"/>
          <w:szCs w:val="24"/>
        </w:rPr>
        <w:t xml:space="preserve"> se basa en la prueba de antígenos, que se realiza a casos sospechosos y a personas que han estado expuestas a situaciones de riesgo de contagio. </w:t>
      </w:r>
    </w:p>
    <w:p w:rsidR="00E50D98" w:rsidRDefault="00E50D98" w:rsidP="004E47F0">
      <w:pPr>
        <w:spacing w:line="360" w:lineRule="auto"/>
        <w:jc w:val="both"/>
        <w:rPr>
          <w:rFonts w:ascii="Century Gothic" w:hAnsi="Century Gothic"/>
          <w:sz w:val="24"/>
          <w:szCs w:val="24"/>
        </w:rPr>
      </w:pPr>
      <w:r>
        <w:rPr>
          <w:rFonts w:ascii="Century Gothic" w:hAnsi="Century Gothic"/>
          <w:sz w:val="24"/>
          <w:szCs w:val="24"/>
        </w:rPr>
        <w:t xml:space="preserve">2.- </w:t>
      </w:r>
      <w:r w:rsidR="004E47F0" w:rsidRPr="004E47F0">
        <w:rPr>
          <w:rFonts w:ascii="Century Gothic" w:hAnsi="Century Gothic"/>
          <w:sz w:val="24"/>
          <w:szCs w:val="24"/>
        </w:rPr>
        <w:t>La parte diagnóstica</w:t>
      </w:r>
      <w:r>
        <w:rPr>
          <w:rFonts w:ascii="Century Gothic" w:hAnsi="Century Gothic"/>
          <w:sz w:val="24"/>
          <w:szCs w:val="24"/>
        </w:rPr>
        <w:t>,</w:t>
      </w:r>
      <w:r w:rsidR="004E47F0" w:rsidRPr="004E47F0">
        <w:rPr>
          <w:rFonts w:ascii="Century Gothic" w:hAnsi="Century Gothic"/>
          <w:sz w:val="24"/>
          <w:szCs w:val="24"/>
        </w:rPr>
        <w:t xml:space="preserve"> consiste en un abordaje individual y busca sobre todo la presencia de infección aguda, en donde la prueba PCR tiene una alta efectividad. </w:t>
      </w:r>
    </w:p>
    <w:p w:rsidR="00E50D98" w:rsidRDefault="00E50D98" w:rsidP="004E47F0">
      <w:pPr>
        <w:spacing w:line="360" w:lineRule="auto"/>
        <w:jc w:val="both"/>
        <w:rPr>
          <w:rFonts w:ascii="Century Gothic" w:hAnsi="Century Gothic"/>
          <w:sz w:val="24"/>
          <w:szCs w:val="24"/>
        </w:rPr>
      </w:pPr>
      <w:r>
        <w:rPr>
          <w:rFonts w:ascii="Century Gothic" w:hAnsi="Century Gothic"/>
          <w:sz w:val="24"/>
          <w:szCs w:val="24"/>
        </w:rPr>
        <w:t>3.- El</w:t>
      </w:r>
      <w:r w:rsidR="004E47F0" w:rsidRPr="004E47F0">
        <w:rPr>
          <w:rFonts w:ascii="Century Gothic" w:hAnsi="Century Gothic"/>
          <w:sz w:val="24"/>
          <w:szCs w:val="24"/>
        </w:rPr>
        <w:t xml:space="preserve"> seguimiento</w:t>
      </w:r>
      <w:r>
        <w:rPr>
          <w:rFonts w:ascii="Century Gothic" w:hAnsi="Century Gothic"/>
          <w:sz w:val="24"/>
          <w:szCs w:val="24"/>
        </w:rPr>
        <w:t>,</w:t>
      </w:r>
      <w:r w:rsidR="004E47F0" w:rsidRPr="004E47F0">
        <w:rPr>
          <w:rFonts w:ascii="Century Gothic" w:hAnsi="Century Gothic"/>
          <w:sz w:val="24"/>
          <w:szCs w:val="24"/>
        </w:rPr>
        <w:t xml:space="preserve"> se realiza la prueba cualitativa de anticuerpos. </w:t>
      </w:r>
    </w:p>
    <w:p w:rsidR="004E47F0" w:rsidRPr="004E47F0" w:rsidRDefault="00016C5B" w:rsidP="004E47F0">
      <w:pPr>
        <w:spacing w:line="360" w:lineRule="auto"/>
        <w:jc w:val="both"/>
        <w:rPr>
          <w:rFonts w:ascii="Century Gothic" w:hAnsi="Century Gothic"/>
          <w:sz w:val="24"/>
          <w:szCs w:val="24"/>
        </w:rPr>
      </w:pPr>
      <w:r>
        <w:rPr>
          <w:rFonts w:ascii="Century Gothic" w:hAnsi="Century Gothic"/>
          <w:sz w:val="24"/>
          <w:szCs w:val="24"/>
        </w:rPr>
        <w:t>En este orden de ideas, se puntualiza que e</w:t>
      </w:r>
      <w:r w:rsidR="004E47F0" w:rsidRPr="004E47F0">
        <w:rPr>
          <w:rFonts w:ascii="Century Gothic" w:hAnsi="Century Gothic"/>
          <w:sz w:val="24"/>
          <w:szCs w:val="24"/>
        </w:rPr>
        <w:t>ntre las desventajas de la prueba PCR destaca su costo mayor, la dificultad de realizarla y la necesidad d</w:t>
      </w:r>
      <w:r>
        <w:rPr>
          <w:rFonts w:ascii="Century Gothic" w:hAnsi="Century Gothic"/>
          <w:sz w:val="24"/>
          <w:szCs w:val="24"/>
        </w:rPr>
        <w:t xml:space="preserve">e emplear equipo especializado, </w:t>
      </w:r>
      <w:r w:rsidR="004E47F0" w:rsidRPr="004E47F0">
        <w:rPr>
          <w:rFonts w:ascii="Century Gothic" w:hAnsi="Century Gothic"/>
          <w:sz w:val="24"/>
          <w:szCs w:val="24"/>
        </w:rPr>
        <w:t>complicando que puedan hacerse de manera periódica a comparación de las pruebas de antígeno.</w:t>
      </w:r>
    </w:p>
    <w:p w:rsidR="00016C5B" w:rsidRDefault="00016C5B" w:rsidP="004E47F0">
      <w:pPr>
        <w:spacing w:line="360" w:lineRule="auto"/>
        <w:jc w:val="both"/>
        <w:rPr>
          <w:rFonts w:ascii="Century Gothic" w:hAnsi="Century Gothic"/>
          <w:sz w:val="24"/>
          <w:szCs w:val="24"/>
        </w:rPr>
      </w:pPr>
      <w:r>
        <w:rPr>
          <w:rFonts w:ascii="Century Gothic" w:hAnsi="Century Gothic"/>
          <w:sz w:val="24"/>
          <w:szCs w:val="24"/>
        </w:rPr>
        <w:t>Por otra parte, l</w:t>
      </w:r>
      <w:r w:rsidR="004E47F0" w:rsidRPr="004E47F0">
        <w:rPr>
          <w:rFonts w:ascii="Century Gothic" w:hAnsi="Century Gothic"/>
          <w:sz w:val="24"/>
          <w:szCs w:val="24"/>
        </w:rPr>
        <w:t>as pruebas rápidas de antígeno</w:t>
      </w:r>
      <w:r>
        <w:rPr>
          <w:rFonts w:ascii="Century Gothic" w:hAnsi="Century Gothic"/>
          <w:sz w:val="24"/>
          <w:szCs w:val="24"/>
        </w:rPr>
        <w:t>,</w:t>
      </w:r>
      <w:r w:rsidR="004E47F0" w:rsidRPr="004E47F0">
        <w:rPr>
          <w:rFonts w:ascii="Century Gothic" w:hAnsi="Century Gothic"/>
          <w:sz w:val="24"/>
          <w:szCs w:val="24"/>
        </w:rPr>
        <w:t xml:space="preserve"> pueden utilizarse para saber si una persona está infectada o determinar si hubo contagio tras tener contacto con algún enfermo, </w:t>
      </w:r>
      <w:r>
        <w:rPr>
          <w:rFonts w:ascii="Century Gothic" w:hAnsi="Century Gothic"/>
          <w:sz w:val="24"/>
          <w:szCs w:val="24"/>
        </w:rPr>
        <w:t xml:space="preserve">y </w:t>
      </w:r>
      <w:r w:rsidR="004E47F0" w:rsidRPr="004E47F0">
        <w:rPr>
          <w:rFonts w:ascii="Century Gothic" w:hAnsi="Century Gothic"/>
          <w:sz w:val="24"/>
          <w:szCs w:val="24"/>
        </w:rPr>
        <w:t xml:space="preserve">se realizan sin la necesidad de contar con un laboratorio, son útiles en el primer nivel de atención, consultorios, farmacias y quioscos, independientemente de la infraestructura y la movilidad. </w:t>
      </w:r>
    </w:p>
    <w:p w:rsidR="004E47F0" w:rsidRDefault="00016C5B" w:rsidP="004E47F0">
      <w:pPr>
        <w:spacing w:line="360" w:lineRule="auto"/>
        <w:jc w:val="both"/>
        <w:rPr>
          <w:rFonts w:ascii="Century Gothic" w:hAnsi="Century Gothic"/>
          <w:sz w:val="24"/>
          <w:szCs w:val="24"/>
        </w:rPr>
      </w:pPr>
      <w:r>
        <w:rPr>
          <w:rFonts w:ascii="Century Gothic" w:hAnsi="Century Gothic"/>
          <w:sz w:val="24"/>
          <w:szCs w:val="24"/>
        </w:rPr>
        <w:t xml:space="preserve">En </w:t>
      </w:r>
      <w:r w:rsidR="00B93A20">
        <w:rPr>
          <w:rFonts w:ascii="Century Gothic" w:hAnsi="Century Gothic"/>
          <w:sz w:val="24"/>
          <w:szCs w:val="24"/>
        </w:rPr>
        <w:t>tal virtud</w:t>
      </w:r>
      <w:r>
        <w:rPr>
          <w:rFonts w:ascii="Century Gothic" w:hAnsi="Century Gothic"/>
          <w:sz w:val="24"/>
          <w:szCs w:val="24"/>
        </w:rPr>
        <w:t>, c</w:t>
      </w:r>
      <w:r w:rsidR="004E47F0" w:rsidRPr="004E47F0">
        <w:rPr>
          <w:rFonts w:ascii="Century Gothic" w:hAnsi="Century Gothic"/>
          <w:sz w:val="24"/>
          <w:szCs w:val="24"/>
        </w:rPr>
        <w:t xml:space="preserve">onocer estas diferencias tiene un gran valor para el estudio poblacional y el seguimiento de la enfermedad, </w:t>
      </w:r>
      <w:r w:rsidR="00B93A20">
        <w:rPr>
          <w:rFonts w:ascii="Century Gothic" w:hAnsi="Century Gothic"/>
          <w:sz w:val="24"/>
          <w:szCs w:val="24"/>
        </w:rPr>
        <w:t xml:space="preserve">toda vez que </w:t>
      </w:r>
      <w:r w:rsidR="004E47F0" w:rsidRPr="004E47F0">
        <w:rPr>
          <w:rFonts w:ascii="Century Gothic" w:hAnsi="Century Gothic"/>
          <w:sz w:val="24"/>
          <w:szCs w:val="24"/>
        </w:rPr>
        <w:t>la prueba PCR es el estándar de oro, siendo más sensible, sin embargo, la prueba de antígeno en algunos casos tiene ventajas debido a que puede repetirse periódicamente</w:t>
      </w:r>
      <w:r>
        <w:rPr>
          <w:rFonts w:ascii="Century Gothic" w:hAnsi="Century Gothic"/>
          <w:sz w:val="24"/>
          <w:szCs w:val="24"/>
        </w:rPr>
        <w:t>.</w:t>
      </w:r>
    </w:p>
    <w:p w:rsidR="00016C5B" w:rsidRPr="00016C5B" w:rsidRDefault="00016C5B" w:rsidP="004E47F0">
      <w:pPr>
        <w:spacing w:line="360" w:lineRule="auto"/>
        <w:jc w:val="both"/>
        <w:rPr>
          <w:rFonts w:ascii="Century Gothic" w:hAnsi="Century Gothic"/>
          <w:sz w:val="24"/>
          <w:szCs w:val="24"/>
        </w:rPr>
      </w:pPr>
      <w:r>
        <w:rPr>
          <w:rFonts w:ascii="Century Gothic" w:hAnsi="Century Gothic"/>
          <w:sz w:val="24"/>
          <w:szCs w:val="24"/>
        </w:rPr>
        <w:t xml:space="preserve">Dicho lo anterior, resulta importante referir que la pretensión planteada en el cuerpo de la iniciativa, no resuelve el aspecto presupuestario a fin de </w:t>
      </w:r>
      <w:r>
        <w:rPr>
          <w:rFonts w:ascii="Century Gothic" w:hAnsi="Century Gothic" w:cs="Arial"/>
          <w:bCs/>
          <w:iCs/>
          <w:sz w:val="24"/>
          <w:szCs w:val="24"/>
          <w:lang w:val="es-ES_tradnl"/>
        </w:rPr>
        <w:t xml:space="preserve">que la persona titular del Poder </w:t>
      </w:r>
      <w:r w:rsidRPr="00016C5B">
        <w:rPr>
          <w:rFonts w:ascii="Century Gothic" w:hAnsi="Century Gothic" w:cs="Arial"/>
          <w:bCs/>
          <w:iCs/>
          <w:sz w:val="24"/>
          <w:szCs w:val="24"/>
          <w:lang w:val="es-ES_tradnl"/>
        </w:rPr>
        <w:t>Ejecutivo del Estado</w:t>
      </w:r>
      <w:r>
        <w:rPr>
          <w:rFonts w:ascii="Century Gothic" w:hAnsi="Century Gothic" w:cs="Arial"/>
          <w:bCs/>
          <w:iCs/>
          <w:sz w:val="24"/>
          <w:szCs w:val="24"/>
          <w:lang w:val="es-ES_tradnl"/>
        </w:rPr>
        <w:t>,</w:t>
      </w:r>
      <w:r w:rsidRPr="00016C5B">
        <w:rPr>
          <w:rFonts w:ascii="Century Gothic" w:hAnsi="Century Gothic" w:cs="Arial"/>
          <w:bCs/>
          <w:iCs/>
          <w:sz w:val="24"/>
          <w:szCs w:val="24"/>
          <w:lang w:val="es-ES_tradnl"/>
        </w:rPr>
        <w:t xml:space="preserve"> en cualquier momento como medida de contención </w:t>
      </w:r>
      <w:r w:rsidRPr="00016C5B">
        <w:rPr>
          <w:rFonts w:ascii="Century Gothic" w:hAnsi="Century Gothic" w:cs="Arial"/>
          <w:bCs/>
          <w:iCs/>
          <w:sz w:val="24"/>
          <w:szCs w:val="24"/>
          <w:lang w:val="es-ES_tradnl"/>
        </w:rPr>
        <w:lastRenderedPageBreak/>
        <w:t>de la infección</w:t>
      </w:r>
      <w:r>
        <w:rPr>
          <w:rFonts w:ascii="Century Gothic" w:hAnsi="Century Gothic"/>
          <w:sz w:val="24"/>
          <w:szCs w:val="24"/>
        </w:rPr>
        <w:t xml:space="preserve">, disponga </w:t>
      </w:r>
      <w:r w:rsidRPr="00016C5B">
        <w:rPr>
          <w:rFonts w:ascii="Century Gothic" w:hAnsi="Century Gothic" w:cs="Arial"/>
          <w:bCs/>
          <w:iCs/>
          <w:sz w:val="24"/>
          <w:szCs w:val="24"/>
          <w:lang w:val="es-ES_tradnl"/>
        </w:rPr>
        <w:t>la práctica obligatoria de</w:t>
      </w:r>
      <w:r>
        <w:rPr>
          <w:rFonts w:ascii="Century Gothic" w:hAnsi="Century Gothic" w:cs="Arial"/>
          <w:bCs/>
          <w:iCs/>
          <w:sz w:val="24"/>
          <w:szCs w:val="24"/>
          <w:lang w:val="es-ES_tradnl"/>
        </w:rPr>
        <w:t xml:space="preserve"> las respectivas</w:t>
      </w:r>
      <w:r w:rsidRPr="00016C5B">
        <w:rPr>
          <w:rFonts w:ascii="Century Gothic" w:hAnsi="Century Gothic" w:cs="Arial"/>
          <w:bCs/>
          <w:iCs/>
          <w:sz w:val="24"/>
          <w:szCs w:val="24"/>
          <w:lang w:val="es-ES_tradnl"/>
        </w:rPr>
        <w:t xml:space="preserve"> pruebas de detección</w:t>
      </w:r>
      <w:r>
        <w:rPr>
          <w:rFonts w:ascii="Century Gothic" w:hAnsi="Century Gothic" w:cs="Arial"/>
          <w:bCs/>
          <w:iCs/>
          <w:sz w:val="24"/>
          <w:szCs w:val="24"/>
          <w:lang w:val="es-ES_tradnl"/>
        </w:rPr>
        <w:t xml:space="preserve"> del citado virus, </w:t>
      </w:r>
      <w:r w:rsidR="00B93A20">
        <w:rPr>
          <w:rFonts w:ascii="Century Gothic" w:hAnsi="Century Gothic" w:cs="Arial"/>
          <w:bCs/>
          <w:iCs/>
          <w:sz w:val="24"/>
          <w:szCs w:val="24"/>
          <w:lang w:val="es-ES_tradnl"/>
        </w:rPr>
        <w:t xml:space="preserve">además </w:t>
      </w:r>
      <w:r>
        <w:rPr>
          <w:rFonts w:ascii="Century Gothic" w:hAnsi="Century Gothic" w:cs="Arial"/>
          <w:bCs/>
          <w:iCs/>
          <w:sz w:val="24"/>
          <w:szCs w:val="24"/>
          <w:lang w:val="es-ES_tradnl"/>
        </w:rPr>
        <w:t xml:space="preserve">entre otros aspectos, </w:t>
      </w:r>
      <w:r w:rsidR="00B93A20">
        <w:rPr>
          <w:rFonts w:ascii="Century Gothic" w:hAnsi="Century Gothic" w:cs="Arial"/>
          <w:bCs/>
          <w:iCs/>
          <w:sz w:val="24"/>
          <w:szCs w:val="24"/>
          <w:lang w:val="es-ES_tradnl"/>
        </w:rPr>
        <w:t>no se resuelve la</w:t>
      </w:r>
      <w:r>
        <w:rPr>
          <w:rFonts w:ascii="Century Gothic" w:hAnsi="Century Gothic" w:cs="Arial"/>
          <w:bCs/>
          <w:iCs/>
          <w:sz w:val="24"/>
          <w:szCs w:val="24"/>
          <w:lang w:val="es-ES_tradnl"/>
        </w:rPr>
        <w:t xml:space="preserve"> definición de las pruebas a aplicar en los casos concretos, </w:t>
      </w:r>
      <w:r w:rsidR="00B93A20">
        <w:rPr>
          <w:rFonts w:ascii="Century Gothic" w:hAnsi="Century Gothic" w:cs="Arial"/>
          <w:bCs/>
          <w:iCs/>
          <w:sz w:val="24"/>
          <w:szCs w:val="24"/>
          <w:lang w:val="es-ES_tradnl"/>
        </w:rPr>
        <w:t xml:space="preserve">las cuales, como ya se precisó con antelación, cuentan con particularidades muy </w:t>
      </w:r>
      <w:r w:rsidR="00E56931">
        <w:rPr>
          <w:rFonts w:ascii="Century Gothic" w:hAnsi="Century Gothic" w:cs="Arial"/>
          <w:bCs/>
          <w:iCs/>
          <w:sz w:val="24"/>
          <w:szCs w:val="24"/>
          <w:lang w:val="es-ES_tradnl"/>
        </w:rPr>
        <w:t>específicas</w:t>
      </w:r>
      <w:r w:rsidR="00B93A20">
        <w:rPr>
          <w:rFonts w:ascii="Century Gothic" w:hAnsi="Century Gothic" w:cs="Arial"/>
          <w:bCs/>
          <w:iCs/>
          <w:sz w:val="24"/>
          <w:szCs w:val="24"/>
          <w:lang w:val="es-ES_tradnl"/>
        </w:rPr>
        <w:t xml:space="preserve"> en cuanto al momento de su detección, aplicación y lugar en el que habrán de realizarse.</w:t>
      </w:r>
      <w:r>
        <w:rPr>
          <w:rFonts w:ascii="Century Gothic" w:hAnsi="Century Gothic" w:cs="Arial"/>
          <w:bCs/>
          <w:iCs/>
          <w:sz w:val="24"/>
          <w:szCs w:val="24"/>
          <w:lang w:val="es-ES_tradnl"/>
        </w:rPr>
        <w:t xml:space="preserve"> </w:t>
      </w:r>
    </w:p>
    <w:p w:rsidR="003654EE" w:rsidRPr="003654EE" w:rsidRDefault="00B93A20" w:rsidP="003654EE">
      <w:pPr>
        <w:spacing w:line="360" w:lineRule="auto"/>
        <w:jc w:val="both"/>
        <w:rPr>
          <w:rFonts w:ascii="Century Gothic" w:hAnsi="Century Gothic"/>
          <w:sz w:val="24"/>
          <w:szCs w:val="24"/>
        </w:rPr>
      </w:pPr>
      <w:r w:rsidRPr="003654EE">
        <w:rPr>
          <w:rFonts w:ascii="Century Gothic" w:hAnsi="Century Gothic"/>
          <w:b/>
          <w:sz w:val="24"/>
          <w:szCs w:val="24"/>
        </w:rPr>
        <w:t>III.-</w:t>
      </w:r>
      <w:r w:rsidRPr="003654EE">
        <w:rPr>
          <w:rFonts w:ascii="Century Gothic" w:hAnsi="Century Gothic"/>
          <w:sz w:val="24"/>
          <w:szCs w:val="24"/>
        </w:rPr>
        <w:t xml:space="preserve"> Por lo que respecta al tema de exhibición del certificado de vacunación contra el virus SARS-CoV-2 expedido por la Secretaría de Salud, quienes integramos la Comisión de mérito, coincidimos que el </w:t>
      </w:r>
      <w:r w:rsidR="004B558C" w:rsidRPr="003654EE">
        <w:rPr>
          <w:rFonts w:ascii="Century Gothic" w:hAnsi="Century Gothic"/>
          <w:sz w:val="24"/>
          <w:szCs w:val="24"/>
        </w:rPr>
        <w:t>principal objetivo de la vacunación es disminuir la gravedad y mortalidad por COVID-19, protegiendo especialmente a aquellos grupos más vulnerables.</w:t>
      </w:r>
    </w:p>
    <w:p w:rsidR="003654EE" w:rsidRPr="003654EE" w:rsidRDefault="00DC5CC7" w:rsidP="003654EE">
      <w:pPr>
        <w:spacing w:line="360" w:lineRule="auto"/>
        <w:jc w:val="both"/>
        <w:rPr>
          <w:rFonts w:ascii="Century Gothic" w:hAnsi="Century Gothic"/>
          <w:sz w:val="24"/>
          <w:szCs w:val="24"/>
        </w:rPr>
      </w:pPr>
      <w:r w:rsidRPr="003654EE">
        <w:rPr>
          <w:rFonts w:ascii="Century Gothic" w:hAnsi="Century Gothic"/>
          <w:sz w:val="24"/>
          <w:szCs w:val="24"/>
        </w:rPr>
        <w:t>En esta génesis, l</w:t>
      </w:r>
      <w:r w:rsidR="004B558C" w:rsidRPr="003654EE">
        <w:rPr>
          <w:rFonts w:ascii="Century Gothic" w:hAnsi="Century Gothic"/>
          <w:sz w:val="24"/>
          <w:szCs w:val="24"/>
        </w:rPr>
        <w:t>a vacunación es doblemente importante ya que protege directamente a cada persona vacunada, pero también protege de forma indirecta al resto de la población. Cuantas más personas se vayan inmunizando, menor probabilidad habrá de que el resto (en particular los más vulnerables a padecer enfermedad grave) se expongan al virus, o al menos a altas cargas víricas.</w:t>
      </w:r>
    </w:p>
    <w:p w:rsidR="004506DE" w:rsidRPr="003654EE" w:rsidRDefault="003654EE" w:rsidP="003654EE">
      <w:pPr>
        <w:spacing w:line="360" w:lineRule="auto"/>
        <w:jc w:val="both"/>
        <w:rPr>
          <w:rFonts w:ascii="Century Gothic" w:hAnsi="Century Gothic"/>
          <w:sz w:val="24"/>
          <w:szCs w:val="24"/>
        </w:rPr>
      </w:pPr>
      <w:r w:rsidRPr="003654EE">
        <w:rPr>
          <w:rFonts w:ascii="Century Gothic" w:hAnsi="Century Gothic"/>
          <w:sz w:val="24"/>
          <w:szCs w:val="24"/>
        </w:rPr>
        <w:t>Así pues, a</w:t>
      </w:r>
      <w:r w:rsidR="004506DE" w:rsidRPr="003654EE">
        <w:rPr>
          <w:rFonts w:ascii="Century Gothic" w:hAnsi="Century Gothic"/>
          <w:sz w:val="24"/>
          <w:szCs w:val="24"/>
        </w:rPr>
        <w:t>l tenor de lo propuesto, es importante mencionar que países como Francia, Italia, Rusia y las ciudades de Moscú, Abu Dabi y Nueva York son algunos de los lugares en donde han exigido una prueba de vacunación y/o certificado de vacunación, para poder ingresar a restaurantes, centros de espectáculos, gimnasios, etc. Sin embargo, en su momento se observaron múltiples actos de manifestación por parte de la ciudadanía en general, por considerar que dichas medidas atentan contra la libertad de las personas. En este tenor, el llamado “Pasaporte sanitario” enfrentó duras oposiciones por considerar que erosiona</w:t>
      </w:r>
      <w:r w:rsidR="00FF5DFE" w:rsidRPr="003654EE">
        <w:rPr>
          <w:rFonts w:ascii="Century Gothic" w:hAnsi="Century Gothic"/>
          <w:sz w:val="24"/>
          <w:szCs w:val="24"/>
        </w:rPr>
        <w:t>ba</w:t>
      </w:r>
      <w:r w:rsidR="004506DE" w:rsidRPr="003654EE">
        <w:rPr>
          <w:rFonts w:ascii="Century Gothic" w:hAnsi="Century Gothic"/>
          <w:sz w:val="24"/>
          <w:szCs w:val="24"/>
        </w:rPr>
        <w:t xml:space="preserve"> las libertades civiles.</w:t>
      </w:r>
    </w:p>
    <w:p w:rsidR="00FF5DFE" w:rsidRPr="00FF5DFE" w:rsidRDefault="00FF5DFE" w:rsidP="00FF5DFE">
      <w:pPr>
        <w:spacing w:line="360" w:lineRule="auto"/>
        <w:jc w:val="both"/>
        <w:rPr>
          <w:rFonts w:ascii="Century Gothic" w:hAnsi="Century Gothic" w:cstheme="minorHAnsi"/>
          <w:sz w:val="24"/>
          <w:szCs w:val="24"/>
        </w:rPr>
      </w:pPr>
      <w:r>
        <w:rPr>
          <w:rFonts w:ascii="Century Gothic" w:hAnsi="Century Gothic"/>
          <w:b/>
          <w:sz w:val="24"/>
          <w:szCs w:val="24"/>
        </w:rPr>
        <w:lastRenderedPageBreak/>
        <w:t>IV</w:t>
      </w:r>
      <w:r w:rsidRPr="00FF5DFE">
        <w:rPr>
          <w:rFonts w:ascii="Century Gothic" w:hAnsi="Century Gothic"/>
          <w:b/>
          <w:sz w:val="24"/>
          <w:szCs w:val="24"/>
        </w:rPr>
        <w:t>.-</w:t>
      </w:r>
      <w:r>
        <w:rPr>
          <w:rFonts w:ascii="Century Gothic" w:hAnsi="Century Gothic"/>
          <w:b/>
          <w:sz w:val="24"/>
          <w:szCs w:val="24"/>
        </w:rPr>
        <w:t xml:space="preserve"> </w:t>
      </w:r>
      <w:r w:rsidRPr="00FF5DFE">
        <w:rPr>
          <w:rFonts w:ascii="Century Gothic" w:hAnsi="Century Gothic"/>
          <w:sz w:val="24"/>
          <w:szCs w:val="24"/>
        </w:rPr>
        <w:t xml:space="preserve">En este sentido, el </w:t>
      </w:r>
      <w:r w:rsidRPr="00FF5DFE">
        <w:rPr>
          <w:rFonts w:ascii="Century Gothic" w:hAnsi="Century Gothic" w:cstheme="minorHAnsi"/>
          <w:sz w:val="24"/>
          <w:szCs w:val="24"/>
        </w:rPr>
        <w:t>Gobierno de México y la Secretaría de Salud en meses anteriores pusieron a disposición</w:t>
      </w:r>
      <w:r>
        <w:rPr>
          <w:rFonts w:ascii="Century Gothic" w:hAnsi="Century Gothic" w:cstheme="minorHAnsi"/>
          <w:sz w:val="24"/>
          <w:szCs w:val="24"/>
        </w:rPr>
        <w:t xml:space="preserve"> de la población, </w:t>
      </w:r>
      <w:r w:rsidRPr="00FF5DFE">
        <w:rPr>
          <w:rFonts w:ascii="Century Gothic" w:hAnsi="Century Gothic" w:cstheme="minorHAnsi"/>
          <w:sz w:val="24"/>
          <w:szCs w:val="24"/>
        </w:rPr>
        <w:t>el Certificado de Vacunación COVID-19. Se refirió que dicho documento ÚNICAMENTE</w:t>
      </w:r>
      <w:r w:rsidRPr="00FF5DFE">
        <w:rPr>
          <w:rFonts w:ascii="Century Gothic" w:hAnsi="Century Gothic" w:cstheme="minorHAnsi"/>
          <w:b/>
          <w:sz w:val="24"/>
          <w:szCs w:val="24"/>
        </w:rPr>
        <w:t xml:space="preserve"> </w:t>
      </w:r>
      <w:r w:rsidRPr="00FF5DFE">
        <w:rPr>
          <w:rFonts w:ascii="Century Gothic" w:hAnsi="Century Gothic" w:cstheme="minorHAnsi"/>
          <w:sz w:val="24"/>
          <w:szCs w:val="24"/>
        </w:rPr>
        <w:t>es un comprobante oficial que tiene el objetivo de avalar que la población ya ha sido inmunizada contra el virus SARS-CoV-2, particularmente para las personas que requieren viajar al extranjero, debido a que otros países solicitan el comprobante de vacunación para permitirles la entrada a su territorio. </w:t>
      </w:r>
    </w:p>
    <w:p w:rsidR="00FF5DFE" w:rsidRDefault="00FF5DFE" w:rsidP="00FF5DFE">
      <w:pPr>
        <w:spacing w:line="360" w:lineRule="auto"/>
        <w:jc w:val="both"/>
        <w:rPr>
          <w:rFonts w:ascii="Century Gothic" w:hAnsi="Century Gothic" w:cstheme="minorHAnsi"/>
          <w:sz w:val="24"/>
          <w:szCs w:val="24"/>
        </w:rPr>
      </w:pPr>
      <w:r w:rsidRPr="00FF5DFE">
        <w:rPr>
          <w:rFonts w:ascii="Century Gothic" w:hAnsi="Century Gothic" w:cstheme="minorHAnsi"/>
          <w:sz w:val="24"/>
          <w:szCs w:val="24"/>
        </w:rPr>
        <w:t xml:space="preserve">En este </w:t>
      </w:r>
      <w:r>
        <w:rPr>
          <w:rFonts w:ascii="Century Gothic" w:hAnsi="Century Gothic" w:cstheme="minorHAnsi"/>
          <w:sz w:val="24"/>
          <w:szCs w:val="24"/>
        </w:rPr>
        <w:t>orden de ideas</w:t>
      </w:r>
      <w:r w:rsidRPr="00FF5DFE">
        <w:rPr>
          <w:rFonts w:ascii="Century Gothic" w:hAnsi="Century Gothic" w:cstheme="minorHAnsi"/>
          <w:sz w:val="24"/>
          <w:szCs w:val="24"/>
        </w:rPr>
        <w:t>, la propia OMS con fecha 27 de agosto de 2021, se pronuncio acerca de los certificados de vacunación, manifestando que no debería ser un requisito para viajar y que tal requerimiento, debe ser solo establecido de acuerdo a la situación de cada país en relación a la pandemia y dependiendo del riesgo de conta</w:t>
      </w:r>
      <w:r>
        <w:rPr>
          <w:rFonts w:ascii="Century Gothic" w:hAnsi="Century Gothic" w:cstheme="minorHAnsi"/>
          <w:sz w:val="24"/>
          <w:szCs w:val="24"/>
        </w:rPr>
        <w:t>gio</w:t>
      </w:r>
      <w:r w:rsidRPr="00FF5DFE">
        <w:rPr>
          <w:rFonts w:ascii="Century Gothic" w:hAnsi="Century Gothic" w:cstheme="minorHAnsi"/>
          <w:sz w:val="24"/>
          <w:szCs w:val="24"/>
        </w:rPr>
        <w:t xml:space="preserve"> que la misma suponga.</w:t>
      </w:r>
    </w:p>
    <w:p w:rsidR="004B558C" w:rsidRDefault="00482F20" w:rsidP="00FF5DFE">
      <w:pPr>
        <w:spacing w:line="360" w:lineRule="auto"/>
        <w:jc w:val="both"/>
        <w:rPr>
          <w:rFonts w:ascii="Century Gothic" w:hAnsi="Century Gothic"/>
          <w:sz w:val="24"/>
          <w:szCs w:val="24"/>
        </w:rPr>
      </w:pPr>
      <w:r>
        <w:rPr>
          <w:rFonts w:ascii="Century Gothic" w:hAnsi="Century Gothic"/>
          <w:sz w:val="24"/>
          <w:szCs w:val="24"/>
        </w:rPr>
        <w:t>Sucesivamente</w:t>
      </w:r>
      <w:r w:rsidR="004B558C" w:rsidRPr="004B558C">
        <w:rPr>
          <w:rFonts w:ascii="Century Gothic" w:hAnsi="Century Gothic"/>
          <w:sz w:val="24"/>
          <w:szCs w:val="24"/>
        </w:rPr>
        <w:t xml:space="preserve">, </w:t>
      </w:r>
      <w:r w:rsidR="004B558C">
        <w:rPr>
          <w:rFonts w:ascii="Century Gothic" w:hAnsi="Century Gothic"/>
          <w:sz w:val="24"/>
          <w:szCs w:val="24"/>
        </w:rPr>
        <w:t xml:space="preserve">se pronunció acerca de </w:t>
      </w:r>
      <w:r w:rsidR="004B558C" w:rsidRPr="004B558C">
        <w:rPr>
          <w:rFonts w:ascii="Century Gothic" w:hAnsi="Century Gothic"/>
          <w:sz w:val="24"/>
          <w:szCs w:val="24"/>
        </w:rPr>
        <w:t>la incertidumbre científica que rodea a las vacunas y los problemas éticos que surgen por una distribución mundial de</w:t>
      </w:r>
      <w:r w:rsidR="004B558C">
        <w:rPr>
          <w:rFonts w:ascii="Century Gothic" w:hAnsi="Century Gothic"/>
          <w:sz w:val="24"/>
          <w:szCs w:val="24"/>
        </w:rPr>
        <w:t xml:space="preserve"> las mismas, en los cuales se observaba una repartición poco equitativa,</w:t>
      </w:r>
      <w:r w:rsidR="004B558C" w:rsidRPr="004B558C">
        <w:rPr>
          <w:rFonts w:ascii="Century Gothic" w:hAnsi="Century Gothic"/>
          <w:sz w:val="24"/>
          <w:szCs w:val="24"/>
        </w:rPr>
        <w:t xml:space="preserve"> </w:t>
      </w:r>
      <w:hyperlink r:id="rId8" w:history="1">
        <w:r w:rsidR="004B558C">
          <w:rPr>
            <w:rStyle w:val="Hipervnculo"/>
            <w:rFonts w:ascii="Century Gothic" w:hAnsi="Century Gothic"/>
            <w:color w:val="auto"/>
            <w:sz w:val="24"/>
            <w:szCs w:val="24"/>
            <w:u w:val="none"/>
          </w:rPr>
          <w:t xml:space="preserve">razón por la cual, </w:t>
        </w:r>
        <w:r w:rsidR="00AD4E28">
          <w:rPr>
            <w:rStyle w:val="Hipervnculo"/>
            <w:rFonts w:ascii="Century Gothic" w:hAnsi="Century Gothic"/>
            <w:color w:val="auto"/>
            <w:sz w:val="24"/>
            <w:szCs w:val="24"/>
            <w:u w:val="none"/>
          </w:rPr>
          <w:t>replanteó</w:t>
        </w:r>
        <w:r w:rsidR="004B558C" w:rsidRPr="004B558C">
          <w:rPr>
            <w:rStyle w:val="Hipervnculo"/>
            <w:rFonts w:ascii="Century Gothic" w:hAnsi="Century Gothic"/>
            <w:color w:val="auto"/>
            <w:sz w:val="24"/>
            <w:szCs w:val="24"/>
            <w:u w:val="none"/>
          </w:rPr>
          <w:t xml:space="preserve"> </w:t>
        </w:r>
        <w:r w:rsidR="003654EE">
          <w:rPr>
            <w:rStyle w:val="Hipervnculo"/>
            <w:rFonts w:ascii="Century Gothic" w:hAnsi="Century Gothic"/>
            <w:color w:val="auto"/>
            <w:sz w:val="24"/>
            <w:szCs w:val="24"/>
            <w:u w:val="none"/>
          </w:rPr>
          <w:t xml:space="preserve">de nueva cuenta, </w:t>
        </w:r>
        <w:r w:rsidR="004B558C" w:rsidRPr="004B558C">
          <w:rPr>
            <w:rStyle w:val="Hipervnculo"/>
            <w:rFonts w:ascii="Century Gothic" w:hAnsi="Century Gothic"/>
            <w:color w:val="auto"/>
            <w:sz w:val="24"/>
            <w:szCs w:val="24"/>
            <w:u w:val="none"/>
          </w:rPr>
          <w:t>el uso de certificados vacunales</w:t>
        </w:r>
      </w:hyperlink>
      <w:r w:rsidR="004B558C" w:rsidRPr="004B558C">
        <w:rPr>
          <w:rFonts w:ascii="Century Gothic" w:hAnsi="Century Gothic"/>
          <w:sz w:val="24"/>
          <w:szCs w:val="24"/>
        </w:rPr>
        <w:t> como criterio para los viajes internacionales.</w:t>
      </w:r>
    </w:p>
    <w:p w:rsidR="00FF5DFE" w:rsidRPr="004B558C" w:rsidRDefault="00FF5DFE" w:rsidP="00FF5DFE">
      <w:pPr>
        <w:spacing w:line="360" w:lineRule="auto"/>
        <w:jc w:val="both"/>
        <w:rPr>
          <w:rFonts w:ascii="Century Gothic" w:hAnsi="Century Gothic"/>
          <w:sz w:val="24"/>
          <w:szCs w:val="24"/>
        </w:rPr>
      </w:pPr>
      <w:r>
        <w:rPr>
          <w:rFonts w:ascii="Century Gothic" w:hAnsi="Century Gothic"/>
          <w:b/>
          <w:sz w:val="24"/>
          <w:szCs w:val="24"/>
        </w:rPr>
        <w:t>V</w:t>
      </w:r>
      <w:r w:rsidR="00DC4206" w:rsidRPr="00FF5DFE">
        <w:rPr>
          <w:rFonts w:ascii="Century Gothic" w:hAnsi="Century Gothic"/>
          <w:b/>
          <w:sz w:val="24"/>
          <w:szCs w:val="24"/>
        </w:rPr>
        <w:t>.-</w:t>
      </w:r>
      <w:r w:rsidR="004E5C9A" w:rsidRPr="00FF5DFE">
        <w:rPr>
          <w:rFonts w:ascii="Century Gothic" w:hAnsi="Century Gothic"/>
          <w:b/>
          <w:sz w:val="24"/>
          <w:szCs w:val="24"/>
        </w:rPr>
        <w:t xml:space="preserve"> </w:t>
      </w:r>
      <w:r w:rsidRPr="00FF5DFE">
        <w:rPr>
          <w:rFonts w:ascii="Century Gothic" w:hAnsi="Century Gothic" w:cstheme="minorHAnsi"/>
          <w:sz w:val="24"/>
          <w:szCs w:val="24"/>
        </w:rPr>
        <w:t xml:space="preserve">Finalmente, es importante mencionar que la Secretaria de Salud del Gobierno Federal, anuncio que del 18 de abril </w:t>
      </w:r>
      <w:r w:rsidR="003654EE">
        <w:rPr>
          <w:rFonts w:ascii="Century Gothic" w:hAnsi="Century Gothic" w:cstheme="minorHAnsi"/>
          <w:sz w:val="24"/>
          <w:szCs w:val="24"/>
        </w:rPr>
        <w:t>y el mes</w:t>
      </w:r>
      <w:r w:rsidRPr="00FF5DFE">
        <w:rPr>
          <w:rFonts w:ascii="Century Gothic" w:hAnsi="Century Gothic" w:cstheme="minorHAnsi"/>
          <w:sz w:val="24"/>
          <w:szCs w:val="24"/>
        </w:rPr>
        <w:t xml:space="preserve"> de mayo del año en curso, todo el país continuara en color verde en el semáforo epidemiológico por COVID-19, refiriendo además, que se registra una ocupación de 3% en camas generales hospitalarias, y de 2% en camas con ventilador, lo que significa una reducción de 99% respecto al punto más alto de la pandemia, y por lo que corresponde a la vacunación, se han </w:t>
      </w:r>
      <w:r w:rsidRPr="00FF5DFE">
        <w:rPr>
          <w:rFonts w:ascii="Century Gothic" w:hAnsi="Century Gothic" w:cstheme="minorHAnsi"/>
          <w:sz w:val="24"/>
          <w:szCs w:val="24"/>
        </w:rPr>
        <w:lastRenderedPageBreak/>
        <w:t>aplicado un total aproximado de 195 millones de dosis, lo que corresponde a un aproximado de 85 millones de personas que cuentan con un esquema completo.</w:t>
      </w:r>
    </w:p>
    <w:p w:rsidR="00FF5DFE" w:rsidRPr="00FF5DFE" w:rsidRDefault="00FF5DFE" w:rsidP="00FF5DFE">
      <w:pPr>
        <w:spacing w:line="360" w:lineRule="auto"/>
        <w:jc w:val="both"/>
        <w:rPr>
          <w:rFonts w:ascii="Century Gothic" w:hAnsi="Century Gothic" w:cstheme="minorHAnsi"/>
          <w:sz w:val="24"/>
          <w:szCs w:val="24"/>
        </w:rPr>
      </w:pPr>
      <w:r w:rsidRPr="00FF5DFE">
        <w:rPr>
          <w:rFonts w:ascii="Century Gothic" w:hAnsi="Century Gothic" w:cstheme="minorHAnsi"/>
          <w:sz w:val="24"/>
          <w:szCs w:val="24"/>
        </w:rPr>
        <w:t xml:space="preserve">Además, resulta importante señalar que el </w:t>
      </w:r>
      <w:r w:rsidR="00E56931">
        <w:rPr>
          <w:rFonts w:ascii="Century Gothic" w:hAnsi="Century Gothic" w:cstheme="minorHAnsi"/>
          <w:sz w:val="24"/>
          <w:szCs w:val="24"/>
        </w:rPr>
        <w:t>E</w:t>
      </w:r>
      <w:r w:rsidRPr="00FF5DFE">
        <w:rPr>
          <w:rFonts w:ascii="Century Gothic" w:hAnsi="Century Gothic" w:cstheme="minorHAnsi"/>
          <w:sz w:val="24"/>
          <w:szCs w:val="24"/>
        </w:rPr>
        <w:t>stado de Chihuahua continua con las medidas básicas de prevención, como lo son el uso del cubrebocas</w:t>
      </w:r>
      <w:r w:rsidR="003654EE">
        <w:rPr>
          <w:rFonts w:ascii="Century Gothic" w:hAnsi="Century Gothic" w:cstheme="minorHAnsi"/>
          <w:sz w:val="24"/>
          <w:szCs w:val="24"/>
        </w:rPr>
        <w:t xml:space="preserve"> en espacios cerrados</w:t>
      </w:r>
      <w:r w:rsidRPr="00FF5DFE">
        <w:rPr>
          <w:rFonts w:ascii="Century Gothic" w:hAnsi="Century Gothic" w:cstheme="minorHAnsi"/>
          <w:sz w:val="24"/>
          <w:szCs w:val="24"/>
        </w:rPr>
        <w:t>, el lavado de manos, la sana distancia (por lo menos 1.5 mts)</w:t>
      </w:r>
      <w:r w:rsidR="003654EE">
        <w:rPr>
          <w:rFonts w:ascii="Century Gothic" w:hAnsi="Century Gothic" w:cstheme="minorHAnsi"/>
          <w:sz w:val="24"/>
          <w:szCs w:val="24"/>
        </w:rPr>
        <w:t>, la etiqueta respiratoria, entre otras medidas</w:t>
      </w:r>
      <w:r w:rsidRPr="00FF5DFE">
        <w:rPr>
          <w:rFonts w:ascii="Century Gothic" w:hAnsi="Century Gothic" w:cstheme="minorHAnsi"/>
          <w:sz w:val="24"/>
          <w:szCs w:val="24"/>
        </w:rPr>
        <w:t xml:space="preserve">. </w:t>
      </w:r>
    </w:p>
    <w:p w:rsidR="001F21B8" w:rsidRPr="00FF5DFE" w:rsidRDefault="00FF5DFE" w:rsidP="00FF5DFE">
      <w:pPr>
        <w:spacing w:line="360" w:lineRule="auto"/>
        <w:jc w:val="both"/>
        <w:rPr>
          <w:rFonts w:ascii="Century Gothic" w:hAnsi="Century Gothic"/>
          <w:sz w:val="24"/>
          <w:szCs w:val="24"/>
        </w:rPr>
      </w:pPr>
      <w:r w:rsidRPr="00FF5DFE">
        <w:rPr>
          <w:rFonts w:ascii="Century Gothic" w:hAnsi="Century Gothic" w:cstheme="minorHAnsi"/>
          <w:sz w:val="24"/>
          <w:szCs w:val="24"/>
        </w:rPr>
        <w:t>Por tal sentido</w:t>
      </w:r>
      <w:r w:rsidR="003654EE">
        <w:rPr>
          <w:rFonts w:ascii="Century Gothic" w:hAnsi="Century Gothic" w:cstheme="minorHAnsi"/>
          <w:sz w:val="24"/>
          <w:szCs w:val="24"/>
        </w:rPr>
        <w:t xml:space="preserve"> y a la luz de los argumentos previamente vertidos</w:t>
      </w:r>
      <w:r w:rsidRPr="00FF5DFE">
        <w:rPr>
          <w:rFonts w:ascii="Century Gothic" w:hAnsi="Century Gothic" w:cstheme="minorHAnsi"/>
          <w:sz w:val="24"/>
          <w:szCs w:val="24"/>
        </w:rPr>
        <w:t>, no se estima procedente la pretensión antes descrita, por considerarse que atentaría con</w:t>
      </w:r>
      <w:r w:rsidR="00E56931">
        <w:rPr>
          <w:rFonts w:ascii="Century Gothic" w:hAnsi="Century Gothic" w:cstheme="minorHAnsi"/>
          <w:sz w:val="24"/>
          <w:szCs w:val="24"/>
        </w:rPr>
        <w:t>tra</w:t>
      </w:r>
      <w:r w:rsidRPr="00FF5DFE">
        <w:rPr>
          <w:rFonts w:ascii="Century Gothic" w:hAnsi="Century Gothic" w:cstheme="minorHAnsi"/>
          <w:sz w:val="24"/>
          <w:szCs w:val="24"/>
        </w:rPr>
        <w:t xml:space="preserve"> las libertades civiles de las personas, además de considerar el aspecto presupuestario que implicaría la </w:t>
      </w:r>
      <w:r w:rsidRPr="00FF5DFE">
        <w:rPr>
          <w:rFonts w:ascii="Century Gothic" w:hAnsi="Century Gothic" w:cstheme="minorHAnsi"/>
          <w:bCs/>
          <w:iCs/>
          <w:sz w:val="24"/>
          <w:szCs w:val="24"/>
          <w:lang w:val="es-ES_tradnl"/>
        </w:rPr>
        <w:t>práctica obligatoria de pruebas de detección del virus, mismo que no se encuentra resuelto en el cuerpo de la iniciativa</w:t>
      </w:r>
      <w:r w:rsidR="003654EE">
        <w:rPr>
          <w:rFonts w:ascii="Century Gothic" w:hAnsi="Century Gothic" w:cstheme="minorHAnsi"/>
          <w:bCs/>
          <w:iCs/>
          <w:sz w:val="24"/>
          <w:szCs w:val="24"/>
          <w:lang w:val="es-ES_tradnl"/>
        </w:rPr>
        <w:t>, entre otros aspectos asentados con antelación.</w:t>
      </w:r>
    </w:p>
    <w:p w:rsidR="003654EE" w:rsidRDefault="004954CC" w:rsidP="00DD4B0A">
      <w:pPr>
        <w:spacing w:before="120" w:after="0" w:line="360" w:lineRule="auto"/>
        <w:jc w:val="both"/>
        <w:rPr>
          <w:rFonts w:ascii="Century Gothic" w:eastAsia="Calibri" w:hAnsi="Century Gothic" w:cs="Times New Roman"/>
          <w:sz w:val="24"/>
          <w:szCs w:val="24"/>
        </w:rPr>
      </w:pPr>
      <w:r w:rsidRPr="00AA2C7F">
        <w:rPr>
          <w:rFonts w:ascii="Century Gothic" w:eastAsia="Calibri" w:hAnsi="Century Gothic" w:cs="Times New Roman"/>
          <w:sz w:val="24"/>
          <w:szCs w:val="24"/>
        </w:rPr>
        <w:t xml:space="preserve">Por lo anteriormente expuesto, </w:t>
      </w:r>
      <w:r w:rsidR="00E56931">
        <w:rPr>
          <w:rFonts w:ascii="Century Gothic" w:eastAsia="Calibri" w:hAnsi="Century Gothic" w:cs="Times New Roman"/>
          <w:sz w:val="24"/>
          <w:szCs w:val="24"/>
        </w:rPr>
        <w:t xml:space="preserve">quienes integramos </w:t>
      </w:r>
      <w:r w:rsidRPr="00AA2C7F">
        <w:rPr>
          <w:rFonts w:ascii="Century Gothic" w:eastAsia="Calibri" w:hAnsi="Century Gothic" w:cs="Times New Roman"/>
          <w:sz w:val="24"/>
          <w:szCs w:val="24"/>
        </w:rPr>
        <w:t xml:space="preserve">la Comisión de </w:t>
      </w:r>
      <w:r w:rsidR="00665652" w:rsidRPr="00AA2C7F">
        <w:rPr>
          <w:rFonts w:ascii="Century Gothic" w:eastAsia="Calibri" w:hAnsi="Century Gothic" w:cs="Times New Roman"/>
          <w:sz w:val="24"/>
          <w:szCs w:val="24"/>
        </w:rPr>
        <w:t>Salud</w:t>
      </w:r>
      <w:r w:rsidRPr="00AA2C7F">
        <w:rPr>
          <w:rFonts w:ascii="Century Gothic" w:eastAsia="Calibri" w:hAnsi="Century Gothic" w:cs="Times New Roman"/>
          <w:sz w:val="24"/>
          <w:szCs w:val="24"/>
        </w:rPr>
        <w:t xml:space="preserve">, </w:t>
      </w:r>
      <w:r w:rsidR="00665652" w:rsidRPr="00AA2C7F">
        <w:rPr>
          <w:rFonts w:ascii="Century Gothic" w:eastAsia="Arial" w:hAnsi="Century Gothic" w:cs="Arial"/>
          <w:sz w:val="24"/>
          <w:szCs w:val="24"/>
        </w:rPr>
        <w:t>nos permitimos someter a la consideración de este Alto Cuerpo Colegiado el siguiente proyecto de:</w:t>
      </w:r>
    </w:p>
    <w:p w:rsidR="00DD4B0A" w:rsidRPr="00DD4B0A" w:rsidRDefault="00DD4B0A" w:rsidP="00DD4B0A">
      <w:pPr>
        <w:spacing w:before="120" w:after="0" w:line="360" w:lineRule="auto"/>
        <w:jc w:val="both"/>
        <w:rPr>
          <w:rFonts w:ascii="Century Gothic" w:eastAsia="Calibri" w:hAnsi="Century Gothic" w:cs="Times New Roman"/>
          <w:sz w:val="24"/>
          <w:szCs w:val="24"/>
        </w:rPr>
      </w:pPr>
    </w:p>
    <w:p w:rsidR="00F764EE" w:rsidRPr="00AA2C7F" w:rsidRDefault="00F764EE" w:rsidP="00F764EE">
      <w:pPr>
        <w:spacing w:after="0" w:line="360" w:lineRule="auto"/>
        <w:jc w:val="center"/>
        <w:rPr>
          <w:rFonts w:ascii="Century Gothic" w:eastAsia="Calibri" w:hAnsi="Century Gothic" w:cs="Times New Roman"/>
          <w:b/>
          <w:sz w:val="28"/>
          <w:szCs w:val="28"/>
        </w:rPr>
      </w:pPr>
      <w:r w:rsidRPr="00AA2C7F">
        <w:rPr>
          <w:rFonts w:ascii="Century Gothic" w:eastAsia="Calibri" w:hAnsi="Century Gothic" w:cs="Times New Roman"/>
          <w:b/>
          <w:sz w:val="28"/>
          <w:szCs w:val="28"/>
        </w:rPr>
        <w:t>A</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C</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U</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E</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R</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D</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 xml:space="preserve">O </w:t>
      </w:r>
    </w:p>
    <w:p w:rsidR="00F21366" w:rsidRDefault="00F764EE" w:rsidP="00F21366">
      <w:pPr>
        <w:spacing w:after="0" w:line="360" w:lineRule="auto"/>
        <w:jc w:val="both"/>
        <w:rPr>
          <w:rFonts w:ascii="Century Gothic" w:hAnsi="Century Gothic"/>
          <w:sz w:val="24"/>
          <w:szCs w:val="24"/>
        </w:rPr>
      </w:pPr>
      <w:r w:rsidRPr="0030435C">
        <w:rPr>
          <w:rFonts w:ascii="Century Gothic" w:eastAsia="Times New Roman" w:hAnsi="Century Gothic" w:cs="Arial"/>
          <w:b/>
          <w:bCs/>
          <w:sz w:val="28"/>
          <w:szCs w:val="28"/>
          <w:lang w:eastAsia="es-MX"/>
        </w:rPr>
        <w:t>ÚNICO</w:t>
      </w:r>
      <w:r w:rsidR="00B9318C" w:rsidRPr="0030435C">
        <w:rPr>
          <w:rFonts w:ascii="Century Gothic" w:eastAsia="Times New Roman" w:hAnsi="Century Gothic" w:cs="Arial"/>
          <w:b/>
          <w:bCs/>
          <w:sz w:val="28"/>
          <w:szCs w:val="28"/>
          <w:lang w:eastAsia="es-MX"/>
        </w:rPr>
        <w:t>.-</w:t>
      </w:r>
      <w:r w:rsidR="00B9318C" w:rsidRPr="00B9318C">
        <w:rPr>
          <w:rFonts w:ascii="Century Gothic" w:hAnsi="Century Gothic"/>
          <w:sz w:val="24"/>
          <w:szCs w:val="24"/>
        </w:rPr>
        <w:t xml:space="preserve">La Sexagésima </w:t>
      </w:r>
      <w:r w:rsidR="00757EDC">
        <w:rPr>
          <w:rFonts w:ascii="Century Gothic" w:hAnsi="Century Gothic"/>
          <w:sz w:val="24"/>
          <w:szCs w:val="24"/>
        </w:rPr>
        <w:t xml:space="preserve">Séptima Legislatura del </w:t>
      </w:r>
      <w:r w:rsidR="00A14F44">
        <w:rPr>
          <w:rFonts w:ascii="Century Gothic" w:hAnsi="Century Gothic"/>
          <w:sz w:val="24"/>
          <w:szCs w:val="24"/>
        </w:rPr>
        <w:t xml:space="preserve">Honorable Congreso del </w:t>
      </w:r>
      <w:r w:rsidR="00B9318C" w:rsidRPr="00B9318C">
        <w:rPr>
          <w:rFonts w:ascii="Century Gothic" w:hAnsi="Century Gothic"/>
          <w:sz w:val="24"/>
          <w:szCs w:val="24"/>
        </w:rPr>
        <w:t>Estado de Chihuahua</w:t>
      </w:r>
      <w:r w:rsidR="00151412">
        <w:rPr>
          <w:rFonts w:ascii="Century Gothic" w:hAnsi="Century Gothic"/>
          <w:sz w:val="24"/>
          <w:szCs w:val="24"/>
        </w:rPr>
        <w:t>,</w:t>
      </w:r>
      <w:r w:rsidR="00B9318C" w:rsidRPr="00B9318C">
        <w:rPr>
          <w:rFonts w:ascii="Century Gothic" w:hAnsi="Century Gothic"/>
          <w:sz w:val="24"/>
          <w:szCs w:val="24"/>
        </w:rPr>
        <w:t xml:space="preserve"> </w:t>
      </w:r>
      <w:r w:rsidR="00A14F44">
        <w:rPr>
          <w:rFonts w:ascii="Century Gothic" w:hAnsi="Century Gothic"/>
          <w:sz w:val="24"/>
          <w:szCs w:val="24"/>
        </w:rPr>
        <w:t>d</w:t>
      </w:r>
      <w:r w:rsidR="00E56931">
        <w:rPr>
          <w:rFonts w:ascii="Century Gothic" w:hAnsi="Century Gothic"/>
          <w:sz w:val="24"/>
          <w:szCs w:val="24"/>
        </w:rPr>
        <w:t>eclara</w:t>
      </w:r>
      <w:r w:rsidR="00A14F44">
        <w:rPr>
          <w:rFonts w:ascii="Century Gothic" w:hAnsi="Century Gothic"/>
          <w:sz w:val="24"/>
          <w:szCs w:val="24"/>
        </w:rPr>
        <w:t xml:space="preserve"> </w:t>
      </w:r>
      <w:r w:rsidR="00E56931">
        <w:rPr>
          <w:rFonts w:ascii="Century Gothic" w:hAnsi="Century Gothic"/>
          <w:sz w:val="24"/>
          <w:szCs w:val="24"/>
        </w:rPr>
        <w:t xml:space="preserve">como </w:t>
      </w:r>
      <w:r w:rsidR="00A14F44">
        <w:rPr>
          <w:rFonts w:ascii="Century Gothic" w:hAnsi="Century Gothic"/>
          <w:sz w:val="24"/>
          <w:szCs w:val="24"/>
        </w:rPr>
        <w:t xml:space="preserve">improcedente la Iniciativa con carácter de decreto que proponía </w:t>
      </w:r>
      <w:r w:rsidR="003654EE" w:rsidRPr="003654EE">
        <w:rPr>
          <w:rFonts w:ascii="Century Gothic" w:hAnsi="Century Gothic" w:cs="Arial"/>
          <w:bCs/>
          <w:iCs/>
          <w:sz w:val="24"/>
          <w:szCs w:val="24"/>
        </w:rPr>
        <w:t>reforma</w:t>
      </w:r>
      <w:r w:rsidR="003654EE">
        <w:rPr>
          <w:rFonts w:ascii="Century Gothic" w:hAnsi="Century Gothic" w:cs="Arial"/>
          <w:bCs/>
          <w:iCs/>
          <w:sz w:val="24"/>
          <w:szCs w:val="24"/>
        </w:rPr>
        <w:t>r</w:t>
      </w:r>
      <w:r w:rsidR="003654EE" w:rsidRPr="003654EE">
        <w:rPr>
          <w:rFonts w:ascii="Century Gothic" w:hAnsi="Century Gothic" w:cs="Arial"/>
          <w:iCs/>
          <w:sz w:val="24"/>
          <w:szCs w:val="24"/>
        </w:rPr>
        <w:t xml:space="preserve"> el artículo 3 y adiciona</w:t>
      </w:r>
      <w:r w:rsidR="003654EE">
        <w:rPr>
          <w:rFonts w:ascii="Century Gothic" w:hAnsi="Century Gothic" w:cs="Arial"/>
          <w:iCs/>
          <w:sz w:val="24"/>
          <w:szCs w:val="24"/>
        </w:rPr>
        <w:t>r</w:t>
      </w:r>
      <w:r w:rsidR="003654EE" w:rsidRPr="003654EE">
        <w:rPr>
          <w:rFonts w:ascii="Century Gothic" w:hAnsi="Century Gothic" w:cs="Arial"/>
          <w:iCs/>
          <w:sz w:val="24"/>
          <w:szCs w:val="24"/>
        </w:rPr>
        <w:t xml:space="preserve"> el artículo 12 bis de la Ley que Regula el Uso Obligatorio de Cubrebocas y demás Medidas para Prevenir la Transmisión de la En</w:t>
      </w:r>
      <w:r w:rsidR="003654EE">
        <w:rPr>
          <w:rFonts w:ascii="Century Gothic" w:hAnsi="Century Gothic" w:cs="Arial"/>
          <w:iCs/>
          <w:sz w:val="24"/>
          <w:szCs w:val="24"/>
        </w:rPr>
        <w:t>fermedad Covid-19 en el Estado d</w:t>
      </w:r>
      <w:r w:rsidR="003654EE" w:rsidRPr="003654EE">
        <w:rPr>
          <w:rFonts w:ascii="Century Gothic" w:hAnsi="Century Gothic" w:cs="Arial"/>
          <w:iCs/>
          <w:sz w:val="24"/>
          <w:szCs w:val="24"/>
        </w:rPr>
        <w:t>e Chihuahua</w:t>
      </w:r>
      <w:r w:rsidR="00C92D95">
        <w:rPr>
          <w:rFonts w:ascii="Century Gothic" w:hAnsi="Century Gothic"/>
          <w:sz w:val="24"/>
          <w:szCs w:val="24"/>
        </w:rPr>
        <w:t xml:space="preserve">, </w:t>
      </w:r>
      <w:r w:rsidR="00175A70">
        <w:rPr>
          <w:rFonts w:ascii="Century Gothic" w:hAnsi="Century Gothic"/>
          <w:sz w:val="24"/>
          <w:szCs w:val="24"/>
        </w:rPr>
        <w:t>en razón de los argumentos previamente vertidos.</w:t>
      </w:r>
      <w:r w:rsidR="00C92D95">
        <w:rPr>
          <w:rFonts w:ascii="Century Gothic" w:hAnsi="Century Gothic"/>
          <w:sz w:val="24"/>
          <w:szCs w:val="24"/>
        </w:rPr>
        <w:t xml:space="preserve"> </w:t>
      </w:r>
    </w:p>
    <w:p w:rsidR="003654EE" w:rsidRDefault="003654EE" w:rsidP="00F21366">
      <w:pPr>
        <w:spacing w:after="0" w:line="360" w:lineRule="auto"/>
        <w:jc w:val="both"/>
        <w:rPr>
          <w:rFonts w:ascii="Century Gothic" w:hAnsi="Century Gothic"/>
          <w:sz w:val="24"/>
          <w:szCs w:val="24"/>
        </w:rPr>
      </w:pPr>
    </w:p>
    <w:p w:rsidR="00F764EE" w:rsidRPr="007D047D" w:rsidRDefault="00B9318C" w:rsidP="007D047D">
      <w:pPr>
        <w:spacing w:after="0" w:line="360" w:lineRule="auto"/>
        <w:rPr>
          <w:rFonts w:ascii="Century Gothic" w:hAnsi="Century Gothic" w:cs="Arial"/>
          <w:bCs/>
          <w:sz w:val="24"/>
          <w:szCs w:val="24"/>
        </w:rPr>
      </w:pPr>
      <w:r w:rsidRPr="00B9318C">
        <w:rPr>
          <w:rFonts w:ascii="Century Gothic" w:hAnsi="Century Gothic"/>
          <w:sz w:val="24"/>
          <w:szCs w:val="24"/>
        </w:rPr>
        <w:t xml:space="preserve"> </w:t>
      </w:r>
      <w:r w:rsidR="00F764EE" w:rsidRPr="003A5243">
        <w:rPr>
          <w:rFonts w:ascii="Century Gothic" w:hAnsi="Century Gothic" w:cs="Arial"/>
          <w:b/>
          <w:sz w:val="28"/>
          <w:szCs w:val="28"/>
        </w:rPr>
        <w:t>ECONÓMICO</w:t>
      </w:r>
      <w:r w:rsidR="00F764EE" w:rsidRPr="003A5243">
        <w:rPr>
          <w:rFonts w:ascii="Century Gothic" w:hAnsi="Century Gothic" w:cs="Arial"/>
          <w:b/>
          <w:sz w:val="24"/>
          <w:szCs w:val="24"/>
          <w:lang w:val="es-ES_tradnl"/>
        </w:rPr>
        <w:t xml:space="preserve">. </w:t>
      </w:r>
      <w:r w:rsidR="00F764EE" w:rsidRPr="003A5243">
        <w:rPr>
          <w:rFonts w:ascii="Century Gothic" w:hAnsi="Century Gothic" w:cs="Arial"/>
          <w:sz w:val="24"/>
          <w:szCs w:val="24"/>
          <w:lang w:val="es-ES_tradnl"/>
        </w:rPr>
        <w:t>Aprobado</w:t>
      </w:r>
      <w:r w:rsidR="00F764EE" w:rsidRPr="00AA2C7F">
        <w:rPr>
          <w:rFonts w:ascii="Century Gothic" w:hAnsi="Century Gothic" w:cs="Arial"/>
          <w:sz w:val="24"/>
          <w:szCs w:val="24"/>
          <w:lang w:val="es-ES_tradnl"/>
        </w:rPr>
        <w:t xml:space="preserve"> que sea túrnese a la Secretaría para los efectos </w:t>
      </w:r>
      <w:r w:rsidR="00551350">
        <w:rPr>
          <w:rFonts w:ascii="Century Gothic" w:hAnsi="Century Gothic" w:cs="Arial"/>
          <w:sz w:val="24"/>
          <w:szCs w:val="24"/>
          <w:lang w:val="es-ES_tradnl"/>
        </w:rPr>
        <w:t xml:space="preserve">legales </w:t>
      </w:r>
      <w:r w:rsidR="00F764EE" w:rsidRPr="00AA2C7F">
        <w:rPr>
          <w:rFonts w:ascii="Century Gothic" w:hAnsi="Century Gothic" w:cs="Arial"/>
          <w:sz w:val="24"/>
          <w:szCs w:val="24"/>
          <w:lang w:val="es-ES_tradnl"/>
        </w:rPr>
        <w:t xml:space="preserve">correspondientes. </w:t>
      </w:r>
    </w:p>
    <w:p w:rsidR="00F764EE" w:rsidRPr="00AA2C7F" w:rsidRDefault="00F764EE" w:rsidP="00665652">
      <w:pPr>
        <w:spacing w:after="0" w:line="360" w:lineRule="auto"/>
        <w:jc w:val="both"/>
        <w:rPr>
          <w:rFonts w:ascii="Century Gothic" w:eastAsia="Calibri" w:hAnsi="Century Gothic" w:cs="Arial"/>
          <w:sz w:val="24"/>
          <w:szCs w:val="24"/>
        </w:rPr>
      </w:pPr>
    </w:p>
    <w:p w:rsidR="00DF1511" w:rsidRDefault="00DF1511" w:rsidP="00DF1511">
      <w:pPr>
        <w:pStyle w:val="Normal1"/>
        <w:widowControl w:val="0"/>
        <w:spacing w:line="360" w:lineRule="auto"/>
        <w:jc w:val="both"/>
        <w:rPr>
          <w:rFonts w:ascii="Century Gothic" w:eastAsia="Arial" w:hAnsi="Century Gothic" w:cs="Arial"/>
          <w:szCs w:val="24"/>
          <w:lang w:val="es-MX"/>
        </w:rPr>
      </w:pPr>
      <w:r w:rsidRPr="003A5243">
        <w:rPr>
          <w:rFonts w:ascii="Century Gothic" w:eastAsia="Arial" w:hAnsi="Century Gothic" w:cs="Arial"/>
          <w:szCs w:val="24"/>
          <w:lang w:val="es-MX"/>
        </w:rPr>
        <w:t>D</w:t>
      </w:r>
      <w:r w:rsidR="003A5243" w:rsidRPr="003A5243">
        <w:rPr>
          <w:rFonts w:ascii="Century Gothic" w:eastAsia="Arial" w:hAnsi="Century Gothic" w:cs="Arial"/>
          <w:szCs w:val="24"/>
          <w:lang w:val="es-MX"/>
        </w:rPr>
        <w:t>ado</w:t>
      </w:r>
      <w:r w:rsidRPr="003A5243">
        <w:rPr>
          <w:rFonts w:ascii="Century Gothic" w:eastAsia="Arial" w:hAnsi="Century Gothic" w:cs="Arial"/>
          <w:szCs w:val="24"/>
          <w:lang w:val="es-MX"/>
        </w:rPr>
        <w:t xml:space="preserve"> en</w:t>
      </w:r>
      <w:r w:rsidR="00551350">
        <w:rPr>
          <w:rFonts w:ascii="Century Gothic" w:eastAsia="Arial" w:hAnsi="Century Gothic" w:cs="Arial"/>
          <w:szCs w:val="24"/>
          <w:lang w:val="es-MX"/>
        </w:rPr>
        <w:t xml:space="preserve"> el Salón</w:t>
      </w:r>
      <w:r w:rsidRPr="00AA2C7F">
        <w:rPr>
          <w:rFonts w:ascii="Century Gothic" w:eastAsia="Arial" w:hAnsi="Century Gothic" w:cs="Arial"/>
          <w:szCs w:val="24"/>
          <w:lang w:val="es-MX"/>
        </w:rPr>
        <w:t xml:space="preserve"> de</w:t>
      </w:r>
      <w:r w:rsidR="00551350">
        <w:rPr>
          <w:rFonts w:ascii="Century Gothic" w:eastAsia="Arial" w:hAnsi="Century Gothic" w:cs="Arial"/>
          <w:szCs w:val="24"/>
          <w:lang w:val="es-MX"/>
        </w:rPr>
        <w:t xml:space="preserve"> Sesiones del Honorable</w:t>
      </w:r>
      <w:r w:rsidRPr="00AA2C7F">
        <w:rPr>
          <w:rFonts w:ascii="Century Gothic" w:eastAsia="Arial" w:hAnsi="Century Gothic" w:cs="Arial"/>
          <w:szCs w:val="24"/>
          <w:lang w:val="es-MX"/>
        </w:rPr>
        <w:t xml:space="preserve"> </w:t>
      </w:r>
      <w:r w:rsidR="00551350">
        <w:rPr>
          <w:rFonts w:ascii="Century Gothic" w:eastAsia="Arial" w:hAnsi="Century Gothic" w:cs="Arial"/>
          <w:szCs w:val="24"/>
          <w:lang w:val="es-MX"/>
        </w:rPr>
        <w:t>Congreso del Estado</w:t>
      </w:r>
      <w:r w:rsidRPr="00AA2C7F">
        <w:rPr>
          <w:rFonts w:ascii="Century Gothic" w:eastAsia="Arial" w:hAnsi="Century Gothic" w:cs="Arial"/>
          <w:szCs w:val="24"/>
          <w:lang w:val="es-MX"/>
        </w:rPr>
        <w:t xml:space="preserve">, en la </w:t>
      </w:r>
      <w:r w:rsidR="00551350">
        <w:rPr>
          <w:rFonts w:ascii="Century Gothic" w:eastAsia="Arial" w:hAnsi="Century Gothic" w:cs="Arial"/>
          <w:szCs w:val="24"/>
          <w:lang w:val="es-MX"/>
        </w:rPr>
        <w:t>c</w:t>
      </w:r>
      <w:r w:rsidR="00023F34">
        <w:rPr>
          <w:rFonts w:ascii="Century Gothic" w:eastAsia="Arial" w:hAnsi="Century Gothic" w:cs="Arial"/>
          <w:szCs w:val="24"/>
          <w:lang w:val="es-MX"/>
        </w:rPr>
        <w:t xml:space="preserve">iudad de Chihuahua, Chih., a los </w:t>
      </w:r>
      <w:r w:rsidR="00D95FBA">
        <w:rPr>
          <w:rFonts w:ascii="Century Gothic" w:eastAsia="Arial" w:hAnsi="Century Gothic" w:cs="Arial"/>
          <w:szCs w:val="24"/>
          <w:lang w:val="es-MX"/>
        </w:rPr>
        <w:t>24</w:t>
      </w:r>
      <w:r w:rsidR="00023F34">
        <w:rPr>
          <w:rFonts w:ascii="Century Gothic" w:eastAsia="Arial" w:hAnsi="Century Gothic" w:cs="Arial"/>
          <w:szCs w:val="24"/>
          <w:lang w:val="es-MX"/>
        </w:rPr>
        <w:t xml:space="preserve"> días</w:t>
      </w:r>
      <w:r w:rsidRPr="00AA2C7F">
        <w:rPr>
          <w:rFonts w:ascii="Century Gothic" w:eastAsia="Arial" w:hAnsi="Century Gothic" w:cs="Arial"/>
          <w:szCs w:val="24"/>
          <w:lang w:val="es-MX"/>
        </w:rPr>
        <w:t xml:space="preserve">  de</w:t>
      </w:r>
      <w:r w:rsidR="00E56931">
        <w:rPr>
          <w:rFonts w:ascii="Century Gothic" w:eastAsia="Arial" w:hAnsi="Century Gothic" w:cs="Arial"/>
          <w:szCs w:val="24"/>
          <w:lang w:val="es-MX"/>
        </w:rPr>
        <w:t>l mes de</w:t>
      </w:r>
      <w:r w:rsidRPr="00AA2C7F">
        <w:rPr>
          <w:rFonts w:ascii="Century Gothic" w:eastAsia="Arial" w:hAnsi="Century Gothic" w:cs="Arial"/>
          <w:szCs w:val="24"/>
          <w:lang w:val="es-MX"/>
        </w:rPr>
        <w:t xml:space="preserve"> </w:t>
      </w:r>
      <w:r w:rsidR="007D047D">
        <w:rPr>
          <w:rFonts w:ascii="Century Gothic" w:eastAsia="Arial" w:hAnsi="Century Gothic" w:cs="Arial"/>
          <w:szCs w:val="24"/>
          <w:lang w:val="es-MX"/>
        </w:rPr>
        <w:t>mayo</w:t>
      </w:r>
      <w:r w:rsidRPr="00AA2C7F">
        <w:rPr>
          <w:rFonts w:ascii="Century Gothic" w:eastAsia="Arial" w:hAnsi="Century Gothic" w:cs="Arial"/>
          <w:szCs w:val="24"/>
          <w:lang w:val="es-MX"/>
        </w:rPr>
        <w:t xml:space="preserve"> del año dos mil </w:t>
      </w:r>
      <w:r w:rsidR="00E56931" w:rsidRPr="00AA2C7F">
        <w:rPr>
          <w:rFonts w:ascii="Century Gothic" w:eastAsia="Arial" w:hAnsi="Century Gothic" w:cs="Arial"/>
          <w:szCs w:val="24"/>
          <w:lang w:val="es-MX"/>
        </w:rPr>
        <w:t>veinti</w:t>
      </w:r>
      <w:r w:rsidR="00E56931">
        <w:rPr>
          <w:rFonts w:ascii="Century Gothic" w:eastAsia="Arial" w:hAnsi="Century Gothic" w:cs="Arial"/>
          <w:szCs w:val="24"/>
          <w:lang w:val="es-MX"/>
        </w:rPr>
        <w:t>dós</w:t>
      </w:r>
      <w:r w:rsidRPr="00AA2C7F">
        <w:rPr>
          <w:rFonts w:ascii="Century Gothic" w:eastAsia="Arial" w:hAnsi="Century Gothic" w:cs="Arial"/>
          <w:szCs w:val="24"/>
          <w:lang w:val="es-MX"/>
        </w:rPr>
        <w:t>.</w:t>
      </w: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7D047D" w:rsidRDefault="007D047D" w:rsidP="00A45074">
      <w:pPr>
        <w:spacing w:after="0" w:line="240" w:lineRule="auto"/>
        <w:ind w:right="193"/>
        <w:jc w:val="center"/>
        <w:rPr>
          <w:rFonts w:ascii="Century Gothic" w:eastAsia="Times New Roman" w:hAnsi="Century Gothic" w:cs="Arial"/>
          <w:b/>
          <w:spacing w:val="10"/>
          <w:lang w:val="es-ES_tradnl" w:eastAsia="es-ES_tradnl"/>
        </w:rPr>
      </w:pPr>
    </w:p>
    <w:p w:rsidR="007D047D" w:rsidRDefault="007D047D"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E56931" w:rsidRDefault="00E56931"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175A70">
      <w:pPr>
        <w:spacing w:after="0" w:line="240" w:lineRule="auto"/>
        <w:ind w:right="193"/>
        <w:rPr>
          <w:rFonts w:ascii="Century Gothic" w:eastAsia="Times New Roman" w:hAnsi="Century Gothic" w:cs="Arial"/>
          <w:b/>
          <w:spacing w:val="10"/>
          <w:lang w:val="es-ES_tradnl" w:eastAsia="es-ES_tradnl"/>
        </w:rPr>
      </w:pPr>
    </w:p>
    <w:p w:rsidR="005A50DB" w:rsidRPr="005A50DB" w:rsidRDefault="005A50DB" w:rsidP="00A45074">
      <w:pPr>
        <w:spacing w:after="0" w:line="240" w:lineRule="auto"/>
        <w:ind w:right="193"/>
        <w:jc w:val="center"/>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sidR="00DD4B0A">
        <w:rPr>
          <w:rFonts w:ascii="Century Gothic" w:eastAsia="Times New Roman" w:hAnsi="Century Gothic" w:cs="Arial"/>
          <w:b/>
          <w:spacing w:val="10"/>
          <w:lang w:val="es-ES_tradnl" w:eastAsia="es-ES_tradnl"/>
        </w:rPr>
        <w:t xml:space="preserve"> 17 </w:t>
      </w:r>
      <w:r w:rsidRPr="005A50DB">
        <w:rPr>
          <w:rFonts w:ascii="Century Gothic" w:eastAsia="Times New Roman" w:hAnsi="Century Gothic" w:cs="Arial"/>
          <w:b/>
          <w:spacing w:val="10"/>
          <w:lang w:val="es-ES_tradnl" w:eastAsia="es-ES_tradnl"/>
        </w:rPr>
        <w:t xml:space="preserve">DE </w:t>
      </w:r>
      <w:r w:rsidR="007D047D">
        <w:rPr>
          <w:rFonts w:ascii="Century Gothic" w:eastAsia="Times New Roman" w:hAnsi="Century Gothic" w:cs="Arial"/>
          <w:b/>
          <w:spacing w:val="10"/>
          <w:lang w:val="es-ES_tradnl" w:eastAsia="es-ES_tradnl"/>
        </w:rPr>
        <w:t>MAYO</w:t>
      </w:r>
      <w:r w:rsidRPr="005A50DB">
        <w:rPr>
          <w:rFonts w:ascii="Century Gothic" w:eastAsia="Times New Roman" w:hAnsi="Century Gothic" w:cs="Arial"/>
          <w:b/>
          <w:spacing w:val="10"/>
          <w:lang w:val="es-ES_tradnl" w:eastAsia="es-ES_tradnl"/>
        </w:rPr>
        <w:t xml:space="preserve"> 2022.</w:t>
      </w:r>
    </w:p>
    <w:p w:rsidR="005A50DB" w:rsidRPr="005A50DB" w:rsidRDefault="005A50DB" w:rsidP="00A45074">
      <w:pPr>
        <w:spacing w:after="0" w:line="360" w:lineRule="auto"/>
        <w:ind w:right="191"/>
        <w:contextualSpacing/>
        <w:jc w:val="center"/>
        <w:rPr>
          <w:rFonts w:ascii="Century Gothic" w:eastAsia="Times New Roman" w:hAnsi="Century Gothic" w:cs="Arial"/>
          <w:b/>
          <w:lang w:val="es-ES_tradnl" w:eastAsia="es-ES_tradnl"/>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985"/>
        <w:gridCol w:w="2126"/>
        <w:gridCol w:w="2126"/>
        <w:gridCol w:w="1842"/>
      </w:tblGrid>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5A50DB" w:rsidRPr="005A50DB" w:rsidTr="008B49E8">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YESENIA</w:t>
            </w:r>
            <w:r w:rsidR="00292B59">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DIPUTADO LUIS</w:t>
            </w:r>
            <w:r w:rsidR="0039475B">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SECRETARIO</w:t>
            </w:r>
          </w:p>
          <w:p w:rsidR="005A50DB" w:rsidRPr="005A50DB" w:rsidRDefault="005A50DB" w:rsidP="005A50DB">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bl>
    <w:p w:rsidR="005A50DB" w:rsidRPr="005A50DB" w:rsidRDefault="005A50DB" w:rsidP="005A50DB">
      <w:pPr>
        <w:spacing w:after="0" w:line="240" w:lineRule="auto"/>
        <w:jc w:val="both"/>
        <w:rPr>
          <w:rFonts w:ascii="Century Gothic" w:eastAsia="Calibri" w:hAnsi="Century Gothic" w:cs="Arial"/>
          <w:sz w:val="18"/>
          <w:szCs w:val="18"/>
        </w:rPr>
      </w:pPr>
      <w:r w:rsidRPr="005A50DB">
        <w:rPr>
          <w:rFonts w:ascii="Century Gothic" w:eastAsia="Calibri" w:hAnsi="Century Gothic" w:cs="Arial"/>
          <w:sz w:val="18"/>
          <w:szCs w:val="18"/>
        </w:rPr>
        <w:t xml:space="preserve">Nota: La presente hoja de firmas corresponde al Dictamen de </w:t>
      </w:r>
      <w:r w:rsidR="00C92D95">
        <w:rPr>
          <w:rFonts w:ascii="Century Gothic" w:eastAsia="Calibri" w:hAnsi="Century Gothic" w:cs="Arial"/>
          <w:sz w:val="18"/>
          <w:szCs w:val="18"/>
        </w:rPr>
        <w:t>la Comisión de Salud, que recae</w:t>
      </w:r>
      <w:r w:rsidRPr="005A50DB">
        <w:rPr>
          <w:rFonts w:ascii="Century Gothic" w:eastAsia="Calibri" w:hAnsi="Century Gothic" w:cs="Arial"/>
          <w:sz w:val="18"/>
          <w:szCs w:val="18"/>
        </w:rPr>
        <w:t xml:space="preserve"> </w:t>
      </w:r>
      <w:r w:rsidR="00C92D95">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6</w:t>
      </w:r>
      <w:r w:rsidR="00A45074">
        <w:rPr>
          <w:rFonts w:ascii="Century Gothic" w:eastAsia="Calibri" w:hAnsi="Century Gothic" w:cs="Arial"/>
          <w:sz w:val="18"/>
          <w:szCs w:val="18"/>
        </w:rPr>
        <w:t>9</w:t>
      </w:r>
      <w:r w:rsidR="007D047D">
        <w:rPr>
          <w:rFonts w:ascii="Century Gothic" w:eastAsia="Calibri" w:hAnsi="Century Gothic" w:cs="Arial"/>
          <w:sz w:val="18"/>
          <w:szCs w:val="18"/>
        </w:rPr>
        <w:t>9.</w:t>
      </w:r>
    </w:p>
    <w:p w:rsidR="004954CC" w:rsidRPr="00AA2C7F" w:rsidRDefault="004954CC" w:rsidP="004954CC">
      <w:pPr>
        <w:spacing w:after="0" w:line="240" w:lineRule="auto"/>
        <w:jc w:val="both"/>
        <w:rPr>
          <w:rFonts w:ascii="Century Gothic" w:eastAsia="Calibri" w:hAnsi="Century Gothic" w:cs="Calibri"/>
          <w:sz w:val="20"/>
          <w:szCs w:val="20"/>
        </w:rPr>
      </w:pPr>
    </w:p>
    <w:sectPr w:rsidR="004954CC" w:rsidRPr="00AA2C7F" w:rsidSect="00A45074">
      <w:headerReference w:type="even" r:id="rId14"/>
      <w:headerReference w:type="default" r:id="rId15"/>
      <w:footerReference w:type="default" r:id="rId16"/>
      <w:headerReference w:type="first" r:id="rId17"/>
      <w:pgSz w:w="12240" w:h="15840"/>
      <w:pgMar w:top="3119"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0E5" w:rsidRDefault="00F600E5" w:rsidP="00720B17">
      <w:pPr>
        <w:spacing w:after="0" w:line="240" w:lineRule="auto"/>
      </w:pPr>
      <w:r>
        <w:separator/>
      </w:r>
    </w:p>
  </w:endnote>
  <w:endnote w:type="continuationSeparator" w:id="1">
    <w:p w:rsidR="00F600E5" w:rsidRDefault="00F600E5" w:rsidP="0072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457421"/>
      <w:docPartObj>
        <w:docPartGallery w:val="Page Numbers (Bottom of Page)"/>
        <w:docPartUnique/>
      </w:docPartObj>
    </w:sdtPr>
    <w:sdtContent>
      <w:p w:rsidR="004219F8" w:rsidRPr="00DC4206" w:rsidRDefault="005C7304" w:rsidP="005C7304">
        <w:pPr>
          <w:pStyle w:val="Piedepgina"/>
          <w:jc w:val="right"/>
          <w:rPr>
            <w:lang w:val="en-US"/>
          </w:rPr>
        </w:pPr>
        <w:r>
          <w:rPr>
            <w:lang w:val="en-US"/>
          </w:rPr>
          <w:t xml:space="preserve">   </w:t>
        </w:r>
        <w:r>
          <w:rPr>
            <w:sz w:val="16"/>
            <w:szCs w:val="16"/>
            <w:lang w:val="en-US"/>
          </w:rPr>
          <w:t>A</w:t>
        </w:r>
        <w:r w:rsidR="00C92D95">
          <w:rPr>
            <w:sz w:val="16"/>
            <w:szCs w:val="16"/>
            <w:lang w:val="en-US"/>
          </w:rPr>
          <w:t>69</w:t>
        </w:r>
        <w:r w:rsidR="00B04C99">
          <w:rPr>
            <w:sz w:val="16"/>
            <w:szCs w:val="16"/>
            <w:lang w:val="en-US"/>
          </w:rPr>
          <w:t>9</w:t>
        </w:r>
        <w:r>
          <w:rPr>
            <w:sz w:val="16"/>
            <w:szCs w:val="16"/>
            <w:lang w:val="en-US"/>
          </w:rPr>
          <w:t>/ERS/GAOR/CLVM/</w:t>
        </w:r>
        <w:r w:rsidR="00C92D95">
          <w:rPr>
            <w:sz w:val="16"/>
            <w:szCs w:val="16"/>
            <w:lang w:val="en-US"/>
          </w:rPr>
          <w:t>NTRP</w:t>
        </w:r>
      </w:p>
    </w:sdtContent>
  </w:sdt>
  <w:p w:rsidR="00094EA4" w:rsidRPr="007D6D9B" w:rsidRDefault="00F600E5" w:rsidP="00094EA4">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0E5" w:rsidRDefault="00F600E5" w:rsidP="00720B17">
      <w:pPr>
        <w:spacing w:after="0" w:line="240" w:lineRule="auto"/>
      </w:pPr>
      <w:r>
        <w:separator/>
      </w:r>
    </w:p>
  </w:footnote>
  <w:footnote w:type="continuationSeparator" w:id="1">
    <w:p w:rsidR="00F600E5" w:rsidRDefault="00F600E5" w:rsidP="00720B17">
      <w:pPr>
        <w:spacing w:after="0" w:line="240" w:lineRule="auto"/>
      </w:pPr>
      <w:r>
        <w:continuationSeparator/>
      </w:r>
    </w:p>
  </w:footnote>
  <w:footnote w:id="2">
    <w:p w:rsidR="004E47F0" w:rsidRPr="004E47F0" w:rsidRDefault="004E47F0" w:rsidP="004E47F0">
      <w:pPr>
        <w:pStyle w:val="Textonotapie"/>
        <w:jc w:val="both"/>
        <w:rPr>
          <w:rFonts w:ascii="Century Gothic" w:hAnsi="Century Gothic"/>
          <w:sz w:val="16"/>
          <w:szCs w:val="16"/>
        </w:rPr>
      </w:pPr>
      <w:r w:rsidRPr="004E47F0">
        <w:rPr>
          <w:rStyle w:val="Refdenotaalpie"/>
          <w:rFonts w:ascii="Century Gothic" w:hAnsi="Century Gothic"/>
          <w:sz w:val="16"/>
          <w:szCs w:val="16"/>
        </w:rPr>
        <w:footnoteRef/>
      </w:r>
      <w:r w:rsidRPr="004E47F0">
        <w:rPr>
          <w:rFonts w:ascii="Century Gothic" w:hAnsi="Century Gothic"/>
          <w:sz w:val="16"/>
          <w:szCs w:val="16"/>
        </w:rPr>
        <w:t xml:space="preserve"> https://gaceta.facmed.unam.mx/index.php/2021/03/09/ventajas-de-las-pruebas-diagnosticas-para-el-control-de-la-epidemia-y-regulaciones-internacionales/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A4" w:rsidRDefault="00F2387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B4" w:rsidRDefault="00F71DB4" w:rsidP="00F71DB4">
    <w:pPr>
      <w:pStyle w:val="Encabezado"/>
      <w:spacing w:line="276" w:lineRule="auto"/>
      <w:jc w:val="right"/>
      <w:rPr>
        <w:rFonts w:ascii="Century Gothic" w:hAnsi="Century Gothic"/>
        <w:b/>
      </w:rPr>
    </w:pPr>
  </w:p>
  <w:p w:rsidR="00F71DB4" w:rsidRPr="009A11F6" w:rsidRDefault="00F71DB4" w:rsidP="00F71DB4">
    <w:pPr>
      <w:pStyle w:val="Encabezado"/>
      <w:spacing w:line="276" w:lineRule="auto"/>
      <w:jc w:val="right"/>
      <w:rPr>
        <w:rFonts w:ascii="Century Gothic" w:hAnsi="Century Gothic"/>
        <w:b/>
      </w:rPr>
    </w:pPr>
    <w:r w:rsidRPr="009A11F6">
      <w:rPr>
        <w:rFonts w:ascii="Century Gothic" w:hAnsi="Century Gothic"/>
        <w:b/>
      </w:rPr>
      <w:t>“2022, Año del Centenario de la llegada de la Comunidad Menonita a Chihuahua”</w:t>
    </w:r>
  </w:p>
  <w:p w:rsidR="00F71DB4" w:rsidRDefault="00F71DB4" w:rsidP="00F71DB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 xml:space="preserve">Comisión de </w:t>
    </w:r>
    <w:r w:rsidR="00074A46">
      <w:rPr>
        <w:rFonts w:ascii="Century Gothic" w:hAnsi="Century Gothic"/>
        <w:b/>
      </w:rPr>
      <w:t>Salud</w:t>
    </w:r>
  </w:p>
  <w:p w:rsidR="00094EA4" w:rsidRDefault="00F600E5"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r>
      <w:rPr>
        <w:rFonts w:ascii="Century Gothic" w:hAnsi="Century Gothic"/>
        <w:b/>
      </w:rPr>
      <w:t>DC</w:t>
    </w:r>
    <w:r w:rsidR="00074A46">
      <w:rPr>
        <w:rFonts w:ascii="Century Gothic" w:hAnsi="Century Gothic"/>
        <w:b/>
      </w:rPr>
      <w:t>S</w:t>
    </w:r>
    <w:r>
      <w:rPr>
        <w:rFonts w:ascii="Century Gothic" w:hAnsi="Century Gothic"/>
        <w:b/>
      </w:rPr>
      <w:t>/0</w:t>
    </w:r>
    <w:r w:rsidR="00B04C99">
      <w:rPr>
        <w:rFonts w:ascii="Century Gothic" w:hAnsi="Century Gothic"/>
        <w:b/>
      </w:rPr>
      <w:t>8</w:t>
    </w:r>
    <w:r w:rsidR="00166A14" w:rsidRPr="00BD0220">
      <w:rPr>
        <w:rFonts w:ascii="Century Gothic" w:hAnsi="Century Gothic"/>
        <w:b/>
      </w:rPr>
      <w:t>/</w:t>
    </w:r>
    <w:r w:rsidR="00166A14">
      <w:rPr>
        <w:rFonts w:ascii="Century Gothic" w:hAnsi="Century Gothic"/>
        <w:b/>
      </w:rPr>
      <w:t>202</w:t>
    </w:r>
    <w:r w:rsidR="00F71DB4">
      <w:rPr>
        <w:rFonts w:ascii="Century Gothic" w:hAnsi="Century Gothic"/>
        <w:b/>
      </w:rPr>
      <w:t>2</w:t>
    </w:r>
  </w:p>
  <w:p w:rsidR="00094EA4" w:rsidRPr="002B1678" w:rsidRDefault="00F600E5" w:rsidP="00094EA4">
    <w:pPr>
      <w:pStyle w:val="Encabezado"/>
    </w:pPr>
  </w:p>
  <w:p w:rsidR="00094EA4" w:rsidRDefault="00F600E5" w:rsidP="00094EA4">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A4" w:rsidRDefault="00F2387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0DB92021"/>
    <w:multiLevelType w:val="hybridMultilevel"/>
    <w:tmpl w:val="391408B6"/>
    <w:lvl w:ilvl="0" w:tplc="BA6A1C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43471C"/>
    <w:multiLevelType w:val="hybridMultilevel"/>
    <w:tmpl w:val="FC3C4DD8"/>
    <w:lvl w:ilvl="0" w:tplc="DB9EEF04">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CA5680"/>
    <w:multiLevelType w:val="hybridMultilevel"/>
    <w:tmpl w:val="354C2A08"/>
    <w:lvl w:ilvl="0" w:tplc="CF2AF8F0">
      <w:start w:val="1"/>
      <w:numFmt w:val="upp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0037B9"/>
    <w:multiLevelType w:val="hybridMultilevel"/>
    <w:tmpl w:val="E2D21FFC"/>
    <w:lvl w:ilvl="0" w:tplc="950C9820">
      <w:start w:val="7"/>
      <w:numFmt w:val="upperRoman"/>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2"/>
  </w:num>
  <w:num w:numId="2">
    <w:abstractNumId w:val="6"/>
  </w:num>
  <w:num w:numId="3">
    <w:abstractNumId w:val="2"/>
  </w:num>
  <w:num w:numId="4">
    <w:abstractNumId w:val="1"/>
  </w:num>
  <w:num w:numId="5">
    <w:abstractNumId w:val="11"/>
  </w:num>
  <w:num w:numId="6">
    <w:abstractNumId w:val="5"/>
  </w:num>
  <w:num w:numId="7">
    <w:abstractNumId w:val="8"/>
  </w:num>
  <w:num w:numId="8">
    <w:abstractNumId w:val="7"/>
  </w:num>
  <w:num w:numId="9">
    <w:abstractNumId w:val="0"/>
  </w:num>
  <w:num w:numId="10">
    <w:abstractNumId w:val="3"/>
  </w:num>
  <w:num w:numId="11">
    <w:abstractNumId w:val="9"/>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4954CC"/>
    <w:rsid w:val="0000671E"/>
    <w:rsid w:val="00016C5B"/>
    <w:rsid w:val="00017FF7"/>
    <w:rsid w:val="000210EA"/>
    <w:rsid w:val="00022BA8"/>
    <w:rsid w:val="00023F34"/>
    <w:rsid w:val="000242C0"/>
    <w:rsid w:val="00036645"/>
    <w:rsid w:val="0005131B"/>
    <w:rsid w:val="00053026"/>
    <w:rsid w:val="00057113"/>
    <w:rsid w:val="00060BF3"/>
    <w:rsid w:val="000618CD"/>
    <w:rsid w:val="00074A46"/>
    <w:rsid w:val="00094A6F"/>
    <w:rsid w:val="000C12CF"/>
    <w:rsid w:val="000D0CED"/>
    <w:rsid w:val="000E0062"/>
    <w:rsid w:val="000E01FD"/>
    <w:rsid w:val="00102CA0"/>
    <w:rsid w:val="001166EB"/>
    <w:rsid w:val="00123840"/>
    <w:rsid w:val="00131902"/>
    <w:rsid w:val="001364D0"/>
    <w:rsid w:val="001427B5"/>
    <w:rsid w:val="001456B0"/>
    <w:rsid w:val="0015098D"/>
    <w:rsid w:val="00151412"/>
    <w:rsid w:val="0015307B"/>
    <w:rsid w:val="00166A14"/>
    <w:rsid w:val="001679E6"/>
    <w:rsid w:val="00175A70"/>
    <w:rsid w:val="001B0E69"/>
    <w:rsid w:val="001B135B"/>
    <w:rsid w:val="001C3BE7"/>
    <w:rsid w:val="001C421D"/>
    <w:rsid w:val="001C4783"/>
    <w:rsid w:val="001D745C"/>
    <w:rsid w:val="001E25C0"/>
    <w:rsid w:val="001E4452"/>
    <w:rsid w:val="001F21B8"/>
    <w:rsid w:val="00202BE8"/>
    <w:rsid w:val="00203A38"/>
    <w:rsid w:val="00204901"/>
    <w:rsid w:val="00206030"/>
    <w:rsid w:val="00253F0D"/>
    <w:rsid w:val="00260AE7"/>
    <w:rsid w:val="00273BC7"/>
    <w:rsid w:val="0027637A"/>
    <w:rsid w:val="00283897"/>
    <w:rsid w:val="00284304"/>
    <w:rsid w:val="00284E83"/>
    <w:rsid w:val="00292B59"/>
    <w:rsid w:val="002B01F9"/>
    <w:rsid w:val="002B69D2"/>
    <w:rsid w:val="002C444E"/>
    <w:rsid w:val="002C6B2D"/>
    <w:rsid w:val="002E443D"/>
    <w:rsid w:val="002F3F34"/>
    <w:rsid w:val="0030435C"/>
    <w:rsid w:val="0031216E"/>
    <w:rsid w:val="00315689"/>
    <w:rsid w:val="00324C66"/>
    <w:rsid w:val="00335870"/>
    <w:rsid w:val="00337F73"/>
    <w:rsid w:val="00345744"/>
    <w:rsid w:val="003654EE"/>
    <w:rsid w:val="00392309"/>
    <w:rsid w:val="00392528"/>
    <w:rsid w:val="0039475B"/>
    <w:rsid w:val="003A0E52"/>
    <w:rsid w:val="003A5243"/>
    <w:rsid w:val="003D0CA2"/>
    <w:rsid w:val="003F776B"/>
    <w:rsid w:val="004078C6"/>
    <w:rsid w:val="00415946"/>
    <w:rsid w:val="004219F8"/>
    <w:rsid w:val="00447542"/>
    <w:rsid w:val="004506DE"/>
    <w:rsid w:val="004578D4"/>
    <w:rsid w:val="00481BD6"/>
    <w:rsid w:val="00482F20"/>
    <w:rsid w:val="0049196A"/>
    <w:rsid w:val="004954CC"/>
    <w:rsid w:val="004A0EF8"/>
    <w:rsid w:val="004A4E38"/>
    <w:rsid w:val="004B558C"/>
    <w:rsid w:val="004D0BC2"/>
    <w:rsid w:val="004D71D9"/>
    <w:rsid w:val="004E277E"/>
    <w:rsid w:val="004E47F0"/>
    <w:rsid w:val="004E5C9A"/>
    <w:rsid w:val="0053239E"/>
    <w:rsid w:val="00533EDD"/>
    <w:rsid w:val="00534443"/>
    <w:rsid w:val="00536A94"/>
    <w:rsid w:val="005412B6"/>
    <w:rsid w:val="00550AB2"/>
    <w:rsid w:val="00551350"/>
    <w:rsid w:val="00570BEC"/>
    <w:rsid w:val="0057205B"/>
    <w:rsid w:val="005949D0"/>
    <w:rsid w:val="005A50DB"/>
    <w:rsid w:val="005B6F17"/>
    <w:rsid w:val="005C7304"/>
    <w:rsid w:val="005D3403"/>
    <w:rsid w:val="005D3A21"/>
    <w:rsid w:val="005F1286"/>
    <w:rsid w:val="00611E3B"/>
    <w:rsid w:val="006120A6"/>
    <w:rsid w:val="00613720"/>
    <w:rsid w:val="0062397B"/>
    <w:rsid w:val="0063059F"/>
    <w:rsid w:val="00641128"/>
    <w:rsid w:val="006520B3"/>
    <w:rsid w:val="00653171"/>
    <w:rsid w:val="00665652"/>
    <w:rsid w:val="00665F10"/>
    <w:rsid w:val="00684BAF"/>
    <w:rsid w:val="00685B16"/>
    <w:rsid w:val="006A68D9"/>
    <w:rsid w:val="006A6C52"/>
    <w:rsid w:val="006A7236"/>
    <w:rsid w:val="006D27E8"/>
    <w:rsid w:val="006D373E"/>
    <w:rsid w:val="006D49F2"/>
    <w:rsid w:val="006D6684"/>
    <w:rsid w:val="006D759D"/>
    <w:rsid w:val="006E530B"/>
    <w:rsid w:val="006F5998"/>
    <w:rsid w:val="0071097A"/>
    <w:rsid w:val="00711870"/>
    <w:rsid w:val="00720632"/>
    <w:rsid w:val="00720B17"/>
    <w:rsid w:val="0073014D"/>
    <w:rsid w:val="00736FC8"/>
    <w:rsid w:val="00756BCA"/>
    <w:rsid w:val="00757EDC"/>
    <w:rsid w:val="00786362"/>
    <w:rsid w:val="007B2C41"/>
    <w:rsid w:val="007D047D"/>
    <w:rsid w:val="007D3BF6"/>
    <w:rsid w:val="007E0367"/>
    <w:rsid w:val="007F6950"/>
    <w:rsid w:val="008139C5"/>
    <w:rsid w:val="00820B7F"/>
    <w:rsid w:val="00825B5F"/>
    <w:rsid w:val="00833CCC"/>
    <w:rsid w:val="00842C04"/>
    <w:rsid w:val="008537E8"/>
    <w:rsid w:val="00870158"/>
    <w:rsid w:val="008753C6"/>
    <w:rsid w:val="00876BE4"/>
    <w:rsid w:val="00892A83"/>
    <w:rsid w:val="008D4FD9"/>
    <w:rsid w:val="008F1EFF"/>
    <w:rsid w:val="00971D6C"/>
    <w:rsid w:val="00975C68"/>
    <w:rsid w:val="009858D9"/>
    <w:rsid w:val="009A19AC"/>
    <w:rsid w:val="009A3984"/>
    <w:rsid w:val="009A5A7B"/>
    <w:rsid w:val="009C02E3"/>
    <w:rsid w:val="009C17DB"/>
    <w:rsid w:val="009C5F87"/>
    <w:rsid w:val="009C6DC7"/>
    <w:rsid w:val="009D75B2"/>
    <w:rsid w:val="009F4C39"/>
    <w:rsid w:val="00A14F44"/>
    <w:rsid w:val="00A207B5"/>
    <w:rsid w:val="00A2212C"/>
    <w:rsid w:val="00A23D60"/>
    <w:rsid w:val="00A23FAE"/>
    <w:rsid w:val="00A26203"/>
    <w:rsid w:val="00A26E48"/>
    <w:rsid w:val="00A45074"/>
    <w:rsid w:val="00A76AF0"/>
    <w:rsid w:val="00A85A1C"/>
    <w:rsid w:val="00A86D02"/>
    <w:rsid w:val="00AA2C7F"/>
    <w:rsid w:val="00AA7762"/>
    <w:rsid w:val="00AB472B"/>
    <w:rsid w:val="00AC7976"/>
    <w:rsid w:val="00AD07D7"/>
    <w:rsid w:val="00AD4E28"/>
    <w:rsid w:val="00AE0EA0"/>
    <w:rsid w:val="00AE17D7"/>
    <w:rsid w:val="00AF2326"/>
    <w:rsid w:val="00AF785E"/>
    <w:rsid w:val="00B0185C"/>
    <w:rsid w:val="00B03069"/>
    <w:rsid w:val="00B04C99"/>
    <w:rsid w:val="00B04F34"/>
    <w:rsid w:val="00B05BC0"/>
    <w:rsid w:val="00B30B6B"/>
    <w:rsid w:val="00B31ADF"/>
    <w:rsid w:val="00B35E83"/>
    <w:rsid w:val="00B50AD6"/>
    <w:rsid w:val="00B53779"/>
    <w:rsid w:val="00B9318C"/>
    <w:rsid w:val="00B93A20"/>
    <w:rsid w:val="00BA38D7"/>
    <w:rsid w:val="00BB7805"/>
    <w:rsid w:val="00BC0FAF"/>
    <w:rsid w:val="00BC3655"/>
    <w:rsid w:val="00BD1E46"/>
    <w:rsid w:val="00C256D0"/>
    <w:rsid w:val="00C25D0F"/>
    <w:rsid w:val="00C339AC"/>
    <w:rsid w:val="00C374E5"/>
    <w:rsid w:val="00C5467F"/>
    <w:rsid w:val="00C64BC0"/>
    <w:rsid w:val="00C90C08"/>
    <w:rsid w:val="00C92D95"/>
    <w:rsid w:val="00CC2038"/>
    <w:rsid w:val="00CE0BF7"/>
    <w:rsid w:val="00D044F0"/>
    <w:rsid w:val="00D22CBB"/>
    <w:rsid w:val="00D25F0C"/>
    <w:rsid w:val="00D420D9"/>
    <w:rsid w:val="00D8675C"/>
    <w:rsid w:val="00D95FBA"/>
    <w:rsid w:val="00DC4206"/>
    <w:rsid w:val="00DC43FE"/>
    <w:rsid w:val="00DC5CC7"/>
    <w:rsid w:val="00DD1379"/>
    <w:rsid w:val="00DD4B0A"/>
    <w:rsid w:val="00DE7C18"/>
    <w:rsid w:val="00DF1511"/>
    <w:rsid w:val="00E21897"/>
    <w:rsid w:val="00E50D98"/>
    <w:rsid w:val="00E56931"/>
    <w:rsid w:val="00E73120"/>
    <w:rsid w:val="00E96C3D"/>
    <w:rsid w:val="00E97288"/>
    <w:rsid w:val="00EA2181"/>
    <w:rsid w:val="00EB380E"/>
    <w:rsid w:val="00ED6A36"/>
    <w:rsid w:val="00EF717E"/>
    <w:rsid w:val="00F069E9"/>
    <w:rsid w:val="00F14692"/>
    <w:rsid w:val="00F21366"/>
    <w:rsid w:val="00F2387A"/>
    <w:rsid w:val="00F23FC2"/>
    <w:rsid w:val="00F405B5"/>
    <w:rsid w:val="00F54446"/>
    <w:rsid w:val="00F600E5"/>
    <w:rsid w:val="00F65560"/>
    <w:rsid w:val="00F65D71"/>
    <w:rsid w:val="00F71DB4"/>
    <w:rsid w:val="00F764EE"/>
    <w:rsid w:val="00FC1B22"/>
    <w:rsid w:val="00FC5454"/>
    <w:rsid w:val="00FD2E1E"/>
    <w:rsid w:val="00FF0A76"/>
    <w:rsid w:val="00FF5002"/>
    <w:rsid w:val="00FF5D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CC"/>
  </w:style>
  <w:style w:type="paragraph" w:styleId="Ttulo2">
    <w:name w:val="heading 2"/>
    <w:basedOn w:val="Normal"/>
    <w:next w:val="Normal"/>
    <w:link w:val="Ttulo2Car"/>
    <w:uiPriority w:val="9"/>
    <w:semiHidden/>
    <w:unhideWhenUsed/>
    <w:qFormat/>
    <w:rsid w:val="00C64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character" w:customStyle="1" w:styleId="Ttulo2Car">
    <w:name w:val="Título 2 Car"/>
    <w:basedOn w:val="Fuentedeprrafopredeter"/>
    <w:link w:val="Ttulo2"/>
    <w:uiPriority w:val="9"/>
    <w:semiHidden/>
    <w:rsid w:val="00C64BC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C4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206"/>
    <w:rPr>
      <w:rFonts w:ascii="Tahoma" w:hAnsi="Tahoma" w:cs="Tahoma"/>
      <w:sz w:val="16"/>
      <w:szCs w:val="16"/>
    </w:rPr>
  </w:style>
  <w:style w:type="paragraph" w:styleId="Textonotapie">
    <w:name w:val="footnote text"/>
    <w:basedOn w:val="Normal"/>
    <w:link w:val="TextonotapieCar"/>
    <w:uiPriority w:val="99"/>
    <w:semiHidden/>
    <w:unhideWhenUsed/>
    <w:rsid w:val="001509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098D"/>
    <w:rPr>
      <w:sz w:val="20"/>
      <w:szCs w:val="20"/>
    </w:rPr>
  </w:style>
  <w:style w:type="character" w:styleId="Refdenotaalpie">
    <w:name w:val="footnote reference"/>
    <w:basedOn w:val="Fuentedeprrafopredeter"/>
    <w:uiPriority w:val="99"/>
    <w:semiHidden/>
    <w:unhideWhenUsed/>
    <w:rsid w:val="0015098D"/>
    <w:rPr>
      <w:vertAlign w:val="superscript"/>
    </w:rPr>
  </w:style>
</w:styles>
</file>

<file path=word/webSettings.xml><?xml version="1.0" encoding="utf-8"?>
<w:webSettings xmlns:r="http://schemas.openxmlformats.org/officeDocument/2006/relationships" xmlns:w="http://schemas.openxmlformats.org/wordprocessingml/2006/main">
  <w:divs>
    <w:div w:id="277026500">
      <w:bodyDiv w:val="1"/>
      <w:marLeft w:val="0"/>
      <w:marRight w:val="0"/>
      <w:marTop w:val="0"/>
      <w:marBottom w:val="0"/>
      <w:divBdr>
        <w:top w:val="none" w:sz="0" w:space="0" w:color="auto"/>
        <w:left w:val="none" w:sz="0" w:space="0" w:color="auto"/>
        <w:bottom w:val="none" w:sz="0" w:space="0" w:color="auto"/>
        <w:right w:val="none" w:sz="0" w:space="0" w:color="auto"/>
      </w:divBdr>
    </w:div>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5597">
      <w:bodyDiv w:val="1"/>
      <w:marLeft w:val="0"/>
      <w:marRight w:val="0"/>
      <w:marTop w:val="0"/>
      <w:marBottom w:val="0"/>
      <w:divBdr>
        <w:top w:val="none" w:sz="0" w:space="0" w:color="auto"/>
        <w:left w:val="none" w:sz="0" w:space="0" w:color="auto"/>
        <w:bottom w:val="none" w:sz="0" w:space="0" w:color="auto"/>
        <w:right w:val="none" w:sz="0" w:space="0" w:color="auto"/>
      </w:divBdr>
    </w:div>
    <w:div w:id="1482889600">
      <w:bodyDiv w:val="1"/>
      <w:marLeft w:val="0"/>
      <w:marRight w:val="0"/>
      <w:marTop w:val="0"/>
      <w:marBottom w:val="0"/>
      <w:divBdr>
        <w:top w:val="none" w:sz="0" w:space="0" w:color="auto"/>
        <w:left w:val="none" w:sz="0" w:space="0" w:color="auto"/>
        <w:bottom w:val="none" w:sz="0" w:space="0" w:color="auto"/>
        <w:right w:val="none" w:sz="0" w:space="0" w:color="auto"/>
      </w:divBdr>
    </w:div>
    <w:div w:id="1677266344">
      <w:bodyDiv w:val="1"/>
      <w:marLeft w:val="0"/>
      <w:marRight w:val="0"/>
      <w:marTop w:val="0"/>
      <w:marBottom w:val="0"/>
      <w:divBdr>
        <w:top w:val="none" w:sz="0" w:space="0" w:color="auto"/>
        <w:left w:val="none" w:sz="0" w:space="0" w:color="auto"/>
        <w:bottom w:val="none" w:sz="0" w:space="0" w:color="auto"/>
        <w:right w:val="none" w:sz="0" w:space="0" w:color="auto"/>
      </w:divBdr>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 w:id="20993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articles-detail/interim-position-paper-considerations-regarding-proof-of-covid-19-vaccination-for-international-travellers"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BEAD-875F-47C7-9649-14CB4E3A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3298</Words>
  <Characters>18145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ntrodriguez</cp:lastModifiedBy>
  <cp:revision>4</cp:revision>
  <dcterms:created xsi:type="dcterms:W3CDTF">2022-05-16T17:24:00Z</dcterms:created>
  <dcterms:modified xsi:type="dcterms:W3CDTF">2022-05-20T18:08:00Z</dcterms:modified>
</cp:coreProperties>
</file>