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0FDE84A1" w14:textId="0336FC81" w:rsidR="008A50ED"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9103FD">
        <w:rPr>
          <w:rFonts w:ascii="Century Gothic" w:hAnsi="Century Gothic" w:cs="Arial"/>
        </w:rPr>
        <w:t>24 de noviembre de 2021</w:t>
      </w:r>
      <w:r w:rsidRPr="005D3AD1">
        <w:rPr>
          <w:rFonts w:ascii="Century Gothic" w:hAnsi="Century Gothic" w:cs="Arial"/>
        </w:rPr>
        <w:t>,</w:t>
      </w:r>
      <w:r w:rsidR="000701D0">
        <w:rPr>
          <w:rFonts w:ascii="Century Gothic" w:hAnsi="Century Gothic" w:cs="Arial"/>
        </w:rPr>
        <w:t xml:space="preserve"> </w:t>
      </w:r>
      <w:r w:rsidR="009103FD">
        <w:rPr>
          <w:rFonts w:ascii="Century Gothic" w:hAnsi="Century Gothic" w:cs="Arial"/>
        </w:rPr>
        <w:t>las y los diputados</w:t>
      </w:r>
      <w:r w:rsidR="009103FD" w:rsidRPr="009103FD">
        <w:rPr>
          <w:rFonts w:ascii="Century Gothic" w:hAnsi="Century Gothic" w:cs="Arial"/>
        </w:rPr>
        <w:t xml:space="preserve"> </w:t>
      </w:r>
      <w:r w:rsidR="009E46FF" w:rsidRPr="009E46FF">
        <w:rPr>
          <w:rFonts w:ascii="Century Gothic" w:hAnsi="Century Gothic" w:cs="Arial"/>
        </w:rPr>
        <w:t xml:space="preserve">Rosana Díaz Reyes, Adriana Terrazas Porras, Benjamín Carrera Chávez, David Óscar Castrejón Rivas, </w:t>
      </w:r>
      <w:proofErr w:type="spellStart"/>
      <w:r w:rsidR="009E46FF" w:rsidRPr="009E46FF">
        <w:rPr>
          <w:rFonts w:ascii="Century Gothic" w:hAnsi="Century Gothic" w:cs="Arial"/>
        </w:rPr>
        <w:t>Edin</w:t>
      </w:r>
      <w:proofErr w:type="spellEnd"/>
      <w:r w:rsidR="009E46FF" w:rsidRPr="009E46FF">
        <w:rPr>
          <w:rFonts w:ascii="Century Gothic" w:hAnsi="Century Gothic" w:cs="Arial"/>
        </w:rPr>
        <w:t xml:space="preserve"> Cuauhtémoc Estrada Sotelo, Gustavo De la Rosa </w:t>
      </w:r>
      <w:proofErr w:type="spellStart"/>
      <w:r w:rsidR="009E46FF" w:rsidRPr="009E46FF">
        <w:rPr>
          <w:rFonts w:ascii="Century Gothic" w:hAnsi="Century Gothic" w:cs="Arial"/>
        </w:rPr>
        <w:t>Hickerson</w:t>
      </w:r>
      <w:proofErr w:type="spellEnd"/>
      <w:r w:rsidR="009E46FF" w:rsidRPr="009E46FF">
        <w:rPr>
          <w:rFonts w:ascii="Century Gothic" w:hAnsi="Century Gothic" w:cs="Arial"/>
        </w:rPr>
        <w:t xml:space="preserve">, Leticia Ortega Máynez, Magdalena Rentería Pérez, María Antonieta Pérez Reyes, Óscar Daniel </w:t>
      </w:r>
      <w:proofErr w:type="spellStart"/>
      <w:r w:rsidR="009E46FF" w:rsidRPr="009E46FF">
        <w:rPr>
          <w:rFonts w:ascii="Century Gothic" w:hAnsi="Century Gothic" w:cs="Arial"/>
        </w:rPr>
        <w:t>Avitia</w:t>
      </w:r>
      <w:proofErr w:type="spellEnd"/>
      <w:r w:rsidR="009E46FF" w:rsidRPr="009E46FF">
        <w:rPr>
          <w:rFonts w:ascii="Century Gothic" w:hAnsi="Century Gothic" w:cs="Arial"/>
        </w:rPr>
        <w:t xml:space="preserve"> </w:t>
      </w:r>
      <w:proofErr w:type="spellStart"/>
      <w:r w:rsidR="009E46FF" w:rsidRPr="009E46FF">
        <w:rPr>
          <w:rFonts w:ascii="Century Gothic" w:hAnsi="Century Gothic" w:cs="Arial"/>
        </w:rPr>
        <w:t>Arellanes</w:t>
      </w:r>
      <w:proofErr w:type="spellEnd"/>
      <w:r w:rsidR="009E46FF">
        <w:rPr>
          <w:rFonts w:ascii="Century Gothic" w:hAnsi="Century Gothic" w:cs="Arial"/>
        </w:rPr>
        <w:t>, integrantes del Grupo Parlamentario del Partido MORENA</w:t>
      </w:r>
      <w:r w:rsidR="009103FD">
        <w:rPr>
          <w:rFonts w:ascii="Century Gothic" w:hAnsi="Century Gothic" w:cs="Arial"/>
        </w:rPr>
        <w:t>, presentaron</w:t>
      </w:r>
      <w:r w:rsidR="00927BEC">
        <w:rPr>
          <w:rFonts w:ascii="Century Gothic" w:hAnsi="Century Gothic" w:cs="Arial"/>
        </w:rPr>
        <w:t xml:space="preserve"> </w:t>
      </w:r>
      <w:r w:rsidR="00D65F10">
        <w:rPr>
          <w:rFonts w:ascii="Century Gothic" w:hAnsi="Century Gothic" w:cs="Arial"/>
        </w:rPr>
        <w:t xml:space="preserve">iniciativa con carácter de </w:t>
      </w:r>
      <w:r w:rsidR="00D65F10" w:rsidRPr="00D65F10">
        <w:rPr>
          <w:rFonts w:ascii="Century Gothic" w:hAnsi="Century Gothic" w:cs="Arial"/>
        </w:rPr>
        <w:t xml:space="preserve">decreto, </w:t>
      </w:r>
      <w:r w:rsidR="009103FD" w:rsidRPr="009103FD">
        <w:rPr>
          <w:rFonts w:ascii="Century Gothic" w:hAnsi="Century Gothic" w:cs="Arial"/>
        </w:rPr>
        <w:t xml:space="preserve">a efecto de </w:t>
      </w:r>
      <w:r w:rsidR="009E46FF" w:rsidRPr="009E46FF">
        <w:rPr>
          <w:rFonts w:ascii="Century Gothic" w:hAnsi="Century Gothic" w:cs="Arial"/>
        </w:rPr>
        <w:t>derogar la fracción I, del artículo 297 del Código Civil del Estado de Chihuahua, en materia de alimentos.</w:t>
      </w:r>
    </w:p>
    <w:p w14:paraId="01CE2BE6" w14:textId="77777777" w:rsidR="009103FD" w:rsidRDefault="009103FD" w:rsidP="002E2CD6">
      <w:pPr>
        <w:shd w:val="clear" w:color="auto" w:fill="FFFFFF"/>
        <w:tabs>
          <w:tab w:val="left" w:pos="9763"/>
        </w:tabs>
        <w:spacing w:line="360" w:lineRule="auto"/>
        <w:ind w:right="332"/>
        <w:jc w:val="both"/>
        <w:rPr>
          <w:rFonts w:ascii="Century Gothic" w:hAnsi="Century Gothic" w:cs="Arial"/>
        </w:rPr>
      </w:pPr>
    </w:p>
    <w:p w14:paraId="6692C258" w14:textId="6972E114"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9103FD">
        <w:rPr>
          <w:rFonts w:ascii="Century Gothic" w:hAnsi="Century Gothic" w:cs="Arial"/>
        </w:rPr>
        <w:t>30</w:t>
      </w:r>
      <w:r w:rsidR="001C7F07">
        <w:rPr>
          <w:rFonts w:ascii="Century Gothic" w:hAnsi="Century Gothic" w:cs="Arial"/>
        </w:rPr>
        <w:t xml:space="preserve"> de </w:t>
      </w:r>
      <w:r w:rsidR="009103FD">
        <w:rPr>
          <w:rFonts w:ascii="Century Gothic" w:hAnsi="Century Gothic" w:cs="Arial"/>
        </w:rPr>
        <w:t>noviembre 2021</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w:t>
      </w:r>
      <w:r w:rsidR="00245BFF">
        <w:rPr>
          <w:rFonts w:ascii="Century Gothic" w:eastAsia="Arial" w:hAnsi="Century Gothic" w:cs="Arial"/>
        </w:rPr>
        <w:lastRenderedPageBreak/>
        <w:t xml:space="preserve">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7E9232F6"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645895">
        <w:rPr>
          <w:rFonts w:ascii="Century Gothic" w:hAnsi="Century Gothic" w:cs="Arial"/>
          <w:bCs/>
        </w:rPr>
        <w:t>540</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4EC44B9C" w14:textId="77777777" w:rsidR="009E46FF" w:rsidRPr="009E46FF" w:rsidRDefault="00FA75B4"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 xml:space="preserve"> </w:t>
      </w:r>
      <w:r w:rsidR="00B46904" w:rsidRPr="003E44B8">
        <w:rPr>
          <w:rFonts w:ascii="Century Gothic" w:eastAsia="Arial" w:hAnsi="Century Gothic"/>
          <w:i/>
          <w:sz w:val="22"/>
          <w:szCs w:val="22"/>
        </w:rPr>
        <w:t>“</w:t>
      </w:r>
      <w:r w:rsidR="009E46FF" w:rsidRPr="009E46FF">
        <w:rPr>
          <w:rFonts w:ascii="Century Gothic" w:eastAsia="Arial" w:hAnsi="Century Gothic"/>
          <w:i/>
          <w:sz w:val="22"/>
          <w:szCs w:val="22"/>
          <w:lang w:val="es-MX"/>
        </w:rPr>
        <w:t xml:space="preserve">Como se declara en nuestra carta magna en su artículo 4°, “En todas las decisiones y actuaciones del Estado se velará y cumplirá con el principio del interés superior de la niñez, garantizando de manera plena sus derechos. Los niños y las niñas tienen derecho a la satisfacción de sus necesidades de </w:t>
      </w:r>
      <w:r w:rsidR="009E46FF" w:rsidRPr="009E46FF">
        <w:rPr>
          <w:rFonts w:ascii="Century Gothic" w:eastAsia="Arial" w:hAnsi="Century Gothic"/>
          <w:b/>
          <w:i/>
          <w:sz w:val="22"/>
          <w:szCs w:val="22"/>
          <w:lang w:val="es-MX"/>
        </w:rPr>
        <w:t>alimentación</w:t>
      </w:r>
      <w:r w:rsidR="009E46FF" w:rsidRPr="009E46FF">
        <w:rPr>
          <w:rFonts w:ascii="Century Gothic" w:eastAsia="Arial" w:hAnsi="Century Gothic"/>
          <w:i/>
          <w:sz w:val="22"/>
          <w:szCs w:val="22"/>
          <w:lang w:val="es-MX"/>
        </w:rPr>
        <w:t>, salud, educación y sano esparcimiento para su desarrollo integral. Este principio deberá guiar el diseño, ejecución, seguimiento y evaluación de las políticas públicas dirigidas a la niñez”.</w:t>
      </w:r>
      <w:r w:rsidR="009E46FF" w:rsidRPr="009E46FF">
        <w:rPr>
          <w:rFonts w:ascii="Century Gothic" w:eastAsia="Arial" w:hAnsi="Century Gothic"/>
          <w:i/>
          <w:sz w:val="22"/>
          <w:szCs w:val="22"/>
          <w:vertAlign w:val="superscript"/>
          <w:lang w:val="es-MX"/>
        </w:rPr>
        <w:footnoteReference w:id="1"/>
      </w:r>
    </w:p>
    <w:p w14:paraId="5B9578FC"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104F492C"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Con base al interés superior de la niñez, ambos padres tienen la obligación de cubrir las necesidades físicas y elementales de estos, haciendo lo necesario y suficiente para proveer de alimentos, a sus menores hijos.</w:t>
      </w:r>
    </w:p>
    <w:p w14:paraId="4CB6C67F"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1AE9C1BE"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 xml:space="preserve">Ambos padres tienen que buscar los medios necesarios para cumplir con su obligación alimenticia para con sus menores hijos, en el artículo 297 fracción primera de nuestro Código Civil, nos menciona que si el deudor alimentario carece de medios para </w:t>
      </w:r>
      <w:r w:rsidRPr="009E46FF">
        <w:rPr>
          <w:rFonts w:ascii="Century Gothic" w:eastAsia="Arial" w:hAnsi="Century Gothic"/>
          <w:i/>
          <w:sz w:val="22"/>
          <w:szCs w:val="22"/>
          <w:lang w:val="es-MX"/>
        </w:rPr>
        <w:lastRenderedPageBreak/>
        <w:t>cumplir  con su obligación,  esta cesará, lo cual deja abierta la posibilidad de que el obligado alimentario encuentre los medios simulados para no cumplir con su obligación, dejando de esta forma a un menor sin las necesidades básicas para su subsistencia, el derecho del menor no cesa por la circunstancia del deudor alimentario</w:t>
      </w:r>
    </w:p>
    <w:p w14:paraId="4B37D2F0"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ab/>
      </w:r>
    </w:p>
    <w:p w14:paraId="37A414F5"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 xml:space="preserve">Es por eso, que la fracción antes mencionada llega a ser una laguna legal para dar pie a que se pueda evitar el cumplimiento de la obligación. </w:t>
      </w:r>
    </w:p>
    <w:p w14:paraId="2CC4D7B1"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16936F3B"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De conformidad con lo anterior podemos reforzar y argumentar lo antes dicho desde el criterio de la Suprema Corte de Justicia de la Nación y la Comisión Nacional de los Derechos Humanos.</w:t>
      </w:r>
    </w:p>
    <w:p w14:paraId="311EDA50"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07AA0B87"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Suprema Corte de Justicia de la Nación</w:t>
      </w:r>
    </w:p>
    <w:p w14:paraId="2188F311"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1DE18F6C"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Registro digital: 2006011</w:t>
      </w:r>
    </w:p>
    <w:p w14:paraId="7147D735"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Instancia: Primera Sala</w:t>
      </w:r>
    </w:p>
    <w:p w14:paraId="6C17F633"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Décima Época</w:t>
      </w:r>
    </w:p>
    <w:p w14:paraId="6E4CFCBC"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Materias(s): Constitucional</w:t>
      </w:r>
    </w:p>
    <w:p w14:paraId="1A889C07"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Tesis: 1a</w:t>
      </w:r>
      <w:proofErr w:type="gramStart"/>
      <w:r w:rsidRPr="009E46FF">
        <w:rPr>
          <w:rFonts w:ascii="Century Gothic" w:eastAsia="Arial" w:hAnsi="Century Gothic"/>
          <w:i/>
          <w:sz w:val="22"/>
          <w:szCs w:val="22"/>
          <w:lang w:val="es-MX"/>
        </w:rPr>
        <w:t>./</w:t>
      </w:r>
      <w:proofErr w:type="gramEnd"/>
      <w:r w:rsidRPr="009E46FF">
        <w:rPr>
          <w:rFonts w:ascii="Century Gothic" w:eastAsia="Arial" w:hAnsi="Century Gothic"/>
          <w:i/>
          <w:sz w:val="22"/>
          <w:szCs w:val="22"/>
          <w:lang w:val="es-MX"/>
        </w:rPr>
        <w:t>J. 18/2014 (10a.)</w:t>
      </w:r>
    </w:p>
    <w:p w14:paraId="05D68965"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Fuente: Gaceta del Semanario Judicial de la Federación. Libro 4, Marzo de 2014, Tomo I, página 406</w:t>
      </w:r>
    </w:p>
    <w:p w14:paraId="12619ACC"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Tipo: Jurisprudencia</w:t>
      </w:r>
    </w:p>
    <w:p w14:paraId="457C32F1"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48BB0F2F"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b/>
          <w:i/>
          <w:sz w:val="22"/>
          <w:szCs w:val="22"/>
          <w:lang w:val="es-MX"/>
        </w:rPr>
      </w:pPr>
      <w:r w:rsidRPr="009E46FF">
        <w:rPr>
          <w:rFonts w:ascii="Century Gothic" w:eastAsia="Arial" w:hAnsi="Century Gothic"/>
          <w:b/>
          <w:i/>
          <w:sz w:val="22"/>
          <w:szCs w:val="22"/>
          <w:lang w:val="es-MX"/>
        </w:rPr>
        <w:lastRenderedPageBreak/>
        <w:t>INTERÉS SUPERIOR DEL NIÑO. FUNCIÓN EN EL ÁMBITO JURISDICCIONAL.</w:t>
      </w:r>
    </w:p>
    <w:p w14:paraId="4B424A6D"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492E14F5"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En el ámbito jurisdiccional, el interés superior del niño es un principio orientador de la actividad interpretativa relacionada con cualquier norma jurídica que tenga que aplicarse a un niño en un caso concreto o que pueda afectar los intereses de algún menor. Este principio ordena la realización de una interpretación sistemática que, para darle sentido a la norma en cuestión, tome en cuenta los deberes de protección de los menores y los derechos especiales de éstos previstos en la Constitución, tratados internacionales y leyes de protección de la niñez. Cuando se trata de medidas legislativas o administrativas que afecten derechos de los menores, el interés superior del niño demanda de los órganos jurisdiccionales la realización de un escrutinio mucho más estricto en relación con la necesidad y proporcionalidad de la medida en cuestión.</w:t>
      </w:r>
    </w:p>
    <w:p w14:paraId="3F5D5EAC"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7C05CC50"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Suprema Corte de Justicia de la Nación</w:t>
      </w:r>
    </w:p>
    <w:p w14:paraId="057C257B"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06B6A273"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Registro digital: 2008546</w:t>
      </w:r>
    </w:p>
    <w:p w14:paraId="2782C330"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Instancia: Primera Sala</w:t>
      </w:r>
    </w:p>
    <w:p w14:paraId="5E86BEC2"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Décima Época</w:t>
      </w:r>
    </w:p>
    <w:p w14:paraId="72510CC3"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Materias(s): Constitucional</w:t>
      </w:r>
    </w:p>
    <w:p w14:paraId="2A639172"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Tesis: 1a. LXXXIII/2015 (10a.)</w:t>
      </w:r>
    </w:p>
    <w:p w14:paraId="48CF9EF3"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lastRenderedPageBreak/>
        <w:t>Fuente: Gaceta del Semanario Judicial de la Federación. Libro 15, Febrero de 2015, Tomo II, página 1397</w:t>
      </w:r>
    </w:p>
    <w:p w14:paraId="6011B6A1"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Tipo: Aislada</w:t>
      </w:r>
    </w:p>
    <w:p w14:paraId="22981CFA"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409C582B"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b/>
          <w:i/>
          <w:sz w:val="22"/>
          <w:szCs w:val="22"/>
          <w:lang w:val="es-MX"/>
        </w:rPr>
      </w:pPr>
      <w:r w:rsidRPr="009E46FF">
        <w:rPr>
          <w:rFonts w:ascii="Century Gothic" w:eastAsia="Arial" w:hAnsi="Century Gothic"/>
          <w:b/>
          <w:i/>
          <w:sz w:val="22"/>
          <w:szCs w:val="22"/>
          <w:lang w:val="es-MX"/>
        </w:rPr>
        <w:t>INTERÉS SUPERIOR DEL MENOR COMO ELEMENTO DE INTERPRETACIÓN EN EL ÁMBITO JURISDICCIONAL.</w:t>
      </w:r>
    </w:p>
    <w:p w14:paraId="48EF500C"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1FDEC1D1"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 xml:space="preserve">El interés superior del menor tiene un contenido de naturaleza real y relacional, que demanda una verificación y especial atención de los elementos concretos y específicos que identifican a los menores, por lo que el escrutinio que debe realizarse en controversias que afecten dicho interés, de forma directa o indirecta, es más estricto que el de otros casos de protección a derechos fundamentales. Particularmente, en el ámbito jurisdiccional el interés superior del menor es tanto un principio orientador como una clave heurística de la actividad interpretativa relacionada con cualquier norma jurídica que deba aplicarse a un niño en un caso concreto o que pueda afectar sus intereses. Así, el interés superior del menor ordena la realización de una interpretación sistemática que considere los deberes de protección de los menores y los derechos especiales de éstos previstos en la Constitución Política de los Estados Unidos Mexicanos, en los tratados internacionales y en las leyes de protección de la niñez; de este modo, el principio del interés superior del menor se consagra como criterio orientador fundamental de la actuación judicial; de ahí que conlleva </w:t>
      </w:r>
      <w:r w:rsidRPr="009E46FF">
        <w:rPr>
          <w:rFonts w:ascii="Century Gothic" w:eastAsia="Arial" w:hAnsi="Century Gothic"/>
          <w:i/>
          <w:sz w:val="22"/>
          <w:szCs w:val="22"/>
          <w:lang w:val="es-MX"/>
        </w:rPr>
        <w:lastRenderedPageBreak/>
        <w:t>ineludiblemente a que el juzgador tome en cuenta, al emitir sus resoluciones, algunos aspectos que le permitan determinar con precisión el ámbito de protección requerida, tales como la opinión del menor, sus necesidades físicas, afectivas y educativas; el efecto sobre él de un cambio; su edad, sexo y personalidad; los males que ha padecido o en que puede incurrir, y la posibilidad de que cada uno de sus padres responda a sus posibilidades. En suma, el principio del interés superior del menor debe informar todos los ámbitos de la actividad estatal que estén relacionados directa o indirectamente con los menores, lo que necesariamente implica que la protección de los derechos del niño se realice a través de medidas reforzadas o agravadas, ya que los intereses de los niños deben protegerse siempre con una mayor intensidad.</w:t>
      </w:r>
    </w:p>
    <w:p w14:paraId="3FBE2027"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7BE45EF7"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La convención sobre los Derechos del Niño (CDN) cuya aplicación busca la mayor satisfacción de todas y cada una de las necesidades de niñas, niños y adolescentes, ha señalado que el principio del interés superior tiene un concepto triple:</w:t>
      </w:r>
    </w:p>
    <w:p w14:paraId="031C3207"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p>
    <w:p w14:paraId="6BB7F99A" w14:textId="77777777" w:rsidR="009E46FF" w:rsidRDefault="009E46FF" w:rsidP="009E46FF">
      <w:pPr>
        <w:numPr>
          <w:ilvl w:val="0"/>
          <w:numId w:val="42"/>
        </w:numPr>
        <w:autoSpaceDE w:val="0"/>
        <w:autoSpaceDN w:val="0"/>
        <w:adjustRightInd w:val="0"/>
        <w:spacing w:line="360" w:lineRule="auto"/>
        <w:ind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Derecho sustantivo: Al ser consideración primordial, se deberá evaluar y tener en cuenta el valorar distintos intereses, para tomar una decisión sobre una cuestión debatida que afecte a una niña o niño o a un grupo de ellas (os)</w:t>
      </w:r>
    </w:p>
    <w:p w14:paraId="411BC3F1" w14:textId="77777777" w:rsidR="00347940" w:rsidRPr="009E46FF" w:rsidRDefault="00347940" w:rsidP="00347940">
      <w:pPr>
        <w:autoSpaceDE w:val="0"/>
        <w:autoSpaceDN w:val="0"/>
        <w:adjustRightInd w:val="0"/>
        <w:spacing w:line="360" w:lineRule="auto"/>
        <w:ind w:left="720" w:right="1466"/>
        <w:jc w:val="both"/>
        <w:rPr>
          <w:rFonts w:ascii="Century Gothic" w:eastAsia="Arial" w:hAnsi="Century Gothic"/>
          <w:i/>
          <w:sz w:val="22"/>
          <w:szCs w:val="22"/>
          <w:lang w:val="es-MX"/>
        </w:rPr>
      </w:pPr>
    </w:p>
    <w:p w14:paraId="0BEF7898" w14:textId="77777777" w:rsidR="009E46FF" w:rsidRDefault="009E46FF" w:rsidP="009E46FF">
      <w:pPr>
        <w:numPr>
          <w:ilvl w:val="0"/>
          <w:numId w:val="42"/>
        </w:numPr>
        <w:autoSpaceDE w:val="0"/>
        <w:autoSpaceDN w:val="0"/>
        <w:adjustRightInd w:val="0"/>
        <w:spacing w:line="360" w:lineRule="auto"/>
        <w:ind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lastRenderedPageBreak/>
        <w:t>Principio Jurídico interpretativo: Cuando una disposición jurídica admita más de una interpretación, se elegirá aquella que satisfaga el interés superior de la niña, niño o adolescente.</w:t>
      </w:r>
    </w:p>
    <w:p w14:paraId="6138D103" w14:textId="77777777" w:rsidR="00347940" w:rsidRPr="009E46FF" w:rsidRDefault="00347940" w:rsidP="00347940">
      <w:pPr>
        <w:autoSpaceDE w:val="0"/>
        <w:autoSpaceDN w:val="0"/>
        <w:adjustRightInd w:val="0"/>
        <w:spacing w:line="360" w:lineRule="auto"/>
        <w:ind w:left="720" w:right="1466"/>
        <w:jc w:val="both"/>
        <w:rPr>
          <w:rFonts w:ascii="Century Gothic" w:eastAsia="Arial" w:hAnsi="Century Gothic"/>
          <w:i/>
          <w:sz w:val="22"/>
          <w:szCs w:val="22"/>
          <w:lang w:val="es-MX"/>
        </w:rPr>
      </w:pPr>
    </w:p>
    <w:p w14:paraId="7CF21C22" w14:textId="77777777" w:rsidR="009E46FF" w:rsidRPr="009E46FF" w:rsidRDefault="009E46FF" w:rsidP="009E46FF">
      <w:pPr>
        <w:numPr>
          <w:ilvl w:val="0"/>
          <w:numId w:val="42"/>
        </w:numPr>
        <w:autoSpaceDE w:val="0"/>
        <w:autoSpaceDN w:val="0"/>
        <w:adjustRightInd w:val="0"/>
        <w:spacing w:line="360" w:lineRule="auto"/>
        <w:ind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Norma de procedimiento: Cuando se deba tomar una decisión que afecte a una niña, niño, adolescente, o a un grupo de ellas (os), es necesario realizar una estimación de las posibles repercusiones (positivas o negativas) sobre su vida y explicar por qué se tomó esa decisión.</w:t>
      </w:r>
    </w:p>
    <w:p w14:paraId="6F2E380A" w14:textId="77777777" w:rsidR="009E46FF" w:rsidRPr="009E46FF" w:rsidRDefault="009E46FF" w:rsidP="009E46FF">
      <w:pPr>
        <w:autoSpaceDE w:val="0"/>
        <w:autoSpaceDN w:val="0"/>
        <w:adjustRightInd w:val="0"/>
        <w:spacing w:line="360" w:lineRule="auto"/>
        <w:ind w:left="851" w:right="1466"/>
        <w:jc w:val="both"/>
        <w:rPr>
          <w:rFonts w:ascii="Century Gothic" w:eastAsia="Arial" w:hAnsi="Century Gothic"/>
          <w:b/>
          <w:i/>
          <w:sz w:val="22"/>
          <w:szCs w:val="22"/>
          <w:lang w:val="es-MX"/>
        </w:rPr>
      </w:pPr>
    </w:p>
    <w:p w14:paraId="19D34935" w14:textId="0B9E9866" w:rsidR="005D3EF3" w:rsidRPr="009E46FF" w:rsidRDefault="009E46FF" w:rsidP="009E46FF">
      <w:pPr>
        <w:autoSpaceDE w:val="0"/>
        <w:autoSpaceDN w:val="0"/>
        <w:adjustRightInd w:val="0"/>
        <w:spacing w:line="360" w:lineRule="auto"/>
        <w:ind w:left="851" w:right="1466"/>
        <w:jc w:val="both"/>
        <w:rPr>
          <w:rFonts w:ascii="Century Gothic" w:eastAsia="Arial" w:hAnsi="Century Gothic"/>
          <w:i/>
          <w:sz w:val="22"/>
          <w:szCs w:val="22"/>
          <w:lang w:val="es-MX"/>
        </w:rPr>
      </w:pPr>
      <w:r w:rsidRPr="009E46FF">
        <w:rPr>
          <w:rFonts w:ascii="Century Gothic" w:eastAsia="Arial" w:hAnsi="Century Gothic"/>
          <w:i/>
          <w:sz w:val="22"/>
          <w:szCs w:val="22"/>
          <w:lang w:val="es-MX"/>
        </w:rPr>
        <w:t>Todos los órganos jurisdiccionales, autoridades administrativas y órganos legislativos (federal y locales) tienen la obligación de tomar en cuenta el interés superior como una consideración primordial2 y promover, respetar, proteger y garantizar los derechos de las personas menores de edad de conformidad con los principios de universalidad, interdependencia, indivisibilidad y progresividad.</w:t>
      </w:r>
      <w:r w:rsidRPr="009E46FF">
        <w:rPr>
          <w:rFonts w:ascii="Century Gothic" w:eastAsia="Arial" w:hAnsi="Century Gothic"/>
          <w:i/>
          <w:sz w:val="22"/>
          <w:szCs w:val="22"/>
          <w:vertAlign w:val="superscript"/>
          <w:lang w:val="es-MX"/>
        </w:rPr>
        <w:footnoteReference w:id="2"/>
      </w:r>
      <w:r w:rsidR="009103FD" w:rsidRPr="009103FD">
        <w:rPr>
          <w:rFonts w:ascii="Century Gothic" w:eastAsia="Arial" w:hAnsi="Century Gothic"/>
          <w:i/>
          <w:sz w:val="22"/>
          <w:szCs w:val="22"/>
        </w:rPr>
        <w:t>.</w:t>
      </w:r>
      <w:r w:rsidR="005D3EF3" w:rsidRPr="003E44B8">
        <w:rPr>
          <w:rFonts w:ascii="Century Gothic" w:eastAsia="Arial" w:hAnsi="Century Gothic"/>
          <w:i/>
          <w:sz w:val="22"/>
          <w:szCs w:val="22"/>
          <w:lang w:val="es-MX"/>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9ECE72A"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w:t>
      </w:r>
      <w:r w:rsidR="00645895">
        <w:rPr>
          <w:rFonts w:ascii="Century Gothic" w:hAnsi="Century Gothic" w:cs="Arial"/>
        </w:rPr>
        <w:t>referencia</w:t>
      </w:r>
      <w:r w:rsidRPr="00850EEA">
        <w:rPr>
          <w:rFonts w:ascii="Century Gothic" w:hAnsi="Century Gothic" w:cs="Arial"/>
        </w:rPr>
        <w:t xml:space="preserve">. </w:t>
      </w:r>
    </w:p>
    <w:p w14:paraId="601F6CB7" w14:textId="77777777" w:rsidR="008D70F5" w:rsidRDefault="008D70F5" w:rsidP="00850EEA">
      <w:pPr>
        <w:spacing w:line="360" w:lineRule="auto"/>
        <w:ind w:right="335"/>
        <w:jc w:val="both"/>
        <w:rPr>
          <w:rFonts w:ascii="Century Gothic" w:hAnsi="Century Gothic" w:cs="Arial"/>
        </w:rPr>
      </w:pPr>
    </w:p>
    <w:p w14:paraId="5F172730" w14:textId="7DB5CEEB" w:rsidR="007C1922" w:rsidRDefault="008D70F5" w:rsidP="00603093">
      <w:pPr>
        <w:spacing w:line="360" w:lineRule="auto"/>
        <w:ind w:right="335"/>
        <w:jc w:val="both"/>
        <w:rPr>
          <w:rFonts w:ascii="Century Gothic" w:hAnsi="Century Gothic" w:cs="Arial"/>
          <w:bCs/>
          <w:lang w:val="es-MX"/>
        </w:rPr>
      </w:pPr>
      <w:r>
        <w:rPr>
          <w:rFonts w:ascii="Century Gothic" w:hAnsi="Century Gothic" w:cs="Arial"/>
          <w:b/>
          <w:lang w:val="es-MX"/>
        </w:rPr>
        <w:t xml:space="preserve">II.- </w:t>
      </w:r>
      <w:r w:rsidR="00603093">
        <w:rPr>
          <w:rFonts w:ascii="Century Gothic" w:hAnsi="Century Gothic" w:cs="Arial"/>
          <w:bCs/>
          <w:lang w:val="es-MX"/>
        </w:rPr>
        <w:t>La iniciativa menciona que</w:t>
      </w:r>
      <w:r w:rsidR="007F1F8F">
        <w:rPr>
          <w:rFonts w:ascii="Century Gothic" w:hAnsi="Century Gothic" w:cs="Arial"/>
          <w:bCs/>
          <w:lang w:val="es-MX"/>
        </w:rPr>
        <w:t>,</w:t>
      </w:r>
      <w:r w:rsidR="00603093">
        <w:rPr>
          <w:rFonts w:ascii="Century Gothic" w:hAnsi="Century Gothic" w:cs="Arial"/>
          <w:bCs/>
          <w:lang w:val="es-MX"/>
        </w:rPr>
        <w:t xml:space="preserve"> de acuerdo a la </w:t>
      </w:r>
      <w:r w:rsidR="00603093" w:rsidRPr="00603093">
        <w:rPr>
          <w:rFonts w:ascii="Century Gothic" w:hAnsi="Century Gothic" w:cs="Arial"/>
          <w:bCs/>
          <w:lang w:val="es-MX"/>
        </w:rPr>
        <w:t>fracción I</w:t>
      </w:r>
      <w:r w:rsidR="007F1F8F">
        <w:rPr>
          <w:rFonts w:ascii="Century Gothic" w:hAnsi="Century Gothic" w:cs="Arial"/>
          <w:bCs/>
          <w:lang w:val="es-MX"/>
        </w:rPr>
        <w:t xml:space="preserve"> </w:t>
      </w:r>
      <w:r w:rsidR="00603093">
        <w:rPr>
          <w:rFonts w:ascii="Century Gothic" w:hAnsi="Century Gothic" w:cs="Arial"/>
          <w:bCs/>
          <w:lang w:val="es-MX"/>
        </w:rPr>
        <w:t>del</w:t>
      </w:r>
      <w:r w:rsidR="00603093" w:rsidRPr="00603093">
        <w:rPr>
          <w:rFonts w:ascii="Century Gothic" w:hAnsi="Century Gothic" w:cs="Arial"/>
          <w:bCs/>
          <w:lang w:val="es-MX"/>
        </w:rPr>
        <w:t xml:space="preserve"> artículo 297, </w:t>
      </w:r>
      <w:r w:rsidR="00603093">
        <w:rPr>
          <w:rFonts w:ascii="Century Gothic" w:hAnsi="Century Gothic" w:cs="Arial"/>
          <w:bCs/>
          <w:lang w:val="es-MX"/>
        </w:rPr>
        <w:t>del</w:t>
      </w:r>
      <w:r w:rsidR="00603093" w:rsidRPr="00603093">
        <w:rPr>
          <w:rFonts w:ascii="Century Gothic" w:hAnsi="Century Gothic" w:cs="Arial"/>
          <w:bCs/>
          <w:lang w:val="es-MX"/>
        </w:rPr>
        <w:t xml:space="preserve"> Código Civil</w:t>
      </w:r>
      <w:r w:rsidR="00603093">
        <w:rPr>
          <w:rFonts w:ascii="Century Gothic" w:hAnsi="Century Gothic" w:cs="Arial"/>
          <w:bCs/>
          <w:lang w:val="es-MX"/>
        </w:rPr>
        <w:t xml:space="preserve"> del Estado de Chihuahua</w:t>
      </w:r>
      <w:r w:rsidR="00603093" w:rsidRPr="00603093">
        <w:rPr>
          <w:rFonts w:ascii="Century Gothic" w:hAnsi="Century Gothic" w:cs="Arial"/>
          <w:bCs/>
          <w:lang w:val="es-MX"/>
        </w:rPr>
        <w:t>, si el deudor alimentario carece de medios para cumplir con su obligación, esta cesar</w:t>
      </w:r>
      <w:r w:rsidR="00603093">
        <w:rPr>
          <w:rFonts w:ascii="Century Gothic" w:hAnsi="Century Gothic" w:cs="Arial"/>
          <w:bCs/>
          <w:lang w:val="es-MX"/>
        </w:rPr>
        <w:t>ía</w:t>
      </w:r>
      <w:r w:rsidR="00347940">
        <w:rPr>
          <w:rFonts w:ascii="Century Gothic" w:hAnsi="Century Gothic" w:cs="Arial"/>
          <w:bCs/>
          <w:lang w:val="es-MX"/>
        </w:rPr>
        <w:t>; por lo que existe la posibilidad de</w:t>
      </w:r>
      <w:r w:rsidR="00603093" w:rsidRPr="00603093">
        <w:rPr>
          <w:rFonts w:ascii="Century Gothic" w:hAnsi="Century Gothic" w:cs="Arial"/>
          <w:bCs/>
          <w:lang w:val="es-MX"/>
        </w:rPr>
        <w:t xml:space="preserve"> que el obligado alimentario encuentre los medios simulados para no cumplir con su obligación, dejando de esta forma a</w:t>
      </w:r>
      <w:r w:rsidR="00603093">
        <w:rPr>
          <w:rFonts w:ascii="Century Gothic" w:hAnsi="Century Gothic" w:cs="Arial"/>
          <w:bCs/>
          <w:lang w:val="es-MX"/>
        </w:rPr>
        <w:t xml:space="preserve"> una persona </w:t>
      </w:r>
      <w:r w:rsidR="007C1922">
        <w:rPr>
          <w:rFonts w:ascii="Century Gothic" w:hAnsi="Century Gothic" w:cs="Arial"/>
          <w:bCs/>
          <w:lang w:val="es-MX"/>
        </w:rPr>
        <w:t xml:space="preserve">menor de 18 años </w:t>
      </w:r>
      <w:r w:rsidR="00603093" w:rsidRPr="00603093">
        <w:rPr>
          <w:rFonts w:ascii="Century Gothic" w:hAnsi="Century Gothic" w:cs="Arial"/>
          <w:bCs/>
          <w:lang w:val="es-MX"/>
        </w:rPr>
        <w:t>sin las necesidades básicas para su subsistencia</w:t>
      </w:r>
      <w:r w:rsidR="007C1922">
        <w:rPr>
          <w:rFonts w:ascii="Century Gothic" w:hAnsi="Century Gothic" w:cs="Arial"/>
          <w:bCs/>
          <w:lang w:val="es-MX"/>
        </w:rPr>
        <w:t xml:space="preserve">. </w:t>
      </w:r>
    </w:p>
    <w:p w14:paraId="49FC19C9" w14:textId="77777777" w:rsidR="007C1922" w:rsidRDefault="007C1922" w:rsidP="00603093">
      <w:pPr>
        <w:spacing w:line="360" w:lineRule="auto"/>
        <w:ind w:right="335"/>
        <w:jc w:val="both"/>
        <w:rPr>
          <w:rFonts w:ascii="Century Gothic" w:hAnsi="Century Gothic" w:cs="Arial"/>
          <w:bCs/>
          <w:lang w:val="es-MX"/>
        </w:rPr>
      </w:pPr>
    </w:p>
    <w:p w14:paraId="5798EA27" w14:textId="42D0034F" w:rsidR="00603093" w:rsidRDefault="007C1922" w:rsidP="00603093">
      <w:pPr>
        <w:spacing w:line="360" w:lineRule="auto"/>
        <w:ind w:right="335"/>
        <w:jc w:val="both"/>
        <w:rPr>
          <w:rFonts w:ascii="Century Gothic" w:hAnsi="Century Gothic" w:cs="Arial"/>
          <w:bCs/>
          <w:lang w:val="es-MX"/>
        </w:rPr>
      </w:pPr>
      <w:r>
        <w:rPr>
          <w:rFonts w:ascii="Century Gothic" w:hAnsi="Century Gothic" w:cs="Arial"/>
          <w:bCs/>
          <w:lang w:val="es-MX"/>
        </w:rPr>
        <w:t>También refiere que</w:t>
      </w:r>
      <w:r w:rsidR="00347940">
        <w:rPr>
          <w:rFonts w:ascii="Century Gothic" w:hAnsi="Century Gothic" w:cs="Arial"/>
          <w:bCs/>
          <w:lang w:val="es-MX"/>
        </w:rPr>
        <w:t>,</w:t>
      </w:r>
      <w:r>
        <w:rPr>
          <w:rFonts w:ascii="Century Gothic" w:hAnsi="Century Gothic" w:cs="Arial"/>
          <w:bCs/>
          <w:lang w:val="es-MX"/>
        </w:rPr>
        <w:t xml:space="preserve"> </w:t>
      </w:r>
      <w:r w:rsidR="00603093" w:rsidRPr="00603093">
        <w:rPr>
          <w:rFonts w:ascii="Century Gothic" w:hAnsi="Century Gothic" w:cs="Arial"/>
          <w:bCs/>
          <w:lang w:val="es-MX"/>
        </w:rPr>
        <w:t>el derecho</w:t>
      </w:r>
      <w:r>
        <w:rPr>
          <w:rFonts w:ascii="Century Gothic" w:hAnsi="Century Gothic" w:cs="Arial"/>
          <w:bCs/>
          <w:lang w:val="es-MX"/>
        </w:rPr>
        <w:t xml:space="preserve"> que tiene la persona acreedora </w:t>
      </w:r>
      <w:r w:rsidRPr="00603093">
        <w:rPr>
          <w:rFonts w:ascii="Century Gothic" w:hAnsi="Century Gothic" w:cs="Arial"/>
          <w:bCs/>
          <w:lang w:val="es-MX"/>
        </w:rPr>
        <w:t>a</w:t>
      </w:r>
      <w:r>
        <w:rPr>
          <w:rFonts w:ascii="Century Gothic" w:hAnsi="Century Gothic" w:cs="Arial"/>
          <w:bCs/>
          <w:lang w:val="es-MX"/>
        </w:rPr>
        <w:t xml:space="preserve"> recibir alimentos </w:t>
      </w:r>
      <w:r w:rsidR="00603093" w:rsidRPr="00603093">
        <w:rPr>
          <w:rFonts w:ascii="Century Gothic" w:hAnsi="Century Gothic" w:cs="Arial"/>
          <w:bCs/>
          <w:lang w:val="es-MX"/>
        </w:rPr>
        <w:t>no cesa por la circunstancia del deudor alimentario.</w:t>
      </w:r>
    </w:p>
    <w:p w14:paraId="12D4C795" w14:textId="07F95827" w:rsidR="007C1922" w:rsidRDefault="007C1922" w:rsidP="00603093">
      <w:pPr>
        <w:spacing w:line="360" w:lineRule="auto"/>
        <w:ind w:right="335"/>
        <w:jc w:val="both"/>
        <w:rPr>
          <w:rFonts w:ascii="Century Gothic" w:hAnsi="Century Gothic" w:cs="Arial"/>
          <w:bCs/>
          <w:lang w:val="es-MX"/>
        </w:rPr>
      </w:pPr>
    </w:p>
    <w:p w14:paraId="7251B1E9" w14:textId="780B3BD0" w:rsidR="00146091" w:rsidRDefault="007C1922" w:rsidP="00603093">
      <w:pPr>
        <w:spacing w:line="360" w:lineRule="auto"/>
        <w:ind w:right="335"/>
        <w:jc w:val="both"/>
        <w:rPr>
          <w:rFonts w:ascii="Century Gothic" w:hAnsi="Century Gothic" w:cs="Arial"/>
          <w:bCs/>
          <w:lang w:val="es-MX"/>
        </w:rPr>
      </w:pPr>
      <w:r>
        <w:rPr>
          <w:rFonts w:ascii="Century Gothic" w:hAnsi="Century Gothic" w:cs="Arial"/>
          <w:bCs/>
          <w:lang w:val="es-MX"/>
        </w:rPr>
        <w:t xml:space="preserve">Para resolver el problema planteado, es decir, la simulación </w:t>
      </w:r>
      <w:r w:rsidR="00146091">
        <w:rPr>
          <w:rFonts w:ascii="Century Gothic" w:hAnsi="Century Gothic" w:cs="Arial"/>
          <w:bCs/>
          <w:lang w:val="es-MX"/>
        </w:rPr>
        <w:t>de</w:t>
      </w:r>
      <w:r>
        <w:rPr>
          <w:rFonts w:ascii="Century Gothic" w:hAnsi="Century Gothic" w:cs="Arial"/>
          <w:bCs/>
          <w:lang w:val="es-MX"/>
        </w:rPr>
        <w:t xml:space="preserve"> hacer creer que carece de medios </w:t>
      </w:r>
      <w:r w:rsidR="00146091">
        <w:rPr>
          <w:rFonts w:ascii="Century Gothic" w:hAnsi="Century Gothic" w:cs="Arial"/>
          <w:bCs/>
          <w:lang w:val="es-MX"/>
        </w:rPr>
        <w:t>para cesar</w:t>
      </w:r>
      <w:r>
        <w:rPr>
          <w:rFonts w:ascii="Century Gothic" w:hAnsi="Century Gothic" w:cs="Arial"/>
          <w:bCs/>
          <w:lang w:val="es-MX"/>
        </w:rPr>
        <w:t xml:space="preserve"> su obligación </w:t>
      </w:r>
      <w:r w:rsidR="00146091">
        <w:rPr>
          <w:rFonts w:ascii="Century Gothic" w:hAnsi="Century Gothic" w:cs="Arial"/>
          <w:bCs/>
          <w:lang w:val="es-MX"/>
        </w:rPr>
        <w:t xml:space="preserve">alimentaria, propone derogar la fracción </w:t>
      </w:r>
      <w:r w:rsidR="001419EB">
        <w:rPr>
          <w:rFonts w:ascii="Century Gothic" w:hAnsi="Century Gothic" w:cs="Arial"/>
          <w:bCs/>
          <w:lang w:val="es-MX"/>
        </w:rPr>
        <w:t>I del artículo 297, del Código s</w:t>
      </w:r>
      <w:r w:rsidR="00146091">
        <w:rPr>
          <w:rFonts w:ascii="Century Gothic" w:hAnsi="Century Gothic" w:cs="Arial"/>
          <w:bCs/>
          <w:lang w:val="es-MX"/>
        </w:rPr>
        <w:t xml:space="preserve">ustantivo antes mencionado. </w:t>
      </w:r>
    </w:p>
    <w:p w14:paraId="37E06010" w14:textId="77777777" w:rsidR="00146091" w:rsidRDefault="00146091" w:rsidP="00603093">
      <w:pPr>
        <w:spacing w:line="360" w:lineRule="auto"/>
        <w:ind w:right="335"/>
        <w:jc w:val="both"/>
        <w:rPr>
          <w:rFonts w:ascii="Century Gothic" w:hAnsi="Century Gothic" w:cs="Arial"/>
          <w:bCs/>
          <w:lang w:val="es-MX"/>
        </w:rPr>
      </w:pPr>
    </w:p>
    <w:p w14:paraId="205BC5FE" w14:textId="76AF368A" w:rsidR="00603093" w:rsidRDefault="00146091" w:rsidP="00146091">
      <w:pPr>
        <w:spacing w:line="360" w:lineRule="auto"/>
        <w:ind w:right="335"/>
        <w:jc w:val="both"/>
        <w:rPr>
          <w:rFonts w:ascii="Century Gothic" w:hAnsi="Century Gothic" w:cs="Arial"/>
          <w:bCs/>
        </w:rPr>
      </w:pPr>
      <w:r>
        <w:rPr>
          <w:rFonts w:ascii="Century Gothic" w:hAnsi="Century Gothic" w:cs="Arial"/>
          <w:bCs/>
          <w:lang w:val="es-MX"/>
        </w:rPr>
        <w:t xml:space="preserve">Esto es, que deje de existir la hipótesis que cesa la obligación de dar alimentos, cuando la persona deudora </w:t>
      </w:r>
      <w:r w:rsidRPr="00146091">
        <w:rPr>
          <w:rFonts w:ascii="Century Gothic" w:hAnsi="Century Gothic" w:cs="Arial"/>
          <w:bCs/>
        </w:rPr>
        <w:t>carece de medios para cumplirla</w:t>
      </w:r>
      <w:r>
        <w:rPr>
          <w:rFonts w:ascii="Century Gothic" w:hAnsi="Century Gothic" w:cs="Arial"/>
          <w:bCs/>
        </w:rPr>
        <w:t xml:space="preserve">, ya que esta disposición podría dar lugar a simulaciones y dejar sin alimentos a niñas y niños. </w:t>
      </w:r>
    </w:p>
    <w:p w14:paraId="47BF0C1E" w14:textId="5FDC3D4C" w:rsidR="00146091" w:rsidRDefault="00146091" w:rsidP="00146091">
      <w:pPr>
        <w:spacing w:line="360" w:lineRule="auto"/>
        <w:ind w:right="335"/>
        <w:jc w:val="both"/>
        <w:rPr>
          <w:rFonts w:ascii="Century Gothic" w:hAnsi="Century Gothic" w:cs="Arial"/>
          <w:bCs/>
        </w:rPr>
      </w:pPr>
    </w:p>
    <w:p w14:paraId="1F287549" w14:textId="01446236" w:rsidR="00836776" w:rsidRDefault="00836776" w:rsidP="00146091">
      <w:pPr>
        <w:spacing w:line="360" w:lineRule="auto"/>
        <w:ind w:right="335"/>
        <w:jc w:val="both"/>
        <w:rPr>
          <w:rFonts w:ascii="Century Gothic" w:hAnsi="Century Gothic" w:cs="Arial"/>
          <w:bCs/>
        </w:rPr>
      </w:pPr>
      <w:r>
        <w:rPr>
          <w:rFonts w:ascii="Century Gothic" w:hAnsi="Century Gothic" w:cs="Arial"/>
          <w:bCs/>
        </w:rPr>
        <w:t xml:space="preserve">La propuesta de la iniciativa la podemos visualizar en el siguiente cuadro comparativo: </w:t>
      </w:r>
    </w:p>
    <w:p w14:paraId="377868FD" w14:textId="216094AB" w:rsidR="00836776" w:rsidRDefault="00836776" w:rsidP="00146091">
      <w:pPr>
        <w:spacing w:line="360" w:lineRule="auto"/>
        <w:ind w:right="335"/>
        <w:jc w:val="both"/>
        <w:rPr>
          <w:rFonts w:ascii="Century Gothic" w:hAnsi="Century Gothic" w:cs="Arial"/>
          <w:bCs/>
        </w:rPr>
      </w:pPr>
    </w:p>
    <w:tbl>
      <w:tblPr>
        <w:tblStyle w:val="Tablaconcuadrcula"/>
        <w:tblW w:w="0" w:type="auto"/>
        <w:tblLook w:val="04A0" w:firstRow="1" w:lastRow="0" w:firstColumn="1" w:lastColumn="0" w:noHBand="0" w:noVBand="1"/>
      </w:tblPr>
      <w:tblGrid>
        <w:gridCol w:w="4697"/>
        <w:gridCol w:w="4697"/>
      </w:tblGrid>
      <w:tr w:rsidR="00836776" w14:paraId="1957FC8A" w14:textId="77777777" w:rsidTr="00A0173F">
        <w:tc>
          <w:tcPr>
            <w:tcW w:w="9394" w:type="dxa"/>
            <w:gridSpan w:val="2"/>
          </w:tcPr>
          <w:p w14:paraId="59B1E982" w14:textId="61C1F40C" w:rsidR="00836776" w:rsidRDefault="00836776" w:rsidP="00347940">
            <w:pPr>
              <w:spacing w:line="360" w:lineRule="auto"/>
              <w:ind w:right="335"/>
              <w:jc w:val="center"/>
              <w:rPr>
                <w:rFonts w:ascii="Century Gothic" w:hAnsi="Century Gothic" w:cs="Arial"/>
                <w:bCs/>
              </w:rPr>
            </w:pPr>
            <w:r>
              <w:rPr>
                <w:rFonts w:ascii="Century Gothic" w:hAnsi="Century Gothic" w:cs="Arial"/>
                <w:bCs/>
              </w:rPr>
              <w:t>Código Civil del Estado de Chihuahua</w:t>
            </w:r>
          </w:p>
        </w:tc>
      </w:tr>
      <w:tr w:rsidR="00836776" w14:paraId="651BBC9F" w14:textId="77777777" w:rsidTr="00836776">
        <w:tc>
          <w:tcPr>
            <w:tcW w:w="4697" w:type="dxa"/>
          </w:tcPr>
          <w:p w14:paraId="5F800B94" w14:textId="5BB73F79" w:rsidR="00836776" w:rsidRDefault="00836776" w:rsidP="00347940">
            <w:pPr>
              <w:spacing w:line="360" w:lineRule="auto"/>
              <w:ind w:right="335"/>
              <w:jc w:val="center"/>
              <w:rPr>
                <w:rFonts w:ascii="Century Gothic" w:hAnsi="Century Gothic" w:cs="Arial"/>
                <w:bCs/>
              </w:rPr>
            </w:pPr>
            <w:r>
              <w:rPr>
                <w:rFonts w:ascii="Century Gothic" w:hAnsi="Century Gothic" w:cs="Arial"/>
                <w:bCs/>
              </w:rPr>
              <w:t>Vigente</w:t>
            </w:r>
          </w:p>
        </w:tc>
        <w:tc>
          <w:tcPr>
            <w:tcW w:w="4697" w:type="dxa"/>
          </w:tcPr>
          <w:p w14:paraId="4E49179D" w14:textId="200AE791" w:rsidR="00836776" w:rsidRDefault="00836776" w:rsidP="00347940">
            <w:pPr>
              <w:spacing w:line="360" w:lineRule="auto"/>
              <w:ind w:right="335"/>
              <w:jc w:val="center"/>
              <w:rPr>
                <w:rFonts w:ascii="Century Gothic" w:hAnsi="Century Gothic" w:cs="Arial"/>
                <w:bCs/>
              </w:rPr>
            </w:pPr>
            <w:r>
              <w:rPr>
                <w:rFonts w:ascii="Century Gothic" w:hAnsi="Century Gothic" w:cs="Arial"/>
                <w:bCs/>
              </w:rPr>
              <w:t>Propuesta</w:t>
            </w:r>
          </w:p>
        </w:tc>
      </w:tr>
      <w:tr w:rsidR="00836776" w14:paraId="751A0913" w14:textId="77777777" w:rsidTr="00836776">
        <w:tc>
          <w:tcPr>
            <w:tcW w:w="4697" w:type="dxa"/>
          </w:tcPr>
          <w:p w14:paraId="56B828E2" w14:textId="77777777" w:rsidR="00836776" w:rsidRDefault="00836776" w:rsidP="00146091">
            <w:pPr>
              <w:spacing w:line="360" w:lineRule="auto"/>
              <w:ind w:right="335"/>
              <w:jc w:val="both"/>
              <w:rPr>
                <w:rFonts w:ascii="Century Gothic" w:hAnsi="Century Gothic" w:cs="Arial"/>
                <w:bCs/>
              </w:rPr>
            </w:pPr>
            <w:r w:rsidRPr="00836776">
              <w:rPr>
                <w:rFonts w:ascii="Century Gothic" w:hAnsi="Century Gothic" w:cs="Arial"/>
                <w:bCs/>
              </w:rPr>
              <w:t xml:space="preserve">ARTÍCULO 297. Cesa la obligación de dar alimentos: </w:t>
            </w:r>
          </w:p>
          <w:p w14:paraId="52D6BFA8" w14:textId="77777777" w:rsidR="00836776" w:rsidRDefault="00836776" w:rsidP="00146091">
            <w:pPr>
              <w:spacing w:line="360" w:lineRule="auto"/>
              <w:ind w:right="335"/>
              <w:jc w:val="both"/>
              <w:rPr>
                <w:rFonts w:ascii="Century Gothic" w:hAnsi="Century Gothic" w:cs="Arial"/>
                <w:bCs/>
              </w:rPr>
            </w:pPr>
          </w:p>
          <w:p w14:paraId="631DA9AB" w14:textId="5F865981" w:rsidR="00836776" w:rsidRPr="00836776" w:rsidRDefault="00836776" w:rsidP="00836776">
            <w:pPr>
              <w:spacing w:line="360" w:lineRule="auto"/>
              <w:ind w:right="335"/>
              <w:rPr>
                <w:rFonts w:ascii="Century Gothic" w:hAnsi="Century Gothic" w:cs="Arial"/>
                <w:bCs/>
              </w:rPr>
            </w:pPr>
            <w:r w:rsidRPr="00836776">
              <w:rPr>
                <w:rFonts w:ascii="Century Gothic" w:hAnsi="Century Gothic" w:cs="Arial"/>
                <w:bCs/>
              </w:rPr>
              <w:t>I.</w:t>
            </w:r>
            <w:r>
              <w:rPr>
                <w:rFonts w:ascii="Century Gothic" w:hAnsi="Century Gothic" w:cs="Arial"/>
                <w:bCs/>
              </w:rPr>
              <w:t xml:space="preserve"> </w:t>
            </w:r>
            <w:r w:rsidRPr="00836776">
              <w:rPr>
                <w:rFonts w:ascii="Century Gothic" w:hAnsi="Century Gothic" w:cs="Arial"/>
                <w:bCs/>
              </w:rPr>
              <w:t>Cuando el que la tiene carece de medios para cumplirla;</w:t>
            </w:r>
          </w:p>
          <w:p w14:paraId="52E1DB5F" w14:textId="77777777" w:rsidR="00836776" w:rsidRPr="00836776" w:rsidRDefault="00836776" w:rsidP="00836776"/>
          <w:p w14:paraId="742010C0" w14:textId="07EFC523" w:rsidR="00836776" w:rsidRPr="00836776" w:rsidRDefault="00836776" w:rsidP="00836776">
            <w:pPr>
              <w:spacing w:line="360" w:lineRule="auto"/>
              <w:ind w:right="335"/>
            </w:pPr>
            <w:r>
              <w:rPr>
                <w:rFonts w:ascii="Century Gothic" w:hAnsi="Century Gothic" w:cs="Arial"/>
                <w:bCs/>
              </w:rPr>
              <w:t>II. a V</w:t>
            </w:r>
            <w:proofErr w:type="gramStart"/>
            <w:r>
              <w:rPr>
                <w:rFonts w:ascii="Century Gothic" w:hAnsi="Century Gothic" w:cs="Arial"/>
                <w:bCs/>
              </w:rPr>
              <w:t>. …</w:t>
            </w:r>
            <w:proofErr w:type="gramEnd"/>
          </w:p>
        </w:tc>
        <w:tc>
          <w:tcPr>
            <w:tcW w:w="4697" w:type="dxa"/>
          </w:tcPr>
          <w:p w14:paraId="3FE5D48A" w14:textId="77777777" w:rsidR="00836776" w:rsidRDefault="00836776" w:rsidP="00836776">
            <w:pPr>
              <w:spacing w:line="360" w:lineRule="auto"/>
              <w:ind w:right="335"/>
              <w:jc w:val="both"/>
              <w:rPr>
                <w:rFonts w:ascii="Century Gothic" w:hAnsi="Century Gothic" w:cs="Arial"/>
                <w:bCs/>
              </w:rPr>
            </w:pPr>
            <w:r w:rsidRPr="00836776">
              <w:rPr>
                <w:rFonts w:ascii="Century Gothic" w:hAnsi="Century Gothic" w:cs="Arial"/>
                <w:bCs/>
              </w:rPr>
              <w:t xml:space="preserve">ARTÍCULO 297. Cesa la obligación de dar alimentos: </w:t>
            </w:r>
          </w:p>
          <w:p w14:paraId="6F17841A" w14:textId="77777777" w:rsidR="00836776" w:rsidRDefault="00836776" w:rsidP="00836776">
            <w:pPr>
              <w:spacing w:line="360" w:lineRule="auto"/>
              <w:ind w:right="335"/>
              <w:jc w:val="both"/>
              <w:rPr>
                <w:rFonts w:ascii="Century Gothic" w:hAnsi="Century Gothic" w:cs="Arial"/>
                <w:bCs/>
              </w:rPr>
            </w:pPr>
          </w:p>
          <w:p w14:paraId="7433DA2B" w14:textId="315D186B" w:rsidR="00836776" w:rsidRPr="00836776" w:rsidRDefault="00836776" w:rsidP="00836776">
            <w:pPr>
              <w:spacing w:line="360" w:lineRule="auto"/>
              <w:ind w:right="335"/>
              <w:rPr>
                <w:rFonts w:ascii="Century Gothic" w:hAnsi="Century Gothic" w:cs="Arial"/>
                <w:bCs/>
              </w:rPr>
            </w:pPr>
            <w:r w:rsidRPr="00836776">
              <w:rPr>
                <w:rFonts w:ascii="Century Gothic" w:hAnsi="Century Gothic" w:cs="Arial"/>
                <w:bCs/>
              </w:rPr>
              <w:t>I.</w:t>
            </w:r>
            <w:r>
              <w:rPr>
                <w:rFonts w:ascii="Century Gothic" w:hAnsi="Century Gothic" w:cs="Arial"/>
                <w:bCs/>
              </w:rPr>
              <w:t xml:space="preserve"> </w:t>
            </w:r>
            <w:r w:rsidRPr="00836776">
              <w:rPr>
                <w:rFonts w:ascii="Century Gothic" w:hAnsi="Century Gothic" w:cs="Arial"/>
                <w:b/>
              </w:rPr>
              <w:t>Se deroga</w:t>
            </w:r>
            <w:r w:rsidRPr="00836776">
              <w:rPr>
                <w:rFonts w:ascii="Century Gothic" w:hAnsi="Century Gothic" w:cs="Arial"/>
                <w:bCs/>
              </w:rPr>
              <w:t>;</w:t>
            </w:r>
          </w:p>
          <w:p w14:paraId="0445A63A" w14:textId="77777777" w:rsidR="00836776" w:rsidRDefault="00836776" w:rsidP="00836776"/>
          <w:p w14:paraId="17FB2E55" w14:textId="77777777" w:rsidR="001419EB" w:rsidRPr="001419EB" w:rsidRDefault="001419EB" w:rsidP="00836776">
            <w:pPr>
              <w:rPr>
                <w:sz w:val="32"/>
              </w:rPr>
            </w:pPr>
          </w:p>
          <w:p w14:paraId="0D2F92A9" w14:textId="7F06A342" w:rsidR="00836776" w:rsidRDefault="00836776" w:rsidP="00836776">
            <w:pPr>
              <w:spacing w:line="360" w:lineRule="auto"/>
              <w:ind w:right="335"/>
              <w:jc w:val="both"/>
              <w:rPr>
                <w:rFonts w:ascii="Century Gothic" w:hAnsi="Century Gothic" w:cs="Arial"/>
                <w:bCs/>
              </w:rPr>
            </w:pPr>
            <w:r>
              <w:rPr>
                <w:rFonts w:ascii="Century Gothic" w:hAnsi="Century Gothic" w:cs="Arial"/>
                <w:bCs/>
              </w:rPr>
              <w:t>II. a V</w:t>
            </w:r>
            <w:proofErr w:type="gramStart"/>
            <w:r>
              <w:rPr>
                <w:rFonts w:ascii="Century Gothic" w:hAnsi="Century Gothic" w:cs="Arial"/>
                <w:bCs/>
              </w:rPr>
              <w:t>. …</w:t>
            </w:r>
            <w:proofErr w:type="gramEnd"/>
          </w:p>
        </w:tc>
      </w:tr>
    </w:tbl>
    <w:p w14:paraId="11343280" w14:textId="77777777" w:rsidR="00836776" w:rsidRDefault="00836776" w:rsidP="00146091">
      <w:pPr>
        <w:spacing w:line="360" w:lineRule="auto"/>
        <w:ind w:right="335"/>
        <w:jc w:val="both"/>
        <w:rPr>
          <w:rFonts w:ascii="Century Gothic" w:hAnsi="Century Gothic" w:cs="Arial"/>
          <w:bCs/>
        </w:rPr>
      </w:pPr>
    </w:p>
    <w:p w14:paraId="573A75A7" w14:textId="54BA3979" w:rsidR="00146091" w:rsidRDefault="001419EB" w:rsidP="00146091">
      <w:pPr>
        <w:spacing w:line="360" w:lineRule="auto"/>
        <w:ind w:right="335"/>
        <w:jc w:val="both"/>
        <w:rPr>
          <w:rFonts w:ascii="Century Gothic" w:hAnsi="Century Gothic" w:cs="Arial"/>
          <w:bCs/>
          <w:lang w:val="es-MX"/>
        </w:rPr>
      </w:pPr>
      <w:r w:rsidRPr="001419EB">
        <w:rPr>
          <w:rFonts w:ascii="Century Gothic" w:hAnsi="Century Gothic" w:cs="Arial"/>
          <w:b/>
          <w:bCs/>
          <w:lang w:val="es-MX"/>
        </w:rPr>
        <w:t>III.-</w:t>
      </w:r>
      <w:r>
        <w:rPr>
          <w:rFonts w:ascii="Century Gothic" w:hAnsi="Century Gothic" w:cs="Arial"/>
          <w:bCs/>
          <w:lang w:val="es-MX"/>
        </w:rPr>
        <w:t xml:space="preserve"> </w:t>
      </w:r>
      <w:r w:rsidR="00836776">
        <w:rPr>
          <w:rFonts w:ascii="Century Gothic" w:hAnsi="Century Gothic" w:cs="Arial"/>
          <w:bCs/>
          <w:lang w:val="es-MX"/>
        </w:rPr>
        <w:t>La problemática planteada exige dos áreas de análisis, la primera gira en torno a la simulación de insolvencia para que cese</w:t>
      </w:r>
      <w:r w:rsidR="00C04469">
        <w:rPr>
          <w:rFonts w:ascii="Century Gothic" w:hAnsi="Century Gothic" w:cs="Arial"/>
          <w:bCs/>
          <w:lang w:val="es-MX"/>
        </w:rPr>
        <w:t xml:space="preserve"> su obligación alimentaria y la segunda, que se deje sin alimentos a las niñas y niños. </w:t>
      </w:r>
    </w:p>
    <w:p w14:paraId="69B35CE6" w14:textId="77777777" w:rsidR="00B40414" w:rsidRDefault="00B40414" w:rsidP="00146091">
      <w:pPr>
        <w:spacing w:line="360" w:lineRule="auto"/>
        <w:ind w:right="335"/>
        <w:jc w:val="both"/>
        <w:rPr>
          <w:rFonts w:ascii="Century Gothic" w:hAnsi="Century Gothic" w:cs="Arial"/>
          <w:bCs/>
          <w:lang w:val="es-MX"/>
        </w:rPr>
      </w:pPr>
    </w:p>
    <w:p w14:paraId="7717DD7B" w14:textId="18A489AB" w:rsidR="00B40414" w:rsidRDefault="00B40414" w:rsidP="00146091">
      <w:pPr>
        <w:spacing w:line="360" w:lineRule="auto"/>
        <w:ind w:right="335"/>
        <w:jc w:val="both"/>
        <w:rPr>
          <w:rFonts w:ascii="Century Gothic" w:hAnsi="Century Gothic" w:cs="Arial"/>
          <w:b/>
          <w:bCs/>
          <w:lang w:val="es-MX"/>
        </w:rPr>
      </w:pPr>
      <w:r>
        <w:rPr>
          <w:rFonts w:ascii="Century Gothic" w:hAnsi="Century Gothic" w:cs="Arial"/>
          <w:bCs/>
          <w:lang w:val="es-MX"/>
        </w:rPr>
        <w:t xml:space="preserve">Y antes de abordar estas dos áreas, </w:t>
      </w:r>
      <w:r w:rsidR="005650E4">
        <w:rPr>
          <w:rFonts w:ascii="Century Gothic" w:hAnsi="Century Gothic" w:cs="Arial"/>
          <w:bCs/>
          <w:lang w:val="es-MX"/>
        </w:rPr>
        <w:t>habremos de</w:t>
      </w:r>
      <w:r>
        <w:rPr>
          <w:rFonts w:ascii="Century Gothic" w:hAnsi="Century Gothic" w:cs="Arial"/>
          <w:bCs/>
          <w:lang w:val="es-MX"/>
        </w:rPr>
        <w:t xml:space="preserve"> tener en consideración la definición del derecho a los alimentos </w:t>
      </w:r>
      <w:r w:rsidRPr="00B40414">
        <w:rPr>
          <w:rFonts w:ascii="Century Gothic" w:hAnsi="Century Gothic" w:cs="Arial"/>
          <w:bCs/>
          <w:lang w:val="es-MX"/>
        </w:rPr>
        <w:t xml:space="preserve">como </w:t>
      </w:r>
      <w:r w:rsidRPr="00B40414">
        <w:rPr>
          <w:rFonts w:ascii="Century Gothic" w:hAnsi="Century Gothic" w:cs="Arial"/>
          <w:bCs/>
          <w:i/>
          <w:lang w:val="es-MX"/>
        </w:rPr>
        <w:t>la facultad jurídica que tiene una persona denominada acreedor alimentista para exigir a otra, deudor alimentario, lo necesario para vivir</w:t>
      </w:r>
      <w:r w:rsidRPr="00B40414">
        <w:rPr>
          <w:rFonts w:ascii="Century Gothic" w:hAnsi="Century Gothic" w:cs="Arial"/>
          <w:b/>
          <w:bCs/>
          <w:lang w:val="es-MX"/>
        </w:rPr>
        <w:t>.</w:t>
      </w:r>
      <w:r w:rsidR="00085038">
        <w:rPr>
          <w:rStyle w:val="Refdenotaalpie"/>
          <w:rFonts w:ascii="Century Gothic" w:hAnsi="Century Gothic" w:cs="Arial"/>
          <w:b/>
          <w:bCs/>
          <w:lang w:val="es-MX"/>
        </w:rPr>
        <w:footnoteReference w:id="3"/>
      </w:r>
    </w:p>
    <w:p w14:paraId="7B422089" w14:textId="77777777" w:rsidR="005650E4" w:rsidRDefault="005650E4" w:rsidP="00146091">
      <w:pPr>
        <w:spacing w:line="360" w:lineRule="auto"/>
        <w:ind w:right="335"/>
        <w:jc w:val="both"/>
        <w:rPr>
          <w:rFonts w:ascii="Century Gothic" w:hAnsi="Century Gothic" w:cs="Arial"/>
          <w:b/>
          <w:bCs/>
          <w:lang w:val="es-MX"/>
        </w:rPr>
      </w:pPr>
    </w:p>
    <w:p w14:paraId="059DEE86" w14:textId="51C8FB92" w:rsidR="005650E4" w:rsidRPr="005650E4" w:rsidRDefault="005650E4" w:rsidP="005650E4">
      <w:pPr>
        <w:spacing w:line="360" w:lineRule="auto"/>
        <w:ind w:right="335"/>
        <w:jc w:val="both"/>
        <w:rPr>
          <w:rFonts w:ascii="Century Gothic" w:hAnsi="Century Gothic" w:cs="Arial"/>
          <w:bCs/>
          <w:lang w:val="es-MX"/>
        </w:rPr>
      </w:pPr>
      <w:r>
        <w:rPr>
          <w:rFonts w:ascii="Century Gothic" w:hAnsi="Century Gothic" w:cs="Arial"/>
          <w:bCs/>
          <w:lang w:val="es-MX"/>
        </w:rPr>
        <w:t xml:space="preserve">Y </w:t>
      </w:r>
      <w:r w:rsidRPr="005650E4">
        <w:rPr>
          <w:rFonts w:ascii="Century Gothic" w:hAnsi="Century Gothic" w:cs="Arial"/>
          <w:bCs/>
          <w:i/>
          <w:lang w:val="es-MX"/>
        </w:rPr>
        <w:t xml:space="preserve">para que nazca la obligación de alimentos es necesario que concurran tres presupuestos: (i) el estado de necesidad del acreedor alimentario; (ii) un </w:t>
      </w:r>
      <w:r w:rsidRPr="005650E4">
        <w:rPr>
          <w:rFonts w:ascii="Century Gothic" w:hAnsi="Century Gothic" w:cs="Arial"/>
          <w:bCs/>
          <w:i/>
          <w:lang w:val="es-MX"/>
        </w:rPr>
        <w:lastRenderedPageBreak/>
        <w:t>determinado vínculo entre acreedor y deudor; y (iii) la capacidad económica del obligado a prestarlos</w:t>
      </w:r>
      <w:r w:rsidRPr="005650E4">
        <w:rPr>
          <w:rFonts w:ascii="Century Gothic" w:hAnsi="Century Gothic" w:cs="Arial"/>
          <w:bCs/>
          <w:lang w:val="es-MX"/>
        </w:rPr>
        <w:t>.</w:t>
      </w:r>
      <w:r>
        <w:rPr>
          <w:rStyle w:val="Refdenotaalpie"/>
          <w:rFonts w:ascii="Century Gothic" w:hAnsi="Century Gothic" w:cs="Arial"/>
          <w:bCs/>
          <w:lang w:val="es-MX"/>
        </w:rPr>
        <w:footnoteReference w:id="4"/>
      </w:r>
    </w:p>
    <w:p w14:paraId="3B1949FE" w14:textId="77777777" w:rsidR="00C04469" w:rsidRDefault="00C04469" w:rsidP="00146091">
      <w:pPr>
        <w:spacing w:line="360" w:lineRule="auto"/>
        <w:ind w:right="335"/>
        <w:jc w:val="both"/>
        <w:rPr>
          <w:rFonts w:ascii="Century Gothic" w:hAnsi="Century Gothic" w:cs="Arial"/>
          <w:bCs/>
          <w:lang w:val="es-MX"/>
        </w:rPr>
      </w:pPr>
    </w:p>
    <w:p w14:paraId="3B1BE804" w14:textId="3A9EB66D" w:rsidR="00D25903" w:rsidRDefault="00C04469" w:rsidP="00146091">
      <w:pPr>
        <w:spacing w:line="360" w:lineRule="auto"/>
        <w:ind w:right="335"/>
        <w:jc w:val="both"/>
        <w:rPr>
          <w:rFonts w:ascii="Century Gothic" w:hAnsi="Century Gothic" w:cs="Arial"/>
          <w:bCs/>
          <w:lang w:val="es-MX"/>
        </w:rPr>
      </w:pPr>
      <w:r w:rsidRPr="00C04469">
        <w:rPr>
          <w:rFonts w:ascii="Century Gothic" w:hAnsi="Century Gothic" w:cs="Arial"/>
          <w:b/>
          <w:lang w:val="es-MX"/>
        </w:rPr>
        <w:t>I</w:t>
      </w:r>
      <w:r w:rsidR="001419EB">
        <w:rPr>
          <w:rFonts w:ascii="Century Gothic" w:hAnsi="Century Gothic" w:cs="Arial"/>
          <w:b/>
          <w:lang w:val="es-MX"/>
        </w:rPr>
        <w:t>V</w:t>
      </w:r>
      <w:r w:rsidRPr="00C04469">
        <w:rPr>
          <w:rFonts w:ascii="Century Gothic" w:hAnsi="Century Gothic" w:cs="Arial"/>
          <w:b/>
          <w:lang w:val="es-MX"/>
        </w:rPr>
        <w:t>.-</w:t>
      </w:r>
      <w:r w:rsidRPr="005650E4">
        <w:rPr>
          <w:rFonts w:ascii="Century Gothic" w:hAnsi="Century Gothic" w:cs="Arial"/>
          <w:lang w:val="es-MX"/>
        </w:rPr>
        <w:t xml:space="preserve"> </w:t>
      </w:r>
      <w:r w:rsidR="005650E4">
        <w:rPr>
          <w:rFonts w:ascii="Century Gothic" w:hAnsi="Century Gothic" w:cs="Arial"/>
          <w:lang w:val="es-MX"/>
        </w:rPr>
        <w:t>U</w:t>
      </w:r>
      <w:r w:rsidR="005650E4" w:rsidRPr="005650E4">
        <w:rPr>
          <w:rFonts w:ascii="Century Gothic" w:hAnsi="Century Gothic" w:cs="Arial"/>
          <w:lang w:val="es-MX"/>
        </w:rPr>
        <w:t xml:space="preserve">na vez considerado lo anterior, </w:t>
      </w:r>
      <w:r w:rsidR="005650E4">
        <w:rPr>
          <w:rFonts w:ascii="Century Gothic" w:hAnsi="Century Gothic" w:cs="Arial"/>
          <w:bCs/>
          <w:lang w:val="es-MX"/>
        </w:rPr>
        <w:t xml:space="preserve">en cuanto a la </w:t>
      </w:r>
      <w:r w:rsidR="00404D0E">
        <w:rPr>
          <w:rFonts w:ascii="Century Gothic" w:hAnsi="Century Gothic" w:cs="Arial"/>
          <w:bCs/>
          <w:lang w:val="es-MX"/>
        </w:rPr>
        <w:t>primera</w:t>
      </w:r>
      <w:r>
        <w:rPr>
          <w:rFonts w:ascii="Century Gothic" w:hAnsi="Century Gothic" w:cs="Arial"/>
          <w:bCs/>
          <w:lang w:val="es-MX"/>
        </w:rPr>
        <w:t xml:space="preserve"> vertiente de estudio, </w:t>
      </w:r>
      <w:r w:rsidR="005650E4">
        <w:rPr>
          <w:rFonts w:ascii="Century Gothic" w:hAnsi="Century Gothic" w:cs="Arial"/>
          <w:bCs/>
          <w:lang w:val="es-MX"/>
        </w:rPr>
        <w:t xml:space="preserve">el </w:t>
      </w:r>
      <w:r w:rsidR="005650E4" w:rsidRPr="005650E4">
        <w:rPr>
          <w:rFonts w:ascii="Century Gothic" w:hAnsi="Century Gothic" w:cs="Arial"/>
          <w:bCs/>
          <w:i/>
          <w:lang w:val="es-MX"/>
        </w:rPr>
        <w:t>derecho a los alimentos</w:t>
      </w:r>
      <w:r w:rsidR="005650E4">
        <w:rPr>
          <w:rFonts w:ascii="Century Gothic" w:hAnsi="Century Gothic" w:cs="Arial"/>
          <w:bCs/>
          <w:lang w:val="es-MX"/>
        </w:rPr>
        <w:t xml:space="preserve"> esta tutelado desde varias perspectivas, </w:t>
      </w:r>
      <w:r w:rsidR="00A00C35">
        <w:rPr>
          <w:rFonts w:ascii="Century Gothic" w:hAnsi="Century Gothic" w:cs="Arial"/>
          <w:bCs/>
          <w:lang w:val="es-MX"/>
        </w:rPr>
        <w:t xml:space="preserve">partiendo de la civil, </w:t>
      </w:r>
      <w:r w:rsidR="00D25903">
        <w:rPr>
          <w:rFonts w:ascii="Century Gothic" w:hAnsi="Century Gothic" w:cs="Arial"/>
          <w:bCs/>
          <w:lang w:val="es-MX"/>
        </w:rPr>
        <w:t>misma que lo protege con</w:t>
      </w:r>
      <w:r w:rsidR="00A00C35">
        <w:rPr>
          <w:rFonts w:ascii="Century Gothic" w:hAnsi="Century Gothic" w:cs="Arial"/>
          <w:bCs/>
          <w:lang w:val="es-MX"/>
        </w:rPr>
        <w:t xml:space="preserve"> los artículos 278 al 300, del capítulo II</w:t>
      </w:r>
      <w:r w:rsidR="00C23781">
        <w:rPr>
          <w:rFonts w:ascii="Century Gothic" w:hAnsi="Century Gothic" w:cs="Arial"/>
          <w:bCs/>
          <w:lang w:val="es-MX"/>
        </w:rPr>
        <w:t>,</w:t>
      </w:r>
      <w:r w:rsidR="00A00C35">
        <w:rPr>
          <w:rFonts w:ascii="Century Gothic" w:hAnsi="Century Gothic" w:cs="Arial"/>
          <w:bCs/>
          <w:lang w:val="es-MX"/>
        </w:rPr>
        <w:t xml:space="preserve"> del Título Sexto,</w:t>
      </w:r>
      <w:r w:rsidR="00D25903">
        <w:rPr>
          <w:rFonts w:ascii="Century Gothic" w:hAnsi="Century Gothic" w:cs="Arial"/>
          <w:bCs/>
          <w:lang w:val="es-MX"/>
        </w:rPr>
        <w:t xml:space="preserve"> del Código Civil para el Estado de Chihuahua, entre otras disposiciones vertidas en el  resto del texto sustantivo. </w:t>
      </w:r>
    </w:p>
    <w:p w14:paraId="06809D7A" w14:textId="77777777" w:rsidR="00D25903" w:rsidRDefault="00D25903" w:rsidP="00146091">
      <w:pPr>
        <w:spacing w:line="360" w:lineRule="auto"/>
        <w:ind w:right="335"/>
        <w:jc w:val="both"/>
        <w:rPr>
          <w:rFonts w:ascii="Century Gothic" w:hAnsi="Century Gothic" w:cs="Arial"/>
          <w:bCs/>
          <w:lang w:val="es-MX"/>
        </w:rPr>
      </w:pPr>
    </w:p>
    <w:p w14:paraId="29EC6D4B" w14:textId="2C823515" w:rsidR="00E26A94" w:rsidRDefault="00D25903" w:rsidP="00146091">
      <w:pPr>
        <w:spacing w:line="360" w:lineRule="auto"/>
        <w:ind w:right="335"/>
        <w:jc w:val="both"/>
        <w:rPr>
          <w:rFonts w:ascii="Century Gothic" w:hAnsi="Century Gothic" w:cs="Arial"/>
          <w:bCs/>
          <w:lang w:val="es-MX"/>
        </w:rPr>
      </w:pPr>
      <w:r>
        <w:rPr>
          <w:rFonts w:ascii="Century Gothic" w:hAnsi="Century Gothic" w:cs="Arial"/>
          <w:bCs/>
          <w:lang w:val="es-MX"/>
        </w:rPr>
        <w:t>En dicho instrumento</w:t>
      </w:r>
      <w:r w:rsidR="0027784E">
        <w:rPr>
          <w:rFonts w:ascii="Century Gothic" w:hAnsi="Century Gothic" w:cs="Arial"/>
          <w:bCs/>
          <w:lang w:val="es-MX"/>
        </w:rPr>
        <w:t>,</w:t>
      </w:r>
      <w:r>
        <w:rPr>
          <w:rFonts w:ascii="Century Gothic" w:hAnsi="Century Gothic" w:cs="Arial"/>
          <w:bCs/>
          <w:lang w:val="es-MX"/>
        </w:rPr>
        <w:t xml:space="preserve"> se </w:t>
      </w:r>
      <w:r w:rsidR="0027784E">
        <w:rPr>
          <w:rFonts w:ascii="Century Gothic" w:hAnsi="Century Gothic" w:cs="Arial"/>
          <w:bCs/>
          <w:lang w:val="es-MX"/>
        </w:rPr>
        <w:t>estipula que</w:t>
      </w:r>
      <w:r>
        <w:rPr>
          <w:rFonts w:ascii="Century Gothic" w:hAnsi="Century Gothic" w:cs="Arial"/>
          <w:bCs/>
          <w:lang w:val="es-MX"/>
        </w:rPr>
        <w:t xml:space="preserve"> s</w:t>
      </w:r>
      <w:r w:rsidR="00175BEB">
        <w:rPr>
          <w:rFonts w:ascii="Century Gothic" w:hAnsi="Century Gothic" w:cs="Arial"/>
          <w:bCs/>
          <w:lang w:val="es-MX"/>
        </w:rPr>
        <w:t>í</w:t>
      </w:r>
      <w:r>
        <w:rPr>
          <w:rFonts w:ascii="Century Gothic" w:hAnsi="Century Gothic" w:cs="Arial"/>
          <w:bCs/>
          <w:lang w:val="es-MX"/>
        </w:rPr>
        <w:t xml:space="preserve"> hay necesidad de alimentos y existe el vínculo entre la parte acreedora y deudora, esta última </w:t>
      </w:r>
      <w:r w:rsidR="0027784E">
        <w:rPr>
          <w:rFonts w:ascii="Century Gothic" w:hAnsi="Century Gothic" w:cs="Arial"/>
          <w:bCs/>
          <w:lang w:val="es-MX"/>
        </w:rPr>
        <w:t>tiene</w:t>
      </w:r>
      <w:r w:rsidR="00175BEB">
        <w:rPr>
          <w:rFonts w:ascii="Century Gothic" w:hAnsi="Century Gothic" w:cs="Arial"/>
          <w:bCs/>
          <w:lang w:val="es-MX"/>
        </w:rPr>
        <w:t xml:space="preserve"> que</w:t>
      </w:r>
      <w:r w:rsidR="00C23781">
        <w:rPr>
          <w:rFonts w:ascii="Century Gothic" w:hAnsi="Century Gothic" w:cs="Arial"/>
          <w:bCs/>
          <w:lang w:val="es-MX"/>
        </w:rPr>
        <w:t xml:space="preserve"> cumplir con su obligación;</w:t>
      </w:r>
      <w:r>
        <w:rPr>
          <w:rFonts w:ascii="Century Gothic" w:hAnsi="Century Gothic" w:cs="Arial"/>
          <w:bCs/>
          <w:lang w:val="es-MX"/>
        </w:rPr>
        <w:t xml:space="preserve"> </w:t>
      </w:r>
      <w:r w:rsidR="00C23781">
        <w:rPr>
          <w:rFonts w:ascii="Century Gothic" w:hAnsi="Century Gothic" w:cs="Arial"/>
          <w:bCs/>
          <w:lang w:val="es-MX"/>
        </w:rPr>
        <w:t>s</w:t>
      </w:r>
      <w:r w:rsidR="00175BEB">
        <w:rPr>
          <w:rFonts w:ascii="Century Gothic" w:hAnsi="Century Gothic" w:cs="Arial"/>
          <w:bCs/>
          <w:lang w:val="es-MX"/>
        </w:rPr>
        <w:t xml:space="preserve">in embargo, existe la posibilidad de que no </w:t>
      </w:r>
      <w:r w:rsidR="007C5121">
        <w:rPr>
          <w:rFonts w:ascii="Century Gothic" w:hAnsi="Century Gothic" w:cs="Arial"/>
          <w:bCs/>
          <w:lang w:val="es-MX"/>
        </w:rPr>
        <w:t xml:space="preserve">se </w:t>
      </w:r>
      <w:r w:rsidR="00175BEB">
        <w:rPr>
          <w:rFonts w:ascii="Century Gothic" w:hAnsi="Century Gothic" w:cs="Arial"/>
          <w:bCs/>
          <w:lang w:val="es-MX"/>
        </w:rPr>
        <w:t xml:space="preserve">pueda </w:t>
      </w:r>
      <w:r w:rsidR="00E26A94">
        <w:rPr>
          <w:rFonts w:ascii="Century Gothic" w:hAnsi="Century Gothic" w:cs="Arial"/>
          <w:bCs/>
          <w:lang w:val="es-MX"/>
        </w:rPr>
        <w:t>prestar los alimentos</w:t>
      </w:r>
      <w:r w:rsidR="0027784E">
        <w:rPr>
          <w:rFonts w:ascii="Century Gothic" w:hAnsi="Century Gothic" w:cs="Arial"/>
          <w:bCs/>
          <w:lang w:val="es-MX"/>
        </w:rPr>
        <w:t xml:space="preserve"> por </w:t>
      </w:r>
      <w:r w:rsidR="0027784E" w:rsidRPr="001419EB">
        <w:rPr>
          <w:rFonts w:ascii="Century Gothic" w:hAnsi="Century Gothic" w:cs="Arial"/>
          <w:bCs/>
          <w:i/>
          <w:lang w:val="es-MX"/>
        </w:rPr>
        <w:t>falta</w:t>
      </w:r>
      <w:r w:rsidR="0027784E">
        <w:rPr>
          <w:rFonts w:ascii="Century Gothic" w:hAnsi="Century Gothic" w:cs="Arial"/>
          <w:bCs/>
          <w:lang w:val="es-MX"/>
        </w:rPr>
        <w:t xml:space="preserve"> o </w:t>
      </w:r>
      <w:r w:rsidR="0027784E" w:rsidRPr="001419EB">
        <w:rPr>
          <w:rFonts w:ascii="Century Gothic" w:hAnsi="Century Gothic" w:cs="Arial"/>
          <w:bCs/>
          <w:i/>
          <w:lang w:val="es-MX"/>
        </w:rPr>
        <w:t>imposibilidad</w:t>
      </w:r>
      <w:r w:rsidR="0027784E">
        <w:rPr>
          <w:rFonts w:ascii="Century Gothic" w:hAnsi="Century Gothic" w:cs="Arial"/>
          <w:bCs/>
          <w:lang w:val="es-MX"/>
        </w:rPr>
        <w:t xml:space="preserve"> de los padres</w:t>
      </w:r>
      <w:r w:rsidR="00C2243D">
        <w:rPr>
          <w:rFonts w:ascii="Century Gothic" w:hAnsi="Century Gothic" w:cs="Arial"/>
          <w:bCs/>
          <w:lang w:val="es-MX"/>
        </w:rPr>
        <w:t xml:space="preserve">. </w:t>
      </w:r>
    </w:p>
    <w:p w14:paraId="55BF75F2" w14:textId="77777777" w:rsidR="00E26A94" w:rsidRDefault="00E26A94" w:rsidP="00146091">
      <w:pPr>
        <w:spacing w:line="360" w:lineRule="auto"/>
        <w:ind w:right="335"/>
        <w:jc w:val="both"/>
        <w:rPr>
          <w:rFonts w:ascii="Century Gothic" w:hAnsi="Century Gothic" w:cs="Arial"/>
          <w:bCs/>
          <w:lang w:val="es-MX"/>
        </w:rPr>
      </w:pPr>
    </w:p>
    <w:p w14:paraId="01F82765" w14:textId="5957DFF9" w:rsidR="0027784E" w:rsidRDefault="00C2243D" w:rsidP="00146091">
      <w:pPr>
        <w:spacing w:line="360" w:lineRule="auto"/>
        <w:ind w:right="335"/>
        <w:jc w:val="both"/>
        <w:rPr>
          <w:rFonts w:ascii="Century Gothic" w:hAnsi="Century Gothic" w:cs="Arial"/>
          <w:bCs/>
          <w:lang w:val="es-MX"/>
        </w:rPr>
      </w:pPr>
      <w:r>
        <w:rPr>
          <w:rFonts w:ascii="Century Gothic" w:hAnsi="Century Gothic" w:cs="Arial"/>
          <w:bCs/>
          <w:lang w:val="es-MX"/>
        </w:rPr>
        <w:t>E</w:t>
      </w:r>
      <w:r w:rsidR="0027784E">
        <w:rPr>
          <w:rFonts w:ascii="Century Gothic" w:hAnsi="Century Gothic" w:cs="Arial"/>
          <w:bCs/>
          <w:lang w:val="es-MX"/>
        </w:rPr>
        <w:t xml:space="preserve">n cuanto a la </w:t>
      </w:r>
      <w:r w:rsidR="0027784E" w:rsidRPr="0027784E">
        <w:rPr>
          <w:rFonts w:ascii="Century Gothic" w:hAnsi="Century Gothic" w:cs="Arial"/>
          <w:bCs/>
          <w:i/>
          <w:lang w:val="es-MX"/>
        </w:rPr>
        <w:t>falta</w:t>
      </w:r>
      <w:r w:rsidR="0027784E">
        <w:rPr>
          <w:rFonts w:ascii="Century Gothic" w:hAnsi="Century Gothic" w:cs="Arial"/>
          <w:bCs/>
          <w:lang w:val="es-MX"/>
        </w:rPr>
        <w:t>, esta podría ser por varios factores, como que hubi</w:t>
      </w:r>
      <w:r>
        <w:rPr>
          <w:rFonts w:ascii="Century Gothic" w:hAnsi="Century Gothic" w:cs="Arial"/>
          <w:bCs/>
          <w:lang w:val="es-MX"/>
        </w:rPr>
        <w:t xml:space="preserve">esen fallecido o </w:t>
      </w:r>
      <w:r w:rsidR="00755739">
        <w:rPr>
          <w:rFonts w:ascii="Century Gothic" w:hAnsi="Century Gothic" w:cs="Arial"/>
          <w:bCs/>
          <w:lang w:val="es-MX"/>
        </w:rPr>
        <w:t>declarados</w:t>
      </w:r>
      <w:r>
        <w:rPr>
          <w:rFonts w:ascii="Century Gothic" w:hAnsi="Century Gothic" w:cs="Arial"/>
          <w:bCs/>
          <w:lang w:val="es-MX"/>
        </w:rPr>
        <w:t xml:space="preserve"> ausente</w:t>
      </w:r>
      <w:r w:rsidR="00755739">
        <w:rPr>
          <w:rFonts w:ascii="Century Gothic" w:hAnsi="Century Gothic" w:cs="Arial"/>
          <w:bCs/>
          <w:lang w:val="es-MX"/>
        </w:rPr>
        <w:t>s</w:t>
      </w:r>
      <w:r w:rsidR="007E2B04">
        <w:rPr>
          <w:rFonts w:ascii="Century Gothic" w:hAnsi="Century Gothic" w:cs="Arial"/>
          <w:bCs/>
          <w:lang w:val="es-MX"/>
        </w:rPr>
        <w:t>;</w:t>
      </w:r>
      <w:r>
        <w:rPr>
          <w:rFonts w:ascii="Century Gothic" w:hAnsi="Century Gothic" w:cs="Arial"/>
          <w:bCs/>
          <w:lang w:val="es-MX"/>
        </w:rPr>
        <w:t xml:space="preserve"> </w:t>
      </w:r>
      <w:r w:rsidR="007E2B04">
        <w:rPr>
          <w:rFonts w:ascii="Century Gothic" w:hAnsi="Century Gothic" w:cs="Arial"/>
          <w:bCs/>
          <w:lang w:val="es-MX"/>
        </w:rPr>
        <w:t>respecto</w:t>
      </w:r>
      <w:r>
        <w:rPr>
          <w:rFonts w:ascii="Century Gothic" w:hAnsi="Century Gothic" w:cs="Arial"/>
          <w:bCs/>
          <w:lang w:val="es-MX"/>
        </w:rPr>
        <w:t xml:space="preserve"> a la imposibilidad</w:t>
      </w:r>
      <w:r w:rsidR="00E26A94">
        <w:rPr>
          <w:rFonts w:ascii="Century Gothic" w:hAnsi="Century Gothic" w:cs="Arial"/>
          <w:bCs/>
          <w:lang w:val="es-MX"/>
        </w:rPr>
        <w:t>, esta puede darse por carencia de bienes o un impedimento absoluto para cubrir los alimentos</w:t>
      </w:r>
      <w:r w:rsidR="007E2B04">
        <w:rPr>
          <w:rStyle w:val="Refdenotaalpie"/>
          <w:rFonts w:ascii="Century Gothic" w:hAnsi="Century Gothic" w:cs="Arial"/>
          <w:bCs/>
          <w:lang w:val="es-MX"/>
        </w:rPr>
        <w:footnoteReference w:id="5"/>
      </w:r>
      <w:r w:rsidR="007E2B04">
        <w:rPr>
          <w:rFonts w:ascii="Century Gothic" w:hAnsi="Century Gothic" w:cs="Arial"/>
          <w:bCs/>
          <w:lang w:val="es-MX"/>
        </w:rPr>
        <w:t>,</w:t>
      </w:r>
      <w:r w:rsidR="00950879">
        <w:rPr>
          <w:rFonts w:ascii="Century Gothic" w:hAnsi="Century Gothic" w:cs="Arial"/>
          <w:bCs/>
          <w:lang w:val="es-MX"/>
        </w:rPr>
        <w:t xml:space="preserve"> entre otras hipótesis,</w:t>
      </w:r>
      <w:r w:rsidR="007E2B04">
        <w:rPr>
          <w:rFonts w:ascii="Century Gothic" w:hAnsi="Century Gothic" w:cs="Arial"/>
          <w:bCs/>
          <w:lang w:val="es-MX"/>
        </w:rPr>
        <w:t xml:space="preserve"> esto es, tiene que estar incapacitado para proporcionarlos, como podría ser una enfermedad grave, una inhabilitación para laborar o cualquier otro obstáculo relevante que impida a las personas primariamente obligadas a cumplir con la carga de los alimentos</w:t>
      </w:r>
      <w:r w:rsidR="007E2B04">
        <w:rPr>
          <w:rStyle w:val="Refdenotaalpie"/>
          <w:rFonts w:ascii="Century Gothic" w:hAnsi="Century Gothic" w:cs="Arial"/>
          <w:bCs/>
          <w:lang w:val="es-MX"/>
        </w:rPr>
        <w:footnoteReference w:id="6"/>
      </w:r>
      <w:r w:rsidR="007E2B04">
        <w:rPr>
          <w:rFonts w:ascii="Century Gothic" w:hAnsi="Century Gothic" w:cs="Arial"/>
          <w:bCs/>
          <w:lang w:val="es-MX"/>
        </w:rPr>
        <w:t xml:space="preserve">.  </w:t>
      </w:r>
    </w:p>
    <w:p w14:paraId="41D32113" w14:textId="77777777" w:rsidR="007E2B04" w:rsidRDefault="00D25903" w:rsidP="00146091">
      <w:pPr>
        <w:spacing w:line="360" w:lineRule="auto"/>
        <w:ind w:right="335"/>
        <w:jc w:val="both"/>
        <w:rPr>
          <w:rFonts w:ascii="Century Gothic" w:hAnsi="Century Gothic" w:cs="Arial"/>
          <w:bCs/>
          <w:lang w:val="es-MX"/>
        </w:rPr>
      </w:pPr>
      <w:r>
        <w:rPr>
          <w:rFonts w:ascii="Century Gothic" w:hAnsi="Century Gothic" w:cs="Arial"/>
          <w:bCs/>
          <w:lang w:val="es-MX"/>
        </w:rPr>
        <w:t xml:space="preserve"> </w:t>
      </w:r>
    </w:p>
    <w:p w14:paraId="305DCCA1" w14:textId="77777777" w:rsidR="00537559" w:rsidRDefault="007E2B04" w:rsidP="00146091">
      <w:pPr>
        <w:spacing w:line="360" w:lineRule="auto"/>
        <w:ind w:right="335"/>
        <w:jc w:val="both"/>
        <w:rPr>
          <w:rFonts w:ascii="Century Gothic" w:hAnsi="Century Gothic" w:cs="Arial"/>
          <w:bCs/>
          <w:lang w:val="es-MX"/>
        </w:rPr>
      </w:pPr>
      <w:r>
        <w:rPr>
          <w:rFonts w:ascii="Century Gothic" w:hAnsi="Century Gothic" w:cs="Arial"/>
          <w:bCs/>
          <w:lang w:val="es-MX"/>
        </w:rPr>
        <w:lastRenderedPageBreak/>
        <w:t>Esta imposibilidad, en algunas ocasiones</w:t>
      </w:r>
      <w:r w:rsidR="009A6BD6">
        <w:rPr>
          <w:rFonts w:ascii="Century Gothic" w:hAnsi="Century Gothic" w:cs="Arial"/>
          <w:bCs/>
          <w:lang w:val="es-MX"/>
        </w:rPr>
        <w:t xml:space="preserve"> las personas lo entienden como un mecanismo para activar la obligación subsidiaria contemplada en el artículo 280</w:t>
      </w:r>
      <w:r w:rsidR="00537559">
        <w:rPr>
          <w:rFonts w:ascii="Century Gothic" w:hAnsi="Century Gothic" w:cs="Arial"/>
          <w:bCs/>
          <w:lang w:val="es-MX"/>
        </w:rPr>
        <w:t xml:space="preserve"> del Código Civil para el Estado de Chihuahua</w:t>
      </w:r>
      <w:r w:rsidR="009A6BD6">
        <w:rPr>
          <w:rFonts w:ascii="Century Gothic" w:hAnsi="Century Gothic" w:cs="Arial"/>
          <w:bCs/>
          <w:lang w:val="es-MX"/>
        </w:rPr>
        <w:t>, bajo el pretexto de que los demás ascendientes, obligados en orden de prelación, “pueden darle un mejor nivel de vida”</w:t>
      </w:r>
      <w:r w:rsidR="00537559">
        <w:rPr>
          <w:rFonts w:ascii="Century Gothic" w:hAnsi="Century Gothic" w:cs="Arial"/>
          <w:bCs/>
          <w:lang w:val="es-MX"/>
        </w:rPr>
        <w:t xml:space="preserve"> y con esto cesar su obligación primaria de proporcionar alimentos. </w:t>
      </w:r>
    </w:p>
    <w:p w14:paraId="62A31DA6" w14:textId="77777777" w:rsidR="00537559" w:rsidRDefault="00537559" w:rsidP="00146091">
      <w:pPr>
        <w:spacing w:line="360" w:lineRule="auto"/>
        <w:ind w:right="335"/>
        <w:jc w:val="both"/>
        <w:rPr>
          <w:rFonts w:ascii="Century Gothic" w:hAnsi="Century Gothic" w:cs="Arial"/>
          <w:bCs/>
          <w:lang w:val="es-MX"/>
        </w:rPr>
      </w:pPr>
    </w:p>
    <w:p w14:paraId="58E72CB7" w14:textId="259AAA68" w:rsidR="007C5121" w:rsidRDefault="00537559" w:rsidP="00146091">
      <w:pPr>
        <w:spacing w:line="360" w:lineRule="auto"/>
        <w:ind w:right="335"/>
        <w:jc w:val="both"/>
        <w:rPr>
          <w:rFonts w:ascii="Century Gothic" w:hAnsi="Century Gothic" w:cs="Arial"/>
          <w:bCs/>
          <w:lang w:val="es-MX"/>
        </w:rPr>
      </w:pPr>
      <w:r>
        <w:rPr>
          <w:rFonts w:ascii="Century Gothic" w:hAnsi="Century Gothic" w:cs="Arial"/>
          <w:bCs/>
          <w:lang w:val="es-MX"/>
        </w:rPr>
        <w:t xml:space="preserve">Esta última hipótesis ya fue resuelta por </w:t>
      </w:r>
      <w:r w:rsidR="008E521E">
        <w:rPr>
          <w:rFonts w:ascii="Century Gothic" w:hAnsi="Century Gothic" w:cs="Arial"/>
          <w:bCs/>
          <w:lang w:val="es-MX"/>
        </w:rPr>
        <w:t xml:space="preserve">el máximo tribunal </w:t>
      </w:r>
      <w:r>
        <w:rPr>
          <w:rFonts w:ascii="Century Gothic" w:hAnsi="Century Gothic" w:cs="Arial"/>
          <w:bCs/>
          <w:lang w:val="es-MX"/>
        </w:rPr>
        <w:t>en el sentido de que las vicisitudes económicas que pasen los acreedores pr</w:t>
      </w:r>
      <w:r w:rsidR="008E521E">
        <w:rPr>
          <w:rFonts w:ascii="Century Gothic" w:hAnsi="Century Gothic" w:cs="Arial"/>
          <w:bCs/>
          <w:lang w:val="es-MX"/>
        </w:rPr>
        <w:t>imarios que disminuyan su poder adquisitivo, no extingue la obligación, sólo reducen el monto de los alimentos</w:t>
      </w:r>
      <w:r w:rsidR="001419EB">
        <w:rPr>
          <w:rFonts w:ascii="Century Gothic" w:hAnsi="Century Gothic" w:cs="Arial"/>
          <w:bCs/>
          <w:lang w:val="es-MX"/>
        </w:rPr>
        <w:t>,</w:t>
      </w:r>
      <w:r>
        <w:rPr>
          <w:rStyle w:val="Refdenotaalpie"/>
          <w:rFonts w:ascii="Century Gothic" w:hAnsi="Century Gothic" w:cs="Arial"/>
          <w:bCs/>
          <w:lang w:val="es-MX"/>
        </w:rPr>
        <w:footnoteReference w:id="7"/>
      </w:r>
      <w:r w:rsidR="007C5121">
        <w:rPr>
          <w:rFonts w:ascii="Century Gothic" w:hAnsi="Century Gothic" w:cs="Arial"/>
          <w:bCs/>
          <w:lang w:val="es-MX"/>
        </w:rPr>
        <w:t xml:space="preserve"> por ende, no podría cesar su deber de proporcionar alimentos. </w:t>
      </w:r>
    </w:p>
    <w:p w14:paraId="69F8A1C3" w14:textId="77777777" w:rsidR="007C5121" w:rsidRDefault="007C5121" w:rsidP="00146091">
      <w:pPr>
        <w:spacing w:line="360" w:lineRule="auto"/>
        <w:ind w:right="335"/>
        <w:jc w:val="both"/>
        <w:rPr>
          <w:rFonts w:ascii="Century Gothic" w:hAnsi="Century Gothic" w:cs="Arial"/>
          <w:bCs/>
          <w:lang w:val="es-MX"/>
        </w:rPr>
      </w:pPr>
    </w:p>
    <w:p w14:paraId="0695334D" w14:textId="2840551B" w:rsidR="007C5121" w:rsidRDefault="007C5121" w:rsidP="00146091">
      <w:pPr>
        <w:spacing w:line="360" w:lineRule="auto"/>
        <w:ind w:right="335"/>
        <w:jc w:val="both"/>
        <w:rPr>
          <w:rFonts w:ascii="Century Gothic" w:hAnsi="Century Gothic" w:cs="Arial"/>
          <w:bCs/>
          <w:lang w:val="es-MX"/>
        </w:rPr>
      </w:pPr>
      <w:r>
        <w:rPr>
          <w:rFonts w:ascii="Century Gothic" w:hAnsi="Century Gothic" w:cs="Arial"/>
          <w:bCs/>
          <w:lang w:val="es-MX"/>
        </w:rPr>
        <w:t xml:space="preserve">De ahí que, existen algunas personas que pretenden cesar esta obligación argumentando una imposibilidad, y para acreditarla, simulan la carencia de bienes o el impedimento absoluto; ello con la intención de cesar su obligación y/o activar la subsidiariedad. </w:t>
      </w:r>
    </w:p>
    <w:p w14:paraId="428FF895" w14:textId="77777777" w:rsidR="007C5121" w:rsidRDefault="007C5121" w:rsidP="00146091">
      <w:pPr>
        <w:spacing w:line="360" w:lineRule="auto"/>
        <w:ind w:right="335"/>
        <w:jc w:val="both"/>
        <w:rPr>
          <w:rFonts w:ascii="Century Gothic" w:hAnsi="Century Gothic" w:cs="Arial"/>
          <w:bCs/>
          <w:lang w:val="es-MX"/>
        </w:rPr>
      </w:pPr>
    </w:p>
    <w:p w14:paraId="374113C4" w14:textId="09CE71E4" w:rsidR="003629CC" w:rsidRDefault="007C5121" w:rsidP="00146091">
      <w:pPr>
        <w:spacing w:line="360" w:lineRule="auto"/>
        <w:ind w:right="335"/>
        <w:jc w:val="both"/>
        <w:rPr>
          <w:rFonts w:ascii="Century Gothic" w:hAnsi="Century Gothic" w:cs="Arial"/>
          <w:bCs/>
          <w:lang w:val="es-MX"/>
        </w:rPr>
      </w:pPr>
      <w:r>
        <w:rPr>
          <w:rFonts w:ascii="Century Gothic" w:hAnsi="Century Gothic" w:cs="Arial"/>
          <w:bCs/>
          <w:lang w:val="es-MX"/>
        </w:rPr>
        <w:t xml:space="preserve">Dicha conducta, es decir, </w:t>
      </w:r>
      <w:r w:rsidR="003101EF">
        <w:rPr>
          <w:rFonts w:ascii="Century Gothic" w:hAnsi="Century Gothic" w:cs="Arial"/>
          <w:bCs/>
          <w:lang w:val="es-MX"/>
        </w:rPr>
        <w:t xml:space="preserve">el simular ante la autoridad la imposibilidad de cumplir con su deber de acreedora alimenticia, está sancionado por la legislación penal, </w:t>
      </w:r>
      <w:r w:rsidR="003629CC">
        <w:rPr>
          <w:rFonts w:ascii="Century Gothic" w:hAnsi="Century Gothic" w:cs="Arial"/>
          <w:bCs/>
          <w:lang w:val="es-MX"/>
        </w:rPr>
        <w:t>tutelando así el</w:t>
      </w:r>
      <w:r w:rsidR="003101EF">
        <w:rPr>
          <w:rFonts w:ascii="Century Gothic" w:hAnsi="Century Gothic" w:cs="Arial"/>
          <w:bCs/>
          <w:lang w:val="es-MX"/>
        </w:rPr>
        <w:t xml:space="preserve"> derecho de los alimentos</w:t>
      </w:r>
      <w:r w:rsidR="003629CC">
        <w:rPr>
          <w:rFonts w:ascii="Century Gothic" w:hAnsi="Century Gothic" w:cs="Arial"/>
          <w:bCs/>
          <w:lang w:val="es-MX"/>
        </w:rPr>
        <w:t xml:space="preserve">, por una vía </w:t>
      </w:r>
      <w:r w:rsidR="003629CC">
        <w:rPr>
          <w:rFonts w:ascii="Century Gothic" w:hAnsi="Century Gothic" w:cs="Arial"/>
          <w:bCs/>
          <w:lang w:val="es-MX"/>
        </w:rPr>
        <w:lastRenderedPageBreak/>
        <w:t>distinta, como lo es aquellos que atentan contra la impartición de justicia, localizándola</w:t>
      </w:r>
      <w:r w:rsidR="003101EF">
        <w:rPr>
          <w:rFonts w:ascii="Century Gothic" w:hAnsi="Century Gothic" w:cs="Arial"/>
          <w:bCs/>
          <w:lang w:val="es-MX"/>
        </w:rPr>
        <w:t xml:space="preserve"> en </w:t>
      </w:r>
      <w:r w:rsidR="003629CC">
        <w:rPr>
          <w:rFonts w:ascii="Century Gothic" w:hAnsi="Century Gothic" w:cs="Arial"/>
          <w:bCs/>
          <w:lang w:val="es-MX"/>
        </w:rPr>
        <w:t>los</w:t>
      </w:r>
      <w:r w:rsidR="003101EF">
        <w:rPr>
          <w:rFonts w:ascii="Century Gothic" w:hAnsi="Century Gothic" w:cs="Arial"/>
          <w:bCs/>
          <w:lang w:val="es-MX"/>
        </w:rPr>
        <w:t xml:space="preserve"> artículo</w:t>
      </w:r>
      <w:r w:rsidR="003629CC">
        <w:rPr>
          <w:rFonts w:ascii="Century Gothic" w:hAnsi="Century Gothic" w:cs="Arial"/>
          <w:bCs/>
          <w:lang w:val="es-MX"/>
        </w:rPr>
        <w:t>s 306 y</w:t>
      </w:r>
      <w:r w:rsidR="003101EF">
        <w:rPr>
          <w:rFonts w:ascii="Century Gothic" w:hAnsi="Century Gothic" w:cs="Arial"/>
          <w:bCs/>
          <w:lang w:val="es-MX"/>
        </w:rPr>
        <w:t xml:space="preserve"> 307 del Código Penal del Estado de Chihuahua que a la letra menciona: </w:t>
      </w:r>
    </w:p>
    <w:p w14:paraId="54B2BD6E" w14:textId="77777777" w:rsidR="003629CC" w:rsidRDefault="003629CC" w:rsidP="00146091">
      <w:pPr>
        <w:spacing w:line="360" w:lineRule="auto"/>
        <w:ind w:right="335"/>
        <w:jc w:val="both"/>
        <w:rPr>
          <w:rFonts w:ascii="Century Gothic" w:hAnsi="Century Gothic" w:cs="Arial"/>
          <w:bCs/>
          <w:lang w:val="es-MX"/>
        </w:rPr>
      </w:pPr>
    </w:p>
    <w:p w14:paraId="46687CB8" w14:textId="4C7CE506" w:rsidR="003629CC" w:rsidRDefault="003629CC" w:rsidP="003629CC">
      <w:pPr>
        <w:spacing w:line="360" w:lineRule="auto"/>
        <w:ind w:left="1276" w:right="1466"/>
        <w:jc w:val="both"/>
      </w:pPr>
      <w:r>
        <w:rPr>
          <w:rFonts w:ascii="Century Gothic" w:hAnsi="Century Gothic" w:cs="Arial"/>
          <w:bCs/>
          <w:lang w:val="es-MX"/>
        </w:rPr>
        <w:t>“</w:t>
      </w:r>
      <w:r w:rsidRPr="003629CC">
        <w:rPr>
          <w:rFonts w:ascii="Century Gothic" w:hAnsi="Century Gothic" w:cs="Arial"/>
          <w:bCs/>
          <w:i/>
        </w:rPr>
        <w:t xml:space="preserve">Artículo 306. Se impondrán </w:t>
      </w:r>
      <w:proofErr w:type="gramStart"/>
      <w:r w:rsidRPr="003629CC">
        <w:rPr>
          <w:rFonts w:ascii="Century Gothic" w:hAnsi="Century Gothic" w:cs="Arial"/>
          <w:bCs/>
          <w:i/>
        </w:rPr>
        <w:t>de …</w:t>
      </w:r>
      <w:proofErr w:type="gramEnd"/>
      <w:r w:rsidRPr="003629CC">
        <w:rPr>
          <w:rFonts w:ascii="Century Gothic" w:hAnsi="Century Gothic" w:cs="Arial"/>
          <w:bCs/>
          <w:i/>
        </w:rPr>
        <w:t>, a quien con el propósito de obtener una resolución jurisdiccional de la que se derive perjuicio de alguien o un beneficio indebido o mayor del que le corresponde, con independencia de la obtención del resultado, simule actos jurídicos o altere elementos de prueba.</w:t>
      </w:r>
      <w:r w:rsidRPr="003629CC">
        <w:t xml:space="preserve"> </w:t>
      </w:r>
    </w:p>
    <w:p w14:paraId="69B874A1" w14:textId="77777777" w:rsidR="003629CC" w:rsidRDefault="003629CC" w:rsidP="003629CC">
      <w:pPr>
        <w:spacing w:line="360" w:lineRule="auto"/>
        <w:ind w:left="1276" w:right="1466"/>
        <w:jc w:val="both"/>
      </w:pPr>
    </w:p>
    <w:p w14:paraId="34FDB5EF" w14:textId="1A2E21A7" w:rsidR="003629CC" w:rsidRDefault="003629CC" w:rsidP="003629CC">
      <w:pPr>
        <w:spacing w:line="360" w:lineRule="auto"/>
        <w:ind w:left="1276" w:right="1466"/>
        <w:jc w:val="both"/>
        <w:rPr>
          <w:rFonts w:ascii="Century Gothic" w:hAnsi="Century Gothic" w:cs="Arial"/>
          <w:bCs/>
        </w:rPr>
      </w:pPr>
      <w:r>
        <w:rPr>
          <w:rFonts w:ascii="Century Gothic" w:hAnsi="Century Gothic" w:cs="Arial"/>
          <w:bCs/>
        </w:rPr>
        <w:t>..</w:t>
      </w:r>
      <w:r w:rsidRPr="003629CC">
        <w:rPr>
          <w:rFonts w:ascii="Century Gothic" w:hAnsi="Century Gothic" w:cs="Arial"/>
          <w:bCs/>
        </w:rPr>
        <w:t xml:space="preserve">. </w:t>
      </w:r>
    </w:p>
    <w:p w14:paraId="25A2BB72" w14:textId="77777777" w:rsidR="003629CC" w:rsidRDefault="003629CC" w:rsidP="003629CC">
      <w:pPr>
        <w:spacing w:line="360" w:lineRule="auto"/>
        <w:ind w:left="1276" w:right="1466"/>
        <w:jc w:val="both"/>
        <w:rPr>
          <w:rFonts w:ascii="Century Gothic" w:hAnsi="Century Gothic" w:cs="Arial"/>
          <w:bCs/>
        </w:rPr>
      </w:pPr>
    </w:p>
    <w:p w14:paraId="470DB2A4" w14:textId="45F368E9" w:rsidR="007C5121" w:rsidRDefault="003629CC" w:rsidP="003629CC">
      <w:pPr>
        <w:spacing w:line="360" w:lineRule="auto"/>
        <w:ind w:left="1276" w:right="1466"/>
        <w:jc w:val="both"/>
        <w:rPr>
          <w:rFonts w:ascii="Century Gothic" w:hAnsi="Century Gothic" w:cs="Arial"/>
          <w:bCs/>
          <w:lang w:val="es-MX"/>
        </w:rPr>
      </w:pPr>
      <w:r>
        <w:rPr>
          <w:rFonts w:ascii="Century Gothic" w:hAnsi="Century Gothic" w:cs="Arial"/>
          <w:bCs/>
        </w:rPr>
        <w:t>…”</w:t>
      </w:r>
    </w:p>
    <w:p w14:paraId="28B75252" w14:textId="77777777" w:rsidR="00A00C35" w:rsidRDefault="00A00C35" w:rsidP="00146091">
      <w:pPr>
        <w:spacing w:line="360" w:lineRule="auto"/>
        <w:ind w:right="335"/>
        <w:jc w:val="both"/>
        <w:rPr>
          <w:rFonts w:ascii="Century Gothic" w:hAnsi="Century Gothic" w:cs="Arial"/>
          <w:bCs/>
          <w:lang w:val="es-MX"/>
        </w:rPr>
      </w:pPr>
    </w:p>
    <w:p w14:paraId="6064AAFB" w14:textId="4D2B95C9" w:rsidR="003629CC" w:rsidRPr="003629CC" w:rsidRDefault="003101EF" w:rsidP="003629CC">
      <w:pPr>
        <w:spacing w:line="360" w:lineRule="auto"/>
        <w:ind w:left="1134" w:right="1466"/>
        <w:jc w:val="both"/>
        <w:rPr>
          <w:rFonts w:ascii="Century Gothic" w:hAnsi="Century Gothic" w:cs="Arial"/>
          <w:bCs/>
          <w:i/>
        </w:rPr>
      </w:pPr>
      <w:r>
        <w:rPr>
          <w:rFonts w:ascii="Century Gothic" w:hAnsi="Century Gothic" w:cs="Arial"/>
          <w:bCs/>
        </w:rPr>
        <w:t>“</w:t>
      </w:r>
      <w:r w:rsidR="003629CC" w:rsidRPr="003629CC">
        <w:rPr>
          <w:rFonts w:ascii="Century Gothic" w:hAnsi="Century Gothic" w:cs="Arial"/>
          <w:bCs/>
          <w:i/>
        </w:rPr>
        <w:t xml:space="preserve">Artículo 307. Quien al declarar por sí o por medio de representante ante autoridad en ejercicio de sus funciones o con motivo de ellas, faltare a la verdad, en relación con los hechos que motivan la intervención de ésta, será sancionado con </w:t>
      </w:r>
      <w:r w:rsidR="003629CC">
        <w:rPr>
          <w:rFonts w:ascii="Century Gothic" w:hAnsi="Century Gothic" w:cs="Arial"/>
          <w:bCs/>
          <w:i/>
        </w:rPr>
        <w:t>..</w:t>
      </w:r>
      <w:r w:rsidR="003629CC" w:rsidRPr="003629CC">
        <w:rPr>
          <w:rFonts w:ascii="Century Gothic" w:hAnsi="Century Gothic" w:cs="Arial"/>
          <w:bCs/>
          <w:i/>
        </w:rPr>
        <w:t xml:space="preserve">. </w:t>
      </w:r>
    </w:p>
    <w:p w14:paraId="545CD180" w14:textId="77777777" w:rsidR="003629CC" w:rsidRPr="003629CC" w:rsidRDefault="003629CC" w:rsidP="003629CC">
      <w:pPr>
        <w:spacing w:line="360" w:lineRule="auto"/>
        <w:ind w:left="1134" w:right="1466"/>
        <w:jc w:val="both"/>
        <w:rPr>
          <w:rFonts w:ascii="Century Gothic" w:hAnsi="Century Gothic" w:cs="Arial"/>
          <w:bCs/>
          <w:i/>
        </w:rPr>
      </w:pPr>
    </w:p>
    <w:p w14:paraId="5B6AB19B" w14:textId="7E62CC64" w:rsidR="003101EF" w:rsidRDefault="003629CC" w:rsidP="003629CC">
      <w:pPr>
        <w:spacing w:line="360" w:lineRule="auto"/>
        <w:ind w:left="1134" w:right="1466"/>
        <w:jc w:val="both"/>
        <w:rPr>
          <w:rFonts w:ascii="Century Gothic" w:hAnsi="Century Gothic" w:cs="Arial"/>
          <w:bCs/>
          <w:i/>
        </w:rPr>
      </w:pPr>
      <w:r>
        <w:rPr>
          <w:rFonts w:ascii="Century Gothic" w:hAnsi="Century Gothic" w:cs="Arial"/>
          <w:bCs/>
          <w:i/>
        </w:rPr>
        <w:t>..</w:t>
      </w:r>
      <w:r w:rsidRPr="003629CC">
        <w:rPr>
          <w:rFonts w:ascii="Century Gothic" w:hAnsi="Century Gothic" w:cs="Arial"/>
          <w:bCs/>
          <w:i/>
        </w:rPr>
        <w:t>.</w:t>
      </w:r>
      <w:r>
        <w:rPr>
          <w:rFonts w:ascii="Century Gothic" w:hAnsi="Century Gothic" w:cs="Arial"/>
          <w:bCs/>
          <w:i/>
        </w:rPr>
        <w:t>”</w:t>
      </w:r>
    </w:p>
    <w:p w14:paraId="34667DA4" w14:textId="77777777" w:rsidR="003629CC" w:rsidRDefault="003629CC" w:rsidP="002E0352">
      <w:pPr>
        <w:spacing w:line="360" w:lineRule="auto"/>
        <w:ind w:right="332"/>
        <w:jc w:val="both"/>
        <w:rPr>
          <w:rFonts w:ascii="Century Gothic" w:hAnsi="Century Gothic" w:cs="Arial"/>
          <w:bCs/>
          <w:i/>
        </w:rPr>
      </w:pPr>
    </w:p>
    <w:p w14:paraId="5AEEC70E" w14:textId="3785C236" w:rsidR="003629CC" w:rsidRDefault="003629CC" w:rsidP="002E0352">
      <w:pPr>
        <w:tabs>
          <w:tab w:val="left" w:pos="7655"/>
        </w:tabs>
        <w:spacing w:line="360" w:lineRule="auto"/>
        <w:ind w:right="332"/>
        <w:jc w:val="both"/>
        <w:rPr>
          <w:rFonts w:ascii="Century Gothic" w:hAnsi="Century Gothic" w:cs="Arial"/>
          <w:bCs/>
        </w:rPr>
      </w:pPr>
      <w:r>
        <w:rPr>
          <w:rFonts w:ascii="Century Gothic" w:hAnsi="Century Gothic" w:cs="Arial"/>
          <w:bCs/>
        </w:rPr>
        <w:lastRenderedPageBreak/>
        <w:t xml:space="preserve">De igual forma, podría incurrir en el delito de Fraude Familiar contemplado en el artículo 193 bis que </w:t>
      </w:r>
      <w:r w:rsidR="001419EB">
        <w:rPr>
          <w:rFonts w:ascii="Century Gothic" w:hAnsi="Century Gothic" w:cs="Arial"/>
          <w:bCs/>
        </w:rPr>
        <w:t>refiere</w:t>
      </w:r>
      <w:r>
        <w:rPr>
          <w:rFonts w:ascii="Century Gothic" w:hAnsi="Century Gothic" w:cs="Arial"/>
          <w:bCs/>
        </w:rPr>
        <w:t xml:space="preserve">: </w:t>
      </w:r>
    </w:p>
    <w:p w14:paraId="06E2D177" w14:textId="77777777" w:rsidR="003629CC" w:rsidRDefault="003629CC" w:rsidP="003629CC">
      <w:pPr>
        <w:spacing w:line="360" w:lineRule="auto"/>
        <w:ind w:right="1466"/>
        <w:jc w:val="both"/>
        <w:rPr>
          <w:rFonts w:ascii="Century Gothic" w:hAnsi="Century Gothic" w:cs="Arial"/>
          <w:bCs/>
        </w:rPr>
      </w:pPr>
    </w:p>
    <w:p w14:paraId="4B7BB3C6" w14:textId="275134BD" w:rsidR="003629CC" w:rsidRDefault="003629CC" w:rsidP="003629CC">
      <w:pPr>
        <w:spacing w:line="360" w:lineRule="auto"/>
        <w:ind w:left="851" w:right="1466"/>
        <w:jc w:val="both"/>
        <w:rPr>
          <w:rFonts w:ascii="Century Gothic" w:hAnsi="Century Gothic" w:cs="Arial"/>
          <w:bCs/>
        </w:rPr>
      </w:pPr>
      <w:r>
        <w:rPr>
          <w:rFonts w:ascii="Century Gothic" w:hAnsi="Century Gothic" w:cs="Arial"/>
          <w:bCs/>
        </w:rPr>
        <w:t>“</w:t>
      </w:r>
      <w:r w:rsidRPr="0025380B">
        <w:rPr>
          <w:rFonts w:ascii="Century Gothic" w:hAnsi="Century Gothic" w:cs="Arial"/>
          <w:bCs/>
          <w:i/>
        </w:rPr>
        <w:t>Artículo 193 Bis. A quien en detrimento de la sociedad conyugal o patrimonio común generado durante el matrimonio o el concubinato, oculte, transfiera o adquiera bienes a nombre de terceros</w:t>
      </w:r>
      <w:proofErr w:type="gramStart"/>
      <w:r w:rsidRPr="0025380B">
        <w:rPr>
          <w:rFonts w:ascii="Century Gothic" w:hAnsi="Century Gothic" w:cs="Arial"/>
          <w:bCs/>
          <w:i/>
        </w:rPr>
        <w:t xml:space="preserve">, </w:t>
      </w:r>
      <w:r w:rsidR="002E0352" w:rsidRPr="0025380B">
        <w:rPr>
          <w:rFonts w:ascii="Century Gothic" w:hAnsi="Century Gothic" w:cs="Arial"/>
          <w:bCs/>
          <w:i/>
        </w:rPr>
        <w:t>..</w:t>
      </w:r>
      <w:r w:rsidRPr="0025380B">
        <w:rPr>
          <w:rFonts w:ascii="Century Gothic" w:hAnsi="Century Gothic" w:cs="Arial"/>
          <w:bCs/>
          <w:i/>
        </w:rPr>
        <w:t>.”</w:t>
      </w:r>
      <w:proofErr w:type="gramEnd"/>
    </w:p>
    <w:p w14:paraId="63ACA113" w14:textId="77777777" w:rsidR="003629CC" w:rsidRDefault="003629CC" w:rsidP="002E0352">
      <w:pPr>
        <w:spacing w:line="360" w:lineRule="auto"/>
        <w:ind w:right="190"/>
        <w:jc w:val="both"/>
        <w:rPr>
          <w:rFonts w:ascii="Century Gothic" w:hAnsi="Century Gothic" w:cs="Arial"/>
          <w:bCs/>
        </w:rPr>
      </w:pPr>
    </w:p>
    <w:p w14:paraId="26AFF1EF" w14:textId="141B260E" w:rsidR="002E0352" w:rsidRDefault="002E0352" w:rsidP="002E0352">
      <w:pPr>
        <w:spacing w:line="360" w:lineRule="auto"/>
        <w:ind w:right="332"/>
        <w:jc w:val="both"/>
        <w:rPr>
          <w:rFonts w:ascii="Century Gothic" w:hAnsi="Century Gothic" w:cs="Arial"/>
          <w:bCs/>
          <w:lang w:val="es-MX"/>
        </w:rPr>
      </w:pPr>
      <w:r>
        <w:rPr>
          <w:rFonts w:ascii="Century Gothic" w:hAnsi="Century Gothic" w:cs="Arial"/>
          <w:bCs/>
        </w:rPr>
        <w:t xml:space="preserve">Lo anterior pone de manifiesto que si la persona simula una </w:t>
      </w:r>
      <w:r w:rsidRPr="002E0352">
        <w:rPr>
          <w:rFonts w:ascii="Century Gothic" w:hAnsi="Century Gothic" w:cs="Arial"/>
          <w:bCs/>
          <w:lang w:val="es-MX"/>
        </w:rPr>
        <w:t>insolvencia para que cese su obligación alimentaria</w:t>
      </w:r>
      <w:r>
        <w:rPr>
          <w:rFonts w:ascii="Century Gothic" w:hAnsi="Century Gothic" w:cs="Arial"/>
          <w:bCs/>
          <w:lang w:val="es-MX"/>
        </w:rPr>
        <w:t xml:space="preserve">, podría incurrir en cualquiera de estos delitos, por ende, el problema de la simulación está atendido jurídicamente desde la perspectiva penal. </w:t>
      </w:r>
    </w:p>
    <w:p w14:paraId="40523D78" w14:textId="77777777" w:rsidR="00324264" w:rsidRDefault="00324264" w:rsidP="002E0352">
      <w:pPr>
        <w:spacing w:line="360" w:lineRule="auto"/>
        <w:ind w:right="332"/>
        <w:jc w:val="both"/>
        <w:rPr>
          <w:rFonts w:ascii="Century Gothic" w:hAnsi="Century Gothic" w:cs="Arial"/>
          <w:bCs/>
          <w:lang w:val="es-MX"/>
        </w:rPr>
      </w:pPr>
    </w:p>
    <w:p w14:paraId="2E0CE9AE" w14:textId="0A4007DF" w:rsidR="00324264" w:rsidRDefault="00324264" w:rsidP="002E0352">
      <w:pPr>
        <w:spacing w:line="360" w:lineRule="auto"/>
        <w:ind w:right="332"/>
        <w:jc w:val="both"/>
        <w:rPr>
          <w:rFonts w:ascii="Century Gothic" w:hAnsi="Century Gothic" w:cs="Arial"/>
          <w:bCs/>
          <w:lang w:val="es-MX"/>
        </w:rPr>
      </w:pPr>
      <w:r w:rsidRPr="0025380B">
        <w:rPr>
          <w:rFonts w:ascii="Century Gothic" w:hAnsi="Century Gothic" w:cs="Arial"/>
          <w:b/>
          <w:bCs/>
          <w:lang w:val="es-MX"/>
        </w:rPr>
        <w:t>V.</w:t>
      </w:r>
      <w:r>
        <w:rPr>
          <w:rFonts w:ascii="Century Gothic" w:hAnsi="Century Gothic" w:cs="Arial"/>
          <w:bCs/>
          <w:lang w:val="es-MX"/>
        </w:rPr>
        <w:t xml:space="preserve"> En cu</w:t>
      </w:r>
      <w:r w:rsidR="0025380B">
        <w:rPr>
          <w:rFonts w:ascii="Century Gothic" w:hAnsi="Century Gothic" w:cs="Arial"/>
          <w:bCs/>
          <w:lang w:val="es-MX"/>
        </w:rPr>
        <w:t>anto a la vertiente de análisis</w:t>
      </w:r>
      <w:r>
        <w:rPr>
          <w:rFonts w:ascii="Century Gothic" w:hAnsi="Century Gothic" w:cs="Arial"/>
          <w:bCs/>
          <w:lang w:val="es-MX"/>
        </w:rPr>
        <w:t xml:space="preserve"> consistente en que de que se pueda dejar sin</w:t>
      </w:r>
      <w:r w:rsidR="0025380B">
        <w:rPr>
          <w:rFonts w:ascii="Century Gothic" w:hAnsi="Century Gothic" w:cs="Arial"/>
          <w:bCs/>
          <w:lang w:val="es-MX"/>
        </w:rPr>
        <w:t xml:space="preserve"> alimentos a las niñas o niños, partimos de la tutela que existe en el artículo 280 del Código Civil del Estado de Chihuahua que a la letra menciona: </w:t>
      </w:r>
    </w:p>
    <w:p w14:paraId="1109F641" w14:textId="77777777" w:rsidR="0025380B" w:rsidRDefault="0025380B" w:rsidP="002E0352">
      <w:pPr>
        <w:spacing w:line="360" w:lineRule="auto"/>
        <w:ind w:right="332"/>
        <w:jc w:val="both"/>
        <w:rPr>
          <w:rFonts w:ascii="Century Gothic" w:hAnsi="Century Gothic" w:cs="Arial"/>
          <w:bCs/>
          <w:lang w:val="es-MX"/>
        </w:rPr>
      </w:pPr>
    </w:p>
    <w:p w14:paraId="68457328" w14:textId="320C9A39" w:rsidR="0025380B" w:rsidRDefault="0025380B" w:rsidP="0025380B">
      <w:pPr>
        <w:spacing w:line="360" w:lineRule="auto"/>
        <w:ind w:left="851" w:right="1466"/>
        <w:jc w:val="both"/>
        <w:rPr>
          <w:rFonts w:ascii="Century Gothic" w:hAnsi="Century Gothic" w:cs="Arial"/>
          <w:bCs/>
        </w:rPr>
      </w:pPr>
      <w:r>
        <w:rPr>
          <w:rFonts w:ascii="Century Gothic" w:hAnsi="Century Gothic" w:cs="Arial"/>
          <w:bCs/>
          <w:i/>
        </w:rPr>
        <w:t>“</w:t>
      </w:r>
      <w:r w:rsidRPr="0025380B">
        <w:rPr>
          <w:rFonts w:ascii="Century Gothic" w:hAnsi="Century Gothic" w:cs="Arial"/>
          <w:bCs/>
          <w:i/>
        </w:rPr>
        <w:t>ARTÍCULO 280. Los padres están obligados a dar alimentos a sus hijos. A falta o por imposibilidad de los padres, la obligación recae en los demás ascendientes por ambas líneas que estuvieren más próximos en grado</w:t>
      </w:r>
      <w:r>
        <w:rPr>
          <w:rFonts w:ascii="Century Gothic" w:hAnsi="Century Gothic" w:cs="Arial"/>
          <w:bCs/>
        </w:rPr>
        <w:t>.”</w:t>
      </w:r>
    </w:p>
    <w:p w14:paraId="50D3F2FC" w14:textId="77777777" w:rsidR="0025380B" w:rsidRDefault="0025380B" w:rsidP="0025380B">
      <w:pPr>
        <w:spacing w:line="360" w:lineRule="auto"/>
        <w:ind w:right="1466"/>
        <w:jc w:val="both"/>
        <w:rPr>
          <w:rFonts w:ascii="Century Gothic" w:hAnsi="Century Gothic" w:cs="Arial"/>
          <w:bCs/>
        </w:rPr>
      </w:pPr>
    </w:p>
    <w:p w14:paraId="6E1D9937" w14:textId="59DA7D01" w:rsidR="0025380B" w:rsidRDefault="0025380B" w:rsidP="0025380B">
      <w:pPr>
        <w:spacing w:line="360" w:lineRule="auto"/>
        <w:ind w:right="332"/>
        <w:jc w:val="both"/>
        <w:rPr>
          <w:rFonts w:ascii="Century Gothic" w:hAnsi="Century Gothic" w:cs="Arial"/>
          <w:bCs/>
        </w:rPr>
      </w:pPr>
      <w:r>
        <w:rPr>
          <w:rFonts w:ascii="Century Gothic" w:hAnsi="Century Gothic" w:cs="Arial"/>
          <w:bCs/>
        </w:rPr>
        <w:t xml:space="preserve">Dicho numeral prevé la activación de la obligación subsidiaria cuando los progenitores no puedan proporcionar alimentos, ya sea por falta o </w:t>
      </w:r>
      <w:r>
        <w:rPr>
          <w:rFonts w:ascii="Century Gothic" w:hAnsi="Century Gothic" w:cs="Arial"/>
          <w:bCs/>
        </w:rPr>
        <w:lastRenderedPageBreak/>
        <w:t>imposibilidad, de ahí que, aún en la hipótesis de que las personas que se encuentre</w:t>
      </w:r>
      <w:r w:rsidR="00765493">
        <w:rPr>
          <w:rFonts w:ascii="Century Gothic" w:hAnsi="Century Gothic" w:cs="Arial"/>
          <w:bCs/>
        </w:rPr>
        <w:t>n</w:t>
      </w:r>
      <w:r>
        <w:rPr>
          <w:rFonts w:ascii="Century Gothic" w:hAnsi="Century Gothic" w:cs="Arial"/>
          <w:bCs/>
        </w:rPr>
        <w:t xml:space="preserve"> obligadas de forma primaria simulen una carencia de bienes o un impedimento absoluto para</w:t>
      </w:r>
      <w:r w:rsidR="0074643A">
        <w:rPr>
          <w:rFonts w:ascii="Century Gothic" w:hAnsi="Century Gothic" w:cs="Arial"/>
          <w:bCs/>
        </w:rPr>
        <w:t xml:space="preserve"> no</w:t>
      </w:r>
      <w:r>
        <w:rPr>
          <w:rFonts w:ascii="Century Gothic" w:hAnsi="Century Gothic" w:cs="Arial"/>
          <w:bCs/>
        </w:rPr>
        <w:t xml:space="preserve"> cumplir como deudoras</w:t>
      </w:r>
      <w:r w:rsidR="0074643A">
        <w:rPr>
          <w:rFonts w:ascii="Century Gothic" w:hAnsi="Century Gothic" w:cs="Arial"/>
          <w:bCs/>
        </w:rPr>
        <w:t xml:space="preserve">, las demás personas ascendientes, en orden de prelación, deben proporcionar alimentos. </w:t>
      </w:r>
      <w:r>
        <w:rPr>
          <w:rFonts w:ascii="Century Gothic" w:hAnsi="Century Gothic" w:cs="Arial"/>
          <w:bCs/>
        </w:rPr>
        <w:t xml:space="preserve"> </w:t>
      </w:r>
    </w:p>
    <w:p w14:paraId="66DFFFC2" w14:textId="77777777" w:rsidR="0074643A" w:rsidRDefault="0074643A" w:rsidP="0025380B">
      <w:pPr>
        <w:spacing w:line="360" w:lineRule="auto"/>
        <w:ind w:right="332"/>
        <w:jc w:val="both"/>
        <w:rPr>
          <w:rFonts w:ascii="Century Gothic" w:hAnsi="Century Gothic" w:cs="Arial"/>
          <w:bCs/>
        </w:rPr>
      </w:pPr>
    </w:p>
    <w:p w14:paraId="3A639F20" w14:textId="24CE5E12" w:rsidR="0074643A" w:rsidRDefault="0074643A" w:rsidP="0025380B">
      <w:pPr>
        <w:spacing w:line="360" w:lineRule="auto"/>
        <w:ind w:right="332"/>
        <w:jc w:val="both"/>
        <w:rPr>
          <w:rFonts w:ascii="Century Gothic" w:hAnsi="Century Gothic" w:cs="Arial"/>
          <w:bCs/>
        </w:rPr>
      </w:pPr>
      <w:r>
        <w:rPr>
          <w:rFonts w:ascii="Century Gothic" w:hAnsi="Century Gothic" w:cs="Arial"/>
          <w:bCs/>
        </w:rPr>
        <w:t xml:space="preserve">De esa simulación, como se vio anteriormente, se encargará la disposición civil y el derecho penal de sancionarla, pero el derecho a los alimentos se encuentra tutelado. </w:t>
      </w:r>
    </w:p>
    <w:p w14:paraId="172941CF" w14:textId="77777777" w:rsidR="0074643A" w:rsidRDefault="0074643A" w:rsidP="0025380B">
      <w:pPr>
        <w:spacing w:line="360" w:lineRule="auto"/>
        <w:ind w:right="332"/>
        <w:jc w:val="both"/>
        <w:rPr>
          <w:rFonts w:ascii="Century Gothic" w:hAnsi="Century Gothic" w:cs="Arial"/>
          <w:bCs/>
        </w:rPr>
      </w:pPr>
    </w:p>
    <w:p w14:paraId="36BCE0F8" w14:textId="2DFA7FAF" w:rsidR="0074643A" w:rsidRDefault="0074643A" w:rsidP="0025380B">
      <w:pPr>
        <w:spacing w:line="360" w:lineRule="auto"/>
        <w:ind w:right="332"/>
        <w:jc w:val="both"/>
        <w:rPr>
          <w:rFonts w:ascii="Century Gothic" w:hAnsi="Century Gothic" w:cs="Arial"/>
          <w:bCs/>
        </w:rPr>
      </w:pPr>
      <w:r>
        <w:rPr>
          <w:rFonts w:ascii="Century Gothic" w:hAnsi="Century Gothic" w:cs="Arial"/>
          <w:bCs/>
        </w:rPr>
        <w:t xml:space="preserve">Tan es así que penalmente, el Estado de Chihuahua cuenta con una disposición que tutela a los alimentos, y la podemos localizar en el artículo 188: </w:t>
      </w:r>
    </w:p>
    <w:p w14:paraId="73996395" w14:textId="77777777" w:rsidR="0074643A" w:rsidRDefault="0074643A" w:rsidP="0025380B">
      <w:pPr>
        <w:spacing w:line="360" w:lineRule="auto"/>
        <w:ind w:right="332"/>
        <w:jc w:val="both"/>
        <w:rPr>
          <w:rFonts w:ascii="Century Gothic" w:hAnsi="Century Gothic" w:cs="Arial"/>
          <w:bCs/>
        </w:rPr>
      </w:pPr>
    </w:p>
    <w:p w14:paraId="1BFB910A" w14:textId="3FAABED1" w:rsidR="0074643A" w:rsidRPr="0074643A" w:rsidRDefault="0074643A" w:rsidP="0074643A">
      <w:pPr>
        <w:spacing w:line="360" w:lineRule="auto"/>
        <w:ind w:left="851" w:right="1466"/>
        <w:jc w:val="both"/>
        <w:rPr>
          <w:rFonts w:ascii="Century Gothic" w:hAnsi="Century Gothic" w:cs="Arial"/>
          <w:bCs/>
          <w:i/>
        </w:rPr>
      </w:pPr>
      <w:r>
        <w:rPr>
          <w:rFonts w:ascii="Century Gothic" w:hAnsi="Century Gothic" w:cs="Arial"/>
          <w:bCs/>
        </w:rPr>
        <w:t xml:space="preserve"> </w:t>
      </w:r>
      <w:r w:rsidRPr="0074643A">
        <w:rPr>
          <w:rFonts w:ascii="Century Gothic" w:hAnsi="Century Gothic" w:cs="Arial"/>
          <w:bCs/>
          <w:i/>
        </w:rPr>
        <w:t>“Artículo 188. A quien incumpla con su obligación de dar alimentos a las personas que tienen derecho a recibirlos, se le impondrá de seis meses a cuatro años de prisión y de cincuenta a cuatrocientos días multa. En todos los casos, se condenará al pago como reparación del daño de las cantidades no suministradas oportunamente y se podrá decretar suspensión hasta por un año de los derechos de familia.</w:t>
      </w:r>
    </w:p>
    <w:p w14:paraId="14672840" w14:textId="6CC28AAD" w:rsidR="0074643A" w:rsidRPr="0074643A" w:rsidRDefault="0074643A" w:rsidP="0074643A">
      <w:pPr>
        <w:spacing w:line="360" w:lineRule="auto"/>
        <w:ind w:left="851" w:right="1466"/>
        <w:jc w:val="both"/>
        <w:rPr>
          <w:rFonts w:ascii="Century Gothic" w:hAnsi="Century Gothic" w:cs="Arial"/>
          <w:bCs/>
          <w:i/>
        </w:rPr>
      </w:pPr>
      <w:r w:rsidRPr="0074643A">
        <w:rPr>
          <w:rFonts w:ascii="Century Gothic" w:hAnsi="Century Gothic" w:cs="Arial"/>
          <w:bCs/>
          <w:i/>
        </w:rPr>
        <w:t>…</w:t>
      </w:r>
    </w:p>
    <w:p w14:paraId="7E4EF3D9" w14:textId="48484399" w:rsidR="0074643A" w:rsidRPr="0074643A" w:rsidRDefault="0074643A" w:rsidP="0074643A">
      <w:pPr>
        <w:spacing w:line="360" w:lineRule="auto"/>
        <w:ind w:left="851" w:right="1466"/>
        <w:jc w:val="both"/>
        <w:rPr>
          <w:rFonts w:ascii="Century Gothic" w:hAnsi="Century Gothic" w:cs="Arial"/>
          <w:bCs/>
          <w:i/>
        </w:rPr>
      </w:pPr>
      <w:r w:rsidRPr="0074643A">
        <w:rPr>
          <w:rFonts w:ascii="Century Gothic" w:hAnsi="Century Gothic" w:cs="Arial"/>
          <w:bCs/>
          <w:i/>
        </w:rPr>
        <w:t>…”</w:t>
      </w:r>
    </w:p>
    <w:p w14:paraId="305D5B12" w14:textId="77777777" w:rsidR="0025380B" w:rsidRDefault="0025380B" w:rsidP="002E0352">
      <w:pPr>
        <w:spacing w:line="360" w:lineRule="auto"/>
        <w:ind w:right="332"/>
        <w:jc w:val="both"/>
        <w:rPr>
          <w:rFonts w:ascii="Century Gothic" w:hAnsi="Century Gothic" w:cs="Arial"/>
          <w:bCs/>
        </w:rPr>
      </w:pPr>
    </w:p>
    <w:p w14:paraId="3715C5D9" w14:textId="77777777" w:rsidR="00783558" w:rsidRDefault="0074643A" w:rsidP="002E0352">
      <w:pPr>
        <w:spacing w:line="360" w:lineRule="auto"/>
        <w:ind w:right="332"/>
        <w:jc w:val="both"/>
        <w:rPr>
          <w:rFonts w:ascii="Century Gothic" w:hAnsi="Century Gothic" w:cs="Arial"/>
          <w:bCs/>
        </w:rPr>
      </w:pPr>
      <w:r>
        <w:rPr>
          <w:rFonts w:ascii="Century Gothic" w:hAnsi="Century Gothic" w:cs="Arial"/>
          <w:bCs/>
        </w:rPr>
        <w:lastRenderedPageBreak/>
        <w:t xml:space="preserve">Con lo anterior, queda de manifiesto que la posibilidad de interpretar nuestra legislación en detrimento de los alimentos, en la vertiente de estudio, consistente en que se deje sin alimentos a las niñas o niños, ha quedado satisfecha en virtud de las consideraciones antes vertidas, relacionadas con los artículos 280 del Código Civil y 188 del Código Penal. </w:t>
      </w:r>
    </w:p>
    <w:p w14:paraId="02FC1839" w14:textId="77777777" w:rsidR="00783558" w:rsidRDefault="00783558" w:rsidP="002E0352">
      <w:pPr>
        <w:spacing w:line="360" w:lineRule="auto"/>
        <w:ind w:right="332"/>
        <w:jc w:val="both"/>
        <w:rPr>
          <w:rFonts w:ascii="Century Gothic" w:hAnsi="Century Gothic" w:cs="Arial"/>
          <w:bCs/>
        </w:rPr>
      </w:pPr>
    </w:p>
    <w:p w14:paraId="01850F72" w14:textId="557AB447" w:rsidR="002D2B59" w:rsidRDefault="00783558" w:rsidP="002E0352">
      <w:pPr>
        <w:spacing w:line="360" w:lineRule="auto"/>
        <w:ind w:right="332"/>
        <w:jc w:val="both"/>
        <w:rPr>
          <w:rFonts w:ascii="Century Gothic" w:hAnsi="Century Gothic" w:cs="Arial"/>
          <w:bCs/>
        </w:rPr>
      </w:pPr>
      <w:r w:rsidRPr="005332E5">
        <w:rPr>
          <w:rFonts w:ascii="Century Gothic" w:hAnsi="Century Gothic" w:cs="Arial"/>
          <w:b/>
          <w:bCs/>
        </w:rPr>
        <w:t>V</w:t>
      </w:r>
      <w:r w:rsidR="00DB3799">
        <w:rPr>
          <w:rFonts w:ascii="Century Gothic" w:hAnsi="Century Gothic" w:cs="Arial"/>
          <w:b/>
          <w:bCs/>
        </w:rPr>
        <w:t>I</w:t>
      </w:r>
      <w:r w:rsidR="005332E5">
        <w:rPr>
          <w:rFonts w:ascii="Century Gothic" w:hAnsi="Century Gothic" w:cs="Arial"/>
          <w:b/>
          <w:bCs/>
        </w:rPr>
        <w:t xml:space="preserve">. </w:t>
      </w:r>
      <w:r w:rsidR="005332E5">
        <w:rPr>
          <w:rFonts w:ascii="Century Gothic" w:hAnsi="Century Gothic" w:cs="Arial"/>
          <w:bCs/>
        </w:rPr>
        <w:t xml:space="preserve">Una vez </w:t>
      </w:r>
      <w:r w:rsidR="002D2B59">
        <w:rPr>
          <w:rFonts w:ascii="Century Gothic" w:hAnsi="Century Gothic" w:cs="Arial"/>
          <w:bCs/>
        </w:rPr>
        <w:t xml:space="preserve">expuesto lo anterior, reconocemos el área de oportunidad legislativa que evidencia la </w:t>
      </w:r>
      <w:r>
        <w:rPr>
          <w:rFonts w:ascii="Century Gothic" w:hAnsi="Century Gothic" w:cs="Arial"/>
          <w:bCs/>
        </w:rPr>
        <w:t>iniciativa</w:t>
      </w:r>
      <w:r w:rsidR="002D2B59">
        <w:rPr>
          <w:rFonts w:ascii="Century Gothic" w:hAnsi="Century Gothic" w:cs="Arial"/>
          <w:bCs/>
        </w:rPr>
        <w:t>, esto es, armonizar y adecuar nuestro lenguaje para que no quede lugar a dudas de cual es la intención de la norma.</w:t>
      </w:r>
    </w:p>
    <w:p w14:paraId="00505F17" w14:textId="77777777" w:rsidR="002D2B59" w:rsidRDefault="002D2B59" w:rsidP="002E0352">
      <w:pPr>
        <w:spacing w:line="360" w:lineRule="auto"/>
        <w:ind w:right="332"/>
        <w:jc w:val="both"/>
        <w:rPr>
          <w:rFonts w:ascii="Century Gothic" w:hAnsi="Century Gothic" w:cs="Arial"/>
          <w:bCs/>
        </w:rPr>
      </w:pPr>
    </w:p>
    <w:p w14:paraId="2B449BD2" w14:textId="587BE419" w:rsidR="00A23D77" w:rsidRDefault="002D2B59" w:rsidP="002E0352">
      <w:pPr>
        <w:spacing w:line="360" w:lineRule="auto"/>
        <w:ind w:right="332"/>
        <w:jc w:val="both"/>
        <w:rPr>
          <w:rFonts w:ascii="Century Gothic" w:hAnsi="Century Gothic" w:cs="Arial"/>
          <w:bCs/>
        </w:rPr>
      </w:pPr>
      <w:r>
        <w:rPr>
          <w:rFonts w:ascii="Century Gothic" w:hAnsi="Century Gothic" w:cs="Arial"/>
          <w:bCs/>
        </w:rPr>
        <w:t xml:space="preserve">Para ello, partimos </w:t>
      </w:r>
      <w:r w:rsidR="00A23D77">
        <w:rPr>
          <w:rFonts w:ascii="Century Gothic" w:hAnsi="Century Gothic" w:cs="Arial"/>
          <w:bCs/>
        </w:rPr>
        <w:t xml:space="preserve">de lo expuesto por el artículo 280 del Código Civil del Estado de Chihuahua, mismo que establece la obligatoriedad primaria de proporcionar alimentos y dos hipótesis que </w:t>
      </w:r>
      <w:r w:rsidR="00750F23">
        <w:rPr>
          <w:rFonts w:ascii="Century Gothic" w:hAnsi="Century Gothic" w:cs="Arial"/>
          <w:bCs/>
        </w:rPr>
        <w:t>impulsan</w:t>
      </w:r>
      <w:r w:rsidR="00A23D77">
        <w:rPr>
          <w:rFonts w:ascii="Century Gothic" w:hAnsi="Century Gothic" w:cs="Arial"/>
          <w:bCs/>
        </w:rPr>
        <w:t xml:space="preserve"> la subsidiariedad en orden de prelación. </w:t>
      </w:r>
    </w:p>
    <w:p w14:paraId="42781D13" w14:textId="77777777" w:rsidR="00A23D77" w:rsidRDefault="00A23D77" w:rsidP="002E0352">
      <w:pPr>
        <w:spacing w:line="360" w:lineRule="auto"/>
        <w:ind w:right="332"/>
        <w:jc w:val="both"/>
        <w:rPr>
          <w:rFonts w:ascii="Century Gothic" w:hAnsi="Century Gothic" w:cs="Arial"/>
          <w:bCs/>
        </w:rPr>
      </w:pPr>
    </w:p>
    <w:p w14:paraId="23EA7C82" w14:textId="178E41D5" w:rsidR="00750F23" w:rsidRDefault="00A23D77" w:rsidP="002E0352">
      <w:pPr>
        <w:spacing w:line="360" w:lineRule="auto"/>
        <w:ind w:right="332"/>
        <w:jc w:val="both"/>
        <w:rPr>
          <w:rFonts w:ascii="Century Gothic" w:hAnsi="Century Gothic" w:cs="Arial"/>
          <w:bCs/>
        </w:rPr>
      </w:pPr>
      <w:r>
        <w:rPr>
          <w:rFonts w:ascii="Century Gothic" w:hAnsi="Century Gothic" w:cs="Arial"/>
          <w:bCs/>
        </w:rPr>
        <w:t>Al activarse la obligación subsidiaria, cesa la obligatoriedad de proporcionar alimentos por parte de las personas progenitoras, pero también, como existe un orden de prelación de personas deudoras subsidiarias,</w:t>
      </w:r>
      <w:r w:rsidR="00750F23">
        <w:rPr>
          <w:rFonts w:ascii="Century Gothic" w:hAnsi="Century Gothic" w:cs="Arial"/>
          <w:bCs/>
        </w:rPr>
        <w:t xml:space="preserve"> puede</w:t>
      </w:r>
      <w:r>
        <w:rPr>
          <w:rFonts w:ascii="Century Gothic" w:hAnsi="Century Gothic" w:cs="Arial"/>
          <w:bCs/>
        </w:rPr>
        <w:t xml:space="preserve"> haber </w:t>
      </w:r>
      <w:r w:rsidR="00750F23">
        <w:rPr>
          <w:rFonts w:ascii="Century Gothic" w:hAnsi="Century Gothic" w:cs="Arial"/>
          <w:bCs/>
        </w:rPr>
        <w:t>quien</w:t>
      </w:r>
      <w:r>
        <w:rPr>
          <w:rFonts w:ascii="Century Gothic" w:hAnsi="Century Gothic" w:cs="Arial"/>
          <w:bCs/>
        </w:rPr>
        <w:t xml:space="preserve"> en esta vertiente </w:t>
      </w:r>
      <w:r w:rsidR="00750F23">
        <w:rPr>
          <w:rFonts w:ascii="Century Gothic" w:hAnsi="Century Gothic" w:cs="Arial"/>
          <w:bCs/>
        </w:rPr>
        <w:t>de obligatoriedad, se encuentre en</w:t>
      </w:r>
      <w:r>
        <w:rPr>
          <w:rFonts w:ascii="Century Gothic" w:hAnsi="Century Gothic" w:cs="Arial"/>
          <w:bCs/>
        </w:rPr>
        <w:t xml:space="preserve"> alguna de las hipótesis que impiden proporcionar alimentos, ya sea por </w:t>
      </w:r>
      <w:r w:rsidRPr="00750F23">
        <w:rPr>
          <w:rFonts w:ascii="Century Gothic" w:hAnsi="Century Gothic" w:cs="Arial"/>
          <w:bCs/>
          <w:i/>
        </w:rPr>
        <w:t>falta</w:t>
      </w:r>
      <w:r>
        <w:rPr>
          <w:rFonts w:ascii="Century Gothic" w:hAnsi="Century Gothic" w:cs="Arial"/>
          <w:bCs/>
        </w:rPr>
        <w:t xml:space="preserve"> o </w:t>
      </w:r>
      <w:r w:rsidR="00E63B43" w:rsidRPr="00750F23">
        <w:rPr>
          <w:rFonts w:ascii="Century Gothic" w:hAnsi="Century Gothic" w:cs="Arial"/>
          <w:bCs/>
          <w:i/>
        </w:rPr>
        <w:t>imposibilidad</w:t>
      </w:r>
      <w:r w:rsidR="00E63B43">
        <w:rPr>
          <w:rFonts w:ascii="Century Gothic" w:hAnsi="Century Gothic" w:cs="Arial"/>
          <w:bCs/>
        </w:rPr>
        <w:t xml:space="preserve">, lo que trae aparejado la actualización de la </w:t>
      </w:r>
      <w:r w:rsidR="00750F23">
        <w:rPr>
          <w:rFonts w:ascii="Century Gothic" w:hAnsi="Century Gothic" w:cs="Arial"/>
          <w:bCs/>
        </w:rPr>
        <w:t>cesación</w:t>
      </w:r>
      <w:r w:rsidR="00E63B43">
        <w:rPr>
          <w:rFonts w:ascii="Century Gothic" w:hAnsi="Century Gothic" w:cs="Arial"/>
          <w:bCs/>
        </w:rPr>
        <w:t xml:space="preserve"> para con esta persona </w:t>
      </w:r>
      <w:r w:rsidR="00750F23">
        <w:rPr>
          <w:rFonts w:ascii="Century Gothic" w:hAnsi="Century Gothic" w:cs="Arial"/>
          <w:bCs/>
        </w:rPr>
        <w:t>ascendiente.</w:t>
      </w:r>
    </w:p>
    <w:p w14:paraId="1498576E" w14:textId="77777777" w:rsidR="00750F23" w:rsidRDefault="00750F23" w:rsidP="002E0352">
      <w:pPr>
        <w:spacing w:line="360" w:lineRule="auto"/>
        <w:ind w:right="332"/>
        <w:jc w:val="both"/>
        <w:rPr>
          <w:rFonts w:ascii="Century Gothic" w:hAnsi="Century Gothic" w:cs="Arial"/>
          <w:bCs/>
        </w:rPr>
      </w:pPr>
    </w:p>
    <w:p w14:paraId="1B5698AF" w14:textId="1EB16A60" w:rsidR="00750F23" w:rsidRDefault="00A0173F" w:rsidP="002E0352">
      <w:pPr>
        <w:spacing w:line="360" w:lineRule="auto"/>
        <w:ind w:right="332"/>
        <w:jc w:val="both"/>
        <w:rPr>
          <w:rFonts w:ascii="Century Gothic" w:hAnsi="Century Gothic" w:cs="Arial"/>
          <w:bCs/>
        </w:rPr>
      </w:pPr>
      <w:r>
        <w:rPr>
          <w:rFonts w:ascii="Century Gothic" w:hAnsi="Century Gothic" w:cs="Arial"/>
          <w:bCs/>
        </w:rPr>
        <w:lastRenderedPageBreak/>
        <w:t>E</w:t>
      </w:r>
      <w:r w:rsidR="00750F23">
        <w:rPr>
          <w:rFonts w:ascii="Century Gothic" w:hAnsi="Century Gothic" w:cs="Arial"/>
          <w:bCs/>
        </w:rPr>
        <w:t xml:space="preserve">n armonía con lo anterior, </w:t>
      </w:r>
      <w:r>
        <w:rPr>
          <w:rFonts w:ascii="Century Gothic" w:hAnsi="Century Gothic" w:cs="Arial"/>
          <w:bCs/>
        </w:rPr>
        <w:t>es que</w:t>
      </w:r>
      <w:r w:rsidR="00750F23">
        <w:rPr>
          <w:rFonts w:ascii="Century Gothic" w:hAnsi="Century Gothic" w:cs="Arial"/>
          <w:bCs/>
        </w:rPr>
        <w:t xml:space="preserve"> se pretende actualizar la fracción I del artículo 297 del Código Civil del Estado de Chihuahua, esclareciendo así, cuando cesa esta obligación, ya que actualmente </w:t>
      </w:r>
      <w:r>
        <w:rPr>
          <w:rFonts w:ascii="Century Gothic" w:hAnsi="Century Gothic" w:cs="Arial"/>
          <w:bCs/>
        </w:rPr>
        <w:t xml:space="preserve">solo se establece la cesación </w:t>
      </w:r>
      <w:r w:rsidR="00750F23">
        <w:rPr>
          <w:rFonts w:ascii="Century Gothic" w:hAnsi="Century Gothic" w:cs="Arial"/>
          <w:bCs/>
        </w:rPr>
        <w:t xml:space="preserve">cuando se carezca de medios para cumplirla, </w:t>
      </w:r>
      <w:r>
        <w:rPr>
          <w:rFonts w:ascii="Century Gothic" w:hAnsi="Century Gothic" w:cs="Arial"/>
          <w:bCs/>
        </w:rPr>
        <w:t xml:space="preserve">hipótesis fáctica, que como se ha dado a entender, se traduce en una imposibilidad, ya sea por carencia de bienes o impedimento absoluto de poder cumplir con su obligación. </w:t>
      </w:r>
    </w:p>
    <w:p w14:paraId="13515D2E" w14:textId="02371C5A" w:rsidR="00A0173F" w:rsidRDefault="00A0173F" w:rsidP="002E0352">
      <w:pPr>
        <w:spacing w:line="360" w:lineRule="auto"/>
        <w:ind w:right="332"/>
        <w:jc w:val="both"/>
        <w:rPr>
          <w:rFonts w:ascii="Century Gothic" w:hAnsi="Century Gothic" w:cs="Arial"/>
          <w:bCs/>
        </w:rPr>
      </w:pPr>
    </w:p>
    <w:p w14:paraId="6AA48C2D" w14:textId="77777777" w:rsidR="00A0173F" w:rsidRDefault="00A0173F" w:rsidP="002E0352">
      <w:pPr>
        <w:spacing w:line="360" w:lineRule="auto"/>
        <w:ind w:right="332"/>
        <w:jc w:val="both"/>
        <w:rPr>
          <w:rFonts w:ascii="Century Gothic" w:hAnsi="Century Gothic" w:cs="Arial"/>
          <w:bCs/>
        </w:rPr>
      </w:pPr>
      <w:r>
        <w:rPr>
          <w:rFonts w:ascii="Century Gothic" w:hAnsi="Century Gothic" w:cs="Arial"/>
          <w:bCs/>
        </w:rPr>
        <w:t xml:space="preserve">Por ende, en primera instancia, pareciera innecesario reformar el artículo, empero, consideramos necesario adecuar el lenguaje para un mejor entendimiento y agregar el elemento adicional: Mientras subsista la causa. </w:t>
      </w:r>
    </w:p>
    <w:p w14:paraId="060F230A" w14:textId="77777777" w:rsidR="00A0173F" w:rsidRDefault="00A0173F" w:rsidP="002E0352">
      <w:pPr>
        <w:spacing w:line="360" w:lineRule="auto"/>
        <w:ind w:right="332"/>
        <w:jc w:val="both"/>
        <w:rPr>
          <w:rFonts w:ascii="Century Gothic" w:hAnsi="Century Gothic" w:cs="Arial"/>
          <w:bCs/>
        </w:rPr>
      </w:pPr>
    </w:p>
    <w:p w14:paraId="2640E68E" w14:textId="7C6F9BB8" w:rsidR="00A0173F" w:rsidRPr="00A0173F" w:rsidRDefault="00A0173F" w:rsidP="00A0173F">
      <w:pPr>
        <w:spacing w:line="360" w:lineRule="auto"/>
        <w:ind w:right="332"/>
        <w:jc w:val="both"/>
        <w:rPr>
          <w:rFonts w:ascii="Century Gothic" w:hAnsi="Century Gothic" w:cs="Arial"/>
          <w:bCs/>
        </w:rPr>
      </w:pPr>
      <w:r w:rsidRPr="00A0173F">
        <w:rPr>
          <w:rFonts w:ascii="Century Gothic" w:hAnsi="Century Gothic" w:cs="Arial"/>
          <w:b/>
          <w:bCs/>
        </w:rPr>
        <w:t>A.</w:t>
      </w:r>
      <w:r>
        <w:rPr>
          <w:rFonts w:ascii="Century Gothic" w:hAnsi="Century Gothic" w:cs="Arial"/>
          <w:bCs/>
        </w:rPr>
        <w:t xml:space="preserve"> Respecto a la primer parte, s</w:t>
      </w:r>
      <w:r w:rsidRPr="00A0173F">
        <w:rPr>
          <w:rFonts w:ascii="Century Gothic" w:hAnsi="Century Gothic" w:cs="Arial"/>
          <w:bCs/>
        </w:rPr>
        <w:t xml:space="preserve">i queremos armonizar y adecuar nuestro lenguaje legislativo en armonía con lo estipulado en los artículos que tutelan los alimentos, enfatizando el contenido del numeral 280 del Código sustantivo civil, la tendencia que parecería lógica, sería incorporar la </w:t>
      </w:r>
      <w:r w:rsidRPr="00A0173F">
        <w:rPr>
          <w:rFonts w:ascii="Century Gothic" w:hAnsi="Century Gothic" w:cs="Arial"/>
          <w:bCs/>
          <w:i/>
        </w:rPr>
        <w:t>falta</w:t>
      </w:r>
      <w:r w:rsidRPr="00A0173F">
        <w:rPr>
          <w:rFonts w:ascii="Century Gothic" w:hAnsi="Century Gothic" w:cs="Arial"/>
          <w:bCs/>
        </w:rPr>
        <w:t xml:space="preserve">, sin embargo, como ya ha quedado de manifiesto, esta causal se puede dar por diversos factores. </w:t>
      </w:r>
    </w:p>
    <w:p w14:paraId="22D99BA5" w14:textId="77777777" w:rsidR="00A0173F" w:rsidRPr="00A0173F" w:rsidRDefault="00A0173F" w:rsidP="00A0173F">
      <w:pPr>
        <w:spacing w:line="360" w:lineRule="auto"/>
        <w:ind w:right="332"/>
        <w:jc w:val="both"/>
        <w:rPr>
          <w:rFonts w:ascii="Century Gothic" w:hAnsi="Century Gothic" w:cs="Arial"/>
          <w:bCs/>
        </w:rPr>
      </w:pPr>
    </w:p>
    <w:p w14:paraId="619F1B32" w14:textId="18B094CC" w:rsidR="00A0173F" w:rsidRPr="00A0173F" w:rsidRDefault="00A0173F" w:rsidP="00A0173F">
      <w:pPr>
        <w:spacing w:line="360" w:lineRule="auto"/>
        <w:ind w:right="332"/>
        <w:jc w:val="both"/>
        <w:rPr>
          <w:rFonts w:ascii="Century Gothic" w:hAnsi="Century Gothic" w:cs="Arial"/>
          <w:bCs/>
        </w:rPr>
      </w:pPr>
      <w:r w:rsidRPr="00A0173F">
        <w:rPr>
          <w:rFonts w:ascii="Century Gothic" w:hAnsi="Century Gothic" w:cs="Arial"/>
          <w:bCs/>
        </w:rPr>
        <w:t xml:space="preserve">Cierto es que parte de esos factores, como la muerte de alguna de las personas progenitoras o una desaparición forzada, traen el cese de la obligación alimentaria, activando otros dispositivos, como la subsidiariedad en </w:t>
      </w:r>
      <w:r w:rsidRPr="00A0173F">
        <w:rPr>
          <w:rFonts w:ascii="Century Gothic" w:hAnsi="Century Gothic" w:cs="Arial"/>
          <w:bCs/>
        </w:rPr>
        <w:lastRenderedPageBreak/>
        <w:t>grado de prelación o que el testador deje alimentos</w:t>
      </w:r>
      <w:r w:rsidRPr="00A0173F">
        <w:rPr>
          <w:rFonts w:ascii="Century Gothic" w:hAnsi="Century Gothic" w:cs="Arial"/>
          <w:bCs/>
          <w:vertAlign w:val="superscript"/>
        </w:rPr>
        <w:footnoteReference w:id="8"/>
      </w:r>
      <w:r w:rsidRPr="00A0173F">
        <w:rPr>
          <w:rFonts w:ascii="Century Gothic" w:hAnsi="Century Gothic" w:cs="Arial"/>
          <w:bCs/>
        </w:rPr>
        <w:t xml:space="preserve">; </w:t>
      </w:r>
      <w:r w:rsidR="00950879">
        <w:rPr>
          <w:rFonts w:ascii="Century Gothic" w:hAnsi="Century Gothic" w:cs="Arial"/>
          <w:bCs/>
        </w:rPr>
        <w:t xml:space="preserve">también, </w:t>
      </w:r>
      <w:r w:rsidRPr="00A0173F">
        <w:rPr>
          <w:rFonts w:ascii="Century Gothic" w:hAnsi="Century Gothic" w:cs="Arial"/>
          <w:bCs/>
        </w:rPr>
        <w:t xml:space="preserve">cierto es que, existe la posibilidad de que otras personas obligadas podrían estar ilocalizables porque no quieren cumplir con esta obligación. En este último caso, no tendría por qué cesar su obligación, sin embargo sí tendría qué activarse la obligación subsidiaria en orden de prelación. </w:t>
      </w:r>
    </w:p>
    <w:p w14:paraId="2FE34846" w14:textId="77777777" w:rsidR="00A0173F" w:rsidRPr="00A0173F" w:rsidRDefault="00A0173F" w:rsidP="00A0173F">
      <w:pPr>
        <w:spacing w:line="360" w:lineRule="auto"/>
        <w:ind w:right="332"/>
        <w:jc w:val="both"/>
        <w:rPr>
          <w:rFonts w:ascii="Century Gothic" w:hAnsi="Century Gothic" w:cs="Arial"/>
          <w:bCs/>
        </w:rPr>
      </w:pPr>
    </w:p>
    <w:p w14:paraId="3D58699D" w14:textId="77777777" w:rsidR="00A0173F" w:rsidRDefault="00A0173F" w:rsidP="00A0173F">
      <w:pPr>
        <w:spacing w:line="360" w:lineRule="auto"/>
        <w:ind w:right="332"/>
        <w:jc w:val="both"/>
        <w:rPr>
          <w:rFonts w:ascii="Century Gothic" w:hAnsi="Century Gothic" w:cs="Arial"/>
          <w:bCs/>
        </w:rPr>
      </w:pPr>
      <w:r w:rsidRPr="00A0173F">
        <w:rPr>
          <w:rFonts w:ascii="Century Gothic" w:hAnsi="Century Gothic" w:cs="Arial"/>
          <w:bCs/>
        </w:rPr>
        <w:t xml:space="preserve">Es por ello que no incorporamos la hipótesis </w:t>
      </w:r>
      <w:r w:rsidRPr="00A0173F">
        <w:rPr>
          <w:rFonts w:ascii="Century Gothic" w:hAnsi="Century Gothic" w:cs="Arial"/>
          <w:bCs/>
          <w:i/>
        </w:rPr>
        <w:t>falta</w:t>
      </w:r>
      <w:r w:rsidRPr="00A0173F">
        <w:rPr>
          <w:rFonts w:ascii="Century Gothic" w:hAnsi="Century Gothic" w:cs="Arial"/>
          <w:bCs/>
        </w:rPr>
        <w:t xml:space="preserve"> a las causales de cesación, aunado a que, como ya se mencionó, de la </w:t>
      </w:r>
      <w:r w:rsidRPr="003B2B39">
        <w:rPr>
          <w:rFonts w:ascii="Century Gothic" w:hAnsi="Century Gothic" w:cs="Arial"/>
          <w:bCs/>
          <w:i/>
        </w:rPr>
        <w:t>falta</w:t>
      </w:r>
      <w:r w:rsidRPr="00A0173F">
        <w:rPr>
          <w:rFonts w:ascii="Century Gothic" w:hAnsi="Century Gothic" w:cs="Arial"/>
          <w:bCs/>
        </w:rPr>
        <w:t xml:space="preserve"> se ocupan otros dispositivos que tutelan el derecho a los alimentos. </w:t>
      </w:r>
    </w:p>
    <w:p w14:paraId="447FCAED" w14:textId="77777777" w:rsidR="004A236A" w:rsidRDefault="004A236A" w:rsidP="00A0173F">
      <w:pPr>
        <w:spacing w:line="360" w:lineRule="auto"/>
        <w:ind w:right="332"/>
        <w:jc w:val="both"/>
        <w:rPr>
          <w:rFonts w:ascii="Century Gothic" w:hAnsi="Century Gothic" w:cs="Arial"/>
          <w:bCs/>
        </w:rPr>
      </w:pPr>
    </w:p>
    <w:p w14:paraId="7598CF12" w14:textId="72A949A4" w:rsidR="004A236A" w:rsidRDefault="004A236A" w:rsidP="00A0173F">
      <w:pPr>
        <w:spacing w:line="360" w:lineRule="auto"/>
        <w:ind w:right="332"/>
        <w:jc w:val="both"/>
        <w:rPr>
          <w:rFonts w:ascii="Century Gothic" w:hAnsi="Century Gothic" w:cs="Arial"/>
          <w:bCs/>
        </w:rPr>
      </w:pPr>
      <w:r>
        <w:rPr>
          <w:rFonts w:ascii="Century Gothic" w:hAnsi="Century Gothic" w:cs="Arial"/>
          <w:bCs/>
        </w:rPr>
        <w:t xml:space="preserve">En cambio, </w:t>
      </w:r>
      <w:r w:rsidR="003269F3">
        <w:rPr>
          <w:rFonts w:ascii="Century Gothic" w:hAnsi="Century Gothic" w:cs="Arial"/>
          <w:bCs/>
        </w:rPr>
        <w:t xml:space="preserve">consideramos oportuno incorporar la hipótesis </w:t>
      </w:r>
      <w:r w:rsidR="003269F3" w:rsidRPr="003B2B39">
        <w:rPr>
          <w:rFonts w:ascii="Century Gothic" w:hAnsi="Century Gothic" w:cs="Arial"/>
          <w:bCs/>
          <w:i/>
        </w:rPr>
        <w:t>imposibilidad</w:t>
      </w:r>
      <w:r w:rsidR="003269F3">
        <w:rPr>
          <w:rFonts w:ascii="Century Gothic" w:hAnsi="Century Gothic" w:cs="Arial"/>
          <w:bCs/>
        </w:rPr>
        <w:t xml:space="preserve">, </w:t>
      </w:r>
      <w:r w:rsidR="003B2B39">
        <w:rPr>
          <w:rFonts w:ascii="Century Gothic" w:hAnsi="Century Gothic" w:cs="Arial"/>
          <w:bCs/>
        </w:rPr>
        <w:t xml:space="preserve">como causal de cesación, es decir, para que se actualice esta </w:t>
      </w:r>
      <w:r w:rsidR="00EE3CAB">
        <w:rPr>
          <w:rFonts w:ascii="Century Gothic" w:hAnsi="Century Gothic" w:cs="Arial"/>
          <w:bCs/>
        </w:rPr>
        <w:t>fuente</w:t>
      </w:r>
      <w:r w:rsidR="003B2B39">
        <w:rPr>
          <w:rFonts w:ascii="Century Gothic" w:hAnsi="Century Gothic" w:cs="Arial"/>
          <w:bCs/>
        </w:rPr>
        <w:t xml:space="preserve">, debe existir esa carencia de bienes, impedimento absoluto o </w:t>
      </w:r>
      <w:r w:rsidR="003B2B39" w:rsidRPr="003B2B39">
        <w:rPr>
          <w:rFonts w:ascii="Century Gothic" w:hAnsi="Century Gothic" w:cs="Arial"/>
          <w:bCs/>
          <w:i/>
        </w:rPr>
        <w:t>cualesquier otro obstáculo justificado y de mucha entidad</w:t>
      </w:r>
      <w:r w:rsidR="003B2B39">
        <w:rPr>
          <w:rFonts w:ascii="Century Gothic" w:hAnsi="Century Gothic" w:cs="Arial"/>
          <w:bCs/>
        </w:rPr>
        <w:t xml:space="preserve"> que impida a las personas</w:t>
      </w:r>
      <w:r w:rsidR="003B2B39">
        <w:rPr>
          <w:rStyle w:val="Refdenotaalpie"/>
          <w:rFonts w:ascii="Century Gothic" w:hAnsi="Century Gothic" w:cs="Arial"/>
          <w:bCs/>
        </w:rPr>
        <w:footnoteReference w:id="9"/>
      </w:r>
      <w:r w:rsidR="003B2B39">
        <w:rPr>
          <w:rFonts w:ascii="Century Gothic" w:hAnsi="Century Gothic" w:cs="Arial"/>
          <w:bCs/>
        </w:rPr>
        <w:t xml:space="preserve"> </w:t>
      </w:r>
      <w:r w:rsidR="003B2B39" w:rsidRPr="003B2B39">
        <w:rPr>
          <w:rFonts w:ascii="Century Gothic" w:hAnsi="Century Gothic" w:cs="Arial"/>
          <w:bCs/>
          <w:i/>
        </w:rPr>
        <w:t>cumplir con la carga alimentaria</w:t>
      </w:r>
      <w:r w:rsidR="00EE3CAB">
        <w:rPr>
          <w:rFonts w:ascii="Century Gothic" w:hAnsi="Century Gothic" w:cs="Arial"/>
          <w:bCs/>
        </w:rPr>
        <w:t>,</w:t>
      </w:r>
      <w:r w:rsidR="003B2B39">
        <w:rPr>
          <w:rStyle w:val="Refdenotaalpie"/>
          <w:rFonts w:ascii="Century Gothic" w:hAnsi="Century Gothic" w:cs="Arial"/>
          <w:bCs/>
        </w:rPr>
        <w:footnoteReference w:id="10"/>
      </w:r>
      <w:r w:rsidR="00EE3CAB">
        <w:rPr>
          <w:rFonts w:ascii="Century Gothic" w:hAnsi="Century Gothic" w:cs="Arial"/>
          <w:bCs/>
        </w:rPr>
        <w:t xml:space="preserve"> y no una dificultad económica que puedan estar enfrentando las personas deudoras, ya que esta última circunstancia no extingue la obligación, pero si reduce el monto de los alimentos</w:t>
      </w:r>
      <w:r w:rsidR="00EE3CAB">
        <w:rPr>
          <w:rStyle w:val="Refdenotaalpie"/>
          <w:rFonts w:ascii="Century Gothic" w:hAnsi="Century Gothic" w:cs="Arial"/>
          <w:bCs/>
        </w:rPr>
        <w:footnoteReference w:id="11"/>
      </w:r>
      <w:r w:rsidR="00EE3CAB">
        <w:rPr>
          <w:rFonts w:ascii="Century Gothic" w:hAnsi="Century Gothic" w:cs="Arial"/>
          <w:bCs/>
        </w:rPr>
        <w:t xml:space="preserve">. </w:t>
      </w:r>
      <w:r w:rsidR="003B2B39">
        <w:rPr>
          <w:rFonts w:ascii="Century Gothic" w:hAnsi="Century Gothic" w:cs="Arial"/>
          <w:bCs/>
        </w:rPr>
        <w:t xml:space="preserve">   </w:t>
      </w:r>
    </w:p>
    <w:p w14:paraId="051E0FEE" w14:textId="77777777" w:rsidR="00EE3CAB" w:rsidRDefault="00EE3CAB" w:rsidP="00A0173F">
      <w:pPr>
        <w:spacing w:line="360" w:lineRule="auto"/>
        <w:ind w:right="332"/>
        <w:jc w:val="both"/>
        <w:rPr>
          <w:rFonts w:ascii="Century Gothic" w:hAnsi="Century Gothic" w:cs="Arial"/>
          <w:bCs/>
        </w:rPr>
      </w:pPr>
    </w:p>
    <w:p w14:paraId="40A50E21" w14:textId="0B6CA1E8" w:rsidR="00E15B2E" w:rsidRDefault="003B2B39" w:rsidP="002E0352">
      <w:pPr>
        <w:spacing w:line="360" w:lineRule="auto"/>
        <w:ind w:right="332"/>
        <w:jc w:val="both"/>
        <w:rPr>
          <w:rFonts w:ascii="Century Gothic" w:hAnsi="Century Gothic" w:cs="Arial"/>
          <w:bCs/>
        </w:rPr>
      </w:pPr>
      <w:r w:rsidRPr="00B772FF">
        <w:rPr>
          <w:rFonts w:ascii="Century Gothic" w:hAnsi="Century Gothic" w:cs="Arial"/>
          <w:b/>
          <w:bCs/>
        </w:rPr>
        <w:t>B.</w:t>
      </w:r>
      <w:r>
        <w:rPr>
          <w:rFonts w:ascii="Century Gothic" w:hAnsi="Century Gothic" w:cs="Arial"/>
          <w:bCs/>
        </w:rPr>
        <w:t xml:space="preserve"> Ahora bien, en cuanto al agregado</w:t>
      </w:r>
      <w:r w:rsidR="00B772FF">
        <w:rPr>
          <w:rFonts w:ascii="Century Gothic" w:hAnsi="Century Gothic" w:cs="Arial"/>
          <w:bCs/>
        </w:rPr>
        <w:t>:</w:t>
      </w:r>
      <w:r>
        <w:rPr>
          <w:rFonts w:ascii="Century Gothic" w:hAnsi="Century Gothic" w:cs="Arial"/>
          <w:bCs/>
        </w:rPr>
        <w:t xml:space="preserve"> </w:t>
      </w:r>
      <w:r w:rsidR="00B772FF" w:rsidRPr="00B772FF">
        <w:rPr>
          <w:rFonts w:ascii="Century Gothic" w:hAnsi="Century Gothic" w:cs="Arial"/>
          <w:bCs/>
        </w:rPr>
        <w:t>Mientras subsista la causa.</w:t>
      </w:r>
      <w:r w:rsidR="00B772FF">
        <w:rPr>
          <w:rFonts w:ascii="Century Gothic" w:hAnsi="Century Gothic" w:cs="Arial"/>
          <w:bCs/>
        </w:rPr>
        <w:t xml:space="preserve"> Consideramos que</w:t>
      </w:r>
      <w:r w:rsidR="00EE3CAB">
        <w:rPr>
          <w:rFonts w:ascii="Century Gothic" w:hAnsi="Century Gothic" w:cs="Arial"/>
          <w:bCs/>
        </w:rPr>
        <w:t xml:space="preserve"> aquellos motivos que generan la</w:t>
      </w:r>
      <w:r w:rsidR="00B772FF">
        <w:rPr>
          <w:rFonts w:ascii="Century Gothic" w:hAnsi="Century Gothic" w:cs="Arial"/>
          <w:bCs/>
        </w:rPr>
        <w:t xml:space="preserve"> imposibilidad </w:t>
      </w:r>
      <w:r w:rsidR="00EE3CAB">
        <w:rPr>
          <w:rFonts w:ascii="Century Gothic" w:hAnsi="Century Gothic" w:cs="Arial"/>
          <w:bCs/>
        </w:rPr>
        <w:t xml:space="preserve">de cumplir </w:t>
      </w:r>
      <w:r w:rsidR="00EE3CAB">
        <w:rPr>
          <w:rFonts w:ascii="Century Gothic" w:hAnsi="Century Gothic" w:cs="Arial"/>
          <w:bCs/>
        </w:rPr>
        <w:lastRenderedPageBreak/>
        <w:t xml:space="preserve">con la obligación alimentaria, en algunos casos, </w:t>
      </w:r>
      <w:r w:rsidR="00765493">
        <w:rPr>
          <w:rFonts w:ascii="Century Gothic" w:hAnsi="Century Gothic" w:cs="Arial"/>
          <w:bCs/>
        </w:rPr>
        <w:t>existe la posibilidad de</w:t>
      </w:r>
      <w:r w:rsidR="00EE3CAB">
        <w:rPr>
          <w:rFonts w:ascii="Century Gothic" w:hAnsi="Century Gothic" w:cs="Arial"/>
          <w:bCs/>
        </w:rPr>
        <w:t xml:space="preserve"> ser transitorios,</w:t>
      </w:r>
      <w:r w:rsidR="00E15B2E">
        <w:rPr>
          <w:rFonts w:ascii="Century Gothic" w:hAnsi="Century Gothic" w:cs="Arial"/>
          <w:bCs/>
        </w:rPr>
        <w:t xml:space="preserve"> y aquella carencia de bienes o impedimento absoluto, podrían dejar de serlo.</w:t>
      </w:r>
    </w:p>
    <w:p w14:paraId="260C2420" w14:textId="77777777" w:rsidR="00E15B2E" w:rsidRDefault="00E15B2E" w:rsidP="002E0352">
      <w:pPr>
        <w:spacing w:line="360" w:lineRule="auto"/>
        <w:ind w:right="332"/>
        <w:jc w:val="both"/>
        <w:rPr>
          <w:rFonts w:ascii="Century Gothic" w:hAnsi="Century Gothic" w:cs="Arial"/>
          <w:bCs/>
        </w:rPr>
      </w:pPr>
    </w:p>
    <w:p w14:paraId="0F031977" w14:textId="6E84B62B" w:rsidR="00750F23" w:rsidRDefault="00E15B2E" w:rsidP="002E0352">
      <w:pPr>
        <w:spacing w:line="360" w:lineRule="auto"/>
        <w:ind w:right="332"/>
        <w:jc w:val="both"/>
        <w:rPr>
          <w:rFonts w:ascii="Century Gothic" w:hAnsi="Century Gothic" w:cs="Arial"/>
          <w:bCs/>
        </w:rPr>
      </w:pPr>
      <w:r>
        <w:rPr>
          <w:rFonts w:ascii="Century Gothic" w:hAnsi="Century Gothic" w:cs="Arial"/>
          <w:bCs/>
        </w:rPr>
        <w:t xml:space="preserve">De ahí que queramos dejar abierta la posibilidad, de que la imposibilidad en algún momento pueda revertirse, y asuma nuevamente su obligación de proporcionar alimentos.  </w:t>
      </w:r>
      <w:r w:rsidR="00EE3CAB">
        <w:rPr>
          <w:rFonts w:ascii="Century Gothic" w:hAnsi="Century Gothic" w:cs="Arial"/>
          <w:bCs/>
        </w:rPr>
        <w:t xml:space="preserve">  </w:t>
      </w:r>
      <w:r w:rsidR="00B772FF">
        <w:rPr>
          <w:rFonts w:ascii="Century Gothic" w:hAnsi="Century Gothic" w:cs="Arial"/>
          <w:bCs/>
        </w:rPr>
        <w:t xml:space="preserve"> </w:t>
      </w:r>
    </w:p>
    <w:p w14:paraId="04F49578" w14:textId="77777777" w:rsidR="00750F23" w:rsidRDefault="00750F23" w:rsidP="002E0352">
      <w:pPr>
        <w:spacing w:line="360" w:lineRule="auto"/>
        <w:ind w:right="332"/>
        <w:jc w:val="both"/>
        <w:rPr>
          <w:rFonts w:ascii="Century Gothic" w:hAnsi="Century Gothic" w:cs="Arial"/>
          <w:bCs/>
        </w:rPr>
      </w:pPr>
    </w:p>
    <w:p w14:paraId="744D7BD1" w14:textId="7B5104C6" w:rsidR="00E15B2E" w:rsidRDefault="00E15B2E" w:rsidP="002E0352">
      <w:pPr>
        <w:spacing w:line="360" w:lineRule="auto"/>
        <w:ind w:right="332"/>
        <w:jc w:val="both"/>
        <w:rPr>
          <w:rFonts w:ascii="Century Gothic" w:hAnsi="Century Gothic" w:cs="Arial"/>
          <w:bCs/>
        </w:rPr>
      </w:pPr>
      <w:r>
        <w:rPr>
          <w:rFonts w:ascii="Century Gothic" w:hAnsi="Century Gothic" w:cs="Arial"/>
          <w:bCs/>
        </w:rPr>
        <w:t xml:space="preserve">La propuesta la podemos apreciar en el siguiente cuadro comparativo: </w:t>
      </w:r>
    </w:p>
    <w:p w14:paraId="4245656E" w14:textId="77777777" w:rsidR="00E15B2E" w:rsidRDefault="00E15B2E" w:rsidP="002E0352">
      <w:pPr>
        <w:spacing w:line="360" w:lineRule="auto"/>
        <w:ind w:right="332"/>
        <w:jc w:val="both"/>
        <w:rPr>
          <w:rFonts w:ascii="Century Gothic" w:hAnsi="Century Gothic" w:cs="Arial"/>
          <w:bCs/>
        </w:rPr>
      </w:pPr>
    </w:p>
    <w:tbl>
      <w:tblPr>
        <w:tblStyle w:val="Tablaconcuadrcula"/>
        <w:tblW w:w="0" w:type="auto"/>
        <w:tblLook w:val="04A0" w:firstRow="1" w:lastRow="0" w:firstColumn="1" w:lastColumn="0" w:noHBand="0" w:noVBand="1"/>
      </w:tblPr>
      <w:tblGrid>
        <w:gridCol w:w="3131"/>
        <w:gridCol w:w="3131"/>
        <w:gridCol w:w="3132"/>
      </w:tblGrid>
      <w:tr w:rsidR="00E15B2E" w14:paraId="4515A1F3" w14:textId="77777777" w:rsidTr="009D393F">
        <w:tc>
          <w:tcPr>
            <w:tcW w:w="9394" w:type="dxa"/>
            <w:gridSpan w:val="3"/>
          </w:tcPr>
          <w:p w14:paraId="4C14628D" w14:textId="58E0EEC7" w:rsidR="00E15B2E" w:rsidRDefault="00E15B2E" w:rsidP="00E15B2E">
            <w:pPr>
              <w:spacing w:line="360" w:lineRule="auto"/>
              <w:ind w:right="332"/>
              <w:jc w:val="center"/>
              <w:rPr>
                <w:rFonts w:ascii="Century Gothic" w:hAnsi="Century Gothic" w:cs="Arial"/>
                <w:bCs/>
              </w:rPr>
            </w:pPr>
            <w:r>
              <w:rPr>
                <w:rFonts w:ascii="Century Gothic" w:hAnsi="Century Gothic" w:cs="Arial"/>
                <w:bCs/>
              </w:rPr>
              <w:t>Código Civil del Estado de Chihuahua</w:t>
            </w:r>
          </w:p>
        </w:tc>
      </w:tr>
      <w:tr w:rsidR="00E15B2E" w14:paraId="53FD243A" w14:textId="77777777" w:rsidTr="00E15B2E">
        <w:tc>
          <w:tcPr>
            <w:tcW w:w="3131" w:type="dxa"/>
          </w:tcPr>
          <w:p w14:paraId="69F2C23D" w14:textId="3D1459DD" w:rsidR="00E15B2E" w:rsidRDefault="00E15B2E" w:rsidP="002E0352">
            <w:pPr>
              <w:spacing w:line="360" w:lineRule="auto"/>
              <w:ind w:right="332"/>
              <w:jc w:val="both"/>
              <w:rPr>
                <w:rFonts w:ascii="Century Gothic" w:hAnsi="Century Gothic" w:cs="Arial"/>
                <w:bCs/>
              </w:rPr>
            </w:pPr>
            <w:r>
              <w:rPr>
                <w:rFonts w:ascii="Century Gothic" w:hAnsi="Century Gothic" w:cs="Arial"/>
                <w:bCs/>
              </w:rPr>
              <w:t xml:space="preserve">Vigente </w:t>
            </w:r>
          </w:p>
        </w:tc>
        <w:tc>
          <w:tcPr>
            <w:tcW w:w="3131" w:type="dxa"/>
          </w:tcPr>
          <w:p w14:paraId="21128BA2" w14:textId="2F15985E" w:rsidR="00E15B2E" w:rsidRDefault="00E15B2E" w:rsidP="002E0352">
            <w:pPr>
              <w:spacing w:line="360" w:lineRule="auto"/>
              <w:ind w:right="332"/>
              <w:jc w:val="both"/>
              <w:rPr>
                <w:rFonts w:ascii="Century Gothic" w:hAnsi="Century Gothic" w:cs="Arial"/>
                <w:bCs/>
              </w:rPr>
            </w:pPr>
            <w:r>
              <w:rPr>
                <w:rFonts w:ascii="Century Gothic" w:hAnsi="Century Gothic" w:cs="Arial"/>
                <w:bCs/>
              </w:rPr>
              <w:t xml:space="preserve">Iniciativa </w:t>
            </w:r>
          </w:p>
        </w:tc>
        <w:tc>
          <w:tcPr>
            <w:tcW w:w="3132" w:type="dxa"/>
          </w:tcPr>
          <w:p w14:paraId="5F8387C9" w14:textId="42F2B9FB" w:rsidR="00E15B2E" w:rsidRDefault="00E15B2E" w:rsidP="002E0352">
            <w:pPr>
              <w:spacing w:line="360" w:lineRule="auto"/>
              <w:ind w:right="332"/>
              <w:jc w:val="both"/>
              <w:rPr>
                <w:rFonts w:ascii="Century Gothic" w:hAnsi="Century Gothic" w:cs="Arial"/>
                <w:bCs/>
              </w:rPr>
            </w:pPr>
            <w:r>
              <w:rPr>
                <w:rFonts w:ascii="Century Gothic" w:hAnsi="Century Gothic" w:cs="Arial"/>
                <w:bCs/>
              </w:rPr>
              <w:t xml:space="preserve">Dictamen </w:t>
            </w:r>
          </w:p>
        </w:tc>
      </w:tr>
      <w:tr w:rsidR="00E15B2E" w14:paraId="375D68B7" w14:textId="77777777" w:rsidTr="00E15B2E">
        <w:tc>
          <w:tcPr>
            <w:tcW w:w="3131" w:type="dxa"/>
          </w:tcPr>
          <w:p w14:paraId="22AF31FF" w14:textId="77777777" w:rsidR="00E15B2E" w:rsidRDefault="00E15B2E" w:rsidP="002E0352">
            <w:pPr>
              <w:spacing w:line="360" w:lineRule="auto"/>
              <w:ind w:right="332"/>
              <w:jc w:val="both"/>
              <w:rPr>
                <w:rFonts w:ascii="Century Gothic" w:hAnsi="Century Gothic" w:cs="Arial"/>
                <w:bCs/>
              </w:rPr>
            </w:pPr>
            <w:r w:rsidRPr="00E15B2E">
              <w:rPr>
                <w:rFonts w:ascii="Century Gothic" w:hAnsi="Century Gothic" w:cs="Arial"/>
                <w:bCs/>
              </w:rPr>
              <w:t xml:space="preserve">ARTÍCULO 297. Cesa la obligación de dar alimentos: </w:t>
            </w:r>
          </w:p>
          <w:p w14:paraId="37FE422C" w14:textId="77777777" w:rsidR="00E15B2E" w:rsidRDefault="00E15B2E" w:rsidP="002E0352">
            <w:pPr>
              <w:spacing w:line="360" w:lineRule="auto"/>
              <w:ind w:right="332"/>
              <w:jc w:val="both"/>
              <w:rPr>
                <w:rFonts w:ascii="Century Gothic" w:hAnsi="Century Gothic" w:cs="Arial"/>
                <w:bCs/>
              </w:rPr>
            </w:pPr>
          </w:p>
          <w:p w14:paraId="2F486B37" w14:textId="77777777" w:rsidR="00E15B2E" w:rsidRDefault="00E15B2E" w:rsidP="002E0352">
            <w:pPr>
              <w:spacing w:line="360" w:lineRule="auto"/>
              <w:ind w:right="332"/>
              <w:jc w:val="both"/>
              <w:rPr>
                <w:rFonts w:ascii="Century Gothic" w:hAnsi="Century Gothic" w:cs="Arial"/>
                <w:bCs/>
              </w:rPr>
            </w:pPr>
            <w:r w:rsidRPr="00E15B2E">
              <w:rPr>
                <w:rFonts w:ascii="Century Gothic" w:hAnsi="Century Gothic" w:cs="Arial"/>
                <w:bCs/>
              </w:rPr>
              <w:t>I. Cuando el que la tiene carece de medios para cumplirla;</w:t>
            </w:r>
          </w:p>
          <w:p w14:paraId="5001A2E5" w14:textId="77777777" w:rsidR="00E15B2E" w:rsidRDefault="00E15B2E" w:rsidP="002E0352">
            <w:pPr>
              <w:spacing w:line="360" w:lineRule="auto"/>
              <w:ind w:right="332"/>
              <w:jc w:val="both"/>
              <w:rPr>
                <w:rFonts w:ascii="Century Gothic" w:hAnsi="Century Gothic" w:cs="Arial"/>
                <w:bCs/>
              </w:rPr>
            </w:pPr>
          </w:p>
          <w:p w14:paraId="22A47D5A" w14:textId="77777777" w:rsidR="00E15B2E" w:rsidRDefault="00E15B2E" w:rsidP="002E0352">
            <w:pPr>
              <w:spacing w:line="360" w:lineRule="auto"/>
              <w:ind w:right="332"/>
              <w:jc w:val="both"/>
              <w:rPr>
                <w:rFonts w:ascii="Century Gothic" w:hAnsi="Century Gothic" w:cs="Arial"/>
                <w:bCs/>
              </w:rPr>
            </w:pPr>
          </w:p>
          <w:p w14:paraId="3163A8BA" w14:textId="18B0EB7B" w:rsidR="00E15B2E" w:rsidRDefault="00E15B2E" w:rsidP="002E0352">
            <w:pPr>
              <w:spacing w:line="360" w:lineRule="auto"/>
              <w:ind w:right="332"/>
              <w:jc w:val="both"/>
              <w:rPr>
                <w:rFonts w:ascii="Century Gothic" w:hAnsi="Century Gothic" w:cs="Arial"/>
                <w:bCs/>
              </w:rPr>
            </w:pPr>
            <w:r>
              <w:rPr>
                <w:rFonts w:ascii="Century Gothic" w:hAnsi="Century Gothic" w:cs="Arial"/>
                <w:bCs/>
              </w:rPr>
              <w:t>II. a V</w:t>
            </w:r>
            <w:proofErr w:type="gramStart"/>
            <w:r>
              <w:rPr>
                <w:rFonts w:ascii="Century Gothic" w:hAnsi="Century Gothic" w:cs="Arial"/>
                <w:bCs/>
              </w:rPr>
              <w:t>. …</w:t>
            </w:r>
            <w:proofErr w:type="gramEnd"/>
          </w:p>
        </w:tc>
        <w:tc>
          <w:tcPr>
            <w:tcW w:w="3131" w:type="dxa"/>
          </w:tcPr>
          <w:p w14:paraId="1BC4AB34" w14:textId="77777777" w:rsidR="00E15B2E" w:rsidRDefault="00E15B2E" w:rsidP="00E15B2E">
            <w:pPr>
              <w:spacing w:line="360" w:lineRule="auto"/>
              <w:ind w:right="332"/>
              <w:jc w:val="both"/>
              <w:rPr>
                <w:rFonts w:ascii="Century Gothic" w:hAnsi="Century Gothic" w:cs="Arial"/>
                <w:bCs/>
              </w:rPr>
            </w:pPr>
            <w:r w:rsidRPr="00E15B2E">
              <w:rPr>
                <w:rFonts w:ascii="Century Gothic" w:hAnsi="Century Gothic" w:cs="Arial"/>
                <w:bCs/>
              </w:rPr>
              <w:t xml:space="preserve">ARTÍCULO 297. Cesa la obligación de dar alimentos: </w:t>
            </w:r>
          </w:p>
          <w:p w14:paraId="303D6F7F" w14:textId="77777777" w:rsidR="00E15B2E" w:rsidRPr="00E15B2E" w:rsidRDefault="00E15B2E" w:rsidP="00E15B2E">
            <w:pPr>
              <w:spacing w:line="360" w:lineRule="auto"/>
              <w:ind w:right="332"/>
              <w:jc w:val="both"/>
              <w:rPr>
                <w:rFonts w:ascii="Century Gothic" w:hAnsi="Century Gothic" w:cs="Arial"/>
                <w:bCs/>
              </w:rPr>
            </w:pPr>
          </w:p>
          <w:p w14:paraId="62E89BA4" w14:textId="4E726744" w:rsidR="00E15B2E" w:rsidRDefault="00E15B2E" w:rsidP="00E15B2E">
            <w:pPr>
              <w:spacing w:line="360" w:lineRule="auto"/>
              <w:ind w:right="332"/>
              <w:jc w:val="both"/>
              <w:rPr>
                <w:rFonts w:ascii="Century Gothic" w:hAnsi="Century Gothic" w:cs="Arial"/>
                <w:bCs/>
              </w:rPr>
            </w:pPr>
            <w:r w:rsidRPr="00E15B2E">
              <w:rPr>
                <w:rFonts w:ascii="Century Gothic" w:hAnsi="Century Gothic" w:cs="Arial"/>
                <w:bCs/>
              </w:rPr>
              <w:t xml:space="preserve">I. </w:t>
            </w:r>
            <w:r>
              <w:rPr>
                <w:rFonts w:ascii="Century Gothic" w:hAnsi="Century Gothic" w:cs="Arial"/>
                <w:b/>
                <w:bCs/>
              </w:rPr>
              <w:t>Se deroga</w:t>
            </w:r>
            <w:r w:rsidRPr="00E15B2E">
              <w:rPr>
                <w:rFonts w:ascii="Century Gothic" w:hAnsi="Century Gothic" w:cs="Arial"/>
                <w:bCs/>
              </w:rPr>
              <w:t>;</w:t>
            </w:r>
          </w:p>
          <w:p w14:paraId="15F07C83" w14:textId="77777777" w:rsidR="00E15B2E" w:rsidRDefault="00E15B2E" w:rsidP="00E15B2E">
            <w:pPr>
              <w:spacing w:line="360" w:lineRule="auto"/>
              <w:ind w:right="332"/>
              <w:jc w:val="both"/>
              <w:rPr>
                <w:rFonts w:ascii="Century Gothic" w:hAnsi="Century Gothic" w:cs="Arial"/>
                <w:bCs/>
              </w:rPr>
            </w:pPr>
          </w:p>
          <w:p w14:paraId="45E57B24" w14:textId="77777777" w:rsidR="00E15B2E" w:rsidRDefault="00E15B2E" w:rsidP="00E15B2E">
            <w:pPr>
              <w:spacing w:line="360" w:lineRule="auto"/>
              <w:ind w:right="332"/>
              <w:jc w:val="both"/>
              <w:rPr>
                <w:rFonts w:ascii="Century Gothic" w:hAnsi="Century Gothic" w:cs="Arial"/>
                <w:bCs/>
              </w:rPr>
            </w:pPr>
          </w:p>
          <w:p w14:paraId="0FB1EDD8" w14:textId="77777777" w:rsidR="00E15B2E" w:rsidRDefault="00E15B2E" w:rsidP="00E15B2E">
            <w:pPr>
              <w:spacing w:line="360" w:lineRule="auto"/>
              <w:ind w:right="332"/>
              <w:jc w:val="both"/>
              <w:rPr>
                <w:rFonts w:ascii="Century Gothic" w:hAnsi="Century Gothic" w:cs="Arial"/>
                <w:bCs/>
              </w:rPr>
            </w:pPr>
          </w:p>
          <w:p w14:paraId="6829B227" w14:textId="77777777" w:rsidR="00E15B2E" w:rsidRDefault="00E15B2E" w:rsidP="00E15B2E">
            <w:pPr>
              <w:spacing w:line="360" w:lineRule="auto"/>
              <w:ind w:right="332"/>
              <w:jc w:val="both"/>
              <w:rPr>
                <w:rFonts w:ascii="Century Gothic" w:hAnsi="Century Gothic" w:cs="Arial"/>
                <w:bCs/>
              </w:rPr>
            </w:pPr>
          </w:p>
          <w:p w14:paraId="69D2FBAA" w14:textId="77777777" w:rsidR="00E15B2E" w:rsidRPr="00E15B2E" w:rsidRDefault="00E15B2E" w:rsidP="00E15B2E">
            <w:pPr>
              <w:spacing w:line="360" w:lineRule="auto"/>
              <w:ind w:right="332"/>
              <w:jc w:val="both"/>
              <w:rPr>
                <w:rFonts w:ascii="Century Gothic" w:hAnsi="Century Gothic" w:cs="Arial"/>
                <w:bCs/>
              </w:rPr>
            </w:pPr>
          </w:p>
          <w:p w14:paraId="574CB160" w14:textId="10A7D3CC" w:rsidR="00E15B2E" w:rsidRDefault="00E15B2E" w:rsidP="00E15B2E">
            <w:pPr>
              <w:spacing w:line="360" w:lineRule="auto"/>
              <w:ind w:right="332"/>
              <w:jc w:val="both"/>
              <w:rPr>
                <w:rFonts w:ascii="Century Gothic" w:hAnsi="Century Gothic" w:cs="Arial"/>
                <w:bCs/>
              </w:rPr>
            </w:pPr>
            <w:r w:rsidRPr="00E15B2E">
              <w:rPr>
                <w:rFonts w:ascii="Century Gothic" w:hAnsi="Century Gothic" w:cs="Arial"/>
                <w:bCs/>
              </w:rPr>
              <w:t>II. a V</w:t>
            </w:r>
            <w:proofErr w:type="gramStart"/>
            <w:r w:rsidRPr="00E15B2E">
              <w:rPr>
                <w:rFonts w:ascii="Century Gothic" w:hAnsi="Century Gothic" w:cs="Arial"/>
                <w:bCs/>
              </w:rPr>
              <w:t>. …</w:t>
            </w:r>
            <w:proofErr w:type="gramEnd"/>
          </w:p>
        </w:tc>
        <w:tc>
          <w:tcPr>
            <w:tcW w:w="3132" w:type="dxa"/>
          </w:tcPr>
          <w:p w14:paraId="55C03BF2" w14:textId="77777777" w:rsidR="00E15B2E" w:rsidRDefault="00E15B2E" w:rsidP="00E15B2E">
            <w:pPr>
              <w:spacing w:line="360" w:lineRule="auto"/>
              <w:ind w:right="332"/>
              <w:jc w:val="both"/>
              <w:rPr>
                <w:rFonts w:ascii="Century Gothic" w:hAnsi="Century Gothic" w:cs="Arial"/>
                <w:bCs/>
              </w:rPr>
            </w:pPr>
            <w:r w:rsidRPr="00E15B2E">
              <w:rPr>
                <w:rFonts w:ascii="Century Gothic" w:hAnsi="Century Gothic" w:cs="Arial"/>
                <w:bCs/>
              </w:rPr>
              <w:t xml:space="preserve">ARTÍCULO 297. Cesa la obligación de dar alimentos: </w:t>
            </w:r>
          </w:p>
          <w:p w14:paraId="0C847177" w14:textId="77777777" w:rsidR="00E15B2E" w:rsidRPr="00E15B2E" w:rsidRDefault="00E15B2E" w:rsidP="00E15B2E">
            <w:pPr>
              <w:spacing w:line="360" w:lineRule="auto"/>
              <w:ind w:right="332"/>
              <w:jc w:val="both"/>
              <w:rPr>
                <w:rFonts w:ascii="Century Gothic" w:hAnsi="Century Gothic" w:cs="Arial"/>
                <w:bCs/>
              </w:rPr>
            </w:pPr>
          </w:p>
          <w:p w14:paraId="282188A9" w14:textId="40B255CA" w:rsidR="00E15B2E" w:rsidRDefault="00E15B2E" w:rsidP="00E15B2E">
            <w:pPr>
              <w:spacing w:line="360" w:lineRule="auto"/>
              <w:ind w:right="332"/>
              <w:jc w:val="both"/>
              <w:rPr>
                <w:rFonts w:ascii="Century Gothic" w:hAnsi="Century Gothic" w:cs="Arial"/>
                <w:bCs/>
              </w:rPr>
            </w:pPr>
            <w:r w:rsidRPr="00E15B2E">
              <w:rPr>
                <w:rFonts w:ascii="Century Gothic" w:hAnsi="Century Gothic" w:cs="Arial"/>
                <w:bCs/>
              </w:rPr>
              <w:t xml:space="preserve">I. Cuando </w:t>
            </w:r>
            <w:r w:rsidRPr="00E15B2E">
              <w:rPr>
                <w:rFonts w:ascii="Century Gothic" w:hAnsi="Century Gothic" w:cs="Arial"/>
                <w:b/>
                <w:bCs/>
              </w:rPr>
              <w:t>quien</w:t>
            </w:r>
            <w:r w:rsidRPr="00E15B2E">
              <w:rPr>
                <w:rFonts w:ascii="Century Gothic" w:hAnsi="Century Gothic" w:cs="Arial"/>
                <w:bCs/>
              </w:rPr>
              <w:t xml:space="preserve"> la </w:t>
            </w:r>
            <w:r w:rsidRPr="00E15B2E">
              <w:rPr>
                <w:rFonts w:ascii="Century Gothic" w:hAnsi="Century Gothic" w:cs="Arial"/>
                <w:b/>
                <w:bCs/>
              </w:rPr>
              <w:t>tenga</w:t>
            </w:r>
            <w:r w:rsidRPr="00E15B2E">
              <w:rPr>
                <w:rFonts w:ascii="Century Gothic" w:hAnsi="Century Gothic" w:cs="Arial"/>
                <w:bCs/>
              </w:rPr>
              <w:t xml:space="preserve"> </w:t>
            </w:r>
            <w:r w:rsidRPr="00E15B2E">
              <w:rPr>
                <w:rFonts w:ascii="Century Gothic" w:hAnsi="Century Gothic" w:cs="Arial"/>
                <w:b/>
                <w:bCs/>
              </w:rPr>
              <w:t>se encuentre imposibilitada</w:t>
            </w:r>
            <w:r>
              <w:rPr>
                <w:rFonts w:ascii="Century Gothic" w:hAnsi="Century Gothic" w:cs="Arial"/>
                <w:b/>
                <w:bCs/>
              </w:rPr>
              <w:t xml:space="preserve"> </w:t>
            </w:r>
            <w:r>
              <w:rPr>
                <w:rFonts w:ascii="Century Gothic" w:hAnsi="Century Gothic" w:cs="Arial"/>
                <w:bCs/>
              </w:rPr>
              <w:t>para cumplirla</w:t>
            </w:r>
            <w:r w:rsidRPr="00E15B2E">
              <w:rPr>
                <w:rFonts w:ascii="Century Gothic" w:hAnsi="Century Gothic" w:cs="Arial"/>
                <w:b/>
                <w:bCs/>
              </w:rPr>
              <w:t>, mientras subsista la causa</w:t>
            </w:r>
            <w:r w:rsidRPr="00E15B2E">
              <w:rPr>
                <w:rFonts w:ascii="Century Gothic" w:hAnsi="Century Gothic" w:cs="Arial"/>
                <w:bCs/>
              </w:rPr>
              <w:t xml:space="preserve">. </w:t>
            </w:r>
          </w:p>
          <w:p w14:paraId="5A6B79BA" w14:textId="77777777" w:rsidR="00E15B2E" w:rsidRDefault="00E15B2E" w:rsidP="00E15B2E">
            <w:pPr>
              <w:spacing w:line="360" w:lineRule="auto"/>
              <w:ind w:right="332"/>
              <w:jc w:val="both"/>
              <w:rPr>
                <w:rFonts w:ascii="Century Gothic" w:hAnsi="Century Gothic" w:cs="Arial"/>
                <w:bCs/>
              </w:rPr>
            </w:pPr>
          </w:p>
          <w:p w14:paraId="343D867E" w14:textId="31232A6E" w:rsidR="00E15B2E" w:rsidRDefault="00E15B2E" w:rsidP="00E15B2E">
            <w:pPr>
              <w:spacing w:line="360" w:lineRule="auto"/>
              <w:ind w:right="332"/>
              <w:jc w:val="both"/>
              <w:rPr>
                <w:rFonts w:ascii="Century Gothic" w:hAnsi="Century Gothic" w:cs="Arial"/>
                <w:bCs/>
              </w:rPr>
            </w:pPr>
            <w:r>
              <w:rPr>
                <w:rFonts w:ascii="Century Gothic" w:hAnsi="Century Gothic" w:cs="Arial"/>
                <w:bCs/>
              </w:rPr>
              <w:t xml:space="preserve">II. </w:t>
            </w:r>
            <w:r w:rsidR="00056BA9">
              <w:rPr>
                <w:rFonts w:ascii="Century Gothic" w:hAnsi="Century Gothic" w:cs="Arial"/>
                <w:bCs/>
              </w:rPr>
              <w:t xml:space="preserve">a </w:t>
            </w:r>
            <w:r>
              <w:rPr>
                <w:rFonts w:ascii="Century Gothic" w:hAnsi="Century Gothic" w:cs="Arial"/>
                <w:bCs/>
              </w:rPr>
              <w:t>V</w:t>
            </w:r>
            <w:proofErr w:type="gramStart"/>
            <w:r>
              <w:rPr>
                <w:rFonts w:ascii="Century Gothic" w:hAnsi="Century Gothic" w:cs="Arial"/>
                <w:bCs/>
              </w:rPr>
              <w:t>. …</w:t>
            </w:r>
            <w:proofErr w:type="gramEnd"/>
          </w:p>
        </w:tc>
      </w:tr>
    </w:tbl>
    <w:p w14:paraId="5094AFB4" w14:textId="758C4327" w:rsidR="0035713A" w:rsidRPr="001C7F07" w:rsidRDefault="003167C5" w:rsidP="0035713A">
      <w:pPr>
        <w:spacing w:line="360" w:lineRule="auto"/>
        <w:ind w:right="335"/>
        <w:jc w:val="both"/>
        <w:rPr>
          <w:rFonts w:ascii="Century Gothic" w:hAnsi="Century Gothic" w:cs="Arial"/>
          <w:bCs/>
          <w:lang w:val="es-MX"/>
        </w:rPr>
      </w:pPr>
      <w:r>
        <w:rPr>
          <w:rFonts w:ascii="Century Gothic" w:hAnsi="Century Gothic" w:cs="Arial"/>
          <w:lang w:val="es-MX"/>
        </w:rPr>
        <w:t xml:space="preserve">  </w:t>
      </w:r>
      <w:r w:rsidR="00F92C06">
        <w:rPr>
          <w:rFonts w:ascii="Century Gothic" w:hAnsi="Century Gothic" w:cs="Arial"/>
          <w:lang w:val="es-MX"/>
        </w:rPr>
        <w:t xml:space="preserve"> </w:t>
      </w:r>
    </w:p>
    <w:p w14:paraId="5ABF3E16" w14:textId="1868996A" w:rsidR="0014239A" w:rsidRPr="0014239A" w:rsidRDefault="005525CC" w:rsidP="00316196">
      <w:pPr>
        <w:pStyle w:val="Textoindependiente"/>
        <w:spacing w:line="360" w:lineRule="auto"/>
        <w:rPr>
          <w:rFonts w:ascii="Century Gothic" w:hAnsi="Century Gothic" w:cs="Arial"/>
          <w:bCs/>
        </w:rPr>
      </w:pPr>
      <w:r>
        <w:rPr>
          <w:rFonts w:ascii="Century Gothic" w:hAnsi="Century Gothic" w:cs="Arial"/>
          <w:bCs/>
        </w:rPr>
        <w:lastRenderedPageBreak/>
        <w:t>E</w:t>
      </w:r>
      <w:r w:rsidR="00316196">
        <w:rPr>
          <w:rFonts w:ascii="Century Gothic" w:hAnsi="Century Gothic" w:cs="Arial"/>
          <w:bCs/>
        </w:rPr>
        <w:t xml:space="preserve">n base a todo lo expuesto, </w:t>
      </w:r>
      <w:r w:rsidR="0014239A" w:rsidRPr="0014239A">
        <w:rPr>
          <w:rFonts w:ascii="Century Gothic" w:hAnsi="Century Gothic" w:cs="Arial"/>
          <w:bCs/>
        </w:rPr>
        <w:t>la Comisión de Justicia, somete a la consideración del Pleno el siguiente proyecto de:</w:t>
      </w:r>
    </w:p>
    <w:p w14:paraId="75BDAE60" w14:textId="77777777" w:rsidR="0014239A" w:rsidRPr="00B2162D" w:rsidRDefault="0014239A" w:rsidP="0014239A">
      <w:pPr>
        <w:pStyle w:val="Normal1"/>
        <w:tabs>
          <w:tab w:val="left" w:pos="993"/>
        </w:tabs>
        <w:spacing w:line="360" w:lineRule="auto"/>
        <w:jc w:val="center"/>
        <w:rPr>
          <w:rFonts w:ascii="Century Gothic" w:eastAsia="Arial" w:hAnsi="Century Gothic" w:cs="Arial"/>
          <w:b/>
          <w:sz w:val="28"/>
          <w:szCs w:val="28"/>
        </w:rPr>
      </w:pPr>
    </w:p>
    <w:p w14:paraId="08D797A8" w14:textId="0BE6FAB6" w:rsidR="0014239A" w:rsidRPr="004162A0" w:rsidRDefault="00B141D5"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 xml:space="preserve">D E C R E T O </w:t>
      </w:r>
    </w:p>
    <w:p w14:paraId="7B3350AA" w14:textId="77777777" w:rsidR="002377E1" w:rsidRPr="00B2162D" w:rsidRDefault="002377E1" w:rsidP="002377E1">
      <w:pPr>
        <w:pStyle w:val="Normal1"/>
        <w:pBdr>
          <w:top w:val="nil"/>
          <w:left w:val="nil"/>
          <w:bottom w:val="nil"/>
          <w:right w:val="nil"/>
          <w:between w:val="nil"/>
        </w:pBdr>
        <w:spacing w:line="360" w:lineRule="auto"/>
        <w:rPr>
          <w:rFonts w:ascii="Century Gothic" w:eastAsia="Century Gothic" w:hAnsi="Century Gothic" w:cs="Century Gothic"/>
          <w:b/>
          <w:sz w:val="28"/>
          <w:szCs w:val="28"/>
        </w:rPr>
      </w:pPr>
    </w:p>
    <w:p w14:paraId="7AAA7F2B" w14:textId="5DE627B8" w:rsidR="002377E1" w:rsidRDefault="002377E1" w:rsidP="00B2162D">
      <w:pPr>
        <w:spacing w:line="360" w:lineRule="auto"/>
        <w:jc w:val="both"/>
        <w:rPr>
          <w:rFonts w:ascii="Century Gothic" w:hAnsi="Century Gothic"/>
        </w:rPr>
      </w:pPr>
      <w:r w:rsidRPr="00B2162D">
        <w:rPr>
          <w:rFonts w:ascii="Century Gothic" w:hAnsi="Century Gothic"/>
          <w:b/>
          <w:sz w:val="28"/>
          <w:szCs w:val="28"/>
        </w:rPr>
        <w:t>ARTÍCULO ÚNICO.-</w:t>
      </w:r>
      <w:r w:rsidRPr="00B2162D">
        <w:rPr>
          <w:rFonts w:ascii="Century Gothic" w:hAnsi="Century Gothic"/>
          <w:sz w:val="28"/>
          <w:szCs w:val="28"/>
        </w:rPr>
        <w:t xml:space="preserve"> </w:t>
      </w:r>
      <w:r w:rsidRPr="00F079DD">
        <w:rPr>
          <w:rFonts w:ascii="Century Gothic" w:hAnsi="Century Gothic"/>
        </w:rPr>
        <w:t xml:space="preserve">Se </w:t>
      </w:r>
      <w:r w:rsidR="00056BA9">
        <w:rPr>
          <w:rFonts w:ascii="Century Gothic" w:hAnsi="Century Gothic"/>
        </w:rPr>
        <w:t>reforma</w:t>
      </w:r>
      <w:r w:rsidR="00B2162D">
        <w:rPr>
          <w:rFonts w:ascii="Century Gothic" w:hAnsi="Century Gothic"/>
        </w:rPr>
        <w:t xml:space="preserve"> </w:t>
      </w:r>
      <w:r w:rsidR="00056BA9">
        <w:rPr>
          <w:rFonts w:ascii="Century Gothic" w:hAnsi="Century Gothic"/>
        </w:rPr>
        <w:t>el artículo 297, fracción I</w:t>
      </w:r>
      <w:r w:rsidR="00B2162D">
        <w:rPr>
          <w:rFonts w:ascii="Century Gothic" w:hAnsi="Century Gothic"/>
        </w:rPr>
        <w:t xml:space="preserve">; </w:t>
      </w:r>
      <w:r w:rsidR="00056BA9">
        <w:rPr>
          <w:rFonts w:ascii="Century Gothic" w:hAnsi="Century Gothic"/>
        </w:rPr>
        <w:t xml:space="preserve">del </w:t>
      </w:r>
      <w:r w:rsidR="00B2162D">
        <w:rPr>
          <w:rFonts w:ascii="Century Gothic" w:hAnsi="Century Gothic"/>
        </w:rPr>
        <w:t xml:space="preserve">Código </w:t>
      </w:r>
      <w:r w:rsidR="00056BA9">
        <w:rPr>
          <w:rFonts w:ascii="Century Gothic" w:hAnsi="Century Gothic"/>
        </w:rPr>
        <w:t>Civil del Estado de Chihuahua, para quedar redactado</w:t>
      </w:r>
      <w:r w:rsidR="00B2162D">
        <w:rPr>
          <w:rFonts w:ascii="Century Gothic" w:hAnsi="Century Gothic"/>
        </w:rPr>
        <w:t xml:space="preserve"> de la siguiente manera:</w:t>
      </w:r>
      <w:r w:rsidRPr="00F079DD">
        <w:rPr>
          <w:rFonts w:ascii="Century Gothic" w:hAnsi="Century Gothic"/>
        </w:rPr>
        <w:t xml:space="preserve"> </w:t>
      </w:r>
    </w:p>
    <w:p w14:paraId="2ACA9117" w14:textId="77777777" w:rsidR="00056BA9" w:rsidRDefault="00056BA9" w:rsidP="00B2162D">
      <w:pPr>
        <w:spacing w:line="360" w:lineRule="auto"/>
        <w:jc w:val="both"/>
        <w:rPr>
          <w:rFonts w:ascii="Century Gothic" w:hAnsi="Century Gothic"/>
        </w:rPr>
      </w:pPr>
    </w:p>
    <w:p w14:paraId="4AD6046C" w14:textId="6332C919" w:rsidR="00056BA9" w:rsidRPr="00056BA9" w:rsidRDefault="00056BA9" w:rsidP="00056BA9">
      <w:pPr>
        <w:spacing w:line="360" w:lineRule="auto"/>
        <w:jc w:val="both"/>
        <w:rPr>
          <w:rFonts w:ascii="Century Gothic" w:hAnsi="Century Gothic"/>
          <w:bCs/>
        </w:rPr>
      </w:pPr>
      <w:r w:rsidRPr="00056BA9">
        <w:rPr>
          <w:rFonts w:ascii="Century Gothic" w:hAnsi="Century Gothic"/>
          <w:b/>
          <w:bCs/>
        </w:rPr>
        <w:t>ARTÍCULO 297.</w:t>
      </w:r>
      <w:r w:rsidRPr="00056BA9">
        <w:rPr>
          <w:rFonts w:ascii="Century Gothic" w:hAnsi="Century Gothic"/>
          <w:bCs/>
        </w:rPr>
        <w:t xml:space="preserve"> </w:t>
      </w:r>
      <w:r w:rsidR="00FA5113">
        <w:rPr>
          <w:rFonts w:ascii="Century Gothic" w:hAnsi="Century Gothic"/>
          <w:bCs/>
        </w:rPr>
        <w:t>…</w:t>
      </w:r>
      <w:r w:rsidRPr="00056BA9">
        <w:rPr>
          <w:rFonts w:ascii="Century Gothic" w:hAnsi="Century Gothic"/>
          <w:bCs/>
        </w:rPr>
        <w:t xml:space="preserve"> </w:t>
      </w:r>
    </w:p>
    <w:p w14:paraId="0F746E64" w14:textId="77777777" w:rsidR="00056BA9" w:rsidRPr="00056BA9" w:rsidRDefault="00056BA9" w:rsidP="00056BA9">
      <w:pPr>
        <w:spacing w:line="360" w:lineRule="auto"/>
        <w:jc w:val="both"/>
        <w:rPr>
          <w:rFonts w:ascii="Century Gothic" w:hAnsi="Century Gothic"/>
          <w:bCs/>
        </w:rPr>
      </w:pPr>
      <w:bookmarkStart w:id="0" w:name="_GoBack"/>
      <w:bookmarkEnd w:id="0"/>
    </w:p>
    <w:p w14:paraId="00BBACED" w14:textId="77777777" w:rsidR="00056BA9" w:rsidRPr="00056BA9" w:rsidRDefault="00056BA9" w:rsidP="007C5D3A">
      <w:pPr>
        <w:spacing w:line="360" w:lineRule="auto"/>
        <w:ind w:left="993" w:hanging="284"/>
        <w:jc w:val="both"/>
        <w:rPr>
          <w:rFonts w:ascii="Century Gothic" w:hAnsi="Century Gothic"/>
          <w:bCs/>
        </w:rPr>
      </w:pPr>
      <w:r w:rsidRPr="00056BA9">
        <w:rPr>
          <w:rFonts w:ascii="Century Gothic" w:hAnsi="Century Gothic"/>
          <w:bCs/>
        </w:rPr>
        <w:t xml:space="preserve">I. Cuando </w:t>
      </w:r>
      <w:r w:rsidRPr="00056BA9">
        <w:rPr>
          <w:rFonts w:ascii="Century Gothic" w:hAnsi="Century Gothic"/>
          <w:b/>
          <w:bCs/>
        </w:rPr>
        <w:t>quien</w:t>
      </w:r>
      <w:r w:rsidRPr="00056BA9">
        <w:rPr>
          <w:rFonts w:ascii="Century Gothic" w:hAnsi="Century Gothic"/>
          <w:bCs/>
        </w:rPr>
        <w:t xml:space="preserve"> la </w:t>
      </w:r>
      <w:r w:rsidRPr="00056BA9">
        <w:rPr>
          <w:rFonts w:ascii="Century Gothic" w:hAnsi="Century Gothic"/>
          <w:b/>
          <w:bCs/>
        </w:rPr>
        <w:t>tenga</w:t>
      </w:r>
      <w:r w:rsidRPr="00056BA9">
        <w:rPr>
          <w:rFonts w:ascii="Century Gothic" w:hAnsi="Century Gothic"/>
          <w:bCs/>
        </w:rPr>
        <w:t xml:space="preserve"> </w:t>
      </w:r>
      <w:r w:rsidRPr="00056BA9">
        <w:rPr>
          <w:rFonts w:ascii="Century Gothic" w:hAnsi="Century Gothic"/>
          <w:b/>
          <w:bCs/>
        </w:rPr>
        <w:t xml:space="preserve">se encuentre imposibilitada </w:t>
      </w:r>
      <w:r w:rsidRPr="00056BA9">
        <w:rPr>
          <w:rFonts w:ascii="Century Gothic" w:hAnsi="Century Gothic"/>
          <w:bCs/>
        </w:rPr>
        <w:t>para cumplirla</w:t>
      </w:r>
      <w:r w:rsidRPr="00056BA9">
        <w:rPr>
          <w:rFonts w:ascii="Century Gothic" w:hAnsi="Century Gothic"/>
          <w:b/>
          <w:bCs/>
        </w:rPr>
        <w:t>, mientras subsista la causa</w:t>
      </w:r>
      <w:r w:rsidRPr="00056BA9">
        <w:rPr>
          <w:rFonts w:ascii="Century Gothic" w:hAnsi="Century Gothic"/>
          <w:bCs/>
        </w:rPr>
        <w:t xml:space="preserve">. </w:t>
      </w:r>
    </w:p>
    <w:p w14:paraId="3AE5B539" w14:textId="77777777" w:rsidR="00056BA9" w:rsidRPr="00056BA9" w:rsidRDefault="00056BA9" w:rsidP="007C5D3A">
      <w:pPr>
        <w:spacing w:line="360" w:lineRule="auto"/>
        <w:ind w:left="993" w:hanging="284"/>
        <w:jc w:val="both"/>
        <w:rPr>
          <w:rFonts w:ascii="Century Gothic" w:hAnsi="Century Gothic"/>
          <w:bCs/>
        </w:rPr>
      </w:pPr>
    </w:p>
    <w:p w14:paraId="382CE93C" w14:textId="2D1F7A0E" w:rsidR="00056BA9" w:rsidRDefault="00056BA9" w:rsidP="007C5D3A">
      <w:pPr>
        <w:spacing w:line="360" w:lineRule="auto"/>
        <w:ind w:left="993" w:hanging="284"/>
        <w:jc w:val="both"/>
        <w:rPr>
          <w:rFonts w:ascii="Century Gothic" w:hAnsi="Century Gothic"/>
        </w:rPr>
      </w:pPr>
      <w:r w:rsidRPr="00056BA9">
        <w:rPr>
          <w:rFonts w:ascii="Century Gothic" w:hAnsi="Century Gothic"/>
          <w:bCs/>
        </w:rPr>
        <w:t>II.</w:t>
      </w:r>
      <w:r>
        <w:rPr>
          <w:rFonts w:ascii="Century Gothic" w:hAnsi="Century Gothic"/>
          <w:bCs/>
        </w:rPr>
        <w:t xml:space="preserve"> a</w:t>
      </w:r>
      <w:r w:rsidRPr="00056BA9">
        <w:rPr>
          <w:rFonts w:ascii="Century Gothic" w:hAnsi="Century Gothic"/>
          <w:bCs/>
        </w:rPr>
        <w:t xml:space="preserve"> V</w:t>
      </w:r>
      <w:proofErr w:type="gramStart"/>
      <w:r w:rsidRPr="00056BA9">
        <w:rPr>
          <w:rFonts w:ascii="Century Gothic" w:hAnsi="Century Gothic"/>
          <w:bCs/>
        </w:rPr>
        <w:t>. …</w:t>
      </w:r>
      <w:proofErr w:type="gramEnd"/>
    </w:p>
    <w:p w14:paraId="447947B3" w14:textId="7BC06CA0" w:rsidR="00F7750D" w:rsidRDefault="00F7750D" w:rsidP="002377E1">
      <w:pPr>
        <w:spacing w:line="360" w:lineRule="auto"/>
        <w:jc w:val="both"/>
        <w:rPr>
          <w:rFonts w:ascii="Century Gothic" w:hAnsi="Century Gothic"/>
        </w:rPr>
      </w:pPr>
    </w:p>
    <w:p w14:paraId="198EAE5E" w14:textId="77777777" w:rsidR="00426195" w:rsidRDefault="00426195" w:rsidP="00426195">
      <w:pPr>
        <w:spacing w:line="360" w:lineRule="auto"/>
        <w:jc w:val="center"/>
        <w:rPr>
          <w:rFonts w:ascii="Century Gothic" w:hAnsi="Century Gothic"/>
          <w:b/>
          <w:sz w:val="28"/>
          <w:szCs w:val="28"/>
        </w:rPr>
      </w:pPr>
      <w:r w:rsidRPr="00D44852">
        <w:rPr>
          <w:rFonts w:ascii="Century Gothic" w:hAnsi="Century Gothic"/>
          <w:b/>
          <w:sz w:val="28"/>
          <w:szCs w:val="28"/>
        </w:rPr>
        <w:t>T R A N S I T O R I O</w:t>
      </w:r>
    </w:p>
    <w:p w14:paraId="11C418E1" w14:textId="77777777" w:rsidR="00426195" w:rsidRPr="001F3A0F" w:rsidRDefault="00426195" w:rsidP="00426195">
      <w:pPr>
        <w:spacing w:line="360" w:lineRule="auto"/>
        <w:jc w:val="center"/>
        <w:rPr>
          <w:rFonts w:ascii="Century Gothic" w:hAnsi="Century Gothic"/>
          <w:b/>
          <w:sz w:val="16"/>
          <w:szCs w:val="16"/>
        </w:rPr>
      </w:pPr>
    </w:p>
    <w:p w14:paraId="2AFB2337" w14:textId="77777777" w:rsidR="00426195" w:rsidRPr="00D44852" w:rsidRDefault="00426195" w:rsidP="00426195">
      <w:pPr>
        <w:spacing w:line="360" w:lineRule="auto"/>
        <w:jc w:val="both"/>
        <w:rPr>
          <w:rFonts w:ascii="Century Gothic" w:hAnsi="Century Gothic"/>
          <w:bCs/>
        </w:rPr>
      </w:pPr>
      <w:r>
        <w:rPr>
          <w:rFonts w:ascii="Century Gothic" w:hAnsi="Century Gothic"/>
          <w:b/>
          <w:sz w:val="28"/>
          <w:szCs w:val="28"/>
        </w:rPr>
        <w:t xml:space="preserve">ARTÍCULO ÚNICO.- </w:t>
      </w:r>
      <w:r>
        <w:rPr>
          <w:rFonts w:ascii="Century Gothic" w:hAnsi="Century Gothic"/>
          <w:bCs/>
        </w:rPr>
        <w:t xml:space="preserve">El presente decreto entrará en vigor al día siguiente de su publicación en el Periódico Oficial del Estado. </w:t>
      </w:r>
    </w:p>
    <w:p w14:paraId="059DE37E" w14:textId="77777777" w:rsidR="00AF74C6" w:rsidRDefault="00AF74C6" w:rsidP="0014239A">
      <w:pPr>
        <w:spacing w:line="360" w:lineRule="auto"/>
        <w:jc w:val="both"/>
        <w:rPr>
          <w:rFonts w:ascii="Century Gothic" w:hAnsi="Century Gothic" w:cs="Arial"/>
        </w:rPr>
      </w:pPr>
    </w:p>
    <w:p w14:paraId="2160654D" w14:textId="77777777" w:rsidR="0014239A" w:rsidRDefault="0014239A" w:rsidP="0014239A">
      <w:pPr>
        <w:spacing w:line="360" w:lineRule="auto"/>
        <w:jc w:val="both"/>
        <w:rPr>
          <w:rFonts w:ascii="Century Gothic" w:hAnsi="Century Gothic"/>
        </w:rPr>
      </w:pPr>
      <w:r w:rsidRPr="00135B1B">
        <w:rPr>
          <w:rFonts w:ascii="Century Gothic" w:hAnsi="Century Gothic"/>
          <w:b/>
        </w:rPr>
        <w:t>Económico.-</w:t>
      </w:r>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0A1AF845" w14:textId="77777777" w:rsidR="0014239A" w:rsidRPr="005C4A3E" w:rsidRDefault="0014239A" w:rsidP="0014239A">
      <w:pPr>
        <w:spacing w:line="360" w:lineRule="auto"/>
        <w:jc w:val="both"/>
        <w:rPr>
          <w:rFonts w:ascii="Century Gothic" w:hAnsi="Century Gothic" w:cs="Arial"/>
        </w:rPr>
      </w:pPr>
    </w:p>
    <w:p w14:paraId="47B31282" w14:textId="24431DE3" w:rsidR="0014239A" w:rsidRDefault="0014239A" w:rsidP="0014239A">
      <w:pPr>
        <w:spacing w:line="360" w:lineRule="auto"/>
        <w:jc w:val="both"/>
        <w:rPr>
          <w:rFonts w:ascii="Century Gothic" w:hAnsi="Century Gothic"/>
        </w:rPr>
      </w:pPr>
      <w:r w:rsidRPr="006618E1">
        <w:rPr>
          <w:rFonts w:ascii="Century Gothic" w:hAnsi="Century Gothic"/>
          <w:b/>
        </w:rPr>
        <w:lastRenderedPageBreak/>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DB3799">
        <w:rPr>
          <w:rFonts w:ascii="Century Gothic" w:hAnsi="Century Gothic"/>
        </w:rPr>
        <w:t>26</w:t>
      </w:r>
      <w:r w:rsidRPr="006618E1">
        <w:rPr>
          <w:rFonts w:ascii="Century Gothic" w:hAnsi="Century Gothic"/>
        </w:rPr>
        <w:t xml:space="preserve"> días del mes de </w:t>
      </w:r>
      <w:r w:rsidR="00DB3799">
        <w:rPr>
          <w:rFonts w:ascii="Century Gothic" w:hAnsi="Century Gothic"/>
        </w:rPr>
        <w:t>abril</w:t>
      </w:r>
      <w:r w:rsidRPr="006618E1">
        <w:rPr>
          <w:rFonts w:ascii="Century Gothic" w:hAnsi="Century Gothic"/>
        </w:rPr>
        <w:t xml:space="preserve"> del año </w:t>
      </w:r>
      <w:r>
        <w:rPr>
          <w:rFonts w:ascii="Century Gothic" w:hAnsi="Century Gothic"/>
        </w:rPr>
        <w:t>20</w:t>
      </w:r>
      <w:r w:rsidR="007F6482">
        <w:rPr>
          <w:rFonts w:ascii="Century Gothic" w:hAnsi="Century Gothic"/>
        </w:rPr>
        <w:t>22</w:t>
      </w:r>
      <w:r>
        <w:rPr>
          <w:rFonts w:ascii="Century Gothic" w:hAnsi="Century Gothic"/>
        </w:rPr>
        <w:t>.</w:t>
      </w:r>
    </w:p>
    <w:p w14:paraId="130EC3A7" w14:textId="77777777" w:rsidR="00116DFF" w:rsidRDefault="00116DFF" w:rsidP="0014239A">
      <w:pPr>
        <w:spacing w:line="360" w:lineRule="auto"/>
        <w:jc w:val="both"/>
        <w:rPr>
          <w:rFonts w:ascii="Century Gothic" w:hAnsi="Century Gothic"/>
        </w:rPr>
      </w:pPr>
    </w:p>
    <w:p w14:paraId="6A6F74EC" w14:textId="72E716EC" w:rsidR="00C52A9F" w:rsidRPr="00C52A9F" w:rsidRDefault="00C52A9F" w:rsidP="00C52A9F">
      <w:pPr>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 xml:space="preserve">Así lo aprobó la Comisión de Justicia, en la reunión de fecha </w:t>
      </w:r>
      <w:r w:rsidR="00DB3799">
        <w:rPr>
          <w:rFonts w:ascii="Century Gothic" w:eastAsia="Arial" w:hAnsi="Century Gothic" w:cs="Arial"/>
          <w:b/>
          <w:sz w:val="22"/>
          <w:szCs w:val="22"/>
          <w:lang w:val="es-MX" w:eastAsia="es-MX"/>
        </w:rPr>
        <w:t>22</w:t>
      </w:r>
      <w:r w:rsidRPr="00C52A9F">
        <w:rPr>
          <w:rFonts w:ascii="Century Gothic" w:eastAsia="Arial" w:hAnsi="Century Gothic" w:cs="Arial"/>
          <w:b/>
          <w:sz w:val="22"/>
          <w:szCs w:val="22"/>
          <w:lang w:val="es-MX" w:eastAsia="es-MX"/>
        </w:rPr>
        <w:t xml:space="preserve"> de </w:t>
      </w:r>
      <w:r w:rsidR="00DB3799">
        <w:rPr>
          <w:rFonts w:ascii="Century Gothic" w:eastAsia="Arial" w:hAnsi="Century Gothic" w:cs="Arial"/>
          <w:b/>
          <w:sz w:val="22"/>
          <w:szCs w:val="22"/>
          <w:lang w:val="es-MX" w:eastAsia="es-MX"/>
        </w:rPr>
        <w:t>abril</w:t>
      </w:r>
      <w:r w:rsidRPr="00C52A9F">
        <w:rPr>
          <w:rFonts w:ascii="Century Gothic" w:eastAsia="Arial" w:hAnsi="Century Gothic" w:cs="Arial"/>
          <w:b/>
          <w:sz w:val="22"/>
          <w:szCs w:val="22"/>
          <w:lang w:val="es-MX" w:eastAsia="es-MX"/>
        </w:rPr>
        <w:t xml:space="preserve"> del año </w:t>
      </w:r>
      <w:r>
        <w:rPr>
          <w:rFonts w:ascii="Century Gothic" w:eastAsia="Arial" w:hAnsi="Century Gothic" w:cs="Arial"/>
          <w:b/>
          <w:sz w:val="22"/>
          <w:szCs w:val="22"/>
          <w:lang w:val="es-MX" w:eastAsia="es-MX"/>
        </w:rPr>
        <w:t>202</w:t>
      </w:r>
      <w:r w:rsidR="00B3020A">
        <w:rPr>
          <w:rFonts w:ascii="Century Gothic" w:eastAsia="Arial" w:hAnsi="Century Gothic" w:cs="Arial"/>
          <w:b/>
          <w:sz w:val="22"/>
          <w:szCs w:val="22"/>
          <w:lang w:val="es-MX" w:eastAsia="es-MX"/>
        </w:rPr>
        <w:t>2</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anchor distT="0" distB="0" distL="114300" distR="114300" simplePos="0" relativeHeight="251659264" behindDoc="1" locked="0" layoutInCell="1" allowOverlap="1" wp14:anchorId="4B4D38CE" wp14:editId="3AA2EE65">
                  <wp:simplePos x="0" y="0"/>
                  <wp:positionH relativeFrom="column">
                    <wp:posOffset>20320</wp:posOffset>
                  </wp:positionH>
                  <wp:positionV relativeFrom="paragraph">
                    <wp:posOffset>37465</wp:posOffset>
                  </wp:positionV>
                  <wp:extent cx="932815" cy="114300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28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18F7BEF7" w14:textId="77777777" w:rsidR="00C52A9F" w:rsidRPr="00C52A9F" w:rsidRDefault="00C52A9F" w:rsidP="00C52A9F">
            <w:pPr>
              <w:ind w:left="284" w:hanging="284"/>
              <w:contextualSpacing/>
              <w:jc w:val="center"/>
              <w:rPr>
                <w:rFonts w:ascii="Century Gothic" w:hAnsi="Century Gothic" w:cs="Arial"/>
                <w:b/>
                <w:lang w:val="es-MX" w:eastAsia="es-MX"/>
              </w:rPr>
            </w:pPr>
            <w:r w:rsidRPr="00C52A9F">
              <w:rPr>
                <w:rFonts w:ascii="Century Gothic" w:hAnsi="Century Gothic" w:cs="Arial"/>
                <w:b/>
                <w:bCs/>
                <w:lang w:val="es-MX" w:eastAsia="es-MX"/>
              </w:rPr>
              <w:t>DIP. GEORGINA ALEJANDRA BUJANDA RÍOS</w:t>
            </w:r>
          </w:p>
          <w:p w14:paraId="7365C200"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PRESIDENTA</w:t>
            </w:r>
          </w:p>
          <w:p w14:paraId="21D063A7"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265CBC05">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lastRenderedPageBreak/>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7980F98E" w14:textId="2503320D" w:rsidR="00C52A9F" w:rsidRPr="002377E1" w:rsidRDefault="00C52A9F" w:rsidP="00116DFF">
      <w:pPr>
        <w:contextualSpacing/>
        <w:jc w:val="both"/>
        <w:rPr>
          <w:rFonts w:ascii="Century Gothic" w:hAnsi="Century Gothic"/>
        </w:rPr>
      </w:pPr>
      <w:r w:rsidRPr="00116DFF">
        <w:rPr>
          <w:rFonts w:ascii="Century Gothic" w:eastAsia="Arial" w:hAnsi="Century Gothic" w:cs="Arial"/>
          <w:sz w:val="18"/>
          <w:szCs w:val="20"/>
          <w:lang w:val="es-MX" w:eastAsia="es-MX"/>
        </w:rPr>
        <w:t xml:space="preserve">LA PRESENTE HOJA DE FIRMAS CORRESPONDE AL DICTAMEN RECAÍDO EN EL ASUNTO </w:t>
      </w:r>
      <w:r w:rsidR="00056BA9">
        <w:rPr>
          <w:rFonts w:ascii="Century Gothic" w:eastAsia="Arial" w:hAnsi="Century Gothic" w:cs="Arial"/>
          <w:sz w:val="18"/>
          <w:szCs w:val="20"/>
          <w:lang w:val="es-MX" w:eastAsia="es-MX"/>
        </w:rPr>
        <w:t>540</w:t>
      </w:r>
      <w:r w:rsidRPr="00116DFF">
        <w:rPr>
          <w:rFonts w:ascii="Century Gothic" w:eastAsia="Arial" w:hAnsi="Century Gothic" w:cs="Arial"/>
          <w:sz w:val="18"/>
          <w:szCs w:val="20"/>
          <w:lang w:val="es-MX" w:eastAsia="es-MX"/>
        </w:rPr>
        <w:t>, DE LA COMISIÓN DE JUSTICIA.</w:t>
      </w:r>
    </w:p>
    <w:sectPr w:rsidR="00C52A9F" w:rsidRPr="002377E1" w:rsidSect="007422ED">
      <w:headerReference w:type="default" r:id="rId15"/>
      <w:footerReference w:type="even" r:id="rId16"/>
      <w:footerReference w:type="default" r:id="rId17"/>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E6866" w14:textId="77777777" w:rsidR="00A0173F" w:rsidRDefault="00A0173F" w:rsidP="00331CBA">
      <w:r>
        <w:separator/>
      </w:r>
    </w:p>
  </w:endnote>
  <w:endnote w:type="continuationSeparator" w:id="0">
    <w:p w14:paraId="38D33DB2" w14:textId="77777777" w:rsidR="00A0173F" w:rsidRDefault="00A0173F"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4095" w14:textId="77777777" w:rsidR="00A0173F" w:rsidRDefault="00A0173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A0173F" w:rsidRDefault="00A017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007"/>
      <w:docPartObj>
        <w:docPartGallery w:val="Page Numbers (Bottom of Page)"/>
        <w:docPartUnique/>
      </w:docPartObj>
    </w:sdtPr>
    <w:sdtEndPr/>
    <w:sdtContent>
      <w:p w14:paraId="56F04F2D" w14:textId="77777777" w:rsidR="00A0173F" w:rsidRDefault="00A0173F">
        <w:pPr>
          <w:pStyle w:val="Piedepgina"/>
          <w:jc w:val="right"/>
        </w:pPr>
        <w:r>
          <w:rPr>
            <w:noProof/>
          </w:rPr>
          <w:fldChar w:fldCharType="begin"/>
        </w:r>
        <w:r>
          <w:rPr>
            <w:noProof/>
          </w:rPr>
          <w:instrText xml:space="preserve"> PAGE   \* MERGEFORMAT </w:instrText>
        </w:r>
        <w:r>
          <w:rPr>
            <w:noProof/>
          </w:rPr>
          <w:fldChar w:fldCharType="separate"/>
        </w:r>
        <w:r w:rsidR="00FA5113">
          <w:rPr>
            <w:noProof/>
          </w:rPr>
          <w:t>21</w:t>
        </w:r>
        <w:r>
          <w:rPr>
            <w:noProof/>
          </w:rPr>
          <w:fldChar w:fldCharType="end"/>
        </w:r>
      </w:p>
    </w:sdtContent>
  </w:sdt>
  <w:p w14:paraId="5C1A4E08" w14:textId="600ED6E2" w:rsidR="00A0173F" w:rsidRPr="00FC48FC" w:rsidRDefault="00A0173F" w:rsidP="00356B4E">
    <w:pPr>
      <w:pStyle w:val="Piedepgina"/>
      <w:tabs>
        <w:tab w:val="center" w:pos="4986"/>
        <w:tab w:val="left" w:pos="7185"/>
      </w:tabs>
      <w:rPr>
        <w:lang w:val="en-US"/>
      </w:rPr>
    </w:pPr>
    <w:r>
      <w:rPr>
        <w:rFonts w:ascii="Arial" w:hAnsi="Arial" w:cs="Arial"/>
        <w:sz w:val="16"/>
        <w:szCs w:val="16"/>
        <w:lang w:val="en-US"/>
      </w:rPr>
      <w:t>A540 /ERS/GAOR/RMO/GTN</w:t>
    </w:r>
  </w:p>
  <w:p w14:paraId="78307D31" w14:textId="77777777" w:rsidR="00A0173F" w:rsidRPr="00FC48FC" w:rsidRDefault="00A0173F"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FD067" w14:textId="77777777" w:rsidR="00A0173F" w:rsidRDefault="00A0173F" w:rsidP="00331CBA">
      <w:r>
        <w:separator/>
      </w:r>
    </w:p>
  </w:footnote>
  <w:footnote w:type="continuationSeparator" w:id="0">
    <w:p w14:paraId="2360D840" w14:textId="77777777" w:rsidR="00A0173F" w:rsidRDefault="00A0173F" w:rsidP="00331CBA">
      <w:r>
        <w:continuationSeparator/>
      </w:r>
    </w:p>
  </w:footnote>
  <w:footnote w:id="1">
    <w:p w14:paraId="29E81062" w14:textId="77777777" w:rsidR="00A0173F" w:rsidRDefault="00A0173F" w:rsidP="009E46FF">
      <w:pPr>
        <w:pStyle w:val="Textonotapie"/>
      </w:pPr>
      <w:r>
        <w:rPr>
          <w:rStyle w:val="Refdenotaalpie"/>
        </w:rPr>
        <w:footnoteRef/>
      </w:r>
      <w:r>
        <w:t xml:space="preserve"> Constitución Política de los Estados Unidos Mexicanos en el artículo 4°</w:t>
      </w:r>
    </w:p>
  </w:footnote>
  <w:footnote w:id="2">
    <w:p w14:paraId="46C953E5" w14:textId="77777777" w:rsidR="00A0173F" w:rsidRDefault="00A0173F" w:rsidP="00BC74F8">
      <w:pPr>
        <w:pStyle w:val="Textonotapie"/>
        <w:jc w:val="both"/>
      </w:pPr>
      <w:r>
        <w:rPr>
          <w:rStyle w:val="Refdenotaalpie"/>
        </w:rPr>
        <w:footnoteRef/>
      </w:r>
      <w:r>
        <w:t xml:space="preserve"> </w:t>
      </w:r>
      <w:r w:rsidRPr="00321079">
        <w:t>https://www.cndh.org.mx/sites/default/files/doc/Programas/Ninez_familia/Material/cuadri_interes_superior_NNA.pdf</w:t>
      </w:r>
    </w:p>
  </w:footnote>
  <w:footnote w:id="3">
    <w:p w14:paraId="54C3028E" w14:textId="50E19E71" w:rsidR="00A0173F" w:rsidRPr="005650E4" w:rsidRDefault="00A0173F" w:rsidP="00BC74F8">
      <w:pPr>
        <w:pStyle w:val="Textonotapie"/>
        <w:jc w:val="both"/>
        <w:rPr>
          <w:b/>
          <w:lang w:val="es-ES_tradnl"/>
        </w:rPr>
      </w:pPr>
      <w:r>
        <w:rPr>
          <w:rStyle w:val="Refdenotaalpie"/>
        </w:rPr>
        <w:footnoteRef/>
      </w:r>
      <w:r>
        <w:t xml:space="preserve"> </w:t>
      </w:r>
      <w:r>
        <w:rPr>
          <w:lang w:val="es-MX"/>
        </w:rPr>
        <w:t xml:space="preserve">Amparo Directo en Revisión 468/2015. </w:t>
      </w:r>
      <w:r>
        <w:rPr>
          <w:lang w:val="es-ES_tradnl"/>
        </w:rPr>
        <w:t>VI. Consideraciones y</w:t>
      </w:r>
      <w:r w:rsidRPr="00085038">
        <w:rPr>
          <w:lang w:val="es-ES_tradnl"/>
        </w:rPr>
        <w:t xml:space="preserve"> Fundamentos</w:t>
      </w:r>
      <w:r>
        <w:rPr>
          <w:lang w:val="es-ES_tradnl"/>
        </w:rPr>
        <w:t>. párrafo 32.</w:t>
      </w:r>
    </w:p>
  </w:footnote>
  <w:footnote w:id="4">
    <w:p w14:paraId="2667DFEA" w14:textId="1E8FE46F" w:rsidR="00A0173F" w:rsidRPr="005650E4" w:rsidRDefault="00A0173F" w:rsidP="00BC74F8">
      <w:pPr>
        <w:pStyle w:val="Textonotapie"/>
        <w:jc w:val="both"/>
        <w:rPr>
          <w:lang w:val="es-MX"/>
        </w:rPr>
      </w:pPr>
      <w:r>
        <w:rPr>
          <w:rStyle w:val="Refdenotaalpie"/>
        </w:rPr>
        <w:footnoteRef/>
      </w:r>
      <w:r>
        <w:t xml:space="preserve"> Ídem. párrafo 33</w:t>
      </w:r>
    </w:p>
  </w:footnote>
  <w:footnote w:id="5">
    <w:p w14:paraId="2B2983AA" w14:textId="404AB361" w:rsidR="00A0173F" w:rsidRPr="007E2B04" w:rsidRDefault="00A0173F" w:rsidP="00BC74F8">
      <w:pPr>
        <w:pStyle w:val="Textonotapie"/>
        <w:jc w:val="both"/>
        <w:rPr>
          <w:lang w:val="es-MX"/>
        </w:rPr>
      </w:pPr>
      <w:r>
        <w:rPr>
          <w:rStyle w:val="Refdenotaalpie"/>
        </w:rPr>
        <w:footnoteRef/>
      </w:r>
      <w:r>
        <w:t xml:space="preserve"> </w:t>
      </w:r>
      <w:r>
        <w:rPr>
          <w:lang w:val="es-MX"/>
        </w:rPr>
        <w:t>Ídem párrafo 65</w:t>
      </w:r>
    </w:p>
  </w:footnote>
  <w:footnote w:id="6">
    <w:p w14:paraId="2025F7F1" w14:textId="4636277F" w:rsidR="00A0173F" w:rsidRPr="007E2B04" w:rsidRDefault="00A0173F" w:rsidP="00BC74F8">
      <w:pPr>
        <w:pStyle w:val="Textonotapie"/>
        <w:jc w:val="both"/>
        <w:rPr>
          <w:lang w:val="es-MX"/>
        </w:rPr>
      </w:pPr>
      <w:r>
        <w:rPr>
          <w:rStyle w:val="Refdenotaalpie"/>
        </w:rPr>
        <w:footnoteRef/>
      </w:r>
      <w:r>
        <w:t xml:space="preserve"> </w:t>
      </w:r>
      <w:r>
        <w:rPr>
          <w:lang w:val="es-MX"/>
        </w:rPr>
        <w:t>Ídem párrafo 68</w:t>
      </w:r>
    </w:p>
  </w:footnote>
  <w:footnote w:id="7">
    <w:p w14:paraId="4FE55969" w14:textId="1F5F6EC2" w:rsidR="00A0173F" w:rsidRPr="00537559" w:rsidRDefault="00A0173F" w:rsidP="00BC74F8">
      <w:pPr>
        <w:pStyle w:val="Textonotapie"/>
        <w:jc w:val="both"/>
        <w:rPr>
          <w:b/>
          <w:bCs/>
          <w:lang w:val="es-MX"/>
        </w:rPr>
      </w:pPr>
      <w:r>
        <w:rPr>
          <w:rStyle w:val="Refdenotaalpie"/>
        </w:rPr>
        <w:footnoteRef/>
      </w:r>
      <w:r>
        <w:t xml:space="preserve"> </w:t>
      </w:r>
      <w:r>
        <w:rPr>
          <w:lang w:val="es-MX"/>
        </w:rPr>
        <w:t>Ídem párrafo 76. “</w:t>
      </w:r>
      <w:r w:rsidRPr="00537559">
        <w:rPr>
          <w:i/>
          <w:lang w:val="es-MX"/>
        </w:rPr>
        <w:t xml:space="preserve">…las dificultades económicas o materiales que puedan enfrentar los deudores alimentarios reducen el monto de los alimentos, mas no extinguen la obligación. </w:t>
      </w:r>
      <w:r w:rsidRPr="00537559">
        <w:rPr>
          <w:bCs/>
          <w:i/>
          <w:lang w:val="es-MX"/>
        </w:rPr>
        <w:t>De modo que mientras no se actualicen los supuestos normativos de cesación o extinción de la obligación alimentaria previstos en la ley, los titulares de la misma siguen estando obligados al pago de alimentos para sus acreedores, así sea que por el principio de proporcionalidad se module de forma importante la cantidad o porcentaje exigidos.</w:t>
      </w:r>
      <w:r>
        <w:rPr>
          <w:b/>
          <w:bCs/>
          <w:lang w:val="es-MX"/>
        </w:rPr>
        <w:t>”</w:t>
      </w:r>
    </w:p>
    <w:p w14:paraId="791DEA37" w14:textId="553E3E35" w:rsidR="00A0173F" w:rsidRPr="00537559" w:rsidRDefault="00A0173F" w:rsidP="00BC74F8">
      <w:pPr>
        <w:pStyle w:val="Textonotapie"/>
        <w:jc w:val="both"/>
        <w:rPr>
          <w:lang w:val="es-MX"/>
        </w:rPr>
      </w:pPr>
    </w:p>
  </w:footnote>
  <w:footnote w:id="8">
    <w:p w14:paraId="2643E0A6" w14:textId="7E4900EA" w:rsidR="00A0173F" w:rsidRPr="003B2B39" w:rsidRDefault="00A0173F" w:rsidP="00BC74F8">
      <w:pPr>
        <w:pStyle w:val="Textonotapie"/>
        <w:jc w:val="both"/>
        <w:rPr>
          <w:bCs/>
        </w:rPr>
      </w:pPr>
      <w:r>
        <w:rPr>
          <w:rStyle w:val="Refdenotaalpie"/>
        </w:rPr>
        <w:footnoteRef/>
      </w:r>
      <w:r>
        <w:t xml:space="preserve"> </w:t>
      </w:r>
      <w:r w:rsidRPr="00163502">
        <w:rPr>
          <w:i/>
          <w:lang w:val="es-MX"/>
        </w:rPr>
        <w:t>Vid</w:t>
      </w:r>
      <w:r>
        <w:rPr>
          <w:lang w:val="es-MX"/>
        </w:rPr>
        <w:t xml:space="preserve">. Código Civil del Estado de Chihuahua. </w:t>
      </w:r>
      <w:r w:rsidRPr="00163502">
        <w:rPr>
          <w:bCs/>
        </w:rPr>
        <w:t>Artículo 1272.</w:t>
      </w:r>
      <w:r w:rsidRPr="00163502">
        <w:rPr>
          <w:bCs/>
          <w:i/>
        </w:rPr>
        <w:t xml:space="preserve"> Toda persona tiene derecho de disponer libremente de sus bienes por testamento, a título de herencia o legado; pero el testador está obligado a dejar alimentos a las personas a quienes les corresponda conforme a la ley.</w:t>
      </w:r>
    </w:p>
  </w:footnote>
  <w:footnote w:id="9">
    <w:p w14:paraId="7DF8B445" w14:textId="7357D33C" w:rsidR="003B2B39" w:rsidRPr="003B2B39" w:rsidRDefault="003B2B39" w:rsidP="00BC74F8">
      <w:pPr>
        <w:pStyle w:val="Textonotapie"/>
        <w:jc w:val="both"/>
        <w:rPr>
          <w:lang w:val="es-MX"/>
        </w:rPr>
      </w:pPr>
      <w:r>
        <w:rPr>
          <w:rStyle w:val="Refdenotaalpie"/>
        </w:rPr>
        <w:footnoteRef/>
      </w:r>
      <w:r>
        <w:t xml:space="preserve"> </w:t>
      </w:r>
      <w:r>
        <w:rPr>
          <w:lang w:val="es-MX"/>
        </w:rPr>
        <w:t xml:space="preserve">Ya sean obligadas primarias por su carácter de progenitoras o subsidiarias como </w:t>
      </w:r>
      <w:r w:rsidRPr="003B2B39">
        <w:t>ascendientes</w:t>
      </w:r>
      <w:r>
        <w:t xml:space="preserve"> en orden de prelación. </w:t>
      </w:r>
    </w:p>
  </w:footnote>
  <w:footnote w:id="10">
    <w:p w14:paraId="6B08C54B" w14:textId="12345FB9" w:rsidR="003B2B39" w:rsidRPr="003B2B39" w:rsidRDefault="003B2B39" w:rsidP="00BC74F8">
      <w:pPr>
        <w:pStyle w:val="Textonotapie"/>
        <w:jc w:val="both"/>
        <w:rPr>
          <w:lang w:val="es-MX"/>
        </w:rPr>
      </w:pPr>
      <w:r>
        <w:rPr>
          <w:rStyle w:val="Refdenotaalpie"/>
        </w:rPr>
        <w:footnoteRef/>
      </w:r>
      <w:r>
        <w:t xml:space="preserve"> </w:t>
      </w:r>
      <w:r w:rsidRPr="003B2B39">
        <w:rPr>
          <w:lang w:val="es-MX"/>
        </w:rPr>
        <w:t xml:space="preserve">Amparo Directo en Revisión 468/2015. </w:t>
      </w:r>
      <w:r w:rsidRPr="003B2B39">
        <w:rPr>
          <w:lang w:val="es-ES_tradnl"/>
        </w:rPr>
        <w:t xml:space="preserve">VI. Consideraciones y Fundamentos. </w:t>
      </w:r>
      <w:r>
        <w:rPr>
          <w:lang w:val="es-ES_tradnl"/>
        </w:rPr>
        <w:t>párrafo 68</w:t>
      </w:r>
      <w:r w:rsidRPr="003B2B39">
        <w:rPr>
          <w:lang w:val="es-ES_tradnl"/>
        </w:rPr>
        <w:t>.</w:t>
      </w:r>
    </w:p>
  </w:footnote>
  <w:footnote w:id="11">
    <w:p w14:paraId="4896199B" w14:textId="77777777" w:rsidR="00EE3CAB" w:rsidRPr="00EE3CAB" w:rsidRDefault="00EE3CAB" w:rsidP="00BC74F8">
      <w:pPr>
        <w:pStyle w:val="Textonotapie"/>
        <w:jc w:val="both"/>
        <w:rPr>
          <w:lang w:val="es-MX"/>
        </w:rPr>
      </w:pPr>
      <w:r>
        <w:rPr>
          <w:rStyle w:val="Refdenotaalpie"/>
        </w:rPr>
        <w:footnoteRef/>
      </w:r>
      <w:r>
        <w:t xml:space="preserve"> </w:t>
      </w:r>
      <w:r>
        <w:rPr>
          <w:lang w:val="es-MX"/>
        </w:rPr>
        <w:t xml:space="preserve">Ídem. párrafo 76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9324" w14:textId="77777777" w:rsidR="00A0173F" w:rsidRPr="00A739FE" w:rsidRDefault="00A0173F"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14:paraId="55BBAFCF" w14:textId="77777777" w:rsidR="00A0173F" w:rsidRPr="00450450" w:rsidRDefault="00A0173F" w:rsidP="007C6780">
    <w:pPr>
      <w:pStyle w:val="Encabezado"/>
      <w:jc w:val="center"/>
      <w:rPr>
        <w:rFonts w:ascii="Arial" w:hAnsi="Arial" w:cs="Arial"/>
        <w:b/>
        <w:sz w:val="20"/>
        <w:szCs w:val="20"/>
      </w:rPr>
    </w:pPr>
  </w:p>
  <w:p w14:paraId="1C5468F9" w14:textId="77777777" w:rsidR="00A0173F" w:rsidRPr="0091427A" w:rsidRDefault="00A0173F"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A0173F" w:rsidRPr="0091427A" w:rsidRDefault="00A0173F"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A0173F" w:rsidRDefault="00A0173F" w:rsidP="007C6780">
    <w:pPr>
      <w:pStyle w:val="Encabezado"/>
      <w:jc w:val="right"/>
      <w:rPr>
        <w:rFonts w:ascii="Century Gothic" w:hAnsi="Century Gothic"/>
        <w:b/>
      </w:rPr>
    </w:pPr>
  </w:p>
  <w:p w14:paraId="44175D43" w14:textId="3B7576C4" w:rsidR="00A0173F" w:rsidRDefault="00A0173F" w:rsidP="00621915">
    <w:pPr>
      <w:pStyle w:val="Encabezado"/>
      <w:jc w:val="right"/>
      <w:rPr>
        <w:rFonts w:ascii="Century Gothic" w:hAnsi="Century Gothic"/>
        <w:b/>
      </w:rPr>
    </w:pPr>
    <w:r>
      <w:rPr>
        <w:rFonts w:ascii="Century Gothic" w:hAnsi="Century Gothic"/>
        <w:b/>
      </w:rPr>
      <w:t>DCJ/006/2022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73C"/>
    <w:multiLevelType w:val="hybridMultilevel"/>
    <w:tmpl w:val="6A141B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759D0"/>
    <w:multiLevelType w:val="hybridMultilevel"/>
    <w:tmpl w:val="2140D6CE"/>
    <w:lvl w:ilvl="0" w:tplc="D83ABF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33A1D"/>
    <w:multiLevelType w:val="hybridMultilevel"/>
    <w:tmpl w:val="5096E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8434CF"/>
    <w:multiLevelType w:val="hybridMultilevel"/>
    <w:tmpl w:val="4D3C8C1E"/>
    <w:lvl w:ilvl="0" w:tplc="1BF03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AD39C7"/>
    <w:multiLevelType w:val="hybridMultilevel"/>
    <w:tmpl w:val="EA4CEE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5746B"/>
    <w:multiLevelType w:val="hybridMultilevel"/>
    <w:tmpl w:val="22C2B584"/>
    <w:lvl w:ilvl="0" w:tplc="A8347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7D7EE4"/>
    <w:multiLevelType w:val="hybridMultilevel"/>
    <w:tmpl w:val="78BC3848"/>
    <w:lvl w:ilvl="0" w:tplc="9B66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215A02"/>
    <w:multiLevelType w:val="hybridMultilevel"/>
    <w:tmpl w:val="6492D272"/>
    <w:lvl w:ilvl="0" w:tplc="B3D6C6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6"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6811A5"/>
    <w:multiLevelType w:val="hybridMultilevel"/>
    <w:tmpl w:val="FEB4C212"/>
    <w:lvl w:ilvl="0" w:tplc="C48EF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BB703B"/>
    <w:multiLevelType w:val="hybridMultilevel"/>
    <w:tmpl w:val="481CB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AF618B"/>
    <w:multiLevelType w:val="hybridMultilevel"/>
    <w:tmpl w:val="899CC6A4"/>
    <w:lvl w:ilvl="0" w:tplc="45D0CDA4">
      <w:start w:val="2"/>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6A511D"/>
    <w:multiLevelType w:val="hybridMultilevel"/>
    <w:tmpl w:val="2C981CBA"/>
    <w:lvl w:ilvl="0" w:tplc="BEF8A26A">
      <w:start w:val="1"/>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5" w15:restartNumberingAfterBreak="0">
    <w:nsid w:val="5C5A3EF0"/>
    <w:multiLevelType w:val="hybridMultilevel"/>
    <w:tmpl w:val="863E866E"/>
    <w:lvl w:ilvl="0" w:tplc="72EAD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C91CBE"/>
    <w:multiLevelType w:val="hybridMultilevel"/>
    <w:tmpl w:val="360237F6"/>
    <w:lvl w:ilvl="0" w:tplc="3ACCF988">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61E71F84"/>
    <w:multiLevelType w:val="hybridMultilevel"/>
    <w:tmpl w:val="651A31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E70CC4"/>
    <w:multiLevelType w:val="hybridMultilevel"/>
    <w:tmpl w:val="BB7C36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FA7393"/>
    <w:multiLevelType w:val="hybridMultilevel"/>
    <w:tmpl w:val="F9EA28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15:restartNumberingAfterBreak="0">
    <w:nsid w:val="6DB61D7E"/>
    <w:multiLevelType w:val="hybridMultilevel"/>
    <w:tmpl w:val="A79C9966"/>
    <w:lvl w:ilvl="0" w:tplc="9DF2D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0AB0D07"/>
    <w:multiLevelType w:val="hybridMultilevel"/>
    <w:tmpl w:val="68063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6B6A8F"/>
    <w:multiLevelType w:val="hybridMultilevel"/>
    <w:tmpl w:val="37841796"/>
    <w:lvl w:ilvl="0" w:tplc="0D5257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337C68"/>
    <w:multiLevelType w:val="multilevel"/>
    <w:tmpl w:val="E1809B40"/>
    <w:numStyleLink w:val="Estilo1"/>
  </w:abstractNum>
  <w:abstractNum w:abstractNumId="41"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41"/>
  </w:num>
  <w:num w:numId="3">
    <w:abstractNumId w:val="14"/>
  </w:num>
  <w:num w:numId="4">
    <w:abstractNumId w:val="20"/>
  </w:num>
  <w:num w:numId="5">
    <w:abstractNumId w:val="7"/>
  </w:num>
  <w:num w:numId="6">
    <w:abstractNumId w:val="40"/>
  </w:num>
  <w:num w:numId="7">
    <w:abstractNumId w:val="15"/>
  </w:num>
  <w:num w:numId="8">
    <w:abstractNumId w:val="33"/>
  </w:num>
  <w:num w:numId="9">
    <w:abstractNumId w:val="19"/>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9"/>
  </w:num>
  <w:num w:numId="13">
    <w:abstractNumId w:val="3"/>
  </w:num>
  <w:num w:numId="14">
    <w:abstractNumId w:val="31"/>
  </w:num>
  <w:num w:numId="15">
    <w:abstractNumId w:val="9"/>
  </w:num>
  <w:num w:numId="16">
    <w:abstractNumId w:val="2"/>
  </w:num>
  <w:num w:numId="17">
    <w:abstractNumId w:val="21"/>
  </w:num>
  <w:num w:numId="18">
    <w:abstractNumId w:val="30"/>
  </w:num>
  <w:num w:numId="19">
    <w:abstractNumId w:val="11"/>
  </w:num>
  <w:num w:numId="20">
    <w:abstractNumId w:val="37"/>
  </w:num>
  <w:num w:numId="21">
    <w:abstractNumId w:val="22"/>
  </w:num>
  <w:num w:numId="22">
    <w:abstractNumId w:val="35"/>
  </w:num>
  <w:num w:numId="23">
    <w:abstractNumId w:val="38"/>
  </w:num>
  <w:num w:numId="24">
    <w:abstractNumId w:val="17"/>
  </w:num>
  <w:num w:numId="25">
    <w:abstractNumId w:val="5"/>
  </w:num>
  <w:num w:numId="26">
    <w:abstractNumId w:val="12"/>
  </w:num>
  <w:num w:numId="27">
    <w:abstractNumId w:val="8"/>
  </w:num>
  <w:num w:numId="28">
    <w:abstractNumId w:val="18"/>
  </w:num>
  <w:num w:numId="29">
    <w:abstractNumId w:val="27"/>
  </w:num>
  <w:num w:numId="30">
    <w:abstractNumId w:val="0"/>
  </w:num>
  <w:num w:numId="31">
    <w:abstractNumId w:val="34"/>
  </w:num>
  <w:num w:numId="32">
    <w:abstractNumId w:val="23"/>
  </w:num>
  <w:num w:numId="33">
    <w:abstractNumId w:val="26"/>
  </w:num>
  <w:num w:numId="34">
    <w:abstractNumId w:val="36"/>
  </w:num>
  <w:num w:numId="35">
    <w:abstractNumId w:val="28"/>
  </w:num>
  <w:num w:numId="36">
    <w:abstractNumId w:val="29"/>
  </w:num>
  <w:num w:numId="37">
    <w:abstractNumId w:val="24"/>
  </w:num>
  <w:num w:numId="38">
    <w:abstractNumId w:val="25"/>
  </w:num>
  <w:num w:numId="39">
    <w:abstractNumId w:val="10"/>
  </w:num>
  <w:num w:numId="40">
    <w:abstractNumId w:val="32"/>
  </w:num>
  <w:num w:numId="41">
    <w:abstractNumId w:val="6"/>
  </w:num>
  <w:num w:numId="42">
    <w:abstractNumId w:val="4"/>
  </w:num>
  <w:num w:numId="43">
    <w:abstractNumId w:val="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12DE"/>
    <w:rsid w:val="000119FD"/>
    <w:rsid w:val="000133EF"/>
    <w:rsid w:val="00014A86"/>
    <w:rsid w:val="00022EC4"/>
    <w:rsid w:val="00026077"/>
    <w:rsid w:val="00030F31"/>
    <w:rsid w:val="00031568"/>
    <w:rsid w:val="00036145"/>
    <w:rsid w:val="00037019"/>
    <w:rsid w:val="000429E1"/>
    <w:rsid w:val="00042BE2"/>
    <w:rsid w:val="00043CA6"/>
    <w:rsid w:val="00051AB5"/>
    <w:rsid w:val="00051D9C"/>
    <w:rsid w:val="0005404A"/>
    <w:rsid w:val="000556C9"/>
    <w:rsid w:val="00056BA9"/>
    <w:rsid w:val="00057FD5"/>
    <w:rsid w:val="00060A1D"/>
    <w:rsid w:val="00064D71"/>
    <w:rsid w:val="00066693"/>
    <w:rsid w:val="000677BC"/>
    <w:rsid w:val="000701D0"/>
    <w:rsid w:val="000743C2"/>
    <w:rsid w:val="0008079B"/>
    <w:rsid w:val="00084A53"/>
    <w:rsid w:val="00084B09"/>
    <w:rsid w:val="00085026"/>
    <w:rsid w:val="00085038"/>
    <w:rsid w:val="00085129"/>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C06B6"/>
    <w:rsid w:val="000C2791"/>
    <w:rsid w:val="000C2DAC"/>
    <w:rsid w:val="000D022B"/>
    <w:rsid w:val="000D50DC"/>
    <w:rsid w:val="000E399D"/>
    <w:rsid w:val="000E40B2"/>
    <w:rsid w:val="000E607A"/>
    <w:rsid w:val="000F44C0"/>
    <w:rsid w:val="000F4F41"/>
    <w:rsid w:val="000F51B0"/>
    <w:rsid w:val="000F70D0"/>
    <w:rsid w:val="000F76C9"/>
    <w:rsid w:val="00100C26"/>
    <w:rsid w:val="00101D85"/>
    <w:rsid w:val="00110C51"/>
    <w:rsid w:val="001125B9"/>
    <w:rsid w:val="0011350B"/>
    <w:rsid w:val="00116DFF"/>
    <w:rsid w:val="00120612"/>
    <w:rsid w:val="00122AFC"/>
    <w:rsid w:val="001316AF"/>
    <w:rsid w:val="00134515"/>
    <w:rsid w:val="0013500E"/>
    <w:rsid w:val="001362B8"/>
    <w:rsid w:val="001419EB"/>
    <w:rsid w:val="00141A70"/>
    <w:rsid w:val="0014239A"/>
    <w:rsid w:val="00144D96"/>
    <w:rsid w:val="00145872"/>
    <w:rsid w:val="00146091"/>
    <w:rsid w:val="00147529"/>
    <w:rsid w:val="001501B3"/>
    <w:rsid w:val="00150BF4"/>
    <w:rsid w:val="00151ACF"/>
    <w:rsid w:val="00152BDB"/>
    <w:rsid w:val="00152C67"/>
    <w:rsid w:val="001535B1"/>
    <w:rsid w:val="0015471C"/>
    <w:rsid w:val="0015696D"/>
    <w:rsid w:val="001625AC"/>
    <w:rsid w:val="00163502"/>
    <w:rsid w:val="00163B54"/>
    <w:rsid w:val="00163B7D"/>
    <w:rsid w:val="00165C38"/>
    <w:rsid w:val="00166858"/>
    <w:rsid w:val="001716FD"/>
    <w:rsid w:val="00172105"/>
    <w:rsid w:val="001750A1"/>
    <w:rsid w:val="00175BEB"/>
    <w:rsid w:val="0018294E"/>
    <w:rsid w:val="00190E37"/>
    <w:rsid w:val="001933D0"/>
    <w:rsid w:val="001938C1"/>
    <w:rsid w:val="00195117"/>
    <w:rsid w:val="001955AE"/>
    <w:rsid w:val="001955ED"/>
    <w:rsid w:val="00197FC0"/>
    <w:rsid w:val="001A19BF"/>
    <w:rsid w:val="001A3CCD"/>
    <w:rsid w:val="001A5B6C"/>
    <w:rsid w:val="001A7A08"/>
    <w:rsid w:val="001B1AAA"/>
    <w:rsid w:val="001B2385"/>
    <w:rsid w:val="001B720D"/>
    <w:rsid w:val="001C11BC"/>
    <w:rsid w:val="001C3E49"/>
    <w:rsid w:val="001C4EF4"/>
    <w:rsid w:val="001C7DC8"/>
    <w:rsid w:val="001C7E9B"/>
    <w:rsid w:val="001C7F07"/>
    <w:rsid w:val="001D18E0"/>
    <w:rsid w:val="001D2554"/>
    <w:rsid w:val="001D44E1"/>
    <w:rsid w:val="001E56B3"/>
    <w:rsid w:val="001E58B7"/>
    <w:rsid w:val="001F1ECF"/>
    <w:rsid w:val="0020030B"/>
    <w:rsid w:val="00201247"/>
    <w:rsid w:val="002025F6"/>
    <w:rsid w:val="00202A20"/>
    <w:rsid w:val="00202FAB"/>
    <w:rsid w:val="002128DC"/>
    <w:rsid w:val="00232854"/>
    <w:rsid w:val="00232FC2"/>
    <w:rsid w:val="00234E7F"/>
    <w:rsid w:val="002364BE"/>
    <w:rsid w:val="00236583"/>
    <w:rsid w:val="0023737C"/>
    <w:rsid w:val="002377E1"/>
    <w:rsid w:val="002409EA"/>
    <w:rsid w:val="002420D3"/>
    <w:rsid w:val="00245BFF"/>
    <w:rsid w:val="00246F9A"/>
    <w:rsid w:val="0025380B"/>
    <w:rsid w:val="002540ED"/>
    <w:rsid w:val="002556F6"/>
    <w:rsid w:val="00267943"/>
    <w:rsid w:val="0027160A"/>
    <w:rsid w:val="0027206F"/>
    <w:rsid w:val="00273927"/>
    <w:rsid w:val="0027447C"/>
    <w:rsid w:val="0027784E"/>
    <w:rsid w:val="00277CA8"/>
    <w:rsid w:val="00282246"/>
    <w:rsid w:val="00287728"/>
    <w:rsid w:val="00287930"/>
    <w:rsid w:val="00297E7A"/>
    <w:rsid w:val="002A1151"/>
    <w:rsid w:val="002A3572"/>
    <w:rsid w:val="002A534A"/>
    <w:rsid w:val="002A578A"/>
    <w:rsid w:val="002A5852"/>
    <w:rsid w:val="002A799F"/>
    <w:rsid w:val="002B1DBD"/>
    <w:rsid w:val="002B3040"/>
    <w:rsid w:val="002B4E13"/>
    <w:rsid w:val="002B6B7F"/>
    <w:rsid w:val="002B710B"/>
    <w:rsid w:val="002C16A8"/>
    <w:rsid w:val="002C38F9"/>
    <w:rsid w:val="002C3D19"/>
    <w:rsid w:val="002D2B59"/>
    <w:rsid w:val="002D3A8D"/>
    <w:rsid w:val="002D4618"/>
    <w:rsid w:val="002E0352"/>
    <w:rsid w:val="002E1735"/>
    <w:rsid w:val="002E2814"/>
    <w:rsid w:val="002E2CD6"/>
    <w:rsid w:val="002E442D"/>
    <w:rsid w:val="002E68E5"/>
    <w:rsid w:val="002F16F0"/>
    <w:rsid w:val="002F1F34"/>
    <w:rsid w:val="002F7B8E"/>
    <w:rsid w:val="00303621"/>
    <w:rsid w:val="00303CDD"/>
    <w:rsid w:val="00306540"/>
    <w:rsid w:val="003101EF"/>
    <w:rsid w:val="003123AE"/>
    <w:rsid w:val="00314CD4"/>
    <w:rsid w:val="00315537"/>
    <w:rsid w:val="00316196"/>
    <w:rsid w:val="003167C5"/>
    <w:rsid w:val="0032260F"/>
    <w:rsid w:val="00323399"/>
    <w:rsid w:val="00323DC4"/>
    <w:rsid w:val="00324264"/>
    <w:rsid w:val="003269F3"/>
    <w:rsid w:val="00327059"/>
    <w:rsid w:val="00331CBA"/>
    <w:rsid w:val="00335252"/>
    <w:rsid w:val="00335E88"/>
    <w:rsid w:val="00346C62"/>
    <w:rsid w:val="00347940"/>
    <w:rsid w:val="00347E26"/>
    <w:rsid w:val="00352F37"/>
    <w:rsid w:val="00354620"/>
    <w:rsid w:val="00356B4E"/>
    <w:rsid w:val="0035713A"/>
    <w:rsid w:val="00357185"/>
    <w:rsid w:val="00357F2C"/>
    <w:rsid w:val="003629CC"/>
    <w:rsid w:val="0037265C"/>
    <w:rsid w:val="003751B7"/>
    <w:rsid w:val="00376DBD"/>
    <w:rsid w:val="00380BCB"/>
    <w:rsid w:val="00386C7D"/>
    <w:rsid w:val="00391766"/>
    <w:rsid w:val="00392891"/>
    <w:rsid w:val="003A19FF"/>
    <w:rsid w:val="003A218E"/>
    <w:rsid w:val="003A2630"/>
    <w:rsid w:val="003A2E95"/>
    <w:rsid w:val="003A3242"/>
    <w:rsid w:val="003A5C7B"/>
    <w:rsid w:val="003A627F"/>
    <w:rsid w:val="003B10E3"/>
    <w:rsid w:val="003B2B39"/>
    <w:rsid w:val="003B56D7"/>
    <w:rsid w:val="003B7091"/>
    <w:rsid w:val="003C2048"/>
    <w:rsid w:val="003C53C1"/>
    <w:rsid w:val="003D1450"/>
    <w:rsid w:val="003D452D"/>
    <w:rsid w:val="003E4467"/>
    <w:rsid w:val="003E44B8"/>
    <w:rsid w:val="003F07B2"/>
    <w:rsid w:val="003F2106"/>
    <w:rsid w:val="003F2951"/>
    <w:rsid w:val="003F33B7"/>
    <w:rsid w:val="003F626B"/>
    <w:rsid w:val="003F6D35"/>
    <w:rsid w:val="00401D97"/>
    <w:rsid w:val="0040279F"/>
    <w:rsid w:val="00403160"/>
    <w:rsid w:val="00404D0E"/>
    <w:rsid w:val="0040528B"/>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34B3"/>
    <w:rsid w:val="00434ADD"/>
    <w:rsid w:val="00435E05"/>
    <w:rsid w:val="004375E9"/>
    <w:rsid w:val="0044585F"/>
    <w:rsid w:val="0044590F"/>
    <w:rsid w:val="00446C31"/>
    <w:rsid w:val="00447E47"/>
    <w:rsid w:val="00450C7A"/>
    <w:rsid w:val="00453EF8"/>
    <w:rsid w:val="00454505"/>
    <w:rsid w:val="004613AA"/>
    <w:rsid w:val="00467A10"/>
    <w:rsid w:val="00476ECF"/>
    <w:rsid w:val="00476FF2"/>
    <w:rsid w:val="00477AB3"/>
    <w:rsid w:val="00477C16"/>
    <w:rsid w:val="00484DD5"/>
    <w:rsid w:val="00485B62"/>
    <w:rsid w:val="0049512E"/>
    <w:rsid w:val="00495AAC"/>
    <w:rsid w:val="004A0470"/>
    <w:rsid w:val="004A236A"/>
    <w:rsid w:val="004A24F1"/>
    <w:rsid w:val="004A618D"/>
    <w:rsid w:val="004A78A7"/>
    <w:rsid w:val="004B2661"/>
    <w:rsid w:val="004B4059"/>
    <w:rsid w:val="004B66B8"/>
    <w:rsid w:val="004C0ACD"/>
    <w:rsid w:val="004C17AA"/>
    <w:rsid w:val="004C3B8D"/>
    <w:rsid w:val="004C4633"/>
    <w:rsid w:val="004D1BBB"/>
    <w:rsid w:val="004D1F18"/>
    <w:rsid w:val="004D2181"/>
    <w:rsid w:val="004D4DD0"/>
    <w:rsid w:val="004D51BD"/>
    <w:rsid w:val="004D5AB9"/>
    <w:rsid w:val="004D6E07"/>
    <w:rsid w:val="004D7595"/>
    <w:rsid w:val="004E1676"/>
    <w:rsid w:val="004E1878"/>
    <w:rsid w:val="004E3E97"/>
    <w:rsid w:val="004E44AD"/>
    <w:rsid w:val="004F1C0A"/>
    <w:rsid w:val="004F3F73"/>
    <w:rsid w:val="004F4D83"/>
    <w:rsid w:val="005011CC"/>
    <w:rsid w:val="0050367D"/>
    <w:rsid w:val="005047F1"/>
    <w:rsid w:val="00505D71"/>
    <w:rsid w:val="00506834"/>
    <w:rsid w:val="005100FF"/>
    <w:rsid w:val="00513316"/>
    <w:rsid w:val="005210B8"/>
    <w:rsid w:val="00522340"/>
    <w:rsid w:val="005251D2"/>
    <w:rsid w:val="0052679C"/>
    <w:rsid w:val="00527483"/>
    <w:rsid w:val="005332E5"/>
    <w:rsid w:val="00535D79"/>
    <w:rsid w:val="00537559"/>
    <w:rsid w:val="0053771D"/>
    <w:rsid w:val="00537A89"/>
    <w:rsid w:val="005403EE"/>
    <w:rsid w:val="00540B8F"/>
    <w:rsid w:val="00540FBB"/>
    <w:rsid w:val="0054378B"/>
    <w:rsid w:val="005506D5"/>
    <w:rsid w:val="005525CC"/>
    <w:rsid w:val="00555A2D"/>
    <w:rsid w:val="005573BF"/>
    <w:rsid w:val="00557E52"/>
    <w:rsid w:val="00564841"/>
    <w:rsid w:val="005650E4"/>
    <w:rsid w:val="00565B1C"/>
    <w:rsid w:val="005732B8"/>
    <w:rsid w:val="00575458"/>
    <w:rsid w:val="0058079D"/>
    <w:rsid w:val="00582411"/>
    <w:rsid w:val="0058436F"/>
    <w:rsid w:val="005902D8"/>
    <w:rsid w:val="00590E94"/>
    <w:rsid w:val="00596EA7"/>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A77"/>
    <w:rsid w:val="005E3E08"/>
    <w:rsid w:val="005E7596"/>
    <w:rsid w:val="005F24C9"/>
    <w:rsid w:val="005F39A9"/>
    <w:rsid w:val="005F49A2"/>
    <w:rsid w:val="00603093"/>
    <w:rsid w:val="00603228"/>
    <w:rsid w:val="00603F48"/>
    <w:rsid w:val="00604DD4"/>
    <w:rsid w:val="00606A8D"/>
    <w:rsid w:val="0061375E"/>
    <w:rsid w:val="00613794"/>
    <w:rsid w:val="00616768"/>
    <w:rsid w:val="00621135"/>
    <w:rsid w:val="0062121E"/>
    <w:rsid w:val="00621915"/>
    <w:rsid w:val="00626CA9"/>
    <w:rsid w:val="00633E8E"/>
    <w:rsid w:val="00635B02"/>
    <w:rsid w:val="00635F77"/>
    <w:rsid w:val="00636CDA"/>
    <w:rsid w:val="0064149F"/>
    <w:rsid w:val="00642AA1"/>
    <w:rsid w:val="00645895"/>
    <w:rsid w:val="006460F1"/>
    <w:rsid w:val="00654E49"/>
    <w:rsid w:val="006614FD"/>
    <w:rsid w:val="00661958"/>
    <w:rsid w:val="0066252E"/>
    <w:rsid w:val="006639C8"/>
    <w:rsid w:val="0066423A"/>
    <w:rsid w:val="00666235"/>
    <w:rsid w:val="0067333E"/>
    <w:rsid w:val="00673499"/>
    <w:rsid w:val="00673673"/>
    <w:rsid w:val="006740B7"/>
    <w:rsid w:val="006740DE"/>
    <w:rsid w:val="0067413F"/>
    <w:rsid w:val="00674CD6"/>
    <w:rsid w:val="00680EF3"/>
    <w:rsid w:val="0068314B"/>
    <w:rsid w:val="00683FAE"/>
    <w:rsid w:val="00685F55"/>
    <w:rsid w:val="00691D0B"/>
    <w:rsid w:val="006950C0"/>
    <w:rsid w:val="006976BE"/>
    <w:rsid w:val="006A071E"/>
    <w:rsid w:val="006A3F99"/>
    <w:rsid w:val="006A55EA"/>
    <w:rsid w:val="006A5C70"/>
    <w:rsid w:val="006B1047"/>
    <w:rsid w:val="006B3B0A"/>
    <w:rsid w:val="006C391B"/>
    <w:rsid w:val="006C3CD3"/>
    <w:rsid w:val="006C426B"/>
    <w:rsid w:val="006D3D3F"/>
    <w:rsid w:val="006D68A5"/>
    <w:rsid w:val="006D7339"/>
    <w:rsid w:val="006D7C50"/>
    <w:rsid w:val="006E443C"/>
    <w:rsid w:val="006E6EDF"/>
    <w:rsid w:val="006F1822"/>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6E0F"/>
    <w:rsid w:val="00734E9C"/>
    <w:rsid w:val="00741892"/>
    <w:rsid w:val="007422ED"/>
    <w:rsid w:val="007428DB"/>
    <w:rsid w:val="00743151"/>
    <w:rsid w:val="0074643A"/>
    <w:rsid w:val="00750F23"/>
    <w:rsid w:val="00751959"/>
    <w:rsid w:val="00755739"/>
    <w:rsid w:val="007576C2"/>
    <w:rsid w:val="007577FA"/>
    <w:rsid w:val="00763234"/>
    <w:rsid w:val="00763F74"/>
    <w:rsid w:val="00765493"/>
    <w:rsid w:val="00765507"/>
    <w:rsid w:val="00767666"/>
    <w:rsid w:val="007723A0"/>
    <w:rsid w:val="007732B2"/>
    <w:rsid w:val="007768F7"/>
    <w:rsid w:val="00776C4D"/>
    <w:rsid w:val="00782883"/>
    <w:rsid w:val="00782A35"/>
    <w:rsid w:val="00783558"/>
    <w:rsid w:val="0078362A"/>
    <w:rsid w:val="00783820"/>
    <w:rsid w:val="00787F8E"/>
    <w:rsid w:val="007907DB"/>
    <w:rsid w:val="00793B76"/>
    <w:rsid w:val="00796EDF"/>
    <w:rsid w:val="007A061C"/>
    <w:rsid w:val="007A07E7"/>
    <w:rsid w:val="007A3C7B"/>
    <w:rsid w:val="007A6216"/>
    <w:rsid w:val="007A6523"/>
    <w:rsid w:val="007B4563"/>
    <w:rsid w:val="007B6D66"/>
    <w:rsid w:val="007C1866"/>
    <w:rsid w:val="007C187F"/>
    <w:rsid w:val="007C1922"/>
    <w:rsid w:val="007C2D7D"/>
    <w:rsid w:val="007C4279"/>
    <w:rsid w:val="007C5121"/>
    <w:rsid w:val="007C5D3A"/>
    <w:rsid w:val="007C6780"/>
    <w:rsid w:val="007D3BD2"/>
    <w:rsid w:val="007D676D"/>
    <w:rsid w:val="007D6990"/>
    <w:rsid w:val="007E2B04"/>
    <w:rsid w:val="007E711E"/>
    <w:rsid w:val="007E7F92"/>
    <w:rsid w:val="007F1F8F"/>
    <w:rsid w:val="007F28C2"/>
    <w:rsid w:val="007F420C"/>
    <w:rsid w:val="007F4C63"/>
    <w:rsid w:val="007F6482"/>
    <w:rsid w:val="008007F8"/>
    <w:rsid w:val="00800A6D"/>
    <w:rsid w:val="008014D2"/>
    <w:rsid w:val="0080281B"/>
    <w:rsid w:val="00804E5D"/>
    <w:rsid w:val="00806205"/>
    <w:rsid w:val="008104AD"/>
    <w:rsid w:val="0082101A"/>
    <w:rsid w:val="0083194E"/>
    <w:rsid w:val="00834453"/>
    <w:rsid w:val="0083549E"/>
    <w:rsid w:val="00835C67"/>
    <w:rsid w:val="00836776"/>
    <w:rsid w:val="00836838"/>
    <w:rsid w:val="00837BE8"/>
    <w:rsid w:val="008407B8"/>
    <w:rsid w:val="00842A89"/>
    <w:rsid w:val="00843D8A"/>
    <w:rsid w:val="0084460D"/>
    <w:rsid w:val="00850AE0"/>
    <w:rsid w:val="00850EEA"/>
    <w:rsid w:val="00851AAF"/>
    <w:rsid w:val="008522E9"/>
    <w:rsid w:val="00853AF0"/>
    <w:rsid w:val="00854ECC"/>
    <w:rsid w:val="00855B39"/>
    <w:rsid w:val="00856091"/>
    <w:rsid w:val="008573DE"/>
    <w:rsid w:val="00860E41"/>
    <w:rsid w:val="008619DE"/>
    <w:rsid w:val="00865B79"/>
    <w:rsid w:val="00866D56"/>
    <w:rsid w:val="00866E9C"/>
    <w:rsid w:val="0087090B"/>
    <w:rsid w:val="00870EFA"/>
    <w:rsid w:val="0087178A"/>
    <w:rsid w:val="00874757"/>
    <w:rsid w:val="008748CD"/>
    <w:rsid w:val="0088488E"/>
    <w:rsid w:val="00886F46"/>
    <w:rsid w:val="0088770C"/>
    <w:rsid w:val="00887DD0"/>
    <w:rsid w:val="00887F60"/>
    <w:rsid w:val="0089457F"/>
    <w:rsid w:val="00894730"/>
    <w:rsid w:val="008A50ED"/>
    <w:rsid w:val="008A5E2F"/>
    <w:rsid w:val="008A617F"/>
    <w:rsid w:val="008A6967"/>
    <w:rsid w:val="008B2416"/>
    <w:rsid w:val="008B3220"/>
    <w:rsid w:val="008B3C7F"/>
    <w:rsid w:val="008B4461"/>
    <w:rsid w:val="008C19D6"/>
    <w:rsid w:val="008C5C9D"/>
    <w:rsid w:val="008C64DA"/>
    <w:rsid w:val="008D3A78"/>
    <w:rsid w:val="008D6F45"/>
    <w:rsid w:val="008D70F5"/>
    <w:rsid w:val="008E09E0"/>
    <w:rsid w:val="008E267B"/>
    <w:rsid w:val="008E3D0C"/>
    <w:rsid w:val="008E3E5E"/>
    <w:rsid w:val="008E521E"/>
    <w:rsid w:val="008E5D49"/>
    <w:rsid w:val="008E66B7"/>
    <w:rsid w:val="008E672D"/>
    <w:rsid w:val="008F021D"/>
    <w:rsid w:val="008F251B"/>
    <w:rsid w:val="008F3D11"/>
    <w:rsid w:val="00903A9D"/>
    <w:rsid w:val="00906D2D"/>
    <w:rsid w:val="009103FD"/>
    <w:rsid w:val="00913B0B"/>
    <w:rsid w:val="0091427A"/>
    <w:rsid w:val="00915B00"/>
    <w:rsid w:val="00917BA4"/>
    <w:rsid w:val="009235AB"/>
    <w:rsid w:val="00925EF3"/>
    <w:rsid w:val="009261EF"/>
    <w:rsid w:val="00927BEC"/>
    <w:rsid w:val="00927E51"/>
    <w:rsid w:val="00943066"/>
    <w:rsid w:val="00944602"/>
    <w:rsid w:val="00944928"/>
    <w:rsid w:val="00945843"/>
    <w:rsid w:val="009466AE"/>
    <w:rsid w:val="00946E99"/>
    <w:rsid w:val="00950879"/>
    <w:rsid w:val="009515A0"/>
    <w:rsid w:val="0095240E"/>
    <w:rsid w:val="009534A4"/>
    <w:rsid w:val="00955B5C"/>
    <w:rsid w:val="00960839"/>
    <w:rsid w:val="00961AAC"/>
    <w:rsid w:val="0096282B"/>
    <w:rsid w:val="00962F8F"/>
    <w:rsid w:val="009630E9"/>
    <w:rsid w:val="00963B0C"/>
    <w:rsid w:val="009648FD"/>
    <w:rsid w:val="009677F2"/>
    <w:rsid w:val="009705BC"/>
    <w:rsid w:val="00970683"/>
    <w:rsid w:val="00971A44"/>
    <w:rsid w:val="00972B2E"/>
    <w:rsid w:val="00973E0B"/>
    <w:rsid w:val="00974307"/>
    <w:rsid w:val="00977A67"/>
    <w:rsid w:val="00983A5B"/>
    <w:rsid w:val="00985CF0"/>
    <w:rsid w:val="0099513F"/>
    <w:rsid w:val="00995192"/>
    <w:rsid w:val="009953A4"/>
    <w:rsid w:val="00995FD4"/>
    <w:rsid w:val="009A6BD6"/>
    <w:rsid w:val="009B067E"/>
    <w:rsid w:val="009B1912"/>
    <w:rsid w:val="009C45F1"/>
    <w:rsid w:val="009C6EF9"/>
    <w:rsid w:val="009D1950"/>
    <w:rsid w:val="009D7E85"/>
    <w:rsid w:val="009E2813"/>
    <w:rsid w:val="009E33A2"/>
    <w:rsid w:val="009E46FF"/>
    <w:rsid w:val="009F0267"/>
    <w:rsid w:val="009F4BA3"/>
    <w:rsid w:val="009F792D"/>
    <w:rsid w:val="00A00639"/>
    <w:rsid w:val="00A00C35"/>
    <w:rsid w:val="00A0173F"/>
    <w:rsid w:val="00A01BDA"/>
    <w:rsid w:val="00A03B35"/>
    <w:rsid w:val="00A0597D"/>
    <w:rsid w:val="00A07DBB"/>
    <w:rsid w:val="00A1082E"/>
    <w:rsid w:val="00A111CE"/>
    <w:rsid w:val="00A17271"/>
    <w:rsid w:val="00A23D77"/>
    <w:rsid w:val="00A24122"/>
    <w:rsid w:val="00A24FD5"/>
    <w:rsid w:val="00A268DA"/>
    <w:rsid w:val="00A355DD"/>
    <w:rsid w:val="00A35F1E"/>
    <w:rsid w:val="00A36F8A"/>
    <w:rsid w:val="00A40D80"/>
    <w:rsid w:val="00A420D5"/>
    <w:rsid w:val="00A44157"/>
    <w:rsid w:val="00A445BF"/>
    <w:rsid w:val="00A456FB"/>
    <w:rsid w:val="00A47EF9"/>
    <w:rsid w:val="00A52300"/>
    <w:rsid w:val="00A5362F"/>
    <w:rsid w:val="00A56B5B"/>
    <w:rsid w:val="00A6126E"/>
    <w:rsid w:val="00A642C1"/>
    <w:rsid w:val="00A65F2A"/>
    <w:rsid w:val="00A72A22"/>
    <w:rsid w:val="00A739FE"/>
    <w:rsid w:val="00A760F1"/>
    <w:rsid w:val="00A858EF"/>
    <w:rsid w:val="00A90AF2"/>
    <w:rsid w:val="00A91728"/>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BAA"/>
    <w:rsid w:val="00AD2801"/>
    <w:rsid w:val="00AE0CB1"/>
    <w:rsid w:val="00AE17A8"/>
    <w:rsid w:val="00AE1E7B"/>
    <w:rsid w:val="00AE35C5"/>
    <w:rsid w:val="00AE61A9"/>
    <w:rsid w:val="00AF057F"/>
    <w:rsid w:val="00AF332A"/>
    <w:rsid w:val="00AF3755"/>
    <w:rsid w:val="00AF3DD2"/>
    <w:rsid w:val="00AF74C6"/>
    <w:rsid w:val="00B02D98"/>
    <w:rsid w:val="00B0340D"/>
    <w:rsid w:val="00B06620"/>
    <w:rsid w:val="00B11450"/>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77C2"/>
    <w:rsid w:val="00B379DA"/>
    <w:rsid w:val="00B40414"/>
    <w:rsid w:val="00B40D94"/>
    <w:rsid w:val="00B4377F"/>
    <w:rsid w:val="00B438AA"/>
    <w:rsid w:val="00B43B48"/>
    <w:rsid w:val="00B44334"/>
    <w:rsid w:val="00B46904"/>
    <w:rsid w:val="00B51325"/>
    <w:rsid w:val="00B55226"/>
    <w:rsid w:val="00B56B0C"/>
    <w:rsid w:val="00B61AC9"/>
    <w:rsid w:val="00B63E65"/>
    <w:rsid w:val="00B71574"/>
    <w:rsid w:val="00B71694"/>
    <w:rsid w:val="00B764D2"/>
    <w:rsid w:val="00B772FF"/>
    <w:rsid w:val="00B81167"/>
    <w:rsid w:val="00B81E5E"/>
    <w:rsid w:val="00B8591B"/>
    <w:rsid w:val="00B90391"/>
    <w:rsid w:val="00B931BD"/>
    <w:rsid w:val="00BA097D"/>
    <w:rsid w:val="00BA0D41"/>
    <w:rsid w:val="00BA5C59"/>
    <w:rsid w:val="00BB21CA"/>
    <w:rsid w:val="00BB4EFE"/>
    <w:rsid w:val="00BB5353"/>
    <w:rsid w:val="00BC19BA"/>
    <w:rsid w:val="00BC1AE7"/>
    <w:rsid w:val="00BC45F5"/>
    <w:rsid w:val="00BC4B29"/>
    <w:rsid w:val="00BC74F8"/>
    <w:rsid w:val="00BD2BB0"/>
    <w:rsid w:val="00BE1574"/>
    <w:rsid w:val="00BE2F8D"/>
    <w:rsid w:val="00BE5707"/>
    <w:rsid w:val="00BE5BE8"/>
    <w:rsid w:val="00BE7642"/>
    <w:rsid w:val="00BF13A9"/>
    <w:rsid w:val="00BF4CD4"/>
    <w:rsid w:val="00BF742D"/>
    <w:rsid w:val="00BF75BF"/>
    <w:rsid w:val="00C04469"/>
    <w:rsid w:val="00C052B1"/>
    <w:rsid w:val="00C074C6"/>
    <w:rsid w:val="00C07B0F"/>
    <w:rsid w:val="00C15903"/>
    <w:rsid w:val="00C16AE7"/>
    <w:rsid w:val="00C200F0"/>
    <w:rsid w:val="00C20164"/>
    <w:rsid w:val="00C2243D"/>
    <w:rsid w:val="00C22EE1"/>
    <w:rsid w:val="00C23781"/>
    <w:rsid w:val="00C23E70"/>
    <w:rsid w:val="00C240D3"/>
    <w:rsid w:val="00C31629"/>
    <w:rsid w:val="00C31736"/>
    <w:rsid w:val="00C3322A"/>
    <w:rsid w:val="00C344E6"/>
    <w:rsid w:val="00C406B0"/>
    <w:rsid w:val="00C40E7B"/>
    <w:rsid w:val="00C43C95"/>
    <w:rsid w:val="00C51661"/>
    <w:rsid w:val="00C5183D"/>
    <w:rsid w:val="00C52A9F"/>
    <w:rsid w:val="00C52D77"/>
    <w:rsid w:val="00C53F46"/>
    <w:rsid w:val="00C564E3"/>
    <w:rsid w:val="00C57F9A"/>
    <w:rsid w:val="00C6738C"/>
    <w:rsid w:val="00C70B86"/>
    <w:rsid w:val="00C726AE"/>
    <w:rsid w:val="00C72957"/>
    <w:rsid w:val="00C751F2"/>
    <w:rsid w:val="00C75F4F"/>
    <w:rsid w:val="00C8082C"/>
    <w:rsid w:val="00C8606B"/>
    <w:rsid w:val="00C8625D"/>
    <w:rsid w:val="00C916DA"/>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F5F"/>
    <w:rsid w:val="00CD50DF"/>
    <w:rsid w:val="00CD733C"/>
    <w:rsid w:val="00CE2EB7"/>
    <w:rsid w:val="00CE6A09"/>
    <w:rsid w:val="00CF0676"/>
    <w:rsid w:val="00CF2AB0"/>
    <w:rsid w:val="00CF4297"/>
    <w:rsid w:val="00CF4D43"/>
    <w:rsid w:val="00CF675F"/>
    <w:rsid w:val="00CF6A53"/>
    <w:rsid w:val="00D01D6D"/>
    <w:rsid w:val="00D0485E"/>
    <w:rsid w:val="00D11159"/>
    <w:rsid w:val="00D120AD"/>
    <w:rsid w:val="00D14054"/>
    <w:rsid w:val="00D1447F"/>
    <w:rsid w:val="00D17C0F"/>
    <w:rsid w:val="00D2002E"/>
    <w:rsid w:val="00D2304A"/>
    <w:rsid w:val="00D24E97"/>
    <w:rsid w:val="00D24F69"/>
    <w:rsid w:val="00D25903"/>
    <w:rsid w:val="00D329F2"/>
    <w:rsid w:val="00D51F46"/>
    <w:rsid w:val="00D539B9"/>
    <w:rsid w:val="00D567EE"/>
    <w:rsid w:val="00D573B9"/>
    <w:rsid w:val="00D575B2"/>
    <w:rsid w:val="00D61045"/>
    <w:rsid w:val="00D617DB"/>
    <w:rsid w:val="00D645A3"/>
    <w:rsid w:val="00D64F64"/>
    <w:rsid w:val="00D65F10"/>
    <w:rsid w:val="00D65F97"/>
    <w:rsid w:val="00D66472"/>
    <w:rsid w:val="00D75D0A"/>
    <w:rsid w:val="00D77C2B"/>
    <w:rsid w:val="00D803DC"/>
    <w:rsid w:val="00D82E50"/>
    <w:rsid w:val="00D840E3"/>
    <w:rsid w:val="00D85D49"/>
    <w:rsid w:val="00D8746D"/>
    <w:rsid w:val="00D90013"/>
    <w:rsid w:val="00D9299E"/>
    <w:rsid w:val="00D92A15"/>
    <w:rsid w:val="00D94AB9"/>
    <w:rsid w:val="00DA584A"/>
    <w:rsid w:val="00DA588D"/>
    <w:rsid w:val="00DA60AD"/>
    <w:rsid w:val="00DA6F1F"/>
    <w:rsid w:val="00DB0B91"/>
    <w:rsid w:val="00DB3799"/>
    <w:rsid w:val="00DB40DF"/>
    <w:rsid w:val="00DC1740"/>
    <w:rsid w:val="00DC1F31"/>
    <w:rsid w:val="00DC65C4"/>
    <w:rsid w:val="00DD42AA"/>
    <w:rsid w:val="00DD683C"/>
    <w:rsid w:val="00DE0AA2"/>
    <w:rsid w:val="00DE0F12"/>
    <w:rsid w:val="00DE142E"/>
    <w:rsid w:val="00DE27C1"/>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534C"/>
    <w:rsid w:val="00E15B2E"/>
    <w:rsid w:val="00E16FDF"/>
    <w:rsid w:val="00E1713E"/>
    <w:rsid w:val="00E17F42"/>
    <w:rsid w:val="00E21F45"/>
    <w:rsid w:val="00E249F1"/>
    <w:rsid w:val="00E25FD9"/>
    <w:rsid w:val="00E26A94"/>
    <w:rsid w:val="00E27837"/>
    <w:rsid w:val="00E42FA0"/>
    <w:rsid w:val="00E4354A"/>
    <w:rsid w:val="00E46D70"/>
    <w:rsid w:val="00E47989"/>
    <w:rsid w:val="00E47FCD"/>
    <w:rsid w:val="00E512AA"/>
    <w:rsid w:val="00E517B0"/>
    <w:rsid w:val="00E5196C"/>
    <w:rsid w:val="00E52DCF"/>
    <w:rsid w:val="00E56383"/>
    <w:rsid w:val="00E6335A"/>
    <w:rsid w:val="00E63B43"/>
    <w:rsid w:val="00E660BF"/>
    <w:rsid w:val="00E7120C"/>
    <w:rsid w:val="00E7322D"/>
    <w:rsid w:val="00E73362"/>
    <w:rsid w:val="00E75C44"/>
    <w:rsid w:val="00E768BF"/>
    <w:rsid w:val="00E80D9F"/>
    <w:rsid w:val="00E82168"/>
    <w:rsid w:val="00E8302C"/>
    <w:rsid w:val="00E83F16"/>
    <w:rsid w:val="00E86014"/>
    <w:rsid w:val="00E86620"/>
    <w:rsid w:val="00E8696D"/>
    <w:rsid w:val="00E87959"/>
    <w:rsid w:val="00EA663F"/>
    <w:rsid w:val="00EA74F4"/>
    <w:rsid w:val="00EB42BD"/>
    <w:rsid w:val="00EB5F1C"/>
    <w:rsid w:val="00EC291E"/>
    <w:rsid w:val="00ED048B"/>
    <w:rsid w:val="00ED28E2"/>
    <w:rsid w:val="00ED2D1E"/>
    <w:rsid w:val="00ED35E7"/>
    <w:rsid w:val="00ED428B"/>
    <w:rsid w:val="00EE1E10"/>
    <w:rsid w:val="00EE2584"/>
    <w:rsid w:val="00EE2D91"/>
    <w:rsid w:val="00EE3CAB"/>
    <w:rsid w:val="00EE4E4F"/>
    <w:rsid w:val="00EE749C"/>
    <w:rsid w:val="00EE7B53"/>
    <w:rsid w:val="00EF5CC2"/>
    <w:rsid w:val="00F0015D"/>
    <w:rsid w:val="00F00F51"/>
    <w:rsid w:val="00F01515"/>
    <w:rsid w:val="00F0156B"/>
    <w:rsid w:val="00F049E2"/>
    <w:rsid w:val="00F063D9"/>
    <w:rsid w:val="00F103C6"/>
    <w:rsid w:val="00F1142F"/>
    <w:rsid w:val="00F11658"/>
    <w:rsid w:val="00F11D38"/>
    <w:rsid w:val="00F13633"/>
    <w:rsid w:val="00F14EDA"/>
    <w:rsid w:val="00F15509"/>
    <w:rsid w:val="00F206A2"/>
    <w:rsid w:val="00F217AA"/>
    <w:rsid w:val="00F21EC8"/>
    <w:rsid w:val="00F26641"/>
    <w:rsid w:val="00F30C66"/>
    <w:rsid w:val="00F32C54"/>
    <w:rsid w:val="00F33CFF"/>
    <w:rsid w:val="00F45E8E"/>
    <w:rsid w:val="00F4622F"/>
    <w:rsid w:val="00F47E24"/>
    <w:rsid w:val="00F53E64"/>
    <w:rsid w:val="00F614A1"/>
    <w:rsid w:val="00F736ED"/>
    <w:rsid w:val="00F7750D"/>
    <w:rsid w:val="00F80D64"/>
    <w:rsid w:val="00F8157D"/>
    <w:rsid w:val="00F8469E"/>
    <w:rsid w:val="00F90945"/>
    <w:rsid w:val="00F91FEA"/>
    <w:rsid w:val="00F92C06"/>
    <w:rsid w:val="00FA0304"/>
    <w:rsid w:val="00FA1A9F"/>
    <w:rsid w:val="00FA442D"/>
    <w:rsid w:val="00FA5113"/>
    <w:rsid w:val="00FA75B4"/>
    <w:rsid w:val="00FB4239"/>
    <w:rsid w:val="00FB6502"/>
    <w:rsid w:val="00FB687E"/>
    <w:rsid w:val="00FC03D5"/>
    <w:rsid w:val="00FC0690"/>
    <w:rsid w:val="00FC22A0"/>
    <w:rsid w:val="00FC48FC"/>
    <w:rsid w:val="00FC5AD1"/>
    <w:rsid w:val="00FC5D29"/>
    <w:rsid w:val="00FC6AF8"/>
    <w:rsid w:val="00FD54D9"/>
    <w:rsid w:val="00FD55B1"/>
    <w:rsid w:val="00FE4EDA"/>
    <w:rsid w:val="00FE5015"/>
    <w:rsid w:val="00FE51D9"/>
    <w:rsid w:val="00FE6791"/>
    <w:rsid w:val="00FE67CD"/>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UnresolvedMention">
    <w:name w:val="Unresolved Mention"/>
    <w:basedOn w:val="Fuentedeprrafopredeter"/>
    <w:uiPriority w:val="99"/>
    <w:semiHidden/>
    <w:unhideWhenUsed/>
    <w:rsid w:val="0052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BEF61-7EC7-406B-AC04-26EAC009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21</Pages>
  <Words>3356</Words>
  <Characters>18461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Guillermo Trejo Neder</cp:lastModifiedBy>
  <cp:revision>17</cp:revision>
  <cp:lastPrinted>2022-03-10T17:58:00Z</cp:lastPrinted>
  <dcterms:created xsi:type="dcterms:W3CDTF">2022-03-22T03:38:00Z</dcterms:created>
  <dcterms:modified xsi:type="dcterms:W3CDTF">2022-04-25T17:57:00Z</dcterms:modified>
</cp:coreProperties>
</file>