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1.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ABA557" w14:textId="77777777" w:rsidR="00331CBA" w:rsidRPr="009568FB" w:rsidRDefault="00331CBA" w:rsidP="002E2CD6">
      <w:pPr>
        <w:pStyle w:val="Ttulo1"/>
        <w:tabs>
          <w:tab w:val="left" w:pos="5385"/>
        </w:tabs>
        <w:ind w:right="332"/>
        <w:rPr>
          <w:rFonts w:ascii="Century Gothic" w:hAnsi="Century Gothic"/>
        </w:rPr>
      </w:pPr>
      <w:r w:rsidRPr="009568FB">
        <w:rPr>
          <w:rFonts w:ascii="Century Gothic" w:hAnsi="Century Gothic"/>
        </w:rPr>
        <w:t>H. CONGRESO DEL ESTADO</w:t>
      </w:r>
    </w:p>
    <w:p w14:paraId="3AF2B427" w14:textId="77777777" w:rsidR="00331CBA" w:rsidRPr="009568FB" w:rsidRDefault="00331CBA" w:rsidP="002E2CD6">
      <w:pPr>
        <w:ind w:right="332"/>
        <w:jc w:val="both"/>
        <w:rPr>
          <w:rFonts w:ascii="Century Gothic" w:hAnsi="Century Gothic" w:cs="Arial"/>
          <w:b/>
          <w:bCs/>
        </w:rPr>
      </w:pPr>
      <w:r w:rsidRPr="009568FB">
        <w:rPr>
          <w:rFonts w:ascii="Century Gothic" w:hAnsi="Century Gothic" w:cs="Arial"/>
          <w:b/>
          <w:bCs/>
        </w:rPr>
        <w:t>P R E S E N T E. –</w:t>
      </w:r>
    </w:p>
    <w:p w14:paraId="0BF602D4" w14:textId="77777777" w:rsidR="00331CBA" w:rsidRPr="009568FB" w:rsidRDefault="00331CBA" w:rsidP="002E2CD6">
      <w:pPr>
        <w:tabs>
          <w:tab w:val="left" w:pos="6840"/>
        </w:tabs>
        <w:spacing w:line="360" w:lineRule="auto"/>
        <w:ind w:right="332"/>
        <w:jc w:val="both"/>
        <w:rPr>
          <w:rFonts w:ascii="Century Gothic" w:hAnsi="Century Gothic" w:cs="Arial"/>
          <w:b/>
          <w:bCs/>
        </w:rPr>
      </w:pPr>
      <w:r>
        <w:rPr>
          <w:rFonts w:ascii="Century Gothic" w:hAnsi="Century Gothic" w:cs="Arial"/>
          <w:b/>
          <w:bCs/>
        </w:rPr>
        <w:tab/>
      </w:r>
    </w:p>
    <w:p w14:paraId="77D73D81" w14:textId="77777777" w:rsidR="00331CBA" w:rsidRPr="009568FB" w:rsidRDefault="00FB6502" w:rsidP="002E2CD6">
      <w:pPr>
        <w:pStyle w:val="Textoindependiente"/>
        <w:spacing w:line="360" w:lineRule="auto"/>
        <w:ind w:right="332"/>
        <w:rPr>
          <w:rFonts w:ascii="Century Gothic" w:hAnsi="Century Gothic" w:cs="Arial"/>
        </w:rPr>
      </w:pPr>
      <w:r>
        <w:rPr>
          <w:rFonts w:ascii="Century Gothic" w:hAnsi="Century Gothic" w:cs="Arial"/>
        </w:rPr>
        <w:t xml:space="preserve">La Comisión </w:t>
      </w:r>
      <w:r w:rsidR="00FC48FC">
        <w:rPr>
          <w:rFonts w:ascii="Century Gothic" w:hAnsi="Century Gothic" w:cs="Arial"/>
        </w:rPr>
        <w:t xml:space="preserve">de </w:t>
      </w:r>
      <w:r w:rsidR="005D3AD1">
        <w:rPr>
          <w:rFonts w:ascii="Century Gothic" w:hAnsi="Century Gothic" w:cs="Arial"/>
        </w:rPr>
        <w:t>Justicia</w:t>
      </w:r>
      <w:r w:rsidR="00FC48FC">
        <w:rPr>
          <w:rFonts w:ascii="Century Gothic" w:hAnsi="Century Gothic" w:cs="Arial"/>
        </w:rPr>
        <w:t>,</w:t>
      </w:r>
      <w:r w:rsidR="00331CBA" w:rsidRPr="009568FB">
        <w:rPr>
          <w:rFonts w:ascii="Century Gothic" w:hAnsi="Century Gothic" w:cs="Arial"/>
        </w:rPr>
        <w:t xml:space="preserve"> </w:t>
      </w:r>
      <w:r w:rsidR="00331CBA" w:rsidRPr="0002744E">
        <w:rPr>
          <w:rFonts w:ascii="Century Gothic" w:eastAsia="Arial" w:hAnsi="Century Gothic" w:cs="Arial"/>
        </w:rPr>
        <w:t>con fundamento en lo dispuesto</w:t>
      </w:r>
      <w:r w:rsidR="009C6EF9">
        <w:rPr>
          <w:rFonts w:ascii="Century Gothic" w:eastAsia="Arial" w:hAnsi="Century Gothic" w:cs="Arial"/>
        </w:rPr>
        <w:t xml:space="preserve"> </w:t>
      </w:r>
      <w:r w:rsidR="00621915">
        <w:rPr>
          <w:rFonts w:ascii="Century Gothic" w:eastAsia="Arial" w:hAnsi="Century Gothic" w:cs="Arial"/>
        </w:rPr>
        <w:t xml:space="preserve">por los artículos 57 y </w:t>
      </w:r>
      <w:r w:rsidR="00621915" w:rsidRPr="00B139DA">
        <w:rPr>
          <w:rFonts w:ascii="Century Gothic" w:eastAsia="Arial" w:hAnsi="Century Gothic" w:cs="Arial"/>
        </w:rPr>
        <w:t xml:space="preserve">64, fracción I </w:t>
      </w:r>
      <w:r w:rsidR="00621915" w:rsidRPr="003B1094">
        <w:rPr>
          <w:rFonts w:ascii="Century Gothic" w:eastAsia="Arial" w:hAnsi="Century Gothic" w:cs="Arial"/>
        </w:rPr>
        <w:t>de la Constitución Política del Estado de Chihuahua; 87, 88 y 111 de la Ley Orgánica; así como 80 y 81 del Reglamento Interior y de Prácticas Parlamentarias</w:t>
      </w:r>
      <w:r w:rsidR="00621915">
        <w:rPr>
          <w:rFonts w:ascii="Century Gothic" w:eastAsia="Arial" w:hAnsi="Century Gothic" w:cs="Arial"/>
        </w:rPr>
        <w:t>, ambos ordenamientos del Poder Legislativo del Estado de Chihuahua;</w:t>
      </w:r>
      <w:r w:rsidR="00621915" w:rsidRPr="0002744E">
        <w:rPr>
          <w:rFonts w:ascii="Century Gothic" w:eastAsia="Arial" w:hAnsi="Century Gothic" w:cs="Arial"/>
        </w:rPr>
        <w:t xml:space="preserve"> somete a la consideración del Pleno el presente Dictamen, elaborado con base en los siguientes</w:t>
      </w:r>
      <w:r w:rsidR="00621915">
        <w:rPr>
          <w:rFonts w:ascii="Century Gothic" w:eastAsia="Arial" w:hAnsi="Century Gothic" w:cs="Arial"/>
        </w:rPr>
        <w:t>:</w:t>
      </w:r>
      <w:bookmarkStart w:id="0" w:name="_GoBack"/>
      <w:bookmarkEnd w:id="0"/>
    </w:p>
    <w:p w14:paraId="175F6A70" w14:textId="77777777" w:rsidR="00331CBA" w:rsidRDefault="00331CBA" w:rsidP="002E2CD6">
      <w:pPr>
        <w:pStyle w:val="Textoindependiente"/>
        <w:ind w:right="332" w:firstLine="993"/>
        <w:rPr>
          <w:rFonts w:ascii="Century Gothic" w:hAnsi="Century Gothic" w:cs="Arial"/>
          <w:b/>
        </w:rPr>
      </w:pPr>
    </w:p>
    <w:p w14:paraId="428305CE" w14:textId="77777777" w:rsidR="00331CBA" w:rsidRDefault="00331CBA" w:rsidP="002E2CD6">
      <w:pPr>
        <w:pStyle w:val="Ttulo2"/>
        <w:spacing w:line="360" w:lineRule="auto"/>
        <w:ind w:right="332"/>
        <w:rPr>
          <w:rFonts w:ascii="Century Gothic" w:hAnsi="Century Gothic" w:cs="Arial"/>
        </w:rPr>
      </w:pPr>
      <w:r w:rsidRPr="009568FB">
        <w:rPr>
          <w:rFonts w:ascii="Century Gothic" w:hAnsi="Century Gothic" w:cs="Arial"/>
        </w:rPr>
        <w:t>A N T E C E D E N T E S</w:t>
      </w:r>
    </w:p>
    <w:p w14:paraId="378295BD" w14:textId="77777777" w:rsidR="00331CBA" w:rsidRPr="009568FB" w:rsidRDefault="00331CBA" w:rsidP="002E2CD6">
      <w:pPr>
        <w:ind w:right="332"/>
        <w:rPr>
          <w:rFonts w:ascii="Century Gothic" w:hAnsi="Century Gothic" w:cs="Arial"/>
        </w:rPr>
      </w:pPr>
    </w:p>
    <w:p w14:paraId="27B74EB3" w14:textId="423E07E8" w:rsidR="00D65F10" w:rsidRDefault="00331CBA" w:rsidP="002E2CD6">
      <w:pPr>
        <w:shd w:val="clear" w:color="auto" w:fill="FFFFFF"/>
        <w:tabs>
          <w:tab w:val="left" w:pos="9763"/>
        </w:tabs>
        <w:spacing w:line="360" w:lineRule="auto"/>
        <w:ind w:right="332"/>
        <w:jc w:val="both"/>
        <w:rPr>
          <w:rFonts w:ascii="Century Gothic" w:hAnsi="Century Gothic" w:cs="Arial"/>
        </w:rPr>
      </w:pPr>
      <w:r w:rsidRPr="005D3AD1">
        <w:rPr>
          <w:rFonts w:ascii="Century Gothic" w:hAnsi="Century Gothic" w:cs="Arial"/>
          <w:b/>
          <w:bCs/>
        </w:rPr>
        <w:t xml:space="preserve">I.- </w:t>
      </w:r>
      <w:r w:rsidRPr="005D3AD1">
        <w:rPr>
          <w:rFonts w:ascii="Century Gothic" w:hAnsi="Century Gothic" w:cs="Arial"/>
        </w:rPr>
        <w:t xml:space="preserve">Con fecha </w:t>
      </w:r>
      <w:r w:rsidR="000A3638">
        <w:rPr>
          <w:rFonts w:ascii="Century Gothic" w:hAnsi="Century Gothic" w:cs="Arial"/>
        </w:rPr>
        <w:t>07 de diciembre de 2021</w:t>
      </w:r>
      <w:r w:rsidRPr="005D3AD1">
        <w:rPr>
          <w:rFonts w:ascii="Century Gothic" w:hAnsi="Century Gothic" w:cs="Arial"/>
        </w:rPr>
        <w:t>,</w:t>
      </w:r>
      <w:r w:rsidR="000701D0">
        <w:rPr>
          <w:rFonts w:ascii="Century Gothic" w:hAnsi="Century Gothic" w:cs="Arial"/>
        </w:rPr>
        <w:t xml:space="preserve"> </w:t>
      </w:r>
      <w:r w:rsidR="00D65F10">
        <w:rPr>
          <w:rFonts w:ascii="Century Gothic" w:hAnsi="Century Gothic" w:cs="Arial"/>
        </w:rPr>
        <w:t xml:space="preserve">las y los diputados Carla Yamileth Rivas Martínez, </w:t>
      </w:r>
      <w:r w:rsidR="00D65F10" w:rsidRPr="00D65F10">
        <w:rPr>
          <w:rFonts w:ascii="Century Gothic" w:hAnsi="Century Gothic" w:cs="Arial"/>
        </w:rPr>
        <w:t>C</w:t>
      </w:r>
      <w:r w:rsidR="00D65F10">
        <w:rPr>
          <w:rFonts w:ascii="Century Gothic" w:hAnsi="Century Gothic" w:cs="Arial"/>
        </w:rPr>
        <w:t xml:space="preserve">arlos Alfredo Olson San Vicente, Diana Ivette Pereda Gutiérrez, Gabriel Ángel García Cantú, Ismael Pérez Pavía, </w:t>
      </w:r>
      <w:r w:rsidR="00D65F10" w:rsidRPr="00D65F10">
        <w:rPr>
          <w:rFonts w:ascii="Century Gothic" w:hAnsi="Century Gothic" w:cs="Arial"/>
        </w:rPr>
        <w:t>José Alfredo Chávez Madrid</w:t>
      </w:r>
      <w:r w:rsidR="00D65F10">
        <w:rPr>
          <w:rFonts w:ascii="Century Gothic" w:hAnsi="Century Gothic" w:cs="Arial"/>
        </w:rPr>
        <w:t xml:space="preserve">, Luis Alberto Aguilar Lozoya, </w:t>
      </w:r>
      <w:r w:rsidR="00D65F10" w:rsidRPr="00D65F10">
        <w:rPr>
          <w:rFonts w:ascii="Century Gothic" w:hAnsi="Century Gothic" w:cs="Arial"/>
        </w:rPr>
        <w:t>Mario Humberto Vázquez Robles</w:t>
      </w:r>
      <w:r w:rsidR="00D65F10">
        <w:rPr>
          <w:rFonts w:ascii="Century Gothic" w:hAnsi="Century Gothic" w:cs="Arial"/>
        </w:rPr>
        <w:t xml:space="preserve">, Marisela Terrazas Muñoz, </w:t>
      </w:r>
      <w:r w:rsidR="00D65F10" w:rsidRPr="00D65F10">
        <w:rPr>
          <w:rFonts w:ascii="Century Gothic" w:hAnsi="Century Gothic" w:cs="Arial"/>
        </w:rPr>
        <w:t>Roberto Marcelino Carreón Huitrón</w:t>
      </w:r>
      <w:r w:rsidR="00D65F10">
        <w:rPr>
          <w:rFonts w:ascii="Century Gothic" w:hAnsi="Century Gothic" w:cs="Arial"/>
        </w:rPr>
        <w:t>,</w:t>
      </w:r>
      <w:r w:rsidR="00D65F10" w:rsidRPr="00D65F10">
        <w:rPr>
          <w:rFonts w:ascii="Century Gothic" w:hAnsi="Century Gothic" w:cs="Arial"/>
        </w:rPr>
        <w:t xml:space="preserve"> R</w:t>
      </w:r>
      <w:r w:rsidR="00D65F10">
        <w:rPr>
          <w:rFonts w:ascii="Century Gothic" w:hAnsi="Century Gothic" w:cs="Arial"/>
        </w:rPr>
        <w:t>ocio Guadalupe Sarmiento Rufino, Rosa Isela Martínez Díaz,</w:t>
      </w:r>
      <w:r w:rsidR="00D65F10" w:rsidRPr="00D65F10">
        <w:rPr>
          <w:rFonts w:ascii="Century Gothic" w:hAnsi="Century Gothic" w:cs="Arial"/>
        </w:rPr>
        <w:t xml:space="preserve"> Saúl Mireles Corral</w:t>
      </w:r>
      <w:r w:rsidR="00D65F10">
        <w:rPr>
          <w:rFonts w:ascii="Century Gothic" w:hAnsi="Century Gothic" w:cs="Arial"/>
        </w:rPr>
        <w:t xml:space="preserve"> y Georgina Alejandra Bujanda Ríos, integrantes del Grupo Parlamentario del Partido Acción Nacional, presentaron iniciativa con carácter de </w:t>
      </w:r>
      <w:r w:rsidR="00D65F10" w:rsidRPr="00D65F10">
        <w:rPr>
          <w:rFonts w:ascii="Century Gothic" w:hAnsi="Century Gothic" w:cs="Arial"/>
        </w:rPr>
        <w:t xml:space="preserve">decreto, a efecto de </w:t>
      </w:r>
      <w:r w:rsidR="000A3638" w:rsidRPr="000A3638">
        <w:rPr>
          <w:rFonts w:ascii="Century Gothic" w:hAnsi="Century Gothic" w:cs="Arial"/>
        </w:rPr>
        <w:t>adicionar la fracción VIII al artículo 175 del Código Penal del Estado de Chihuahua, con el propósito de agravar los delitos de violación y abuso sexual cuando se suministre a la víctima alguna sustancia psicotrópica o estupefaciente en contra de su voluntad o sin su conocimiento, previo o durante la comisión del delito.</w:t>
      </w:r>
    </w:p>
    <w:p w14:paraId="3E52F71A" w14:textId="77777777" w:rsidR="00D65F10" w:rsidRDefault="00D65F10" w:rsidP="002E2CD6">
      <w:pPr>
        <w:shd w:val="clear" w:color="auto" w:fill="FFFFFF"/>
        <w:tabs>
          <w:tab w:val="left" w:pos="9763"/>
        </w:tabs>
        <w:spacing w:line="360" w:lineRule="auto"/>
        <w:ind w:right="332"/>
        <w:jc w:val="both"/>
        <w:rPr>
          <w:rFonts w:ascii="Century Gothic" w:hAnsi="Century Gothic" w:cs="Arial"/>
        </w:rPr>
      </w:pPr>
    </w:p>
    <w:p w14:paraId="0FDE84A1" w14:textId="77777777" w:rsidR="008A50ED" w:rsidRDefault="008A50ED" w:rsidP="002E2CD6">
      <w:pPr>
        <w:shd w:val="clear" w:color="auto" w:fill="FFFFFF"/>
        <w:tabs>
          <w:tab w:val="left" w:pos="9763"/>
        </w:tabs>
        <w:spacing w:line="360" w:lineRule="auto"/>
        <w:ind w:right="332"/>
        <w:jc w:val="both"/>
        <w:rPr>
          <w:rFonts w:ascii="Century Gothic" w:hAnsi="Century Gothic" w:cs="Arial"/>
        </w:rPr>
      </w:pPr>
    </w:p>
    <w:p w14:paraId="6692C258" w14:textId="3AA763FE" w:rsidR="007E7F92" w:rsidRPr="007E7F92" w:rsidRDefault="00F0156B" w:rsidP="002E2CD6">
      <w:pPr>
        <w:shd w:val="clear" w:color="auto" w:fill="FFFFFF"/>
        <w:tabs>
          <w:tab w:val="left" w:pos="9763"/>
        </w:tabs>
        <w:spacing w:line="360" w:lineRule="auto"/>
        <w:ind w:right="332"/>
        <w:jc w:val="both"/>
        <w:rPr>
          <w:rFonts w:ascii="Century Gothic" w:eastAsia="Arial" w:hAnsi="Century Gothic" w:cs="Arial"/>
        </w:rPr>
      </w:pPr>
      <w:r w:rsidRPr="00F0156B">
        <w:rPr>
          <w:rFonts w:ascii="Century Gothic" w:hAnsi="Century Gothic" w:cs="Arial"/>
          <w:b/>
        </w:rPr>
        <w:t>II.-</w:t>
      </w:r>
      <w:r>
        <w:rPr>
          <w:rFonts w:ascii="Century Gothic" w:hAnsi="Century Gothic" w:cs="Arial"/>
        </w:rPr>
        <w:t xml:space="preserve"> </w:t>
      </w:r>
      <w:r w:rsidR="007E7F92">
        <w:rPr>
          <w:rFonts w:ascii="Century Gothic" w:hAnsi="Century Gothic" w:cs="Arial"/>
        </w:rPr>
        <w:t xml:space="preserve">La Presidencia del H. Congreso del Estado, con fecha </w:t>
      </w:r>
      <w:r w:rsidR="000A3638">
        <w:rPr>
          <w:rFonts w:ascii="Century Gothic" w:hAnsi="Century Gothic" w:cs="Arial"/>
        </w:rPr>
        <w:t>09</w:t>
      </w:r>
      <w:r w:rsidR="008A50ED">
        <w:rPr>
          <w:rFonts w:ascii="Century Gothic" w:hAnsi="Century Gothic" w:cs="Arial"/>
        </w:rPr>
        <w:t xml:space="preserve"> de </w:t>
      </w:r>
      <w:r w:rsidR="000A3638">
        <w:rPr>
          <w:rFonts w:ascii="Century Gothic" w:hAnsi="Century Gothic" w:cs="Arial"/>
        </w:rPr>
        <w:t>diciembre</w:t>
      </w:r>
      <w:r w:rsidR="008A50ED">
        <w:rPr>
          <w:rFonts w:ascii="Century Gothic" w:hAnsi="Century Gothic" w:cs="Arial"/>
        </w:rPr>
        <w:t xml:space="preserve"> de 2021,</w:t>
      </w:r>
      <w:r w:rsidR="007E7F92">
        <w:rPr>
          <w:rFonts w:ascii="Century Gothic" w:hAnsi="Century Gothic" w:cs="Arial"/>
        </w:rPr>
        <w:t xml:space="preserve"> en </w:t>
      </w:r>
      <w:r w:rsidR="007E7F92">
        <w:rPr>
          <w:rFonts w:ascii="Century Gothic" w:eastAsia="Arial" w:hAnsi="Century Gothic" w:cs="Arial"/>
        </w:rPr>
        <w:t xml:space="preserve">uso de las facultades que le confiere el artículo 75, fracción XIII, de la Ley Orgánica del Poder Legislativo, tuvo a bien turnar a la Comisión de </w:t>
      </w:r>
      <w:r w:rsidR="005D3AD1">
        <w:rPr>
          <w:rFonts w:ascii="Century Gothic" w:eastAsia="Arial" w:hAnsi="Century Gothic" w:cs="Arial"/>
        </w:rPr>
        <w:t>Justicia</w:t>
      </w:r>
      <w:r w:rsidR="00245BFF">
        <w:rPr>
          <w:rFonts w:ascii="Century Gothic" w:eastAsia="Arial" w:hAnsi="Century Gothic" w:cs="Arial"/>
        </w:rPr>
        <w:t xml:space="preserve">, la </w:t>
      </w:r>
      <w:r w:rsidR="005100FF">
        <w:rPr>
          <w:rFonts w:ascii="Century Gothic" w:eastAsia="Arial" w:hAnsi="Century Gothic" w:cs="Arial"/>
        </w:rPr>
        <w:t>i</w:t>
      </w:r>
      <w:r w:rsidR="00BC19BA">
        <w:rPr>
          <w:rFonts w:ascii="Century Gothic" w:eastAsia="Arial" w:hAnsi="Century Gothic" w:cs="Arial"/>
        </w:rPr>
        <w:t>niciativa de mérito</w:t>
      </w:r>
      <w:r w:rsidR="007E7F92" w:rsidRPr="00A91DCA">
        <w:rPr>
          <w:rFonts w:ascii="Century Gothic" w:hAnsi="Century Gothic" w:cs="Arial"/>
        </w:rPr>
        <w:t>,</w:t>
      </w:r>
      <w:r w:rsidR="007E7F92">
        <w:rPr>
          <w:rFonts w:ascii="Century Gothic" w:eastAsia="Arial" w:hAnsi="Century Gothic" w:cs="Arial"/>
        </w:rPr>
        <w:t xml:space="preserve"> a efecto de proceder al estudio, análisis y elaboración del dictamen correspondiente.</w:t>
      </w:r>
    </w:p>
    <w:p w14:paraId="27368A1B" w14:textId="77777777" w:rsidR="00917BA4" w:rsidRDefault="00917BA4" w:rsidP="002E2CD6">
      <w:pPr>
        <w:shd w:val="clear" w:color="auto" w:fill="FFFFFF"/>
        <w:tabs>
          <w:tab w:val="left" w:pos="9763"/>
        </w:tabs>
        <w:spacing w:line="360" w:lineRule="auto"/>
        <w:ind w:right="332"/>
        <w:jc w:val="both"/>
        <w:rPr>
          <w:rFonts w:ascii="Century Gothic" w:hAnsi="Century Gothic" w:cs="Arial"/>
        </w:rPr>
      </w:pPr>
    </w:p>
    <w:p w14:paraId="725CE301" w14:textId="03A572CD" w:rsidR="00331CBA" w:rsidRPr="003B10E3" w:rsidRDefault="00022EC4" w:rsidP="002E2CD6">
      <w:pPr>
        <w:shd w:val="clear" w:color="auto" w:fill="FFFFFF"/>
        <w:tabs>
          <w:tab w:val="left" w:pos="9763"/>
        </w:tabs>
        <w:spacing w:line="360" w:lineRule="auto"/>
        <w:ind w:right="332"/>
        <w:jc w:val="both"/>
        <w:rPr>
          <w:rFonts w:ascii="Century Gothic" w:eastAsia="Arial" w:hAnsi="Century Gothic" w:cs="Arial"/>
        </w:rPr>
      </w:pPr>
      <w:r>
        <w:rPr>
          <w:rFonts w:ascii="Century Gothic" w:hAnsi="Century Gothic" w:cs="Arial"/>
          <w:b/>
        </w:rPr>
        <w:t>I</w:t>
      </w:r>
      <w:r w:rsidR="002A578A">
        <w:rPr>
          <w:rFonts w:ascii="Century Gothic" w:hAnsi="Century Gothic" w:cs="Arial"/>
          <w:b/>
        </w:rPr>
        <w:t>II</w:t>
      </w:r>
      <w:r w:rsidR="00F33CFF" w:rsidRPr="00E24D27">
        <w:rPr>
          <w:rFonts w:ascii="Century Gothic" w:hAnsi="Century Gothic" w:cs="Arial"/>
          <w:b/>
        </w:rPr>
        <w:t>.-</w:t>
      </w:r>
      <w:r w:rsidR="00F33CFF">
        <w:rPr>
          <w:rFonts w:ascii="Century Gothic" w:hAnsi="Century Gothic" w:cs="Arial"/>
        </w:rPr>
        <w:t xml:space="preserve"> </w:t>
      </w:r>
      <w:r w:rsidR="008A50ED">
        <w:rPr>
          <w:rFonts w:ascii="Century Gothic" w:hAnsi="Century Gothic" w:cs="Arial"/>
          <w:bCs/>
        </w:rPr>
        <w:t xml:space="preserve">La iniciativa </w:t>
      </w:r>
      <w:r w:rsidR="005D3EF3">
        <w:rPr>
          <w:rFonts w:ascii="Century Gothic" w:hAnsi="Century Gothic" w:cs="Arial"/>
          <w:bCs/>
        </w:rPr>
        <w:t xml:space="preserve">enunciada como asunto </w:t>
      </w:r>
      <w:r w:rsidR="000A3638">
        <w:rPr>
          <w:rFonts w:ascii="Century Gothic" w:hAnsi="Century Gothic" w:cs="Arial"/>
          <w:bCs/>
        </w:rPr>
        <w:t>658</w:t>
      </w:r>
      <w:r w:rsidR="005D3EF3">
        <w:rPr>
          <w:rFonts w:ascii="Century Gothic" w:hAnsi="Century Gothic" w:cs="Arial"/>
          <w:bCs/>
        </w:rPr>
        <w:t>,</w:t>
      </w:r>
      <w:r w:rsidR="00331CBA" w:rsidRPr="009568FB">
        <w:rPr>
          <w:rFonts w:ascii="Century Gothic" w:hAnsi="Century Gothic" w:cs="Arial"/>
          <w:bCs/>
        </w:rPr>
        <w:t xml:space="preserve"> </w:t>
      </w:r>
      <w:r w:rsidR="00323DC4">
        <w:rPr>
          <w:rFonts w:ascii="Century Gothic" w:hAnsi="Century Gothic" w:cs="Arial"/>
          <w:bCs/>
        </w:rPr>
        <w:t>se sustenta en los</w:t>
      </w:r>
      <w:r w:rsidR="00331CBA">
        <w:rPr>
          <w:rFonts w:ascii="Century Gothic" w:hAnsi="Century Gothic" w:cs="Arial"/>
          <w:bCs/>
        </w:rPr>
        <w:t xml:space="preserve"> siguiente</w:t>
      </w:r>
      <w:r w:rsidR="00323DC4">
        <w:rPr>
          <w:rFonts w:ascii="Century Gothic" w:hAnsi="Century Gothic" w:cs="Arial"/>
          <w:bCs/>
        </w:rPr>
        <w:t>s argumentos</w:t>
      </w:r>
      <w:r w:rsidR="00331CBA">
        <w:rPr>
          <w:rFonts w:ascii="Century Gothic" w:hAnsi="Century Gothic" w:cs="Arial"/>
          <w:bCs/>
        </w:rPr>
        <w:t>:</w:t>
      </w:r>
    </w:p>
    <w:p w14:paraId="707D9C37" w14:textId="77777777" w:rsidR="006C3CD3" w:rsidRPr="00917BA4" w:rsidRDefault="006C3CD3" w:rsidP="002E2CD6">
      <w:pPr>
        <w:pStyle w:val="Textoindependiente"/>
        <w:spacing w:line="360" w:lineRule="auto"/>
        <w:ind w:right="332"/>
        <w:rPr>
          <w:rFonts w:ascii="Century Gothic" w:hAnsi="Century Gothic" w:cs="Arial"/>
          <w:bCs/>
          <w:lang w:val="es-MX"/>
        </w:rPr>
      </w:pPr>
    </w:p>
    <w:p w14:paraId="0C3A7863" w14:textId="4A5D6009" w:rsidR="000A3638" w:rsidRDefault="00FA75B4" w:rsidP="000A3638">
      <w:pPr>
        <w:autoSpaceDE w:val="0"/>
        <w:autoSpaceDN w:val="0"/>
        <w:adjustRightInd w:val="0"/>
        <w:spacing w:line="360" w:lineRule="auto"/>
        <w:ind w:left="851" w:right="1466"/>
        <w:jc w:val="both"/>
        <w:rPr>
          <w:rFonts w:ascii="Century Gothic" w:eastAsia="Arial" w:hAnsi="Century Gothic"/>
          <w:i/>
          <w:sz w:val="22"/>
          <w:szCs w:val="22"/>
          <w:lang w:val="es-MX"/>
        </w:rPr>
      </w:pPr>
      <w:r w:rsidRPr="003E44B8">
        <w:rPr>
          <w:rFonts w:ascii="Century Gothic" w:eastAsia="Arial" w:hAnsi="Century Gothic"/>
          <w:i/>
          <w:sz w:val="22"/>
          <w:szCs w:val="22"/>
        </w:rPr>
        <w:t xml:space="preserve"> </w:t>
      </w:r>
      <w:r w:rsidR="00B46904" w:rsidRPr="003E44B8">
        <w:rPr>
          <w:rFonts w:ascii="Century Gothic" w:eastAsia="Arial" w:hAnsi="Century Gothic"/>
          <w:i/>
          <w:sz w:val="22"/>
          <w:szCs w:val="22"/>
        </w:rPr>
        <w:t>“</w:t>
      </w:r>
      <w:r w:rsidR="000A3638" w:rsidRPr="000A3638">
        <w:rPr>
          <w:rFonts w:ascii="Century Gothic" w:eastAsia="Arial" w:hAnsi="Century Gothic"/>
          <w:i/>
          <w:sz w:val="22"/>
          <w:szCs w:val="22"/>
          <w:lang w:val="es-MX"/>
        </w:rPr>
        <w:t xml:space="preserve">Atentar contra la integridad sexual de una persona, es uno de los hechos más deleznables que existen. A pesar de que las conductas que tienen como consecuencia el atentado de la seguridad sexual ya se encuentran sancionadas por nuestra legislación nacional y local, las mismas siguen teniendo una alta incidencia. </w:t>
      </w:r>
    </w:p>
    <w:p w14:paraId="7B3A0BFD" w14:textId="77777777" w:rsidR="000A3638" w:rsidRPr="000A3638" w:rsidRDefault="000A3638" w:rsidP="000A3638">
      <w:pPr>
        <w:autoSpaceDE w:val="0"/>
        <w:autoSpaceDN w:val="0"/>
        <w:adjustRightInd w:val="0"/>
        <w:spacing w:line="360" w:lineRule="auto"/>
        <w:ind w:left="851" w:right="1466"/>
        <w:jc w:val="both"/>
        <w:rPr>
          <w:rFonts w:ascii="Century Gothic" w:eastAsia="Arial" w:hAnsi="Century Gothic"/>
          <w:i/>
          <w:sz w:val="22"/>
          <w:szCs w:val="22"/>
          <w:lang w:val="es-MX"/>
        </w:rPr>
      </w:pPr>
    </w:p>
    <w:p w14:paraId="3A2930BA" w14:textId="3FD4C217" w:rsidR="000A3638" w:rsidRDefault="000A3638" w:rsidP="000A3638">
      <w:pPr>
        <w:autoSpaceDE w:val="0"/>
        <w:autoSpaceDN w:val="0"/>
        <w:adjustRightInd w:val="0"/>
        <w:spacing w:line="360" w:lineRule="auto"/>
        <w:ind w:left="851" w:right="1466"/>
        <w:jc w:val="both"/>
        <w:rPr>
          <w:rFonts w:ascii="Century Gothic" w:eastAsia="Arial" w:hAnsi="Century Gothic"/>
          <w:i/>
          <w:sz w:val="22"/>
          <w:szCs w:val="22"/>
          <w:lang w:val="es-MX"/>
        </w:rPr>
      </w:pPr>
      <w:r w:rsidRPr="000A3638">
        <w:rPr>
          <w:rFonts w:ascii="Century Gothic" w:eastAsia="Arial" w:hAnsi="Century Gothic"/>
          <w:i/>
          <w:sz w:val="22"/>
          <w:szCs w:val="22"/>
          <w:lang w:val="es-MX"/>
        </w:rPr>
        <w:t xml:space="preserve">Desde este congreso, así como diversos actores políticos y sociales, hemos encaminado esfuerzos por prevenir el abuso sexual y la violación, sin embargo aún queda mucho por hacer, y lograr que estos delitos disminuyan. </w:t>
      </w:r>
    </w:p>
    <w:p w14:paraId="6026C4EB" w14:textId="77777777" w:rsidR="000A3638" w:rsidRPr="000A3638" w:rsidRDefault="000A3638" w:rsidP="000A3638">
      <w:pPr>
        <w:autoSpaceDE w:val="0"/>
        <w:autoSpaceDN w:val="0"/>
        <w:adjustRightInd w:val="0"/>
        <w:spacing w:line="360" w:lineRule="auto"/>
        <w:ind w:left="851" w:right="1466"/>
        <w:jc w:val="both"/>
        <w:rPr>
          <w:rFonts w:ascii="Century Gothic" w:eastAsia="Arial" w:hAnsi="Century Gothic"/>
          <w:i/>
          <w:sz w:val="22"/>
          <w:szCs w:val="22"/>
          <w:lang w:val="es-MX"/>
        </w:rPr>
      </w:pPr>
    </w:p>
    <w:p w14:paraId="593F2357" w14:textId="19681CBC" w:rsidR="000A3638" w:rsidRDefault="000A3638" w:rsidP="000A3638">
      <w:pPr>
        <w:autoSpaceDE w:val="0"/>
        <w:autoSpaceDN w:val="0"/>
        <w:adjustRightInd w:val="0"/>
        <w:spacing w:line="360" w:lineRule="auto"/>
        <w:ind w:left="851" w:right="1466"/>
        <w:jc w:val="both"/>
        <w:rPr>
          <w:rFonts w:ascii="Century Gothic" w:eastAsia="Arial" w:hAnsi="Century Gothic"/>
          <w:i/>
          <w:sz w:val="22"/>
          <w:szCs w:val="22"/>
          <w:lang w:val="es-MX"/>
        </w:rPr>
      </w:pPr>
      <w:r w:rsidRPr="000A3638">
        <w:rPr>
          <w:rFonts w:ascii="Century Gothic" w:eastAsia="Arial" w:hAnsi="Century Gothic"/>
          <w:i/>
          <w:sz w:val="22"/>
          <w:szCs w:val="22"/>
          <w:lang w:val="es-MX"/>
        </w:rPr>
        <w:lastRenderedPageBreak/>
        <w:t>Por cada delito sexual cometido en contra de un hombre, se contabilizan 11 en contra de mujeres.</w:t>
      </w:r>
      <w:r w:rsidRPr="000A3638">
        <w:rPr>
          <w:rFonts w:ascii="Century Gothic" w:eastAsia="Arial" w:hAnsi="Century Gothic"/>
          <w:i/>
          <w:sz w:val="22"/>
          <w:szCs w:val="22"/>
          <w:vertAlign w:val="superscript"/>
          <w:lang w:val="es-MX"/>
        </w:rPr>
        <w:footnoteReference w:id="1"/>
      </w:r>
      <w:r w:rsidRPr="000A3638">
        <w:rPr>
          <w:rFonts w:ascii="Century Gothic" w:eastAsia="Arial" w:hAnsi="Century Gothic"/>
          <w:i/>
          <w:sz w:val="22"/>
          <w:szCs w:val="22"/>
          <w:lang w:val="es-MX"/>
        </w:rPr>
        <w:t xml:space="preserve"> Según ONU mujeres a nivel mundial, alrededor de 15 millones de mujeres de entre 15 y 19 años de edad, han sufrido relaciones sexuales forzadas a lo largo de su vida. </w:t>
      </w:r>
      <w:r w:rsidRPr="000A3638">
        <w:rPr>
          <w:rFonts w:ascii="Century Gothic" w:eastAsia="Arial" w:hAnsi="Century Gothic"/>
          <w:i/>
          <w:sz w:val="22"/>
          <w:szCs w:val="22"/>
          <w:vertAlign w:val="superscript"/>
          <w:lang w:val="es-MX"/>
        </w:rPr>
        <w:footnoteReference w:id="2"/>
      </w:r>
    </w:p>
    <w:p w14:paraId="4A231B22" w14:textId="77777777" w:rsidR="000A3638" w:rsidRPr="000A3638" w:rsidRDefault="000A3638" w:rsidP="000A3638">
      <w:pPr>
        <w:autoSpaceDE w:val="0"/>
        <w:autoSpaceDN w:val="0"/>
        <w:adjustRightInd w:val="0"/>
        <w:spacing w:line="360" w:lineRule="auto"/>
        <w:ind w:left="851" w:right="1466"/>
        <w:jc w:val="both"/>
        <w:rPr>
          <w:rFonts w:ascii="Century Gothic" w:eastAsia="Arial" w:hAnsi="Century Gothic"/>
          <w:i/>
          <w:sz w:val="22"/>
          <w:szCs w:val="22"/>
          <w:lang w:val="es-MX"/>
        </w:rPr>
      </w:pPr>
    </w:p>
    <w:p w14:paraId="663B9D4A" w14:textId="1E99D0C8" w:rsidR="000A3638" w:rsidRDefault="000A3638" w:rsidP="000A3638">
      <w:pPr>
        <w:autoSpaceDE w:val="0"/>
        <w:autoSpaceDN w:val="0"/>
        <w:adjustRightInd w:val="0"/>
        <w:spacing w:line="360" w:lineRule="auto"/>
        <w:ind w:left="851" w:right="1466"/>
        <w:jc w:val="both"/>
        <w:rPr>
          <w:rFonts w:ascii="Century Gothic" w:eastAsia="Arial" w:hAnsi="Century Gothic"/>
          <w:i/>
          <w:sz w:val="22"/>
          <w:szCs w:val="22"/>
          <w:lang w:val="es-MX"/>
        </w:rPr>
      </w:pPr>
      <w:r w:rsidRPr="000A3638">
        <w:rPr>
          <w:rFonts w:ascii="Century Gothic" w:eastAsia="Arial" w:hAnsi="Century Gothic"/>
          <w:i/>
          <w:sz w:val="22"/>
          <w:szCs w:val="22"/>
          <w:lang w:val="es-MX"/>
        </w:rPr>
        <w:t xml:space="preserve">En México la violencia sexual en contra de las mujeres es muy alta. Según datos del Secretariado Ejecutivo del Sistema Nacional de Seguridad Pública, durante 2020 se registraron un total de 5 mil 3 casos de abuso sexual, mientras que al cierre de octubre del presente al año suman ya 5 mil 216; es decir este año finalizará con un alza en la incidencia de este delito en todo el país. Nuestro estado, ocupa en este mismo tiempo el segundo lugar nacional con 602 casos de abuso sexual. </w:t>
      </w:r>
    </w:p>
    <w:p w14:paraId="0DEB5D54" w14:textId="77777777" w:rsidR="000A3638" w:rsidRPr="000A3638" w:rsidRDefault="000A3638" w:rsidP="000A3638">
      <w:pPr>
        <w:autoSpaceDE w:val="0"/>
        <w:autoSpaceDN w:val="0"/>
        <w:adjustRightInd w:val="0"/>
        <w:spacing w:line="360" w:lineRule="auto"/>
        <w:ind w:left="851" w:right="1466"/>
        <w:jc w:val="both"/>
        <w:rPr>
          <w:rFonts w:ascii="Century Gothic" w:eastAsia="Arial" w:hAnsi="Century Gothic"/>
          <w:i/>
          <w:sz w:val="22"/>
          <w:szCs w:val="22"/>
          <w:lang w:val="es-MX"/>
        </w:rPr>
      </w:pPr>
    </w:p>
    <w:p w14:paraId="180E142D" w14:textId="2ED87E60" w:rsidR="000A3638" w:rsidRDefault="000A3638" w:rsidP="000A3638">
      <w:pPr>
        <w:autoSpaceDE w:val="0"/>
        <w:autoSpaceDN w:val="0"/>
        <w:adjustRightInd w:val="0"/>
        <w:spacing w:line="360" w:lineRule="auto"/>
        <w:ind w:left="851" w:right="1466"/>
        <w:jc w:val="both"/>
        <w:rPr>
          <w:rFonts w:ascii="Century Gothic" w:eastAsia="Arial" w:hAnsi="Century Gothic"/>
          <w:i/>
          <w:sz w:val="22"/>
          <w:szCs w:val="22"/>
          <w:lang w:val="es-MX"/>
        </w:rPr>
      </w:pPr>
      <w:r w:rsidRPr="000A3638">
        <w:rPr>
          <w:rFonts w:ascii="Century Gothic" w:eastAsia="Arial" w:hAnsi="Century Gothic"/>
          <w:i/>
          <w:sz w:val="22"/>
          <w:szCs w:val="22"/>
          <w:lang w:val="es-MX"/>
        </w:rPr>
        <w:t>Así mismo, se tiene registro a nivel nacional de 3 mil 29 incidentes del delito de Violación hasta octubre de este año. Mientras que en Chihuahua, esta cifra asciende a 257 casos, poniendo a nuestra entidad en cuarto lugar nacional.</w:t>
      </w:r>
    </w:p>
    <w:p w14:paraId="427506FC" w14:textId="77777777" w:rsidR="000A3638" w:rsidRPr="000A3638" w:rsidRDefault="000A3638" w:rsidP="000A3638">
      <w:pPr>
        <w:autoSpaceDE w:val="0"/>
        <w:autoSpaceDN w:val="0"/>
        <w:adjustRightInd w:val="0"/>
        <w:spacing w:line="360" w:lineRule="auto"/>
        <w:ind w:left="851" w:right="1466"/>
        <w:jc w:val="both"/>
        <w:rPr>
          <w:rFonts w:ascii="Century Gothic" w:eastAsia="Arial" w:hAnsi="Century Gothic"/>
          <w:i/>
          <w:sz w:val="22"/>
          <w:szCs w:val="22"/>
          <w:lang w:val="es-MX"/>
        </w:rPr>
      </w:pPr>
    </w:p>
    <w:p w14:paraId="6F28B239" w14:textId="43A45CD4" w:rsidR="000A3638" w:rsidRDefault="000A3638" w:rsidP="000A3638">
      <w:pPr>
        <w:autoSpaceDE w:val="0"/>
        <w:autoSpaceDN w:val="0"/>
        <w:adjustRightInd w:val="0"/>
        <w:spacing w:line="360" w:lineRule="auto"/>
        <w:ind w:left="851" w:right="1466"/>
        <w:jc w:val="both"/>
        <w:rPr>
          <w:rFonts w:ascii="Century Gothic" w:eastAsia="Arial" w:hAnsi="Century Gothic"/>
          <w:i/>
          <w:sz w:val="22"/>
          <w:szCs w:val="22"/>
          <w:lang w:val="es-MX"/>
        </w:rPr>
      </w:pPr>
      <w:r w:rsidRPr="000A3638">
        <w:rPr>
          <w:rFonts w:ascii="Century Gothic" w:eastAsia="Arial" w:hAnsi="Century Gothic"/>
          <w:i/>
          <w:sz w:val="22"/>
          <w:szCs w:val="22"/>
          <w:lang w:val="es-MX"/>
        </w:rPr>
        <w:t xml:space="preserve">Ante este lamentable escenario, es importante analizar las tareas pendientes en nuestro estado. La prevención, siempre será la </w:t>
      </w:r>
      <w:r w:rsidRPr="000A3638">
        <w:rPr>
          <w:rFonts w:ascii="Century Gothic" w:eastAsia="Arial" w:hAnsi="Century Gothic"/>
          <w:i/>
          <w:sz w:val="22"/>
          <w:szCs w:val="22"/>
          <w:lang w:val="es-MX"/>
        </w:rPr>
        <w:lastRenderedPageBreak/>
        <w:t xml:space="preserve">mejor arma para combatir el delito, sin embargo, es importante que nuestra legislación atienda el contexto social actual. </w:t>
      </w:r>
    </w:p>
    <w:p w14:paraId="1389F714" w14:textId="77777777" w:rsidR="000A3638" w:rsidRPr="000A3638" w:rsidRDefault="000A3638" w:rsidP="000A3638">
      <w:pPr>
        <w:autoSpaceDE w:val="0"/>
        <w:autoSpaceDN w:val="0"/>
        <w:adjustRightInd w:val="0"/>
        <w:spacing w:line="360" w:lineRule="auto"/>
        <w:ind w:left="851" w:right="1466"/>
        <w:jc w:val="both"/>
        <w:rPr>
          <w:rFonts w:ascii="Century Gothic" w:eastAsia="Arial" w:hAnsi="Century Gothic"/>
          <w:i/>
          <w:sz w:val="22"/>
          <w:szCs w:val="22"/>
          <w:lang w:val="es-MX"/>
        </w:rPr>
      </w:pPr>
    </w:p>
    <w:p w14:paraId="074A3789" w14:textId="6352FEFC" w:rsidR="000A3638" w:rsidRDefault="000A3638" w:rsidP="000A3638">
      <w:pPr>
        <w:autoSpaceDE w:val="0"/>
        <w:autoSpaceDN w:val="0"/>
        <w:adjustRightInd w:val="0"/>
        <w:spacing w:line="360" w:lineRule="auto"/>
        <w:ind w:left="851" w:right="1466"/>
        <w:jc w:val="both"/>
        <w:rPr>
          <w:rFonts w:ascii="Century Gothic" w:eastAsia="Arial" w:hAnsi="Century Gothic"/>
          <w:i/>
          <w:sz w:val="22"/>
          <w:szCs w:val="22"/>
          <w:lang w:val="es-MX"/>
        </w:rPr>
      </w:pPr>
      <w:r w:rsidRPr="000A3638">
        <w:rPr>
          <w:rFonts w:ascii="Century Gothic" w:eastAsia="Arial" w:hAnsi="Century Gothic"/>
          <w:i/>
          <w:sz w:val="22"/>
          <w:szCs w:val="22"/>
          <w:lang w:val="es-MX"/>
        </w:rPr>
        <w:t>Según señala el documento “Violencia sexual contra las mujeres y consumo de drogas” elaborado por el Instituto Nacional de las Mujeres, hasta 17% de las agresiones sexuales podrían considerarse como casos de sumisión química por exposición involuntaria de la víctima a alguna sustancia psicoactiva. Asimismo, dispone que algunas de las víctimas no denuncian, en parte por el efecto amnésico de las sustancias.</w:t>
      </w:r>
      <w:r w:rsidRPr="000A3638">
        <w:rPr>
          <w:rFonts w:ascii="Century Gothic" w:eastAsia="Arial" w:hAnsi="Century Gothic"/>
          <w:i/>
          <w:sz w:val="22"/>
          <w:szCs w:val="22"/>
          <w:vertAlign w:val="superscript"/>
          <w:lang w:val="es-MX"/>
        </w:rPr>
        <w:footnoteReference w:id="3"/>
      </w:r>
    </w:p>
    <w:p w14:paraId="020CE470" w14:textId="77777777" w:rsidR="000A3638" w:rsidRPr="000A3638" w:rsidRDefault="000A3638" w:rsidP="000A3638">
      <w:pPr>
        <w:autoSpaceDE w:val="0"/>
        <w:autoSpaceDN w:val="0"/>
        <w:adjustRightInd w:val="0"/>
        <w:spacing w:line="360" w:lineRule="auto"/>
        <w:ind w:left="851" w:right="1466"/>
        <w:jc w:val="both"/>
        <w:rPr>
          <w:rFonts w:ascii="Century Gothic" w:eastAsia="Arial" w:hAnsi="Century Gothic"/>
          <w:i/>
          <w:sz w:val="22"/>
          <w:szCs w:val="22"/>
          <w:lang w:val="es-MX"/>
        </w:rPr>
      </w:pPr>
    </w:p>
    <w:p w14:paraId="45413BF1" w14:textId="66862249" w:rsidR="000A3638" w:rsidRDefault="000A3638" w:rsidP="000A3638">
      <w:pPr>
        <w:autoSpaceDE w:val="0"/>
        <w:autoSpaceDN w:val="0"/>
        <w:adjustRightInd w:val="0"/>
        <w:spacing w:line="360" w:lineRule="auto"/>
        <w:ind w:left="851" w:right="1466"/>
        <w:jc w:val="both"/>
        <w:rPr>
          <w:rFonts w:ascii="Century Gothic" w:eastAsia="Arial" w:hAnsi="Century Gothic"/>
          <w:i/>
          <w:sz w:val="22"/>
          <w:szCs w:val="22"/>
          <w:lang w:val="es-MX"/>
        </w:rPr>
      </w:pPr>
      <w:r w:rsidRPr="000A3638">
        <w:rPr>
          <w:rFonts w:ascii="Century Gothic" w:eastAsia="Arial" w:hAnsi="Century Gothic"/>
          <w:i/>
          <w:sz w:val="22"/>
          <w:szCs w:val="22"/>
          <w:lang w:val="es-MX"/>
        </w:rPr>
        <w:t>Las adolescentes pueden no reconocer que han consumido alcohol o drogas cuando han sido víctimas de una agresión sexual: según resultados de la Encuesta Nacional de Salud y Nutrición, 10.3% de las adolescentes han sufrido problemas de salud debido a agresiones sexuales, de las cuales 9.6% señaló que no sabía o no respondió a la pregunta de si estaba bajo los efectos del alcohol o drogas cuando ocurrió la agresión, lo que puede interpretarse como una respuesta evasiva por el estigma social que culpabiliza a la víctima.</w:t>
      </w:r>
    </w:p>
    <w:p w14:paraId="42DE403B" w14:textId="77777777" w:rsidR="000A3638" w:rsidRPr="000A3638" w:rsidRDefault="000A3638" w:rsidP="000A3638">
      <w:pPr>
        <w:autoSpaceDE w:val="0"/>
        <w:autoSpaceDN w:val="0"/>
        <w:adjustRightInd w:val="0"/>
        <w:spacing w:line="360" w:lineRule="auto"/>
        <w:ind w:left="851" w:right="1466"/>
        <w:jc w:val="both"/>
        <w:rPr>
          <w:rFonts w:ascii="Century Gothic" w:eastAsia="Arial" w:hAnsi="Century Gothic"/>
          <w:i/>
          <w:sz w:val="22"/>
          <w:szCs w:val="22"/>
          <w:lang w:val="es-MX"/>
        </w:rPr>
      </w:pPr>
    </w:p>
    <w:p w14:paraId="72A556BA" w14:textId="1A46A108" w:rsidR="000A3638" w:rsidRDefault="000A3638" w:rsidP="000A3638">
      <w:pPr>
        <w:autoSpaceDE w:val="0"/>
        <w:autoSpaceDN w:val="0"/>
        <w:adjustRightInd w:val="0"/>
        <w:spacing w:line="360" w:lineRule="auto"/>
        <w:ind w:left="851" w:right="1466"/>
        <w:jc w:val="both"/>
        <w:rPr>
          <w:rFonts w:ascii="Century Gothic" w:eastAsia="Arial" w:hAnsi="Century Gothic"/>
          <w:i/>
          <w:sz w:val="22"/>
          <w:szCs w:val="22"/>
          <w:lang w:val="es-MX"/>
        </w:rPr>
      </w:pPr>
      <w:r w:rsidRPr="000A3638">
        <w:rPr>
          <w:rFonts w:ascii="Century Gothic" w:eastAsia="Arial" w:hAnsi="Century Gothic"/>
          <w:i/>
          <w:sz w:val="22"/>
          <w:szCs w:val="22"/>
          <w:lang w:val="es-MX"/>
        </w:rPr>
        <w:t xml:space="preserve">Al respecto, la Fundación Salud y comunidad, estableció que el consumo alcohol u otras drogas puede entenderse como un factor generador de culpa en una víctima de violencia sexual, es </w:t>
      </w:r>
      <w:r w:rsidRPr="000A3638">
        <w:rPr>
          <w:rFonts w:ascii="Century Gothic" w:eastAsia="Arial" w:hAnsi="Century Gothic"/>
          <w:i/>
          <w:sz w:val="22"/>
          <w:szCs w:val="22"/>
          <w:lang w:val="es-MX"/>
        </w:rPr>
        <w:lastRenderedPageBreak/>
        <w:t xml:space="preserve">decir, al haber estado bajo la influencia de alguna sustancia, puede generar que la víctima sienta que no hay delito que denunciar. Aunado a lo anterior, en ocasiones erróneamente se señala a las mujeres que han sufrido algún delito sexual como las culpables. </w:t>
      </w:r>
    </w:p>
    <w:p w14:paraId="229C701F" w14:textId="77777777" w:rsidR="000A3638" w:rsidRPr="000A3638" w:rsidRDefault="000A3638" w:rsidP="000A3638">
      <w:pPr>
        <w:autoSpaceDE w:val="0"/>
        <w:autoSpaceDN w:val="0"/>
        <w:adjustRightInd w:val="0"/>
        <w:spacing w:line="360" w:lineRule="auto"/>
        <w:ind w:left="851" w:right="1466"/>
        <w:jc w:val="both"/>
        <w:rPr>
          <w:rFonts w:ascii="Century Gothic" w:eastAsia="Arial" w:hAnsi="Century Gothic"/>
          <w:i/>
          <w:sz w:val="22"/>
          <w:szCs w:val="22"/>
          <w:lang w:val="es-MX"/>
        </w:rPr>
      </w:pPr>
    </w:p>
    <w:p w14:paraId="4BFD1707" w14:textId="3F748413" w:rsidR="000A3638" w:rsidRDefault="000A3638" w:rsidP="000A3638">
      <w:pPr>
        <w:autoSpaceDE w:val="0"/>
        <w:autoSpaceDN w:val="0"/>
        <w:adjustRightInd w:val="0"/>
        <w:spacing w:line="360" w:lineRule="auto"/>
        <w:ind w:left="851" w:right="1466"/>
        <w:jc w:val="both"/>
        <w:rPr>
          <w:rFonts w:ascii="Century Gothic" w:eastAsia="Arial" w:hAnsi="Century Gothic"/>
          <w:i/>
          <w:sz w:val="22"/>
          <w:szCs w:val="22"/>
          <w:lang w:val="es-MX"/>
        </w:rPr>
      </w:pPr>
      <w:r w:rsidRPr="000A3638">
        <w:rPr>
          <w:rFonts w:ascii="Century Gothic" w:eastAsia="Arial" w:hAnsi="Century Gothic"/>
          <w:i/>
          <w:sz w:val="22"/>
          <w:szCs w:val="22"/>
          <w:lang w:val="es-MX"/>
        </w:rPr>
        <w:t>Por estos motivos, es imperante que no sólo se castigue la conducta de violación o abuso sexual, sino también el hacer que la víctima consuma sustancias sin su consentimiento.</w:t>
      </w:r>
    </w:p>
    <w:p w14:paraId="73FBB473" w14:textId="77777777" w:rsidR="000A3638" w:rsidRPr="000A3638" w:rsidRDefault="000A3638" w:rsidP="000A3638">
      <w:pPr>
        <w:autoSpaceDE w:val="0"/>
        <w:autoSpaceDN w:val="0"/>
        <w:adjustRightInd w:val="0"/>
        <w:spacing w:line="360" w:lineRule="auto"/>
        <w:ind w:left="851" w:right="1466"/>
        <w:jc w:val="both"/>
        <w:rPr>
          <w:rFonts w:ascii="Century Gothic" w:eastAsia="Arial" w:hAnsi="Century Gothic"/>
          <w:i/>
          <w:sz w:val="22"/>
          <w:szCs w:val="22"/>
          <w:lang w:val="es-MX"/>
        </w:rPr>
      </w:pPr>
    </w:p>
    <w:p w14:paraId="47695251" w14:textId="581DA136" w:rsidR="000A3638" w:rsidRDefault="000A3638" w:rsidP="000A3638">
      <w:pPr>
        <w:autoSpaceDE w:val="0"/>
        <w:autoSpaceDN w:val="0"/>
        <w:adjustRightInd w:val="0"/>
        <w:spacing w:line="360" w:lineRule="auto"/>
        <w:ind w:left="851" w:right="1466"/>
        <w:jc w:val="both"/>
        <w:rPr>
          <w:rFonts w:ascii="Century Gothic" w:eastAsia="Arial" w:hAnsi="Century Gothic"/>
          <w:i/>
          <w:sz w:val="22"/>
          <w:szCs w:val="22"/>
          <w:lang w:val="es-MX"/>
        </w:rPr>
      </w:pPr>
      <w:r w:rsidRPr="000A3638">
        <w:rPr>
          <w:rFonts w:ascii="Century Gothic" w:eastAsia="Arial" w:hAnsi="Century Gothic"/>
          <w:i/>
          <w:sz w:val="22"/>
          <w:szCs w:val="22"/>
          <w:lang w:val="es-MX"/>
        </w:rPr>
        <w:t xml:space="preserve">El Código Penal Federal en sus artículos 260 y 261 tipifica el delito de abuso sexual. Mientras que en los numerales 262, 263, 265 y 265 Bis del mismo ordenamiento, se establece lo relativo al tipo penal de violación. </w:t>
      </w:r>
    </w:p>
    <w:p w14:paraId="03BE8803" w14:textId="77777777" w:rsidR="000A3638" w:rsidRPr="000A3638" w:rsidRDefault="000A3638" w:rsidP="000A3638">
      <w:pPr>
        <w:autoSpaceDE w:val="0"/>
        <w:autoSpaceDN w:val="0"/>
        <w:adjustRightInd w:val="0"/>
        <w:spacing w:line="360" w:lineRule="auto"/>
        <w:ind w:left="851" w:right="1466"/>
        <w:jc w:val="both"/>
        <w:rPr>
          <w:rFonts w:ascii="Century Gothic" w:eastAsia="Arial" w:hAnsi="Century Gothic"/>
          <w:i/>
          <w:sz w:val="22"/>
          <w:szCs w:val="22"/>
          <w:lang w:val="es-MX"/>
        </w:rPr>
      </w:pPr>
    </w:p>
    <w:p w14:paraId="2E87C10C" w14:textId="7BBE08CB" w:rsidR="000A3638" w:rsidRDefault="000A3638" w:rsidP="000A3638">
      <w:pPr>
        <w:autoSpaceDE w:val="0"/>
        <w:autoSpaceDN w:val="0"/>
        <w:adjustRightInd w:val="0"/>
        <w:spacing w:line="360" w:lineRule="auto"/>
        <w:ind w:left="851" w:right="1466"/>
        <w:jc w:val="both"/>
        <w:rPr>
          <w:rFonts w:ascii="Century Gothic" w:eastAsia="Arial" w:hAnsi="Century Gothic"/>
          <w:i/>
          <w:sz w:val="22"/>
          <w:szCs w:val="22"/>
          <w:lang w:val="es-MX"/>
        </w:rPr>
      </w:pPr>
      <w:r w:rsidRPr="000A3638">
        <w:rPr>
          <w:rFonts w:ascii="Century Gothic" w:eastAsia="Arial" w:hAnsi="Century Gothic"/>
          <w:i/>
          <w:sz w:val="22"/>
          <w:szCs w:val="22"/>
          <w:lang w:val="es-MX"/>
        </w:rPr>
        <w:t xml:space="preserve">Así mismo, dentro del ordenamiento anteriormente mencionado, se disponen dentro del artículo 266 Bis, las agravantes para los delitos en cuestión. La hipótesis establecida en la fracción V de este artículo establece: </w:t>
      </w:r>
    </w:p>
    <w:p w14:paraId="446454FF" w14:textId="77777777" w:rsidR="000A3638" w:rsidRPr="000A3638" w:rsidRDefault="000A3638" w:rsidP="000A3638">
      <w:pPr>
        <w:autoSpaceDE w:val="0"/>
        <w:autoSpaceDN w:val="0"/>
        <w:adjustRightInd w:val="0"/>
        <w:spacing w:line="360" w:lineRule="auto"/>
        <w:ind w:left="851" w:right="1466"/>
        <w:jc w:val="both"/>
        <w:rPr>
          <w:rFonts w:ascii="Century Gothic" w:eastAsia="Arial" w:hAnsi="Century Gothic"/>
          <w:i/>
          <w:sz w:val="22"/>
          <w:szCs w:val="22"/>
          <w:lang w:val="es-MX"/>
        </w:rPr>
      </w:pPr>
    </w:p>
    <w:p w14:paraId="2905B81C" w14:textId="34E5F824" w:rsidR="000A3638" w:rsidRDefault="000A3638" w:rsidP="000A3638">
      <w:pPr>
        <w:autoSpaceDE w:val="0"/>
        <w:autoSpaceDN w:val="0"/>
        <w:adjustRightInd w:val="0"/>
        <w:spacing w:line="360" w:lineRule="auto"/>
        <w:ind w:left="851" w:right="1466"/>
        <w:jc w:val="both"/>
        <w:rPr>
          <w:rFonts w:ascii="Century Gothic" w:eastAsia="Arial" w:hAnsi="Century Gothic"/>
          <w:i/>
          <w:sz w:val="22"/>
          <w:szCs w:val="22"/>
          <w:lang w:val="es-MX"/>
        </w:rPr>
      </w:pPr>
      <w:r w:rsidRPr="000A3638">
        <w:rPr>
          <w:rFonts w:ascii="Century Gothic" w:eastAsia="Arial" w:hAnsi="Century Gothic"/>
          <w:i/>
          <w:sz w:val="22"/>
          <w:szCs w:val="22"/>
          <w:lang w:val="es-MX"/>
        </w:rPr>
        <w:t>“Cuando el delito fuere cometido previa suministración de estupefacientes o psicotrópicos a la víctima, en contra de su voluntad o sin su conocimiento”</w:t>
      </w:r>
    </w:p>
    <w:p w14:paraId="756D435C" w14:textId="77777777" w:rsidR="000A3638" w:rsidRPr="000A3638" w:rsidRDefault="000A3638" w:rsidP="000A3638">
      <w:pPr>
        <w:autoSpaceDE w:val="0"/>
        <w:autoSpaceDN w:val="0"/>
        <w:adjustRightInd w:val="0"/>
        <w:spacing w:line="360" w:lineRule="auto"/>
        <w:ind w:left="851" w:right="1466"/>
        <w:jc w:val="both"/>
        <w:rPr>
          <w:rFonts w:ascii="Century Gothic" w:eastAsia="Arial" w:hAnsi="Century Gothic"/>
          <w:i/>
          <w:sz w:val="22"/>
          <w:szCs w:val="22"/>
          <w:lang w:val="es-MX"/>
        </w:rPr>
      </w:pPr>
    </w:p>
    <w:p w14:paraId="5B74E057" w14:textId="25CDD02F" w:rsidR="000A3638" w:rsidRDefault="000A3638" w:rsidP="000A3638">
      <w:pPr>
        <w:autoSpaceDE w:val="0"/>
        <w:autoSpaceDN w:val="0"/>
        <w:adjustRightInd w:val="0"/>
        <w:spacing w:line="360" w:lineRule="auto"/>
        <w:ind w:left="851" w:right="1466"/>
        <w:jc w:val="both"/>
        <w:rPr>
          <w:rFonts w:ascii="Century Gothic" w:eastAsia="Arial" w:hAnsi="Century Gothic"/>
          <w:i/>
          <w:sz w:val="22"/>
          <w:szCs w:val="22"/>
          <w:lang w:val="es-MX"/>
        </w:rPr>
      </w:pPr>
      <w:r w:rsidRPr="000A3638">
        <w:rPr>
          <w:rFonts w:ascii="Century Gothic" w:eastAsia="Arial" w:hAnsi="Century Gothic"/>
          <w:i/>
          <w:sz w:val="22"/>
          <w:szCs w:val="22"/>
          <w:lang w:val="es-MX"/>
        </w:rPr>
        <w:t xml:space="preserve">El Código Penal del Estado de Chihuahua, en sus artículos 171 y 172 tipifica el delito de violación, mientras que en los numerales 173 y </w:t>
      </w:r>
      <w:r w:rsidRPr="000A3638">
        <w:rPr>
          <w:rFonts w:ascii="Century Gothic" w:eastAsia="Arial" w:hAnsi="Century Gothic"/>
          <w:i/>
          <w:sz w:val="22"/>
          <w:szCs w:val="22"/>
          <w:lang w:val="es-MX"/>
        </w:rPr>
        <w:lastRenderedPageBreak/>
        <w:t>174 el abuso sexual. Lo relativo a las agravantes de ambos ilícitos se dispone en el artículo 175.</w:t>
      </w:r>
    </w:p>
    <w:p w14:paraId="63B86ACC" w14:textId="77777777" w:rsidR="000A3638" w:rsidRPr="000A3638" w:rsidRDefault="000A3638" w:rsidP="000A3638">
      <w:pPr>
        <w:autoSpaceDE w:val="0"/>
        <w:autoSpaceDN w:val="0"/>
        <w:adjustRightInd w:val="0"/>
        <w:spacing w:line="360" w:lineRule="auto"/>
        <w:ind w:left="851" w:right="1466"/>
        <w:jc w:val="both"/>
        <w:rPr>
          <w:rFonts w:ascii="Century Gothic" w:eastAsia="Arial" w:hAnsi="Century Gothic"/>
          <w:i/>
          <w:sz w:val="22"/>
          <w:szCs w:val="22"/>
          <w:lang w:val="es-MX"/>
        </w:rPr>
      </w:pPr>
    </w:p>
    <w:p w14:paraId="2DCF3F1A" w14:textId="3DAAB194" w:rsidR="000A3638" w:rsidRDefault="000A3638" w:rsidP="000A3638">
      <w:pPr>
        <w:autoSpaceDE w:val="0"/>
        <w:autoSpaceDN w:val="0"/>
        <w:adjustRightInd w:val="0"/>
        <w:spacing w:line="360" w:lineRule="auto"/>
        <w:ind w:left="851" w:right="1466"/>
        <w:jc w:val="both"/>
        <w:rPr>
          <w:rFonts w:ascii="Century Gothic" w:eastAsia="Arial" w:hAnsi="Century Gothic"/>
          <w:i/>
          <w:sz w:val="22"/>
          <w:szCs w:val="22"/>
          <w:lang w:val="es-MX"/>
        </w:rPr>
      </w:pPr>
      <w:r w:rsidRPr="000A3638">
        <w:rPr>
          <w:rFonts w:ascii="Century Gothic" w:eastAsia="Arial" w:hAnsi="Century Gothic"/>
          <w:i/>
          <w:sz w:val="22"/>
          <w:szCs w:val="22"/>
          <w:lang w:val="es-MX"/>
        </w:rPr>
        <w:t xml:space="preserve">Al analizar las agravantes que contempla nuestro código estatal, se denota que no se encuentra establecida aquella dispuesta por el Código sustantivo federal referente al suministro de alguna droga a la víctima sin su consentimiento. </w:t>
      </w:r>
    </w:p>
    <w:p w14:paraId="586B41F2" w14:textId="77777777" w:rsidR="000A3638" w:rsidRPr="000A3638" w:rsidRDefault="000A3638" w:rsidP="000A3638">
      <w:pPr>
        <w:autoSpaceDE w:val="0"/>
        <w:autoSpaceDN w:val="0"/>
        <w:adjustRightInd w:val="0"/>
        <w:spacing w:line="360" w:lineRule="auto"/>
        <w:ind w:left="851" w:right="1466"/>
        <w:jc w:val="both"/>
        <w:rPr>
          <w:rFonts w:ascii="Century Gothic" w:eastAsia="Arial" w:hAnsi="Century Gothic"/>
          <w:i/>
          <w:sz w:val="22"/>
          <w:szCs w:val="22"/>
          <w:lang w:val="es-MX"/>
        </w:rPr>
      </w:pPr>
    </w:p>
    <w:p w14:paraId="02B48597" w14:textId="2FC757AA" w:rsidR="000A3638" w:rsidRDefault="000A3638" w:rsidP="000A3638">
      <w:pPr>
        <w:autoSpaceDE w:val="0"/>
        <w:autoSpaceDN w:val="0"/>
        <w:adjustRightInd w:val="0"/>
        <w:spacing w:line="360" w:lineRule="auto"/>
        <w:ind w:left="851" w:right="1466"/>
        <w:jc w:val="both"/>
        <w:rPr>
          <w:rFonts w:ascii="Century Gothic" w:eastAsia="Arial" w:hAnsi="Century Gothic"/>
          <w:i/>
          <w:sz w:val="22"/>
          <w:szCs w:val="22"/>
          <w:lang w:val="es-MX"/>
        </w:rPr>
      </w:pPr>
      <w:r w:rsidRPr="000A3638">
        <w:rPr>
          <w:rFonts w:ascii="Century Gothic" w:eastAsia="Arial" w:hAnsi="Century Gothic"/>
          <w:i/>
          <w:sz w:val="22"/>
          <w:szCs w:val="22"/>
          <w:lang w:val="es-MX"/>
        </w:rPr>
        <w:t xml:space="preserve">Al respecto, es importante establecer dicha hipótesis normativa, ya que actualmente la venta y consumo de drogas es panacea de cada día, sobre todo dentro de las y los jóvenes. </w:t>
      </w:r>
    </w:p>
    <w:p w14:paraId="0D7ADE31" w14:textId="77777777" w:rsidR="000A3638" w:rsidRPr="000A3638" w:rsidRDefault="000A3638" w:rsidP="000A3638">
      <w:pPr>
        <w:autoSpaceDE w:val="0"/>
        <w:autoSpaceDN w:val="0"/>
        <w:adjustRightInd w:val="0"/>
        <w:spacing w:line="360" w:lineRule="auto"/>
        <w:ind w:left="851" w:right="1466"/>
        <w:jc w:val="both"/>
        <w:rPr>
          <w:rFonts w:ascii="Century Gothic" w:eastAsia="Arial" w:hAnsi="Century Gothic"/>
          <w:i/>
          <w:sz w:val="22"/>
          <w:szCs w:val="22"/>
          <w:lang w:val="es-MX"/>
        </w:rPr>
      </w:pPr>
    </w:p>
    <w:p w14:paraId="6275ADB9" w14:textId="5C54B3EA" w:rsidR="000A3638" w:rsidRDefault="000A3638" w:rsidP="000A3638">
      <w:pPr>
        <w:autoSpaceDE w:val="0"/>
        <w:autoSpaceDN w:val="0"/>
        <w:adjustRightInd w:val="0"/>
        <w:spacing w:line="360" w:lineRule="auto"/>
        <w:ind w:left="851" w:right="1466"/>
        <w:jc w:val="both"/>
        <w:rPr>
          <w:rFonts w:ascii="Century Gothic" w:eastAsia="Arial" w:hAnsi="Century Gothic"/>
          <w:i/>
          <w:sz w:val="22"/>
          <w:szCs w:val="22"/>
          <w:lang w:val="es-MX"/>
        </w:rPr>
      </w:pPr>
      <w:r w:rsidRPr="000A3638">
        <w:rPr>
          <w:rFonts w:ascii="Century Gothic" w:eastAsia="Arial" w:hAnsi="Century Gothic"/>
          <w:i/>
          <w:sz w:val="22"/>
          <w:szCs w:val="22"/>
          <w:lang w:val="es-MX"/>
        </w:rPr>
        <w:t xml:space="preserve">En ocasiones, el sujeto activo sin el conocimiento o consentimiento de la víctima le suministra alguna sustancia, con el propósito de que se vea afectada su capacidad cognoscitiva. Lo anterior, propicia que el delito sea cometido con menor resistencia. Por este motivo, dicha conducta debe de castigarse severamente pues no sólo se está violando una posible relación de confianza, sino también afectando la salud de la víctima previa comisión del delito. </w:t>
      </w:r>
    </w:p>
    <w:p w14:paraId="38870B40" w14:textId="77777777" w:rsidR="000A3638" w:rsidRPr="000A3638" w:rsidRDefault="000A3638" w:rsidP="000A3638">
      <w:pPr>
        <w:autoSpaceDE w:val="0"/>
        <w:autoSpaceDN w:val="0"/>
        <w:adjustRightInd w:val="0"/>
        <w:spacing w:line="360" w:lineRule="auto"/>
        <w:ind w:left="851" w:right="1466"/>
        <w:jc w:val="both"/>
        <w:rPr>
          <w:rFonts w:ascii="Century Gothic" w:eastAsia="Arial" w:hAnsi="Century Gothic"/>
          <w:i/>
          <w:sz w:val="22"/>
          <w:szCs w:val="22"/>
          <w:lang w:val="es-MX"/>
        </w:rPr>
      </w:pPr>
    </w:p>
    <w:p w14:paraId="57967111" w14:textId="03AEA5E4" w:rsidR="000A3638" w:rsidRDefault="000A3638" w:rsidP="000A3638">
      <w:pPr>
        <w:autoSpaceDE w:val="0"/>
        <w:autoSpaceDN w:val="0"/>
        <w:adjustRightInd w:val="0"/>
        <w:spacing w:line="360" w:lineRule="auto"/>
        <w:ind w:left="851" w:right="1466"/>
        <w:jc w:val="both"/>
        <w:rPr>
          <w:rFonts w:ascii="Century Gothic" w:eastAsia="Arial" w:hAnsi="Century Gothic"/>
          <w:i/>
          <w:sz w:val="22"/>
          <w:szCs w:val="22"/>
          <w:lang w:val="es-MX"/>
        </w:rPr>
      </w:pPr>
      <w:r w:rsidRPr="000A3638">
        <w:rPr>
          <w:rFonts w:ascii="Century Gothic" w:eastAsia="Arial" w:hAnsi="Century Gothic"/>
          <w:i/>
          <w:sz w:val="22"/>
          <w:szCs w:val="22"/>
          <w:lang w:val="es-MX"/>
        </w:rPr>
        <w:t xml:space="preserve">Compañeras y compañeros nos encontramos dentro del marco de la conmemoración del Día Internacional de la Eliminación de la Violencia en contra de las mujeres, por este motivo hago esta propuesta para lograr  que aquellas mujeres, sobre todo mujeres </w:t>
      </w:r>
      <w:r w:rsidRPr="000A3638">
        <w:rPr>
          <w:rFonts w:ascii="Century Gothic" w:eastAsia="Arial" w:hAnsi="Century Gothic"/>
          <w:i/>
          <w:sz w:val="22"/>
          <w:szCs w:val="22"/>
          <w:lang w:val="es-MX"/>
        </w:rPr>
        <w:lastRenderedPageBreak/>
        <w:t xml:space="preserve">jóvenes que han visto afectada su integridad sexual y además hayan sido drogadas, puedan tener justicia. </w:t>
      </w:r>
    </w:p>
    <w:p w14:paraId="5E1EBD65" w14:textId="77777777" w:rsidR="000A3638" w:rsidRPr="000A3638" w:rsidRDefault="000A3638" w:rsidP="000A3638">
      <w:pPr>
        <w:autoSpaceDE w:val="0"/>
        <w:autoSpaceDN w:val="0"/>
        <w:adjustRightInd w:val="0"/>
        <w:spacing w:line="360" w:lineRule="auto"/>
        <w:ind w:left="851" w:right="1466"/>
        <w:jc w:val="both"/>
        <w:rPr>
          <w:rFonts w:ascii="Century Gothic" w:eastAsia="Arial" w:hAnsi="Century Gothic"/>
          <w:i/>
          <w:sz w:val="22"/>
          <w:szCs w:val="22"/>
          <w:lang w:val="es-MX"/>
        </w:rPr>
      </w:pPr>
    </w:p>
    <w:p w14:paraId="19D34935" w14:textId="2F3E4A21" w:rsidR="005D3EF3" w:rsidRPr="00B352DA" w:rsidRDefault="000A3638" w:rsidP="000A3638">
      <w:pPr>
        <w:autoSpaceDE w:val="0"/>
        <w:autoSpaceDN w:val="0"/>
        <w:adjustRightInd w:val="0"/>
        <w:spacing w:line="360" w:lineRule="auto"/>
        <w:ind w:left="851" w:right="1466"/>
        <w:jc w:val="both"/>
        <w:rPr>
          <w:rFonts w:ascii="Century Gothic" w:eastAsia="Arial" w:hAnsi="Century Gothic"/>
          <w:i/>
          <w:sz w:val="22"/>
          <w:szCs w:val="22"/>
          <w:lang w:val="es-MX"/>
        </w:rPr>
      </w:pPr>
      <w:r w:rsidRPr="000A3638">
        <w:rPr>
          <w:rFonts w:ascii="Century Gothic" w:eastAsia="Arial" w:hAnsi="Century Gothic"/>
          <w:i/>
          <w:sz w:val="22"/>
          <w:szCs w:val="22"/>
          <w:lang w:val="es-MX"/>
        </w:rPr>
        <w:t>Basta de normalizar algo que no lo es, basta de re victimizar a las mujeres que han sufrido de agresiones sexuales. Jamás será culpa de la víctima, debemos cambiar nuestro paradigma y abonar para que las niñas, adolescentes y mujeres vivan una vida libre de violencia.</w:t>
      </w:r>
      <w:r w:rsidR="005D3EF3" w:rsidRPr="003E44B8">
        <w:rPr>
          <w:rFonts w:ascii="Century Gothic" w:eastAsia="Arial" w:hAnsi="Century Gothic"/>
          <w:i/>
          <w:sz w:val="22"/>
          <w:szCs w:val="22"/>
          <w:lang w:val="es-MX"/>
        </w:rPr>
        <w:t>.”</w:t>
      </w:r>
    </w:p>
    <w:p w14:paraId="59AC39D7" w14:textId="77777777" w:rsidR="008B4461" w:rsidRDefault="008B4461" w:rsidP="002E2CD6">
      <w:pPr>
        <w:pStyle w:val="Textoindependiente"/>
        <w:spacing w:line="360" w:lineRule="auto"/>
        <w:ind w:right="332"/>
        <w:rPr>
          <w:rFonts w:ascii="Century Gothic" w:eastAsia="Arial" w:hAnsi="Century Gothic" w:cs="Arial"/>
          <w:lang w:val="es-MX"/>
        </w:rPr>
      </w:pPr>
    </w:p>
    <w:p w14:paraId="3F33C0CD" w14:textId="77777777" w:rsidR="00315537" w:rsidRDefault="00315537" w:rsidP="002E2CD6">
      <w:pPr>
        <w:pStyle w:val="Textoindependiente"/>
        <w:spacing w:line="360" w:lineRule="auto"/>
        <w:ind w:right="332"/>
        <w:rPr>
          <w:rFonts w:ascii="Century Gothic" w:eastAsia="Arial" w:hAnsi="Century Gothic" w:cs="Arial"/>
          <w:lang w:val="es-MX"/>
        </w:rPr>
      </w:pPr>
      <w:r w:rsidRPr="00A335F4">
        <w:rPr>
          <w:rFonts w:ascii="Century Gothic" w:eastAsia="Arial" w:hAnsi="Century Gothic" w:cs="Arial"/>
          <w:lang w:val="es-MX"/>
        </w:rPr>
        <w:t>Ahora bien, al entrar al estudi</w:t>
      </w:r>
      <w:r w:rsidR="00DC1F31">
        <w:rPr>
          <w:rFonts w:ascii="Century Gothic" w:eastAsia="Arial" w:hAnsi="Century Gothic" w:cs="Arial"/>
          <w:lang w:val="es-MX"/>
        </w:rPr>
        <w:t>o y análisis de la I</w:t>
      </w:r>
      <w:r>
        <w:rPr>
          <w:rFonts w:ascii="Century Gothic" w:eastAsia="Arial" w:hAnsi="Century Gothic" w:cs="Arial"/>
          <w:lang w:val="es-MX"/>
        </w:rPr>
        <w:t>niciativa en comento</w:t>
      </w:r>
      <w:r w:rsidRPr="00A335F4">
        <w:rPr>
          <w:rFonts w:ascii="Century Gothic" w:eastAsia="Arial" w:hAnsi="Century Gothic" w:cs="Arial"/>
          <w:lang w:val="es-MX"/>
        </w:rPr>
        <w:t>, quienes integramos la Comisión citada en el proemio del presente Dictamen, formulamos las siguientes</w:t>
      </w:r>
      <w:r>
        <w:rPr>
          <w:rFonts w:ascii="Century Gothic" w:eastAsia="Arial" w:hAnsi="Century Gothic" w:cs="Arial"/>
          <w:lang w:val="es-MX"/>
        </w:rPr>
        <w:t>:</w:t>
      </w:r>
    </w:p>
    <w:p w14:paraId="3F784E31" w14:textId="77777777" w:rsidR="00315537" w:rsidRDefault="00315537" w:rsidP="002E2CD6">
      <w:pPr>
        <w:pStyle w:val="Textoindependiente"/>
        <w:spacing w:line="360" w:lineRule="auto"/>
        <w:ind w:right="332"/>
        <w:rPr>
          <w:rFonts w:ascii="Century Gothic" w:hAnsi="Century Gothic" w:cs="Arial"/>
        </w:rPr>
      </w:pPr>
    </w:p>
    <w:p w14:paraId="055C7FDA" w14:textId="77777777" w:rsidR="00315537" w:rsidRDefault="00315537" w:rsidP="002E2CD6">
      <w:pPr>
        <w:pStyle w:val="Textoindependiente"/>
        <w:spacing w:line="360" w:lineRule="auto"/>
        <w:ind w:right="332"/>
        <w:jc w:val="center"/>
        <w:rPr>
          <w:rFonts w:ascii="Century Gothic" w:hAnsi="Century Gothic" w:cs="Arial"/>
          <w:b/>
          <w:bCs/>
        </w:rPr>
      </w:pPr>
      <w:r>
        <w:rPr>
          <w:rFonts w:ascii="Century Gothic" w:hAnsi="Century Gothic" w:cs="Arial"/>
          <w:b/>
          <w:bCs/>
        </w:rPr>
        <w:t>C</w:t>
      </w:r>
      <w:r w:rsidRPr="009568FB">
        <w:rPr>
          <w:rFonts w:ascii="Century Gothic" w:hAnsi="Century Gothic" w:cs="Arial"/>
          <w:b/>
          <w:bCs/>
        </w:rPr>
        <w:t xml:space="preserve"> O N S I D E R A C I O N E S</w:t>
      </w:r>
    </w:p>
    <w:p w14:paraId="48A17DB3" w14:textId="77777777" w:rsidR="00315537" w:rsidRPr="009568FB" w:rsidRDefault="00315537" w:rsidP="002E2CD6">
      <w:pPr>
        <w:spacing w:line="360" w:lineRule="auto"/>
        <w:ind w:right="332"/>
        <w:jc w:val="both"/>
        <w:rPr>
          <w:rFonts w:ascii="Century Gothic" w:hAnsi="Century Gothic" w:cs="Arial"/>
          <w:b/>
          <w:bCs/>
        </w:rPr>
      </w:pPr>
    </w:p>
    <w:p w14:paraId="76601C02" w14:textId="77777777" w:rsidR="00315537" w:rsidRDefault="00315537" w:rsidP="00850EEA">
      <w:pPr>
        <w:spacing w:line="360" w:lineRule="auto"/>
        <w:ind w:right="335"/>
        <w:jc w:val="both"/>
        <w:rPr>
          <w:rFonts w:ascii="Century Gothic" w:hAnsi="Century Gothic" w:cs="Arial"/>
        </w:rPr>
      </w:pPr>
      <w:r w:rsidRPr="00850EEA">
        <w:rPr>
          <w:rFonts w:ascii="Century Gothic" w:hAnsi="Century Gothic" w:cs="Arial"/>
          <w:b/>
          <w:bCs/>
        </w:rPr>
        <w:t>I.-</w:t>
      </w:r>
      <w:r w:rsidRPr="00850EEA">
        <w:rPr>
          <w:rFonts w:ascii="Century Gothic" w:hAnsi="Century Gothic" w:cs="Arial"/>
        </w:rPr>
        <w:t xml:space="preserve"> El H. Congreso del Estado, a través de esta Comisión, es competente para conocer y resolver sobre la iniciativa en mención. </w:t>
      </w:r>
    </w:p>
    <w:p w14:paraId="601F6CB7" w14:textId="77777777" w:rsidR="008D70F5" w:rsidRDefault="008D70F5" w:rsidP="00850EEA">
      <w:pPr>
        <w:spacing w:line="360" w:lineRule="auto"/>
        <w:ind w:right="335"/>
        <w:jc w:val="both"/>
        <w:rPr>
          <w:rFonts w:ascii="Century Gothic" w:hAnsi="Century Gothic" w:cs="Arial"/>
        </w:rPr>
      </w:pPr>
    </w:p>
    <w:p w14:paraId="39981590" w14:textId="27376335" w:rsidR="003F2951" w:rsidRDefault="008D70F5" w:rsidP="00C406B0">
      <w:pPr>
        <w:spacing w:line="360" w:lineRule="auto"/>
        <w:ind w:right="335"/>
        <w:jc w:val="both"/>
        <w:rPr>
          <w:rFonts w:ascii="Century Gothic" w:hAnsi="Century Gothic" w:cs="Arial"/>
          <w:bCs/>
          <w:lang w:val="es-MX"/>
        </w:rPr>
      </w:pPr>
      <w:r>
        <w:rPr>
          <w:rFonts w:ascii="Century Gothic" w:hAnsi="Century Gothic" w:cs="Arial"/>
          <w:b/>
          <w:lang w:val="es-MX"/>
        </w:rPr>
        <w:t xml:space="preserve">II.- </w:t>
      </w:r>
      <w:r w:rsidR="0083194E">
        <w:rPr>
          <w:rFonts w:ascii="Century Gothic" w:hAnsi="Century Gothic" w:cs="Arial"/>
          <w:bCs/>
          <w:lang w:val="es-MX"/>
        </w:rPr>
        <w:t xml:space="preserve">La iniciativa expone la alta incidencia en los delitos de violación y abuso sexual en contra de las mujeres y que se presentan tanto en México como en nuestra entidad. </w:t>
      </w:r>
      <w:r w:rsidR="00495AAC">
        <w:rPr>
          <w:rFonts w:ascii="Century Gothic" w:hAnsi="Century Gothic" w:cs="Arial"/>
          <w:bCs/>
          <w:lang w:val="es-MX"/>
        </w:rPr>
        <w:t>Señalando para el caso que nos ocupa, aquellos casos en donde el sujeto activo suministr</w:t>
      </w:r>
      <w:r w:rsidR="001C11BC">
        <w:rPr>
          <w:rFonts w:ascii="Century Gothic" w:hAnsi="Century Gothic" w:cs="Arial"/>
          <w:bCs/>
          <w:lang w:val="es-MX"/>
        </w:rPr>
        <w:t>a a la víctima, algún</w:t>
      </w:r>
      <w:r w:rsidR="00495AAC">
        <w:rPr>
          <w:rFonts w:ascii="Century Gothic" w:hAnsi="Century Gothic" w:cs="Arial"/>
          <w:bCs/>
          <w:lang w:val="es-MX"/>
        </w:rPr>
        <w:t xml:space="preserve"> </w:t>
      </w:r>
      <w:r w:rsidR="00AF057F">
        <w:rPr>
          <w:rFonts w:ascii="Century Gothic" w:hAnsi="Century Gothic" w:cs="Arial"/>
          <w:bCs/>
          <w:lang w:val="es-MX"/>
        </w:rPr>
        <w:t>estupefaciente</w:t>
      </w:r>
      <w:r w:rsidR="00495AAC" w:rsidRPr="00495AAC">
        <w:rPr>
          <w:rFonts w:ascii="Century Gothic" w:hAnsi="Century Gothic" w:cs="Arial"/>
          <w:bCs/>
          <w:lang w:val="es-MX"/>
        </w:rPr>
        <w:t xml:space="preserve"> o </w:t>
      </w:r>
      <w:r w:rsidR="001C11BC">
        <w:rPr>
          <w:rFonts w:ascii="Century Gothic" w:hAnsi="Century Gothic" w:cs="Arial"/>
          <w:bCs/>
          <w:lang w:val="es-MX"/>
        </w:rPr>
        <w:t xml:space="preserve">sustancia </w:t>
      </w:r>
      <w:r w:rsidR="00495AAC" w:rsidRPr="00495AAC">
        <w:rPr>
          <w:rFonts w:ascii="Century Gothic" w:hAnsi="Century Gothic" w:cs="Arial"/>
          <w:bCs/>
          <w:lang w:val="es-MX"/>
        </w:rPr>
        <w:t>psicotrópica</w:t>
      </w:r>
      <w:r w:rsidR="00495AAC">
        <w:rPr>
          <w:rFonts w:ascii="Century Gothic" w:hAnsi="Century Gothic" w:cs="Arial"/>
          <w:bCs/>
          <w:lang w:val="es-MX"/>
        </w:rPr>
        <w:t>, con la intención de anular o neutralizar la posible defensa</w:t>
      </w:r>
      <w:r w:rsidR="003F2951">
        <w:rPr>
          <w:rFonts w:ascii="Century Gothic" w:hAnsi="Century Gothic" w:cs="Arial"/>
          <w:bCs/>
          <w:lang w:val="es-MX"/>
        </w:rPr>
        <w:t>,</w:t>
      </w:r>
      <w:r w:rsidR="00495AAC">
        <w:rPr>
          <w:rFonts w:ascii="Century Gothic" w:hAnsi="Century Gothic" w:cs="Arial"/>
          <w:bCs/>
          <w:lang w:val="es-MX"/>
        </w:rPr>
        <w:t xml:space="preserve"> e imponerle</w:t>
      </w:r>
      <w:r w:rsidR="003F2951">
        <w:rPr>
          <w:rFonts w:ascii="Century Gothic" w:hAnsi="Century Gothic" w:cs="Arial"/>
          <w:bCs/>
          <w:lang w:val="es-MX"/>
        </w:rPr>
        <w:t>, contra su voluntad,</w:t>
      </w:r>
      <w:r w:rsidR="00495AAC">
        <w:rPr>
          <w:rFonts w:ascii="Century Gothic" w:hAnsi="Century Gothic" w:cs="Arial"/>
          <w:bCs/>
          <w:lang w:val="es-MX"/>
        </w:rPr>
        <w:t xml:space="preserve"> la c</w:t>
      </w:r>
      <w:r w:rsidR="00FE6791">
        <w:rPr>
          <w:rFonts w:ascii="Century Gothic" w:hAnsi="Century Gothic" w:cs="Arial"/>
          <w:bCs/>
          <w:lang w:val="es-MX"/>
        </w:rPr>
        <w:t>ó</w:t>
      </w:r>
      <w:r w:rsidR="00495AAC">
        <w:rPr>
          <w:rFonts w:ascii="Century Gothic" w:hAnsi="Century Gothic" w:cs="Arial"/>
          <w:bCs/>
          <w:lang w:val="es-MX"/>
        </w:rPr>
        <w:t>pula</w:t>
      </w:r>
      <w:r w:rsidR="00AF057F">
        <w:rPr>
          <w:rFonts w:ascii="Century Gothic" w:hAnsi="Century Gothic" w:cs="Arial"/>
          <w:bCs/>
          <w:lang w:val="es-MX"/>
        </w:rPr>
        <w:t xml:space="preserve"> o abusar sexualmente de ella</w:t>
      </w:r>
      <w:r w:rsidR="00495AAC">
        <w:rPr>
          <w:rFonts w:ascii="Century Gothic" w:hAnsi="Century Gothic" w:cs="Arial"/>
          <w:bCs/>
          <w:lang w:val="es-MX"/>
        </w:rPr>
        <w:t>.</w:t>
      </w:r>
    </w:p>
    <w:p w14:paraId="416D740B" w14:textId="1F0993E1" w:rsidR="00AF057F" w:rsidRDefault="00AF057F" w:rsidP="00C406B0">
      <w:pPr>
        <w:spacing w:line="360" w:lineRule="auto"/>
        <w:ind w:right="335"/>
        <w:jc w:val="both"/>
        <w:rPr>
          <w:rFonts w:ascii="Century Gothic" w:hAnsi="Century Gothic" w:cs="Arial"/>
          <w:bCs/>
          <w:lang w:val="es-MX"/>
        </w:rPr>
      </w:pPr>
    </w:p>
    <w:p w14:paraId="4D7AD5F6" w14:textId="658888D1" w:rsidR="00AF057F" w:rsidRDefault="00AF057F" w:rsidP="00C406B0">
      <w:pPr>
        <w:spacing w:line="360" w:lineRule="auto"/>
        <w:ind w:right="335"/>
        <w:jc w:val="both"/>
        <w:rPr>
          <w:rFonts w:ascii="Century Gothic" w:hAnsi="Century Gothic" w:cs="Arial"/>
          <w:bCs/>
          <w:lang w:val="es-MX"/>
        </w:rPr>
      </w:pPr>
      <w:r>
        <w:rPr>
          <w:rFonts w:ascii="Century Gothic" w:hAnsi="Century Gothic" w:cs="Arial"/>
          <w:bCs/>
          <w:lang w:val="es-MX"/>
        </w:rPr>
        <w:lastRenderedPageBreak/>
        <w:t xml:space="preserve">Para coadyuvar en la tutela de la libertad </w:t>
      </w:r>
      <w:r w:rsidR="00E027EB">
        <w:rPr>
          <w:rFonts w:ascii="Century Gothic" w:hAnsi="Century Gothic" w:cs="Arial"/>
          <w:bCs/>
          <w:lang w:val="es-MX"/>
        </w:rPr>
        <w:t xml:space="preserve">y seguridad sexual, la iniciativa pretende agravar la pena en los delitos de violación y abuso sexual, cuando el activo, </w:t>
      </w:r>
      <w:r w:rsidR="00E027EB" w:rsidRPr="00E027EB">
        <w:rPr>
          <w:rFonts w:ascii="Century Gothic" w:hAnsi="Century Gothic" w:cs="Arial"/>
          <w:bCs/>
          <w:lang w:val="es-MX"/>
        </w:rPr>
        <w:t>previo o durante la comisión del delito</w:t>
      </w:r>
      <w:r w:rsidR="00E027EB">
        <w:rPr>
          <w:rFonts w:ascii="Century Gothic" w:hAnsi="Century Gothic" w:cs="Arial"/>
          <w:bCs/>
          <w:lang w:val="es-MX"/>
        </w:rPr>
        <w:t>,</w:t>
      </w:r>
      <w:r w:rsidR="001C11BC">
        <w:rPr>
          <w:rFonts w:ascii="Century Gothic" w:hAnsi="Century Gothic" w:cs="Arial"/>
          <w:bCs/>
          <w:lang w:val="es-MX"/>
        </w:rPr>
        <w:t xml:space="preserve"> suministre algún</w:t>
      </w:r>
      <w:r w:rsidR="00E027EB" w:rsidRPr="00E027EB">
        <w:rPr>
          <w:rFonts w:ascii="Century Gothic" w:hAnsi="Century Gothic" w:cs="Arial"/>
          <w:bCs/>
          <w:lang w:val="es-MX"/>
        </w:rPr>
        <w:t xml:space="preserve"> </w:t>
      </w:r>
      <w:bookmarkStart w:id="1" w:name="_Hlk93680486"/>
      <w:r w:rsidR="00E027EB" w:rsidRPr="00E027EB">
        <w:rPr>
          <w:rFonts w:ascii="Century Gothic" w:hAnsi="Century Gothic" w:cs="Arial"/>
          <w:bCs/>
          <w:lang w:val="es-MX"/>
        </w:rPr>
        <w:t xml:space="preserve">estupefaciente o </w:t>
      </w:r>
      <w:r w:rsidR="001C11BC" w:rsidRPr="00E027EB">
        <w:rPr>
          <w:rFonts w:ascii="Century Gothic" w:hAnsi="Century Gothic" w:cs="Arial"/>
          <w:bCs/>
          <w:lang w:val="es-MX"/>
        </w:rPr>
        <w:t xml:space="preserve">sustancia </w:t>
      </w:r>
      <w:r w:rsidR="00E027EB" w:rsidRPr="00E027EB">
        <w:rPr>
          <w:rFonts w:ascii="Century Gothic" w:hAnsi="Century Gothic" w:cs="Arial"/>
          <w:bCs/>
          <w:lang w:val="es-MX"/>
        </w:rPr>
        <w:t xml:space="preserve">psicotrópica </w:t>
      </w:r>
      <w:bookmarkEnd w:id="1"/>
      <w:r w:rsidR="00E027EB" w:rsidRPr="00E027EB">
        <w:rPr>
          <w:rFonts w:ascii="Century Gothic" w:hAnsi="Century Gothic" w:cs="Arial"/>
          <w:bCs/>
          <w:lang w:val="es-MX"/>
        </w:rPr>
        <w:t>a la víctima, en contra de su voluntad o sin su conocimiento</w:t>
      </w:r>
      <w:r w:rsidR="00E027EB">
        <w:rPr>
          <w:rFonts w:ascii="Century Gothic" w:hAnsi="Century Gothic" w:cs="Arial"/>
          <w:bCs/>
          <w:lang w:val="es-MX"/>
        </w:rPr>
        <w:t>.</w:t>
      </w:r>
    </w:p>
    <w:p w14:paraId="03CB43B3" w14:textId="77777777" w:rsidR="0083194E" w:rsidRPr="0083194E" w:rsidRDefault="0083194E" w:rsidP="00C406B0">
      <w:pPr>
        <w:spacing w:line="360" w:lineRule="auto"/>
        <w:ind w:right="335"/>
        <w:jc w:val="both"/>
        <w:rPr>
          <w:rFonts w:ascii="Century Gothic" w:hAnsi="Century Gothic" w:cs="Arial"/>
          <w:bCs/>
        </w:rPr>
      </w:pPr>
    </w:p>
    <w:p w14:paraId="11A7E4FC" w14:textId="77777777" w:rsidR="005047F1" w:rsidRDefault="005047F1" w:rsidP="005047F1">
      <w:pPr>
        <w:spacing w:line="360" w:lineRule="auto"/>
        <w:ind w:right="335"/>
        <w:jc w:val="both"/>
        <w:rPr>
          <w:rFonts w:ascii="Century Gothic" w:hAnsi="Century Gothic" w:cs="Arial"/>
        </w:rPr>
      </w:pPr>
      <w:r>
        <w:rPr>
          <w:rFonts w:ascii="Century Gothic" w:hAnsi="Century Gothic" w:cs="Arial"/>
          <w:lang w:val="es-MX"/>
        </w:rPr>
        <w:t>La propuesta de la iniciativa puede ser visualizada en el siguiente cuadro comparativo.</w:t>
      </w:r>
    </w:p>
    <w:p w14:paraId="71084FF7" w14:textId="77777777" w:rsidR="008D70F5" w:rsidRDefault="00FA1A9F" w:rsidP="00850EEA">
      <w:pPr>
        <w:spacing w:line="360" w:lineRule="auto"/>
        <w:ind w:right="335"/>
        <w:jc w:val="both"/>
        <w:rPr>
          <w:rFonts w:ascii="Century Gothic" w:hAnsi="Century Gothic" w:cs="Arial"/>
        </w:rPr>
      </w:pPr>
      <w:r>
        <w:rPr>
          <w:rFonts w:ascii="Century Gothic" w:hAnsi="Century Gothic" w:cs="Aria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4"/>
        <w:gridCol w:w="4414"/>
      </w:tblGrid>
      <w:tr w:rsidR="00FA1A9F" w:rsidRPr="00FA1A9F" w14:paraId="3A5C2F5F" w14:textId="77777777" w:rsidTr="006950C0">
        <w:tc>
          <w:tcPr>
            <w:tcW w:w="8828" w:type="dxa"/>
            <w:gridSpan w:val="2"/>
            <w:shd w:val="clear" w:color="auto" w:fill="BFBFBF" w:themeFill="background1" w:themeFillShade="BF"/>
          </w:tcPr>
          <w:p w14:paraId="66F0AE50" w14:textId="77777777" w:rsidR="00FA1A9F" w:rsidRPr="00FA1A9F" w:rsidRDefault="00FA1A9F" w:rsidP="00FA1A9F">
            <w:pPr>
              <w:spacing w:line="360" w:lineRule="auto"/>
              <w:ind w:right="335"/>
              <w:jc w:val="center"/>
              <w:rPr>
                <w:rFonts w:ascii="Century Gothic" w:hAnsi="Century Gothic" w:cs="Arial"/>
                <w:b/>
                <w:lang w:val="es-MX"/>
              </w:rPr>
            </w:pPr>
            <w:r w:rsidRPr="00FA1A9F">
              <w:rPr>
                <w:rFonts w:ascii="Century Gothic" w:hAnsi="Century Gothic" w:cs="Arial"/>
                <w:b/>
                <w:lang w:val="es-MX"/>
              </w:rPr>
              <w:t>Código Penal</w:t>
            </w:r>
          </w:p>
        </w:tc>
      </w:tr>
      <w:tr w:rsidR="00FA1A9F" w:rsidRPr="00FA1A9F" w14:paraId="47931176" w14:textId="77777777" w:rsidTr="006950C0">
        <w:tc>
          <w:tcPr>
            <w:tcW w:w="4414" w:type="dxa"/>
            <w:shd w:val="clear" w:color="auto" w:fill="BFBFBF" w:themeFill="background1" w:themeFillShade="BF"/>
          </w:tcPr>
          <w:p w14:paraId="7D921019" w14:textId="77777777" w:rsidR="00FA1A9F" w:rsidRPr="00FA1A9F" w:rsidRDefault="00FA1A9F" w:rsidP="00FA1A9F">
            <w:pPr>
              <w:spacing w:line="360" w:lineRule="auto"/>
              <w:ind w:right="335"/>
              <w:jc w:val="both"/>
              <w:rPr>
                <w:rFonts w:ascii="Century Gothic" w:hAnsi="Century Gothic" w:cs="Arial"/>
                <w:lang w:val="es-MX"/>
              </w:rPr>
            </w:pPr>
            <w:r w:rsidRPr="00FA1A9F">
              <w:rPr>
                <w:rFonts w:ascii="Century Gothic" w:hAnsi="Century Gothic" w:cs="Arial"/>
                <w:lang w:val="es-MX"/>
              </w:rPr>
              <w:t xml:space="preserve">Vigente </w:t>
            </w:r>
          </w:p>
        </w:tc>
        <w:tc>
          <w:tcPr>
            <w:tcW w:w="4414" w:type="dxa"/>
            <w:shd w:val="clear" w:color="auto" w:fill="BFBFBF" w:themeFill="background1" w:themeFillShade="BF"/>
          </w:tcPr>
          <w:p w14:paraId="67807EF3" w14:textId="77777777" w:rsidR="00FA1A9F" w:rsidRPr="00AC1857" w:rsidRDefault="00FA1A9F" w:rsidP="00FA1A9F">
            <w:pPr>
              <w:spacing w:line="360" w:lineRule="auto"/>
              <w:ind w:right="335"/>
              <w:jc w:val="both"/>
              <w:rPr>
                <w:rFonts w:ascii="Century Gothic" w:hAnsi="Century Gothic" w:cs="Arial"/>
                <w:lang w:val="es-MX"/>
              </w:rPr>
            </w:pPr>
            <w:r w:rsidRPr="00AC1857">
              <w:rPr>
                <w:rFonts w:ascii="Century Gothic" w:hAnsi="Century Gothic" w:cs="Arial"/>
                <w:lang w:val="es-MX"/>
              </w:rPr>
              <w:t xml:space="preserve">Propuesta </w:t>
            </w:r>
          </w:p>
        </w:tc>
      </w:tr>
      <w:tr w:rsidR="00FA1A9F" w:rsidRPr="00FA1A9F" w14:paraId="2AF536E0" w14:textId="77777777" w:rsidTr="006950C0">
        <w:tc>
          <w:tcPr>
            <w:tcW w:w="4414" w:type="dxa"/>
            <w:shd w:val="clear" w:color="auto" w:fill="auto"/>
          </w:tcPr>
          <w:p w14:paraId="5481F0CA" w14:textId="77777777" w:rsidR="00FA1A9F" w:rsidRPr="00E027EB" w:rsidRDefault="00E027EB" w:rsidP="00FA1A9F">
            <w:pPr>
              <w:spacing w:line="360" w:lineRule="auto"/>
              <w:ind w:right="335"/>
              <w:jc w:val="both"/>
              <w:rPr>
                <w:rFonts w:ascii="Century Gothic" w:hAnsi="Century Gothic" w:cs="Arial"/>
              </w:rPr>
            </w:pPr>
            <w:r w:rsidRPr="00E027EB">
              <w:rPr>
                <w:rFonts w:ascii="Century Gothic" w:hAnsi="Century Gothic" w:cs="Arial"/>
              </w:rPr>
              <w:t>Artículo 175. Las penas previstas para la violación y el abuso sexual, se aumentarán en dos terceras partes, cuando fueren cometidos:</w:t>
            </w:r>
          </w:p>
          <w:p w14:paraId="21A8494A" w14:textId="64D73E4A" w:rsidR="00E027EB" w:rsidRPr="00E027EB" w:rsidRDefault="00E027EB" w:rsidP="00E027EB">
            <w:pPr>
              <w:spacing w:line="360" w:lineRule="auto"/>
              <w:ind w:right="335"/>
              <w:rPr>
                <w:rFonts w:ascii="Century Gothic" w:hAnsi="Century Gothic" w:cs="Arial"/>
              </w:rPr>
            </w:pPr>
            <w:r w:rsidRPr="00E027EB">
              <w:rPr>
                <w:rFonts w:ascii="Century Gothic" w:hAnsi="Century Gothic" w:cs="Arial"/>
              </w:rPr>
              <w:t>I. A VII. …</w:t>
            </w:r>
          </w:p>
          <w:p w14:paraId="4B1283C1" w14:textId="33BCDCB6" w:rsidR="00E027EB" w:rsidRPr="00E027EB" w:rsidRDefault="00E027EB" w:rsidP="00E027EB">
            <w:pPr>
              <w:rPr>
                <w:lang w:val="es-MX"/>
              </w:rPr>
            </w:pPr>
            <w:r w:rsidRPr="00E027EB">
              <w:rPr>
                <w:rFonts w:ascii="Century Gothic" w:hAnsi="Century Gothic"/>
                <w:lang w:val="es-MX"/>
              </w:rPr>
              <w:t>(Sin correlativo)</w:t>
            </w:r>
          </w:p>
        </w:tc>
        <w:tc>
          <w:tcPr>
            <w:tcW w:w="4414" w:type="dxa"/>
            <w:shd w:val="clear" w:color="auto" w:fill="auto"/>
          </w:tcPr>
          <w:p w14:paraId="0F60688F" w14:textId="698138EC" w:rsidR="00E027EB" w:rsidRPr="00E027EB" w:rsidRDefault="00E027EB" w:rsidP="00E027EB">
            <w:pPr>
              <w:spacing w:line="360" w:lineRule="auto"/>
              <w:ind w:right="335"/>
              <w:jc w:val="both"/>
              <w:rPr>
                <w:rFonts w:ascii="Century Gothic" w:hAnsi="Century Gothic" w:cs="Arial"/>
              </w:rPr>
            </w:pPr>
            <w:r w:rsidRPr="00E027EB">
              <w:rPr>
                <w:rFonts w:ascii="Century Gothic" w:hAnsi="Century Gothic" w:cs="Arial"/>
              </w:rPr>
              <w:t xml:space="preserve">Artículo 175. </w:t>
            </w:r>
            <w:r>
              <w:rPr>
                <w:rFonts w:ascii="Century Gothic" w:hAnsi="Century Gothic" w:cs="Arial"/>
              </w:rPr>
              <w:t>…</w:t>
            </w:r>
          </w:p>
          <w:p w14:paraId="5BFB961A" w14:textId="77777777" w:rsidR="00E027EB" w:rsidRDefault="00E027EB" w:rsidP="00E027EB">
            <w:pPr>
              <w:spacing w:line="360" w:lineRule="auto"/>
              <w:ind w:right="335"/>
              <w:jc w:val="both"/>
              <w:rPr>
                <w:rFonts w:ascii="Century Gothic" w:hAnsi="Century Gothic" w:cs="Arial"/>
                <w:lang w:val="es-MX"/>
              </w:rPr>
            </w:pPr>
          </w:p>
          <w:p w14:paraId="4DBC8075" w14:textId="77777777" w:rsidR="00E027EB" w:rsidRDefault="00E027EB" w:rsidP="00E027EB">
            <w:pPr>
              <w:spacing w:line="360" w:lineRule="auto"/>
              <w:ind w:right="335"/>
              <w:jc w:val="both"/>
              <w:rPr>
                <w:rFonts w:ascii="Century Gothic" w:hAnsi="Century Gothic" w:cs="Arial"/>
                <w:lang w:val="es-MX"/>
              </w:rPr>
            </w:pPr>
          </w:p>
          <w:p w14:paraId="2B9A76DB" w14:textId="77777777" w:rsidR="00E027EB" w:rsidRDefault="00E027EB" w:rsidP="00E027EB">
            <w:pPr>
              <w:spacing w:line="360" w:lineRule="auto"/>
              <w:ind w:right="335"/>
              <w:jc w:val="both"/>
              <w:rPr>
                <w:rFonts w:ascii="Century Gothic" w:hAnsi="Century Gothic" w:cs="Arial"/>
                <w:lang w:val="es-MX"/>
              </w:rPr>
            </w:pPr>
          </w:p>
          <w:p w14:paraId="2E1E4CB5" w14:textId="5B717CB7" w:rsidR="00E027EB" w:rsidRDefault="00E027EB" w:rsidP="00E027EB">
            <w:pPr>
              <w:spacing w:line="360" w:lineRule="auto"/>
              <w:ind w:right="335"/>
              <w:jc w:val="both"/>
              <w:rPr>
                <w:rFonts w:ascii="Century Gothic" w:hAnsi="Century Gothic" w:cs="Arial"/>
                <w:lang w:val="es-MX"/>
              </w:rPr>
            </w:pPr>
          </w:p>
          <w:p w14:paraId="2EB5CC03" w14:textId="77777777" w:rsidR="00E027EB" w:rsidRDefault="00E027EB" w:rsidP="00E027EB">
            <w:pPr>
              <w:spacing w:line="360" w:lineRule="auto"/>
              <w:ind w:right="335"/>
              <w:jc w:val="both"/>
              <w:rPr>
                <w:rFonts w:ascii="Century Gothic" w:hAnsi="Century Gothic" w:cs="Arial"/>
                <w:lang w:val="es-MX"/>
              </w:rPr>
            </w:pPr>
          </w:p>
          <w:p w14:paraId="7EFC2A71" w14:textId="0E8AE585" w:rsidR="00FA1A9F" w:rsidRPr="00E027EB" w:rsidRDefault="00E027EB" w:rsidP="00E027EB">
            <w:pPr>
              <w:spacing w:line="360" w:lineRule="auto"/>
              <w:ind w:right="335"/>
              <w:jc w:val="both"/>
              <w:rPr>
                <w:rFonts w:ascii="Century Gothic" w:hAnsi="Century Gothic" w:cs="Arial"/>
                <w:b/>
                <w:bCs/>
                <w:lang w:val="es-MX"/>
              </w:rPr>
            </w:pPr>
            <w:r w:rsidRPr="00E027EB">
              <w:rPr>
                <w:rFonts w:ascii="Century Gothic" w:hAnsi="Century Gothic" w:cs="Arial"/>
                <w:b/>
                <w:bCs/>
                <w:lang w:val="es-MX"/>
              </w:rPr>
              <w:t xml:space="preserve">VIII. Cuando el sujeto </w:t>
            </w:r>
            <w:bookmarkStart w:id="2" w:name="_Hlk93680935"/>
            <w:r w:rsidRPr="00E027EB">
              <w:rPr>
                <w:rFonts w:ascii="Century Gothic" w:hAnsi="Century Gothic" w:cs="Arial"/>
                <w:b/>
                <w:bCs/>
                <w:lang w:val="es-MX"/>
              </w:rPr>
              <w:t>activo previo o durante la comisión del delito suministre alguna sustancia estupefaciente o psicotrópica a la víctima, en contra de su voluntad o sin su conocimiento</w:t>
            </w:r>
            <w:bookmarkEnd w:id="2"/>
            <w:r w:rsidRPr="00E027EB">
              <w:rPr>
                <w:rFonts w:ascii="Century Gothic" w:hAnsi="Century Gothic" w:cs="Arial"/>
                <w:b/>
                <w:bCs/>
                <w:lang w:val="es-MX"/>
              </w:rPr>
              <w:t>.</w:t>
            </w:r>
          </w:p>
        </w:tc>
      </w:tr>
    </w:tbl>
    <w:p w14:paraId="3B71727C" w14:textId="706F939F" w:rsidR="008D70F5" w:rsidRDefault="008D70F5" w:rsidP="00850EEA">
      <w:pPr>
        <w:spacing w:line="360" w:lineRule="auto"/>
        <w:ind w:right="335"/>
        <w:jc w:val="both"/>
        <w:rPr>
          <w:rFonts w:ascii="Century Gothic" w:hAnsi="Century Gothic" w:cs="Arial"/>
        </w:rPr>
      </w:pPr>
    </w:p>
    <w:p w14:paraId="037F2F94" w14:textId="1AEEEB7C" w:rsidR="00297E7A" w:rsidRDefault="00297E7A" w:rsidP="00850EEA">
      <w:pPr>
        <w:spacing w:line="360" w:lineRule="auto"/>
        <w:ind w:right="335"/>
        <w:jc w:val="both"/>
        <w:rPr>
          <w:rFonts w:ascii="Century Gothic" w:hAnsi="Century Gothic" w:cs="Arial"/>
        </w:rPr>
      </w:pPr>
      <w:r w:rsidRPr="008F251B">
        <w:rPr>
          <w:rFonts w:ascii="Century Gothic" w:hAnsi="Century Gothic" w:cs="Arial"/>
          <w:b/>
          <w:bCs/>
        </w:rPr>
        <w:t>III.-</w:t>
      </w:r>
      <w:r>
        <w:rPr>
          <w:rFonts w:ascii="Century Gothic" w:hAnsi="Century Gothic" w:cs="Arial"/>
        </w:rPr>
        <w:t xml:space="preserve"> </w:t>
      </w:r>
      <w:r w:rsidR="008F251B">
        <w:rPr>
          <w:rFonts w:ascii="Century Gothic" w:hAnsi="Century Gothic" w:cs="Arial"/>
        </w:rPr>
        <w:t xml:space="preserve">Esta Comisión reconoce el problema planteado, tan es así que </w:t>
      </w:r>
      <w:r w:rsidR="008F251B" w:rsidRPr="008F251B">
        <w:rPr>
          <w:rFonts w:ascii="Century Gothic" w:hAnsi="Century Gothic" w:cs="Arial"/>
        </w:rPr>
        <w:t>la Encuesta Nacional sobre la Dinámica de las Relaciones en los Hogares (ENDIREH) 2016, nos menciona que el 61.1% de las mujeres de más de 15 años, han sufrido al menos un incidente de violencia a lo largo de su vida</w:t>
      </w:r>
      <w:r w:rsidR="008F251B" w:rsidRPr="008F251B">
        <w:rPr>
          <w:rFonts w:ascii="Century Gothic" w:hAnsi="Century Gothic" w:cs="Arial"/>
          <w:vertAlign w:val="superscript"/>
        </w:rPr>
        <w:footnoteReference w:id="4"/>
      </w:r>
      <w:r w:rsidR="008F251B" w:rsidRPr="008F251B">
        <w:rPr>
          <w:rFonts w:ascii="Century Gothic" w:hAnsi="Century Gothic" w:cs="Arial"/>
        </w:rPr>
        <w:t>;</w:t>
      </w:r>
      <w:r w:rsidR="008F251B">
        <w:rPr>
          <w:rFonts w:ascii="Century Gothic" w:hAnsi="Century Gothic" w:cs="Arial"/>
        </w:rPr>
        <w:t xml:space="preserve"> y 41.3% ha sido víctima de violencia sexual. </w:t>
      </w:r>
    </w:p>
    <w:p w14:paraId="5ACCBC34" w14:textId="7B5CEDA7" w:rsidR="008F251B" w:rsidRDefault="008F251B" w:rsidP="00850EEA">
      <w:pPr>
        <w:spacing w:line="360" w:lineRule="auto"/>
        <w:ind w:right="335"/>
        <w:jc w:val="both"/>
        <w:rPr>
          <w:rFonts w:ascii="Century Gothic" w:hAnsi="Century Gothic" w:cs="Arial"/>
        </w:rPr>
      </w:pPr>
    </w:p>
    <w:p w14:paraId="1CC143DC" w14:textId="35B0B380" w:rsidR="00EC291E" w:rsidRDefault="00EC291E" w:rsidP="00850EEA">
      <w:pPr>
        <w:spacing w:line="360" w:lineRule="auto"/>
        <w:ind w:right="335"/>
        <w:jc w:val="both"/>
        <w:rPr>
          <w:rFonts w:ascii="Century Gothic" w:hAnsi="Century Gothic" w:cs="Arial"/>
        </w:rPr>
      </w:pPr>
      <w:r>
        <w:rPr>
          <w:rFonts w:ascii="Century Gothic" w:hAnsi="Century Gothic" w:cs="Arial"/>
        </w:rPr>
        <w:t xml:space="preserve">Ahora bien, el 88.4% </w:t>
      </w:r>
      <w:bookmarkStart w:id="3" w:name="_Hlk93682647"/>
      <w:r w:rsidRPr="00EC291E">
        <w:rPr>
          <w:rFonts w:ascii="Century Gothic" w:hAnsi="Century Gothic" w:cs="Arial"/>
        </w:rPr>
        <w:t>de mujeres que han experimentado violencia física y/o sexual por otro agresor distinto a la pareja</w:t>
      </w:r>
      <w:r>
        <w:rPr>
          <w:rFonts w:ascii="Century Gothic" w:hAnsi="Century Gothic" w:cs="Arial"/>
        </w:rPr>
        <w:t>,</w:t>
      </w:r>
      <w:r w:rsidRPr="00EC291E">
        <w:rPr>
          <w:rFonts w:ascii="Century Gothic" w:hAnsi="Century Gothic" w:cs="Arial"/>
        </w:rPr>
        <w:t xml:space="preserve"> </w:t>
      </w:r>
      <w:r>
        <w:rPr>
          <w:rFonts w:ascii="Century Gothic" w:hAnsi="Century Gothic" w:cs="Arial"/>
        </w:rPr>
        <w:t>n</w:t>
      </w:r>
      <w:r w:rsidRPr="00EC291E">
        <w:rPr>
          <w:rFonts w:ascii="Century Gothic" w:hAnsi="Century Gothic" w:cs="Arial"/>
        </w:rPr>
        <w:t>o solicitó apoyo a alguna institución ni presentó una queja o denuncia ante alguna autoridad</w:t>
      </w:r>
      <w:r>
        <w:rPr>
          <w:rFonts w:ascii="Century Gothic" w:hAnsi="Century Gothic" w:cs="Arial"/>
        </w:rPr>
        <w:t>.</w:t>
      </w:r>
      <w:r w:rsidR="00172105">
        <w:rPr>
          <w:rStyle w:val="Refdenotaalpie"/>
          <w:rFonts w:ascii="Century Gothic" w:hAnsi="Century Gothic" w:cs="Arial"/>
        </w:rPr>
        <w:footnoteReference w:id="5"/>
      </w:r>
    </w:p>
    <w:bookmarkEnd w:id="3"/>
    <w:p w14:paraId="1EA952EF" w14:textId="60DF53FE" w:rsidR="00EC291E" w:rsidRDefault="00EC291E" w:rsidP="00850EEA">
      <w:pPr>
        <w:spacing w:line="360" w:lineRule="auto"/>
        <w:ind w:right="335"/>
        <w:jc w:val="both"/>
        <w:rPr>
          <w:rFonts w:ascii="Century Gothic" w:hAnsi="Century Gothic" w:cs="Arial"/>
        </w:rPr>
      </w:pPr>
    </w:p>
    <w:p w14:paraId="3118C308" w14:textId="52947883" w:rsidR="00EC291E" w:rsidRPr="00EC291E" w:rsidRDefault="00EC291E" w:rsidP="00EC291E">
      <w:pPr>
        <w:spacing w:line="360" w:lineRule="auto"/>
        <w:ind w:right="335"/>
        <w:jc w:val="both"/>
        <w:rPr>
          <w:rFonts w:ascii="Century Gothic" w:hAnsi="Century Gothic" w:cs="Arial"/>
        </w:rPr>
      </w:pPr>
      <w:r>
        <w:rPr>
          <w:rFonts w:ascii="Century Gothic" w:hAnsi="Century Gothic" w:cs="Arial"/>
        </w:rPr>
        <w:t xml:space="preserve">El 78.6% </w:t>
      </w:r>
      <w:r w:rsidRPr="00EC291E">
        <w:rPr>
          <w:rFonts w:ascii="Century Gothic" w:hAnsi="Century Gothic" w:cs="Arial"/>
        </w:rPr>
        <w:t xml:space="preserve">de mujeres que han experimentado violencia física y/o sexual por </w:t>
      </w:r>
      <w:r>
        <w:rPr>
          <w:rFonts w:ascii="Century Gothic" w:hAnsi="Century Gothic" w:cs="Arial"/>
        </w:rPr>
        <w:t>su</w:t>
      </w:r>
      <w:r w:rsidRPr="00EC291E">
        <w:rPr>
          <w:rFonts w:ascii="Century Gothic" w:hAnsi="Century Gothic" w:cs="Arial"/>
        </w:rPr>
        <w:t xml:space="preserve"> pareja</w:t>
      </w:r>
      <w:r>
        <w:rPr>
          <w:rFonts w:ascii="Century Gothic" w:hAnsi="Century Gothic" w:cs="Arial"/>
        </w:rPr>
        <w:t xml:space="preserve"> actual o última</w:t>
      </w:r>
      <w:r w:rsidRPr="00EC291E">
        <w:rPr>
          <w:rFonts w:ascii="Century Gothic" w:hAnsi="Century Gothic" w:cs="Arial"/>
        </w:rPr>
        <w:t xml:space="preserve">, no solicitó apoyo a alguna institución ni presentó una queja o denuncia ante alguna autoridad. </w:t>
      </w:r>
      <w:r w:rsidR="00172105">
        <w:rPr>
          <w:rStyle w:val="Refdenotaalpie"/>
          <w:rFonts w:ascii="Century Gothic" w:hAnsi="Century Gothic" w:cs="Arial"/>
        </w:rPr>
        <w:footnoteReference w:id="6"/>
      </w:r>
    </w:p>
    <w:p w14:paraId="72A627D0" w14:textId="34EB2056" w:rsidR="00EC291E" w:rsidRDefault="00EC291E" w:rsidP="00850EEA">
      <w:pPr>
        <w:spacing w:line="360" w:lineRule="auto"/>
        <w:ind w:right="335"/>
        <w:jc w:val="both"/>
        <w:rPr>
          <w:rFonts w:ascii="Century Gothic" w:hAnsi="Century Gothic" w:cs="Arial"/>
        </w:rPr>
      </w:pPr>
    </w:p>
    <w:p w14:paraId="791789DA" w14:textId="77777777" w:rsidR="008E267B" w:rsidRDefault="00172105" w:rsidP="00850EEA">
      <w:pPr>
        <w:spacing w:line="360" w:lineRule="auto"/>
        <w:ind w:right="335"/>
        <w:jc w:val="both"/>
        <w:rPr>
          <w:rFonts w:ascii="Century Gothic" w:hAnsi="Century Gothic" w:cs="Arial"/>
        </w:rPr>
      </w:pPr>
      <w:r>
        <w:rPr>
          <w:rFonts w:ascii="Century Gothic" w:hAnsi="Century Gothic" w:cs="Arial"/>
        </w:rPr>
        <w:t>El Instituto Nacional de las Mujeres, en un documento intitulado: Violencia Sexual Contra las Mujeres y Consumo de Drogas</w:t>
      </w:r>
      <w:r w:rsidR="008E267B">
        <w:rPr>
          <w:rFonts w:ascii="Century Gothic" w:hAnsi="Century Gothic" w:cs="Arial"/>
        </w:rPr>
        <w:t>;</w:t>
      </w:r>
      <w:r>
        <w:rPr>
          <w:rFonts w:ascii="Century Gothic" w:hAnsi="Century Gothic" w:cs="Arial"/>
        </w:rPr>
        <w:t xml:space="preserve"> referencia </w:t>
      </w:r>
      <w:r w:rsidR="008E267B">
        <w:rPr>
          <w:rFonts w:ascii="Century Gothic" w:hAnsi="Century Gothic" w:cs="Arial"/>
        </w:rPr>
        <w:t xml:space="preserve">un estudio realizado </w:t>
      </w:r>
      <w:r w:rsidR="008E267B" w:rsidRPr="008E267B">
        <w:rPr>
          <w:rFonts w:ascii="Century Gothic" w:hAnsi="Century Gothic" w:cs="Arial"/>
        </w:rPr>
        <w:t xml:space="preserve">en España en 2015 por </w:t>
      </w:r>
      <w:r w:rsidR="008E267B" w:rsidRPr="008E267B">
        <w:rPr>
          <w:rFonts w:ascii="Century Gothic" w:hAnsi="Century Gothic" w:cs="Arial"/>
          <w:i/>
          <w:iCs/>
        </w:rPr>
        <w:t>Isonra, et al</w:t>
      </w:r>
      <w:r w:rsidR="008E267B">
        <w:rPr>
          <w:rFonts w:ascii="Century Gothic" w:hAnsi="Century Gothic" w:cs="Arial"/>
        </w:rPr>
        <w:t xml:space="preserve">. El cual expone lo siguiente: </w:t>
      </w:r>
    </w:p>
    <w:p w14:paraId="6B5EBA1D" w14:textId="77777777" w:rsidR="008E267B" w:rsidRDefault="008E267B" w:rsidP="00850EEA">
      <w:pPr>
        <w:spacing w:line="360" w:lineRule="auto"/>
        <w:ind w:right="335"/>
        <w:jc w:val="both"/>
        <w:rPr>
          <w:rFonts w:ascii="Century Gothic" w:hAnsi="Century Gothic" w:cs="Arial"/>
        </w:rPr>
      </w:pPr>
    </w:p>
    <w:p w14:paraId="3B4446E7" w14:textId="51C9485F" w:rsidR="00172105" w:rsidRPr="008E267B" w:rsidRDefault="008E267B" w:rsidP="008E267B">
      <w:pPr>
        <w:spacing w:line="360" w:lineRule="auto"/>
        <w:ind w:left="851" w:right="1182"/>
        <w:jc w:val="both"/>
        <w:rPr>
          <w:rFonts w:ascii="Century Gothic" w:hAnsi="Century Gothic" w:cs="Arial"/>
          <w:i/>
          <w:iCs/>
        </w:rPr>
      </w:pPr>
      <w:r>
        <w:rPr>
          <w:rFonts w:ascii="Century Gothic" w:hAnsi="Century Gothic" w:cs="Arial"/>
        </w:rPr>
        <w:t xml:space="preserve"> “… </w:t>
      </w:r>
      <w:r w:rsidRPr="008E267B">
        <w:rPr>
          <w:rFonts w:ascii="Century Gothic" w:hAnsi="Century Gothic" w:cs="Arial"/>
          <w:i/>
          <w:iCs/>
        </w:rPr>
        <w:t xml:space="preserve">hasta 17% de las agresiones sexuales podrían considerarse como casos de sumisión química por exposición involuntaria de </w:t>
      </w:r>
      <w:r w:rsidRPr="008E267B">
        <w:rPr>
          <w:rFonts w:ascii="Century Gothic" w:hAnsi="Century Gothic" w:cs="Arial"/>
          <w:i/>
          <w:iCs/>
        </w:rPr>
        <w:lastRenderedPageBreak/>
        <w:t>la víctima a alguna sustancia psicoactiva, aunque la mayoría de ellas admiten el consumo voluntario previo de alguna sustancia, normalmente alcohol. Asimismo, señala que la mayoría de las víctimas no denuncian, en parte por el efecto amnésico de las sustancias, a lo que se suman las cuestiones de índole cultural que tienden a culpabilizar a las mujeres de sufrir agresiones sexuales, por lo que resulta difícil evaluar el impacto real de las drogas para facilitar el asalto sexual.</w:t>
      </w:r>
    </w:p>
    <w:p w14:paraId="177D0F7A" w14:textId="33C78A25" w:rsidR="008E267B" w:rsidRPr="008E267B" w:rsidRDefault="008E267B" w:rsidP="008E267B">
      <w:pPr>
        <w:spacing w:line="360" w:lineRule="auto"/>
        <w:ind w:left="851" w:right="1182"/>
        <w:jc w:val="both"/>
        <w:rPr>
          <w:rFonts w:ascii="Century Gothic" w:hAnsi="Century Gothic" w:cs="Arial"/>
          <w:i/>
          <w:iCs/>
        </w:rPr>
      </w:pPr>
    </w:p>
    <w:p w14:paraId="090B8A95" w14:textId="1B947B77" w:rsidR="008E267B" w:rsidRPr="008E267B" w:rsidRDefault="008E267B" w:rsidP="008E267B">
      <w:pPr>
        <w:spacing w:line="360" w:lineRule="auto"/>
        <w:ind w:left="851" w:right="1182"/>
        <w:jc w:val="both"/>
        <w:rPr>
          <w:rFonts w:ascii="Century Gothic" w:hAnsi="Century Gothic" w:cs="Arial"/>
          <w:i/>
          <w:iCs/>
        </w:rPr>
      </w:pPr>
      <w:r w:rsidRPr="008E267B">
        <w:rPr>
          <w:rFonts w:ascii="Century Gothic" w:hAnsi="Century Gothic" w:cs="Arial"/>
          <w:i/>
          <w:iCs/>
        </w:rPr>
        <w:t>Según el autor las DFAS son sustancias empleadas para dejar a las víctimas en estado semi inconsciente e incapaces de oponerse a un ataque sexual, entre las que figuran la cocaína, ketamina, metanfetaminas e inhalantes volátiles. El consumo alcohol u otras drogas puede entenderse como un factor generador de culpa en una víctima de violencia sexual (Fundación Salud y comunidad, 2015). Al respecto, se menciona que los peligros del alcohol sobre el riesgo de agresión sexual son ampliamente subestimados.”</w:t>
      </w:r>
      <w:r w:rsidR="00906D2D">
        <w:rPr>
          <w:rStyle w:val="Refdenotaalpie"/>
          <w:rFonts w:ascii="Century Gothic" w:hAnsi="Century Gothic" w:cs="Arial"/>
          <w:i/>
          <w:iCs/>
        </w:rPr>
        <w:footnoteReference w:id="7"/>
      </w:r>
    </w:p>
    <w:p w14:paraId="6C5886FB" w14:textId="668F02BA" w:rsidR="00EC291E" w:rsidRDefault="00EC291E" w:rsidP="00850EEA">
      <w:pPr>
        <w:spacing w:line="360" w:lineRule="auto"/>
        <w:ind w:right="335"/>
        <w:jc w:val="both"/>
        <w:rPr>
          <w:rFonts w:ascii="Century Gothic" w:hAnsi="Century Gothic" w:cs="Arial"/>
        </w:rPr>
      </w:pPr>
    </w:p>
    <w:p w14:paraId="7A6BEE60" w14:textId="19E2B04D" w:rsidR="0054378B" w:rsidRDefault="008E267B" w:rsidP="00850EEA">
      <w:pPr>
        <w:spacing w:line="360" w:lineRule="auto"/>
        <w:ind w:right="335"/>
        <w:jc w:val="both"/>
        <w:rPr>
          <w:rFonts w:ascii="Century Gothic" w:hAnsi="Century Gothic" w:cs="Arial"/>
        </w:rPr>
      </w:pPr>
      <w:r>
        <w:rPr>
          <w:rFonts w:ascii="Century Gothic" w:hAnsi="Century Gothic" w:cs="Arial"/>
        </w:rPr>
        <w:t xml:space="preserve">Dicho análisis puede ser corroborado con los datos expuestos por </w:t>
      </w:r>
      <w:r w:rsidRPr="008E267B">
        <w:rPr>
          <w:rFonts w:ascii="Century Gothic" w:hAnsi="Century Gothic" w:cs="Arial"/>
        </w:rPr>
        <w:t>(ENDIREH) 2016</w:t>
      </w:r>
      <w:r>
        <w:rPr>
          <w:rFonts w:ascii="Century Gothic" w:hAnsi="Century Gothic" w:cs="Arial"/>
        </w:rPr>
        <w:t xml:space="preserve">, </w:t>
      </w:r>
      <w:r w:rsidR="0054378B">
        <w:rPr>
          <w:rFonts w:ascii="Century Gothic" w:hAnsi="Century Gothic" w:cs="Arial"/>
        </w:rPr>
        <w:t>dentro de las p</w:t>
      </w:r>
      <w:r w:rsidR="0054378B" w:rsidRPr="0054378B">
        <w:rPr>
          <w:rFonts w:ascii="Century Gothic" w:hAnsi="Century Gothic" w:cs="Arial"/>
        </w:rPr>
        <w:t>rincipales razones por</w:t>
      </w:r>
      <w:r w:rsidR="0054378B">
        <w:rPr>
          <w:rFonts w:ascii="Century Gothic" w:hAnsi="Century Gothic" w:cs="Arial"/>
        </w:rPr>
        <w:t xml:space="preserve"> lo que las víctimas mujeres mayores de 15 años </w:t>
      </w:r>
      <w:r w:rsidR="0054378B" w:rsidRPr="0054378B">
        <w:rPr>
          <w:rFonts w:ascii="Century Gothic" w:hAnsi="Century Gothic" w:cs="Arial"/>
        </w:rPr>
        <w:t xml:space="preserve">no solicitaron apoyo o no denunciaron las agresiones físicas y/o </w:t>
      </w:r>
      <w:r w:rsidR="0054378B" w:rsidRPr="0054378B">
        <w:rPr>
          <w:rFonts w:ascii="Century Gothic" w:hAnsi="Century Gothic" w:cs="Arial"/>
        </w:rPr>
        <w:lastRenderedPageBreak/>
        <w:t>sexuales de su actual o última pareja o esposo o novi</w:t>
      </w:r>
      <w:r w:rsidR="0054378B">
        <w:rPr>
          <w:rFonts w:ascii="Century Gothic" w:hAnsi="Century Gothic" w:cs="Arial"/>
        </w:rPr>
        <w:t xml:space="preserve">o, </w:t>
      </w:r>
      <w:r w:rsidR="00BE1574">
        <w:rPr>
          <w:rFonts w:ascii="Century Gothic" w:hAnsi="Century Gothic" w:cs="Arial"/>
        </w:rPr>
        <w:t>en donde el</w:t>
      </w:r>
      <w:r w:rsidR="0054378B">
        <w:rPr>
          <w:rFonts w:ascii="Century Gothic" w:hAnsi="Century Gothic" w:cs="Arial"/>
        </w:rPr>
        <w:t xml:space="preserve"> 19.8% </w:t>
      </w:r>
      <w:r w:rsidR="00BE1574">
        <w:rPr>
          <w:rFonts w:ascii="Century Gothic" w:hAnsi="Century Gothic" w:cs="Arial"/>
        </w:rPr>
        <w:t xml:space="preserve">fue </w:t>
      </w:r>
      <w:r w:rsidR="0054378B">
        <w:rPr>
          <w:rFonts w:ascii="Century Gothic" w:hAnsi="Century Gothic" w:cs="Arial"/>
        </w:rPr>
        <w:t>p</w:t>
      </w:r>
      <w:r w:rsidR="0054378B" w:rsidRPr="0054378B">
        <w:rPr>
          <w:rFonts w:ascii="Century Gothic" w:hAnsi="Century Gothic" w:cs="Arial"/>
        </w:rPr>
        <w:t>or miedo de las consecuencias</w:t>
      </w:r>
      <w:r w:rsidR="0054378B">
        <w:rPr>
          <w:rFonts w:ascii="Century Gothic" w:hAnsi="Century Gothic" w:cs="Arial"/>
        </w:rPr>
        <w:t xml:space="preserve">; </w:t>
      </w:r>
      <w:r w:rsidR="00BE1574">
        <w:rPr>
          <w:rFonts w:ascii="Century Gothic" w:hAnsi="Century Gothic" w:cs="Arial"/>
        </w:rPr>
        <w:t xml:space="preserve">el </w:t>
      </w:r>
      <w:r w:rsidR="0054378B">
        <w:rPr>
          <w:rFonts w:ascii="Century Gothic" w:hAnsi="Century Gothic" w:cs="Arial"/>
        </w:rPr>
        <w:t>17.3%, p</w:t>
      </w:r>
      <w:r w:rsidR="0054378B" w:rsidRPr="0054378B">
        <w:rPr>
          <w:rFonts w:ascii="Century Gothic" w:hAnsi="Century Gothic" w:cs="Arial"/>
        </w:rPr>
        <w:t>or vergüenza</w:t>
      </w:r>
      <w:r w:rsidR="0054378B">
        <w:rPr>
          <w:rFonts w:ascii="Century Gothic" w:hAnsi="Century Gothic" w:cs="Arial"/>
        </w:rPr>
        <w:t xml:space="preserve">; </w:t>
      </w:r>
      <w:r w:rsidR="00BE1574">
        <w:rPr>
          <w:rFonts w:ascii="Century Gothic" w:hAnsi="Century Gothic" w:cs="Arial"/>
        </w:rPr>
        <w:t xml:space="preserve">el </w:t>
      </w:r>
      <w:r w:rsidR="0054378B">
        <w:rPr>
          <w:rFonts w:ascii="Century Gothic" w:hAnsi="Century Gothic" w:cs="Arial"/>
        </w:rPr>
        <w:t>10.3%, p</w:t>
      </w:r>
      <w:r w:rsidR="0054378B" w:rsidRPr="0054378B">
        <w:rPr>
          <w:rFonts w:ascii="Century Gothic" w:hAnsi="Century Gothic" w:cs="Arial"/>
        </w:rPr>
        <w:t>orque no quería que su familia se enterara</w:t>
      </w:r>
      <w:r w:rsidR="0054378B">
        <w:rPr>
          <w:rFonts w:ascii="Century Gothic" w:hAnsi="Century Gothic" w:cs="Arial"/>
        </w:rPr>
        <w:t xml:space="preserve"> y</w:t>
      </w:r>
      <w:r w:rsidR="00BE1574">
        <w:rPr>
          <w:rFonts w:ascii="Century Gothic" w:hAnsi="Century Gothic" w:cs="Arial"/>
        </w:rPr>
        <w:t xml:space="preserve"> el</w:t>
      </w:r>
      <w:r w:rsidR="0054378B">
        <w:rPr>
          <w:rFonts w:ascii="Century Gothic" w:hAnsi="Century Gothic" w:cs="Arial"/>
        </w:rPr>
        <w:t xml:space="preserve"> 5.6%, n</w:t>
      </w:r>
      <w:r w:rsidR="0054378B" w:rsidRPr="0054378B">
        <w:rPr>
          <w:rFonts w:ascii="Century Gothic" w:hAnsi="Century Gothic" w:cs="Arial"/>
        </w:rPr>
        <w:t>o sabía que existían leyes para sancionar la violencia</w:t>
      </w:r>
      <w:r w:rsidR="0054378B">
        <w:rPr>
          <w:rFonts w:ascii="Century Gothic" w:hAnsi="Century Gothic" w:cs="Arial"/>
        </w:rPr>
        <w:t>.</w:t>
      </w:r>
      <w:r w:rsidR="0054378B">
        <w:rPr>
          <w:rStyle w:val="Refdenotaalpie"/>
          <w:rFonts w:ascii="Century Gothic" w:hAnsi="Century Gothic" w:cs="Arial"/>
        </w:rPr>
        <w:footnoteReference w:id="8"/>
      </w:r>
      <w:r w:rsidR="0054378B">
        <w:rPr>
          <w:rFonts w:ascii="Century Gothic" w:hAnsi="Century Gothic" w:cs="Arial"/>
        </w:rPr>
        <w:t xml:space="preserve"> </w:t>
      </w:r>
    </w:p>
    <w:p w14:paraId="752AC384" w14:textId="049B85E9" w:rsidR="0054378B" w:rsidRDefault="0054378B" w:rsidP="00850EEA">
      <w:pPr>
        <w:spacing w:line="360" w:lineRule="auto"/>
        <w:ind w:right="335"/>
        <w:jc w:val="both"/>
        <w:rPr>
          <w:rFonts w:ascii="Century Gothic" w:hAnsi="Century Gothic" w:cs="Arial"/>
        </w:rPr>
      </w:pPr>
    </w:p>
    <w:p w14:paraId="54B728F8" w14:textId="5D91A5BF" w:rsidR="00150BF4" w:rsidRDefault="0054378B" w:rsidP="00850EEA">
      <w:pPr>
        <w:spacing w:line="360" w:lineRule="auto"/>
        <w:ind w:right="335"/>
        <w:jc w:val="both"/>
        <w:rPr>
          <w:rFonts w:ascii="Century Gothic" w:hAnsi="Century Gothic" w:cs="Arial"/>
        </w:rPr>
      </w:pPr>
      <w:r>
        <w:rPr>
          <w:rFonts w:ascii="Century Gothic" w:hAnsi="Century Gothic" w:cs="Arial"/>
        </w:rPr>
        <w:t>De igual forma</w:t>
      </w:r>
      <w:r w:rsidR="00150BF4">
        <w:rPr>
          <w:rFonts w:ascii="Century Gothic" w:hAnsi="Century Gothic" w:cs="Arial"/>
        </w:rPr>
        <w:t xml:space="preserve">, las mujeres </w:t>
      </w:r>
      <w:r w:rsidR="00150BF4" w:rsidRPr="00150BF4">
        <w:rPr>
          <w:rFonts w:ascii="Century Gothic" w:hAnsi="Century Gothic" w:cs="Arial"/>
        </w:rPr>
        <w:t xml:space="preserve">que han experimentado violencia física y/o sexual por otro agresor distinto a la pareja </w:t>
      </w:r>
      <w:r w:rsidR="00150BF4">
        <w:rPr>
          <w:rFonts w:ascii="Century Gothic" w:hAnsi="Century Gothic" w:cs="Arial"/>
        </w:rPr>
        <w:t>y que no acudieron a denunciar, se abstuvieron principalmente, por m</w:t>
      </w:r>
      <w:r w:rsidR="00150BF4" w:rsidRPr="00150BF4">
        <w:rPr>
          <w:rFonts w:ascii="Century Gothic" w:hAnsi="Century Gothic" w:cs="Arial"/>
        </w:rPr>
        <w:t>iedo a las consecuencias o amenazas</w:t>
      </w:r>
      <w:r w:rsidR="00906D2D">
        <w:rPr>
          <w:rFonts w:ascii="Century Gothic" w:hAnsi="Century Gothic" w:cs="Arial"/>
        </w:rPr>
        <w:t>,</w:t>
      </w:r>
      <w:r w:rsidR="00150BF4" w:rsidRPr="00150BF4">
        <w:rPr>
          <w:rFonts w:ascii="Century Gothic" w:hAnsi="Century Gothic" w:cs="Arial"/>
        </w:rPr>
        <w:t xml:space="preserve"> </w:t>
      </w:r>
      <w:r w:rsidR="00150BF4">
        <w:rPr>
          <w:rFonts w:ascii="Century Gothic" w:hAnsi="Century Gothic" w:cs="Arial"/>
        </w:rPr>
        <w:t>v</w:t>
      </w:r>
      <w:r w:rsidR="00150BF4" w:rsidRPr="00150BF4">
        <w:rPr>
          <w:rFonts w:ascii="Century Gothic" w:hAnsi="Century Gothic" w:cs="Arial"/>
        </w:rPr>
        <w:t>ergüenza</w:t>
      </w:r>
      <w:r w:rsidR="00906D2D">
        <w:rPr>
          <w:rFonts w:ascii="Century Gothic" w:hAnsi="Century Gothic" w:cs="Arial"/>
        </w:rPr>
        <w:t>,</w:t>
      </w:r>
      <w:r w:rsidR="00150BF4">
        <w:rPr>
          <w:rFonts w:ascii="Century Gothic" w:hAnsi="Century Gothic" w:cs="Arial"/>
        </w:rPr>
        <w:t xml:space="preserve"> no sabia como o donde denunciar</w:t>
      </w:r>
      <w:r w:rsidR="00906D2D">
        <w:rPr>
          <w:rFonts w:ascii="Century Gothic" w:hAnsi="Century Gothic" w:cs="Arial"/>
        </w:rPr>
        <w:t>,</w:t>
      </w:r>
      <w:r w:rsidR="00150BF4">
        <w:rPr>
          <w:rFonts w:ascii="Century Gothic" w:hAnsi="Century Gothic" w:cs="Arial"/>
        </w:rPr>
        <w:t xml:space="preserve"> o </w:t>
      </w:r>
      <w:r w:rsidR="00906D2D">
        <w:rPr>
          <w:rFonts w:ascii="Century Gothic" w:hAnsi="Century Gothic" w:cs="Arial"/>
        </w:rPr>
        <w:t>p</w:t>
      </w:r>
      <w:r w:rsidR="00AC38F5" w:rsidRPr="00AC38F5">
        <w:rPr>
          <w:rFonts w:ascii="Century Gothic" w:hAnsi="Century Gothic" w:cs="Arial"/>
        </w:rPr>
        <w:t>ensó que no le iban a creer o que le iban a decir que era su culpa</w:t>
      </w:r>
      <w:r w:rsidR="00906D2D">
        <w:rPr>
          <w:rFonts w:ascii="Century Gothic" w:hAnsi="Century Gothic" w:cs="Arial"/>
        </w:rPr>
        <w:t>.</w:t>
      </w:r>
      <w:r w:rsidR="00906D2D">
        <w:rPr>
          <w:rStyle w:val="Refdenotaalpie"/>
          <w:rFonts w:ascii="Century Gothic" w:hAnsi="Century Gothic" w:cs="Arial"/>
        </w:rPr>
        <w:footnoteReference w:id="9"/>
      </w:r>
    </w:p>
    <w:p w14:paraId="74290A1D" w14:textId="6575E216" w:rsidR="00906D2D" w:rsidRDefault="00906D2D" w:rsidP="00850EEA">
      <w:pPr>
        <w:spacing w:line="360" w:lineRule="auto"/>
        <w:ind w:right="335"/>
        <w:jc w:val="both"/>
        <w:rPr>
          <w:rFonts w:ascii="Century Gothic" w:hAnsi="Century Gothic" w:cs="Arial"/>
        </w:rPr>
      </w:pPr>
    </w:p>
    <w:p w14:paraId="26270086" w14:textId="66E74A0F" w:rsidR="008F251B" w:rsidRDefault="00906D2D" w:rsidP="00850EEA">
      <w:pPr>
        <w:spacing w:line="360" w:lineRule="auto"/>
        <w:ind w:right="335"/>
        <w:jc w:val="both"/>
        <w:rPr>
          <w:rFonts w:ascii="Century Gothic" w:hAnsi="Century Gothic" w:cs="Arial"/>
        </w:rPr>
      </w:pPr>
      <w:r>
        <w:rPr>
          <w:rFonts w:ascii="Century Gothic" w:hAnsi="Century Gothic" w:cs="Arial"/>
        </w:rPr>
        <w:t xml:space="preserve">Lo anterior confirma la </w:t>
      </w:r>
      <w:r w:rsidR="00BE1574">
        <w:rPr>
          <w:rFonts w:ascii="Century Gothic" w:hAnsi="Century Gothic" w:cs="Arial"/>
        </w:rPr>
        <w:t>aseveración</w:t>
      </w:r>
      <w:r>
        <w:rPr>
          <w:rFonts w:ascii="Century Gothic" w:hAnsi="Century Gothic" w:cs="Arial"/>
        </w:rPr>
        <w:t xml:space="preserve"> de </w:t>
      </w:r>
      <w:r w:rsidR="00BE1574">
        <w:rPr>
          <w:rFonts w:ascii="Century Gothic" w:hAnsi="Century Gothic" w:cs="Arial"/>
        </w:rPr>
        <w:t>que,</w:t>
      </w:r>
      <w:r>
        <w:rPr>
          <w:rFonts w:ascii="Century Gothic" w:hAnsi="Century Gothic" w:cs="Arial"/>
        </w:rPr>
        <w:t xml:space="preserve"> en estos casos, no se denuncia</w:t>
      </w:r>
      <w:r w:rsidR="00BE1574">
        <w:rPr>
          <w:rFonts w:ascii="Century Gothic" w:hAnsi="Century Gothic" w:cs="Arial"/>
        </w:rPr>
        <w:t xml:space="preserve"> </w:t>
      </w:r>
      <w:r>
        <w:rPr>
          <w:rFonts w:ascii="Century Gothic" w:hAnsi="Century Gothic" w:cs="Arial"/>
        </w:rPr>
        <w:t xml:space="preserve">la vulneración a la libertad y seguridad sexual </w:t>
      </w:r>
      <w:r w:rsidRPr="00906D2D">
        <w:rPr>
          <w:rFonts w:ascii="Century Gothic" w:hAnsi="Century Gothic" w:cs="Arial"/>
          <w:i/>
          <w:iCs/>
        </w:rPr>
        <w:t>en parte</w:t>
      </w:r>
      <w:r>
        <w:rPr>
          <w:rFonts w:ascii="Century Gothic" w:hAnsi="Century Gothic" w:cs="Arial"/>
          <w:i/>
          <w:iCs/>
        </w:rPr>
        <w:t>,</w:t>
      </w:r>
      <w:r w:rsidRPr="00906D2D">
        <w:rPr>
          <w:rFonts w:ascii="Century Gothic" w:hAnsi="Century Gothic" w:cs="Arial"/>
          <w:i/>
          <w:iCs/>
        </w:rPr>
        <w:t xml:space="preserve"> por el efecto amnésico de las sustancias, a lo que se suman las cuestiones de índole cultural que tienden a culpabilizar a las mujeres de sufrir agresiones sexuales, por lo que resulta difícil evaluar el impacto real de las drogas para facilitar el asalto sexual</w:t>
      </w:r>
    </w:p>
    <w:p w14:paraId="15753F3F" w14:textId="77777777" w:rsidR="008F251B" w:rsidRDefault="008F251B" w:rsidP="00850EEA">
      <w:pPr>
        <w:spacing w:line="360" w:lineRule="auto"/>
        <w:ind w:right="335"/>
        <w:jc w:val="both"/>
        <w:rPr>
          <w:rFonts w:ascii="Century Gothic" w:hAnsi="Century Gothic" w:cs="Arial"/>
        </w:rPr>
      </w:pPr>
    </w:p>
    <w:p w14:paraId="34CD5C7F" w14:textId="69B01F7E" w:rsidR="00836838" w:rsidRDefault="00AC1857" w:rsidP="00836838">
      <w:pPr>
        <w:spacing w:line="360" w:lineRule="auto"/>
        <w:ind w:right="335"/>
        <w:jc w:val="both"/>
        <w:rPr>
          <w:rFonts w:ascii="Century Gothic" w:hAnsi="Century Gothic" w:cs="Arial"/>
          <w:bCs/>
        </w:rPr>
      </w:pPr>
      <w:r>
        <w:rPr>
          <w:rFonts w:ascii="Century Gothic" w:hAnsi="Century Gothic" w:cs="Arial"/>
          <w:b/>
          <w:lang w:val="es-MX"/>
        </w:rPr>
        <w:t xml:space="preserve">IV.- </w:t>
      </w:r>
      <w:r w:rsidR="00836838" w:rsidRPr="00836838">
        <w:rPr>
          <w:rFonts w:ascii="Century Gothic" w:hAnsi="Century Gothic" w:cs="Arial"/>
          <w:bCs/>
          <w:lang w:val="es-MX"/>
        </w:rPr>
        <w:t xml:space="preserve">Lo anterior </w:t>
      </w:r>
      <w:r w:rsidR="00836838">
        <w:rPr>
          <w:rFonts w:ascii="Century Gothic" w:hAnsi="Century Gothic" w:cs="Arial"/>
          <w:bCs/>
        </w:rPr>
        <w:t xml:space="preserve">pone de manifiesto nuestro deber de seguir explorando mecanismos que nos permitan tutelar la libertad y seguridad sexual; en este caso, reprochar con mayor severidad al sujeto activo que suministra a la </w:t>
      </w:r>
      <w:r w:rsidR="00836838">
        <w:rPr>
          <w:rFonts w:ascii="Century Gothic" w:hAnsi="Century Gothic" w:cs="Arial"/>
          <w:bCs/>
        </w:rPr>
        <w:lastRenderedPageBreak/>
        <w:t xml:space="preserve">víctima </w:t>
      </w:r>
      <w:r w:rsidR="00357F2C">
        <w:rPr>
          <w:rFonts w:ascii="Century Gothic" w:hAnsi="Century Gothic" w:cs="Arial"/>
          <w:bCs/>
        </w:rPr>
        <w:t>algún agente químico o biológico para anular o neutralizar su posible resistencia y con ello realizar la conducta reprochable.</w:t>
      </w:r>
      <w:r w:rsidR="00357F2C">
        <w:rPr>
          <w:rStyle w:val="Refdenotaalpie"/>
          <w:rFonts w:ascii="Century Gothic" w:hAnsi="Century Gothic" w:cs="Arial"/>
          <w:bCs/>
        </w:rPr>
        <w:footnoteReference w:id="10"/>
      </w:r>
    </w:p>
    <w:p w14:paraId="79871F22" w14:textId="4FC24E97" w:rsidR="00357F2C" w:rsidRDefault="00357F2C" w:rsidP="00836838">
      <w:pPr>
        <w:spacing w:line="360" w:lineRule="auto"/>
        <w:ind w:right="335"/>
        <w:jc w:val="both"/>
        <w:rPr>
          <w:rFonts w:ascii="Century Gothic" w:hAnsi="Century Gothic" w:cs="Arial"/>
          <w:bCs/>
        </w:rPr>
      </w:pPr>
    </w:p>
    <w:p w14:paraId="1AC234E9" w14:textId="7A7197B5" w:rsidR="00ED28E2" w:rsidRDefault="0042542D" w:rsidP="0096282B">
      <w:pPr>
        <w:spacing w:line="360" w:lineRule="auto"/>
        <w:ind w:right="335"/>
        <w:jc w:val="both"/>
        <w:rPr>
          <w:rFonts w:ascii="Century Gothic" w:hAnsi="Century Gothic" w:cs="Arial"/>
          <w:bCs/>
        </w:rPr>
      </w:pPr>
      <w:r>
        <w:rPr>
          <w:rFonts w:ascii="Century Gothic" w:hAnsi="Century Gothic" w:cs="Arial"/>
          <w:bCs/>
        </w:rPr>
        <w:t>Por eso c</w:t>
      </w:r>
      <w:r w:rsidR="00836838" w:rsidRPr="00836838">
        <w:rPr>
          <w:rFonts w:ascii="Century Gothic" w:hAnsi="Century Gothic" w:cs="Arial"/>
          <w:bCs/>
        </w:rPr>
        <w:t>onsideramos seguir robusteciendo nuestro sistema normativo</w:t>
      </w:r>
      <w:r>
        <w:rPr>
          <w:rFonts w:ascii="Century Gothic" w:hAnsi="Century Gothic" w:cs="Arial"/>
          <w:bCs/>
        </w:rPr>
        <w:t xml:space="preserve">, para que </w:t>
      </w:r>
      <w:r w:rsidR="00836838" w:rsidRPr="00836838">
        <w:rPr>
          <w:rFonts w:ascii="Century Gothic" w:hAnsi="Century Gothic" w:cs="Arial"/>
          <w:bCs/>
        </w:rPr>
        <w:t>podamos estar en aptitud de garantizar una vida libre de violencia a las mujeres</w:t>
      </w:r>
      <w:r>
        <w:rPr>
          <w:rFonts w:ascii="Century Gothic" w:hAnsi="Century Gothic" w:cs="Arial"/>
          <w:bCs/>
        </w:rPr>
        <w:t xml:space="preserve">. </w:t>
      </w:r>
      <w:r w:rsidR="00ED28E2">
        <w:rPr>
          <w:rFonts w:ascii="Century Gothic" w:hAnsi="Century Gothic" w:cs="Arial"/>
          <w:bCs/>
        </w:rPr>
        <w:t xml:space="preserve">Lo anterior, bajo las </w:t>
      </w:r>
      <w:r w:rsidR="00603228">
        <w:rPr>
          <w:rFonts w:ascii="Century Gothic" w:hAnsi="Century Gothic" w:cs="Arial"/>
          <w:bCs/>
        </w:rPr>
        <w:t>subsecuentes</w:t>
      </w:r>
      <w:r w:rsidR="00ED28E2">
        <w:rPr>
          <w:rFonts w:ascii="Century Gothic" w:hAnsi="Century Gothic" w:cs="Arial"/>
          <w:bCs/>
        </w:rPr>
        <w:t xml:space="preserve"> reflexiones</w:t>
      </w:r>
      <w:r w:rsidR="00603228">
        <w:rPr>
          <w:rFonts w:ascii="Century Gothic" w:hAnsi="Century Gothic" w:cs="Arial"/>
          <w:bCs/>
        </w:rPr>
        <w:t>.</w:t>
      </w:r>
      <w:r w:rsidR="00ED28E2">
        <w:rPr>
          <w:rFonts w:ascii="Century Gothic" w:hAnsi="Century Gothic" w:cs="Arial"/>
          <w:bCs/>
        </w:rPr>
        <w:t xml:space="preserve"> </w:t>
      </w:r>
    </w:p>
    <w:p w14:paraId="3F84E4D5" w14:textId="77777777" w:rsidR="00ED28E2" w:rsidRDefault="00ED28E2" w:rsidP="0096282B">
      <w:pPr>
        <w:spacing w:line="360" w:lineRule="auto"/>
        <w:ind w:right="335"/>
        <w:jc w:val="both"/>
        <w:rPr>
          <w:rFonts w:ascii="Century Gothic" w:hAnsi="Century Gothic" w:cs="Arial"/>
          <w:bCs/>
        </w:rPr>
      </w:pPr>
    </w:p>
    <w:p w14:paraId="6FBE1D87" w14:textId="103D3506" w:rsidR="0078362A" w:rsidRPr="00ED28E2" w:rsidRDefault="00603228" w:rsidP="0096282B">
      <w:pPr>
        <w:spacing w:line="360" w:lineRule="auto"/>
        <w:ind w:right="335"/>
        <w:jc w:val="both"/>
        <w:rPr>
          <w:rFonts w:ascii="Century Gothic" w:hAnsi="Century Gothic" w:cs="Arial"/>
          <w:bCs/>
        </w:rPr>
      </w:pPr>
      <w:r>
        <w:rPr>
          <w:rFonts w:ascii="Century Gothic" w:hAnsi="Century Gothic" w:cs="Arial"/>
          <w:b/>
        </w:rPr>
        <w:t>V</w:t>
      </w:r>
      <w:r w:rsidR="00ED28E2" w:rsidRPr="0096282B">
        <w:rPr>
          <w:rFonts w:ascii="Century Gothic" w:hAnsi="Century Gothic" w:cs="Arial"/>
          <w:b/>
        </w:rPr>
        <w:t>.</w:t>
      </w:r>
      <w:r>
        <w:rPr>
          <w:rFonts w:ascii="Century Gothic" w:hAnsi="Century Gothic" w:cs="Arial"/>
          <w:b/>
        </w:rPr>
        <w:t>-</w:t>
      </w:r>
      <w:r w:rsidR="00ED28E2">
        <w:rPr>
          <w:rFonts w:ascii="Century Gothic" w:hAnsi="Century Gothic" w:cs="Arial"/>
          <w:bCs/>
        </w:rPr>
        <w:t xml:space="preserve"> </w:t>
      </w:r>
      <w:r w:rsidR="00ED28E2" w:rsidRPr="00ED28E2">
        <w:rPr>
          <w:rFonts w:ascii="Century Gothic" w:hAnsi="Century Gothic" w:cs="Arial"/>
          <w:bCs/>
        </w:rPr>
        <w:t xml:space="preserve">En cuanto </w:t>
      </w:r>
      <w:r w:rsidR="00ED28E2">
        <w:rPr>
          <w:rFonts w:ascii="Century Gothic" w:hAnsi="Century Gothic" w:cs="Arial"/>
          <w:bCs/>
        </w:rPr>
        <w:t xml:space="preserve">al delito de </w:t>
      </w:r>
      <w:r w:rsidR="0042542D" w:rsidRPr="00ED28E2">
        <w:rPr>
          <w:rFonts w:ascii="Century Gothic" w:hAnsi="Century Gothic" w:cs="Arial"/>
          <w:bCs/>
        </w:rPr>
        <w:t>violación</w:t>
      </w:r>
      <w:r w:rsidR="0096282B">
        <w:rPr>
          <w:rFonts w:ascii="Century Gothic" w:hAnsi="Century Gothic" w:cs="Arial"/>
          <w:bCs/>
        </w:rPr>
        <w:t xml:space="preserve"> contemplado en el artículo 172 del Código Penal del Estado de Chihuahua, también conocido como </w:t>
      </w:r>
      <w:r w:rsidR="006B1047" w:rsidRPr="00ED28E2">
        <w:rPr>
          <w:rFonts w:ascii="Century Gothic" w:hAnsi="Century Gothic" w:cs="Arial"/>
          <w:bCs/>
        </w:rPr>
        <w:t>violación equiparada</w:t>
      </w:r>
      <w:r w:rsidR="00B301F8" w:rsidRPr="00ED28E2">
        <w:rPr>
          <w:rFonts w:ascii="Century Gothic" w:hAnsi="Century Gothic" w:cs="Arial"/>
          <w:bCs/>
        </w:rPr>
        <w:t>, en la última porción de la fracción I, se sanciona a quien realiza la cópula con alguna persona que por cualquier causa no pueda resistirlo</w:t>
      </w:r>
      <w:r>
        <w:rPr>
          <w:rFonts w:ascii="Century Gothic" w:hAnsi="Century Gothic" w:cs="Arial"/>
          <w:bCs/>
        </w:rPr>
        <w:t>.</w:t>
      </w:r>
      <w:r w:rsidR="00ED2D1E">
        <w:rPr>
          <w:rStyle w:val="Refdenotaalpie"/>
          <w:rFonts w:ascii="Century Gothic" w:hAnsi="Century Gothic" w:cs="Arial"/>
          <w:bCs/>
        </w:rPr>
        <w:footnoteReference w:id="11"/>
      </w:r>
      <w:r w:rsidR="00B301F8" w:rsidRPr="00ED28E2">
        <w:rPr>
          <w:rFonts w:ascii="Century Gothic" w:hAnsi="Century Gothic" w:cs="Arial"/>
          <w:bCs/>
        </w:rPr>
        <w:t xml:space="preserve"> </w:t>
      </w:r>
    </w:p>
    <w:p w14:paraId="1F2E1B7F" w14:textId="77777777" w:rsidR="0078362A" w:rsidRDefault="0078362A" w:rsidP="00836838">
      <w:pPr>
        <w:spacing w:line="360" w:lineRule="auto"/>
        <w:ind w:right="335"/>
        <w:jc w:val="both"/>
        <w:rPr>
          <w:rFonts w:ascii="Century Gothic" w:hAnsi="Century Gothic" w:cs="Arial"/>
          <w:bCs/>
        </w:rPr>
      </w:pPr>
    </w:p>
    <w:p w14:paraId="78F6646F" w14:textId="4EDFDBCB" w:rsidR="006639C8" w:rsidRDefault="0078362A" w:rsidP="00836838">
      <w:pPr>
        <w:spacing w:line="360" w:lineRule="auto"/>
        <w:ind w:right="335"/>
        <w:jc w:val="both"/>
        <w:rPr>
          <w:rFonts w:ascii="Century Gothic" w:hAnsi="Century Gothic" w:cs="Arial"/>
          <w:bCs/>
        </w:rPr>
      </w:pPr>
      <w:r>
        <w:rPr>
          <w:rFonts w:ascii="Century Gothic" w:hAnsi="Century Gothic" w:cs="Arial"/>
          <w:bCs/>
        </w:rPr>
        <w:t xml:space="preserve">En esta hipótesis delictiva, se prescindió de la violencia física o moral como medio comisivo, y sólo se reprocha la realización de la cópula con una persona </w:t>
      </w:r>
      <w:r w:rsidRPr="0078362A">
        <w:rPr>
          <w:rFonts w:ascii="Century Gothic" w:hAnsi="Century Gothic" w:cs="Arial"/>
          <w:bCs/>
          <w:i/>
          <w:iCs/>
        </w:rPr>
        <w:t>que</w:t>
      </w:r>
      <w:r w:rsidRPr="0078362A">
        <w:rPr>
          <w:i/>
          <w:iCs/>
        </w:rPr>
        <w:t xml:space="preserve"> </w:t>
      </w:r>
      <w:r w:rsidRPr="0078362A">
        <w:rPr>
          <w:rFonts w:ascii="Century Gothic" w:hAnsi="Century Gothic" w:cs="Arial"/>
          <w:bCs/>
          <w:i/>
          <w:iCs/>
        </w:rPr>
        <w:t>por cualquier causa no pueda resistirla</w:t>
      </w:r>
      <w:r w:rsidR="006639C8">
        <w:rPr>
          <w:rFonts w:ascii="Century Gothic" w:hAnsi="Century Gothic" w:cs="Arial"/>
          <w:bCs/>
        </w:rPr>
        <w:t>.</w:t>
      </w:r>
      <w:r w:rsidR="006639C8">
        <w:rPr>
          <w:rStyle w:val="Refdenotaalpie"/>
          <w:rFonts w:ascii="Century Gothic" w:hAnsi="Century Gothic" w:cs="Arial"/>
          <w:bCs/>
        </w:rPr>
        <w:footnoteReference w:id="12"/>
      </w:r>
      <w:r w:rsidR="006639C8">
        <w:rPr>
          <w:rFonts w:ascii="Century Gothic" w:hAnsi="Century Gothic" w:cs="Arial"/>
          <w:bCs/>
        </w:rPr>
        <w:t xml:space="preserve"> </w:t>
      </w:r>
    </w:p>
    <w:p w14:paraId="583F2A88" w14:textId="77777777" w:rsidR="006639C8" w:rsidRDefault="006639C8" w:rsidP="00836838">
      <w:pPr>
        <w:spacing w:line="360" w:lineRule="auto"/>
        <w:ind w:right="335"/>
        <w:jc w:val="both"/>
        <w:rPr>
          <w:rFonts w:ascii="Century Gothic" w:hAnsi="Century Gothic" w:cs="Arial"/>
          <w:bCs/>
        </w:rPr>
      </w:pPr>
    </w:p>
    <w:p w14:paraId="6D6E416E" w14:textId="5A56AA7C" w:rsidR="0042542D" w:rsidRPr="00836838" w:rsidRDefault="006639C8" w:rsidP="00836838">
      <w:pPr>
        <w:spacing w:line="360" w:lineRule="auto"/>
        <w:ind w:right="335"/>
        <w:jc w:val="both"/>
        <w:rPr>
          <w:rFonts w:ascii="Century Gothic" w:hAnsi="Century Gothic" w:cs="Arial"/>
          <w:b/>
        </w:rPr>
      </w:pPr>
      <w:r>
        <w:rPr>
          <w:rFonts w:ascii="Century Gothic" w:hAnsi="Century Gothic" w:cs="Arial"/>
          <w:bCs/>
        </w:rPr>
        <w:lastRenderedPageBreak/>
        <w:t xml:space="preserve">Esta reprochabilidad </w:t>
      </w:r>
      <w:r w:rsidR="00476FF2">
        <w:rPr>
          <w:rFonts w:ascii="Century Gothic" w:hAnsi="Century Gothic" w:cs="Arial"/>
          <w:bCs/>
        </w:rPr>
        <w:t xml:space="preserve">es porque el sujeto activo se aprovecha de la situación de indefensión en el que se encuentra la víctima, </w:t>
      </w:r>
      <w:r w:rsidR="00722993">
        <w:rPr>
          <w:rFonts w:ascii="Century Gothic" w:hAnsi="Century Gothic" w:cs="Arial"/>
          <w:bCs/>
        </w:rPr>
        <w:t>ya sea</w:t>
      </w:r>
      <w:r w:rsidR="00476FF2">
        <w:rPr>
          <w:rFonts w:ascii="Century Gothic" w:hAnsi="Century Gothic" w:cs="Arial"/>
          <w:bCs/>
        </w:rPr>
        <w:t xml:space="preserve"> por relaciones o entornos coactivos o intimidatorios</w:t>
      </w:r>
      <w:r w:rsidR="00722993">
        <w:rPr>
          <w:rFonts w:ascii="Century Gothic" w:hAnsi="Century Gothic" w:cs="Arial"/>
          <w:bCs/>
        </w:rPr>
        <w:t>, entre otras circunstancias</w:t>
      </w:r>
      <w:r w:rsidR="00476FF2">
        <w:rPr>
          <w:rStyle w:val="Refdenotaalpie"/>
          <w:rFonts w:ascii="Century Gothic" w:hAnsi="Century Gothic" w:cs="Arial"/>
          <w:bCs/>
        </w:rPr>
        <w:footnoteReference w:id="13"/>
      </w:r>
      <w:r w:rsidR="00837BE8">
        <w:rPr>
          <w:rFonts w:ascii="Century Gothic" w:hAnsi="Century Gothic" w:cs="Arial"/>
          <w:bCs/>
        </w:rPr>
        <w:t>;</w:t>
      </w:r>
      <w:r w:rsidR="00476FF2">
        <w:rPr>
          <w:rFonts w:ascii="Century Gothic" w:hAnsi="Century Gothic" w:cs="Arial"/>
          <w:bCs/>
        </w:rPr>
        <w:t xml:space="preserve"> </w:t>
      </w:r>
      <w:r w:rsidR="001A19BF">
        <w:rPr>
          <w:rFonts w:ascii="Century Gothic" w:hAnsi="Century Gothic" w:cs="Arial"/>
          <w:bCs/>
        </w:rPr>
        <w:t xml:space="preserve"> </w:t>
      </w:r>
      <w:r w:rsidR="00837BE8">
        <w:rPr>
          <w:rFonts w:ascii="Century Gothic" w:hAnsi="Century Gothic" w:cs="Arial"/>
          <w:bCs/>
        </w:rPr>
        <w:t>esto</w:t>
      </w:r>
      <w:r w:rsidR="001A19BF">
        <w:rPr>
          <w:rFonts w:ascii="Century Gothic" w:hAnsi="Century Gothic" w:cs="Arial"/>
          <w:bCs/>
        </w:rPr>
        <w:t xml:space="preserve"> implica, que existan otros supuestos en donde la violencia no sea el instrumento que somete a la víctima para imponer la cópula, ya que el sujeto pasivo se encuentra indefenso por condiciones permanentes o circunstanciales, como podría ser una discapacidad física o intelectual, permanente o transitoria; </w:t>
      </w:r>
      <w:r w:rsidR="00722993">
        <w:rPr>
          <w:rFonts w:ascii="Century Gothic" w:hAnsi="Century Gothic" w:cs="Arial"/>
          <w:bCs/>
        </w:rPr>
        <w:t xml:space="preserve">inconciencia o estados asimilables -voluntarios o inducidos- entre otras </w:t>
      </w:r>
      <w:r w:rsidR="00837BE8">
        <w:rPr>
          <w:rFonts w:ascii="Century Gothic" w:hAnsi="Century Gothic" w:cs="Arial"/>
          <w:bCs/>
        </w:rPr>
        <w:t>situaciones</w:t>
      </w:r>
      <w:r w:rsidR="00722993">
        <w:rPr>
          <w:rFonts w:ascii="Century Gothic" w:hAnsi="Century Gothic" w:cs="Arial"/>
          <w:bCs/>
        </w:rPr>
        <w:t xml:space="preserve"> similares que imposibiliten a la víctima resistir el delito</w:t>
      </w:r>
      <w:r w:rsidR="00722993">
        <w:rPr>
          <w:rStyle w:val="Refdenotaalpie"/>
          <w:rFonts w:ascii="Century Gothic" w:hAnsi="Century Gothic" w:cs="Arial"/>
          <w:bCs/>
        </w:rPr>
        <w:footnoteReference w:id="14"/>
      </w:r>
      <w:r w:rsidR="00722993">
        <w:rPr>
          <w:rFonts w:ascii="Century Gothic" w:hAnsi="Century Gothic" w:cs="Arial"/>
          <w:bCs/>
        </w:rPr>
        <w:t xml:space="preserve">. </w:t>
      </w:r>
    </w:p>
    <w:p w14:paraId="1365CDFE" w14:textId="0C14C35F" w:rsidR="00B141D5" w:rsidRPr="00B141D5" w:rsidRDefault="00B141D5" w:rsidP="00C406B0">
      <w:pPr>
        <w:spacing w:line="360" w:lineRule="auto"/>
        <w:ind w:right="335"/>
        <w:jc w:val="both"/>
        <w:rPr>
          <w:rFonts w:ascii="Century Gothic" w:hAnsi="Century Gothic" w:cs="Arial"/>
        </w:rPr>
      </w:pPr>
    </w:p>
    <w:p w14:paraId="70F3DEF7" w14:textId="703B4258" w:rsidR="00837BE8" w:rsidRPr="00837BE8" w:rsidRDefault="00837BE8" w:rsidP="00837BE8">
      <w:pPr>
        <w:spacing w:line="360" w:lineRule="auto"/>
        <w:ind w:right="335"/>
        <w:jc w:val="both"/>
        <w:rPr>
          <w:rFonts w:ascii="Century Gothic" w:hAnsi="Century Gothic" w:cs="Arial"/>
          <w:i/>
          <w:lang w:val="es-MX"/>
        </w:rPr>
      </w:pPr>
      <w:r>
        <w:rPr>
          <w:rFonts w:ascii="Century Gothic" w:hAnsi="Century Gothic" w:cs="Arial"/>
          <w:lang w:val="es-MX"/>
        </w:rPr>
        <w:t xml:space="preserve">Es decir, tal y como </w:t>
      </w:r>
      <w:r w:rsidR="00557E52">
        <w:rPr>
          <w:rFonts w:ascii="Century Gothic" w:hAnsi="Century Gothic" w:cs="Arial"/>
          <w:lang w:val="es-MX"/>
        </w:rPr>
        <w:t>lo</w:t>
      </w:r>
      <w:r>
        <w:rPr>
          <w:rFonts w:ascii="Century Gothic" w:hAnsi="Century Gothic" w:cs="Arial"/>
          <w:lang w:val="es-MX"/>
        </w:rPr>
        <w:t xml:space="preserve"> describe la Primera Sala</w:t>
      </w:r>
      <w:r w:rsidR="0096282B">
        <w:rPr>
          <w:rFonts w:ascii="Century Gothic" w:hAnsi="Century Gothic" w:cs="Arial"/>
          <w:lang w:val="es-MX"/>
        </w:rPr>
        <w:t xml:space="preserve"> de la Suprema Corte de Justicia de la Nación (en </w:t>
      </w:r>
      <w:r w:rsidR="00557E52">
        <w:rPr>
          <w:rFonts w:ascii="Century Gothic" w:hAnsi="Century Gothic" w:cs="Arial"/>
          <w:lang w:val="es-MX"/>
        </w:rPr>
        <w:t xml:space="preserve">lo sucesivo SCJN) en una de sus resoluciones: </w:t>
      </w:r>
      <w:r w:rsidR="00603228">
        <w:rPr>
          <w:rFonts w:ascii="Century Gothic" w:hAnsi="Century Gothic" w:cs="Arial"/>
          <w:lang w:val="es-MX"/>
        </w:rPr>
        <w:t>P</w:t>
      </w:r>
      <w:r>
        <w:rPr>
          <w:rFonts w:ascii="Century Gothic" w:hAnsi="Century Gothic" w:cs="Arial"/>
          <w:lang w:val="es-MX"/>
        </w:rPr>
        <w:t xml:space="preserve">ara este tipo de delitos, </w:t>
      </w:r>
      <w:r w:rsidRPr="00837BE8">
        <w:rPr>
          <w:rFonts w:ascii="Century Gothic" w:hAnsi="Century Gothic" w:cs="Arial"/>
          <w:i/>
          <w:iCs/>
          <w:lang w:val="es-MX"/>
        </w:rPr>
        <w:t>la norma penal que describe la violación sexual equiparada no requiere que se someta a la víctima con la fuerza física o que se le neutralice con amenazas como sí lo requiere el tipo penal básico, sino que reprocha el aprovechamiento que hace el sujeto activo de ciertas circunstancias que impiden la producción voluntaria de una decisión respecto a la participación del sujeto pasivo en la cópula, sea porque le es inexigible jurídicamente oponerse a ésta, sea porque la víctima no tiene la habilidad o capacidad para comprender lo que está ocurriendo</w:t>
      </w:r>
      <w:r w:rsidRPr="00837BE8">
        <w:rPr>
          <w:rFonts w:ascii="Century Gothic" w:hAnsi="Century Gothic" w:cs="Arial"/>
          <w:lang w:val="es-MX"/>
        </w:rPr>
        <w:t>.</w:t>
      </w:r>
      <w:r>
        <w:rPr>
          <w:rStyle w:val="Refdenotaalpie"/>
          <w:rFonts w:ascii="Century Gothic" w:hAnsi="Century Gothic" w:cs="Arial"/>
          <w:lang w:val="es-MX"/>
        </w:rPr>
        <w:footnoteReference w:id="15"/>
      </w:r>
      <w:r w:rsidRPr="00837BE8">
        <w:rPr>
          <w:rFonts w:ascii="Century Gothic" w:hAnsi="Century Gothic" w:cs="Arial"/>
          <w:lang w:val="es-MX"/>
        </w:rPr>
        <w:t xml:space="preserve">   </w:t>
      </w:r>
    </w:p>
    <w:p w14:paraId="267B0BA5" w14:textId="597A90AE" w:rsidR="00837BE8" w:rsidRDefault="00837BE8" w:rsidP="00163B54">
      <w:pPr>
        <w:spacing w:line="360" w:lineRule="auto"/>
        <w:ind w:right="335"/>
        <w:jc w:val="both"/>
        <w:rPr>
          <w:rFonts w:ascii="Century Gothic" w:hAnsi="Century Gothic" w:cs="Arial"/>
        </w:rPr>
      </w:pPr>
    </w:p>
    <w:p w14:paraId="3E28089D" w14:textId="262D8720" w:rsidR="009B1912" w:rsidRPr="00ED2D1E" w:rsidRDefault="00837BE8" w:rsidP="009B1912">
      <w:pPr>
        <w:spacing w:line="360" w:lineRule="auto"/>
        <w:ind w:right="335"/>
        <w:jc w:val="both"/>
        <w:rPr>
          <w:rFonts w:ascii="Century Gothic" w:hAnsi="Century Gothic" w:cs="Arial"/>
        </w:rPr>
      </w:pPr>
      <w:r>
        <w:rPr>
          <w:rFonts w:ascii="Century Gothic" w:hAnsi="Century Gothic" w:cs="Arial"/>
        </w:rPr>
        <w:lastRenderedPageBreak/>
        <w:t xml:space="preserve">Lo anterior permite </w:t>
      </w:r>
      <w:r w:rsidR="009B1912">
        <w:rPr>
          <w:rFonts w:ascii="Century Gothic" w:hAnsi="Century Gothic" w:cs="Arial"/>
        </w:rPr>
        <w:t>que,</w:t>
      </w:r>
      <w:r>
        <w:rPr>
          <w:rFonts w:ascii="Century Gothic" w:hAnsi="Century Gothic" w:cs="Arial"/>
        </w:rPr>
        <w:t xml:space="preserve"> en esta hipótesis,</w:t>
      </w:r>
      <w:r w:rsidR="009B1912">
        <w:rPr>
          <w:rFonts w:ascii="Century Gothic" w:hAnsi="Century Gothic" w:cs="Arial"/>
        </w:rPr>
        <w:t xml:space="preserve"> es decir, en la violación equiparada,</w:t>
      </w:r>
      <w:r>
        <w:rPr>
          <w:rFonts w:ascii="Century Gothic" w:hAnsi="Century Gothic" w:cs="Arial"/>
        </w:rPr>
        <w:t xml:space="preserve"> cuando medie la violencia física o moral, la pena se agrave, tal y como dispone el último párrafo del artículo</w:t>
      </w:r>
      <w:r w:rsidR="009B1912">
        <w:rPr>
          <w:rFonts w:ascii="Century Gothic" w:hAnsi="Century Gothic" w:cs="Arial"/>
        </w:rPr>
        <w:t xml:space="preserve"> 172 del Código Penal del Estado al establecer que “</w:t>
      </w:r>
      <w:r w:rsidR="009B1912" w:rsidRPr="00ED2D1E">
        <w:rPr>
          <w:rFonts w:ascii="Century Gothic" w:hAnsi="Century Gothic" w:cs="Arial"/>
          <w:i/>
          <w:iCs/>
        </w:rPr>
        <w:t>Si se ejerciera violencia física o moral, la pena prevista se aumentará en una mitad</w:t>
      </w:r>
      <w:r w:rsidR="009B1912">
        <w:rPr>
          <w:rFonts w:ascii="Century Gothic" w:hAnsi="Century Gothic" w:cs="Arial"/>
        </w:rPr>
        <w:t>”</w:t>
      </w:r>
      <w:r w:rsidR="009B1912" w:rsidRPr="00ED2D1E">
        <w:rPr>
          <w:rFonts w:ascii="Century Gothic" w:hAnsi="Century Gothic" w:cs="Arial"/>
        </w:rPr>
        <w:t>.</w:t>
      </w:r>
    </w:p>
    <w:p w14:paraId="4E0D57F3" w14:textId="3BA5AFCA" w:rsidR="00837BE8" w:rsidRDefault="00837BE8" w:rsidP="00163B54">
      <w:pPr>
        <w:spacing w:line="360" w:lineRule="auto"/>
        <w:ind w:right="335"/>
        <w:jc w:val="both"/>
        <w:rPr>
          <w:rFonts w:ascii="Century Gothic" w:hAnsi="Century Gothic" w:cs="Arial"/>
        </w:rPr>
      </w:pPr>
    </w:p>
    <w:p w14:paraId="608276D0" w14:textId="18640CE6" w:rsidR="006639C8" w:rsidRDefault="00603228" w:rsidP="00163B54">
      <w:pPr>
        <w:spacing w:line="360" w:lineRule="auto"/>
        <w:ind w:right="335"/>
        <w:jc w:val="both"/>
        <w:rPr>
          <w:rFonts w:ascii="Century Gothic" w:hAnsi="Century Gothic" w:cs="Arial"/>
          <w:bCs/>
          <w:lang w:val="es-MX"/>
        </w:rPr>
      </w:pPr>
      <w:r>
        <w:rPr>
          <w:rFonts w:ascii="Century Gothic" w:hAnsi="Century Gothic" w:cs="Arial"/>
          <w:b/>
          <w:bCs/>
        </w:rPr>
        <w:t>VI</w:t>
      </w:r>
      <w:r w:rsidR="00557E52">
        <w:rPr>
          <w:rFonts w:ascii="Century Gothic" w:hAnsi="Century Gothic" w:cs="Arial"/>
          <w:b/>
          <w:bCs/>
        </w:rPr>
        <w:t>.</w:t>
      </w:r>
      <w:r>
        <w:rPr>
          <w:rFonts w:ascii="Century Gothic" w:hAnsi="Century Gothic" w:cs="Arial"/>
          <w:b/>
          <w:bCs/>
        </w:rPr>
        <w:t>-</w:t>
      </w:r>
      <w:r w:rsidR="009B1912">
        <w:rPr>
          <w:rFonts w:ascii="Century Gothic" w:hAnsi="Century Gothic" w:cs="Arial"/>
        </w:rPr>
        <w:t xml:space="preserve"> Ahora bien, ya sabemos que la violación equipara prescinde como medio comisivo de la violencia física o moral, y al ejercerse, la pena se agrava; entonces en que supuesto se encuentran </w:t>
      </w:r>
      <w:r w:rsidR="009B1912" w:rsidRPr="009B1912">
        <w:rPr>
          <w:rFonts w:ascii="Century Gothic" w:hAnsi="Century Gothic" w:cs="Arial"/>
          <w:bCs/>
          <w:lang w:val="es-MX"/>
        </w:rPr>
        <w:t xml:space="preserve">aquellos casos en donde el sujeto activo suministra a la víctima </w:t>
      </w:r>
      <w:r w:rsidR="001C11BC">
        <w:rPr>
          <w:rFonts w:ascii="Century Gothic" w:hAnsi="Century Gothic" w:cs="Arial"/>
          <w:bCs/>
          <w:lang w:val="es-MX"/>
        </w:rPr>
        <w:t>algún</w:t>
      </w:r>
      <w:r w:rsidR="009B1912" w:rsidRPr="009B1912">
        <w:rPr>
          <w:rFonts w:ascii="Century Gothic" w:hAnsi="Century Gothic" w:cs="Arial"/>
          <w:bCs/>
          <w:lang w:val="es-MX"/>
        </w:rPr>
        <w:t xml:space="preserve"> estupefaciente o </w:t>
      </w:r>
      <w:r w:rsidR="001C11BC" w:rsidRPr="009B1912">
        <w:rPr>
          <w:rFonts w:ascii="Century Gothic" w:hAnsi="Century Gothic" w:cs="Arial"/>
          <w:bCs/>
          <w:lang w:val="es-MX"/>
        </w:rPr>
        <w:t xml:space="preserve">sustancia </w:t>
      </w:r>
      <w:r w:rsidR="009B1912" w:rsidRPr="009B1912">
        <w:rPr>
          <w:rFonts w:ascii="Century Gothic" w:hAnsi="Century Gothic" w:cs="Arial"/>
          <w:bCs/>
          <w:lang w:val="es-MX"/>
        </w:rPr>
        <w:t>psicotrópica, con la intención de anular o neutralizar la posible defensa, e imponerle, contra su voluntad, la cópula</w:t>
      </w:r>
      <w:r w:rsidR="00960839">
        <w:rPr>
          <w:rFonts w:ascii="Century Gothic" w:hAnsi="Century Gothic" w:cs="Arial"/>
          <w:bCs/>
          <w:lang w:val="es-MX"/>
        </w:rPr>
        <w:t>;</w:t>
      </w:r>
      <w:r w:rsidR="00B63E65">
        <w:rPr>
          <w:rFonts w:ascii="Century Gothic" w:hAnsi="Century Gothic" w:cs="Arial"/>
          <w:bCs/>
          <w:lang w:val="es-MX"/>
        </w:rPr>
        <w:t xml:space="preserve"> </w:t>
      </w:r>
      <w:r w:rsidR="00960839">
        <w:rPr>
          <w:rFonts w:ascii="Century Gothic" w:hAnsi="Century Gothic" w:cs="Arial"/>
          <w:bCs/>
          <w:lang w:val="es-MX"/>
        </w:rPr>
        <w:t>es decir, esta última conducta ¿</w:t>
      </w:r>
      <w:r w:rsidR="00765507">
        <w:rPr>
          <w:rFonts w:ascii="Century Gothic" w:hAnsi="Century Gothic" w:cs="Arial"/>
          <w:bCs/>
          <w:lang w:val="es-MX"/>
        </w:rPr>
        <w:t>se sanciona</w:t>
      </w:r>
      <w:r w:rsidR="00960839">
        <w:rPr>
          <w:rFonts w:ascii="Century Gothic" w:hAnsi="Century Gothic" w:cs="Arial"/>
          <w:bCs/>
          <w:lang w:val="es-MX"/>
        </w:rPr>
        <w:t xml:space="preserve"> como violación equiparada simple o agravada?</w:t>
      </w:r>
    </w:p>
    <w:p w14:paraId="0728F94F" w14:textId="49F10F0F" w:rsidR="00B63E65" w:rsidRDefault="00B63E65" w:rsidP="00163B54">
      <w:pPr>
        <w:spacing w:line="360" w:lineRule="auto"/>
        <w:ind w:right="335"/>
        <w:jc w:val="both"/>
        <w:rPr>
          <w:rFonts w:ascii="Century Gothic" w:hAnsi="Century Gothic" w:cs="Arial"/>
          <w:bCs/>
          <w:lang w:val="es-MX"/>
        </w:rPr>
      </w:pPr>
    </w:p>
    <w:p w14:paraId="5A42025E" w14:textId="322C6027" w:rsidR="00DC1740" w:rsidRPr="00DC1740" w:rsidRDefault="00DC1740" w:rsidP="00DC1740">
      <w:pPr>
        <w:spacing w:line="360" w:lineRule="auto"/>
        <w:ind w:right="335"/>
        <w:jc w:val="both"/>
        <w:rPr>
          <w:rFonts w:ascii="Century Gothic" w:hAnsi="Century Gothic" w:cs="Arial"/>
          <w:bCs/>
          <w:lang w:val="es-MX"/>
        </w:rPr>
      </w:pPr>
      <w:r w:rsidRPr="00DC1740">
        <w:rPr>
          <w:rFonts w:ascii="Century Gothic" w:hAnsi="Century Gothic" w:cs="Arial"/>
          <w:bCs/>
          <w:lang w:val="es-MX"/>
        </w:rPr>
        <w:t xml:space="preserve">Desde nuestra perspectiva, se sanciona como violación equiparada agravada, en razón de que la actualización de la violencia física como medio comisivo, requiere que el sujeto despliegue actos, ya sea por su fuerza o cualquier otro medio físico, pero siempre tendientes a nulificar o menoscabar la resistencia que podría oponer la víctima a la cópula. </w:t>
      </w:r>
    </w:p>
    <w:p w14:paraId="3829421B" w14:textId="77777777" w:rsidR="00AA023B" w:rsidRDefault="00AA023B" w:rsidP="00163B54">
      <w:pPr>
        <w:spacing w:line="360" w:lineRule="auto"/>
        <w:ind w:right="335"/>
        <w:jc w:val="both"/>
        <w:rPr>
          <w:rFonts w:ascii="Century Gothic" w:hAnsi="Century Gothic" w:cs="Arial"/>
          <w:bCs/>
          <w:lang w:val="es-MX"/>
        </w:rPr>
      </w:pPr>
    </w:p>
    <w:p w14:paraId="6DA53DC3" w14:textId="50FF7753" w:rsidR="00AA023B" w:rsidRDefault="00673499" w:rsidP="00163B54">
      <w:pPr>
        <w:spacing w:line="360" w:lineRule="auto"/>
        <w:ind w:right="335"/>
        <w:jc w:val="both"/>
        <w:rPr>
          <w:rFonts w:ascii="Century Gothic" w:hAnsi="Century Gothic" w:cs="Arial"/>
          <w:bCs/>
          <w:lang w:val="es-MX"/>
        </w:rPr>
      </w:pPr>
      <w:r>
        <w:rPr>
          <w:rFonts w:ascii="Century Gothic" w:hAnsi="Century Gothic" w:cs="Arial"/>
          <w:bCs/>
          <w:lang w:val="es-MX"/>
        </w:rPr>
        <w:t xml:space="preserve">Esto es, </w:t>
      </w:r>
      <w:r w:rsidR="00AA023B">
        <w:rPr>
          <w:rFonts w:ascii="Century Gothic" w:hAnsi="Century Gothic" w:cs="Arial"/>
          <w:bCs/>
          <w:lang w:val="es-MX"/>
        </w:rPr>
        <w:t xml:space="preserve">existen dos formas de apreciar </w:t>
      </w:r>
      <w:r w:rsidR="00DC1740">
        <w:rPr>
          <w:rFonts w:ascii="Century Gothic" w:hAnsi="Century Gothic" w:cs="Arial"/>
          <w:bCs/>
          <w:lang w:val="es-MX"/>
        </w:rPr>
        <w:t>ese medio comisivo violento</w:t>
      </w:r>
      <w:r w:rsidR="00AA023B">
        <w:rPr>
          <w:rFonts w:ascii="Century Gothic" w:hAnsi="Century Gothic" w:cs="Arial"/>
          <w:bCs/>
          <w:lang w:val="es-MX"/>
        </w:rPr>
        <w:t>, la primera, por la utilización d</w:t>
      </w:r>
      <w:r w:rsidR="00DC1740">
        <w:rPr>
          <w:rFonts w:ascii="Century Gothic" w:hAnsi="Century Gothic" w:cs="Arial"/>
          <w:bCs/>
          <w:lang w:val="es-MX"/>
        </w:rPr>
        <w:t>el</w:t>
      </w:r>
      <w:r w:rsidR="00AA023B">
        <w:rPr>
          <w:rFonts w:ascii="Century Gothic" w:hAnsi="Century Gothic" w:cs="Arial"/>
          <w:bCs/>
          <w:lang w:val="es-MX"/>
        </w:rPr>
        <w:t xml:space="preserve"> físico, es decir, </w:t>
      </w:r>
      <w:r w:rsidR="00DC1740">
        <w:rPr>
          <w:rFonts w:ascii="Century Gothic" w:hAnsi="Century Gothic" w:cs="Arial"/>
          <w:bCs/>
          <w:lang w:val="es-MX"/>
        </w:rPr>
        <w:t>la</w:t>
      </w:r>
      <w:r w:rsidR="00AA023B">
        <w:rPr>
          <w:rFonts w:ascii="Century Gothic" w:hAnsi="Century Gothic" w:cs="Arial"/>
          <w:bCs/>
          <w:lang w:val="es-MX"/>
        </w:rPr>
        <w:t xml:space="preserve"> fuerza empleada por su cuerpo</w:t>
      </w:r>
      <w:r w:rsidR="00DC1740">
        <w:rPr>
          <w:rFonts w:ascii="Century Gothic" w:hAnsi="Century Gothic" w:cs="Arial"/>
          <w:bCs/>
          <w:lang w:val="es-MX"/>
        </w:rPr>
        <w:t>,</w:t>
      </w:r>
      <w:r w:rsidR="00AA023B">
        <w:rPr>
          <w:rFonts w:ascii="Century Gothic" w:hAnsi="Century Gothic" w:cs="Arial"/>
          <w:bCs/>
          <w:lang w:val="es-MX"/>
        </w:rPr>
        <w:t xml:space="preserve"> y la otra, utilizando cualquier otro medio físico, como podría ser la suministración de un agente químico o biológico</w:t>
      </w:r>
      <w:r w:rsidR="00B13417">
        <w:rPr>
          <w:rFonts w:ascii="Century Gothic" w:hAnsi="Century Gothic" w:cs="Arial"/>
          <w:bCs/>
          <w:lang w:val="es-MX"/>
        </w:rPr>
        <w:t xml:space="preserve">. </w:t>
      </w:r>
    </w:p>
    <w:p w14:paraId="5281F5B2" w14:textId="77777777" w:rsidR="00AA023B" w:rsidRDefault="00AA023B" w:rsidP="00163B54">
      <w:pPr>
        <w:spacing w:line="360" w:lineRule="auto"/>
        <w:ind w:right="335"/>
        <w:jc w:val="both"/>
        <w:rPr>
          <w:rFonts w:ascii="Century Gothic" w:hAnsi="Century Gothic" w:cs="Arial"/>
          <w:bCs/>
          <w:lang w:val="es-MX"/>
        </w:rPr>
      </w:pPr>
    </w:p>
    <w:p w14:paraId="5B7DEF35" w14:textId="44AA96C9" w:rsidR="00AA023B" w:rsidRDefault="00B13417" w:rsidP="00163B54">
      <w:pPr>
        <w:spacing w:line="360" w:lineRule="auto"/>
        <w:ind w:right="335"/>
        <w:jc w:val="both"/>
        <w:rPr>
          <w:rFonts w:ascii="Century Gothic" w:hAnsi="Century Gothic" w:cs="Arial"/>
          <w:i/>
          <w:iCs/>
          <w:lang w:val="es-MX"/>
        </w:rPr>
      </w:pPr>
      <w:r>
        <w:rPr>
          <w:rFonts w:ascii="Century Gothic" w:hAnsi="Century Gothic" w:cs="Arial"/>
          <w:bCs/>
          <w:lang w:val="es-MX"/>
        </w:rPr>
        <w:t xml:space="preserve">Pero para que ambas manifestaciones, ya sean los golpes o la suministración del </w:t>
      </w:r>
      <w:r w:rsidRPr="00B13417">
        <w:rPr>
          <w:rFonts w:ascii="Century Gothic" w:hAnsi="Century Gothic" w:cs="Arial"/>
          <w:bCs/>
          <w:lang w:val="es-MX"/>
        </w:rPr>
        <w:t>estupefaciente o psicotrópic</w:t>
      </w:r>
      <w:r>
        <w:rPr>
          <w:rFonts w:ascii="Century Gothic" w:hAnsi="Century Gothic" w:cs="Arial"/>
          <w:bCs/>
          <w:lang w:val="es-MX"/>
        </w:rPr>
        <w:t xml:space="preserve">o, puedan ser </w:t>
      </w:r>
      <w:r w:rsidR="00946E99">
        <w:rPr>
          <w:rFonts w:ascii="Century Gothic" w:hAnsi="Century Gothic" w:cs="Arial"/>
          <w:bCs/>
          <w:lang w:val="es-MX"/>
        </w:rPr>
        <w:t>reprochables</w:t>
      </w:r>
      <w:r>
        <w:rPr>
          <w:rFonts w:ascii="Century Gothic" w:hAnsi="Century Gothic" w:cs="Arial"/>
          <w:bCs/>
          <w:lang w:val="es-MX"/>
        </w:rPr>
        <w:t xml:space="preserve"> como el medio comisivo de la violación equiparada en la vertiente</w:t>
      </w:r>
      <w:r w:rsidR="00946E99">
        <w:rPr>
          <w:rFonts w:ascii="Century Gothic" w:hAnsi="Century Gothic" w:cs="Arial"/>
          <w:bCs/>
          <w:lang w:val="es-MX"/>
        </w:rPr>
        <w:t xml:space="preserve"> de</w:t>
      </w:r>
      <w:r>
        <w:rPr>
          <w:rFonts w:ascii="Century Gothic" w:hAnsi="Century Gothic" w:cs="Arial"/>
          <w:bCs/>
          <w:lang w:val="es-MX"/>
        </w:rPr>
        <w:t xml:space="preserve"> </w:t>
      </w:r>
      <w:r w:rsidR="00946E99">
        <w:rPr>
          <w:rFonts w:ascii="Century Gothic" w:hAnsi="Century Gothic" w:cs="Arial"/>
          <w:bCs/>
          <w:lang w:val="es-MX"/>
        </w:rPr>
        <w:t>que por cualquier causa no pueda resistir la cópula, necesariamente,</w:t>
      </w:r>
      <w:r>
        <w:rPr>
          <w:rFonts w:ascii="Century Gothic" w:hAnsi="Century Gothic" w:cs="Arial"/>
          <w:bCs/>
          <w:lang w:val="es-MX"/>
        </w:rPr>
        <w:t xml:space="preserve"> </w:t>
      </w:r>
      <w:r w:rsidR="00946E99" w:rsidRPr="00946E99">
        <w:rPr>
          <w:rFonts w:ascii="Century Gothic" w:hAnsi="Century Gothic" w:cs="Arial"/>
          <w:i/>
          <w:iCs/>
          <w:lang w:val="es-MX"/>
        </w:rPr>
        <w:t>deben provocar que el sujeto pasivo no esté en condiciones de repeler la agresión del sujeto activo.</w:t>
      </w:r>
      <w:r w:rsidR="00946E99">
        <w:rPr>
          <w:rStyle w:val="Refdenotaalpie"/>
          <w:rFonts w:ascii="Century Gothic" w:hAnsi="Century Gothic" w:cs="Arial"/>
          <w:i/>
          <w:iCs/>
          <w:lang w:val="es-MX"/>
        </w:rPr>
        <w:footnoteReference w:id="16"/>
      </w:r>
    </w:p>
    <w:p w14:paraId="5F67683F" w14:textId="1D1720D1" w:rsidR="00946E99" w:rsidRDefault="00946E99" w:rsidP="00163B54">
      <w:pPr>
        <w:spacing w:line="360" w:lineRule="auto"/>
        <w:ind w:right="335"/>
        <w:jc w:val="both"/>
        <w:rPr>
          <w:rFonts w:ascii="Century Gothic" w:hAnsi="Century Gothic" w:cs="Arial"/>
          <w:i/>
          <w:iCs/>
          <w:lang w:val="es-MX"/>
        </w:rPr>
      </w:pPr>
    </w:p>
    <w:p w14:paraId="1B52A2EE" w14:textId="3FC53464" w:rsidR="00946E99" w:rsidRDefault="00A930CF" w:rsidP="00163B54">
      <w:pPr>
        <w:spacing w:line="360" w:lineRule="auto"/>
        <w:ind w:right="335"/>
        <w:jc w:val="both"/>
        <w:rPr>
          <w:rFonts w:ascii="Century Gothic" w:hAnsi="Century Gothic" w:cs="Arial"/>
          <w:bCs/>
        </w:rPr>
      </w:pPr>
      <w:r>
        <w:rPr>
          <w:rFonts w:ascii="Century Gothic" w:hAnsi="Century Gothic" w:cs="Arial"/>
          <w:bCs/>
          <w:lang w:val="es-MX"/>
        </w:rPr>
        <w:t xml:space="preserve">Para robustecer lo anteriormente mencionado, tenemos que la Primera Sala de la </w:t>
      </w:r>
      <w:r w:rsidR="004D2181">
        <w:rPr>
          <w:rFonts w:ascii="Century Gothic" w:hAnsi="Century Gothic" w:cs="Arial"/>
          <w:bCs/>
          <w:lang w:val="es-MX"/>
        </w:rPr>
        <w:t>SCJN</w:t>
      </w:r>
      <w:r>
        <w:rPr>
          <w:rFonts w:ascii="Century Gothic" w:hAnsi="Century Gothic" w:cs="Arial"/>
          <w:bCs/>
          <w:lang w:val="es-MX"/>
        </w:rPr>
        <w:t xml:space="preserve"> en la Jurisprudencia que puede ser localizada bajo el número de registro </w:t>
      </w:r>
      <w:r w:rsidR="000F70D0" w:rsidRPr="000F70D0">
        <w:rPr>
          <w:rFonts w:ascii="Century Gothic" w:hAnsi="Century Gothic" w:cs="Arial"/>
          <w:bCs/>
        </w:rPr>
        <w:t>167601</w:t>
      </w:r>
      <w:r>
        <w:rPr>
          <w:rStyle w:val="Refdenotaalpie"/>
          <w:rFonts w:ascii="Century Gothic" w:hAnsi="Century Gothic" w:cs="Arial"/>
          <w:bCs/>
          <w:lang w:val="es-MX"/>
        </w:rPr>
        <w:footnoteReference w:id="17"/>
      </w:r>
      <w:r w:rsidR="000F70D0">
        <w:rPr>
          <w:rFonts w:ascii="Century Gothic" w:hAnsi="Century Gothic" w:cs="Arial"/>
          <w:bCs/>
        </w:rPr>
        <w:t xml:space="preserve">, menciona lo siguiente: </w:t>
      </w:r>
    </w:p>
    <w:p w14:paraId="40BF2E81" w14:textId="0167ECF3" w:rsidR="000F70D0" w:rsidRDefault="000F70D0" w:rsidP="00163B54">
      <w:pPr>
        <w:spacing w:line="360" w:lineRule="auto"/>
        <w:ind w:right="335"/>
        <w:jc w:val="both"/>
        <w:rPr>
          <w:rFonts w:ascii="Century Gothic" w:hAnsi="Century Gothic" w:cs="Arial"/>
          <w:bCs/>
        </w:rPr>
      </w:pPr>
    </w:p>
    <w:p w14:paraId="0AF9D0D7" w14:textId="756A49FA" w:rsidR="000F70D0" w:rsidRPr="000F70D0" w:rsidRDefault="000F70D0" w:rsidP="000F70D0">
      <w:pPr>
        <w:spacing w:line="360" w:lineRule="auto"/>
        <w:ind w:left="851" w:right="1182"/>
        <w:jc w:val="both"/>
        <w:rPr>
          <w:rFonts w:ascii="Century Gothic" w:hAnsi="Century Gothic" w:cs="Arial"/>
          <w:bCs/>
          <w:i/>
          <w:iCs/>
          <w:lang w:val="es-MX"/>
        </w:rPr>
      </w:pPr>
      <w:r w:rsidRPr="000F70D0">
        <w:rPr>
          <w:rFonts w:ascii="Century Gothic" w:hAnsi="Century Gothic" w:cs="Arial"/>
          <w:bCs/>
          <w:i/>
          <w:iCs/>
        </w:rPr>
        <w:t>“…En ese sentido, debe concluirse que la suministración de un medicamento, droga, o en general un agente químico o biológico, sobre un sujeto pasivo puede actualizar el supuesto de violencia física, como medio específico en la comisión de los delitos de violación equiparada …”</w:t>
      </w:r>
    </w:p>
    <w:p w14:paraId="230DAA8F" w14:textId="622C838D" w:rsidR="000F70D0" w:rsidRDefault="000F70D0" w:rsidP="00163B54">
      <w:pPr>
        <w:spacing w:line="360" w:lineRule="auto"/>
        <w:ind w:right="335"/>
        <w:jc w:val="both"/>
        <w:rPr>
          <w:rFonts w:ascii="Century Gothic" w:hAnsi="Century Gothic" w:cs="Arial"/>
          <w:bCs/>
          <w:lang w:val="es-MX"/>
        </w:rPr>
      </w:pPr>
    </w:p>
    <w:p w14:paraId="76524C67" w14:textId="748F8E4C" w:rsidR="007D3BD2" w:rsidRDefault="007D3BD2" w:rsidP="00163B54">
      <w:pPr>
        <w:spacing w:line="360" w:lineRule="auto"/>
        <w:ind w:right="335"/>
        <w:jc w:val="both"/>
        <w:rPr>
          <w:rFonts w:ascii="Century Gothic" w:hAnsi="Century Gothic" w:cs="Arial"/>
          <w:bCs/>
          <w:lang w:val="es-MX"/>
        </w:rPr>
      </w:pPr>
      <w:r>
        <w:rPr>
          <w:rFonts w:ascii="Century Gothic" w:hAnsi="Century Gothic" w:cs="Arial"/>
          <w:bCs/>
          <w:lang w:val="es-MX"/>
        </w:rPr>
        <w:t xml:space="preserve">Ello nos da la posibilidad de establecer como una violación equiparada agravada, la suministración de un agente químico o biológico que nulifique la resistencia de la víctima. </w:t>
      </w:r>
    </w:p>
    <w:p w14:paraId="09DD823D" w14:textId="77777777" w:rsidR="007D3BD2" w:rsidRDefault="007D3BD2" w:rsidP="00163B54">
      <w:pPr>
        <w:spacing w:line="360" w:lineRule="auto"/>
        <w:ind w:right="335"/>
        <w:jc w:val="both"/>
        <w:rPr>
          <w:rFonts w:ascii="Century Gothic" w:hAnsi="Century Gothic" w:cs="Arial"/>
          <w:bCs/>
          <w:lang w:val="es-MX"/>
        </w:rPr>
      </w:pPr>
    </w:p>
    <w:p w14:paraId="60BFA4F1" w14:textId="1207E586" w:rsidR="007D3BD2" w:rsidRDefault="005902D8" w:rsidP="00163B54">
      <w:pPr>
        <w:spacing w:line="360" w:lineRule="auto"/>
        <w:ind w:right="335"/>
        <w:jc w:val="both"/>
        <w:rPr>
          <w:rFonts w:ascii="Century Gothic" w:hAnsi="Century Gothic" w:cs="Arial"/>
          <w:bCs/>
          <w:lang w:val="es-MX"/>
        </w:rPr>
      </w:pPr>
      <w:r>
        <w:rPr>
          <w:rFonts w:ascii="Century Gothic" w:hAnsi="Century Gothic" w:cs="Arial"/>
          <w:b/>
          <w:lang w:val="es-MX"/>
        </w:rPr>
        <w:t>VII</w:t>
      </w:r>
      <w:r w:rsidR="004D2181">
        <w:rPr>
          <w:rFonts w:ascii="Century Gothic" w:hAnsi="Century Gothic" w:cs="Arial"/>
          <w:b/>
          <w:lang w:val="es-MX"/>
        </w:rPr>
        <w:t>.</w:t>
      </w:r>
      <w:r>
        <w:rPr>
          <w:rFonts w:ascii="Century Gothic" w:hAnsi="Century Gothic" w:cs="Arial"/>
          <w:b/>
          <w:lang w:val="es-MX"/>
        </w:rPr>
        <w:t>-</w:t>
      </w:r>
      <w:r w:rsidR="005D4722">
        <w:rPr>
          <w:rFonts w:ascii="Century Gothic" w:hAnsi="Century Gothic" w:cs="Arial"/>
          <w:b/>
          <w:lang w:val="es-MX"/>
        </w:rPr>
        <w:t xml:space="preserve"> </w:t>
      </w:r>
      <w:r w:rsidR="00CC52D7">
        <w:rPr>
          <w:rFonts w:ascii="Century Gothic" w:hAnsi="Century Gothic" w:cs="Arial"/>
          <w:bCs/>
          <w:lang w:val="es-MX"/>
        </w:rPr>
        <w:t>Lo establecido anteriormente</w:t>
      </w:r>
      <w:r w:rsidR="005D4722">
        <w:rPr>
          <w:rFonts w:ascii="Century Gothic" w:hAnsi="Century Gothic" w:cs="Arial"/>
          <w:bCs/>
          <w:lang w:val="es-MX"/>
        </w:rPr>
        <w:t xml:space="preserve">, es decir, que la hipótesis contemplada en el artículo 172 del código sustantivo, </w:t>
      </w:r>
      <w:r>
        <w:rPr>
          <w:rFonts w:ascii="Century Gothic" w:hAnsi="Century Gothic" w:cs="Arial"/>
          <w:bCs/>
          <w:lang w:val="es-MX"/>
        </w:rPr>
        <w:t>1</w:t>
      </w:r>
      <w:r w:rsidR="005D4722">
        <w:rPr>
          <w:rFonts w:ascii="Century Gothic" w:hAnsi="Century Gothic" w:cs="Arial"/>
          <w:bCs/>
          <w:lang w:val="es-MX"/>
        </w:rPr>
        <w:t xml:space="preserve">) prescinde de la violencia para su comisión, </w:t>
      </w:r>
      <w:r>
        <w:rPr>
          <w:rFonts w:ascii="Century Gothic" w:hAnsi="Century Gothic" w:cs="Arial"/>
          <w:bCs/>
          <w:lang w:val="es-MX"/>
        </w:rPr>
        <w:t>2</w:t>
      </w:r>
      <w:r w:rsidR="005D4722">
        <w:rPr>
          <w:rFonts w:ascii="Century Gothic" w:hAnsi="Century Gothic" w:cs="Arial"/>
          <w:bCs/>
          <w:lang w:val="es-MX"/>
        </w:rPr>
        <w:t xml:space="preserve">) que la violencia agrava el delito y </w:t>
      </w:r>
      <w:r>
        <w:rPr>
          <w:rFonts w:ascii="Century Gothic" w:hAnsi="Century Gothic" w:cs="Arial"/>
          <w:bCs/>
          <w:lang w:val="es-MX"/>
        </w:rPr>
        <w:t>3</w:t>
      </w:r>
      <w:r w:rsidR="005D4722">
        <w:rPr>
          <w:rFonts w:ascii="Century Gothic" w:hAnsi="Century Gothic" w:cs="Arial"/>
          <w:bCs/>
          <w:lang w:val="es-MX"/>
        </w:rPr>
        <w:t xml:space="preserve">) </w:t>
      </w:r>
      <w:r w:rsidR="00CC52D7">
        <w:rPr>
          <w:rFonts w:ascii="Century Gothic" w:hAnsi="Century Gothic" w:cs="Arial"/>
          <w:bCs/>
          <w:lang w:val="es-MX"/>
        </w:rPr>
        <w:t xml:space="preserve">que la suministración de algún agente químico o biológico que anule la posibilidad de resistir la cópula, </w:t>
      </w:r>
      <w:r w:rsidR="00CC52D7">
        <w:rPr>
          <w:rFonts w:ascii="Century Gothic" w:hAnsi="Century Gothic" w:cs="Arial"/>
          <w:bCs/>
          <w:lang w:val="es-MX"/>
        </w:rPr>
        <w:lastRenderedPageBreak/>
        <w:t>es una modalidad de violencia</w:t>
      </w:r>
      <w:r>
        <w:rPr>
          <w:rFonts w:ascii="Century Gothic" w:hAnsi="Century Gothic" w:cs="Arial"/>
          <w:bCs/>
          <w:lang w:val="es-MX"/>
        </w:rPr>
        <w:t xml:space="preserve"> física</w:t>
      </w:r>
      <w:r w:rsidR="00A65F2A">
        <w:rPr>
          <w:rFonts w:ascii="Century Gothic" w:hAnsi="Century Gothic" w:cs="Arial"/>
          <w:bCs/>
          <w:lang w:val="es-MX"/>
        </w:rPr>
        <w:t>,</w:t>
      </w:r>
      <w:r w:rsidR="00CC52D7">
        <w:rPr>
          <w:rFonts w:ascii="Century Gothic" w:hAnsi="Century Gothic" w:cs="Arial"/>
          <w:bCs/>
          <w:lang w:val="es-MX"/>
        </w:rPr>
        <w:t xml:space="preserve"> </w:t>
      </w:r>
      <w:r w:rsidR="007D3BD2">
        <w:rPr>
          <w:rFonts w:ascii="Century Gothic" w:hAnsi="Century Gothic" w:cs="Arial"/>
          <w:bCs/>
          <w:lang w:val="es-MX"/>
        </w:rPr>
        <w:t xml:space="preserve">cobra relevancia </w:t>
      </w:r>
      <w:r w:rsidR="00CC52D7">
        <w:rPr>
          <w:rFonts w:ascii="Century Gothic" w:hAnsi="Century Gothic" w:cs="Arial"/>
          <w:bCs/>
          <w:lang w:val="es-MX"/>
        </w:rPr>
        <w:t>debido a</w:t>
      </w:r>
      <w:r w:rsidR="007D3BD2">
        <w:rPr>
          <w:rFonts w:ascii="Century Gothic" w:hAnsi="Century Gothic" w:cs="Arial"/>
          <w:bCs/>
          <w:lang w:val="es-MX"/>
        </w:rPr>
        <w:t xml:space="preserve"> </w:t>
      </w:r>
      <w:r w:rsidR="004D2181">
        <w:rPr>
          <w:rFonts w:ascii="Century Gothic" w:hAnsi="Century Gothic" w:cs="Arial"/>
          <w:bCs/>
          <w:lang w:val="es-MX"/>
        </w:rPr>
        <w:t>que,</w:t>
      </w:r>
      <w:r w:rsidR="007D3BD2">
        <w:rPr>
          <w:rFonts w:ascii="Century Gothic" w:hAnsi="Century Gothic" w:cs="Arial"/>
          <w:bCs/>
          <w:lang w:val="es-MX"/>
        </w:rPr>
        <w:t xml:space="preserve"> si se accede a la propuesta de la iniciativa</w:t>
      </w:r>
      <w:r w:rsidR="00AA3955">
        <w:rPr>
          <w:rFonts w:ascii="Century Gothic" w:hAnsi="Century Gothic" w:cs="Arial"/>
          <w:bCs/>
          <w:lang w:val="es-MX"/>
        </w:rPr>
        <w:t>, se podría</w:t>
      </w:r>
      <w:r w:rsidR="00A65F2A">
        <w:rPr>
          <w:rFonts w:ascii="Century Gothic" w:hAnsi="Century Gothic" w:cs="Arial"/>
          <w:bCs/>
          <w:lang w:val="es-MX"/>
        </w:rPr>
        <w:t xml:space="preserve"> estar equiparando esta modalidad </w:t>
      </w:r>
      <w:r w:rsidR="00AA3955">
        <w:rPr>
          <w:rFonts w:ascii="Century Gothic" w:hAnsi="Century Gothic" w:cs="Arial"/>
          <w:bCs/>
          <w:lang w:val="es-MX"/>
        </w:rPr>
        <w:t xml:space="preserve">con el homicidio calificado o el feminicidio agravado; lo que podría ser desproporcional. </w:t>
      </w:r>
    </w:p>
    <w:p w14:paraId="35E3F2EA" w14:textId="04EABEAC" w:rsidR="00AA3955" w:rsidRDefault="00AA3955" w:rsidP="00782A35">
      <w:pPr>
        <w:spacing w:line="360" w:lineRule="auto"/>
        <w:ind w:right="335"/>
        <w:jc w:val="both"/>
        <w:rPr>
          <w:rFonts w:ascii="Century Gothic" w:hAnsi="Century Gothic" w:cs="Arial"/>
          <w:bCs/>
          <w:lang w:val="es-MX"/>
        </w:rPr>
      </w:pPr>
    </w:p>
    <w:p w14:paraId="53E2DB4E" w14:textId="77777777" w:rsidR="00AA3955" w:rsidRDefault="00AA3955" w:rsidP="00782A35">
      <w:pPr>
        <w:spacing w:line="360" w:lineRule="auto"/>
        <w:ind w:right="335"/>
        <w:jc w:val="both"/>
        <w:rPr>
          <w:rFonts w:ascii="Century Gothic" w:hAnsi="Century Gothic" w:cs="Arial"/>
          <w:bCs/>
          <w:lang w:val="es-MX"/>
        </w:rPr>
      </w:pPr>
      <w:r>
        <w:rPr>
          <w:rFonts w:ascii="Century Gothic" w:hAnsi="Century Gothic" w:cs="Arial"/>
          <w:bCs/>
          <w:lang w:val="es-MX"/>
        </w:rPr>
        <w:t xml:space="preserve">La anterior posibilidad se presenta por lo siguiente: </w:t>
      </w:r>
    </w:p>
    <w:p w14:paraId="57FF00B4" w14:textId="77777777" w:rsidR="00AA3955" w:rsidRDefault="00AA3955" w:rsidP="00782A35">
      <w:pPr>
        <w:spacing w:line="360" w:lineRule="auto"/>
        <w:ind w:right="335"/>
        <w:jc w:val="both"/>
        <w:rPr>
          <w:rFonts w:ascii="Century Gothic" w:hAnsi="Century Gothic" w:cs="Arial"/>
          <w:bCs/>
          <w:lang w:val="es-MX"/>
        </w:rPr>
      </w:pPr>
    </w:p>
    <w:p w14:paraId="48209336" w14:textId="76588AF0" w:rsidR="00AA3955" w:rsidRPr="00782A35" w:rsidRDefault="00782A35" w:rsidP="00782A35">
      <w:pPr>
        <w:spacing w:line="360" w:lineRule="auto"/>
        <w:ind w:right="335"/>
        <w:jc w:val="both"/>
        <w:rPr>
          <w:rFonts w:ascii="Century Gothic" w:hAnsi="Century Gothic" w:cs="Arial"/>
          <w:bCs/>
        </w:rPr>
      </w:pPr>
      <w:r w:rsidRPr="00782A35">
        <w:rPr>
          <w:rFonts w:ascii="Century Gothic" w:hAnsi="Century Gothic" w:cs="Arial"/>
          <w:bCs/>
          <w:lang w:val="es-MX"/>
        </w:rPr>
        <w:t>A.</w:t>
      </w:r>
      <w:r>
        <w:rPr>
          <w:rFonts w:ascii="Century Gothic" w:hAnsi="Century Gothic" w:cs="Arial"/>
          <w:bCs/>
        </w:rPr>
        <w:t xml:space="preserve"> </w:t>
      </w:r>
      <w:r w:rsidR="00AA3955" w:rsidRPr="00782A35">
        <w:rPr>
          <w:rFonts w:ascii="Century Gothic" w:hAnsi="Century Gothic" w:cs="Arial"/>
          <w:bCs/>
        </w:rPr>
        <w:t xml:space="preserve">La pena de la violación </w:t>
      </w:r>
      <w:r w:rsidR="0008079B">
        <w:rPr>
          <w:rFonts w:ascii="Century Gothic" w:hAnsi="Century Gothic" w:cs="Arial"/>
          <w:bCs/>
        </w:rPr>
        <w:t>“</w:t>
      </w:r>
      <w:r w:rsidR="00AA3955" w:rsidRPr="00782A35">
        <w:rPr>
          <w:rFonts w:ascii="Century Gothic" w:hAnsi="Century Gothic" w:cs="Arial"/>
          <w:bCs/>
        </w:rPr>
        <w:t>equiparada</w:t>
      </w:r>
      <w:r w:rsidR="0008079B">
        <w:rPr>
          <w:rFonts w:ascii="Century Gothic" w:hAnsi="Century Gothic" w:cs="Arial"/>
          <w:bCs/>
        </w:rPr>
        <w:t>”</w:t>
      </w:r>
      <w:r w:rsidR="00AA3955" w:rsidRPr="00782A35">
        <w:rPr>
          <w:rFonts w:ascii="Century Gothic" w:hAnsi="Century Gothic" w:cs="Arial"/>
          <w:bCs/>
        </w:rPr>
        <w:t xml:space="preserve"> es de 10 a 30 años de prisión.</w:t>
      </w:r>
    </w:p>
    <w:p w14:paraId="5B80CE9E" w14:textId="77777777" w:rsidR="00782A35" w:rsidRPr="00782A35" w:rsidRDefault="00782A35" w:rsidP="00782A35">
      <w:pPr>
        <w:jc w:val="both"/>
      </w:pPr>
    </w:p>
    <w:p w14:paraId="2041157C" w14:textId="77777777" w:rsidR="00782A35" w:rsidRDefault="00AA3955" w:rsidP="00782A35">
      <w:pPr>
        <w:spacing w:line="360" w:lineRule="auto"/>
        <w:ind w:right="335"/>
        <w:jc w:val="both"/>
        <w:rPr>
          <w:rFonts w:ascii="Century Gothic" w:hAnsi="Century Gothic" w:cs="Arial"/>
          <w:bCs/>
        </w:rPr>
      </w:pPr>
      <w:r>
        <w:rPr>
          <w:rFonts w:ascii="Century Gothic" w:hAnsi="Century Gothic" w:cs="Arial"/>
          <w:bCs/>
        </w:rPr>
        <w:t>B. La agravante por violencia física</w:t>
      </w:r>
      <w:r w:rsidR="00782A35">
        <w:rPr>
          <w:rFonts w:ascii="Century Gothic" w:hAnsi="Century Gothic" w:cs="Arial"/>
          <w:bCs/>
        </w:rPr>
        <w:t>,</w:t>
      </w:r>
      <w:r>
        <w:rPr>
          <w:rFonts w:ascii="Century Gothic" w:hAnsi="Century Gothic" w:cs="Arial"/>
          <w:bCs/>
        </w:rPr>
        <w:t xml:space="preserve"> es</w:t>
      </w:r>
      <w:r w:rsidR="00782A35">
        <w:rPr>
          <w:rFonts w:ascii="Century Gothic" w:hAnsi="Century Gothic" w:cs="Arial"/>
          <w:bCs/>
        </w:rPr>
        <w:t xml:space="preserve"> el aumento de una mitad </w:t>
      </w:r>
      <w:r>
        <w:rPr>
          <w:rFonts w:ascii="Century Gothic" w:hAnsi="Century Gothic" w:cs="Arial"/>
          <w:bCs/>
        </w:rPr>
        <w:t>de la pena, por ende, de</w:t>
      </w:r>
      <w:r w:rsidR="00782A35">
        <w:rPr>
          <w:rFonts w:ascii="Century Gothic" w:hAnsi="Century Gothic" w:cs="Arial"/>
          <w:bCs/>
        </w:rPr>
        <w:t xml:space="preserve"> 15 a 45 años.</w:t>
      </w:r>
    </w:p>
    <w:p w14:paraId="279CEAC3" w14:textId="77777777" w:rsidR="00782A35" w:rsidRDefault="00782A35" w:rsidP="00782A35">
      <w:pPr>
        <w:spacing w:line="360" w:lineRule="auto"/>
        <w:ind w:right="335"/>
        <w:jc w:val="both"/>
        <w:rPr>
          <w:rFonts w:ascii="Century Gothic" w:hAnsi="Century Gothic" w:cs="Arial"/>
          <w:bCs/>
        </w:rPr>
      </w:pPr>
    </w:p>
    <w:p w14:paraId="3CA180C9" w14:textId="0BC413C7" w:rsidR="00AA3955" w:rsidRDefault="00782A35" w:rsidP="00782A35">
      <w:pPr>
        <w:spacing w:line="360" w:lineRule="auto"/>
        <w:ind w:right="335"/>
        <w:jc w:val="both"/>
        <w:rPr>
          <w:rFonts w:ascii="Century Gothic" w:hAnsi="Century Gothic" w:cs="Arial"/>
          <w:bCs/>
        </w:rPr>
      </w:pPr>
      <w:r>
        <w:rPr>
          <w:rFonts w:ascii="Century Gothic" w:hAnsi="Century Gothic" w:cs="Arial"/>
          <w:bCs/>
        </w:rPr>
        <w:t>C. Si se accede a la propuesta, se le tendría que imponer dos terceras partes m</w:t>
      </w:r>
      <w:r w:rsidR="00037019">
        <w:rPr>
          <w:rFonts w:ascii="Century Gothic" w:hAnsi="Century Gothic" w:cs="Arial"/>
          <w:bCs/>
        </w:rPr>
        <w:t>á</w:t>
      </w:r>
      <w:r>
        <w:rPr>
          <w:rFonts w:ascii="Century Gothic" w:hAnsi="Century Gothic" w:cs="Arial"/>
          <w:bCs/>
        </w:rPr>
        <w:t xml:space="preserve">s </w:t>
      </w:r>
      <w:r w:rsidR="00037019">
        <w:rPr>
          <w:rFonts w:ascii="Century Gothic" w:hAnsi="Century Gothic" w:cs="Arial"/>
          <w:bCs/>
        </w:rPr>
        <w:t>a</w:t>
      </w:r>
      <w:r>
        <w:rPr>
          <w:rFonts w:ascii="Century Gothic" w:hAnsi="Century Gothic" w:cs="Arial"/>
          <w:bCs/>
        </w:rPr>
        <w:t xml:space="preserve"> las penas previstas para la violación, esto es, la probable pena a imponer sería de 25 a 75 años. </w:t>
      </w:r>
      <w:r w:rsidR="00AA3955" w:rsidRPr="00AA3955">
        <w:rPr>
          <w:rFonts w:ascii="Century Gothic" w:hAnsi="Century Gothic" w:cs="Arial"/>
          <w:bCs/>
        </w:rPr>
        <w:t xml:space="preserve"> </w:t>
      </w:r>
    </w:p>
    <w:p w14:paraId="11F2169D" w14:textId="0F5A3D3C" w:rsidR="004C0ACD" w:rsidRDefault="004C0ACD" w:rsidP="00782A35">
      <w:pPr>
        <w:spacing w:line="360" w:lineRule="auto"/>
        <w:ind w:right="335"/>
        <w:jc w:val="both"/>
        <w:rPr>
          <w:rFonts w:ascii="Century Gothic" w:hAnsi="Century Gothic" w:cs="Arial"/>
          <w:bCs/>
        </w:rPr>
      </w:pPr>
    </w:p>
    <w:p w14:paraId="13EBE31E" w14:textId="7ECF0E2A" w:rsidR="004C0ACD" w:rsidRDefault="004C0ACD" w:rsidP="00782A35">
      <w:pPr>
        <w:spacing w:line="360" w:lineRule="auto"/>
        <w:ind w:right="335"/>
        <w:jc w:val="both"/>
        <w:rPr>
          <w:rFonts w:ascii="Century Gothic" w:hAnsi="Century Gothic" w:cs="Arial"/>
          <w:bCs/>
        </w:rPr>
      </w:pPr>
      <w:r>
        <w:rPr>
          <w:rFonts w:ascii="Century Gothic" w:hAnsi="Century Gothic" w:cs="Arial"/>
          <w:bCs/>
        </w:rPr>
        <w:t>Ello lo podemos apreciar en la siguiente imagen:</w:t>
      </w:r>
    </w:p>
    <w:p w14:paraId="4BFD9DB8" w14:textId="23422DBD" w:rsidR="00C31736" w:rsidRDefault="00236583" w:rsidP="00782A35">
      <w:pPr>
        <w:spacing w:line="360" w:lineRule="auto"/>
        <w:ind w:right="335"/>
        <w:jc w:val="both"/>
        <w:rPr>
          <w:rFonts w:ascii="Century Gothic" w:hAnsi="Century Gothic" w:cs="Arial"/>
          <w:bCs/>
        </w:rPr>
      </w:pPr>
      <w:r>
        <w:rPr>
          <w:noProof/>
          <w:lang w:val="es-MX" w:eastAsia="es-MX"/>
        </w:rPr>
        <w:lastRenderedPageBreak/>
        <w:drawing>
          <wp:inline distT="0" distB="0" distL="0" distR="0" wp14:anchorId="30D94917" wp14:editId="56C7792A">
            <wp:extent cx="5971540" cy="339153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71540" cy="3391535"/>
                    </a:xfrm>
                    <a:prstGeom prst="rect">
                      <a:avLst/>
                    </a:prstGeom>
                    <a:noFill/>
                    <a:ln>
                      <a:noFill/>
                    </a:ln>
                  </pic:spPr>
                </pic:pic>
              </a:graphicData>
            </a:graphic>
          </wp:inline>
        </w:drawing>
      </w:r>
    </w:p>
    <w:p w14:paraId="6B1416BA" w14:textId="77777777" w:rsidR="00782A35" w:rsidRDefault="00782A35" w:rsidP="00782A35">
      <w:pPr>
        <w:spacing w:line="360" w:lineRule="auto"/>
        <w:ind w:right="335"/>
        <w:jc w:val="both"/>
        <w:rPr>
          <w:rFonts w:ascii="Century Gothic" w:hAnsi="Century Gothic" w:cs="Arial"/>
          <w:bCs/>
        </w:rPr>
      </w:pPr>
    </w:p>
    <w:p w14:paraId="5B71430E" w14:textId="5FBD3BF1" w:rsidR="00782A35" w:rsidRDefault="00782A35" w:rsidP="00782A35">
      <w:pPr>
        <w:spacing w:line="360" w:lineRule="auto"/>
        <w:ind w:right="335"/>
        <w:jc w:val="both"/>
        <w:rPr>
          <w:rFonts w:ascii="Century Gothic" w:hAnsi="Century Gothic" w:cs="Arial"/>
          <w:bCs/>
        </w:rPr>
      </w:pPr>
      <w:r>
        <w:rPr>
          <w:rFonts w:ascii="Century Gothic" w:hAnsi="Century Gothic" w:cs="Arial"/>
          <w:bCs/>
        </w:rPr>
        <w:t xml:space="preserve">D. La pena por homicidio calificado es de </w:t>
      </w:r>
      <w:r w:rsidR="00D9299E">
        <w:rPr>
          <w:rFonts w:ascii="Century Gothic" w:hAnsi="Century Gothic" w:cs="Arial"/>
          <w:bCs/>
        </w:rPr>
        <w:t>25 a 50 años de prisión o de 50 a 70</w:t>
      </w:r>
    </w:p>
    <w:p w14:paraId="79B1711A" w14:textId="274CE982" w:rsidR="00D9299E" w:rsidRDefault="00D9299E" w:rsidP="00782A35">
      <w:pPr>
        <w:spacing w:line="360" w:lineRule="auto"/>
        <w:ind w:right="335"/>
        <w:jc w:val="both"/>
        <w:rPr>
          <w:rFonts w:ascii="Century Gothic" w:hAnsi="Century Gothic" w:cs="Arial"/>
          <w:bCs/>
        </w:rPr>
      </w:pPr>
    </w:p>
    <w:p w14:paraId="4CA6EBD4" w14:textId="40E1EF1B" w:rsidR="00D9299E" w:rsidRDefault="00D9299E" w:rsidP="00782A35">
      <w:pPr>
        <w:spacing w:line="360" w:lineRule="auto"/>
        <w:ind w:right="335"/>
        <w:jc w:val="both"/>
        <w:rPr>
          <w:rFonts w:ascii="Century Gothic" w:hAnsi="Century Gothic" w:cs="Arial"/>
          <w:bCs/>
        </w:rPr>
      </w:pPr>
      <w:r>
        <w:rPr>
          <w:rFonts w:ascii="Century Gothic" w:hAnsi="Century Gothic" w:cs="Arial"/>
          <w:bCs/>
        </w:rPr>
        <w:t xml:space="preserve">F. La pena del Feminicidio es de 40 a 60 años de prisión y se podría aumentar de 1 a 20 años </w:t>
      </w:r>
      <w:r w:rsidR="00B12389">
        <w:rPr>
          <w:rFonts w:ascii="Century Gothic" w:hAnsi="Century Gothic" w:cs="Arial"/>
          <w:bCs/>
        </w:rPr>
        <w:t>más</w:t>
      </w:r>
      <w:r>
        <w:rPr>
          <w:rFonts w:ascii="Century Gothic" w:hAnsi="Century Gothic" w:cs="Arial"/>
          <w:bCs/>
        </w:rPr>
        <w:t xml:space="preserve">, es decir, una máxima de 80 años. </w:t>
      </w:r>
    </w:p>
    <w:p w14:paraId="732D07BD" w14:textId="0942C380" w:rsidR="00751959" w:rsidRDefault="00751959" w:rsidP="00782A35">
      <w:pPr>
        <w:spacing w:line="360" w:lineRule="auto"/>
        <w:ind w:right="335"/>
        <w:jc w:val="both"/>
        <w:rPr>
          <w:rFonts w:ascii="Century Gothic" w:hAnsi="Century Gothic" w:cs="Arial"/>
          <w:bCs/>
        </w:rPr>
      </w:pPr>
    </w:p>
    <w:p w14:paraId="6152B980" w14:textId="163259F2" w:rsidR="00751959" w:rsidRDefault="00751959" w:rsidP="00782A35">
      <w:pPr>
        <w:spacing w:line="360" w:lineRule="auto"/>
        <w:ind w:right="335"/>
        <w:jc w:val="both"/>
        <w:rPr>
          <w:rFonts w:ascii="Century Gothic" w:hAnsi="Century Gothic" w:cs="Arial"/>
          <w:bCs/>
        </w:rPr>
      </w:pPr>
      <w:r>
        <w:rPr>
          <w:rFonts w:ascii="Century Gothic" w:hAnsi="Century Gothic" w:cs="Arial"/>
          <w:bCs/>
        </w:rPr>
        <w:t>Lo anterior lo podemos visualizar en la siguiente tabla:</w:t>
      </w:r>
    </w:p>
    <w:p w14:paraId="4004CE98" w14:textId="4066A748" w:rsidR="00751959" w:rsidRDefault="00751959" w:rsidP="00782A35">
      <w:pPr>
        <w:spacing w:line="360" w:lineRule="auto"/>
        <w:ind w:right="335"/>
        <w:jc w:val="both"/>
        <w:rPr>
          <w:rFonts w:ascii="Century Gothic" w:hAnsi="Century Gothic" w:cs="Arial"/>
          <w:bCs/>
        </w:rPr>
      </w:pPr>
      <w:r>
        <w:rPr>
          <w:rFonts w:ascii="Century Gothic" w:hAnsi="Century Gothic" w:cs="Arial"/>
          <w:bCs/>
          <w:noProof/>
          <w:lang w:val="es-MX" w:eastAsia="es-MX"/>
        </w:rPr>
        <w:lastRenderedPageBreak/>
        <w:drawing>
          <wp:inline distT="0" distB="0" distL="0" distR="0" wp14:anchorId="3D2C3D9D" wp14:editId="14900D90">
            <wp:extent cx="5486400" cy="3200400"/>
            <wp:effectExtent l="0" t="0" r="0" b="0"/>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2328F918" w14:textId="369EB8BA" w:rsidR="00F45E8E" w:rsidRDefault="00F45E8E" w:rsidP="00782A35">
      <w:pPr>
        <w:spacing w:line="360" w:lineRule="auto"/>
        <w:ind w:right="335"/>
        <w:jc w:val="both"/>
        <w:rPr>
          <w:rFonts w:ascii="Century Gothic" w:hAnsi="Century Gothic" w:cs="Arial"/>
          <w:bCs/>
        </w:rPr>
      </w:pPr>
    </w:p>
    <w:p w14:paraId="3BDBE202" w14:textId="24BF251D" w:rsidR="00F45E8E" w:rsidRDefault="005902D8" w:rsidP="00F45E8E">
      <w:pPr>
        <w:spacing w:line="360" w:lineRule="auto"/>
        <w:ind w:right="335"/>
        <w:jc w:val="both"/>
        <w:rPr>
          <w:rFonts w:ascii="Century Gothic" w:hAnsi="Century Gothic" w:cs="Arial"/>
          <w:bCs/>
          <w:lang w:val="es-MX"/>
        </w:rPr>
      </w:pPr>
      <w:r>
        <w:rPr>
          <w:rFonts w:ascii="Century Gothic" w:hAnsi="Century Gothic" w:cs="Arial"/>
          <w:b/>
        </w:rPr>
        <w:t>VIII</w:t>
      </w:r>
      <w:r w:rsidR="00B12389" w:rsidRPr="00B12389">
        <w:rPr>
          <w:rFonts w:ascii="Century Gothic" w:hAnsi="Century Gothic" w:cs="Arial"/>
          <w:b/>
        </w:rPr>
        <w:t>.</w:t>
      </w:r>
      <w:r w:rsidR="00B12389">
        <w:rPr>
          <w:rFonts w:ascii="Century Gothic" w:hAnsi="Century Gothic" w:cs="Arial"/>
          <w:bCs/>
        </w:rPr>
        <w:t xml:space="preserve"> </w:t>
      </w:r>
      <w:r w:rsidR="00B12FF3">
        <w:rPr>
          <w:rFonts w:ascii="Century Gothic" w:hAnsi="Century Gothic" w:cs="Arial"/>
          <w:bCs/>
        </w:rPr>
        <w:t xml:space="preserve">Para determinar la proporcionalidad de las penas debemos </w:t>
      </w:r>
      <w:r w:rsidR="00F45E8E" w:rsidRPr="00F45E8E">
        <w:rPr>
          <w:rFonts w:ascii="Century Gothic" w:hAnsi="Century Gothic" w:cs="Arial"/>
          <w:bCs/>
          <w:lang w:val="es-MX"/>
        </w:rPr>
        <w:t xml:space="preserve">partir de lo que la Primera Sala de la SCJN ha establecido: </w:t>
      </w:r>
      <w:r w:rsidR="00F45E8E" w:rsidRPr="00F45E8E">
        <w:rPr>
          <w:rFonts w:ascii="Century Gothic" w:hAnsi="Century Gothic" w:cs="Arial"/>
          <w:bCs/>
          <w:i/>
          <w:lang w:val="es-MX"/>
        </w:rPr>
        <w:t>La gravedad de la pena debe ser proporcional a la del hecho antijurídico y del grado de afectación al bien jurídico protegido; de manera que las penas más graves deben dirigirse a los tipos penales que protegen los bienes jurídicos más importantes</w:t>
      </w:r>
      <w:r w:rsidR="00F45E8E" w:rsidRPr="00F45E8E">
        <w:rPr>
          <w:rFonts w:ascii="Century Gothic" w:hAnsi="Century Gothic" w:cs="Arial"/>
          <w:bCs/>
          <w:lang w:val="es-MX"/>
        </w:rPr>
        <w:t>.</w:t>
      </w:r>
      <w:r w:rsidR="00F45E8E" w:rsidRPr="00F45E8E">
        <w:rPr>
          <w:rFonts w:ascii="Century Gothic" w:hAnsi="Century Gothic" w:cs="Arial"/>
          <w:bCs/>
          <w:vertAlign w:val="superscript"/>
          <w:lang w:val="es-MX"/>
        </w:rPr>
        <w:footnoteReference w:id="18"/>
      </w:r>
    </w:p>
    <w:p w14:paraId="08DC81EC" w14:textId="0E70E080" w:rsidR="00B12FF3" w:rsidRDefault="00B12FF3" w:rsidP="00F45E8E">
      <w:pPr>
        <w:spacing w:line="360" w:lineRule="auto"/>
        <w:ind w:right="335"/>
        <w:jc w:val="both"/>
        <w:rPr>
          <w:rFonts w:ascii="Century Gothic" w:hAnsi="Century Gothic" w:cs="Arial"/>
          <w:bCs/>
          <w:lang w:val="es-MX"/>
        </w:rPr>
      </w:pPr>
    </w:p>
    <w:p w14:paraId="0D418EB4" w14:textId="01DBD474" w:rsidR="00F45E8E" w:rsidRPr="00F45E8E" w:rsidRDefault="00B12FF3" w:rsidP="00F45E8E">
      <w:pPr>
        <w:spacing w:line="360" w:lineRule="auto"/>
        <w:ind w:right="335"/>
        <w:jc w:val="both"/>
        <w:rPr>
          <w:rFonts w:ascii="Century Gothic" w:hAnsi="Century Gothic" w:cs="Arial"/>
          <w:bCs/>
          <w:lang w:val="es-MX"/>
        </w:rPr>
      </w:pPr>
      <w:r>
        <w:rPr>
          <w:rFonts w:ascii="Century Gothic" w:hAnsi="Century Gothic" w:cs="Arial"/>
          <w:bCs/>
          <w:lang w:val="es-MX"/>
        </w:rPr>
        <w:t xml:space="preserve">De lo contrario estaríamos vulnerando </w:t>
      </w:r>
      <w:r w:rsidR="00F45E8E" w:rsidRPr="00F45E8E">
        <w:rPr>
          <w:rFonts w:ascii="Century Gothic" w:hAnsi="Century Gothic" w:cs="Arial"/>
          <w:bCs/>
          <w:lang w:val="es-MX"/>
        </w:rPr>
        <w:t xml:space="preserve">el contenido del artículo 22 de la Constitución Política de los Estados Unidos Mexicanos, al no guardar </w:t>
      </w:r>
      <w:r w:rsidR="00F45E8E" w:rsidRPr="00F45E8E">
        <w:rPr>
          <w:rFonts w:ascii="Century Gothic" w:hAnsi="Century Gothic" w:cs="Arial"/>
          <w:bCs/>
          <w:lang w:val="es-MX"/>
        </w:rPr>
        <w:lastRenderedPageBreak/>
        <w:t>proporcionalidad</w:t>
      </w:r>
      <w:r w:rsidR="007F420C">
        <w:rPr>
          <w:rFonts w:ascii="Century Gothic" w:hAnsi="Century Gothic" w:cs="Arial"/>
          <w:bCs/>
          <w:lang w:val="es-MX"/>
        </w:rPr>
        <w:t xml:space="preserve">, de acuerdo al último enunciado del precepto que estipula: </w:t>
      </w:r>
      <w:r w:rsidR="007F420C" w:rsidRPr="007F420C">
        <w:rPr>
          <w:rFonts w:ascii="Century Gothic" w:hAnsi="Century Gothic" w:cs="Arial"/>
          <w:bCs/>
          <w:i/>
          <w:iCs/>
          <w:lang w:val="es-MX"/>
        </w:rPr>
        <w:t xml:space="preserve">… </w:t>
      </w:r>
      <w:r w:rsidR="007F420C" w:rsidRPr="007F420C">
        <w:rPr>
          <w:rFonts w:ascii="Century Gothic" w:hAnsi="Century Gothic" w:cs="Arial"/>
          <w:bCs/>
          <w:i/>
          <w:iCs/>
        </w:rPr>
        <w:t>Toda pena deberá ser proporcional al delito que sancione y al bien jurídico afectado</w:t>
      </w:r>
      <w:r w:rsidR="007F420C" w:rsidRPr="007F420C">
        <w:rPr>
          <w:rFonts w:ascii="Century Gothic" w:hAnsi="Century Gothic" w:cs="Arial"/>
          <w:bCs/>
        </w:rPr>
        <w:t>.</w:t>
      </w:r>
    </w:p>
    <w:p w14:paraId="006A68C2" w14:textId="69720562" w:rsidR="00F45E8E" w:rsidRDefault="00F45E8E" w:rsidP="00782A35">
      <w:pPr>
        <w:spacing w:line="360" w:lineRule="auto"/>
        <w:ind w:right="335"/>
        <w:jc w:val="both"/>
        <w:rPr>
          <w:rFonts w:ascii="Century Gothic" w:hAnsi="Century Gothic" w:cs="Arial"/>
          <w:bCs/>
          <w:lang w:val="es-MX"/>
        </w:rPr>
      </w:pPr>
    </w:p>
    <w:p w14:paraId="564576FD" w14:textId="186088BF" w:rsidR="007F420C" w:rsidRDefault="007F420C" w:rsidP="00782A35">
      <w:pPr>
        <w:spacing w:line="360" w:lineRule="auto"/>
        <w:ind w:right="335"/>
        <w:jc w:val="both"/>
        <w:rPr>
          <w:rFonts w:ascii="Century Gothic" w:hAnsi="Century Gothic" w:cs="Arial"/>
          <w:bCs/>
          <w:lang w:val="es-MX"/>
        </w:rPr>
      </w:pPr>
      <w:r>
        <w:rPr>
          <w:rFonts w:ascii="Century Gothic" w:hAnsi="Century Gothic" w:cs="Arial"/>
          <w:bCs/>
          <w:lang w:val="es-MX"/>
        </w:rPr>
        <w:t xml:space="preserve">Lo anterior representa una obligación al legislativo, para </w:t>
      </w:r>
      <w:r w:rsidR="007F28C2">
        <w:rPr>
          <w:rFonts w:ascii="Century Gothic" w:hAnsi="Century Gothic" w:cs="Arial"/>
          <w:bCs/>
          <w:lang w:val="es-MX"/>
        </w:rPr>
        <w:t>que,</w:t>
      </w:r>
      <w:r>
        <w:rPr>
          <w:rFonts w:ascii="Century Gothic" w:hAnsi="Century Gothic" w:cs="Arial"/>
          <w:bCs/>
          <w:lang w:val="es-MX"/>
        </w:rPr>
        <w:t xml:space="preserve"> al momento de establecer una pena, este atienda </w:t>
      </w:r>
      <w:r w:rsidR="007F28C2">
        <w:rPr>
          <w:rFonts w:ascii="Century Gothic" w:hAnsi="Century Gothic" w:cs="Arial"/>
          <w:bCs/>
          <w:lang w:val="es-MX"/>
        </w:rPr>
        <w:t xml:space="preserve">(a) </w:t>
      </w:r>
      <w:r>
        <w:rPr>
          <w:rFonts w:ascii="Century Gothic" w:hAnsi="Century Gothic" w:cs="Arial"/>
          <w:bCs/>
          <w:lang w:val="es-MX"/>
        </w:rPr>
        <w:t>la importancia del bien jurídico</w:t>
      </w:r>
      <w:r w:rsidR="007F28C2">
        <w:rPr>
          <w:rFonts w:ascii="Century Gothic" w:hAnsi="Century Gothic" w:cs="Arial"/>
          <w:bCs/>
          <w:lang w:val="es-MX"/>
        </w:rPr>
        <w:t xml:space="preserve"> protegido, (b) la intensidad del ataque, es decir, el grado en el que resulta lesionado o puesto en peligro el bien protegido y (c) el grado de </w:t>
      </w:r>
      <w:r w:rsidR="00A07DBB">
        <w:rPr>
          <w:rFonts w:ascii="Century Gothic" w:hAnsi="Century Gothic" w:cs="Arial"/>
          <w:bCs/>
          <w:lang w:val="es-MX"/>
        </w:rPr>
        <w:t>responsabilidad</w:t>
      </w:r>
      <w:r w:rsidR="007F28C2">
        <w:rPr>
          <w:rFonts w:ascii="Century Gothic" w:hAnsi="Century Gothic" w:cs="Arial"/>
          <w:bCs/>
          <w:lang w:val="es-MX"/>
        </w:rPr>
        <w:t xml:space="preserve"> subjetiv</w:t>
      </w:r>
      <w:r w:rsidR="00A07DBB">
        <w:rPr>
          <w:rFonts w:ascii="Century Gothic" w:hAnsi="Century Gothic" w:cs="Arial"/>
          <w:bCs/>
          <w:lang w:val="es-MX"/>
        </w:rPr>
        <w:t>a</w:t>
      </w:r>
      <w:r w:rsidR="007F28C2">
        <w:rPr>
          <w:rFonts w:ascii="Century Gothic" w:hAnsi="Century Gothic" w:cs="Arial"/>
          <w:bCs/>
          <w:lang w:val="es-MX"/>
        </w:rPr>
        <w:t>, esto es, si fue doloso o culposo.</w:t>
      </w:r>
      <w:r w:rsidR="007F28C2">
        <w:rPr>
          <w:rStyle w:val="Refdenotaalpie"/>
          <w:rFonts w:ascii="Century Gothic" w:hAnsi="Century Gothic" w:cs="Arial"/>
          <w:bCs/>
          <w:lang w:val="es-MX"/>
        </w:rPr>
        <w:footnoteReference w:id="19"/>
      </w:r>
      <w:r w:rsidR="007F28C2">
        <w:rPr>
          <w:rFonts w:ascii="Century Gothic" w:hAnsi="Century Gothic" w:cs="Arial"/>
          <w:bCs/>
          <w:lang w:val="es-MX"/>
        </w:rPr>
        <w:t xml:space="preserve"> </w:t>
      </w:r>
      <w:r>
        <w:rPr>
          <w:rFonts w:ascii="Century Gothic" w:hAnsi="Century Gothic" w:cs="Arial"/>
          <w:bCs/>
          <w:lang w:val="es-MX"/>
        </w:rPr>
        <w:t xml:space="preserve"> </w:t>
      </w:r>
    </w:p>
    <w:p w14:paraId="088A5FB1" w14:textId="3F85C2C5" w:rsidR="00FF68D9" w:rsidRDefault="00FF68D9" w:rsidP="00782A35">
      <w:pPr>
        <w:spacing w:line="360" w:lineRule="auto"/>
        <w:ind w:right="335"/>
        <w:jc w:val="both"/>
        <w:rPr>
          <w:rFonts w:ascii="Century Gothic" w:hAnsi="Century Gothic" w:cs="Arial"/>
          <w:bCs/>
          <w:lang w:val="es-MX"/>
        </w:rPr>
      </w:pPr>
    </w:p>
    <w:p w14:paraId="48CAADDA" w14:textId="77777777" w:rsidR="002F16F0" w:rsidRDefault="00FF68D9" w:rsidP="00782A35">
      <w:pPr>
        <w:spacing w:line="360" w:lineRule="auto"/>
        <w:ind w:right="335"/>
        <w:jc w:val="both"/>
        <w:rPr>
          <w:rFonts w:ascii="Century Gothic" w:hAnsi="Century Gothic" w:cs="Arial"/>
          <w:bCs/>
          <w:lang w:val="es-MX"/>
        </w:rPr>
      </w:pPr>
      <w:r>
        <w:rPr>
          <w:rFonts w:ascii="Century Gothic" w:hAnsi="Century Gothic" w:cs="Arial"/>
          <w:bCs/>
          <w:lang w:val="es-MX"/>
        </w:rPr>
        <w:t xml:space="preserve">Para </w:t>
      </w:r>
      <w:r w:rsidR="00A07DBB">
        <w:rPr>
          <w:rFonts w:ascii="Century Gothic" w:hAnsi="Century Gothic" w:cs="Arial"/>
          <w:bCs/>
          <w:lang w:val="es-MX"/>
        </w:rPr>
        <w:t>el caso que nos ocupa, se trata de un delito doloso que lesiona gravemente la libertad y seguridad sexual,</w:t>
      </w:r>
      <w:r w:rsidR="002F16F0">
        <w:rPr>
          <w:rFonts w:ascii="Century Gothic" w:hAnsi="Century Gothic" w:cs="Arial"/>
          <w:bCs/>
          <w:lang w:val="es-MX"/>
        </w:rPr>
        <w:t xml:space="preserve"> ya que la acción del autor pone a la víctima en una situación que la imposibilita para poder resistir la cópula. </w:t>
      </w:r>
    </w:p>
    <w:p w14:paraId="1A80764E" w14:textId="77777777" w:rsidR="002F16F0" w:rsidRDefault="002F16F0" w:rsidP="00782A35">
      <w:pPr>
        <w:spacing w:line="360" w:lineRule="auto"/>
        <w:ind w:right="335"/>
        <w:jc w:val="both"/>
        <w:rPr>
          <w:rFonts w:ascii="Century Gothic" w:hAnsi="Century Gothic" w:cs="Arial"/>
          <w:bCs/>
          <w:lang w:val="es-MX"/>
        </w:rPr>
      </w:pPr>
    </w:p>
    <w:p w14:paraId="2A775A09" w14:textId="49FE4283" w:rsidR="00CA437B" w:rsidRDefault="002F16F0" w:rsidP="00782A35">
      <w:pPr>
        <w:spacing w:line="360" w:lineRule="auto"/>
        <w:ind w:right="335"/>
        <w:jc w:val="both"/>
        <w:rPr>
          <w:rFonts w:ascii="Century Gothic" w:hAnsi="Century Gothic" w:cs="Arial"/>
          <w:bCs/>
          <w:lang w:val="es-MX"/>
        </w:rPr>
      </w:pPr>
      <w:r>
        <w:rPr>
          <w:rFonts w:ascii="Century Gothic" w:hAnsi="Century Gothic" w:cs="Arial"/>
          <w:bCs/>
          <w:lang w:val="es-MX"/>
        </w:rPr>
        <w:t xml:space="preserve">Ello nos permitiría en base a aquellos parámetros, agravar aún más la pena; sin embargo, como se demostró, en el homicidio calificado </w:t>
      </w:r>
      <w:r w:rsidR="00CA437B">
        <w:rPr>
          <w:rFonts w:ascii="Century Gothic" w:hAnsi="Century Gothic" w:cs="Arial"/>
          <w:bCs/>
          <w:lang w:val="es-MX"/>
        </w:rPr>
        <w:t>del 1er grupo, la pena de la violación equiparada agravada</w:t>
      </w:r>
      <w:r w:rsidR="00147529">
        <w:rPr>
          <w:rFonts w:ascii="Century Gothic" w:hAnsi="Century Gothic" w:cs="Arial"/>
          <w:bCs/>
          <w:lang w:val="es-MX"/>
        </w:rPr>
        <w:t>,</w:t>
      </w:r>
      <w:r w:rsidR="00CA437B">
        <w:rPr>
          <w:rFonts w:ascii="Century Gothic" w:hAnsi="Century Gothic" w:cs="Arial"/>
          <w:bCs/>
          <w:lang w:val="es-MX"/>
        </w:rPr>
        <w:t xml:space="preserve"> más la hipótesis del artículo 175, sobrepasa la pena del homicidio</w:t>
      </w:r>
      <w:r w:rsidR="00147529">
        <w:rPr>
          <w:rFonts w:ascii="Century Gothic" w:hAnsi="Century Gothic" w:cs="Arial"/>
          <w:bCs/>
          <w:lang w:val="es-MX"/>
        </w:rPr>
        <w:t xml:space="preserve"> calificado</w:t>
      </w:r>
      <w:r w:rsidR="00CA437B">
        <w:rPr>
          <w:rFonts w:ascii="Century Gothic" w:hAnsi="Century Gothic" w:cs="Arial"/>
          <w:bCs/>
          <w:lang w:val="es-MX"/>
        </w:rPr>
        <w:t xml:space="preserve">. </w:t>
      </w:r>
    </w:p>
    <w:p w14:paraId="21FF625E" w14:textId="77777777" w:rsidR="00CA437B" w:rsidRDefault="00CA437B" w:rsidP="00782A35">
      <w:pPr>
        <w:spacing w:line="360" w:lineRule="auto"/>
        <w:ind w:right="335"/>
        <w:jc w:val="both"/>
        <w:rPr>
          <w:rFonts w:ascii="Century Gothic" w:hAnsi="Century Gothic" w:cs="Arial"/>
          <w:bCs/>
          <w:lang w:val="es-MX"/>
        </w:rPr>
      </w:pPr>
    </w:p>
    <w:p w14:paraId="4C039232" w14:textId="3E5CEEA3" w:rsidR="00376DBD" w:rsidRDefault="00376DBD" w:rsidP="00782A35">
      <w:pPr>
        <w:spacing w:line="360" w:lineRule="auto"/>
        <w:ind w:right="335"/>
        <w:jc w:val="both"/>
        <w:rPr>
          <w:rFonts w:ascii="Century Gothic" w:hAnsi="Century Gothic" w:cs="Arial"/>
          <w:bCs/>
          <w:lang w:val="es-MX"/>
        </w:rPr>
      </w:pPr>
      <w:r>
        <w:rPr>
          <w:rFonts w:ascii="Century Gothic" w:hAnsi="Century Gothic" w:cs="Arial"/>
          <w:bCs/>
          <w:lang w:val="es-MX"/>
        </w:rPr>
        <w:t>E</w:t>
      </w:r>
      <w:r w:rsidR="00CA437B">
        <w:rPr>
          <w:rFonts w:ascii="Century Gothic" w:hAnsi="Century Gothic" w:cs="Arial"/>
          <w:bCs/>
          <w:lang w:val="es-MX"/>
        </w:rPr>
        <w:t>ste delito</w:t>
      </w:r>
      <w:r>
        <w:rPr>
          <w:rFonts w:ascii="Century Gothic" w:hAnsi="Century Gothic" w:cs="Arial"/>
          <w:bCs/>
          <w:lang w:val="es-MX"/>
        </w:rPr>
        <w:t xml:space="preserve"> en la vertiente del “1er grupo”</w:t>
      </w:r>
      <w:r w:rsidR="00CA437B">
        <w:rPr>
          <w:rFonts w:ascii="Century Gothic" w:hAnsi="Century Gothic" w:cs="Arial"/>
          <w:bCs/>
          <w:lang w:val="es-MX"/>
        </w:rPr>
        <w:t>, también es doloso,</w:t>
      </w:r>
      <w:r>
        <w:rPr>
          <w:rFonts w:ascii="Century Gothic" w:hAnsi="Century Gothic" w:cs="Arial"/>
          <w:bCs/>
          <w:lang w:val="es-MX"/>
        </w:rPr>
        <w:t xml:space="preserve"> y lesiona gravemente el bien jurídico tutelado que es la vida, ya que, por ejemplo, aquí </w:t>
      </w:r>
      <w:r>
        <w:rPr>
          <w:rFonts w:ascii="Century Gothic" w:hAnsi="Century Gothic" w:cs="Arial"/>
          <w:bCs/>
          <w:lang w:val="es-MX"/>
        </w:rPr>
        <w:lastRenderedPageBreak/>
        <w:t xml:space="preserve">el activo realiza la conducta con saña, aumentando deliberadamente el dolor en la víctima hasta causarle la muerte. </w:t>
      </w:r>
    </w:p>
    <w:p w14:paraId="098DE59F" w14:textId="1E26DBB3" w:rsidR="00FF68D9" w:rsidRDefault="00CA437B" w:rsidP="00782A35">
      <w:pPr>
        <w:spacing w:line="360" w:lineRule="auto"/>
        <w:ind w:right="335"/>
        <w:jc w:val="both"/>
        <w:rPr>
          <w:rFonts w:ascii="Century Gothic" w:hAnsi="Century Gothic" w:cs="Arial"/>
          <w:bCs/>
          <w:lang w:val="es-MX"/>
        </w:rPr>
      </w:pPr>
      <w:r>
        <w:rPr>
          <w:rFonts w:ascii="Century Gothic" w:hAnsi="Century Gothic" w:cs="Arial"/>
          <w:bCs/>
          <w:lang w:val="es-MX"/>
        </w:rPr>
        <w:t xml:space="preserve"> </w:t>
      </w:r>
    </w:p>
    <w:p w14:paraId="32A5489B" w14:textId="387528F7" w:rsidR="00477AB3" w:rsidRDefault="00376DBD" w:rsidP="00477AB3">
      <w:pPr>
        <w:spacing w:line="360" w:lineRule="auto"/>
        <w:ind w:right="335"/>
        <w:jc w:val="both"/>
        <w:rPr>
          <w:rFonts w:ascii="Century Gothic" w:hAnsi="Century Gothic" w:cs="Arial"/>
          <w:bCs/>
          <w:lang w:val="es-MX"/>
        </w:rPr>
      </w:pPr>
      <w:r>
        <w:rPr>
          <w:rFonts w:ascii="Century Gothic" w:hAnsi="Century Gothic" w:cs="Arial"/>
          <w:bCs/>
          <w:lang w:val="es-MX"/>
        </w:rPr>
        <w:t>Como podemos ver, tanto en el homicidio</w:t>
      </w:r>
      <w:r w:rsidR="00477AB3">
        <w:rPr>
          <w:rFonts w:ascii="Century Gothic" w:hAnsi="Century Gothic" w:cs="Arial"/>
          <w:bCs/>
          <w:lang w:val="es-MX"/>
        </w:rPr>
        <w:t xml:space="preserve"> calificado</w:t>
      </w:r>
      <w:r>
        <w:rPr>
          <w:rFonts w:ascii="Century Gothic" w:hAnsi="Century Gothic" w:cs="Arial"/>
          <w:bCs/>
          <w:lang w:val="es-MX"/>
        </w:rPr>
        <w:t xml:space="preserve"> como en la violación equiparada</w:t>
      </w:r>
      <w:r w:rsidR="00477AB3">
        <w:rPr>
          <w:rFonts w:ascii="Century Gothic" w:hAnsi="Century Gothic" w:cs="Arial"/>
          <w:bCs/>
          <w:lang w:val="es-MX"/>
        </w:rPr>
        <w:t xml:space="preserve"> agravada</w:t>
      </w:r>
      <w:r>
        <w:rPr>
          <w:rFonts w:ascii="Century Gothic" w:hAnsi="Century Gothic" w:cs="Arial"/>
          <w:bCs/>
          <w:lang w:val="es-MX"/>
        </w:rPr>
        <w:t>, se trata de un delito doloso, que ataca gravemente el bien jurídico tutelado, sin embargo</w:t>
      </w:r>
      <w:r w:rsidR="00477AB3">
        <w:rPr>
          <w:rFonts w:ascii="Century Gothic" w:hAnsi="Century Gothic" w:cs="Arial"/>
          <w:bCs/>
          <w:lang w:val="es-MX"/>
        </w:rPr>
        <w:t xml:space="preserve">, el bien de mayor de mayor valía es la vida, por ende, si la pena del delito contra la libertad y seguridad sexual es superior al del homicidio, podría ser </w:t>
      </w:r>
      <w:r w:rsidR="00273927">
        <w:rPr>
          <w:rFonts w:ascii="Century Gothic" w:hAnsi="Century Gothic" w:cs="Arial"/>
          <w:bCs/>
          <w:lang w:val="es-MX"/>
        </w:rPr>
        <w:t xml:space="preserve">desproporcional ya que este principio expone que </w:t>
      </w:r>
      <w:r w:rsidR="00477AB3" w:rsidRPr="00477AB3">
        <w:rPr>
          <w:rFonts w:ascii="Century Gothic" w:hAnsi="Century Gothic" w:cs="Arial"/>
          <w:bCs/>
          <w:i/>
          <w:lang w:val="es-MX"/>
        </w:rPr>
        <w:t>las penas más graves deben dirigirse a los tipos penales que protegen los bienes jurídicos más importantes</w:t>
      </w:r>
      <w:r w:rsidR="00477AB3" w:rsidRPr="00477AB3">
        <w:rPr>
          <w:rFonts w:ascii="Century Gothic" w:hAnsi="Century Gothic" w:cs="Arial"/>
          <w:bCs/>
          <w:lang w:val="es-MX"/>
        </w:rPr>
        <w:t>.</w:t>
      </w:r>
      <w:r w:rsidR="00477AB3" w:rsidRPr="00477AB3">
        <w:rPr>
          <w:rFonts w:ascii="Century Gothic" w:hAnsi="Century Gothic" w:cs="Arial"/>
          <w:bCs/>
          <w:vertAlign w:val="superscript"/>
          <w:lang w:val="es-MX"/>
        </w:rPr>
        <w:footnoteReference w:id="20"/>
      </w:r>
    </w:p>
    <w:p w14:paraId="01B15564" w14:textId="0B257FA6" w:rsidR="00E5196C" w:rsidRDefault="00E5196C" w:rsidP="00477AB3">
      <w:pPr>
        <w:spacing w:line="360" w:lineRule="auto"/>
        <w:ind w:right="335"/>
        <w:jc w:val="both"/>
        <w:rPr>
          <w:rFonts w:ascii="Century Gothic" w:hAnsi="Century Gothic" w:cs="Arial"/>
          <w:bCs/>
          <w:lang w:val="es-MX"/>
        </w:rPr>
      </w:pPr>
    </w:p>
    <w:p w14:paraId="7C088152" w14:textId="45B53FE7" w:rsidR="00E5196C" w:rsidRDefault="00E5196C" w:rsidP="00477AB3">
      <w:pPr>
        <w:spacing w:line="360" w:lineRule="auto"/>
        <w:ind w:right="335"/>
        <w:jc w:val="both"/>
        <w:rPr>
          <w:rFonts w:ascii="Century Gothic" w:hAnsi="Century Gothic" w:cs="Arial"/>
          <w:bCs/>
        </w:rPr>
      </w:pPr>
      <w:r>
        <w:rPr>
          <w:rFonts w:ascii="Century Gothic" w:hAnsi="Century Gothic" w:cs="Arial"/>
          <w:bCs/>
          <w:lang w:val="es-MX"/>
        </w:rPr>
        <w:t xml:space="preserve">Además, sustentado lo anterior, en la exposición de motivos de una de las iniciativas y adoptados por el dictamen del constituyente permanente que legisló en el 2008 la Constitución Política de los Estados Unidos Mexicanos, </w:t>
      </w:r>
      <w:r>
        <w:rPr>
          <w:rFonts w:ascii="Century Gothic" w:hAnsi="Century Gothic" w:cs="Arial"/>
          <w:bCs/>
        </w:rPr>
        <w:t xml:space="preserve">para establecer </w:t>
      </w:r>
      <w:r w:rsidRPr="00E5196C">
        <w:rPr>
          <w:rFonts w:ascii="Century Gothic" w:hAnsi="Century Gothic" w:cs="Arial"/>
          <w:bCs/>
        </w:rPr>
        <w:t xml:space="preserve">las bases </w:t>
      </w:r>
      <w:r w:rsidR="005A477C">
        <w:rPr>
          <w:rFonts w:ascii="Century Gothic" w:hAnsi="Century Gothic" w:cs="Arial"/>
          <w:bCs/>
        </w:rPr>
        <w:t>que regulan</w:t>
      </w:r>
      <w:r w:rsidRPr="00E5196C">
        <w:rPr>
          <w:rFonts w:ascii="Century Gothic" w:hAnsi="Century Gothic" w:cs="Arial"/>
          <w:bCs/>
        </w:rPr>
        <w:t xml:space="preserve"> el sistema procesal penal acusatorio</w:t>
      </w:r>
      <w:r w:rsidR="005A477C">
        <w:rPr>
          <w:rFonts w:ascii="Century Gothic" w:hAnsi="Century Gothic" w:cs="Arial"/>
          <w:bCs/>
        </w:rPr>
        <w:t xml:space="preserve">, el cual menciona lo siguiente: </w:t>
      </w:r>
    </w:p>
    <w:p w14:paraId="556165B2" w14:textId="77777777" w:rsidR="005A477C" w:rsidRDefault="005A477C" w:rsidP="00477AB3">
      <w:pPr>
        <w:spacing w:line="360" w:lineRule="auto"/>
        <w:ind w:right="335"/>
        <w:jc w:val="both"/>
        <w:rPr>
          <w:rFonts w:ascii="Century Gothic" w:hAnsi="Century Gothic" w:cs="Arial"/>
          <w:bCs/>
          <w:lang w:val="es-MX"/>
        </w:rPr>
      </w:pPr>
    </w:p>
    <w:p w14:paraId="389EBE20" w14:textId="6185B735" w:rsidR="00E5196C" w:rsidRPr="00477AB3" w:rsidRDefault="00E5196C" w:rsidP="005A477C">
      <w:pPr>
        <w:spacing w:line="360" w:lineRule="auto"/>
        <w:ind w:left="851" w:right="1182"/>
        <w:jc w:val="both"/>
        <w:rPr>
          <w:rFonts w:ascii="Century Gothic" w:hAnsi="Century Gothic" w:cs="Arial"/>
          <w:bCs/>
          <w:lang w:val="es-MX"/>
        </w:rPr>
      </w:pPr>
      <w:r w:rsidRPr="005A477C">
        <w:rPr>
          <w:rFonts w:ascii="Century Gothic" w:hAnsi="Century Gothic" w:cs="Arial"/>
          <w:bCs/>
          <w:i/>
          <w:iCs/>
          <w:lang w:val="es-MX"/>
        </w:rPr>
        <w:t xml:space="preserve"> </w:t>
      </w:r>
      <w:r w:rsidR="005A477C" w:rsidRPr="005A477C">
        <w:rPr>
          <w:rFonts w:ascii="Century Gothic" w:hAnsi="Century Gothic" w:cs="Arial"/>
          <w:bCs/>
          <w:i/>
          <w:iCs/>
          <w:lang w:val="es-MX"/>
        </w:rPr>
        <w:t xml:space="preserve">“… </w:t>
      </w:r>
      <w:r w:rsidRPr="005A477C">
        <w:rPr>
          <w:rFonts w:ascii="Century Gothic" w:hAnsi="Century Gothic" w:cs="Arial"/>
          <w:bCs/>
          <w:i/>
          <w:iCs/>
        </w:rPr>
        <w:t xml:space="preserve">El principio de proporcionalidad supone que el legislador deberá tomar en cuenta la magnitud del bien jurídico afectado por una conducta delictiva al momento de determinar qué sanción se le debe aplicar; para ello se deberá atender, entre </w:t>
      </w:r>
      <w:r w:rsidRPr="005A477C">
        <w:rPr>
          <w:rFonts w:ascii="Century Gothic" w:hAnsi="Century Gothic" w:cs="Arial"/>
          <w:bCs/>
          <w:i/>
          <w:iCs/>
        </w:rPr>
        <w:lastRenderedPageBreak/>
        <w:t>otros elementos, al resto del sistema de sanciones, de modo que a una conducta que dañe un bien jurídico de menor importancia no se le aplique una sanción que supera a la que se le aplica a una conducta que sanciona un bien jurídico de mayor importancia</w:t>
      </w:r>
      <w:r w:rsidRPr="00E5196C">
        <w:rPr>
          <w:rFonts w:ascii="Century Gothic" w:hAnsi="Century Gothic" w:cs="Arial"/>
          <w:bCs/>
        </w:rPr>
        <w:t>.</w:t>
      </w:r>
      <w:r w:rsidR="005A477C">
        <w:rPr>
          <w:rFonts w:ascii="Century Gothic" w:hAnsi="Century Gothic" w:cs="Arial"/>
          <w:bCs/>
        </w:rPr>
        <w:t>”</w:t>
      </w:r>
      <w:r w:rsidR="005A477C">
        <w:rPr>
          <w:rStyle w:val="Refdenotaalpie"/>
          <w:rFonts w:ascii="Century Gothic" w:hAnsi="Century Gothic" w:cs="Arial"/>
          <w:bCs/>
        </w:rPr>
        <w:footnoteReference w:id="21"/>
      </w:r>
    </w:p>
    <w:p w14:paraId="7BD6250C" w14:textId="69F4DA29" w:rsidR="000F70D0" w:rsidRDefault="000F70D0" w:rsidP="00163B54">
      <w:pPr>
        <w:spacing w:line="360" w:lineRule="auto"/>
        <w:ind w:right="335"/>
        <w:jc w:val="both"/>
        <w:rPr>
          <w:rFonts w:ascii="Century Gothic" w:hAnsi="Century Gothic" w:cs="Arial"/>
          <w:bCs/>
          <w:lang w:val="es-MX"/>
        </w:rPr>
      </w:pPr>
    </w:p>
    <w:p w14:paraId="7162427D" w14:textId="472757E3" w:rsidR="00273927" w:rsidRDefault="00273927" w:rsidP="00163B54">
      <w:pPr>
        <w:spacing w:line="360" w:lineRule="auto"/>
        <w:ind w:right="335"/>
        <w:jc w:val="both"/>
        <w:rPr>
          <w:rFonts w:ascii="Century Gothic" w:hAnsi="Century Gothic" w:cs="Arial"/>
          <w:bCs/>
          <w:lang w:val="es-MX"/>
        </w:rPr>
      </w:pPr>
      <w:r>
        <w:rPr>
          <w:rFonts w:ascii="Century Gothic" w:hAnsi="Century Gothic" w:cs="Arial"/>
          <w:bCs/>
          <w:lang w:val="es-MX"/>
        </w:rPr>
        <w:t xml:space="preserve">Ahora bien, esto no quiere decir que las y los legisladores no puedan sobre pasar ese umbral trazado por (a) la importancia del bien jurídico, (b) la intensidad del ataque y (c) el grado de responsabilidad subjetiva. </w:t>
      </w:r>
    </w:p>
    <w:p w14:paraId="4B637F4C" w14:textId="43176CA9" w:rsidR="00327059" w:rsidRDefault="00327059" w:rsidP="00163B54">
      <w:pPr>
        <w:spacing w:line="360" w:lineRule="auto"/>
        <w:ind w:right="335"/>
        <w:jc w:val="both"/>
        <w:rPr>
          <w:rFonts w:ascii="Century Gothic" w:hAnsi="Century Gothic" w:cs="Arial"/>
          <w:bCs/>
          <w:lang w:val="es-MX"/>
        </w:rPr>
      </w:pPr>
    </w:p>
    <w:p w14:paraId="63DA0412" w14:textId="5C9EB184" w:rsidR="00327059" w:rsidRDefault="00327059" w:rsidP="00163B54">
      <w:pPr>
        <w:spacing w:line="360" w:lineRule="auto"/>
        <w:ind w:right="335"/>
        <w:jc w:val="both"/>
        <w:rPr>
          <w:rFonts w:ascii="Century Gothic" w:hAnsi="Century Gothic" w:cs="Arial"/>
          <w:bCs/>
        </w:rPr>
      </w:pPr>
      <w:r>
        <w:rPr>
          <w:rFonts w:ascii="Century Gothic" w:hAnsi="Century Gothic" w:cs="Arial"/>
          <w:bCs/>
          <w:lang w:val="es-MX"/>
        </w:rPr>
        <w:t xml:space="preserve">El Pleno de la SCJN al analizar el alcance del artículo 22 de la Constitución federal, en cuando a los límites que tiene el legislativo para determinar una pena, estableció que </w:t>
      </w:r>
      <w:r w:rsidRPr="00327059">
        <w:rPr>
          <w:rFonts w:ascii="Century Gothic" w:hAnsi="Century Gothic" w:cs="Arial"/>
          <w:bCs/>
          <w:i/>
          <w:iCs/>
          <w:lang w:val="es-MX"/>
        </w:rPr>
        <w:t xml:space="preserve">el legislador penal tiene amplia libertad para diseñar el rumbo de la política criminal, </w:t>
      </w:r>
      <w:r w:rsidRPr="00327059">
        <w:rPr>
          <w:rFonts w:ascii="Century Gothic" w:hAnsi="Century Gothic" w:cs="Arial"/>
          <w:bCs/>
          <w:i/>
          <w:iCs/>
        </w:rPr>
        <w:t>es decir, para elegir los bienes jurídicamente tutelados, las conductas típicas antijurídicas y las sanciones penales, de acuerdo con las necesidades sociales del momento histórico respectivo.</w:t>
      </w:r>
      <w:r>
        <w:rPr>
          <w:rStyle w:val="Refdenotaalpie"/>
          <w:rFonts w:ascii="Century Gothic" w:hAnsi="Century Gothic" w:cs="Arial"/>
          <w:bCs/>
          <w:i/>
          <w:iCs/>
        </w:rPr>
        <w:footnoteReference w:id="22"/>
      </w:r>
    </w:p>
    <w:p w14:paraId="4F0CF203" w14:textId="3EAD4DDB" w:rsidR="00CE2EB7" w:rsidRDefault="00CE2EB7" w:rsidP="00163B54">
      <w:pPr>
        <w:spacing w:line="360" w:lineRule="auto"/>
        <w:ind w:right="335"/>
        <w:jc w:val="both"/>
        <w:rPr>
          <w:rFonts w:ascii="Century Gothic" w:hAnsi="Century Gothic" w:cs="Arial"/>
          <w:bCs/>
        </w:rPr>
      </w:pPr>
    </w:p>
    <w:p w14:paraId="64AB30AF" w14:textId="3A4A7714" w:rsidR="00DF576C" w:rsidRDefault="00CE2EB7" w:rsidP="00DF576C">
      <w:pPr>
        <w:spacing w:line="360" w:lineRule="auto"/>
        <w:ind w:right="335"/>
        <w:jc w:val="both"/>
        <w:rPr>
          <w:rFonts w:ascii="Century Gothic" w:hAnsi="Century Gothic" w:cs="Arial"/>
          <w:bCs/>
          <w:lang w:val="es-MX"/>
        </w:rPr>
      </w:pPr>
      <w:r>
        <w:rPr>
          <w:rFonts w:ascii="Century Gothic" w:hAnsi="Century Gothic" w:cs="Arial"/>
          <w:bCs/>
          <w:lang w:val="es-MX"/>
        </w:rPr>
        <w:t>Esto es, el legislativo, de acuerdo a la política criminal de Estado, para disminuir cierta actividad delictiva, es que aumenta las penas en base a la necesidad del momento histórico, por ende, para evaluar la proporcionalidad de las penas, no basta</w:t>
      </w:r>
      <w:r w:rsidR="00CF0676">
        <w:rPr>
          <w:rFonts w:ascii="Century Gothic" w:hAnsi="Century Gothic" w:cs="Arial"/>
          <w:bCs/>
          <w:lang w:val="es-MX"/>
        </w:rPr>
        <w:t xml:space="preserve"> circular</w:t>
      </w:r>
      <w:r>
        <w:rPr>
          <w:rFonts w:ascii="Century Gothic" w:hAnsi="Century Gothic" w:cs="Arial"/>
          <w:bCs/>
          <w:lang w:val="es-MX"/>
        </w:rPr>
        <w:t xml:space="preserve"> solo </w:t>
      </w:r>
      <w:r w:rsidR="00CF0676">
        <w:rPr>
          <w:rFonts w:ascii="Century Gothic" w:hAnsi="Century Gothic" w:cs="Arial"/>
          <w:bCs/>
          <w:lang w:val="es-MX"/>
        </w:rPr>
        <w:t xml:space="preserve">por </w:t>
      </w:r>
      <w:r>
        <w:rPr>
          <w:rFonts w:ascii="Century Gothic" w:hAnsi="Century Gothic" w:cs="Arial"/>
          <w:bCs/>
          <w:lang w:val="es-MX"/>
        </w:rPr>
        <w:t>aquellos tres parámetros (a, b y c)</w:t>
      </w:r>
      <w:r w:rsidR="00CF0676">
        <w:rPr>
          <w:rFonts w:ascii="Century Gothic" w:hAnsi="Century Gothic" w:cs="Arial"/>
          <w:bCs/>
          <w:lang w:val="es-MX"/>
        </w:rPr>
        <w:t>, sino que debería, para poder pasar aquel umbral trazado por el trio de parametrización</w:t>
      </w:r>
      <w:r w:rsidR="00DF576C">
        <w:rPr>
          <w:rFonts w:ascii="Century Gothic" w:hAnsi="Century Gothic" w:cs="Arial"/>
          <w:bCs/>
          <w:lang w:val="es-MX"/>
        </w:rPr>
        <w:t xml:space="preserve">, establecer que se trata de </w:t>
      </w:r>
      <w:r w:rsidR="00DF576C" w:rsidRPr="00DF576C">
        <w:rPr>
          <w:rFonts w:ascii="Century Gothic" w:hAnsi="Century Gothic" w:cs="Arial"/>
          <w:bCs/>
          <w:lang w:val="es-MX"/>
        </w:rPr>
        <w:t>un delito cuya alta incidencia lo lleva a enderezar una intervención penal que se traduzca en una pena mayor</w:t>
      </w:r>
      <w:r w:rsidR="00DF576C">
        <w:rPr>
          <w:rStyle w:val="Refdenotaalpie"/>
          <w:rFonts w:ascii="Century Gothic" w:hAnsi="Century Gothic" w:cs="Arial"/>
          <w:bCs/>
          <w:lang w:val="es-MX"/>
        </w:rPr>
        <w:footnoteReference w:id="23"/>
      </w:r>
      <w:r w:rsidR="00DF576C" w:rsidRPr="00DF576C">
        <w:rPr>
          <w:rFonts w:ascii="Century Gothic" w:hAnsi="Century Gothic" w:cs="Arial"/>
          <w:bCs/>
          <w:lang w:val="es-MX"/>
        </w:rPr>
        <w:t xml:space="preserve">. </w:t>
      </w:r>
    </w:p>
    <w:p w14:paraId="696B1B76" w14:textId="4D0977C6" w:rsidR="00DF576C" w:rsidRDefault="00DF576C" w:rsidP="00DF576C">
      <w:pPr>
        <w:spacing w:line="360" w:lineRule="auto"/>
        <w:ind w:right="335"/>
        <w:jc w:val="both"/>
        <w:rPr>
          <w:rFonts w:ascii="Century Gothic" w:hAnsi="Century Gothic" w:cs="Arial"/>
          <w:bCs/>
          <w:lang w:val="es-MX"/>
        </w:rPr>
      </w:pPr>
    </w:p>
    <w:p w14:paraId="3267F124" w14:textId="19F98486" w:rsidR="00AC7BAA" w:rsidRPr="00AC7BAA" w:rsidRDefault="00DF576C" w:rsidP="00AC7BAA">
      <w:pPr>
        <w:spacing w:line="360" w:lineRule="auto"/>
        <w:ind w:right="335"/>
        <w:jc w:val="both"/>
        <w:rPr>
          <w:rFonts w:ascii="Century Gothic" w:hAnsi="Century Gothic" w:cs="Arial"/>
          <w:bCs/>
        </w:rPr>
      </w:pPr>
      <w:r>
        <w:rPr>
          <w:rFonts w:ascii="Century Gothic" w:hAnsi="Century Gothic" w:cs="Arial"/>
          <w:bCs/>
          <w:lang w:val="es-MX"/>
        </w:rPr>
        <w:t>Sin embargo, en el caso que nos ocupa, esto es, sancionar con mayor severidad la violación equiparada agravada en la vertiente de que por cualquier motivo no pueda resistirlo</w:t>
      </w:r>
      <w:r w:rsidR="00927E51">
        <w:rPr>
          <w:rFonts w:ascii="Century Gothic" w:hAnsi="Century Gothic" w:cs="Arial"/>
          <w:bCs/>
          <w:lang w:val="es-MX"/>
        </w:rPr>
        <w:t>, bajo la modalidad de suministración de psicotrópicos o estupefacientes, habremos de mencionar que</w:t>
      </w:r>
      <w:r w:rsidR="00AC7BAA">
        <w:rPr>
          <w:rFonts w:ascii="Century Gothic" w:hAnsi="Century Gothic" w:cs="Arial"/>
          <w:bCs/>
          <w:lang w:val="es-MX"/>
        </w:rPr>
        <w:t xml:space="preserve"> en el estudio </w:t>
      </w:r>
      <w:r>
        <w:rPr>
          <w:rFonts w:ascii="Century Gothic" w:hAnsi="Century Gothic" w:cs="Arial"/>
          <w:bCs/>
          <w:lang w:val="es-MX"/>
        </w:rPr>
        <w:t xml:space="preserve">  </w:t>
      </w:r>
      <w:r w:rsidR="00AC7BAA" w:rsidRPr="00AC7BAA">
        <w:rPr>
          <w:rFonts w:ascii="Century Gothic" w:hAnsi="Century Gothic" w:cs="Arial"/>
          <w:bCs/>
        </w:rPr>
        <w:lastRenderedPageBreak/>
        <w:t>intitulado: Violencia Sexual Contra las Mujeres y Consumo de Drogas</w:t>
      </w:r>
      <w:r w:rsidR="00AC7BAA">
        <w:rPr>
          <w:rFonts w:ascii="Century Gothic" w:hAnsi="Century Gothic" w:cs="Arial"/>
          <w:bCs/>
        </w:rPr>
        <w:t>, publicado por e</w:t>
      </w:r>
      <w:r w:rsidR="00AC7BAA" w:rsidRPr="00AC7BAA">
        <w:rPr>
          <w:rFonts w:ascii="Century Gothic" w:hAnsi="Century Gothic" w:cs="Arial"/>
          <w:bCs/>
        </w:rPr>
        <w:t xml:space="preserve">l Instituto Nacional de las Mujeres, expone lo siguiente: </w:t>
      </w:r>
    </w:p>
    <w:p w14:paraId="7F44D512" w14:textId="589AC147" w:rsidR="00DF576C" w:rsidRPr="00DF576C" w:rsidRDefault="00DF576C" w:rsidP="00DF576C">
      <w:pPr>
        <w:spacing w:line="360" w:lineRule="auto"/>
        <w:ind w:right="335"/>
        <w:jc w:val="both"/>
        <w:rPr>
          <w:rFonts w:ascii="Century Gothic" w:hAnsi="Century Gothic" w:cs="Arial"/>
          <w:bCs/>
          <w:lang w:val="es-MX"/>
        </w:rPr>
      </w:pPr>
    </w:p>
    <w:p w14:paraId="1EF418CC" w14:textId="1568011C" w:rsidR="00B278F7" w:rsidRPr="00B278F7" w:rsidRDefault="005403EE" w:rsidP="00B278F7">
      <w:pPr>
        <w:spacing w:line="360" w:lineRule="auto"/>
        <w:ind w:left="851" w:right="1182"/>
        <w:jc w:val="both"/>
        <w:rPr>
          <w:rFonts w:ascii="Century Gothic" w:hAnsi="Century Gothic" w:cs="Arial"/>
          <w:bCs/>
        </w:rPr>
      </w:pPr>
      <w:r w:rsidRPr="00AC7BAA">
        <w:rPr>
          <w:rFonts w:ascii="Century Gothic" w:hAnsi="Century Gothic" w:cs="Arial"/>
          <w:bCs/>
          <w:i/>
          <w:iCs/>
        </w:rPr>
        <w:t>A pesar de la importancia y dimensiones del problema de la violencia sexual y de su relación con el consumo de drogas y del reconocimiento de ambos como problemas de salud pública, en México no se cuenta con suficientes estadísticas acerca de la relación entre violencia sexual y consumo de alcohol u otras drogas, y mucho menos de los casos en que se utilizan drogas de manera intencional para cometer delitos sexuales contra las mujeres</w:t>
      </w:r>
      <w:r w:rsidRPr="005403EE">
        <w:rPr>
          <w:rFonts w:ascii="Century Gothic" w:hAnsi="Century Gothic" w:cs="Arial"/>
          <w:bCs/>
        </w:rPr>
        <w:t>.</w:t>
      </w:r>
      <w:r w:rsidR="00AC7BAA">
        <w:rPr>
          <w:rStyle w:val="Refdenotaalpie"/>
          <w:rFonts w:ascii="Century Gothic" w:hAnsi="Century Gothic" w:cs="Arial"/>
          <w:bCs/>
        </w:rPr>
        <w:footnoteReference w:id="24"/>
      </w:r>
    </w:p>
    <w:p w14:paraId="698C9127" w14:textId="50A963A7" w:rsidR="00CE2EB7" w:rsidRDefault="00CE2EB7" w:rsidP="00163B54">
      <w:pPr>
        <w:spacing w:line="360" w:lineRule="auto"/>
        <w:ind w:right="335"/>
        <w:jc w:val="both"/>
        <w:rPr>
          <w:rFonts w:ascii="Century Gothic" w:hAnsi="Century Gothic" w:cs="Arial"/>
          <w:bCs/>
          <w:lang w:val="es-MX"/>
        </w:rPr>
      </w:pPr>
    </w:p>
    <w:p w14:paraId="0D60D962" w14:textId="1D45E9E7" w:rsidR="00CE2EB7" w:rsidRDefault="00AC7BAA" w:rsidP="00163B54">
      <w:pPr>
        <w:spacing w:line="360" w:lineRule="auto"/>
        <w:ind w:right="335"/>
        <w:jc w:val="both"/>
        <w:rPr>
          <w:rFonts w:ascii="Century Gothic" w:hAnsi="Century Gothic" w:cs="Arial"/>
          <w:bCs/>
        </w:rPr>
      </w:pPr>
      <w:r>
        <w:rPr>
          <w:rFonts w:ascii="Century Gothic" w:hAnsi="Century Gothic" w:cs="Arial"/>
          <w:bCs/>
          <w:lang w:val="es-MX"/>
        </w:rPr>
        <w:t>Este mismo análisis continúa refiriendo que</w:t>
      </w:r>
      <w:r w:rsidR="00B278F7">
        <w:rPr>
          <w:rFonts w:ascii="Century Gothic" w:hAnsi="Century Gothic" w:cs="Arial"/>
          <w:bCs/>
          <w:lang w:val="es-MX"/>
        </w:rPr>
        <w:t xml:space="preserve"> hay diversas sustancias, como ketamina o metanfetaminas, </w:t>
      </w:r>
      <w:r w:rsidR="000F51B0">
        <w:rPr>
          <w:rFonts w:ascii="Century Gothic" w:hAnsi="Century Gothic" w:cs="Arial"/>
          <w:bCs/>
          <w:lang w:val="es-MX"/>
        </w:rPr>
        <w:t xml:space="preserve">utilizadas </w:t>
      </w:r>
      <w:r w:rsidR="00B278F7">
        <w:rPr>
          <w:rFonts w:ascii="Century Gothic" w:hAnsi="Century Gothic" w:cs="Arial"/>
          <w:bCs/>
          <w:lang w:val="es-MX"/>
        </w:rPr>
        <w:t xml:space="preserve">con la intención de dejar a las víctimas </w:t>
      </w:r>
      <w:r w:rsidR="00B278F7">
        <w:rPr>
          <w:rFonts w:ascii="Century Gothic" w:hAnsi="Century Gothic" w:cs="Arial"/>
          <w:bCs/>
          <w:i/>
          <w:iCs/>
          <w:lang w:val="es-MX"/>
        </w:rPr>
        <w:t xml:space="preserve">semi inconscientes o incapaces </w:t>
      </w:r>
      <w:r w:rsidR="00B278F7">
        <w:rPr>
          <w:rFonts w:ascii="Century Gothic" w:hAnsi="Century Gothic" w:cs="Arial"/>
          <w:bCs/>
          <w:lang w:val="es-MX"/>
        </w:rPr>
        <w:t>de resistir el ataque sexual</w:t>
      </w:r>
      <w:r w:rsidR="000F51B0">
        <w:rPr>
          <w:rFonts w:ascii="Century Gothic" w:hAnsi="Century Gothic" w:cs="Arial"/>
          <w:bCs/>
          <w:lang w:val="es-MX"/>
        </w:rPr>
        <w:t>; y que e</w:t>
      </w:r>
      <w:r>
        <w:rPr>
          <w:rFonts w:ascii="Century Gothic" w:hAnsi="Century Gothic" w:cs="Arial"/>
          <w:bCs/>
          <w:lang w:val="es-MX"/>
        </w:rPr>
        <w:t>sa relación entre drogas, alcohol y agresiones sexuales, son subestimadas, por ende</w:t>
      </w:r>
      <w:r w:rsidR="000429E1">
        <w:rPr>
          <w:rFonts w:ascii="Century Gothic" w:hAnsi="Century Gothic" w:cs="Arial"/>
          <w:bCs/>
          <w:lang w:val="es-MX"/>
        </w:rPr>
        <w:t>,</w:t>
      </w:r>
      <w:r>
        <w:rPr>
          <w:rFonts w:ascii="Century Gothic" w:hAnsi="Century Gothic" w:cs="Arial"/>
          <w:bCs/>
          <w:lang w:val="es-MX"/>
        </w:rPr>
        <w:t xml:space="preserve"> se carecen de datos que nos permitan </w:t>
      </w:r>
      <w:r w:rsidR="000429E1">
        <w:rPr>
          <w:rFonts w:ascii="Century Gothic" w:hAnsi="Century Gothic" w:cs="Arial"/>
          <w:bCs/>
          <w:lang w:val="es-MX"/>
        </w:rPr>
        <w:t>analizar la</w:t>
      </w:r>
      <w:r w:rsidR="00B278F7" w:rsidRPr="00B278F7">
        <w:rPr>
          <w:rFonts w:ascii="Century Gothic" w:hAnsi="Century Gothic" w:cs="Arial"/>
          <w:bCs/>
        </w:rPr>
        <w:t xml:space="preserve"> relación entre la violencia sexual y el consumo de alcohol y otras drogas</w:t>
      </w:r>
      <w:r w:rsidR="000429E1">
        <w:rPr>
          <w:rFonts w:ascii="Century Gothic" w:hAnsi="Century Gothic" w:cs="Arial"/>
          <w:bCs/>
        </w:rPr>
        <w:t>.</w:t>
      </w:r>
      <w:r w:rsidR="00BF742D">
        <w:rPr>
          <w:rStyle w:val="Refdenotaalpie"/>
          <w:rFonts w:ascii="Century Gothic" w:hAnsi="Century Gothic" w:cs="Arial"/>
          <w:bCs/>
        </w:rPr>
        <w:footnoteReference w:id="25"/>
      </w:r>
    </w:p>
    <w:p w14:paraId="32EFECCF" w14:textId="627B26B9" w:rsidR="000429E1" w:rsidRDefault="000429E1" w:rsidP="00163B54">
      <w:pPr>
        <w:spacing w:line="360" w:lineRule="auto"/>
        <w:ind w:right="335"/>
        <w:jc w:val="both"/>
        <w:rPr>
          <w:rFonts w:ascii="Century Gothic" w:hAnsi="Century Gothic" w:cs="Arial"/>
          <w:bCs/>
        </w:rPr>
      </w:pPr>
    </w:p>
    <w:p w14:paraId="29897068" w14:textId="3FBF4860" w:rsidR="00BF742D" w:rsidRDefault="00BF742D" w:rsidP="00163B54">
      <w:pPr>
        <w:spacing w:line="360" w:lineRule="auto"/>
        <w:ind w:right="335"/>
        <w:jc w:val="both"/>
        <w:rPr>
          <w:rFonts w:ascii="Century Gothic" w:hAnsi="Century Gothic" w:cs="Arial"/>
          <w:bCs/>
        </w:rPr>
      </w:pPr>
      <w:r>
        <w:rPr>
          <w:rFonts w:ascii="Century Gothic" w:hAnsi="Century Gothic" w:cs="Arial"/>
          <w:bCs/>
        </w:rPr>
        <w:t>Aunado</w:t>
      </w:r>
      <w:r w:rsidR="000F51B0">
        <w:rPr>
          <w:rFonts w:ascii="Century Gothic" w:hAnsi="Century Gothic" w:cs="Arial"/>
          <w:bCs/>
        </w:rPr>
        <w:t xml:space="preserve"> a esta carencia de datos, tenemos </w:t>
      </w:r>
      <w:r>
        <w:rPr>
          <w:rFonts w:ascii="Century Gothic" w:hAnsi="Century Gothic" w:cs="Arial"/>
          <w:bCs/>
        </w:rPr>
        <w:t>los resultados de</w:t>
      </w:r>
      <w:r w:rsidR="000F51B0">
        <w:rPr>
          <w:rFonts w:ascii="Century Gothic" w:hAnsi="Century Gothic" w:cs="Arial"/>
          <w:bCs/>
        </w:rPr>
        <w:t xml:space="preserve"> la</w:t>
      </w:r>
      <w:r>
        <w:rPr>
          <w:rFonts w:ascii="Century Gothic" w:hAnsi="Century Gothic" w:cs="Arial"/>
          <w:bCs/>
        </w:rPr>
        <w:t xml:space="preserve"> </w:t>
      </w:r>
      <w:r w:rsidRPr="00BF742D">
        <w:rPr>
          <w:rFonts w:ascii="Century Gothic" w:hAnsi="Century Gothic" w:cs="Arial"/>
          <w:bCs/>
        </w:rPr>
        <w:t>(ENDIREH) 2016</w:t>
      </w:r>
      <w:r w:rsidR="000F51B0">
        <w:rPr>
          <w:rFonts w:ascii="Century Gothic" w:hAnsi="Century Gothic" w:cs="Arial"/>
          <w:bCs/>
        </w:rPr>
        <w:t xml:space="preserve">, la cual expone que en el ámbito comunitario la violencia contra las mujeres se manifiesta en 1.1% </w:t>
      </w:r>
      <w:r w:rsidR="00CD50DF">
        <w:rPr>
          <w:rFonts w:ascii="Century Gothic" w:hAnsi="Century Gothic" w:cs="Arial"/>
          <w:bCs/>
        </w:rPr>
        <w:t xml:space="preserve">en las cantinas, bares o antros y el 1.9% en las </w:t>
      </w:r>
      <w:r w:rsidR="00CD50DF">
        <w:rPr>
          <w:rFonts w:ascii="Century Gothic" w:hAnsi="Century Gothic" w:cs="Arial"/>
          <w:bCs/>
        </w:rPr>
        <w:lastRenderedPageBreak/>
        <w:t>fiestas o ferias</w:t>
      </w:r>
      <w:r>
        <w:rPr>
          <w:rStyle w:val="Refdenotaalpie"/>
          <w:rFonts w:ascii="Century Gothic" w:hAnsi="Century Gothic" w:cs="Arial"/>
          <w:bCs/>
        </w:rPr>
        <w:footnoteReference w:id="26"/>
      </w:r>
      <w:r w:rsidR="00CD50DF">
        <w:rPr>
          <w:rFonts w:ascii="Century Gothic" w:hAnsi="Century Gothic" w:cs="Arial"/>
          <w:bCs/>
        </w:rPr>
        <w:t>, pero no se especifica cuantas de estas agresiones son de carácter sexual, y menos, cuantas guardan una relación directa entre la droga y la agresión sexual, en donde el medio comisivo sea la modalidad de suministración para que la víctima no pueda resistir la agresión.</w:t>
      </w:r>
    </w:p>
    <w:p w14:paraId="28486BC2" w14:textId="7D5AC5FE" w:rsidR="00A01BDA" w:rsidRDefault="00A01BDA" w:rsidP="00163B54">
      <w:pPr>
        <w:spacing w:line="360" w:lineRule="auto"/>
        <w:ind w:right="335"/>
        <w:jc w:val="both"/>
        <w:rPr>
          <w:rFonts w:ascii="Century Gothic" w:hAnsi="Century Gothic" w:cs="Arial"/>
          <w:bCs/>
        </w:rPr>
      </w:pPr>
    </w:p>
    <w:p w14:paraId="1E6A9D48" w14:textId="0A9ABA7B" w:rsidR="00A01BDA" w:rsidRDefault="00A01BDA" w:rsidP="00163B54">
      <w:pPr>
        <w:spacing w:line="360" w:lineRule="auto"/>
        <w:ind w:right="335"/>
        <w:jc w:val="both"/>
        <w:rPr>
          <w:rFonts w:ascii="Century Gothic" w:hAnsi="Century Gothic" w:cs="Arial"/>
          <w:bCs/>
          <w:lang w:val="es-MX"/>
        </w:rPr>
      </w:pPr>
      <w:r>
        <w:rPr>
          <w:rFonts w:ascii="Century Gothic" w:hAnsi="Century Gothic" w:cs="Arial"/>
          <w:bCs/>
        </w:rPr>
        <w:t xml:space="preserve">Como podemos observar, no se ha sistematizado o siquiera establecido </w:t>
      </w:r>
      <w:r w:rsidR="00E1361A">
        <w:rPr>
          <w:rFonts w:ascii="Century Gothic" w:hAnsi="Century Gothic" w:cs="Arial"/>
          <w:bCs/>
        </w:rPr>
        <w:t>algún análisis</w:t>
      </w:r>
      <w:r>
        <w:rPr>
          <w:rFonts w:ascii="Century Gothic" w:hAnsi="Century Gothic" w:cs="Arial"/>
          <w:bCs/>
        </w:rPr>
        <w:t xml:space="preserve"> que nos permita conocer la magnitud del problema, por ende, no tenemos datos de si </w:t>
      </w:r>
      <w:r w:rsidR="0032260F">
        <w:rPr>
          <w:rFonts w:ascii="Century Gothic" w:hAnsi="Century Gothic" w:cs="Arial"/>
          <w:bCs/>
        </w:rPr>
        <w:t>existe</w:t>
      </w:r>
      <w:r w:rsidRPr="00141A70">
        <w:rPr>
          <w:rFonts w:ascii="Century Gothic" w:hAnsi="Century Gothic" w:cs="Arial"/>
          <w:bCs/>
        </w:rPr>
        <w:t xml:space="preserve"> una alta incidencia delictiva</w:t>
      </w:r>
      <w:r w:rsidR="00E1361A" w:rsidRPr="00141A70">
        <w:rPr>
          <w:rFonts w:ascii="Century Gothic" w:hAnsi="Century Gothic" w:cs="Arial"/>
          <w:bCs/>
        </w:rPr>
        <w:t>, de modo tal que nos permita sobre</w:t>
      </w:r>
      <w:r w:rsidR="00E1361A" w:rsidRPr="00141A70">
        <w:rPr>
          <w:rFonts w:ascii="Century Gothic" w:hAnsi="Century Gothic" w:cs="Arial"/>
          <w:bCs/>
          <w:lang w:val="es-MX"/>
        </w:rPr>
        <w:t>pasar aquel umbral trazado por el trio de parametrización traduciéndose</w:t>
      </w:r>
      <w:r w:rsidR="00E1361A" w:rsidRPr="00DF576C">
        <w:rPr>
          <w:rFonts w:ascii="Century Gothic" w:hAnsi="Century Gothic" w:cs="Arial"/>
          <w:bCs/>
          <w:lang w:val="es-MX"/>
        </w:rPr>
        <w:t xml:space="preserve"> en una pena mayor</w:t>
      </w:r>
      <w:r w:rsidR="00E1361A" w:rsidRPr="00141A70">
        <w:rPr>
          <w:rFonts w:ascii="Century Gothic" w:hAnsi="Century Gothic" w:cs="Arial"/>
          <w:bCs/>
          <w:vertAlign w:val="superscript"/>
          <w:lang w:val="es-MX"/>
        </w:rPr>
        <w:footnoteReference w:id="27"/>
      </w:r>
      <w:r w:rsidR="00E1361A" w:rsidRPr="00DF576C">
        <w:rPr>
          <w:rFonts w:ascii="Century Gothic" w:hAnsi="Century Gothic" w:cs="Arial"/>
          <w:bCs/>
          <w:lang w:val="es-MX"/>
        </w:rPr>
        <w:t>.</w:t>
      </w:r>
    </w:p>
    <w:p w14:paraId="7A899EA4" w14:textId="0C97EAA6" w:rsidR="00E1361A" w:rsidRDefault="00E1361A" w:rsidP="00163B54">
      <w:pPr>
        <w:spacing w:line="360" w:lineRule="auto"/>
        <w:ind w:right="335"/>
        <w:jc w:val="both"/>
        <w:rPr>
          <w:rFonts w:ascii="Century Gothic" w:hAnsi="Century Gothic" w:cs="Arial"/>
          <w:bCs/>
          <w:lang w:val="es-MX"/>
        </w:rPr>
      </w:pPr>
    </w:p>
    <w:p w14:paraId="3B119987" w14:textId="4316663D" w:rsidR="00E1361A" w:rsidRDefault="00E1361A" w:rsidP="00163B54">
      <w:pPr>
        <w:spacing w:line="360" w:lineRule="auto"/>
        <w:ind w:right="335"/>
        <w:jc w:val="both"/>
        <w:rPr>
          <w:rFonts w:ascii="Century Gothic" w:hAnsi="Century Gothic" w:cs="Arial"/>
          <w:bCs/>
        </w:rPr>
      </w:pPr>
      <w:r>
        <w:rPr>
          <w:rFonts w:ascii="Century Gothic" w:hAnsi="Century Gothic" w:cs="Arial"/>
          <w:bCs/>
        </w:rPr>
        <w:t xml:space="preserve">Sin embargo, debemos visibilizar la modalidad conductual y </w:t>
      </w:r>
      <w:r w:rsidR="00F80D64">
        <w:rPr>
          <w:rFonts w:ascii="Century Gothic" w:hAnsi="Century Gothic" w:cs="Arial"/>
          <w:bCs/>
        </w:rPr>
        <w:t>a</w:t>
      </w:r>
      <w:r>
        <w:rPr>
          <w:rFonts w:ascii="Century Gothic" w:hAnsi="Century Gothic" w:cs="Arial"/>
          <w:bCs/>
        </w:rPr>
        <w:t>gravarla a la luz de aquellos parámetros de proporcionalidad para seguir realizando acciones tendientes a tutelar la libertad y seguridad sexual</w:t>
      </w:r>
      <w:r w:rsidR="00F80D64">
        <w:rPr>
          <w:rFonts w:ascii="Century Gothic" w:hAnsi="Century Gothic" w:cs="Arial"/>
          <w:bCs/>
        </w:rPr>
        <w:t>,</w:t>
      </w:r>
      <w:r>
        <w:rPr>
          <w:rFonts w:ascii="Century Gothic" w:hAnsi="Century Gothic" w:cs="Arial"/>
          <w:bCs/>
        </w:rPr>
        <w:t xml:space="preserve"> y con ello, continuemos coadyuvando para llegar a garantizar una vida libre de violencia a las mujeres. </w:t>
      </w:r>
    </w:p>
    <w:p w14:paraId="4D5D07F4" w14:textId="0506F4A9" w:rsidR="00F80D64" w:rsidRDefault="00F80D64" w:rsidP="00163B54">
      <w:pPr>
        <w:spacing w:line="360" w:lineRule="auto"/>
        <w:ind w:right="335"/>
        <w:jc w:val="both"/>
        <w:rPr>
          <w:rFonts w:ascii="Century Gothic" w:hAnsi="Century Gothic" w:cs="Arial"/>
          <w:bCs/>
        </w:rPr>
      </w:pPr>
    </w:p>
    <w:p w14:paraId="76E4A2C6" w14:textId="4173CEB4" w:rsidR="00F80D64" w:rsidRDefault="00F80D64" w:rsidP="00163B54">
      <w:pPr>
        <w:spacing w:line="360" w:lineRule="auto"/>
        <w:ind w:right="335"/>
        <w:jc w:val="both"/>
        <w:rPr>
          <w:rFonts w:ascii="Century Gothic" w:hAnsi="Century Gothic" w:cs="Arial"/>
          <w:bCs/>
          <w:lang w:val="es-MX"/>
        </w:rPr>
      </w:pPr>
      <w:r>
        <w:rPr>
          <w:rFonts w:ascii="Century Gothic" w:hAnsi="Century Gothic" w:cs="Arial"/>
          <w:bCs/>
        </w:rPr>
        <w:t xml:space="preserve">De ahí que se proponga establecer en la agravante de la violación equiparada y del abuso sexual, una pena agravada distinta, cuando </w:t>
      </w:r>
      <w:r w:rsidRPr="00F80D64">
        <w:rPr>
          <w:rFonts w:ascii="Century Gothic" w:hAnsi="Century Gothic" w:cs="Arial"/>
          <w:bCs/>
          <w:lang w:val="es-MX"/>
        </w:rPr>
        <w:t>el delito fuere cometido previa suministración de estupefacientes o psicotrópicos a la víctima, en contra de su voluntad o sin su conocimiento</w:t>
      </w:r>
      <w:r>
        <w:rPr>
          <w:rFonts w:ascii="Century Gothic" w:hAnsi="Century Gothic" w:cs="Arial"/>
          <w:bCs/>
          <w:lang w:val="es-MX"/>
        </w:rPr>
        <w:t xml:space="preserve">; esto es, si el delito se </w:t>
      </w:r>
      <w:r>
        <w:rPr>
          <w:rFonts w:ascii="Century Gothic" w:hAnsi="Century Gothic" w:cs="Arial"/>
          <w:bCs/>
          <w:lang w:val="es-MX"/>
        </w:rPr>
        <w:lastRenderedPageBreak/>
        <w:t xml:space="preserve">realiza con violencia, ya sea física o moral, la pena se seguirá aumentando en una mitad, pero si se ejerce con violencia física, bajo la modalidad de suministración de algún agente químico o biológico, con la intención de colocar a la víctima en una situación que no pueda resistir la agresión sexual, la pena se aumentará en dos terceras partes. </w:t>
      </w:r>
    </w:p>
    <w:p w14:paraId="12CDAB1B" w14:textId="7729EADF" w:rsidR="00F80D64" w:rsidRDefault="00F80D64" w:rsidP="00163B54">
      <w:pPr>
        <w:spacing w:line="360" w:lineRule="auto"/>
        <w:ind w:right="335"/>
        <w:jc w:val="both"/>
        <w:rPr>
          <w:rFonts w:ascii="Century Gothic" w:hAnsi="Century Gothic" w:cs="Arial"/>
          <w:bCs/>
          <w:lang w:val="es-MX"/>
        </w:rPr>
      </w:pPr>
    </w:p>
    <w:p w14:paraId="668A8608" w14:textId="4F96C2B7" w:rsidR="009705BC" w:rsidRDefault="009705BC" w:rsidP="00163B54">
      <w:pPr>
        <w:spacing w:line="360" w:lineRule="auto"/>
        <w:ind w:right="335"/>
        <w:jc w:val="both"/>
        <w:rPr>
          <w:rFonts w:ascii="Century Gothic" w:hAnsi="Century Gothic" w:cs="Arial"/>
          <w:bCs/>
          <w:lang w:val="es-MX"/>
        </w:rPr>
      </w:pPr>
      <w:r>
        <w:rPr>
          <w:rFonts w:ascii="Century Gothic" w:hAnsi="Century Gothic" w:cs="Arial"/>
          <w:bCs/>
          <w:lang w:val="es-MX"/>
        </w:rPr>
        <w:t xml:space="preserve">Con esta reforma, la pena guardaría la siguiente proporcionalidad expuesta en la </w:t>
      </w:r>
      <w:r w:rsidR="007D676D">
        <w:rPr>
          <w:rFonts w:ascii="Century Gothic" w:hAnsi="Century Gothic" w:cs="Arial"/>
          <w:bCs/>
          <w:lang w:val="es-MX"/>
        </w:rPr>
        <w:t>gráfica</w:t>
      </w:r>
      <w:r>
        <w:rPr>
          <w:rFonts w:ascii="Century Gothic" w:hAnsi="Century Gothic" w:cs="Arial"/>
          <w:bCs/>
          <w:lang w:val="es-MX"/>
        </w:rPr>
        <w:t xml:space="preserve"> subsecuente:</w:t>
      </w:r>
    </w:p>
    <w:p w14:paraId="4B37EF75" w14:textId="77777777" w:rsidR="009705BC" w:rsidRDefault="009705BC" w:rsidP="00163B54">
      <w:pPr>
        <w:spacing w:line="360" w:lineRule="auto"/>
        <w:ind w:right="335"/>
        <w:jc w:val="both"/>
        <w:rPr>
          <w:rFonts w:ascii="Century Gothic" w:hAnsi="Century Gothic" w:cs="Arial"/>
          <w:bCs/>
          <w:lang w:val="es-MX"/>
        </w:rPr>
      </w:pPr>
    </w:p>
    <w:p w14:paraId="1E245278" w14:textId="3CE9B3C0" w:rsidR="00F80D64" w:rsidRDefault="009705BC" w:rsidP="00163B54">
      <w:pPr>
        <w:spacing w:line="360" w:lineRule="auto"/>
        <w:ind w:right="335"/>
        <w:jc w:val="both"/>
        <w:rPr>
          <w:rFonts w:ascii="Century Gothic" w:hAnsi="Century Gothic" w:cs="Arial"/>
          <w:bCs/>
          <w:lang w:val="es-MX"/>
        </w:rPr>
      </w:pPr>
      <w:r>
        <w:rPr>
          <w:rFonts w:ascii="Century Gothic" w:hAnsi="Century Gothic" w:cs="Arial"/>
          <w:bCs/>
          <w:noProof/>
          <w:lang w:val="es-MX" w:eastAsia="es-MX"/>
        </w:rPr>
        <w:drawing>
          <wp:inline distT="0" distB="0" distL="0" distR="0" wp14:anchorId="6CA1B3B3" wp14:editId="24F089A4">
            <wp:extent cx="5486400" cy="3200400"/>
            <wp:effectExtent l="0" t="0" r="0" b="0"/>
            <wp:docPr id="4"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Pr>
          <w:rFonts w:ascii="Century Gothic" w:hAnsi="Century Gothic" w:cs="Arial"/>
          <w:bCs/>
          <w:lang w:val="es-MX"/>
        </w:rPr>
        <w:t xml:space="preserve"> </w:t>
      </w:r>
    </w:p>
    <w:p w14:paraId="2BECFCD5" w14:textId="77777777" w:rsidR="00F80D64" w:rsidRDefault="00F80D64" w:rsidP="00163B54">
      <w:pPr>
        <w:spacing w:line="360" w:lineRule="auto"/>
        <w:ind w:right="335"/>
        <w:jc w:val="both"/>
        <w:rPr>
          <w:rFonts w:ascii="Century Gothic" w:hAnsi="Century Gothic" w:cs="Arial"/>
          <w:bCs/>
        </w:rPr>
      </w:pPr>
    </w:p>
    <w:p w14:paraId="5C95C348" w14:textId="787192AB" w:rsidR="00391766" w:rsidRPr="00391766" w:rsidRDefault="00141A70" w:rsidP="00163B54">
      <w:pPr>
        <w:spacing w:line="360" w:lineRule="auto"/>
        <w:ind w:right="335"/>
        <w:jc w:val="both"/>
        <w:rPr>
          <w:rFonts w:ascii="Century Gothic" w:hAnsi="Century Gothic" w:cs="Arial"/>
          <w:bCs/>
        </w:rPr>
      </w:pPr>
      <w:r>
        <w:rPr>
          <w:rFonts w:ascii="Century Gothic" w:hAnsi="Century Gothic" w:cs="Arial"/>
          <w:bCs/>
          <w:lang w:val="es-MX"/>
        </w:rPr>
        <w:t>C</w:t>
      </w:r>
      <w:r w:rsidR="005A2C32">
        <w:rPr>
          <w:rFonts w:ascii="Century Gothic" w:hAnsi="Century Gothic" w:cs="Arial"/>
          <w:bCs/>
          <w:lang w:val="es-MX"/>
        </w:rPr>
        <w:t>onsideramos que</w:t>
      </w:r>
      <w:r>
        <w:rPr>
          <w:rFonts w:ascii="Century Gothic" w:hAnsi="Century Gothic" w:cs="Arial"/>
          <w:bCs/>
          <w:lang w:val="es-MX"/>
        </w:rPr>
        <w:t xml:space="preserve"> esta sanción</w:t>
      </w:r>
      <w:r w:rsidR="005A2C32">
        <w:rPr>
          <w:rFonts w:ascii="Century Gothic" w:hAnsi="Century Gothic" w:cs="Arial"/>
          <w:bCs/>
          <w:lang w:val="es-MX"/>
        </w:rPr>
        <w:t xml:space="preserve"> guarda proporcionalidad y razonabilidad, aunado, </w:t>
      </w:r>
      <w:r w:rsidR="004C4633">
        <w:rPr>
          <w:rFonts w:ascii="Century Gothic" w:hAnsi="Century Gothic" w:cs="Arial"/>
          <w:bCs/>
          <w:lang w:val="es-MX"/>
        </w:rPr>
        <w:t>este diseño instrumental</w:t>
      </w:r>
      <w:r w:rsidR="006B3B0A">
        <w:rPr>
          <w:rFonts w:ascii="Century Gothic" w:hAnsi="Century Gothic" w:cs="Arial"/>
          <w:bCs/>
          <w:lang w:val="es-MX"/>
        </w:rPr>
        <w:t xml:space="preserve"> (Segregando las denuncias por esta </w:t>
      </w:r>
      <w:r w:rsidR="006B3B0A">
        <w:rPr>
          <w:rFonts w:ascii="Century Gothic" w:hAnsi="Century Gothic" w:cs="Arial"/>
          <w:bCs/>
          <w:lang w:val="es-MX"/>
        </w:rPr>
        <w:lastRenderedPageBreak/>
        <w:t>modalidad y visibilizando el problema)</w:t>
      </w:r>
      <w:r w:rsidR="004C4633">
        <w:rPr>
          <w:rFonts w:ascii="Century Gothic" w:hAnsi="Century Gothic" w:cs="Arial"/>
          <w:bCs/>
          <w:lang w:val="es-MX"/>
        </w:rPr>
        <w:t xml:space="preserve"> nos permitirá recolectar información </w:t>
      </w:r>
      <w:r w:rsidR="006B3B0A">
        <w:rPr>
          <w:rFonts w:ascii="Century Gothic" w:hAnsi="Century Gothic" w:cs="Arial"/>
          <w:bCs/>
        </w:rPr>
        <w:t>para</w:t>
      </w:r>
      <w:r w:rsidR="004C4633">
        <w:rPr>
          <w:rFonts w:ascii="Century Gothic" w:hAnsi="Century Gothic" w:cs="Arial"/>
          <w:bCs/>
        </w:rPr>
        <w:t xml:space="preserve"> </w:t>
      </w:r>
      <w:r w:rsidR="005A2C32" w:rsidRPr="005A2C32">
        <w:rPr>
          <w:rFonts w:ascii="Century Gothic" w:hAnsi="Century Gothic" w:cs="Arial"/>
          <w:bCs/>
        </w:rPr>
        <w:t xml:space="preserve">analizar la relación entre la violencia sexual y el consumo de alcohol y otras drogas, </w:t>
      </w:r>
      <w:r w:rsidR="004C4633">
        <w:rPr>
          <w:rFonts w:ascii="Century Gothic" w:hAnsi="Century Gothic" w:cs="Arial"/>
          <w:bCs/>
        </w:rPr>
        <w:t xml:space="preserve">y de esta forma podamos estar en aptitud de realizar acciones </w:t>
      </w:r>
      <w:r w:rsidR="005A2C32" w:rsidRPr="005A2C32">
        <w:rPr>
          <w:rFonts w:ascii="Century Gothic" w:hAnsi="Century Gothic" w:cs="Arial"/>
          <w:bCs/>
        </w:rPr>
        <w:t xml:space="preserve">de </w:t>
      </w:r>
      <w:r w:rsidR="005A2C32" w:rsidRPr="004C4633">
        <w:rPr>
          <w:rFonts w:ascii="Century Gothic" w:hAnsi="Century Gothic" w:cs="Arial"/>
          <w:bCs/>
          <w:i/>
          <w:iCs/>
        </w:rPr>
        <w:t>prevención, atención y sanción efectivas, estratégicas y de coordinación interinstitucional por parte de los sectores involucrados</w:t>
      </w:r>
      <w:r w:rsidR="005A2C32" w:rsidRPr="005A2C32">
        <w:rPr>
          <w:rFonts w:ascii="Century Gothic" w:hAnsi="Century Gothic" w:cs="Arial"/>
          <w:bCs/>
        </w:rPr>
        <w:t>.</w:t>
      </w:r>
      <w:r w:rsidR="004C4633">
        <w:rPr>
          <w:rStyle w:val="Refdenotaalpie"/>
          <w:rFonts w:ascii="Century Gothic" w:hAnsi="Century Gothic" w:cs="Arial"/>
          <w:bCs/>
        </w:rPr>
        <w:footnoteReference w:id="28"/>
      </w:r>
    </w:p>
    <w:p w14:paraId="37E4C0D5" w14:textId="5DC6818C" w:rsidR="006B3B0A" w:rsidRDefault="006B3B0A" w:rsidP="00163B54">
      <w:pPr>
        <w:spacing w:line="360" w:lineRule="auto"/>
        <w:ind w:right="335"/>
        <w:jc w:val="both"/>
        <w:rPr>
          <w:rFonts w:ascii="Century Gothic" w:hAnsi="Century Gothic" w:cs="Arial"/>
          <w:bCs/>
          <w:lang w:val="es-MX"/>
        </w:rPr>
      </w:pPr>
    </w:p>
    <w:p w14:paraId="2364AD5B" w14:textId="221E11D4" w:rsidR="006B3B0A" w:rsidRDefault="006B3B0A" w:rsidP="00163B54">
      <w:pPr>
        <w:spacing w:line="360" w:lineRule="auto"/>
        <w:ind w:right="335"/>
        <w:jc w:val="both"/>
        <w:rPr>
          <w:rFonts w:ascii="Century Gothic" w:hAnsi="Century Gothic" w:cs="Arial"/>
          <w:bCs/>
          <w:lang w:val="es-MX"/>
        </w:rPr>
      </w:pPr>
      <w:r>
        <w:rPr>
          <w:rFonts w:ascii="Century Gothic" w:hAnsi="Century Gothic" w:cs="Arial"/>
          <w:bCs/>
          <w:lang w:val="es-MX"/>
        </w:rPr>
        <w:t xml:space="preserve">No pasa por desapercibido que la mayor parte del análisis giró en torno a la violación, sin embargo, lo mismo acontece con el abuso sexual, de ahí que en ciertas ocasiones nos hemos manifestado por igual a este tipo de agresiones que lesionan la libertad y seguridad sexual. </w:t>
      </w:r>
    </w:p>
    <w:p w14:paraId="01502870" w14:textId="77777777" w:rsidR="00673499" w:rsidRDefault="00673499" w:rsidP="00163B54">
      <w:pPr>
        <w:spacing w:line="360" w:lineRule="auto"/>
        <w:ind w:right="335"/>
        <w:jc w:val="both"/>
        <w:rPr>
          <w:rFonts w:ascii="Century Gothic" w:hAnsi="Century Gothic" w:cs="Arial"/>
        </w:rPr>
      </w:pPr>
    </w:p>
    <w:p w14:paraId="5ABF3E16" w14:textId="228D9006" w:rsidR="0014239A" w:rsidRPr="0014239A" w:rsidRDefault="006B3B0A" w:rsidP="00316196">
      <w:pPr>
        <w:pStyle w:val="Textoindependiente"/>
        <w:spacing w:line="360" w:lineRule="auto"/>
        <w:rPr>
          <w:rFonts w:ascii="Century Gothic" w:hAnsi="Century Gothic" w:cs="Arial"/>
          <w:bCs/>
        </w:rPr>
      </w:pPr>
      <w:r>
        <w:rPr>
          <w:rFonts w:ascii="Century Gothic" w:hAnsi="Century Gothic" w:cs="Arial"/>
          <w:bCs/>
        </w:rPr>
        <w:t>Es por ello que, e</w:t>
      </w:r>
      <w:r w:rsidR="00316196">
        <w:rPr>
          <w:rFonts w:ascii="Century Gothic" w:hAnsi="Century Gothic" w:cs="Arial"/>
          <w:bCs/>
        </w:rPr>
        <w:t xml:space="preserve">n base a todo lo expuesto, </w:t>
      </w:r>
      <w:r w:rsidR="0014239A" w:rsidRPr="0014239A">
        <w:rPr>
          <w:rFonts w:ascii="Century Gothic" w:hAnsi="Century Gothic" w:cs="Arial"/>
          <w:bCs/>
        </w:rPr>
        <w:t>la Comisión de Justicia, somete a la consideración del Pleno el siguiente proyecto de:</w:t>
      </w:r>
    </w:p>
    <w:p w14:paraId="75BDAE60" w14:textId="77777777" w:rsidR="0014239A" w:rsidRDefault="0014239A" w:rsidP="0014239A">
      <w:pPr>
        <w:pStyle w:val="Normal1"/>
        <w:tabs>
          <w:tab w:val="left" w:pos="993"/>
        </w:tabs>
        <w:spacing w:line="360" w:lineRule="auto"/>
        <w:jc w:val="center"/>
        <w:rPr>
          <w:rFonts w:ascii="Century Gothic" w:eastAsia="Arial" w:hAnsi="Century Gothic" w:cs="Arial"/>
          <w:b/>
        </w:rPr>
      </w:pPr>
    </w:p>
    <w:p w14:paraId="08D797A8" w14:textId="0BE6FAB6" w:rsidR="0014239A" w:rsidRPr="004162A0" w:rsidRDefault="00B141D5" w:rsidP="0014239A">
      <w:pPr>
        <w:pStyle w:val="Normal1"/>
        <w:tabs>
          <w:tab w:val="left" w:pos="993"/>
        </w:tabs>
        <w:spacing w:line="360" w:lineRule="auto"/>
        <w:jc w:val="center"/>
        <w:rPr>
          <w:rFonts w:ascii="Century Gothic" w:eastAsia="Arial" w:hAnsi="Century Gothic" w:cs="Arial"/>
          <w:b/>
          <w:sz w:val="28"/>
        </w:rPr>
      </w:pPr>
      <w:r>
        <w:rPr>
          <w:rFonts w:ascii="Century Gothic" w:eastAsia="Arial" w:hAnsi="Century Gothic" w:cs="Arial"/>
          <w:b/>
          <w:sz w:val="28"/>
        </w:rPr>
        <w:t xml:space="preserve">D E C R E T O </w:t>
      </w:r>
    </w:p>
    <w:p w14:paraId="51E1C865" w14:textId="77777777" w:rsidR="0014239A" w:rsidRPr="00433518" w:rsidRDefault="0014239A" w:rsidP="0014239A">
      <w:pPr>
        <w:pStyle w:val="Normal1"/>
        <w:tabs>
          <w:tab w:val="left" w:pos="993"/>
        </w:tabs>
        <w:spacing w:line="360" w:lineRule="auto"/>
        <w:jc w:val="center"/>
        <w:rPr>
          <w:rFonts w:ascii="Century Gothic" w:eastAsia="Arial" w:hAnsi="Century Gothic" w:cs="Arial"/>
          <w:b/>
        </w:rPr>
      </w:pPr>
    </w:p>
    <w:p w14:paraId="0FDB9823" w14:textId="6CEA0F78" w:rsidR="00B141D5" w:rsidRDefault="00FB6502" w:rsidP="00477C16">
      <w:pPr>
        <w:spacing w:line="360" w:lineRule="auto"/>
        <w:jc w:val="both"/>
        <w:rPr>
          <w:rFonts w:ascii="Century Gothic" w:hAnsi="Century Gothic" w:cs="Arial"/>
        </w:rPr>
      </w:pPr>
      <w:r>
        <w:rPr>
          <w:rFonts w:ascii="Century Gothic" w:hAnsi="Century Gothic" w:cs="Arial"/>
          <w:b/>
          <w:sz w:val="28"/>
          <w:szCs w:val="28"/>
        </w:rPr>
        <w:t>ÚNICO</w:t>
      </w:r>
      <w:r w:rsidR="0014239A" w:rsidRPr="00934A9E">
        <w:rPr>
          <w:rFonts w:ascii="Century Gothic" w:hAnsi="Century Gothic" w:cs="Arial"/>
          <w:b/>
          <w:sz w:val="28"/>
          <w:szCs w:val="28"/>
        </w:rPr>
        <w:t>.-</w:t>
      </w:r>
      <w:r w:rsidR="0014239A" w:rsidRPr="006618E1">
        <w:rPr>
          <w:rFonts w:ascii="Century Gothic" w:hAnsi="Century Gothic" w:cs="Arial"/>
        </w:rPr>
        <w:t xml:space="preserve"> </w:t>
      </w:r>
      <w:r w:rsidR="009515A0">
        <w:rPr>
          <w:rFonts w:ascii="Century Gothic" w:hAnsi="Century Gothic" w:cs="Arial"/>
        </w:rPr>
        <w:t xml:space="preserve"> </w:t>
      </w:r>
      <w:r w:rsidR="00B141D5">
        <w:rPr>
          <w:rFonts w:ascii="Century Gothic" w:hAnsi="Century Gothic" w:cs="Arial"/>
        </w:rPr>
        <w:t xml:space="preserve">Se </w:t>
      </w:r>
      <w:r w:rsidR="00AF74C6">
        <w:rPr>
          <w:rFonts w:ascii="Century Gothic" w:hAnsi="Century Gothic" w:cs="Arial"/>
        </w:rPr>
        <w:t>reforman los artículos 172, segundo párrafo y 17</w:t>
      </w:r>
      <w:r w:rsidR="00426195">
        <w:rPr>
          <w:rFonts w:ascii="Century Gothic" w:hAnsi="Century Gothic" w:cs="Arial"/>
        </w:rPr>
        <w:t>4</w:t>
      </w:r>
      <w:r w:rsidR="00AF74C6">
        <w:rPr>
          <w:rFonts w:ascii="Century Gothic" w:hAnsi="Century Gothic" w:cs="Arial"/>
        </w:rPr>
        <w:t>, segundo párrafo</w:t>
      </w:r>
      <w:r w:rsidR="004E3E97">
        <w:rPr>
          <w:rFonts w:ascii="Century Gothic" w:hAnsi="Century Gothic" w:cs="Arial"/>
        </w:rPr>
        <w:t>, todos del Código Penal del Estado de Chihuahua, para quedar redactados de la siguiente forma:</w:t>
      </w:r>
    </w:p>
    <w:p w14:paraId="4046558A" w14:textId="2123A049" w:rsidR="00B141D5" w:rsidRDefault="00B141D5" w:rsidP="00477C16">
      <w:pPr>
        <w:spacing w:line="360" w:lineRule="auto"/>
        <w:jc w:val="both"/>
        <w:rPr>
          <w:rFonts w:ascii="Century Gothic" w:hAnsi="Century Gothic" w:cs="Arial"/>
        </w:rPr>
      </w:pPr>
    </w:p>
    <w:p w14:paraId="6EC8E436" w14:textId="0F4FF955" w:rsidR="007428DB" w:rsidRDefault="00AF74C6" w:rsidP="00477C16">
      <w:pPr>
        <w:spacing w:line="360" w:lineRule="auto"/>
        <w:jc w:val="both"/>
        <w:rPr>
          <w:rFonts w:ascii="Century Gothic" w:hAnsi="Century Gothic" w:cs="Arial"/>
          <w:b/>
          <w:bCs/>
        </w:rPr>
      </w:pPr>
      <w:r w:rsidRPr="00AF74C6">
        <w:rPr>
          <w:rFonts w:ascii="Century Gothic" w:hAnsi="Century Gothic" w:cs="Arial"/>
          <w:b/>
          <w:bCs/>
        </w:rPr>
        <w:t>Artículo 172.</w:t>
      </w:r>
    </w:p>
    <w:p w14:paraId="0A1CEB5A" w14:textId="77777777" w:rsidR="00AF74C6" w:rsidRPr="00AF74C6" w:rsidRDefault="00AF74C6" w:rsidP="00477C16">
      <w:pPr>
        <w:spacing w:line="360" w:lineRule="auto"/>
        <w:jc w:val="both"/>
        <w:rPr>
          <w:rFonts w:ascii="Century Gothic" w:hAnsi="Century Gothic" w:cs="Arial"/>
          <w:b/>
          <w:bCs/>
        </w:rPr>
      </w:pPr>
    </w:p>
    <w:p w14:paraId="4ECA5ECB" w14:textId="127D9B63" w:rsidR="00AF74C6" w:rsidRDefault="00AF74C6" w:rsidP="00477C16">
      <w:pPr>
        <w:spacing w:line="360" w:lineRule="auto"/>
        <w:jc w:val="both"/>
        <w:rPr>
          <w:rFonts w:ascii="Century Gothic" w:hAnsi="Century Gothic" w:cs="Arial"/>
        </w:rPr>
      </w:pPr>
      <w:r>
        <w:rPr>
          <w:rFonts w:ascii="Century Gothic" w:hAnsi="Century Gothic" w:cs="Arial"/>
        </w:rPr>
        <w:lastRenderedPageBreak/>
        <w:t>…</w:t>
      </w:r>
    </w:p>
    <w:p w14:paraId="77BEE793" w14:textId="77777777" w:rsidR="00AF74C6" w:rsidRDefault="00AF74C6" w:rsidP="00477C16">
      <w:pPr>
        <w:spacing w:line="360" w:lineRule="auto"/>
        <w:jc w:val="both"/>
        <w:rPr>
          <w:rFonts w:ascii="Century Gothic" w:hAnsi="Century Gothic" w:cs="Arial"/>
        </w:rPr>
      </w:pPr>
    </w:p>
    <w:p w14:paraId="528B8843" w14:textId="2B2CF7F8" w:rsidR="007428DB" w:rsidRPr="007428DB" w:rsidRDefault="007428DB" w:rsidP="007428DB">
      <w:pPr>
        <w:spacing w:line="360" w:lineRule="auto"/>
        <w:jc w:val="both"/>
        <w:rPr>
          <w:rFonts w:ascii="Century Gothic" w:hAnsi="Century Gothic" w:cs="Arial"/>
          <w:lang w:val="es-MX"/>
        </w:rPr>
      </w:pPr>
      <w:r w:rsidRPr="007428DB">
        <w:rPr>
          <w:rFonts w:ascii="Century Gothic" w:hAnsi="Century Gothic" w:cs="Arial"/>
          <w:lang w:val="es-MX"/>
        </w:rPr>
        <w:t>Si se ejerciera violencia física o moral, la pena prevista se aumentará en una mitad</w:t>
      </w:r>
      <w:r w:rsidR="0068314B">
        <w:rPr>
          <w:rFonts w:ascii="Century Gothic" w:hAnsi="Century Gothic" w:cs="Arial"/>
          <w:lang w:val="es-MX"/>
        </w:rPr>
        <w:t>.</w:t>
      </w:r>
      <w:r w:rsidR="0068314B">
        <w:rPr>
          <w:rFonts w:ascii="Century Gothic" w:hAnsi="Century Gothic" w:cs="Arial"/>
          <w:b/>
          <w:bCs/>
          <w:lang w:val="es-MX"/>
        </w:rPr>
        <w:t xml:space="preserve"> S</w:t>
      </w:r>
      <w:r w:rsidRPr="00AF74C6">
        <w:rPr>
          <w:rFonts w:ascii="Century Gothic" w:hAnsi="Century Gothic" w:cs="Arial"/>
          <w:b/>
          <w:bCs/>
          <w:lang w:val="es-MX"/>
        </w:rPr>
        <w:t>i el delito fuere cometido previa suministración de</w:t>
      </w:r>
      <w:r w:rsidR="00391766">
        <w:rPr>
          <w:rFonts w:ascii="Century Gothic" w:hAnsi="Century Gothic" w:cs="Arial"/>
          <w:b/>
          <w:bCs/>
          <w:lang w:val="es-MX"/>
        </w:rPr>
        <w:t xml:space="preserve"> algún estupefaciente</w:t>
      </w:r>
      <w:r w:rsidRPr="00AF74C6">
        <w:rPr>
          <w:rFonts w:ascii="Century Gothic" w:hAnsi="Century Gothic" w:cs="Arial"/>
          <w:b/>
          <w:bCs/>
          <w:lang w:val="es-MX"/>
        </w:rPr>
        <w:t xml:space="preserve"> o </w:t>
      </w:r>
      <w:r w:rsidR="001125B9">
        <w:rPr>
          <w:rFonts w:ascii="Century Gothic" w:hAnsi="Century Gothic" w:cs="Arial"/>
          <w:b/>
          <w:bCs/>
          <w:lang w:val="es-MX"/>
        </w:rPr>
        <w:t>psicotrópico</w:t>
      </w:r>
      <w:r w:rsidRPr="00AF74C6">
        <w:rPr>
          <w:rFonts w:ascii="Century Gothic" w:hAnsi="Century Gothic" w:cs="Arial"/>
          <w:b/>
          <w:bCs/>
          <w:lang w:val="es-MX"/>
        </w:rPr>
        <w:t xml:space="preserve"> a la víctima, en contra de su voluntad o sin su conocimiento, la pena se aumentará en dos terceras partes</w:t>
      </w:r>
      <w:r w:rsidRPr="007428DB">
        <w:rPr>
          <w:rFonts w:ascii="Century Gothic" w:hAnsi="Century Gothic" w:cs="Arial"/>
          <w:lang w:val="es-MX"/>
        </w:rPr>
        <w:t xml:space="preserve">.  </w:t>
      </w:r>
    </w:p>
    <w:p w14:paraId="7AB09012" w14:textId="6293FEC5" w:rsidR="007428DB" w:rsidRDefault="007428DB" w:rsidP="00477C16">
      <w:pPr>
        <w:spacing w:line="360" w:lineRule="auto"/>
        <w:jc w:val="both"/>
        <w:rPr>
          <w:rFonts w:ascii="Century Gothic" w:hAnsi="Century Gothic" w:cs="Arial"/>
        </w:rPr>
      </w:pPr>
    </w:p>
    <w:p w14:paraId="4DA2227E" w14:textId="77777777" w:rsidR="00426195" w:rsidRPr="00AF74C6" w:rsidRDefault="00426195" w:rsidP="00426195">
      <w:pPr>
        <w:spacing w:line="360" w:lineRule="auto"/>
        <w:jc w:val="both"/>
        <w:rPr>
          <w:rFonts w:ascii="Century Gothic" w:hAnsi="Century Gothic" w:cs="Arial"/>
          <w:b/>
          <w:bCs/>
        </w:rPr>
      </w:pPr>
      <w:r w:rsidRPr="00AF74C6">
        <w:rPr>
          <w:rFonts w:ascii="Century Gothic" w:hAnsi="Century Gothic" w:cs="Arial"/>
          <w:b/>
          <w:bCs/>
        </w:rPr>
        <w:t>Artículo 17</w:t>
      </w:r>
      <w:r>
        <w:rPr>
          <w:rFonts w:ascii="Century Gothic" w:hAnsi="Century Gothic" w:cs="Arial"/>
          <w:b/>
          <w:bCs/>
        </w:rPr>
        <w:t>4</w:t>
      </w:r>
      <w:r w:rsidRPr="00AF74C6">
        <w:rPr>
          <w:rFonts w:ascii="Century Gothic" w:hAnsi="Century Gothic" w:cs="Arial"/>
          <w:b/>
          <w:bCs/>
        </w:rPr>
        <w:t>.</w:t>
      </w:r>
    </w:p>
    <w:p w14:paraId="60122738" w14:textId="77777777" w:rsidR="00426195" w:rsidRDefault="00426195" w:rsidP="00426195">
      <w:pPr>
        <w:spacing w:line="360" w:lineRule="auto"/>
        <w:jc w:val="both"/>
        <w:rPr>
          <w:rFonts w:ascii="Century Gothic" w:hAnsi="Century Gothic" w:cs="Arial"/>
        </w:rPr>
      </w:pPr>
    </w:p>
    <w:p w14:paraId="33777B51" w14:textId="77777777" w:rsidR="00426195" w:rsidRDefault="00426195" w:rsidP="00426195">
      <w:pPr>
        <w:spacing w:line="360" w:lineRule="auto"/>
        <w:jc w:val="both"/>
        <w:rPr>
          <w:rFonts w:ascii="Century Gothic" w:hAnsi="Century Gothic" w:cs="Arial"/>
        </w:rPr>
      </w:pPr>
      <w:r>
        <w:rPr>
          <w:rFonts w:ascii="Century Gothic" w:hAnsi="Century Gothic" w:cs="Arial"/>
        </w:rPr>
        <w:t>…</w:t>
      </w:r>
    </w:p>
    <w:p w14:paraId="09C2A274" w14:textId="77777777" w:rsidR="00426195" w:rsidRDefault="00426195" w:rsidP="00426195">
      <w:pPr>
        <w:spacing w:line="360" w:lineRule="auto"/>
        <w:jc w:val="both"/>
        <w:rPr>
          <w:rFonts w:ascii="Century Gothic" w:hAnsi="Century Gothic" w:cs="Arial"/>
          <w:lang w:val="es-MX"/>
        </w:rPr>
      </w:pPr>
    </w:p>
    <w:p w14:paraId="0ADEEF52" w14:textId="77777777" w:rsidR="00426195" w:rsidRPr="00AF74C6" w:rsidRDefault="00426195" w:rsidP="00426195">
      <w:pPr>
        <w:spacing w:line="360" w:lineRule="auto"/>
        <w:jc w:val="both"/>
        <w:rPr>
          <w:rFonts w:ascii="Century Gothic" w:hAnsi="Century Gothic" w:cs="Arial"/>
          <w:lang w:val="es-MX"/>
        </w:rPr>
      </w:pPr>
      <w:r w:rsidRPr="00DC3E6A">
        <w:rPr>
          <w:rFonts w:ascii="Century Gothic" w:hAnsi="Century Gothic" w:cs="Arial"/>
        </w:rPr>
        <w:t>Si se hiciere uso de violencia física o moral, la pena prevista se aumentará en una mitad.</w:t>
      </w:r>
      <w:r>
        <w:rPr>
          <w:rFonts w:ascii="Century Gothic" w:hAnsi="Century Gothic" w:cs="Arial"/>
          <w:b/>
          <w:bCs/>
          <w:lang w:val="es-MX"/>
        </w:rPr>
        <w:t xml:space="preserve"> </w:t>
      </w:r>
      <w:r w:rsidRPr="00391766">
        <w:rPr>
          <w:rFonts w:ascii="Century Gothic" w:hAnsi="Century Gothic" w:cs="Arial"/>
          <w:b/>
          <w:bCs/>
          <w:lang w:val="es-MX"/>
        </w:rPr>
        <w:t xml:space="preserve">Si el delito fuere cometido previa suministración de algún estupefaciente o </w:t>
      </w:r>
      <w:r>
        <w:rPr>
          <w:rFonts w:ascii="Century Gothic" w:hAnsi="Century Gothic" w:cs="Arial"/>
          <w:b/>
          <w:bCs/>
          <w:lang w:val="es-MX"/>
        </w:rPr>
        <w:t>psicotrópico</w:t>
      </w:r>
      <w:r w:rsidRPr="00391766">
        <w:rPr>
          <w:rFonts w:ascii="Century Gothic" w:hAnsi="Century Gothic" w:cs="Arial"/>
          <w:b/>
          <w:bCs/>
          <w:lang w:val="es-MX"/>
        </w:rPr>
        <w:t xml:space="preserve"> a la víctima, en contra de su voluntad o sin su conocimiento, la pena se aumentará en dos terceras partes</w:t>
      </w:r>
      <w:r w:rsidRPr="00AF74C6">
        <w:rPr>
          <w:rFonts w:ascii="Century Gothic" w:hAnsi="Century Gothic" w:cs="Arial"/>
          <w:lang w:val="es-MX"/>
        </w:rPr>
        <w:t xml:space="preserve">.  </w:t>
      </w:r>
    </w:p>
    <w:p w14:paraId="258FD297" w14:textId="77777777" w:rsidR="00426195" w:rsidRDefault="00426195" w:rsidP="00426195">
      <w:pPr>
        <w:spacing w:line="360" w:lineRule="auto"/>
        <w:jc w:val="both"/>
        <w:rPr>
          <w:rFonts w:ascii="Century Gothic" w:hAnsi="Century Gothic" w:cs="Arial"/>
        </w:rPr>
      </w:pPr>
    </w:p>
    <w:p w14:paraId="198EAE5E" w14:textId="77777777" w:rsidR="00426195" w:rsidRDefault="00426195" w:rsidP="00426195">
      <w:pPr>
        <w:spacing w:line="360" w:lineRule="auto"/>
        <w:jc w:val="center"/>
        <w:rPr>
          <w:rFonts w:ascii="Century Gothic" w:hAnsi="Century Gothic"/>
          <w:b/>
          <w:sz w:val="28"/>
          <w:szCs w:val="28"/>
        </w:rPr>
      </w:pPr>
      <w:r w:rsidRPr="00D44852">
        <w:rPr>
          <w:rFonts w:ascii="Century Gothic" w:hAnsi="Century Gothic"/>
          <w:b/>
          <w:sz w:val="28"/>
          <w:szCs w:val="28"/>
        </w:rPr>
        <w:t>T R A N S I T O R I O</w:t>
      </w:r>
    </w:p>
    <w:p w14:paraId="11C418E1" w14:textId="77777777" w:rsidR="00426195" w:rsidRPr="001F3A0F" w:rsidRDefault="00426195" w:rsidP="00426195">
      <w:pPr>
        <w:spacing w:line="360" w:lineRule="auto"/>
        <w:jc w:val="center"/>
        <w:rPr>
          <w:rFonts w:ascii="Century Gothic" w:hAnsi="Century Gothic"/>
          <w:b/>
          <w:sz w:val="16"/>
          <w:szCs w:val="16"/>
        </w:rPr>
      </w:pPr>
    </w:p>
    <w:p w14:paraId="2AFB2337" w14:textId="77777777" w:rsidR="00426195" w:rsidRPr="00D44852" w:rsidRDefault="00426195" w:rsidP="00426195">
      <w:pPr>
        <w:spacing w:line="360" w:lineRule="auto"/>
        <w:jc w:val="both"/>
        <w:rPr>
          <w:rFonts w:ascii="Century Gothic" w:hAnsi="Century Gothic"/>
          <w:bCs/>
        </w:rPr>
      </w:pPr>
      <w:r>
        <w:rPr>
          <w:rFonts w:ascii="Century Gothic" w:hAnsi="Century Gothic"/>
          <w:b/>
          <w:sz w:val="28"/>
          <w:szCs w:val="28"/>
        </w:rPr>
        <w:t xml:space="preserve">ARTÍCULO ÚNICO.- </w:t>
      </w:r>
      <w:r>
        <w:rPr>
          <w:rFonts w:ascii="Century Gothic" w:hAnsi="Century Gothic"/>
          <w:bCs/>
        </w:rPr>
        <w:t xml:space="preserve">El presente decreto entrará en vigor al día siguiente de su publicación en el Periódico Oficial del Estado. </w:t>
      </w:r>
    </w:p>
    <w:p w14:paraId="059DE37E" w14:textId="77777777" w:rsidR="00AF74C6" w:rsidRDefault="00AF74C6" w:rsidP="0014239A">
      <w:pPr>
        <w:spacing w:line="360" w:lineRule="auto"/>
        <w:jc w:val="both"/>
        <w:rPr>
          <w:rFonts w:ascii="Century Gothic" w:hAnsi="Century Gothic" w:cs="Arial"/>
        </w:rPr>
      </w:pPr>
    </w:p>
    <w:p w14:paraId="2160654D" w14:textId="77777777" w:rsidR="0014239A" w:rsidRDefault="0014239A" w:rsidP="0014239A">
      <w:pPr>
        <w:spacing w:line="360" w:lineRule="auto"/>
        <w:jc w:val="both"/>
        <w:rPr>
          <w:rFonts w:ascii="Century Gothic" w:hAnsi="Century Gothic"/>
        </w:rPr>
      </w:pPr>
      <w:r w:rsidRPr="00135B1B">
        <w:rPr>
          <w:rFonts w:ascii="Century Gothic" w:hAnsi="Century Gothic"/>
          <w:b/>
        </w:rPr>
        <w:t>Económico.-</w:t>
      </w:r>
      <w:r w:rsidRPr="006E73CB">
        <w:rPr>
          <w:rFonts w:ascii="Century Gothic" w:hAnsi="Century Gothic"/>
        </w:rPr>
        <w:t xml:space="preserve"> </w:t>
      </w:r>
      <w:r w:rsidRPr="001C66B6">
        <w:rPr>
          <w:rFonts w:ascii="Century Gothic" w:hAnsi="Century Gothic"/>
        </w:rPr>
        <w:t>Aprobado que sea, túrnese a la Secretaría para los efectos legales correspondientes.</w:t>
      </w:r>
    </w:p>
    <w:p w14:paraId="0A1AF845" w14:textId="77777777" w:rsidR="0014239A" w:rsidRPr="005C4A3E" w:rsidRDefault="0014239A" w:rsidP="0014239A">
      <w:pPr>
        <w:spacing w:line="360" w:lineRule="auto"/>
        <w:jc w:val="both"/>
        <w:rPr>
          <w:rFonts w:ascii="Century Gothic" w:hAnsi="Century Gothic" w:cs="Arial"/>
        </w:rPr>
      </w:pPr>
    </w:p>
    <w:p w14:paraId="47B31282" w14:textId="1DA36C98" w:rsidR="0014239A" w:rsidRDefault="0014239A" w:rsidP="0014239A">
      <w:pPr>
        <w:spacing w:line="360" w:lineRule="auto"/>
        <w:jc w:val="both"/>
        <w:rPr>
          <w:rFonts w:ascii="Century Gothic" w:hAnsi="Century Gothic"/>
        </w:rPr>
      </w:pPr>
      <w:r w:rsidRPr="006618E1">
        <w:rPr>
          <w:rFonts w:ascii="Century Gothic" w:hAnsi="Century Gothic"/>
          <w:b/>
        </w:rPr>
        <w:lastRenderedPageBreak/>
        <w:t xml:space="preserve">D A D O </w:t>
      </w:r>
      <w:r w:rsidRPr="006618E1">
        <w:rPr>
          <w:rFonts w:ascii="Century Gothic" w:hAnsi="Century Gothic"/>
        </w:rPr>
        <w:t xml:space="preserve">en el Salón de Sesiones del Poder Legislativo, </w:t>
      </w:r>
      <w:r>
        <w:rPr>
          <w:rFonts w:ascii="Century Gothic" w:hAnsi="Century Gothic"/>
        </w:rPr>
        <w:t>en la ciudad de Chihuahua, Chihuahua</w:t>
      </w:r>
      <w:r w:rsidRPr="006618E1">
        <w:rPr>
          <w:rFonts w:ascii="Century Gothic" w:hAnsi="Century Gothic"/>
        </w:rPr>
        <w:t xml:space="preserve">, a los </w:t>
      </w:r>
      <w:r w:rsidR="002A578A">
        <w:rPr>
          <w:rFonts w:ascii="Century Gothic" w:hAnsi="Century Gothic"/>
        </w:rPr>
        <w:t>15</w:t>
      </w:r>
      <w:r w:rsidRPr="006618E1">
        <w:rPr>
          <w:rFonts w:ascii="Century Gothic" w:hAnsi="Century Gothic"/>
        </w:rPr>
        <w:t xml:space="preserve"> días del mes de </w:t>
      </w:r>
      <w:r w:rsidR="007F6482">
        <w:rPr>
          <w:rFonts w:ascii="Century Gothic" w:hAnsi="Century Gothic"/>
        </w:rPr>
        <w:t>marzo</w:t>
      </w:r>
      <w:r w:rsidRPr="006618E1">
        <w:rPr>
          <w:rFonts w:ascii="Century Gothic" w:hAnsi="Century Gothic"/>
        </w:rPr>
        <w:t xml:space="preserve"> del año </w:t>
      </w:r>
      <w:r>
        <w:rPr>
          <w:rFonts w:ascii="Century Gothic" w:hAnsi="Century Gothic"/>
        </w:rPr>
        <w:t>20</w:t>
      </w:r>
      <w:r w:rsidR="007F6482">
        <w:rPr>
          <w:rFonts w:ascii="Century Gothic" w:hAnsi="Century Gothic"/>
        </w:rPr>
        <w:t>22</w:t>
      </w:r>
      <w:r>
        <w:rPr>
          <w:rFonts w:ascii="Century Gothic" w:hAnsi="Century Gothic"/>
        </w:rPr>
        <w:t>.</w:t>
      </w:r>
    </w:p>
    <w:p w14:paraId="0DD578E6" w14:textId="77777777" w:rsidR="00426195" w:rsidRDefault="00426195" w:rsidP="00C52A9F">
      <w:pPr>
        <w:jc w:val="both"/>
        <w:rPr>
          <w:rFonts w:ascii="Century Gothic" w:eastAsia="Arial" w:hAnsi="Century Gothic" w:cs="Arial"/>
          <w:b/>
          <w:sz w:val="22"/>
          <w:szCs w:val="22"/>
          <w:lang w:val="es-MX" w:eastAsia="es-MX"/>
        </w:rPr>
      </w:pPr>
    </w:p>
    <w:p w14:paraId="6A6F74EC" w14:textId="6A605CD0" w:rsidR="00C52A9F" w:rsidRPr="00C52A9F" w:rsidRDefault="00C52A9F" w:rsidP="00C52A9F">
      <w:pPr>
        <w:jc w:val="both"/>
        <w:rPr>
          <w:rFonts w:ascii="Century Gothic" w:eastAsia="Arial" w:hAnsi="Century Gothic" w:cs="Arial"/>
          <w:b/>
          <w:sz w:val="22"/>
          <w:szCs w:val="22"/>
          <w:lang w:val="es-MX" w:eastAsia="es-MX"/>
        </w:rPr>
      </w:pPr>
      <w:r w:rsidRPr="00C52A9F">
        <w:rPr>
          <w:rFonts w:ascii="Century Gothic" w:eastAsia="Arial" w:hAnsi="Century Gothic" w:cs="Arial"/>
          <w:b/>
          <w:sz w:val="22"/>
          <w:szCs w:val="22"/>
          <w:lang w:val="es-MX" w:eastAsia="es-MX"/>
        </w:rPr>
        <w:t xml:space="preserve">Así lo aprobó la Comisión de Justicia, en la reunión de fecha </w:t>
      </w:r>
      <w:r w:rsidR="007F6482">
        <w:rPr>
          <w:rFonts w:ascii="Century Gothic" w:eastAsia="Arial" w:hAnsi="Century Gothic" w:cs="Arial"/>
          <w:b/>
          <w:sz w:val="22"/>
          <w:szCs w:val="22"/>
          <w:lang w:val="es-MX" w:eastAsia="es-MX"/>
        </w:rPr>
        <w:t>09</w:t>
      </w:r>
      <w:r w:rsidRPr="00C52A9F">
        <w:rPr>
          <w:rFonts w:ascii="Century Gothic" w:eastAsia="Arial" w:hAnsi="Century Gothic" w:cs="Arial"/>
          <w:b/>
          <w:sz w:val="22"/>
          <w:szCs w:val="22"/>
          <w:lang w:val="es-MX" w:eastAsia="es-MX"/>
        </w:rPr>
        <w:t xml:space="preserve"> de </w:t>
      </w:r>
      <w:r w:rsidR="007F6482">
        <w:rPr>
          <w:rFonts w:ascii="Century Gothic" w:eastAsia="Arial" w:hAnsi="Century Gothic" w:cs="Arial"/>
          <w:b/>
          <w:sz w:val="22"/>
          <w:szCs w:val="22"/>
          <w:lang w:val="es-MX" w:eastAsia="es-MX"/>
        </w:rPr>
        <w:t>marzo</w:t>
      </w:r>
      <w:r w:rsidRPr="00C52A9F">
        <w:rPr>
          <w:rFonts w:ascii="Century Gothic" w:eastAsia="Arial" w:hAnsi="Century Gothic" w:cs="Arial"/>
          <w:b/>
          <w:sz w:val="22"/>
          <w:szCs w:val="22"/>
          <w:lang w:val="es-MX" w:eastAsia="es-MX"/>
        </w:rPr>
        <w:t xml:space="preserve"> del año </w:t>
      </w:r>
      <w:r>
        <w:rPr>
          <w:rFonts w:ascii="Century Gothic" w:eastAsia="Arial" w:hAnsi="Century Gothic" w:cs="Arial"/>
          <w:b/>
          <w:sz w:val="22"/>
          <w:szCs w:val="22"/>
          <w:lang w:val="es-MX" w:eastAsia="es-MX"/>
        </w:rPr>
        <w:t>202</w:t>
      </w:r>
      <w:r w:rsidR="00B3020A">
        <w:rPr>
          <w:rFonts w:ascii="Century Gothic" w:eastAsia="Arial" w:hAnsi="Century Gothic" w:cs="Arial"/>
          <w:b/>
          <w:sz w:val="22"/>
          <w:szCs w:val="22"/>
          <w:lang w:val="es-MX" w:eastAsia="es-MX"/>
        </w:rPr>
        <w:t>2</w:t>
      </w:r>
      <w:r w:rsidRPr="00C52A9F">
        <w:rPr>
          <w:rFonts w:ascii="Century Gothic" w:eastAsia="Arial" w:hAnsi="Century Gothic" w:cs="Arial"/>
          <w:b/>
          <w:sz w:val="22"/>
          <w:szCs w:val="22"/>
          <w:lang w:val="es-MX" w:eastAsia="es-MX"/>
        </w:rPr>
        <w:t>.</w:t>
      </w:r>
    </w:p>
    <w:p w14:paraId="50E56636" w14:textId="77777777" w:rsidR="00C52A9F" w:rsidRPr="00C52A9F" w:rsidRDefault="00C52A9F" w:rsidP="00C52A9F">
      <w:pPr>
        <w:jc w:val="both"/>
        <w:rPr>
          <w:rFonts w:ascii="Century Gothic" w:eastAsia="Arial" w:hAnsi="Century Gothic" w:cs="Arial"/>
          <w:b/>
          <w:sz w:val="22"/>
          <w:szCs w:val="22"/>
          <w:lang w:val="es-MX" w:eastAsia="es-MX"/>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1984"/>
        <w:gridCol w:w="2268"/>
        <w:gridCol w:w="2268"/>
        <w:gridCol w:w="1985"/>
      </w:tblGrid>
      <w:tr w:rsidR="00C52A9F" w:rsidRPr="00C52A9F" w14:paraId="6981FF88" w14:textId="77777777" w:rsidTr="000C06B6">
        <w:tc>
          <w:tcPr>
            <w:tcW w:w="1702" w:type="dxa"/>
          </w:tcPr>
          <w:p w14:paraId="0B8F15B7" w14:textId="77777777" w:rsidR="00C52A9F" w:rsidRPr="00C52A9F" w:rsidRDefault="00C52A9F" w:rsidP="00C52A9F">
            <w:pPr>
              <w:jc w:val="both"/>
              <w:rPr>
                <w:rFonts w:ascii="Century Gothic" w:hAnsi="Century Gothic" w:cs="Arial"/>
                <w:b/>
                <w:sz w:val="22"/>
                <w:szCs w:val="22"/>
              </w:rPr>
            </w:pPr>
          </w:p>
        </w:tc>
        <w:tc>
          <w:tcPr>
            <w:tcW w:w="1984" w:type="dxa"/>
          </w:tcPr>
          <w:p w14:paraId="0B40B6C5" w14:textId="77777777" w:rsidR="00C52A9F" w:rsidRPr="00C52A9F" w:rsidRDefault="00C52A9F" w:rsidP="00C52A9F">
            <w:pPr>
              <w:jc w:val="center"/>
              <w:rPr>
                <w:rFonts w:ascii="Century Gothic" w:hAnsi="Century Gothic" w:cs="Arial"/>
                <w:b/>
                <w:sz w:val="22"/>
                <w:szCs w:val="22"/>
              </w:rPr>
            </w:pPr>
            <w:r w:rsidRPr="00C52A9F">
              <w:rPr>
                <w:rFonts w:ascii="Century Gothic" w:hAnsi="Century Gothic" w:cs="Arial"/>
                <w:b/>
                <w:sz w:val="22"/>
                <w:szCs w:val="22"/>
              </w:rPr>
              <w:t>INTEGRANTES</w:t>
            </w:r>
          </w:p>
        </w:tc>
        <w:tc>
          <w:tcPr>
            <w:tcW w:w="2268" w:type="dxa"/>
          </w:tcPr>
          <w:p w14:paraId="4CB05A43" w14:textId="77777777" w:rsidR="00C52A9F" w:rsidRPr="00C52A9F" w:rsidRDefault="00C52A9F" w:rsidP="00C52A9F">
            <w:pPr>
              <w:jc w:val="center"/>
              <w:rPr>
                <w:rFonts w:ascii="Century Gothic" w:hAnsi="Century Gothic" w:cs="Arial"/>
                <w:b/>
                <w:sz w:val="22"/>
                <w:szCs w:val="22"/>
              </w:rPr>
            </w:pPr>
            <w:r w:rsidRPr="00C52A9F">
              <w:rPr>
                <w:rFonts w:ascii="Century Gothic" w:hAnsi="Century Gothic" w:cs="Arial"/>
                <w:b/>
                <w:sz w:val="22"/>
                <w:szCs w:val="22"/>
              </w:rPr>
              <w:t>A FAVOR</w:t>
            </w:r>
          </w:p>
        </w:tc>
        <w:tc>
          <w:tcPr>
            <w:tcW w:w="2268" w:type="dxa"/>
          </w:tcPr>
          <w:p w14:paraId="2483AD1C" w14:textId="77777777" w:rsidR="00C52A9F" w:rsidRPr="00C52A9F" w:rsidRDefault="00C52A9F" w:rsidP="00C52A9F">
            <w:pPr>
              <w:jc w:val="center"/>
              <w:rPr>
                <w:rFonts w:ascii="Century Gothic" w:hAnsi="Century Gothic" w:cs="Arial"/>
                <w:b/>
                <w:sz w:val="22"/>
                <w:szCs w:val="22"/>
              </w:rPr>
            </w:pPr>
            <w:r w:rsidRPr="00C52A9F">
              <w:rPr>
                <w:rFonts w:ascii="Century Gothic" w:hAnsi="Century Gothic" w:cs="Arial"/>
                <w:b/>
                <w:sz w:val="22"/>
                <w:szCs w:val="22"/>
              </w:rPr>
              <w:t>EN CONTRA</w:t>
            </w:r>
          </w:p>
        </w:tc>
        <w:tc>
          <w:tcPr>
            <w:tcW w:w="1985" w:type="dxa"/>
          </w:tcPr>
          <w:p w14:paraId="6A94CCCF" w14:textId="77777777" w:rsidR="00C52A9F" w:rsidRPr="00C52A9F" w:rsidRDefault="00C52A9F" w:rsidP="00C52A9F">
            <w:pPr>
              <w:jc w:val="center"/>
              <w:rPr>
                <w:rFonts w:ascii="Century Gothic" w:hAnsi="Century Gothic" w:cs="Arial"/>
                <w:b/>
                <w:sz w:val="22"/>
                <w:szCs w:val="22"/>
              </w:rPr>
            </w:pPr>
            <w:r w:rsidRPr="00C52A9F">
              <w:rPr>
                <w:rFonts w:ascii="Century Gothic" w:hAnsi="Century Gothic" w:cs="Arial"/>
                <w:b/>
                <w:sz w:val="22"/>
                <w:szCs w:val="22"/>
              </w:rPr>
              <w:t>ABSTENCIÓN</w:t>
            </w:r>
          </w:p>
        </w:tc>
      </w:tr>
      <w:tr w:rsidR="00C52A9F" w:rsidRPr="00C52A9F" w14:paraId="18AE657E" w14:textId="77777777" w:rsidTr="000C06B6">
        <w:tc>
          <w:tcPr>
            <w:tcW w:w="1702" w:type="dxa"/>
          </w:tcPr>
          <w:p w14:paraId="3B34F88C" w14:textId="77777777" w:rsidR="00C52A9F" w:rsidRPr="00C52A9F" w:rsidRDefault="00C52A9F" w:rsidP="00C52A9F">
            <w:pPr>
              <w:jc w:val="both"/>
              <w:rPr>
                <w:rFonts w:ascii="Century Gothic" w:hAnsi="Century Gothic" w:cs="Arial"/>
                <w:b/>
                <w:noProof/>
                <w:lang w:val="es-MX" w:eastAsia="es-MX"/>
              </w:rPr>
            </w:pPr>
            <w:r w:rsidRPr="00C52A9F">
              <w:rPr>
                <w:rFonts w:ascii="Century Gothic" w:hAnsi="Century Gothic" w:cs="Arial"/>
                <w:b/>
                <w:noProof/>
                <w:lang w:val="es-MX" w:eastAsia="es-MX"/>
              </w:rPr>
              <w:drawing>
                <wp:anchor distT="0" distB="0" distL="114300" distR="114300" simplePos="0" relativeHeight="251659264" behindDoc="1" locked="0" layoutInCell="1" allowOverlap="1" wp14:anchorId="4B4D38CE" wp14:editId="6C8915FE">
                  <wp:simplePos x="0" y="0"/>
                  <wp:positionH relativeFrom="column">
                    <wp:posOffset>20320</wp:posOffset>
                  </wp:positionH>
                  <wp:positionV relativeFrom="paragraph">
                    <wp:posOffset>189865</wp:posOffset>
                  </wp:positionV>
                  <wp:extent cx="932815" cy="1143000"/>
                  <wp:effectExtent l="0" t="0" r="635"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http://www.congresochihuahua.gob.mx/TimThumb.php?src=diputados/imagenes/fotos/1193.jpg&amp;w=260&amp;h=260&amp;zc=1"/>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932815" cy="11430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984" w:type="dxa"/>
          </w:tcPr>
          <w:p w14:paraId="7A2FDB29" w14:textId="77777777" w:rsidR="00C52A9F" w:rsidRPr="00C52A9F" w:rsidRDefault="00C52A9F" w:rsidP="00C52A9F">
            <w:pPr>
              <w:ind w:left="284" w:hanging="284"/>
              <w:contextualSpacing/>
              <w:jc w:val="both"/>
              <w:rPr>
                <w:rFonts w:ascii="Century Gothic" w:hAnsi="Century Gothic" w:cs="Arial"/>
                <w:b/>
                <w:bCs/>
                <w:lang w:val="es-MX" w:eastAsia="es-MX"/>
              </w:rPr>
            </w:pPr>
          </w:p>
          <w:p w14:paraId="18F7BEF7" w14:textId="77777777" w:rsidR="00C52A9F" w:rsidRPr="00C52A9F" w:rsidRDefault="00C52A9F" w:rsidP="00C52A9F">
            <w:pPr>
              <w:ind w:left="284" w:hanging="284"/>
              <w:contextualSpacing/>
              <w:jc w:val="center"/>
              <w:rPr>
                <w:rFonts w:ascii="Century Gothic" w:hAnsi="Century Gothic" w:cs="Arial"/>
                <w:b/>
                <w:lang w:val="es-MX" w:eastAsia="es-MX"/>
              </w:rPr>
            </w:pPr>
            <w:r w:rsidRPr="00C52A9F">
              <w:rPr>
                <w:rFonts w:ascii="Century Gothic" w:hAnsi="Century Gothic" w:cs="Arial"/>
                <w:b/>
                <w:bCs/>
                <w:lang w:val="es-MX" w:eastAsia="es-MX"/>
              </w:rPr>
              <w:t>DIP. GEORGINA ALEJANDRA BUJANDA RÍOS</w:t>
            </w:r>
          </w:p>
          <w:p w14:paraId="7365C200" w14:textId="77777777" w:rsidR="00C52A9F" w:rsidRPr="00C52A9F" w:rsidRDefault="00C52A9F" w:rsidP="00C52A9F">
            <w:pPr>
              <w:contextualSpacing/>
              <w:jc w:val="center"/>
              <w:rPr>
                <w:rFonts w:ascii="Century Gothic" w:hAnsi="Century Gothic" w:cs="Arial"/>
                <w:b/>
                <w:bCs/>
                <w:smallCaps/>
                <w:lang w:val="es-MX" w:eastAsia="es-MX"/>
              </w:rPr>
            </w:pPr>
            <w:r w:rsidRPr="00C52A9F">
              <w:rPr>
                <w:rFonts w:ascii="Century Gothic" w:hAnsi="Century Gothic" w:cs="Arial"/>
                <w:b/>
                <w:bCs/>
                <w:smallCaps/>
                <w:lang w:val="es-MX" w:eastAsia="es-MX"/>
              </w:rPr>
              <w:t>PRESIDENTA</w:t>
            </w:r>
          </w:p>
          <w:p w14:paraId="21D063A7" w14:textId="77777777" w:rsidR="00C52A9F" w:rsidRPr="00C52A9F" w:rsidRDefault="00C52A9F" w:rsidP="00C52A9F">
            <w:pPr>
              <w:contextualSpacing/>
              <w:jc w:val="center"/>
              <w:rPr>
                <w:rFonts w:ascii="Century Gothic" w:hAnsi="Century Gothic" w:cs="Arial"/>
                <w:b/>
                <w:lang w:val="es-MX" w:eastAsia="es-MX"/>
              </w:rPr>
            </w:pPr>
          </w:p>
        </w:tc>
        <w:tc>
          <w:tcPr>
            <w:tcW w:w="2268" w:type="dxa"/>
          </w:tcPr>
          <w:p w14:paraId="528BB5A3" w14:textId="77777777" w:rsidR="00C52A9F" w:rsidRPr="00C52A9F" w:rsidRDefault="00C52A9F" w:rsidP="00C52A9F">
            <w:pPr>
              <w:jc w:val="both"/>
              <w:rPr>
                <w:rFonts w:ascii="Century Gothic" w:hAnsi="Century Gothic" w:cs="Arial"/>
                <w:b/>
              </w:rPr>
            </w:pPr>
          </w:p>
        </w:tc>
        <w:tc>
          <w:tcPr>
            <w:tcW w:w="2268" w:type="dxa"/>
          </w:tcPr>
          <w:p w14:paraId="54C4225A" w14:textId="77777777" w:rsidR="00C52A9F" w:rsidRPr="00C52A9F" w:rsidRDefault="00C52A9F" w:rsidP="00C52A9F">
            <w:pPr>
              <w:jc w:val="both"/>
              <w:rPr>
                <w:rFonts w:ascii="Century Gothic" w:hAnsi="Century Gothic" w:cs="Arial"/>
                <w:b/>
              </w:rPr>
            </w:pPr>
          </w:p>
        </w:tc>
        <w:tc>
          <w:tcPr>
            <w:tcW w:w="1985" w:type="dxa"/>
          </w:tcPr>
          <w:p w14:paraId="0366C55E" w14:textId="77777777" w:rsidR="00C52A9F" w:rsidRPr="00C52A9F" w:rsidRDefault="00C52A9F" w:rsidP="00C52A9F">
            <w:pPr>
              <w:jc w:val="both"/>
              <w:rPr>
                <w:rFonts w:ascii="Century Gothic" w:hAnsi="Century Gothic" w:cs="Arial"/>
                <w:b/>
              </w:rPr>
            </w:pPr>
          </w:p>
        </w:tc>
      </w:tr>
      <w:tr w:rsidR="00C52A9F" w:rsidRPr="00C52A9F" w14:paraId="0397E60C" w14:textId="77777777" w:rsidTr="000C06B6">
        <w:tc>
          <w:tcPr>
            <w:tcW w:w="1702" w:type="dxa"/>
          </w:tcPr>
          <w:p w14:paraId="75784B0B" w14:textId="77777777" w:rsidR="00C52A9F" w:rsidRPr="00C52A9F" w:rsidRDefault="00C52A9F" w:rsidP="00C52A9F">
            <w:pPr>
              <w:jc w:val="both"/>
              <w:rPr>
                <w:rFonts w:ascii="Century Gothic" w:hAnsi="Century Gothic" w:cs="Arial"/>
                <w:b/>
              </w:rPr>
            </w:pPr>
            <w:r w:rsidRPr="00C52A9F">
              <w:rPr>
                <w:rFonts w:ascii="Century Gothic" w:hAnsi="Century Gothic" w:cs="Arial"/>
                <w:b/>
                <w:noProof/>
                <w:lang w:val="es-MX" w:eastAsia="es-MX"/>
              </w:rPr>
              <w:drawing>
                <wp:anchor distT="0" distB="0" distL="114300" distR="114300" simplePos="0" relativeHeight="251660288" behindDoc="1" locked="0" layoutInCell="1" allowOverlap="1" wp14:anchorId="621DA556" wp14:editId="265CBC05">
                  <wp:simplePos x="0" y="0"/>
                  <wp:positionH relativeFrom="column">
                    <wp:posOffset>1270</wp:posOffset>
                  </wp:positionH>
                  <wp:positionV relativeFrom="paragraph">
                    <wp:posOffset>117475</wp:posOffset>
                  </wp:positionV>
                  <wp:extent cx="976006" cy="1104900"/>
                  <wp:effectExtent l="0" t="0" r="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http://www.congresochihuahua.gob.mx/TimThumb.php?src=diputados/imagenes/fotos/1186.jpg&amp;w=260&amp;h=260&amp;zc=1"/>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976006" cy="11049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984" w:type="dxa"/>
          </w:tcPr>
          <w:p w14:paraId="22E3CEA6" w14:textId="77777777" w:rsidR="00C52A9F" w:rsidRPr="00C52A9F" w:rsidRDefault="00C52A9F" w:rsidP="00C52A9F">
            <w:pPr>
              <w:contextualSpacing/>
              <w:jc w:val="center"/>
              <w:rPr>
                <w:rFonts w:ascii="Century Gothic" w:hAnsi="Century Gothic" w:cs="Arial"/>
                <w:b/>
                <w:bCs/>
                <w:smallCaps/>
                <w:lang w:val="es-MX" w:eastAsia="es-MX"/>
              </w:rPr>
            </w:pPr>
          </w:p>
          <w:p w14:paraId="187B6E47" w14:textId="77777777" w:rsidR="00C52A9F" w:rsidRPr="00C52A9F" w:rsidRDefault="00C52A9F" w:rsidP="00C52A9F">
            <w:pPr>
              <w:contextualSpacing/>
              <w:jc w:val="center"/>
              <w:rPr>
                <w:rFonts w:ascii="Century Gothic" w:hAnsi="Century Gothic" w:cs="Arial"/>
                <w:b/>
                <w:bCs/>
                <w:smallCaps/>
                <w:lang w:val="es-MX" w:eastAsia="es-MX"/>
              </w:rPr>
            </w:pPr>
            <w:r w:rsidRPr="00C52A9F">
              <w:rPr>
                <w:rFonts w:ascii="Century Gothic" w:hAnsi="Century Gothic" w:cs="Arial"/>
                <w:b/>
                <w:bCs/>
                <w:smallCaps/>
                <w:lang w:val="es-MX" w:eastAsia="es-MX"/>
              </w:rPr>
              <w:t>DIP. DAVID OSCAR CASTREJÓN RIVAS</w:t>
            </w:r>
          </w:p>
          <w:p w14:paraId="52426791" w14:textId="77777777" w:rsidR="00C52A9F" w:rsidRPr="00C52A9F" w:rsidRDefault="00C52A9F" w:rsidP="00C52A9F">
            <w:pPr>
              <w:contextualSpacing/>
              <w:jc w:val="center"/>
              <w:rPr>
                <w:rFonts w:ascii="Century Gothic" w:hAnsi="Century Gothic" w:cs="Arial"/>
                <w:b/>
                <w:bCs/>
                <w:smallCaps/>
                <w:lang w:val="es-MX" w:eastAsia="es-MX"/>
              </w:rPr>
            </w:pPr>
            <w:r w:rsidRPr="00C52A9F">
              <w:rPr>
                <w:rFonts w:ascii="Century Gothic" w:hAnsi="Century Gothic" w:cs="Arial"/>
                <w:b/>
                <w:bCs/>
                <w:smallCaps/>
                <w:lang w:val="es-MX" w:eastAsia="es-MX"/>
              </w:rPr>
              <w:t xml:space="preserve">SECRETARIO </w:t>
            </w:r>
          </w:p>
          <w:p w14:paraId="588C1458" w14:textId="77777777" w:rsidR="00C52A9F" w:rsidRPr="00C52A9F" w:rsidRDefault="00C52A9F" w:rsidP="00C52A9F">
            <w:pPr>
              <w:rPr>
                <w:rFonts w:ascii="Century Gothic" w:hAnsi="Century Gothic" w:cs="Arial"/>
                <w:b/>
                <w:sz w:val="22"/>
                <w:szCs w:val="22"/>
              </w:rPr>
            </w:pPr>
          </w:p>
        </w:tc>
        <w:tc>
          <w:tcPr>
            <w:tcW w:w="2268" w:type="dxa"/>
          </w:tcPr>
          <w:p w14:paraId="10F558AD" w14:textId="77777777" w:rsidR="00C52A9F" w:rsidRPr="00C52A9F" w:rsidRDefault="00C52A9F" w:rsidP="00C52A9F">
            <w:pPr>
              <w:jc w:val="both"/>
              <w:rPr>
                <w:rFonts w:ascii="Century Gothic" w:hAnsi="Century Gothic" w:cs="Arial"/>
                <w:b/>
              </w:rPr>
            </w:pPr>
          </w:p>
        </w:tc>
        <w:tc>
          <w:tcPr>
            <w:tcW w:w="2268" w:type="dxa"/>
          </w:tcPr>
          <w:p w14:paraId="2F579D1F" w14:textId="77777777" w:rsidR="00C52A9F" w:rsidRPr="00C52A9F" w:rsidRDefault="00C52A9F" w:rsidP="00C52A9F">
            <w:pPr>
              <w:jc w:val="both"/>
              <w:rPr>
                <w:rFonts w:ascii="Century Gothic" w:hAnsi="Century Gothic" w:cs="Arial"/>
                <w:b/>
              </w:rPr>
            </w:pPr>
          </w:p>
        </w:tc>
        <w:tc>
          <w:tcPr>
            <w:tcW w:w="1985" w:type="dxa"/>
          </w:tcPr>
          <w:p w14:paraId="4F33718C" w14:textId="77777777" w:rsidR="00C52A9F" w:rsidRPr="00C52A9F" w:rsidRDefault="00C52A9F" w:rsidP="00C52A9F">
            <w:pPr>
              <w:jc w:val="both"/>
              <w:rPr>
                <w:rFonts w:ascii="Century Gothic" w:hAnsi="Century Gothic" w:cs="Arial"/>
                <w:b/>
              </w:rPr>
            </w:pPr>
          </w:p>
        </w:tc>
      </w:tr>
      <w:tr w:rsidR="00C52A9F" w:rsidRPr="00C52A9F" w14:paraId="2F195D6C" w14:textId="77777777" w:rsidTr="000C06B6">
        <w:tc>
          <w:tcPr>
            <w:tcW w:w="1702" w:type="dxa"/>
          </w:tcPr>
          <w:p w14:paraId="75611A32" w14:textId="77777777" w:rsidR="00C52A9F" w:rsidRPr="00C52A9F" w:rsidRDefault="00C52A9F" w:rsidP="00C52A9F">
            <w:pPr>
              <w:jc w:val="both"/>
              <w:rPr>
                <w:szCs w:val="20"/>
              </w:rPr>
            </w:pPr>
            <w:r w:rsidRPr="00C52A9F">
              <w:rPr>
                <w:noProof/>
                <w:szCs w:val="20"/>
                <w:lang w:val="es-MX" w:eastAsia="es-MX"/>
              </w:rPr>
              <w:drawing>
                <wp:anchor distT="0" distB="0" distL="114300" distR="114300" simplePos="0" relativeHeight="251661312" behindDoc="1" locked="0" layoutInCell="1" allowOverlap="1" wp14:anchorId="4EA5D53F" wp14:editId="4AF2AC06">
                  <wp:simplePos x="0" y="0"/>
                  <wp:positionH relativeFrom="column">
                    <wp:posOffset>29210</wp:posOffset>
                  </wp:positionH>
                  <wp:positionV relativeFrom="paragraph">
                    <wp:posOffset>123825</wp:posOffset>
                  </wp:positionV>
                  <wp:extent cx="913765" cy="1046480"/>
                  <wp:effectExtent l="0" t="0" r="635" b="127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arisela.jpg"/>
                          <pic:cNvPicPr/>
                        </pic:nvPicPr>
                        <pic:blipFill>
                          <a:blip r:embed="rId13">
                            <a:extLst>
                              <a:ext uri="{28A0092B-C50C-407E-A947-70E740481C1C}">
                                <a14:useLocalDpi xmlns:a14="http://schemas.microsoft.com/office/drawing/2010/main" val="0"/>
                              </a:ext>
                            </a:extLst>
                          </a:blip>
                          <a:stretch>
                            <a:fillRect/>
                          </a:stretch>
                        </pic:blipFill>
                        <pic:spPr>
                          <a:xfrm>
                            <a:off x="0" y="0"/>
                            <a:ext cx="913765" cy="1046480"/>
                          </a:xfrm>
                          <a:prstGeom prst="rect">
                            <a:avLst/>
                          </a:prstGeom>
                        </pic:spPr>
                      </pic:pic>
                    </a:graphicData>
                  </a:graphic>
                  <wp14:sizeRelH relativeFrom="page">
                    <wp14:pctWidth>0</wp14:pctWidth>
                  </wp14:sizeRelH>
                  <wp14:sizeRelV relativeFrom="page">
                    <wp14:pctHeight>0</wp14:pctHeight>
                  </wp14:sizeRelV>
                </wp:anchor>
              </w:drawing>
            </w:r>
          </w:p>
          <w:p w14:paraId="2936E714" w14:textId="77777777" w:rsidR="00C52A9F" w:rsidRPr="00C52A9F" w:rsidRDefault="00C52A9F" w:rsidP="00C52A9F">
            <w:pPr>
              <w:jc w:val="both"/>
              <w:rPr>
                <w:rFonts w:ascii="Century Gothic" w:hAnsi="Century Gothic" w:cs="Arial"/>
                <w:b/>
              </w:rPr>
            </w:pPr>
          </w:p>
        </w:tc>
        <w:tc>
          <w:tcPr>
            <w:tcW w:w="1984" w:type="dxa"/>
          </w:tcPr>
          <w:p w14:paraId="3A4BA7EF" w14:textId="77777777" w:rsidR="00C52A9F" w:rsidRPr="00C52A9F" w:rsidRDefault="00C52A9F" w:rsidP="00C52A9F">
            <w:pPr>
              <w:contextualSpacing/>
              <w:jc w:val="center"/>
              <w:rPr>
                <w:rFonts w:ascii="Century Gothic" w:hAnsi="Century Gothic" w:cs="Arial"/>
                <w:b/>
                <w:lang w:val="es-MX" w:eastAsia="es-MX"/>
              </w:rPr>
            </w:pPr>
          </w:p>
          <w:p w14:paraId="0376421C" w14:textId="77777777" w:rsidR="00C52A9F" w:rsidRPr="00C52A9F" w:rsidRDefault="00C52A9F" w:rsidP="00C52A9F">
            <w:pPr>
              <w:contextualSpacing/>
              <w:rPr>
                <w:rFonts w:ascii="Century Gothic" w:hAnsi="Century Gothic" w:cs="Arial"/>
                <w:b/>
                <w:lang w:val="es-MX" w:eastAsia="es-MX"/>
              </w:rPr>
            </w:pPr>
          </w:p>
          <w:p w14:paraId="6AD2EE2E" w14:textId="77777777" w:rsidR="00C52A9F" w:rsidRPr="00C52A9F" w:rsidRDefault="00C52A9F" w:rsidP="00C52A9F">
            <w:pPr>
              <w:contextualSpacing/>
              <w:jc w:val="center"/>
              <w:rPr>
                <w:rFonts w:ascii="Century Gothic" w:hAnsi="Century Gothic" w:cs="Arial"/>
                <w:b/>
                <w:lang w:val="es-MX" w:eastAsia="es-MX"/>
              </w:rPr>
            </w:pPr>
            <w:r w:rsidRPr="00C52A9F">
              <w:rPr>
                <w:rFonts w:ascii="Century Gothic" w:hAnsi="Century Gothic" w:cs="Arial"/>
                <w:b/>
                <w:lang w:val="es-MX" w:eastAsia="es-MX"/>
              </w:rPr>
              <w:t>DIP. ILSE AMÉRICA GARCÍA SOTO</w:t>
            </w:r>
          </w:p>
          <w:p w14:paraId="39085BE3" w14:textId="77777777" w:rsidR="00C52A9F" w:rsidRPr="00C52A9F" w:rsidRDefault="00C52A9F" w:rsidP="00C52A9F">
            <w:pPr>
              <w:contextualSpacing/>
              <w:jc w:val="center"/>
              <w:rPr>
                <w:rFonts w:ascii="Century Gothic" w:hAnsi="Century Gothic" w:cs="Arial"/>
                <w:b/>
                <w:lang w:val="es-MX" w:eastAsia="es-MX"/>
              </w:rPr>
            </w:pPr>
            <w:r w:rsidRPr="00C52A9F">
              <w:rPr>
                <w:rFonts w:ascii="Century Gothic" w:hAnsi="Century Gothic" w:cs="Arial"/>
                <w:b/>
                <w:lang w:val="es-MX" w:eastAsia="es-MX"/>
              </w:rPr>
              <w:t>VOCAL</w:t>
            </w:r>
          </w:p>
          <w:p w14:paraId="10B9F300" w14:textId="77777777" w:rsidR="00C52A9F" w:rsidRPr="00C52A9F" w:rsidRDefault="00C52A9F" w:rsidP="00C52A9F">
            <w:pPr>
              <w:contextualSpacing/>
              <w:rPr>
                <w:rFonts w:ascii="Century Gothic" w:hAnsi="Century Gothic" w:cs="Arial"/>
                <w:b/>
                <w:lang w:val="es-MX" w:eastAsia="es-MX"/>
              </w:rPr>
            </w:pPr>
          </w:p>
        </w:tc>
        <w:tc>
          <w:tcPr>
            <w:tcW w:w="2268" w:type="dxa"/>
          </w:tcPr>
          <w:p w14:paraId="48AC112E" w14:textId="77777777" w:rsidR="00C52A9F" w:rsidRPr="00C52A9F" w:rsidRDefault="00C52A9F" w:rsidP="00C52A9F">
            <w:pPr>
              <w:jc w:val="both"/>
              <w:rPr>
                <w:rFonts w:ascii="Century Gothic" w:hAnsi="Century Gothic" w:cs="Arial"/>
                <w:b/>
              </w:rPr>
            </w:pPr>
          </w:p>
        </w:tc>
        <w:tc>
          <w:tcPr>
            <w:tcW w:w="2268" w:type="dxa"/>
          </w:tcPr>
          <w:p w14:paraId="0C1BE4CF" w14:textId="77777777" w:rsidR="00C52A9F" w:rsidRPr="00C52A9F" w:rsidRDefault="00C52A9F" w:rsidP="00C52A9F">
            <w:pPr>
              <w:jc w:val="both"/>
              <w:rPr>
                <w:rFonts w:ascii="Century Gothic" w:hAnsi="Century Gothic" w:cs="Arial"/>
                <w:b/>
              </w:rPr>
            </w:pPr>
          </w:p>
        </w:tc>
        <w:tc>
          <w:tcPr>
            <w:tcW w:w="1985" w:type="dxa"/>
          </w:tcPr>
          <w:p w14:paraId="25259D89" w14:textId="77777777" w:rsidR="00C52A9F" w:rsidRPr="00C52A9F" w:rsidRDefault="00C52A9F" w:rsidP="00C52A9F">
            <w:pPr>
              <w:jc w:val="both"/>
              <w:rPr>
                <w:rFonts w:ascii="Century Gothic" w:hAnsi="Century Gothic" w:cs="Arial"/>
                <w:b/>
              </w:rPr>
            </w:pPr>
          </w:p>
        </w:tc>
      </w:tr>
      <w:tr w:rsidR="00C52A9F" w:rsidRPr="00C52A9F" w14:paraId="1908C551" w14:textId="77777777" w:rsidTr="000C06B6">
        <w:tc>
          <w:tcPr>
            <w:tcW w:w="1702" w:type="dxa"/>
          </w:tcPr>
          <w:p w14:paraId="7B21CB1A" w14:textId="77777777" w:rsidR="00C52A9F" w:rsidRPr="00C52A9F" w:rsidRDefault="00C52A9F" w:rsidP="00C52A9F">
            <w:pPr>
              <w:jc w:val="both"/>
              <w:rPr>
                <w:rFonts w:ascii="Century Gothic" w:hAnsi="Century Gothic" w:cs="Arial"/>
                <w:b/>
              </w:rPr>
            </w:pPr>
            <w:r w:rsidRPr="00C52A9F">
              <w:rPr>
                <w:rFonts w:ascii="Century Gothic" w:hAnsi="Century Gothic" w:cs="Arial"/>
                <w:b/>
                <w:noProof/>
                <w:lang w:val="es-MX" w:eastAsia="es-MX"/>
              </w:rPr>
              <w:drawing>
                <wp:anchor distT="0" distB="0" distL="114300" distR="114300" simplePos="0" relativeHeight="251662336" behindDoc="1" locked="0" layoutInCell="1" allowOverlap="1" wp14:anchorId="5ABE4FB9" wp14:editId="52055B7A">
                  <wp:simplePos x="0" y="0"/>
                  <wp:positionH relativeFrom="column">
                    <wp:posOffset>10795</wp:posOffset>
                  </wp:positionH>
                  <wp:positionV relativeFrom="paragraph">
                    <wp:posOffset>62865</wp:posOffset>
                  </wp:positionV>
                  <wp:extent cx="913765" cy="1099185"/>
                  <wp:effectExtent l="0" t="0" r="635" b="5715"/>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eyanira.jpg"/>
                          <pic:cNvPicPr/>
                        </pic:nvPicPr>
                        <pic:blipFill>
                          <a:blip r:embed="rId14">
                            <a:extLst>
                              <a:ext uri="{28A0092B-C50C-407E-A947-70E740481C1C}">
                                <a14:useLocalDpi xmlns:a14="http://schemas.microsoft.com/office/drawing/2010/main" val="0"/>
                              </a:ext>
                            </a:extLst>
                          </a:blip>
                          <a:stretch>
                            <a:fillRect/>
                          </a:stretch>
                        </pic:blipFill>
                        <pic:spPr>
                          <a:xfrm>
                            <a:off x="0" y="0"/>
                            <a:ext cx="913765" cy="1099185"/>
                          </a:xfrm>
                          <a:prstGeom prst="rect">
                            <a:avLst/>
                          </a:prstGeom>
                        </pic:spPr>
                      </pic:pic>
                    </a:graphicData>
                  </a:graphic>
                  <wp14:sizeRelH relativeFrom="page">
                    <wp14:pctWidth>0</wp14:pctWidth>
                  </wp14:sizeRelH>
                  <wp14:sizeRelV relativeFrom="page">
                    <wp14:pctHeight>0</wp14:pctHeight>
                  </wp14:sizeRelV>
                </wp:anchor>
              </w:drawing>
            </w:r>
          </w:p>
        </w:tc>
        <w:tc>
          <w:tcPr>
            <w:tcW w:w="1984" w:type="dxa"/>
          </w:tcPr>
          <w:p w14:paraId="5A79A09A" w14:textId="77777777" w:rsidR="00C52A9F" w:rsidRPr="00C52A9F" w:rsidRDefault="00C52A9F" w:rsidP="00C52A9F">
            <w:pPr>
              <w:contextualSpacing/>
              <w:jc w:val="center"/>
              <w:rPr>
                <w:rFonts w:ascii="Century Gothic" w:hAnsi="Century Gothic" w:cs="Arial"/>
                <w:b/>
                <w:lang w:val="es-MX" w:eastAsia="es-MX"/>
              </w:rPr>
            </w:pPr>
          </w:p>
          <w:p w14:paraId="07130D0A" w14:textId="77777777" w:rsidR="00C52A9F" w:rsidRPr="00C52A9F" w:rsidRDefault="00C52A9F" w:rsidP="00C52A9F">
            <w:pPr>
              <w:contextualSpacing/>
              <w:jc w:val="center"/>
              <w:rPr>
                <w:rFonts w:ascii="Century Gothic" w:hAnsi="Century Gothic" w:cs="Arial"/>
                <w:b/>
                <w:lang w:val="es-MX" w:eastAsia="es-MX"/>
              </w:rPr>
            </w:pPr>
            <w:r w:rsidRPr="00C52A9F">
              <w:rPr>
                <w:rFonts w:ascii="Century Gothic" w:hAnsi="Century Gothic" w:cs="Arial"/>
                <w:b/>
                <w:lang w:val="es-MX" w:eastAsia="es-MX"/>
              </w:rPr>
              <w:t>DIP. JOSÉ ALFREDO CHÁVEZ MADRID</w:t>
            </w:r>
          </w:p>
          <w:p w14:paraId="00E7EAFD" w14:textId="77777777" w:rsidR="00C52A9F" w:rsidRPr="00C52A9F" w:rsidRDefault="00C52A9F" w:rsidP="00C52A9F">
            <w:pPr>
              <w:contextualSpacing/>
              <w:jc w:val="center"/>
              <w:rPr>
                <w:rFonts w:ascii="Century Gothic" w:hAnsi="Century Gothic" w:cs="Arial"/>
                <w:b/>
                <w:lang w:val="es-MX" w:eastAsia="es-MX"/>
              </w:rPr>
            </w:pPr>
            <w:r w:rsidRPr="00C52A9F">
              <w:rPr>
                <w:rFonts w:ascii="Century Gothic" w:hAnsi="Century Gothic" w:cs="Arial"/>
                <w:b/>
                <w:lang w:val="es-MX" w:eastAsia="es-MX"/>
              </w:rPr>
              <w:t>VOCAL</w:t>
            </w:r>
          </w:p>
          <w:p w14:paraId="5C2EA1C8" w14:textId="77777777" w:rsidR="00C52A9F" w:rsidRPr="00C52A9F" w:rsidRDefault="00C52A9F" w:rsidP="00C52A9F">
            <w:pPr>
              <w:contextualSpacing/>
              <w:jc w:val="center"/>
              <w:rPr>
                <w:rFonts w:ascii="Century Gothic" w:hAnsi="Century Gothic" w:cs="Arial"/>
                <w:b/>
                <w:lang w:val="es-MX" w:eastAsia="es-MX"/>
              </w:rPr>
            </w:pPr>
          </w:p>
        </w:tc>
        <w:tc>
          <w:tcPr>
            <w:tcW w:w="2268" w:type="dxa"/>
          </w:tcPr>
          <w:p w14:paraId="04016681" w14:textId="77777777" w:rsidR="00C52A9F" w:rsidRPr="00C52A9F" w:rsidRDefault="00C52A9F" w:rsidP="00C52A9F">
            <w:pPr>
              <w:jc w:val="both"/>
              <w:rPr>
                <w:rFonts w:ascii="Century Gothic" w:hAnsi="Century Gothic" w:cs="Arial"/>
                <w:b/>
              </w:rPr>
            </w:pPr>
          </w:p>
        </w:tc>
        <w:tc>
          <w:tcPr>
            <w:tcW w:w="2268" w:type="dxa"/>
          </w:tcPr>
          <w:p w14:paraId="44C61092" w14:textId="77777777" w:rsidR="00C52A9F" w:rsidRPr="00C52A9F" w:rsidRDefault="00C52A9F" w:rsidP="00C52A9F">
            <w:pPr>
              <w:jc w:val="both"/>
              <w:rPr>
                <w:rFonts w:ascii="Century Gothic" w:hAnsi="Century Gothic" w:cs="Arial"/>
                <w:b/>
              </w:rPr>
            </w:pPr>
          </w:p>
        </w:tc>
        <w:tc>
          <w:tcPr>
            <w:tcW w:w="1985" w:type="dxa"/>
          </w:tcPr>
          <w:p w14:paraId="7D76833B" w14:textId="77777777" w:rsidR="00C52A9F" w:rsidRPr="00C52A9F" w:rsidRDefault="00C52A9F" w:rsidP="00C52A9F">
            <w:pPr>
              <w:jc w:val="both"/>
              <w:rPr>
                <w:rFonts w:ascii="Century Gothic" w:hAnsi="Century Gothic" w:cs="Arial"/>
                <w:b/>
              </w:rPr>
            </w:pPr>
          </w:p>
          <w:p w14:paraId="4695789A" w14:textId="77777777" w:rsidR="00C52A9F" w:rsidRPr="00C52A9F" w:rsidRDefault="00C52A9F" w:rsidP="00C52A9F">
            <w:pPr>
              <w:spacing w:after="200" w:line="276" w:lineRule="auto"/>
              <w:rPr>
                <w:rFonts w:ascii="Calibri" w:hAnsi="Calibri"/>
                <w:sz w:val="22"/>
                <w:szCs w:val="22"/>
              </w:rPr>
            </w:pPr>
          </w:p>
          <w:p w14:paraId="6F4083AF" w14:textId="77777777" w:rsidR="00C52A9F" w:rsidRPr="00C52A9F" w:rsidRDefault="00C52A9F" w:rsidP="00C52A9F">
            <w:pPr>
              <w:spacing w:after="200" w:line="276" w:lineRule="auto"/>
              <w:rPr>
                <w:rFonts w:ascii="Calibri" w:hAnsi="Calibri"/>
                <w:sz w:val="22"/>
                <w:szCs w:val="22"/>
              </w:rPr>
            </w:pPr>
          </w:p>
        </w:tc>
      </w:tr>
      <w:tr w:rsidR="00C52A9F" w:rsidRPr="00C52A9F" w14:paraId="7C2E2FA2" w14:textId="77777777" w:rsidTr="000C06B6">
        <w:tc>
          <w:tcPr>
            <w:tcW w:w="1702" w:type="dxa"/>
          </w:tcPr>
          <w:p w14:paraId="008667E8" w14:textId="77777777" w:rsidR="00C52A9F" w:rsidRPr="00C52A9F" w:rsidRDefault="00C52A9F" w:rsidP="00C52A9F">
            <w:pPr>
              <w:jc w:val="both"/>
              <w:rPr>
                <w:rFonts w:ascii="Century Gothic" w:hAnsi="Century Gothic" w:cs="Arial"/>
                <w:b/>
              </w:rPr>
            </w:pPr>
            <w:r w:rsidRPr="00C52A9F">
              <w:rPr>
                <w:rFonts w:ascii="Century Gothic" w:hAnsi="Century Gothic" w:cs="Arial"/>
                <w:b/>
                <w:noProof/>
                <w:lang w:val="es-MX" w:eastAsia="es-MX"/>
              </w:rPr>
              <w:lastRenderedPageBreak/>
              <w:drawing>
                <wp:inline distT="0" distB="0" distL="0" distR="0" wp14:anchorId="3293270C" wp14:editId="524DB506">
                  <wp:extent cx="941717" cy="1247775"/>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érez.jpg"/>
                          <pic:cNvPicPr/>
                        </pic:nvPicPr>
                        <pic:blipFill>
                          <a:blip r:embed="rId15">
                            <a:extLst>
                              <a:ext uri="{28A0092B-C50C-407E-A947-70E740481C1C}">
                                <a14:useLocalDpi xmlns:a14="http://schemas.microsoft.com/office/drawing/2010/main" val="0"/>
                              </a:ext>
                            </a:extLst>
                          </a:blip>
                          <a:stretch>
                            <a:fillRect/>
                          </a:stretch>
                        </pic:blipFill>
                        <pic:spPr>
                          <a:xfrm>
                            <a:off x="0" y="0"/>
                            <a:ext cx="959985" cy="1271980"/>
                          </a:xfrm>
                          <a:prstGeom prst="rect">
                            <a:avLst/>
                          </a:prstGeom>
                        </pic:spPr>
                      </pic:pic>
                    </a:graphicData>
                  </a:graphic>
                </wp:inline>
              </w:drawing>
            </w:r>
          </w:p>
        </w:tc>
        <w:tc>
          <w:tcPr>
            <w:tcW w:w="1984" w:type="dxa"/>
          </w:tcPr>
          <w:p w14:paraId="3F4CDA97" w14:textId="77777777" w:rsidR="00C52A9F" w:rsidRPr="00C52A9F" w:rsidRDefault="00C52A9F" w:rsidP="00C52A9F">
            <w:pPr>
              <w:contextualSpacing/>
              <w:jc w:val="center"/>
              <w:rPr>
                <w:rFonts w:ascii="Century Gothic" w:hAnsi="Century Gothic" w:cs="Arial"/>
                <w:b/>
                <w:lang w:val="es-MX" w:eastAsia="es-MX"/>
              </w:rPr>
            </w:pPr>
          </w:p>
          <w:p w14:paraId="026AAC40" w14:textId="77777777" w:rsidR="00C52A9F" w:rsidRPr="00C52A9F" w:rsidRDefault="00C52A9F" w:rsidP="00C52A9F">
            <w:pPr>
              <w:contextualSpacing/>
              <w:jc w:val="center"/>
              <w:rPr>
                <w:rFonts w:ascii="Century Gothic" w:hAnsi="Century Gothic" w:cs="Arial"/>
                <w:b/>
                <w:lang w:val="es-MX" w:eastAsia="es-MX"/>
              </w:rPr>
            </w:pPr>
          </w:p>
          <w:p w14:paraId="515EC693" w14:textId="77777777" w:rsidR="00C52A9F" w:rsidRPr="00C52A9F" w:rsidRDefault="00C52A9F" w:rsidP="00C52A9F">
            <w:pPr>
              <w:contextualSpacing/>
              <w:jc w:val="center"/>
              <w:rPr>
                <w:rFonts w:ascii="Century Gothic" w:hAnsi="Century Gothic" w:cs="Arial"/>
                <w:b/>
                <w:lang w:val="es-MX" w:eastAsia="es-MX"/>
              </w:rPr>
            </w:pPr>
            <w:r w:rsidRPr="00C52A9F">
              <w:rPr>
                <w:rFonts w:ascii="Century Gothic" w:hAnsi="Century Gothic" w:cs="Arial"/>
                <w:b/>
                <w:lang w:val="es-MX" w:eastAsia="es-MX"/>
              </w:rPr>
              <w:t>DIP. ISMAEL PÉREZ PAVÍA</w:t>
            </w:r>
          </w:p>
          <w:p w14:paraId="3BF4DF81" w14:textId="77777777" w:rsidR="00C52A9F" w:rsidRPr="00C52A9F" w:rsidRDefault="00C52A9F" w:rsidP="00C52A9F">
            <w:pPr>
              <w:contextualSpacing/>
              <w:jc w:val="center"/>
              <w:rPr>
                <w:rFonts w:ascii="Century Gothic" w:hAnsi="Century Gothic" w:cs="Arial"/>
                <w:b/>
                <w:lang w:val="es-MX" w:eastAsia="es-MX"/>
              </w:rPr>
            </w:pPr>
            <w:r w:rsidRPr="00C52A9F">
              <w:rPr>
                <w:rFonts w:ascii="Century Gothic" w:hAnsi="Century Gothic" w:cs="Arial"/>
                <w:b/>
                <w:lang w:val="es-MX" w:eastAsia="es-MX"/>
              </w:rPr>
              <w:t>VOCAL</w:t>
            </w:r>
          </w:p>
        </w:tc>
        <w:tc>
          <w:tcPr>
            <w:tcW w:w="2268" w:type="dxa"/>
          </w:tcPr>
          <w:p w14:paraId="3C2F2A23" w14:textId="77777777" w:rsidR="00C52A9F" w:rsidRPr="00C52A9F" w:rsidRDefault="00C52A9F" w:rsidP="00C52A9F">
            <w:pPr>
              <w:jc w:val="both"/>
              <w:rPr>
                <w:rFonts w:ascii="Century Gothic" w:hAnsi="Century Gothic" w:cs="Arial"/>
                <w:b/>
              </w:rPr>
            </w:pPr>
          </w:p>
        </w:tc>
        <w:tc>
          <w:tcPr>
            <w:tcW w:w="2268" w:type="dxa"/>
          </w:tcPr>
          <w:p w14:paraId="7870451F" w14:textId="77777777" w:rsidR="00C52A9F" w:rsidRPr="00C52A9F" w:rsidRDefault="00C52A9F" w:rsidP="00C52A9F">
            <w:pPr>
              <w:jc w:val="both"/>
              <w:rPr>
                <w:rFonts w:ascii="Century Gothic" w:hAnsi="Century Gothic" w:cs="Arial"/>
                <w:b/>
              </w:rPr>
            </w:pPr>
          </w:p>
        </w:tc>
        <w:tc>
          <w:tcPr>
            <w:tcW w:w="1985" w:type="dxa"/>
          </w:tcPr>
          <w:p w14:paraId="0618B040" w14:textId="77777777" w:rsidR="00C52A9F" w:rsidRPr="00C52A9F" w:rsidRDefault="00C52A9F" w:rsidP="00C52A9F">
            <w:pPr>
              <w:jc w:val="both"/>
              <w:rPr>
                <w:rFonts w:ascii="Century Gothic" w:hAnsi="Century Gothic" w:cs="Arial"/>
                <w:b/>
              </w:rPr>
            </w:pPr>
          </w:p>
        </w:tc>
      </w:tr>
      <w:tr w:rsidR="00C52A9F" w:rsidRPr="00C52A9F" w14:paraId="34CF9194" w14:textId="77777777" w:rsidTr="000C06B6">
        <w:tc>
          <w:tcPr>
            <w:tcW w:w="1702" w:type="dxa"/>
            <w:tcBorders>
              <w:top w:val="single" w:sz="4" w:space="0" w:color="auto"/>
              <w:left w:val="single" w:sz="4" w:space="0" w:color="auto"/>
              <w:bottom w:val="single" w:sz="4" w:space="0" w:color="auto"/>
              <w:right w:val="single" w:sz="4" w:space="0" w:color="auto"/>
            </w:tcBorders>
          </w:tcPr>
          <w:p w14:paraId="12E65663" w14:textId="77777777" w:rsidR="00C52A9F" w:rsidRPr="00C52A9F" w:rsidRDefault="00C52A9F" w:rsidP="00C52A9F">
            <w:pPr>
              <w:jc w:val="both"/>
              <w:rPr>
                <w:rFonts w:ascii="Century Gothic" w:hAnsi="Century Gothic" w:cs="Arial"/>
                <w:b/>
                <w:noProof/>
                <w:lang w:val="es-MX" w:eastAsia="es-MX"/>
              </w:rPr>
            </w:pPr>
            <w:r w:rsidRPr="00C52A9F">
              <w:rPr>
                <w:rFonts w:ascii="Century Gothic" w:hAnsi="Century Gothic" w:cs="Arial"/>
                <w:b/>
                <w:noProof/>
                <w:color w:val="000000"/>
                <w:lang w:val="es-MX" w:eastAsia="es-MX"/>
              </w:rPr>
              <w:drawing>
                <wp:anchor distT="0" distB="0" distL="114300" distR="114300" simplePos="0" relativeHeight="251663360" behindDoc="1" locked="0" layoutInCell="1" allowOverlap="1" wp14:anchorId="0A2693D4" wp14:editId="0501EE08">
                  <wp:simplePos x="0" y="0"/>
                  <wp:positionH relativeFrom="column">
                    <wp:posOffset>67310</wp:posOffset>
                  </wp:positionH>
                  <wp:positionV relativeFrom="paragraph">
                    <wp:posOffset>88900</wp:posOffset>
                  </wp:positionV>
                  <wp:extent cx="829310" cy="1099185"/>
                  <wp:effectExtent l="0" t="0" r="8890" b="5715"/>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eyanira.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829310" cy="1099185"/>
                          </a:xfrm>
                          <a:prstGeom prst="rect">
                            <a:avLst/>
                          </a:prstGeom>
                        </pic:spPr>
                      </pic:pic>
                    </a:graphicData>
                  </a:graphic>
                  <wp14:sizeRelH relativeFrom="page">
                    <wp14:pctWidth>0</wp14:pctWidth>
                  </wp14:sizeRelH>
                  <wp14:sizeRelV relativeFrom="page">
                    <wp14:pctHeight>0</wp14:pctHeight>
                  </wp14:sizeRelV>
                </wp:anchor>
              </w:drawing>
            </w:r>
          </w:p>
        </w:tc>
        <w:tc>
          <w:tcPr>
            <w:tcW w:w="1984" w:type="dxa"/>
            <w:tcBorders>
              <w:top w:val="single" w:sz="4" w:space="0" w:color="auto"/>
              <w:left w:val="single" w:sz="4" w:space="0" w:color="auto"/>
              <w:bottom w:val="single" w:sz="4" w:space="0" w:color="auto"/>
              <w:right w:val="single" w:sz="4" w:space="0" w:color="auto"/>
            </w:tcBorders>
          </w:tcPr>
          <w:p w14:paraId="298CC33F" w14:textId="77777777" w:rsidR="00C52A9F" w:rsidRPr="00C52A9F" w:rsidRDefault="00C52A9F" w:rsidP="00C52A9F">
            <w:pPr>
              <w:contextualSpacing/>
              <w:jc w:val="center"/>
              <w:rPr>
                <w:rFonts w:ascii="Century Gothic" w:hAnsi="Century Gothic" w:cs="Arial"/>
                <w:b/>
                <w:lang w:val="es-MX" w:eastAsia="es-MX"/>
              </w:rPr>
            </w:pPr>
          </w:p>
          <w:p w14:paraId="182B12F8" w14:textId="77777777" w:rsidR="00C52A9F" w:rsidRPr="00C52A9F" w:rsidRDefault="00C52A9F" w:rsidP="00C52A9F">
            <w:pPr>
              <w:contextualSpacing/>
              <w:jc w:val="center"/>
              <w:rPr>
                <w:rFonts w:ascii="Century Gothic" w:hAnsi="Century Gothic" w:cs="Arial"/>
                <w:b/>
                <w:lang w:val="es-MX" w:eastAsia="es-MX"/>
              </w:rPr>
            </w:pPr>
            <w:r w:rsidRPr="00C52A9F">
              <w:rPr>
                <w:rFonts w:ascii="Century Gothic" w:hAnsi="Century Gothic" w:cs="Arial"/>
                <w:b/>
                <w:lang w:val="es-MX" w:eastAsia="es-MX"/>
              </w:rPr>
              <w:t>DIP. GUSTAVO DE LA ROSA HICKERSON</w:t>
            </w:r>
          </w:p>
          <w:p w14:paraId="478367B8" w14:textId="77777777" w:rsidR="00C52A9F" w:rsidRPr="00C52A9F" w:rsidRDefault="00C52A9F" w:rsidP="00C52A9F">
            <w:pPr>
              <w:contextualSpacing/>
              <w:jc w:val="center"/>
              <w:rPr>
                <w:rFonts w:ascii="Century Gothic" w:hAnsi="Century Gothic" w:cs="Arial"/>
                <w:b/>
                <w:lang w:val="es-MX" w:eastAsia="es-MX"/>
              </w:rPr>
            </w:pPr>
            <w:r w:rsidRPr="00C52A9F">
              <w:rPr>
                <w:rFonts w:ascii="Century Gothic" w:hAnsi="Century Gothic" w:cs="Arial"/>
                <w:b/>
                <w:lang w:val="es-MX" w:eastAsia="es-MX"/>
              </w:rPr>
              <w:t>VOCAL</w:t>
            </w:r>
          </w:p>
          <w:p w14:paraId="172EDD74" w14:textId="77777777" w:rsidR="00C52A9F" w:rsidRPr="00C52A9F" w:rsidRDefault="00C52A9F" w:rsidP="00C52A9F">
            <w:pPr>
              <w:contextualSpacing/>
              <w:jc w:val="center"/>
              <w:rPr>
                <w:rFonts w:ascii="Century Gothic" w:hAnsi="Century Gothic" w:cs="Arial"/>
                <w:b/>
                <w:lang w:val="es-MX" w:eastAsia="es-MX"/>
              </w:rPr>
            </w:pPr>
          </w:p>
          <w:p w14:paraId="7BF27C49" w14:textId="77777777" w:rsidR="00C52A9F" w:rsidRPr="00C52A9F" w:rsidRDefault="00C52A9F" w:rsidP="00C52A9F">
            <w:pPr>
              <w:contextualSpacing/>
              <w:jc w:val="center"/>
              <w:rPr>
                <w:rFonts w:ascii="Century Gothic" w:hAnsi="Century Gothic" w:cs="Arial"/>
                <w:b/>
                <w:lang w:val="es-MX" w:eastAsia="es-MX"/>
              </w:rPr>
            </w:pPr>
          </w:p>
        </w:tc>
        <w:tc>
          <w:tcPr>
            <w:tcW w:w="2268" w:type="dxa"/>
            <w:tcBorders>
              <w:top w:val="single" w:sz="4" w:space="0" w:color="auto"/>
              <w:left w:val="single" w:sz="4" w:space="0" w:color="auto"/>
              <w:bottom w:val="single" w:sz="4" w:space="0" w:color="auto"/>
              <w:right w:val="single" w:sz="4" w:space="0" w:color="auto"/>
            </w:tcBorders>
          </w:tcPr>
          <w:p w14:paraId="2096F1DC" w14:textId="77777777" w:rsidR="00C52A9F" w:rsidRPr="00C52A9F" w:rsidRDefault="00C52A9F" w:rsidP="00C52A9F">
            <w:pPr>
              <w:jc w:val="both"/>
              <w:rPr>
                <w:rFonts w:ascii="Century Gothic" w:hAnsi="Century Gothic" w:cs="Arial"/>
                <w:b/>
              </w:rPr>
            </w:pPr>
          </w:p>
        </w:tc>
        <w:tc>
          <w:tcPr>
            <w:tcW w:w="2268" w:type="dxa"/>
            <w:tcBorders>
              <w:top w:val="single" w:sz="4" w:space="0" w:color="auto"/>
              <w:left w:val="single" w:sz="4" w:space="0" w:color="auto"/>
              <w:bottom w:val="single" w:sz="4" w:space="0" w:color="auto"/>
              <w:right w:val="single" w:sz="4" w:space="0" w:color="auto"/>
            </w:tcBorders>
          </w:tcPr>
          <w:p w14:paraId="59C949C8" w14:textId="77777777" w:rsidR="00C52A9F" w:rsidRPr="00C52A9F" w:rsidRDefault="00C52A9F" w:rsidP="00C52A9F">
            <w:pPr>
              <w:jc w:val="both"/>
              <w:rPr>
                <w:rFonts w:ascii="Century Gothic" w:hAnsi="Century Gothic" w:cs="Arial"/>
                <w:b/>
              </w:rPr>
            </w:pPr>
          </w:p>
        </w:tc>
        <w:tc>
          <w:tcPr>
            <w:tcW w:w="1985" w:type="dxa"/>
            <w:tcBorders>
              <w:top w:val="single" w:sz="4" w:space="0" w:color="auto"/>
              <w:left w:val="single" w:sz="4" w:space="0" w:color="auto"/>
              <w:bottom w:val="single" w:sz="4" w:space="0" w:color="auto"/>
              <w:right w:val="single" w:sz="4" w:space="0" w:color="auto"/>
            </w:tcBorders>
          </w:tcPr>
          <w:p w14:paraId="1A2054BA" w14:textId="77777777" w:rsidR="00C52A9F" w:rsidRPr="00C52A9F" w:rsidRDefault="00C52A9F" w:rsidP="00C52A9F">
            <w:pPr>
              <w:jc w:val="both"/>
              <w:rPr>
                <w:rFonts w:ascii="Century Gothic" w:hAnsi="Century Gothic" w:cs="Arial"/>
                <w:b/>
              </w:rPr>
            </w:pPr>
          </w:p>
          <w:p w14:paraId="655F1997" w14:textId="77777777" w:rsidR="00C52A9F" w:rsidRPr="00C52A9F" w:rsidRDefault="00C52A9F" w:rsidP="00C52A9F">
            <w:pPr>
              <w:jc w:val="both"/>
              <w:rPr>
                <w:rFonts w:ascii="Century Gothic" w:hAnsi="Century Gothic" w:cs="Arial"/>
                <w:b/>
              </w:rPr>
            </w:pPr>
          </w:p>
          <w:p w14:paraId="0C65B4A3" w14:textId="77777777" w:rsidR="00C52A9F" w:rsidRPr="00C52A9F" w:rsidRDefault="00C52A9F" w:rsidP="00C52A9F">
            <w:pPr>
              <w:jc w:val="both"/>
              <w:rPr>
                <w:rFonts w:ascii="Century Gothic" w:hAnsi="Century Gothic" w:cs="Arial"/>
                <w:b/>
              </w:rPr>
            </w:pPr>
          </w:p>
        </w:tc>
      </w:tr>
      <w:tr w:rsidR="00C52A9F" w:rsidRPr="00C52A9F" w14:paraId="558A02C3" w14:textId="77777777" w:rsidTr="000C06B6">
        <w:tc>
          <w:tcPr>
            <w:tcW w:w="1702" w:type="dxa"/>
            <w:tcBorders>
              <w:top w:val="single" w:sz="4" w:space="0" w:color="auto"/>
              <w:left w:val="single" w:sz="4" w:space="0" w:color="auto"/>
              <w:bottom w:val="single" w:sz="4" w:space="0" w:color="auto"/>
              <w:right w:val="single" w:sz="4" w:space="0" w:color="auto"/>
            </w:tcBorders>
          </w:tcPr>
          <w:p w14:paraId="1A10B5BB" w14:textId="77777777" w:rsidR="00C52A9F" w:rsidRPr="00C52A9F" w:rsidRDefault="00C52A9F" w:rsidP="00C52A9F">
            <w:pPr>
              <w:jc w:val="both"/>
              <w:rPr>
                <w:rFonts w:ascii="Century Gothic" w:hAnsi="Century Gothic" w:cs="Arial"/>
                <w:b/>
                <w:noProof/>
                <w:lang w:val="es-MX" w:eastAsia="es-MX"/>
              </w:rPr>
            </w:pPr>
            <w:r w:rsidRPr="00C52A9F">
              <w:rPr>
                <w:rFonts w:ascii="Century Gothic" w:hAnsi="Century Gothic" w:cs="Arial"/>
                <w:b/>
                <w:noProof/>
                <w:lang w:val="es-MX" w:eastAsia="es-MX"/>
              </w:rPr>
              <w:drawing>
                <wp:inline distT="0" distB="0" distL="0" distR="0" wp14:anchorId="36155D5B" wp14:editId="6CAB4B97">
                  <wp:extent cx="920151" cy="1219200"/>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lson.jpg"/>
                          <pic:cNvPicPr/>
                        </pic:nvPicPr>
                        <pic:blipFill>
                          <a:blip r:embed="rId17">
                            <a:extLst>
                              <a:ext uri="{28A0092B-C50C-407E-A947-70E740481C1C}">
                                <a14:useLocalDpi xmlns:a14="http://schemas.microsoft.com/office/drawing/2010/main" val="0"/>
                              </a:ext>
                            </a:extLst>
                          </a:blip>
                          <a:stretch>
                            <a:fillRect/>
                          </a:stretch>
                        </pic:blipFill>
                        <pic:spPr>
                          <a:xfrm>
                            <a:off x="0" y="0"/>
                            <a:ext cx="941714" cy="1247771"/>
                          </a:xfrm>
                          <a:prstGeom prst="rect">
                            <a:avLst/>
                          </a:prstGeom>
                        </pic:spPr>
                      </pic:pic>
                    </a:graphicData>
                  </a:graphic>
                </wp:inline>
              </w:drawing>
            </w:r>
          </w:p>
        </w:tc>
        <w:tc>
          <w:tcPr>
            <w:tcW w:w="1984" w:type="dxa"/>
            <w:tcBorders>
              <w:top w:val="single" w:sz="4" w:space="0" w:color="auto"/>
              <w:left w:val="single" w:sz="4" w:space="0" w:color="auto"/>
              <w:bottom w:val="single" w:sz="4" w:space="0" w:color="auto"/>
              <w:right w:val="single" w:sz="4" w:space="0" w:color="auto"/>
            </w:tcBorders>
          </w:tcPr>
          <w:p w14:paraId="0E188E0B" w14:textId="77777777" w:rsidR="00C52A9F" w:rsidRPr="00C52A9F" w:rsidRDefault="00C52A9F" w:rsidP="00C52A9F">
            <w:pPr>
              <w:contextualSpacing/>
              <w:jc w:val="center"/>
              <w:rPr>
                <w:rFonts w:ascii="Century Gothic" w:hAnsi="Century Gothic" w:cs="Arial"/>
                <w:b/>
                <w:lang w:val="es-MX" w:eastAsia="es-MX"/>
              </w:rPr>
            </w:pPr>
          </w:p>
          <w:p w14:paraId="5F0DFDEE" w14:textId="77777777" w:rsidR="00C52A9F" w:rsidRPr="00C52A9F" w:rsidRDefault="00C52A9F" w:rsidP="00C52A9F">
            <w:pPr>
              <w:contextualSpacing/>
              <w:jc w:val="center"/>
              <w:rPr>
                <w:rFonts w:ascii="Century Gothic" w:hAnsi="Century Gothic" w:cs="Arial"/>
                <w:b/>
                <w:lang w:val="es-MX" w:eastAsia="es-MX"/>
              </w:rPr>
            </w:pPr>
            <w:r w:rsidRPr="00C52A9F">
              <w:rPr>
                <w:rFonts w:ascii="Century Gothic" w:hAnsi="Century Gothic" w:cs="Arial"/>
                <w:b/>
                <w:lang w:val="es-MX" w:eastAsia="es-MX"/>
              </w:rPr>
              <w:t>DIP. CARLOS ALFREDO OLSON SAN VICENTE</w:t>
            </w:r>
          </w:p>
          <w:p w14:paraId="36D38DAB" w14:textId="77777777" w:rsidR="00C52A9F" w:rsidRPr="00C52A9F" w:rsidRDefault="00C52A9F" w:rsidP="00C52A9F">
            <w:pPr>
              <w:contextualSpacing/>
              <w:jc w:val="center"/>
              <w:rPr>
                <w:rFonts w:ascii="Century Gothic" w:hAnsi="Century Gothic" w:cs="Arial"/>
                <w:b/>
                <w:lang w:val="es-MX" w:eastAsia="es-MX"/>
              </w:rPr>
            </w:pPr>
            <w:r w:rsidRPr="00C52A9F">
              <w:rPr>
                <w:rFonts w:ascii="Century Gothic" w:hAnsi="Century Gothic" w:cs="Arial"/>
                <w:b/>
                <w:lang w:val="es-MX" w:eastAsia="es-MX"/>
              </w:rPr>
              <w:t>VOCAL</w:t>
            </w:r>
          </w:p>
          <w:p w14:paraId="6CEEBCC6" w14:textId="77777777" w:rsidR="00C52A9F" w:rsidRPr="00C52A9F" w:rsidRDefault="00C52A9F" w:rsidP="00C52A9F">
            <w:pPr>
              <w:contextualSpacing/>
              <w:jc w:val="center"/>
              <w:rPr>
                <w:rFonts w:ascii="Century Gothic" w:hAnsi="Century Gothic" w:cs="Arial"/>
                <w:b/>
                <w:lang w:val="es-MX" w:eastAsia="es-MX"/>
              </w:rPr>
            </w:pPr>
          </w:p>
        </w:tc>
        <w:tc>
          <w:tcPr>
            <w:tcW w:w="2268" w:type="dxa"/>
            <w:tcBorders>
              <w:top w:val="single" w:sz="4" w:space="0" w:color="auto"/>
              <w:left w:val="single" w:sz="4" w:space="0" w:color="auto"/>
              <w:bottom w:val="single" w:sz="4" w:space="0" w:color="auto"/>
              <w:right w:val="single" w:sz="4" w:space="0" w:color="auto"/>
            </w:tcBorders>
          </w:tcPr>
          <w:p w14:paraId="1DCCE81A" w14:textId="77777777" w:rsidR="00C52A9F" w:rsidRPr="00C52A9F" w:rsidRDefault="00C52A9F" w:rsidP="00C52A9F">
            <w:pPr>
              <w:jc w:val="both"/>
              <w:rPr>
                <w:rFonts w:ascii="Century Gothic" w:hAnsi="Century Gothic" w:cs="Arial"/>
                <w:b/>
              </w:rPr>
            </w:pPr>
          </w:p>
        </w:tc>
        <w:tc>
          <w:tcPr>
            <w:tcW w:w="2268" w:type="dxa"/>
            <w:tcBorders>
              <w:top w:val="single" w:sz="4" w:space="0" w:color="auto"/>
              <w:left w:val="single" w:sz="4" w:space="0" w:color="auto"/>
              <w:bottom w:val="single" w:sz="4" w:space="0" w:color="auto"/>
              <w:right w:val="single" w:sz="4" w:space="0" w:color="auto"/>
            </w:tcBorders>
          </w:tcPr>
          <w:p w14:paraId="58F0DDC6" w14:textId="77777777" w:rsidR="00C52A9F" w:rsidRPr="00C52A9F" w:rsidRDefault="00C52A9F" w:rsidP="00C52A9F">
            <w:pPr>
              <w:jc w:val="both"/>
              <w:rPr>
                <w:rFonts w:ascii="Century Gothic" w:hAnsi="Century Gothic" w:cs="Arial"/>
                <w:b/>
              </w:rPr>
            </w:pPr>
          </w:p>
        </w:tc>
        <w:tc>
          <w:tcPr>
            <w:tcW w:w="1985" w:type="dxa"/>
            <w:tcBorders>
              <w:top w:val="single" w:sz="4" w:space="0" w:color="auto"/>
              <w:left w:val="single" w:sz="4" w:space="0" w:color="auto"/>
              <w:bottom w:val="single" w:sz="4" w:space="0" w:color="auto"/>
              <w:right w:val="single" w:sz="4" w:space="0" w:color="auto"/>
            </w:tcBorders>
          </w:tcPr>
          <w:p w14:paraId="2B78D4D7" w14:textId="77777777" w:rsidR="00C52A9F" w:rsidRPr="00C52A9F" w:rsidRDefault="00C52A9F" w:rsidP="00C52A9F">
            <w:pPr>
              <w:jc w:val="both"/>
              <w:rPr>
                <w:rFonts w:ascii="Century Gothic" w:hAnsi="Century Gothic" w:cs="Arial"/>
                <w:b/>
              </w:rPr>
            </w:pPr>
          </w:p>
        </w:tc>
      </w:tr>
    </w:tbl>
    <w:p w14:paraId="2A98D7B2" w14:textId="77777777" w:rsidR="00C52A9F" w:rsidRPr="00C52A9F" w:rsidRDefault="00C52A9F" w:rsidP="00C52A9F">
      <w:pPr>
        <w:spacing w:line="360" w:lineRule="auto"/>
        <w:contextualSpacing/>
        <w:jc w:val="both"/>
        <w:rPr>
          <w:rFonts w:ascii="Century Gothic" w:hAnsi="Century Gothic"/>
          <w:b/>
          <w:sz w:val="16"/>
          <w:szCs w:val="16"/>
          <w:lang w:val="es-MX" w:eastAsia="es-MX"/>
        </w:rPr>
      </w:pPr>
    </w:p>
    <w:p w14:paraId="44978DDF" w14:textId="05A8802C" w:rsidR="00C52A9F" w:rsidRPr="00C52A9F" w:rsidRDefault="00C52A9F" w:rsidP="00C52A9F">
      <w:pPr>
        <w:contextualSpacing/>
        <w:jc w:val="both"/>
        <w:rPr>
          <w:rFonts w:ascii="Calibri" w:hAnsi="Calibri"/>
          <w:sz w:val="22"/>
          <w:szCs w:val="22"/>
          <w:lang w:val="es-MX" w:eastAsia="es-MX"/>
        </w:rPr>
      </w:pPr>
      <w:r w:rsidRPr="00C52A9F">
        <w:rPr>
          <w:rFonts w:ascii="Century Gothic" w:eastAsia="Arial" w:hAnsi="Century Gothic" w:cs="Arial"/>
          <w:sz w:val="20"/>
          <w:szCs w:val="20"/>
          <w:lang w:val="es-MX" w:eastAsia="es-MX"/>
        </w:rPr>
        <w:t xml:space="preserve">LA PRESENTE HOJA DE FIRMAS CORRESPONDE AL DICTAMEN RECAÍDO EN EL ASUNTO </w:t>
      </w:r>
      <w:r w:rsidR="00AF74C6">
        <w:rPr>
          <w:rFonts w:ascii="Century Gothic" w:eastAsia="Arial" w:hAnsi="Century Gothic" w:cs="Arial"/>
          <w:sz w:val="20"/>
          <w:szCs w:val="20"/>
          <w:lang w:val="es-MX" w:eastAsia="es-MX"/>
        </w:rPr>
        <w:t>658</w:t>
      </w:r>
      <w:r w:rsidRPr="00C52A9F">
        <w:rPr>
          <w:rFonts w:ascii="Century Gothic" w:eastAsia="Arial" w:hAnsi="Century Gothic" w:cs="Arial"/>
          <w:sz w:val="20"/>
          <w:szCs w:val="20"/>
          <w:lang w:val="es-MX" w:eastAsia="es-MX"/>
        </w:rPr>
        <w:t>, DE LA COMISIÓN DE JUSTICIA.</w:t>
      </w:r>
    </w:p>
    <w:p w14:paraId="052A856C" w14:textId="77777777" w:rsidR="00C52A9F" w:rsidRDefault="00C52A9F" w:rsidP="0014239A">
      <w:pPr>
        <w:spacing w:line="360" w:lineRule="auto"/>
        <w:jc w:val="both"/>
        <w:rPr>
          <w:rFonts w:ascii="Century Gothic" w:hAnsi="Century Gothic"/>
        </w:rPr>
      </w:pPr>
    </w:p>
    <w:sectPr w:rsidR="00C52A9F" w:rsidSect="007422ED">
      <w:headerReference w:type="default" r:id="rId18"/>
      <w:footerReference w:type="even" r:id="rId19"/>
      <w:footerReference w:type="default" r:id="rId20"/>
      <w:pgSz w:w="12240" w:h="15840" w:code="1"/>
      <w:pgMar w:top="3402" w:right="1418" w:bottom="170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6B492D" w14:textId="77777777" w:rsidR="00E60829" w:rsidRDefault="00E60829" w:rsidP="00331CBA">
      <w:r>
        <w:separator/>
      </w:r>
    </w:p>
  </w:endnote>
  <w:endnote w:type="continuationSeparator" w:id="0">
    <w:p w14:paraId="63F8B043" w14:textId="77777777" w:rsidR="00E60829" w:rsidRDefault="00E60829" w:rsidP="00331C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BF4095" w14:textId="77777777" w:rsidR="00287930" w:rsidRDefault="00287930">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171D7889" w14:textId="77777777" w:rsidR="00287930" w:rsidRDefault="00287930">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75007"/>
      <w:docPartObj>
        <w:docPartGallery w:val="Page Numbers (Bottom of Page)"/>
        <w:docPartUnique/>
      </w:docPartObj>
    </w:sdtPr>
    <w:sdtEndPr/>
    <w:sdtContent>
      <w:p w14:paraId="56F04F2D" w14:textId="77777777" w:rsidR="00287930" w:rsidRDefault="00287930">
        <w:pPr>
          <w:pStyle w:val="Piedepgina"/>
          <w:jc w:val="right"/>
        </w:pPr>
        <w:r>
          <w:rPr>
            <w:noProof/>
          </w:rPr>
          <w:fldChar w:fldCharType="begin"/>
        </w:r>
        <w:r>
          <w:rPr>
            <w:noProof/>
          </w:rPr>
          <w:instrText xml:space="preserve"> PAGE   \* MERGEFORMAT </w:instrText>
        </w:r>
        <w:r>
          <w:rPr>
            <w:noProof/>
          </w:rPr>
          <w:fldChar w:fldCharType="separate"/>
        </w:r>
        <w:r w:rsidR="000132CD">
          <w:rPr>
            <w:noProof/>
          </w:rPr>
          <w:t>1</w:t>
        </w:r>
        <w:r>
          <w:rPr>
            <w:noProof/>
          </w:rPr>
          <w:fldChar w:fldCharType="end"/>
        </w:r>
      </w:p>
    </w:sdtContent>
  </w:sdt>
  <w:p w14:paraId="5C1A4E08" w14:textId="2670BC39" w:rsidR="00287930" w:rsidRPr="00FC48FC" w:rsidRDefault="00287930" w:rsidP="00356B4E">
    <w:pPr>
      <w:pStyle w:val="Piedepgina"/>
      <w:tabs>
        <w:tab w:val="center" w:pos="4986"/>
        <w:tab w:val="left" w:pos="7185"/>
      </w:tabs>
      <w:rPr>
        <w:lang w:val="en-US"/>
      </w:rPr>
    </w:pPr>
    <w:r>
      <w:rPr>
        <w:rFonts w:ascii="Arial" w:hAnsi="Arial" w:cs="Arial"/>
        <w:sz w:val="16"/>
        <w:szCs w:val="16"/>
        <w:lang w:val="en-US"/>
      </w:rPr>
      <w:t>A</w:t>
    </w:r>
    <w:r w:rsidR="000A3638">
      <w:rPr>
        <w:rFonts w:ascii="Arial" w:hAnsi="Arial" w:cs="Arial"/>
        <w:sz w:val="16"/>
        <w:szCs w:val="16"/>
        <w:lang w:val="en-US"/>
      </w:rPr>
      <w:t>658</w:t>
    </w:r>
    <w:r>
      <w:rPr>
        <w:rFonts w:ascii="Arial" w:hAnsi="Arial" w:cs="Arial"/>
        <w:sz w:val="16"/>
        <w:szCs w:val="16"/>
        <w:lang w:val="en-US"/>
      </w:rPr>
      <w:t xml:space="preserve"> /ERS/GAOR/RMO/GTN</w:t>
    </w:r>
  </w:p>
  <w:p w14:paraId="78307D31" w14:textId="77777777" w:rsidR="00287930" w:rsidRPr="00FC48FC" w:rsidRDefault="00287930" w:rsidP="0091427A">
    <w:pPr>
      <w:pStyle w:val="Piedepgina"/>
      <w:tabs>
        <w:tab w:val="center" w:pos="4986"/>
        <w:tab w:val="left" w:pos="7185"/>
      </w:tabs>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67541E" w14:textId="77777777" w:rsidR="00E60829" w:rsidRDefault="00E60829" w:rsidP="00331CBA">
      <w:r>
        <w:separator/>
      </w:r>
    </w:p>
  </w:footnote>
  <w:footnote w:type="continuationSeparator" w:id="0">
    <w:p w14:paraId="30FE6C95" w14:textId="77777777" w:rsidR="00E60829" w:rsidRDefault="00E60829" w:rsidP="00331CBA">
      <w:r>
        <w:continuationSeparator/>
      </w:r>
    </w:p>
  </w:footnote>
  <w:footnote w:id="1">
    <w:p w14:paraId="49D4B1DA" w14:textId="77777777" w:rsidR="000A3638" w:rsidRDefault="000A3638" w:rsidP="000A3638">
      <w:pPr>
        <w:pStyle w:val="Textonotapie"/>
        <w:jc w:val="both"/>
      </w:pPr>
      <w:r w:rsidRPr="00DE15DC">
        <w:rPr>
          <w:rFonts w:ascii="Century Gothic" w:eastAsia="Century Gothic" w:hAnsi="Century Gothic" w:cs="Century Gothic"/>
          <w:sz w:val="16"/>
          <w:szCs w:val="24"/>
        </w:rPr>
        <w:footnoteRef/>
      </w:r>
      <w:r w:rsidRPr="00DE15DC">
        <w:rPr>
          <w:rFonts w:ascii="Century Gothic" w:eastAsia="Century Gothic" w:hAnsi="Century Gothic" w:cs="Century Gothic"/>
          <w:sz w:val="16"/>
          <w:szCs w:val="24"/>
        </w:rPr>
        <w:t xml:space="preserve"> Por cada delito sexual contra hombres, hay 11 contra mujeres, FORBES. Recuperado el 29 de noviembre de 2021, disponible en https://www.forbes.com.mx/por-cada-delito-sexual-contra-hombres-hay-11-contra-una-mujeres-inmujeres/</w:t>
      </w:r>
    </w:p>
  </w:footnote>
  <w:footnote w:id="2">
    <w:p w14:paraId="7FB7E477" w14:textId="77777777" w:rsidR="000A3638" w:rsidRDefault="000A3638" w:rsidP="000A3638">
      <w:pPr>
        <w:pStyle w:val="Textonotapie"/>
        <w:jc w:val="both"/>
      </w:pPr>
      <w:r w:rsidRPr="00C54D0D">
        <w:rPr>
          <w:rFonts w:ascii="Century Gothic" w:eastAsia="Century Gothic" w:hAnsi="Century Gothic" w:cs="Century Gothic"/>
          <w:sz w:val="16"/>
          <w:szCs w:val="24"/>
        </w:rPr>
        <w:footnoteRef/>
      </w:r>
      <w:r w:rsidRPr="00C54D0D">
        <w:rPr>
          <w:rFonts w:ascii="Century Gothic" w:eastAsia="Century Gothic" w:hAnsi="Century Gothic" w:cs="Century Gothic"/>
          <w:sz w:val="16"/>
          <w:szCs w:val="24"/>
        </w:rPr>
        <w:t xml:space="preserve"> Violencia contra las mujeres, ONU Mujeres. Recuperado el 29 de noviembre de 2021, disponible en https://interactive.unwomen.org/multimedia/infographic/violenceagainstwomen/es/index.html</w:t>
      </w:r>
    </w:p>
  </w:footnote>
  <w:footnote w:id="3">
    <w:p w14:paraId="4CC49520" w14:textId="77777777" w:rsidR="000A3638" w:rsidRDefault="000A3638" w:rsidP="000A3638">
      <w:pPr>
        <w:pStyle w:val="Textonotapie"/>
        <w:jc w:val="both"/>
      </w:pPr>
      <w:r>
        <w:rPr>
          <w:rStyle w:val="Refdenotaalpie"/>
        </w:rPr>
        <w:footnoteRef/>
      </w:r>
      <w:r>
        <w:t xml:space="preserve"> </w:t>
      </w:r>
      <w:r w:rsidRPr="00D72E10">
        <w:rPr>
          <w:rFonts w:ascii="Century Gothic" w:eastAsia="Century Gothic" w:hAnsi="Century Gothic" w:cs="Century Gothic"/>
          <w:color w:val="000000"/>
          <w:sz w:val="18"/>
          <w:szCs w:val="24"/>
        </w:rPr>
        <w:t>Violencia sexual contra las mujeres y consumo de drogas, INMUJERES. Recuperado el 29 de noviembre de 2021, disponible en http://cedoc.inmujeres.gob.mx/documentos_download/101277.pdf</w:t>
      </w:r>
    </w:p>
  </w:footnote>
  <w:footnote w:id="4">
    <w:p w14:paraId="474CF192" w14:textId="77777777" w:rsidR="008F251B" w:rsidRDefault="008F251B" w:rsidP="005F49A2">
      <w:pPr>
        <w:pStyle w:val="Textonotapie"/>
        <w:jc w:val="both"/>
      </w:pPr>
      <w:r>
        <w:rPr>
          <w:rStyle w:val="Refdenotaalpie"/>
        </w:rPr>
        <w:footnoteRef/>
      </w:r>
      <w:r>
        <w:t xml:space="preserve"> </w:t>
      </w:r>
      <w:r w:rsidRPr="00CC2483">
        <w:rPr>
          <w:i/>
          <w:iCs/>
        </w:rPr>
        <w:t>Cfr</w:t>
      </w:r>
      <w:r>
        <w:t xml:space="preserve">. Instituto Nacional de Estadística y Geografía. Programas de información. Encuestas. </w:t>
      </w:r>
      <w:r w:rsidRPr="00CC2483">
        <w:t>Encuesta Nacional sobre la Dinámica de las Relaciones en los Hogares (ENDIREH) 2016</w:t>
      </w:r>
      <w:r>
        <w:t xml:space="preserve"> </w:t>
      </w:r>
      <w:r w:rsidRPr="00CC2483">
        <w:t>https://www.inegi.org.mx/programas/endireh/2016/</w:t>
      </w:r>
      <w:r>
        <w:t xml:space="preserve"> 20/01/22</w:t>
      </w:r>
    </w:p>
  </w:footnote>
  <w:footnote w:id="5">
    <w:p w14:paraId="05771818" w14:textId="6AE44769" w:rsidR="00172105" w:rsidRDefault="00172105" w:rsidP="005F49A2">
      <w:pPr>
        <w:pStyle w:val="Textonotapie"/>
        <w:jc w:val="both"/>
      </w:pPr>
      <w:r>
        <w:rPr>
          <w:rStyle w:val="Refdenotaalpie"/>
        </w:rPr>
        <w:footnoteRef/>
      </w:r>
      <w:r>
        <w:t xml:space="preserve"> Ídem.</w:t>
      </w:r>
    </w:p>
  </w:footnote>
  <w:footnote w:id="6">
    <w:p w14:paraId="24E00CB0" w14:textId="17911BFB" w:rsidR="00172105" w:rsidRDefault="00172105" w:rsidP="005F49A2">
      <w:pPr>
        <w:pStyle w:val="Textonotapie"/>
        <w:jc w:val="both"/>
      </w:pPr>
      <w:r>
        <w:rPr>
          <w:rStyle w:val="Refdenotaalpie"/>
        </w:rPr>
        <w:footnoteRef/>
      </w:r>
      <w:r>
        <w:t xml:space="preserve"> Ídem.</w:t>
      </w:r>
    </w:p>
  </w:footnote>
  <w:footnote w:id="7">
    <w:p w14:paraId="3AE8D5AD" w14:textId="1544130E" w:rsidR="00906D2D" w:rsidRPr="00906D2D" w:rsidRDefault="00906D2D" w:rsidP="005F49A2">
      <w:pPr>
        <w:pStyle w:val="Textonotapie"/>
        <w:jc w:val="both"/>
        <w:rPr>
          <w:lang w:val="es-MX"/>
        </w:rPr>
      </w:pPr>
      <w:r>
        <w:rPr>
          <w:rStyle w:val="Refdenotaalpie"/>
        </w:rPr>
        <w:footnoteRef/>
      </w:r>
      <w:r>
        <w:t xml:space="preserve"> </w:t>
      </w:r>
      <w:r w:rsidRPr="00906D2D">
        <w:rPr>
          <w:i/>
          <w:iCs/>
        </w:rPr>
        <w:t>Vid.</w:t>
      </w:r>
      <w:r>
        <w:t xml:space="preserve"> </w:t>
      </w:r>
      <w:r w:rsidRPr="00906D2D">
        <w:rPr>
          <w:lang w:val="es-MX"/>
        </w:rPr>
        <w:t>Violencia sexual contra las mujeres y consumo de drogas, INMUJERES.</w:t>
      </w:r>
      <w:r>
        <w:rPr>
          <w:lang w:val="es-MX"/>
        </w:rPr>
        <w:t xml:space="preserve"> p.26 y 27.</w:t>
      </w:r>
      <w:r w:rsidRPr="00906D2D">
        <w:rPr>
          <w:lang w:val="es-MX"/>
        </w:rPr>
        <w:t xml:space="preserve"> </w:t>
      </w:r>
      <w:r>
        <w:rPr>
          <w:lang w:val="es-MX"/>
        </w:rPr>
        <w:t>Puede ser consultado en el siguiente enlace:</w:t>
      </w:r>
      <w:r w:rsidRPr="00906D2D">
        <w:rPr>
          <w:lang w:val="es-MX"/>
        </w:rPr>
        <w:t xml:space="preserve"> http://cedoc.inmujeres.gob.mx/documentos_download/101277.pdf</w:t>
      </w:r>
    </w:p>
    <w:p w14:paraId="2A51360F" w14:textId="115A1A5A" w:rsidR="00906D2D" w:rsidRDefault="00906D2D" w:rsidP="005F49A2">
      <w:pPr>
        <w:pStyle w:val="Textonotapie"/>
        <w:jc w:val="both"/>
      </w:pPr>
    </w:p>
  </w:footnote>
  <w:footnote w:id="8">
    <w:p w14:paraId="3F8207C5" w14:textId="5C2BD217" w:rsidR="0054378B" w:rsidRDefault="0054378B" w:rsidP="005F49A2">
      <w:pPr>
        <w:pStyle w:val="Textonotapie"/>
        <w:jc w:val="both"/>
      </w:pPr>
      <w:r>
        <w:rPr>
          <w:rStyle w:val="Refdenotaalpie"/>
        </w:rPr>
        <w:footnoteRef/>
      </w:r>
      <w:r>
        <w:t xml:space="preserve"> </w:t>
      </w:r>
      <w:r w:rsidRPr="0054378B">
        <w:rPr>
          <w:i/>
          <w:iCs/>
        </w:rPr>
        <w:t>Cfr</w:t>
      </w:r>
      <w:r w:rsidRPr="0054378B">
        <w:t>. Instituto Nacional de Estadística y Geografía. Programas de información. Encuestas. Encuesta Nacional sobre la Dinámica de las Relaciones en los Hogares (ENDIREH) 2016 https://www.inegi.org.mx/programas/endireh/2016/ 20/01/22</w:t>
      </w:r>
    </w:p>
  </w:footnote>
  <w:footnote w:id="9">
    <w:p w14:paraId="37906847" w14:textId="490CF0DA" w:rsidR="00906D2D" w:rsidRDefault="00906D2D" w:rsidP="005F49A2">
      <w:pPr>
        <w:pStyle w:val="Textonotapie"/>
        <w:jc w:val="both"/>
      </w:pPr>
      <w:r>
        <w:rPr>
          <w:rStyle w:val="Refdenotaalpie"/>
        </w:rPr>
        <w:footnoteRef/>
      </w:r>
      <w:r>
        <w:t xml:space="preserve"> Ídem.</w:t>
      </w:r>
    </w:p>
  </w:footnote>
  <w:footnote w:id="10">
    <w:p w14:paraId="01BC3822" w14:textId="6EC7DE83" w:rsidR="00357F2C" w:rsidRDefault="00357F2C" w:rsidP="005F49A2">
      <w:pPr>
        <w:pStyle w:val="Textonotapie"/>
        <w:jc w:val="both"/>
      </w:pPr>
      <w:r>
        <w:rPr>
          <w:rStyle w:val="Refdenotaalpie"/>
        </w:rPr>
        <w:footnoteRef/>
      </w:r>
      <w:r>
        <w:t xml:space="preserve"> </w:t>
      </w:r>
      <w:r w:rsidRPr="00357F2C">
        <w:rPr>
          <w:i/>
          <w:iCs/>
        </w:rPr>
        <w:t>Vid.</w:t>
      </w:r>
      <w:r>
        <w:t xml:space="preserve"> Suprema Corte de Justicia de la Nación. Primera Sala. Jurisprudencia. Registro digital: 167602.</w:t>
      </w:r>
    </w:p>
    <w:p w14:paraId="5AAD3BBA" w14:textId="2F231712" w:rsidR="00357F2C" w:rsidRDefault="00357F2C" w:rsidP="005F49A2">
      <w:pPr>
        <w:pStyle w:val="Textonotapie"/>
        <w:jc w:val="both"/>
      </w:pPr>
      <w:r>
        <w:t>Novena Época</w:t>
      </w:r>
      <w:r w:rsidR="0042542D">
        <w:t>. M</w:t>
      </w:r>
      <w:r>
        <w:t>ateri</w:t>
      </w:r>
      <w:r w:rsidR="0042542D">
        <w:t>a</w:t>
      </w:r>
      <w:r>
        <w:t>: Penal</w:t>
      </w:r>
      <w:r w:rsidR="0042542D">
        <w:t xml:space="preserve">. </w:t>
      </w:r>
      <w:r>
        <w:t>Tesis: 1a./J. 122/2008</w:t>
      </w:r>
      <w:r w:rsidR="0042542D">
        <w:t xml:space="preserve">. </w:t>
      </w:r>
      <w:r>
        <w:t>Marzo de 2009</w:t>
      </w:r>
      <w:r w:rsidR="0042542D">
        <w:t xml:space="preserve">. </w:t>
      </w:r>
      <w:r>
        <w:t>VIOLENCIA FÍSICA COMO MEDIO ESPECÍFICO DE COMISIÓN EN EL DELITO DE VIOLACIÓN.</w:t>
      </w:r>
    </w:p>
  </w:footnote>
  <w:footnote w:id="11">
    <w:p w14:paraId="28D8D65B" w14:textId="77777777" w:rsidR="00ED2D1E" w:rsidRPr="00ED2D1E" w:rsidRDefault="00ED2D1E" w:rsidP="005F49A2">
      <w:pPr>
        <w:pStyle w:val="Textonotapie"/>
        <w:jc w:val="both"/>
      </w:pPr>
      <w:r>
        <w:rPr>
          <w:rStyle w:val="Refdenotaalpie"/>
        </w:rPr>
        <w:footnoteRef/>
      </w:r>
      <w:r>
        <w:t xml:space="preserve"> </w:t>
      </w:r>
      <w:r w:rsidRPr="009B1912">
        <w:rPr>
          <w:i/>
          <w:iCs/>
        </w:rPr>
        <w:t>Vid.</w:t>
      </w:r>
      <w:r>
        <w:t xml:space="preserve"> Código Penal del Estado de Chihuahua. </w:t>
      </w:r>
      <w:r w:rsidRPr="00ED2D1E">
        <w:t xml:space="preserve">Artículo 172. Se aplicarán de diez a treinta años de prisión a quien: </w:t>
      </w:r>
    </w:p>
    <w:p w14:paraId="21A4313C" w14:textId="77777777" w:rsidR="00ED2D1E" w:rsidRPr="00ED2D1E" w:rsidRDefault="00ED2D1E" w:rsidP="005F49A2">
      <w:pPr>
        <w:pStyle w:val="Textonotapie"/>
        <w:jc w:val="both"/>
      </w:pPr>
    </w:p>
    <w:p w14:paraId="3F647132" w14:textId="4EEDF035" w:rsidR="00ED2D1E" w:rsidRDefault="00ED2D1E" w:rsidP="005F49A2">
      <w:pPr>
        <w:pStyle w:val="Textonotapie"/>
        <w:jc w:val="both"/>
      </w:pPr>
      <w:r w:rsidRPr="00ED2D1E">
        <w:t>I.</w:t>
      </w:r>
      <w:r>
        <w:t xml:space="preserve"> </w:t>
      </w:r>
      <w:r w:rsidRPr="00ED2D1E">
        <w:t xml:space="preserve">Realice cópula con persona menor de catorce años de edad o con persona que no tenga la capacidad de comprender el significado del hecho o </w:t>
      </w:r>
      <w:r w:rsidRPr="00ED2D1E">
        <w:rPr>
          <w:b/>
          <w:bCs/>
        </w:rPr>
        <w:t>por cualquier causa no pueda resistirlo</w:t>
      </w:r>
      <w:r w:rsidRPr="00ED2D1E">
        <w:t xml:space="preserve">; o </w:t>
      </w:r>
    </w:p>
    <w:p w14:paraId="5F32A511" w14:textId="77777777" w:rsidR="00ED2D1E" w:rsidRDefault="00ED2D1E" w:rsidP="005F49A2">
      <w:pPr>
        <w:pStyle w:val="Textonotapie"/>
        <w:jc w:val="both"/>
      </w:pPr>
      <w:r>
        <w:t>…</w:t>
      </w:r>
      <w:r w:rsidRPr="00ED2D1E">
        <w:t xml:space="preserve"> </w:t>
      </w:r>
    </w:p>
    <w:p w14:paraId="5D613D90" w14:textId="020D9C52" w:rsidR="00ED2D1E" w:rsidRPr="00ED2D1E" w:rsidRDefault="00ED2D1E" w:rsidP="005F49A2">
      <w:pPr>
        <w:pStyle w:val="Textonotapie"/>
        <w:jc w:val="both"/>
      </w:pPr>
      <w:r w:rsidRPr="00ED2D1E">
        <w:t>Si se ejerciera violencia física o moral, la pena prevista se aumentará en una mitad.</w:t>
      </w:r>
    </w:p>
    <w:p w14:paraId="0B290F3E" w14:textId="7683A7EF" w:rsidR="00ED2D1E" w:rsidRDefault="00ED2D1E" w:rsidP="005F49A2">
      <w:pPr>
        <w:pStyle w:val="Textonotapie"/>
        <w:jc w:val="both"/>
      </w:pPr>
    </w:p>
  </w:footnote>
  <w:footnote w:id="12">
    <w:p w14:paraId="7CFFD508" w14:textId="2FF109D0" w:rsidR="006639C8" w:rsidRDefault="006639C8" w:rsidP="005F49A2">
      <w:pPr>
        <w:pStyle w:val="Textonotapie"/>
        <w:jc w:val="both"/>
      </w:pPr>
      <w:r>
        <w:rPr>
          <w:rStyle w:val="Refdenotaalpie"/>
        </w:rPr>
        <w:footnoteRef/>
      </w:r>
      <w:r>
        <w:t xml:space="preserve"> Ídem.</w:t>
      </w:r>
    </w:p>
  </w:footnote>
  <w:footnote w:id="13">
    <w:p w14:paraId="0B182302" w14:textId="5F2A557B" w:rsidR="00476FF2" w:rsidRDefault="00476FF2" w:rsidP="005F49A2">
      <w:pPr>
        <w:pStyle w:val="Textonotapie"/>
        <w:jc w:val="both"/>
      </w:pPr>
      <w:r>
        <w:rPr>
          <w:rStyle w:val="Refdenotaalpie"/>
        </w:rPr>
        <w:footnoteRef/>
      </w:r>
      <w:r>
        <w:t xml:space="preserve"> Vid. Suprema Corte de Justicia de la Nación. Primera Sala. Amparo Directo en Revisión 12</w:t>
      </w:r>
      <w:r w:rsidR="001A19BF">
        <w:t>60/2016. Estudio de Fondo. Parr.6</w:t>
      </w:r>
      <w:r w:rsidR="00722993">
        <w:t>6</w:t>
      </w:r>
    </w:p>
  </w:footnote>
  <w:footnote w:id="14">
    <w:p w14:paraId="271C4CFC" w14:textId="7DB310C8" w:rsidR="00722993" w:rsidRDefault="00722993" w:rsidP="005F49A2">
      <w:pPr>
        <w:pStyle w:val="Textonotapie"/>
        <w:jc w:val="both"/>
      </w:pPr>
      <w:r>
        <w:rPr>
          <w:rStyle w:val="Refdenotaalpie"/>
        </w:rPr>
        <w:footnoteRef/>
      </w:r>
      <w:r>
        <w:t xml:space="preserve"> Ídem. Parr.67</w:t>
      </w:r>
    </w:p>
  </w:footnote>
  <w:footnote w:id="15">
    <w:p w14:paraId="5E1ECD0F" w14:textId="14C4CD67" w:rsidR="00837BE8" w:rsidRDefault="00837BE8" w:rsidP="005F49A2">
      <w:pPr>
        <w:pStyle w:val="Textonotapie"/>
        <w:jc w:val="both"/>
      </w:pPr>
      <w:r>
        <w:rPr>
          <w:rStyle w:val="Refdenotaalpie"/>
        </w:rPr>
        <w:footnoteRef/>
      </w:r>
      <w:r>
        <w:t xml:space="preserve"> Ídem. Parr. 68</w:t>
      </w:r>
    </w:p>
  </w:footnote>
  <w:footnote w:id="16">
    <w:p w14:paraId="0F7773E9" w14:textId="36ADCD52" w:rsidR="00946E99" w:rsidRDefault="00946E99" w:rsidP="005F49A2">
      <w:pPr>
        <w:pStyle w:val="Textonotapie"/>
        <w:jc w:val="both"/>
      </w:pPr>
      <w:r>
        <w:rPr>
          <w:rStyle w:val="Refdenotaalpie"/>
        </w:rPr>
        <w:footnoteRef/>
      </w:r>
      <w:r>
        <w:t xml:space="preserve"> </w:t>
      </w:r>
      <w:r w:rsidRPr="00946E99">
        <w:rPr>
          <w:i/>
          <w:iCs/>
        </w:rPr>
        <w:t>Vid.</w:t>
      </w:r>
      <w:r>
        <w:t xml:space="preserve"> Suprema Corte de Justicia de la Nación. Primera Sala. Jurisprudencia. Registro digital: 167602.Novena Época. Materia: Penal. Tesis: 1a./J. 122/2008. Marzo de 2009.VIOLENCIA FÍSICA COMO MEDIO ESPECÍFICO DE COMISIÓN EN EL DELITO DE VIOLACIÓN.</w:t>
      </w:r>
    </w:p>
    <w:p w14:paraId="74A65D66" w14:textId="77777777" w:rsidR="00946E99" w:rsidRDefault="00946E99" w:rsidP="005F49A2">
      <w:pPr>
        <w:pStyle w:val="Textonotapie"/>
        <w:jc w:val="both"/>
      </w:pPr>
    </w:p>
    <w:p w14:paraId="2D5A1541" w14:textId="77777777" w:rsidR="00946E99" w:rsidRDefault="00946E99" w:rsidP="005F49A2">
      <w:pPr>
        <w:pStyle w:val="Textonotapie"/>
        <w:jc w:val="both"/>
      </w:pPr>
      <w:r>
        <w:t>Debe señalarse que al hablar de violencia física o moral como medio específico de comisión en el delito de violación se está haciendo referencia a un elemento normativo de carácter cultural, ya que para comprender su contenido es necesario realizar una valoración del mismo, en virtud de que el legislador ha sido omiso en señalar qué debe entenderse. Ahora bien, a partir de la presunción de que el legislador es racional debe entenderse que en el caso del delito de violación, aquél no quiso emplear una definición cuyos límites materiales estuvieran definidos por la ley, al considerar que los gobernados podían adecuar su conducta a las normas aplicables sin necesidad de acudir a una definición legal previamente establecida. A partir de lo anterior, es que esta Primera Sala de la Suprema Corte de Justicia de la Nación considera que para que se actualice la violencia física, como medio específico de comisión en el delito de violación, es necesario que el sujeto activo realice un acto o una serie de actos, ya sea a través del uso de su propia fuerza física, o a través de cualquier otro medio físico que, aplicado o suministrado al sujeto pasivo, tenga como consecuencia anular o neutralizar su posible resistencia, ello con la finalidad de cometer la conducta reprochada. Lo anterior implica, necesariamente, que el sujeto activo es quien debe ejercer la violencia física en el pasivo, ya sea por sí o por una tercera persona con la que comparte su propósito delictivo y la misma debe ser desplegada con el propósito de anular o vencer su resistencia, ya que sólo en esas condiciones puede afirmarse que constituyó el medio idóneo para lograr el resultado típico. De acuerdo con lo anterior existen dos posibilidades para que se actualice la violencia física: 1) que el sujeto activo haga uso de su propio cuerpo o 2) que haga uso de un medio físico diverso; ello, a fin de anular o vencer la resistencia u oposición del sujeto pasivo y pueda concretar la conducta penada. Al respecto, es importante tener en cuenta que, de acuerdo con las características de los medios utilizados, los resultados son diferentes, esto es, no produce el mismo efecto golpear a una persona, amarrarla o suministrarle un agente químico o biológico; no obstante lo anterior, estas conductas para que puedan ser consideradas constitutivas de la violencia física como medio específico de comisión en el delito de violación, necesariamente, deben provocar que el sujeto pasivo no esté en condiciones de repeler la agresión del sujeto activo. En este sentido, es importante destacar que la imposibilidad de oponer resistencia es una circunstancia de hecho generada por los actos llevados a cabo por el sujeto activo y que es irrelevante que use un mínimo de fuerza toda vez que el resultado que produce es el mismo, por la misma razón es irrelevante que el sujeto pasivo esté consciente de los actos violentos que el sujeto activo está realizando.</w:t>
      </w:r>
    </w:p>
    <w:p w14:paraId="15490832" w14:textId="77777777" w:rsidR="00946E99" w:rsidRDefault="00946E99" w:rsidP="005F49A2">
      <w:pPr>
        <w:pStyle w:val="Textonotapie"/>
        <w:jc w:val="both"/>
      </w:pPr>
      <w:r>
        <w:t>Contradicción de tesis 57/2008-PS. Entre los criterios sustentados por el Segundo Tribunal Colegiado en Materia Penal del Sexto Circuito y el Primer Tribunal Colegiado del Octavo Circuito. 29 de octubre de 2008. Mayoría de tres votos. Disidentes: Juan N. Silva Meza y Sergio A. Valls Hernández. Ponente: José Ramón Cossío Díaz. Secretario: Miguel Enrique Sánchez Frías.</w:t>
      </w:r>
    </w:p>
    <w:p w14:paraId="3FBBEB26" w14:textId="27EA4A2E" w:rsidR="00946E99" w:rsidRDefault="00946E99" w:rsidP="005F49A2">
      <w:pPr>
        <w:pStyle w:val="Textonotapie"/>
        <w:jc w:val="both"/>
      </w:pPr>
      <w:r>
        <w:t>Tesis de jurisprudencia 122/2008. Aprobada por la Primera Sala de este Alto Tribunal, en sesión de fecha cinco de noviembre de dos mil ocho.</w:t>
      </w:r>
    </w:p>
  </w:footnote>
  <w:footnote w:id="17">
    <w:p w14:paraId="7B9C0BF0" w14:textId="218CD2DB" w:rsidR="00A930CF" w:rsidRDefault="00A930CF" w:rsidP="005F49A2">
      <w:pPr>
        <w:pStyle w:val="Textonotapie"/>
        <w:jc w:val="both"/>
      </w:pPr>
      <w:r>
        <w:rPr>
          <w:rStyle w:val="Refdenotaalpie"/>
        </w:rPr>
        <w:footnoteRef/>
      </w:r>
      <w:r w:rsidRPr="00A930CF">
        <w:rPr>
          <w:i/>
          <w:iCs/>
        </w:rPr>
        <w:t>Vid.</w:t>
      </w:r>
      <w:r>
        <w:t xml:space="preserve"> Suprema Corte de Justicia de la Nación. Primera Sala. Jurisprudencia. Registro digital: 167601. Novena Época</w:t>
      </w:r>
    </w:p>
    <w:p w14:paraId="12000C9B" w14:textId="61583F22" w:rsidR="00A930CF" w:rsidRDefault="00A930CF" w:rsidP="005F49A2">
      <w:pPr>
        <w:pStyle w:val="Textonotapie"/>
        <w:jc w:val="both"/>
      </w:pPr>
      <w:r>
        <w:t>Materia: Penal</w:t>
      </w:r>
      <w:r w:rsidR="000F70D0">
        <w:t xml:space="preserve">. </w:t>
      </w:r>
      <w:r>
        <w:t>Tesis: 1a./J. 123/2008</w:t>
      </w:r>
      <w:r w:rsidR="000F70D0">
        <w:t xml:space="preserve">. </w:t>
      </w:r>
      <w:r>
        <w:t>Marzo de 2009</w:t>
      </w:r>
      <w:r w:rsidR="000F70D0">
        <w:t xml:space="preserve">. </w:t>
      </w:r>
      <w:r>
        <w:t>VIOLENCIA FÍSICA COMO MEDIO ESPECÍFICO EN LA COMISIÓN DEL DELITO DE VIOLACIÓN. SE ACTUALIZA ESTE ELEMENTO NORMATIVO CUANDO EL SUJETO ACTIVO SUMINISTRA UN AGENTE QUÍMICO O BIOLÓGICO (MEDICAMENTO O DROGA) AL PASIVO CON LA FINALIDAD DE ANULAR O VENCER SU RESISTENCIA (LEGISLACIONES DE LOS ESTADOS DE PUEBLA Y DURANGO).</w:t>
      </w:r>
    </w:p>
  </w:footnote>
  <w:footnote w:id="18">
    <w:p w14:paraId="7D7A4B34" w14:textId="77777777" w:rsidR="00F45E8E" w:rsidRPr="00E759ED" w:rsidRDefault="00F45E8E" w:rsidP="005F49A2">
      <w:pPr>
        <w:pStyle w:val="Textonotapie"/>
        <w:jc w:val="both"/>
      </w:pPr>
      <w:r>
        <w:rPr>
          <w:rStyle w:val="Refdenotaalpie"/>
        </w:rPr>
        <w:footnoteRef/>
      </w:r>
      <w:r>
        <w:t xml:space="preserve"> </w:t>
      </w:r>
      <w:r w:rsidRPr="00E759ED">
        <w:rPr>
          <w:i/>
        </w:rPr>
        <w:t>Vid.</w:t>
      </w:r>
      <w:r>
        <w:t xml:space="preserve"> Registro: </w:t>
      </w:r>
      <w:r w:rsidRPr="00E759ED">
        <w:t>2008415</w:t>
      </w:r>
      <w:r>
        <w:t xml:space="preserve">. </w:t>
      </w:r>
      <w:r w:rsidRPr="00E759ED">
        <w:t>Instancia: Primera Sala</w:t>
      </w:r>
      <w:r>
        <w:t xml:space="preserve">. </w:t>
      </w:r>
      <w:r w:rsidRPr="00E759ED">
        <w:t>Décima Época</w:t>
      </w:r>
      <w:r>
        <w:t xml:space="preserve">. </w:t>
      </w:r>
      <w:r w:rsidRPr="00E759ED">
        <w:t>Materias(s): Constitucional, Penal</w:t>
      </w:r>
      <w:r>
        <w:t xml:space="preserve">. </w:t>
      </w:r>
      <w:r w:rsidRPr="00E759ED">
        <w:t>Tesis: 1a. LII/2015 (10a.)</w:t>
      </w:r>
      <w:r>
        <w:t>. Febrero de 2015.</w:t>
      </w:r>
      <w:r w:rsidRPr="00E759ED">
        <w:t xml:space="preserve"> Tipo: Aislada PEDERASTIA. EL ARTÍCULO 209 BIS DEL CÓDIGO PENAL FEDERAL, QUE ESTABLECE LA SANCIÓN PARA QUIEN COMETA ESE DELITO, NO VULNERA EL PRINCIPIO DE PROPORCIONALIDAD DE LA PENA.</w:t>
      </w:r>
    </w:p>
    <w:p w14:paraId="57A3F9FB" w14:textId="77777777" w:rsidR="00F45E8E" w:rsidRDefault="00F45E8E" w:rsidP="005F49A2">
      <w:pPr>
        <w:pStyle w:val="Textonotapie"/>
        <w:jc w:val="both"/>
      </w:pPr>
    </w:p>
  </w:footnote>
  <w:footnote w:id="19">
    <w:p w14:paraId="100B919F" w14:textId="0EA6F81B" w:rsidR="007F28C2" w:rsidRDefault="007F28C2" w:rsidP="005F49A2">
      <w:pPr>
        <w:pStyle w:val="Textonotapie"/>
        <w:jc w:val="both"/>
      </w:pPr>
      <w:r>
        <w:rPr>
          <w:rStyle w:val="Refdenotaalpie"/>
        </w:rPr>
        <w:footnoteRef/>
      </w:r>
      <w:r>
        <w:t xml:space="preserve"> </w:t>
      </w:r>
      <w:r w:rsidRPr="007F28C2">
        <w:rPr>
          <w:i/>
          <w:iCs/>
        </w:rPr>
        <w:t>Vid</w:t>
      </w:r>
      <w:r>
        <w:t>. Suprema Corte de Justicia de la Nación. Primera Sala. Amparo Directo en Revisión 776/214.</w:t>
      </w:r>
      <w:r w:rsidR="00FF68D9">
        <w:t xml:space="preserve"> </w:t>
      </w:r>
      <w:r w:rsidR="00FF2638">
        <w:t>Estudio de</w:t>
      </w:r>
      <w:r w:rsidR="00FF68D9">
        <w:t xml:space="preserve"> Fondo. </w:t>
      </w:r>
      <w:r>
        <w:t xml:space="preserve"> </w:t>
      </w:r>
      <w:r w:rsidR="00FF68D9">
        <w:t>Parr.104.</w:t>
      </w:r>
    </w:p>
  </w:footnote>
  <w:footnote w:id="20">
    <w:p w14:paraId="09DF2586" w14:textId="77777777" w:rsidR="00477AB3" w:rsidRPr="00E759ED" w:rsidRDefault="00477AB3" w:rsidP="005F49A2">
      <w:pPr>
        <w:pStyle w:val="Textonotapie"/>
        <w:jc w:val="both"/>
      </w:pPr>
      <w:r>
        <w:rPr>
          <w:rStyle w:val="Refdenotaalpie"/>
        </w:rPr>
        <w:footnoteRef/>
      </w:r>
      <w:r>
        <w:t xml:space="preserve"> </w:t>
      </w:r>
      <w:r w:rsidRPr="00E759ED">
        <w:rPr>
          <w:i/>
        </w:rPr>
        <w:t>Vid.</w:t>
      </w:r>
      <w:r>
        <w:t xml:space="preserve"> Registro: </w:t>
      </w:r>
      <w:r w:rsidRPr="00E759ED">
        <w:t>2008415</w:t>
      </w:r>
      <w:r>
        <w:t xml:space="preserve">. </w:t>
      </w:r>
      <w:r w:rsidRPr="00E759ED">
        <w:t>Instancia: Primera Sala</w:t>
      </w:r>
      <w:r>
        <w:t xml:space="preserve">. </w:t>
      </w:r>
      <w:r w:rsidRPr="00E759ED">
        <w:t>Décima Época</w:t>
      </w:r>
      <w:r>
        <w:t xml:space="preserve">. </w:t>
      </w:r>
      <w:r w:rsidRPr="00E759ED">
        <w:t>Materias(s): Constitucional, Penal</w:t>
      </w:r>
      <w:r>
        <w:t xml:space="preserve">. </w:t>
      </w:r>
      <w:r w:rsidRPr="00E759ED">
        <w:t>Tesis: 1a. LII/2015 (10a.)</w:t>
      </w:r>
      <w:r>
        <w:t>. Febrero de 2015.</w:t>
      </w:r>
      <w:r w:rsidRPr="00E759ED">
        <w:t xml:space="preserve"> Tipo: Aislada PEDERASTIA. EL ARTÍCULO 209 BIS DEL CÓDIGO PENAL FEDERAL, QUE ESTABLECE LA SANCIÓN PARA QUIEN COMETA ESE DELITO, NO VULNERA EL PRINCIPIO DE PROPORCIONALIDAD DE LA PENA.</w:t>
      </w:r>
    </w:p>
    <w:p w14:paraId="50AF3688" w14:textId="77777777" w:rsidR="00477AB3" w:rsidRDefault="00477AB3" w:rsidP="005F49A2">
      <w:pPr>
        <w:pStyle w:val="Textonotapie"/>
        <w:jc w:val="both"/>
      </w:pPr>
    </w:p>
  </w:footnote>
  <w:footnote w:id="21">
    <w:p w14:paraId="61D2699B" w14:textId="7D4F3C34" w:rsidR="005A477C" w:rsidRDefault="005A477C" w:rsidP="005F49A2">
      <w:pPr>
        <w:pStyle w:val="Textonotapie"/>
        <w:jc w:val="both"/>
      </w:pPr>
      <w:r>
        <w:rPr>
          <w:rStyle w:val="Refdenotaalpie"/>
        </w:rPr>
        <w:footnoteRef/>
      </w:r>
      <w:r>
        <w:t xml:space="preserve"> </w:t>
      </w:r>
      <w:r w:rsidRPr="005A477C">
        <w:rPr>
          <w:i/>
          <w:iCs/>
        </w:rPr>
        <w:t>Vid</w:t>
      </w:r>
      <w:r>
        <w:t>. 18 de junio de 208. Dictamen por el que se reforman y adicionan diversas disposiciones de la Constitución Política de los Estados Unidos Mexicanos. Reforma integral que establece las bases para regular el sistema procesal penal acusatorio y aplica diversas modificaciones al sistema penitenciario y de seguridad pública. Proceso Legislativo.</w:t>
      </w:r>
    </w:p>
  </w:footnote>
  <w:footnote w:id="22">
    <w:p w14:paraId="009C6697" w14:textId="3BE51DD3" w:rsidR="00327059" w:rsidRDefault="00327059" w:rsidP="005F49A2">
      <w:pPr>
        <w:pStyle w:val="Textonotapie"/>
        <w:jc w:val="both"/>
      </w:pPr>
      <w:r>
        <w:rPr>
          <w:rStyle w:val="Refdenotaalpie"/>
        </w:rPr>
        <w:footnoteRef/>
      </w:r>
      <w:r>
        <w:t xml:space="preserve"> Vid. Suprema Corte de Justicia de la Nación. Pleno. Jurisprudencia Registro digital: 168878. Novena Época.  Materia: Constitucional, Penal. Septiembre de 2008. LEYES PENALES. AL EXAMINAR SU CONSTITUCIONALIDAD DEBEN ANALIZARSE LOS PRINCIPIOS DE PROPORCIONALIDAD Y RAZONABILIDAD JURÍDICA.</w:t>
      </w:r>
    </w:p>
    <w:p w14:paraId="0B185D3D" w14:textId="77777777" w:rsidR="00327059" w:rsidRDefault="00327059" w:rsidP="005F49A2">
      <w:pPr>
        <w:pStyle w:val="Textonotapie"/>
        <w:jc w:val="both"/>
      </w:pPr>
    </w:p>
    <w:p w14:paraId="40BDB159" w14:textId="77777777" w:rsidR="00327059" w:rsidRDefault="00327059" w:rsidP="005F49A2">
      <w:pPr>
        <w:pStyle w:val="Textonotapie"/>
        <w:jc w:val="both"/>
      </w:pPr>
      <w:r>
        <w:t>El legislador en materia penal tiene amplia libertad para diseñar el rumbo de la política criminal, es decir, para elegir los bienes jurídicamente tutelados, las conductas típicas antijurídicas y las sanciones penales, de acuerdo con las necesidades sociales del momento histórico respectivo; sin embargo, al configurar las leyes relativas debe respetar el contenido de diversos principios constitucionales, entre ellos los de proporcionalidad y razonabilidad jurídica, a fin de que la aplicación de las penas no sea infamante, cruel, excesiva, inusitada, trascendental o contraria a la dignidad del ser humano, conforme a los artículos 14, 16, 18, 19, 20, 21 y 22 de la Constitución Política de los Estados Unidos Mexicanos. Por esa razón, el Juez constitucional, al examinar la constitucionalidad de las leyes penales, debe analizar que exista proporción y razonabilidad suficientes entre la cuantía de la pena y la gravedad del delito cometido, para lo cual debe considerar el daño al bien jurídico protegido, la posibilidad para individualizarla entre un mínimo y un máximo, el grado de reprochabilidad atribuible al sujeto activo, la idoneidad del tipo y de la cuantía de la pena para alcanzar la prevención del delito, así como la viabilidad de lograr, mediante su aplicación, la resocialización del sentenciado.</w:t>
      </w:r>
    </w:p>
    <w:p w14:paraId="48496D8C" w14:textId="77777777" w:rsidR="00327059" w:rsidRDefault="00327059" w:rsidP="005F49A2">
      <w:pPr>
        <w:pStyle w:val="Textonotapie"/>
        <w:jc w:val="both"/>
      </w:pPr>
    </w:p>
    <w:p w14:paraId="43FC7DA9" w14:textId="77777777" w:rsidR="00327059" w:rsidRDefault="00327059" w:rsidP="005F49A2">
      <w:pPr>
        <w:pStyle w:val="Textonotapie"/>
        <w:jc w:val="both"/>
      </w:pPr>
      <w:r>
        <w:t xml:space="preserve">Acción de inconstitucionalidad 31/2006. Procurador General de la República. 19 de febrero de 2008. Mayoría de ocho votos. Disidentes: Margarita Beatriz Luna Ramos, Olga Sánchez Cordero de García Villegas y Juan N. Silva Meza. Ponente: Margarita Beatriz Luna Ramos. Secretarios: Fernando Silva García y Alfredo Villeda Ayala. </w:t>
      </w:r>
    </w:p>
    <w:p w14:paraId="486D8227" w14:textId="77777777" w:rsidR="00327059" w:rsidRDefault="00327059" w:rsidP="005F49A2">
      <w:pPr>
        <w:pStyle w:val="Textonotapie"/>
        <w:jc w:val="both"/>
      </w:pPr>
    </w:p>
    <w:p w14:paraId="0F1B649A" w14:textId="643C86FD" w:rsidR="00327059" w:rsidRDefault="00327059" w:rsidP="005F49A2">
      <w:pPr>
        <w:pStyle w:val="Textonotapie"/>
        <w:jc w:val="both"/>
      </w:pPr>
      <w:r>
        <w:t>El Tribunal Pleno, el dieciocho de agosto en curso, aprobó, con el número 102/2008, la tesis jurisprudencial que antecede. México, Distrito Federal, a dieciocho de agosto de dos mil ocho.</w:t>
      </w:r>
    </w:p>
  </w:footnote>
  <w:footnote w:id="23">
    <w:p w14:paraId="2A39990E" w14:textId="36596DBA" w:rsidR="00DF576C" w:rsidRDefault="00DF576C" w:rsidP="005F49A2">
      <w:pPr>
        <w:pStyle w:val="Textonotapie"/>
        <w:jc w:val="both"/>
      </w:pPr>
      <w:r>
        <w:rPr>
          <w:rStyle w:val="Refdenotaalpie"/>
        </w:rPr>
        <w:footnoteRef/>
      </w:r>
      <w:r>
        <w:t xml:space="preserve"> </w:t>
      </w:r>
      <w:r w:rsidRPr="00DF576C">
        <w:rPr>
          <w:i/>
          <w:iCs/>
        </w:rPr>
        <w:t>Vid</w:t>
      </w:r>
      <w:r w:rsidRPr="00DF576C">
        <w:t xml:space="preserve">. Suprema Corte de Justicia de la Nación. Primera Sala. Amparo Directo en Revisión 776/214. </w:t>
      </w:r>
      <w:r w:rsidR="00FF2638">
        <w:t>Estudio de</w:t>
      </w:r>
      <w:r w:rsidRPr="00DF576C">
        <w:t xml:space="preserve"> Fondo.  Parr.</w:t>
      </w:r>
      <w:r>
        <w:t>120</w:t>
      </w:r>
      <w:r w:rsidRPr="00DF576C">
        <w:t>.</w:t>
      </w:r>
    </w:p>
  </w:footnote>
  <w:footnote w:id="24">
    <w:p w14:paraId="70B58FC2" w14:textId="34C878F4" w:rsidR="00AC7BAA" w:rsidRPr="00BF742D" w:rsidRDefault="00AC7BAA" w:rsidP="005F49A2">
      <w:pPr>
        <w:pStyle w:val="Textonotapie"/>
        <w:jc w:val="both"/>
        <w:rPr>
          <w:bCs/>
          <w:lang w:val="es-MX"/>
        </w:rPr>
      </w:pPr>
      <w:r>
        <w:rPr>
          <w:rStyle w:val="Refdenotaalpie"/>
        </w:rPr>
        <w:footnoteRef/>
      </w:r>
      <w:r>
        <w:t xml:space="preserve"> </w:t>
      </w:r>
      <w:bookmarkStart w:id="4" w:name="_Hlk93955417"/>
      <w:r w:rsidRPr="005403EE">
        <w:rPr>
          <w:bCs/>
          <w:i/>
          <w:iCs/>
        </w:rPr>
        <w:t>Vid.</w:t>
      </w:r>
      <w:r w:rsidRPr="005403EE">
        <w:rPr>
          <w:bCs/>
        </w:rPr>
        <w:t xml:space="preserve"> </w:t>
      </w:r>
      <w:r w:rsidRPr="005403EE">
        <w:rPr>
          <w:bCs/>
          <w:lang w:val="es-MX"/>
        </w:rPr>
        <w:t>Violencia sexual contra las mujeres y consumo de drogas, INMUJERES. p.</w:t>
      </w:r>
      <w:r w:rsidRPr="00AC7BAA">
        <w:rPr>
          <w:bCs/>
          <w:lang w:val="es-MX"/>
        </w:rPr>
        <w:t xml:space="preserve">12 </w:t>
      </w:r>
      <w:r w:rsidRPr="005403EE">
        <w:rPr>
          <w:bCs/>
          <w:lang w:val="es-MX"/>
        </w:rPr>
        <w:t>. Puede ser consultado en el siguiente enlace: http://cedoc.inmujeres.gob.mx/documentos_download/101277.pdf</w:t>
      </w:r>
      <w:bookmarkEnd w:id="4"/>
    </w:p>
  </w:footnote>
  <w:footnote w:id="25">
    <w:p w14:paraId="241088E8" w14:textId="0F02336A" w:rsidR="00BF742D" w:rsidRDefault="00BF742D" w:rsidP="005F49A2">
      <w:pPr>
        <w:pStyle w:val="Textonotapie"/>
        <w:jc w:val="both"/>
      </w:pPr>
      <w:r>
        <w:rPr>
          <w:rStyle w:val="Refdenotaalpie"/>
        </w:rPr>
        <w:footnoteRef/>
      </w:r>
      <w:r>
        <w:t xml:space="preserve"> Ídem p.27</w:t>
      </w:r>
    </w:p>
  </w:footnote>
  <w:footnote w:id="26">
    <w:p w14:paraId="4DF9504B" w14:textId="67A053F6" w:rsidR="00BF742D" w:rsidRDefault="00BF742D" w:rsidP="005F49A2">
      <w:pPr>
        <w:pStyle w:val="Textonotapie"/>
        <w:jc w:val="both"/>
      </w:pPr>
      <w:r>
        <w:rPr>
          <w:rStyle w:val="Refdenotaalpie"/>
        </w:rPr>
        <w:footnoteRef/>
      </w:r>
      <w:r>
        <w:t xml:space="preserve"> </w:t>
      </w:r>
      <w:r w:rsidRPr="00BF742D">
        <w:t xml:space="preserve">Instituto Nacional de Estadística y Geografía. Programas de información. Encuestas. Encuesta Nacional sobre la Dinámica de las Relaciones en los Hogares (ENDIREH) 2016 </w:t>
      </w:r>
      <w:r w:rsidR="0082101A">
        <w:t>hyytr2</w:t>
      </w:r>
      <w:r w:rsidR="002E68E5">
        <w:t xml:space="preserve">  </w:t>
      </w:r>
      <w:r w:rsidRPr="00BF742D">
        <w:t xml:space="preserve"> 20/01/22</w:t>
      </w:r>
    </w:p>
  </w:footnote>
  <w:footnote w:id="27">
    <w:p w14:paraId="51C89B8E" w14:textId="77777777" w:rsidR="00E1361A" w:rsidRDefault="00E1361A" w:rsidP="005F49A2">
      <w:pPr>
        <w:pStyle w:val="Textonotapie"/>
        <w:jc w:val="both"/>
      </w:pPr>
      <w:r>
        <w:rPr>
          <w:rStyle w:val="Refdenotaalpie"/>
        </w:rPr>
        <w:footnoteRef/>
      </w:r>
      <w:r>
        <w:t xml:space="preserve"> </w:t>
      </w:r>
      <w:r w:rsidRPr="00DF576C">
        <w:rPr>
          <w:i/>
          <w:iCs/>
        </w:rPr>
        <w:t>Vid</w:t>
      </w:r>
      <w:r w:rsidRPr="00DF576C">
        <w:t xml:space="preserve">. Suprema Corte de Justicia de la Nación. Primera Sala. Amparo Directo en Revisión 776/214. </w:t>
      </w:r>
      <w:r>
        <w:t>Estudio de</w:t>
      </w:r>
      <w:r w:rsidRPr="00DF576C">
        <w:t xml:space="preserve"> Fondo.  Parr.</w:t>
      </w:r>
      <w:r>
        <w:t>120</w:t>
      </w:r>
      <w:r w:rsidRPr="00DF576C">
        <w:t>.</w:t>
      </w:r>
    </w:p>
  </w:footnote>
  <w:footnote w:id="28">
    <w:p w14:paraId="6261AFCB" w14:textId="595D89F1" w:rsidR="004C4633" w:rsidRDefault="004C4633" w:rsidP="005F49A2">
      <w:pPr>
        <w:pStyle w:val="Textonotapie"/>
        <w:jc w:val="both"/>
      </w:pPr>
      <w:r>
        <w:rPr>
          <w:rStyle w:val="Refdenotaalpie"/>
        </w:rPr>
        <w:footnoteRef/>
      </w:r>
      <w:r>
        <w:t xml:space="preserve"> </w:t>
      </w:r>
      <w:r w:rsidRPr="005403EE">
        <w:rPr>
          <w:bCs/>
          <w:i/>
          <w:iCs/>
        </w:rPr>
        <w:t>Vid.</w:t>
      </w:r>
      <w:r w:rsidRPr="005403EE">
        <w:rPr>
          <w:bCs/>
        </w:rPr>
        <w:t xml:space="preserve"> </w:t>
      </w:r>
      <w:r w:rsidRPr="005403EE">
        <w:rPr>
          <w:bCs/>
          <w:lang w:val="es-MX"/>
        </w:rPr>
        <w:t>Violencia sexual contra las mujeres y consumo de drogas, INMUJERES. p.</w:t>
      </w:r>
      <w:r>
        <w:rPr>
          <w:bCs/>
          <w:lang w:val="es-MX"/>
        </w:rPr>
        <w:t>27</w:t>
      </w:r>
      <w:r w:rsidRPr="004C4633">
        <w:rPr>
          <w:bCs/>
          <w:lang w:val="es-MX"/>
        </w:rPr>
        <w:t xml:space="preserve"> </w:t>
      </w:r>
      <w:r w:rsidRPr="005403EE">
        <w:rPr>
          <w:bCs/>
          <w:lang w:val="es-MX"/>
        </w:rPr>
        <w:t>. Puede ser consultado en el siguiente enlace: http://cedoc.inmujeres.gob.mx/documentos_download/101277.pdf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0A9324" w14:textId="77777777" w:rsidR="00287930" w:rsidRPr="00A739FE" w:rsidRDefault="00287930" w:rsidP="00A739FE">
    <w:pPr>
      <w:pStyle w:val="Encabezado"/>
      <w:jc w:val="right"/>
      <w:rPr>
        <w:rFonts w:ascii="Century Gothic" w:eastAsia="Calibri" w:hAnsi="Century Gothic" w:cs="Arial"/>
        <w:b/>
        <w:bCs/>
        <w:sz w:val="18"/>
        <w:szCs w:val="18"/>
        <w:lang w:val="es-MX" w:eastAsia="en-US"/>
      </w:rPr>
    </w:pPr>
    <w:r w:rsidRPr="00A739FE">
      <w:rPr>
        <w:rFonts w:ascii="Century Gothic" w:eastAsia="Calibri" w:hAnsi="Century Gothic" w:cs="Arial"/>
        <w:b/>
        <w:bCs/>
        <w:sz w:val="18"/>
        <w:szCs w:val="18"/>
        <w:lang w:val="es-MX" w:eastAsia="en-US"/>
      </w:rPr>
      <w:t>"2022, Año del Centenario de la llegada de la Comunidad Menonita a Chihuahua”</w:t>
    </w:r>
  </w:p>
  <w:p w14:paraId="55BBAFCF" w14:textId="77777777" w:rsidR="00287930" w:rsidRPr="00450450" w:rsidRDefault="00287930" w:rsidP="007C6780">
    <w:pPr>
      <w:pStyle w:val="Encabezado"/>
      <w:jc w:val="center"/>
      <w:rPr>
        <w:rFonts w:ascii="Arial" w:hAnsi="Arial" w:cs="Arial"/>
        <w:b/>
        <w:sz w:val="20"/>
        <w:szCs w:val="20"/>
      </w:rPr>
    </w:pPr>
  </w:p>
  <w:p w14:paraId="1C5468F9" w14:textId="77777777" w:rsidR="00287930" w:rsidRPr="0091427A" w:rsidRDefault="00287930" w:rsidP="00FC48FC">
    <w:pPr>
      <w:pStyle w:val="Encabezado"/>
      <w:jc w:val="right"/>
      <w:rPr>
        <w:rFonts w:ascii="Century Gothic" w:hAnsi="Century Gothic"/>
        <w:b/>
      </w:rPr>
    </w:pPr>
    <w:r w:rsidRPr="0091427A">
      <w:rPr>
        <w:rFonts w:ascii="Century Gothic" w:hAnsi="Century Gothic"/>
        <w:b/>
      </w:rPr>
      <w:t xml:space="preserve">Comisión de </w:t>
    </w:r>
    <w:r>
      <w:rPr>
        <w:rFonts w:ascii="Century Gothic" w:hAnsi="Century Gothic"/>
        <w:b/>
      </w:rPr>
      <w:t>Justicia</w:t>
    </w:r>
    <w:r w:rsidRPr="0091427A">
      <w:rPr>
        <w:rFonts w:ascii="Century Gothic" w:hAnsi="Century Gothic"/>
        <w:b/>
      </w:rPr>
      <w:t>.</w:t>
    </w:r>
  </w:p>
  <w:p w14:paraId="6D4BEAF3" w14:textId="77777777" w:rsidR="00287930" w:rsidRPr="0091427A" w:rsidRDefault="00287930" w:rsidP="007C6780">
    <w:pPr>
      <w:pStyle w:val="Encabezado"/>
      <w:jc w:val="right"/>
      <w:rPr>
        <w:rFonts w:ascii="Century Gothic" w:hAnsi="Century Gothic"/>
        <w:b/>
      </w:rPr>
    </w:pPr>
    <w:r w:rsidRPr="0091427A">
      <w:rPr>
        <w:rFonts w:ascii="Century Gothic" w:hAnsi="Century Gothic"/>
        <w:b/>
      </w:rPr>
      <w:t>LXVI</w:t>
    </w:r>
    <w:r>
      <w:rPr>
        <w:rFonts w:ascii="Century Gothic" w:hAnsi="Century Gothic"/>
        <w:b/>
      </w:rPr>
      <w:t>I</w:t>
    </w:r>
    <w:r w:rsidRPr="0091427A">
      <w:rPr>
        <w:rFonts w:ascii="Century Gothic" w:hAnsi="Century Gothic"/>
        <w:b/>
      </w:rPr>
      <w:t xml:space="preserve"> LEGISLATURA</w:t>
    </w:r>
  </w:p>
  <w:p w14:paraId="14816BF5" w14:textId="77777777" w:rsidR="00287930" w:rsidRDefault="00287930" w:rsidP="007C6780">
    <w:pPr>
      <w:pStyle w:val="Encabezado"/>
      <w:jc w:val="right"/>
      <w:rPr>
        <w:rFonts w:ascii="Century Gothic" w:hAnsi="Century Gothic"/>
        <w:b/>
      </w:rPr>
    </w:pPr>
  </w:p>
  <w:p w14:paraId="44175D43" w14:textId="44461DB2" w:rsidR="00287930" w:rsidRDefault="00287930" w:rsidP="00621915">
    <w:pPr>
      <w:pStyle w:val="Encabezado"/>
      <w:jc w:val="right"/>
      <w:rPr>
        <w:rFonts w:ascii="Century Gothic" w:hAnsi="Century Gothic"/>
        <w:b/>
      </w:rPr>
    </w:pPr>
    <w:r>
      <w:rPr>
        <w:rFonts w:ascii="Century Gothic" w:hAnsi="Century Gothic"/>
        <w:b/>
      </w:rPr>
      <w:t>DCJ/00</w:t>
    </w:r>
    <w:r w:rsidR="000A3638">
      <w:rPr>
        <w:rFonts w:ascii="Century Gothic" w:hAnsi="Century Gothic"/>
        <w:b/>
      </w:rPr>
      <w:t>3</w:t>
    </w:r>
    <w:r>
      <w:rPr>
        <w:rFonts w:ascii="Century Gothic" w:hAnsi="Century Gothic"/>
        <w:b/>
      </w:rPr>
      <w:t>/2021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A773C"/>
    <w:multiLevelType w:val="hybridMultilevel"/>
    <w:tmpl w:val="6A141B9E"/>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A064567"/>
    <w:multiLevelType w:val="hybridMultilevel"/>
    <w:tmpl w:val="13F276F8"/>
    <w:lvl w:ilvl="0" w:tplc="B9AA657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4B11155"/>
    <w:multiLevelType w:val="hybridMultilevel"/>
    <w:tmpl w:val="D844252E"/>
    <w:lvl w:ilvl="0" w:tplc="D0F4ACE2">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C8434CF"/>
    <w:multiLevelType w:val="hybridMultilevel"/>
    <w:tmpl w:val="4D3C8C1E"/>
    <w:lvl w:ilvl="0" w:tplc="1BF0393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1002320"/>
    <w:multiLevelType w:val="hybridMultilevel"/>
    <w:tmpl w:val="A26CA77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2A377FC"/>
    <w:multiLevelType w:val="hybridMultilevel"/>
    <w:tmpl w:val="44BA2136"/>
    <w:lvl w:ilvl="0" w:tplc="83EA2D1E">
      <w:start w:val="1"/>
      <w:numFmt w:val="decimal"/>
      <w:lvlText w:val="%1."/>
      <w:lvlJc w:val="left"/>
      <w:pPr>
        <w:ind w:left="5399" w:hanging="720"/>
      </w:pPr>
      <w:rPr>
        <w:rFonts w:ascii="Arial" w:eastAsia="Times New Roman" w:hAnsi="Arial" w:cs="Arial" w:hint="default"/>
        <w:b w:val="0"/>
        <w:i w:val="0"/>
        <w:color w:val="auto"/>
        <w:sz w:val="26"/>
        <w:szCs w:val="26"/>
      </w:rPr>
    </w:lvl>
    <w:lvl w:ilvl="1" w:tplc="080A001B">
      <w:start w:val="1"/>
      <w:numFmt w:val="lowerRoman"/>
      <w:lvlText w:val="%2."/>
      <w:lvlJc w:val="righ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15:restartNumberingAfterBreak="0">
    <w:nsid w:val="28B8449E"/>
    <w:multiLevelType w:val="multilevel"/>
    <w:tmpl w:val="5D4C9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5938C9"/>
    <w:multiLevelType w:val="hybridMultilevel"/>
    <w:tmpl w:val="D0087E98"/>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F7D7EE4"/>
    <w:multiLevelType w:val="hybridMultilevel"/>
    <w:tmpl w:val="78BC3848"/>
    <w:lvl w:ilvl="0" w:tplc="9B66235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8392BDB"/>
    <w:multiLevelType w:val="multilevel"/>
    <w:tmpl w:val="35C67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08D2421"/>
    <w:multiLevelType w:val="multilevel"/>
    <w:tmpl w:val="E1809B40"/>
    <w:styleLink w:val="Estilo1"/>
    <w:lvl w:ilvl="0">
      <w:start w:val="1"/>
      <w:numFmt w:val="lowerLetter"/>
      <w:lvlText w:val="%1."/>
      <w:lvlJc w:val="left"/>
      <w:pPr>
        <w:ind w:left="1815" w:hanging="360"/>
      </w:pPr>
    </w:lvl>
    <w:lvl w:ilvl="1">
      <w:start w:val="1"/>
      <w:numFmt w:val="lowerLetter"/>
      <w:lvlText w:val="%2."/>
      <w:lvlJc w:val="left"/>
      <w:pPr>
        <w:ind w:left="2535" w:hanging="360"/>
      </w:pPr>
    </w:lvl>
    <w:lvl w:ilvl="2">
      <w:start w:val="1"/>
      <w:numFmt w:val="lowerRoman"/>
      <w:lvlText w:val="%3."/>
      <w:lvlJc w:val="right"/>
      <w:pPr>
        <w:ind w:left="3255" w:hanging="180"/>
      </w:pPr>
    </w:lvl>
    <w:lvl w:ilvl="3">
      <w:start w:val="1"/>
      <w:numFmt w:val="decimal"/>
      <w:lvlText w:val="%4."/>
      <w:lvlJc w:val="left"/>
      <w:pPr>
        <w:ind w:left="3975" w:hanging="360"/>
      </w:pPr>
    </w:lvl>
    <w:lvl w:ilvl="4">
      <w:start w:val="1"/>
      <w:numFmt w:val="lowerLetter"/>
      <w:lvlText w:val="%5."/>
      <w:lvlJc w:val="left"/>
      <w:pPr>
        <w:ind w:left="4695" w:hanging="360"/>
      </w:pPr>
    </w:lvl>
    <w:lvl w:ilvl="5">
      <w:start w:val="1"/>
      <w:numFmt w:val="lowerRoman"/>
      <w:lvlText w:val="%6."/>
      <w:lvlJc w:val="right"/>
      <w:pPr>
        <w:ind w:left="5415" w:hanging="180"/>
      </w:pPr>
    </w:lvl>
    <w:lvl w:ilvl="6">
      <w:start w:val="1"/>
      <w:numFmt w:val="decimal"/>
      <w:lvlText w:val="%7."/>
      <w:lvlJc w:val="left"/>
      <w:pPr>
        <w:ind w:left="6135" w:hanging="360"/>
      </w:pPr>
    </w:lvl>
    <w:lvl w:ilvl="7">
      <w:start w:val="1"/>
      <w:numFmt w:val="lowerLetter"/>
      <w:lvlText w:val="%8."/>
      <w:lvlJc w:val="left"/>
      <w:pPr>
        <w:ind w:left="6855" w:hanging="360"/>
      </w:pPr>
    </w:lvl>
    <w:lvl w:ilvl="8">
      <w:start w:val="1"/>
      <w:numFmt w:val="lowerRoman"/>
      <w:lvlText w:val="%9."/>
      <w:lvlJc w:val="right"/>
      <w:pPr>
        <w:ind w:left="7575" w:hanging="180"/>
      </w:pPr>
    </w:lvl>
  </w:abstractNum>
  <w:abstractNum w:abstractNumId="11" w15:restartNumberingAfterBreak="0">
    <w:nsid w:val="424E65DA"/>
    <w:multiLevelType w:val="hybridMultilevel"/>
    <w:tmpl w:val="A7C0F73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46811A5"/>
    <w:multiLevelType w:val="hybridMultilevel"/>
    <w:tmpl w:val="FEB4C212"/>
    <w:lvl w:ilvl="0" w:tplc="C48EFB2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4BB703B"/>
    <w:multiLevelType w:val="hybridMultilevel"/>
    <w:tmpl w:val="481CBD3A"/>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B206240"/>
    <w:multiLevelType w:val="hybridMultilevel"/>
    <w:tmpl w:val="230E35D8"/>
    <w:lvl w:ilvl="0" w:tplc="080A0013">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D044507"/>
    <w:multiLevelType w:val="hybridMultilevel"/>
    <w:tmpl w:val="06BEE580"/>
    <w:lvl w:ilvl="0" w:tplc="12AC948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DFB56BE"/>
    <w:multiLevelType w:val="hybridMultilevel"/>
    <w:tmpl w:val="9BD25342"/>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E5D1023"/>
    <w:multiLevelType w:val="hybridMultilevel"/>
    <w:tmpl w:val="A9A807A4"/>
    <w:lvl w:ilvl="0" w:tplc="B7CA4D5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EAF618B"/>
    <w:multiLevelType w:val="hybridMultilevel"/>
    <w:tmpl w:val="899CC6A4"/>
    <w:lvl w:ilvl="0" w:tplc="45D0CDA4">
      <w:start w:val="2"/>
      <w:numFmt w:val="decimal"/>
      <w:lvlText w:val="%1."/>
      <w:lvlJc w:val="left"/>
      <w:pPr>
        <w:ind w:left="720" w:hanging="360"/>
      </w:pPr>
      <w:rPr>
        <w:rFonts w:hint="default"/>
        <w:b/>
        <w:color w:val="auto"/>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1E71F84"/>
    <w:multiLevelType w:val="hybridMultilevel"/>
    <w:tmpl w:val="651A31E8"/>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7FC7506"/>
    <w:multiLevelType w:val="hybridMultilevel"/>
    <w:tmpl w:val="B750FC30"/>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8A30DBB"/>
    <w:multiLevelType w:val="multilevel"/>
    <w:tmpl w:val="39889B08"/>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800" w:hanging="144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22" w15:restartNumberingAfterBreak="0">
    <w:nsid w:val="6EB90B87"/>
    <w:multiLevelType w:val="hybridMultilevel"/>
    <w:tmpl w:val="415CE3CE"/>
    <w:lvl w:ilvl="0" w:tplc="1A881CC6">
      <w:start w:val="1"/>
      <w:numFmt w:val="upperRoman"/>
      <w:lvlText w:val="%1."/>
      <w:lvlJc w:val="left"/>
      <w:pPr>
        <w:ind w:left="720" w:hanging="720"/>
      </w:pPr>
      <w:rPr>
        <w:rFonts w:hint="default"/>
        <w:b/>
        <w:i w:val="0"/>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3" w15:restartNumberingAfterBreak="0">
    <w:nsid w:val="70AB0D07"/>
    <w:multiLevelType w:val="hybridMultilevel"/>
    <w:tmpl w:val="680635A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737633D8"/>
    <w:multiLevelType w:val="hybridMultilevel"/>
    <w:tmpl w:val="5FCA5EA6"/>
    <w:lvl w:ilvl="0" w:tplc="5290AFD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7732120D"/>
    <w:multiLevelType w:val="hybridMultilevel"/>
    <w:tmpl w:val="AFCA683A"/>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787A39A0"/>
    <w:multiLevelType w:val="hybridMultilevel"/>
    <w:tmpl w:val="5E10E048"/>
    <w:lvl w:ilvl="0" w:tplc="0492BBB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7A526B67"/>
    <w:multiLevelType w:val="hybridMultilevel"/>
    <w:tmpl w:val="5484CB5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7C337C68"/>
    <w:multiLevelType w:val="multilevel"/>
    <w:tmpl w:val="E1809B40"/>
    <w:numStyleLink w:val="Estilo1"/>
  </w:abstractNum>
  <w:abstractNum w:abstractNumId="29" w15:restartNumberingAfterBreak="0">
    <w:nsid w:val="7D6B4C82"/>
    <w:multiLevelType w:val="hybridMultilevel"/>
    <w:tmpl w:val="0BE8301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D981692"/>
    <w:multiLevelType w:val="hybridMultilevel"/>
    <w:tmpl w:val="47D06094"/>
    <w:lvl w:ilvl="0" w:tplc="4D08B80A">
      <w:start w:val="1"/>
      <w:numFmt w:val="upperRoman"/>
      <w:lvlText w:val="%1."/>
      <w:lvlJc w:val="right"/>
      <w:pPr>
        <w:ind w:left="720" w:hanging="360"/>
      </w:pPr>
      <w:rPr>
        <w:sz w:val="28"/>
        <w:szCs w:val="28"/>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11"/>
  </w:num>
  <w:num w:numId="2">
    <w:abstractNumId w:val="29"/>
  </w:num>
  <w:num w:numId="3">
    <w:abstractNumId w:val="9"/>
  </w:num>
  <w:num w:numId="4">
    <w:abstractNumId w:val="15"/>
  </w:num>
  <w:num w:numId="5">
    <w:abstractNumId w:val="4"/>
  </w:num>
  <w:num w:numId="6">
    <w:abstractNumId w:val="28"/>
  </w:num>
  <w:num w:numId="7">
    <w:abstractNumId w:val="10"/>
  </w:num>
  <w:num w:numId="8">
    <w:abstractNumId w:val="22"/>
  </w:num>
  <w:num w:numId="9">
    <w:abstractNumId w:val="14"/>
  </w:num>
  <w:num w:numId="1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0"/>
  </w:num>
  <w:num w:numId="12">
    <w:abstractNumId w:val="27"/>
  </w:num>
  <w:num w:numId="13">
    <w:abstractNumId w:val="2"/>
  </w:num>
  <w:num w:numId="14">
    <w:abstractNumId w:val="21"/>
  </w:num>
  <w:num w:numId="15">
    <w:abstractNumId w:val="6"/>
  </w:num>
  <w:num w:numId="16">
    <w:abstractNumId w:val="1"/>
  </w:num>
  <w:num w:numId="17">
    <w:abstractNumId w:val="16"/>
  </w:num>
  <w:num w:numId="18">
    <w:abstractNumId w:val="20"/>
  </w:num>
  <w:num w:numId="19">
    <w:abstractNumId w:val="7"/>
  </w:num>
  <w:num w:numId="20">
    <w:abstractNumId w:val="25"/>
  </w:num>
  <w:num w:numId="21">
    <w:abstractNumId w:val="17"/>
  </w:num>
  <w:num w:numId="22">
    <w:abstractNumId w:val="24"/>
  </w:num>
  <w:num w:numId="23">
    <w:abstractNumId w:val="26"/>
  </w:num>
  <w:num w:numId="24">
    <w:abstractNumId w:val="12"/>
  </w:num>
  <w:num w:numId="25">
    <w:abstractNumId w:val="3"/>
  </w:num>
  <w:num w:numId="26">
    <w:abstractNumId w:val="8"/>
  </w:num>
  <w:num w:numId="27">
    <w:abstractNumId w:val="5"/>
  </w:num>
  <w:num w:numId="28">
    <w:abstractNumId w:val="13"/>
  </w:num>
  <w:num w:numId="29">
    <w:abstractNumId w:val="19"/>
  </w:num>
  <w:num w:numId="30">
    <w:abstractNumId w:val="0"/>
  </w:num>
  <w:num w:numId="31">
    <w:abstractNumId w:val="23"/>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CBA"/>
    <w:rsid w:val="000012DE"/>
    <w:rsid w:val="000132CD"/>
    <w:rsid w:val="000133EF"/>
    <w:rsid w:val="00014A86"/>
    <w:rsid w:val="00022EC4"/>
    <w:rsid w:val="00026077"/>
    <w:rsid w:val="00030F31"/>
    <w:rsid w:val="00031568"/>
    <w:rsid w:val="00036145"/>
    <w:rsid w:val="00037019"/>
    <w:rsid w:val="000429E1"/>
    <w:rsid w:val="00042BE2"/>
    <w:rsid w:val="00043CA6"/>
    <w:rsid w:val="00051AB5"/>
    <w:rsid w:val="00051D9C"/>
    <w:rsid w:val="0005404A"/>
    <w:rsid w:val="000556C9"/>
    <w:rsid w:val="00057FD5"/>
    <w:rsid w:val="00060A1D"/>
    <w:rsid w:val="00064D71"/>
    <w:rsid w:val="00066693"/>
    <w:rsid w:val="000677BC"/>
    <w:rsid w:val="000701D0"/>
    <w:rsid w:val="000743C2"/>
    <w:rsid w:val="0008079B"/>
    <w:rsid w:val="00084A53"/>
    <w:rsid w:val="00084B09"/>
    <w:rsid w:val="00085026"/>
    <w:rsid w:val="00085129"/>
    <w:rsid w:val="00087799"/>
    <w:rsid w:val="000909A0"/>
    <w:rsid w:val="00090D0B"/>
    <w:rsid w:val="000917C9"/>
    <w:rsid w:val="0009428B"/>
    <w:rsid w:val="0009442B"/>
    <w:rsid w:val="000971FA"/>
    <w:rsid w:val="000A227B"/>
    <w:rsid w:val="000A3638"/>
    <w:rsid w:val="000A63C9"/>
    <w:rsid w:val="000A7BA7"/>
    <w:rsid w:val="000B0550"/>
    <w:rsid w:val="000C06B6"/>
    <w:rsid w:val="000C2791"/>
    <w:rsid w:val="000C2DAC"/>
    <w:rsid w:val="000D022B"/>
    <w:rsid w:val="000D50DC"/>
    <w:rsid w:val="000E399D"/>
    <w:rsid w:val="000E40B2"/>
    <w:rsid w:val="000E607A"/>
    <w:rsid w:val="000F4F41"/>
    <w:rsid w:val="000F51B0"/>
    <w:rsid w:val="000F70D0"/>
    <w:rsid w:val="000F76C9"/>
    <w:rsid w:val="00100C26"/>
    <w:rsid w:val="00101D85"/>
    <w:rsid w:val="00110C51"/>
    <w:rsid w:val="001125B9"/>
    <w:rsid w:val="0011350B"/>
    <w:rsid w:val="00120612"/>
    <w:rsid w:val="00122AFC"/>
    <w:rsid w:val="001316AF"/>
    <w:rsid w:val="00134515"/>
    <w:rsid w:val="0013500E"/>
    <w:rsid w:val="001362B8"/>
    <w:rsid w:val="00141A70"/>
    <w:rsid w:val="0014239A"/>
    <w:rsid w:val="00144D96"/>
    <w:rsid w:val="00145872"/>
    <w:rsid w:val="00147529"/>
    <w:rsid w:val="001501B3"/>
    <w:rsid w:val="00150BF4"/>
    <w:rsid w:val="00151ACF"/>
    <w:rsid w:val="00152BDB"/>
    <w:rsid w:val="00152C67"/>
    <w:rsid w:val="001535B1"/>
    <w:rsid w:val="0015696D"/>
    <w:rsid w:val="001625AC"/>
    <w:rsid w:val="00163B54"/>
    <w:rsid w:val="00163B7D"/>
    <w:rsid w:val="00165C38"/>
    <w:rsid w:val="00166858"/>
    <w:rsid w:val="001716FD"/>
    <w:rsid w:val="00172105"/>
    <w:rsid w:val="0018294E"/>
    <w:rsid w:val="00190E37"/>
    <w:rsid w:val="001933D0"/>
    <w:rsid w:val="001938C1"/>
    <w:rsid w:val="00195117"/>
    <w:rsid w:val="001955AE"/>
    <w:rsid w:val="001955ED"/>
    <w:rsid w:val="00197FC0"/>
    <w:rsid w:val="001A19BF"/>
    <w:rsid w:val="001A5B6C"/>
    <w:rsid w:val="001A7A08"/>
    <w:rsid w:val="001B1AAA"/>
    <w:rsid w:val="001B2385"/>
    <w:rsid w:val="001B720D"/>
    <w:rsid w:val="001C11BC"/>
    <w:rsid w:val="001C4EF4"/>
    <w:rsid w:val="001C7DC8"/>
    <w:rsid w:val="001C7E9B"/>
    <w:rsid w:val="001D18E0"/>
    <w:rsid w:val="001D44E1"/>
    <w:rsid w:val="001E56B3"/>
    <w:rsid w:val="001E58B7"/>
    <w:rsid w:val="0020030B"/>
    <w:rsid w:val="00201247"/>
    <w:rsid w:val="002025F6"/>
    <w:rsid w:val="00202A20"/>
    <w:rsid w:val="00202FAB"/>
    <w:rsid w:val="002128DC"/>
    <w:rsid w:val="00232854"/>
    <w:rsid w:val="00232FC2"/>
    <w:rsid w:val="002364BE"/>
    <w:rsid w:val="00236583"/>
    <w:rsid w:val="0023737C"/>
    <w:rsid w:val="002409EA"/>
    <w:rsid w:val="00245BFF"/>
    <w:rsid w:val="00246F9A"/>
    <w:rsid w:val="002540ED"/>
    <w:rsid w:val="002556F6"/>
    <w:rsid w:val="00267943"/>
    <w:rsid w:val="0027160A"/>
    <w:rsid w:val="0027206F"/>
    <w:rsid w:val="00273927"/>
    <w:rsid w:val="0027447C"/>
    <w:rsid w:val="00277CA8"/>
    <w:rsid w:val="00282246"/>
    <w:rsid w:val="00287728"/>
    <w:rsid w:val="00287930"/>
    <w:rsid w:val="00297E7A"/>
    <w:rsid w:val="002A1151"/>
    <w:rsid w:val="002A3572"/>
    <w:rsid w:val="002A534A"/>
    <w:rsid w:val="002A578A"/>
    <w:rsid w:val="002A5852"/>
    <w:rsid w:val="002A799F"/>
    <w:rsid w:val="002B1DBD"/>
    <w:rsid w:val="002B3040"/>
    <w:rsid w:val="002B4E13"/>
    <w:rsid w:val="002B6B7F"/>
    <w:rsid w:val="002B710B"/>
    <w:rsid w:val="002C16A8"/>
    <w:rsid w:val="002C3D19"/>
    <w:rsid w:val="002D3A8D"/>
    <w:rsid w:val="002D4618"/>
    <w:rsid w:val="002E2814"/>
    <w:rsid w:val="002E2CD6"/>
    <w:rsid w:val="002E442D"/>
    <w:rsid w:val="002E68E5"/>
    <w:rsid w:val="002F16F0"/>
    <w:rsid w:val="002F1F34"/>
    <w:rsid w:val="002F7B8E"/>
    <w:rsid w:val="00303621"/>
    <w:rsid w:val="00303CDD"/>
    <w:rsid w:val="00306540"/>
    <w:rsid w:val="003123AE"/>
    <w:rsid w:val="00314CD4"/>
    <w:rsid w:val="00315537"/>
    <w:rsid w:val="00316196"/>
    <w:rsid w:val="0032260F"/>
    <w:rsid w:val="00323399"/>
    <w:rsid w:val="00323DC4"/>
    <w:rsid w:val="00327059"/>
    <w:rsid w:val="00331CBA"/>
    <w:rsid w:val="00335252"/>
    <w:rsid w:val="00335E88"/>
    <w:rsid w:val="00347E26"/>
    <w:rsid w:val="00352F37"/>
    <w:rsid w:val="00354620"/>
    <w:rsid w:val="00356B4E"/>
    <w:rsid w:val="00357185"/>
    <w:rsid w:val="00357F2C"/>
    <w:rsid w:val="0037265C"/>
    <w:rsid w:val="003751B7"/>
    <w:rsid w:val="00376DBD"/>
    <w:rsid w:val="00380BCB"/>
    <w:rsid w:val="00386C7D"/>
    <w:rsid w:val="00391766"/>
    <w:rsid w:val="00392891"/>
    <w:rsid w:val="003A19FF"/>
    <w:rsid w:val="003A218E"/>
    <w:rsid w:val="003A2630"/>
    <w:rsid w:val="003A2E95"/>
    <w:rsid w:val="003A3242"/>
    <w:rsid w:val="003A5C7B"/>
    <w:rsid w:val="003A627F"/>
    <w:rsid w:val="003B10E3"/>
    <w:rsid w:val="003B56D7"/>
    <w:rsid w:val="003B7091"/>
    <w:rsid w:val="003C2048"/>
    <w:rsid w:val="003C53C1"/>
    <w:rsid w:val="003D1450"/>
    <w:rsid w:val="003D452D"/>
    <w:rsid w:val="003E4467"/>
    <w:rsid w:val="003E44B8"/>
    <w:rsid w:val="003F07B2"/>
    <w:rsid w:val="003F2106"/>
    <w:rsid w:val="003F2951"/>
    <w:rsid w:val="003F33B7"/>
    <w:rsid w:val="003F626B"/>
    <w:rsid w:val="003F6D35"/>
    <w:rsid w:val="00401D97"/>
    <w:rsid w:val="0040279F"/>
    <w:rsid w:val="00403160"/>
    <w:rsid w:val="0040528B"/>
    <w:rsid w:val="004121C5"/>
    <w:rsid w:val="00412D14"/>
    <w:rsid w:val="0041371E"/>
    <w:rsid w:val="0041565C"/>
    <w:rsid w:val="004163A5"/>
    <w:rsid w:val="00417264"/>
    <w:rsid w:val="00420990"/>
    <w:rsid w:val="00423A04"/>
    <w:rsid w:val="00423F36"/>
    <w:rsid w:val="0042542C"/>
    <w:rsid w:val="0042542D"/>
    <w:rsid w:val="00426195"/>
    <w:rsid w:val="004279BB"/>
    <w:rsid w:val="004334B3"/>
    <w:rsid w:val="00434ADD"/>
    <w:rsid w:val="00435E05"/>
    <w:rsid w:val="004375E9"/>
    <w:rsid w:val="0044585F"/>
    <w:rsid w:val="0044590F"/>
    <w:rsid w:val="00446C31"/>
    <w:rsid w:val="00447E47"/>
    <w:rsid w:val="00450C7A"/>
    <w:rsid w:val="00454505"/>
    <w:rsid w:val="004613AA"/>
    <w:rsid w:val="00467A10"/>
    <w:rsid w:val="00476ECF"/>
    <w:rsid w:val="00476FF2"/>
    <w:rsid w:val="00477AB3"/>
    <w:rsid w:val="00477C16"/>
    <w:rsid w:val="00484DD5"/>
    <w:rsid w:val="00485B62"/>
    <w:rsid w:val="0049512E"/>
    <w:rsid w:val="00495AAC"/>
    <w:rsid w:val="004A0470"/>
    <w:rsid w:val="004A24F1"/>
    <w:rsid w:val="004A618D"/>
    <w:rsid w:val="004A78A7"/>
    <w:rsid w:val="004B2661"/>
    <w:rsid w:val="004B4059"/>
    <w:rsid w:val="004C0ACD"/>
    <w:rsid w:val="004C3B8D"/>
    <w:rsid w:val="004C4633"/>
    <w:rsid w:val="004D1BBB"/>
    <w:rsid w:val="004D1F18"/>
    <w:rsid w:val="004D2181"/>
    <w:rsid w:val="004D4DD0"/>
    <w:rsid w:val="004D5AB9"/>
    <w:rsid w:val="004D6E07"/>
    <w:rsid w:val="004E1676"/>
    <w:rsid w:val="004E1878"/>
    <w:rsid w:val="004E3E97"/>
    <w:rsid w:val="004E44AD"/>
    <w:rsid w:val="004F1C0A"/>
    <w:rsid w:val="004F3F73"/>
    <w:rsid w:val="004F4D83"/>
    <w:rsid w:val="005011CC"/>
    <w:rsid w:val="0050367D"/>
    <w:rsid w:val="005047F1"/>
    <w:rsid w:val="00505D71"/>
    <w:rsid w:val="00506834"/>
    <w:rsid w:val="005100FF"/>
    <w:rsid w:val="00513316"/>
    <w:rsid w:val="005210B8"/>
    <w:rsid w:val="00522340"/>
    <w:rsid w:val="005251D2"/>
    <w:rsid w:val="00527483"/>
    <w:rsid w:val="00535D79"/>
    <w:rsid w:val="0053771D"/>
    <w:rsid w:val="00537A89"/>
    <w:rsid w:val="005403EE"/>
    <w:rsid w:val="00540B8F"/>
    <w:rsid w:val="00540FBB"/>
    <w:rsid w:val="0054378B"/>
    <w:rsid w:val="005506D5"/>
    <w:rsid w:val="00555A2D"/>
    <w:rsid w:val="005573BF"/>
    <w:rsid w:val="00557E52"/>
    <w:rsid w:val="00564841"/>
    <w:rsid w:val="00565B1C"/>
    <w:rsid w:val="005732B8"/>
    <w:rsid w:val="00575458"/>
    <w:rsid w:val="0058079D"/>
    <w:rsid w:val="00582411"/>
    <w:rsid w:val="0058436F"/>
    <w:rsid w:val="005902D8"/>
    <w:rsid w:val="00590E94"/>
    <w:rsid w:val="00596EA7"/>
    <w:rsid w:val="005A2C32"/>
    <w:rsid w:val="005A31FE"/>
    <w:rsid w:val="005A3410"/>
    <w:rsid w:val="005A34DD"/>
    <w:rsid w:val="005A38D8"/>
    <w:rsid w:val="005A39CF"/>
    <w:rsid w:val="005A477C"/>
    <w:rsid w:val="005A5F92"/>
    <w:rsid w:val="005B2B38"/>
    <w:rsid w:val="005B47BC"/>
    <w:rsid w:val="005B4AFD"/>
    <w:rsid w:val="005B62FB"/>
    <w:rsid w:val="005C0966"/>
    <w:rsid w:val="005C142F"/>
    <w:rsid w:val="005C2EB7"/>
    <w:rsid w:val="005D3AD1"/>
    <w:rsid w:val="005D3CDB"/>
    <w:rsid w:val="005D3EF3"/>
    <w:rsid w:val="005D4722"/>
    <w:rsid w:val="005D53FC"/>
    <w:rsid w:val="005E263F"/>
    <w:rsid w:val="005E3A77"/>
    <w:rsid w:val="005E3E08"/>
    <w:rsid w:val="005E7596"/>
    <w:rsid w:val="005F24C9"/>
    <w:rsid w:val="005F39A9"/>
    <w:rsid w:val="005F49A2"/>
    <w:rsid w:val="00603228"/>
    <w:rsid w:val="00603F48"/>
    <w:rsid w:val="00604DD4"/>
    <w:rsid w:val="00606A8D"/>
    <w:rsid w:val="0061375E"/>
    <w:rsid w:val="00613794"/>
    <w:rsid w:val="00616768"/>
    <w:rsid w:val="00621135"/>
    <w:rsid w:val="0062121E"/>
    <w:rsid w:val="00621915"/>
    <w:rsid w:val="00626CA9"/>
    <w:rsid w:val="00633E8E"/>
    <w:rsid w:val="00635B02"/>
    <w:rsid w:val="00635F77"/>
    <w:rsid w:val="00636CDA"/>
    <w:rsid w:val="0064149F"/>
    <w:rsid w:val="00642AA1"/>
    <w:rsid w:val="006460F1"/>
    <w:rsid w:val="00654E49"/>
    <w:rsid w:val="006614FD"/>
    <w:rsid w:val="00661958"/>
    <w:rsid w:val="0066252E"/>
    <w:rsid w:val="006639C8"/>
    <w:rsid w:val="0066423A"/>
    <w:rsid w:val="00673499"/>
    <w:rsid w:val="00673673"/>
    <w:rsid w:val="006740B7"/>
    <w:rsid w:val="006740DE"/>
    <w:rsid w:val="00674CD6"/>
    <w:rsid w:val="0068314B"/>
    <w:rsid w:val="00683FAE"/>
    <w:rsid w:val="00685F55"/>
    <w:rsid w:val="00691D0B"/>
    <w:rsid w:val="006950C0"/>
    <w:rsid w:val="006976BE"/>
    <w:rsid w:val="006A071E"/>
    <w:rsid w:val="006A3F99"/>
    <w:rsid w:val="006A55EA"/>
    <w:rsid w:val="006A5C70"/>
    <w:rsid w:val="006B1047"/>
    <w:rsid w:val="006B3B0A"/>
    <w:rsid w:val="006C391B"/>
    <w:rsid w:val="006C3CD3"/>
    <w:rsid w:val="006C426B"/>
    <w:rsid w:val="006D3D3F"/>
    <w:rsid w:val="006D68A5"/>
    <w:rsid w:val="006D7C50"/>
    <w:rsid w:val="006E443C"/>
    <w:rsid w:val="006E6EDF"/>
    <w:rsid w:val="006F1822"/>
    <w:rsid w:val="006F5983"/>
    <w:rsid w:val="007009BC"/>
    <w:rsid w:val="00700E13"/>
    <w:rsid w:val="00702D96"/>
    <w:rsid w:val="007066CA"/>
    <w:rsid w:val="00706760"/>
    <w:rsid w:val="00710627"/>
    <w:rsid w:val="007118B2"/>
    <w:rsid w:val="007139D2"/>
    <w:rsid w:val="00714CE4"/>
    <w:rsid w:val="00714CFA"/>
    <w:rsid w:val="0072109F"/>
    <w:rsid w:val="00722993"/>
    <w:rsid w:val="00726E0F"/>
    <w:rsid w:val="00734E9C"/>
    <w:rsid w:val="00741892"/>
    <w:rsid w:val="007422ED"/>
    <w:rsid w:val="007428DB"/>
    <w:rsid w:val="00743151"/>
    <w:rsid w:val="00751959"/>
    <w:rsid w:val="007576C2"/>
    <w:rsid w:val="007577FA"/>
    <w:rsid w:val="00763234"/>
    <w:rsid w:val="00763F74"/>
    <w:rsid w:val="00765507"/>
    <w:rsid w:val="00767666"/>
    <w:rsid w:val="007723A0"/>
    <w:rsid w:val="007732B2"/>
    <w:rsid w:val="007768F7"/>
    <w:rsid w:val="00776C4D"/>
    <w:rsid w:val="00782883"/>
    <w:rsid w:val="00782A35"/>
    <w:rsid w:val="0078362A"/>
    <w:rsid w:val="00783820"/>
    <w:rsid w:val="00787F8E"/>
    <w:rsid w:val="007907DB"/>
    <w:rsid w:val="00793B76"/>
    <w:rsid w:val="00796EDF"/>
    <w:rsid w:val="007A07E7"/>
    <w:rsid w:val="007A3C7B"/>
    <w:rsid w:val="007A6216"/>
    <w:rsid w:val="007A6523"/>
    <w:rsid w:val="007B4563"/>
    <w:rsid w:val="007B6D66"/>
    <w:rsid w:val="007C1866"/>
    <w:rsid w:val="007C2D7D"/>
    <w:rsid w:val="007C4279"/>
    <w:rsid w:val="007C6780"/>
    <w:rsid w:val="007D3BD2"/>
    <w:rsid w:val="007D676D"/>
    <w:rsid w:val="007D6990"/>
    <w:rsid w:val="007E711E"/>
    <w:rsid w:val="007E7F92"/>
    <w:rsid w:val="007F28C2"/>
    <w:rsid w:val="007F420C"/>
    <w:rsid w:val="007F4C63"/>
    <w:rsid w:val="007F6482"/>
    <w:rsid w:val="008007F8"/>
    <w:rsid w:val="00800A6D"/>
    <w:rsid w:val="008014D2"/>
    <w:rsid w:val="00804E5D"/>
    <w:rsid w:val="00806205"/>
    <w:rsid w:val="008104AD"/>
    <w:rsid w:val="0082101A"/>
    <w:rsid w:val="0083194E"/>
    <w:rsid w:val="00834453"/>
    <w:rsid w:val="00835C67"/>
    <w:rsid w:val="00836838"/>
    <w:rsid w:val="00837BE8"/>
    <w:rsid w:val="008407B8"/>
    <w:rsid w:val="00842A89"/>
    <w:rsid w:val="00843D8A"/>
    <w:rsid w:val="0084460D"/>
    <w:rsid w:val="00850AE0"/>
    <w:rsid w:val="00850EEA"/>
    <w:rsid w:val="00851AAF"/>
    <w:rsid w:val="008522E9"/>
    <w:rsid w:val="00853AF0"/>
    <w:rsid w:val="00854ECC"/>
    <w:rsid w:val="00855B39"/>
    <w:rsid w:val="008573DE"/>
    <w:rsid w:val="008619DE"/>
    <w:rsid w:val="00865B79"/>
    <w:rsid w:val="00866D56"/>
    <w:rsid w:val="00866E9C"/>
    <w:rsid w:val="0087090B"/>
    <w:rsid w:val="00870EFA"/>
    <w:rsid w:val="0087178A"/>
    <w:rsid w:val="00874757"/>
    <w:rsid w:val="008748CD"/>
    <w:rsid w:val="0088488E"/>
    <w:rsid w:val="00886F46"/>
    <w:rsid w:val="0088770C"/>
    <w:rsid w:val="00887DD0"/>
    <w:rsid w:val="00887F60"/>
    <w:rsid w:val="0089457F"/>
    <w:rsid w:val="00894730"/>
    <w:rsid w:val="008A50ED"/>
    <w:rsid w:val="008A5E2F"/>
    <w:rsid w:val="008A617F"/>
    <w:rsid w:val="008A6967"/>
    <w:rsid w:val="008B2416"/>
    <w:rsid w:val="008B3220"/>
    <w:rsid w:val="008B3C7F"/>
    <w:rsid w:val="008B4461"/>
    <w:rsid w:val="008C19D6"/>
    <w:rsid w:val="008C5C9D"/>
    <w:rsid w:val="008D3A78"/>
    <w:rsid w:val="008D6F45"/>
    <w:rsid w:val="008D70F5"/>
    <w:rsid w:val="008E09E0"/>
    <w:rsid w:val="008E267B"/>
    <w:rsid w:val="008E3D0C"/>
    <w:rsid w:val="008E3E5E"/>
    <w:rsid w:val="008E5D49"/>
    <w:rsid w:val="008E66B7"/>
    <w:rsid w:val="008E672D"/>
    <w:rsid w:val="008F021D"/>
    <w:rsid w:val="008F251B"/>
    <w:rsid w:val="008F3D11"/>
    <w:rsid w:val="00903A9D"/>
    <w:rsid w:val="00906D2D"/>
    <w:rsid w:val="00913B0B"/>
    <w:rsid w:val="0091427A"/>
    <w:rsid w:val="00915B00"/>
    <w:rsid w:val="00917BA4"/>
    <w:rsid w:val="009235AB"/>
    <w:rsid w:val="00925EF3"/>
    <w:rsid w:val="009261EF"/>
    <w:rsid w:val="00927E51"/>
    <w:rsid w:val="00943066"/>
    <w:rsid w:val="00944602"/>
    <w:rsid w:val="00945843"/>
    <w:rsid w:val="009466AE"/>
    <w:rsid w:val="00946E99"/>
    <w:rsid w:val="009515A0"/>
    <w:rsid w:val="0095240E"/>
    <w:rsid w:val="009534A4"/>
    <w:rsid w:val="00955B5C"/>
    <w:rsid w:val="00960839"/>
    <w:rsid w:val="00961AAC"/>
    <w:rsid w:val="0096282B"/>
    <w:rsid w:val="00962F8F"/>
    <w:rsid w:val="009630E9"/>
    <w:rsid w:val="00963B0C"/>
    <w:rsid w:val="009648FD"/>
    <w:rsid w:val="009677F2"/>
    <w:rsid w:val="009705BC"/>
    <w:rsid w:val="00970683"/>
    <w:rsid w:val="00971A44"/>
    <w:rsid w:val="00973E0B"/>
    <w:rsid w:val="00974307"/>
    <w:rsid w:val="00977A67"/>
    <w:rsid w:val="00985CF0"/>
    <w:rsid w:val="0099513F"/>
    <w:rsid w:val="00995192"/>
    <w:rsid w:val="009953A4"/>
    <w:rsid w:val="00995FD4"/>
    <w:rsid w:val="009B1912"/>
    <w:rsid w:val="009C45F1"/>
    <w:rsid w:val="009C6EF9"/>
    <w:rsid w:val="009D1950"/>
    <w:rsid w:val="009D7E85"/>
    <w:rsid w:val="009E2813"/>
    <w:rsid w:val="009E33A2"/>
    <w:rsid w:val="009F0267"/>
    <w:rsid w:val="009F4BA3"/>
    <w:rsid w:val="009F792D"/>
    <w:rsid w:val="00A00639"/>
    <w:rsid w:val="00A01BDA"/>
    <w:rsid w:val="00A03B35"/>
    <w:rsid w:val="00A0597D"/>
    <w:rsid w:val="00A07DBB"/>
    <w:rsid w:val="00A1082E"/>
    <w:rsid w:val="00A111CE"/>
    <w:rsid w:val="00A17271"/>
    <w:rsid w:val="00A24122"/>
    <w:rsid w:val="00A24FD5"/>
    <w:rsid w:val="00A268DA"/>
    <w:rsid w:val="00A355DD"/>
    <w:rsid w:val="00A35F1E"/>
    <w:rsid w:val="00A36F8A"/>
    <w:rsid w:val="00A40D80"/>
    <w:rsid w:val="00A420D5"/>
    <w:rsid w:val="00A44157"/>
    <w:rsid w:val="00A456FB"/>
    <w:rsid w:val="00A47EF9"/>
    <w:rsid w:val="00A52300"/>
    <w:rsid w:val="00A5362F"/>
    <w:rsid w:val="00A56B5B"/>
    <w:rsid w:val="00A642C1"/>
    <w:rsid w:val="00A65F2A"/>
    <w:rsid w:val="00A72A22"/>
    <w:rsid w:val="00A739FE"/>
    <w:rsid w:val="00A760F1"/>
    <w:rsid w:val="00A858EF"/>
    <w:rsid w:val="00A90AF2"/>
    <w:rsid w:val="00A91728"/>
    <w:rsid w:val="00A930CF"/>
    <w:rsid w:val="00A9387E"/>
    <w:rsid w:val="00AA023B"/>
    <w:rsid w:val="00AA050F"/>
    <w:rsid w:val="00AA0712"/>
    <w:rsid w:val="00AA3955"/>
    <w:rsid w:val="00AA4F0D"/>
    <w:rsid w:val="00AA6057"/>
    <w:rsid w:val="00AA75CF"/>
    <w:rsid w:val="00AB5B2C"/>
    <w:rsid w:val="00AC1857"/>
    <w:rsid w:val="00AC2894"/>
    <w:rsid w:val="00AC38F5"/>
    <w:rsid w:val="00AC5805"/>
    <w:rsid w:val="00AC7BAA"/>
    <w:rsid w:val="00AD2801"/>
    <w:rsid w:val="00AE17A8"/>
    <w:rsid w:val="00AE1E7B"/>
    <w:rsid w:val="00AE35C5"/>
    <w:rsid w:val="00AE61A9"/>
    <w:rsid w:val="00AF057F"/>
    <w:rsid w:val="00AF332A"/>
    <w:rsid w:val="00AF3755"/>
    <w:rsid w:val="00AF3DD2"/>
    <w:rsid w:val="00AF74C6"/>
    <w:rsid w:val="00B02D98"/>
    <w:rsid w:val="00B0340D"/>
    <w:rsid w:val="00B06620"/>
    <w:rsid w:val="00B11450"/>
    <w:rsid w:val="00B12389"/>
    <w:rsid w:val="00B12FF3"/>
    <w:rsid w:val="00B13417"/>
    <w:rsid w:val="00B141D5"/>
    <w:rsid w:val="00B14721"/>
    <w:rsid w:val="00B21E0B"/>
    <w:rsid w:val="00B25B1C"/>
    <w:rsid w:val="00B26255"/>
    <w:rsid w:val="00B278F7"/>
    <w:rsid w:val="00B301F8"/>
    <w:rsid w:val="00B3020A"/>
    <w:rsid w:val="00B3237A"/>
    <w:rsid w:val="00B352DA"/>
    <w:rsid w:val="00B377C2"/>
    <w:rsid w:val="00B379DA"/>
    <w:rsid w:val="00B40D94"/>
    <w:rsid w:val="00B4377F"/>
    <w:rsid w:val="00B438AA"/>
    <w:rsid w:val="00B43B48"/>
    <w:rsid w:val="00B44334"/>
    <w:rsid w:val="00B46904"/>
    <w:rsid w:val="00B56B0C"/>
    <w:rsid w:val="00B61AC9"/>
    <w:rsid w:val="00B63E65"/>
    <w:rsid w:val="00B71574"/>
    <w:rsid w:val="00B71694"/>
    <w:rsid w:val="00B764D2"/>
    <w:rsid w:val="00B81167"/>
    <w:rsid w:val="00B81E5E"/>
    <w:rsid w:val="00B8591B"/>
    <w:rsid w:val="00B90391"/>
    <w:rsid w:val="00B931BD"/>
    <w:rsid w:val="00BA097D"/>
    <w:rsid w:val="00BA0D41"/>
    <w:rsid w:val="00BA5C59"/>
    <w:rsid w:val="00BB21CA"/>
    <w:rsid w:val="00BB4EFE"/>
    <w:rsid w:val="00BB5353"/>
    <w:rsid w:val="00BC19BA"/>
    <w:rsid w:val="00BC1AE7"/>
    <w:rsid w:val="00BC45F5"/>
    <w:rsid w:val="00BC4B29"/>
    <w:rsid w:val="00BD2BB0"/>
    <w:rsid w:val="00BE1574"/>
    <w:rsid w:val="00BE2F8D"/>
    <w:rsid w:val="00BE5707"/>
    <w:rsid w:val="00BE5BE8"/>
    <w:rsid w:val="00BE7642"/>
    <w:rsid w:val="00BF13A9"/>
    <w:rsid w:val="00BF4CD4"/>
    <w:rsid w:val="00BF742D"/>
    <w:rsid w:val="00BF75BF"/>
    <w:rsid w:val="00C052B1"/>
    <w:rsid w:val="00C074C6"/>
    <w:rsid w:val="00C07B0F"/>
    <w:rsid w:val="00C15903"/>
    <w:rsid w:val="00C16AE7"/>
    <w:rsid w:val="00C200F0"/>
    <w:rsid w:val="00C20164"/>
    <w:rsid w:val="00C22EE1"/>
    <w:rsid w:val="00C23E70"/>
    <w:rsid w:val="00C240D3"/>
    <w:rsid w:val="00C31629"/>
    <w:rsid w:val="00C31736"/>
    <w:rsid w:val="00C3322A"/>
    <w:rsid w:val="00C344E6"/>
    <w:rsid w:val="00C406B0"/>
    <w:rsid w:val="00C40E7B"/>
    <w:rsid w:val="00C43C95"/>
    <w:rsid w:val="00C51661"/>
    <w:rsid w:val="00C5183D"/>
    <w:rsid w:val="00C52A9F"/>
    <w:rsid w:val="00C52D77"/>
    <w:rsid w:val="00C53F46"/>
    <w:rsid w:val="00C564E3"/>
    <w:rsid w:val="00C57F9A"/>
    <w:rsid w:val="00C70B86"/>
    <w:rsid w:val="00C726AE"/>
    <w:rsid w:val="00C72957"/>
    <w:rsid w:val="00C751F2"/>
    <w:rsid w:val="00C75F4F"/>
    <w:rsid w:val="00C8082C"/>
    <w:rsid w:val="00C8606B"/>
    <w:rsid w:val="00C8625D"/>
    <w:rsid w:val="00C916DA"/>
    <w:rsid w:val="00CA437B"/>
    <w:rsid w:val="00CA59D6"/>
    <w:rsid w:val="00CA6EAC"/>
    <w:rsid w:val="00CA7E98"/>
    <w:rsid w:val="00CB111B"/>
    <w:rsid w:val="00CB4A13"/>
    <w:rsid w:val="00CC2483"/>
    <w:rsid w:val="00CC28D1"/>
    <w:rsid w:val="00CC2D4C"/>
    <w:rsid w:val="00CC2EAE"/>
    <w:rsid w:val="00CC3876"/>
    <w:rsid w:val="00CC52D7"/>
    <w:rsid w:val="00CD01EB"/>
    <w:rsid w:val="00CD077B"/>
    <w:rsid w:val="00CD1F5F"/>
    <w:rsid w:val="00CD50DF"/>
    <w:rsid w:val="00CD733C"/>
    <w:rsid w:val="00CE2EB7"/>
    <w:rsid w:val="00CE6A09"/>
    <w:rsid w:val="00CF0676"/>
    <w:rsid w:val="00CF2AB0"/>
    <w:rsid w:val="00CF4297"/>
    <w:rsid w:val="00CF4D43"/>
    <w:rsid w:val="00CF675F"/>
    <w:rsid w:val="00CF6A53"/>
    <w:rsid w:val="00D01D6D"/>
    <w:rsid w:val="00D0485E"/>
    <w:rsid w:val="00D11159"/>
    <w:rsid w:val="00D120AD"/>
    <w:rsid w:val="00D14054"/>
    <w:rsid w:val="00D1447F"/>
    <w:rsid w:val="00D17C0F"/>
    <w:rsid w:val="00D2002E"/>
    <w:rsid w:val="00D2304A"/>
    <w:rsid w:val="00D24E97"/>
    <w:rsid w:val="00D24F69"/>
    <w:rsid w:val="00D51F46"/>
    <w:rsid w:val="00D539B9"/>
    <w:rsid w:val="00D567EE"/>
    <w:rsid w:val="00D575B2"/>
    <w:rsid w:val="00D61045"/>
    <w:rsid w:val="00D645A3"/>
    <w:rsid w:val="00D64F64"/>
    <w:rsid w:val="00D65F10"/>
    <w:rsid w:val="00D65F97"/>
    <w:rsid w:val="00D66472"/>
    <w:rsid w:val="00D75D0A"/>
    <w:rsid w:val="00D77C2B"/>
    <w:rsid w:val="00D803DC"/>
    <w:rsid w:val="00D82E50"/>
    <w:rsid w:val="00D85D49"/>
    <w:rsid w:val="00D8746D"/>
    <w:rsid w:val="00D9299E"/>
    <w:rsid w:val="00D92A15"/>
    <w:rsid w:val="00D94AB9"/>
    <w:rsid w:val="00DA584A"/>
    <w:rsid w:val="00DA588D"/>
    <w:rsid w:val="00DA6F1F"/>
    <w:rsid w:val="00DB0B91"/>
    <w:rsid w:val="00DB40DF"/>
    <w:rsid w:val="00DC1740"/>
    <w:rsid w:val="00DC1F31"/>
    <w:rsid w:val="00DC65C4"/>
    <w:rsid w:val="00DD42AA"/>
    <w:rsid w:val="00DD683C"/>
    <w:rsid w:val="00DE0AA2"/>
    <w:rsid w:val="00DE0F12"/>
    <w:rsid w:val="00DE142E"/>
    <w:rsid w:val="00DE27C1"/>
    <w:rsid w:val="00DE2ABD"/>
    <w:rsid w:val="00DE2B78"/>
    <w:rsid w:val="00DE52DC"/>
    <w:rsid w:val="00DE5E69"/>
    <w:rsid w:val="00DF05E5"/>
    <w:rsid w:val="00DF157E"/>
    <w:rsid w:val="00DF4877"/>
    <w:rsid w:val="00DF576C"/>
    <w:rsid w:val="00DF7907"/>
    <w:rsid w:val="00E027EB"/>
    <w:rsid w:val="00E04FF6"/>
    <w:rsid w:val="00E0799A"/>
    <w:rsid w:val="00E1361A"/>
    <w:rsid w:val="00E16FDF"/>
    <w:rsid w:val="00E1713E"/>
    <w:rsid w:val="00E17F42"/>
    <w:rsid w:val="00E21F45"/>
    <w:rsid w:val="00E249F1"/>
    <w:rsid w:val="00E25FD9"/>
    <w:rsid w:val="00E27837"/>
    <w:rsid w:val="00E42FA0"/>
    <w:rsid w:val="00E4354A"/>
    <w:rsid w:val="00E46D70"/>
    <w:rsid w:val="00E47989"/>
    <w:rsid w:val="00E47FCD"/>
    <w:rsid w:val="00E512AA"/>
    <w:rsid w:val="00E5196C"/>
    <w:rsid w:val="00E52DCF"/>
    <w:rsid w:val="00E56383"/>
    <w:rsid w:val="00E60829"/>
    <w:rsid w:val="00E6335A"/>
    <w:rsid w:val="00E660BF"/>
    <w:rsid w:val="00E7120C"/>
    <w:rsid w:val="00E7322D"/>
    <w:rsid w:val="00E73362"/>
    <w:rsid w:val="00E75C44"/>
    <w:rsid w:val="00E768BF"/>
    <w:rsid w:val="00E80D9F"/>
    <w:rsid w:val="00E82168"/>
    <w:rsid w:val="00E8302C"/>
    <w:rsid w:val="00E83F16"/>
    <w:rsid w:val="00E86014"/>
    <w:rsid w:val="00E8696D"/>
    <w:rsid w:val="00E87959"/>
    <w:rsid w:val="00EA663F"/>
    <w:rsid w:val="00EA74F4"/>
    <w:rsid w:val="00EB42BD"/>
    <w:rsid w:val="00EB5F1C"/>
    <w:rsid w:val="00EC291E"/>
    <w:rsid w:val="00ED048B"/>
    <w:rsid w:val="00ED28E2"/>
    <w:rsid w:val="00ED2D1E"/>
    <w:rsid w:val="00ED35E7"/>
    <w:rsid w:val="00ED428B"/>
    <w:rsid w:val="00EE1E10"/>
    <w:rsid w:val="00EE2584"/>
    <w:rsid w:val="00EE2D91"/>
    <w:rsid w:val="00EE4E4F"/>
    <w:rsid w:val="00EE749C"/>
    <w:rsid w:val="00EE7B53"/>
    <w:rsid w:val="00EF5CC2"/>
    <w:rsid w:val="00F0015D"/>
    <w:rsid w:val="00F00F51"/>
    <w:rsid w:val="00F01515"/>
    <w:rsid w:val="00F0156B"/>
    <w:rsid w:val="00F049E2"/>
    <w:rsid w:val="00F063D9"/>
    <w:rsid w:val="00F103C6"/>
    <w:rsid w:val="00F1142F"/>
    <w:rsid w:val="00F11658"/>
    <w:rsid w:val="00F13633"/>
    <w:rsid w:val="00F14EDA"/>
    <w:rsid w:val="00F15509"/>
    <w:rsid w:val="00F206A2"/>
    <w:rsid w:val="00F217AA"/>
    <w:rsid w:val="00F21EC8"/>
    <w:rsid w:val="00F26641"/>
    <w:rsid w:val="00F30C66"/>
    <w:rsid w:val="00F32C54"/>
    <w:rsid w:val="00F33CFF"/>
    <w:rsid w:val="00F45E8E"/>
    <w:rsid w:val="00F4622F"/>
    <w:rsid w:val="00F47E24"/>
    <w:rsid w:val="00F53E64"/>
    <w:rsid w:val="00F614A1"/>
    <w:rsid w:val="00F736ED"/>
    <w:rsid w:val="00F80D64"/>
    <w:rsid w:val="00F8157D"/>
    <w:rsid w:val="00F8469E"/>
    <w:rsid w:val="00F90945"/>
    <w:rsid w:val="00F91FEA"/>
    <w:rsid w:val="00FA0304"/>
    <w:rsid w:val="00FA1A9F"/>
    <w:rsid w:val="00FA442D"/>
    <w:rsid w:val="00FA75B4"/>
    <w:rsid w:val="00FB4239"/>
    <w:rsid w:val="00FB6502"/>
    <w:rsid w:val="00FB687E"/>
    <w:rsid w:val="00FC03D5"/>
    <w:rsid w:val="00FC0690"/>
    <w:rsid w:val="00FC22A0"/>
    <w:rsid w:val="00FC48FC"/>
    <w:rsid w:val="00FC5AD1"/>
    <w:rsid w:val="00FC5D29"/>
    <w:rsid w:val="00FC6AF8"/>
    <w:rsid w:val="00FD54D9"/>
    <w:rsid w:val="00FD55B1"/>
    <w:rsid w:val="00FE4EDA"/>
    <w:rsid w:val="00FE5015"/>
    <w:rsid w:val="00FE51D9"/>
    <w:rsid w:val="00FE6791"/>
    <w:rsid w:val="00FE67CD"/>
    <w:rsid w:val="00FF2638"/>
    <w:rsid w:val="00FF5E28"/>
    <w:rsid w:val="00FF6483"/>
    <w:rsid w:val="00FF68D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747D44"/>
  <w15:docId w15:val="{463896BF-6562-4B09-86EA-537D711A3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1CBA"/>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331CBA"/>
    <w:pPr>
      <w:keepNext/>
      <w:jc w:val="both"/>
      <w:outlineLvl w:val="0"/>
    </w:pPr>
    <w:rPr>
      <w:rFonts w:ascii="Arial" w:hAnsi="Arial" w:cs="Arial"/>
      <w:b/>
      <w:bCs/>
    </w:rPr>
  </w:style>
  <w:style w:type="paragraph" w:styleId="Ttulo2">
    <w:name w:val="heading 2"/>
    <w:basedOn w:val="Normal"/>
    <w:next w:val="Normal"/>
    <w:link w:val="Ttulo2Car"/>
    <w:qFormat/>
    <w:rsid w:val="00331CBA"/>
    <w:pPr>
      <w:keepNext/>
      <w:jc w:val="center"/>
      <w:outlineLvl w:val="1"/>
    </w:pPr>
    <w:rPr>
      <w:rFonts w:ascii="Book Antiqua" w:hAnsi="Book Antiqua"/>
      <w:b/>
      <w:bCs/>
    </w:rPr>
  </w:style>
  <w:style w:type="paragraph" w:styleId="Ttulo3">
    <w:name w:val="heading 3"/>
    <w:basedOn w:val="Normal"/>
    <w:next w:val="Normal"/>
    <w:link w:val="Ttulo3Car"/>
    <w:uiPriority w:val="9"/>
    <w:semiHidden/>
    <w:unhideWhenUsed/>
    <w:qFormat/>
    <w:rsid w:val="001A7A08"/>
    <w:pPr>
      <w:keepNext/>
      <w:keepLines/>
      <w:spacing w:before="40"/>
      <w:outlineLvl w:val="2"/>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331CBA"/>
    <w:rPr>
      <w:rFonts w:ascii="Arial" w:eastAsia="Times New Roman" w:hAnsi="Arial" w:cs="Arial"/>
      <w:b/>
      <w:bCs/>
      <w:sz w:val="24"/>
      <w:szCs w:val="24"/>
      <w:lang w:val="es-ES" w:eastAsia="es-ES"/>
    </w:rPr>
  </w:style>
  <w:style w:type="character" w:customStyle="1" w:styleId="Ttulo2Car">
    <w:name w:val="Título 2 Car"/>
    <w:basedOn w:val="Fuentedeprrafopredeter"/>
    <w:link w:val="Ttulo2"/>
    <w:rsid w:val="00331CBA"/>
    <w:rPr>
      <w:rFonts w:ascii="Book Antiqua" w:eastAsia="Times New Roman" w:hAnsi="Book Antiqua" w:cs="Times New Roman"/>
      <w:b/>
      <w:bCs/>
      <w:sz w:val="24"/>
      <w:szCs w:val="24"/>
      <w:lang w:val="es-ES" w:eastAsia="es-ES"/>
    </w:rPr>
  </w:style>
  <w:style w:type="paragraph" w:styleId="Encabezado">
    <w:name w:val="header"/>
    <w:basedOn w:val="Normal"/>
    <w:link w:val="EncabezadoCar"/>
    <w:uiPriority w:val="99"/>
    <w:rsid w:val="00331CBA"/>
    <w:pPr>
      <w:tabs>
        <w:tab w:val="center" w:pos="4419"/>
        <w:tab w:val="right" w:pos="8838"/>
      </w:tabs>
    </w:pPr>
  </w:style>
  <w:style w:type="character" w:customStyle="1" w:styleId="EncabezadoCar">
    <w:name w:val="Encabezado Car"/>
    <w:basedOn w:val="Fuentedeprrafopredeter"/>
    <w:link w:val="Encabezado"/>
    <w:uiPriority w:val="99"/>
    <w:rsid w:val="00331CBA"/>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rsid w:val="00331CBA"/>
    <w:pPr>
      <w:tabs>
        <w:tab w:val="center" w:pos="4419"/>
        <w:tab w:val="right" w:pos="8838"/>
      </w:tabs>
    </w:pPr>
  </w:style>
  <w:style w:type="character" w:customStyle="1" w:styleId="PiedepginaCar">
    <w:name w:val="Pie de página Car"/>
    <w:basedOn w:val="Fuentedeprrafopredeter"/>
    <w:link w:val="Piedepgina"/>
    <w:uiPriority w:val="99"/>
    <w:rsid w:val="00331CBA"/>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rsid w:val="00331CBA"/>
    <w:pPr>
      <w:jc w:val="both"/>
    </w:pPr>
    <w:rPr>
      <w:rFonts w:ascii="Book Antiqua" w:hAnsi="Book Antiqua"/>
    </w:rPr>
  </w:style>
  <w:style w:type="character" w:customStyle="1" w:styleId="TextoindependienteCar">
    <w:name w:val="Texto independiente Car"/>
    <w:basedOn w:val="Fuentedeprrafopredeter"/>
    <w:link w:val="Textoindependiente"/>
    <w:rsid w:val="00331CBA"/>
    <w:rPr>
      <w:rFonts w:ascii="Book Antiqua" w:eastAsia="Times New Roman" w:hAnsi="Book Antiqua" w:cs="Times New Roman"/>
      <w:sz w:val="24"/>
      <w:szCs w:val="24"/>
      <w:lang w:val="es-ES" w:eastAsia="es-ES"/>
    </w:rPr>
  </w:style>
  <w:style w:type="character" w:styleId="Nmerodepgina">
    <w:name w:val="page number"/>
    <w:basedOn w:val="Fuentedeprrafopredeter"/>
    <w:rsid w:val="00331CBA"/>
  </w:style>
  <w:style w:type="paragraph" w:styleId="Prrafodelista">
    <w:name w:val="List Paragraph"/>
    <w:basedOn w:val="Normal"/>
    <w:uiPriority w:val="34"/>
    <w:qFormat/>
    <w:rsid w:val="00331CBA"/>
    <w:pPr>
      <w:spacing w:after="200" w:line="276" w:lineRule="auto"/>
      <w:ind w:left="720"/>
      <w:contextualSpacing/>
      <w:jc w:val="both"/>
    </w:pPr>
    <w:rPr>
      <w:rFonts w:ascii="Arial" w:hAnsi="Arial"/>
      <w:sz w:val="22"/>
      <w:szCs w:val="22"/>
      <w:lang w:val="es-MX" w:eastAsia="en-US"/>
    </w:rPr>
  </w:style>
  <w:style w:type="paragraph" w:styleId="Sinespaciado">
    <w:name w:val="No Spacing"/>
    <w:link w:val="SinespaciadoCar"/>
    <w:uiPriority w:val="1"/>
    <w:qFormat/>
    <w:rsid w:val="00331CBA"/>
    <w:pPr>
      <w:spacing w:after="0" w:line="240" w:lineRule="auto"/>
    </w:pPr>
    <w:rPr>
      <w:rFonts w:ascii="Calibri" w:eastAsia="Calibri" w:hAnsi="Calibri" w:cs="Times New Roman"/>
    </w:rPr>
  </w:style>
  <w:style w:type="character" w:customStyle="1" w:styleId="Estilo2">
    <w:name w:val="Estilo2"/>
    <w:uiPriority w:val="1"/>
    <w:rsid w:val="00331CBA"/>
    <w:rPr>
      <w:rFonts w:ascii="Arial" w:hAnsi="Arial"/>
      <w:b/>
      <w:caps/>
      <w:sz w:val="24"/>
    </w:rPr>
  </w:style>
  <w:style w:type="paragraph" w:styleId="Textonotapie">
    <w:name w:val="footnote text"/>
    <w:basedOn w:val="Normal"/>
    <w:link w:val="TextonotapieCar"/>
    <w:uiPriority w:val="99"/>
    <w:unhideWhenUsed/>
    <w:rsid w:val="00331CBA"/>
    <w:rPr>
      <w:sz w:val="20"/>
      <w:szCs w:val="20"/>
    </w:rPr>
  </w:style>
  <w:style w:type="character" w:customStyle="1" w:styleId="TextonotapieCar">
    <w:name w:val="Texto nota pie Car"/>
    <w:basedOn w:val="Fuentedeprrafopredeter"/>
    <w:link w:val="Textonotapie"/>
    <w:uiPriority w:val="99"/>
    <w:rsid w:val="00331CBA"/>
    <w:rPr>
      <w:rFonts w:ascii="Times New Roman" w:eastAsia="Times New Roman" w:hAnsi="Times New Roman" w:cs="Times New Roman"/>
      <w:sz w:val="20"/>
      <w:szCs w:val="20"/>
      <w:lang w:val="es-ES" w:eastAsia="es-ES"/>
    </w:rPr>
  </w:style>
  <w:style w:type="character" w:styleId="Refdenotaalpie">
    <w:name w:val="footnote reference"/>
    <w:aliases w:val="Ref. de nota al pie 2,Footnotes refss,Texto de nota al pie,Appel note de bas de page,referencia nota al pie,BVI fnr,Footnote number,f,4_G,16 Point,Superscript 6 Point,Texto nota al pie,Footnote Reference Char3,julio,Ref"/>
    <w:unhideWhenUsed/>
    <w:qFormat/>
    <w:rsid w:val="00331CBA"/>
    <w:rPr>
      <w:vertAlign w:val="superscript"/>
    </w:rPr>
  </w:style>
  <w:style w:type="paragraph" w:customStyle="1" w:styleId="Normal1">
    <w:name w:val="Normal1"/>
    <w:rsid w:val="00331CBA"/>
    <w:pPr>
      <w:spacing w:after="0" w:line="240" w:lineRule="auto"/>
    </w:pPr>
    <w:rPr>
      <w:rFonts w:ascii="Times New Roman" w:eastAsia="Times New Roman" w:hAnsi="Times New Roman" w:cs="Times New Roman"/>
      <w:color w:val="000000"/>
      <w:sz w:val="24"/>
      <w:szCs w:val="24"/>
      <w:lang w:eastAsia="es-MX"/>
    </w:rPr>
  </w:style>
  <w:style w:type="character" w:styleId="Hipervnculo">
    <w:name w:val="Hyperlink"/>
    <w:uiPriority w:val="99"/>
    <w:rsid w:val="00331CBA"/>
    <w:rPr>
      <w:color w:val="0000FF"/>
      <w:u w:val="single"/>
    </w:rPr>
  </w:style>
  <w:style w:type="character" w:customStyle="1" w:styleId="SinespaciadoCar">
    <w:name w:val="Sin espaciado Car"/>
    <w:link w:val="Sinespaciado"/>
    <w:uiPriority w:val="1"/>
    <w:rsid w:val="00331CBA"/>
    <w:rPr>
      <w:rFonts w:ascii="Calibri" w:eastAsia="Calibri" w:hAnsi="Calibri" w:cs="Times New Roman"/>
    </w:rPr>
  </w:style>
  <w:style w:type="paragraph" w:customStyle="1" w:styleId="Texto">
    <w:name w:val="Texto"/>
    <w:basedOn w:val="Normal"/>
    <w:link w:val="TextoCar"/>
    <w:rsid w:val="00331CBA"/>
    <w:pPr>
      <w:spacing w:after="101" w:line="216" w:lineRule="exact"/>
      <w:ind w:firstLine="288"/>
      <w:jc w:val="both"/>
    </w:pPr>
    <w:rPr>
      <w:rFonts w:ascii="Arial" w:hAnsi="Arial"/>
      <w:sz w:val="18"/>
      <w:szCs w:val="20"/>
    </w:rPr>
  </w:style>
  <w:style w:type="character" w:customStyle="1" w:styleId="TextoCar">
    <w:name w:val="Texto Car"/>
    <w:link w:val="Texto"/>
    <w:locked/>
    <w:rsid w:val="00331CBA"/>
    <w:rPr>
      <w:rFonts w:ascii="Arial" w:eastAsia="Times New Roman" w:hAnsi="Arial" w:cs="Times New Roman"/>
      <w:sz w:val="18"/>
      <w:szCs w:val="20"/>
      <w:lang w:val="es-ES" w:eastAsia="es-ES"/>
    </w:rPr>
  </w:style>
  <w:style w:type="character" w:styleId="Textoennegrita">
    <w:name w:val="Strong"/>
    <w:uiPriority w:val="22"/>
    <w:qFormat/>
    <w:rsid w:val="00331CBA"/>
    <w:rPr>
      <w:b/>
      <w:bCs/>
    </w:rPr>
  </w:style>
  <w:style w:type="paragraph" w:styleId="Textodeglobo">
    <w:name w:val="Balloon Text"/>
    <w:basedOn w:val="Normal"/>
    <w:link w:val="TextodegloboCar"/>
    <w:uiPriority w:val="99"/>
    <w:semiHidden/>
    <w:unhideWhenUsed/>
    <w:rsid w:val="00331CBA"/>
    <w:rPr>
      <w:rFonts w:ascii="Tahoma" w:hAnsi="Tahoma" w:cs="Tahoma"/>
      <w:sz w:val="16"/>
      <w:szCs w:val="16"/>
    </w:rPr>
  </w:style>
  <w:style w:type="character" w:customStyle="1" w:styleId="TextodegloboCar">
    <w:name w:val="Texto de globo Car"/>
    <w:basedOn w:val="Fuentedeprrafopredeter"/>
    <w:link w:val="Textodeglobo"/>
    <w:uiPriority w:val="99"/>
    <w:semiHidden/>
    <w:rsid w:val="00331CBA"/>
    <w:rPr>
      <w:rFonts w:ascii="Tahoma" w:eastAsia="Times New Roman" w:hAnsi="Tahoma" w:cs="Tahoma"/>
      <w:sz w:val="16"/>
      <w:szCs w:val="16"/>
      <w:lang w:val="es-ES" w:eastAsia="es-ES"/>
    </w:rPr>
  </w:style>
  <w:style w:type="paragraph" w:styleId="NormalWeb">
    <w:name w:val="Normal (Web)"/>
    <w:basedOn w:val="Normal"/>
    <w:uiPriority w:val="99"/>
    <w:unhideWhenUsed/>
    <w:rsid w:val="00DE5E69"/>
    <w:pPr>
      <w:spacing w:before="100" w:beforeAutospacing="1" w:after="100" w:afterAutospacing="1"/>
    </w:pPr>
    <w:rPr>
      <w:lang w:val="es-MX" w:eastAsia="es-MX"/>
    </w:rPr>
  </w:style>
  <w:style w:type="paragraph" w:customStyle="1" w:styleId="letter-capitular">
    <w:name w:val="letter-capitular"/>
    <w:basedOn w:val="Normal"/>
    <w:rsid w:val="0066423A"/>
    <w:pPr>
      <w:spacing w:before="100" w:beforeAutospacing="1" w:after="100" w:afterAutospacing="1"/>
    </w:pPr>
    <w:rPr>
      <w:lang w:val="es-MX" w:eastAsia="es-MX"/>
    </w:rPr>
  </w:style>
  <w:style w:type="numbering" w:customStyle="1" w:styleId="Estilo1">
    <w:name w:val="Estilo1"/>
    <w:uiPriority w:val="99"/>
    <w:rsid w:val="00CD733C"/>
    <w:pPr>
      <w:numPr>
        <w:numId w:val="7"/>
      </w:numPr>
    </w:pPr>
  </w:style>
  <w:style w:type="character" w:styleId="Hipervnculovisitado">
    <w:name w:val="FollowedHyperlink"/>
    <w:basedOn w:val="Fuentedeprrafopredeter"/>
    <w:uiPriority w:val="99"/>
    <w:semiHidden/>
    <w:unhideWhenUsed/>
    <w:rsid w:val="00C72957"/>
    <w:rPr>
      <w:color w:val="800080" w:themeColor="followedHyperlink"/>
      <w:u w:val="single"/>
    </w:rPr>
  </w:style>
  <w:style w:type="paragraph" w:customStyle="1" w:styleId="Default">
    <w:name w:val="Default"/>
    <w:link w:val="DefaultChar"/>
    <w:rsid w:val="0042542C"/>
    <w:pPr>
      <w:autoSpaceDE w:val="0"/>
      <w:autoSpaceDN w:val="0"/>
      <w:adjustRightInd w:val="0"/>
      <w:spacing w:after="0" w:line="240" w:lineRule="auto"/>
    </w:pPr>
    <w:rPr>
      <w:rFonts w:ascii="Calibri" w:eastAsia="Calibri" w:hAnsi="Calibri" w:cs="Calibri"/>
      <w:color w:val="000000"/>
      <w:sz w:val="24"/>
      <w:szCs w:val="24"/>
    </w:rPr>
  </w:style>
  <w:style w:type="paragraph" w:customStyle="1" w:styleId="Normal2">
    <w:name w:val="Normal2"/>
    <w:rsid w:val="000556C9"/>
    <w:pPr>
      <w:spacing w:after="0" w:line="240" w:lineRule="auto"/>
    </w:pPr>
    <w:rPr>
      <w:rFonts w:ascii="Times New Roman" w:eastAsia="Times New Roman" w:hAnsi="Times New Roman" w:cs="Times New Roman"/>
      <w:color w:val="000000"/>
      <w:sz w:val="24"/>
      <w:szCs w:val="20"/>
      <w:lang w:val="es-ES" w:eastAsia="es-ES"/>
    </w:rPr>
  </w:style>
  <w:style w:type="character" w:customStyle="1" w:styleId="DefaultChar">
    <w:name w:val="Default Char"/>
    <w:link w:val="Default"/>
    <w:rsid w:val="00714CE4"/>
    <w:rPr>
      <w:rFonts w:ascii="Calibri" w:eastAsia="Calibri" w:hAnsi="Calibri" w:cs="Calibri"/>
      <w:color w:val="000000"/>
      <w:sz w:val="24"/>
      <w:szCs w:val="24"/>
    </w:rPr>
  </w:style>
  <w:style w:type="character" w:customStyle="1" w:styleId="Ninguno">
    <w:name w:val="Ninguno"/>
    <w:rsid w:val="00714CE4"/>
  </w:style>
  <w:style w:type="paragraph" w:customStyle="1" w:styleId="western">
    <w:name w:val="western"/>
    <w:basedOn w:val="Normal"/>
    <w:rsid w:val="005D3AD1"/>
    <w:pPr>
      <w:spacing w:before="100" w:beforeAutospacing="1" w:after="100" w:afterAutospacing="1"/>
    </w:pPr>
    <w:rPr>
      <w:lang w:val="es-MX" w:eastAsia="es-MX"/>
    </w:rPr>
  </w:style>
  <w:style w:type="paragraph" w:customStyle="1" w:styleId="Normal3">
    <w:name w:val="Normal3"/>
    <w:rsid w:val="004613AA"/>
    <w:rPr>
      <w:rFonts w:ascii="Calibri" w:eastAsia="Calibri" w:hAnsi="Calibri" w:cs="Calibri"/>
      <w:color w:val="000000"/>
      <w:lang w:val="es-ES" w:eastAsia="es-ES"/>
    </w:rPr>
  </w:style>
  <w:style w:type="table" w:styleId="Tablaconcuadrcula">
    <w:name w:val="Table Grid"/>
    <w:basedOn w:val="Tablanormal"/>
    <w:uiPriority w:val="39"/>
    <w:rsid w:val="008B32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39"/>
    <w:rsid w:val="001951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basedOn w:val="Fuentedeprrafopredeter"/>
    <w:uiPriority w:val="99"/>
    <w:semiHidden/>
    <w:unhideWhenUsed/>
    <w:rsid w:val="00CC2483"/>
    <w:rPr>
      <w:color w:val="605E5C"/>
      <w:shd w:val="clear" w:color="auto" w:fill="E1DFDD"/>
    </w:rPr>
  </w:style>
  <w:style w:type="character" w:customStyle="1" w:styleId="Ttulo3Car">
    <w:name w:val="Título 3 Car"/>
    <w:basedOn w:val="Fuentedeprrafopredeter"/>
    <w:link w:val="Ttulo3"/>
    <w:uiPriority w:val="9"/>
    <w:semiHidden/>
    <w:rsid w:val="001A7A08"/>
    <w:rPr>
      <w:rFonts w:asciiTheme="majorHAnsi" w:eastAsiaTheme="majorEastAsia" w:hAnsiTheme="majorHAnsi" w:cstheme="majorBidi"/>
      <w:color w:val="243F60" w:themeColor="accent1" w:themeShade="7F"/>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152191">
      <w:bodyDiv w:val="1"/>
      <w:marLeft w:val="0"/>
      <w:marRight w:val="0"/>
      <w:marTop w:val="0"/>
      <w:marBottom w:val="0"/>
      <w:divBdr>
        <w:top w:val="none" w:sz="0" w:space="0" w:color="auto"/>
        <w:left w:val="none" w:sz="0" w:space="0" w:color="auto"/>
        <w:bottom w:val="none" w:sz="0" w:space="0" w:color="auto"/>
        <w:right w:val="none" w:sz="0" w:space="0" w:color="auto"/>
      </w:divBdr>
    </w:div>
    <w:div w:id="56900824">
      <w:bodyDiv w:val="1"/>
      <w:marLeft w:val="0"/>
      <w:marRight w:val="0"/>
      <w:marTop w:val="0"/>
      <w:marBottom w:val="0"/>
      <w:divBdr>
        <w:top w:val="none" w:sz="0" w:space="0" w:color="auto"/>
        <w:left w:val="none" w:sz="0" w:space="0" w:color="auto"/>
        <w:bottom w:val="none" w:sz="0" w:space="0" w:color="auto"/>
        <w:right w:val="none" w:sz="0" w:space="0" w:color="auto"/>
      </w:divBdr>
    </w:div>
    <w:div w:id="83304434">
      <w:bodyDiv w:val="1"/>
      <w:marLeft w:val="0"/>
      <w:marRight w:val="0"/>
      <w:marTop w:val="0"/>
      <w:marBottom w:val="0"/>
      <w:divBdr>
        <w:top w:val="none" w:sz="0" w:space="0" w:color="auto"/>
        <w:left w:val="none" w:sz="0" w:space="0" w:color="auto"/>
        <w:bottom w:val="none" w:sz="0" w:space="0" w:color="auto"/>
        <w:right w:val="none" w:sz="0" w:space="0" w:color="auto"/>
      </w:divBdr>
    </w:div>
    <w:div w:id="261111878">
      <w:bodyDiv w:val="1"/>
      <w:marLeft w:val="0"/>
      <w:marRight w:val="0"/>
      <w:marTop w:val="0"/>
      <w:marBottom w:val="0"/>
      <w:divBdr>
        <w:top w:val="none" w:sz="0" w:space="0" w:color="auto"/>
        <w:left w:val="none" w:sz="0" w:space="0" w:color="auto"/>
        <w:bottom w:val="none" w:sz="0" w:space="0" w:color="auto"/>
        <w:right w:val="none" w:sz="0" w:space="0" w:color="auto"/>
      </w:divBdr>
    </w:div>
    <w:div w:id="485711182">
      <w:bodyDiv w:val="1"/>
      <w:marLeft w:val="0"/>
      <w:marRight w:val="0"/>
      <w:marTop w:val="0"/>
      <w:marBottom w:val="0"/>
      <w:divBdr>
        <w:top w:val="none" w:sz="0" w:space="0" w:color="auto"/>
        <w:left w:val="none" w:sz="0" w:space="0" w:color="auto"/>
        <w:bottom w:val="none" w:sz="0" w:space="0" w:color="auto"/>
        <w:right w:val="none" w:sz="0" w:space="0" w:color="auto"/>
      </w:divBdr>
    </w:div>
    <w:div w:id="548304797">
      <w:bodyDiv w:val="1"/>
      <w:marLeft w:val="0"/>
      <w:marRight w:val="0"/>
      <w:marTop w:val="0"/>
      <w:marBottom w:val="0"/>
      <w:divBdr>
        <w:top w:val="none" w:sz="0" w:space="0" w:color="auto"/>
        <w:left w:val="none" w:sz="0" w:space="0" w:color="auto"/>
        <w:bottom w:val="none" w:sz="0" w:space="0" w:color="auto"/>
        <w:right w:val="none" w:sz="0" w:space="0" w:color="auto"/>
      </w:divBdr>
    </w:div>
    <w:div w:id="911893331">
      <w:bodyDiv w:val="1"/>
      <w:marLeft w:val="0"/>
      <w:marRight w:val="0"/>
      <w:marTop w:val="0"/>
      <w:marBottom w:val="0"/>
      <w:divBdr>
        <w:top w:val="none" w:sz="0" w:space="0" w:color="auto"/>
        <w:left w:val="none" w:sz="0" w:space="0" w:color="auto"/>
        <w:bottom w:val="none" w:sz="0" w:space="0" w:color="auto"/>
        <w:right w:val="none" w:sz="0" w:space="0" w:color="auto"/>
      </w:divBdr>
    </w:div>
    <w:div w:id="1409688761">
      <w:bodyDiv w:val="1"/>
      <w:marLeft w:val="0"/>
      <w:marRight w:val="0"/>
      <w:marTop w:val="0"/>
      <w:marBottom w:val="0"/>
      <w:divBdr>
        <w:top w:val="none" w:sz="0" w:space="0" w:color="auto"/>
        <w:left w:val="none" w:sz="0" w:space="0" w:color="auto"/>
        <w:bottom w:val="none" w:sz="0" w:space="0" w:color="auto"/>
        <w:right w:val="none" w:sz="0" w:space="0" w:color="auto"/>
      </w:divBdr>
    </w:div>
    <w:div w:id="1415513521">
      <w:bodyDiv w:val="1"/>
      <w:marLeft w:val="0"/>
      <w:marRight w:val="0"/>
      <w:marTop w:val="0"/>
      <w:marBottom w:val="0"/>
      <w:divBdr>
        <w:top w:val="none" w:sz="0" w:space="0" w:color="auto"/>
        <w:left w:val="none" w:sz="0" w:space="0" w:color="auto"/>
        <w:bottom w:val="none" w:sz="0" w:space="0" w:color="auto"/>
        <w:right w:val="none" w:sz="0" w:space="0" w:color="auto"/>
      </w:divBdr>
      <w:divsChild>
        <w:div w:id="1097095789">
          <w:marLeft w:val="0"/>
          <w:marRight w:val="0"/>
          <w:marTop w:val="0"/>
          <w:marBottom w:val="0"/>
          <w:divBdr>
            <w:top w:val="none" w:sz="0" w:space="0" w:color="auto"/>
            <w:left w:val="none" w:sz="0" w:space="0" w:color="auto"/>
            <w:bottom w:val="none" w:sz="0" w:space="0" w:color="auto"/>
            <w:right w:val="none" w:sz="0" w:space="0" w:color="auto"/>
          </w:divBdr>
        </w:div>
        <w:div w:id="407076702">
          <w:marLeft w:val="0"/>
          <w:marRight w:val="0"/>
          <w:marTop w:val="0"/>
          <w:marBottom w:val="0"/>
          <w:divBdr>
            <w:top w:val="none" w:sz="0" w:space="0" w:color="auto"/>
            <w:left w:val="none" w:sz="0" w:space="0" w:color="auto"/>
            <w:bottom w:val="none" w:sz="0" w:space="0" w:color="auto"/>
            <w:right w:val="none" w:sz="0" w:space="0" w:color="auto"/>
          </w:divBdr>
        </w:div>
        <w:div w:id="1496727174">
          <w:marLeft w:val="0"/>
          <w:marRight w:val="0"/>
          <w:marTop w:val="0"/>
          <w:marBottom w:val="0"/>
          <w:divBdr>
            <w:top w:val="none" w:sz="0" w:space="0" w:color="auto"/>
            <w:left w:val="none" w:sz="0" w:space="0" w:color="auto"/>
            <w:bottom w:val="none" w:sz="0" w:space="0" w:color="auto"/>
            <w:right w:val="none" w:sz="0" w:space="0" w:color="auto"/>
          </w:divBdr>
        </w:div>
        <w:div w:id="945115210">
          <w:marLeft w:val="0"/>
          <w:marRight w:val="0"/>
          <w:marTop w:val="0"/>
          <w:marBottom w:val="0"/>
          <w:divBdr>
            <w:top w:val="none" w:sz="0" w:space="0" w:color="auto"/>
            <w:left w:val="none" w:sz="0" w:space="0" w:color="auto"/>
            <w:bottom w:val="none" w:sz="0" w:space="0" w:color="auto"/>
            <w:right w:val="none" w:sz="0" w:space="0" w:color="auto"/>
          </w:divBdr>
        </w:div>
        <w:div w:id="957567941">
          <w:marLeft w:val="0"/>
          <w:marRight w:val="0"/>
          <w:marTop w:val="0"/>
          <w:marBottom w:val="0"/>
          <w:divBdr>
            <w:top w:val="none" w:sz="0" w:space="0" w:color="auto"/>
            <w:left w:val="none" w:sz="0" w:space="0" w:color="auto"/>
            <w:bottom w:val="none" w:sz="0" w:space="0" w:color="auto"/>
            <w:right w:val="none" w:sz="0" w:space="0" w:color="auto"/>
          </w:divBdr>
        </w:div>
        <w:div w:id="1278022414">
          <w:marLeft w:val="0"/>
          <w:marRight w:val="0"/>
          <w:marTop w:val="0"/>
          <w:marBottom w:val="0"/>
          <w:divBdr>
            <w:top w:val="none" w:sz="0" w:space="0" w:color="auto"/>
            <w:left w:val="none" w:sz="0" w:space="0" w:color="auto"/>
            <w:bottom w:val="none" w:sz="0" w:space="0" w:color="auto"/>
            <w:right w:val="none" w:sz="0" w:space="0" w:color="auto"/>
          </w:divBdr>
        </w:div>
        <w:div w:id="241061412">
          <w:marLeft w:val="0"/>
          <w:marRight w:val="0"/>
          <w:marTop w:val="0"/>
          <w:marBottom w:val="0"/>
          <w:divBdr>
            <w:top w:val="none" w:sz="0" w:space="0" w:color="auto"/>
            <w:left w:val="none" w:sz="0" w:space="0" w:color="auto"/>
            <w:bottom w:val="none" w:sz="0" w:space="0" w:color="auto"/>
            <w:right w:val="none" w:sz="0" w:space="0" w:color="auto"/>
          </w:divBdr>
        </w:div>
      </w:divsChild>
    </w:div>
    <w:div w:id="1447239483">
      <w:bodyDiv w:val="1"/>
      <w:marLeft w:val="0"/>
      <w:marRight w:val="0"/>
      <w:marTop w:val="0"/>
      <w:marBottom w:val="0"/>
      <w:divBdr>
        <w:top w:val="none" w:sz="0" w:space="0" w:color="auto"/>
        <w:left w:val="none" w:sz="0" w:space="0" w:color="auto"/>
        <w:bottom w:val="none" w:sz="0" w:space="0" w:color="auto"/>
        <w:right w:val="none" w:sz="0" w:space="0" w:color="auto"/>
      </w:divBdr>
    </w:div>
    <w:div w:id="1631083654">
      <w:bodyDiv w:val="1"/>
      <w:marLeft w:val="0"/>
      <w:marRight w:val="0"/>
      <w:marTop w:val="0"/>
      <w:marBottom w:val="0"/>
      <w:divBdr>
        <w:top w:val="none" w:sz="0" w:space="0" w:color="auto"/>
        <w:left w:val="none" w:sz="0" w:space="0" w:color="auto"/>
        <w:bottom w:val="none" w:sz="0" w:space="0" w:color="auto"/>
        <w:right w:val="none" w:sz="0" w:space="0" w:color="auto"/>
      </w:divBdr>
    </w:div>
    <w:div w:id="1804157916">
      <w:bodyDiv w:val="1"/>
      <w:marLeft w:val="0"/>
      <w:marRight w:val="0"/>
      <w:marTop w:val="0"/>
      <w:marBottom w:val="0"/>
      <w:divBdr>
        <w:top w:val="none" w:sz="0" w:space="0" w:color="auto"/>
        <w:left w:val="none" w:sz="0" w:space="0" w:color="auto"/>
        <w:bottom w:val="none" w:sz="0" w:space="0" w:color="auto"/>
        <w:right w:val="none" w:sz="0" w:space="0" w:color="auto"/>
      </w:divBdr>
    </w:div>
    <w:div w:id="1830292682">
      <w:bodyDiv w:val="1"/>
      <w:marLeft w:val="0"/>
      <w:marRight w:val="0"/>
      <w:marTop w:val="0"/>
      <w:marBottom w:val="0"/>
      <w:divBdr>
        <w:top w:val="none" w:sz="0" w:space="0" w:color="auto"/>
        <w:left w:val="none" w:sz="0" w:space="0" w:color="auto"/>
        <w:bottom w:val="none" w:sz="0" w:space="0" w:color="auto"/>
        <w:right w:val="none" w:sz="0" w:space="0" w:color="auto"/>
      </w:divBdr>
    </w:div>
    <w:div w:id="1882478326">
      <w:bodyDiv w:val="1"/>
      <w:marLeft w:val="0"/>
      <w:marRight w:val="0"/>
      <w:marTop w:val="0"/>
      <w:marBottom w:val="0"/>
      <w:divBdr>
        <w:top w:val="none" w:sz="0" w:space="0" w:color="auto"/>
        <w:left w:val="none" w:sz="0" w:space="0" w:color="auto"/>
        <w:bottom w:val="none" w:sz="0" w:space="0" w:color="auto"/>
        <w:right w:val="none" w:sz="0" w:space="0" w:color="auto"/>
      </w:divBdr>
    </w:div>
    <w:div w:id="2010520542">
      <w:bodyDiv w:val="1"/>
      <w:marLeft w:val="0"/>
      <w:marRight w:val="0"/>
      <w:marTop w:val="0"/>
      <w:marBottom w:val="0"/>
      <w:divBdr>
        <w:top w:val="none" w:sz="0" w:space="0" w:color="auto"/>
        <w:left w:val="none" w:sz="0" w:space="0" w:color="auto"/>
        <w:bottom w:val="none" w:sz="0" w:space="0" w:color="auto"/>
        <w:right w:val="none" w:sz="0" w:space="0" w:color="auto"/>
      </w:divBdr>
    </w:div>
    <w:div w:id="2070032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jpg"/><Relationship Id="rId17" Type="http://schemas.openxmlformats.org/officeDocument/2006/relationships/image" Target="media/image8.jpg"/><Relationship Id="rId2" Type="http://schemas.openxmlformats.org/officeDocument/2006/relationships/numbering" Target="numbering.xml"/><Relationship Id="rId16" Type="http://schemas.openxmlformats.org/officeDocument/2006/relationships/image" Target="media/image7.jp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image" Target="media/image6.jpg"/><Relationship Id="rId10" Type="http://schemas.openxmlformats.org/officeDocument/2006/relationships/chart" Target="charts/chart2.xm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image" Target="media/image5.jpg"/><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Hoja_de_c_lculo_de_Microsoft_Excel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Hoja_de_c_lculo_de_Microsoft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MX"/>
              <a:t>Comparativo Posibles</a:t>
            </a:r>
            <a:r>
              <a:rPr lang="es-MX" baseline="0"/>
              <a:t> Penas</a:t>
            </a:r>
            <a:endParaRPr lang="es-MX"/>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MX"/>
        </a:p>
      </c:txPr>
    </c:title>
    <c:autoTitleDeleted val="0"/>
    <c:plotArea>
      <c:layout/>
      <c:barChart>
        <c:barDir val="col"/>
        <c:grouping val="clustered"/>
        <c:varyColors val="0"/>
        <c:ser>
          <c:idx val="0"/>
          <c:order val="0"/>
          <c:tx>
            <c:strRef>
              <c:f>Hoja1!$B$1</c:f>
              <c:strCache>
                <c:ptCount val="1"/>
                <c:pt idx="0">
                  <c:v>Mínima</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MX"/>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Hoja1!$A$2:$A$5</c:f>
              <c:strCache>
                <c:ptCount val="4"/>
                <c:pt idx="0">
                  <c:v>Violación Equiparada Agravada + Agravada</c:v>
                </c:pt>
                <c:pt idx="1">
                  <c:v>Homicidio Calificado 1er Grupo</c:v>
                </c:pt>
                <c:pt idx="2">
                  <c:v>Homicidio Calificado 2do Grupo</c:v>
                </c:pt>
                <c:pt idx="3">
                  <c:v>Feminicidio Agravado</c:v>
                </c:pt>
              </c:strCache>
            </c:strRef>
          </c:cat>
          <c:val>
            <c:numRef>
              <c:f>Hoja1!$B$2:$B$5</c:f>
              <c:numCache>
                <c:formatCode>General</c:formatCode>
                <c:ptCount val="4"/>
                <c:pt idx="0">
                  <c:v>25</c:v>
                </c:pt>
                <c:pt idx="1">
                  <c:v>25</c:v>
                </c:pt>
                <c:pt idx="2">
                  <c:v>50</c:v>
                </c:pt>
                <c:pt idx="3">
                  <c:v>41</c:v>
                </c:pt>
              </c:numCache>
            </c:numRef>
          </c:val>
          <c:extLst xmlns:c16r2="http://schemas.microsoft.com/office/drawing/2015/06/chart">
            <c:ext xmlns:c16="http://schemas.microsoft.com/office/drawing/2014/chart" uri="{C3380CC4-5D6E-409C-BE32-E72D297353CC}">
              <c16:uniqueId val="{00000000-3C33-43EC-90FE-0E738D68FB0A}"/>
            </c:ext>
          </c:extLst>
        </c:ser>
        <c:ser>
          <c:idx val="1"/>
          <c:order val="1"/>
          <c:tx>
            <c:strRef>
              <c:f>Hoja1!$C$1</c:f>
              <c:strCache>
                <c:ptCount val="1"/>
                <c:pt idx="0">
                  <c:v>Máxima</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MX"/>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Hoja1!$A$2:$A$5</c:f>
              <c:strCache>
                <c:ptCount val="4"/>
                <c:pt idx="0">
                  <c:v>Violación Equiparada Agravada + Agravada</c:v>
                </c:pt>
                <c:pt idx="1">
                  <c:v>Homicidio Calificado 1er Grupo</c:v>
                </c:pt>
                <c:pt idx="2">
                  <c:v>Homicidio Calificado 2do Grupo</c:v>
                </c:pt>
                <c:pt idx="3">
                  <c:v>Feminicidio Agravado</c:v>
                </c:pt>
              </c:strCache>
            </c:strRef>
          </c:cat>
          <c:val>
            <c:numRef>
              <c:f>Hoja1!$C$2:$C$5</c:f>
              <c:numCache>
                <c:formatCode>General</c:formatCode>
                <c:ptCount val="4"/>
                <c:pt idx="0">
                  <c:v>75</c:v>
                </c:pt>
                <c:pt idx="1">
                  <c:v>50</c:v>
                </c:pt>
                <c:pt idx="2">
                  <c:v>70</c:v>
                </c:pt>
                <c:pt idx="3">
                  <c:v>80</c:v>
                </c:pt>
              </c:numCache>
            </c:numRef>
          </c:val>
          <c:extLst xmlns:c16r2="http://schemas.microsoft.com/office/drawing/2015/06/chart">
            <c:ext xmlns:c16="http://schemas.microsoft.com/office/drawing/2014/chart" uri="{C3380CC4-5D6E-409C-BE32-E72D297353CC}">
              <c16:uniqueId val="{00000001-3C33-43EC-90FE-0E738D68FB0A}"/>
            </c:ext>
          </c:extLst>
        </c:ser>
        <c:dLbls>
          <c:dLblPos val="outEnd"/>
          <c:showLegendKey val="0"/>
          <c:showVal val="1"/>
          <c:showCatName val="0"/>
          <c:showSerName val="0"/>
          <c:showPercent val="0"/>
          <c:showBubbleSize val="0"/>
        </c:dLbls>
        <c:gapWidth val="219"/>
        <c:overlap val="-27"/>
        <c:axId val="270010752"/>
        <c:axId val="270016912"/>
      </c:barChart>
      <c:catAx>
        <c:axId val="2700107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270016912"/>
        <c:crosses val="autoZero"/>
        <c:auto val="1"/>
        <c:lblAlgn val="ctr"/>
        <c:lblOffset val="100"/>
        <c:noMultiLvlLbl val="0"/>
      </c:catAx>
      <c:valAx>
        <c:axId val="27001691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2700107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MX"/>
              <a:t>Comparativo Posibles</a:t>
            </a:r>
            <a:r>
              <a:rPr lang="es-MX" baseline="0"/>
              <a:t> Penas</a:t>
            </a:r>
            <a:endParaRPr lang="es-MX"/>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MX"/>
        </a:p>
      </c:txPr>
    </c:title>
    <c:autoTitleDeleted val="0"/>
    <c:plotArea>
      <c:layout/>
      <c:barChart>
        <c:barDir val="col"/>
        <c:grouping val="clustered"/>
        <c:varyColors val="0"/>
        <c:ser>
          <c:idx val="0"/>
          <c:order val="0"/>
          <c:tx>
            <c:strRef>
              <c:f>Hoja1!$B$1</c:f>
              <c:strCache>
                <c:ptCount val="1"/>
                <c:pt idx="0">
                  <c:v>Mínima</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MX"/>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Hoja1!$A$2:$A$5</c:f>
              <c:strCache>
                <c:ptCount val="4"/>
                <c:pt idx="0">
                  <c:v>Violación Equiparada Agravada </c:v>
                </c:pt>
                <c:pt idx="1">
                  <c:v>Homicidio Calificado 1er Grupo</c:v>
                </c:pt>
                <c:pt idx="2">
                  <c:v>Homicidio Calificado 2do Grupo</c:v>
                </c:pt>
                <c:pt idx="3">
                  <c:v>Feminicidio Agravado</c:v>
                </c:pt>
              </c:strCache>
            </c:strRef>
          </c:cat>
          <c:val>
            <c:numRef>
              <c:f>Hoja1!$B$2:$B$5</c:f>
              <c:numCache>
                <c:formatCode>General</c:formatCode>
                <c:ptCount val="4"/>
                <c:pt idx="0">
                  <c:v>16.5</c:v>
                </c:pt>
                <c:pt idx="1">
                  <c:v>25</c:v>
                </c:pt>
                <c:pt idx="2">
                  <c:v>50</c:v>
                </c:pt>
                <c:pt idx="3">
                  <c:v>41</c:v>
                </c:pt>
              </c:numCache>
            </c:numRef>
          </c:val>
          <c:extLst xmlns:c16r2="http://schemas.microsoft.com/office/drawing/2015/06/chart">
            <c:ext xmlns:c16="http://schemas.microsoft.com/office/drawing/2014/chart" uri="{C3380CC4-5D6E-409C-BE32-E72D297353CC}">
              <c16:uniqueId val="{00000000-5315-4BB3-BA22-1BC58C8D5AE4}"/>
            </c:ext>
          </c:extLst>
        </c:ser>
        <c:ser>
          <c:idx val="1"/>
          <c:order val="1"/>
          <c:tx>
            <c:strRef>
              <c:f>Hoja1!$C$1</c:f>
              <c:strCache>
                <c:ptCount val="1"/>
                <c:pt idx="0">
                  <c:v>Máxima</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MX"/>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Hoja1!$A$2:$A$5</c:f>
              <c:strCache>
                <c:ptCount val="4"/>
                <c:pt idx="0">
                  <c:v>Violación Equiparada Agravada </c:v>
                </c:pt>
                <c:pt idx="1">
                  <c:v>Homicidio Calificado 1er Grupo</c:v>
                </c:pt>
                <c:pt idx="2">
                  <c:v>Homicidio Calificado 2do Grupo</c:v>
                </c:pt>
                <c:pt idx="3">
                  <c:v>Feminicidio Agravado</c:v>
                </c:pt>
              </c:strCache>
            </c:strRef>
          </c:cat>
          <c:val>
            <c:numRef>
              <c:f>Hoja1!$C$2:$C$5</c:f>
              <c:numCache>
                <c:formatCode>General</c:formatCode>
                <c:ptCount val="4"/>
                <c:pt idx="0">
                  <c:v>50</c:v>
                </c:pt>
                <c:pt idx="1">
                  <c:v>50</c:v>
                </c:pt>
                <c:pt idx="2">
                  <c:v>70</c:v>
                </c:pt>
                <c:pt idx="3">
                  <c:v>80</c:v>
                </c:pt>
              </c:numCache>
            </c:numRef>
          </c:val>
          <c:extLst xmlns:c16r2="http://schemas.microsoft.com/office/drawing/2015/06/chart">
            <c:ext xmlns:c16="http://schemas.microsoft.com/office/drawing/2014/chart" uri="{C3380CC4-5D6E-409C-BE32-E72D297353CC}">
              <c16:uniqueId val="{00000001-5315-4BB3-BA22-1BC58C8D5AE4}"/>
            </c:ext>
          </c:extLst>
        </c:ser>
        <c:dLbls>
          <c:dLblPos val="outEnd"/>
          <c:showLegendKey val="0"/>
          <c:showVal val="1"/>
          <c:showCatName val="0"/>
          <c:showSerName val="0"/>
          <c:showPercent val="0"/>
          <c:showBubbleSize val="0"/>
        </c:dLbls>
        <c:gapWidth val="219"/>
        <c:overlap val="-27"/>
        <c:axId val="270014112"/>
        <c:axId val="270003472"/>
      </c:barChart>
      <c:catAx>
        <c:axId val="2700141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270003472"/>
        <c:crosses val="autoZero"/>
        <c:auto val="1"/>
        <c:lblAlgn val="ctr"/>
        <c:lblOffset val="100"/>
        <c:noMultiLvlLbl val="0"/>
      </c:catAx>
      <c:valAx>
        <c:axId val="27000347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2700141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698470-B3CE-4C50-9F19-8990ADAE2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4459</Words>
  <Characters>24530</Characters>
  <Application>Microsoft Office Word</Application>
  <DocSecurity>0</DocSecurity>
  <Lines>204</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roaguirre</dc:creator>
  <cp:lastModifiedBy>Sonia Pérez Chacón</cp:lastModifiedBy>
  <cp:revision>2</cp:revision>
  <cp:lastPrinted>2022-03-10T17:58:00Z</cp:lastPrinted>
  <dcterms:created xsi:type="dcterms:W3CDTF">2022-03-14T21:46:00Z</dcterms:created>
  <dcterms:modified xsi:type="dcterms:W3CDTF">2022-03-14T21:46:00Z</dcterms:modified>
</cp:coreProperties>
</file>