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BA557" w14:textId="77777777" w:rsidR="00331CBA" w:rsidRPr="009568FB" w:rsidRDefault="00331CBA" w:rsidP="002E2CD6">
      <w:pPr>
        <w:pStyle w:val="Ttulo1"/>
        <w:tabs>
          <w:tab w:val="left" w:pos="5385"/>
        </w:tabs>
        <w:ind w:right="332"/>
        <w:rPr>
          <w:rFonts w:ascii="Century Gothic" w:hAnsi="Century Gothic"/>
        </w:rPr>
      </w:pPr>
      <w:r w:rsidRPr="009568FB">
        <w:rPr>
          <w:rFonts w:ascii="Century Gothic" w:hAnsi="Century Gothic"/>
        </w:rPr>
        <w:t>H. CONGRESO DEL ESTADO</w:t>
      </w:r>
    </w:p>
    <w:p w14:paraId="3AF2B427" w14:textId="77777777" w:rsidR="00331CBA" w:rsidRPr="009568FB" w:rsidRDefault="00331CBA" w:rsidP="002E2CD6">
      <w:pPr>
        <w:ind w:right="332"/>
        <w:jc w:val="both"/>
        <w:rPr>
          <w:rFonts w:ascii="Century Gothic" w:hAnsi="Century Gothic" w:cs="Arial"/>
          <w:b/>
          <w:bCs/>
        </w:rPr>
      </w:pPr>
      <w:r w:rsidRPr="009568FB">
        <w:rPr>
          <w:rFonts w:ascii="Century Gothic" w:hAnsi="Century Gothic" w:cs="Arial"/>
          <w:b/>
          <w:bCs/>
        </w:rPr>
        <w:t>P R E S E N T E. –</w:t>
      </w:r>
    </w:p>
    <w:p w14:paraId="0BF602D4" w14:textId="77777777" w:rsidR="00331CBA" w:rsidRPr="009568FB" w:rsidRDefault="00331CBA" w:rsidP="002E2CD6">
      <w:pPr>
        <w:tabs>
          <w:tab w:val="left" w:pos="6840"/>
        </w:tabs>
        <w:spacing w:line="360" w:lineRule="auto"/>
        <w:ind w:right="332"/>
        <w:jc w:val="both"/>
        <w:rPr>
          <w:rFonts w:ascii="Century Gothic" w:hAnsi="Century Gothic" w:cs="Arial"/>
          <w:b/>
          <w:bCs/>
        </w:rPr>
      </w:pPr>
      <w:r>
        <w:rPr>
          <w:rFonts w:ascii="Century Gothic" w:hAnsi="Century Gothic" w:cs="Arial"/>
          <w:b/>
          <w:bCs/>
        </w:rPr>
        <w:tab/>
      </w:r>
    </w:p>
    <w:p w14:paraId="77D73D81" w14:textId="77777777" w:rsidR="00331CBA" w:rsidRPr="009568FB" w:rsidRDefault="00FB6502" w:rsidP="002E2CD6">
      <w:pPr>
        <w:pStyle w:val="Textoindependiente"/>
        <w:spacing w:line="360" w:lineRule="auto"/>
        <w:ind w:right="332"/>
        <w:rPr>
          <w:rFonts w:ascii="Century Gothic" w:hAnsi="Century Gothic" w:cs="Arial"/>
        </w:rPr>
      </w:pPr>
      <w:r>
        <w:rPr>
          <w:rFonts w:ascii="Century Gothic" w:hAnsi="Century Gothic" w:cs="Arial"/>
        </w:rPr>
        <w:t xml:space="preserve">La Comisión </w:t>
      </w:r>
      <w:r w:rsidR="00FC48FC">
        <w:rPr>
          <w:rFonts w:ascii="Century Gothic" w:hAnsi="Century Gothic" w:cs="Arial"/>
        </w:rPr>
        <w:t xml:space="preserve">de </w:t>
      </w:r>
      <w:r w:rsidR="005D3AD1">
        <w:rPr>
          <w:rFonts w:ascii="Century Gothic" w:hAnsi="Century Gothic" w:cs="Arial"/>
        </w:rPr>
        <w:t>Justicia</w:t>
      </w:r>
      <w:r w:rsidR="00FC48FC">
        <w:rPr>
          <w:rFonts w:ascii="Century Gothic" w:hAnsi="Century Gothic" w:cs="Arial"/>
        </w:rPr>
        <w:t>,</w:t>
      </w:r>
      <w:r w:rsidR="00331CBA" w:rsidRPr="009568FB">
        <w:rPr>
          <w:rFonts w:ascii="Century Gothic" w:hAnsi="Century Gothic" w:cs="Arial"/>
        </w:rPr>
        <w:t xml:space="preserve"> </w:t>
      </w:r>
      <w:r w:rsidR="00331CBA" w:rsidRPr="0002744E">
        <w:rPr>
          <w:rFonts w:ascii="Century Gothic" w:eastAsia="Arial" w:hAnsi="Century Gothic" w:cs="Arial"/>
        </w:rPr>
        <w:t>con fundamento en lo dispuesto</w:t>
      </w:r>
      <w:r w:rsidR="009C6EF9">
        <w:rPr>
          <w:rFonts w:ascii="Century Gothic" w:eastAsia="Arial" w:hAnsi="Century Gothic" w:cs="Arial"/>
        </w:rPr>
        <w:t xml:space="preserve"> </w:t>
      </w:r>
      <w:r w:rsidR="00621915">
        <w:rPr>
          <w:rFonts w:ascii="Century Gothic" w:eastAsia="Arial" w:hAnsi="Century Gothic" w:cs="Arial"/>
        </w:rPr>
        <w:t xml:space="preserve">por los artículos 57 y </w:t>
      </w:r>
      <w:r w:rsidR="00621915" w:rsidRPr="00B139DA">
        <w:rPr>
          <w:rFonts w:ascii="Century Gothic" w:eastAsia="Arial" w:hAnsi="Century Gothic" w:cs="Arial"/>
        </w:rPr>
        <w:t xml:space="preserve">64, fracción I </w:t>
      </w:r>
      <w:r w:rsidR="00621915" w:rsidRPr="003B1094">
        <w:rPr>
          <w:rFonts w:ascii="Century Gothic" w:eastAsia="Arial" w:hAnsi="Century Gothic" w:cs="Arial"/>
        </w:rPr>
        <w:t>de la Constitución Política del Estado de Chihuahua; 87, 88 y 111 de la Ley Orgánica; así como 80 y 81 del Reglamento Interior y de Prácticas Parlamentarias</w:t>
      </w:r>
      <w:r w:rsidR="00621915">
        <w:rPr>
          <w:rFonts w:ascii="Century Gothic" w:eastAsia="Arial" w:hAnsi="Century Gothic" w:cs="Arial"/>
        </w:rPr>
        <w:t>, ambos ordenamientos del Poder Legislativo del Estado de Chihuahua;</w:t>
      </w:r>
      <w:r w:rsidR="00621915" w:rsidRPr="0002744E">
        <w:rPr>
          <w:rFonts w:ascii="Century Gothic" w:eastAsia="Arial" w:hAnsi="Century Gothic" w:cs="Arial"/>
        </w:rPr>
        <w:t xml:space="preserve"> somete a la consideración del Pleno el presente Dictamen, elaborado con base en los siguientes</w:t>
      </w:r>
      <w:r w:rsidR="00621915">
        <w:rPr>
          <w:rFonts w:ascii="Century Gothic" w:eastAsia="Arial" w:hAnsi="Century Gothic" w:cs="Arial"/>
        </w:rPr>
        <w:t>:</w:t>
      </w:r>
    </w:p>
    <w:p w14:paraId="175F6A70" w14:textId="77777777" w:rsidR="00331CBA" w:rsidRDefault="00331CBA" w:rsidP="002E2CD6">
      <w:pPr>
        <w:pStyle w:val="Textoindependiente"/>
        <w:ind w:right="332" w:firstLine="993"/>
        <w:rPr>
          <w:rFonts w:ascii="Century Gothic" w:hAnsi="Century Gothic" w:cs="Arial"/>
          <w:b/>
        </w:rPr>
      </w:pPr>
    </w:p>
    <w:p w14:paraId="428305CE" w14:textId="77777777" w:rsidR="00331CBA" w:rsidRDefault="00331CBA" w:rsidP="002E2CD6">
      <w:pPr>
        <w:pStyle w:val="Ttulo2"/>
        <w:spacing w:line="360" w:lineRule="auto"/>
        <w:ind w:right="332"/>
        <w:rPr>
          <w:rFonts w:ascii="Century Gothic" w:hAnsi="Century Gothic" w:cs="Arial"/>
        </w:rPr>
      </w:pPr>
      <w:r w:rsidRPr="009568FB">
        <w:rPr>
          <w:rFonts w:ascii="Century Gothic" w:hAnsi="Century Gothic" w:cs="Arial"/>
        </w:rPr>
        <w:t>A N T E C E D E N T E S</w:t>
      </w:r>
    </w:p>
    <w:p w14:paraId="378295BD" w14:textId="77777777" w:rsidR="00331CBA" w:rsidRPr="009568FB" w:rsidRDefault="00331CBA" w:rsidP="002E2CD6">
      <w:pPr>
        <w:ind w:right="332"/>
        <w:rPr>
          <w:rFonts w:ascii="Century Gothic" w:hAnsi="Century Gothic" w:cs="Arial"/>
        </w:rPr>
      </w:pPr>
    </w:p>
    <w:p w14:paraId="27B74EB3" w14:textId="77777777" w:rsidR="00D65F10" w:rsidRDefault="00331CBA" w:rsidP="002E2CD6">
      <w:pPr>
        <w:shd w:val="clear" w:color="auto" w:fill="FFFFFF"/>
        <w:tabs>
          <w:tab w:val="left" w:pos="9763"/>
        </w:tabs>
        <w:spacing w:line="360" w:lineRule="auto"/>
        <w:ind w:right="332"/>
        <w:jc w:val="both"/>
        <w:rPr>
          <w:rFonts w:ascii="Century Gothic" w:hAnsi="Century Gothic" w:cs="Arial"/>
        </w:rPr>
      </w:pPr>
      <w:r w:rsidRPr="005D3AD1">
        <w:rPr>
          <w:rFonts w:ascii="Century Gothic" w:hAnsi="Century Gothic" w:cs="Arial"/>
          <w:b/>
          <w:bCs/>
        </w:rPr>
        <w:t xml:space="preserve">I.- </w:t>
      </w:r>
      <w:r w:rsidRPr="005D3AD1">
        <w:rPr>
          <w:rFonts w:ascii="Century Gothic" w:hAnsi="Century Gothic" w:cs="Arial"/>
        </w:rPr>
        <w:t xml:space="preserve">Con fecha </w:t>
      </w:r>
      <w:r w:rsidR="00D65F10">
        <w:rPr>
          <w:rFonts w:ascii="Century Gothic" w:hAnsi="Century Gothic" w:cs="Arial"/>
        </w:rPr>
        <w:t>28</w:t>
      </w:r>
      <w:r w:rsidR="008A50ED">
        <w:rPr>
          <w:rFonts w:ascii="Century Gothic" w:hAnsi="Century Gothic" w:cs="Arial"/>
        </w:rPr>
        <w:t xml:space="preserve"> de octubre 2021</w:t>
      </w:r>
      <w:r w:rsidRPr="005D3AD1">
        <w:rPr>
          <w:rFonts w:ascii="Century Gothic" w:hAnsi="Century Gothic" w:cs="Arial"/>
        </w:rPr>
        <w:t>,</w:t>
      </w:r>
      <w:r w:rsidR="000701D0">
        <w:rPr>
          <w:rFonts w:ascii="Century Gothic" w:hAnsi="Century Gothic" w:cs="Arial"/>
        </w:rPr>
        <w:t xml:space="preserve"> </w:t>
      </w:r>
      <w:r w:rsidR="00D65F10">
        <w:rPr>
          <w:rFonts w:ascii="Century Gothic" w:hAnsi="Century Gothic" w:cs="Arial"/>
        </w:rPr>
        <w:t xml:space="preserve">las y los diputados Carla Yamileth Rivas Martínez, </w:t>
      </w:r>
      <w:r w:rsidR="00D65F10" w:rsidRPr="00D65F10">
        <w:rPr>
          <w:rFonts w:ascii="Century Gothic" w:hAnsi="Century Gothic" w:cs="Arial"/>
        </w:rPr>
        <w:t>C</w:t>
      </w:r>
      <w:r w:rsidR="00D65F10">
        <w:rPr>
          <w:rFonts w:ascii="Century Gothic" w:hAnsi="Century Gothic" w:cs="Arial"/>
        </w:rPr>
        <w:t xml:space="preserve">arlos Alfredo Olson San Vicente, Diana Ivette Pereda Gutiérrez, Gabriel Ángel García Cantú, Ismael Pérez Pavía, </w:t>
      </w:r>
      <w:r w:rsidR="00D65F10" w:rsidRPr="00D65F10">
        <w:rPr>
          <w:rFonts w:ascii="Century Gothic" w:hAnsi="Century Gothic" w:cs="Arial"/>
        </w:rPr>
        <w:t>José Alfredo Chávez Madrid</w:t>
      </w:r>
      <w:r w:rsidR="00D65F10">
        <w:rPr>
          <w:rFonts w:ascii="Century Gothic" w:hAnsi="Century Gothic" w:cs="Arial"/>
        </w:rPr>
        <w:t xml:space="preserve">, Luis Alberto Aguilar Lozoya, </w:t>
      </w:r>
      <w:r w:rsidR="00D65F10" w:rsidRPr="00D65F10">
        <w:rPr>
          <w:rFonts w:ascii="Century Gothic" w:hAnsi="Century Gothic" w:cs="Arial"/>
        </w:rPr>
        <w:t>Mario Humberto Vázquez Robles</w:t>
      </w:r>
      <w:r w:rsidR="00D65F10">
        <w:rPr>
          <w:rFonts w:ascii="Century Gothic" w:hAnsi="Century Gothic" w:cs="Arial"/>
        </w:rPr>
        <w:t xml:space="preserve">, Marisela Terrazas Muñoz, </w:t>
      </w:r>
      <w:r w:rsidR="00D65F10" w:rsidRPr="00D65F10">
        <w:rPr>
          <w:rFonts w:ascii="Century Gothic" w:hAnsi="Century Gothic" w:cs="Arial"/>
        </w:rPr>
        <w:t>Roberto Marcelino Carreón Huitrón</w:t>
      </w:r>
      <w:r w:rsidR="00D65F10">
        <w:rPr>
          <w:rFonts w:ascii="Century Gothic" w:hAnsi="Century Gothic" w:cs="Arial"/>
        </w:rPr>
        <w:t>,</w:t>
      </w:r>
      <w:r w:rsidR="00D65F10" w:rsidRPr="00D65F10">
        <w:rPr>
          <w:rFonts w:ascii="Century Gothic" w:hAnsi="Century Gothic" w:cs="Arial"/>
        </w:rPr>
        <w:t xml:space="preserve"> </w:t>
      </w:r>
      <w:proofErr w:type="spellStart"/>
      <w:r w:rsidR="00D65F10" w:rsidRPr="00D65F10">
        <w:rPr>
          <w:rFonts w:ascii="Century Gothic" w:hAnsi="Century Gothic" w:cs="Arial"/>
        </w:rPr>
        <w:t>R</w:t>
      </w:r>
      <w:r w:rsidR="00D65F10">
        <w:rPr>
          <w:rFonts w:ascii="Century Gothic" w:hAnsi="Century Gothic" w:cs="Arial"/>
        </w:rPr>
        <w:t>ocio</w:t>
      </w:r>
      <w:proofErr w:type="spellEnd"/>
      <w:r w:rsidR="00D65F10">
        <w:rPr>
          <w:rFonts w:ascii="Century Gothic" w:hAnsi="Century Gothic" w:cs="Arial"/>
        </w:rPr>
        <w:t xml:space="preserve"> Guadalupe Sarmiento Rufino, Rosa Isela Martínez Díaz,</w:t>
      </w:r>
      <w:r w:rsidR="00D65F10" w:rsidRPr="00D65F10">
        <w:rPr>
          <w:rFonts w:ascii="Century Gothic" w:hAnsi="Century Gothic" w:cs="Arial"/>
        </w:rPr>
        <w:t xml:space="preserve"> Saúl Mireles Corral</w:t>
      </w:r>
      <w:r w:rsidR="00D65F10">
        <w:rPr>
          <w:rFonts w:ascii="Century Gothic" w:hAnsi="Century Gothic" w:cs="Arial"/>
        </w:rPr>
        <w:t xml:space="preserve"> y Georgina Alejandra Bujanda Ríos, integrantes del Grupo Parlamentario del Partido Acción Nacional, presentaron iniciativa con carácter de </w:t>
      </w:r>
      <w:r w:rsidR="00D65F10" w:rsidRPr="00D65F10">
        <w:rPr>
          <w:rFonts w:ascii="Century Gothic" w:hAnsi="Century Gothic" w:cs="Arial"/>
        </w:rPr>
        <w:t>decreto, a efecto de adicionar diversas disposiciones al Código Penal del Estado de Chihuahua, con el propósito de sancionar las conductas cometidas desde la procuración e impartición de justicia en perjuicio de las mujeres y demás víctimas del delito.</w:t>
      </w:r>
    </w:p>
    <w:p w14:paraId="3E52F71A" w14:textId="77777777" w:rsidR="00D65F10" w:rsidRDefault="00D65F10" w:rsidP="002E2CD6">
      <w:pPr>
        <w:shd w:val="clear" w:color="auto" w:fill="FFFFFF"/>
        <w:tabs>
          <w:tab w:val="left" w:pos="9763"/>
        </w:tabs>
        <w:spacing w:line="360" w:lineRule="auto"/>
        <w:ind w:right="332"/>
        <w:jc w:val="both"/>
        <w:rPr>
          <w:rFonts w:ascii="Century Gothic" w:hAnsi="Century Gothic" w:cs="Arial"/>
        </w:rPr>
      </w:pPr>
    </w:p>
    <w:p w14:paraId="0FDE84A1" w14:textId="77777777" w:rsidR="008A50ED" w:rsidRDefault="008A50ED" w:rsidP="002E2CD6">
      <w:pPr>
        <w:shd w:val="clear" w:color="auto" w:fill="FFFFFF"/>
        <w:tabs>
          <w:tab w:val="left" w:pos="9763"/>
        </w:tabs>
        <w:spacing w:line="360" w:lineRule="auto"/>
        <w:ind w:right="332"/>
        <w:jc w:val="both"/>
        <w:rPr>
          <w:rFonts w:ascii="Century Gothic" w:hAnsi="Century Gothic" w:cs="Arial"/>
        </w:rPr>
      </w:pPr>
    </w:p>
    <w:p w14:paraId="6692C258" w14:textId="77777777" w:rsidR="007E7F92" w:rsidRPr="007E7F92" w:rsidRDefault="00F0156B" w:rsidP="002E2CD6">
      <w:pPr>
        <w:shd w:val="clear" w:color="auto" w:fill="FFFFFF"/>
        <w:tabs>
          <w:tab w:val="left" w:pos="9763"/>
        </w:tabs>
        <w:spacing w:line="360" w:lineRule="auto"/>
        <w:ind w:right="332"/>
        <w:jc w:val="both"/>
        <w:rPr>
          <w:rFonts w:ascii="Century Gothic" w:eastAsia="Arial" w:hAnsi="Century Gothic" w:cs="Arial"/>
        </w:rPr>
      </w:pPr>
      <w:r w:rsidRPr="00F0156B">
        <w:rPr>
          <w:rFonts w:ascii="Century Gothic" w:hAnsi="Century Gothic" w:cs="Arial"/>
          <w:b/>
        </w:rPr>
        <w:lastRenderedPageBreak/>
        <w:t>II.-</w:t>
      </w:r>
      <w:r>
        <w:rPr>
          <w:rFonts w:ascii="Century Gothic" w:hAnsi="Century Gothic" w:cs="Arial"/>
        </w:rPr>
        <w:t xml:space="preserve"> </w:t>
      </w:r>
      <w:r w:rsidR="007E7F92">
        <w:rPr>
          <w:rFonts w:ascii="Century Gothic" w:hAnsi="Century Gothic" w:cs="Arial"/>
        </w:rPr>
        <w:t xml:space="preserve">La Presidencia del H. Congreso del Estado, con fecha </w:t>
      </w:r>
      <w:r w:rsidR="00D65F10">
        <w:rPr>
          <w:rFonts w:ascii="Century Gothic" w:hAnsi="Century Gothic" w:cs="Arial"/>
        </w:rPr>
        <w:t>03</w:t>
      </w:r>
      <w:r w:rsidR="008A50ED">
        <w:rPr>
          <w:rFonts w:ascii="Century Gothic" w:hAnsi="Century Gothic" w:cs="Arial"/>
        </w:rPr>
        <w:t xml:space="preserve"> de </w:t>
      </w:r>
      <w:r w:rsidR="00D65F10">
        <w:rPr>
          <w:rFonts w:ascii="Century Gothic" w:hAnsi="Century Gothic" w:cs="Arial"/>
        </w:rPr>
        <w:t>noviembre</w:t>
      </w:r>
      <w:r w:rsidR="008A50ED">
        <w:rPr>
          <w:rFonts w:ascii="Century Gothic" w:hAnsi="Century Gothic" w:cs="Arial"/>
        </w:rPr>
        <w:t xml:space="preserve"> de 2021,</w:t>
      </w:r>
      <w:r w:rsidR="007E7F92">
        <w:rPr>
          <w:rFonts w:ascii="Century Gothic" w:hAnsi="Century Gothic" w:cs="Arial"/>
        </w:rPr>
        <w:t xml:space="preserve"> en </w:t>
      </w:r>
      <w:r w:rsidR="007E7F92">
        <w:rPr>
          <w:rFonts w:ascii="Century Gothic" w:eastAsia="Arial" w:hAnsi="Century Gothic" w:cs="Arial"/>
        </w:rPr>
        <w:t xml:space="preserve">uso de las facultades que le confiere el artículo 75, fracción XIII, de la Ley Orgánica del Poder Legislativo, tuvo a bien turnar a la Comisión de </w:t>
      </w:r>
      <w:r w:rsidR="005D3AD1">
        <w:rPr>
          <w:rFonts w:ascii="Century Gothic" w:eastAsia="Arial" w:hAnsi="Century Gothic" w:cs="Arial"/>
        </w:rPr>
        <w:t>Justicia</w:t>
      </w:r>
      <w:r w:rsidR="00245BFF">
        <w:rPr>
          <w:rFonts w:ascii="Century Gothic" w:eastAsia="Arial" w:hAnsi="Century Gothic" w:cs="Arial"/>
        </w:rPr>
        <w:t xml:space="preserve">, la </w:t>
      </w:r>
      <w:r w:rsidR="005100FF">
        <w:rPr>
          <w:rFonts w:ascii="Century Gothic" w:eastAsia="Arial" w:hAnsi="Century Gothic" w:cs="Arial"/>
        </w:rPr>
        <w:t>i</w:t>
      </w:r>
      <w:r w:rsidR="00BC19BA">
        <w:rPr>
          <w:rFonts w:ascii="Century Gothic" w:eastAsia="Arial" w:hAnsi="Century Gothic" w:cs="Arial"/>
        </w:rPr>
        <w:t>niciativa de mérito</w:t>
      </w:r>
      <w:r w:rsidR="007E7F92" w:rsidRPr="00A91DCA">
        <w:rPr>
          <w:rFonts w:ascii="Century Gothic" w:hAnsi="Century Gothic" w:cs="Arial"/>
        </w:rPr>
        <w:t>,</w:t>
      </w:r>
      <w:r w:rsidR="007E7F92">
        <w:rPr>
          <w:rFonts w:ascii="Century Gothic" w:eastAsia="Arial" w:hAnsi="Century Gothic" w:cs="Arial"/>
        </w:rPr>
        <w:t xml:space="preserve"> a efecto de proceder al estudio, análisis y elaboración del dictamen correspondiente.</w:t>
      </w:r>
    </w:p>
    <w:p w14:paraId="27368A1B" w14:textId="77777777" w:rsidR="00917BA4" w:rsidRDefault="00917BA4" w:rsidP="002E2CD6">
      <w:pPr>
        <w:shd w:val="clear" w:color="auto" w:fill="FFFFFF"/>
        <w:tabs>
          <w:tab w:val="left" w:pos="9763"/>
        </w:tabs>
        <w:spacing w:line="360" w:lineRule="auto"/>
        <w:ind w:right="332"/>
        <w:jc w:val="both"/>
        <w:rPr>
          <w:rFonts w:ascii="Century Gothic" w:hAnsi="Century Gothic" w:cs="Arial"/>
        </w:rPr>
      </w:pPr>
    </w:p>
    <w:p w14:paraId="725CE301" w14:textId="77777777" w:rsidR="00331CBA" w:rsidRPr="003B10E3" w:rsidRDefault="00022EC4" w:rsidP="002E2CD6">
      <w:pPr>
        <w:shd w:val="clear" w:color="auto" w:fill="FFFFFF"/>
        <w:tabs>
          <w:tab w:val="left" w:pos="9763"/>
        </w:tabs>
        <w:spacing w:line="360" w:lineRule="auto"/>
        <w:ind w:right="332"/>
        <w:jc w:val="both"/>
        <w:rPr>
          <w:rFonts w:ascii="Century Gothic" w:eastAsia="Arial" w:hAnsi="Century Gothic" w:cs="Arial"/>
        </w:rPr>
      </w:pPr>
      <w:r>
        <w:rPr>
          <w:rFonts w:ascii="Century Gothic" w:hAnsi="Century Gothic" w:cs="Arial"/>
          <w:b/>
        </w:rPr>
        <w:t>I</w:t>
      </w:r>
      <w:r w:rsidR="00BC1AE7">
        <w:rPr>
          <w:rFonts w:ascii="Century Gothic" w:hAnsi="Century Gothic" w:cs="Arial"/>
          <w:b/>
        </w:rPr>
        <w:t>V</w:t>
      </w:r>
      <w:r w:rsidR="00F33CFF" w:rsidRPr="00E24D27">
        <w:rPr>
          <w:rFonts w:ascii="Century Gothic" w:hAnsi="Century Gothic" w:cs="Arial"/>
          <w:b/>
        </w:rPr>
        <w:t>.-</w:t>
      </w:r>
      <w:r w:rsidR="00F33CFF">
        <w:rPr>
          <w:rFonts w:ascii="Century Gothic" w:hAnsi="Century Gothic" w:cs="Arial"/>
        </w:rPr>
        <w:t xml:space="preserve"> </w:t>
      </w:r>
      <w:r w:rsidR="008A50ED">
        <w:rPr>
          <w:rFonts w:ascii="Century Gothic" w:hAnsi="Century Gothic" w:cs="Arial"/>
          <w:bCs/>
        </w:rPr>
        <w:t xml:space="preserve">La iniciativa </w:t>
      </w:r>
      <w:r w:rsidR="005D3EF3">
        <w:rPr>
          <w:rFonts w:ascii="Century Gothic" w:hAnsi="Century Gothic" w:cs="Arial"/>
          <w:bCs/>
        </w:rPr>
        <w:t xml:space="preserve">enunciada como asunto </w:t>
      </w:r>
      <w:r w:rsidR="00B352DA">
        <w:rPr>
          <w:rFonts w:ascii="Century Gothic" w:hAnsi="Century Gothic" w:cs="Arial"/>
          <w:bCs/>
        </w:rPr>
        <w:t>385</w:t>
      </w:r>
      <w:r w:rsidR="005D3EF3">
        <w:rPr>
          <w:rFonts w:ascii="Century Gothic" w:hAnsi="Century Gothic" w:cs="Arial"/>
          <w:bCs/>
        </w:rPr>
        <w:t>,</w:t>
      </w:r>
      <w:r w:rsidR="00331CBA" w:rsidRPr="009568FB">
        <w:rPr>
          <w:rFonts w:ascii="Century Gothic" w:hAnsi="Century Gothic" w:cs="Arial"/>
          <w:bCs/>
        </w:rPr>
        <w:t xml:space="preserve"> </w:t>
      </w:r>
      <w:r w:rsidR="00323DC4">
        <w:rPr>
          <w:rFonts w:ascii="Century Gothic" w:hAnsi="Century Gothic" w:cs="Arial"/>
          <w:bCs/>
        </w:rPr>
        <w:t>se sustenta en los</w:t>
      </w:r>
      <w:r w:rsidR="00331CBA">
        <w:rPr>
          <w:rFonts w:ascii="Century Gothic" w:hAnsi="Century Gothic" w:cs="Arial"/>
          <w:bCs/>
        </w:rPr>
        <w:t xml:space="preserve"> siguiente</w:t>
      </w:r>
      <w:r w:rsidR="00323DC4">
        <w:rPr>
          <w:rFonts w:ascii="Century Gothic" w:hAnsi="Century Gothic" w:cs="Arial"/>
          <w:bCs/>
        </w:rPr>
        <w:t>s argumentos</w:t>
      </w:r>
      <w:r w:rsidR="00331CBA">
        <w:rPr>
          <w:rFonts w:ascii="Century Gothic" w:hAnsi="Century Gothic" w:cs="Arial"/>
          <w:bCs/>
        </w:rPr>
        <w:t>:</w:t>
      </w:r>
    </w:p>
    <w:p w14:paraId="707D9C37" w14:textId="77777777" w:rsidR="006C3CD3" w:rsidRPr="00917BA4" w:rsidRDefault="006C3CD3" w:rsidP="002E2CD6">
      <w:pPr>
        <w:pStyle w:val="Textoindependiente"/>
        <w:spacing w:line="360" w:lineRule="auto"/>
        <w:ind w:right="332"/>
        <w:rPr>
          <w:rFonts w:ascii="Century Gothic" w:hAnsi="Century Gothic" w:cs="Arial"/>
          <w:bCs/>
          <w:lang w:val="es-MX"/>
        </w:rPr>
      </w:pPr>
    </w:p>
    <w:p w14:paraId="1DDED7C1" w14:textId="77777777" w:rsidR="00B352DA" w:rsidRDefault="00FA75B4" w:rsidP="00B352DA">
      <w:pPr>
        <w:autoSpaceDE w:val="0"/>
        <w:autoSpaceDN w:val="0"/>
        <w:adjustRightInd w:val="0"/>
        <w:spacing w:line="360" w:lineRule="auto"/>
        <w:ind w:left="851" w:right="1466"/>
        <w:jc w:val="both"/>
        <w:rPr>
          <w:rFonts w:ascii="Century Gothic" w:eastAsia="Arial" w:hAnsi="Century Gothic"/>
          <w:i/>
          <w:sz w:val="22"/>
          <w:szCs w:val="22"/>
          <w:lang w:val="es-MX"/>
        </w:rPr>
      </w:pPr>
      <w:r w:rsidRPr="003E44B8">
        <w:rPr>
          <w:rFonts w:ascii="Century Gothic" w:eastAsia="Arial" w:hAnsi="Century Gothic"/>
          <w:i/>
          <w:sz w:val="22"/>
          <w:szCs w:val="22"/>
        </w:rPr>
        <w:t xml:space="preserve"> </w:t>
      </w:r>
      <w:r w:rsidR="00B46904" w:rsidRPr="003E44B8">
        <w:rPr>
          <w:rFonts w:ascii="Century Gothic" w:eastAsia="Arial" w:hAnsi="Century Gothic"/>
          <w:i/>
          <w:sz w:val="22"/>
          <w:szCs w:val="22"/>
        </w:rPr>
        <w:t>“</w:t>
      </w:r>
      <w:r w:rsidR="00B352DA" w:rsidRPr="00B352DA">
        <w:rPr>
          <w:rFonts w:ascii="Century Gothic" w:eastAsia="Arial" w:hAnsi="Century Gothic"/>
          <w:i/>
          <w:sz w:val="22"/>
          <w:szCs w:val="22"/>
          <w:lang w:val="es-MX"/>
        </w:rPr>
        <w:t xml:space="preserve">A pesar del largo camino recorrido en la lucha y esfuerzos de todos los actores sociales para erradicar la violencia en contra de las mujeres, aún existe una alta incidencia delictiva en los delitos de género, que no solo preocupa y ocupa a las autoridades de nuestro estado sino a las de todo México y el mundo. </w:t>
      </w:r>
    </w:p>
    <w:p w14:paraId="0907BEA4" w14:textId="77777777" w:rsidR="00B352DA" w:rsidRP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p>
    <w:p w14:paraId="09293D8C" w14:textId="77777777" w:rsid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r w:rsidRPr="00B352DA">
        <w:rPr>
          <w:rFonts w:ascii="Century Gothic" w:eastAsia="Arial" w:hAnsi="Century Gothic"/>
          <w:i/>
          <w:sz w:val="22"/>
          <w:szCs w:val="22"/>
          <w:lang w:val="es-MX"/>
        </w:rPr>
        <w:t>Desde hace décadas, el estado de Chihuahua ha padecido dicha violencia y discriminación en contra de las mujeres. Ante esta situación, en el Grupo Parlamentario del Partido Acción Nacional asumimos la responsabilidad de legislar para encontrar soluciones efectivas que combatan desde nuestro marco legal dicha violencia.</w:t>
      </w:r>
    </w:p>
    <w:p w14:paraId="0E2ADE88" w14:textId="77777777" w:rsidR="00B352DA" w:rsidRP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p>
    <w:p w14:paraId="1DA7C380" w14:textId="77777777" w:rsid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r w:rsidRPr="00B352DA">
        <w:rPr>
          <w:rFonts w:ascii="Century Gothic" w:eastAsia="Arial" w:hAnsi="Century Gothic"/>
          <w:i/>
          <w:sz w:val="22"/>
          <w:szCs w:val="22"/>
          <w:lang w:val="es-MX"/>
        </w:rPr>
        <w:t xml:space="preserve">Durante el periodo de los 2000-2006, México recibió un total de 140 recomendaciones internacionales, sólo en el tema de derechos de las mujeres. Por su parte, Amnistía Internacional, la Unión Europea, el Parlamento Europeo y el Congreso de Estados Unidos también </w:t>
      </w:r>
      <w:r w:rsidRPr="00B352DA">
        <w:rPr>
          <w:rFonts w:ascii="Century Gothic" w:eastAsia="Arial" w:hAnsi="Century Gothic"/>
          <w:i/>
          <w:sz w:val="22"/>
          <w:szCs w:val="22"/>
          <w:lang w:val="es-MX"/>
        </w:rPr>
        <w:lastRenderedPageBreak/>
        <w:t xml:space="preserve">emitieron informes y recomendaciones al Estado mexicano por la situación de violencia contra las mujeres que se estaba viviendo en nuestro país, sobre todo en nuestra entidad. </w:t>
      </w:r>
    </w:p>
    <w:p w14:paraId="4803D2E7" w14:textId="77777777" w:rsidR="00B352DA" w:rsidRP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p>
    <w:p w14:paraId="55BEB3BF" w14:textId="77777777" w:rsid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r w:rsidRPr="00B352DA">
        <w:rPr>
          <w:rFonts w:ascii="Century Gothic" w:eastAsia="Arial" w:hAnsi="Century Gothic"/>
          <w:i/>
          <w:sz w:val="22"/>
          <w:szCs w:val="22"/>
          <w:lang w:val="es-MX"/>
        </w:rPr>
        <w:t>En Chihuahua, la lucha de las madres de las víctimas y de las organizaciones de la sociedad civil que acompañaron sus demandas, lograron colocar en la agenda nacional e internacional el tema de la violencia de género y los feminicidios, hasta volverlo visible.</w:t>
      </w:r>
    </w:p>
    <w:p w14:paraId="10027956" w14:textId="77777777" w:rsidR="00B352DA" w:rsidRP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p>
    <w:p w14:paraId="49F58EA4" w14:textId="77777777" w:rsidR="00B352DA" w:rsidRP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r w:rsidRPr="00B352DA">
        <w:rPr>
          <w:rFonts w:ascii="Century Gothic" w:eastAsia="Arial" w:hAnsi="Century Gothic"/>
          <w:i/>
          <w:sz w:val="22"/>
          <w:szCs w:val="22"/>
          <w:lang w:val="es-MX"/>
        </w:rPr>
        <w:t xml:space="preserve">En este sentido, debemos buscar que como legisladores emprendamos acciones para lograr que las mujeres vivan una vida libre de violencia. </w:t>
      </w:r>
    </w:p>
    <w:p w14:paraId="6C6DFE78" w14:textId="77777777" w:rsid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r w:rsidRPr="00B352DA">
        <w:rPr>
          <w:rFonts w:ascii="Century Gothic" w:eastAsia="Arial" w:hAnsi="Century Gothic"/>
          <w:i/>
          <w:sz w:val="22"/>
          <w:szCs w:val="22"/>
          <w:lang w:val="es-MX"/>
        </w:rPr>
        <w:t>Nuestra Constitución establece que el hombre y la mujer son iguales ante la Ley, pero existen desigualdades estructurales que tienen como consecuencia altos índices de delitos cometidos en perjuicio de las mujeres.</w:t>
      </w:r>
    </w:p>
    <w:p w14:paraId="52C83A14" w14:textId="77777777" w:rsidR="00B352DA" w:rsidRP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p>
    <w:p w14:paraId="6668EE1A" w14:textId="77777777" w:rsid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r w:rsidRPr="00B352DA">
        <w:rPr>
          <w:rFonts w:ascii="Century Gothic" w:eastAsia="Arial" w:hAnsi="Century Gothic"/>
          <w:i/>
          <w:sz w:val="22"/>
          <w:szCs w:val="22"/>
          <w:lang w:val="es-MX"/>
        </w:rPr>
        <w:t xml:space="preserve">La Ley General de Acceso de las Mujeres a una Vida Libre de Violencia, como la Ley Estatal del Derecho de las Mujeres a una Vida Libre de Violencia, coinciden en que la violencia contra las mujeres es “Cualquier acción u omisión, </w:t>
      </w:r>
      <w:proofErr w:type="gramStart"/>
      <w:r w:rsidRPr="00B352DA">
        <w:rPr>
          <w:rFonts w:ascii="Century Gothic" w:eastAsia="Arial" w:hAnsi="Century Gothic"/>
          <w:i/>
          <w:sz w:val="22"/>
          <w:szCs w:val="22"/>
          <w:lang w:val="es-MX"/>
        </w:rPr>
        <w:t>que</w:t>
      </w:r>
      <w:proofErr w:type="gramEnd"/>
      <w:r w:rsidRPr="00B352DA">
        <w:rPr>
          <w:rFonts w:ascii="Century Gothic" w:eastAsia="Arial" w:hAnsi="Century Gothic"/>
          <w:i/>
          <w:sz w:val="22"/>
          <w:szCs w:val="22"/>
          <w:lang w:val="es-MX"/>
        </w:rPr>
        <w:t xml:space="preserve"> en razón de género, tenga como fin o resultado un daño o sufrimiento psicológico, físico, patrimonial, económico, sexual o la muerte, tanto en el ámbito privado como en el público”.</w:t>
      </w:r>
      <w:r w:rsidRPr="00B352DA">
        <w:rPr>
          <w:rFonts w:ascii="Century Gothic" w:eastAsia="Arial" w:hAnsi="Century Gothic"/>
          <w:i/>
          <w:sz w:val="22"/>
          <w:szCs w:val="22"/>
          <w:vertAlign w:val="superscript"/>
          <w:lang w:val="es-MX"/>
        </w:rPr>
        <w:footnoteReference w:id="1"/>
      </w:r>
    </w:p>
    <w:p w14:paraId="6283374E" w14:textId="77777777" w:rsidR="00B352DA" w:rsidRP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p>
    <w:p w14:paraId="5EED9FB3" w14:textId="77777777" w:rsid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r w:rsidRPr="00B352DA">
        <w:rPr>
          <w:rFonts w:ascii="Century Gothic" w:eastAsia="Arial" w:hAnsi="Century Gothic"/>
          <w:i/>
          <w:sz w:val="22"/>
          <w:szCs w:val="22"/>
          <w:lang w:val="es-MX"/>
        </w:rPr>
        <w:t xml:space="preserve">La violencia se manifiesta en cualquier ámbito de la vida de las mujeres, en los espacios públicos y privados. Por lo que debe de ser visibilizada para evitar que la misma no sea minimizada y mucho menos ignorada. </w:t>
      </w:r>
    </w:p>
    <w:p w14:paraId="5D14733D" w14:textId="77777777" w:rsidR="00B352DA" w:rsidRP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p>
    <w:p w14:paraId="7495C37F" w14:textId="77777777" w:rsid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r w:rsidRPr="00B352DA">
        <w:rPr>
          <w:rFonts w:ascii="Century Gothic" w:eastAsia="Arial" w:hAnsi="Century Gothic"/>
          <w:i/>
          <w:sz w:val="22"/>
          <w:szCs w:val="22"/>
          <w:lang w:val="es-MX"/>
        </w:rPr>
        <w:t xml:space="preserve">La Encuesta Nacional sobre la Dinámica de las Relaciones en los Hogares de 2016, dio a conocer que en promedio en nuestro país el 66.1% de las mujeres han sufrido violencia a lo largo de su vida, mientras que en nuestro estado este porcentaje aumenta al 66.8%. Es </w:t>
      </w:r>
      <w:proofErr w:type="gramStart"/>
      <w:r w:rsidRPr="00B352DA">
        <w:rPr>
          <w:rFonts w:ascii="Century Gothic" w:eastAsia="Arial" w:hAnsi="Century Gothic"/>
          <w:i/>
          <w:sz w:val="22"/>
          <w:szCs w:val="22"/>
          <w:lang w:val="es-MX"/>
        </w:rPr>
        <w:t>decir</w:t>
      </w:r>
      <w:proofErr w:type="gramEnd"/>
      <w:r w:rsidRPr="00B352DA">
        <w:rPr>
          <w:rFonts w:ascii="Century Gothic" w:eastAsia="Arial" w:hAnsi="Century Gothic"/>
          <w:i/>
          <w:sz w:val="22"/>
          <w:szCs w:val="22"/>
          <w:lang w:val="es-MX"/>
        </w:rPr>
        <w:t xml:space="preserve"> estamos por encima del promedio nacional.</w:t>
      </w:r>
      <w:r w:rsidRPr="00B352DA">
        <w:rPr>
          <w:rFonts w:ascii="Century Gothic" w:eastAsia="Arial" w:hAnsi="Century Gothic"/>
          <w:i/>
          <w:sz w:val="22"/>
          <w:szCs w:val="22"/>
          <w:vertAlign w:val="superscript"/>
          <w:lang w:val="es-MX"/>
        </w:rPr>
        <w:footnoteReference w:id="2"/>
      </w:r>
    </w:p>
    <w:p w14:paraId="3079E542" w14:textId="77777777" w:rsidR="00B352DA" w:rsidRP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p>
    <w:p w14:paraId="4F5CF436" w14:textId="77777777" w:rsid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r w:rsidRPr="00B352DA">
        <w:rPr>
          <w:rFonts w:ascii="Century Gothic" w:eastAsia="Arial" w:hAnsi="Century Gothic"/>
          <w:i/>
          <w:sz w:val="22"/>
          <w:szCs w:val="22"/>
          <w:lang w:val="es-MX"/>
        </w:rPr>
        <w:t>Según el informe del Secretariado Ejecutivo del Sistema Nacional de Seguridad Pública, al corte del 31 de agosto del presente año en México, hubo un total de 171 mil 928 casos de violencia familiar, en Chihuahua de 8 mil 538.</w:t>
      </w:r>
    </w:p>
    <w:p w14:paraId="3C119049" w14:textId="77777777" w:rsidR="00B352DA" w:rsidRP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p>
    <w:p w14:paraId="08D9241A" w14:textId="77777777" w:rsid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r w:rsidRPr="00B352DA">
        <w:rPr>
          <w:rFonts w:ascii="Century Gothic" w:eastAsia="Arial" w:hAnsi="Century Gothic"/>
          <w:i/>
          <w:sz w:val="22"/>
          <w:szCs w:val="22"/>
          <w:lang w:val="es-MX"/>
        </w:rPr>
        <w:t xml:space="preserve">Así mismo, esta instancia reporta que se cometieron un total de 671 feminicidios en toda la República Mexicana. Mientras </w:t>
      </w:r>
      <w:proofErr w:type="gramStart"/>
      <w:r w:rsidRPr="00B352DA">
        <w:rPr>
          <w:rFonts w:ascii="Century Gothic" w:eastAsia="Arial" w:hAnsi="Century Gothic"/>
          <w:i/>
          <w:sz w:val="22"/>
          <w:szCs w:val="22"/>
          <w:lang w:val="es-MX"/>
        </w:rPr>
        <w:t>que</w:t>
      </w:r>
      <w:proofErr w:type="gramEnd"/>
      <w:r w:rsidRPr="00B352DA">
        <w:rPr>
          <w:rFonts w:ascii="Century Gothic" w:eastAsia="Arial" w:hAnsi="Century Gothic"/>
          <w:i/>
          <w:sz w:val="22"/>
          <w:szCs w:val="22"/>
          <w:lang w:val="es-MX"/>
        </w:rPr>
        <w:t xml:space="preserve"> en </w:t>
      </w:r>
      <w:r w:rsidRPr="00B352DA">
        <w:rPr>
          <w:rFonts w:ascii="Century Gothic" w:eastAsia="Arial" w:hAnsi="Century Gothic"/>
          <w:i/>
          <w:sz w:val="22"/>
          <w:szCs w:val="22"/>
          <w:lang w:val="es-MX"/>
        </w:rPr>
        <w:lastRenderedPageBreak/>
        <w:t>nuestra entidad, se registraron 34 casos, ocupando el sexto lugar a nivel nacional. Por su parte, Cd. Juárez se encuentra el segundo lugar de todos los municipios del país con 13 casos de este mismo delito.</w:t>
      </w:r>
      <w:r w:rsidRPr="00B352DA">
        <w:rPr>
          <w:rFonts w:ascii="Century Gothic" w:eastAsia="Arial" w:hAnsi="Century Gothic"/>
          <w:i/>
          <w:sz w:val="22"/>
          <w:szCs w:val="22"/>
          <w:vertAlign w:val="superscript"/>
          <w:lang w:val="es-MX"/>
        </w:rPr>
        <w:footnoteReference w:id="3"/>
      </w:r>
    </w:p>
    <w:p w14:paraId="0D4ABC49" w14:textId="77777777" w:rsidR="00B352DA" w:rsidRP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p>
    <w:p w14:paraId="0725F0E6" w14:textId="77777777" w:rsid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r w:rsidRPr="00B352DA">
        <w:rPr>
          <w:rFonts w:ascii="Century Gothic" w:eastAsia="Arial" w:hAnsi="Century Gothic"/>
          <w:i/>
          <w:sz w:val="22"/>
          <w:szCs w:val="22"/>
          <w:lang w:val="es-MX"/>
        </w:rPr>
        <w:t xml:space="preserve">Este escenario aumentó al 100% los casos de violencia contra las mujeres, debido al confinamiento que vivimos por el Covid-19. Ante esta lamentable situación, no podemos quedarnos cruzados de brazos, tenemos la obligación como autoridades de poner toda nuestra atención y esfuerzo para erradicar la violencia en contra de las mujeres. </w:t>
      </w:r>
    </w:p>
    <w:p w14:paraId="559759C1" w14:textId="77777777" w:rsidR="00B352DA" w:rsidRP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p>
    <w:p w14:paraId="2A5B35C7" w14:textId="77777777" w:rsid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r w:rsidRPr="00B352DA">
        <w:rPr>
          <w:rFonts w:ascii="Century Gothic" w:eastAsia="Arial" w:hAnsi="Century Gothic"/>
          <w:i/>
          <w:sz w:val="22"/>
          <w:szCs w:val="22"/>
          <w:lang w:val="es-MX"/>
        </w:rPr>
        <w:t xml:space="preserve">La protección de las víctimas de la violencia de género, debe de ser garantizada por el estado. Las personas servidoras públicas de cualquier instancia, pero sobre todo aquellas que trabajen en las áreas de procuración y administración de justicia tienen que velar por la integridad de las mujeres violentadas. </w:t>
      </w:r>
    </w:p>
    <w:p w14:paraId="082AE604" w14:textId="77777777" w:rsidR="00B352DA" w:rsidRP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p>
    <w:p w14:paraId="70C6EF4F" w14:textId="77777777" w:rsid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r w:rsidRPr="00B352DA">
        <w:rPr>
          <w:rFonts w:ascii="Century Gothic" w:eastAsia="Arial" w:hAnsi="Century Gothic"/>
          <w:i/>
          <w:sz w:val="22"/>
          <w:szCs w:val="22"/>
          <w:lang w:val="es-MX"/>
        </w:rPr>
        <w:t xml:space="preserve">Lo anterior, especialmente porque la violencia de género siempre escala. Es decir, si una mujer acude a denunciar que su pareja le dio un golpe en la cara, si no se castiga al agresor y no se protege a la víctima, la próxima vez que esa mujer se presente a denunciar, ya no sólo será ese golpe sino posiblemente una agresión que </w:t>
      </w:r>
      <w:r w:rsidRPr="00B352DA">
        <w:rPr>
          <w:rFonts w:ascii="Century Gothic" w:eastAsia="Arial" w:hAnsi="Century Gothic"/>
          <w:i/>
          <w:sz w:val="22"/>
          <w:szCs w:val="22"/>
          <w:lang w:val="es-MX"/>
        </w:rPr>
        <w:lastRenderedPageBreak/>
        <w:t xml:space="preserve">ponga en riesgo su vida, o incluso se habrá cometido un feminicidio más. </w:t>
      </w:r>
    </w:p>
    <w:p w14:paraId="1AD78AF5" w14:textId="77777777" w:rsidR="00B352DA" w:rsidRP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p>
    <w:p w14:paraId="59FAAA26" w14:textId="77777777" w:rsid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r w:rsidRPr="00B352DA">
        <w:rPr>
          <w:rFonts w:ascii="Century Gothic" w:eastAsia="Arial" w:hAnsi="Century Gothic"/>
          <w:i/>
          <w:sz w:val="22"/>
          <w:szCs w:val="22"/>
          <w:lang w:val="es-MX"/>
        </w:rPr>
        <w:t>Tal es el caso de Abril Cecilia Pérez Sagaón, quien fue privada de la vida brutalmente por su ex pareja el 25 de noviembre 2019, esto luego de que ella presentara una denuncia por violencia y que no se le otorgaran medidas cautelares para su protección, es decir, la autoridad hizo poco, o nada.</w:t>
      </w:r>
    </w:p>
    <w:p w14:paraId="005E6926" w14:textId="77777777" w:rsidR="00B352DA" w:rsidRP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p>
    <w:p w14:paraId="40F47527" w14:textId="77777777" w:rsid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r w:rsidRPr="00B352DA">
        <w:rPr>
          <w:rFonts w:ascii="Century Gothic" w:eastAsia="Arial" w:hAnsi="Century Gothic"/>
          <w:i/>
          <w:sz w:val="22"/>
          <w:szCs w:val="22"/>
          <w:lang w:val="es-MX"/>
        </w:rPr>
        <w:t>El actuar del Juez de Control quien derivado de la entrevista con el imputado desestimara el acto a una riña con la víctima, reclasificó el delito de feminicidio en grado de tentativa y lo formuló como violencia familiar agravada, por lo que al amparo del Código Nacional de Procedimientos Penales decretó la libertad, pues a su consideración, no ameritaba la medida cautelar de prisión preventiva.</w:t>
      </w:r>
    </w:p>
    <w:p w14:paraId="7D3F224C" w14:textId="77777777" w:rsidR="00B352DA" w:rsidRP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p>
    <w:p w14:paraId="7A13B09F" w14:textId="77777777" w:rsid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r w:rsidRPr="00B352DA">
        <w:rPr>
          <w:rFonts w:ascii="Century Gothic" w:eastAsia="Arial" w:hAnsi="Century Gothic"/>
          <w:i/>
          <w:sz w:val="22"/>
          <w:szCs w:val="22"/>
          <w:lang w:val="es-MX"/>
        </w:rPr>
        <w:t xml:space="preserve">No obstante, la responsabilidad no solo es del Juez de Control al dejar en libertad a un feminicida en potencia; sino también de las instancias de procuración de justicia. El Órgano Investigador, que aun cuando se le había dado cuenta de la noticia criminal por parte del familiar de la víctima, no ordenó diligencias idóneas pertinentes para el esclarecimiento de los hechos, ni impuso las adecuadas medidas de protección a la víctima, limitándose a generar aquellas acciones que le representaran un mínimo </w:t>
      </w:r>
      <w:r w:rsidRPr="00B352DA">
        <w:rPr>
          <w:rFonts w:ascii="Century Gothic" w:eastAsia="Arial" w:hAnsi="Century Gothic"/>
          <w:i/>
          <w:sz w:val="22"/>
          <w:szCs w:val="22"/>
          <w:lang w:val="es-MX"/>
        </w:rPr>
        <w:lastRenderedPageBreak/>
        <w:t>esfuerzo sin pensar que la víctima y su familia corrían un peligro inminente.</w:t>
      </w:r>
    </w:p>
    <w:p w14:paraId="606BBD12" w14:textId="77777777" w:rsidR="00B352DA" w:rsidRP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p>
    <w:p w14:paraId="20413861" w14:textId="77777777" w:rsid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r w:rsidRPr="00B352DA">
        <w:rPr>
          <w:rFonts w:ascii="Century Gothic" w:eastAsia="Arial" w:hAnsi="Century Gothic"/>
          <w:i/>
          <w:sz w:val="22"/>
          <w:szCs w:val="22"/>
          <w:lang w:val="es-MX"/>
        </w:rPr>
        <w:t>La falta de sensibilidad de todos los órganos involucrados para proteger a Abril Pérez Sagaón, generó su muerte, pues fue asesinada al salir del juzgado, inmediatamente después de que su agresor quedara en libertad.</w:t>
      </w:r>
    </w:p>
    <w:p w14:paraId="011C96BE" w14:textId="77777777" w:rsidR="00B352DA" w:rsidRP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p>
    <w:p w14:paraId="40CF9EA9" w14:textId="77777777" w:rsid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r w:rsidRPr="00B352DA">
        <w:rPr>
          <w:rFonts w:ascii="Century Gothic" w:eastAsia="Arial" w:hAnsi="Century Gothic"/>
          <w:i/>
          <w:sz w:val="22"/>
          <w:szCs w:val="22"/>
          <w:lang w:val="es-MX"/>
        </w:rPr>
        <w:t xml:space="preserve">En México, existen muchas mujeres como </w:t>
      </w:r>
      <w:proofErr w:type="gramStart"/>
      <w:r w:rsidRPr="00B352DA">
        <w:rPr>
          <w:rFonts w:ascii="Century Gothic" w:eastAsia="Arial" w:hAnsi="Century Gothic"/>
          <w:i/>
          <w:sz w:val="22"/>
          <w:szCs w:val="22"/>
          <w:lang w:val="es-MX"/>
        </w:rPr>
        <w:t>Abril</w:t>
      </w:r>
      <w:proofErr w:type="gramEnd"/>
      <w:r w:rsidRPr="00B352DA">
        <w:rPr>
          <w:rFonts w:ascii="Century Gothic" w:eastAsia="Arial" w:hAnsi="Century Gothic"/>
          <w:i/>
          <w:sz w:val="22"/>
          <w:szCs w:val="22"/>
          <w:lang w:val="es-MX"/>
        </w:rPr>
        <w:t xml:space="preserve">, a quienes les hacen creer que la violencia que viven no es gran cosa, minimizan los actos efectuados en su contra y por ello no les brindan la seguridad que sin duda requieren. </w:t>
      </w:r>
    </w:p>
    <w:p w14:paraId="7806969A" w14:textId="77777777" w:rsidR="00B352DA" w:rsidRP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p>
    <w:p w14:paraId="2FCC9C1D" w14:textId="77777777" w:rsid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r w:rsidRPr="00B352DA">
        <w:rPr>
          <w:rFonts w:ascii="Century Gothic" w:eastAsia="Arial" w:hAnsi="Century Gothic"/>
          <w:i/>
          <w:sz w:val="22"/>
          <w:szCs w:val="22"/>
          <w:lang w:val="es-MX"/>
        </w:rPr>
        <w:t xml:space="preserve">En este sentido, es pertinente recordar el caso de Ingrid Escamilla, una mujer de 25 años, quien en febrero de 2020 fue privada de la vida a manos de su pareja sentimental, en la Ciudad de México. La brutalidad con la que el delito fue cometido consternó a toda la sociedad; ya que la filtración de fotografías y videos de su cuerpo desmembrado indignó de sobre manera. </w:t>
      </w:r>
    </w:p>
    <w:p w14:paraId="578DDC46" w14:textId="77777777" w:rsidR="00B352DA" w:rsidRP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p>
    <w:p w14:paraId="78485E2A" w14:textId="77777777" w:rsid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r w:rsidRPr="00B352DA">
        <w:rPr>
          <w:rFonts w:ascii="Century Gothic" w:eastAsia="Arial" w:hAnsi="Century Gothic"/>
          <w:i/>
          <w:sz w:val="22"/>
          <w:szCs w:val="22"/>
          <w:lang w:val="es-MX"/>
        </w:rPr>
        <w:t>Esta situación fue el resultado de un manejo incorrecto de las evidencias por parte de las autoridades que atendían el caso; las imágenes fueron compartidas por todos los medios, generando una masiva difusión, lo cual provocó que se hiciera un llamado colectivo a las instituciones como a la sociedad a dejar de cosificar y revictimizar a las mujeres.</w:t>
      </w:r>
    </w:p>
    <w:p w14:paraId="0B517150" w14:textId="77777777" w:rsidR="00B352DA" w:rsidRP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p>
    <w:p w14:paraId="4E74CDDF" w14:textId="77777777" w:rsid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r w:rsidRPr="00B352DA">
        <w:rPr>
          <w:rFonts w:ascii="Century Gothic" w:eastAsia="Arial" w:hAnsi="Century Gothic"/>
          <w:i/>
          <w:sz w:val="22"/>
          <w:szCs w:val="22"/>
          <w:lang w:val="es-MX"/>
        </w:rPr>
        <w:t>Este hecho, fue producto de una cultura de violencia institucional, ejemplificada en una grave irresponsabilidad en la debida diligencia durante las investigaciones, revictimizando así, no sólo a Ingrid, sino a muchas mujeres que han sufrido estas violaciones.</w:t>
      </w:r>
    </w:p>
    <w:p w14:paraId="720ACC9C" w14:textId="77777777" w:rsidR="00B352DA" w:rsidRP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p>
    <w:p w14:paraId="23586C64" w14:textId="77777777" w:rsid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r w:rsidRPr="00B352DA">
        <w:rPr>
          <w:rFonts w:ascii="Century Gothic" w:eastAsia="Arial" w:hAnsi="Century Gothic"/>
          <w:i/>
          <w:sz w:val="22"/>
          <w:szCs w:val="22"/>
          <w:lang w:val="es-MX"/>
        </w:rPr>
        <w:t xml:space="preserve">La difusión de fotos, videos o cualquier contenido que muestre datos personales o haga alusión a algún hecho relacionados con la averiguación e investigación que vulnere los derechos y la dignidad de las víctimas, según los parámetros del acceso a la información, es considerada como información reservada, según se establece en el artículo 218 de nuestro Código Adjetivo Penal, por lo tanto, su divulgación debe estar resguardada por las autoridades que dirigen el caso. </w:t>
      </w:r>
    </w:p>
    <w:p w14:paraId="12430B94" w14:textId="77777777" w:rsidR="00B352DA" w:rsidRP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p>
    <w:p w14:paraId="311FD8AD" w14:textId="77777777" w:rsid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r w:rsidRPr="00B352DA">
        <w:rPr>
          <w:rFonts w:ascii="Century Gothic" w:eastAsia="Arial" w:hAnsi="Century Gothic"/>
          <w:i/>
          <w:sz w:val="22"/>
          <w:szCs w:val="22"/>
          <w:lang w:val="es-MX"/>
        </w:rPr>
        <w:t xml:space="preserve">Como observamos, en los casos de </w:t>
      </w:r>
      <w:proofErr w:type="gramStart"/>
      <w:r w:rsidRPr="00B352DA">
        <w:rPr>
          <w:rFonts w:ascii="Century Gothic" w:eastAsia="Arial" w:hAnsi="Century Gothic"/>
          <w:i/>
          <w:sz w:val="22"/>
          <w:szCs w:val="22"/>
          <w:lang w:val="es-MX"/>
        </w:rPr>
        <w:t>Abril</w:t>
      </w:r>
      <w:proofErr w:type="gramEnd"/>
      <w:r w:rsidRPr="00B352DA">
        <w:rPr>
          <w:rFonts w:ascii="Century Gothic" w:eastAsia="Arial" w:hAnsi="Century Gothic"/>
          <w:i/>
          <w:sz w:val="22"/>
          <w:szCs w:val="22"/>
          <w:lang w:val="es-MX"/>
        </w:rPr>
        <w:t xml:space="preserve"> e Ingrid además de tratarse de feminicidios comparten una característica lamentable, en ambas situaciones existió un actuar erróneo por parte de las autoridades, que se suponía deberían proteger en un caso la vida y en el otro el respeto y reserva de las evidencias. </w:t>
      </w:r>
    </w:p>
    <w:p w14:paraId="2DC82942" w14:textId="77777777" w:rsidR="00B352DA" w:rsidRP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p>
    <w:p w14:paraId="72E39C98" w14:textId="77777777" w:rsid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r w:rsidRPr="00B352DA">
        <w:rPr>
          <w:rFonts w:ascii="Century Gothic" w:eastAsia="Arial" w:hAnsi="Century Gothic"/>
          <w:i/>
          <w:sz w:val="22"/>
          <w:szCs w:val="22"/>
          <w:lang w:val="es-MX"/>
        </w:rPr>
        <w:t xml:space="preserve">El feminicidio de </w:t>
      </w:r>
      <w:proofErr w:type="gramStart"/>
      <w:r w:rsidRPr="00B352DA">
        <w:rPr>
          <w:rFonts w:ascii="Century Gothic" w:eastAsia="Arial" w:hAnsi="Century Gothic"/>
          <w:i/>
          <w:sz w:val="22"/>
          <w:szCs w:val="22"/>
          <w:lang w:val="es-MX"/>
        </w:rPr>
        <w:t>Abril</w:t>
      </w:r>
      <w:proofErr w:type="gramEnd"/>
      <w:r w:rsidRPr="00B352DA">
        <w:rPr>
          <w:rFonts w:ascii="Century Gothic" w:eastAsia="Arial" w:hAnsi="Century Gothic"/>
          <w:i/>
          <w:sz w:val="22"/>
          <w:szCs w:val="22"/>
          <w:lang w:val="es-MX"/>
        </w:rPr>
        <w:t xml:space="preserve"> y el de tantas mujeres en Chihuahua, son claro ejemplo de que urgen reformas legislativas con la finalidad de tipificar la omisión de los encargados de la Procuración e impartición de Justicia de otorgar las más altas medidas de </w:t>
      </w:r>
      <w:r w:rsidRPr="00B352DA">
        <w:rPr>
          <w:rFonts w:ascii="Century Gothic" w:eastAsia="Arial" w:hAnsi="Century Gothic"/>
          <w:i/>
          <w:sz w:val="22"/>
          <w:szCs w:val="22"/>
          <w:lang w:val="es-MX"/>
        </w:rPr>
        <w:lastRenderedPageBreak/>
        <w:t>protección a favor de la víctima aun cuando esta no la haya solicitado.</w:t>
      </w:r>
    </w:p>
    <w:p w14:paraId="20FB6855" w14:textId="77777777" w:rsidR="00B352DA" w:rsidRP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p>
    <w:p w14:paraId="67DE5B1F" w14:textId="77777777" w:rsid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r w:rsidRPr="00B352DA">
        <w:rPr>
          <w:rFonts w:ascii="Century Gothic" w:eastAsia="Arial" w:hAnsi="Century Gothic"/>
          <w:i/>
          <w:sz w:val="22"/>
          <w:szCs w:val="22"/>
          <w:lang w:val="es-MX"/>
        </w:rPr>
        <w:t>Así mismo, es imperante tipificar en nuestro Código penal sustantivo la distribución de cualquier indicio relacionado a cadáveres que forme parte de una investigación penal. Lo anterior, debido a que no solo se trata de víctimas directas, ya que con la difusión de este tipo de contenido también hay un daño a las víctimas indirectas, que son los familiares o aquellas personas físicas que tengan una relación inmediata con ella.</w:t>
      </w:r>
      <w:r w:rsidRPr="00B352DA">
        <w:rPr>
          <w:rFonts w:ascii="Century Gothic" w:eastAsia="Arial" w:hAnsi="Century Gothic"/>
          <w:i/>
          <w:sz w:val="22"/>
          <w:szCs w:val="22"/>
          <w:vertAlign w:val="superscript"/>
          <w:lang w:val="es-MX"/>
        </w:rPr>
        <w:footnoteReference w:id="4"/>
      </w:r>
    </w:p>
    <w:p w14:paraId="585A90B9" w14:textId="77777777" w:rsidR="00B352DA" w:rsidRP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p>
    <w:p w14:paraId="256EE898" w14:textId="77777777" w:rsid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r w:rsidRPr="00B352DA">
        <w:rPr>
          <w:rFonts w:ascii="Century Gothic" w:eastAsia="Arial" w:hAnsi="Century Gothic"/>
          <w:i/>
          <w:sz w:val="22"/>
          <w:szCs w:val="22"/>
          <w:lang w:val="es-MX"/>
        </w:rPr>
        <w:t xml:space="preserve">Cabe destacar que desde la Legislatura pasada fueron presentadas iniciativas con la intención de tipificar en nuestro estado las conductas antes descritas. No obstante, las mismas no fueron dictaminadas, quedando Chihuahua en el rezago normativo respecto de otras entidades federativas, por tal motivo, es que se retoma el tema y se espera que durante la presente Legislatura se dictamine favorablemente y posteriormente publique en el Periódico Oficial del Estado esta propuesta. </w:t>
      </w:r>
    </w:p>
    <w:p w14:paraId="2ADDCB76" w14:textId="77777777" w:rsidR="00B352DA" w:rsidRP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p>
    <w:p w14:paraId="19D34935" w14:textId="77777777" w:rsidR="005D3EF3" w:rsidRPr="00B352DA" w:rsidRDefault="00B352DA" w:rsidP="00B352DA">
      <w:pPr>
        <w:autoSpaceDE w:val="0"/>
        <w:autoSpaceDN w:val="0"/>
        <w:adjustRightInd w:val="0"/>
        <w:spacing w:line="360" w:lineRule="auto"/>
        <w:ind w:left="851" w:right="1466"/>
        <w:jc w:val="both"/>
        <w:rPr>
          <w:rFonts w:ascii="Century Gothic" w:eastAsia="Arial" w:hAnsi="Century Gothic"/>
          <w:i/>
          <w:sz w:val="22"/>
          <w:szCs w:val="22"/>
          <w:lang w:val="es-MX"/>
        </w:rPr>
      </w:pPr>
      <w:r w:rsidRPr="00B352DA">
        <w:rPr>
          <w:rFonts w:ascii="Century Gothic" w:eastAsia="Arial" w:hAnsi="Century Gothic"/>
          <w:i/>
          <w:sz w:val="22"/>
          <w:szCs w:val="22"/>
          <w:lang w:val="es-MX"/>
        </w:rPr>
        <w:t xml:space="preserve">Las acciones legislativas planteadas en el presente proyecto, buscan proteger la vida, la dignidad y evitar aumentar el daño que sufren las víctimas de la violencia de género. No podemos normalizar la violencia en contra de las mujeres, tomemos el ejemplo de los demás estados de nuestra república. Reformar </w:t>
      </w:r>
      <w:r w:rsidRPr="00B352DA">
        <w:rPr>
          <w:rFonts w:ascii="Century Gothic" w:eastAsia="Arial" w:hAnsi="Century Gothic"/>
          <w:i/>
          <w:sz w:val="22"/>
          <w:szCs w:val="22"/>
          <w:lang w:val="es-MX"/>
        </w:rPr>
        <w:lastRenderedPageBreak/>
        <w:t>nuestro Código Penal y establecer estas nuevas conductas sancionables, será un paso más para lograr que las mujeres tengan acceso a la justicia y estar más cerca de que vi</w:t>
      </w:r>
      <w:r>
        <w:rPr>
          <w:rFonts w:ascii="Century Gothic" w:eastAsia="Arial" w:hAnsi="Century Gothic"/>
          <w:i/>
          <w:sz w:val="22"/>
          <w:szCs w:val="22"/>
          <w:lang w:val="es-MX"/>
        </w:rPr>
        <w:t>van una vida libre de violencia</w:t>
      </w:r>
      <w:r w:rsidR="005D3EF3" w:rsidRPr="003E44B8">
        <w:rPr>
          <w:rFonts w:ascii="Century Gothic" w:eastAsia="Arial" w:hAnsi="Century Gothic"/>
          <w:i/>
          <w:sz w:val="22"/>
          <w:szCs w:val="22"/>
          <w:lang w:val="es-MX"/>
        </w:rPr>
        <w:t>.”</w:t>
      </w:r>
    </w:p>
    <w:p w14:paraId="59AC39D7" w14:textId="77777777" w:rsidR="008B4461" w:rsidRDefault="008B4461" w:rsidP="002E2CD6">
      <w:pPr>
        <w:pStyle w:val="Textoindependiente"/>
        <w:spacing w:line="360" w:lineRule="auto"/>
        <w:ind w:right="332"/>
        <w:rPr>
          <w:rFonts w:ascii="Century Gothic" w:eastAsia="Arial" w:hAnsi="Century Gothic" w:cs="Arial"/>
          <w:lang w:val="es-MX"/>
        </w:rPr>
      </w:pPr>
    </w:p>
    <w:p w14:paraId="3F33C0CD" w14:textId="77777777" w:rsidR="00315537" w:rsidRDefault="00315537" w:rsidP="002E2CD6">
      <w:pPr>
        <w:pStyle w:val="Textoindependiente"/>
        <w:spacing w:line="360" w:lineRule="auto"/>
        <w:ind w:right="332"/>
        <w:rPr>
          <w:rFonts w:ascii="Century Gothic" w:eastAsia="Arial" w:hAnsi="Century Gothic" w:cs="Arial"/>
          <w:lang w:val="es-MX"/>
        </w:rPr>
      </w:pPr>
      <w:r w:rsidRPr="00A335F4">
        <w:rPr>
          <w:rFonts w:ascii="Century Gothic" w:eastAsia="Arial" w:hAnsi="Century Gothic" w:cs="Arial"/>
          <w:lang w:val="es-MX"/>
        </w:rPr>
        <w:t>Ahora bien, al entrar al estudi</w:t>
      </w:r>
      <w:r w:rsidR="00DC1F31">
        <w:rPr>
          <w:rFonts w:ascii="Century Gothic" w:eastAsia="Arial" w:hAnsi="Century Gothic" w:cs="Arial"/>
          <w:lang w:val="es-MX"/>
        </w:rPr>
        <w:t>o y análisis de la I</w:t>
      </w:r>
      <w:r>
        <w:rPr>
          <w:rFonts w:ascii="Century Gothic" w:eastAsia="Arial" w:hAnsi="Century Gothic" w:cs="Arial"/>
          <w:lang w:val="es-MX"/>
        </w:rPr>
        <w:t>niciativa en comento</w:t>
      </w:r>
      <w:r w:rsidRPr="00A335F4">
        <w:rPr>
          <w:rFonts w:ascii="Century Gothic" w:eastAsia="Arial" w:hAnsi="Century Gothic" w:cs="Arial"/>
          <w:lang w:val="es-MX"/>
        </w:rPr>
        <w:t>, quienes integramos la Comisión citada en el proemio del presente Dictamen, formulamos las siguientes</w:t>
      </w:r>
      <w:r>
        <w:rPr>
          <w:rFonts w:ascii="Century Gothic" w:eastAsia="Arial" w:hAnsi="Century Gothic" w:cs="Arial"/>
          <w:lang w:val="es-MX"/>
        </w:rPr>
        <w:t>:</w:t>
      </w:r>
    </w:p>
    <w:p w14:paraId="3F784E31" w14:textId="77777777" w:rsidR="00315537" w:rsidRDefault="00315537" w:rsidP="002E2CD6">
      <w:pPr>
        <w:pStyle w:val="Textoindependiente"/>
        <w:spacing w:line="360" w:lineRule="auto"/>
        <w:ind w:right="332"/>
        <w:rPr>
          <w:rFonts w:ascii="Century Gothic" w:hAnsi="Century Gothic" w:cs="Arial"/>
        </w:rPr>
      </w:pPr>
    </w:p>
    <w:p w14:paraId="055C7FDA" w14:textId="77777777" w:rsidR="00315537" w:rsidRDefault="00315537" w:rsidP="002E2CD6">
      <w:pPr>
        <w:pStyle w:val="Textoindependiente"/>
        <w:spacing w:line="360" w:lineRule="auto"/>
        <w:ind w:right="332"/>
        <w:jc w:val="center"/>
        <w:rPr>
          <w:rFonts w:ascii="Century Gothic" w:hAnsi="Century Gothic" w:cs="Arial"/>
          <w:b/>
          <w:bCs/>
        </w:rPr>
      </w:pPr>
      <w:r>
        <w:rPr>
          <w:rFonts w:ascii="Century Gothic" w:hAnsi="Century Gothic" w:cs="Arial"/>
          <w:b/>
          <w:bCs/>
        </w:rPr>
        <w:t>C</w:t>
      </w:r>
      <w:r w:rsidRPr="009568FB">
        <w:rPr>
          <w:rFonts w:ascii="Century Gothic" w:hAnsi="Century Gothic" w:cs="Arial"/>
          <w:b/>
          <w:bCs/>
        </w:rPr>
        <w:t xml:space="preserve"> O N S I D E R A C I O N E S</w:t>
      </w:r>
    </w:p>
    <w:p w14:paraId="48A17DB3" w14:textId="77777777" w:rsidR="00315537" w:rsidRPr="009568FB" w:rsidRDefault="00315537" w:rsidP="002E2CD6">
      <w:pPr>
        <w:spacing w:line="360" w:lineRule="auto"/>
        <w:ind w:right="332"/>
        <w:jc w:val="both"/>
        <w:rPr>
          <w:rFonts w:ascii="Century Gothic" w:hAnsi="Century Gothic" w:cs="Arial"/>
          <w:b/>
          <w:bCs/>
        </w:rPr>
      </w:pPr>
    </w:p>
    <w:p w14:paraId="76601C02" w14:textId="77777777" w:rsidR="00315537" w:rsidRDefault="00315537" w:rsidP="00850EEA">
      <w:pPr>
        <w:spacing w:line="360" w:lineRule="auto"/>
        <w:ind w:right="335"/>
        <w:jc w:val="both"/>
        <w:rPr>
          <w:rFonts w:ascii="Century Gothic" w:hAnsi="Century Gothic" w:cs="Arial"/>
        </w:rPr>
      </w:pPr>
      <w:r w:rsidRPr="00850EEA">
        <w:rPr>
          <w:rFonts w:ascii="Century Gothic" w:hAnsi="Century Gothic" w:cs="Arial"/>
          <w:b/>
          <w:bCs/>
        </w:rPr>
        <w:t>I.-</w:t>
      </w:r>
      <w:r w:rsidRPr="00850EEA">
        <w:rPr>
          <w:rFonts w:ascii="Century Gothic" w:hAnsi="Century Gothic" w:cs="Arial"/>
        </w:rPr>
        <w:t xml:space="preserve"> El H. Congreso del Estado, a través de esta Comisión, es competente para conocer y resolver sobre la iniciativa en mención. </w:t>
      </w:r>
    </w:p>
    <w:p w14:paraId="601F6CB7" w14:textId="77777777" w:rsidR="008D70F5" w:rsidRDefault="008D70F5" w:rsidP="00850EEA">
      <w:pPr>
        <w:spacing w:line="360" w:lineRule="auto"/>
        <w:ind w:right="335"/>
        <w:jc w:val="both"/>
        <w:rPr>
          <w:rFonts w:ascii="Century Gothic" w:hAnsi="Century Gothic" w:cs="Arial"/>
        </w:rPr>
      </w:pPr>
    </w:p>
    <w:p w14:paraId="309A8937" w14:textId="77777777" w:rsidR="00A739FE" w:rsidRDefault="008D70F5" w:rsidP="00B352DA">
      <w:pPr>
        <w:spacing w:line="360" w:lineRule="auto"/>
        <w:ind w:right="335"/>
        <w:jc w:val="both"/>
        <w:rPr>
          <w:rFonts w:ascii="Century Gothic" w:hAnsi="Century Gothic" w:cs="Arial"/>
          <w:lang w:val="es-MX"/>
        </w:rPr>
      </w:pPr>
      <w:r>
        <w:rPr>
          <w:rFonts w:ascii="Century Gothic" w:hAnsi="Century Gothic" w:cs="Arial"/>
          <w:b/>
          <w:lang w:val="es-MX"/>
        </w:rPr>
        <w:t xml:space="preserve">II.- </w:t>
      </w:r>
      <w:r w:rsidR="00A739FE">
        <w:rPr>
          <w:rFonts w:ascii="Century Gothic" w:hAnsi="Century Gothic" w:cs="Arial"/>
          <w:lang w:val="es-MX"/>
        </w:rPr>
        <w:t xml:space="preserve">La iniciativa refiere un contexto de violencia en contra de las mujeres que se ha vivido en México, dentro del cual, se desarrollan dos hechos que motivan su propuesta. </w:t>
      </w:r>
    </w:p>
    <w:p w14:paraId="338EC990" w14:textId="77777777" w:rsidR="00A739FE" w:rsidRDefault="00A739FE" w:rsidP="00B352DA">
      <w:pPr>
        <w:spacing w:line="360" w:lineRule="auto"/>
        <w:ind w:right="335"/>
        <w:jc w:val="both"/>
        <w:rPr>
          <w:rFonts w:ascii="Century Gothic" w:hAnsi="Century Gothic" w:cs="Arial"/>
          <w:lang w:val="es-MX"/>
        </w:rPr>
      </w:pPr>
    </w:p>
    <w:p w14:paraId="07D77734" w14:textId="77777777" w:rsidR="0099513F" w:rsidRDefault="00D539B9" w:rsidP="00A739FE">
      <w:pPr>
        <w:spacing w:line="360" w:lineRule="auto"/>
        <w:ind w:right="335"/>
        <w:jc w:val="both"/>
        <w:rPr>
          <w:rFonts w:ascii="Century Gothic" w:hAnsi="Century Gothic" w:cs="Arial"/>
        </w:rPr>
      </w:pPr>
      <w:r w:rsidRPr="00D539B9">
        <w:rPr>
          <w:rFonts w:ascii="Century Gothic" w:hAnsi="Century Gothic" w:cs="Arial"/>
          <w:b/>
          <w:lang w:val="es-MX"/>
        </w:rPr>
        <w:t>A.</w:t>
      </w:r>
      <w:r>
        <w:rPr>
          <w:rFonts w:ascii="Century Gothic" w:hAnsi="Century Gothic" w:cs="Arial"/>
          <w:lang w:val="es-MX"/>
        </w:rPr>
        <w:t xml:space="preserve"> </w:t>
      </w:r>
      <w:r w:rsidR="00A739FE">
        <w:rPr>
          <w:rFonts w:ascii="Century Gothic" w:hAnsi="Century Gothic" w:cs="Arial"/>
          <w:lang w:val="es-MX"/>
        </w:rPr>
        <w:t xml:space="preserve">El primero de ellos, es el caso de </w:t>
      </w:r>
      <w:r w:rsidR="00A739FE" w:rsidRPr="00A739FE">
        <w:rPr>
          <w:rFonts w:ascii="Century Gothic" w:hAnsi="Century Gothic" w:cs="Arial"/>
        </w:rPr>
        <w:t>Abril Cecilia Pérez Sagaón,</w:t>
      </w:r>
      <w:r w:rsidR="00A36F8A">
        <w:rPr>
          <w:rFonts w:ascii="Century Gothic" w:hAnsi="Century Gothic" w:cs="Arial"/>
        </w:rPr>
        <w:t xml:space="preserve"> la cual, fue golpeada con un bate de béisbol y tratado de degollar, ocasionándole una fractura en el cráneo que la dejó hospitalizada por una semana.</w:t>
      </w:r>
      <w:r w:rsidR="0099513F">
        <w:rPr>
          <w:rFonts w:ascii="Century Gothic" w:hAnsi="Century Gothic" w:cs="Arial"/>
        </w:rPr>
        <w:t xml:space="preserve"> </w:t>
      </w:r>
      <w:r w:rsidR="00A36F8A">
        <w:rPr>
          <w:rFonts w:ascii="Century Gothic" w:hAnsi="Century Gothic" w:cs="Arial"/>
        </w:rPr>
        <w:t>Señalando como responsable de estos hechos a</w:t>
      </w:r>
      <w:r w:rsidR="0099513F">
        <w:rPr>
          <w:rFonts w:ascii="Century Gothic" w:hAnsi="Century Gothic" w:cs="Arial"/>
        </w:rPr>
        <w:t xml:space="preserve"> su esposo Juan Carlos García.</w:t>
      </w:r>
    </w:p>
    <w:p w14:paraId="7004A9DB" w14:textId="77777777" w:rsidR="0099513F" w:rsidRDefault="0099513F" w:rsidP="00A739FE">
      <w:pPr>
        <w:spacing w:line="360" w:lineRule="auto"/>
        <w:ind w:right="335"/>
        <w:jc w:val="both"/>
        <w:rPr>
          <w:rFonts w:ascii="Century Gothic" w:hAnsi="Century Gothic" w:cs="Arial"/>
        </w:rPr>
      </w:pPr>
    </w:p>
    <w:p w14:paraId="7DF51796" w14:textId="77777777" w:rsidR="0099513F" w:rsidRDefault="0099513F" w:rsidP="00A739FE">
      <w:pPr>
        <w:spacing w:line="360" w:lineRule="auto"/>
        <w:ind w:right="335"/>
        <w:jc w:val="both"/>
        <w:rPr>
          <w:rFonts w:ascii="Century Gothic" w:hAnsi="Century Gothic" w:cs="Arial"/>
        </w:rPr>
      </w:pPr>
      <w:r>
        <w:rPr>
          <w:rFonts w:ascii="Century Gothic" w:hAnsi="Century Gothic" w:cs="Arial"/>
        </w:rPr>
        <w:lastRenderedPageBreak/>
        <w:t>Esta persona fue detenida, imputándole el delito por la intención de privarla de la vida, sin embargo, la autoridad jurisdiccional consideró que el bate no era un arma y que ella estaba dormida en el domicilio, por ende, determinó que no existía la tentativa, sino el delito de violencia intrafamiliar, de ahí que no ameritaba la cautelar de prisión preventiva, quedando en libertad el día 3 de noviembre de 2019.</w:t>
      </w:r>
    </w:p>
    <w:p w14:paraId="3E96DE63" w14:textId="77777777" w:rsidR="0099513F" w:rsidRDefault="0099513F" w:rsidP="00A739FE">
      <w:pPr>
        <w:spacing w:line="360" w:lineRule="auto"/>
        <w:ind w:right="335"/>
        <w:jc w:val="both"/>
        <w:rPr>
          <w:rFonts w:ascii="Century Gothic" w:hAnsi="Century Gothic" w:cs="Arial"/>
        </w:rPr>
      </w:pPr>
    </w:p>
    <w:p w14:paraId="3CDE5069" w14:textId="77777777" w:rsidR="00E42FA0" w:rsidRDefault="0099513F" w:rsidP="00A739FE">
      <w:pPr>
        <w:spacing w:line="360" w:lineRule="auto"/>
        <w:ind w:right="335"/>
        <w:jc w:val="both"/>
        <w:rPr>
          <w:rFonts w:ascii="Century Gothic" w:hAnsi="Century Gothic" w:cs="Arial"/>
        </w:rPr>
      </w:pPr>
      <w:r>
        <w:rPr>
          <w:rFonts w:ascii="Century Gothic" w:hAnsi="Century Gothic" w:cs="Arial"/>
        </w:rPr>
        <w:t xml:space="preserve">El 25 de noviembre de 2019, </w:t>
      </w:r>
      <w:proofErr w:type="gramStart"/>
      <w:r>
        <w:rPr>
          <w:rFonts w:ascii="Century Gothic" w:hAnsi="Century Gothic" w:cs="Arial"/>
        </w:rPr>
        <w:t>Abril</w:t>
      </w:r>
      <w:proofErr w:type="gramEnd"/>
      <w:r>
        <w:rPr>
          <w:rFonts w:ascii="Century Gothic" w:hAnsi="Century Gothic" w:cs="Arial"/>
        </w:rPr>
        <w:t xml:space="preserve"> es asesinada</w:t>
      </w:r>
      <w:r w:rsidR="00E42FA0">
        <w:rPr>
          <w:rFonts w:ascii="Century Gothic" w:hAnsi="Century Gothic" w:cs="Arial"/>
        </w:rPr>
        <w:t xml:space="preserve"> por dos motociclistas cuando iba</w:t>
      </w:r>
      <w:r>
        <w:rPr>
          <w:rFonts w:ascii="Century Gothic" w:hAnsi="Century Gothic" w:cs="Arial"/>
        </w:rPr>
        <w:t xml:space="preserve"> camino al aeropuerto</w:t>
      </w:r>
      <w:r w:rsidR="00E42FA0">
        <w:rPr>
          <w:rFonts w:ascii="Century Gothic" w:hAnsi="Century Gothic" w:cs="Arial"/>
        </w:rPr>
        <w:t xml:space="preserve"> acompañada de dos de sus hijos y su abogado, ya que momentos antes habían tenido una diligencia relacionada con la custodia de los niños, controversia dirimida con su ex esposo.</w:t>
      </w:r>
    </w:p>
    <w:p w14:paraId="37BF9AD2" w14:textId="77777777" w:rsidR="00D539B9" w:rsidRDefault="00D539B9" w:rsidP="00A739FE">
      <w:pPr>
        <w:spacing w:line="360" w:lineRule="auto"/>
        <w:ind w:right="335"/>
        <w:jc w:val="both"/>
        <w:rPr>
          <w:rFonts w:ascii="Century Gothic" w:hAnsi="Century Gothic" w:cs="Arial"/>
        </w:rPr>
      </w:pPr>
    </w:p>
    <w:p w14:paraId="4CA3397D" w14:textId="77777777" w:rsidR="00D539B9" w:rsidRDefault="00D539B9" w:rsidP="00A739FE">
      <w:pPr>
        <w:spacing w:line="360" w:lineRule="auto"/>
        <w:ind w:right="335"/>
        <w:jc w:val="both"/>
        <w:rPr>
          <w:rFonts w:ascii="Century Gothic" w:hAnsi="Century Gothic" w:cs="Arial"/>
        </w:rPr>
      </w:pPr>
      <w:r>
        <w:rPr>
          <w:rFonts w:ascii="Century Gothic" w:hAnsi="Century Gothic" w:cs="Arial"/>
        </w:rPr>
        <w:t xml:space="preserve">El ex esposo es el principal sospechoso del feminicidio, y se ha manifestado que al menos 5 personas estuvieron involucradas, de las cuales dos ya fueron detenidas y existe orden de aprehensión en contra de Juan Carlos García. </w:t>
      </w:r>
    </w:p>
    <w:p w14:paraId="2CE14A07" w14:textId="77777777" w:rsidR="00D539B9" w:rsidRDefault="00D539B9" w:rsidP="00A739FE">
      <w:pPr>
        <w:spacing w:line="360" w:lineRule="auto"/>
        <w:ind w:right="335"/>
        <w:jc w:val="both"/>
        <w:rPr>
          <w:rFonts w:ascii="Century Gothic" w:hAnsi="Century Gothic" w:cs="Arial"/>
        </w:rPr>
      </w:pPr>
    </w:p>
    <w:p w14:paraId="59E1AB4F" w14:textId="77777777" w:rsidR="00D539B9" w:rsidRDefault="00D539B9" w:rsidP="00A739FE">
      <w:pPr>
        <w:spacing w:line="360" w:lineRule="auto"/>
        <w:ind w:right="335"/>
        <w:jc w:val="both"/>
        <w:rPr>
          <w:rFonts w:ascii="Century Gothic" w:hAnsi="Century Gothic" w:cs="Arial"/>
        </w:rPr>
      </w:pPr>
      <w:r>
        <w:rPr>
          <w:rFonts w:ascii="Century Gothic" w:hAnsi="Century Gothic" w:cs="Arial"/>
        </w:rPr>
        <w:t>Los jueces involucrados en el asunto y que dejaran en libertad al imputado, fueron suspendidos y son investigados por la Fiscalía de la ciudad de México, así como por la autoridad administrativa jurisdiccional de dicha entidad.</w:t>
      </w:r>
      <w:r>
        <w:rPr>
          <w:rStyle w:val="Refdenotaalpie"/>
          <w:rFonts w:ascii="Century Gothic" w:hAnsi="Century Gothic" w:cs="Arial"/>
        </w:rPr>
        <w:footnoteReference w:id="5"/>
      </w:r>
      <w:r>
        <w:rPr>
          <w:rFonts w:ascii="Century Gothic" w:hAnsi="Century Gothic" w:cs="Arial"/>
        </w:rPr>
        <w:t xml:space="preserve"> </w:t>
      </w:r>
    </w:p>
    <w:p w14:paraId="4175DB74" w14:textId="77777777" w:rsidR="00D539B9" w:rsidRDefault="00D539B9" w:rsidP="00A739FE">
      <w:pPr>
        <w:spacing w:line="360" w:lineRule="auto"/>
        <w:ind w:right="335"/>
        <w:jc w:val="both"/>
        <w:rPr>
          <w:rFonts w:ascii="Century Gothic" w:hAnsi="Century Gothic" w:cs="Arial"/>
        </w:rPr>
      </w:pPr>
    </w:p>
    <w:p w14:paraId="6170BE3D" w14:textId="77777777" w:rsidR="007C2D7D" w:rsidRDefault="00D539B9" w:rsidP="00A739FE">
      <w:pPr>
        <w:spacing w:line="360" w:lineRule="auto"/>
        <w:ind w:right="335"/>
        <w:jc w:val="both"/>
        <w:rPr>
          <w:rFonts w:ascii="Century Gothic" w:hAnsi="Century Gothic" w:cs="Arial"/>
        </w:rPr>
      </w:pPr>
      <w:r w:rsidRPr="00D539B9">
        <w:rPr>
          <w:rFonts w:ascii="Century Gothic" w:hAnsi="Century Gothic" w:cs="Arial"/>
          <w:b/>
        </w:rPr>
        <w:t>B.</w:t>
      </w:r>
      <w:r>
        <w:rPr>
          <w:rFonts w:ascii="Century Gothic" w:hAnsi="Century Gothic" w:cs="Arial"/>
        </w:rPr>
        <w:t xml:space="preserve"> El segundo de los hechos, es el caso de</w:t>
      </w:r>
      <w:r w:rsidR="007C2D7D">
        <w:rPr>
          <w:rFonts w:ascii="Century Gothic" w:hAnsi="Century Gothic" w:cs="Arial"/>
        </w:rPr>
        <w:t xml:space="preserve"> Ingrid Escamilla, quien fuera asesinada a sus 25 años de edad. En tal suceso, se dio aviso a las autoridades </w:t>
      </w:r>
      <w:r w:rsidR="007C2D7D">
        <w:rPr>
          <w:rFonts w:ascii="Century Gothic" w:hAnsi="Century Gothic" w:cs="Arial"/>
        </w:rPr>
        <w:lastRenderedPageBreak/>
        <w:t xml:space="preserve">quienes al llegar detuvieron a su pareja, quien confesó haberla privado de la vida con un cuchillo y que tiró por el drenaje partes del cuerpo de la víctima. </w:t>
      </w:r>
    </w:p>
    <w:p w14:paraId="3D3F26D7" w14:textId="77777777" w:rsidR="007C2D7D" w:rsidRDefault="007C2D7D" w:rsidP="00A739FE">
      <w:pPr>
        <w:spacing w:line="360" w:lineRule="auto"/>
        <w:ind w:right="335"/>
        <w:jc w:val="both"/>
        <w:rPr>
          <w:rFonts w:ascii="Century Gothic" w:hAnsi="Century Gothic" w:cs="Arial"/>
        </w:rPr>
      </w:pPr>
    </w:p>
    <w:p w14:paraId="3AC1E989" w14:textId="77777777" w:rsidR="007C2D7D" w:rsidRDefault="007C2D7D" w:rsidP="00A739FE">
      <w:pPr>
        <w:spacing w:line="360" w:lineRule="auto"/>
        <w:ind w:right="335"/>
        <w:jc w:val="both"/>
        <w:rPr>
          <w:rFonts w:ascii="Century Gothic" w:hAnsi="Century Gothic" w:cs="Arial"/>
        </w:rPr>
      </w:pPr>
      <w:r>
        <w:rPr>
          <w:rFonts w:ascii="Century Gothic" w:hAnsi="Century Gothic" w:cs="Arial"/>
        </w:rPr>
        <w:t>Este feminicidio apareció en los tabloides de la prensa y en redes sociales, en donde se expuso fotos del cuerpo desmembrado de Ingrid; dicha circunstancia ha revictimizado a la víctima, su familia y personas cercanas.</w:t>
      </w:r>
    </w:p>
    <w:p w14:paraId="3C290808" w14:textId="77777777" w:rsidR="007C2D7D" w:rsidRDefault="007C2D7D" w:rsidP="00A739FE">
      <w:pPr>
        <w:spacing w:line="360" w:lineRule="auto"/>
        <w:ind w:right="335"/>
        <w:jc w:val="both"/>
        <w:rPr>
          <w:rFonts w:ascii="Century Gothic" w:hAnsi="Century Gothic" w:cs="Arial"/>
        </w:rPr>
      </w:pPr>
    </w:p>
    <w:p w14:paraId="0D25FDE4" w14:textId="77777777" w:rsidR="005D3CDB" w:rsidRDefault="007C2D7D" w:rsidP="00A739FE">
      <w:pPr>
        <w:spacing w:line="360" w:lineRule="auto"/>
        <w:ind w:right="335"/>
        <w:jc w:val="both"/>
        <w:rPr>
          <w:rFonts w:ascii="Century Gothic" w:hAnsi="Century Gothic" w:cs="Arial"/>
        </w:rPr>
      </w:pPr>
      <w:r>
        <w:rPr>
          <w:rFonts w:ascii="Century Gothic" w:hAnsi="Century Gothic" w:cs="Arial"/>
        </w:rPr>
        <w:t xml:space="preserve">Esta cosificación de la mujer, hace apología de la violencia, lo que contribuye </w:t>
      </w:r>
      <w:r w:rsidR="005D3CDB">
        <w:rPr>
          <w:rFonts w:ascii="Century Gothic" w:hAnsi="Century Gothic" w:cs="Arial"/>
        </w:rPr>
        <w:t xml:space="preserve">a hacer más difícil el acceso a las mujeres a una vida libre de violencia. </w:t>
      </w:r>
    </w:p>
    <w:p w14:paraId="0589C549" w14:textId="77777777" w:rsidR="005D3CDB" w:rsidRDefault="005D3CDB" w:rsidP="00A739FE">
      <w:pPr>
        <w:spacing w:line="360" w:lineRule="auto"/>
        <w:ind w:right="335"/>
        <w:jc w:val="both"/>
        <w:rPr>
          <w:rFonts w:ascii="Century Gothic" w:hAnsi="Century Gothic" w:cs="Arial"/>
        </w:rPr>
      </w:pPr>
    </w:p>
    <w:p w14:paraId="11623081" w14:textId="77777777" w:rsidR="005D3CDB" w:rsidRDefault="005D3CDB" w:rsidP="00A739FE">
      <w:pPr>
        <w:spacing w:line="360" w:lineRule="auto"/>
        <w:ind w:right="335"/>
        <w:jc w:val="both"/>
        <w:rPr>
          <w:rFonts w:ascii="Century Gothic" w:hAnsi="Century Gothic" w:cs="Arial"/>
        </w:rPr>
      </w:pPr>
      <w:r>
        <w:rPr>
          <w:rFonts w:ascii="Century Gothic" w:hAnsi="Century Gothic" w:cs="Arial"/>
        </w:rPr>
        <w:t>Por lo anterior, es decir, la filtración de dichas imágenes, es que se está investigando a policías y ministerios públicos, que podrían contraer responsabilidad penal o administrativa.</w:t>
      </w:r>
      <w:r>
        <w:rPr>
          <w:rStyle w:val="Refdenotaalpie"/>
          <w:rFonts w:ascii="Century Gothic" w:hAnsi="Century Gothic" w:cs="Arial"/>
        </w:rPr>
        <w:footnoteReference w:id="6"/>
      </w:r>
    </w:p>
    <w:p w14:paraId="7EEB7411" w14:textId="77777777" w:rsidR="005D3CDB" w:rsidRDefault="005D3CDB" w:rsidP="00A739FE">
      <w:pPr>
        <w:spacing w:line="360" w:lineRule="auto"/>
        <w:ind w:right="335"/>
        <w:jc w:val="both"/>
        <w:rPr>
          <w:rFonts w:ascii="Century Gothic" w:hAnsi="Century Gothic" w:cs="Arial"/>
        </w:rPr>
      </w:pPr>
    </w:p>
    <w:p w14:paraId="29D09AA7" w14:textId="77777777" w:rsidR="005047F1" w:rsidRDefault="005047F1" w:rsidP="00A739FE">
      <w:pPr>
        <w:spacing w:line="360" w:lineRule="auto"/>
        <w:ind w:right="335"/>
        <w:jc w:val="both"/>
        <w:rPr>
          <w:rFonts w:ascii="Century Gothic" w:hAnsi="Century Gothic" w:cs="Arial"/>
        </w:rPr>
      </w:pPr>
      <w:r w:rsidRPr="005047F1">
        <w:rPr>
          <w:rFonts w:ascii="Century Gothic" w:hAnsi="Century Gothic" w:cs="Arial"/>
          <w:b/>
        </w:rPr>
        <w:t>III.-</w:t>
      </w:r>
      <w:r>
        <w:rPr>
          <w:rFonts w:ascii="Century Gothic" w:hAnsi="Century Gothic" w:cs="Arial"/>
        </w:rPr>
        <w:t xml:space="preserve"> La iniciativa propone, para coadyuvar en la solución de la problemática expuesta en el punto anterior, varias adecuaciones a nuestro marco jurídico penal que podríamos englobar de la siguiente forma:</w:t>
      </w:r>
    </w:p>
    <w:p w14:paraId="42C9B07D" w14:textId="77777777" w:rsidR="005047F1" w:rsidRDefault="005047F1" w:rsidP="00A739FE">
      <w:pPr>
        <w:spacing w:line="360" w:lineRule="auto"/>
        <w:ind w:right="335"/>
        <w:jc w:val="both"/>
        <w:rPr>
          <w:rFonts w:ascii="Century Gothic" w:hAnsi="Century Gothic" w:cs="Arial"/>
        </w:rPr>
      </w:pPr>
    </w:p>
    <w:p w14:paraId="4E84919D" w14:textId="77777777" w:rsidR="005047F1" w:rsidRDefault="005047F1" w:rsidP="005047F1">
      <w:pPr>
        <w:spacing w:line="360" w:lineRule="auto"/>
        <w:ind w:left="851" w:right="899"/>
        <w:jc w:val="both"/>
        <w:rPr>
          <w:rFonts w:ascii="Century Gothic" w:hAnsi="Century Gothic" w:cs="Arial"/>
        </w:rPr>
      </w:pPr>
      <w:r w:rsidRPr="005047F1">
        <w:rPr>
          <w:rFonts w:ascii="Century Gothic" w:hAnsi="Century Gothic" w:cs="Arial"/>
        </w:rPr>
        <w:t>1. Sancionar a la autoridad que no imponga medidas de protección a la víctima cuando su integridad esté en peligro.</w:t>
      </w:r>
    </w:p>
    <w:p w14:paraId="4ED30495" w14:textId="77777777" w:rsidR="005047F1" w:rsidRPr="005047F1" w:rsidRDefault="005047F1" w:rsidP="005047F1">
      <w:pPr>
        <w:spacing w:line="360" w:lineRule="auto"/>
        <w:ind w:left="851" w:right="899"/>
        <w:jc w:val="both"/>
        <w:rPr>
          <w:rFonts w:ascii="Century Gothic" w:hAnsi="Century Gothic" w:cs="Arial"/>
        </w:rPr>
      </w:pPr>
    </w:p>
    <w:p w14:paraId="1063AC16" w14:textId="77777777" w:rsidR="005047F1" w:rsidRDefault="005047F1" w:rsidP="005047F1">
      <w:pPr>
        <w:spacing w:line="360" w:lineRule="auto"/>
        <w:ind w:left="851" w:right="899"/>
        <w:jc w:val="both"/>
        <w:rPr>
          <w:rFonts w:ascii="Century Gothic" w:hAnsi="Century Gothic" w:cs="Arial"/>
        </w:rPr>
      </w:pPr>
      <w:r w:rsidRPr="005047F1">
        <w:rPr>
          <w:rFonts w:ascii="Century Gothic" w:hAnsi="Century Gothic" w:cs="Arial"/>
        </w:rPr>
        <w:lastRenderedPageBreak/>
        <w:t xml:space="preserve">2. Sancionar a la autoridad que difunda imágenes o “información” de: a. cadáveres; b. circunstancias del hecho; o </w:t>
      </w:r>
      <w:r w:rsidRPr="005047F1">
        <w:rPr>
          <w:rFonts w:ascii="Century Gothic" w:hAnsi="Century Gothic" w:cs="Arial"/>
          <w:lang w:val="es-MX"/>
        </w:rPr>
        <w:t>de la muerte o de las lesiones que éstos presentan</w:t>
      </w:r>
      <w:r w:rsidRPr="005047F1">
        <w:rPr>
          <w:rFonts w:ascii="Century Gothic" w:hAnsi="Century Gothic" w:cs="Arial"/>
        </w:rPr>
        <w:t xml:space="preserve"> relacionadas con una investigación penal.</w:t>
      </w:r>
      <w:r>
        <w:rPr>
          <w:rFonts w:ascii="Century Gothic" w:hAnsi="Century Gothic" w:cs="Arial"/>
        </w:rPr>
        <w:t xml:space="preserve"> Y</w:t>
      </w:r>
    </w:p>
    <w:p w14:paraId="5ACD874E" w14:textId="77777777" w:rsidR="005047F1" w:rsidRPr="005047F1" w:rsidRDefault="005047F1" w:rsidP="005047F1">
      <w:pPr>
        <w:spacing w:line="360" w:lineRule="auto"/>
        <w:ind w:left="851" w:right="899"/>
        <w:jc w:val="both"/>
        <w:rPr>
          <w:rFonts w:ascii="Century Gothic" w:hAnsi="Century Gothic" w:cs="Arial"/>
        </w:rPr>
      </w:pPr>
    </w:p>
    <w:p w14:paraId="19CCA7D6" w14:textId="77777777" w:rsidR="005047F1" w:rsidRDefault="005047F1" w:rsidP="005047F1">
      <w:pPr>
        <w:spacing w:line="360" w:lineRule="auto"/>
        <w:ind w:left="851" w:right="899"/>
        <w:jc w:val="both"/>
        <w:rPr>
          <w:rFonts w:ascii="Century Gothic" w:hAnsi="Century Gothic" w:cs="Arial"/>
        </w:rPr>
      </w:pPr>
      <w:r w:rsidRPr="005047F1">
        <w:rPr>
          <w:rFonts w:ascii="Century Gothic" w:hAnsi="Century Gothic" w:cs="Arial"/>
        </w:rPr>
        <w:t>3. Sancionar a la autoridad que indebidamente no imponga medias cautelares contra el imputado, en protección de las víctimas o testigos.</w:t>
      </w:r>
    </w:p>
    <w:p w14:paraId="5B4F70D1" w14:textId="77777777" w:rsidR="005047F1" w:rsidRDefault="005047F1" w:rsidP="005047F1">
      <w:pPr>
        <w:spacing w:line="360" w:lineRule="auto"/>
        <w:ind w:right="335"/>
        <w:jc w:val="both"/>
        <w:rPr>
          <w:rFonts w:ascii="Century Gothic" w:hAnsi="Century Gothic" w:cs="Arial"/>
        </w:rPr>
      </w:pPr>
    </w:p>
    <w:p w14:paraId="11A7E4FC" w14:textId="77777777" w:rsidR="005047F1" w:rsidRDefault="005047F1" w:rsidP="005047F1">
      <w:pPr>
        <w:spacing w:line="360" w:lineRule="auto"/>
        <w:ind w:right="335"/>
        <w:jc w:val="both"/>
        <w:rPr>
          <w:rFonts w:ascii="Century Gothic" w:hAnsi="Century Gothic" w:cs="Arial"/>
        </w:rPr>
      </w:pPr>
      <w:r>
        <w:rPr>
          <w:rFonts w:ascii="Century Gothic" w:hAnsi="Century Gothic" w:cs="Arial"/>
          <w:lang w:val="es-MX"/>
        </w:rPr>
        <w:t>La propuesta de la iniciativa puede ser visualizada en el siguiente cuadro comparativo.</w:t>
      </w:r>
    </w:p>
    <w:p w14:paraId="71084FF7" w14:textId="77777777" w:rsidR="008D70F5" w:rsidRDefault="00FA1A9F" w:rsidP="00850EEA">
      <w:pPr>
        <w:spacing w:line="360" w:lineRule="auto"/>
        <w:ind w:right="335"/>
        <w:jc w:val="both"/>
        <w:rPr>
          <w:rFonts w:ascii="Century Gothic" w:hAnsi="Century Gothic" w:cs="Arial"/>
        </w:rPr>
      </w:pPr>
      <w:r>
        <w:rPr>
          <w:rFonts w:ascii="Century Gothic" w:hAnsi="Century Gothic"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FA1A9F" w:rsidRPr="00FA1A9F" w14:paraId="3A5C2F5F" w14:textId="77777777" w:rsidTr="006950C0">
        <w:tc>
          <w:tcPr>
            <w:tcW w:w="8828" w:type="dxa"/>
            <w:gridSpan w:val="2"/>
            <w:shd w:val="clear" w:color="auto" w:fill="BFBFBF" w:themeFill="background1" w:themeFillShade="BF"/>
          </w:tcPr>
          <w:p w14:paraId="66F0AE50" w14:textId="77777777" w:rsidR="00FA1A9F" w:rsidRPr="00FA1A9F" w:rsidRDefault="00FA1A9F" w:rsidP="00FA1A9F">
            <w:pPr>
              <w:spacing w:line="360" w:lineRule="auto"/>
              <w:ind w:right="335"/>
              <w:jc w:val="center"/>
              <w:rPr>
                <w:rFonts w:ascii="Century Gothic" w:hAnsi="Century Gothic" w:cs="Arial"/>
                <w:b/>
                <w:lang w:val="es-MX"/>
              </w:rPr>
            </w:pPr>
            <w:r w:rsidRPr="00FA1A9F">
              <w:rPr>
                <w:rFonts w:ascii="Century Gothic" w:hAnsi="Century Gothic" w:cs="Arial"/>
                <w:b/>
                <w:lang w:val="es-MX"/>
              </w:rPr>
              <w:t>Código Penal</w:t>
            </w:r>
          </w:p>
        </w:tc>
      </w:tr>
      <w:tr w:rsidR="00FA1A9F" w:rsidRPr="00FA1A9F" w14:paraId="47931176" w14:textId="77777777" w:rsidTr="006950C0">
        <w:tc>
          <w:tcPr>
            <w:tcW w:w="4414" w:type="dxa"/>
            <w:shd w:val="clear" w:color="auto" w:fill="BFBFBF" w:themeFill="background1" w:themeFillShade="BF"/>
          </w:tcPr>
          <w:p w14:paraId="7D921019" w14:textId="77777777" w:rsidR="00FA1A9F" w:rsidRPr="00FA1A9F" w:rsidRDefault="00FA1A9F" w:rsidP="00FA1A9F">
            <w:pPr>
              <w:spacing w:line="360" w:lineRule="auto"/>
              <w:ind w:right="335"/>
              <w:jc w:val="both"/>
              <w:rPr>
                <w:rFonts w:ascii="Century Gothic" w:hAnsi="Century Gothic" w:cs="Arial"/>
                <w:lang w:val="es-MX"/>
              </w:rPr>
            </w:pPr>
            <w:r w:rsidRPr="00FA1A9F">
              <w:rPr>
                <w:rFonts w:ascii="Century Gothic" w:hAnsi="Century Gothic" w:cs="Arial"/>
                <w:lang w:val="es-MX"/>
              </w:rPr>
              <w:t xml:space="preserve">Vigente </w:t>
            </w:r>
          </w:p>
        </w:tc>
        <w:tc>
          <w:tcPr>
            <w:tcW w:w="4414" w:type="dxa"/>
            <w:shd w:val="clear" w:color="auto" w:fill="BFBFBF" w:themeFill="background1" w:themeFillShade="BF"/>
          </w:tcPr>
          <w:p w14:paraId="67807EF3" w14:textId="77777777" w:rsidR="00FA1A9F" w:rsidRPr="00AC1857" w:rsidRDefault="00FA1A9F" w:rsidP="00FA1A9F">
            <w:pPr>
              <w:spacing w:line="360" w:lineRule="auto"/>
              <w:ind w:right="335"/>
              <w:jc w:val="both"/>
              <w:rPr>
                <w:rFonts w:ascii="Century Gothic" w:hAnsi="Century Gothic" w:cs="Arial"/>
                <w:lang w:val="es-MX"/>
              </w:rPr>
            </w:pPr>
            <w:r w:rsidRPr="00AC1857">
              <w:rPr>
                <w:rFonts w:ascii="Century Gothic" w:hAnsi="Century Gothic" w:cs="Arial"/>
                <w:lang w:val="es-MX"/>
              </w:rPr>
              <w:t xml:space="preserve">Propuesta </w:t>
            </w:r>
          </w:p>
        </w:tc>
      </w:tr>
      <w:tr w:rsidR="00FA1A9F" w:rsidRPr="00FA1A9F" w14:paraId="2AF536E0" w14:textId="77777777" w:rsidTr="006950C0">
        <w:tc>
          <w:tcPr>
            <w:tcW w:w="4414" w:type="dxa"/>
            <w:shd w:val="clear" w:color="auto" w:fill="auto"/>
          </w:tcPr>
          <w:p w14:paraId="7011A5E5" w14:textId="77777777" w:rsidR="00AC1857" w:rsidRDefault="00AC1857" w:rsidP="00FA1A9F">
            <w:pPr>
              <w:spacing w:line="360" w:lineRule="auto"/>
              <w:ind w:right="335"/>
              <w:jc w:val="both"/>
              <w:rPr>
                <w:rFonts w:ascii="Century Gothic" w:hAnsi="Century Gothic" w:cs="Arial"/>
              </w:rPr>
            </w:pPr>
            <w:r>
              <w:rPr>
                <w:rFonts w:ascii="Century Gothic" w:hAnsi="Century Gothic" w:cs="Arial"/>
              </w:rPr>
              <w:t>Artículo 288.</w:t>
            </w:r>
          </w:p>
          <w:p w14:paraId="70162DB6" w14:textId="77777777" w:rsidR="00FA1A9F" w:rsidRDefault="00AC1857" w:rsidP="00FA1A9F">
            <w:pPr>
              <w:spacing w:line="360" w:lineRule="auto"/>
              <w:ind w:right="335"/>
              <w:jc w:val="both"/>
              <w:rPr>
                <w:rFonts w:ascii="Century Gothic" w:hAnsi="Century Gothic" w:cs="Arial"/>
              </w:rPr>
            </w:pPr>
            <w:r w:rsidRPr="00AC1857">
              <w:rPr>
                <w:rFonts w:ascii="Century Gothic" w:hAnsi="Century Gothic" w:cs="Arial"/>
              </w:rPr>
              <w:t>Se impondrán de dos a ocho años de prisión y de cien a cuatrocientos días multa, al servidor público que:</w:t>
            </w:r>
          </w:p>
          <w:p w14:paraId="1DE49222" w14:textId="77777777" w:rsidR="00AC1857" w:rsidRDefault="00AC1857" w:rsidP="00FA1A9F">
            <w:pPr>
              <w:spacing w:line="360" w:lineRule="auto"/>
              <w:ind w:right="335"/>
              <w:jc w:val="both"/>
              <w:rPr>
                <w:rFonts w:ascii="Century Gothic" w:hAnsi="Century Gothic" w:cs="Arial"/>
              </w:rPr>
            </w:pPr>
          </w:p>
          <w:p w14:paraId="64C6F54C" w14:textId="77777777" w:rsidR="00AC1857" w:rsidRDefault="00AC1857" w:rsidP="00FA1A9F">
            <w:pPr>
              <w:spacing w:line="360" w:lineRule="auto"/>
              <w:ind w:right="335"/>
              <w:jc w:val="both"/>
              <w:rPr>
                <w:rFonts w:ascii="Century Gothic" w:hAnsi="Century Gothic" w:cs="Arial"/>
              </w:rPr>
            </w:pPr>
            <w:r>
              <w:rPr>
                <w:rFonts w:ascii="Century Gothic" w:hAnsi="Century Gothic" w:cs="Arial"/>
              </w:rPr>
              <w:t xml:space="preserve">I. a IX. … </w:t>
            </w:r>
          </w:p>
          <w:p w14:paraId="3FBD415F" w14:textId="77777777" w:rsidR="00AC1857" w:rsidRDefault="00AC1857" w:rsidP="00FA1A9F">
            <w:pPr>
              <w:spacing w:line="360" w:lineRule="auto"/>
              <w:ind w:right="335"/>
              <w:jc w:val="both"/>
              <w:rPr>
                <w:rFonts w:ascii="Century Gothic" w:hAnsi="Century Gothic" w:cs="Arial"/>
              </w:rPr>
            </w:pPr>
          </w:p>
          <w:p w14:paraId="5A81AE67" w14:textId="77777777" w:rsidR="00AC1857" w:rsidRDefault="00AC1857" w:rsidP="00FA1A9F">
            <w:pPr>
              <w:spacing w:line="360" w:lineRule="auto"/>
              <w:ind w:right="335"/>
              <w:jc w:val="both"/>
              <w:rPr>
                <w:rFonts w:ascii="Century Gothic" w:hAnsi="Century Gothic" w:cs="Arial"/>
              </w:rPr>
            </w:pPr>
            <w:r>
              <w:rPr>
                <w:rFonts w:ascii="Century Gothic" w:hAnsi="Century Gothic" w:cs="Arial"/>
              </w:rPr>
              <w:t>(Sin correlativo)</w:t>
            </w:r>
          </w:p>
          <w:p w14:paraId="3C0C9DE7" w14:textId="77777777" w:rsidR="00AC1857" w:rsidRPr="00FA1A9F" w:rsidRDefault="00AC1857" w:rsidP="00FA1A9F">
            <w:pPr>
              <w:spacing w:line="360" w:lineRule="auto"/>
              <w:ind w:right="335"/>
              <w:jc w:val="both"/>
              <w:rPr>
                <w:rFonts w:ascii="Century Gothic" w:hAnsi="Century Gothic" w:cs="Arial"/>
                <w:lang w:val="es-MX"/>
              </w:rPr>
            </w:pPr>
          </w:p>
          <w:p w14:paraId="4B1283C1" w14:textId="77777777" w:rsidR="00FA1A9F" w:rsidRPr="00FA1A9F" w:rsidRDefault="00FA1A9F" w:rsidP="00FA1A9F">
            <w:pPr>
              <w:spacing w:line="360" w:lineRule="auto"/>
              <w:ind w:right="335"/>
              <w:jc w:val="both"/>
              <w:rPr>
                <w:rFonts w:ascii="Century Gothic" w:hAnsi="Century Gothic" w:cs="Arial"/>
                <w:lang w:val="es-MX"/>
              </w:rPr>
            </w:pPr>
          </w:p>
        </w:tc>
        <w:tc>
          <w:tcPr>
            <w:tcW w:w="4414" w:type="dxa"/>
            <w:shd w:val="clear" w:color="auto" w:fill="auto"/>
          </w:tcPr>
          <w:p w14:paraId="20555EFA" w14:textId="77777777" w:rsidR="00AC1857" w:rsidRPr="00AC1857" w:rsidRDefault="00AC1857" w:rsidP="00AC1857">
            <w:pPr>
              <w:spacing w:line="360" w:lineRule="auto"/>
              <w:ind w:right="335"/>
              <w:jc w:val="both"/>
              <w:rPr>
                <w:rFonts w:ascii="Century Gothic" w:hAnsi="Century Gothic" w:cs="Arial"/>
                <w:bCs/>
              </w:rPr>
            </w:pPr>
            <w:r w:rsidRPr="00AC1857">
              <w:rPr>
                <w:rFonts w:ascii="Century Gothic" w:hAnsi="Century Gothic" w:cs="Arial"/>
                <w:bCs/>
              </w:rPr>
              <w:lastRenderedPageBreak/>
              <w:t>Artículo 288.</w:t>
            </w:r>
          </w:p>
          <w:p w14:paraId="06296AD3" w14:textId="77777777" w:rsidR="00AC1857" w:rsidRDefault="00AC1857" w:rsidP="00AC1857">
            <w:pPr>
              <w:spacing w:line="360" w:lineRule="auto"/>
              <w:ind w:right="335"/>
              <w:jc w:val="both"/>
              <w:rPr>
                <w:rFonts w:ascii="Century Gothic" w:hAnsi="Century Gothic" w:cs="Arial"/>
                <w:bCs/>
              </w:rPr>
            </w:pPr>
            <w:r>
              <w:rPr>
                <w:rFonts w:ascii="Century Gothic" w:hAnsi="Century Gothic" w:cs="Arial"/>
                <w:bCs/>
              </w:rPr>
              <w:t>…</w:t>
            </w:r>
          </w:p>
          <w:p w14:paraId="7DF3D77F" w14:textId="77777777" w:rsidR="00AC1857" w:rsidRDefault="00AC1857" w:rsidP="00AC1857">
            <w:pPr>
              <w:spacing w:line="360" w:lineRule="auto"/>
              <w:ind w:right="335"/>
              <w:jc w:val="both"/>
              <w:rPr>
                <w:rFonts w:ascii="Century Gothic" w:hAnsi="Century Gothic" w:cs="Arial"/>
                <w:bCs/>
              </w:rPr>
            </w:pPr>
          </w:p>
          <w:p w14:paraId="0E9F21D8" w14:textId="77777777" w:rsidR="00AC1857" w:rsidRDefault="00AC1857" w:rsidP="00AC1857">
            <w:pPr>
              <w:spacing w:line="360" w:lineRule="auto"/>
              <w:ind w:right="335"/>
              <w:jc w:val="both"/>
              <w:rPr>
                <w:rFonts w:ascii="Century Gothic" w:hAnsi="Century Gothic" w:cs="Arial"/>
                <w:bCs/>
              </w:rPr>
            </w:pPr>
          </w:p>
          <w:p w14:paraId="09E214F1" w14:textId="77777777" w:rsidR="00AC1857" w:rsidRDefault="00AC1857" w:rsidP="00AC1857">
            <w:pPr>
              <w:spacing w:line="360" w:lineRule="auto"/>
              <w:ind w:right="335"/>
              <w:jc w:val="both"/>
              <w:rPr>
                <w:rFonts w:ascii="Century Gothic" w:hAnsi="Century Gothic" w:cs="Arial"/>
                <w:bCs/>
              </w:rPr>
            </w:pPr>
          </w:p>
          <w:p w14:paraId="414A213D" w14:textId="77777777" w:rsidR="00AC1857" w:rsidRDefault="00AC1857" w:rsidP="00AC1857">
            <w:pPr>
              <w:spacing w:line="360" w:lineRule="auto"/>
              <w:ind w:right="335"/>
              <w:jc w:val="both"/>
              <w:rPr>
                <w:rFonts w:ascii="Century Gothic" w:hAnsi="Century Gothic" w:cs="Arial"/>
                <w:bCs/>
              </w:rPr>
            </w:pPr>
          </w:p>
          <w:p w14:paraId="53EA0A22" w14:textId="77777777" w:rsidR="00AC1857" w:rsidRPr="00AC1857" w:rsidRDefault="00AC1857" w:rsidP="00AC1857">
            <w:pPr>
              <w:spacing w:line="360" w:lineRule="auto"/>
              <w:ind w:right="335"/>
              <w:jc w:val="both"/>
              <w:rPr>
                <w:rFonts w:ascii="Century Gothic" w:hAnsi="Century Gothic" w:cs="Arial"/>
                <w:bCs/>
              </w:rPr>
            </w:pPr>
            <w:r>
              <w:rPr>
                <w:rFonts w:ascii="Century Gothic" w:hAnsi="Century Gothic" w:cs="Arial"/>
                <w:bCs/>
              </w:rPr>
              <w:t>…</w:t>
            </w:r>
          </w:p>
          <w:p w14:paraId="5493A68C" w14:textId="77777777" w:rsidR="00FA1A9F" w:rsidRPr="00FA1A9F" w:rsidRDefault="00FA1A9F" w:rsidP="00FA1A9F">
            <w:pPr>
              <w:spacing w:line="360" w:lineRule="auto"/>
              <w:ind w:right="335"/>
              <w:jc w:val="both"/>
              <w:rPr>
                <w:rFonts w:ascii="Century Gothic" w:hAnsi="Century Gothic" w:cs="Arial"/>
                <w:bCs/>
                <w:lang w:val="es-MX"/>
              </w:rPr>
            </w:pPr>
          </w:p>
          <w:p w14:paraId="3F692DCA" w14:textId="77777777" w:rsidR="00AC1857" w:rsidRDefault="00AC1857" w:rsidP="00AC1857">
            <w:pPr>
              <w:spacing w:line="360" w:lineRule="auto"/>
              <w:ind w:right="335"/>
              <w:jc w:val="both"/>
              <w:rPr>
                <w:rFonts w:ascii="Century Gothic" w:hAnsi="Century Gothic" w:cs="Arial"/>
                <w:b/>
                <w:lang w:val="es-MX"/>
              </w:rPr>
            </w:pPr>
            <w:r w:rsidRPr="00AC1857">
              <w:rPr>
                <w:rFonts w:ascii="Century Gothic" w:hAnsi="Century Gothic" w:cs="Arial"/>
                <w:b/>
                <w:lang w:val="es-MX"/>
              </w:rPr>
              <w:t xml:space="preserve">X. Indebidamente se abstenga de solicitar medidas de </w:t>
            </w:r>
            <w:r w:rsidRPr="00AC1857">
              <w:rPr>
                <w:rFonts w:ascii="Century Gothic" w:hAnsi="Century Gothic" w:cs="Arial"/>
                <w:b/>
                <w:lang w:val="es-MX"/>
              </w:rPr>
              <w:lastRenderedPageBreak/>
              <w:t>protección a favor de la víctima o testigos, cuando la carpeta de investigación se encuentre integrada por delitos que pongan en peligro la vida y la integridad corporal de las personas.</w:t>
            </w:r>
          </w:p>
          <w:p w14:paraId="410E6B8F" w14:textId="77777777" w:rsidR="00AC1857" w:rsidRPr="00AC1857" w:rsidRDefault="00AC1857" w:rsidP="00AC1857">
            <w:pPr>
              <w:spacing w:line="360" w:lineRule="auto"/>
              <w:ind w:right="335"/>
              <w:jc w:val="both"/>
              <w:rPr>
                <w:rFonts w:ascii="Century Gothic" w:hAnsi="Century Gothic" w:cs="Arial"/>
                <w:b/>
                <w:lang w:val="es-MX"/>
              </w:rPr>
            </w:pPr>
          </w:p>
          <w:p w14:paraId="61412A3C" w14:textId="77777777" w:rsidR="00AC1857" w:rsidRPr="00AC1857" w:rsidRDefault="00AC1857" w:rsidP="00AC1857">
            <w:pPr>
              <w:spacing w:line="360" w:lineRule="auto"/>
              <w:ind w:right="335"/>
              <w:jc w:val="both"/>
              <w:rPr>
                <w:rFonts w:ascii="Century Gothic" w:hAnsi="Century Gothic" w:cs="Arial"/>
                <w:b/>
                <w:lang w:val="es-MX"/>
              </w:rPr>
            </w:pPr>
            <w:r w:rsidRPr="00AC1857">
              <w:rPr>
                <w:rFonts w:ascii="Century Gothic" w:hAnsi="Century Gothic" w:cs="Arial"/>
                <w:b/>
                <w:lang w:val="es-MX"/>
              </w:rPr>
              <w:t xml:space="preserve">XI. Por cualquier medio y fuera de los supuestos autorizados por la Ley, </w:t>
            </w:r>
            <w:proofErr w:type="spellStart"/>
            <w:r w:rsidRPr="00AC1857">
              <w:rPr>
                <w:rFonts w:ascii="Century Gothic" w:hAnsi="Century Gothic" w:cs="Arial"/>
                <w:b/>
                <w:lang w:val="es-MX"/>
              </w:rPr>
              <w:t>audiograbe</w:t>
            </w:r>
            <w:proofErr w:type="spellEnd"/>
            <w:r w:rsidRPr="00AC1857">
              <w:rPr>
                <w:rFonts w:ascii="Century Gothic" w:hAnsi="Century Gothic" w:cs="Arial"/>
                <w:b/>
                <w:lang w:val="es-MX"/>
              </w:rPr>
              <w:t>, comercialice, comparta, difunda, distribuya, entregue, exponga, envíe, filme, fotografíe, intercambie, oferte, publique, remita, reproduzca, revele, transmita o videograbe, imágenes, audios, videos o documentos de cadáveres o parte de ellos que se encuentren relacionados con una investigación penal, de las circunstancias de la muerte o de las lesiones que éstos presentan.</w:t>
            </w:r>
          </w:p>
          <w:p w14:paraId="1BFE1F1C" w14:textId="77777777" w:rsidR="00AC1857" w:rsidRDefault="00AC1857" w:rsidP="00AC1857">
            <w:pPr>
              <w:spacing w:line="360" w:lineRule="auto"/>
              <w:ind w:right="335"/>
              <w:jc w:val="both"/>
              <w:rPr>
                <w:rFonts w:ascii="Century Gothic" w:hAnsi="Century Gothic" w:cs="Arial"/>
                <w:b/>
                <w:lang w:val="es-MX"/>
              </w:rPr>
            </w:pPr>
          </w:p>
          <w:p w14:paraId="7EFC2A71" w14:textId="77777777" w:rsidR="00FA1A9F" w:rsidRPr="00FA1A9F" w:rsidRDefault="00AC1857" w:rsidP="00AC1857">
            <w:pPr>
              <w:spacing w:line="360" w:lineRule="auto"/>
              <w:ind w:right="335"/>
              <w:jc w:val="both"/>
              <w:rPr>
                <w:rFonts w:ascii="Century Gothic" w:hAnsi="Century Gothic" w:cs="Arial"/>
                <w:lang w:val="es-MX"/>
              </w:rPr>
            </w:pPr>
            <w:r w:rsidRPr="00AC1857">
              <w:rPr>
                <w:rFonts w:ascii="Century Gothic" w:hAnsi="Century Gothic" w:cs="Arial"/>
                <w:b/>
                <w:lang w:val="es-MX"/>
              </w:rPr>
              <w:lastRenderedPageBreak/>
              <w:t>Tratándose de imágenes, audios o videos de cadáveres de mujeres, niñas o adolescentes, de las circunstancias de su muerte, de las lesiones o estado de salud, las penas previstas para la conducta descrita en la fracción XI se incrementarán hasta en una mitad.</w:t>
            </w:r>
          </w:p>
        </w:tc>
      </w:tr>
      <w:tr w:rsidR="00FA1A9F" w:rsidRPr="00FA1A9F" w14:paraId="3F40FE88" w14:textId="77777777" w:rsidTr="006950C0">
        <w:tc>
          <w:tcPr>
            <w:tcW w:w="4414" w:type="dxa"/>
            <w:shd w:val="clear" w:color="auto" w:fill="auto"/>
          </w:tcPr>
          <w:p w14:paraId="1C46F2BD" w14:textId="77777777" w:rsidR="00AC1857" w:rsidRDefault="00AC1857" w:rsidP="00AC1857">
            <w:pPr>
              <w:spacing w:line="360" w:lineRule="auto"/>
              <w:ind w:right="335"/>
              <w:jc w:val="both"/>
              <w:rPr>
                <w:rFonts w:ascii="Century Gothic" w:hAnsi="Century Gothic" w:cs="Arial"/>
              </w:rPr>
            </w:pPr>
            <w:r w:rsidRPr="00AC1857">
              <w:rPr>
                <w:rFonts w:ascii="Century Gothic" w:hAnsi="Century Gothic" w:cs="Arial"/>
              </w:rPr>
              <w:lastRenderedPageBreak/>
              <w:t xml:space="preserve">Artículo 293. </w:t>
            </w:r>
          </w:p>
          <w:p w14:paraId="68DAFB73" w14:textId="77777777" w:rsidR="00FA1A9F" w:rsidRDefault="00AC1857" w:rsidP="00AC1857">
            <w:pPr>
              <w:spacing w:line="360" w:lineRule="auto"/>
              <w:ind w:right="335"/>
              <w:jc w:val="both"/>
              <w:rPr>
                <w:rFonts w:ascii="Century Gothic" w:hAnsi="Century Gothic" w:cs="Arial"/>
              </w:rPr>
            </w:pPr>
            <w:r w:rsidRPr="00AC1857">
              <w:rPr>
                <w:rFonts w:ascii="Century Gothic" w:hAnsi="Century Gothic" w:cs="Arial"/>
              </w:rPr>
              <w:t>Se impondrán de dos a ocho años de prisión y de cincuenta a trescientos días multa, al servidor público que:</w:t>
            </w:r>
          </w:p>
          <w:p w14:paraId="33ED4CDC" w14:textId="77777777" w:rsidR="00AC1857" w:rsidRDefault="00AC1857" w:rsidP="00AC1857">
            <w:pPr>
              <w:spacing w:line="360" w:lineRule="auto"/>
              <w:ind w:right="335"/>
              <w:jc w:val="both"/>
              <w:rPr>
                <w:rFonts w:ascii="Century Gothic" w:hAnsi="Century Gothic" w:cs="Arial"/>
              </w:rPr>
            </w:pPr>
          </w:p>
          <w:p w14:paraId="31AA64D8" w14:textId="77777777" w:rsidR="00AC1857" w:rsidRDefault="00AC1857" w:rsidP="00AC1857">
            <w:pPr>
              <w:spacing w:line="360" w:lineRule="auto"/>
              <w:ind w:right="335"/>
              <w:jc w:val="both"/>
              <w:rPr>
                <w:rFonts w:ascii="Century Gothic" w:hAnsi="Century Gothic" w:cs="Arial"/>
              </w:rPr>
            </w:pPr>
            <w:r>
              <w:rPr>
                <w:rFonts w:ascii="Century Gothic" w:hAnsi="Century Gothic" w:cs="Arial"/>
              </w:rPr>
              <w:t xml:space="preserve">I. a VIII. … </w:t>
            </w:r>
          </w:p>
          <w:p w14:paraId="70EB92E6" w14:textId="77777777" w:rsidR="00AC1857" w:rsidRDefault="00AC1857" w:rsidP="00AC1857">
            <w:pPr>
              <w:spacing w:line="360" w:lineRule="auto"/>
              <w:ind w:right="335"/>
              <w:jc w:val="both"/>
              <w:rPr>
                <w:rFonts w:ascii="Century Gothic" w:hAnsi="Century Gothic" w:cs="Arial"/>
              </w:rPr>
            </w:pPr>
          </w:p>
          <w:p w14:paraId="186F78FE" w14:textId="77777777" w:rsidR="00AC1857" w:rsidRPr="00FA1A9F" w:rsidRDefault="00AC1857" w:rsidP="00AC1857">
            <w:pPr>
              <w:spacing w:line="360" w:lineRule="auto"/>
              <w:ind w:right="335"/>
              <w:jc w:val="both"/>
              <w:rPr>
                <w:rFonts w:ascii="Century Gothic" w:hAnsi="Century Gothic" w:cs="Arial"/>
                <w:lang w:val="es-MX"/>
              </w:rPr>
            </w:pPr>
            <w:r>
              <w:rPr>
                <w:rFonts w:ascii="Century Gothic" w:hAnsi="Century Gothic" w:cs="Arial"/>
              </w:rPr>
              <w:t>(Sin correlativo)</w:t>
            </w:r>
          </w:p>
        </w:tc>
        <w:tc>
          <w:tcPr>
            <w:tcW w:w="4414" w:type="dxa"/>
            <w:shd w:val="clear" w:color="auto" w:fill="auto"/>
          </w:tcPr>
          <w:p w14:paraId="0781706F" w14:textId="77777777" w:rsidR="00AC1857" w:rsidRPr="00AC1857" w:rsidRDefault="00AC1857" w:rsidP="00AC1857">
            <w:pPr>
              <w:spacing w:line="360" w:lineRule="auto"/>
              <w:ind w:right="335"/>
              <w:jc w:val="both"/>
              <w:rPr>
                <w:rFonts w:ascii="Century Gothic" w:hAnsi="Century Gothic" w:cs="Arial"/>
                <w:bCs/>
                <w:iCs/>
              </w:rPr>
            </w:pPr>
            <w:r w:rsidRPr="00AC1857">
              <w:rPr>
                <w:rFonts w:ascii="Century Gothic" w:hAnsi="Century Gothic" w:cs="Arial"/>
                <w:bCs/>
                <w:iCs/>
              </w:rPr>
              <w:t xml:space="preserve">Artículo 293. </w:t>
            </w:r>
          </w:p>
          <w:p w14:paraId="0BC302BB" w14:textId="77777777" w:rsidR="00AC1857" w:rsidRPr="00AC1857" w:rsidRDefault="00AC1857" w:rsidP="00AC1857">
            <w:pPr>
              <w:spacing w:line="360" w:lineRule="auto"/>
              <w:ind w:right="335"/>
              <w:jc w:val="both"/>
              <w:rPr>
                <w:rFonts w:ascii="Century Gothic" w:hAnsi="Century Gothic" w:cs="Arial"/>
                <w:bCs/>
                <w:iCs/>
              </w:rPr>
            </w:pPr>
            <w:r>
              <w:rPr>
                <w:rFonts w:ascii="Century Gothic" w:hAnsi="Century Gothic" w:cs="Arial"/>
                <w:bCs/>
                <w:iCs/>
              </w:rPr>
              <w:t>…</w:t>
            </w:r>
          </w:p>
          <w:p w14:paraId="534C8072" w14:textId="77777777" w:rsidR="00AC1857" w:rsidRDefault="00AC1857" w:rsidP="00AC1857">
            <w:pPr>
              <w:spacing w:line="360" w:lineRule="auto"/>
              <w:ind w:right="335"/>
              <w:jc w:val="both"/>
              <w:rPr>
                <w:rFonts w:ascii="Century Gothic" w:hAnsi="Century Gothic" w:cs="Arial"/>
                <w:b/>
                <w:bCs/>
                <w:iCs/>
                <w:lang w:val="es-MX"/>
              </w:rPr>
            </w:pPr>
          </w:p>
          <w:p w14:paraId="38E87E50" w14:textId="77777777" w:rsidR="00AC1857" w:rsidRDefault="00AC1857" w:rsidP="00AC1857">
            <w:pPr>
              <w:spacing w:line="360" w:lineRule="auto"/>
              <w:ind w:right="335"/>
              <w:jc w:val="both"/>
              <w:rPr>
                <w:rFonts w:ascii="Century Gothic" w:hAnsi="Century Gothic" w:cs="Arial"/>
                <w:b/>
                <w:bCs/>
                <w:iCs/>
                <w:lang w:val="es-MX"/>
              </w:rPr>
            </w:pPr>
          </w:p>
          <w:p w14:paraId="4A42A84A" w14:textId="77777777" w:rsidR="00AC1857" w:rsidRDefault="00AC1857" w:rsidP="00AC1857">
            <w:pPr>
              <w:spacing w:line="360" w:lineRule="auto"/>
              <w:ind w:right="335"/>
              <w:jc w:val="both"/>
              <w:rPr>
                <w:rFonts w:ascii="Century Gothic" w:hAnsi="Century Gothic" w:cs="Arial"/>
                <w:b/>
                <w:bCs/>
                <w:iCs/>
                <w:lang w:val="es-MX"/>
              </w:rPr>
            </w:pPr>
          </w:p>
          <w:p w14:paraId="7A3F07EE" w14:textId="77777777" w:rsidR="00AC1857" w:rsidRDefault="00AC1857" w:rsidP="00AC1857">
            <w:pPr>
              <w:spacing w:line="360" w:lineRule="auto"/>
              <w:ind w:right="335"/>
              <w:jc w:val="both"/>
              <w:rPr>
                <w:rFonts w:ascii="Century Gothic" w:hAnsi="Century Gothic" w:cs="Arial"/>
                <w:b/>
                <w:bCs/>
                <w:iCs/>
                <w:lang w:val="es-MX"/>
              </w:rPr>
            </w:pPr>
          </w:p>
          <w:p w14:paraId="5F2028A0" w14:textId="77777777" w:rsidR="00AC1857" w:rsidRDefault="00AC1857" w:rsidP="00AC1857">
            <w:pPr>
              <w:spacing w:line="360" w:lineRule="auto"/>
              <w:ind w:right="335"/>
              <w:jc w:val="both"/>
              <w:rPr>
                <w:rFonts w:ascii="Century Gothic" w:hAnsi="Century Gothic" w:cs="Arial"/>
                <w:b/>
                <w:bCs/>
                <w:iCs/>
                <w:lang w:val="es-MX"/>
              </w:rPr>
            </w:pPr>
            <w:r>
              <w:rPr>
                <w:rFonts w:ascii="Century Gothic" w:hAnsi="Century Gothic" w:cs="Arial"/>
                <w:b/>
                <w:bCs/>
                <w:iCs/>
                <w:lang w:val="es-MX"/>
              </w:rPr>
              <w:t>…</w:t>
            </w:r>
          </w:p>
          <w:p w14:paraId="6FC36301" w14:textId="77777777" w:rsidR="00AC1857" w:rsidRDefault="00AC1857" w:rsidP="00AC1857">
            <w:pPr>
              <w:spacing w:line="360" w:lineRule="auto"/>
              <w:ind w:right="335"/>
              <w:jc w:val="both"/>
              <w:rPr>
                <w:rFonts w:ascii="Century Gothic" w:hAnsi="Century Gothic" w:cs="Arial"/>
                <w:b/>
                <w:bCs/>
                <w:iCs/>
                <w:lang w:val="es-MX"/>
              </w:rPr>
            </w:pPr>
          </w:p>
          <w:p w14:paraId="35BA183F" w14:textId="77777777" w:rsidR="00FA1A9F" w:rsidRPr="00AC1857" w:rsidRDefault="00AC1857" w:rsidP="00AC1857">
            <w:pPr>
              <w:spacing w:line="360" w:lineRule="auto"/>
              <w:ind w:right="335"/>
              <w:jc w:val="both"/>
              <w:rPr>
                <w:rFonts w:ascii="Century Gothic" w:hAnsi="Century Gothic" w:cs="Arial"/>
                <w:bCs/>
                <w:iCs/>
                <w:lang w:val="es-MX"/>
              </w:rPr>
            </w:pPr>
            <w:r w:rsidRPr="00AC1857">
              <w:rPr>
                <w:rFonts w:ascii="Century Gothic" w:hAnsi="Century Gothic" w:cs="Arial"/>
                <w:b/>
                <w:bCs/>
                <w:iCs/>
                <w:lang w:val="es-MX"/>
              </w:rPr>
              <w:t>IX. Indebidamente se abstenga de imponer medidas cautelares en contra del imputado que resulten idóneas para garantizar la protección de la víctima o de los testigos.</w:t>
            </w:r>
          </w:p>
        </w:tc>
      </w:tr>
    </w:tbl>
    <w:p w14:paraId="3B71727C" w14:textId="77777777" w:rsidR="008D70F5" w:rsidRDefault="008D70F5" w:rsidP="00850EEA">
      <w:pPr>
        <w:spacing w:line="360" w:lineRule="auto"/>
        <w:ind w:right="335"/>
        <w:jc w:val="both"/>
        <w:rPr>
          <w:rFonts w:ascii="Century Gothic" w:hAnsi="Century Gothic" w:cs="Arial"/>
        </w:rPr>
      </w:pPr>
    </w:p>
    <w:p w14:paraId="0A41D90A" w14:textId="77777777" w:rsidR="007118B2" w:rsidRDefault="00AC1857" w:rsidP="007118B2">
      <w:pPr>
        <w:spacing w:line="360" w:lineRule="auto"/>
        <w:ind w:right="335"/>
        <w:jc w:val="both"/>
        <w:rPr>
          <w:rFonts w:ascii="Century Gothic" w:hAnsi="Century Gothic" w:cs="Arial"/>
        </w:rPr>
      </w:pPr>
      <w:r>
        <w:rPr>
          <w:rFonts w:ascii="Century Gothic" w:hAnsi="Century Gothic" w:cs="Arial"/>
          <w:b/>
          <w:lang w:val="es-MX"/>
        </w:rPr>
        <w:lastRenderedPageBreak/>
        <w:t xml:space="preserve">IV.- </w:t>
      </w:r>
      <w:r w:rsidR="007118B2">
        <w:rPr>
          <w:rFonts w:ascii="Century Gothic" w:hAnsi="Century Gothic" w:cs="Arial"/>
          <w:lang w:val="es-MX"/>
        </w:rPr>
        <w:t xml:space="preserve">En relación a la primera de sus propuestas: </w:t>
      </w:r>
      <w:r w:rsidR="007118B2" w:rsidRPr="007118B2">
        <w:rPr>
          <w:rFonts w:ascii="Century Gothic" w:hAnsi="Century Gothic" w:cs="Arial"/>
        </w:rPr>
        <w:t>1. Sancionar a la autoridad que no imponga medidas de protección a la víctima cuand</w:t>
      </w:r>
      <w:r w:rsidR="007118B2">
        <w:rPr>
          <w:rFonts w:ascii="Century Gothic" w:hAnsi="Century Gothic" w:cs="Arial"/>
        </w:rPr>
        <w:t>o su integridad esté en peligro. Expresada en la fracción X que se pre</w:t>
      </w:r>
      <w:r w:rsidR="00E83F16">
        <w:rPr>
          <w:rFonts w:ascii="Century Gothic" w:hAnsi="Century Gothic" w:cs="Arial"/>
        </w:rPr>
        <w:t xml:space="preserve">tende adicionar al artículo 288. </w:t>
      </w:r>
      <w:r w:rsidR="007118B2">
        <w:rPr>
          <w:rFonts w:ascii="Century Gothic" w:hAnsi="Century Gothic" w:cs="Arial"/>
        </w:rPr>
        <w:t xml:space="preserve"> </w:t>
      </w:r>
    </w:p>
    <w:p w14:paraId="1B300DE1" w14:textId="77777777" w:rsidR="00E83F16" w:rsidRDefault="00E83F16" w:rsidP="007118B2">
      <w:pPr>
        <w:spacing w:line="360" w:lineRule="auto"/>
        <w:ind w:right="335"/>
        <w:jc w:val="both"/>
        <w:rPr>
          <w:rFonts w:ascii="Century Gothic" w:hAnsi="Century Gothic" w:cs="Arial"/>
        </w:rPr>
      </w:pPr>
    </w:p>
    <w:p w14:paraId="1D9141E3" w14:textId="77777777" w:rsidR="00C16AE7" w:rsidRDefault="00C16AE7" w:rsidP="00E83F16">
      <w:pPr>
        <w:spacing w:line="360" w:lineRule="auto"/>
        <w:ind w:right="335"/>
        <w:jc w:val="both"/>
        <w:rPr>
          <w:rFonts w:ascii="Century Gothic" w:hAnsi="Century Gothic" w:cs="Arial"/>
          <w:lang w:val="es-MX"/>
        </w:rPr>
      </w:pPr>
      <w:r w:rsidRPr="00C16AE7">
        <w:rPr>
          <w:rFonts w:ascii="Century Gothic" w:hAnsi="Century Gothic" w:cs="Arial"/>
          <w:b/>
        </w:rPr>
        <w:t>A.</w:t>
      </w:r>
      <w:r>
        <w:rPr>
          <w:rFonts w:ascii="Century Gothic" w:hAnsi="Century Gothic" w:cs="Arial"/>
        </w:rPr>
        <w:t xml:space="preserve"> </w:t>
      </w:r>
      <w:r w:rsidR="00E83F16">
        <w:rPr>
          <w:rFonts w:ascii="Century Gothic" w:hAnsi="Century Gothic" w:cs="Arial"/>
        </w:rPr>
        <w:t xml:space="preserve">De una interpretación literal del texto propuesto: </w:t>
      </w:r>
      <w:r w:rsidR="00E83F16" w:rsidRPr="00E83F16">
        <w:rPr>
          <w:rFonts w:ascii="Century Gothic" w:hAnsi="Century Gothic" w:cs="Arial"/>
          <w:i/>
          <w:lang w:val="es-MX"/>
        </w:rPr>
        <w:t>X. Indebidamente se abstenga de solicitar medidas de protección a favor de la víctima o testigos, cuando la carpeta de investigación se encuentre integrada por delitos que pongan en peligro la vida y la integridad corporal de las personas</w:t>
      </w:r>
      <w:r w:rsidR="00E83F16">
        <w:rPr>
          <w:rFonts w:ascii="Century Gothic" w:hAnsi="Century Gothic" w:cs="Arial"/>
          <w:lang w:val="es-MX"/>
        </w:rPr>
        <w:t>; podemos establecer que para que se actualice la hipótesis, tiene que satisfacer</w:t>
      </w:r>
      <w:r w:rsidR="00042BE2">
        <w:rPr>
          <w:rFonts w:ascii="Century Gothic" w:hAnsi="Century Gothic" w:cs="Arial"/>
          <w:lang w:val="es-MX"/>
        </w:rPr>
        <w:t>se un presupuesto consistente en</w:t>
      </w:r>
      <w:r w:rsidR="00E83F16">
        <w:rPr>
          <w:rFonts w:ascii="Century Gothic" w:hAnsi="Century Gothic" w:cs="Arial"/>
          <w:lang w:val="es-MX"/>
        </w:rPr>
        <w:t xml:space="preserve"> que la investigación sea exclusivamente en Delitos Contra la Vida o La Integridad Corporal, por ende, todos los demás delitos, como los sexuales, contra la paz, la familia, entre otros donde también se ejerce violencia en contra de las mujeres, quedar</w:t>
      </w:r>
      <w:r>
        <w:rPr>
          <w:rFonts w:ascii="Century Gothic" w:hAnsi="Century Gothic" w:cs="Arial"/>
          <w:lang w:val="es-MX"/>
        </w:rPr>
        <w:t xml:space="preserve">ían excluidos. </w:t>
      </w:r>
    </w:p>
    <w:p w14:paraId="68997070" w14:textId="77777777" w:rsidR="00C16AE7" w:rsidRDefault="00C16AE7" w:rsidP="00E83F16">
      <w:pPr>
        <w:spacing w:line="360" w:lineRule="auto"/>
        <w:ind w:right="335"/>
        <w:jc w:val="both"/>
        <w:rPr>
          <w:rFonts w:ascii="Century Gothic" w:hAnsi="Century Gothic" w:cs="Arial"/>
          <w:lang w:val="es-MX"/>
        </w:rPr>
      </w:pPr>
    </w:p>
    <w:p w14:paraId="617B63C2" w14:textId="77777777" w:rsidR="00C16AE7" w:rsidRDefault="00C16AE7" w:rsidP="00E83F16">
      <w:pPr>
        <w:spacing w:line="360" w:lineRule="auto"/>
        <w:ind w:right="335"/>
        <w:jc w:val="both"/>
        <w:rPr>
          <w:rFonts w:ascii="Century Gothic" w:hAnsi="Century Gothic" w:cs="Arial"/>
          <w:lang w:val="es-MX"/>
        </w:rPr>
      </w:pPr>
      <w:r>
        <w:rPr>
          <w:rFonts w:ascii="Century Gothic" w:hAnsi="Century Gothic" w:cs="Arial"/>
          <w:lang w:val="es-MX"/>
        </w:rPr>
        <w:t xml:space="preserve">Sin embargo, el incorporarlos no resuelve la situación, porque al volverse casuista podríamos dejar fuera alguna hipótesis en donde se esté ejerciendo violencia y pueda ser la antesala de la escalada violenta que culmine con la perdida de la vida de la persona. </w:t>
      </w:r>
    </w:p>
    <w:p w14:paraId="55AEF8F8" w14:textId="77777777" w:rsidR="00282246" w:rsidRDefault="00282246" w:rsidP="00E83F16">
      <w:pPr>
        <w:spacing w:line="360" w:lineRule="auto"/>
        <w:ind w:right="335"/>
        <w:jc w:val="both"/>
        <w:rPr>
          <w:rFonts w:ascii="Century Gothic" w:hAnsi="Century Gothic" w:cs="Arial"/>
          <w:lang w:val="es-MX"/>
        </w:rPr>
      </w:pPr>
    </w:p>
    <w:p w14:paraId="349226B9" w14:textId="77777777" w:rsidR="00282246" w:rsidRDefault="00282246" w:rsidP="00E83F16">
      <w:pPr>
        <w:spacing w:line="360" w:lineRule="auto"/>
        <w:ind w:right="335"/>
        <w:jc w:val="both"/>
        <w:rPr>
          <w:rFonts w:ascii="Century Gothic" w:hAnsi="Century Gothic" w:cs="Arial"/>
          <w:lang w:val="es-MX"/>
        </w:rPr>
      </w:pPr>
      <w:r>
        <w:rPr>
          <w:rFonts w:ascii="Century Gothic" w:hAnsi="Century Gothic" w:cs="Arial"/>
          <w:lang w:val="es-MX"/>
        </w:rPr>
        <w:t>Además, recordemos que la ley va dirigida a un número indeterminado de casos, por ende, debería ser general, abstracta e impersonal</w:t>
      </w:r>
      <w:r>
        <w:rPr>
          <w:rStyle w:val="Refdenotaalpie"/>
          <w:rFonts w:ascii="Century Gothic" w:hAnsi="Century Gothic" w:cs="Arial"/>
          <w:lang w:val="es-MX"/>
        </w:rPr>
        <w:footnoteReference w:id="7"/>
      </w:r>
      <w:r>
        <w:rPr>
          <w:rFonts w:ascii="Century Gothic" w:hAnsi="Century Gothic" w:cs="Arial"/>
          <w:lang w:val="es-MX"/>
        </w:rPr>
        <w:t xml:space="preserve">, </w:t>
      </w:r>
      <w:r w:rsidR="00806205">
        <w:rPr>
          <w:rFonts w:ascii="Century Gothic" w:hAnsi="Century Gothic" w:cs="Arial"/>
          <w:lang w:val="es-MX"/>
        </w:rPr>
        <w:t>de ahí que,</w:t>
      </w:r>
      <w:r>
        <w:rPr>
          <w:rFonts w:ascii="Century Gothic" w:hAnsi="Century Gothic" w:cs="Arial"/>
          <w:lang w:val="es-MX"/>
        </w:rPr>
        <w:t xml:space="preserve"> </w:t>
      </w:r>
      <w:r>
        <w:rPr>
          <w:rFonts w:ascii="Century Gothic" w:hAnsi="Century Gothic" w:cs="Arial"/>
          <w:lang w:val="es-MX"/>
        </w:rPr>
        <w:lastRenderedPageBreak/>
        <w:t>para no crear un catálogo de delitos en donde el Ministerio Público debiera solicitar medidas de protección</w:t>
      </w:r>
      <w:r w:rsidR="00806205">
        <w:rPr>
          <w:rFonts w:ascii="Century Gothic" w:hAnsi="Century Gothic" w:cs="Arial"/>
          <w:lang w:val="es-MX"/>
        </w:rPr>
        <w:t>,</w:t>
      </w:r>
      <w:r>
        <w:rPr>
          <w:rFonts w:ascii="Century Gothic" w:hAnsi="Century Gothic" w:cs="Arial"/>
          <w:lang w:val="es-MX"/>
        </w:rPr>
        <w:t xml:space="preserve"> tendríamos que </w:t>
      </w:r>
      <w:r w:rsidR="00806205">
        <w:rPr>
          <w:rFonts w:ascii="Century Gothic" w:hAnsi="Century Gothic" w:cs="Arial"/>
          <w:lang w:val="es-MX"/>
        </w:rPr>
        <w:t xml:space="preserve">establecer una obligación general para que operara con </w:t>
      </w:r>
      <w:proofErr w:type="gramStart"/>
      <w:r w:rsidR="00806205">
        <w:rPr>
          <w:rFonts w:ascii="Century Gothic" w:hAnsi="Century Gothic" w:cs="Arial"/>
          <w:lang w:val="es-MX"/>
        </w:rPr>
        <w:t>cualesquier delito</w:t>
      </w:r>
      <w:proofErr w:type="gramEnd"/>
      <w:r w:rsidR="00806205">
        <w:rPr>
          <w:rFonts w:ascii="Century Gothic" w:hAnsi="Century Gothic" w:cs="Arial"/>
          <w:lang w:val="es-MX"/>
        </w:rPr>
        <w:t xml:space="preserve">, oficiosamente y cuando la autoridad ministerial tenga conocimiento del riesgo a la integridad de la víctima. </w:t>
      </w:r>
    </w:p>
    <w:p w14:paraId="65E45EDF" w14:textId="77777777" w:rsidR="00282246" w:rsidRDefault="00282246" w:rsidP="00E83F16">
      <w:pPr>
        <w:spacing w:line="360" w:lineRule="auto"/>
        <w:ind w:right="335"/>
        <w:jc w:val="both"/>
        <w:rPr>
          <w:rFonts w:ascii="Century Gothic" w:hAnsi="Century Gothic" w:cs="Arial"/>
          <w:lang w:val="es-MX"/>
        </w:rPr>
      </w:pPr>
    </w:p>
    <w:p w14:paraId="05187EC9" w14:textId="77777777" w:rsidR="009C45F1" w:rsidRDefault="00C16AE7" w:rsidP="00E83F16">
      <w:pPr>
        <w:spacing w:line="360" w:lineRule="auto"/>
        <w:ind w:right="335"/>
        <w:jc w:val="both"/>
        <w:rPr>
          <w:rFonts w:ascii="Century Gothic" w:hAnsi="Century Gothic" w:cs="Arial"/>
        </w:rPr>
      </w:pPr>
      <w:r w:rsidRPr="00C16AE7">
        <w:rPr>
          <w:rFonts w:ascii="Century Gothic" w:hAnsi="Century Gothic" w:cs="Arial"/>
          <w:b/>
          <w:lang w:val="es-MX"/>
        </w:rPr>
        <w:t>B.</w:t>
      </w:r>
      <w:r>
        <w:rPr>
          <w:rFonts w:ascii="Century Gothic" w:hAnsi="Century Gothic" w:cs="Arial"/>
          <w:lang w:val="es-MX"/>
        </w:rPr>
        <w:t xml:space="preserve"> </w:t>
      </w:r>
      <w:r w:rsidR="00806205">
        <w:rPr>
          <w:rFonts w:ascii="Century Gothic" w:hAnsi="Century Gothic" w:cs="Arial"/>
          <w:lang w:val="es-MX"/>
        </w:rPr>
        <w:t xml:space="preserve">Aquella disposición </w:t>
      </w:r>
      <w:r w:rsidR="009F4BA3">
        <w:rPr>
          <w:rFonts w:ascii="Century Gothic" w:hAnsi="Century Gothic" w:cs="Arial"/>
          <w:lang w:val="es-MX"/>
        </w:rPr>
        <w:t xml:space="preserve">fuera de particularización por delitos, la podemos encontrar en la </w:t>
      </w:r>
      <w:r w:rsidR="009F4BA3">
        <w:rPr>
          <w:rFonts w:ascii="Century Gothic" w:hAnsi="Century Gothic" w:cs="Arial"/>
        </w:rPr>
        <w:t>Ley General de Acceso de las Mujeres a Una Vida Libre d</w:t>
      </w:r>
      <w:r w:rsidR="009F4BA3" w:rsidRPr="009F4BA3">
        <w:rPr>
          <w:rFonts w:ascii="Century Gothic" w:hAnsi="Century Gothic" w:cs="Arial"/>
        </w:rPr>
        <w:t>e Violencia</w:t>
      </w:r>
      <w:r w:rsidR="009F4BA3">
        <w:rPr>
          <w:rFonts w:ascii="Century Gothic" w:hAnsi="Century Gothic" w:cs="Arial"/>
        </w:rPr>
        <w:t xml:space="preserve">; ahí se establece que el Ministerio Público e incluso la autoridad administrativa y jurisdiccional otorgan las medidas de protección oficiosamente o a petición </w:t>
      </w:r>
      <w:r w:rsidR="00D2304A">
        <w:rPr>
          <w:rFonts w:ascii="Century Gothic" w:hAnsi="Century Gothic" w:cs="Arial"/>
        </w:rPr>
        <w:t>de parte</w:t>
      </w:r>
      <w:r w:rsidR="00BE7642">
        <w:rPr>
          <w:rFonts w:ascii="Century Gothic" w:hAnsi="Century Gothic" w:cs="Arial"/>
        </w:rPr>
        <w:t>,</w:t>
      </w:r>
      <w:r w:rsidR="009F4BA3">
        <w:rPr>
          <w:rFonts w:ascii="Century Gothic" w:hAnsi="Century Gothic" w:cs="Arial"/>
        </w:rPr>
        <w:t xml:space="preserve"> desde el momento en el que tengan conocimiento </w:t>
      </w:r>
      <w:r w:rsidR="009C45F1">
        <w:rPr>
          <w:rFonts w:ascii="Century Gothic" w:hAnsi="Century Gothic" w:cs="Arial"/>
        </w:rPr>
        <w:t xml:space="preserve">de un hecho de </w:t>
      </w:r>
      <w:r w:rsidR="009C45F1" w:rsidRPr="009C45F1">
        <w:rPr>
          <w:rFonts w:ascii="Century Gothic" w:hAnsi="Century Gothic" w:cs="Arial"/>
        </w:rPr>
        <w:t xml:space="preserve">violencia </w:t>
      </w:r>
      <w:r w:rsidR="009C45F1">
        <w:rPr>
          <w:rFonts w:ascii="Century Gothic" w:hAnsi="Century Gothic" w:cs="Arial"/>
        </w:rPr>
        <w:t xml:space="preserve">probablemente delictivo o de una infracción y que ponga en riesgo la integridad de la víctima. </w:t>
      </w:r>
    </w:p>
    <w:p w14:paraId="17C49C78" w14:textId="77777777" w:rsidR="009C45F1" w:rsidRDefault="009C45F1" w:rsidP="00E83F16">
      <w:pPr>
        <w:spacing w:line="360" w:lineRule="auto"/>
        <w:ind w:right="335"/>
        <w:jc w:val="both"/>
        <w:rPr>
          <w:rFonts w:ascii="Century Gothic" w:hAnsi="Century Gothic" w:cs="Arial"/>
        </w:rPr>
      </w:pPr>
    </w:p>
    <w:p w14:paraId="6CB36AF4" w14:textId="77777777" w:rsidR="009F4BA3" w:rsidRDefault="009C45F1" w:rsidP="00E83F16">
      <w:pPr>
        <w:spacing w:line="360" w:lineRule="auto"/>
        <w:ind w:right="335"/>
        <w:jc w:val="both"/>
        <w:rPr>
          <w:rFonts w:ascii="Century Gothic" w:hAnsi="Century Gothic" w:cs="Arial"/>
        </w:rPr>
      </w:pPr>
      <w:r>
        <w:rPr>
          <w:rFonts w:ascii="Century Gothic" w:hAnsi="Century Gothic" w:cs="Arial"/>
        </w:rPr>
        <w:t xml:space="preserve">Lo anterior lo podemos visualizar en el contenido del primer párrafo del artículo 27 de la referida Ley como a continuación de muestra: </w:t>
      </w:r>
    </w:p>
    <w:p w14:paraId="3A1AF7CB" w14:textId="77777777" w:rsidR="009C45F1" w:rsidRDefault="009C45F1" w:rsidP="00E83F16">
      <w:pPr>
        <w:spacing w:line="360" w:lineRule="auto"/>
        <w:ind w:right="335"/>
        <w:jc w:val="both"/>
        <w:rPr>
          <w:rFonts w:ascii="Century Gothic" w:hAnsi="Century Gothic" w:cs="Arial"/>
        </w:rPr>
      </w:pPr>
    </w:p>
    <w:p w14:paraId="37A108FA" w14:textId="77777777" w:rsidR="009F4BA3" w:rsidRPr="00BE7642" w:rsidRDefault="009C45F1" w:rsidP="009C45F1">
      <w:pPr>
        <w:tabs>
          <w:tab w:val="left" w:pos="8647"/>
        </w:tabs>
        <w:spacing w:line="360" w:lineRule="auto"/>
        <w:ind w:left="851" w:right="1182"/>
        <w:jc w:val="both"/>
        <w:rPr>
          <w:rFonts w:ascii="Century Gothic" w:hAnsi="Century Gothic" w:cs="Arial"/>
          <w:i/>
        </w:rPr>
      </w:pPr>
      <w:r>
        <w:rPr>
          <w:rFonts w:ascii="Century Gothic" w:hAnsi="Century Gothic" w:cs="Arial"/>
        </w:rPr>
        <w:t>“</w:t>
      </w:r>
      <w:r w:rsidR="009F4BA3" w:rsidRPr="00BE7642">
        <w:rPr>
          <w:rFonts w:ascii="Century Gothic" w:hAnsi="Century Gothic" w:cs="Arial"/>
          <w:i/>
        </w:rPr>
        <w:t xml:space="preserve">ARTÍCULO 27.- Las órdenes de protección: Son actos de urgente aplicación en función del interés superior de la víctima, son fundamentalmente precautorias y cautelares, deberán otorgarse de oficio o a petición de parte, por las autoridades administrativas, el Ministerio Público o por los órganos </w:t>
      </w:r>
      <w:r w:rsidR="009F4BA3" w:rsidRPr="00BE7642">
        <w:rPr>
          <w:rFonts w:ascii="Century Gothic" w:hAnsi="Century Gothic" w:cs="Arial"/>
          <w:i/>
        </w:rPr>
        <w:lastRenderedPageBreak/>
        <w:t>jurisdiccionales competentes, en el momento en que tengan conocimiento del hecho de violencia presuntamente constitutivo de un delito o infracción, que ponga en riesgo la integridad, la libertad o la vida de las mujeres o niñas, evitando en todo momento que la persona agresora, directamente o a través de algún tercero, tenga contacto de cualquier tipo o medio con la víctima.</w:t>
      </w:r>
    </w:p>
    <w:p w14:paraId="37E23DAE" w14:textId="77777777" w:rsidR="009C45F1" w:rsidRPr="00BE7642" w:rsidRDefault="009C45F1" w:rsidP="009C45F1">
      <w:pPr>
        <w:tabs>
          <w:tab w:val="left" w:pos="8647"/>
        </w:tabs>
        <w:spacing w:line="360" w:lineRule="auto"/>
        <w:ind w:left="851" w:right="1182"/>
        <w:jc w:val="both"/>
        <w:rPr>
          <w:rFonts w:ascii="Century Gothic" w:hAnsi="Century Gothic" w:cs="Arial"/>
          <w:i/>
        </w:rPr>
      </w:pPr>
    </w:p>
    <w:p w14:paraId="7D651466" w14:textId="77777777" w:rsidR="009C45F1" w:rsidRPr="00BE7642" w:rsidRDefault="009C45F1" w:rsidP="009C45F1">
      <w:pPr>
        <w:tabs>
          <w:tab w:val="left" w:pos="8647"/>
        </w:tabs>
        <w:spacing w:line="360" w:lineRule="auto"/>
        <w:ind w:left="851" w:right="1182"/>
        <w:jc w:val="both"/>
        <w:rPr>
          <w:rFonts w:ascii="Century Gothic" w:hAnsi="Century Gothic" w:cs="Arial"/>
          <w:i/>
          <w:lang w:val="es-MX"/>
        </w:rPr>
      </w:pPr>
      <w:r w:rsidRPr="00BE7642">
        <w:rPr>
          <w:rFonts w:ascii="Century Gothic" w:hAnsi="Century Gothic" w:cs="Arial"/>
          <w:i/>
        </w:rPr>
        <w:t>…”</w:t>
      </w:r>
    </w:p>
    <w:p w14:paraId="29CC853E" w14:textId="77777777" w:rsidR="009F4BA3" w:rsidRDefault="009F4BA3" w:rsidP="00E83F16">
      <w:pPr>
        <w:spacing w:line="360" w:lineRule="auto"/>
        <w:ind w:right="335"/>
        <w:jc w:val="both"/>
        <w:rPr>
          <w:rFonts w:ascii="Century Gothic" w:hAnsi="Century Gothic" w:cs="Arial"/>
          <w:lang w:val="es-MX"/>
        </w:rPr>
      </w:pPr>
    </w:p>
    <w:p w14:paraId="26205C7D" w14:textId="77777777" w:rsidR="009C45F1" w:rsidRDefault="009C45F1" w:rsidP="00E83F16">
      <w:pPr>
        <w:spacing w:line="360" w:lineRule="auto"/>
        <w:ind w:right="335"/>
        <w:jc w:val="both"/>
        <w:rPr>
          <w:rFonts w:ascii="Century Gothic" w:hAnsi="Century Gothic" w:cs="Arial"/>
          <w:lang w:val="es-MX"/>
        </w:rPr>
      </w:pPr>
      <w:r>
        <w:rPr>
          <w:rFonts w:ascii="Century Gothic" w:hAnsi="Century Gothic" w:cs="Arial"/>
          <w:lang w:val="es-MX"/>
        </w:rPr>
        <w:t xml:space="preserve">Concatenado con lo anterior, </w:t>
      </w:r>
      <w:r w:rsidR="00401D97">
        <w:rPr>
          <w:rFonts w:ascii="Century Gothic" w:hAnsi="Century Gothic" w:cs="Arial"/>
          <w:lang w:val="es-MX"/>
        </w:rPr>
        <w:t>e independiente</w:t>
      </w:r>
      <w:r>
        <w:rPr>
          <w:rFonts w:ascii="Century Gothic" w:hAnsi="Century Gothic" w:cs="Arial"/>
          <w:lang w:val="es-MX"/>
        </w:rPr>
        <w:t xml:space="preserve"> del sexo o género de la víctima, el Ministerio Público tiene la obligación de ordenar la medida de protección idónea cuando estime que el imputado representa un riesgo para la víctima u ofendido; tal y como se muestra en el primer párrafo del artículo 137 del Código Nacional de Procedimientos Penales que a la letra menciona: </w:t>
      </w:r>
    </w:p>
    <w:p w14:paraId="4288ED65" w14:textId="77777777" w:rsidR="009C45F1" w:rsidRDefault="009C45F1" w:rsidP="00E83F16">
      <w:pPr>
        <w:spacing w:line="360" w:lineRule="auto"/>
        <w:ind w:right="335"/>
        <w:jc w:val="both"/>
        <w:rPr>
          <w:rFonts w:ascii="Century Gothic" w:hAnsi="Century Gothic" w:cs="Arial"/>
          <w:lang w:val="es-MX"/>
        </w:rPr>
      </w:pPr>
    </w:p>
    <w:p w14:paraId="1A080832" w14:textId="77777777" w:rsidR="009C45F1" w:rsidRPr="00BE7642" w:rsidRDefault="009C45F1" w:rsidP="009C45F1">
      <w:pPr>
        <w:spacing w:line="360" w:lineRule="auto"/>
        <w:ind w:left="851" w:right="1182"/>
        <w:jc w:val="both"/>
        <w:rPr>
          <w:rFonts w:ascii="Century Gothic" w:hAnsi="Century Gothic" w:cs="Arial"/>
          <w:i/>
        </w:rPr>
      </w:pPr>
      <w:r>
        <w:rPr>
          <w:rFonts w:ascii="Century Gothic" w:hAnsi="Century Gothic" w:cs="Arial"/>
        </w:rPr>
        <w:t>“</w:t>
      </w:r>
      <w:r w:rsidRPr="00BE7642">
        <w:rPr>
          <w:rFonts w:ascii="Century Gothic" w:hAnsi="Century Gothic" w:cs="Arial"/>
          <w:i/>
        </w:rPr>
        <w:t>Artículo 137. Medidas de protección El Ministerio Público, bajo su más estricta responsabilidad, ordenará fundada y motivadamente la aplicación de las medidas de protección idóneas cuando estime que el imputado representa un riesgo inminente en contra de la seguridad de la víctima u ofendido.</w:t>
      </w:r>
    </w:p>
    <w:p w14:paraId="412F2B19" w14:textId="77777777" w:rsidR="009C45F1" w:rsidRDefault="009C45F1" w:rsidP="009C45F1">
      <w:pPr>
        <w:spacing w:line="360" w:lineRule="auto"/>
        <w:ind w:left="851" w:right="1182"/>
        <w:jc w:val="both"/>
        <w:rPr>
          <w:rFonts w:ascii="Century Gothic" w:hAnsi="Century Gothic" w:cs="Arial"/>
        </w:rPr>
      </w:pPr>
      <w:r w:rsidRPr="00BE7642">
        <w:rPr>
          <w:rFonts w:ascii="Century Gothic" w:hAnsi="Century Gothic" w:cs="Arial"/>
          <w:i/>
        </w:rPr>
        <w:t>(…)</w:t>
      </w:r>
      <w:r>
        <w:rPr>
          <w:rFonts w:ascii="Century Gothic" w:hAnsi="Century Gothic" w:cs="Arial"/>
        </w:rPr>
        <w:t>”</w:t>
      </w:r>
    </w:p>
    <w:p w14:paraId="49953C1E" w14:textId="77777777" w:rsidR="009C45F1" w:rsidRDefault="009C45F1" w:rsidP="009C45F1">
      <w:pPr>
        <w:spacing w:line="360" w:lineRule="auto"/>
        <w:ind w:right="1182"/>
        <w:jc w:val="both"/>
        <w:rPr>
          <w:rFonts w:ascii="Century Gothic" w:hAnsi="Century Gothic" w:cs="Arial"/>
        </w:rPr>
      </w:pPr>
    </w:p>
    <w:p w14:paraId="7D302329" w14:textId="77777777" w:rsidR="009C45F1" w:rsidRDefault="009C45F1" w:rsidP="009C45F1">
      <w:pPr>
        <w:spacing w:line="360" w:lineRule="auto"/>
        <w:ind w:right="332"/>
        <w:jc w:val="both"/>
        <w:rPr>
          <w:rFonts w:ascii="Century Gothic" w:hAnsi="Century Gothic" w:cs="Arial"/>
          <w:lang w:val="es-MX"/>
        </w:rPr>
      </w:pPr>
      <w:r>
        <w:rPr>
          <w:rFonts w:ascii="Century Gothic" w:hAnsi="Century Gothic" w:cs="Arial"/>
        </w:rPr>
        <w:lastRenderedPageBreak/>
        <w:t>Dicho artículo 137, establece el catálogo de medidas de protección, y en caso de tratarse de delitos cometidos por razones de género, se establecerá supletoriamente l</w:t>
      </w:r>
      <w:r w:rsidRPr="009C45F1">
        <w:rPr>
          <w:rFonts w:ascii="Century Gothic" w:hAnsi="Century Gothic" w:cs="Arial"/>
        </w:rPr>
        <w:t>a Ley General de Acceso de las Mujere</w:t>
      </w:r>
      <w:r>
        <w:rPr>
          <w:rFonts w:ascii="Century Gothic" w:hAnsi="Century Gothic" w:cs="Arial"/>
        </w:rPr>
        <w:t>s</w:t>
      </w:r>
      <w:r w:rsidR="00401D97">
        <w:rPr>
          <w:rFonts w:ascii="Century Gothic" w:hAnsi="Century Gothic" w:cs="Arial"/>
        </w:rPr>
        <w:t xml:space="preserve"> a una Vida Libre de Violencia</w:t>
      </w:r>
      <w:r w:rsidR="00D2304A">
        <w:rPr>
          <w:rStyle w:val="Refdenotaalpie"/>
          <w:rFonts w:ascii="Century Gothic" w:hAnsi="Century Gothic" w:cs="Arial"/>
        </w:rPr>
        <w:footnoteReference w:id="8"/>
      </w:r>
      <w:r w:rsidR="00401D97">
        <w:rPr>
          <w:rFonts w:ascii="Century Gothic" w:hAnsi="Century Gothic" w:cs="Arial"/>
        </w:rPr>
        <w:t xml:space="preserve"> en la forma mencionada anteriormente y bajo las modalidades establecidas en la norma general.</w:t>
      </w:r>
    </w:p>
    <w:p w14:paraId="3AC1DB0C" w14:textId="77777777" w:rsidR="009C45F1" w:rsidRDefault="009C45F1" w:rsidP="009C45F1">
      <w:pPr>
        <w:spacing w:line="360" w:lineRule="auto"/>
        <w:ind w:right="332"/>
        <w:jc w:val="both"/>
        <w:rPr>
          <w:rFonts w:ascii="Century Gothic" w:hAnsi="Century Gothic" w:cs="Arial"/>
          <w:lang w:val="es-MX"/>
        </w:rPr>
      </w:pPr>
    </w:p>
    <w:p w14:paraId="39FD3EA4" w14:textId="1C4E1E77" w:rsidR="008C19D6" w:rsidRDefault="00401D97" w:rsidP="00163B54">
      <w:pPr>
        <w:spacing w:line="360" w:lineRule="auto"/>
        <w:ind w:right="335"/>
        <w:jc w:val="both"/>
        <w:rPr>
          <w:rFonts w:ascii="Century Gothic" w:hAnsi="Century Gothic" w:cs="Arial"/>
        </w:rPr>
      </w:pPr>
      <w:r w:rsidRPr="00401D97">
        <w:rPr>
          <w:rFonts w:ascii="Century Gothic" w:hAnsi="Century Gothic" w:cs="Arial"/>
          <w:b/>
          <w:lang w:val="es-MX"/>
        </w:rPr>
        <w:t>C.</w:t>
      </w:r>
      <w:r>
        <w:rPr>
          <w:rFonts w:ascii="Century Gothic" w:hAnsi="Century Gothic" w:cs="Arial"/>
          <w:lang w:val="es-MX"/>
        </w:rPr>
        <w:t xml:space="preserve"> Aunado y como fuente de tales disposiciones, tenemos la Constitución Política de los Estados Unidos Mexicanos y el Código Nacional de </w:t>
      </w:r>
      <w:r w:rsidR="008C1A15">
        <w:rPr>
          <w:rFonts w:ascii="Century Gothic" w:hAnsi="Century Gothic" w:cs="Arial"/>
          <w:lang w:val="es-MX"/>
        </w:rPr>
        <w:t>Procedimientos</w:t>
      </w:r>
      <w:r>
        <w:rPr>
          <w:rFonts w:ascii="Century Gothic" w:hAnsi="Century Gothic" w:cs="Arial"/>
          <w:lang w:val="es-MX"/>
        </w:rPr>
        <w:t xml:space="preserve"> Penales, de donde se desprende que l</w:t>
      </w:r>
      <w:r w:rsidR="007118B2">
        <w:rPr>
          <w:rFonts w:ascii="Century Gothic" w:hAnsi="Century Gothic" w:cs="Arial"/>
        </w:rPr>
        <w:t>as medidas de protección es un derecho que tienen las víctimas</w:t>
      </w:r>
      <w:r w:rsidR="007118B2">
        <w:rPr>
          <w:rStyle w:val="Refdenotaalpie"/>
          <w:rFonts w:ascii="Century Gothic" w:hAnsi="Century Gothic" w:cs="Arial"/>
        </w:rPr>
        <w:footnoteReference w:id="9"/>
      </w:r>
      <w:r w:rsidR="007118B2">
        <w:rPr>
          <w:rFonts w:ascii="Century Gothic" w:hAnsi="Century Gothic" w:cs="Arial"/>
        </w:rPr>
        <w:t xml:space="preserve">, </w:t>
      </w:r>
      <w:r w:rsidR="008C19D6">
        <w:rPr>
          <w:rFonts w:ascii="Century Gothic" w:hAnsi="Century Gothic" w:cs="Arial"/>
        </w:rPr>
        <w:t>el cual</w:t>
      </w:r>
      <w:r w:rsidR="007118B2">
        <w:rPr>
          <w:rFonts w:ascii="Century Gothic" w:hAnsi="Century Gothic" w:cs="Arial"/>
        </w:rPr>
        <w:t xml:space="preserve">, </w:t>
      </w:r>
      <w:r w:rsidR="00412D14">
        <w:rPr>
          <w:rFonts w:ascii="Century Gothic" w:hAnsi="Century Gothic" w:cs="Arial"/>
        </w:rPr>
        <w:t>podrán o</w:t>
      </w:r>
      <w:r w:rsidR="008C19D6">
        <w:rPr>
          <w:rFonts w:ascii="Century Gothic" w:hAnsi="Century Gothic" w:cs="Arial"/>
        </w:rPr>
        <w:t xml:space="preserve"> no requerirlo</w:t>
      </w:r>
      <w:r w:rsidR="000C06B6">
        <w:rPr>
          <w:rFonts w:ascii="Century Gothic" w:hAnsi="Century Gothic" w:cs="Arial"/>
        </w:rPr>
        <w:t xml:space="preserve">, sin embargo, </w:t>
      </w:r>
      <w:r>
        <w:rPr>
          <w:rFonts w:ascii="Century Gothic" w:hAnsi="Century Gothic" w:cs="Arial"/>
        </w:rPr>
        <w:t>la</w:t>
      </w:r>
      <w:r w:rsidR="00D2304A">
        <w:rPr>
          <w:rFonts w:ascii="Century Gothic" w:hAnsi="Century Gothic" w:cs="Arial"/>
        </w:rPr>
        <w:t xml:space="preserve"> obligación de la autoridad</w:t>
      </w:r>
      <w:r w:rsidR="000C06B6">
        <w:rPr>
          <w:rFonts w:ascii="Century Gothic" w:hAnsi="Century Gothic" w:cs="Arial"/>
        </w:rPr>
        <w:t xml:space="preserve"> es informarle de dicha prerrogativa</w:t>
      </w:r>
      <w:r w:rsidR="008C19D6">
        <w:rPr>
          <w:rStyle w:val="Refdenotaalpie"/>
          <w:rFonts w:ascii="Century Gothic" w:hAnsi="Century Gothic" w:cs="Arial"/>
        </w:rPr>
        <w:footnoteReference w:id="10"/>
      </w:r>
      <w:r>
        <w:rPr>
          <w:rFonts w:ascii="Century Gothic" w:hAnsi="Century Gothic" w:cs="Arial"/>
        </w:rPr>
        <w:t xml:space="preserve">, e incluso, </w:t>
      </w:r>
      <w:r w:rsidR="000F76C9">
        <w:rPr>
          <w:rFonts w:ascii="Century Gothic" w:hAnsi="Century Gothic" w:cs="Arial"/>
        </w:rPr>
        <w:t>las órdenes de protección establecidas en la Ley General de Acceso a las Mujeres a una Vida Libre de Violencia</w:t>
      </w:r>
      <w:r>
        <w:rPr>
          <w:rFonts w:ascii="Century Gothic" w:hAnsi="Century Gothic" w:cs="Arial"/>
        </w:rPr>
        <w:t>, oficiosamente</w:t>
      </w:r>
      <w:r w:rsidR="000F76C9">
        <w:rPr>
          <w:rFonts w:ascii="Century Gothic" w:hAnsi="Century Gothic" w:cs="Arial"/>
        </w:rPr>
        <w:t xml:space="preserve"> se obliga a</w:t>
      </w:r>
      <w:r>
        <w:rPr>
          <w:rFonts w:ascii="Century Gothic" w:hAnsi="Century Gothic" w:cs="Arial"/>
        </w:rPr>
        <w:t xml:space="preserve"> razonar la imposición de la medida de protección idónea</w:t>
      </w:r>
      <w:r w:rsidR="008C19D6">
        <w:rPr>
          <w:rFonts w:ascii="Century Gothic" w:hAnsi="Century Gothic" w:cs="Arial"/>
        </w:rPr>
        <w:t xml:space="preserve">. </w:t>
      </w:r>
    </w:p>
    <w:p w14:paraId="4358E6E7" w14:textId="77777777" w:rsidR="008C19D6" w:rsidRDefault="008C19D6" w:rsidP="00163B54">
      <w:pPr>
        <w:spacing w:line="360" w:lineRule="auto"/>
        <w:ind w:right="335"/>
        <w:jc w:val="both"/>
        <w:rPr>
          <w:rFonts w:ascii="Century Gothic" w:hAnsi="Century Gothic" w:cs="Arial"/>
        </w:rPr>
      </w:pPr>
    </w:p>
    <w:p w14:paraId="449F1724" w14:textId="77777777" w:rsidR="00A91728" w:rsidRDefault="00401D97" w:rsidP="00163B54">
      <w:pPr>
        <w:spacing w:line="360" w:lineRule="auto"/>
        <w:ind w:right="335"/>
        <w:jc w:val="both"/>
        <w:rPr>
          <w:rFonts w:ascii="Century Gothic" w:hAnsi="Century Gothic" w:cs="Arial"/>
        </w:rPr>
      </w:pPr>
      <w:r>
        <w:rPr>
          <w:rFonts w:ascii="Century Gothic" w:hAnsi="Century Gothic" w:cs="Arial"/>
        </w:rPr>
        <w:t>Esto es, c</w:t>
      </w:r>
      <w:r w:rsidR="008C19D6">
        <w:rPr>
          <w:rFonts w:ascii="Century Gothic" w:hAnsi="Century Gothic" w:cs="Arial"/>
        </w:rPr>
        <w:t xml:space="preserve">uando se requiera </w:t>
      </w:r>
      <w:r>
        <w:rPr>
          <w:rFonts w:ascii="Century Gothic" w:hAnsi="Century Gothic" w:cs="Arial"/>
        </w:rPr>
        <w:t>de esta medida, la autoridad deberá estimar que</w:t>
      </w:r>
      <w:r w:rsidR="008C19D6" w:rsidRPr="008C19D6">
        <w:rPr>
          <w:rFonts w:ascii="Century Gothic" w:hAnsi="Century Gothic" w:cs="Arial"/>
        </w:rPr>
        <w:t xml:space="preserve"> el imputado representa un riesgo inminente en contra de la seg</w:t>
      </w:r>
      <w:r w:rsidR="008C19D6">
        <w:rPr>
          <w:rFonts w:ascii="Century Gothic" w:hAnsi="Century Gothic" w:cs="Arial"/>
        </w:rPr>
        <w:t xml:space="preserve">uridad de la víctima u ofendido, </w:t>
      </w:r>
      <w:r>
        <w:rPr>
          <w:rFonts w:ascii="Century Gothic" w:hAnsi="Century Gothic" w:cs="Arial"/>
        </w:rPr>
        <w:t>estableciendo</w:t>
      </w:r>
      <w:r w:rsidR="008C19D6">
        <w:rPr>
          <w:rFonts w:ascii="Century Gothic" w:hAnsi="Century Gothic" w:cs="Arial"/>
        </w:rPr>
        <w:t xml:space="preserve"> la medida de protección </w:t>
      </w:r>
      <w:r w:rsidR="000F76C9">
        <w:rPr>
          <w:rFonts w:ascii="Century Gothic" w:hAnsi="Century Gothic" w:cs="Arial"/>
        </w:rPr>
        <w:t>más adecuada</w:t>
      </w:r>
      <w:r w:rsidR="008C19D6">
        <w:rPr>
          <w:rFonts w:ascii="Century Gothic" w:hAnsi="Century Gothic" w:cs="Arial"/>
        </w:rPr>
        <w:t>.</w:t>
      </w:r>
      <w:r w:rsidR="008C19D6">
        <w:rPr>
          <w:rStyle w:val="Refdenotaalpie"/>
          <w:rFonts w:ascii="Century Gothic" w:hAnsi="Century Gothic" w:cs="Arial"/>
        </w:rPr>
        <w:footnoteReference w:id="11"/>
      </w:r>
      <w:r w:rsidR="008C19D6">
        <w:rPr>
          <w:rFonts w:ascii="Century Gothic" w:hAnsi="Century Gothic" w:cs="Arial"/>
        </w:rPr>
        <w:t xml:space="preserve"> </w:t>
      </w:r>
      <w:r w:rsidR="007118B2">
        <w:rPr>
          <w:rFonts w:ascii="Century Gothic" w:hAnsi="Century Gothic" w:cs="Arial"/>
        </w:rPr>
        <w:t xml:space="preserve"> </w:t>
      </w:r>
    </w:p>
    <w:p w14:paraId="26479726" w14:textId="77777777" w:rsidR="000F76C9" w:rsidRDefault="000F76C9" w:rsidP="00163B54">
      <w:pPr>
        <w:spacing w:line="360" w:lineRule="auto"/>
        <w:ind w:right="335"/>
        <w:jc w:val="both"/>
        <w:rPr>
          <w:rFonts w:ascii="Century Gothic" w:hAnsi="Century Gothic" w:cs="Arial"/>
        </w:rPr>
      </w:pPr>
    </w:p>
    <w:p w14:paraId="237E42D4" w14:textId="77777777" w:rsidR="00606A8D" w:rsidRDefault="000F76C9" w:rsidP="00163B54">
      <w:pPr>
        <w:spacing w:line="360" w:lineRule="auto"/>
        <w:ind w:right="335"/>
        <w:jc w:val="both"/>
        <w:rPr>
          <w:rFonts w:ascii="Century Gothic" w:hAnsi="Century Gothic" w:cs="Arial"/>
        </w:rPr>
      </w:pPr>
      <w:r>
        <w:rPr>
          <w:rFonts w:ascii="Century Gothic" w:hAnsi="Century Gothic" w:cs="Arial"/>
        </w:rPr>
        <w:lastRenderedPageBreak/>
        <w:t>Por lo anterior, es que ha quedado establecido el deber jurídico de cuidado que debe tener la autorida</w:t>
      </w:r>
      <w:r w:rsidR="00606A8D">
        <w:rPr>
          <w:rFonts w:ascii="Century Gothic" w:hAnsi="Century Gothic" w:cs="Arial"/>
        </w:rPr>
        <w:t xml:space="preserve">d, ya sea </w:t>
      </w:r>
      <w:r>
        <w:rPr>
          <w:rFonts w:ascii="Century Gothic" w:hAnsi="Century Gothic" w:cs="Arial"/>
        </w:rPr>
        <w:t>administrativa</w:t>
      </w:r>
      <w:r w:rsidR="00606A8D">
        <w:rPr>
          <w:rFonts w:ascii="Century Gothic" w:hAnsi="Century Gothic" w:cs="Arial"/>
        </w:rPr>
        <w:t>, jurisdiccional o</w:t>
      </w:r>
      <w:r>
        <w:rPr>
          <w:rFonts w:ascii="Century Gothic" w:hAnsi="Century Gothic" w:cs="Arial"/>
        </w:rPr>
        <w:t xml:space="preserve"> el Ministerio P</w:t>
      </w:r>
      <w:r w:rsidR="00606A8D">
        <w:rPr>
          <w:rFonts w:ascii="Century Gothic" w:hAnsi="Century Gothic" w:cs="Arial"/>
        </w:rPr>
        <w:t xml:space="preserve">úblico; y cuando lesionan esta disposición, se podría actualizar la hipótesis contemplada en la fracción I del artículo 264 del Código Penal del Estado de Chihuahua que a la letra menciona: </w:t>
      </w:r>
    </w:p>
    <w:p w14:paraId="3DD6976E" w14:textId="77777777" w:rsidR="00606A8D" w:rsidRDefault="00606A8D" w:rsidP="00163B54">
      <w:pPr>
        <w:spacing w:line="360" w:lineRule="auto"/>
        <w:ind w:right="335"/>
        <w:jc w:val="both"/>
        <w:rPr>
          <w:rFonts w:ascii="Century Gothic" w:hAnsi="Century Gothic" w:cs="Arial"/>
        </w:rPr>
      </w:pPr>
    </w:p>
    <w:p w14:paraId="6C7C3DAF" w14:textId="77777777" w:rsidR="00606A8D" w:rsidRPr="00606A8D" w:rsidRDefault="00606A8D" w:rsidP="00606A8D">
      <w:pPr>
        <w:spacing w:line="360" w:lineRule="auto"/>
        <w:ind w:left="851" w:right="1182"/>
        <w:jc w:val="both"/>
        <w:rPr>
          <w:rFonts w:ascii="Century Gothic" w:hAnsi="Century Gothic" w:cs="Arial"/>
          <w:i/>
        </w:rPr>
      </w:pPr>
      <w:r w:rsidRPr="00606A8D">
        <w:rPr>
          <w:rFonts w:ascii="Century Gothic" w:hAnsi="Century Gothic" w:cs="Arial"/>
          <w:i/>
        </w:rPr>
        <w:t xml:space="preserve">Artículo 264. Se impondrá prisión de seis meses a tres años, al servidor público que: </w:t>
      </w:r>
    </w:p>
    <w:p w14:paraId="755763E6" w14:textId="77777777" w:rsidR="00606A8D" w:rsidRPr="00606A8D" w:rsidRDefault="00606A8D" w:rsidP="00606A8D">
      <w:pPr>
        <w:spacing w:line="360" w:lineRule="auto"/>
        <w:ind w:left="851" w:right="1182"/>
        <w:jc w:val="both"/>
        <w:rPr>
          <w:rFonts w:ascii="Century Gothic" w:hAnsi="Century Gothic" w:cs="Arial"/>
          <w:i/>
        </w:rPr>
      </w:pPr>
      <w:r w:rsidRPr="00606A8D">
        <w:rPr>
          <w:rFonts w:ascii="Century Gothic" w:hAnsi="Century Gothic" w:cs="Arial"/>
          <w:i/>
        </w:rPr>
        <w:t>I. Indebidamente niegue o retarde a los particulares la protección, el auxilio o el servicio que tenga obligación de otorgarles; o</w:t>
      </w:r>
    </w:p>
    <w:p w14:paraId="34A05C2D" w14:textId="77777777" w:rsidR="00606A8D" w:rsidRPr="00606A8D" w:rsidRDefault="00606A8D" w:rsidP="00606A8D">
      <w:pPr>
        <w:spacing w:line="360" w:lineRule="auto"/>
        <w:ind w:left="851" w:right="1182"/>
        <w:jc w:val="both"/>
        <w:rPr>
          <w:rFonts w:ascii="Century Gothic" w:hAnsi="Century Gothic" w:cs="Arial"/>
          <w:i/>
        </w:rPr>
      </w:pPr>
      <w:r w:rsidRPr="00606A8D">
        <w:rPr>
          <w:rFonts w:ascii="Century Gothic" w:hAnsi="Century Gothic" w:cs="Arial"/>
          <w:i/>
        </w:rPr>
        <w:t>II. …</w:t>
      </w:r>
    </w:p>
    <w:p w14:paraId="06FCFA4D" w14:textId="77777777" w:rsidR="00EE2D91" w:rsidRDefault="00EE2D91" w:rsidP="00163B54">
      <w:pPr>
        <w:spacing w:line="360" w:lineRule="auto"/>
        <w:ind w:right="335"/>
        <w:jc w:val="both"/>
        <w:rPr>
          <w:rFonts w:ascii="Century Gothic" w:hAnsi="Century Gothic" w:cs="Arial"/>
        </w:rPr>
      </w:pPr>
    </w:p>
    <w:p w14:paraId="479E687B" w14:textId="1D022005" w:rsidR="004334B3" w:rsidRDefault="00197FC0" w:rsidP="00163B54">
      <w:pPr>
        <w:spacing w:line="360" w:lineRule="auto"/>
        <w:ind w:right="335"/>
        <w:jc w:val="both"/>
        <w:rPr>
          <w:rFonts w:ascii="Century Gothic" w:hAnsi="Century Gothic" w:cs="Arial"/>
        </w:rPr>
      </w:pPr>
      <w:r>
        <w:rPr>
          <w:rFonts w:ascii="Century Gothic" w:hAnsi="Century Gothic" w:cs="Arial"/>
        </w:rPr>
        <w:t>De ahí que</w:t>
      </w:r>
      <w:r w:rsidR="004334B3">
        <w:rPr>
          <w:rFonts w:ascii="Century Gothic" w:hAnsi="Century Gothic" w:cs="Arial"/>
        </w:rPr>
        <w:t xml:space="preserve"> podríamos llegar a la conclusión de que la propuesta en este punto se encuentra satisfecha, es decir, sí la autoridad vulnera aquel deber jurídico, se podría actualizar la hipótesis del artículo 264 del Código Penal, por </w:t>
      </w:r>
      <w:proofErr w:type="gramStart"/>
      <w:r w:rsidR="004334B3">
        <w:rPr>
          <w:rFonts w:ascii="Century Gothic" w:hAnsi="Century Gothic" w:cs="Arial"/>
        </w:rPr>
        <w:t>ende</w:t>
      </w:r>
      <w:proofErr w:type="gramEnd"/>
      <w:r w:rsidR="004334B3">
        <w:rPr>
          <w:rFonts w:ascii="Century Gothic" w:hAnsi="Century Gothic" w:cs="Arial"/>
        </w:rPr>
        <w:t xml:space="preserve"> existe la posibilidad de que sea sancionada la persona. </w:t>
      </w:r>
    </w:p>
    <w:p w14:paraId="629A5C3A" w14:textId="77777777" w:rsidR="004334B3" w:rsidRDefault="004334B3" w:rsidP="00163B54">
      <w:pPr>
        <w:spacing w:line="360" w:lineRule="auto"/>
        <w:ind w:right="335"/>
        <w:jc w:val="both"/>
        <w:rPr>
          <w:rFonts w:ascii="Century Gothic" w:hAnsi="Century Gothic" w:cs="Arial"/>
        </w:rPr>
      </w:pPr>
    </w:p>
    <w:p w14:paraId="60A414A3" w14:textId="2786269D" w:rsidR="00741892" w:rsidRDefault="004334B3" w:rsidP="00163B54">
      <w:pPr>
        <w:spacing w:line="360" w:lineRule="auto"/>
        <w:ind w:right="335"/>
        <w:jc w:val="both"/>
        <w:rPr>
          <w:rFonts w:ascii="Century Gothic" w:hAnsi="Century Gothic" w:cs="Arial"/>
        </w:rPr>
      </w:pPr>
      <w:r w:rsidRPr="00B40D94">
        <w:rPr>
          <w:rFonts w:ascii="Century Gothic" w:hAnsi="Century Gothic" w:cs="Arial"/>
          <w:b/>
          <w:bCs/>
        </w:rPr>
        <w:t>D.</w:t>
      </w:r>
      <w:r>
        <w:rPr>
          <w:rFonts w:ascii="Century Gothic" w:hAnsi="Century Gothic" w:cs="Arial"/>
        </w:rPr>
        <w:t xml:space="preserve"> </w:t>
      </w:r>
      <w:r w:rsidR="008D3A78">
        <w:rPr>
          <w:rFonts w:ascii="Century Gothic" w:hAnsi="Century Gothic" w:cs="Arial"/>
        </w:rPr>
        <w:t>Sin embargo, debemos tomar en consideración que históricamente las mujeres en México y en el mundo han sido violentadas, creándose una brecha de desigualdad; tan es así que la Encuesta Nacional sobre la Dinámica de las Relaciones en los Hogares (ENDIRE</w:t>
      </w:r>
      <w:r w:rsidR="00741892">
        <w:rPr>
          <w:rFonts w:ascii="Century Gothic" w:hAnsi="Century Gothic" w:cs="Arial"/>
        </w:rPr>
        <w:t xml:space="preserve">H) 2016, nos menciona que el 61.1% de las </w:t>
      </w:r>
      <w:r w:rsidR="00741892">
        <w:rPr>
          <w:rFonts w:ascii="Century Gothic" w:hAnsi="Century Gothic" w:cs="Arial"/>
        </w:rPr>
        <w:lastRenderedPageBreak/>
        <w:t>mujeres de más de 15 años, han sufrido al menos un incidente de violencia a lo largo de su vida</w:t>
      </w:r>
      <w:r w:rsidR="00741892">
        <w:rPr>
          <w:rStyle w:val="Refdenotaalpie"/>
          <w:rFonts w:ascii="Century Gothic" w:hAnsi="Century Gothic" w:cs="Arial"/>
        </w:rPr>
        <w:footnoteReference w:id="12"/>
      </w:r>
      <w:r w:rsidR="00741892">
        <w:rPr>
          <w:rFonts w:ascii="Century Gothic" w:hAnsi="Century Gothic" w:cs="Arial"/>
        </w:rPr>
        <w:t>; violencia de cualquier tipo</w:t>
      </w:r>
      <w:r w:rsidR="00CC2483">
        <w:rPr>
          <w:rStyle w:val="Refdenotaalpie"/>
          <w:rFonts w:ascii="Century Gothic" w:hAnsi="Century Gothic" w:cs="Arial"/>
        </w:rPr>
        <w:footnoteReference w:id="13"/>
      </w:r>
      <w:r w:rsidR="00741892">
        <w:rPr>
          <w:rFonts w:ascii="Century Gothic" w:hAnsi="Century Gothic" w:cs="Arial"/>
        </w:rPr>
        <w:t xml:space="preserve">, en </w:t>
      </w:r>
      <w:r w:rsidR="00B40D94">
        <w:rPr>
          <w:rFonts w:ascii="Century Gothic" w:hAnsi="Century Gothic" w:cs="Arial"/>
        </w:rPr>
        <w:t>cualquier ámbito</w:t>
      </w:r>
      <w:r w:rsidR="00CC2483">
        <w:rPr>
          <w:rStyle w:val="Refdenotaalpie"/>
          <w:rFonts w:ascii="Century Gothic" w:hAnsi="Century Gothic" w:cs="Arial"/>
        </w:rPr>
        <w:footnoteReference w:id="14"/>
      </w:r>
      <w:r w:rsidR="00741892">
        <w:rPr>
          <w:rFonts w:ascii="Century Gothic" w:hAnsi="Century Gothic" w:cs="Arial"/>
        </w:rPr>
        <w:t xml:space="preserve">. </w:t>
      </w:r>
    </w:p>
    <w:p w14:paraId="6084121A" w14:textId="090C2B58" w:rsidR="00B40D94" w:rsidRDefault="00B40D94" w:rsidP="00163B54">
      <w:pPr>
        <w:spacing w:line="360" w:lineRule="auto"/>
        <w:ind w:right="335"/>
        <w:jc w:val="both"/>
        <w:rPr>
          <w:rFonts w:ascii="Century Gothic" w:hAnsi="Century Gothic" w:cs="Arial"/>
        </w:rPr>
      </w:pPr>
    </w:p>
    <w:p w14:paraId="590F0552" w14:textId="1B9B32C1" w:rsidR="00A72A22" w:rsidRDefault="00B40D94" w:rsidP="00163B54">
      <w:pPr>
        <w:spacing w:line="360" w:lineRule="auto"/>
        <w:ind w:right="335"/>
        <w:jc w:val="both"/>
        <w:rPr>
          <w:rFonts w:ascii="Century Gothic" w:hAnsi="Century Gothic" w:cs="Arial"/>
        </w:rPr>
      </w:pPr>
      <w:r>
        <w:rPr>
          <w:rFonts w:ascii="Century Gothic" w:hAnsi="Century Gothic" w:cs="Arial"/>
        </w:rPr>
        <w:t xml:space="preserve">Lo cual ha llevado a realizar diversas adecuaciones normativas jurídicas para coadyuvar en el cierre </w:t>
      </w:r>
      <w:r w:rsidR="0084460D">
        <w:rPr>
          <w:rFonts w:ascii="Century Gothic" w:hAnsi="Century Gothic" w:cs="Arial"/>
        </w:rPr>
        <w:t>de aquella</w:t>
      </w:r>
      <w:r>
        <w:rPr>
          <w:rFonts w:ascii="Century Gothic" w:hAnsi="Century Gothic" w:cs="Arial"/>
        </w:rPr>
        <w:t xml:space="preserve"> brecha y estar en aptitud de poder garantizar a las mujeres una vida libre de violencia; </w:t>
      </w:r>
      <w:r w:rsidR="00A72A22">
        <w:rPr>
          <w:rFonts w:ascii="Century Gothic" w:hAnsi="Century Gothic" w:cs="Arial"/>
        </w:rPr>
        <w:t xml:space="preserve">tan es así, que ese impulso legislativo lo podemos visualizar en la Ley General de Acceso de las Mujeres a una Vida Libre de Violencia, en el artículo 49, fracción XX, misma que obliga a las entidades federativas a </w:t>
      </w:r>
      <w:r w:rsidR="00F53E64">
        <w:rPr>
          <w:rFonts w:ascii="Century Gothic" w:hAnsi="Century Gothic" w:cs="Arial"/>
        </w:rPr>
        <w:t>promover</w:t>
      </w:r>
      <w:r w:rsidR="00A72A22">
        <w:rPr>
          <w:rFonts w:ascii="Century Gothic" w:hAnsi="Century Gothic" w:cs="Arial"/>
        </w:rPr>
        <w:t xml:space="preserve"> reformas para cumplir los objetivos de la Ley, </w:t>
      </w:r>
      <w:r w:rsidR="00F53E64">
        <w:rPr>
          <w:rFonts w:ascii="Century Gothic" w:hAnsi="Century Gothic" w:cs="Arial"/>
        </w:rPr>
        <w:t>y</w:t>
      </w:r>
      <w:r w:rsidR="00A72A22">
        <w:rPr>
          <w:rFonts w:ascii="Century Gothic" w:hAnsi="Century Gothic" w:cs="Arial"/>
        </w:rPr>
        <w:t xml:space="preserve"> </w:t>
      </w:r>
      <w:r w:rsidR="00A72A22" w:rsidRPr="0084460D">
        <w:rPr>
          <w:rFonts w:ascii="Century Gothic" w:hAnsi="Century Gothic" w:cs="Arial"/>
          <w:i/>
          <w:iCs/>
        </w:rPr>
        <w:t xml:space="preserve">establecer como agravantes los </w:t>
      </w:r>
      <w:r w:rsidR="0084460D" w:rsidRPr="0084460D">
        <w:rPr>
          <w:rFonts w:ascii="Century Gothic" w:hAnsi="Century Gothic" w:cs="Arial"/>
          <w:i/>
          <w:iCs/>
        </w:rPr>
        <w:t>delitos contra la vida y la integridad cuando estos sean cometidos contra mujeres, por su condición de género</w:t>
      </w:r>
      <w:r w:rsidR="0084460D">
        <w:rPr>
          <w:rFonts w:ascii="Century Gothic" w:hAnsi="Century Gothic" w:cs="Arial"/>
          <w:i/>
          <w:iCs/>
        </w:rPr>
        <w:t>.</w:t>
      </w:r>
      <w:r w:rsidR="0084460D">
        <w:rPr>
          <w:rStyle w:val="Refdenotaalpie"/>
          <w:rFonts w:ascii="Century Gothic" w:hAnsi="Century Gothic" w:cs="Arial"/>
          <w:i/>
          <w:iCs/>
        </w:rPr>
        <w:footnoteReference w:id="15"/>
      </w:r>
      <w:r w:rsidR="00A72A22">
        <w:rPr>
          <w:rFonts w:ascii="Century Gothic" w:hAnsi="Century Gothic" w:cs="Arial"/>
        </w:rPr>
        <w:t xml:space="preserve"> </w:t>
      </w:r>
    </w:p>
    <w:p w14:paraId="42710D55" w14:textId="5925786A" w:rsidR="0084460D" w:rsidRDefault="0084460D" w:rsidP="00163B54">
      <w:pPr>
        <w:spacing w:line="360" w:lineRule="auto"/>
        <w:ind w:right="335"/>
        <w:jc w:val="both"/>
        <w:rPr>
          <w:rFonts w:ascii="Century Gothic" w:hAnsi="Century Gothic" w:cs="Arial"/>
        </w:rPr>
      </w:pPr>
    </w:p>
    <w:p w14:paraId="0D895CBE" w14:textId="0D2950E9" w:rsidR="0084460D" w:rsidRDefault="0084460D" w:rsidP="00163B54">
      <w:pPr>
        <w:spacing w:line="360" w:lineRule="auto"/>
        <w:ind w:right="335"/>
        <w:jc w:val="both"/>
        <w:rPr>
          <w:rFonts w:ascii="Century Gothic" w:hAnsi="Century Gothic" w:cs="Arial"/>
        </w:rPr>
      </w:pPr>
      <w:r>
        <w:rPr>
          <w:rFonts w:ascii="Century Gothic" w:hAnsi="Century Gothic" w:cs="Arial"/>
        </w:rPr>
        <w:t xml:space="preserve">Y parte de los objetivos de la Ley General, es el establecimiento de las medias de protección a las víctimas, </w:t>
      </w:r>
      <w:r w:rsidR="00505D71">
        <w:rPr>
          <w:rFonts w:ascii="Century Gothic" w:hAnsi="Century Gothic" w:cs="Arial"/>
        </w:rPr>
        <w:t xml:space="preserve">por eso es </w:t>
      </w:r>
      <w:r w:rsidR="00287728">
        <w:rPr>
          <w:rFonts w:ascii="Century Gothic" w:hAnsi="Century Gothic" w:cs="Arial"/>
        </w:rPr>
        <w:t>que,</w:t>
      </w:r>
      <w:r w:rsidR="00505D71">
        <w:rPr>
          <w:rFonts w:ascii="Century Gothic" w:hAnsi="Century Gothic" w:cs="Arial"/>
        </w:rPr>
        <w:t xml:space="preserve"> como entidad federativa tenemos la obligación de crear normas instrumentales o complementarias que permitan cumplir con los objetivos de la Ley.</w:t>
      </w:r>
    </w:p>
    <w:p w14:paraId="7B5E808B" w14:textId="7376604F" w:rsidR="00505D71" w:rsidRDefault="00505D71" w:rsidP="00163B54">
      <w:pPr>
        <w:spacing w:line="360" w:lineRule="auto"/>
        <w:ind w:right="335"/>
        <w:jc w:val="both"/>
        <w:rPr>
          <w:rFonts w:ascii="Century Gothic" w:hAnsi="Century Gothic" w:cs="Arial"/>
        </w:rPr>
      </w:pPr>
    </w:p>
    <w:p w14:paraId="7BEB836B" w14:textId="0511C1D5" w:rsidR="00303CDD" w:rsidRDefault="00505D71" w:rsidP="00163B54">
      <w:pPr>
        <w:spacing w:line="360" w:lineRule="auto"/>
        <w:ind w:right="335"/>
        <w:jc w:val="both"/>
        <w:rPr>
          <w:rFonts w:ascii="Century Gothic" w:hAnsi="Century Gothic" w:cs="Arial"/>
        </w:rPr>
      </w:pPr>
      <w:r>
        <w:rPr>
          <w:rFonts w:ascii="Century Gothic" w:hAnsi="Century Gothic" w:cs="Arial"/>
        </w:rPr>
        <w:t xml:space="preserve">En relación con las medias de protección, sabemos que existe tanto el deber como el </w:t>
      </w:r>
      <w:r w:rsidR="00287728">
        <w:rPr>
          <w:rFonts w:ascii="Century Gothic" w:hAnsi="Century Gothic" w:cs="Arial"/>
        </w:rPr>
        <w:t>derecho bien establecido</w:t>
      </w:r>
      <w:r>
        <w:rPr>
          <w:rFonts w:ascii="Century Gothic" w:hAnsi="Century Gothic" w:cs="Arial"/>
        </w:rPr>
        <w:t xml:space="preserve"> en la norma jurídica; y en caso de que se </w:t>
      </w:r>
      <w:r>
        <w:rPr>
          <w:rFonts w:ascii="Century Gothic" w:hAnsi="Century Gothic" w:cs="Arial"/>
        </w:rPr>
        <w:lastRenderedPageBreak/>
        <w:t xml:space="preserve">vulnere, también podría existir una sanción penal; sin </w:t>
      </w:r>
      <w:r w:rsidR="00303CDD">
        <w:rPr>
          <w:rFonts w:ascii="Century Gothic" w:hAnsi="Century Gothic" w:cs="Arial"/>
        </w:rPr>
        <w:t>embargo,</w:t>
      </w:r>
      <w:r w:rsidR="004163A5">
        <w:rPr>
          <w:rFonts w:ascii="Century Gothic" w:hAnsi="Century Gothic" w:cs="Arial"/>
        </w:rPr>
        <w:t xml:space="preserve"> consideramos necesario hacer una distinción que agrave la pena en estos casos específicos. </w:t>
      </w:r>
    </w:p>
    <w:p w14:paraId="1545AAEC" w14:textId="2CBAEF76" w:rsidR="002409EA" w:rsidRDefault="002409EA" w:rsidP="00163B54">
      <w:pPr>
        <w:spacing w:line="360" w:lineRule="auto"/>
        <w:ind w:right="335"/>
        <w:jc w:val="both"/>
        <w:rPr>
          <w:rFonts w:ascii="Century Gothic" w:hAnsi="Century Gothic" w:cs="Arial"/>
        </w:rPr>
      </w:pPr>
    </w:p>
    <w:p w14:paraId="2FAC2D9E" w14:textId="5EA07ED4" w:rsidR="00C8606B" w:rsidRPr="00C8606B" w:rsidRDefault="002409EA" w:rsidP="00C8606B">
      <w:pPr>
        <w:spacing w:line="360" w:lineRule="auto"/>
        <w:ind w:right="335"/>
        <w:jc w:val="both"/>
        <w:rPr>
          <w:rFonts w:ascii="Century Gothic" w:hAnsi="Century Gothic" w:cs="Arial"/>
        </w:rPr>
      </w:pPr>
      <w:r w:rsidRPr="002409EA">
        <w:rPr>
          <w:rFonts w:ascii="Century Gothic" w:hAnsi="Century Gothic" w:cs="Arial"/>
          <w:b/>
          <w:bCs/>
        </w:rPr>
        <w:t>E.</w:t>
      </w:r>
      <w:r>
        <w:rPr>
          <w:rFonts w:ascii="Century Gothic" w:hAnsi="Century Gothic" w:cs="Arial"/>
        </w:rPr>
        <w:t xml:space="preserve"> Como ya </w:t>
      </w:r>
      <w:r w:rsidR="00A56B5B">
        <w:rPr>
          <w:rFonts w:ascii="Century Gothic" w:hAnsi="Century Gothic" w:cs="Arial"/>
        </w:rPr>
        <w:t>se mencionó</w:t>
      </w:r>
      <w:r>
        <w:rPr>
          <w:rFonts w:ascii="Century Gothic" w:hAnsi="Century Gothic" w:cs="Arial"/>
        </w:rPr>
        <w:t xml:space="preserve">, se han implementado diversas </w:t>
      </w:r>
      <w:r w:rsidR="00C8606B">
        <w:rPr>
          <w:rFonts w:ascii="Century Gothic" w:hAnsi="Century Gothic" w:cs="Arial"/>
        </w:rPr>
        <w:t>disposiciones</w:t>
      </w:r>
      <w:r>
        <w:rPr>
          <w:rFonts w:ascii="Century Gothic" w:hAnsi="Century Gothic" w:cs="Arial"/>
        </w:rPr>
        <w:t xml:space="preserve"> a efecto de proteger a este grupo históricamente desventajado</w:t>
      </w:r>
      <w:r w:rsidR="00C8606B">
        <w:rPr>
          <w:rFonts w:ascii="Century Gothic" w:hAnsi="Century Gothic" w:cs="Arial"/>
        </w:rPr>
        <w:t xml:space="preserve">, como lo establecido en el inciso c), del artículo 2 de la Convención Sobre la Eliminación de Todas las Formas de Discriminación Contra la Mujer, al referir que los estados parte se comprometen a efecto de </w:t>
      </w:r>
      <w:r w:rsidR="00BD0A00">
        <w:rPr>
          <w:rFonts w:ascii="Century Gothic" w:hAnsi="Century Gothic" w:cs="Arial"/>
        </w:rPr>
        <w:t>instituir</w:t>
      </w:r>
      <w:r w:rsidR="00C8606B">
        <w:rPr>
          <w:rFonts w:ascii="Century Gothic" w:hAnsi="Century Gothic" w:cs="Arial"/>
        </w:rPr>
        <w:t xml:space="preserve"> políticas encaminadas a eliminar la discriminación contra la mujer</w:t>
      </w:r>
      <w:r w:rsidR="00F53E64">
        <w:rPr>
          <w:rFonts w:ascii="Century Gothic" w:hAnsi="Century Gothic" w:cs="Arial"/>
        </w:rPr>
        <w:t>, entre otros aspectos</w:t>
      </w:r>
      <w:r w:rsidR="00C8606B">
        <w:rPr>
          <w:rFonts w:ascii="Century Gothic" w:hAnsi="Century Gothic" w:cs="Arial"/>
        </w:rPr>
        <w:t xml:space="preserve"> a: </w:t>
      </w:r>
      <w:r w:rsidR="00C8606B" w:rsidRPr="00C8606B">
        <w:rPr>
          <w:rFonts w:ascii="Century Gothic" w:hAnsi="Century Gothic" w:cs="Arial"/>
        </w:rPr>
        <w:t xml:space="preserve"> </w:t>
      </w:r>
      <w:r w:rsidR="00C8606B" w:rsidRPr="00C8606B">
        <w:rPr>
          <w:rFonts w:ascii="Century Gothic" w:hAnsi="Century Gothic" w:cs="Arial"/>
          <w:i/>
          <w:iCs/>
        </w:rPr>
        <w:t>c) Establecer la protección jurídica de los derechos de la mujer sobre una base de igualdad con los del hombre y garantizar, por conducto de los tribunales nacionales competentes y de otras instituciones públicas, la protección efectiva de la mujer contra todo acto de discriminación</w:t>
      </w:r>
      <w:r w:rsidR="00C8606B" w:rsidRPr="00C8606B">
        <w:rPr>
          <w:rFonts w:ascii="Century Gothic" w:hAnsi="Century Gothic" w:cs="Arial"/>
        </w:rPr>
        <w:t>;</w:t>
      </w:r>
    </w:p>
    <w:p w14:paraId="02A7E3CF" w14:textId="30368726" w:rsidR="00C8606B" w:rsidRDefault="00C8606B" w:rsidP="00163B54">
      <w:pPr>
        <w:spacing w:line="360" w:lineRule="auto"/>
        <w:ind w:right="335"/>
        <w:jc w:val="both"/>
        <w:rPr>
          <w:rFonts w:ascii="Century Gothic" w:hAnsi="Century Gothic" w:cs="Arial"/>
        </w:rPr>
      </w:pPr>
    </w:p>
    <w:p w14:paraId="0E570D55" w14:textId="6AA9C550" w:rsidR="00314CD4" w:rsidRDefault="00314CD4" w:rsidP="00163B54">
      <w:pPr>
        <w:spacing w:line="360" w:lineRule="auto"/>
        <w:ind w:right="335"/>
        <w:jc w:val="both"/>
        <w:rPr>
          <w:rFonts w:ascii="Century Gothic" w:hAnsi="Century Gothic" w:cs="Arial"/>
        </w:rPr>
      </w:pPr>
      <w:r>
        <w:rPr>
          <w:rFonts w:ascii="Century Gothic" w:hAnsi="Century Gothic" w:cs="Arial"/>
        </w:rPr>
        <w:t xml:space="preserve">En armonía se encuentran las fracciones V, segundo párrafo y VI, del apartado C, del artículo 20 de la Constitución Política de los Estados Unidos Mexicanos, que establece la obligación </w:t>
      </w:r>
      <w:r w:rsidR="00C726AE">
        <w:rPr>
          <w:rFonts w:ascii="Century Gothic" w:hAnsi="Century Gothic" w:cs="Arial"/>
        </w:rPr>
        <w:t>ministerial</w:t>
      </w:r>
      <w:r>
        <w:rPr>
          <w:rFonts w:ascii="Century Gothic" w:hAnsi="Century Gothic" w:cs="Arial"/>
        </w:rPr>
        <w:t xml:space="preserve"> de proteger a las </w:t>
      </w:r>
      <w:r w:rsidR="00C726AE">
        <w:rPr>
          <w:rFonts w:ascii="Century Gothic" w:hAnsi="Century Gothic" w:cs="Arial"/>
        </w:rPr>
        <w:t>v</w:t>
      </w:r>
      <w:r>
        <w:rPr>
          <w:rFonts w:ascii="Century Gothic" w:hAnsi="Century Gothic" w:cs="Arial"/>
        </w:rPr>
        <w:t>íctimas</w:t>
      </w:r>
      <w:r w:rsidR="00C726AE">
        <w:rPr>
          <w:rFonts w:ascii="Century Gothic" w:hAnsi="Century Gothic" w:cs="Arial"/>
        </w:rPr>
        <w:t>, así como el derecho que tienen para que el Estado tome las medidas idóneas que las protejan.</w:t>
      </w:r>
      <w:r w:rsidR="00C726AE">
        <w:rPr>
          <w:rStyle w:val="Refdenotaalpie"/>
          <w:rFonts w:ascii="Century Gothic" w:hAnsi="Century Gothic" w:cs="Arial"/>
        </w:rPr>
        <w:footnoteReference w:id="16"/>
      </w:r>
      <w:r w:rsidR="00C726AE">
        <w:rPr>
          <w:rFonts w:ascii="Century Gothic" w:hAnsi="Century Gothic" w:cs="Arial"/>
        </w:rPr>
        <w:t xml:space="preserve">  </w:t>
      </w:r>
    </w:p>
    <w:p w14:paraId="0E037578" w14:textId="35BE232F" w:rsidR="00D82E50" w:rsidRDefault="00D82E50" w:rsidP="00163B54">
      <w:pPr>
        <w:spacing w:line="360" w:lineRule="auto"/>
        <w:ind w:right="335"/>
        <w:jc w:val="both"/>
        <w:rPr>
          <w:rFonts w:ascii="Century Gothic" w:hAnsi="Century Gothic" w:cs="Arial"/>
        </w:rPr>
      </w:pPr>
    </w:p>
    <w:p w14:paraId="5A588A74" w14:textId="03D281EA" w:rsidR="00D82E50" w:rsidRDefault="00D82E50" w:rsidP="00163B54">
      <w:pPr>
        <w:spacing w:line="360" w:lineRule="auto"/>
        <w:ind w:right="335"/>
        <w:jc w:val="both"/>
        <w:rPr>
          <w:rFonts w:ascii="Century Gothic" w:hAnsi="Century Gothic" w:cs="Arial"/>
        </w:rPr>
      </w:pPr>
      <w:r>
        <w:rPr>
          <w:rFonts w:ascii="Century Gothic" w:hAnsi="Century Gothic" w:cs="Arial"/>
        </w:rPr>
        <w:t xml:space="preserve">Ampliado con </w:t>
      </w:r>
      <w:r w:rsidR="00392891">
        <w:rPr>
          <w:rFonts w:ascii="Century Gothic" w:hAnsi="Century Gothic" w:cs="Arial"/>
        </w:rPr>
        <w:t>lo establecido en las fracciones XVI y XIX del Código Nacional de Procedimientos Penales, en donde se menciona que</w:t>
      </w:r>
      <w:r w:rsidR="00BD0A00">
        <w:rPr>
          <w:rFonts w:ascii="Century Gothic" w:hAnsi="Century Gothic" w:cs="Arial"/>
        </w:rPr>
        <w:t xml:space="preserve"> tanto</w:t>
      </w:r>
      <w:r w:rsidR="00392891">
        <w:rPr>
          <w:rFonts w:ascii="Century Gothic" w:hAnsi="Century Gothic" w:cs="Arial"/>
        </w:rPr>
        <w:t xml:space="preserve"> las victimas como ofendidos tienen derecho a la protección cuando exista riego para su vida o integridad personal</w:t>
      </w:r>
      <w:r w:rsidR="00392891">
        <w:rPr>
          <w:rStyle w:val="Refdenotaalpie"/>
          <w:rFonts w:ascii="Century Gothic" w:hAnsi="Century Gothic" w:cs="Arial"/>
        </w:rPr>
        <w:footnoteReference w:id="17"/>
      </w:r>
      <w:r w:rsidR="00392891">
        <w:rPr>
          <w:rFonts w:ascii="Century Gothic" w:hAnsi="Century Gothic" w:cs="Arial"/>
        </w:rPr>
        <w:t>.</w:t>
      </w:r>
    </w:p>
    <w:p w14:paraId="7584CCEE" w14:textId="02B6CEAF" w:rsidR="00392891" w:rsidRDefault="00392891" w:rsidP="00163B54">
      <w:pPr>
        <w:spacing w:line="360" w:lineRule="auto"/>
        <w:ind w:right="335"/>
        <w:jc w:val="both"/>
        <w:rPr>
          <w:rFonts w:ascii="Century Gothic" w:hAnsi="Century Gothic" w:cs="Arial"/>
        </w:rPr>
      </w:pPr>
    </w:p>
    <w:p w14:paraId="3A23CBBE" w14:textId="4A04B714" w:rsidR="00392891" w:rsidRDefault="00392891" w:rsidP="00163B54">
      <w:pPr>
        <w:spacing w:line="360" w:lineRule="auto"/>
        <w:ind w:right="335"/>
        <w:jc w:val="both"/>
        <w:rPr>
          <w:rFonts w:ascii="Century Gothic" w:hAnsi="Century Gothic" w:cs="Arial"/>
        </w:rPr>
      </w:pPr>
      <w:r>
        <w:rPr>
          <w:rFonts w:ascii="Century Gothic" w:hAnsi="Century Gothic" w:cs="Arial"/>
        </w:rPr>
        <w:t xml:space="preserve">Reglamentado en </w:t>
      </w:r>
      <w:r w:rsidR="00087799">
        <w:rPr>
          <w:rFonts w:ascii="Century Gothic" w:hAnsi="Century Gothic" w:cs="Arial"/>
        </w:rPr>
        <w:t xml:space="preserve">el Capítulo I, del Título VI del Código Nacional adjetivo, a partir de su artículo 137, mismo que en su último párrafo crea una distinción que a la letra </w:t>
      </w:r>
      <w:r w:rsidR="00854ECC">
        <w:rPr>
          <w:rFonts w:ascii="Century Gothic" w:hAnsi="Century Gothic" w:cs="Arial"/>
        </w:rPr>
        <w:t>menciona</w:t>
      </w:r>
      <w:r w:rsidR="00087799">
        <w:rPr>
          <w:rFonts w:ascii="Century Gothic" w:hAnsi="Century Gothic" w:cs="Arial"/>
        </w:rPr>
        <w:t>:</w:t>
      </w:r>
    </w:p>
    <w:p w14:paraId="5725D1EA" w14:textId="57800F2D" w:rsidR="00F53E64" w:rsidRDefault="00F53E64" w:rsidP="00163B54">
      <w:pPr>
        <w:spacing w:line="360" w:lineRule="auto"/>
        <w:ind w:right="335"/>
        <w:jc w:val="both"/>
        <w:rPr>
          <w:rFonts w:ascii="Century Gothic" w:hAnsi="Century Gothic" w:cs="Arial"/>
        </w:rPr>
      </w:pPr>
    </w:p>
    <w:p w14:paraId="447978AB" w14:textId="6C7D6E50" w:rsidR="00392891" w:rsidRPr="00087799" w:rsidRDefault="00087799" w:rsidP="00087799">
      <w:pPr>
        <w:spacing w:line="360" w:lineRule="auto"/>
        <w:ind w:left="851" w:right="1182"/>
        <w:jc w:val="both"/>
        <w:rPr>
          <w:rFonts w:ascii="Century Gothic" w:hAnsi="Century Gothic" w:cs="Arial"/>
          <w:i/>
          <w:iCs/>
        </w:rPr>
      </w:pPr>
      <w:r w:rsidRPr="00087799">
        <w:rPr>
          <w:rFonts w:ascii="Century Gothic" w:hAnsi="Century Gothic" w:cs="Arial"/>
          <w:i/>
          <w:iCs/>
        </w:rPr>
        <w:t>En la aplicación de estas medidas tratándose de delitos por razón de género, se aplicarán de manera supletoria la Ley General de Acceso de las Mujeres a una Vida Libre de Violencia</w:t>
      </w:r>
    </w:p>
    <w:p w14:paraId="291B64E4" w14:textId="77777777" w:rsidR="00392891" w:rsidRDefault="00392891" w:rsidP="00163B54">
      <w:pPr>
        <w:spacing w:line="360" w:lineRule="auto"/>
        <w:ind w:right="335"/>
        <w:jc w:val="both"/>
        <w:rPr>
          <w:rFonts w:ascii="Century Gothic" w:hAnsi="Century Gothic" w:cs="Arial"/>
        </w:rPr>
      </w:pPr>
    </w:p>
    <w:p w14:paraId="2BE365D9" w14:textId="77777777" w:rsidR="001D44E1" w:rsidRDefault="00854ECC" w:rsidP="00163B54">
      <w:pPr>
        <w:spacing w:line="360" w:lineRule="auto"/>
        <w:ind w:right="335"/>
        <w:jc w:val="both"/>
        <w:rPr>
          <w:rFonts w:ascii="Century Gothic" w:hAnsi="Century Gothic" w:cs="Arial"/>
        </w:rPr>
      </w:pPr>
      <w:r>
        <w:rPr>
          <w:rFonts w:ascii="Century Gothic" w:hAnsi="Century Gothic" w:cs="Arial"/>
        </w:rPr>
        <w:t>Distinción que obliga a las autoridades administrativas, ministeriales y jurisdiccionales a razonar oficiosamente el establecimiento de alguna media de protección.</w:t>
      </w:r>
    </w:p>
    <w:p w14:paraId="67667A07" w14:textId="77777777" w:rsidR="001D44E1" w:rsidRDefault="001D44E1" w:rsidP="00163B54">
      <w:pPr>
        <w:spacing w:line="360" w:lineRule="auto"/>
        <w:ind w:right="335"/>
        <w:jc w:val="both"/>
        <w:rPr>
          <w:rFonts w:ascii="Century Gothic" w:hAnsi="Century Gothic" w:cs="Arial"/>
        </w:rPr>
      </w:pPr>
    </w:p>
    <w:p w14:paraId="0EEBE63C" w14:textId="77777777" w:rsidR="001D44E1" w:rsidRDefault="001D44E1" w:rsidP="00163B54">
      <w:pPr>
        <w:spacing w:line="360" w:lineRule="auto"/>
        <w:ind w:right="335"/>
        <w:jc w:val="both"/>
        <w:rPr>
          <w:rFonts w:ascii="Century Gothic" w:hAnsi="Century Gothic" w:cs="Arial"/>
        </w:rPr>
      </w:pPr>
      <w:r>
        <w:rPr>
          <w:rFonts w:ascii="Century Gothic" w:hAnsi="Century Gothic" w:cs="Arial"/>
        </w:rPr>
        <w:t xml:space="preserve">De ahí que, como ya se ha venido mencionando, el deber jurídico para la autoridad existe, y la posible sanción penal en caso de incumplimiento también. </w:t>
      </w:r>
    </w:p>
    <w:p w14:paraId="240AB4B1" w14:textId="77777777" w:rsidR="001D44E1" w:rsidRDefault="001D44E1" w:rsidP="00163B54">
      <w:pPr>
        <w:spacing w:line="360" w:lineRule="auto"/>
        <w:ind w:right="335"/>
        <w:jc w:val="both"/>
        <w:rPr>
          <w:rFonts w:ascii="Century Gothic" w:hAnsi="Century Gothic" w:cs="Arial"/>
        </w:rPr>
      </w:pPr>
    </w:p>
    <w:p w14:paraId="60F03EC0" w14:textId="38EDFC8D" w:rsidR="00F53E64" w:rsidRDefault="001D44E1" w:rsidP="00163B54">
      <w:pPr>
        <w:spacing w:line="360" w:lineRule="auto"/>
        <w:ind w:right="335"/>
        <w:jc w:val="both"/>
        <w:rPr>
          <w:rFonts w:ascii="Century Gothic" w:hAnsi="Century Gothic" w:cs="Arial"/>
        </w:rPr>
      </w:pPr>
      <w:r w:rsidRPr="001D44E1">
        <w:rPr>
          <w:rFonts w:ascii="Century Gothic" w:hAnsi="Century Gothic" w:cs="Arial"/>
          <w:b/>
          <w:bCs/>
        </w:rPr>
        <w:t>F.</w:t>
      </w:r>
      <w:r>
        <w:rPr>
          <w:rFonts w:ascii="Century Gothic" w:hAnsi="Century Gothic" w:cs="Arial"/>
        </w:rPr>
        <w:t xml:space="preserve"> Empero, derivado de todo lo anterior, consideramos pertinente dentro de un ambiente normativo instrumental</w:t>
      </w:r>
      <w:r w:rsidR="007C4279">
        <w:rPr>
          <w:rFonts w:ascii="Century Gothic" w:hAnsi="Century Gothic" w:cs="Arial"/>
        </w:rPr>
        <w:t>, es decir, disposiciones que den efectividad a las medidas de protección</w:t>
      </w:r>
      <w:r w:rsidR="009235AB">
        <w:rPr>
          <w:rStyle w:val="Refdenotaalpie"/>
          <w:rFonts w:ascii="Century Gothic" w:hAnsi="Century Gothic" w:cs="Arial"/>
        </w:rPr>
        <w:footnoteReference w:id="18"/>
      </w:r>
      <w:r w:rsidR="007C4279">
        <w:rPr>
          <w:rFonts w:ascii="Century Gothic" w:hAnsi="Century Gothic" w:cs="Arial"/>
        </w:rPr>
        <w:t>, crear una distinción legislativa</w:t>
      </w:r>
      <w:r w:rsidR="00030F31">
        <w:rPr>
          <w:rStyle w:val="Refdenotaalpie"/>
          <w:rFonts w:ascii="Century Gothic" w:hAnsi="Century Gothic" w:cs="Arial"/>
        </w:rPr>
        <w:footnoteReference w:id="19"/>
      </w:r>
      <w:r w:rsidR="007C4279">
        <w:rPr>
          <w:rFonts w:ascii="Century Gothic" w:hAnsi="Century Gothic" w:cs="Arial"/>
        </w:rPr>
        <w:t xml:space="preserve"> para sancionar con </w:t>
      </w:r>
      <w:r w:rsidR="00BD0A00">
        <w:rPr>
          <w:rFonts w:ascii="Century Gothic" w:hAnsi="Century Gothic" w:cs="Arial"/>
        </w:rPr>
        <w:t>más</w:t>
      </w:r>
      <w:r w:rsidR="007C4279">
        <w:rPr>
          <w:rFonts w:ascii="Century Gothic" w:hAnsi="Century Gothic" w:cs="Arial"/>
        </w:rPr>
        <w:t xml:space="preserve"> severidad a la autoridad que vulnere el derecho de las mujeres víctimas de delitos en razón de género</w:t>
      </w:r>
      <w:r w:rsidR="000D022B">
        <w:rPr>
          <w:rFonts w:ascii="Century Gothic" w:hAnsi="Century Gothic" w:cs="Arial"/>
        </w:rPr>
        <w:t>,</w:t>
      </w:r>
      <w:r w:rsidR="007C4279">
        <w:rPr>
          <w:rFonts w:ascii="Century Gothic" w:hAnsi="Century Gothic" w:cs="Arial"/>
        </w:rPr>
        <w:t xml:space="preserve"> a recibir la protección idónea. </w:t>
      </w:r>
    </w:p>
    <w:p w14:paraId="021ABA6D" w14:textId="566EABC8" w:rsidR="007C4279" w:rsidRDefault="007C4279" w:rsidP="00163B54">
      <w:pPr>
        <w:spacing w:line="360" w:lineRule="auto"/>
        <w:ind w:right="335"/>
        <w:jc w:val="both"/>
        <w:rPr>
          <w:rFonts w:ascii="Century Gothic" w:hAnsi="Century Gothic" w:cs="Arial"/>
        </w:rPr>
      </w:pPr>
    </w:p>
    <w:p w14:paraId="6EC0FCBC" w14:textId="1195B1AC" w:rsidR="007C4279" w:rsidRDefault="00066693" w:rsidP="002025F6">
      <w:pPr>
        <w:spacing w:line="360" w:lineRule="auto"/>
        <w:ind w:right="335"/>
        <w:jc w:val="both"/>
        <w:rPr>
          <w:rFonts w:ascii="Century Gothic" w:hAnsi="Century Gothic" w:cs="Arial"/>
        </w:rPr>
      </w:pPr>
      <w:r>
        <w:rPr>
          <w:rFonts w:ascii="Century Gothic" w:hAnsi="Century Gothic" w:cs="Arial"/>
        </w:rPr>
        <w:t>Consideramos que es instrumental, porque no estamos creando nuevas figuras de protección, lo cual podría ser inconstitucional; sino desde la perspectiva penal se le está diciendo a la autoridad que tiene la obligación de establecer, cuando sea necesario, la medida de protección idónea, de lo contrario</w:t>
      </w:r>
      <w:r w:rsidR="00DE52DC">
        <w:rPr>
          <w:rFonts w:ascii="Century Gothic" w:hAnsi="Century Gothic" w:cs="Arial"/>
        </w:rPr>
        <w:t>,</w:t>
      </w:r>
      <w:r>
        <w:rPr>
          <w:rFonts w:ascii="Century Gothic" w:hAnsi="Century Gothic" w:cs="Arial"/>
        </w:rPr>
        <w:t xml:space="preserve"> se le reprochará penalmente</w:t>
      </w:r>
      <w:r w:rsidR="002025F6">
        <w:rPr>
          <w:rFonts w:ascii="Century Gothic" w:hAnsi="Century Gothic" w:cs="Arial"/>
        </w:rPr>
        <w:t>; lo anterior tienen como finalidad tutelar e</w:t>
      </w:r>
      <w:r w:rsidR="002025F6" w:rsidRPr="002025F6">
        <w:rPr>
          <w:rFonts w:ascii="Century Gothic" w:hAnsi="Century Gothic" w:cs="Arial"/>
          <w:bCs/>
          <w:lang w:val="es-MX"/>
        </w:rPr>
        <w:t>l derecho de la mujer a una vida libre de discriminación y de violencia</w:t>
      </w:r>
      <w:r w:rsidR="002025F6">
        <w:rPr>
          <w:rStyle w:val="Refdenotaalpie"/>
          <w:rFonts w:ascii="Century Gothic" w:hAnsi="Century Gothic" w:cs="Arial"/>
          <w:bCs/>
          <w:lang w:val="es-MX"/>
        </w:rPr>
        <w:footnoteReference w:id="20"/>
      </w:r>
      <w:r w:rsidR="002025F6">
        <w:rPr>
          <w:rFonts w:ascii="Century Gothic" w:hAnsi="Century Gothic" w:cs="Arial"/>
          <w:bCs/>
          <w:lang w:val="es-MX"/>
        </w:rPr>
        <w:t xml:space="preserve">. </w:t>
      </w:r>
    </w:p>
    <w:p w14:paraId="5F040E85" w14:textId="2186DE80" w:rsidR="00066693" w:rsidRDefault="00A90AF2" w:rsidP="00163B54">
      <w:pPr>
        <w:spacing w:line="360" w:lineRule="auto"/>
        <w:ind w:right="335"/>
        <w:jc w:val="both"/>
        <w:rPr>
          <w:rFonts w:ascii="Century Gothic" w:hAnsi="Century Gothic" w:cs="Arial"/>
        </w:rPr>
      </w:pPr>
      <w:r>
        <w:rPr>
          <w:rFonts w:ascii="Century Gothic" w:hAnsi="Century Gothic" w:cs="Arial"/>
        </w:rPr>
        <w:t xml:space="preserve">  </w:t>
      </w:r>
    </w:p>
    <w:p w14:paraId="05A3C5EA" w14:textId="64078EB6" w:rsidR="000012DE" w:rsidRDefault="00DE52DC" w:rsidP="00163B54">
      <w:pPr>
        <w:spacing w:line="360" w:lineRule="auto"/>
        <w:ind w:right="335"/>
        <w:jc w:val="both"/>
        <w:rPr>
          <w:rFonts w:ascii="Century Gothic" w:hAnsi="Century Gothic" w:cs="Arial"/>
        </w:rPr>
      </w:pPr>
      <w:r>
        <w:rPr>
          <w:rFonts w:ascii="Century Gothic" w:hAnsi="Century Gothic" w:cs="Arial"/>
        </w:rPr>
        <w:t xml:space="preserve">Este reproche agravado, lo consideramos como un mecanismo que nos permitirá generar </w:t>
      </w:r>
      <w:r w:rsidR="004D4DD0">
        <w:rPr>
          <w:rFonts w:ascii="Century Gothic" w:hAnsi="Century Gothic" w:cs="Arial"/>
        </w:rPr>
        <w:t>conciencia en la autoridad</w:t>
      </w:r>
      <w:r w:rsidR="000012DE">
        <w:rPr>
          <w:rFonts w:ascii="Century Gothic" w:hAnsi="Century Gothic" w:cs="Arial"/>
        </w:rPr>
        <w:t xml:space="preserve"> para que obre con la debida </w:t>
      </w:r>
      <w:r w:rsidR="000012DE">
        <w:rPr>
          <w:rFonts w:ascii="Century Gothic" w:hAnsi="Century Gothic" w:cs="Arial"/>
        </w:rPr>
        <w:lastRenderedPageBreak/>
        <w:t>diligencia</w:t>
      </w:r>
      <w:r w:rsidR="000012DE">
        <w:rPr>
          <w:rStyle w:val="Refdenotaalpie"/>
          <w:rFonts w:ascii="Century Gothic" w:hAnsi="Century Gothic" w:cs="Arial"/>
        </w:rPr>
        <w:footnoteReference w:id="21"/>
      </w:r>
      <w:r w:rsidR="004D4DD0">
        <w:rPr>
          <w:rFonts w:ascii="Century Gothic" w:hAnsi="Century Gothic" w:cs="Arial"/>
        </w:rPr>
        <w:t>, ya que el velar por la protección de las victimas coadyuva para que el Estado pueda estar en aptitud de garantizar a las mujeres una vida libre de violencia</w:t>
      </w:r>
      <w:r w:rsidR="000012DE">
        <w:rPr>
          <w:rFonts w:ascii="Century Gothic" w:hAnsi="Century Gothic" w:cs="Arial"/>
        </w:rPr>
        <w:t>. Por lo cual cobra relevancia</w:t>
      </w:r>
      <w:r w:rsidR="009235AB">
        <w:rPr>
          <w:rFonts w:ascii="Century Gothic" w:hAnsi="Century Gothic" w:cs="Arial"/>
        </w:rPr>
        <w:t xml:space="preserve"> la </w:t>
      </w:r>
      <w:r w:rsidR="000012DE">
        <w:rPr>
          <w:rFonts w:ascii="Century Gothic" w:hAnsi="Century Gothic" w:cs="Arial"/>
        </w:rPr>
        <w:t xml:space="preserve">tesis se la Primera Sala de la Suprema Corte de Justicia de la Nación, </w:t>
      </w:r>
      <w:r w:rsidR="009235AB">
        <w:rPr>
          <w:rFonts w:ascii="Century Gothic" w:hAnsi="Century Gothic" w:cs="Arial"/>
        </w:rPr>
        <w:t>que menciona</w:t>
      </w:r>
      <w:r w:rsidR="000012DE">
        <w:rPr>
          <w:rFonts w:ascii="Century Gothic" w:hAnsi="Century Gothic" w:cs="Arial"/>
        </w:rPr>
        <w:t xml:space="preserve">: </w:t>
      </w:r>
    </w:p>
    <w:p w14:paraId="59989F89" w14:textId="77777777" w:rsidR="000012DE" w:rsidRPr="000012DE" w:rsidRDefault="000012DE" w:rsidP="000012DE">
      <w:pPr>
        <w:spacing w:line="360" w:lineRule="auto"/>
        <w:ind w:right="335"/>
        <w:jc w:val="both"/>
        <w:rPr>
          <w:rFonts w:ascii="Century Gothic" w:hAnsi="Century Gothic" w:cs="Arial"/>
        </w:rPr>
      </w:pPr>
    </w:p>
    <w:p w14:paraId="4F2D2F79" w14:textId="4D7F213D" w:rsidR="000012DE" w:rsidRPr="009235AB" w:rsidRDefault="009235AB" w:rsidP="009235AB">
      <w:pPr>
        <w:spacing w:line="360" w:lineRule="auto"/>
        <w:ind w:left="851" w:right="1182"/>
        <w:jc w:val="both"/>
        <w:rPr>
          <w:rFonts w:ascii="Century Gothic" w:hAnsi="Century Gothic" w:cs="Arial"/>
          <w:i/>
          <w:iCs/>
        </w:rPr>
      </w:pPr>
      <w:r>
        <w:rPr>
          <w:rFonts w:ascii="Century Gothic" w:hAnsi="Century Gothic" w:cs="Arial"/>
        </w:rPr>
        <w:t>“…</w:t>
      </w:r>
      <w:r w:rsidR="000012DE" w:rsidRPr="000012DE">
        <w:rPr>
          <w:rFonts w:ascii="Century Gothic" w:hAnsi="Century Gothic" w:cs="Arial"/>
        </w:rPr>
        <w:t xml:space="preserve"> </w:t>
      </w:r>
      <w:r w:rsidR="000012DE" w:rsidRPr="009235AB">
        <w:rPr>
          <w:rFonts w:ascii="Century Gothic" w:hAnsi="Century Gothic" w:cs="Arial"/>
          <w:i/>
          <w:iCs/>
        </w:rPr>
        <w:t>De conformidad con el artículo 1o. constitucional y el parámetro de regularidad constitucional, la obligación de todas las autoridades de actuar con la debida diligencia adquiere una connotación especial en casos de violencia contra las mujeres. En dichos casos, el deber de investigar efectivamente tiene alcances adicionales. En los casos de violencia contra las mujeres, las autoridades estatales deben adoptar medidas integrales con perspectiva de género para cumplir con la debida diligencia. Estas medidas incluyen un adecuado marco jurídico de protección, una aplicación efectiva del mismo, así como políticas de prevención y prácticas para actuar eficazmente ante las denuncias. Incumplir con esa obligación desde los órganos investigadores y los impartidores de justicia puede condicionar el acceso a la justicia de las mujeres por invisibilizar su situación particular.</w:t>
      </w:r>
      <w:r>
        <w:rPr>
          <w:rFonts w:ascii="Century Gothic" w:hAnsi="Century Gothic" w:cs="Arial"/>
          <w:i/>
          <w:iCs/>
        </w:rPr>
        <w:t>”</w:t>
      </w:r>
      <w:r>
        <w:rPr>
          <w:rStyle w:val="Refdenotaalpie"/>
          <w:rFonts w:ascii="Century Gothic" w:hAnsi="Century Gothic" w:cs="Arial"/>
          <w:i/>
          <w:iCs/>
        </w:rPr>
        <w:footnoteReference w:id="22"/>
      </w:r>
    </w:p>
    <w:p w14:paraId="4024CE40" w14:textId="27C97635" w:rsidR="00314CD4" w:rsidRDefault="000D022B" w:rsidP="00163B54">
      <w:pPr>
        <w:spacing w:line="360" w:lineRule="auto"/>
        <w:ind w:right="335"/>
        <w:jc w:val="both"/>
        <w:rPr>
          <w:rFonts w:ascii="Century Gothic" w:hAnsi="Century Gothic" w:cs="Arial"/>
        </w:rPr>
      </w:pPr>
      <w:r>
        <w:rPr>
          <w:rFonts w:ascii="Century Gothic" w:hAnsi="Century Gothic" w:cs="Arial"/>
        </w:rPr>
        <w:lastRenderedPageBreak/>
        <w:t xml:space="preserve">Aunado, consideramos importante </w:t>
      </w:r>
      <w:r w:rsidR="005F24C9">
        <w:rPr>
          <w:rFonts w:ascii="Century Gothic" w:hAnsi="Century Gothic" w:cs="Arial"/>
        </w:rPr>
        <w:t>mencionarle a la autoridad</w:t>
      </w:r>
      <w:r>
        <w:rPr>
          <w:rFonts w:ascii="Century Gothic" w:hAnsi="Century Gothic" w:cs="Arial"/>
        </w:rPr>
        <w:t xml:space="preserve">, que </w:t>
      </w:r>
      <w:r w:rsidR="005F24C9">
        <w:rPr>
          <w:rFonts w:ascii="Century Gothic" w:hAnsi="Century Gothic" w:cs="Arial"/>
        </w:rPr>
        <w:t xml:space="preserve">en caso de que vulnere </w:t>
      </w:r>
      <w:r>
        <w:rPr>
          <w:rFonts w:ascii="Century Gothic" w:hAnsi="Century Gothic" w:cs="Arial"/>
        </w:rPr>
        <w:t>ese deber de protección,</w:t>
      </w:r>
      <w:r w:rsidR="005F24C9">
        <w:rPr>
          <w:rFonts w:ascii="Century Gothic" w:hAnsi="Century Gothic" w:cs="Arial"/>
        </w:rPr>
        <w:t xml:space="preserve"> no solamente</w:t>
      </w:r>
      <w:r>
        <w:rPr>
          <w:rFonts w:ascii="Century Gothic" w:hAnsi="Century Gothic" w:cs="Arial"/>
        </w:rPr>
        <w:t xml:space="preserve"> </w:t>
      </w:r>
      <w:r w:rsidR="005F24C9" w:rsidRPr="005F24C9">
        <w:rPr>
          <w:rFonts w:ascii="Century Gothic" w:hAnsi="Century Gothic" w:cs="Arial"/>
        </w:rPr>
        <w:t>podría</w:t>
      </w:r>
      <w:r w:rsidR="005F24C9" w:rsidRPr="005F24C9">
        <w:rPr>
          <w:rFonts w:ascii="Century Gothic" w:hAnsi="Century Gothic" w:cs="Arial"/>
          <w:i/>
          <w:iCs/>
        </w:rPr>
        <w:t xml:space="preserve"> condicionar el acceso a la justicia de las mujeres por invisibilizar su situación particular</w:t>
      </w:r>
      <w:r w:rsidR="005F24C9">
        <w:rPr>
          <w:rFonts w:ascii="Century Gothic" w:hAnsi="Century Gothic" w:cs="Arial"/>
          <w:i/>
          <w:iCs/>
        </w:rPr>
        <w:t>,</w:t>
      </w:r>
      <w:r w:rsidR="005F24C9">
        <w:rPr>
          <w:rFonts w:ascii="Century Gothic" w:hAnsi="Century Gothic" w:cs="Arial"/>
        </w:rPr>
        <w:t xml:space="preserve"> sino que podría incurrir en un delito en comisión por omisión. </w:t>
      </w:r>
    </w:p>
    <w:p w14:paraId="76C8886C" w14:textId="06269348" w:rsidR="005F24C9" w:rsidRDefault="005F24C9" w:rsidP="00163B54">
      <w:pPr>
        <w:spacing w:line="360" w:lineRule="auto"/>
        <w:ind w:right="335"/>
        <w:jc w:val="both"/>
        <w:rPr>
          <w:rFonts w:ascii="Century Gothic" w:hAnsi="Century Gothic" w:cs="Arial"/>
        </w:rPr>
      </w:pPr>
    </w:p>
    <w:p w14:paraId="5CB8D46A" w14:textId="7FED270C" w:rsidR="00FB687E" w:rsidRDefault="005F24C9" w:rsidP="00163B54">
      <w:pPr>
        <w:spacing w:line="360" w:lineRule="auto"/>
        <w:ind w:right="335"/>
        <w:jc w:val="both"/>
        <w:rPr>
          <w:rFonts w:ascii="Century Gothic" w:hAnsi="Century Gothic" w:cs="Arial"/>
        </w:rPr>
      </w:pPr>
      <w:r>
        <w:rPr>
          <w:rFonts w:ascii="Century Gothic" w:hAnsi="Century Gothic" w:cs="Arial"/>
        </w:rPr>
        <w:t>Ello</w:t>
      </w:r>
      <w:r w:rsidR="00BA5C59">
        <w:rPr>
          <w:rFonts w:ascii="Century Gothic" w:hAnsi="Century Gothic" w:cs="Arial"/>
        </w:rPr>
        <w:t>,</w:t>
      </w:r>
      <w:r>
        <w:rPr>
          <w:rFonts w:ascii="Century Gothic" w:hAnsi="Century Gothic" w:cs="Arial"/>
        </w:rPr>
        <w:t xml:space="preserve"> porque</w:t>
      </w:r>
      <w:r w:rsidR="00BA5C59">
        <w:rPr>
          <w:rFonts w:ascii="Century Gothic" w:hAnsi="Century Gothic" w:cs="Arial"/>
        </w:rPr>
        <w:t xml:space="preserve"> está obligada jurídicamente a prevenir un riesgo mediante una prestación activa consistente en el establecimiento de una medida de protección</w:t>
      </w:r>
      <w:r w:rsidR="00BD0A00">
        <w:rPr>
          <w:rFonts w:ascii="Century Gothic" w:hAnsi="Century Gothic" w:cs="Arial"/>
        </w:rPr>
        <w:t>.</w:t>
      </w:r>
      <w:r w:rsidR="00BA5C59">
        <w:rPr>
          <w:rFonts w:ascii="Century Gothic" w:hAnsi="Century Gothic" w:cs="Arial"/>
        </w:rPr>
        <w:t xml:space="preserve"> </w:t>
      </w:r>
      <w:r w:rsidR="00BD0A00">
        <w:rPr>
          <w:rFonts w:ascii="Century Gothic" w:hAnsi="Century Gothic" w:cs="Arial"/>
        </w:rPr>
        <w:t>D</w:t>
      </w:r>
      <w:r w:rsidR="00BA5C59">
        <w:rPr>
          <w:rFonts w:ascii="Century Gothic" w:hAnsi="Century Gothic" w:cs="Arial"/>
        </w:rPr>
        <w:t xml:space="preserve">erivado de ese vínculo normativo es que se podría convertir a la autoridad en la protectora del bien jurídico, en consecuencia, si es garante de los bienes afectados y </w:t>
      </w:r>
      <w:r w:rsidR="00F7069D">
        <w:rPr>
          <w:rFonts w:ascii="Century Gothic" w:hAnsi="Century Gothic" w:cs="Arial"/>
        </w:rPr>
        <w:t>tenía</w:t>
      </w:r>
      <w:r w:rsidR="00BA5C59">
        <w:rPr>
          <w:rFonts w:ascii="Century Gothic" w:hAnsi="Century Gothic" w:cs="Arial"/>
        </w:rPr>
        <w:t xml:space="preserve"> conocimiento de la situación de riesgo en el que se encontraba la víctima</w:t>
      </w:r>
      <w:r w:rsidR="00965AF3">
        <w:rPr>
          <w:rFonts w:ascii="Century Gothic" w:hAnsi="Century Gothic" w:cs="Arial"/>
        </w:rPr>
        <w:t xml:space="preserve"> e</w:t>
      </w:r>
      <w:r w:rsidR="00BA5C59">
        <w:rPr>
          <w:rFonts w:ascii="Century Gothic" w:hAnsi="Century Gothic" w:cs="Arial"/>
        </w:rPr>
        <w:t xml:space="preserve"> incumplió injustificadamente su deber de </w:t>
      </w:r>
      <w:r w:rsidR="00FB687E">
        <w:rPr>
          <w:rFonts w:ascii="Century Gothic" w:hAnsi="Century Gothic" w:cs="Arial"/>
        </w:rPr>
        <w:t xml:space="preserve">establecer una medida de protección, </w:t>
      </w:r>
      <w:r w:rsidR="00965AF3">
        <w:rPr>
          <w:rFonts w:ascii="Century Gothic" w:hAnsi="Century Gothic" w:cs="Arial"/>
        </w:rPr>
        <w:t xml:space="preserve">le </w:t>
      </w:r>
      <w:r w:rsidR="00FB687E">
        <w:rPr>
          <w:rFonts w:ascii="Century Gothic" w:hAnsi="Century Gothic" w:cs="Arial"/>
        </w:rPr>
        <w:t>podría ser atribuible alguna responsabilidad en comisión por omisión</w:t>
      </w:r>
      <w:r w:rsidR="00FB687E">
        <w:rPr>
          <w:rStyle w:val="Refdenotaalpie"/>
          <w:rFonts w:ascii="Century Gothic" w:hAnsi="Century Gothic" w:cs="Arial"/>
        </w:rPr>
        <w:footnoteReference w:id="23"/>
      </w:r>
      <w:r w:rsidR="00FB687E">
        <w:rPr>
          <w:rFonts w:ascii="Century Gothic" w:hAnsi="Century Gothic" w:cs="Arial"/>
        </w:rPr>
        <w:t xml:space="preserve">. </w:t>
      </w:r>
    </w:p>
    <w:p w14:paraId="29FD3B00" w14:textId="77777777" w:rsidR="00FB687E" w:rsidRDefault="00FB687E" w:rsidP="00163B54">
      <w:pPr>
        <w:spacing w:line="360" w:lineRule="auto"/>
        <w:ind w:right="335"/>
        <w:jc w:val="both"/>
        <w:rPr>
          <w:rFonts w:ascii="Century Gothic" w:hAnsi="Century Gothic" w:cs="Arial"/>
        </w:rPr>
      </w:pPr>
    </w:p>
    <w:p w14:paraId="20C9BDD3" w14:textId="75969D83" w:rsidR="00FB687E" w:rsidRDefault="00FB687E" w:rsidP="00FB687E">
      <w:pPr>
        <w:spacing w:line="360" w:lineRule="auto"/>
        <w:ind w:right="335"/>
        <w:jc w:val="both"/>
        <w:rPr>
          <w:rFonts w:ascii="Century Gothic" w:hAnsi="Century Gothic" w:cs="Arial"/>
          <w:bCs/>
          <w:u w:val="single"/>
        </w:rPr>
      </w:pPr>
      <w:r>
        <w:rPr>
          <w:rFonts w:ascii="Century Gothic" w:hAnsi="Century Gothic" w:cs="Arial"/>
        </w:rPr>
        <w:t>Es por todo lo anterior, que consideramos relevante y justificado, crear esta nueva disposición que sancione a la autoridad</w:t>
      </w:r>
      <w:r>
        <w:rPr>
          <w:rFonts w:ascii="Century Gothic" w:hAnsi="Century Gothic" w:cs="Arial"/>
          <w:bCs/>
        </w:rPr>
        <w:t xml:space="preserve"> </w:t>
      </w:r>
      <w:r w:rsidR="00965AF3">
        <w:rPr>
          <w:rFonts w:ascii="Century Gothic" w:hAnsi="Century Gothic" w:cs="Arial"/>
          <w:bCs/>
        </w:rPr>
        <w:t>que,</w:t>
      </w:r>
      <w:r w:rsidRPr="00FB687E">
        <w:rPr>
          <w:rFonts w:ascii="Century Gothic" w:hAnsi="Century Gothic" w:cs="Arial"/>
          <w:bCs/>
        </w:rPr>
        <w:t xml:space="preserve"> durante la investigación de un delito cometido en contra de una mujer por su condición de género, indebidamente niegue o retarde la aplicación de alguna medida de protección.</w:t>
      </w:r>
      <w:r w:rsidRPr="00FB687E">
        <w:rPr>
          <w:rFonts w:ascii="Century Gothic" w:hAnsi="Century Gothic" w:cs="Arial"/>
          <w:bCs/>
          <w:u w:val="single"/>
        </w:rPr>
        <w:t xml:space="preserve"> </w:t>
      </w:r>
    </w:p>
    <w:p w14:paraId="03164DC0" w14:textId="09B16F88" w:rsidR="00A00639" w:rsidRPr="00A00639" w:rsidRDefault="00A00639" w:rsidP="00FB687E">
      <w:pPr>
        <w:spacing w:line="360" w:lineRule="auto"/>
        <w:ind w:right="335"/>
        <w:jc w:val="both"/>
        <w:rPr>
          <w:rFonts w:ascii="Century Gothic" w:hAnsi="Century Gothic" w:cs="Arial"/>
          <w:bCs/>
        </w:rPr>
      </w:pPr>
    </w:p>
    <w:p w14:paraId="746DD2F6" w14:textId="3CA7120B" w:rsidR="00A00639" w:rsidRDefault="00A00639" w:rsidP="00A00639">
      <w:pPr>
        <w:spacing w:line="360" w:lineRule="auto"/>
        <w:ind w:right="335"/>
        <w:jc w:val="both"/>
        <w:rPr>
          <w:rFonts w:ascii="Century Gothic" w:hAnsi="Century Gothic" w:cs="Arial"/>
          <w:bCs/>
        </w:rPr>
      </w:pPr>
      <w:r w:rsidRPr="00A00639">
        <w:rPr>
          <w:rFonts w:ascii="Century Gothic" w:hAnsi="Century Gothic" w:cs="Arial"/>
          <w:b/>
        </w:rPr>
        <w:lastRenderedPageBreak/>
        <w:t>V.-</w:t>
      </w:r>
      <w:r w:rsidRPr="00A00639">
        <w:rPr>
          <w:rFonts w:ascii="Century Gothic" w:hAnsi="Century Gothic" w:cs="Arial"/>
          <w:bCs/>
        </w:rPr>
        <w:t xml:space="preserve"> </w:t>
      </w:r>
      <w:r>
        <w:rPr>
          <w:rFonts w:ascii="Century Gothic" w:hAnsi="Century Gothic" w:cs="Arial"/>
          <w:bCs/>
        </w:rPr>
        <w:t xml:space="preserve">En relación a la segunda de las propuestas, esto es, </w:t>
      </w:r>
      <w:r w:rsidRPr="00A00639">
        <w:rPr>
          <w:rFonts w:ascii="Century Gothic" w:hAnsi="Century Gothic" w:cs="Arial"/>
          <w:bCs/>
        </w:rPr>
        <w:t xml:space="preserve">Sancionar a la autoridad que difunda imágenes o “información” de: a. cadáveres; b. circunstancias del hecho; o </w:t>
      </w:r>
      <w:r w:rsidRPr="00A00639">
        <w:rPr>
          <w:rFonts w:ascii="Century Gothic" w:hAnsi="Century Gothic" w:cs="Arial"/>
          <w:bCs/>
          <w:lang w:val="es-MX"/>
        </w:rPr>
        <w:t>de la muerte o de las lesiones que éstos presentan</w:t>
      </w:r>
      <w:r w:rsidRPr="00A00639">
        <w:rPr>
          <w:rFonts w:ascii="Century Gothic" w:hAnsi="Century Gothic" w:cs="Arial"/>
          <w:bCs/>
        </w:rPr>
        <w:t xml:space="preserve"> relacionadas con una investigación penal. </w:t>
      </w:r>
    </w:p>
    <w:p w14:paraId="706BF5AD" w14:textId="78BCEB33" w:rsidR="00A00639" w:rsidRDefault="00A00639" w:rsidP="00A00639">
      <w:pPr>
        <w:spacing w:line="360" w:lineRule="auto"/>
        <w:ind w:right="335"/>
        <w:jc w:val="both"/>
        <w:rPr>
          <w:rFonts w:ascii="Century Gothic" w:hAnsi="Century Gothic" w:cs="Arial"/>
          <w:bCs/>
        </w:rPr>
      </w:pPr>
    </w:p>
    <w:p w14:paraId="77107166" w14:textId="00362AFA" w:rsidR="00A00639" w:rsidRPr="008A5E2F" w:rsidRDefault="008A5E2F" w:rsidP="008A5E2F">
      <w:pPr>
        <w:spacing w:line="360" w:lineRule="auto"/>
        <w:ind w:right="335"/>
        <w:jc w:val="both"/>
        <w:rPr>
          <w:rFonts w:ascii="Century Gothic" w:hAnsi="Century Gothic" w:cs="Arial"/>
          <w:bCs/>
        </w:rPr>
      </w:pPr>
      <w:r w:rsidRPr="008A5E2F">
        <w:rPr>
          <w:rFonts w:ascii="Century Gothic" w:hAnsi="Century Gothic" w:cs="Arial"/>
          <w:b/>
        </w:rPr>
        <w:t>A.</w:t>
      </w:r>
      <w:r>
        <w:rPr>
          <w:rFonts w:ascii="Century Gothic" w:hAnsi="Century Gothic" w:cs="Arial"/>
          <w:bCs/>
        </w:rPr>
        <w:t xml:space="preserve"> </w:t>
      </w:r>
      <w:r w:rsidRPr="008A5E2F">
        <w:rPr>
          <w:rFonts w:ascii="Century Gothic" w:hAnsi="Century Gothic" w:cs="Arial"/>
          <w:bCs/>
        </w:rPr>
        <w:t xml:space="preserve">Es </w:t>
      </w:r>
      <w:r w:rsidR="00A00639" w:rsidRPr="008A5E2F">
        <w:rPr>
          <w:rFonts w:ascii="Century Gothic" w:hAnsi="Century Gothic" w:cs="Arial"/>
          <w:bCs/>
        </w:rPr>
        <w:t xml:space="preserve">importante resaltar que el Estado de México, </w:t>
      </w:r>
      <w:r w:rsidR="00A760F1" w:rsidRPr="008A5E2F">
        <w:rPr>
          <w:rFonts w:ascii="Century Gothic" w:hAnsi="Century Gothic" w:cs="Arial"/>
          <w:bCs/>
        </w:rPr>
        <w:t>mediante Decreto Número 284 publicado el 16 de agosto de 2021</w:t>
      </w:r>
      <w:r w:rsidR="00965AF3">
        <w:rPr>
          <w:rFonts w:ascii="Century Gothic" w:hAnsi="Century Gothic" w:cs="Arial"/>
          <w:bCs/>
        </w:rPr>
        <w:t>,</w:t>
      </w:r>
      <w:r w:rsidR="00A760F1" w:rsidRPr="008A5E2F">
        <w:rPr>
          <w:rFonts w:ascii="Century Gothic" w:hAnsi="Century Gothic" w:cs="Arial"/>
          <w:bCs/>
        </w:rPr>
        <w:t xml:space="preserve"> c</w:t>
      </w:r>
      <w:r w:rsidR="00894730" w:rsidRPr="008A5E2F">
        <w:rPr>
          <w:rFonts w:ascii="Century Gothic" w:hAnsi="Century Gothic" w:cs="Arial"/>
          <w:bCs/>
        </w:rPr>
        <w:t>r</w:t>
      </w:r>
      <w:r w:rsidR="00A760F1" w:rsidRPr="008A5E2F">
        <w:rPr>
          <w:rFonts w:ascii="Century Gothic" w:hAnsi="Century Gothic" w:cs="Arial"/>
          <w:bCs/>
        </w:rPr>
        <w:t>e</w:t>
      </w:r>
      <w:r w:rsidR="00894730" w:rsidRPr="008A5E2F">
        <w:rPr>
          <w:rFonts w:ascii="Century Gothic" w:hAnsi="Century Gothic" w:cs="Arial"/>
          <w:bCs/>
        </w:rPr>
        <w:t>ó</w:t>
      </w:r>
      <w:r w:rsidR="00A760F1" w:rsidRPr="008A5E2F">
        <w:rPr>
          <w:rFonts w:ascii="Century Gothic" w:hAnsi="Century Gothic" w:cs="Arial"/>
          <w:bCs/>
        </w:rPr>
        <w:t xml:space="preserve"> el artículo 227 Bis del Código Penal del Estado de México, en donde se establece una redacción similar a la propuesta, tal y como se muestra en el siguiente cuadro comparativo: </w:t>
      </w:r>
    </w:p>
    <w:p w14:paraId="479CF208" w14:textId="6AFDE5CF" w:rsidR="00A760F1" w:rsidRDefault="00A760F1" w:rsidP="00FB687E">
      <w:pPr>
        <w:spacing w:line="360" w:lineRule="auto"/>
        <w:ind w:right="335"/>
        <w:jc w:val="both"/>
        <w:rPr>
          <w:rFonts w:ascii="Century Gothic" w:hAnsi="Century Gothic" w:cs="Arial"/>
          <w:bCs/>
        </w:rPr>
      </w:pPr>
    </w:p>
    <w:tbl>
      <w:tblPr>
        <w:tblStyle w:val="Tablaconcuadrcula"/>
        <w:tblW w:w="0" w:type="auto"/>
        <w:tblLook w:val="04A0" w:firstRow="1" w:lastRow="0" w:firstColumn="1" w:lastColumn="0" w:noHBand="0" w:noVBand="1"/>
      </w:tblPr>
      <w:tblGrid>
        <w:gridCol w:w="4697"/>
        <w:gridCol w:w="4697"/>
      </w:tblGrid>
      <w:tr w:rsidR="00A760F1" w14:paraId="139F7FA8" w14:textId="77777777" w:rsidTr="00A760F1">
        <w:tc>
          <w:tcPr>
            <w:tcW w:w="4697" w:type="dxa"/>
          </w:tcPr>
          <w:p w14:paraId="0BF99B94" w14:textId="77777777" w:rsidR="00A760F1" w:rsidRDefault="00A760F1" w:rsidP="00894730">
            <w:pPr>
              <w:spacing w:line="360" w:lineRule="auto"/>
              <w:ind w:right="335"/>
              <w:jc w:val="center"/>
              <w:rPr>
                <w:rFonts w:ascii="Century Gothic" w:hAnsi="Century Gothic" w:cs="Arial"/>
                <w:b/>
              </w:rPr>
            </w:pPr>
            <w:r w:rsidRPr="00894730">
              <w:rPr>
                <w:rFonts w:ascii="Century Gothic" w:hAnsi="Century Gothic" w:cs="Arial"/>
                <w:b/>
              </w:rPr>
              <w:t>Estado de México</w:t>
            </w:r>
          </w:p>
          <w:p w14:paraId="5962FA2A" w14:textId="3FB10218" w:rsidR="008A5E2F" w:rsidRPr="008A5E2F" w:rsidRDefault="008A5E2F" w:rsidP="00894730">
            <w:pPr>
              <w:spacing w:line="360" w:lineRule="auto"/>
              <w:ind w:right="335"/>
              <w:jc w:val="center"/>
              <w:rPr>
                <w:rFonts w:ascii="Century Gothic" w:hAnsi="Century Gothic" w:cs="Arial"/>
                <w:bCs/>
              </w:rPr>
            </w:pPr>
            <w:r w:rsidRPr="008A5E2F">
              <w:rPr>
                <w:rFonts w:ascii="Century Gothic" w:hAnsi="Century Gothic" w:cs="Arial"/>
                <w:bCs/>
                <w:sz w:val="22"/>
                <w:szCs w:val="22"/>
              </w:rPr>
              <w:t>Vigente</w:t>
            </w:r>
          </w:p>
        </w:tc>
        <w:tc>
          <w:tcPr>
            <w:tcW w:w="4697" w:type="dxa"/>
          </w:tcPr>
          <w:p w14:paraId="46EBBED7" w14:textId="77777777" w:rsidR="008A5E2F" w:rsidRDefault="00A760F1" w:rsidP="00894730">
            <w:pPr>
              <w:spacing w:line="360" w:lineRule="auto"/>
              <w:ind w:right="335"/>
              <w:jc w:val="center"/>
              <w:rPr>
                <w:rFonts w:ascii="Century Gothic" w:hAnsi="Century Gothic" w:cs="Arial"/>
                <w:b/>
              </w:rPr>
            </w:pPr>
            <w:r w:rsidRPr="00894730">
              <w:rPr>
                <w:rFonts w:ascii="Century Gothic" w:hAnsi="Century Gothic" w:cs="Arial"/>
                <w:b/>
              </w:rPr>
              <w:t>Chihuahua</w:t>
            </w:r>
            <w:r w:rsidR="008A5E2F" w:rsidRPr="00894730">
              <w:rPr>
                <w:rFonts w:ascii="Century Gothic" w:hAnsi="Century Gothic" w:cs="Arial"/>
                <w:b/>
              </w:rPr>
              <w:t xml:space="preserve"> </w:t>
            </w:r>
          </w:p>
          <w:p w14:paraId="452410A6" w14:textId="02CB28E0" w:rsidR="00A760F1" w:rsidRPr="008A5E2F" w:rsidRDefault="008A5E2F" w:rsidP="00894730">
            <w:pPr>
              <w:spacing w:line="360" w:lineRule="auto"/>
              <w:ind w:right="335"/>
              <w:jc w:val="center"/>
              <w:rPr>
                <w:rFonts w:ascii="Century Gothic" w:hAnsi="Century Gothic" w:cs="Arial"/>
                <w:bCs/>
              </w:rPr>
            </w:pPr>
            <w:r w:rsidRPr="008A5E2F">
              <w:rPr>
                <w:rFonts w:ascii="Century Gothic" w:hAnsi="Century Gothic" w:cs="Arial"/>
                <w:bCs/>
                <w:sz w:val="22"/>
                <w:szCs w:val="22"/>
              </w:rPr>
              <w:t>Iniciativa</w:t>
            </w:r>
          </w:p>
        </w:tc>
      </w:tr>
      <w:tr w:rsidR="00A760F1" w14:paraId="26FAF9F0" w14:textId="77777777" w:rsidTr="00A760F1">
        <w:tc>
          <w:tcPr>
            <w:tcW w:w="4697" w:type="dxa"/>
          </w:tcPr>
          <w:p w14:paraId="320F2EE6" w14:textId="77777777" w:rsidR="00894730" w:rsidRDefault="00A760F1" w:rsidP="00FB687E">
            <w:pPr>
              <w:spacing w:line="360" w:lineRule="auto"/>
              <w:ind w:right="335"/>
              <w:jc w:val="both"/>
              <w:rPr>
                <w:rFonts w:ascii="Century Gothic" w:hAnsi="Century Gothic" w:cs="Arial"/>
                <w:bCs/>
              </w:rPr>
            </w:pPr>
            <w:r w:rsidRPr="00A760F1">
              <w:rPr>
                <w:rFonts w:ascii="Century Gothic" w:hAnsi="Century Gothic" w:cs="Arial"/>
                <w:bCs/>
              </w:rPr>
              <w:t>Artículo 227 Bis. – Al que</w:t>
            </w:r>
          </w:p>
          <w:p w14:paraId="55590931" w14:textId="77777777" w:rsidR="00894730" w:rsidRDefault="00894730" w:rsidP="00FB687E">
            <w:pPr>
              <w:spacing w:line="360" w:lineRule="auto"/>
              <w:ind w:right="335"/>
              <w:jc w:val="both"/>
              <w:rPr>
                <w:rFonts w:ascii="Century Gothic" w:hAnsi="Century Gothic" w:cs="Arial"/>
                <w:bCs/>
              </w:rPr>
            </w:pPr>
          </w:p>
          <w:p w14:paraId="7CBC3E8D" w14:textId="0B8701B4" w:rsidR="00894730" w:rsidRDefault="00A760F1" w:rsidP="00FB687E">
            <w:pPr>
              <w:spacing w:line="360" w:lineRule="auto"/>
              <w:ind w:right="335"/>
              <w:jc w:val="both"/>
              <w:rPr>
                <w:rFonts w:ascii="Century Gothic" w:hAnsi="Century Gothic" w:cs="Arial"/>
                <w:bCs/>
              </w:rPr>
            </w:pPr>
            <w:r w:rsidRPr="00A760F1">
              <w:rPr>
                <w:rFonts w:ascii="Century Gothic" w:hAnsi="Century Gothic" w:cs="Arial"/>
                <w:bCs/>
              </w:rPr>
              <w:t xml:space="preserve"> </w:t>
            </w:r>
          </w:p>
          <w:p w14:paraId="60161C9E" w14:textId="77777777" w:rsidR="00894730" w:rsidRPr="00894730" w:rsidRDefault="00A760F1" w:rsidP="00FB687E">
            <w:pPr>
              <w:spacing w:line="360" w:lineRule="auto"/>
              <w:ind w:right="335"/>
              <w:jc w:val="both"/>
              <w:rPr>
                <w:rFonts w:ascii="Century Gothic" w:hAnsi="Century Gothic" w:cs="Arial"/>
                <w:bCs/>
                <w:u w:val="single"/>
              </w:rPr>
            </w:pPr>
            <w:r w:rsidRPr="00A760F1">
              <w:rPr>
                <w:rFonts w:ascii="Century Gothic" w:hAnsi="Century Gothic" w:cs="Arial"/>
                <w:bCs/>
              </w:rPr>
              <w:t xml:space="preserve">por cualquier medio y fuera de los supuestos autorizados por la Ley, </w:t>
            </w:r>
            <w:proofErr w:type="spellStart"/>
            <w:r w:rsidRPr="00A760F1">
              <w:rPr>
                <w:rFonts w:ascii="Century Gothic" w:hAnsi="Century Gothic" w:cs="Arial"/>
                <w:bCs/>
              </w:rPr>
              <w:t>audiograbe</w:t>
            </w:r>
            <w:proofErr w:type="spellEnd"/>
            <w:r w:rsidRPr="00A760F1">
              <w:rPr>
                <w:rFonts w:ascii="Century Gothic" w:hAnsi="Century Gothic" w:cs="Arial"/>
                <w:bCs/>
              </w:rPr>
              <w:t xml:space="preserve">, comercialice, comparta, difunda distribuya, entregue, exponga, envíe, filme, fotografíe, intercambie, oferte, publique, remita, reproduzca, revele, transmita, o videograbe, imágenes, videos o documentos de </w:t>
            </w:r>
            <w:r w:rsidRPr="00A760F1">
              <w:rPr>
                <w:rFonts w:ascii="Century Gothic" w:hAnsi="Century Gothic" w:cs="Arial"/>
                <w:bCs/>
              </w:rPr>
              <w:lastRenderedPageBreak/>
              <w:t xml:space="preserve">cadáveres o parte de ellos que se encuentren relacionados con una investigación penal, de las circunstancias de la muerte o de las lesiones que éstos presentan, </w:t>
            </w:r>
            <w:r w:rsidRPr="00894730">
              <w:rPr>
                <w:rFonts w:ascii="Century Gothic" w:hAnsi="Century Gothic" w:cs="Arial"/>
                <w:bCs/>
                <w:u w:val="single"/>
              </w:rPr>
              <w:t xml:space="preserve">se le impondrán de tres a seis años de prisión y multa por un importe equivalente de cincuenta a cien veces el valor diario de la unidad de medida y actualización. </w:t>
            </w:r>
          </w:p>
          <w:p w14:paraId="0E2A5D48" w14:textId="77777777" w:rsidR="00894730" w:rsidRDefault="00894730" w:rsidP="00FB687E">
            <w:pPr>
              <w:spacing w:line="360" w:lineRule="auto"/>
              <w:ind w:right="335"/>
              <w:jc w:val="both"/>
              <w:rPr>
                <w:rFonts w:ascii="Century Gothic" w:hAnsi="Century Gothic" w:cs="Arial"/>
                <w:bCs/>
              </w:rPr>
            </w:pPr>
          </w:p>
          <w:p w14:paraId="36DFD544" w14:textId="77777777" w:rsidR="00894730" w:rsidRDefault="00A760F1" w:rsidP="00FB687E">
            <w:pPr>
              <w:spacing w:line="360" w:lineRule="auto"/>
              <w:ind w:right="335"/>
              <w:jc w:val="both"/>
              <w:rPr>
                <w:rFonts w:ascii="Century Gothic" w:hAnsi="Century Gothic" w:cs="Arial"/>
                <w:bCs/>
              </w:rPr>
            </w:pPr>
            <w:r w:rsidRPr="00A760F1">
              <w:rPr>
                <w:rFonts w:ascii="Century Gothic" w:hAnsi="Century Gothic" w:cs="Arial"/>
                <w:bCs/>
              </w:rPr>
              <w:t xml:space="preserve">Tratándose de imágenes, audios o videos de cadáveres de mujeres, niñas o adolescentes, de las circunstancias de su muerte, de las lesiones o estado de salud, las penas previstas en este artículo se incrementarán hasta en una mitad. </w:t>
            </w:r>
          </w:p>
          <w:p w14:paraId="205475A7" w14:textId="4FEDE240" w:rsidR="00894730" w:rsidRDefault="00894730" w:rsidP="00FB687E">
            <w:pPr>
              <w:spacing w:line="360" w:lineRule="auto"/>
              <w:ind w:right="335"/>
              <w:jc w:val="both"/>
              <w:rPr>
                <w:rFonts w:ascii="Century Gothic" w:hAnsi="Century Gothic" w:cs="Arial"/>
                <w:bCs/>
              </w:rPr>
            </w:pPr>
          </w:p>
          <w:p w14:paraId="740D90B5" w14:textId="77777777" w:rsidR="00894730" w:rsidRDefault="00894730" w:rsidP="00FB687E">
            <w:pPr>
              <w:spacing w:line="360" w:lineRule="auto"/>
              <w:ind w:right="335"/>
              <w:jc w:val="both"/>
              <w:rPr>
                <w:rFonts w:ascii="Century Gothic" w:hAnsi="Century Gothic" w:cs="Arial"/>
                <w:bCs/>
              </w:rPr>
            </w:pPr>
          </w:p>
          <w:p w14:paraId="68F11137" w14:textId="47755954" w:rsidR="00A760F1" w:rsidRDefault="00A760F1" w:rsidP="00FB687E">
            <w:pPr>
              <w:spacing w:line="360" w:lineRule="auto"/>
              <w:ind w:right="335"/>
              <w:jc w:val="both"/>
              <w:rPr>
                <w:rFonts w:ascii="Century Gothic" w:hAnsi="Century Gothic" w:cs="Arial"/>
                <w:bCs/>
              </w:rPr>
            </w:pPr>
            <w:r w:rsidRPr="00A760F1">
              <w:rPr>
                <w:rFonts w:ascii="Century Gothic" w:hAnsi="Century Gothic" w:cs="Arial"/>
                <w:bCs/>
              </w:rPr>
              <w:t xml:space="preserve">Cuando el delito cometido por persona servidora pública integrante de cualquier institución de seguridad pública o de </w:t>
            </w:r>
            <w:r w:rsidRPr="00A760F1">
              <w:rPr>
                <w:rFonts w:ascii="Century Gothic" w:hAnsi="Century Gothic" w:cs="Arial"/>
                <w:bCs/>
              </w:rPr>
              <w:lastRenderedPageBreak/>
              <w:t>impartición o procuración de justicia, las penas previstas se incrementarán hasta en una tercera parte.</w:t>
            </w:r>
          </w:p>
        </w:tc>
        <w:tc>
          <w:tcPr>
            <w:tcW w:w="4697" w:type="dxa"/>
          </w:tcPr>
          <w:p w14:paraId="5CA2E740" w14:textId="77777777" w:rsidR="00894730" w:rsidRPr="00894730" w:rsidRDefault="00894730" w:rsidP="00894730">
            <w:pPr>
              <w:spacing w:line="360" w:lineRule="auto"/>
              <w:ind w:right="335"/>
              <w:jc w:val="both"/>
              <w:rPr>
                <w:rFonts w:ascii="Century Gothic" w:hAnsi="Century Gothic" w:cs="Arial"/>
                <w:bCs/>
                <w:lang w:val="es-MX"/>
              </w:rPr>
            </w:pPr>
            <w:r w:rsidRPr="00894730">
              <w:rPr>
                <w:rFonts w:ascii="Century Gothic" w:hAnsi="Century Gothic" w:cs="Arial"/>
                <w:bCs/>
                <w:lang w:val="es-MX"/>
              </w:rPr>
              <w:lastRenderedPageBreak/>
              <w:t xml:space="preserve">Artículo 228. </w:t>
            </w:r>
          </w:p>
          <w:p w14:paraId="56BA46CB" w14:textId="77777777" w:rsidR="00894730" w:rsidRPr="00894730" w:rsidRDefault="00894730" w:rsidP="00894730">
            <w:pPr>
              <w:spacing w:line="360" w:lineRule="auto"/>
              <w:ind w:right="335"/>
              <w:jc w:val="both"/>
              <w:rPr>
                <w:rFonts w:ascii="Century Gothic" w:hAnsi="Century Gothic" w:cs="Arial"/>
                <w:bCs/>
              </w:rPr>
            </w:pPr>
            <w:r w:rsidRPr="00894730">
              <w:rPr>
                <w:rFonts w:ascii="Century Gothic" w:hAnsi="Century Gothic" w:cs="Arial"/>
                <w:bCs/>
              </w:rPr>
              <w:t>I a X. …</w:t>
            </w:r>
          </w:p>
          <w:p w14:paraId="672E7929" w14:textId="77777777" w:rsidR="00894730" w:rsidRDefault="00894730" w:rsidP="00894730">
            <w:pPr>
              <w:spacing w:line="360" w:lineRule="auto"/>
              <w:ind w:right="335"/>
              <w:jc w:val="both"/>
              <w:rPr>
                <w:rFonts w:ascii="Century Gothic" w:hAnsi="Century Gothic" w:cs="Arial"/>
                <w:bCs/>
              </w:rPr>
            </w:pPr>
            <w:r w:rsidRPr="00894730">
              <w:rPr>
                <w:rFonts w:ascii="Century Gothic" w:hAnsi="Century Gothic" w:cs="Arial"/>
                <w:bCs/>
              </w:rPr>
              <w:t xml:space="preserve">XI. </w:t>
            </w:r>
          </w:p>
          <w:p w14:paraId="6EE467CA" w14:textId="63323EE3" w:rsidR="00894730" w:rsidRDefault="00894730" w:rsidP="00894730">
            <w:pPr>
              <w:spacing w:line="360" w:lineRule="auto"/>
              <w:ind w:right="335"/>
              <w:jc w:val="both"/>
              <w:rPr>
                <w:rFonts w:ascii="Century Gothic" w:hAnsi="Century Gothic" w:cs="Arial"/>
                <w:bCs/>
              </w:rPr>
            </w:pPr>
            <w:r w:rsidRPr="00894730">
              <w:rPr>
                <w:rFonts w:ascii="Century Gothic" w:hAnsi="Century Gothic" w:cs="Arial"/>
                <w:bCs/>
              </w:rPr>
              <w:t xml:space="preserve">Por cualquier medio y fuera de los supuestos autorizados por la Ley, </w:t>
            </w:r>
            <w:proofErr w:type="spellStart"/>
            <w:r w:rsidRPr="00894730">
              <w:rPr>
                <w:rFonts w:ascii="Century Gothic" w:hAnsi="Century Gothic" w:cs="Arial"/>
                <w:bCs/>
              </w:rPr>
              <w:t>audiograbe</w:t>
            </w:r>
            <w:proofErr w:type="spellEnd"/>
            <w:r w:rsidRPr="00894730">
              <w:rPr>
                <w:rFonts w:ascii="Century Gothic" w:hAnsi="Century Gothic" w:cs="Arial"/>
                <w:bCs/>
              </w:rPr>
              <w:t xml:space="preserve">, comercialice, comparta, difunda, distribuya, entregue, exponga, envíe, filme, fotografíe, intercambie, oferte, publique, remita, reproduzca, revele, transmita o videograbe, imágenes, audios, videos o </w:t>
            </w:r>
            <w:r w:rsidRPr="00894730">
              <w:rPr>
                <w:rFonts w:ascii="Century Gothic" w:hAnsi="Century Gothic" w:cs="Arial"/>
                <w:bCs/>
              </w:rPr>
              <w:lastRenderedPageBreak/>
              <w:t>documentos de cadáveres o parte de ellos que se encuentren relacionados con una investigación penal, de las circunstancias de la muerte o de las lesiones que éstos presentan.</w:t>
            </w:r>
          </w:p>
          <w:p w14:paraId="19A385A6" w14:textId="314AFC76" w:rsidR="00894730" w:rsidRDefault="00894730" w:rsidP="00894730">
            <w:pPr>
              <w:spacing w:line="360" w:lineRule="auto"/>
              <w:ind w:right="335"/>
              <w:jc w:val="both"/>
              <w:rPr>
                <w:rFonts w:ascii="Century Gothic" w:hAnsi="Century Gothic" w:cs="Arial"/>
                <w:bCs/>
              </w:rPr>
            </w:pPr>
          </w:p>
          <w:p w14:paraId="24C3F577" w14:textId="0CAC8B5C" w:rsidR="00894730" w:rsidRDefault="00894730" w:rsidP="00894730">
            <w:pPr>
              <w:spacing w:line="360" w:lineRule="auto"/>
              <w:ind w:right="335"/>
              <w:jc w:val="both"/>
              <w:rPr>
                <w:rFonts w:ascii="Century Gothic" w:hAnsi="Century Gothic" w:cs="Arial"/>
                <w:bCs/>
              </w:rPr>
            </w:pPr>
          </w:p>
          <w:p w14:paraId="526AF394" w14:textId="6C0F6694" w:rsidR="00894730" w:rsidRDefault="00894730" w:rsidP="00894730">
            <w:pPr>
              <w:spacing w:line="360" w:lineRule="auto"/>
              <w:ind w:right="335"/>
              <w:jc w:val="both"/>
              <w:rPr>
                <w:rFonts w:ascii="Century Gothic" w:hAnsi="Century Gothic" w:cs="Arial"/>
                <w:bCs/>
              </w:rPr>
            </w:pPr>
          </w:p>
          <w:p w14:paraId="25DF3899" w14:textId="7F8B10BB" w:rsidR="00894730" w:rsidRDefault="00894730" w:rsidP="00894730">
            <w:pPr>
              <w:spacing w:line="360" w:lineRule="auto"/>
              <w:ind w:right="335"/>
              <w:jc w:val="both"/>
              <w:rPr>
                <w:rFonts w:ascii="Century Gothic" w:hAnsi="Century Gothic" w:cs="Arial"/>
                <w:bCs/>
              </w:rPr>
            </w:pPr>
          </w:p>
          <w:p w14:paraId="150DDD42" w14:textId="77777777" w:rsidR="00894730" w:rsidRPr="00894730" w:rsidRDefault="00894730" w:rsidP="00894730">
            <w:pPr>
              <w:spacing w:line="360" w:lineRule="auto"/>
              <w:ind w:right="335"/>
              <w:jc w:val="both"/>
              <w:rPr>
                <w:rFonts w:ascii="Century Gothic" w:hAnsi="Century Gothic" w:cs="Arial"/>
                <w:bCs/>
              </w:rPr>
            </w:pPr>
          </w:p>
          <w:p w14:paraId="4B6EA798" w14:textId="77777777" w:rsidR="00894730" w:rsidRPr="00894730" w:rsidRDefault="00894730" w:rsidP="00894730">
            <w:pPr>
              <w:spacing w:line="360" w:lineRule="auto"/>
              <w:ind w:right="335"/>
              <w:jc w:val="both"/>
              <w:rPr>
                <w:rFonts w:ascii="Century Gothic" w:hAnsi="Century Gothic" w:cs="Arial"/>
                <w:bCs/>
                <w:lang w:val="es-MX"/>
              </w:rPr>
            </w:pPr>
            <w:r w:rsidRPr="00894730">
              <w:rPr>
                <w:rFonts w:ascii="Century Gothic" w:hAnsi="Century Gothic" w:cs="Arial"/>
                <w:bCs/>
                <w:lang w:val="es-MX"/>
              </w:rPr>
              <w:t>Tratándose de imágenes, audios o videos de cadáveres de mujeres, niñas o adolescentes, de las circunstancias de su muerte, de las lesiones o estado de salud, las penas previstas para la conducta descrita en la fracción XI se incrementarán hasta en una mitad.</w:t>
            </w:r>
          </w:p>
          <w:p w14:paraId="5E6E4A20" w14:textId="77777777" w:rsidR="00A760F1" w:rsidRDefault="00A760F1" w:rsidP="00894730">
            <w:pPr>
              <w:spacing w:line="360" w:lineRule="auto"/>
              <w:ind w:right="335"/>
              <w:jc w:val="both"/>
              <w:rPr>
                <w:rFonts w:ascii="Century Gothic" w:hAnsi="Century Gothic" w:cs="Arial"/>
                <w:bCs/>
              </w:rPr>
            </w:pPr>
          </w:p>
          <w:p w14:paraId="032E6C3C" w14:textId="24403719" w:rsidR="00894730" w:rsidRPr="00894730" w:rsidRDefault="00894730" w:rsidP="00894730">
            <w:pPr>
              <w:spacing w:line="360" w:lineRule="auto"/>
              <w:ind w:right="335"/>
              <w:jc w:val="both"/>
              <w:rPr>
                <w:rFonts w:ascii="Century Gothic" w:hAnsi="Century Gothic" w:cs="Arial"/>
                <w:bCs/>
              </w:rPr>
            </w:pPr>
            <w:r>
              <w:rPr>
                <w:rFonts w:ascii="Century Gothic" w:hAnsi="Century Gothic" w:cs="Arial"/>
                <w:bCs/>
              </w:rPr>
              <w:t>(sin correlativo)</w:t>
            </w:r>
          </w:p>
        </w:tc>
      </w:tr>
    </w:tbl>
    <w:p w14:paraId="29662C4A" w14:textId="77777777" w:rsidR="00A760F1" w:rsidRPr="00FB687E" w:rsidRDefault="00A760F1" w:rsidP="00FB687E">
      <w:pPr>
        <w:spacing w:line="360" w:lineRule="auto"/>
        <w:ind w:right="335"/>
        <w:jc w:val="both"/>
        <w:rPr>
          <w:rFonts w:ascii="Century Gothic" w:hAnsi="Century Gothic" w:cs="Arial"/>
          <w:bCs/>
        </w:rPr>
      </w:pPr>
    </w:p>
    <w:p w14:paraId="1D0D1079" w14:textId="4A64A520" w:rsidR="008A5E2F" w:rsidRDefault="008A5E2F" w:rsidP="00F53E64">
      <w:pPr>
        <w:spacing w:line="360" w:lineRule="auto"/>
        <w:ind w:right="335"/>
        <w:jc w:val="both"/>
        <w:rPr>
          <w:rFonts w:ascii="Century Gothic" w:hAnsi="Century Gothic" w:cs="Arial"/>
          <w:bCs/>
        </w:rPr>
      </w:pPr>
      <w:r w:rsidRPr="008A5E2F">
        <w:rPr>
          <w:rFonts w:ascii="Century Gothic" w:hAnsi="Century Gothic" w:cs="Arial"/>
          <w:b/>
          <w:lang w:val="es-MX"/>
        </w:rPr>
        <w:t>B.</w:t>
      </w:r>
      <w:r>
        <w:rPr>
          <w:rFonts w:ascii="Century Gothic" w:hAnsi="Century Gothic" w:cs="Arial"/>
          <w:bCs/>
          <w:lang w:val="es-MX"/>
        </w:rPr>
        <w:t xml:space="preserve"> Ahora bien, </w:t>
      </w:r>
      <w:r w:rsidRPr="008A5E2F">
        <w:rPr>
          <w:rFonts w:ascii="Century Gothic" w:hAnsi="Century Gothic" w:cs="Arial"/>
          <w:bCs/>
        </w:rPr>
        <w:t>el 17 de septiembre de 2021</w:t>
      </w:r>
      <w:r>
        <w:rPr>
          <w:rFonts w:ascii="Century Gothic" w:hAnsi="Century Gothic" w:cs="Arial"/>
          <w:bCs/>
        </w:rPr>
        <w:t>, la Comisión Nacional de los Derechos Humanos, presentó ante la Suprema Corte de Justicia de la Nación, la acción de inconstitucionalidad 136/2021, en contra del artículo 227 Bis del</w:t>
      </w:r>
      <w:r w:rsidRPr="008A5E2F">
        <w:rPr>
          <w:rFonts w:ascii="Century Gothic" w:hAnsi="Century Gothic" w:cs="Arial"/>
          <w:bCs/>
        </w:rPr>
        <w:t xml:space="preserve"> Código Penal del Estado de México.</w:t>
      </w:r>
    </w:p>
    <w:p w14:paraId="121F8BAD" w14:textId="5F3E3786" w:rsidR="008A5E2F" w:rsidRDefault="008A5E2F" w:rsidP="00F53E64">
      <w:pPr>
        <w:spacing w:line="360" w:lineRule="auto"/>
        <w:ind w:right="335"/>
        <w:jc w:val="both"/>
        <w:rPr>
          <w:rFonts w:ascii="Century Gothic" w:hAnsi="Century Gothic" w:cs="Arial"/>
          <w:bCs/>
        </w:rPr>
      </w:pPr>
    </w:p>
    <w:p w14:paraId="70E4FB0D" w14:textId="7464E8D3" w:rsidR="008A5E2F" w:rsidRDefault="00A47EF9" w:rsidP="00F53E64">
      <w:pPr>
        <w:spacing w:line="360" w:lineRule="auto"/>
        <w:ind w:right="335"/>
        <w:jc w:val="both"/>
        <w:rPr>
          <w:rFonts w:ascii="Century Gothic" w:hAnsi="Century Gothic" w:cs="Arial"/>
          <w:bCs/>
        </w:rPr>
      </w:pPr>
      <w:r>
        <w:rPr>
          <w:rFonts w:ascii="Century Gothic" w:hAnsi="Century Gothic" w:cs="Arial"/>
          <w:bCs/>
        </w:rPr>
        <w:t xml:space="preserve">En donde estima que dicho numeral sustantivo penal, vulnera los preceptos </w:t>
      </w:r>
      <w:r w:rsidRPr="00A47EF9">
        <w:rPr>
          <w:rFonts w:ascii="Century Gothic" w:hAnsi="Century Gothic" w:cs="Arial"/>
          <w:bCs/>
        </w:rPr>
        <w:t>constitucionales y convencionales: 1°, 6º, 7°, 14 y 16 de la Constitución Política de los Estados Unidos Mexicanos</w:t>
      </w:r>
      <w:r>
        <w:rPr>
          <w:rFonts w:ascii="Century Gothic" w:hAnsi="Century Gothic" w:cs="Arial"/>
          <w:bCs/>
        </w:rPr>
        <w:t>;</w:t>
      </w:r>
      <w:r w:rsidRPr="00A47EF9">
        <w:rPr>
          <w:rFonts w:ascii="Century Gothic" w:hAnsi="Century Gothic" w:cs="Arial"/>
          <w:bCs/>
        </w:rPr>
        <w:t xml:space="preserve"> 1, 2, 9 y 13 de la Convención Americana sobre Derechos Humanos</w:t>
      </w:r>
      <w:r>
        <w:rPr>
          <w:rFonts w:ascii="Century Gothic" w:hAnsi="Century Gothic" w:cs="Arial"/>
          <w:bCs/>
        </w:rPr>
        <w:t>;</w:t>
      </w:r>
      <w:r w:rsidRPr="00A47EF9">
        <w:rPr>
          <w:rFonts w:ascii="Century Gothic" w:hAnsi="Century Gothic" w:cs="Arial"/>
          <w:bCs/>
        </w:rPr>
        <w:t xml:space="preserve"> </w:t>
      </w:r>
      <w:r>
        <w:rPr>
          <w:rFonts w:ascii="Century Gothic" w:hAnsi="Century Gothic" w:cs="Arial"/>
          <w:bCs/>
        </w:rPr>
        <w:t>y</w:t>
      </w:r>
      <w:r w:rsidRPr="00A47EF9">
        <w:rPr>
          <w:rFonts w:ascii="Century Gothic" w:hAnsi="Century Gothic" w:cs="Arial"/>
          <w:bCs/>
        </w:rPr>
        <w:t xml:space="preserve"> 2, 9, 15 y 19 del Pacto Internacional de Derechos Civiles y Políticos.</w:t>
      </w:r>
      <w:r>
        <w:rPr>
          <w:rFonts w:ascii="Century Gothic" w:hAnsi="Century Gothic" w:cs="Arial"/>
          <w:bCs/>
        </w:rPr>
        <w:t xml:space="preserve"> Vulnerando los derechos:</w:t>
      </w:r>
      <w:r w:rsidRPr="00A47EF9">
        <w:rPr>
          <w:rFonts w:ascii="Century Gothic" w:hAnsi="Century Gothic" w:cs="Arial"/>
          <w:bCs/>
        </w:rPr>
        <w:t xml:space="preserve"> </w:t>
      </w:r>
      <w:r>
        <w:rPr>
          <w:rFonts w:ascii="Century Gothic" w:hAnsi="Century Gothic" w:cs="Arial"/>
          <w:bCs/>
        </w:rPr>
        <w:t>A</w:t>
      </w:r>
      <w:r w:rsidRPr="00A47EF9">
        <w:rPr>
          <w:rFonts w:ascii="Century Gothic" w:hAnsi="Century Gothic" w:cs="Arial"/>
          <w:bCs/>
        </w:rPr>
        <w:t xml:space="preserve"> la seguridad jurídica</w:t>
      </w:r>
      <w:r>
        <w:rPr>
          <w:rFonts w:ascii="Century Gothic" w:hAnsi="Century Gothic" w:cs="Arial"/>
          <w:bCs/>
        </w:rPr>
        <w:t>;</w:t>
      </w:r>
      <w:r w:rsidRPr="00A47EF9">
        <w:rPr>
          <w:rFonts w:ascii="Century Gothic" w:hAnsi="Century Gothic" w:cs="Arial"/>
          <w:bCs/>
        </w:rPr>
        <w:t xml:space="preserve"> </w:t>
      </w:r>
      <w:r>
        <w:rPr>
          <w:rFonts w:ascii="Century Gothic" w:hAnsi="Century Gothic" w:cs="Arial"/>
          <w:bCs/>
        </w:rPr>
        <w:t>l</w:t>
      </w:r>
      <w:r w:rsidRPr="00A47EF9">
        <w:rPr>
          <w:rFonts w:ascii="Century Gothic" w:hAnsi="Century Gothic" w:cs="Arial"/>
          <w:bCs/>
        </w:rPr>
        <w:t>ibertad de expresión</w:t>
      </w:r>
      <w:r>
        <w:rPr>
          <w:rFonts w:ascii="Century Gothic" w:hAnsi="Century Gothic" w:cs="Arial"/>
          <w:bCs/>
        </w:rPr>
        <w:t>; p</w:t>
      </w:r>
      <w:r w:rsidRPr="00A47EF9">
        <w:rPr>
          <w:rFonts w:ascii="Century Gothic" w:hAnsi="Century Gothic" w:cs="Arial"/>
          <w:bCs/>
        </w:rPr>
        <w:t>rincipio de legalidad, en su vertiente de taxatividad en materia penal</w:t>
      </w:r>
      <w:r>
        <w:rPr>
          <w:rFonts w:ascii="Century Gothic" w:hAnsi="Century Gothic" w:cs="Arial"/>
          <w:bCs/>
        </w:rPr>
        <w:t xml:space="preserve"> y</w:t>
      </w:r>
      <w:r w:rsidRPr="00A47EF9">
        <w:rPr>
          <w:rFonts w:ascii="Century Gothic" w:hAnsi="Century Gothic" w:cs="Arial"/>
          <w:bCs/>
        </w:rPr>
        <w:t xml:space="preserve"> </w:t>
      </w:r>
      <w:r>
        <w:rPr>
          <w:rFonts w:ascii="Century Gothic" w:hAnsi="Century Gothic" w:cs="Arial"/>
          <w:bCs/>
        </w:rPr>
        <w:t>p</w:t>
      </w:r>
      <w:r w:rsidRPr="00A47EF9">
        <w:rPr>
          <w:rFonts w:ascii="Century Gothic" w:hAnsi="Century Gothic" w:cs="Arial"/>
          <w:bCs/>
        </w:rPr>
        <w:t>rincipio de mínima intervención en materia penal (ultima ratio).</w:t>
      </w:r>
    </w:p>
    <w:p w14:paraId="5E44E605" w14:textId="143936CB" w:rsidR="00A47EF9" w:rsidRDefault="00A47EF9" w:rsidP="00F53E64">
      <w:pPr>
        <w:spacing w:line="360" w:lineRule="auto"/>
        <w:ind w:right="335"/>
        <w:jc w:val="both"/>
        <w:rPr>
          <w:rFonts w:ascii="Century Gothic" w:hAnsi="Century Gothic" w:cs="Arial"/>
          <w:bCs/>
        </w:rPr>
      </w:pPr>
    </w:p>
    <w:p w14:paraId="71F9CBB4" w14:textId="72FB332F" w:rsidR="008A5E2F" w:rsidRPr="00C8606B" w:rsidRDefault="00A47EF9" w:rsidP="00F53E64">
      <w:pPr>
        <w:spacing w:line="360" w:lineRule="auto"/>
        <w:ind w:right="335"/>
        <w:jc w:val="both"/>
        <w:rPr>
          <w:rFonts w:ascii="Century Gothic" w:hAnsi="Century Gothic" w:cs="Arial"/>
          <w:bCs/>
          <w:lang w:val="es-MX"/>
        </w:rPr>
      </w:pPr>
      <w:r>
        <w:rPr>
          <w:rFonts w:ascii="Century Gothic" w:hAnsi="Century Gothic" w:cs="Arial"/>
          <w:bCs/>
        </w:rPr>
        <w:t xml:space="preserve">Exponiendo varios motivos que resume en el siguiente texto: </w:t>
      </w:r>
    </w:p>
    <w:p w14:paraId="73112358" w14:textId="47CE7F5D" w:rsidR="00741892" w:rsidRDefault="00A00639" w:rsidP="00163B54">
      <w:pPr>
        <w:spacing w:line="360" w:lineRule="auto"/>
        <w:ind w:right="335"/>
        <w:jc w:val="both"/>
        <w:rPr>
          <w:rFonts w:ascii="Century Gothic" w:hAnsi="Century Gothic" w:cs="Arial"/>
        </w:rPr>
      </w:pPr>
      <w:r>
        <w:rPr>
          <w:rFonts w:ascii="Century Gothic" w:hAnsi="Century Gothic" w:cs="Arial"/>
        </w:rPr>
        <w:t xml:space="preserve"> </w:t>
      </w:r>
    </w:p>
    <w:p w14:paraId="7B86ADE6" w14:textId="77777777" w:rsidR="00A760F1" w:rsidRPr="00A760F1" w:rsidRDefault="004334B3" w:rsidP="00A760F1">
      <w:pPr>
        <w:numPr>
          <w:ilvl w:val="0"/>
          <w:numId w:val="15"/>
        </w:numPr>
        <w:spacing w:line="360" w:lineRule="auto"/>
        <w:ind w:right="335"/>
        <w:jc w:val="both"/>
        <w:rPr>
          <w:rFonts w:ascii="Century Gothic" w:hAnsi="Century Gothic" w:cs="Arial"/>
          <w:lang w:val="es-MX"/>
        </w:rPr>
      </w:pPr>
      <w:r>
        <w:rPr>
          <w:rFonts w:ascii="Century Gothic" w:hAnsi="Century Gothic" w:cs="Arial"/>
        </w:rPr>
        <w:t xml:space="preserve"> </w:t>
      </w:r>
      <w:r w:rsidR="00A760F1" w:rsidRPr="00A760F1">
        <w:rPr>
          <w:rFonts w:ascii="Century Gothic" w:hAnsi="Century Gothic" w:cs="Arial"/>
          <w:lang w:val="es-MX"/>
        </w:rPr>
        <w:t>Ambigüedad y falta de claridad en la configuración del delito de difusión o revelación de datos relacionados con una investigación penal.</w:t>
      </w:r>
    </w:p>
    <w:p w14:paraId="78CA521A" w14:textId="77777777" w:rsidR="00A760F1" w:rsidRPr="00A760F1" w:rsidRDefault="00A760F1" w:rsidP="00A760F1">
      <w:pPr>
        <w:numPr>
          <w:ilvl w:val="0"/>
          <w:numId w:val="15"/>
        </w:numPr>
        <w:spacing w:line="360" w:lineRule="auto"/>
        <w:ind w:right="335"/>
        <w:jc w:val="both"/>
        <w:rPr>
          <w:rFonts w:ascii="Century Gothic" w:hAnsi="Century Gothic" w:cs="Arial"/>
          <w:lang w:val="es-MX"/>
        </w:rPr>
      </w:pPr>
      <w:r w:rsidRPr="00A760F1">
        <w:rPr>
          <w:rFonts w:ascii="Century Gothic" w:hAnsi="Century Gothic" w:cs="Arial"/>
          <w:lang w:val="es-MX"/>
        </w:rPr>
        <w:lastRenderedPageBreak/>
        <w:t>Uso excesivo del derecho penal para sancionar conductas que no deberían ser punibles.</w:t>
      </w:r>
    </w:p>
    <w:p w14:paraId="04BCB1E6" w14:textId="77777777" w:rsidR="00A760F1" w:rsidRPr="00A760F1" w:rsidRDefault="00A760F1" w:rsidP="00A760F1">
      <w:pPr>
        <w:numPr>
          <w:ilvl w:val="0"/>
          <w:numId w:val="15"/>
        </w:numPr>
        <w:spacing w:line="360" w:lineRule="auto"/>
        <w:ind w:right="335"/>
        <w:jc w:val="both"/>
        <w:rPr>
          <w:rFonts w:ascii="Century Gothic" w:hAnsi="Century Gothic" w:cs="Arial"/>
          <w:lang w:val="es-MX"/>
        </w:rPr>
      </w:pPr>
      <w:r w:rsidRPr="00A760F1">
        <w:rPr>
          <w:rFonts w:ascii="Century Gothic" w:hAnsi="Century Gothic" w:cs="Arial"/>
          <w:lang w:val="es-MX"/>
        </w:rPr>
        <w:t>Limitación del derecho a la libertad de expresión que puede impactar negativamente en el gremio periodístico.</w:t>
      </w:r>
    </w:p>
    <w:p w14:paraId="737DEF3E" w14:textId="5601812C" w:rsidR="00741892" w:rsidRPr="00741892" w:rsidRDefault="00741892" w:rsidP="00741892">
      <w:pPr>
        <w:spacing w:line="360" w:lineRule="auto"/>
        <w:ind w:right="335"/>
        <w:jc w:val="both"/>
        <w:rPr>
          <w:rFonts w:ascii="Century Gothic" w:hAnsi="Century Gothic" w:cs="Arial"/>
          <w:lang w:val="es-MX"/>
        </w:rPr>
      </w:pPr>
    </w:p>
    <w:p w14:paraId="48BACA7F" w14:textId="7598725B" w:rsidR="00796EDF" w:rsidRDefault="00A47EF9" w:rsidP="00163B54">
      <w:pPr>
        <w:spacing w:line="360" w:lineRule="auto"/>
        <w:ind w:right="335"/>
        <w:jc w:val="both"/>
        <w:rPr>
          <w:rFonts w:ascii="Century Gothic" w:hAnsi="Century Gothic" w:cs="Arial"/>
        </w:rPr>
      </w:pPr>
      <w:r>
        <w:rPr>
          <w:rFonts w:ascii="Century Gothic" w:hAnsi="Century Gothic" w:cs="Arial"/>
        </w:rPr>
        <w:t>Coincidimos con la Comisión Nacional</w:t>
      </w:r>
      <w:r w:rsidR="00F049E2">
        <w:rPr>
          <w:rFonts w:ascii="Century Gothic" w:hAnsi="Century Gothic" w:cs="Arial"/>
        </w:rPr>
        <w:t xml:space="preserve"> en </w:t>
      </w:r>
      <w:r w:rsidR="004E3E97">
        <w:rPr>
          <w:rFonts w:ascii="Century Gothic" w:hAnsi="Century Gothic" w:cs="Arial"/>
        </w:rPr>
        <w:t>algunos aspectos</w:t>
      </w:r>
      <w:r w:rsidR="00F049E2">
        <w:rPr>
          <w:rFonts w:ascii="Century Gothic" w:hAnsi="Century Gothic" w:cs="Arial"/>
        </w:rPr>
        <w:t xml:space="preserve">, por </w:t>
      </w:r>
      <w:r w:rsidR="00197FC0">
        <w:rPr>
          <w:rFonts w:ascii="Century Gothic" w:hAnsi="Century Gothic" w:cs="Arial"/>
        </w:rPr>
        <w:t>ende,</w:t>
      </w:r>
      <w:r>
        <w:rPr>
          <w:rFonts w:ascii="Century Gothic" w:hAnsi="Century Gothic" w:cs="Arial"/>
        </w:rPr>
        <w:t xml:space="preserve"> consideramos que la propuesta que hoy nos atañe podría ser inconstitucional; sabemos que está pendiente de resolverse</w:t>
      </w:r>
      <w:r w:rsidR="00476ECF">
        <w:rPr>
          <w:rFonts w:ascii="Century Gothic" w:hAnsi="Century Gothic" w:cs="Arial"/>
        </w:rPr>
        <w:t xml:space="preserve">, sin embargo, aún y cuando la Corte estableciera que la norma es constitucional, creemos que podría generar problemas de operatividad por </w:t>
      </w:r>
      <w:r w:rsidR="00796EDF">
        <w:rPr>
          <w:rFonts w:ascii="Century Gothic" w:hAnsi="Century Gothic" w:cs="Arial"/>
        </w:rPr>
        <w:t>el amplio catálogo de conductas.</w:t>
      </w:r>
    </w:p>
    <w:p w14:paraId="67A46EC0" w14:textId="77777777" w:rsidR="00796EDF" w:rsidRDefault="00796EDF" w:rsidP="00163B54">
      <w:pPr>
        <w:spacing w:line="360" w:lineRule="auto"/>
        <w:ind w:right="335"/>
        <w:jc w:val="both"/>
        <w:rPr>
          <w:rFonts w:ascii="Century Gothic" w:hAnsi="Century Gothic" w:cs="Arial"/>
        </w:rPr>
      </w:pPr>
    </w:p>
    <w:p w14:paraId="7DE7ACE4" w14:textId="354E98BB" w:rsidR="00796EDF" w:rsidRDefault="00796EDF" w:rsidP="00796EDF">
      <w:pPr>
        <w:spacing w:line="360" w:lineRule="auto"/>
        <w:ind w:right="335"/>
        <w:jc w:val="both"/>
        <w:rPr>
          <w:rFonts w:ascii="Century Gothic" w:hAnsi="Century Gothic" w:cs="Arial"/>
          <w:lang w:val="es-MX"/>
        </w:rPr>
      </w:pPr>
      <w:r>
        <w:rPr>
          <w:rFonts w:ascii="Century Gothic" w:hAnsi="Century Gothic" w:cs="Arial"/>
        </w:rPr>
        <w:t>Aun sí reconocemos que el problema visibilizado en la iniciativa subsiste y debemos atenderlo, de ahí que se proponga la siguiente alternativa</w:t>
      </w:r>
      <w:r w:rsidR="00476ECF">
        <w:rPr>
          <w:rFonts w:ascii="Century Gothic" w:hAnsi="Century Gothic" w:cs="Arial"/>
        </w:rPr>
        <w:t xml:space="preserve"> </w:t>
      </w:r>
      <w:r>
        <w:rPr>
          <w:rFonts w:ascii="Century Gothic" w:hAnsi="Century Gothic" w:cs="Arial"/>
        </w:rPr>
        <w:t xml:space="preserve">descriptiva que sancione al servidor público que </w:t>
      </w:r>
      <w:r w:rsidR="00D51F46">
        <w:rPr>
          <w:rFonts w:ascii="Century Gothic" w:hAnsi="Century Gothic" w:cs="Arial"/>
        </w:rPr>
        <w:t>dé</w:t>
      </w:r>
      <w:r>
        <w:rPr>
          <w:rFonts w:ascii="Century Gothic" w:hAnsi="Century Gothic" w:cs="Arial"/>
        </w:rPr>
        <w:t xml:space="preserve"> a </w:t>
      </w:r>
      <w:r w:rsidRPr="00D51F46">
        <w:rPr>
          <w:rFonts w:ascii="Century Gothic" w:hAnsi="Century Gothic" w:cs="Arial"/>
          <w:lang w:val="es-MX"/>
        </w:rPr>
        <w:t>conocer a quien no tenga derecho, documentos, constancias o información que obre en una investigación o en un proceso penal y que por disposición de la ley sean reservados o confidenciales.</w:t>
      </w:r>
    </w:p>
    <w:p w14:paraId="6DED4926" w14:textId="431C21E1" w:rsidR="00F049E2" w:rsidRDefault="00F049E2" w:rsidP="00796EDF">
      <w:pPr>
        <w:spacing w:line="360" w:lineRule="auto"/>
        <w:ind w:right="335"/>
        <w:jc w:val="both"/>
        <w:rPr>
          <w:rFonts w:ascii="Century Gothic" w:hAnsi="Century Gothic" w:cs="Arial"/>
          <w:lang w:val="es-MX"/>
        </w:rPr>
      </w:pPr>
    </w:p>
    <w:p w14:paraId="345E70EF" w14:textId="6CBA4614" w:rsidR="004D5AB9" w:rsidRDefault="00F049E2" w:rsidP="00796EDF">
      <w:pPr>
        <w:spacing w:line="360" w:lineRule="auto"/>
        <w:ind w:right="335"/>
        <w:jc w:val="both"/>
        <w:rPr>
          <w:rFonts w:ascii="Century Gothic" w:hAnsi="Century Gothic" w:cs="Arial"/>
          <w:lang w:val="es-MX"/>
        </w:rPr>
      </w:pPr>
      <w:r>
        <w:rPr>
          <w:rFonts w:ascii="Century Gothic" w:hAnsi="Century Gothic" w:cs="Arial"/>
          <w:lang w:val="es-MX"/>
        </w:rPr>
        <w:t>Ahora bien, cierto es que los antecedentes de la problemática pretenden tutelar la dignidad y el honor de las víctimas, pero no menos cierto es que este tipo de conductas son pluriofensivas y donde se ha detectado</w:t>
      </w:r>
      <w:r w:rsidR="00F7069D">
        <w:rPr>
          <w:rFonts w:ascii="Century Gothic" w:hAnsi="Century Gothic" w:cs="Arial"/>
          <w:lang w:val="es-MX"/>
        </w:rPr>
        <w:t xml:space="preserve"> que</w:t>
      </w:r>
      <w:r>
        <w:rPr>
          <w:rFonts w:ascii="Century Gothic" w:hAnsi="Century Gothic" w:cs="Arial"/>
          <w:lang w:val="es-MX"/>
        </w:rPr>
        <w:t xml:space="preserve"> emerge la conducta reprochable, es en el ámbito de la procuración de justicia, por lo que es esta fuente a la que debemos prestar atención y dirigirlo a</w:t>
      </w:r>
      <w:r w:rsidR="00F7069D">
        <w:rPr>
          <w:rFonts w:ascii="Century Gothic" w:hAnsi="Century Gothic" w:cs="Arial"/>
          <w:lang w:val="es-MX"/>
        </w:rPr>
        <w:t xml:space="preserve"> una</w:t>
      </w:r>
      <w:r>
        <w:rPr>
          <w:rFonts w:ascii="Century Gothic" w:hAnsi="Century Gothic" w:cs="Arial"/>
          <w:lang w:val="es-MX"/>
        </w:rPr>
        <w:t xml:space="preserve"> </w:t>
      </w:r>
      <w:r>
        <w:rPr>
          <w:rFonts w:ascii="Century Gothic" w:hAnsi="Century Gothic" w:cs="Arial"/>
          <w:lang w:val="es-MX"/>
        </w:rPr>
        <w:lastRenderedPageBreak/>
        <w:t xml:space="preserve">cualidad </w:t>
      </w:r>
      <w:r w:rsidR="004D5AB9">
        <w:rPr>
          <w:rFonts w:ascii="Century Gothic" w:hAnsi="Century Gothic" w:cs="Arial"/>
          <w:lang w:val="es-MX"/>
        </w:rPr>
        <w:t>específica</w:t>
      </w:r>
      <w:r>
        <w:rPr>
          <w:rFonts w:ascii="Century Gothic" w:hAnsi="Century Gothic" w:cs="Arial"/>
          <w:lang w:val="es-MX"/>
        </w:rPr>
        <w:t xml:space="preserve"> del activo, esto es, a cualquier</w:t>
      </w:r>
      <w:r w:rsidR="004D5AB9">
        <w:rPr>
          <w:rFonts w:ascii="Century Gothic" w:hAnsi="Century Gothic" w:cs="Arial"/>
          <w:lang w:val="es-MX"/>
        </w:rPr>
        <w:t xml:space="preserve"> persona del servicio </w:t>
      </w:r>
      <w:r>
        <w:rPr>
          <w:rFonts w:ascii="Century Gothic" w:hAnsi="Century Gothic" w:cs="Arial"/>
          <w:lang w:val="es-MX"/>
        </w:rPr>
        <w:t>público</w:t>
      </w:r>
      <w:r w:rsidR="004D5AB9">
        <w:rPr>
          <w:rFonts w:ascii="Century Gothic" w:hAnsi="Century Gothic" w:cs="Arial"/>
          <w:lang w:val="es-MX"/>
        </w:rPr>
        <w:t xml:space="preserve"> de ese ámbito.</w:t>
      </w:r>
    </w:p>
    <w:p w14:paraId="5457C28D" w14:textId="45CF7284" w:rsidR="004D5AB9" w:rsidRDefault="004D5AB9" w:rsidP="00796EDF">
      <w:pPr>
        <w:spacing w:line="360" w:lineRule="auto"/>
        <w:ind w:right="335"/>
        <w:jc w:val="both"/>
        <w:rPr>
          <w:rFonts w:ascii="Century Gothic" w:hAnsi="Century Gothic" w:cs="Arial"/>
          <w:lang w:val="es-MX"/>
        </w:rPr>
      </w:pPr>
    </w:p>
    <w:p w14:paraId="0B04EE18" w14:textId="77777777" w:rsidR="00F7069D" w:rsidRDefault="004D5AB9" w:rsidP="00796EDF">
      <w:pPr>
        <w:spacing w:line="360" w:lineRule="auto"/>
        <w:ind w:right="335"/>
        <w:jc w:val="both"/>
        <w:rPr>
          <w:rFonts w:ascii="Century Gothic" w:hAnsi="Century Gothic" w:cs="Arial"/>
          <w:lang w:val="es-MX"/>
        </w:rPr>
      </w:pPr>
      <w:r>
        <w:rPr>
          <w:rFonts w:ascii="Century Gothic" w:hAnsi="Century Gothic" w:cs="Arial"/>
          <w:lang w:val="es-MX"/>
        </w:rPr>
        <w:t>Dicho funcionariado tiene previo conocimiento de quien y/o quienes tienen acceso a los antecedentes de la investigación; además saben cuál información ésta reservada o es confidencial; por ende, no se les está exigiendo una conducta fuera de cualquier lógica, simplemente que obren con la debida diligencia</w:t>
      </w:r>
      <w:r w:rsidR="00F7069D">
        <w:rPr>
          <w:rFonts w:ascii="Century Gothic" w:hAnsi="Century Gothic" w:cs="Arial"/>
          <w:lang w:val="es-MX"/>
        </w:rPr>
        <w:t>.</w:t>
      </w:r>
      <w:r w:rsidR="004E1676">
        <w:rPr>
          <w:rFonts w:ascii="Century Gothic" w:hAnsi="Century Gothic" w:cs="Arial"/>
          <w:lang w:val="es-MX"/>
        </w:rPr>
        <w:t xml:space="preserve"> </w:t>
      </w:r>
    </w:p>
    <w:p w14:paraId="38AEA065" w14:textId="77777777" w:rsidR="00F7069D" w:rsidRDefault="00F7069D" w:rsidP="00796EDF">
      <w:pPr>
        <w:spacing w:line="360" w:lineRule="auto"/>
        <w:ind w:right="335"/>
        <w:jc w:val="both"/>
        <w:rPr>
          <w:rFonts w:ascii="Century Gothic" w:hAnsi="Century Gothic" w:cs="Arial"/>
          <w:lang w:val="es-MX"/>
        </w:rPr>
      </w:pPr>
    </w:p>
    <w:p w14:paraId="6C016B17" w14:textId="77777777" w:rsidR="009403AA" w:rsidRDefault="00F7069D" w:rsidP="009403AA">
      <w:pPr>
        <w:spacing w:line="360" w:lineRule="auto"/>
        <w:ind w:right="335"/>
        <w:jc w:val="both"/>
        <w:rPr>
          <w:rFonts w:ascii="Century Gothic" w:hAnsi="Century Gothic" w:cs="Arial"/>
        </w:rPr>
      </w:pPr>
      <w:r>
        <w:rPr>
          <w:rFonts w:ascii="Century Gothic" w:hAnsi="Century Gothic" w:cs="Arial"/>
          <w:lang w:val="es-MX"/>
        </w:rPr>
        <w:t xml:space="preserve">Por ejemplo; el Código Nacional de Procedimientos Penales </w:t>
      </w:r>
      <w:r w:rsidR="009403AA">
        <w:rPr>
          <w:rFonts w:ascii="Century Gothic" w:hAnsi="Century Gothic" w:cs="Arial"/>
          <w:lang w:val="es-MX"/>
        </w:rPr>
        <w:t>en su a</w:t>
      </w:r>
      <w:proofErr w:type="spellStart"/>
      <w:r w:rsidR="009403AA" w:rsidRPr="009403AA">
        <w:rPr>
          <w:rFonts w:ascii="Century Gothic" w:hAnsi="Century Gothic" w:cs="Arial"/>
        </w:rPr>
        <w:t>rtículo</w:t>
      </w:r>
      <w:proofErr w:type="spellEnd"/>
      <w:r w:rsidR="009403AA" w:rsidRPr="009403AA">
        <w:rPr>
          <w:rFonts w:ascii="Century Gothic" w:hAnsi="Century Gothic" w:cs="Arial"/>
        </w:rPr>
        <w:t xml:space="preserve"> 106</w:t>
      </w:r>
      <w:r w:rsidR="009403AA">
        <w:rPr>
          <w:rFonts w:ascii="Century Gothic" w:hAnsi="Century Gothic" w:cs="Arial"/>
        </w:rPr>
        <w:t xml:space="preserve"> establece lo siguiente: </w:t>
      </w:r>
      <w:r w:rsidR="009403AA" w:rsidRPr="009403AA">
        <w:rPr>
          <w:rFonts w:ascii="Century Gothic" w:hAnsi="Century Gothic" w:cs="Arial"/>
        </w:rPr>
        <w:t xml:space="preserve"> </w:t>
      </w:r>
    </w:p>
    <w:p w14:paraId="0B2FDA39" w14:textId="77777777" w:rsidR="009403AA" w:rsidRDefault="009403AA" w:rsidP="009403AA">
      <w:pPr>
        <w:spacing w:line="360" w:lineRule="auto"/>
        <w:ind w:right="335"/>
        <w:jc w:val="both"/>
        <w:rPr>
          <w:rFonts w:ascii="Century Gothic" w:hAnsi="Century Gothic" w:cs="Arial"/>
        </w:rPr>
      </w:pPr>
    </w:p>
    <w:p w14:paraId="7C44567E" w14:textId="77777777" w:rsidR="009403AA" w:rsidRPr="009403AA" w:rsidRDefault="009403AA" w:rsidP="009403AA">
      <w:pPr>
        <w:spacing w:line="360" w:lineRule="auto"/>
        <w:ind w:left="851" w:right="1182"/>
        <w:jc w:val="both"/>
        <w:rPr>
          <w:rFonts w:ascii="Century Gothic" w:hAnsi="Century Gothic" w:cs="Arial"/>
          <w:i/>
          <w:iCs/>
        </w:rPr>
      </w:pPr>
      <w:r w:rsidRPr="009403AA">
        <w:rPr>
          <w:rFonts w:ascii="Century Gothic" w:hAnsi="Century Gothic" w:cs="Arial"/>
          <w:i/>
          <w:iCs/>
        </w:rPr>
        <w:t xml:space="preserve">“Reserva sobre la identidad </w:t>
      </w:r>
    </w:p>
    <w:p w14:paraId="175888A4" w14:textId="5D8FB5BE" w:rsidR="009403AA" w:rsidRPr="009403AA" w:rsidRDefault="009403AA" w:rsidP="009403AA">
      <w:pPr>
        <w:spacing w:line="360" w:lineRule="auto"/>
        <w:ind w:left="851" w:right="1182"/>
        <w:jc w:val="both"/>
        <w:rPr>
          <w:rFonts w:ascii="Century Gothic" w:hAnsi="Century Gothic" w:cs="Arial"/>
          <w:i/>
          <w:iCs/>
        </w:rPr>
      </w:pPr>
      <w:r w:rsidRPr="009403AA">
        <w:rPr>
          <w:rFonts w:ascii="Century Gothic" w:hAnsi="Century Gothic" w:cs="Arial"/>
          <w:i/>
          <w:iCs/>
        </w:rPr>
        <w:t xml:space="preserve">En ningún caso se podrá hacer referencia o comunicar a terceros no legitimados la información confidencial relativa a los datos personales de los sujetos del procedimiento penal o de cualquier persona relacionada o mencionada en éste. </w:t>
      </w:r>
    </w:p>
    <w:p w14:paraId="26D89318" w14:textId="77777777" w:rsidR="009403AA" w:rsidRPr="009403AA" w:rsidRDefault="009403AA" w:rsidP="009403AA">
      <w:pPr>
        <w:spacing w:line="360" w:lineRule="auto"/>
        <w:ind w:left="851" w:right="1182"/>
        <w:jc w:val="both"/>
        <w:rPr>
          <w:rFonts w:ascii="Century Gothic" w:hAnsi="Century Gothic" w:cs="Arial"/>
          <w:i/>
          <w:iCs/>
        </w:rPr>
      </w:pPr>
    </w:p>
    <w:p w14:paraId="3A7EBB58" w14:textId="6D3C1270" w:rsidR="009403AA" w:rsidRPr="009403AA" w:rsidRDefault="009403AA" w:rsidP="009403AA">
      <w:pPr>
        <w:spacing w:line="360" w:lineRule="auto"/>
        <w:ind w:left="851" w:right="1182"/>
        <w:jc w:val="both"/>
        <w:rPr>
          <w:rFonts w:ascii="Century Gothic" w:hAnsi="Century Gothic" w:cs="Arial"/>
          <w:i/>
          <w:iCs/>
        </w:rPr>
      </w:pPr>
      <w:r w:rsidRPr="009403AA">
        <w:rPr>
          <w:rFonts w:ascii="Century Gothic" w:hAnsi="Century Gothic" w:cs="Arial"/>
          <w:i/>
          <w:iCs/>
        </w:rPr>
        <w:t xml:space="preserve">Toda violación al deber de reserva por parte de los servidores públicos, será sancionada por la legislación aplicable. </w:t>
      </w:r>
    </w:p>
    <w:p w14:paraId="349C396A" w14:textId="77777777" w:rsidR="009403AA" w:rsidRPr="009403AA" w:rsidRDefault="009403AA" w:rsidP="009403AA">
      <w:pPr>
        <w:spacing w:line="360" w:lineRule="auto"/>
        <w:ind w:left="851" w:right="1182"/>
        <w:jc w:val="both"/>
        <w:rPr>
          <w:rFonts w:ascii="Century Gothic" w:hAnsi="Century Gothic" w:cs="Arial"/>
          <w:i/>
          <w:iCs/>
        </w:rPr>
      </w:pPr>
    </w:p>
    <w:p w14:paraId="78BC1D42" w14:textId="2CA15B96" w:rsidR="009403AA" w:rsidRPr="00D17E13" w:rsidRDefault="009403AA" w:rsidP="00D17E13">
      <w:pPr>
        <w:spacing w:line="360" w:lineRule="auto"/>
        <w:ind w:left="851" w:right="1182"/>
        <w:jc w:val="both"/>
        <w:rPr>
          <w:rFonts w:ascii="Century Gothic" w:hAnsi="Century Gothic" w:cs="Arial"/>
          <w:i/>
          <w:iCs/>
        </w:rPr>
      </w:pPr>
      <w:r w:rsidRPr="009403AA">
        <w:rPr>
          <w:rFonts w:ascii="Century Gothic" w:hAnsi="Century Gothic" w:cs="Arial"/>
          <w:i/>
          <w:iCs/>
        </w:rPr>
        <w:t xml:space="preserve">En los casos de personas sustraídas de la acción de la justicia, se admitirá la publicación de los datos que permitan la </w:t>
      </w:r>
      <w:r w:rsidRPr="009403AA">
        <w:rPr>
          <w:rFonts w:ascii="Century Gothic" w:hAnsi="Century Gothic" w:cs="Arial"/>
          <w:i/>
          <w:iCs/>
        </w:rPr>
        <w:lastRenderedPageBreak/>
        <w:t>identificación del imputado para ejecutar la orden judicial de aprehensión o de comparecencia.”</w:t>
      </w:r>
    </w:p>
    <w:p w14:paraId="3C32AAD3" w14:textId="77777777" w:rsidR="00D17E13" w:rsidRDefault="00D17E13" w:rsidP="009403AA">
      <w:pPr>
        <w:spacing w:line="360" w:lineRule="auto"/>
        <w:ind w:right="335"/>
        <w:jc w:val="both"/>
        <w:rPr>
          <w:rFonts w:ascii="Century Gothic" w:hAnsi="Century Gothic" w:cs="Arial"/>
        </w:rPr>
      </w:pPr>
    </w:p>
    <w:p w14:paraId="27A857D5" w14:textId="3DA551D6" w:rsidR="004E1676" w:rsidRDefault="004E1676" w:rsidP="004E1676">
      <w:pPr>
        <w:spacing w:line="360" w:lineRule="auto"/>
        <w:ind w:right="335"/>
        <w:jc w:val="both"/>
        <w:rPr>
          <w:rFonts w:ascii="Century Gothic" w:hAnsi="Century Gothic" w:cs="Arial"/>
        </w:rPr>
      </w:pPr>
      <w:r w:rsidRPr="004E1676">
        <w:rPr>
          <w:rFonts w:ascii="Century Gothic" w:hAnsi="Century Gothic" w:cs="Arial"/>
          <w:b/>
          <w:bCs/>
          <w:lang w:val="es-MX"/>
        </w:rPr>
        <w:t>VI.</w:t>
      </w:r>
      <w:r>
        <w:rPr>
          <w:rFonts w:ascii="Century Gothic" w:hAnsi="Century Gothic" w:cs="Arial"/>
          <w:lang w:val="es-MX"/>
        </w:rPr>
        <w:t xml:space="preserve"> En cuanto a la </w:t>
      </w:r>
      <w:proofErr w:type="gramStart"/>
      <w:r>
        <w:rPr>
          <w:rFonts w:ascii="Century Gothic" w:hAnsi="Century Gothic" w:cs="Arial"/>
          <w:lang w:val="es-MX"/>
        </w:rPr>
        <w:t>tercer propuesta</w:t>
      </w:r>
      <w:proofErr w:type="gramEnd"/>
      <w:r>
        <w:rPr>
          <w:rFonts w:ascii="Century Gothic" w:hAnsi="Century Gothic" w:cs="Arial"/>
          <w:lang w:val="es-MX"/>
        </w:rPr>
        <w:t xml:space="preserve">, esto es, </w:t>
      </w:r>
      <w:r w:rsidRPr="004E1676">
        <w:rPr>
          <w:rFonts w:ascii="Century Gothic" w:hAnsi="Century Gothic" w:cs="Arial"/>
        </w:rPr>
        <w:t>3. Sancionar a la autoridad que indebidamente no imponga medias cautelares contra el imputado, en protección de las víctimas o testigos.</w:t>
      </w:r>
    </w:p>
    <w:p w14:paraId="656F1485" w14:textId="71731D89" w:rsidR="004E1676" w:rsidRDefault="004E1676" w:rsidP="004E1676">
      <w:pPr>
        <w:spacing w:line="360" w:lineRule="auto"/>
        <w:ind w:right="335"/>
        <w:jc w:val="both"/>
        <w:rPr>
          <w:rFonts w:ascii="Century Gothic" w:hAnsi="Century Gothic" w:cs="Arial"/>
        </w:rPr>
      </w:pPr>
    </w:p>
    <w:p w14:paraId="68410E33" w14:textId="78E5F632" w:rsidR="004E1676" w:rsidRDefault="004E1676" w:rsidP="004E1676">
      <w:pPr>
        <w:spacing w:line="360" w:lineRule="auto"/>
        <w:ind w:right="335"/>
        <w:jc w:val="both"/>
        <w:rPr>
          <w:rFonts w:ascii="Century Gothic" w:hAnsi="Century Gothic" w:cs="Arial"/>
          <w:i/>
          <w:iCs/>
        </w:rPr>
      </w:pPr>
      <w:r>
        <w:rPr>
          <w:rFonts w:ascii="Century Gothic" w:hAnsi="Century Gothic" w:cs="Arial"/>
        </w:rPr>
        <w:t xml:space="preserve">Consideramos que la imposición de medidas cautelares por parte de la autoridad jurisdiccional implica una libre valoración que a partir de que entrara en vigor el sistema penal acusatorio, los elementos que justifican </w:t>
      </w:r>
      <w:r w:rsidR="00842A89">
        <w:rPr>
          <w:rFonts w:ascii="Century Gothic" w:hAnsi="Century Gothic" w:cs="Arial"/>
        </w:rPr>
        <w:t xml:space="preserve">la determinación cautelar, no tienen un valor jurídico previamente asignado, con excepción de la prisión preventiva oficiosa, sin embargo, en el resto, las directrices deben observar las </w:t>
      </w:r>
      <w:r w:rsidR="00842A89" w:rsidRPr="00842A89">
        <w:rPr>
          <w:rFonts w:ascii="Century Gothic" w:hAnsi="Century Gothic" w:cs="Arial"/>
          <w:i/>
          <w:iCs/>
        </w:rPr>
        <w:t>reglas de la lógica, los conocimientos científicos y las máximas de la experiencia</w:t>
      </w:r>
      <w:r w:rsidR="00842A89">
        <w:rPr>
          <w:rFonts w:ascii="Century Gothic" w:hAnsi="Century Gothic" w:cs="Arial"/>
          <w:i/>
          <w:iCs/>
        </w:rPr>
        <w:t>.</w:t>
      </w:r>
    </w:p>
    <w:p w14:paraId="2922DE2B" w14:textId="39B1D0CB" w:rsidR="00842A89" w:rsidRDefault="00842A89" w:rsidP="004E1676">
      <w:pPr>
        <w:spacing w:line="360" w:lineRule="auto"/>
        <w:ind w:right="335"/>
        <w:jc w:val="both"/>
        <w:rPr>
          <w:rFonts w:ascii="Century Gothic" w:hAnsi="Century Gothic" w:cs="Arial"/>
          <w:i/>
          <w:iCs/>
        </w:rPr>
      </w:pPr>
    </w:p>
    <w:p w14:paraId="75A3C5EC" w14:textId="0F64B87E" w:rsidR="00842A89" w:rsidRDefault="00842A89" w:rsidP="004E1676">
      <w:pPr>
        <w:spacing w:line="360" w:lineRule="auto"/>
        <w:ind w:right="335"/>
        <w:jc w:val="both"/>
        <w:rPr>
          <w:rFonts w:ascii="Century Gothic" w:hAnsi="Century Gothic" w:cs="Arial"/>
        </w:rPr>
      </w:pPr>
      <w:r>
        <w:rPr>
          <w:rFonts w:ascii="Century Gothic" w:hAnsi="Century Gothic" w:cs="Arial"/>
        </w:rPr>
        <w:t xml:space="preserve">Al ejercer dichas valoraciones y al ser un Ser Humano quien realiza tal razonamiento, podría equivocarse en su apreciación, tan es así que su actuar es revisable. </w:t>
      </w:r>
    </w:p>
    <w:p w14:paraId="260663BC" w14:textId="5E2CF258" w:rsidR="00842A89" w:rsidRDefault="00842A89" w:rsidP="004E1676">
      <w:pPr>
        <w:spacing w:line="360" w:lineRule="auto"/>
        <w:ind w:right="335"/>
        <w:jc w:val="both"/>
        <w:rPr>
          <w:rFonts w:ascii="Century Gothic" w:hAnsi="Century Gothic" w:cs="Arial"/>
        </w:rPr>
      </w:pPr>
    </w:p>
    <w:p w14:paraId="7D5A0C02" w14:textId="5971850F" w:rsidR="00842A89" w:rsidRDefault="00842A89" w:rsidP="004E1676">
      <w:pPr>
        <w:spacing w:line="360" w:lineRule="auto"/>
        <w:ind w:right="335"/>
        <w:jc w:val="both"/>
        <w:rPr>
          <w:rFonts w:ascii="Century Gothic" w:hAnsi="Century Gothic" w:cs="Arial"/>
        </w:rPr>
      </w:pPr>
      <w:r>
        <w:rPr>
          <w:rFonts w:ascii="Century Gothic" w:hAnsi="Century Gothic" w:cs="Arial"/>
        </w:rPr>
        <w:t xml:space="preserve">Por ello, consideramos que si accedemos a la propuesta de sancionar a la autoridad que imponga inadecuadamente o no imponga una medida cautelar, podríamos estar vulnerando la libertad valorativa con la que cuenta la autoridad jurisdiccional en el sistema penal acusatorio que rige en todo México. </w:t>
      </w:r>
    </w:p>
    <w:p w14:paraId="730A7A65" w14:textId="74066EBF" w:rsidR="00842A89" w:rsidRDefault="00842A89" w:rsidP="004E1676">
      <w:pPr>
        <w:spacing w:line="360" w:lineRule="auto"/>
        <w:ind w:right="335"/>
        <w:jc w:val="both"/>
        <w:rPr>
          <w:rFonts w:ascii="Century Gothic" w:hAnsi="Century Gothic" w:cs="Arial"/>
        </w:rPr>
      </w:pPr>
    </w:p>
    <w:p w14:paraId="35D3918B" w14:textId="2F62588E" w:rsidR="00842A89" w:rsidRPr="004E1676" w:rsidRDefault="00842A89" w:rsidP="004E1676">
      <w:pPr>
        <w:spacing w:line="360" w:lineRule="auto"/>
        <w:ind w:right="335"/>
        <w:jc w:val="both"/>
        <w:rPr>
          <w:rFonts w:ascii="Century Gothic" w:hAnsi="Century Gothic" w:cs="Arial"/>
        </w:rPr>
      </w:pPr>
      <w:r>
        <w:rPr>
          <w:rFonts w:ascii="Century Gothic" w:hAnsi="Century Gothic" w:cs="Arial"/>
        </w:rPr>
        <w:t xml:space="preserve">Lo anterior guarda sustento en </w:t>
      </w:r>
      <w:r w:rsidR="00B141D5">
        <w:rPr>
          <w:rFonts w:ascii="Century Gothic" w:hAnsi="Century Gothic" w:cs="Arial"/>
        </w:rPr>
        <w:t xml:space="preserve">la siguiente tesis: </w:t>
      </w:r>
    </w:p>
    <w:p w14:paraId="5215ACFE" w14:textId="3BE09E31" w:rsidR="00EE2D91" w:rsidRDefault="00EE2D91" w:rsidP="00163B54">
      <w:pPr>
        <w:spacing w:line="360" w:lineRule="auto"/>
        <w:ind w:right="335"/>
        <w:jc w:val="both"/>
        <w:rPr>
          <w:rFonts w:ascii="Century Gothic" w:hAnsi="Century Gothic" w:cs="Arial"/>
        </w:rPr>
      </w:pPr>
    </w:p>
    <w:p w14:paraId="0B9596E7" w14:textId="659A2BA7" w:rsidR="00B141D5" w:rsidRPr="00B141D5" w:rsidRDefault="00B141D5" w:rsidP="00B141D5">
      <w:pPr>
        <w:spacing w:line="360" w:lineRule="auto"/>
        <w:ind w:left="851" w:right="1182"/>
        <w:jc w:val="both"/>
        <w:rPr>
          <w:rFonts w:ascii="Century Gothic" w:hAnsi="Century Gothic" w:cs="Arial"/>
          <w:i/>
          <w:iCs/>
        </w:rPr>
      </w:pPr>
      <w:r w:rsidRPr="00B141D5">
        <w:rPr>
          <w:rFonts w:ascii="Century Gothic" w:hAnsi="Century Gothic" w:cs="Arial"/>
          <w:i/>
          <w:iCs/>
        </w:rPr>
        <w:t>“PRUEBAS EN EL SISTEMA PROCESAL PENAL ACUSATORIO. SU VALORACIÓN LIBRE Y LÓGICA POR EL JUZGADOR EN TÉRMINOS DEL ARTÍCULO 20, APARTADO A, FRACCIÓN II, DE LA CONSTITUCIÓN POLÍTICA DE LOS ESTADOS UNIDOS MEXICANOS.</w:t>
      </w:r>
    </w:p>
    <w:p w14:paraId="04CAE520" w14:textId="77777777" w:rsidR="00B141D5" w:rsidRPr="00B141D5" w:rsidRDefault="00B141D5" w:rsidP="00B141D5">
      <w:pPr>
        <w:spacing w:line="360" w:lineRule="auto"/>
        <w:ind w:left="851" w:right="1182"/>
        <w:jc w:val="both"/>
        <w:rPr>
          <w:rFonts w:ascii="Century Gothic" w:hAnsi="Century Gothic" w:cs="Arial"/>
          <w:i/>
          <w:iCs/>
        </w:rPr>
      </w:pPr>
    </w:p>
    <w:p w14:paraId="76C4C1DB" w14:textId="6C201D73" w:rsidR="00B141D5" w:rsidRPr="00B141D5" w:rsidRDefault="00B141D5" w:rsidP="00B141D5">
      <w:pPr>
        <w:spacing w:line="360" w:lineRule="auto"/>
        <w:ind w:left="851" w:right="1182"/>
        <w:jc w:val="both"/>
        <w:rPr>
          <w:rFonts w:ascii="Century Gothic" w:hAnsi="Century Gothic" w:cs="Arial"/>
          <w:i/>
          <w:iCs/>
        </w:rPr>
      </w:pPr>
      <w:r w:rsidRPr="00B141D5">
        <w:rPr>
          <w:rFonts w:ascii="Century Gothic" w:hAnsi="Century Gothic" w:cs="Arial"/>
          <w:i/>
          <w:iCs/>
        </w:rPr>
        <w:t xml:space="preserve">La valoración de la prueba constituye la fase decisoria del procedimiento probatorio, pues es el pronunciamiento judicial sobre el conflicto sometido a enjuiciamiento. Regularmente se define como la actividad jurisdiccional en virtud de la cual el juzgador, mediante algún método de valoración, aprecia la prueba delimitando su contenido, a fin de establecer si determinados hechos han quedado o no probados, debiendo explicar en la sentencia tal proceso y el resultado obtenido. Por tal razón, se han creado sistemas teóricos de valoración, distinguiendo la prueba legal o tasada, así como los de prueba libre y mixtos, que permiten determinar la existencia de un hecho que ha resultado probado o la falta de prueba. A partir de la reforma constitucional en materia de justicia penal y seguridad pública, publicada en el Diario Oficial de la Federación, el dieciocho de junio de dos mil ocho, se introdujeron los elementos para un proceso penal acusatorio y </w:t>
      </w:r>
      <w:r w:rsidRPr="00B141D5">
        <w:rPr>
          <w:rFonts w:ascii="Century Gothic" w:hAnsi="Century Gothic" w:cs="Arial"/>
          <w:i/>
          <w:iCs/>
        </w:rPr>
        <w:lastRenderedPageBreak/>
        <w:t>oral, destacando la modificación al artículo 20 de la Constitución Política de los Estados Unidos Mexicanos, en el que se establecieron las directrices correspondientes. La fracción II del apartado A de dicho precepto constitucional, dispuso esencialmente que el desahogo y la valoración de las pruebas en el nuevo proceso, recae exclusivamente en el Juez, la cual deberá realizarse de manera libre y lógica. En ese tenor, bajo la nueva óptica del proceso penal acusatorio, el Constituyente consideró que las pruebas no tuvieran un valor jurídico previamente asignado, sino que las directrices se enfocarían a observar las reglas de la lógica, los conocimientos científicos y las máximas de la experiencia, sin que el juzgador tenga una absoluta libertad que implique arbitrariedad de su parte (íntima convicción), sino que tal facultad debe estar limitada por la sana crítica y la forma lógica de valorarlas. En esa perspectiva, el punto toral de dicha valoración será la justificación objetiva que el juzgador efectúe en la sentencia en torno al alcance y valor probatorio que confiera a la prueba para motivar su decisión.</w:t>
      </w:r>
      <w:r>
        <w:rPr>
          <w:rStyle w:val="Refdenotaalpie"/>
          <w:rFonts w:ascii="Century Gothic" w:hAnsi="Century Gothic" w:cs="Arial"/>
          <w:i/>
          <w:iCs/>
        </w:rPr>
        <w:footnoteReference w:id="24"/>
      </w:r>
    </w:p>
    <w:p w14:paraId="754DE877" w14:textId="4B68ED56" w:rsidR="00B141D5" w:rsidRDefault="00B141D5" w:rsidP="00B141D5">
      <w:pPr>
        <w:spacing w:line="360" w:lineRule="auto"/>
        <w:ind w:right="335"/>
        <w:jc w:val="both"/>
        <w:rPr>
          <w:rFonts w:ascii="Century Gothic" w:hAnsi="Century Gothic" w:cs="Arial"/>
        </w:rPr>
      </w:pPr>
    </w:p>
    <w:p w14:paraId="1365CDFE" w14:textId="005C1C99" w:rsidR="00B141D5" w:rsidRPr="00B141D5" w:rsidRDefault="00B141D5" w:rsidP="00B141D5">
      <w:pPr>
        <w:spacing w:line="360" w:lineRule="auto"/>
        <w:ind w:right="335"/>
        <w:jc w:val="both"/>
        <w:rPr>
          <w:rFonts w:ascii="Century Gothic" w:hAnsi="Century Gothic" w:cs="Arial"/>
        </w:rPr>
      </w:pPr>
      <w:r>
        <w:rPr>
          <w:rFonts w:ascii="Century Gothic" w:hAnsi="Century Gothic" w:cs="Arial"/>
        </w:rPr>
        <w:t>De ahí que no estemos de acuerdo con la medida propuesta.</w:t>
      </w:r>
    </w:p>
    <w:p w14:paraId="48463595" w14:textId="48827CAE" w:rsidR="001362B8" w:rsidRDefault="001362B8" w:rsidP="00163B54">
      <w:pPr>
        <w:spacing w:line="360" w:lineRule="auto"/>
        <w:ind w:right="335"/>
        <w:jc w:val="both"/>
        <w:rPr>
          <w:rFonts w:ascii="Century Gothic" w:hAnsi="Century Gothic" w:cs="Arial"/>
        </w:rPr>
      </w:pPr>
    </w:p>
    <w:p w14:paraId="5ABF3E16" w14:textId="77777777" w:rsidR="0014239A" w:rsidRPr="0014239A" w:rsidRDefault="00477C16" w:rsidP="00316196">
      <w:pPr>
        <w:pStyle w:val="Textoindependiente"/>
        <w:spacing w:line="360" w:lineRule="auto"/>
        <w:rPr>
          <w:rFonts w:ascii="Century Gothic" w:hAnsi="Century Gothic" w:cs="Arial"/>
          <w:bCs/>
        </w:rPr>
      </w:pPr>
      <w:r>
        <w:rPr>
          <w:rFonts w:ascii="Century Gothic" w:hAnsi="Century Gothic" w:cs="Arial"/>
          <w:bCs/>
        </w:rPr>
        <w:lastRenderedPageBreak/>
        <w:t>E</w:t>
      </w:r>
      <w:r w:rsidR="00316196">
        <w:rPr>
          <w:rFonts w:ascii="Century Gothic" w:hAnsi="Century Gothic" w:cs="Arial"/>
          <w:bCs/>
        </w:rPr>
        <w:t>n base a todo lo expuesto, es que</w:t>
      </w:r>
      <w:r w:rsidR="0014239A" w:rsidRPr="0014239A">
        <w:rPr>
          <w:rFonts w:ascii="Century Gothic" w:hAnsi="Century Gothic" w:cs="Arial"/>
          <w:bCs/>
        </w:rPr>
        <w:t xml:space="preserve"> la Comisión de Justicia, somete a la consideración del Pleno el siguiente proyecto de:</w:t>
      </w:r>
    </w:p>
    <w:p w14:paraId="75BDAE60" w14:textId="77777777" w:rsidR="0014239A" w:rsidRDefault="0014239A" w:rsidP="0014239A">
      <w:pPr>
        <w:pStyle w:val="Normal1"/>
        <w:tabs>
          <w:tab w:val="left" w:pos="993"/>
        </w:tabs>
        <w:spacing w:line="360" w:lineRule="auto"/>
        <w:jc w:val="center"/>
        <w:rPr>
          <w:rFonts w:ascii="Century Gothic" w:eastAsia="Arial" w:hAnsi="Century Gothic" w:cs="Arial"/>
          <w:b/>
        </w:rPr>
      </w:pPr>
    </w:p>
    <w:p w14:paraId="08D797A8" w14:textId="0BE6FAB6" w:rsidR="0014239A" w:rsidRPr="004162A0" w:rsidRDefault="00B141D5" w:rsidP="0014239A">
      <w:pPr>
        <w:pStyle w:val="Normal1"/>
        <w:tabs>
          <w:tab w:val="left" w:pos="993"/>
        </w:tabs>
        <w:spacing w:line="360" w:lineRule="auto"/>
        <w:jc w:val="center"/>
        <w:rPr>
          <w:rFonts w:ascii="Century Gothic" w:eastAsia="Arial" w:hAnsi="Century Gothic" w:cs="Arial"/>
          <w:b/>
          <w:sz w:val="28"/>
        </w:rPr>
      </w:pPr>
      <w:r>
        <w:rPr>
          <w:rFonts w:ascii="Century Gothic" w:eastAsia="Arial" w:hAnsi="Century Gothic" w:cs="Arial"/>
          <w:b/>
          <w:sz w:val="28"/>
        </w:rPr>
        <w:t xml:space="preserve">D E C R E T O </w:t>
      </w:r>
    </w:p>
    <w:p w14:paraId="51E1C865" w14:textId="77777777" w:rsidR="0014239A" w:rsidRPr="00433518" w:rsidRDefault="0014239A" w:rsidP="0014239A">
      <w:pPr>
        <w:pStyle w:val="Normal1"/>
        <w:tabs>
          <w:tab w:val="left" w:pos="993"/>
        </w:tabs>
        <w:spacing w:line="360" w:lineRule="auto"/>
        <w:jc w:val="center"/>
        <w:rPr>
          <w:rFonts w:ascii="Century Gothic" w:eastAsia="Arial" w:hAnsi="Century Gothic" w:cs="Arial"/>
          <w:b/>
        </w:rPr>
      </w:pPr>
    </w:p>
    <w:p w14:paraId="0FDB9823" w14:textId="16BFF2F6" w:rsidR="00B141D5" w:rsidRDefault="00D44852" w:rsidP="00477C16">
      <w:pPr>
        <w:spacing w:line="360" w:lineRule="auto"/>
        <w:jc w:val="both"/>
        <w:rPr>
          <w:rFonts w:ascii="Century Gothic" w:hAnsi="Century Gothic" w:cs="Arial"/>
        </w:rPr>
      </w:pPr>
      <w:r>
        <w:rPr>
          <w:rFonts w:ascii="Century Gothic" w:hAnsi="Century Gothic" w:cs="Arial"/>
          <w:b/>
          <w:sz w:val="28"/>
          <w:szCs w:val="28"/>
        </w:rPr>
        <w:t xml:space="preserve">ARTÍCULO </w:t>
      </w:r>
      <w:proofErr w:type="gramStart"/>
      <w:r w:rsidR="00FB6502">
        <w:rPr>
          <w:rFonts w:ascii="Century Gothic" w:hAnsi="Century Gothic" w:cs="Arial"/>
          <w:b/>
          <w:sz w:val="28"/>
          <w:szCs w:val="28"/>
        </w:rPr>
        <w:t>ÚNICO</w:t>
      </w:r>
      <w:r w:rsidR="0014239A" w:rsidRPr="00934A9E">
        <w:rPr>
          <w:rFonts w:ascii="Century Gothic" w:hAnsi="Century Gothic" w:cs="Arial"/>
          <w:b/>
          <w:sz w:val="28"/>
          <w:szCs w:val="28"/>
        </w:rPr>
        <w:t>.-</w:t>
      </w:r>
      <w:proofErr w:type="gramEnd"/>
      <w:r w:rsidR="0014239A" w:rsidRPr="006618E1">
        <w:rPr>
          <w:rFonts w:ascii="Century Gothic" w:hAnsi="Century Gothic" w:cs="Arial"/>
        </w:rPr>
        <w:t xml:space="preserve"> </w:t>
      </w:r>
      <w:r w:rsidR="009515A0">
        <w:rPr>
          <w:rFonts w:ascii="Century Gothic" w:hAnsi="Century Gothic" w:cs="Arial"/>
        </w:rPr>
        <w:t xml:space="preserve"> </w:t>
      </w:r>
      <w:r w:rsidR="00B141D5">
        <w:rPr>
          <w:rFonts w:ascii="Century Gothic" w:hAnsi="Century Gothic" w:cs="Arial"/>
        </w:rPr>
        <w:t xml:space="preserve">Se </w:t>
      </w:r>
      <w:r w:rsidR="001A2644">
        <w:rPr>
          <w:rFonts w:ascii="Century Gothic" w:hAnsi="Century Gothic" w:cs="Arial"/>
        </w:rPr>
        <w:t>ADICIONA</w:t>
      </w:r>
      <w:r w:rsidR="00B141D5">
        <w:rPr>
          <w:rFonts w:ascii="Century Gothic" w:hAnsi="Century Gothic" w:cs="Arial"/>
        </w:rPr>
        <w:t xml:space="preserve"> el artículo 264 Bis</w:t>
      </w:r>
      <w:r w:rsidR="004E3E97">
        <w:rPr>
          <w:rFonts w:ascii="Century Gothic" w:hAnsi="Century Gothic" w:cs="Arial"/>
        </w:rPr>
        <w:t xml:space="preserve">; y al artículo 288, </w:t>
      </w:r>
      <w:r w:rsidR="001A2644">
        <w:rPr>
          <w:rFonts w:ascii="Century Gothic" w:hAnsi="Century Gothic" w:cs="Arial"/>
        </w:rPr>
        <w:t xml:space="preserve">la fracción X, </w:t>
      </w:r>
      <w:r w:rsidR="004E3E97">
        <w:rPr>
          <w:rFonts w:ascii="Century Gothic" w:hAnsi="Century Gothic" w:cs="Arial"/>
        </w:rPr>
        <w:t>todos del Código Penal del Estado de Chihuahua, para quedar redactados de la siguiente forma:</w:t>
      </w:r>
    </w:p>
    <w:p w14:paraId="4046558A" w14:textId="0234FEBA" w:rsidR="00B141D5" w:rsidRDefault="00B141D5" w:rsidP="00477C16">
      <w:pPr>
        <w:spacing w:line="360" w:lineRule="auto"/>
        <w:jc w:val="both"/>
        <w:rPr>
          <w:rFonts w:ascii="Century Gothic" w:hAnsi="Century Gothic" w:cs="Arial"/>
        </w:rPr>
      </w:pPr>
    </w:p>
    <w:p w14:paraId="2966996E" w14:textId="77777777" w:rsidR="004F5796" w:rsidRDefault="004F5796" w:rsidP="004F5796">
      <w:pPr>
        <w:spacing w:line="360" w:lineRule="auto"/>
        <w:jc w:val="both"/>
        <w:rPr>
          <w:rFonts w:ascii="Century Gothic" w:hAnsi="Century Gothic" w:cs="Arial"/>
          <w:b/>
        </w:rPr>
      </w:pPr>
      <w:r w:rsidRPr="00134985">
        <w:rPr>
          <w:rFonts w:ascii="Century Gothic" w:hAnsi="Century Gothic" w:cs="Arial"/>
          <w:b/>
        </w:rPr>
        <w:t xml:space="preserve">Artículo 264 Bis. </w:t>
      </w:r>
    </w:p>
    <w:p w14:paraId="6018E9C0" w14:textId="36CC4DF5" w:rsidR="004F5796" w:rsidRDefault="004F5796" w:rsidP="004F5796">
      <w:pPr>
        <w:spacing w:line="360" w:lineRule="auto"/>
        <w:jc w:val="both"/>
        <w:rPr>
          <w:rFonts w:ascii="Century Gothic" w:hAnsi="Century Gothic" w:cs="Arial"/>
          <w:b/>
        </w:rPr>
      </w:pPr>
      <w:r w:rsidRPr="00134985">
        <w:rPr>
          <w:rFonts w:ascii="Century Gothic" w:hAnsi="Century Gothic" w:cs="Arial"/>
          <w:b/>
        </w:rPr>
        <w:t>Se impondrá prisión de uno a seis años, al servidor público que, durante la investigación de un delito cometido en contra de una mujer por su condición de género, indebidamente niegue o retarde la aplicación de alguna medida de protección.</w:t>
      </w:r>
    </w:p>
    <w:p w14:paraId="56D7765C" w14:textId="77777777" w:rsidR="004F5796" w:rsidRDefault="004F5796" w:rsidP="004F5796">
      <w:pPr>
        <w:spacing w:line="360" w:lineRule="auto"/>
        <w:jc w:val="both"/>
        <w:rPr>
          <w:rFonts w:ascii="Century Gothic" w:hAnsi="Century Gothic" w:cs="Arial"/>
        </w:rPr>
      </w:pPr>
    </w:p>
    <w:p w14:paraId="7B93B81B" w14:textId="77777777" w:rsidR="001A2644" w:rsidRPr="001A2644" w:rsidRDefault="004E3E97" w:rsidP="00477C16">
      <w:pPr>
        <w:spacing w:line="360" w:lineRule="auto"/>
        <w:jc w:val="both"/>
        <w:rPr>
          <w:rFonts w:ascii="Century Gothic" w:hAnsi="Century Gothic" w:cs="Arial"/>
          <w:b/>
          <w:bCs/>
        </w:rPr>
      </w:pPr>
      <w:r w:rsidRPr="001A2644">
        <w:rPr>
          <w:rFonts w:ascii="Century Gothic" w:hAnsi="Century Gothic" w:cs="Arial"/>
          <w:b/>
          <w:bCs/>
        </w:rPr>
        <w:t xml:space="preserve">Artículo 288. </w:t>
      </w:r>
    </w:p>
    <w:p w14:paraId="461CDF31" w14:textId="5CD89331" w:rsidR="004E3E97" w:rsidRDefault="00743151" w:rsidP="00477C16">
      <w:pPr>
        <w:spacing w:line="360" w:lineRule="auto"/>
        <w:jc w:val="both"/>
        <w:rPr>
          <w:rFonts w:ascii="Century Gothic" w:hAnsi="Century Gothic" w:cs="Arial"/>
        </w:rPr>
      </w:pPr>
      <w:r>
        <w:rPr>
          <w:rFonts w:ascii="Century Gothic" w:hAnsi="Century Gothic" w:cs="Arial"/>
        </w:rPr>
        <w:t>…</w:t>
      </w:r>
    </w:p>
    <w:p w14:paraId="441AB840" w14:textId="77777777" w:rsidR="004E3E97" w:rsidRDefault="004E3E97" w:rsidP="00477C16">
      <w:pPr>
        <w:spacing w:line="360" w:lineRule="auto"/>
        <w:jc w:val="both"/>
        <w:rPr>
          <w:rFonts w:ascii="Century Gothic" w:hAnsi="Century Gothic" w:cs="Arial"/>
        </w:rPr>
      </w:pPr>
    </w:p>
    <w:p w14:paraId="2D3AD556" w14:textId="25152FD1" w:rsidR="004E3E97" w:rsidRPr="004E3E97" w:rsidRDefault="004E3E97" w:rsidP="001A2644">
      <w:pPr>
        <w:spacing w:line="360" w:lineRule="auto"/>
        <w:ind w:left="851" w:hanging="425"/>
        <w:rPr>
          <w:rFonts w:ascii="Century Gothic" w:hAnsi="Century Gothic" w:cs="Arial"/>
        </w:rPr>
      </w:pPr>
      <w:r w:rsidRPr="004E3E97">
        <w:rPr>
          <w:rFonts w:ascii="Century Gothic" w:hAnsi="Century Gothic" w:cs="Arial"/>
        </w:rPr>
        <w:t>I.</w:t>
      </w:r>
      <w:r>
        <w:rPr>
          <w:rFonts w:ascii="Century Gothic" w:hAnsi="Century Gothic" w:cs="Arial"/>
        </w:rPr>
        <w:t xml:space="preserve"> </w:t>
      </w:r>
      <w:r w:rsidR="001A2644">
        <w:rPr>
          <w:rFonts w:ascii="Century Gothic" w:hAnsi="Century Gothic" w:cs="Arial"/>
        </w:rPr>
        <w:t>a</w:t>
      </w:r>
      <w:r w:rsidRPr="004E3E97">
        <w:rPr>
          <w:rFonts w:ascii="Century Gothic" w:hAnsi="Century Gothic" w:cs="Arial"/>
        </w:rPr>
        <w:t xml:space="preserve"> IX. …</w:t>
      </w:r>
    </w:p>
    <w:p w14:paraId="437EF5A1" w14:textId="77777777" w:rsidR="004E3E97" w:rsidRPr="004E3E97" w:rsidRDefault="004E3E97" w:rsidP="001A2644">
      <w:pPr>
        <w:ind w:left="851" w:hanging="425"/>
      </w:pPr>
    </w:p>
    <w:p w14:paraId="569E5CA9" w14:textId="18A3A24E" w:rsidR="004E3E97" w:rsidRPr="004E3E97" w:rsidRDefault="004E3E97" w:rsidP="001A2644">
      <w:pPr>
        <w:spacing w:line="360" w:lineRule="auto"/>
        <w:ind w:left="851" w:hanging="425"/>
        <w:jc w:val="both"/>
        <w:rPr>
          <w:rFonts w:ascii="Century Gothic" w:hAnsi="Century Gothic" w:cs="Arial"/>
          <w:lang w:val="es-MX"/>
        </w:rPr>
      </w:pPr>
      <w:r w:rsidRPr="004E3E97">
        <w:rPr>
          <w:rFonts w:ascii="Century Gothic" w:hAnsi="Century Gothic" w:cs="Arial"/>
          <w:b/>
          <w:bCs/>
        </w:rPr>
        <w:t>X.</w:t>
      </w:r>
      <w:r>
        <w:rPr>
          <w:rFonts w:ascii="Century Gothic" w:hAnsi="Century Gothic" w:cs="Arial"/>
        </w:rPr>
        <w:t xml:space="preserve"> </w:t>
      </w:r>
      <w:r w:rsidR="001A2644">
        <w:rPr>
          <w:rFonts w:ascii="Century Gothic" w:hAnsi="Century Gothic" w:cs="Arial"/>
        </w:rPr>
        <w:t xml:space="preserve"> </w:t>
      </w:r>
      <w:r w:rsidR="001A2644">
        <w:rPr>
          <w:rFonts w:ascii="Century Gothic" w:hAnsi="Century Gothic" w:cs="Arial"/>
          <w:b/>
          <w:bCs/>
          <w:lang w:val="es-MX"/>
        </w:rPr>
        <w:t>Dé</w:t>
      </w:r>
      <w:r w:rsidRPr="004E3E97">
        <w:rPr>
          <w:rFonts w:ascii="Century Gothic" w:hAnsi="Century Gothic" w:cs="Arial"/>
          <w:b/>
          <w:bCs/>
          <w:lang w:val="es-MX"/>
        </w:rPr>
        <w:t xml:space="preserve"> a conocer a quien no tenga derecho, documentos, constancias o información que obre en una investigación o proceso penal</w:t>
      </w:r>
      <w:r w:rsidR="001666E8">
        <w:rPr>
          <w:rFonts w:ascii="Century Gothic" w:hAnsi="Century Gothic" w:cs="Arial"/>
          <w:b/>
        </w:rPr>
        <w:t xml:space="preserve"> </w:t>
      </w:r>
      <w:r w:rsidRPr="004E3E97">
        <w:rPr>
          <w:rFonts w:ascii="Century Gothic" w:hAnsi="Century Gothic" w:cs="Arial"/>
          <w:b/>
          <w:bCs/>
          <w:lang w:val="es-MX"/>
        </w:rPr>
        <w:t>y que por disposición de la ley sean reservados o confidenciales.</w:t>
      </w:r>
    </w:p>
    <w:p w14:paraId="14559A49" w14:textId="77777777" w:rsidR="004E3E97" w:rsidRPr="004E3E97" w:rsidRDefault="004E3E97" w:rsidP="004E3E97">
      <w:pPr>
        <w:spacing w:line="360" w:lineRule="auto"/>
        <w:rPr>
          <w:rFonts w:ascii="Century Gothic" w:hAnsi="Century Gothic" w:cs="Arial"/>
          <w:lang w:val="es-MX"/>
        </w:rPr>
      </w:pPr>
    </w:p>
    <w:p w14:paraId="257F5804" w14:textId="77777777" w:rsidR="00477C16" w:rsidRPr="00D44852" w:rsidRDefault="00477C16" w:rsidP="0014239A">
      <w:pPr>
        <w:spacing w:line="360" w:lineRule="auto"/>
        <w:jc w:val="both"/>
        <w:rPr>
          <w:rFonts w:ascii="Century Gothic" w:hAnsi="Century Gothic" w:cs="Arial"/>
          <w:sz w:val="28"/>
          <w:szCs w:val="28"/>
        </w:rPr>
      </w:pPr>
    </w:p>
    <w:p w14:paraId="47966612" w14:textId="64B1E3F5" w:rsidR="00D44852" w:rsidRDefault="00D44852" w:rsidP="00D44852">
      <w:pPr>
        <w:spacing w:line="360" w:lineRule="auto"/>
        <w:jc w:val="center"/>
        <w:rPr>
          <w:rFonts w:ascii="Century Gothic" w:hAnsi="Century Gothic"/>
          <w:b/>
          <w:sz w:val="28"/>
          <w:szCs w:val="28"/>
        </w:rPr>
      </w:pPr>
      <w:r w:rsidRPr="00D44852">
        <w:rPr>
          <w:rFonts w:ascii="Century Gothic" w:hAnsi="Century Gothic"/>
          <w:b/>
          <w:sz w:val="28"/>
          <w:szCs w:val="28"/>
        </w:rPr>
        <w:t>T R A N S I T O R I O</w:t>
      </w:r>
    </w:p>
    <w:p w14:paraId="17832D4F" w14:textId="1E6DFA7B" w:rsidR="00D44852" w:rsidRDefault="00D44852" w:rsidP="00D44852">
      <w:pPr>
        <w:spacing w:line="360" w:lineRule="auto"/>
        <w:jc w:val="center"/>
        <w:rPr>
          <w:rFonts w:ascii="Century Gothic" w:hAnsi="Century Gothic"/>
          <w:b/>
          <w:sz w:val="28"/>
          <w:szCs w:val="28"/>
        </w:rPr>
      </w:pPr>
    </w:p>
    <w:p w14:paraId="7C2EFECC" w14:textId="0D153E4D" w:rsidR="00D44852" w:rsidRPr="00D44852" w:rsidRDefault="00D44852" w:rsidP="00D44852">
      <w:pPr>
        <w:spacing w:line="360" w:lineRule="auto"/>
        <w:jc w:val="both"/>
        <w:rPr>
          <w:rFonts w:ascii="Century Gothic" w:hAnsi="Century Gothic"/>
          <w:bCs/>
        </w:rPr>
      </w:pPr>
      <w:r>
        <w:rPr>
          <w:rFonts w:ascii="Century Gothic" w:hAnsi="Century Gothic"/>
          <w:b/>
          <w:sz w:val="28"/>
          <w:szCs w:val="28"/>
        </w:rPr>
        <w:t xml:space="preserve">ARTÍCULO </w:t>
      </w:r>
      <w:proofErr w:type="gramStart"/>
      <w:r>
        <w:rPr>
          <w:rFonts w:ascii="Century Gothic" w:hAnsi="Century Gothic"/>
          <w:b/>
          <w:sz w:val="28"/>
          <w:szCs w:val="28"/>
        </w:rPr>
        <w:t>ÚNICO.-</w:t>
      </w:r>
      <w:proofErr w:type="gramEnd"/>
      <w:r>
        <w:rPr>
          <w:rFonts w:ascii="Century Gothic" w:hAnsi="Century Gothic"/>
          <w:b/>
          <w:sz w:val="28"/>
          <w:szCs w:val="28"/>
        </w:rPr>
        <w:t xml:space="preserve"> </w:t>
      </w:r>
      <w:r>
        <w:rPr>
          <w:rFonts w:ascii="Century Gothic" w:hAnsi="Century Gothic"/>
          <w:bCs/>
        </w:rPr>
        <w:t xml:space="preserve">El presente </w:t>
      </w:r>
      <w:r w:rsidR="004F5796">
        <w:rPr>
          <w:rFonts w:ascii="Century Gothic" w:hAnsi="Century Gothic"/>
          <w:bCs/>
        </w:rPr>
        <w:t>D</w:t>
      </w:r>
      <w:r>
        <w:rPr>
          <w:rFonts w:ascii="Century Gothic" w:hAnsi="Century Gothic"/>
          <w:bCs/>
        </w:rPr>
        <w:t xml:space="preserve">ecreto entrará en vigor al día siguiente de su publicación en el </w:t>
      </w:r>
      <w:r w:rsidR="000F6A38">
        <w:rPr>
          <w:rFonts w:ascii="Century Gothic" w:hAnsi="Century Gothic"/>
          <w:bCs/>
        </w:rPr>
        <w:t>Periódico</w:t>
      </w:r>
      <w:r>
        <w:rPr>
          <w:rFonts w:ascii="Century Gothic" w:hAnsi="Century Gothic"/>
          <w:bCs/>
        </w:rPr>
        <w:t xml:space="preserve"> Oficial del Estado. </w:t>
      </w:r>
    </w:p>
    <w:p w14:paraId="161B765B" w14:textId="77777777" w:rsidR="00D44852" w:rsidRDefault="00D44852" w:rsidP="0014239A">
      <w:pPr>
        <w:spacing w:line="360" w:lineRule="auto"/>
        <w:jc w:val="both"/>
        <w:rPr>
          <w:rFonts w:ascii="Century Gothic" w:hAnsi="Century Gothic"/>
          <w:b/>
        </w:rPr>
      </w:pPr>
    </w:p>
    <w:p w14:paraId="2160654D" w14:textId="22E496C4" w:rsidR="0014239A" w:rsidRDefault="0014239A" w:rsidP="0014239A">
      <w:pPr>
        <w:spacing w:line="360" w:lineRule="auto"/>
        <w:jc w:val="both"/>
        <w:rPr>
          <w:rFonts w:ascii="Century Gothic" w:hAnsi="Century Gothic"/>
        </w:rPr>
      </w:pPr>
      <w:proofErr w:type="gramStart"/>
      <w:r w:rsidRPr="00135B1B">
        <w:rPr>
          <w:rFonts w:ascii="Century Gothic" w:hAnsi="Century Gothic"/>
          <w:b/>
        </w:rPr>
        <w:t>Económico.-</w:t>
      </w:r>
      <w:proofErr w:type="gramEnd"/>
      <w:r w:rsidRPr="006E73CB">
        <w:rPr>
          <w:rFonts w:ascii="Century Gothic" w:hAnsi="Century Gothic"/>
        </w:rPr>
        <w:t xml:space="preserve"> </w:t>
      </w:r>
      <w:r w:rsidRPr="001C66B6">
        <w:rPr>
          <w:rFonts w:ascii="Century Gothic" w:hAnsi="Century Gothic"/>
        </w:rPr>
        <w:t>Aprobado que sea, túrnese a la Secretaría para los efectos legales correspondientes.</w:t>
      </w:r>
    </w:p>
    <w:p w14:paraId="0A1AF845" w14:textId="77777777" w:rsidR="0014239A" w:rsidRPr="005C4A3E" w:rsidRDefault="0014239A" w:rsidP="0014239A">
      <w:pPr>
        <w:spacing w:line="360" w:lineRule="auto"/>
        <w:jc w:val="both"/>
        <w:rPr>
          <w:rFonts w:ascii="Century Gothic" w:hAnsi="Century Gothic" w:cs="Arial"/>
        </w:rPr>
      </w:pPr>
    </w:p>
    <w:p w14:paraId="385A3D7D" w14:textId="676BE4BD" w:rsidR="00327709" w:rsidRDefault="0014239A" w:rsidP="0014239A">
      <w:pPr>
        <w:spacing w:line="360" w:lineRule="auto"/>
        <w:jc w:val="both"/>
        <w:rPr>
          <w:rFonts w:ascii="Century Gothic" w:hAnsi="Century Gothic"/>
        </w:rPr>
      </w:pPr>
      <w:r w:rsidRPr="006618E1">
        <w:rPr>
          <w:rFonts w:ascii="Century Gothic" w:hAnsi="Century Gothic"/>
          <w:b/>
        </w:rPr>
        <w:t xml:space="preserve">D A D O </w:t>
      </w:r>
      <w:r w:rsidRPr="006618E1">
        <w:rPr>
          <w:rFonts w:ascii="Century Gothic" w:hAnsi="Century Gothic"/>
        </w:rPr>
        <w:t xml:space="preserve">en el Salón de Sesiones del Poder Legislativo, </w:t>
      </w:r>
      <w:r>
        <w:rPr>
          <w:rFonts w:ascii="Century Gothic" w:hAnsi="Century Gothic"/>
        </w:rPr>
        <w:t>en la ciudad de Chihuahua, Chihuahua</w:t>
      </w:r>
      <w:r w:rsidRPr="006618E1">
        <w:rPr>
          <w:rFonts w:ascii="Century Gothic" w:hAnsi="Century Gothic"/>
        </w:rPr>
        <w:t xml:space="preserve">, a los </w:t>
      </w:r>
      <w:r w:rsidR="00D44852">
        <w:rPr>
          <w:rFonts w:ascii="Century Gothic" w:hAnsi="Century Gothic"/>
        </w:rPr>
        <w:t>31</w:t>
      </w:r>
      <w:r w:rsidRPr="006618E1">
        <w:rPr>
          <w:rFonts w:ascii="Century Gothic" w:hAnsi="Century Gothic"/>
        </w:rPr>
        <w:t xml:space="preserve"> días del mes de </w:t>
      </w:r>
      <w:r w:rsidR="00D44852">
        <w:rPr>
          <w:rFonts w:ascii="Century Gothic" w:hAnsi="Century Gothic"/>
        </w:rPr>
        <w:t>enero</w:t>
      </w:r>
      <w:r w:rsidRPr="006618E1">
        <w:rPr>
          <w:rFonts w:ascii="Century Gothic" w:hAnsi="Century Gothic"/>
        </w:rPr>
        <w:t xml:space="preserve"> del año </w:t>
      </w:r>
      <w:r>
        <w:rPr>
          <w:rFonts w:ascii="Century Gothic" w:hAnsi="Century Gothic"/>
        </w:rPr>
        <w:t>20</w:t>
      </w:r>
      <w:r w:rsidR="00C23E70">
        <w:rPr>
          <w:rFonts w:ascii="Century Gothic" w:hAnsi="Century Gothic"/>
        </w:rPr>
        <w:t>2</w:t>
      </w:r>
      <w:r w:rsidR="00D44852">
        <w:rPr>
          <w:rFonts w:ascii="Century Gothic" w:hAnsi="Century Gothic"/>
        </w:rPr>
        <w:t>2</w:t>
      </w:r>
      <w:r>
        <w:rPr>
          <w:rFonts w:ascii="Century Gothic" w:hAnsi="Century Gothic"/>
        </w:rPr>
        <w:t>.</w:t>
      </w:r>
    </w:p>
    <w:p w14:paraId="453C841E" w14:textId="77777777" w:rsidR="004F5796" w:rsidRDefault="004F5796" w:rsidP="00C52A9F">
      <w:pPr>
        <w:jc w:val="both"/>
        <w:rPr>
          <w:rFonts w:ascii="Century Gothic" w:eastAsia="Arial" w:hAnsi="Century Gothic" w:cs="Arial"/>
          <w:b/>
          <w:sz w:val="22"/>
          <w:szCs w:val="22"/>
          <w:lang w:val="es-MX" w:eastAsia="es-MX"/>
        </w:rPr>
      </w:pPr>
    </w:p>
    <w:p w14:paraId="6A6F74EC" w14:textId="0303D62F" w:rsidR="00C52A9F" w:rsidRPr="00C52A9F" w:rsidRDefault="00C52A9F" w:rsidP="00C52A9F">
      <w:pPr>
        <w:jc w:val="both"/>
        <w:rPr>
          <w:rFonts w:ascii="Century Gothic" w:eastAsia="Arial" w:hAnsi="Century Gothic" w:cs="Arial"/>
          <w:b/>
          <w:sz w:val="22"/>
          <w:szCs w:val="22"/>
          <w:lang w:val="es-MX" w:eastAsia="es-MX"/>
        </w:rPr>
      </w:pPr>
      <w:r w:rsidRPr="00C52A9F">
        <w:rPr>
          <w:rFonts w:ascii="Century Gothic" w:eastAsia="Arial" w:hAnsi="Century Gothic" w:cs="Arial"/>
          <w:b/>
          <w:sz w:val="22"/>
          <w:szCs w:val="22"/>
          <w:lang w:val="es-MX" w:eastAsia="es-MX"/>
        </w:rPr>
        <w:t>Así lo aprobó la Comisión de Justicia, en la reunión de fecha</w:t>
      </w:r>
      <w:r w:rsidR="00D44852">
        <w:rPr>
          <w:rFonts w:ascii="Century Gothic" w:eastAsia="Arial" w:hAnsi="Century Gothic" w:cs="Arial"/>
          <w:b/>
          <w:sz w:val="22"/>
          <w:szCs w:val="22"/>
          <w:lang w:val="es-MX" w:eastAsia="es-MX"/>
        </w:rPr>
        <w:t xml:space="preserve"> 27 de enero</w:t>
      </w:r>
      <w:r w:rsidRPr="00C52A9F">
        <w:rPr>
          <w:rFonts w:ascii="Century Gothic" w:eastAsia="Arial" w:hAnsi="Century Gothic" w:cs="Arial"/>
          <w:b/>
          <w:sz w:val="22"/>
          <w:szCs w:val="22"/>
          <w:lang w:val="es-MX" w:eastAsia="es-MX"/>
        </w:rPr>
        <w:t xml:space="preserve"> del año </w:t>
      </w:r>
      <w:r>
        <w:rPr>
          <w:rFonts w:ascii="Century Gothic" w:eastAsia="Arial" w:hAnsi="Century Gothic" w:cs="Arial"/>
          <w:b/>
          <w:sz w:val="22"/>
          <w:szCs w:val="22"/>
          <w:lang w:val="es-MX" w:eastAsia="es-MX"/>
        </w:rPr>
        <w:t>202</w:t>
      </w:r>
      <w:r w:rsidR="00B3020A">
        <w:rPr>
          <w:rFonts w:ascii="Century Gothic" w:eastAsia="Arial" w:hAnsi="Century Gothic" w:cs="Arial"/>
          <w:b/>
          <w:sz w:val="22"/>
          <w:szCs w:val="22"/>
          <w:lang w:val="es-MX" w:eastAsia="es-MX"/>
        </w:rPr>
        <w:t>2</w:t>
      </w:r>
      <w:r w:rsidRPr="00C52A9F">
        <w:rPr>
          <w:rFonts w:ascii="Century Gothic" w:eastAsia="Arial" w:hAnsi="Century Gothic" w:cs="Arial"/>
          <w:b/>
          <w:sz w:val="22"/>
          <w:szCs w:val="22"/>
          <w:lang w:val="es-MX" w:eastAsia="es-MX"/>
        </w:rPr>
        <w:t>.</w:t>
      </w:r>
    </w:p>
    <w:p w14:paraId="50E56636" w14:textId="77777777" w:rsidR="00C52A9F" w:rsidRPr="00C52A9F" w:rsidRDefault="00C52A9F" w:rsidP="00C52A9F">
      <w:pPr>
        <w:jc w:val="both"/>
        <w:rPr>
          <w:rFonts w:ascii="Century Gothic" w:eastAsia="Arial" w:hAnsi="Century Gothic" w:cs="Arial"/>
          <w:b/>
          <w:sz w:val="22"/>
          <w:szCs w:val="22"/>
          <w:lang w:val="es-MX" w:eastAsia="es-MX"/>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984"/>
        <w:gridCol w:w="2268"/>
        <w:gridCol w:w="2268"/>
        <w:gridCol w:w="1985"/>
      </w:tblGrid>
      <w:tr w:rsidR="00C52A9F" w:rsidRPr="00C52A9F" w14:paraId="6981FF88" w14:textId="77777777" w:rsidTr="000C06B6">
        <w:tc>
          <w:tcPr>
            <w:tcW w:w="1702" w:type="dxa"/>
          </w:tcPr>
          <w:p w14:paraId="0B8F15B7" w14:textId="77777777" w:rsidR="00C52A9F" w:rsidRPr="00C52A9F" w:rsidRDefault="00C52A9F" w:rsidP="00C52A9F">
            <w:pPr>
              <w:jc w:val="both"/>
              <w:rPr>
                <w:rFonts w:ascii="Century Gothic" w:hAnsi="Century Gothic" w:cs="Arial"/>
                <w:b/>
                <w:sz w:val="22"/>
                <w:szCs w:val="22"/>
              </w:rPr>
            </w:pPr>
          </w:p>
        </w:tc>
        <w:tc>
          <w:tcPr>
            <w:tcW w:w="1984" w:type="dxa"/>
          </w:tcPr>
          <w:p w14:paraId="0B40B6C5"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INTEGRANTES</w:t>
            </w:r>
          </w:p>
        </w:tc>
        <w:tc>
          <w:tcPr>
            <w:tcW w:w="2268" w:type="dxa"/>
          </w:tcPr>
          <w:p w14:paraId="4CB05A43"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A FAVOR</w:t>
            </w:r>
          </w:p>
        </w:tc>
        <w:tc>
          <w:tcPr>
            <w:tcW w:w="2268" w:type="dxa"/>
          </w:tcPr>
          <w:p w14:paraId="2483AD1C"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EN CONTRA</w:t>
            </w:r>
          </w:p>
        </w:tc>
        <w:tc>
          <w:tcPr>
            <w:tcW w:w="1985" w:type="dxa"/>
          </w:tcPr>
          <w:p w14:paraId="6A94CCCF"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ABSTENCIÓN</w:t>
            </w:r>
          </w:p>
        </w:tc>
      </w:tr>
      <w:tr w:rsidR="00C52A9F" w:rsidRPr="00C52A9F" w14:paraId="18AE657E" w14:textId="77777777" w:rsidTr="000C06B6">
        <w:tc>
          <w:tcPr>
            <w:tcW w:w="1702" w:type="dxa"/>
          </w:tcPr>
          <w:p w14:paraId="3B34F88C" w14:textId="77777777" w:rsidR="00C52A9F" w:rsidRPr="00C52A9F" w:rsidRDefault="00C52A9F" w:rsidP="00C52A9F">
            <w:pPr>
              <w:jc w:val="both"/>
              <w:rPr>
                <w:rFonts w:ascii="Century Gothic" w:hAnsi="Century Gothic" w:cs="Arial"/>
                <w:b/>
                <w:noProof/>
                <w:lang w:val="es-MX" w:eastAsia="es-MX"/>
              </w:rPr>
            </w:pPr>
            <w:r w:rsidRPr="00C52A9F">
              <w:rPr>
                <w:rFonts w:ascii="Century Gothic" w:hAnsi="Century Gothic" w:cs="Arial"/>
                <w:b/>
                <w:noProof/>
                <w:lang w:val="es-MX" w:eastAsia="es-MX"/>
              </w:rPr>
              <w:drawing>
                <wp:anchor distT="0" distB="0" distL="114300" distR="114300" simplePos="0" relativeHeight="251659264" behindDoc="1" locked="0" layoutInCell="1" allowOverlap="1" wp14:anchorId="4B4D38CE" wp14:editId="6C8915FE">
                  <wp:simplePos x="0" y="0"/>
                  <wp:positionH relativeFrom="column">
                    <wp:posOffset>20320</wp:posOffset>
                  </wp:positionH>
                  <wp:positionV relativeFrom="paragraph">
                    <wp:posOffset>189865</wp:posOffset>
                  </wp:positionV>
                  <wp:extent cx="932815" cy="1143000"/>
                  <wp:effectExtent l="0" t="0" r="63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http://www.congresochihuahua.gob.mx/TimThumb.php?src=diputados/imagenes/fotos/1193.jpg&amp;w=260&amp;h=260&amp;zc=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3281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4" w:type="dxa"/>
          </w:tcPr>
          <w:p w14:paraId="7A2FDB29" w14:textId="77777777" w:rsidR="00C52A9F" w:rsidRPr="00C52A9F" w:rsidRDefault="00C52A9F" w:rsidP="00C52A9F">
            <w:pPr>
              <w:ind w:left="284" w:hanging="284"/>
              <w:contextualSpacing/>
              <w:jc w:val="both"/>
              <w:rPr>
                <w:rFonts w:ascii="Century Gothic" w:hAnsi="Century Gothic" w:cs="Arial"/>
                <w:b/>
                <w:bCs/>
                <w:lang w:val="es-MX" w:eastAsia="es-MX"/>
              </w:rPr>
            </w:pPr>
          </w:p>
          <w:p w14:paraId="18F7BEF7" w14:textId="77777777" w:rsidR="00C52A9F" w:rsidRPr="00C52A9F" w:rsidRDefault="00C52A9F" w:rsidP="00C52A9F">
            <w:pPr>
              <w:ind w:left="284" w:hanging="284"/>
              <w:contextualSpacing/>
              <w:jc w:val="center"/>
              <w:rPr>
                <w:rFonts w:ascii="Century Gothic" w:hAnsi="Century Gothic" w:cs="Arial"/>
                <w:b/>
                <w:lang w:val="es-MX" w:eastAsia="es-MX"/>
              </w:rPr>
            </w:pPr>
            <w:r w:rsidRPr="00C52A9F">
              <w:rPr>
                <w:rFonts w:ascii="Century Gothic" w:hAnsi="Century Gothic" w:cs="Arial"/>
                <w:b/>
                <w:bCs/>
                <w:lang w:val="es-MX" w:eastAsia="es-MX"/>
              </w:rPr>
              <w:t>DIP. GEORGINA ALEJANDRA BUJANDA RÍOS</w:t>
            </w:r>
          </w:p>
          <w:p w14:paraId="7365C200" w14:textId="77777777" w:rsidR="00C52A9F" w:rsidRPr="00C52A9F" w:rsidRDefault="00C52A9F" w:rsidP="00C52A9F">
            <w:pPr>
              <w:contextualSpacing/>
              <w:jc w:val="center"/>
              <w:rPr>
                <w:rFonts w:ascii="Century Gothic" w:hAnsi="Century Gothic" w:cs="Arial"/>
                <w:b/>
                <w:bCs/>
                <w:smallCaps/>
                <w:lang w:val="es-MX" w:eastAsia="es-MX"/>
              </w:rPr>
            </w:pPr>
            <w:r w:rsidRPr="00C52A9F">
              <w:rPr>
                <w:rFonts w:ascii="Century Gothic" w:hAnsi="Century Gothic" w:cs="Arial"/>
                <w:b/>
                <w:bCs/>
                <w:smallCaps/>
                <w:lang w:val="es-MX" w:eastAsia="es-MX"/>
              </w:rPr>
              <w:t>PRESIDENTA</w:t>
            </w:r>
          </w:p>
          <w:p w14:paraId="21D063A7" w14:textId="77777777" w:rsidR="00C52A9F" w:rsidRPr="00C52A9F" w:rsidRDefault="00C52A9F" w:rsidP="00C52A9F">
            <w:pPr>
              <w:contextualSpacing/>
              <w:jc w:val="center"/>
              <w:rPr>
                <w:rFonts w:ascii="Century Gothic" w:hAnsi="Century Gothic" w:cs="Arial"/>
                <w:b/>
                <w:lang w:val="es-MX" w:eastAsia="es-MX"/>
              </w:rPr>
            </w:pPr>
          </w:p>
        </w:tc>
        <w:tc>
          <w:tcPr>
            <w:tcW w:w="2268" w:type="dxa"/>
          </w:tcPr>
          <w:p w14:paraId="528BB5A3" w14:textId="77777777" w:rsidR="00C52A9F" w:rsidRPr="00C52A9F" w:rsidRDefault="00C52A9F" w:rsidP="00C52A9F">
            <w:pPr>
              <w:jc w:val="both"/>
              <w:rPr>
                <w:rFonts w:ascii="Century Gothic" w:hAnsi="Century Gothic" w:cs="Arial"/>
                <w:b/>
              </w:rPr>
            </w:pPr>
          </w:p>
        </w:tc>
        <w:tc>
          <w:tcPr>
            <w:tcW w:w="2268" w:type="dxa"/>
          </w:tcPr>
          <w:p w14:paraId="54C4225A" w14:textId="77777777" w:rsidR="00C52A9F" w:rsidRPr="00C52A9F" w:rsidRDefault="00C52A9F" w:rsidP="00C52A9F">
            <w:pPr>
              <w:jc w:val="both"/>
              <w:rPr>
                <w:rFonts w:ascii="Century Gothic" w:hAnsi="Century Gothic" w:cs="Arial"/>
                <w:b/>
              </w:rPr>
            </w:pPr>
          </w:p>
        </w:tc>
        <w:tc>
          <w:tcPr>
            <w:tcW w:w="1985" w:type="dxa"/>
          </w:tcPr>
          <w:p w14:paraId="0366C55E" w14:textId="77777777" w:rsidR="00C52A9F" w:rsidRPr="00C52A9F" w:rsidRDefault="00C52A9F" w:rsidP="00C52A9F">
            <w:pPr>
              <w:jc w:val="both"/>
              <w:rPr>
                <w:rFonts w:ascii="Century Gothic" w:hAnsi="Century Gothic" w:cs="Arial"/>
                <w:b/>
              </w:rPr>
            </w:pPr>
          </w:p>
        </w:tc>
      </w:tr>
      <w:tr w:rsidR="00C52A9F" w:rsidRPr="00C52A9F" w14:paraId="0397E60C" w14:textId="77777777" w:rsidTr="000C06B6">
        <w:tc>
          <w:tcPr>
            <w:tcW w:w="1702" w:type="dxa"/>
          </w:tcPr>
          <w:p w14:paraId="75784B0B" w14:textId="77777777" w:rsidR="00C52A9F" w:rsidRPr="00C52A9F" w:rsidRDefault="00C52A9F" w:rsidP="00C52A9F">
            <w:pPr>
              <w:jc w:val="both"/>
              <w:rPr>
                <w:rFonts w:ascii="Century Gothic" w:hAnsi="Century Gothic" w:cs="Arial"/>
                <w:b/>
              </w:rPr>
            </w:pPr>
            <w:r w:rsidRPr="00C52A9F">
              <w:rPr>
                <w:rFonts w:ascii="Century Gothic" w:hAnsi="Century Gothic" w:cs="Arial"/>
                <w:b/>
                <w:noProof/>
                <w:lang w:val="es-MX" w:eastAsia="es-MX"/>
              </w:rPr>
              <w:drawing>
                <wp:anchor distT="0" distB="0" distL="114300" distR="114300" simplePos="0" relativeHeight="251660288" behindDoc="1" locked="0" layoutInCell="1" allowOverlap="1" wp14:anchorId="621DA556" wp14:editId="265CBC05">
                  <wp:simplePos x="0" y="0"/>
                  <wp:positionH relativeFrom="column">
                    <wp:posOffset>1270</wp:posOffset>
                  </wp:positionH>
                  <wp:positionV relativeFrom="paragraph">
                    <wp:posOffset>117475</wp:posOffset>
                  </wp:positionV>
                  <wp:extent cx="976006" cy="11049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congresochihuahua.gob.mx/TimThumb.php?src=diputados/imagenes/fotos/1186.jpg&amp;w=260&amp;h=260&amp;zc=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76006" cy="1104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4" w:type="dxa"/>
          </w:tcPr>
          <w:p w14:paraId="22E3CEA6" w14:textId="77777777" w:rsidR="00C52A9F" w:rsidRPr="00C52A9F" w:rsidRDefault="00C52A9F" w:rsidP="00C52A9F">
            <w:pPr>
              <w:contextualSpacing/>
              <w:jc w:val="center"/>
              <w:rPr>
                <w:rFonts w:ascii="Century Gothic" w:hAnsi="Century Gothic" w:cs="Arial"/>
                <w:b/>
                <w:bCs/>
                <w:smallCaps/>
                <w:lang w:val="es-MX" w:eastAsia="es-MX"/>
              </w:rPr>
            </w:pPr>
          </w:p>
          <w:p w14:paraId="187B6E47" w14:textId="77777777" w:rsidR="00C52A9F" w:rsidRPr="00C52A9F" w:rsidRDefault="00C52A9F" w:rsidP="00C52A9F">
            <w:pPr>
              <w:contextualSpacing/>
              <w:jc w:val="center"/>
              <w:rPr>
                <w:rFonts w:ascii="Century Gothic" w:hAnsi="Century Gothic" w:cs="Arial"/>
                <w:b/>
                <w:bCs/>
                <w:smallCaps/>
                <w:lang w:val="es-MX" w:eastAsia="es-MX"/>
              </w:rPr>
            </w:pPr>
            <w:r w:rsidRPr="00C52A9F">
              <w:rPr>
                <w:rFonts w:ascii="Century Gothic" w:hAnsi="Century Gothic" w:cs="Arial"/>
                <w:b/>
                <w:bCs/>
                <w:smallCaps/>
                <w:lang w:val="es-MX" w:eastAsia="es-MX"/>
              </w:rPr>
              <w:t>DIP. DAVID OSCAR CASTREJÓN RIVAS</w:t>
            </w:r>
          </w:p>
          <w:p w14:paraId="52426791" w14:textId="77777777" w:rsidR="00C52A9F" w:rsidRPr="00C52A9F" w:rsidRDefault="00C52A9F" w:rsidP="00C52A9F">
            <w:pPr>
              <w:contextualSpacing/>
              <w:jc w:val="center"/>
              <w:rPr>
                <w:rFonts w:ascii="Century Gothic" w:hAnsi="Century Gothic" w:cs="Arial"/>
                <w:b/>
                <w:bCs/>
                <w:smallCaps/>
                <w:lang w:val="es-MX" w:eastAsia="es-MX"/>
              </w:rPr>
            </w:pPr>
            <w:r w:rsidRPr="00C52A9F">
              <w:rPr>
                <w:rFonts w:ascii="Century Gothic" w:hAnsi="Century Gothic" w:cs="Arial"/>
                <w:b/>
                <w:bCs/>
                <w:smallCaps/>
                <w:lang w:val="es-MX" w:eastAsia="es-MX"/>
              </w:rPr>
              <w:t xml:space="preserve">SECRETARIO </w:t>
            </w:r>
          </w:p>
          <w:p w14:paraId="588C1458" w14:textId="77777777" w:rsidR="00C52A9F" w:rsidRPr="00C52A9F" w:rsidRDefault="00C52A9F" w:rsidP="00C52A9F">
            <w:pPr>
              <w:rPr>
                <w:rFonts w:ascii="Century Gothic" w:hAnsi="Century Gothic" w:cs="Arial"/>
                <w:b/>
                <w:sz w:val="22"/>
                <w:szCs w:val="22"/>
              </w:rPr>
            </w:pPr>
          </w:p>
        </w:tc>
        <w:tc>
          <w:tcPr>
            <w:tcW w:w="2268" w:type="dxa"/>
          </w:tcPr>
          <w:p w14:paraId="10F558AD" w14:textId="77777777" w:rsidR="00C52A9F" w:rsidRPr="00C52A9F" w:rsidRDefault="00C52A9F" w:rsidP="00C52A9F">
            <w:pPr>
              <w:jc w:val="both"/>
              <w:rPr>
                <w:rFonts w:ascii="Century Gothic" w:hAnsi="Century Gothic" w:cs="Arial"/>
                <w:b/>
              </w:rPr>
            </w:pPr>
          </w:p>
        </w:tc>
        <w:tc>
          <w:tcPr>
            <w:tcW w:w="2268" w:type="dxa"/>
          </w:tcPr>
          <w:p w14:paraId="2F579D1F" w14:textId="77777777" w:rsidR="00C52A9F" w:rsidRPr="00C52A9F" w:rsidRDefault="00C52A9F" w:rsidP="00C52A9F">
            <w:pPr>
              <w:jc w:val="both"/>
              <w:rPr>
                <w:rFonts w:ascii="Century Gothic" w:hAnsi="Century Gothic" w:cs="Arial"/>
                <w:b/>
              </w:rPr>
            </w:pPr>
          </w:p>
        </w:tc>
        <w:tc>
          <w:tcPr>
            <w:tcW w:w="1985" w:type="dxa"/>
          </w:tcPr>
          <w:p w14:paraId="4F33718C" w14:textId="77777777" w:rsidR="00C52A9F" w:rsidRPr="00C52A9F" w:rsidRDefault="00C52A9F" w:rsidP="00C52A9F">
            <w:pPr>
              <w:jc w:val="both"/>
              <w:rPr>
                <w:rFonts w:ascii="Century Gothic" w:hAnsi="Century Gothic" w:cs="Arial"/>
                <w:b/>
              </w:rPr>
            </w:pPr>
          </w:p>
        </w:tc>
      </w:tr>
      <w:tr w:rsidR="00C52A9F" w:rsidRPr="00C52A9F" w14:paraId="2F195D6C" w14:textId="77777777" w:rsidTr="000C06B6">
        <w:tc>
          <w:tcPr>
            <w:tcW w:w="1702" w:type="dxa"/>
          </w:tcPr>
          <w:p w14:paraId="75611A32" w14:textId="1919FE09" w:rsidR="00C52A9F" w:rsidRPr="00C52A9F" w:rsidRDefault="000F6A38" w:rsidP="00C52A9F">
            <w:pPr>
              <w:jc w:val="both"/>
              <w:rPr>
                <w:szCs w:val="20"/>
              </w:rPr>
            </w:pPr>
            <w:r w:rsidRPr="00C52A9F">
              <w:rPr>
                <w:noProof/>
                <w:szCs w:val="20"/>
                <w:lang w:val="es-MX" w:eastAsia="es-MX"/>
              </w:rPr>
              <w:lastRenderedPageBreak/>
              <w:drawing>
                <wp:anchor distT="0" distB="0" distL="114300" distR="114300" simplePos="0" relativeHeight="251661312" behindDoc="1" locked="0" layoutInCell="1" allowOverlap="1" wp14:anchorId="4EA5D53F" wp14:editId="764EFD40">
                  <wp:simplePos x="0" y="0"/>
                  <wp:positionH relativeFrom="column">
                    <wp:posOffset>88900</wp:posOffset>
                  </wp:positionH>
                  <wp:positionV relativeFrom="paragraph">
                    <wp:posOffset>109855</wp:posOffset>
                  </wp:positionV>
                  <wp:extent cx="813961" cy="932180"/>
                  <wp:effectExtent l="0" t="0" r="5715" b="127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isel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61" cy="932180"/>
                          </a:xfrm>
                          <a:prstGeom prst="rect">
                            <a:avLst/>
                          </a:prstGeom>
                        </pic:spPr>
                      </pic:pic>
                    </a:graphicData>
                  </a:graphic>
                  <wp14:sizeRelH relativeFrom="page">
                    <wp14:pctWidth>0</wp14:pctWidth>
                  </wp14:sizeRelH>
                  <wp14:sizeRelV relativeFrom="page">
                    <wp14:pctHeight>0</wp14:pctHeight>
                  </wp14:sizeRelV>
                </wp:anchor>
              </w:drawing>
            </w:r>
          </w:p>
          <w:p w14:paraId="2936E714" w14:textId="69450D3E" w:rsidR="00C52A9F" w:rsidRPr="00C52A9F" w:rsidRDefault="00C52A9F" w:rsidP="00C52A9F">
            <w:pPr>
              <w:jc w:val="both"/>
              <w:rPr>
                <w:rFonts w:ascii="Century Gothic" w:hAnsi="Century Gothic" w:cs="Arial"/>
                <w:b/>
              </w:rPr>
            </w:pPr>
          </w:p>
        </w:tc>
        <w:tc>
          <w:tcPr>
            <w:tcW w:w="1984" w:type="dxa"/>
          </w:tcPr>
          <w:p w14:paraId="3A4BA7EF" w14:textId="77777777" w:rsidR="00C52A9F" w:rsidRPr="00C52A9F" w:rsidRDefault="00C52A9F" w:rsidP="00C52A9F">
            <w:pPr>
              <w:contextualSpacing/>
              <w:jc w:val="center"/>
              <w:rPr>
                <w:rFonts w:ascii="Century Gothic" w:hAnsi="Century Gothic" w:cs="Arial"/>
                <w:b/>
                <w:lang w:val="es-MX" w:eastAsia="es-MX"/>
              </w:rPr>
            </w:pPr>
          </w:p>
          <w:p w14:paraId="0376421C" w14:textId="77777777" w:rsidR="00C52A9F" w:rsidRPr="00C52A9F" w:rsidRDefault="00C52A9F" w:rsidP="00C52A9F">
            <w:pPr>
              <w:contextualSpacing/>
              <w:rPr>
                <w:rFonts w:ascii="Century Gothic" w:hAnsi="Century Gothic" w:cs="Arial"/>
                <w:b/>
                <w:lang w:val="es-MX" w:eastAsia="es-MX"/>
              </w:rPr>
            </w:pPr>
          </w:p>
          <w:p w14:paraId="6AD2EE2E"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ILSE AMÉRICA GARCÍA SOTO</w:t>
            </w:r>
          </w:p>
          <w:p w14:paraId="10B9F300" w14:textId="37517134" w:rsidR="00C52A9F" w:rsidRPr="00C52A9F" w:rsidRDefault="00C52A9F" w:rsidP="000F6A38">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tc>
        <w:tc>
          <w:tcPr>
            <w:tcW w:w="2268" w:type="dxa"/>
          </w:tcPr>
          <w:p w14:paraId="48AC112E" w14:textId="77777777" w:rsidR="00C52A9F" w:rsidRPr="00C52A9F" w:rsidRDefault="00C52A9F" w:rsidP="00C52A9F">
            <w:pPr>
              <w:jc w:val="both"/>
              <w:rPr>
                <w:rFonts w:ascii="Century Gothic" w:hAnsi="Century Gothic" w:cs="Arial"/>
                <w:b/>
              </w:rPr>
            </w:pPr>
          </w:p>
        </w:tc>
        <w:tc>
          <w:tcPr>
            <w:tcW w:w="2268" w:type="dxa"/>
          </w:tcPr>
          <w:p w14:paraId="0C1BE4CF" w14:textId="77777777" w:rsidR="00C52A9F" w:rsidRPr="00C52A9F" w:rsidRDefault="00C52A9F" w:rsidP="00C52A9F">
            <w:pPr>
              <w:jc w:val="both"/>
              <w:rPr>
                <w:rFonts w:ascii="Century Gothic" w:hAnsi="Century Gothic" w:cs="Arial"/>
                <w:b/>
              </w:rPr>
            </w:pPr>
          </w:p>
        </w:tc>
        <w:tc>
          <w:tcPr>
            <w:tcW w:w="1985" w:type="dxa"/>
          </w:tcPr>
          <w:p w14:paraId="25259D89" w14:textId="77777777" w:rsidR="00C52A9F" w:rsidRPr="00C52A9F" w:rsidRDefault="00C52A9F" w:rsidP="00C52A9F">
            <w:pPr>
              <w:jc w:val="both"/>
              <w:rPr>
                <w:rFonts w:ascii="Century Gothic" w:hAnsi="Century Gothic" w:cs="Arial"/>
                <w:b/>
              </w:rPr>
            </w:pPr>
          </w:p>
        </w:tc>
      </w:tr>
      <w:tr w:rsidR="00C52A9F" w:rsidRPr="00C52A9F" w14:paraId="1908C551" w14:textId="77777777" w:rsidTr="000C06B6">
        <w:tc>
          <w:tcPr>
            <w:tcW w:w="1702" w:type="dxa"/>
          </w:tcPr>
          <w:p w14:paraId="7B21CB1A" w14:textId="77777777" w:rsidR="00C52A9F" w:rsidRPr="00C52A9F" w:rsidRDefault="00C52A9F" w:rsidP="00C52A9F">
            <w:pPr>
              <w:jc w:val="both"/>
              <w:rPr>
                <w:rFonts w:ascii="Century Gothic" w:hAnsi="Century Gothic" w:cs="Arial"/>
                <w:b/>
              </w:rPr>
            </w:pPr>
            <w:r w:rsidRPr="00C52A9F">
              <w:rPr>
                <w:rFonts w:ascii="Century Gothic" w:hAnsi="Century Gothic" w:cs="Arial"/>
                <w:b/>
                <w:noProof/>
                <w:lang w:val="es-MX" w:eastAsia="es-MX"/>
              </w:rPr>
              <w:drawing>
                <wp:anchor distT="0" distB="0" distL="114300" distR="114300" simplePos="0" relativeHeight="251662336" behindDoc="1" locked="0" layoutInCell="1" allowOverlap="1" wp14:anchorId="5ABE4FB9" wp14:editId="249231DA">
                  <wp:simplePos x="0" y="0"/>
                  <wp:positionH relativeFrom="column">
                    <wp:posOffset>11431</wp:posOffset>
                  </wp:positionH>
                  <wp:positionV relativeFrom="paragraph">
                    <wp:posOffset>58421</wp:posOffset>
                  </wp:positionV>
                  <wp:extent cx="855170" cy="1028700"/>
                  <wp:effectExtent l="0" t="0" r="254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yanira.jpg"/>
                          <pic:cNvPicPr/>
                        </pic:nvPicPr>
                        <pic:blipFill>
                          <a:blip r:embed="rId11">
                            <a:extLst>
                              <a:ext uri="{28A0092B-C50C-407E-A947-70E740481C1C}">
                                <a14:useLocalDpi xmlns:a14="http://schemas.microsoft.com/office/drawing/2010/main" val="0"/>
                              </a:ext>
                            </a:extLst>
                          </a:blip>
                          <a:stretch>
                            <a:fillRect/>
                          </a:stretch>
                        </pic:blipFill>
                        <pic:spPr>
                          <a:xfrm>
                            <a:off x="0" y="0"/>
                            <a:ext cx="856327" cy="1030091"/>
                          </a:xfrm>
                          <a:prstGeom prst="rect">
                            <a:avLst/>
                          </a:prstGeom>
                        </pic:spPr>
                      </pic:pic>
                    </a:graphicData>
                  </a:graphic>
                  <wp14:sizeRelH relativeFrom="page">
                    <wp14:pctWidth>0</wp14:pctWidth>
                  </wp14:sizeRelH>
                  <wp14:sizeRelV relativeFrom="page">
                    <wp14:pctHeight>0</wp14:pctHeight>
                  </wp14:sizeRelV>
                </wp:anchor>
              </w:drawing>
            </w:r>
          </w:p>
        </w:tc>
        <w:tc>
          <w:tcPr>
            <w:tcW w:w="1984" w:type="dxa"/>
          </w:tcPr>
          <w:p w14:paraId="5A79A09A" w14:textId="77777777" w:rsidR="00C52A9F" w:rsidRPr="00C52A9F" w:rsidRDefault="00C52A9F" w:rsidP="00C52A9F">
            <w:pPr>
              <w:contextualSpacing/>
              <w:jc w:val="center"/>
              <w:rPr>
                <w:rFonts w:ascii="Century Gothic" w:hAnsi="Century Gothic" w:cs="Arial"/>
                <w:b/>
                <w:lang w:val="es-MX" w:eastAsia="es-MX"/>
              </w:rPr>
            </w:pPr>
          </w:p>
          <w:p w14:paraId="07130D0A"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JOSÉ ALFREDO CHÁVEZ MADRID</w:t>
            </w:r>
          </w:p>
          <w:p w14:paraId="5C2EA1C8" w14:textId="178F484C" w:rsidR="00C52A9F" w:rsidRPr="00C52A9F" w:rsidRDefault="00C52A9F" w:rsidP="000F6A38">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tc>
        <w:tc>
          <w:tcPr>
            <w:tcW w:w="2268" w:type="dxa"/>
          </w:tcPr>
          <w:p w14:paraId="04016681" w14:textId="77777777" w:rsidR="00C52A9F" w:rsidRPr="00C52A9F" w:rsidRDefault="00C52A9F" w:rsidP="00C52A9F">
            <w:pPr>
              <w:jc w:val="both"/>
              <w:rPr>
                <w:rFonts w:ascii="Century Gothic" w:hAnsi="Century Gothic" w:cs="Arial"/>
                <w:b/>
              </w:rPr>
            </w:pPr>
          </w:p>
        </w:tc>
        <w:tc>
          <w:tcPr>
            <w:tcW w:w="2268" w:type="dxa"/>
          </w:tcPr>
          <w:p w14:paraId="44C61092" w14:textId="77777777" w:rsidR="00C52A9F" w:rsidRPr="00C52A9F" w:rsidRDefault="00C52A9F" w:rsidP="00C52A9F">
            <w:pPr>
              <w:jc w:val="both"/>
              <w:rPr>
                <w:rFonts w:ascii="Century Gothic" w:hAnsi="Century Gothic" w:cs="Arial"/>
                <w:b/>
              </w:rPr>
            </w:pPr>
          </w:p>
        </w:tc>
        <w:tc>
          <w:tcPr>
            <w:tcW w:w="1985" w:type="dxa"/>
          </w:tcPr>
          <w:p w14:paraId="7D76833B" w14:textId="77777777" w:rsidR="00C52A9F" w:rsidRPr="00C52A9F" w:rsidRDefault="00C52A9F" w:rsidP="00C52A9F">
            <w:pPr>
              <w:jc w:val="both"/>
              <w:rPr>
                <w:rFonts w:ascii="Century Gothic" w:hAnsi="Century Gothic" w:cs="Arial"/>
                <w:b/>
              </w:rPr>
            </w:pPr>
          </w:p>
          <w:p w14:paraId="4695789A" w14:textId="77777777" w:rsidR="00C52A9F" w:rsidRPr="00C52A9F" w:rsidRDefault="00C52A9F" w:rsidP="00C52A9F">
            <w:pPr>
              <w:spacing w:after="200" w:line="276" w:lineRule="auto"/>
              <w:rPr>
                <w:rFonts w:ascii="Calibri" w:hAnsi="Calibri"/>
                <w:sz w:val="22"/>
                <w:szCs w:val="22"/>
              </w:rPr>
            </w:pPr>
          </w:p>
          <w:p w14:paraId="6F4083AF" w14:textId="77777777" w:rsidR="00C52A9F" w:rsidRPr="00C52A9F" w:rsidRDefault="00C52A9F" w:rsidP="00C52A9F">
            <w:pPr>
              <w:spacing w:after="200" w:line="276" w:lineRule="auto"/>
              <w:rPr>
                <w:rFonts w:ascii="Calibri" w:hAnsi="Calibri"/>
                <w:sz w:val="22"/>
                <w:szCs w:val="22"/>
              </w:rPr>
            </w:pPr>
          </w:p>
        </w:tc>
      </w:tr>
      <w:tr w:rsidR="00C52A9F" w:rsidRPr="00C52A9F" w14:paraId="7C2E2FA2" w14:textId="77777777" w:rsidTr="000C06B6">
        <w:tc>
          <w:tcPr>
            <w:tcW w:w="1702" w:type="dxa"/>
          </w:tcPr>
          <w:p w14:paraId="008667E8" w14:textId="77777777" w:rsidR="00C52A9F" w:rsidRPr="00C52A9F" w:rsidRDefault="00C52A9F" w:rsidP="00C52A9F">
            <w:pPr>
              <w:jc w:val="both"/>
              <w:rPr>
                <w:rFonts w:ascii="Century Gothic" w:hAnsi="Century Gothic" w:cs="Arial"/>
                <w:b/>
              </w:rPr>
            </w:pPr>
            <w:r w:rsidRPr="00C52A9F">
              <w:rPr>
                <w:rFonts w:ascii="Century Gothic" w:hAnsi="Century Gothic" w:cs="Arial"/>
                <w:b/>
                <w:noProof/>
                <w:lang w:val="es-MX" w:eastAsia="es-MX"/>
              </w:rPr>
              <w:drawing>
                <wp:inline distT="0" distB="0" distL="0" distR="0" wp14:anchorId="3293270C" wp14:editId="7AD50394">
                  <wp:extent cx="833887" cy="1104900"/>
                  <wp:effectExtent l="0" t="0" r="444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érez.jpg"/>
                          <pic:cNvPicPr/>
                        </pic:nvPicPr>
                        <pic:blipFill>
                          <a:blip r:embed="rId12">
                            <a:extLst>
                              <a:ext uri="{28A0092B-C50C-407E-A947-70E740481C1C}">
                                <a14:useLocalDpi xmlns:a14="http://schemas.microsoft.com/office/drawing/2010/main" val="0"/>
                              </a:ext>
                            </a:extLst>
                          </a:blip>
                          <a:stretch>
                            <a:fillRect/>
                          </a:stretch>
                        </pic:blipFill>
                        <pic:spPr>
                          <a:xfrm>
                            <a:off x="0" y="0"/>
                            <a:ext cx="853410" cy="1130768"/>
                          </a:xfrm>
                          <a:prstGeom prst="rect">
                            <a:avLst/>
                          </a:prstGeom>
                        </pic:spPr>
                      </pic:pic>
                    </a:graphicData>
                  </a:graphic>
                </wp:inline>
              </w:drawing>
            </w:r>
          </w:p>
        </w:tc>
        <w:tc>
          <w:tcPr>
            <w:tcW w:w="1984" w:type="dxa"/>
          </w:tcPr>
          <w:p w14:paraId="3F4CDA97" w14:textId="77777777" w:rsidR="00C52A9F" w:rsidRPr="00C52A9F" w:rsidRDefault="00C52A9F" w:rsidP="00C52A9F">
            <w:pPr>
              <w:contextualSpacing/>
              <w:jc w:val="center"/>
              <w:rPr>
                <w:rFonts w:ascii="Century Gothic" w:hAnsi="Century Gothic" w:cs="Arial"/>
                <w:b/>
                <w:lang w:val="es-MX" w:eastAsia="es-MX"/>
              </w:rPr>
            </w:pPr>
          </w:p>
          <w:p w14:paraId="026AAC40" w14:textId="77777777" w:rsidR="00C52A9F" w:rsidRPr="00C52A9F" w:rsidRDefault="00C52A9F" w:rsidP="00C52A9F">
            <w:pPr>
              <w:contextualSpacing/>
              <w:jc w:val="center"/>
              <w:rPr>
                <w:rFonts w:ascii="Century Gothic" w:hAnsi="Century Gothic" w:cs="Arial"/>
                <w:b/>
                <w:lang w:val="es-MX" w:eastAsia="es-MX"/>
              </w:rPr>
            </w:pPr>
          </w:p>
          <w:p w14:paraId="515EC693"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ISMAEL PÉREZ PAVÍA</w:t>
            </w:r>
          </w:p>
          <w:p w14:paraId="3BF4DF81"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tc>
        <w:tc>
          <w:tcPr>
            <w:tcW w:w="2268" w:type="dxa"/>
          </w:tcPr>
          <w:p w14:paraId="3C2F2A23" w14:textId="77777777" w:rsidR="00C52A9F" w:rsidRPr="00C52A9F" w:rsidRDefault="00C52A9F" w:rsidP="00C52A9F">
            <w:pPr>
              <w:jc w:val="both"/>
              <w:rPr>
                <w:rFonts w:ascii="Century Gothic" w:hAnsi="Century Gothic" w:cs="Arial"/>
                <w:b/>
              </w:rPr>
            </w:pPr>
          </w:p>
        </w:tc>
        <w:tc>
          <w:tcPr>
            <w:tcW w:w="2268" w:type="dxa"/>
          </w:tcPr>
          <w:p w14:paraId="7870451F" w14:textId="77777777" w:rsidR="00C52A9F" w:rsidRPr="00C52A9F" w:rsidRDefault="00C52A9F" w:rsidP="00C52A9F">
            <w:pPr>
              <w:jc w:val="both"/>
              <w:rPr>
                <w:rFonts w:ascii="Century Gothic" w:hAnsi="Century Gothic" w:cs="Arial"/>
                <w:b/>
              </w:rPr>
            </w:pPr>
          </w:p>
        </w:tc>
        <w:tc>
          <w:tcPr>
            <w:tcW w:w="1985" w:type="dxa"/>
          </w:tcPr>
          <w:p w14:paraId="0618B040" w14:textId="77777777" w:rsidR="00C52A9F" w:rsidRPr="00C52A9F" w:rsidRDefault="00C52A9F" w:rsidP="00C52A9F">
            <w:pPr>
              <w:jc w:val="both"/>
              <w:rPr>
                <w:rFonts w:ascii="Century Gothic" w:hAnsi="Century Gothic" w:cs="Arial"/>
                <w:b/>
              </w:rPr>
            </w:pPr>
          </w:p>
        </w:tc>
      </w:tr>
      <w:tr w:rsidR="00C52A9F" w:rsidRPr="00C52A9F" w14:paraId="34CF9194" w14:textId="77777777" w:rsidTr="000C06B6">
        <w:tc>
          <w:tcPr>
            <w:tcW w:w="1702" w:type="dxa"/>
            <w:tcBorders>
              <w:top w:val="single" w:sz="4" w:space="0" w:color="auto"/>
              <w:left w:val="single" w:sz="4" w:space="0" w:color="auto"/>
              <w:bottom w:val="single" w:sz="4" w:space="0" w:color="auto"/>
              <w:right w:val="single" w:sz="4" w:space="0" w:color="auto"/>
            </w:tcBorders>
          </w:tcPr>
          <w:p w14:paraId="12E65663" w14:textId="77777777" w:rsidR="00C52A9F" w:rsidRPr="00C52A9F" w:rsidRDefault="00C52A9F" w:rsidP="00C52A9F">
            <w:pPr>
              <w:jc w:val="both"/>
              <w:rPr>
                <w:rFonts w:ascii="Century Gothic" w:hAnsi="Century Gothic" w:cs="Arial"/>
                <w:b/>
                <w:noProof/>
                <w:lang w:val="es-MX" w:eastAsia="es-MX"/>
              </w:rPr>
            </w:pPr>
            <w:r w:rsidRPr="00C52A9F">
              <w:rPr>
                <w:rFonts w:ascii="Century Gothic" w:hAnsi="Century Gothic" w:cs="Arial"/>
                <w:b/>
                <w:noProof/>
                <w:color w:val="000000"/>
                <w:lang w:val="es-MX" w:eastAsia="es-MX"/>
              </w:rPr>
              <w:drawing>
                <wp:anchor distT="0" distB="0" distL="114300" distR="114300" simplePos="0" relativeHeight="251663360" behindDoc="1" locked="0" layoutInCell="1" allowOverlap="1" wp14:anchorId="0A2693D4" wp14:editId="0501EE08">
                  <wp:simplePos x="0" y="0"/>
                  <wp:positionH relativeFrom="column">
                    <wp:posOffset>67310</wp:posOffset>
                  </wp:positionH>
                  <wp:positionV relativeFrom="paragraph">
                    <wp:posOffset>88900</wp:posOffset>
                  </wp:positionV>
                  <wp:extent cx="829310" cy="1099185"/>
                  <wp:effectExtent l="0" t="0" r="8890"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yanir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9310" cy="1099185"/>
                          </a:xfrm>
                          <a:prstGeom prst="rect">
                            <a:avLst/>
                          </a:prstGeom>
                        </pic:spPr>
                      </pic:pic>
                    </a:graphicData>
                  </a:graphic>
                  <wp14:sizeRelH relativeFrom="page">
                    <wp14:pctWidth>0</wp14:pctWidth>
                  </wp14:sizeRelH>
                  <wp14:sizeRelV relativeFrom="page">
                    <wp14:pctHeight>0</wp14:pctHeight>
                  </wp14:sizeRelV>
                </wp:anchor>
              </w:drawing>
            </w:r>
          </w:p>
        </w:tc>
        <w:tc>
          <w:tcPr>
            <w:tcW w:w="1984" w:type="dxa"/>
            <w:tcBorders>
              <w:top w:val="single" w:sz="4" w:space="0" w:color="auto"/>
              <w:left w:val="single" w:sz="4" w:space="0" w:color="auto"/>
              <w:bottom w:val="single" w:sz="4" w:space="0" w:color="auto"/>
              <w:right w:val="single" w:sz="4" w:space="0" w:color="auto"/>
            </w:tcBorders>
          </w:tcPr>
          <w:p w14:paraId="298CC33F" w14:textId="77777777" w:rsidR="00C52A9F" w:rsidRPr="00C52A9F" w:rsidRDefault="00C52A9F" w:rsidP="00C52A9F">
            <w:pPr>
              <w:contextualSpacing/>
              <w:jc w:val="center"/>
              <w:rPr>
                <w:rFonts w:ascii="Century Gothic" w:hAnsi="Century Gothic" w:cs="Arial"/>
                <w:b/>
                <w:lang w:val="es-MX" w:eastAsia="es-MX"/>
              </w:rPr>
            </w:pPr>
          </w:p>
          <w:p w14:paraId="182B12F8"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GUSTAVO DE LA ROSA HICKERSON</w:t>
            </w:r>
          </w:p>
          <w:p w14:paraId="172EDD74" w14:textId="58F737EE"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p w14:paraId="7BF27C49" w14:textId="77777777" w:rsidR="00C52A9F" w:rsidRPr="00C52A9F" w:rsidRDefault="00C52A9F" w:rsidP="00C52A9F">
            <w:pPr>
              <w:contextualSpacing/>
              <w:jc w:val="center"/>
              <w:rPr>
                <w:rFonts w:ascii="Century Gothic" w:hAnsi="Century Gothic" w:cs="Arial"/>
                <w:b/>
                <w:lang w:val="es-MX" w:eastAsia="es-MX"/>
              </w:rPr>
            </w:pPr>
          </w:p>
        </w:tc>
        <w:tc>
          <w:tcPr>
            <w:tcW w:w="2268" w:type="dxa"/>
            <w:tcBorders>
              <w:top w:val="single" w:sz="4" w:space="0" w:color="auto"/>
              <w:left w:val="single" w:sz="4" w:space="0" w:color="auto"/>
              <w:bottom w:val="single" w:sz="4" w:space="0" w:color="auto"/>
              <w:right w:val="single" w:sz="4" w:space="0" w:color="auto"/>
            </w:tcBorders>
          </w:tcPr>
          <w:p w14:paraId="2096F1DC" w14:textId="77777777" w:rsidR="00C52A9F" w:rsidRPr="00C52A9F" w:rsidRDefault="00C52A9F" w:rsidP="00C52A9F">
            <w:pPr>
              <w:jc w:val="both"/>
              <w:rPr>
                <w:rFonts w:ascii="Century Gothic" w:hAnsi="Century Gothic" w:cs="Arial"/>
                <w:b/>
              </w:rPr>
            </w:pPr>
          </w:p>
        </w:tc>
        <w:tc>
          <w:tcPr>
            <w:tcW w:w="2268" w:type="dxa"/>
            <w:tcBorders>
              <w:top w:val="single" w:sz="4" w:space="0" w:color="auto"/>
              <w:left w:val="single" w:sz="4" w:space="0" w:color="auto"/>
              <w:bottom w:val="single" w:sz="4" w:space="0" w:color="auto"/>
              <w:right w:val="single" w:sz="4" w:space="0" w:color="auto"/>
            </w:tcBorders>
          </w:tcPr>
          <w:p w14:paraId="59C949C8" w14:textId="77777777" w:rsidR="00C52A9F" w:rsidRPr="00C52A9F" w:rsidRDefault="00C52A9F" w:rsidP="00C52A9F">
            <w:pPr>
              <w:jc w:val="both"/>
              <w:rPr>
                <w:rFonts w:ascii="Century Gothic" w:hAnsi="Century Gothic" w:cs="Arial"/>
                <w:b/>
              </w:rPr>
            </w:pPr>
          </w:p>
        </w:tc>
        <w:tc>
          <w:tcPr>
            <w:tcW w:w="1985" w:type="dxa"/>
            <w:tcBorders>
              <w:top w:val="single" w:sz="4" w:space="0" w:color="auto"/>
              <w:left w:val="single" w:sz="4" w:space="0" w:color="auto"/>
              <w:bottom w:val="single" w:sz="4" w:space="0" w:color="auto"/>
              <w:right w:val="single" w:sz="4" w:space="0" w:color="auto"/>
            </w:tcBorders>
          </w:tcPr>
          <w:p w14:paraId="1A2054BA" w14:textId="77777777" w:rsidR="00C52A9F" w:rsidRPr="00C52A9F" w:rsidRDefault="00C52A9F" w:rsidP="00C52A9F">
            <w:pPr>
              <w:jc w:val="both"/>
              <w:rPr>
                <w:rFonts w:ascii="Century Gothic" w:hAnsi="Century Gothic" w:cs="Arial"/>
                <w:b/>
              </w:rPr>
            </w:pPr>
          </w:p>
          <w:p w14:paraId="655F1997" w14:textId="77777777" w:rsidR="00C52A9F" w:rsidRPr="00C52A9F" w:rsidRDefault="00C52A9F" w:rsidP="00C52A9F">
            <w:pPr>
              <w:jc w:val="both"/>
              <w:rPr>
                <w:rFonts w:ascii="Century Gothic" w:hAnsi="Century Gothic" w:cs="Arial"/>
                <w:b/>
              </w:rPr>
            </w:pPr>
          </w:p>
          <w:p w14:paraId="0C65B4A3" w14:textId="77777777" w:rsidR="00C52A9F" w:rsidRPr="00C52A9F" w:rsidRDefault="00C52A9F" w:rsidP="00C52A9F">
            <w:pPr>
              <w:jc w:val="both"/>
              <w:rPr>
                <w:rFonts w:ascii="Century Gothic" w:hAnsi="Century Gothic" w:cs="Arial"/>
                <w:b/>
              </w:rPr>
            </w:pPr>
          </w:p>
        </w:tc>
      </w:tr>
      <w:tr w:rsidR="00C52A9F" w:rsidRPr="00C52A9F" w14:paraId="558A02C3" w14:textId="77777777" w:rsidTr="000C06B6">
        <w:tc>
          <w:tcPr>
            <w:tcW w:w="1702" w:type="dxa"/>
            <w:tcBorders>
              <w:top w:val="single" w:sz="4" w:space="0" w:color="auto"/>
              <w:left w:val="single" w:sz="4" w:space="0" w:color="auto"/>
              <w:bottom w:val="single" w:sz="4" w:space="0" w:color="auto"/>
              <w:right w:val="single" w:sz="4" w:space="0" w:color="auto"/>
            </w:tcBorders>
          </w:tcPr>
          <w:p w14:paraId="1A10B5BB" w14:textId="77777777" w:rsidR="00C52A9F" w:rsidRPr="00C52A9F" w:rsidRDefault="00C52A9F" w:rsidP="00C52A9F">
            <w:pPr>
              <w:jc w:val="both"/>
              <w:rPr>
                <w:rFonts w:ascii="Century Gothic" w:hAnsi="Century Gothic" w:cs="Arial"/>
                <w:b/>
                <w:noProof/>
                <w:lang w:val="es-MX" w:eastAsia="es-MX"/>
              </w:rPr>
            </w:pPr>
            <w:r w:rsidRPr="00C52A9F">
              <w:rPr>
                <w:rFonts w:ascii="Century Gothic" w:hAnsi="Century Gothic" w:cs="Arial"/>
                <w:b/>
                <w:noProof/>
                <w:lang w:val="es-MX" w:eastAsia="es-MX"/>
              </w:rPr>
              <w:drawing>
                <wp:inline distT="0" distB="0" distL="0" distR="0" wp14:anchorId="36155D5B" wp14:editId="0E114700">
                  <wp:extent cx="885825" cy="1173718"/>
                  <wp:effectExtent l="0" t="0" r="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lson.jpg"/>
                          <pic:cNvPicPr/>
                        </pic:nvPicPr>
                        <pic:blipFill>
                          <a:blip r:embed="rId14">
                            <a:extLst>
                              <a:ext uri="{28A0092B-C50C-407E-A947-70E740481C1C}">
                                <a14:useLocalDpi xmlns:a14="http://schemas.microsoft.com/office/drawing/2010/main" val="0"/>
                              </a:ext>
                            </a:extLst>
                          </a:blip>
                          <a:stretch>
                            <a:fillRect/>
                          </a:stretch>
                        </pic:blipFill>
                        <pic:spPr>
                          <a:xfrm>
                            <a:off x="0" y="0"/>
                            <a:ext cx="907235" cy="1202086"/>
                          </a:xfrm>
                          <a:prstGeom prst="rect">
                            <a:avLst/>
                          </a:prstGeom>
                        </pic:spPr>
                      </pic:pic>
                    </a:graphicData>
                  </a:graphic>
                </wp:inline>
              </w:drawing>
            </w:r>
          </w:p>
        </w:tc>
        <w:tc>
          <w:tcPr>
            <w:tcW w:w="1984" w:type="dxa"/>
            <w:tcBorders>
              <w:top w:val="single" w:sz="4" w:space="0" w:color="auto"/>
              <w:left w:val="single" w:sz="4" w:space="0" w:color="auto"/>
              <w:bottom w:val="single" w:sz="4" w:space="0" w:color="auto"/>
              <w:right w:val="single" w:sz="4" w:space="0" w:color="auto"/>
            </w:tcBorders>
          </w:tcPr>
          <w:p w14:paraId="0E188E0B" w14:textId="77777777" w:rsidR="00C52A9F" w:rsidRPr="00C52A9F" w:rsidRDefault="00C52A9F" w:rsidP="00C52A9F">
            <w:pPr>
              <w:contextualSpacing/>
              <w:jc w:val="center"/>
              <w:rPr>
                <w:rFonts w:ascii="Century Gothic" w:hAnsi="Century Gothic" w:cs="Arial"/>
                <w:b/>
                <w:lang w:val="es-MX" w:eastAsia="es-MX"/>
              </w:rPr>
            </w:pPr>
          </w:p>
          <w:p w14:paraId="5F0DFDEE"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CARLOS ALFREDO OLSON SAN VICENTE</w:t>
            </w:r>
          </w:p>
          <w:p w14:paraId="36D38DAB"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p w14:paraId="6CEEBCC6" w14:textId="77777777" w:rsidR="00C52A9F" w:rsidRPr="00C52A9F" w:rsidRDefault="00C52A9F" w:rsidP="00C52A9F">
            <w:pPr>
              <w:contextualSpacing/>
              <w:jc w:val="center"/>
              <w:rPr>
                <w:rFonts w:ascii="Century Gothic" w:hAnsi="Century Gothic" w:cs="Arial"/>
                <w:b/>
                <w:lang w:val="es-MX" w:eastAsia="es-MX"/>
              </w:rPr>
            </w:pPr>
          </w:p>
        </w:tc>
        <w:tc>
          <w:tcPr>
            <w:tcW w:w="2268" w:type="dxa"/>
            <w:tcBorders>
              <w:top w:val="single" w:sz="4" w:space="0" w:color="auto"/>
              <w:left w:val="single" w:sz="4" w:space="0" w:color="auto"/>
              <w:bottom w:val="single" w:sz="4" w:space="0" w:color="auto"/>
              <w:right w:val="single" w:sz="4" w:space="0" w:color="auto"/>
            </w:tcBorders>
          </w:tcPr>
          <w:p w14:paraId="1DCCE81A" w14:textId="77777777" w:rsidR="00C52A9F" w:rsidRPr="00C52A9F" w:rsidRDefault="00C52A9F" w:rsidP="00C52A9F">
            <w:pPr>
              <w:jc w:val="both"/>
              <w:rPr>
                <w:rFonts w:ascii="Century Gothic" w:hAnsi="Century Gothic" w:cs="Arial"/>
                <w:b/>
              </w:rPr>
            </w:pPr>
          </w:p>
        </w:tc>
        <w:tc>
          <w:tcPr>
            <w:tcW w:w="2268" w:type="dxa"/>
            <w:tcBorders>
              <w:top w:val="single" w:sz="4" w:space="0" w:color="auto"/>
              <w:left w:val="single" w:sz="4" w:space="0" w:color="auto"/>
              <w:bottom w:val="single" w:sz="4" w:space="0" w:color="auto"/>
              <w:right w:val="single" w:sz="4" w:space="0" w:color="auto"/>
            </w:tcBorders>
          </w:tcPr>
          <w:p w14:paraId="58F0DDC6" w14:textId="77777777" w:rsidR="00C52A9F" w:rsidRPr="00C52A9F" w:rsidRDefault="00C52A9F" w:rsidP="00C52A9F">
            <w:pPr>
              <w:jc w:val="both"/>
              <w:rPr>
                <w:rFonts w:ascii="Century Gothic" w:hAnsi="Century Gothic" w:cs="Arial"/>
                <w:b/>
              </w:rPr>
            </w:pPr>
          </w:p>
        </w:tc>
        <w:tc>
          <w:tcPr>
            <w:tcW w:w="1985" w:type="dxa"/>
            <w:tcBorders>
              <w:top w:val="single" w:sz="4" w:space="0" w:color="auto"/>
              <w:left w:val="single" w:sz="4" w:space="0" w:color="auto"/>
              <w:bottom w:val="single" w:sz="4" w:space="0" w:color="auto"/>
              <w:right w:val="single" w:sz="4" w:space="0" w:color="auto"/>
            </w:tcBorders>
          </w:tcPr>
          <w:p w14:paraId="2B78D4D7" w14:textId="77777777" w:rsidR="00C52A9F" w:rsidRPr="00C52A9F" w:rsidRDefault="00C52A9F" w:rsidP="00C52A9F">
            <w:pPr>
              <w:jc w:val="both"/>
              <w:rPr>
                <w:rFonts w:ascii="Century Gothic" w:hAnsi="Century Gothic" w:cs="Arial"/>
                <w:b/>
              </w:rPr>
            </w:pPr>
          </w:p>
        </w:tc>
      </w:tr>
    </w:tbl>
    <w:p w14:paraId="2A98D7B2" w14:textId="77777777" w:rsidR="00C52A9F" w:rsidRPr="00C52A9F" w:rsidRDefault="00C52A9F" w:rsidP="00C52A9F">
      <w:pPr>
        <w:spacing w:line="360" w:lineRule="auto"/>
        <w:contextualSpacing/>
        <w:jc w:val="both"/>
        <w:rPr>
          <w:rFonts w:ascii="Century Gothic" w:hAnsi="Century Gothic"/>
          <w:b/>
          <w:sz w:val="16"/>
          <w:szCs w:val="16"/>
          <w:lang w:val="es-MX" w:eastAsia="es-MX"/>
        </w:rPr>
      </w:pPr>
    </w:p>
    <w:p w14:paraId="44978DDF" w14:textId="5D2B48D4" w:rsidR="00C52A9F" w:rsidRPr="00C52A9F" w:rsidRDefault="00C52A9F" w:rsidP="00C52A9F">
      <w:pPr>
        <w:contextualSpacing/>
        <w:jc w:val="both"/>
        <w:rPr>
          <w:rFonts w:ascii="Calibri" w:hAnsi="Calibri"/>
          <w:sz w:val="22"/>
          <w:szCs w:val="22"/>
          <w:lang w:val="es-MX" w:eastAsia="es-MX"/>
        </w:rPr>
      </w:pPr>
      <w:r w:rsidRPr="00C52A9F">
        <w:rPr>
          <w:rFonts w:ascii="Century Gothic" w:eastAsia="Arial" w:hAnsi="Century Gothic" w:cs="Arial"/>
          <w:sz w:val="20"/>
          <w:szCs w:val="20"/>
          <w:lang w:val="es-MX" w:eastAsia="es-MX"/>
        </w:rPr>
        <w:t xml:space="preserve">LA PRESENTE HOJA DE FIRMAS CORRESPONDE AL DICTAMEN RECAÍDO EN EL ASUNTO </w:t>
      </w:r>
      <w:r w:rsidR="00B3020A">
        <w:rPr>
          <w:rFonts w:ascii="Century Gothic" w:eastAsia="Arial" w:hAnsi="Century Gothic" w:cs="Arial"/>
          <w:sz w:val="20"/>
          <w:szCs w:val="20"/>
          <w:lang w:val="es-MX" w:eastAsia="es-MX"/>
        </w:rPr>
        <w:t>385</w:t>
      </w:r>
      <w:r w:rsidRPr="00C52A9F">
        <w:rPr>
          <w:rFonts w:ascii="Century Gothic" w:eastAsia="Arial" w:hAnsi="Century Gothic" w:cs="Arial"/>
          <w:sz w:val="20"/>
          <w:szCs w:val="20"/>
          <w:lang w:val="es-MX" w:eastAsia="es-MX"/>
        </w:rPr>
        <w:t>, DE LA COMISIÓN DE JUSTICIA.</w:t>
      </w:r>
    </w:p>
    <w:p w14:paraId="052A856C" w14:textId="77777777" w:rsidR="00C52A9F" w:rsidRDefault="00C52A9F" w:rsidP="0014239A">
      <w:pPr>
        <w:spacing w:line="360" w:lineRule="auto"/>
        <w:jc w:val="both"/>
        <w:rPr>
          <w:rFonts w:ascii="Century Gothic" w:hAnsi="Century Gothic"/>
        </w:rPr>
      </w:pPr>
    </w:p>
    <w:sectPr w:rsidR="00C52A9F" w:rsidSect="007422ED">
      <w:headerReference w:type="default" r:id="rId15"/>
      <w:footerReference w:type="even" r:id="rId16"/>
      <w:footerReference w:type="default" r:id="rId17"/>
      <w:pgSz w:w="12240" w:h="15840" w:code="1"/>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E6866" w14:textId="77777777" w:rsidR="00287930" w:rsidRDefault="00287930" w:rsidP="00331CBA">
      <w:r>
        <w:separator/>
      </w:r>
    </w:p>
  </w:endnote>
  <w:endnote w:type="continuationSeparator" w:id="0">
    <w:p w14:paraId="38D33DB2" w14:textId="77777777" w:rsidR="00287930" w:rsidRDefault="00287930" w:rsidP="0033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F4095" w14:textId="77777777" w:rsidR="00287930" w:rsidRDefault="0028793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1D7889" w14:textId="77777777" w:rsidR="00287930" w:rsidRDefault="0028793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5007"/>
      <w:docPartObj>
        <w:docPartGallery w:val="Page Numbers (Bottom of Page)"/>
        <w:docPartUnique/>
      </w:docPartObj>
    </w:sdtPr>
    <w:sdtEndPr/>
    <w:sdtContent>
      <w:p w14:paraId="56F04F2D" w14:textId="77777777" w:rsidR="00287930" w:rsidRDefault="00287930">
        <w:pPr>
          <w:pStyle w:val="Piedepgina"/>
          <w:jc w:val="right"/>
        </w:pPr>
        <w:r>
          <w:rPr>
            <w:noProof/>
          </w:rPr>
          <w:fldChar w:fldCharType="begin"/>
        </w:r>
        <w:r>
          <w:rPr>
            <w:noProof/>
          </w:rPr>
          <w:instrText xml:space="preserve"> PAGE   \* MERGEFORMAT </w:instrText>
        </w:r>
        <w:r>
          <w:rPr>
            <w:noProof/>
          </w:rPr>
          <w:fldChar w:fldCharType="separate"/>
        </w:r>
        <w:r w:rsidR="00327709">
          <w:rPr>
            <w:noProof/>
          </w:rPr>
          <w:t>36</w:t>
        </w:r>
        <w:r>
          <w:rPr>
            <w:noProof/>
          </w:rPr>
          <w:fldChar w:fldCharType="end"/>
        </w:r>
      </w:p>
    </w:sdtContent>
  </w:sdt>
  <w:p w14:paraId="5C1A4E08" w14:textId="77777777" w:rsidR="00287930" w:rsidRPr="00FC48FC" w:rsidRDefault="00287930" w:rsidP="00356B4E">
    <w:pPr>
      <w:pStyle w:val="Piedepgina"/>
      <w:tabs>
        <w:tab w:val="center" w:pos="4986"/>
        <w:tab w:val="left" w:pos="7185"/>
      </w:tabs>
      <w:rPr>
        <w:lang w:val="en-US"/>
      </w:rPr>
    </w:pPr>
    <w:r>
      <w:rPr>
        <w:rFonts w:ascii="Arial" w:hAnsi="Arial" w:cs="Arial"/>
        <w:sz w:val="16"/>
        <w:szCs w:val="16"/>
        <w:lang w:val="en-US"/>
      </w:rPr>
      <w:t>A385 /ERS/GAOR/RMO/GTN</w:t>
    </w:r>
  </w:p>
  <w:p w14:paraId="78307D31" w14:textId="77777777" w:rsidR="00287930" w:rsidRPr="00FC48FC" w:rsidRDefault="00287930" w:rsidP="0091427A">
    <w:pPr>
      <w:pStyle w:val="Piedepgina"/>
      <w:tabs>
        <w:tab w:val="center" w:pos="4986"/>
        <w:tab w:val="left" w:pos="7185"/>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FD067" w14:textId="77777777" w:rsidR="00287930" w:rsidRDefault="00287930" w:rsidP="00331CBA">
      <w:r>
        <w:separator/>
      </w:r>
    </w:p>
  </w:footnote>
  <w:footnote w:type="continuationSeparator" w:id="0">
    <w:p w14:paraId="2360D840" w14:textId="77777777" w:rsidR="00287930" w:rsidRDefault="00287930" w:rsidP="00331CBA">
      <w:r>
        <w:continuationSeparator/>
      </w:r>
    </w:p>
  </w:footnote>
  <w:footnote w:id="1">
    <w:p w14:paraId="5FEED8DA" w14:textId="77777777" w:rsidR="00287930" w:rsidRPr="006306EA" w:rsidRDefault="00287930" w:rsidP="00311722">
      <w:pPr>
        <w:pStyle w:val="Textonotapie"/>
        <w:jc w:val="both"/>
        <w:rPr>
          <w:rFonts w:ascii="Century Gothic" w:hAnsi="Century Gothic" w:cs="Arial"/>
          <w:color w:val="000000"/>
          <w:sz w:val="16"/>
          <w:szCs w:val="16"/>
        </w:rPr>
      </w:pPr>
      <w:r w:rsidRPr="006306EA">
        <w:rPr>
          <w:rFonts w:ascii="Century Gothic" w:hAnsi="Century Gothic" w:cs="Arial"/>
          <w:color w:val="000000"/>
          <w:sz w:val="16"/>
          <w:szCs w:val="16"/>
        </w:rPr>
        <w:footnoteRef/>
      </w:r>
      <w:r w:rsidRPr="006306EA">
        <w:rPr>
          <w:rFonts w:ascii="Century Gothic" w:hAnsi="Century Gothic" w:cs="Arial"/>
          <w:color w:val="000000"/>
          <w:sz w:val="16"/>
          <w:szCs w:val="16"/>
        </w:rPr>
        <w:t xml:space="preserve"> Ley General de Acceso de las Mujeres a una Vida Libre de Violencia</w:t>
      </w:r>
    </w:p>
    <w:p w14:paraId="690208A5" w14:textId="77777777" w:rsidR="00287930" w:rsidRPr="006306EA" w:rsidRDefault="00287930" w:rsidP="00311722">
      <w:pPr>
        <w:pStyle w:val="Textonotapie"/>
        <w:jc w:val="both"/>
        <w:rPr>
          <w:rFonts w:ascii="Century Gothic" w:hAnsi="Century Gothic" w:cs="Arial"/>
          <w:color w:val="000000"/>
          <w:sz w:val="16"/>
          <w:szCs w:val="16"/>
        </w:rPr>
      </w:pPr>
      <w:r w:rsidRPr="006306EA">
        <w:rPr>
          <w:rFonts w:ascii="Century Gothic" w:hAnsi="Century Gothic" w:cs="Arial"/>
          <w:color w:val="000000"/>
          <w:sz w:val="16"/>
          <w:szCs w:val="16"/>
        </w:rPr>
        <w:t xml:space="preserve">ARTÍCULO 5.- Para los efectos de la presente ley se entenderá por: </w:t>
      </w:r>
    </w:p>
    <w:p w14:paraId="0E129FE6" w14:textId="77777777" w:rsidR="00287930" w:rsidRPr="006306EA" w:rsidRDefault="00287930" w:rsidP="00311722">
      <w:pPr>
        <w:pStyle w:val="Textonotapie"/>
        <w:jc w:val="both"/>
        <w:rPr>
          <w:rFonts w:ascii="Century Gothic" w:hAnsi="Century Gothic" w:cs="Arial"/>
          <w:color w:val="000000"/>
          <w:sz w:val="16"/>
          <w:szCs w:val="16"/>
        </w:rPr>
      </w:pPr>
      <w:r w:rsidRPr="006306EA">
        <w:rPr>
          <w:rFonts w:ascii="Century Gothic" w:hAnsi="Century Gothic" w:cs="Arial"/>
          <w:color w:val="000000"/>
          <w:sz w:val="16"/>
          <w:szCs w:val="16"/>
        </w:rPr>
        <w:t>IV. Violencia contra las Mujeres: Cualquier acción u omisión, basada en su género, que les cause daño o sufrimiento psicológico, físico, patrimonial, económico, sexual o la muerte tanto en el ámbito privado como en el público;</w:t>
      </w:r>
    </w:p>
    <w:p w14:paraId="7B8CFAFD" w14:textId="77777777" w:rsidR="00287930" w:rsidRPr="006306EA" w:rsidRDefault="00287930" w:rsidP="00311722">
      <w:pPr>
        <w:pStyle w:val="Textonotapie"/>
        <w:jc w:val="both"/>
        <w:rPr>
          <w:rFonts w:ascii="Century Gothic" w:hAnsi="Century Gothic" w:cs="Arial"/>
          <w:color w:val="000000"/>
          <w:sz w:val="16"/>
          <w:szCs w:val="16"/>
        </w:rPr>
      </w:pPr>
      <w:r w:rsidRPr="006306EA">
        <w:rPr>
          <w:rFonts w:ascii="Century Gothic" w:hAnsi="Century Gothic" w:cs="Arial"/>
          <w:color w:val="000000"/>
          <w:sz w:val="16"/>
          <w:szCs w:val="16"/>
        </w:rPr>
        <w:t xml:space="preserve">V. a XI. … </w:t>
      </w:r>
    </w:p>
    <w:p w14:paraId="6A85C434" w14:textId="77777777" w:rsidR="00287930" w:rsidRPr="006306EA" w:rsidRDefault="00287930" w:rsidP="00311722">
      <w:pPr>
        <w:pStyle w:val="Textonotapie"/>
        <w:jc w:val="both"/>
        <w:rPr>
          <w:rFonts w:ascii="Century Gothic" w:hAnsi="Century Gothic" w:cs="Arial"/>
          <w:color w:val="000000"/>
          <w:sz w:val="16"/>
          <w:szCs w:val="16"/>
        </w:rPr>
      </w:pPr>
      <w:r w:rsidRPr="006306EA">
        <w:rPr>
          <w:rFonts w:ascii="Century Gothic" w:hAnsi="Century Gothic" w:cs="Arial"/>
          <w:color w:val="000000"/>
          <w:sz w:val="16"/>
          <w:szCs w:val="16"/>
        </w:rPr>
        <w:t>Ley Estatal del Derecho de las Mujeres a una Vida Libre de Violencia.</w:t>
      </w:r>
    </w:p>
    <w:p w14:paraId="28C4E851" w14:textId="77777777" w:rsidR="00287930" w:rsidRPr="006306EA" w:rsidRDefault="00287930" w:rsidP="00311722">
      <w:pPr>
        <w:pStyle w:val="Textonotapie"/>
        <w:jc w:val="both"/>
        <w:rPr>
          <w:rFonts w:ascii="Century Gothic" w:hAnsi="Century Gothic" w:cs="Arial"/>
          <w:color w:val="000000"/>
          <w:sz w:val="16"/>
          <w:szCs w:val="16"/>
        </w:rPr>
      </w:pPr>
      <w:r w:rsidRPr="006306EA">
        <w:rPr>
          <w:rFonts w:ascii="Century Gothic" w:hAnsi="Century Gothic" w:cs="Arial"/>
          <w:color w:val="000000"/>
          <w:sz w:val="16"/>
          <w:szCs w:val="16"/>
        </w:rPr>
        <w:t>ARTÍCULO 4. Para los efectos de esta Ley se entiende por:</w:t>
      </w:r>
    </w:p>
    <w:p w14:paraId="251134B5" w14:textId="77777777" w:rsidR="00287930" w:rsidRPr="006306EA" w:rsidRDefault="00287930" w:rsidP="00311722">
      <w:pPr>
        <w:pStyle w:val="Textonotapie"/>
        <w:jc w:val="both"/>
        <w:rPr>
          <w:rFonts w:ascii="Century Gothic" w:hAnsi="Century Gothic" w:cs="Arial"/>
          <w:color w:val="000000"/>
          <w:sz w:val="16"/>
          <w:szCs w:val="16"/>
        </w:rPr>
      </w:pPr>
      <w:r w:rsidRPr="006306EA">
        <w:rPr>
          <w:rFonts w:ascii="Century Gothic" w:hAnsi="Century Gothic" w:cs="Arial"/>
          <w:color w:val="000000"/>
          <w:sz w:val="16"/>
          <w:szCs w:val="16"/>
        </w:rPr>
        <w:t>I. a V. …</w:t>
      </w:r>
    </w:p>
    <w:p w14:paraId="201FCFF5" w14:textId="77777777" w:rsidR="00287930" w:rsidRPr="006306EA" w:rsidRDefault="00287930" w:rsidP="00311722">
      <w:pPr>
        <w:pStyle w:val="Textonotapie"/>
        <w:jc w:val="both"/>
        <w:rPr>
          <w:rFonts w:ascii="Century Gothic" w:hAnsi="Century Gothic" w:cs="Arial"/>
          <w:color w:val="000000"/>
          <w:sz w:val="16"/>
          <w:szCs w:val="16"/>
        </w:rPr>
      </w:pPr>
      <w:r w:rsidRPr="006306EA">
        <w:rPr>
          <w:rFonts w:ascii="Century Gothic" w:hAnsi="Century Gothic" w:cs="Arial"/>
          <w:color w:val="000000"/>
          <w:sz w:val="16"/>
          <w:szCs w:val="16"/>
        </w:rPr>
        <w:t xml:space="preserve">VI. Violencia contra las mujeres: Cualquier acción u omisión, </w:t>
      </w:r>
      <w:proofErr w:type="gramStart"/>
      <w:r w:rsidRPr="006306EA">
        <w:rPr>
          <w:rFonts w:ascii="Century Gothic" w:hAnsi="Century Gothic" w:cs="Arial"/>
          <w:color w:val="000000"/>
          <w:sz w:val="16"/>
          <w:szCs w:val="16"/>
        </w:rPr>
        <w:t>que</w:t>
      </w:r>
      <w:proofErr w:type="gramEnd"/>
      <w:r w:rsidRPr="006306EA">
        <w:rPr>
          <w:rFonts w:ascii="Century Gothic" w:hAnsi="Century Gothic" w:cs="Arial"/>
          <w:color w:val="000000"/>
          <w:sz w:val="16"/>
          <w:szCs w:val="16"/>
        </w:rPr>
        <w:t xml:space="preserve"> en razón de género, tenga como fin o resultado un daño o sufrimiento sicológico, físico, patrimonial, económico, sexual o la muerte, tanto en el ámbito privado como en el público.</w:t>
      </w:r>
    </w:p>
    <w:p w14:paraId="7F79B96D" w14:textId="77777777" w:rsidR="00287930" w:rsidRPr="00D52E8F" w:rsidRDefault="00287930" w:rsidP="00311722">
      <w:pPr>
        <w:pStyle w:val="Textonotapie"/>
        <w:jc w:val="both"/>
      </w:pPr>
      <w:r w:rsidRPr="006306EA">
        <w:rPr>
          <w:rFonts w:ascii="Century Gothic" w:hAnsi="Century Gothic" w:cs="Arial"/>
          <w:color w:val="000000"/>
          <w:sz w:val="16"/>
          <w:szCs w:val="16"/>
        </w:rPr>
        <w:t>VII. a XV. …</w:t>
      </w:r>
    </w:p>
  </w:footnote>
  <w:footnote w:id="2">
    <w:p w14:paraId="7BCB791D" w14:textId="77777777" w:rsidR="00287930" w:rsidRDefault="00287930" w:rsidP="00311722">
      <w:pPr>
        <w:pStyle w:val="Textonotapie"/>
        <w:jc w:val="both"/>
      </w:pPr>
      <w:r>
        <w:rPr>
          <w:rStyle w:val="Refdenotaalpie"/>
        </w:rPr>
        <w:footnoteRef/>
      </w:r>
      <w:r>
        <w:t xml:space="preserve"> </w:t>
      </w:r>
      <w:r w:rsidRPr="00C672BF">
        <w:rPr>
          <w:rFonts w:ascii="Century Gothic" w:hAnsi="Century Gothic" w:cs="Arial"/>
          <w:color w:val="000000"/>
          <w:sz w:val="16"/>
          <w:szCs w:val="16"/>
        </w:rPr>
        <w:t>Encuesta Nacional sobre la Dinámica de las Relaciones en los Hogares (ENDIREH) 2016, INEGI. Recuperado el 22 de octubre de 2021, disponible en https://www.inegi.org.mx/contenidos/programas/endireh/2016/doc/endireh2016_presentacion_ejecutiva.pdf</w:t>
      </w:r>
    </w:p>
  </w:footnote>
  <w:footnote w:id="3">
    <w:p w14:paraId="47F24ABD" w14:textId="77777777" w:rsidR="00287930" w:rsidRDefault="00287930" w:rsidP="00311722">
      <w:pPr>
        <w:pStyle w:val="Textonotapie"/>
        <w:jc w:val="both"/>
      </w:pPr>
      <w:r>
        <w:rPr>
          <w:rStyle w:val="Refdenotaalpie"/>
        </w:rPr>
        <w:footnoteRef/>
      </w:r>
      <w:r>
        <w:t xml:space="preserve"> </w:t>
      </w:r>
      <w:r w:rsidRPr="00F83CDF">
        <w:rPr>
          <w:rFonts w:ascii="Century Gothic" w:hAnsi="Century Gothic"/>
          <w:sz w:val="16"/>
          <w:szCs w:val="16"/>
        </w:rPr>
        <w:t>Información sobre violencia contra las mujeres, corte al 31 de agosto de 2021, Secretariado del Sistema Nacional de Seguridad Pública. Recuperado el 19 de octubre, disponible en https://drive.google.com/file/d/1HjUBP3k94dcdtFiFuR3hY0BuJ3SL-93o/view</w:t>
      </w:r>
    </w:p>
  </w:footnote>
  <w:footnote w:id="4">
    <w:p w14:paraId="352A2295" w14:textId="77777777" w:rsidR="00287930" w:rsidRDefault="00287930" w:rsidP="00311722">
      <w:pPr>
        <w:pStyle w:val="Textonotapie"/>
        <w:jc w:val="both"/>
      </w:pPr>
      <w:r>
        <w:rPr>
          <w:rStyle w:val="Refdenotaalpie"/>
        </w:rPr>
        <w:footnoteRef/>
      </w:r>
      <w:r>
        <w:t xml:space="preserve"> </w:t>
      </w:r>
      <w:r w:rsidRPr="00C56737">
        <w:rPr>
          <w:rFonts w:ascii="Century Gothic" w:hAnsi="Century Gothic"/>
          <w:sz w:val="16"/>
        </w:rPr>
        <w:t>Art. 4. Ley General de Víctimas</w:t>
      </w:r>
    </w:p>
  </w:footnote>
  <w:footnote w:id="5">
    <w:p w14:paraId="2C7D7384" w14:textId="77777777" w:rsidR="00287930" w:rsidRPr="00D539B9" w:rsidRDefault="00287930" w:rsidP="00311722">
      <w:pPr>
        <w:pStyle w:val="Textonotapie"/>
        <w:jc w:val="both"/>
        <w:rPr>
          <w:lang w:val="es-MX"/>
        </w:rPr>
      </w:pPr>
      <w:r>
        <w:rPr>
          <w:rStyle w:val="Refdenotaalpie"/>
        </w:rPr>
        <w:footnoteRef/>
      </w:r>
      <w:r>
        <w:t xml:space="preserve"> </w:t>
      </w:r>
      <w:r w:rsidRPr="00D539B9">
        <w:rPr>
          <w:i/>
          <w:lang w:val="es-MX"/>
        </w:rPr>
        <w:t>Vid</w:t>
      </w:r>
      <w:r>
        <w:rPr>
          <w:lang w:val="es-MX"/>
        </w:rPr>
        <w:t xml:space="preserve">. La investigación periodística puede ser consultada en el siguiente enlace: </w:t>
      </w:r>
      <w:proofErr w:type="gramStart"/>
      <w:r w:rsidRPr="00D539B9">
        <w:rPr>
          <w:lang w:val="es-MX"/>
        </w:rPr>
        <w:t>https://www.eluniversal.com.mx/nacion/cronologia-de-un-feminicidio-lo-que-sabemos-del-caso-de-abril-perez-sagaon</w:t>
      </w:r>
      <w:r>
        <w:rPr>
          <w:lang w:val="es-MX"/>
        </w:rPr>
        <w:t xml:space="preserve">  13</w:t>
      </w:r>
      <w:proofErr w:type="gramEnd"/>
      <w:r>
        <w:rPr>
          <w:lang w:val="es-MX"/>
        </w:rPr>
        <w:t>/01/2022</w:t>
      </w:r>
    </w:p>
  </w:footnote>
  <w:footnote w:id="6">
    <w:p w14:paraId="63C54A12" w14:textId="77777777" w:rsidR="00287930" w:rsidRPr="005D3CDB" w:rsidRDefault="00287930" w:rsidP="00311722">
      <w:pPr>
        <w:pStyle w:val="Textonotapie"/>
        <w:jc w:val="both"/>
        <w:rPr>
          <w:lang w:val="es-MX"/>
        </w:rPr>
      </w:pPr>
      <w:r>
        <w:rPr>
          <w:rStyle w:val="Refdenotaalpie"/>
        </w:rPr>
        <w:footnoteRef/>
      </w:r>
      <w:r>
        <w:t xml:space="preserve"> </w:t>
      </w:r>
      <w:r>
        <w:rPr>
          <w:lang w:val="es-MX"/>
        </w:rPr>
        <w:t xml:space="preserve">Vid. La investigación periodística puede ser consultada en el siguiente enlace: </w:t>
      </w:r>
      <w:r w:rsidRPr="005D3CDB">
        <w:rPr>
          <w:lang w:val="es-MX"/>
        </w:rPr>
        <w:t>https://www.bbc.com/mundo/noticias-america-latina-51469528</w:t>
      </w:r>
      <w:r>
        <w:rPr>
          <w:lang w:val="es-MX"/>
        </w:rPr>
        <w:t xml:space="preserve">   13/01/2022</w:t>
      </w:r>
    </w:p>
  </w:footnote>
  <w:footnote w:id="7">
    <w:p w14:paraId="22B77A72" w14:textId="77777777" w:rsidR="00287930" w:rsidRPr="00282246" w:rsidRDefault="00287930" w:rsidP="00311722">
      <w:pPr>
        <w:pStyle w:val="Textonotapie"/>
        <w:jc w:val="both"/>
        <w:rPr>
          <w:lang w:val="es-MX"/>
        </w:rPr>
      </w:pPr>
      <w:r>
        <w:rPr>
          <w:rStyle w:val="Refdenotaalpie"/>
        </w:rPr>
        <w:footnoteRef/>
      </w:r>
      <w:r>
        <w:t xml:space="preserve"> Jurisprudencia. Suprema Corte de Justicia de la Nación. Pleno. </w:t>
      </w:r>
      <w:r>
        <w:rPr>
          <w:lang w:val="es-MX"/>
        </w:rPr>
        <w:t>Materia</w:t>
      </w:r>
      <w:r w:rsidRPr="00282246">
        <w:rPr>
          <w:lang w:val="es-MX"/>
        </w:rPr>
        <w:t>: Constitucional</w:t>
      </w:r>
      <w:r>
        <w:rPr>
          <w:lang w:val="es-MX"/>
        </w:rPr>
        <w:t xml:space="preserve">. </w:t>
      </w:r>
      <w:r w:rsidRPr="00282246">
        <w:rPr>
          <w:lang w:val="es-MX"/>
        </w:rPr>
        <w:t>Registro digital: 194260</w:t>
      </w:r>
      <w:r>
        <w:rPr>
          <w:lang w:val="es-MX"/>
        </w:rPr>
        <w:t>. N</w:t>
      </w:r>
      <w:r w:rsidRPr="00282246">
        <w:rPr>
          <w:lang w:val="es-MX"/>
        </w:rPr>
        <w:t>ovena Época</w:t>
      </w:r>
      <w:r>
        <w:rPr>
          <w:lang w:val="es-MX"/>
        </w:rPr>
        <w:t xml:space="preserve">. </w:t>
      </w:r>
      <w:r w:rsidRPr="00282246">
        <w:rPr>
          <w:lang w:val="es-MX"/>
        </w:rPr>
        <w:t>Tesis: P./J. 23/99</w:t>
      </w:r>
      <w:r>
        <w:rPr>
          <w:lang w:val="es-MX"/>
        </w:rPr>
        <w:t xml:space="preserve">. </w:t>
      </w:r>
      <w:proofErr w:type="gramStart"/>
      <w:r>
        <w:rPr>
          <w:lang w:val="es-MX"/>
        </w:rPr>
        <w:t>Abril</w:t>
      </w:r>
      <w:proofErr w:type="gramEnd"/>
      <w:r>
        <w:rPr>
          <w:lang w:val="es-MX"/>
        </w:rPr>
        <w:t xml:space="preserve"> de 1999. </w:t>
      </w:r>
      <w:r w:rsidRPr="00282246">
        <w:rPr>
          <w:lang w:val="es-MX"/>
        </w:rPr>
        <w:t>ACCIÓN DE INCONSTITUCIONALIDAD. PARA DETERMINAR SU PROCEDENCIA EN CONTRA DE LA LEY O DECRETO, NO BASTA CON ATENDER A LA DESIGNACIÓN QUE SE LE HAYA DADO AL MOMENTO DE SU CREACIÓN, SINO A SU CONTENIDO MATERIAL QUE LO DEFINA COMO NORMA DE CARÁCTER GENERAL.</w:t>
      </w:r>
    </w:p>
    <w:p w14:paraId="73E11C16" w14:textId="77777777" w:rsidR="00287930" w:rsidRPr="00282246" w:rsidRDefault="00287930" w:rsidP="00311722">
      <w:pPr>
        <w:pStyle w:val="Textonotapie"/>
        <w:jc w:val="both"/>
        <w:rPr>
          <w:lang w:val="es-MX"/>
        </w:rPr>
      </w:pPr>
    </w:p>
    <w:p w14:paraId="1DFF6C6F" w14:textId="77777777" w:rsidR="00287930" w:rsidRPr="00282246" w:rsidRDefault="00287930" w:rsidP="00311722">
      <w:pPr>
        <w:pStyle w:val="Textonotapie"/>
        <w:jc w:val="both"/>
        <w:rPr>
          <w:lang w:val="es-MX"/>
        </w:rPr>
      </w:pPr>
    </w:p>
  </w:footnote>
  <w:footnote w:id="8">
    <w:p w14:paraId="6AEF9C4A" w14:textId="77777777" w:rsidR="00287930" w:rsidRPr="00D2304A" w:rsidRDefault="00287930" w:rsidP="00311722">
      <w:pPr>
        <w:pStyle w:val="Textonotapie"/>
        <w:jc w:val="both"/>
        <w:rPr>
          <w:lang w:val="es-MX"/>
        </w:rPr>
      </w:pPr>
      <w:r>
        <w:rPr>
          <w:rStyle w:val="Refdenotaalpie"/>
        </w:rPr>
        <w:footnoteRef/>
      </w:r>
      <w:r>
        <w:t xml:space="preserve"> </w:t>
      </w:r>
      <w:r w:rsidRPr="00D2304A">
        <w:rPr>
          <w:i/>
          <w:lang w:val="es-MX"/>
        </w:rPr>
        <w:t>Vid</w:t>
      </w:r>
      <w:r>
        <w:rPr>
          <w:lang w:val="es-MX"/>
        </w:rPr>
        <w:t xml:space="preserve">. Último párrafo. Artículo 137. Código Nacional de Procedimientos Penales. </w:t>
      </w:r>
      <w:r w:rsidRPr="00D2304A">
        <w:t>Vigente al 13/01/2022</w:t>
      </w:r>
    </w:p>
  </w:footnote>
  <w:footnote w:id="9">
    <w:p w14:paraId="054BA50B" w14:textId="77777777" w:rsidR="00287930" w:rsidRPr="007118B2" w:rsidRDefault="00287930" w:rsidP="00311722">
      <w:pPr>
        <w:pStyle w:val="Textonotapie"/>
        <w:jc w:val="both"/>
        <w:rPr>
          <w:lang w:val="es-MX"/>
        </w:rPr>
      </w:pPr>
      <w:r>
        <w:rPr>
          <w:rStyle w:val="Refdenotaalpie"/>
        </w:rPr>
        <w:footnoteRef/>
      </w:r>
      <w:r w:rsidRPr="008C19D6">
        <w:rPr>
          <w:i/>
        </w:rPr>
        <w:t xml:space="preserve"> Vid.</w:t>
      </w:r>
      <w:r>
        <w:t xml:space="preserve"> Artículo 109, fracción XIX, del Código Nacional de Procedimientos Penales. Vigente al 13/01/2022</w:t>
      </w:r>
    </w:p>
  </w:footnote>
  <w:footnote w:id="10">
    <w:p w14:paraId="420748AC" w14:textId="77777777" w:rsidR="00287930" w:rsidRPr="008C19D6" w:rsidRDefault="00287930" w:rsidP="00311722">
      <w:pPr>
        <w:pStyle w:val="Textonotapie"/>
        <w:jc w:val="both"/>
        <w:rPr>
          <w:lang w:val="es-MX"/>
        </w:rPr>
      </w:pPr>
      <w:r>
        <w:rPr>
          <w:rStyle w:val="Refdenotaalpie"/>
        </w:rPr>
        <w:footnoteRef/>
      </w:r>
      <w:r>
        <w:t xml:space="preserve"> </w:t>
      </w:r>
      <w:r w:rsidRPr="00E83F16">
        <w:rPr>
          <w:i/>
        </w:rPr>
        <w:t>Vid</w:t>
      </w:r>
      <w:r>
        <w:t xml:space="preserve">. Artículo 20, apartado C, fracción I, de la Constitución Política de los Estados Unidos Mexicanos. Artículo 109, fracción I, del Código Nacional de Procedimientos Penales. </w:t>
      </w:r>
      <w:r w:rsidRPr="008C19D6">
        <w:t>Vigente</w:t>
      </w:r>
      <w:r>
        <w:t>s</w:t>
      </w:r>
      <w:r w:rsidRPr="008C19D6">
        <w:t xml:space="preserve"> al 13/01/2022</w:t>
      </w:r>
    </w:p>
  </w:footnote>
  <w:footnote w:id="11">
    <w:p w14:paraId="2C7BD8BC" w14:textId="77777777" w:rsidR="00287930" w:rsidRPr="008C19D6" w:rsidRDefault="00287930" w:rsidP="00311722">
      <w:pPr>
        <w:pStyle w:val="Textonotapie"/>
        <w:jc w:val="both"/>
        <w:rPr>
          <w:lang w:val="es-MX"/>
        </w:rPr>
      </w:pPr>
      <w:r>
        <w:rPr>
          <w:rStyle w:val="Refdenotaalpie"/>
        </w:rPr>
        <w:footnoteRef/>
      </w:r>
      <w:r>
        <w:t xml:space="preserve"> </w:t>
      </w:r>
      <w:r w:rsidRPr="00E83F16">
        <w:rPr>
          <w:i/>
          <w:lang w:val="es-MX"/>
        </w:rPr>
        <w:t>Vid</w:t>
      </w:r>
      <w:r>
        <w:rPr>
          <w:lang w:val="es-MX"/>
        </w:rPr>
        <w:t xml:space="preserve">. Artículo 137 del Código Nacional de Procedimientos Penales. </w:t>
      </w:r>
      <w:r w:rsidRPr="008C19D6">
        <w:t>Vigente al 13/01/2022</w:t>
      </w:r>
    </w:p>
    <w:p w14:paraId="26366D81" w14:textId="77777777" w:rsidR="00287930" w:rsidRPr="008C19D6" w:rsidRDefault="00287930" w:rsidP="00311722">
      <w:pPr>
        <w:pStyle w:val="Textonotapie"/>
        <w:jc w:val="both"/>
        <w:rPr>
          <w:lang w:val="es-MX"/>
        </w:rPr>
      </w:pPr>
    </w:p>
  </w:footnote>
  <w:footnote w:id="12">
    <w:p w14:paraId="47A808EC" w14:textId="0DA85E6C" w:rsidR="00741892" w:rsidRDefault="00741892" w:rsidP="00311722">
      <w:pPr>
        <w:pStyle w:val="Textonotapie"/>
        <w:jc w:val="both"/>
      </w:pPr>
      <w:r>
        <w:rPr>
          <w:rStyle w:val="Refdenotaalpie"/>
        </w:rPr>
        <w:footnoteRef/>
      </w:r>
      <w:r>
        <w:t xml:space="preserve"> </w:t>
      </w:r>
      <w:r w:rsidR="00CC2483" w:rsidRPr="00CC2483">
        <w:rPr>
          <w:i/>
          <w:iCs/>
        </w:rPr>
        <w:t>Cfr</w:t>
      </w:r>
      <w:r w:rsidR="00CC2483">
        <w:t xml:space="preserve">. Instituto Nacional de Estadística y Geografía. Programas de información. Encuestas. </w:t>
      </w:r>
      <w:r w:rsidR="00CC2483" w:rsidRPr="00CC2483">
        <w:t>Encuesta Nacional sobre la Dinámica de las Relaciones en los Hogares (ENDIREH) 2016</w:t>
      </w:r>
      <w:r w:rsidR="00CC2483">
        <w:t xml:space="preserve"> </w:t>
      </w:r>
      <w:r w:rsidR="00CC2483" w:rsidRPr="00CC2483">
        <w:t>https://www.inegi.org.mx/programas/endireh/2016/</w:t>
      </w:r>
      <w:r w:rsidR="00CC2483">
        <w:t xml:space="preserve"> 20/01/22</w:t>
      </w:r>
    </w:p>
  </w:footnote>
  <w:footnote w:id="13">
    <w:p w14:paraId="5A49D32C" w14:textId="19117041" w:rsidR="00CC2483" w:rsidRPr="00CC2483" w:rsidRDefault="00CC2483" w:rsidP="00311722">
      <w:pPr>
        <w:pStyle w:val="Textonotapie"/>
        <w:jc w:val="both"/>
        <w:rPr>
          <w:lang w:val="es-MX"/>
        </w:rPr>
      </w:pPr>
      <w:r>
        <w:rPr>
          <w:rStyle w:val="Refdenotaalpie"/>
        </w:rPr>
        <w:footnoteRef/>
      </w:r>
      <w:r>
        <w:t xml:space="preserve"> “</w:t>
      </w:r>
      <w:r w:rsidRPr="00CC2483">
        <w:rPr>
          <w:lang w:val="es-MX"/>
        </w:rPr>
        <w:t>Emocional</w:t>
      </w:r>
      <w:r>
        <w:rPr>
          <w:lang w:val="es-MX"/>
        </w:rPr>
        <w:t>, f</w:t>
      </w:r>
      <w:r w:rsidRPr="00CC2483">
        <w:rPr>
          <w:lang w:val="es-MX"/>
        </w:rPr>
        <w:t>ísica</w:t>
      </w:r>
      <w:r>
        <w:rPr>
          <w:lang w:val="es-MX"/>
        </w:rPr>
        <w:t>, e</w:t>
      </w:r>
      <w:r w:rsidRPr="00CC2483">
        <w:rPr>
          <w:lang w:val="es-MX"/>
        </w:rPr>
        <w:t>conómica</w:t>
      </w:r>
      <w:r>
        <w:rPr>
          <w:lang w:val="es-MX"/>
        </w:rPr>
        <w:t>, p</w:t>
      </w:r>
      <w:r w:rsidRPr="00CC2483">
        <w:rPr>
          <w:lang w:val="es-MX"/>
        </w:rPr>
        <w:t>atrimoni</w:t>
      </w:r>
      <w:r>
        <w:rPr>
          <w:lang w:val="es-MX"/>
        </w:rPr>
        <w:t>al o s</w:t>
      </w:r>
      <w:r w:rsidRPr="00CC2483">
        <w:rPr>
          <w:lang w:val="es-MX"/>
        </w:rPr>
        <w:t>exual</w:t>
      </w:r>
      <w:r>
        <w:rPr>
          <w:lang w:val="es-MX"/>
        </w:rPr>
        <w:t>.”.</w:t>
      </w:r>
    </w:p>
  </w:footnote>
  <w:footnote w:id="14">
    <w:p w14:paraId="6199B7E7" w14:textId="3AF35F51" w:rsidR="00CC2483" w:rsidRPr="0084460D" w:rsidRDefault="00CC2483" w:rsidP="00311722">
      <w:pPr>
        <w:pStyle w:val="Textonotapie"/>
        <w:jc w:val="both"/>
        <w:rPr>
          <w:lang w:val="es-MX"/>
        </w:rPr>
      </w:pPr>
      <w:r>
        <w:rPr>
          <w:rStyle w:val="Refdenotaalpie"/>
        </w:rPr>
        <w:footnoteRef/>
      </w:r>
      <w:r>
        <w:t xml:space="preserve"> “E</w:t>
      </w:r>
      <w:proofErr w:type="spellStart"/>
      <w:r w:rsidRPr="00CC2483">
        <w:rPr>
          <w:lang w:val="es-MX"/>
        </w:rPr>
        <w:t>scolar</w:t>
      </w:r>
      <w:proofErr w:type="spellEnd"/>
      <w:r>
        <w:rPr>
          <w:lang w:val="es-MX"/>
        </w:rPr>
        <w:t>, l</w:t>
      </w:r>
      <w:r w:rsidRPr="00CC2483">
        <w:rPr>
          <w:lang w:val="es-MX"/>
        </w:rPr>
        <w:t>aboral</w:t>
      </w:r>
      <w:r>
        <w:rPr>
          <w:lang w:val="es-MX"/>
        </w:rPr>
        <w:t>, c</w:t>
      </w:r>
      <w:r w:rsidRPr="00CC2483">
        <w:rPr>
          <w:lang w:val="es-MX"/>
        </w:rPr>
        <w:t>omunitario</w:t>
      </w:r>
      <w:r>
        <w:rPr>
          <w:lang w:val="es-MX"/>
        </w:rPr>
        <w:t>, f</w:t>
      </w:r>
      <w:r w:rsidRPr="00CC2483">
        <w:rPr>
          <w:lang w:val="es-MX"/>
        </w:rPr>
        <w:t>amiliar</w:t>
      </w:r>
      <w:r>
        <w:rPr>
          <w:lang w:val="es-MX"/>
        </w:rPr>
        <w:t xml:space="preserve"> o p</w:t>
      </w:r>
      <w:r w:rsidRPr="00CC2483">
        <w:rPr>
          <w:lang w:val="es-MX"/>
        </w:rPr>
        <w:t>areja</w:t>
      </w:r>
      <w:r>
        <w:rPr>
          <w:lang w:val="es-MX"/>
        </w:rPr>
        <w:t>”.</w:t>
      </w:r>
    </w:p>
  </w:footnote>
  <w:footnote w:id="15">
    <w:p w14:paraId="007F8798" w14:textId="66A0AD98" w:rsidR="0084460D" w:rsidRDefault="0084460D" w:rsidP="00311722">
      <w:pPr>
        <w:pStyle w:val="Textonotapie"/>
        <w:jc w:val="both"/>
      </w:pPr>
      <w:r>
        <w:rPr>
          <w:rStyle w:val="Refdenotaalpie"/>
        </w:rPr>
        <w:footnoteRef/>
      </w:r>
      <w:r>
        <w:t xml:space="preserve"> </w:t>
      </w:r>
      <w:r w:rsidRPr="0084460D">
        <w:rPr>
          <w:i/>
          <w:iCs/>
        </w:rPr>
        <w:t>Cfr.</w:t>
      </w:r>
      <w:r>
        <w:t xml:space="preserve"> </w:t>
      </w:r>
      <w:r w:rsidRPr="0084460D">
        <w:t>Ley General de Acceso de las Mujeres a una Vida Libre de Violencia</w:t>
      </w:r>
      <w:r>
        <w:t>. A</w:t>
      </w:r>
      <w:r w:rsidRPr="0084460D">
        <w:t>rtículo 49</w:t>
      </w:r>
      <w:r>
        <w:t>.</w:t>
      </w:r>
      <w:r w:rsidRPr="0084460D">
        <w:t xml:space="preserve"> </w:t>
      </w:r>
      <w:r>
        <w:t>F</w:t>
      </w:r>
      <w:r w:rsidRPr="0084460D">
        <w:t>racción XX</w:t>
      </w:r>
      <w:r>
        <w:t xml:space="preserve"> “</w:t>
      </w:r>
      <w:r w:rsidRPr="0084460D">
        <w:rPr>
          <w:i/>
          <w:iCs/>
        </w:rPr>
        <w:t>Impulsar reformas, en el ámbito de su competencia, para el cumplimiento de los objetivos de la presente ley, así como para establecer como agravantes los delitos contra la vida y la integridad cuando estos sean cometidos contra mujeres, por su condición de género</w:t>
      </w:r>
      <w:r>
        <w:t>;”</w:t>
      </w:r>
    </w:p>
  </w:footnote>
  <w:footnote w:id="16">
    <w:p w14:paraId="37E08937" w14:textId="77777777" w:rsidR="00C726AE" w:rsidRPr="00C726AE" w:rsidRDefault="00C726AE" w:rsidP="00311722">
      <w:pPr>
        <w:pStyle w:val="Textonotapie"/>
        <w:jc w:val="both"/>
        <w:rPr>
          <w:i/>
          <w:iCs/>
        </w:rPr>
      </w:pPr>
      <w:r>
        <w:rPr>
          <w:rStyle w:val="Refdenotaalpie"/>
        </w:rPr>
        <w:footnoteRef/>
      </w:r>
      <w:r>
        <w:t xml:space="preserve"> Fracciones </w:t>
      </w:r>
      <w:r w:rsidRPr="00C726AE">
        <w:t>V, segundo párrafo y VI, apartado C, artículo 20</w:t>
      </w:r>
      <w:r>
        <w:t xml:space="preserve">; </w:t>
      </w:r>
      <w:r w:rsidRPr="00C726AE">
        <w:t>Constitución Política de los Estados Unidos Mexicanos</w:t>
      </w:r>
      <w:r>
        <w:t>. “</w:t>
      </w:r>
      <w:r w:rsidRPr="00C726AE">
        <w:rPr>
          <w:i/>
          <w:iCs/>
        </w:rPr>
        <w:t xml:space="preserve">V. Al resguardo de su identidad y otros datos personales en los siguientes casos: cuando sean menores de edad; cuando se trate de delitos de violación, trata de personas, secuestro o delincuencia organizada; y cuando a juicio del juzgador sea necesario para su protección, salvaguardando en todo caso los derechos de la defensa. </w:t>
      </w:r>
    </w:p>
    <w:p w14:paraId="3BFCCC90" w14:textId="77777777" w:rsidR="00C726AE" w:rsidRPr="00C726AE" w:rsidRDefault="00C726AE" w:rsidP="00311722">
      <w:pPr>
        <w:pStyle w:val="Textonotapie"/>
        <w:jc w:val="both"/>
        <w:rPr>
          <w:i/>
          <w:iCs/>
        </w:rPr>
      </w:pPr>
    </w:p>
    <w:p w14:paraId="6C407206" w14:textId="77777777" w:rsidR="00C726AE" w:rsidRPr="00C726AE" w:rsidRDefault="00C726AE" w:rsidP="00311722">
      <w:pPr>
        <w:pStyle w:val="Textonotapie"/>
        <w:jc w:val="both"/>
        <w:rPr>
          <w:i/>
          <w:iCs/>
        </w:rPr>
      </w:pPr>
      <w:r w:rsidRPr="00C726AE">
        <w:rPr>
          <w:i/>
          <w:iCs/>
        </w:rPr>
        <w:t xml:space="preserve">El Ministerio Público deberá garantizar la protección de víctimas, ofendidos, testigos y en general </w:t>
      </w:r>
      <w:proofErr w:type="gramStart"/>
      <w:r w:rsidRPr="00C726AE">
        <w:rPr>
          <w:i/>
          <w:iCs/>
        </w:rPr>
        <w:t>todas los sujetos</w:t>
      </w:r>
      <w:proofErr w:type="gramEnd"/>
      <w:r w:rsidRPr="00C726AE">
        <w:rPr>
          <w:i/>
          <w:iCs/>
        </w:rPr>
        <w:t xml:space="preserve"> que intervengan en el proceso. Los jueces deberán vigilar el buen cumplimiento de esta obligación; </w:t>
      </w:r>
    </w:p>
    <w:p w14:paraId="7F63357B" w14:textId="77777777" w:rsidR="00C726AE" w:rsidRPr="00C726AE" w:rsidRDefault="00C726AE" w:rsidP="00311722">
      <w:pPr>
        <w:pStyle w:val="Textonotapie"/>
        <w:jc w:val="both"/>
        <w:rPr>
          <w:i/>
          <w:iCs/>
        </w:rPr>
      </w:pPr>
    </w:p>
    <w:p w14:paraId="1C079FB4" w14:textId="022EF504" w:rsidR="00C726AE" w:rsidRPr="00C726AE" w:rsidRDefault="00C726AE" w:rsidP="00311722">
      <w:pPr>
        <w:pStyle w:val="Textonotapie"/>
        <w:jc w:val="both"/>
        <w:rPr>
          <w:i/>
          <w:iCs/>
        </w:rPr>
      </w:pPr>
      <w:r w:rsidRPr="00C726AE">
        <w:rPr>
          <w:i/>
          <w:iCs/>
        </w:rPr>
        <w:t>VI. Solicitar las medidas cautelares y providencias necesarias para la protección y restitución de sus derechos, y”</w:t>
      </w:r>
    </w:p>
    <w:p w14:paraId="74CE708B" w14:textId="6B868525" w:rsidR="00C726AE" w:rsidRDefault="00C726AE" w:rsidP="00311722">
      <w:pPr>
        <w:pStyle w:val="Textonotapie"/>
        <w:jc w:val="both"/>
      </w:pPr>
    </w:p>
  </w:footnote>
  <w:footnote w:id="17">
    <w:p w14:paraId="087040E5" w14:textId="15C4E219" w:rsidR="00392891" w:rsidRPr="00392891" w:rsidRDefault="00392891" w:rsidP="00311722">
      <w:pPr>
        <w:pStyle w:val="Textonotapie"/>
        <w:jc w:val="both"/>
      </w:pPr>
      <w:r>
        <w:rPr>
          <w:rStyle w:val="Refdenotaalpie"/>
        </w:rPr>
        <w:footnoteRef/>
      </w:r>
      <w:r>
        <w:t xml:space="preserve"> Código Nacional de Procedimientos Penales. Artículo 109. “</w:t>
      </w:r>
      <w:r w:rsidRPr="00392891">
        <w:rPr>
          <w:i/>
          <w:iCs/>
        </w:rPr>
        <w:t>XVI. A que se le provea protección cuando exista riesgo para su vida o integridad personal. XIX. A solicitar medidas de protección, providencias precautorias y medidas cautelares;</w:t>
      </w:r>
      <w:r>
        <w:t>”</w:t>
      </w:r>
    </w:p>
    <w:p w14:paraId="309D2F23" w14:textId="55765347" w:rsidR="00392891" w:rsidRDefault="00392891" w:rsidP="00311722">
      <w:pPr>
        <w:pStyle w:val="Textonotapie"/>
        <w:jc w:val="both"/>
      </w:pPr>
    </w:p>
  </w:footnote>
  <w:footnote w:id="18">
    <w:p w14:paraId="7E1A7E8D" w14:textId="5C7FCED6" w:rsidR="009235AB" w:rsidRDefault="009235AB" w:rsidP="00311722">
      <w:pPr>
        <w:pStyle w:val="Textonotapie"/>
        <w:jc w:val="both"/>
      </w:pPr>
      <w:r>
        <w:rPr>
          <w:rStyle w:val="Refdenotaalpie"/>
        </w:rPr>
        <w:footnoteRef/>
      </w:r>
      <w:r>
        <w:t xml:space="preserve"> </w:t>
      </w:r>
      <w:r w:rsidR="00887F60" w:rsidRPr="00887F60">
        <w:rPr>
          <w:i/>
          <w:iCs/>
        </w:rPr>
        <w:t>Vid.</w:t>
      </w:r>
      <w:r w:rsidR="00887F60">
        <w:t xml:space="preserve"> Resolución de la acción de inconstitucionalidad 48/2016, promovida por el Procuraduría General de la República. Considerando 34 y 35.</w:t>
      </w:r>
    </w:p>
  </w:footnote>
  <w:footnote w:id="19">
    <w:p w14:paraId="5AD1C058" w14:textId="4BFB4C0E" w:rsidR="00030F31" w:rsidRDefault="00030F31" w:rsidP="00311722">
      <w:pPr>
        <w:pStyle w:val="Textonotapie"/>
        <w:jc w:val="both"/>
      </w:pPr>
      <w:r>
        <w:rPr>
          <w:rStyle w:val="Refdenotaalpie"/>
        </w:rPr>
        <w:footnoteRef/>
      </w:r>
      <w:r>
        <w:t xml:space="preserve"> </w:t>
      </w:r>
      <w:r w:rsidRPr="00030F31">
        <w:rPr>
          <w:i/>
          <w:iCs/>
        </w:rPr>
        <w:t>Vid</w:t>
      </w:r>
      <w:r>
        <w:t xml:space="preserve">. Suprema Corte de Justicia de la Nación. Primera Sala. </w:t>
      </w:r>
      <w:r w:rsidRPr="00030F31">
        <w:rPr>
          <w:lang w:val="es-MX"/>
        </w:rPr>
        <w:t>Registro digital: 2010595</w:t>
      </w:r>
      <w:r>
        <w:rPr>
          <w:lang w:val="es-MX"/>
        </w:rPr>
        <w:t xml:space="preserve">. </w:t>
      </w:r>
      <w:r w:rsidRPr="00030F31">
        <w:rPr>
          <w:lang w:val="es-MX"/>
        </w:rPr>
        <w:t>Materias: Constitucional</w:t>
      </w:r>
      <w:r w:rsidR="005011CC">
        <w:rPr>
          <w:lang w:val="es-MX"/>
        </w:rPr>
        <w:t xml:space="preserve">. Jurisprudencia. </w:t>
      </w:r>
      <w:r w:rsidRPr="00030F31">
        <w:rPr>
          <w:lang w:val="es-MX"/>
        </w:rPr>
        <w:t xml:space="preserve">Tesis: 1a./J. 87/2015 (10a.) </w:t>
      </w:r>
      <w:proofErr w:type="gramStart"/>
      <w:r w:rsidRPr="00030F31">
        <w:rPr>
          <w:lang w:val="es-MX"/>
        </w:rPr>
        <w:t>Diciembre</w:t>
      </w:r>
      <w:proofErr w:type="gramEnd"/>
      <w:r w:rsidRPr="00030F31">
        <w:rPr>
          <w:lang w:val="es-MX"/>
        </w:rPr>
        <w:t xml:space="preserve"> de 2015</w:t>
      </w:r>
      <w:r w:rsidR="005011CC">
        <w:rPr>
          <w:lang w:val="es-MX"/>
        </w:rPr>
        <w:t xml:space="preserve">. </w:t>
      </w:r>
      <w:r w:rsidRPr="00030F31">
        <w:rPr>
          <w:lang w:val="es-MX"/>
        </w:rPr>
        <w:t>CONSTITUCIONALIDAD DE DISTINCIONES LEGISLATIVAS QUE SE APOYAN EN UNA CATEGORÍA SOSPECHOSA. FORMA EN QUE DEBE APLICARSE EL TEST DE ESCRUTINIO ESTRICTO.</w:t>
      </w:r>
    </w:p>
  </w:footnote>
  <w:footnote w:id="20">
    <w:p w14:paraId="36CDDE44" w14:textId="33713521" w:rsidR="002025F6" w:rsidRPr="002025F6" w:rsidRDefault="002025F6" w:rsidP="00311722">
      <w:pPr>
        <w:pStyle w:val="Textonotapie"/>
        <w:jc w:val="both"/>
        <w:rPr>
          <w:b/>
          <w:bCs/>
          <w:lang w:val="es-MX"/>
        </w:rPr>
      </w:pPr>
      <w:r>
        <w:rPr>
          <w:rStyle w:val="Refdenotaalpie"/>
        </w:rPr>
        <w:footnoteRef/>
      </w:r>
      <w:r>
        <w:t xml:space="preserve"> </w:t>
      </w:r>
      <w:r w:rsidR="00B81E5E" w:rsidRPr="00B81E5E">
        <w:rPr>
          <w:i/>
          <w:iCs/>
        </w:rPr>
        <w:t xml:space="preserve">Vid. </w:t>
      </w:r>
      <w:r>
        <w:t>Suprema Corte de Justicia de la Nación. Primera Sala.</w:t>
      </w:r>
      <w:r w:rsidRPr="002025F6">
        <w:t xml:space="preserve"> </w:t>
      </w:r>
      <w:r w:rsidRPr="00887F60">
        <w:rPr>
          <w:lang w:val="es-MX"/>
        </w:rPr>
        <w:t>Registro digital: 2011278</w:t>
      </w:r>
      <w:r w:rsidRPr="002025F6">
        <w:rPr>
          <w:lang w:val="es-MX"/>
        </w:rPr>
        <w:t>. Materias: Constitucional, Penal Tesis: 1a./J. 16/2016 (10a.) Tipo: Jurisprudencia. BENEFICIOS PENALES PARA LOS SENTENCIADOS. EL HECHO DE QUE SE CONDICIONE SU OTORGAMIENTO, NO ES CONTRARIO AL ARTÍCULO 18, PÁRRAFO SEGUNDO, DE LA CONSTITUCIÓN FEDERAL.</w:t>
      </w:r>
    </w:p>
  </w:footnote>
  <w:footnote w:id="21">
    <w:p w14:paraId="3A250833" w14:textId="4E6C75CE" w:rsidR="000012DE" w:rsidRDefault="000012DE" w:rsidP="00311722">
      <w:pPr>
        <w:pStyle w:val="Textonotapie"/>
        <w:jc w:val="both"/>
      </w:pPr>
      <w:r>
        <w:rPr>
          <w:rStyle w:val="Refdenotaalpie"/>
        </w:rPr>
        <w:footnoteRef/>
      </w:r>
      <w:r>
        <w:t xml:space="preserve"> </w:t>
      </w:r>
      <w:r w:rsidRPr="000012DE">
        <w:rPr>
          <w:i/>
          <w:iCs/>
        </w:rPr>
        <w:t>Vid.</w:t>
      </w:r>
      <w:r>
        <w:t xml:space="preserve"> Suprema Corte de Justicia de la Nación. Primera Sala. Registro digital: 2009084. Materias: Constitucional.  18, </w:t>
      </w:r>
      <w:proofErr w:type="gramStart"/>
      <w:r>
        <w:t>Mayo</w:t>
      </w:r>
      <w:proofErr w:type="gramEnd"/>
      <w:r>
        <w:t xml:space="preserve"> de 2015. Tipo: Aislada DERECHO DE LA MUJER A UNA VIDA LIBRE DE DISCRIMINACIÓN Y VIOLENCIA. LAS AUTORIDADES SE ENCUENTRAN OBLIGADAS A ADOPTAR MEDIDAS INTEGRALES CON PERSPECTIVA DE GÉNERO PARA CUMPLIR CON LA DEBIDA DILIGENCIA EN SU ACTUACIÓN.</w:t>
      </w:r>
    </w:p>
    <w:p w14:paraId="551C44AE" w14:textId="31F02E83" w:rsidR="000012DE" w:rsidRDefault="000012DE" w:rsidP="00311722">
      <w:pPr>
        <w:pStyle w:val="Textonotapie"/>
        <w:jc w:val="both"/>
      </w:pPr>
    </w:p>
  </w:footnote>
  <w:footnote w:id="22">
    <w:p w14:paraId="212AF681" w14:textId="631881FA" w:rsidR="009235AB" w:rsidRDefault="009235AB" w:rsidP="00311722">
      <w:pPr>
        <w:pStyle w:val="Textonotapie"/>
        <w:jc w:val="both"/>
      </w:pPr>
      <w:r>
        <w:rPr>
          <w:rStyle w:val="Refdenotaalpie"/>
        </w:rPr>
        <w:footnoteRef/>
      </w:r>
      <w:r>
        <w:t xml:space="preserve"> Ídem</w:t>
      </w:r>
    </w:p>
  </w:footnote>
  <w:footnote w:id="23">
    <w:p w14:paraId="4DB48CD2" w14:textId="77777777" w:rsidR="00A00639" w:rsidRPr="00A00639" w:rsidRDefault="00FB687E" w:rsidP="00311722">
      <w:pPr>
        <w:pStyle w:val="Textonotapie"/>
        <w:jc w:val="both"/>
        <w:rPr>
          <w:b/>
          <w:bCs/>
          <w:lang w:val="es-MX"/>
        </w:rPr>
      </w:pPr>
      <w:r>
        <w:rPr>
          <w:rStyle w:val="Refdenotaalpie"/>
        </w:rPr>
        <w:footnoteRef/>
      </w:r>
      <w:r>
        <w:t xml:space="preserve"> Suprema Corte de Justicia de la Nación. Primera Sala. Jurisprudencia. </w:t>
      </w:r>
      <w:r w:rsidRPr="00FB687E">
        <w:rPr>
          <w:bCs/>
          <w:lang w:val="es-MX"/>
        </w:rPr>
        <w:t>Registro digital: 2023853</w:t>
      </w:r>
      <w:r>
        <w:rPr>
          <w:bCs/>
          <w:lang w:val="es-MX"/>
        </w:rPr>
        <w:t xml:space="preserve">. </w:t>
      </w:r>
      <w:r w:rsidRPr="00FB687E">
        <w:rPr>
          <w:bCs/>
          <w:lang w:val="es-MX"/>
        </w:rPr>
        <w:t>Undécima Época</w:t>
      </w:r>
      <w:r w:rsidR="00A00639">
        <w:rPr>
          <w:bCs/>
          <w:lang w:val="es-MX"/>
        </w:rPr>
        <w:t xml:space="preserve"> </w:t>
      </w:r>
      <w:r w:rsidRPr="00FB687E">
        <w:rPr>
          <w:bCs/>
          <w:lang w:val="es-MX"/>
        </w:rPr>
        <w:t>Materi</w:t>
      </w:r>
      <w:r w:rsidR="00A00639">
        <w:rPr>
          <w:bCs/>
          <w:lang w:val="es-MX"/>
        </w:rPr>
        <w:t>a</w:t>
      </w:r>
      <w:r w:rsidRPr="00FB687E">
        <w:rPr>
          <w:bCs/>
          <w:lang w:val="es-MX"/>
        </w:rPr>
        <w:t>: Penal</w:t>
      </w:r>
      <w:r w:rsidR="00A00639">
        <w:rPr>
          <w:bCs/>
          <w:lang w:val="es-MX"/>
        </w:rPr>
        <w:t xml:space="preserve">. </w:t>
      </w:r>
      <w:r w:rsidRPr="00FB687E">
        <w:rPr>
          <w:bCs/>
          <w:lang w:val="es-MX"/>
        </w:rPr>
        <w:t>Tesis: 1a./J. 47/2021 (11a.)</w:t>
      </w:r>
      <w:r w:rsidR="00A00639">
        <w:rPr>
          <w:bCs/>
          <w:lang w:val="es-MX"/>
        </w:rPr>
        <w:t>.</w:t>
      </w:r>
      <w:r w:rsidRPr="00FB687E">
        <w:rPr>
          <w:bCs/>
          <w:lang w:val="es-MX"/>
        </w:rPr>
        <w:t xml:space="preserve"> Noviembre de 2021</w:t>
      </w:r>
      <w:r w:rsidR="00A00639">
        <w:rPr>
          <w:bCs/>
          <w:lang w:val="es-MX"/>
        </w:rPr>
        <w:t xml:space="preserve">. </w:t>
      </w:r>
      <w:r w:rsidR="00A00639" w:rsidRPr="00A00639">
        <w:rPr>
          <w:lang w:val="es-MX"/>
        </w:rPr>
        <w:t>DELITOS DE COMISIÓN POR OMISIÓN. SU REPROCHE PENAL NO DERIVA DE LA REALIZACIÓN DE UNA ACCIÓN QUE PONGA EN MARCHA UNA CADENA CAUSAL DIRIGIDA A LA PRODUCCIÓN DE LOS RESULTADOS MATERIALES PROHIBIDOS POR LA LEY, SINO DE LA INOBSERVANCIA DE UN DEBER ESPECÍFICO DE ACTUAR, A FIN DE IMPEDIR TALES CONSECUENCIAS.</w:t>
      </w:r>
    </w:p>
    <w:p w14:paraId="47AE5012" w14:textId="228B370C" w:rsidR="00FB687E" w:rsidRPr="00FB687E" w:rsidRDefault="00FB687E" w:rsidP="00311722">
      <w:pPr>
        <w:pStyle w:val="Textonotapie"/>
        <w:jc w:val="both"/>
        <w:rPr>
          <w:bCs/>
        </w:rPr>
      </w:pPr>
    </w:p>
  </w:footnote>
  <w:footnote w:id="24">
    <w:p w14:paraId="2716A3DD" w14:textId="37BC3C7A" w:rsidR="00B141D5" w:rsidRDefault="00B141D5" w:rsidP="00311722">
      <w:pPr>
        <w:pStyle w:val="Textonotapie"/>
        <w:jc w:val="both"/>
      </w:pPr>
      <w:r>
        <w:rPr>
          <w:rStyle w:val="Refdenotaalpie"/>
        </w:rPr>
        <w:footnoteRef/>
      </w:r>
      <w:r>
        <w:t xml:space="preserve"> Suprema Corte de Justicia de la Nación. Primera Sala. </w:t>
      </w:r>
      <w:r w:rsidRPr="00B141D5">
        <w:t>Registro digital: 2020480</w:t>
      </w:r>
      <w:r>
        <w:t xml:space="preserve">. </w:t>
      </w:r>
      <w:r w:rsidRPr="00B141D5">
        <w:t>Décima Época</w:t>
      </w:r>
      <w:r>
        <w:t xml:space="preserve">. </w:t>
      </w:r>
      <w:r w:rsidRPr="00B141D5">
        <w:t>Materia: Penal</w:t>
      </w:r>
      <w:r>
        <w:t xml:space="preserve">. </w:t>
      </w:r>
      <w:r w:rsidRPr="00B141D5">
        <w:t xml:space="preserve">Tesis: 1a. LXXIV/2019 (10a.) </w:t>
      </w:r>
      <w:proofErr w:type="gramStart"/>
      <w:r w:rsidRPr="00B141D5">
        <w:t>Agosto</w:t>
      </w:r>
      <w:proofErr w:type="gramEnd"/>
      <w:r w:rsidRPr="00B141D5">
        <w:t xml:space="preserve"> de 2019</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A9324" w14:textId="77777777" w:rsidR="00287930" w:rsidRPr="00A739FE" w:rsidRDefault="00287930" w:rsidP="00A739FE">
    <w:pPr>
      <w:pStyle w:val="Encabezado"/>
      <w:jc w:val="right"/>
      <w:rPr>
        <w:rFonts w:ascii="Century Gothic" w:eastAsia="Calibri" w:hAnsi="Century Gothic" w:cs="Arial"/>
        <w:b/>
        <w:bCs/>
        <w:sz w:val="18"/>
        <w:szCs w:val="18"/>
        <w:lang w:val="es-MX" w:eastAsia="en-US"/>
      </w:rPr>
    </w:pPr>
    <w:r w:rsidRPr="00A739FE">
      <w:rPr>
        <w:rFonts w:ascii="Century Gothic" w:eastAsia="Calibri" w:hAnsi="Century Gothic" w:cs="Arial"/>
        <w:b/>
        <w:bCs/>
        <w:sz w:val="18"/>
        <w:szCs w:val="18"/>
        <w:lang w:val="es-MX" w:eastAsia="en-US"/>
      </w:rPr>
      <w:t>"2022, Año del Centenario de la llegada de la Comunidad Menonita a Chihuahua”</w:t>
    </w:r>
  </w:p>
  <w:p w14:paraId="55BBAFCF" w14:textId="77777777" w:rsidR="00287930" w:rsidRPr="00450450" w:rsidRDefault="00287930" w:rsidP="007C6780">
    <w:pPr>
      <w:pStyle w:val="Encabezado"/>
      <w:jc w:val="center"/>
      <w:rPr>
        <w:rFonts w:ascii="Arial" w:hAnsi="Arial" w:cs="Arial"/>
        <w:b/>
        <w:sz w:val="20"/>
        <w:szCs w:val="20"/>
      </w:rPr>
    </w:pPr>
  </w:p>
  <w:p w14:paraId="1C5468F9" w14:textId="77777777" w:rsidR="00287930" w:rsidRPr="0091427A" w:rsidRDefault="00287930" w:rsidP="00FC48FC">
    <w:pPr>
      <w:pStyle w:val="Encabezado"/>
      <w:jc w:val="right"/>
      <w:rPr>
        <w:rFonts w:ascii="Century Gothic" w:hAnsi="Century Gothic"/>
        <w:b/>
      </w:rPr>
    </w:pPr>
    <w:r w:rsidRPr="0091427A">
      <w:rPr>
        <w:rFonts w:ascii="Century Gothic" w:hAnsi="Century Gothic"/>
        <w:b/>
      </w:rPr>
      <w:t xml:space="preserve">Comisión de </w:t>
    </w:r>
    <w:r>
      <w:rPr>
        <w:rFonts w:ascii="Century Gothic" w:hAnsi="Century Gothic"/>
        <w:b/>
      </w:rPr>
      <w:t>Justicia</w:t>
    </w:r>
    <w:r w:rsidRPr="0091427A">
      <w:rPr>
        <w:rFonts w:ascii="Century Gothic" w:hAnsi="Century Gothic"/>
        <w:b/>
      </w:rPr>
      <w:t>.</w:t>
    </w:r>
  </w:p>
  <w:p w14:paraId="6D4BEAF3" w14:textId="77777777" w:rsidR="00287930" w:rsidRPr="0091427A" w:rsidRDefault="00287930" w:rsidP="007C6780">
    <w:pPr>
      <w:pStyle w:val="Encabezado"/>
      <w:jc w:val="right"/>
      <w:rPr>
        <w:rFonts w:ascii="Century Gothic" w:hAnsi="Century Gothic"/>
        <w:b/>
      </w:rPr>
    </w:pPr>
    <w:r w:rsidRPr="0091427A">
      <w:rPr>
        <w:rFonts w:ascii="Century Gothic" w:hAnsi="Century Gothic"/>
        <w:b/>
      </w:rPr>
      <w:t>LXVI</w:t>
    </w:r>
    <w:r>
      <w:rPr>
        <w:rFonts w:ascii="Century Gothic" w:hAnsi="Century Gothic"/>
        <w:b/>
      </w:rPr>
      <w:t>I</w:t>
    </w:r>
    <w:r w:rsidRPr="0091427A">
      <w:rPr>
        <w:rFonts w:ascii="Century Gothic" w:hAnsi="Century Gothic"/>
        <w:b/>
      </w:rPr>
      <w:t xml:space="preserve"> LEGISLATURA</w:t>
    </w:r>
  </w:p>
  <w:p w14:paraId="14816BF5" w14:textId="77777777" w:rsidR="00287930" w:rsidRDefault="00287930" w:rsidP="007C6780">
    <w:pPr>
      <w:pStyle w:val="Encabezado"/>
      <w:jc w:val="right"/>
      <w:rPr>
        <w:rFonts w:ascii="Century Gothic" w:hAnsi="Century Gothic"/>
        <w:b/>
      </w:rPr>
    </w:pPr>
  </w:p>
  <w:p w14:paraId="44175D43" w14:textId="5F637F0C" w:rsidR="00287930" w:rsidRDefault="00287930" w:rsidP="00621915">
    <w:pPr>
      <w:pStyle w:val="Encabezado"/>
      <w:jc w:val="right"/>
      <w:rPr>
        <w:rFonts w:ascii="Century Gothic" w:hAnsi="Century Gothic"/>
        <w:b/>
      </w:rPr>
    </w:pPr>
    <w:r>
      <w:rPr>
        <w:rFonts w:ascii="Century Gothic" w:hAnsi="Century Gothic"/>
        <w:b/>
      </w:rPr>
      <w:t>DCJ/001/202</w:t>
    </w:r>
    <w:r w:rsidR="001A2644">
      <w:rPr>
        <w:rFonts w:ascii="Century Gothic" w:hAnsi="Century Gothic"/>
        <w: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4567"/>
    <w:multiLevelType w:val="hybridMultilevel"/>
    <w:tmpl w:val="13F276F8"/>
    <w:lvl w:ilvl="0" w:tplc="B9AA65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B11155"/>
    <w:multiLevelType w:val="hybridMultilevel"/>
    <w:tmpl w:val="D844252E"/>
    <w:lvl w:ilvl="0" w:tplc="D0F4ACE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002320"/>
    <w:multiLevelType w:val="hybridMultilevel"/>
    <w:tmpl w:val="A26CA7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B8449E"/>
    <w:multiLevelType w:val="multilevel"/>
    <w:tmpl w:val="5D4C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5938C9"/>
    <w:multiLevelType w:val="hybridMultilevel"/>
    <w:tmpl w:val="D0087E9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392BDB"/>
    <w:multiLevelType w:val="multilevel"/>
    <w:tmpl w:val="35C6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8D2421"/>
    <w:multiLevelType w:val="multilevel"/>
    <w:tmpl w:val="E1809B40"/>
    <w:styleLink w:val="Estilo1"/>
    <w:lvl w:ilvl="0">
      <w:start w:val="1"/>
      <w:numFmt w:val="lowerLetter"/>
      <w:lvlText w:val="%1."/>
      <w:lvlJc w:val="left"/>
      <w:pPr>
        <w:ind w:left="1815" w:hanging="360"/>
      </w:pPr>
    </w:lvl>
    <w:lvl w:ilvl="1">
      <w:start w:val="1"/>
      <w:numFmt w:val="lowerLetter"/>
      <w:lvlText w:val="%2."/>
      <w:lvlJc w:val="left"/>
      <w:pPr>
        <w:ind w:left="2535" w:hanging="360"/>
      </w:pPr>
    </w:lvl>
    <w:lvl w:ilvl="2">
      <w:start w:val="1"/>
      <w:numFmt w:val="lowerRoman"/>
      <w:lvlText w:val="%3."/>
      <w:lvlJc w:val="right"/>
      <w:pPr>
        <w:ind w:left="3255" w:hanging="180"/>
      </w:pPr>
    </w:lvl>
    <w:lvl w:ilvl="3">
      <w:start w:val="1"/>
      <w:numFmt w:val="decimal"/>
      <w:lvlText w:val="%4."/>
      <w:lvlJc w:val="left"/>
      <w:pPr>
        <w:ind w:left="3975" w:hanging="360"/>
      </w:pPr>
    </w:lvl>
    <w:lvl w:ilvl="4">
      <w:start w:val="1"/>
      <w:numFmt w:val="lowerLetter"/>
      <w:lvlText w:val="%5."/>
      <w:lvlJc w:val="left"/>
      <w:pPr>
        <w:ind w:left="4695" w:hanging="360"/>
      </w:pPr>
    </w:lvl>
    <w:lvl w:ilvl="5">
      <w:start w:val="1"/>
      <w:numFmt w:val="lowerRoman"/>
      <w:lvlText w:val="%6."/>
      <w:lvlJc w:val="right"/>
      <w:pPr>
        <w:ind w:left="5415" w:hanging="180"/>
      </w:pPr>
    </w:lvl>
    <w:lvl w:ilvl="6">
      <w:start w:val="1"/>
      <w:numFmt w:val="decimal"/>
      <w:lvlText w:val="%7."/>
      <w:lvlJc w:val="left"/>
      <w:pPr>
        <w:ind w:left="6135" w:hanging="360"/>
      </w:pPr>
    </w:lvl>
    <w:lvl w:ilvl="7">
      <w:start w:val="1"/>
      <w:numFmt w:val="lowerLetter"/>
      <w:lvlText w:val="%8."/>
      <w:lvlJc w:val="left"/>
      <w:pPr>
        <w:ind w:left="6855" w:hanging="360"/>
      </w:pPr>
    </w:lvl>
    <w:lvl w:ilvl="8">
      <w:start w:val="1"/>
      <w:numFmt w:val="lowerRoman"/>
      <w:lvlText w:val="%9."/>
      <w:lvlJc w:val="right"/>
      <w:pPr>
        <w:ind w:left="7575" w:hanging="180"/>
      </w:pPr>
    </w:lvl>
  </w:abstractNum>
  <w:abstractNum w:abstractNumId="7" w15:restartNumberingAfterBreak="0">
    <w:nsid w:val="424E65DA"/>
    <w:multiLevelType w:val="hybridMultilevel"/>
    <w:tmpl w:val="A7C0F7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206240"/>
    <w:multiLevelType w:val="hybridMultilevel"/>
    <w:tmpl w:val="230E35D8"/>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D044507"/>
    <w:multiLevelType w:val="hybridMultilevel"/>
    <w:tmpl w:val="06BEE580"/>
    <w:lvl w:ilvl="0" w:tplc="12AC94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DFB56BE"/>
    <w:multiLevelType w:val="hybridMultilevel"/>
    <w:tmpl w:val="9BD2534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E5D1023"/>
    <w:multiLevelType w:val="hybridMultilevel"/>
    <w:tmpl w:val="A9A807A4"/>
    <w:lvl w:ilvl="0" w:tplc="B7CA4D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7FC7506"/>
    <w:multiLevelType w:val="hybridMultilevel"/>
    <w:tmpl w:val="B750FC3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8A30DBB"/>
    <w:multiLevelType w:val="multilevel"/>
    <w:tmpl w:val="39889B0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4" w15:restartNumberingAfterBreak="0">
    <w:nsid w:val="6EB90B87"/>
    <w:multiLevelType w:val="hybridMultilevel"/>
    <w:tmpl w:val="415CE3CE"/>
    <w:lvl w:ilvl="0" w:tplc="1A881CC6">
      <w:start w:val="1"/>
      <w:numFmt w:val="upperRoman"/>
      <w:lvlText w:val="%1."/>
      <w:lvlJc w:val="left"/>
      <w:pPr>
        <w:ind w:left="720" w:hanging="720"/>
      </w:pPr>
      <w:rPr>
        <w:rFonts w:hint="default"/>
        <w:b/>
        <w:i w:val="0"/>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737633D8"/>
    <w:multiLevelType w:val="hybridMultilevel"/>
    <w:tmpl w:val="5FCA5EA6"/>
    <w:lvl w:ilvl="0" w:tplc="5290AF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732120D"/>
    <w:multiLevelType w:val="hybridMultilevel"/>
    <w:tmpl w:val="AFCA683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87A39A0"/>
    <w:multiLevelType w:val="hybridMultilevel"/>
    <w:tmpl w:val="5E10E048"/>
    <w:lvl w:ilvl="0" w:tplc="0492BB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A526B67"/>
    <w:multiLevelType w:val="hybridMultilevel"/>
    <w:tmpl w:val="5484CB5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C337C68"/>
    <w:multiLevelType w:val="multilevel"/>
    <w:tmpl w:val="E1809B40"/>
    <w:numStyleLink w:val="Estilo1"/>
  </w:abstractNum>
  <w:abstractNum w:abstractNumId="20" w15:restartNumberingAfterBreak="0">
    <w:nsid w:val="7D6B4C82"/>
    <w:multiLevelType w:val="hybridMultilevel"/>
    <w:tmpl w:val="0BE830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D981692"/>
    <w:multiLevelType w:val="hybridMultilevel"/>
    <w:tmpl w:val="47D06094"/>
    <w:lvl w:ilvl="0" w:tplc="4D08B80A">
      <w:start w:val="1"/>
      <w:numFmt w:val="upperRoman"/>
      <w:lvlText w:val="%1."/>
      <w:lvlJc w:val="right"/>
      <w:pPr>
        <w:ind w:left="720" w:hanging="360"/>
      </w:pPr>
      <w:rPr>
        <w:sz w:val="28"/>
        <w:szCs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7"/>
  </w:num>
  <w:num w:numId="2">
    <w:abstractNumId w:val="20"/>
  </w:num>
  <w:num w:numId="3">
    <w:abstractNumId w:val="5"/>
  </w:num>
  <w:num w:numId="4">
    <w:abstractNumId w:val="9"/>
  </w:num>
  <w:num w:numId="5">
    <w:abstractNumId w:val="2"/>
  </w:num>
  <w:num w:numId="6">
    <w:abstractNumId w:val="19"/>
  </w:num>
  <w:num w:numId="7">
    <w:abstractNumId w:val="6"/>
  </w:num>
  <w:num w:numId="8">
    <w:abstractNumId w:val="14"/>
  </w:num>
  <w:num w:numId="9">
    <w:abstractNumId w:val="8"/>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8"/>
  </w:num>
  <w:num w:numId="13">
    <w:abstractNumId w:val="1"/>
  </w:num>
  <w:num w:numId="14">
    <w:abstractNumId w:val="13"/>
  </w:num>
  <w:num w:numId="15">
    <w:abstractNumId w:val="3"/>
  </w:num>
  <w:num w:numId="16">
    <w:abstractNumId w:val="0"/>
  </w:num>
  <w:num w:numId="17">
    <w:abstractNumId w:val="10"/>
  </w:num>
  <w:num w:numId="18">
    <w:abstractNumId w:val="12"/>
  </w:num>
  <w:num w:numId="19">
    <w:abstractNumId w:val="4"/>
  </w:num>
  <w:num w:numId="20">
    <w:abstractNumId w:val="16"/>
  </w:num>
  <w:num w:numId="21">
    <w:abstractNumId w:val="11"/>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CBA"/>
    <w:rsid w:val="000012DE"/>
    <w:rsid w:val="000133EF"/>
    <w:rsid w:val="00014A86"/>
    <w:rsid w:val="00022EC4"/>
    <w:rsid w:val="00030F31"/>
    <w:rsid w:val="00031568"/>
    <w:rsid w:val="00036145"/>
    <w:rsid w:val="00042BE2"/>
    <w:rsid w:val="00043CA6"/>
    <w:rsid w:val="00051AB5"/>
    <w:rsid w:val="00051D9C"/>
    <w:rsid w:val="0005404A"/>
    <w:rsid w:val="000556C9"/>
    <w:rsid w:val="00057FD5"/>
    <w:rsid w:val="00060A1D"/>
    <w:rsid w:val="00064D71"/>
    <w:rsid w:val="00066693"/>
    <w:rsid w:val="000677BC"/>
    <w:rsid w:val="000701D0"/>
    <w:rsid w:val="000743C2"/>
    <w:rsid w:val="00084A53"/>
    <w:rsid w:val="00084B09"/>
    <w:rsid w:val="00085026"/>
    <w:rsid w:val="00085129"/>
    <w:rsid w:val="00087799"/>
    <w:rsid w:val="000909A0"/>
    <w:rsid w:val="00090D0B"/>
    <w:rsid w:val="000917C9"/>
    <w:rsid w:val="0009428B"/>
    <w:rsid w:val="0009442B"/>
    <w:rsid w:val="000A227B"/>
    <w:rsid w:val="000A63C9"/>
    <w:rsid w:val="000A7BA7"/>
    <w:rsid w:val="000B0550"/>
    <w:rsid w:val="000C06B6"/>
    <w:rsid w:val="000C2791"/>
    <w:rsid w:val="000C2DAC"/>
    <w:rsid w:val="000D022B"/>
    <w:rsid w:val="000D50DC"/>
    <w:rsid w:val="000E399D"/>
    <w:rsid w:val="000E40B2"/>
    <w:rsid w:val="000E607A"/>
    <w:rsid w:val="000F6A38"/>
    <w:rsid w:val="000F76C9"/>
    <w:rsid w:val="00100C26"/>
    <w:rsid w:val="00101D85"/>
    <w:rsid w:val="00110C51"/>
    <w:rsid w:val="0011350B"/>
    <w:rsid w:val="00120612"/>
    <w:rsid w:val="00122AFC"/>
    <w:rsid w:val="001316AF"/>
    <w:rsid w:val="00134515"/>
    <w:rsid w:val="0013500E"/>
    <w:rsid w:val="001362B8"/>
    <w:rsid w:val="0014239A"/>
    <w:rsid w:val="00144D96"/>
    <w:rsid w:val="00145872"/>
    <w:rsid w:val="00151ACF"/>
    <w:rsid w:val="00152BDB"/>
    <w:rsid w:val="00152C67"/>
    <w:rsid w:val="001535B1"/>
    <w:rsid w:val="0015696D"/>
    <w:rsid w:val="001625AC"/>
    <w:rsid w:val="00163B54"/>
    <w:rsid w:val="00163B7D"/>
    <w:rsid w:val="00165C38"/>
    <w:rsid w:val="001666E8"/>
    <w:rsid w:val="00166858"/>
    <w:rsid w:val="001716FD"/>
    <w:rsid w:val="0018294E"/>
    <w:rsid w:val="00190E37"/>
    <w:rsid w:val="001933D0"/>
    <w:rsid w:val="001938C1"/>
    <w:rsid w:val="00195117"/>
    <w:rsid w:val="001955AE"/>
    <w:rsid w:val="001955ED"/>
    <w:rsid w:val="00197FC0"/>
    <w:rsid w:val="001A2644"/>
    <w:rsid w:val="001A5B6C"/>
    <w:rsid w:val="001A7A08"/>
    <w:rsid w:val="001B1AAA"/>
    <w:rsid w:val="001B2385"/>
    <w:rsid w:val="001B720D"/>
    <w:rsid w:val="001C4EF4"/>
    <w:rsid w:val="001C7DC8"/>
    <w:rsid w:val="001C7E9B"/>
    <w:rsid w:val="001D18E0"/>
    <w:rsid w:val="001D44E1"/>
    <w:rsid w:val="001E56B3"/>
    <w:rsid w:val="001E58B7"/>
    <w:rsid w:val="0020030B"/>
    <w:rsid w:val="00201247"/>
    <w:rsid w:val="002025F6"/>
    <w:rsid w:val="00202A20"/>
    <w:rsid w:val="00202FAB"/>
    <w:rsid w:val="002128DC"/>
    <w:rsid w:val="00232854"/>
    <w:rsid w:val="00232FC2"/>
    <w:rsid w:val="002364BE"/>
    <w:rsid w:val="0023737C"/>
    <w:rsid w:val="002409EA"/>
    <w:rsid w:val="00245BFF"/>
    <w:rsid w:val="00246F9A"/>
    <w:rsid w:val="002540ED"/>
    <w:rsid w:val="002556F6"/>
    <w:rsid w:val="00267943"/>
    <w:rsid w:val="0027160A"/>
    <w:rsid w:val="0027206F"/>
    <w:rsid w:val="0027447C"/>
    <w:rsid w:val="00282246"/>
    <w:rsid w:val="00287728"/>
    <w:rsid w:val="00287930"/>
    <w:rsid w:val="002A1151"/>
    <w:rsid w:val="002A3572"/>
    <w:rsid w:val="002A534A"/>
    <w:rsid w:val="002A5852"/>
    <w:rsid w:val="002A799F"/>
    <w:rsid w:val="002B1DBD"/>
    <w:rsid w:val="002B4E13"/>
    <w:rsid w:val="002B6B7F"/>
    <w:rsid w:val="002B710B"/>
    <w:rsid w:val="002C16A8"/>
    <w:rsid w:val="002C3D19"/>
    <w:rsid w:val="002D3A8D"/>
    <w:rsid w:val="002D4618"/>
    <w:rsid w:val="002E2814"/>
    <w:rsid w:val="002E2CD6"/>
    <w:rsid w:val="002E442D"/>
    <w:rsid w:val="002F1F34"/>
    <w:rsid w:val="002F7B8E"/>
    <w:rsid w:val="00303CDD"/>
    <w:rsid w:val="00306540"/>
    <w:rsid w:val="00311722"/>
    <w:rsid w:val="003123AE"/>
    <w:rsid w:val="00314CD4"/>
    <w:rsid w:val="00315537"/>
    <w:rsid w:val="00316196"/>
    <w:rsid w:val="00323399"/>
    <w:rsid w:val="00323DC4"/>
    <w:rsid w:val="00327709"/>
    <w:rsid w:val="00331CBA"/>
    <w:rsid w:val="00335252"/>
    <w:rsid w:val="00335E88"/>
    <w:rsid w:val="00347E26"/>
    <w:rsid w:val="00352F37"/>
    <w:rsid w:val="00354620"/>
    <w:rsid w:val="00356B4E"/>
    <w:rsid w:val="00357185"/>
    <w:rsid w:val="0037265C"/>
    <w:rsid w:val="003751B7"/>
    <w:rsid w:val="00380BCB"/>
    <w:rsid w:val="00386C7D"/>
    <w:rsid w:val="00392891"/>
    <w:rsid w:val="003A19FF"/>
    <w:rsid w:val="003A218E"/>
    <w:rsid w:val="003A2630"/>
    <w:rsid w:val="003A2E95"/>
    <w:rsid w:val="003A3242"/>
    <w:rsid w:val="003A5C7B"/>
    <w:rsid w:val="003A627F"/>
    <w:rsid w:val="003B10E3"/>
    <w:rsid w:val="003B56D7"/>
    <w:rsid w:val="003B7091"/>
    <w:rsid w:val="003C2048"/>
    <w:rsid w:val="003D1450"/>
    <w:rsid w:val="003D452D"/>
    <w:rsid w:val="003E4467"/>
    <w:rsid w:val="003E44B8"/>
    <w:rsid w:val="003F07B2"/>
    <w:rsid w:val="003F2106"/>
    <w:rsid w:val="003F33B7"/>
    <w:rsid w:val="003F626B"/>
    <w:rsid w:val="003F6D35"/>
    <w:rsid w:val="00401D97"/>
    <w:rsid w:val="0040279F"/>
    <w:rsid w:val="00403160"/>
    <w:rsid w:val="0040528B"/>
    <w:rsid w:val="004121C5"/>
    <w:rsid w:val="00412D14"/>
    <w:rsid w:val="0041371E"/>
    <w:rsid w:val="0041565C"/>
    <w:rsid w:val="004163A5"/>
    <w:rsid w:val="00417264"/>
    <w:rsid w:val="00420990"/>
    <w:rsid w:val="00423A04"/>
    <w:rsid w:val="00423F36"/>
    <w:rsid w:val="0042542C"/>
    <w:rsid w:val="004279BB"/>
    <w:rsid w:val="004334B3"/>
    <w:rsid w:val="00434ADD"/>
    <w:rsid w:val="00435E05"/>
    <w:rsid w:val="004375E9"/>
    <w:rsid w:val="0044585F"/>
    <w:rsid w:val="0044590F"/>
    <w:rsid w:val="00446C31"/>
    <w:rsid w:val="00447E47"/>
    <w:rsid w:val="00450C7A"/>
    <w:rsid w:val="00454505"/>
    <w:rsid w:val="004613AA"/>
    <w:rsid w:val="00467A10"/>
    <w:rsid w:val="00467B4C"/>
    <w:rsid w:val="00476ECF"/>
    <w:rsid w:val="00477C16"/>
    <w:rsid w:val="00484DD5"/>
    <w:rsid w:val="00485B62"/>
    <w:rsid w:val="0049512E"/>
    <w:rsid w:val="004A0470"/>
    <w:rsid w:val="004A24F1"/>
    <w:rsid w:val="004A618D"/>
    <w:rsid w:val="004A78A7"/>
    <w:rsid w:val="004B2661"/>
    <w:rsid w:val="004B4059"/>
    <w:rsid w:val="004C3B8D"/>
    <w:rsid w:val="004D1BBB"/>
    <w:rsid w:val="004D1F18"/>
    <w:rsid w:val="004D4DD0"/>
    <w:rsid w:val="004D5AB9"/>
    <w:rsid w:val="004D6E07"/>
    <w:rsid w:val="004E1676"/>
    <w:rsid w:val="004E1878"/>
    <w:rsid w:val="004E3E97"/>
    <w:rsid w:val="004E44AD"/>
    <w:rsid w:val="004F1C0A"/>
    <w:rsid w:val="004F3F73"/>
    <w:rsid w:val="004F4D83"/>
    <w:rsid w:val="004F5796"/>
    <w:rsid w:val="005011CC"/>
    <w:rsid w:val="0050367D"/>
    <w:rsid w:val="005047F1"/>
    <w:rsid w:val="00505D71"/>
    <w:rsid w:val="00506834"/>
    <w:rsid w:val="005100FF"/>
    <w:rsid w:val="00513316"/>
    <w:rsid w:val="005210B8"/>
    <w:rsid w:val="00522340"/>
    <w:rsid w:val="005251D2"/>
    <w:rsid w:val="00527483"/>
    <w:rsid w:val="00535D79"/>
    <w:rsid w:val="0053771D"/>
    <w:rsid w:val="00537A89"/>
    <w:rsid w:val="00540B8F"/>
    <w:rsid w:val="00540FBB"/>
    <w:rsid w:val="005506D5"/>
    <w:rsid w:val="00555A2D"/>
    <w:rsid w:val="005573BF"/>
    <w:rsid w:val="00564841"/>
    <w:rsid w:val="00565B1C"/>
    <w:rsid w:val="005732B8"/>
    <w:rsid w:val="00575458"/>
    <w:rsid w:val="0058079D"/>
    <w:rsid w:val="00582411"/>
    <w:rsid w:val="00590E94"/>
    <w:rsid w:val="00596EA7"/>
    <w:rsid w:val="005A31FE"/>
    <w:rsid w:val="005A3410"/>
    <w:rsid w:val="005A34DD"/>
    <w:rsid w:val="005A38D8"/>
    <w:rsid w:val="005A39CF"/>
    <w:rsid w:val="005A5F92"/>
    <w:rsid w:val="005B2B38"/>
    <w:rsid w:val="005B47BC"/>
    <w:rsid w:val="005B4AFD"/>
    <w:rsid w:val="005B62FB"/>
    <w:rsid w:val="005C0966"/>
    <w:rsid w:val="005C142F"/>
    <w:rsid w:val="005C2EB7"/>
    <w:rsid w:val="005D3AD1"/>
    <w:rsid w:val="005D3CDB"/>
    <w:rsid w:val="005D3EF3"/>
    <w:rsid w:val="005D53FC"/>
    <w:rsid w:val="005E263F"/>
    <w:rsid w:val="005E3A77"/>
    <w:rsid w:val="005E3E08"/>
    <w:rsid w:val="005E7596"/>
    <w:rsid w:val="005F24C9"/>
    <w:rsid w:val="005F39A9"/>
    <w:rsid w:val="00603F48"/>
    <w:rsid w:val="00604DD4"/>
    <w:rsid w:val="00606A8D"/>
    <w:rsid w:val="0061375E"/>
    <w:rsid w:val="00613794"/>
    <w:rsid w:val="00616768"/>
    <w:rsid w:val="00621135"/>
    <w:rsid w:val="0062121E"/>
    <w:rsid w:val="00621915"/>
    <w:rsid w:val="00626CA9"/>
    <w:rsid w:val="00633E8E"/>
    <w:rsid w:val="006358B6"/>
    <w:rsid w:val="00635B02"/>
    <w:rsid w:val="00635F77"/>
    <w:rsid w:val="00636CDA"/>
    <w:rsid w:val="0064149F"/>
    <w:rsid w:val="00642AA1"/>
    <w:rsid w:val="006460F1"/>
    <w:rsid w:val="00654E49"/>
    <w:rsid w:val="006614FD"/>
    <w:rsid w:val="00661958"/>
    <w:rsid w:val="0066252E"/>
    <w:rsid w:val="0066423A"/>
    <w:rsid w:val="00673673"/>
    <w:rsid w:val="006740B7"/>
    <w:rsid w:val="006740DE"/>
    <w:rsid w:val="00674CD6"/>
    <w:rsid w:val="00683FAE"/>
    <w:rsid w:val="00685F55"/>
    <w:rsid w:val="00691D0B"/>
    <w:rsid w:val="006950C0"/>
    <w:rsid w:val="006976BE"/>
    <w:rsid w:val="006A071E"/>
    <w:rsid w:val="006A3F99"/>
    <w:rsid w:val="006A55EA"/>
    <w:rsid w:val="006A5C70"/>
    <w:rsid w:val="006C391B"/>
    <w:rsid w:val="006C3CD3"/>
    <w:rsid w:val="006C426B"/>
    <w:rsid w:val="006D3D3F"/>
    <w:rsid w:val="006D68A5"/>
    <w:rsid w:val="006D6F30"/>
    <w:rsid w:val="006D7C50"/>
    <w:rsid w:val="006E443C"/>
    <w:rsid w:val="006E6EDF"/>
    <w:rsid w:val="006F1822"/>
    <w:rsid w:val="006F5983"/>
    <w:rsid w:val="007009BC"/>
    <w:rsid w:val="00700E13"/>
    <w:rsid w:val="00702D96"/>
    <w:rsid w:val="007066CA"/>
    <w:rsid w:val="00710627"/>
    <w:rsid w:val="007118B2"/>
    <w:rsid w:val="007139D2"/>
    <w:rsid w:val="00714CE4"/>
    <w:rsid w:val="0072109F"/>
    <w:rsid w:val="00726E0F"/>
    <w:rsid w:val="00734E9C"/>
    <w:rsid w:val="00741892"/>
    <w:rsid w:val="007422ED"/>
    <w:rsid w:val="00743151"/>
    <w:rsid w:val="007576C2"/>
    <w:rsid w:val="007577FA"/>
    <w:rsid w:val="00763234"/>
    <w:rsid w:val="00763F74"/>
    <w:rsid w:val="00767666"/>
    <w:rsid w:val="007723A0"/>
    <w:rsid w:val="007732B2"/>
    <w:rsid w:val="007768F7"/>
    <w:rsid w:val="00776C4D"/>
    <w:rsid w:val="00782883"/>
    <w:rsid w:val="00783820"/>
    <w:rsid w:val="00787F8E"/>
    <w:rsid w:val="007907DB"/>
    <w:rsid w:val="00793B76"/>
    <w:rsid w:val="00796EDF"/>
    <w:rsid w:val="007A07E7"/>
    <w:rsid w:val="007A3C7B"/>
    <w:rsid w:val="007A6216"/>
    <w:rsid w:val="007A6523"/>
    <w:rsid w:val="007B4563"/>
    <w:rsid w:val="007B6D66"/>
    <w:rsid w:val="007C1866"/>
    <w:rsid w:val="007C2D7D"/>
    <w:rsid w:val="007C4279"/>
    <w:rsid w:val="007C6780"/>
    <w:rsid w:val="007D6990"/>
    <w:rsid w:val="007E711E"/>
    <w:rsid w:val="007E7F92"/>
    <w:rsid w:val="007F4C63"/>
    <w:rsid w:val="008007F8"/>
    <w:rsid w:val="00800A6D"/>
    <w:rsid w:val="008014D2"/>
    <w:rsid w:val="00804E5D"/>
    <w:rsid w:val="00806205"/>
    <w:rsid w:val="008104AD"/>
    <w:rsid w:val="00834453"/>
    <w:rsid w:val="00835C67"/>
    <w:rsid w:val="008407B8"/>
    <w:rsid w:val="00842A89"/>
    <w:rsid w:val="00843D8A"/>
    <w:rsid w:val="0084460D"/>
    <w:rsid w:val="00850AE0"/>
    <w:rsid w:val="00850EEA"/>
    <w:rsid w:val="00851AAF"/>
    <w:rsid w:val="008522E9"/>
    <w:rsid w:val="00853AF0"/>
    <w:rsid w:val="00854ECC"/>
    <w:rsid w:val="00855B39"/>
    <w:rsid w:val="008573DE"/>
    <w:rsid w:val="008619DE"/>
    <w:rsid w:val="00865B79"/>
    <w:rsid w:val="00866D56"/>
    <w:rsid w:val="00866E9C"/>
    <w:rsid w:val="0087090B"/>
    <w:rsid w:val="00870EFA"/>
    <w:rsid w:val="0087178A"/>
    <w:rsid w:val="00874757"/>
    <w:rsid w:val="008748CD"/>
    <w:rsid w:val="0088488E"/>
    <w:rsid w:val="00886F46"/>
    <w:rsid w:val="0088770C"/>
    <w:rsid w:val="00887DD0"/>
    <w:rsid w:val="00887F60"/>
    <w:rsid w:val="0089457F"/>
    <w:rsid w:val="00894730"/>
    <w:rsid w:val="008A50ED"/>
    <w:rsid w:val="008A5E2F"/>
    <w:rsid w:val="008A617F"/>
    <w:rsid w:val="008A6967"/>
    <w:rsid w:val="008B2416"/>
    <w:rsid w:val="008B3220"/>
    <w:rsid w:val="008B3C7F"/>
    <w:rsid w:val="008B4461"/>
    <w:rsid w:val="008C19D6"/>
    <w:rsid w:val="008C1A15"/>
    <w:rsid w:val="008C5C9D"/>
    <w:rsid w:val="008D3A78"/>
    <w:rsid w:val="008D6F45"/>
    <w:rsid w:val="008D70F5"/>
    <w:rsid w:val="008E09E0"/>
    <w:rsid w:val="008E3D0C"/>
    <w:rsid w:val="008E3E5E"/>
    <w:rsid w:val="008E5D49"/>
    <w:rsid w:val="008E66B7"/>
    <w:rsid w:val="008E672D"/>
    <w:rsid w:val="008F021D"/>
    <w:rsid w:val="008F3D11"/>
    <w:rsid w:val="00903A9D"/>
    <w:rsid w:val="00913B0B"/>
    <w:rsid w:val="0091427A"/>
    <w:rsid w:val="00915B00"/>
    <w:rsid w:val="00917BA4"/>
    <w:rsid w:val="009235AB"/>
    <w:rsid w:val="00925EF3"/>
    <w:rsid w:val="009261EF"/>
    <w:rsid w:val="009403AA"/>
    <w:rsid w:val="00943066"/>
    <w:rsid w:val="00944602"/>
    <w:rsid w:val="00945843"/>
    <w:rsid w:val="009466AE"/>
    <w:rsid w:val="009515A0"/>
    <w:rsid w:val="0095240E"/>
    <w:rsid w:val="009534A4"/>
    <w:rsid w:val="00955B5C"/>
    <w:rsid w:val="00961AAC"/>
    <w:rsid w:val="00962F8F"/>
    <w:rsid w:val="009630E9"/>
    <w:rsid w:val="00963B0C"/>
    <w:rsid w:val="009648FD"/>
    <w:rsid w:val="00965AF3"/>
    <w:rsid w:val="009677F2"/>
    <w:rsid w:val="00970683"/>
    <w:rsid w:val="00971A44"/>
    <w:rsid w:val="00973E0B"/>
    <w:rsid w:val="00974307"/>
    <w:rsid w:val="00977A67"/>
    <w:rsid w:val="00985CF0"/>
    <w:rsid w:val="0099513F"/>
    <w:rsid w:val="00995192"/>
    <w:rsid w:val="009953A4"/>
    <w:rsid w:val="00995FD4"/>
    <w:rsid w:val="009C45F1"/>
    <w:rsid w:val="009C6EF9"/>
    <w:rsid w:val="009D1950"/>
    <w:rsid w:val="009D7E85"/>
    <w:rsid w:val="009E2813"/>
    <w:rsid w:val="009E33A2"/>
    <w:rsid w:val="009F0267"/>
    <w:rsid w:val="009F4BA3"/>
    <w:rsid w:val="009F792D"/>
    <w:rsid w:val="00A00639"/>
    <w:rsid w:val="00A03B35"/>
    <w:rsid w:val="00A0597D"/>
    <w:rsid w:val="00A1082E"/>
    <w:rsid w:val="00A111CE"/>
    <w:rsid w:val="00A17271"/>
    <w:rsid w:val="00A24122"/>
    <w:rsid w:val="00A24FD5"/>
    <w:rsid w:val="00A268DA"/>
    <w:rsid w:val="00A355DD"/>
    <w:rsid w:val="00A35F1E"/>
    <w:rsid w:val="00A36F8A"/>
    <w:rsid w:val="00A40D80"/>
    <w:rsid w:val="00A420D5"/>
    <w:rsid w:val="00A44157"/>
    <w:rsid w:val="00A456FB"/>
    <w:rsid w:val="00A47EF9"/>
    <w:rsid w:val="00A52300"/>
    <w:rsid w:val="00A5362F"/>
    <w:rsid w:val="00A56B5B"/>
    <w:rsid w:val="00A642C1"/>
    <w:rsid w:val="00A72A22"/>
    <w:rsid w:val="00A739FE"/>
    <w:rsid w:val="00A760F1"/>
    <w:rsid w:val="00A858EF"/>
    <w:rsid w:val="00A90AF2"/>
    <w:rsid w:val="00A91728"/>
    <w:rsid w:val="00A9387E"/>
    <w:rsid w:val="00AA050F"/>
    <w:rsid w:val="00AA0712"/>
    <w:rsid w:val="00AA4F0D"/>
    <w:rsid w:val="00AA6057"/>
    <w:rsid w:val="00AA75CF"/>
    <w:rsid w:val="00AB5B2C"/>
    <w:rsid w:val="00AC1857"/>
    <w:rsid w:val="00AC2894"/>
    <w:rsid w:val="00AC5805"/>
    <w:rsid w:val="00AD2801"/>
    <w:rsid w:val="00AE17A8"/>
    <w:rsid w:val="00AE1E7B"/>
    <w:rsid w:val="00AE35C5"/>
    <w:rsid w:val="00AE61A9"/>
    <w:rsid w:val="00AF332A"/>
    <w:rsid w:val="00AF3755"/>
    <w:rsid w:val="00AF3DD2"/>
    <w:rsid w:val="00B02D98"/>
    <w:rsid w:val="00B0340D"/>
    <w:rsid w:val="00B06620"/>
    <w:rsid w:val="00B11450"/>
    <w:rsid w:val="00B141D5"/>
    <w:rsid w:val="00B14721"/>
    <w:rsid w:val="00B21E0B"/>
    <w:rsid w:val="00B25B1C"/>
    <w:rsid w:val="00B26255"/>
    <w:rsid w:val="00B3020A"/>
    <w:rsid w:val="00B3237A"/>
    <w:rsid w:val="00B352DA"/>
    <w:rsid w:val="00B377C2"/>
    <w:rsid w:val="00B379DA"/>
    <w:rsid w:val="00B40D94"/>
    <w:rsid w:val="00B4377F"/>
    <w:rsid w:val="00B438AA"/>
    <w:rsid w:val="00B43B48"/>
    <w:rsid w:val="00B44334"/>
    <w:rsid w:val="00B46904"/>
    <w:rsid w:val="00B56B0C"/>
    <w:rsid w:val="00B61AC9"/>
    <w:rsid w:val="00B71574"/>
    <w:rsid w:val="00B71694"/>
    <w:rsid w:val="00B764D2"/>
    <w:rsid w:val="00B81167"/>
    <w:rsid w:val="00B81E5E"/>
    <w:rsid w:val="00B8591B"/>
    <w:rsid w:val="00B90391"/>
    <w:rsid w:val="00B931BD"/>
    <w:rsid w:val="00BA097D"/>
    <w:rsid w:val="00BA0D41"/>
    <w:rsid w:val="00BA5C59"/>
    <w:rsid w:val="00BB21CA"/>
    <w:rsid w:val="00BB4EFE"/>
    <w:rsid w:val="00BB5353"/>
    <w:rsid w:val="00BC19BA"/>
    <w:rsid w:val="00BC1AE7"/>
    <w:rsid w:val="00BC45F5"/>
    <w:rsid w:val="00BC4B29"/>
    <w:rsid w:val="00BD0A00"/>
    <w:rsid w:val="00BD2BB0"/>
    <w:rsid w:val="00BE2F8D"/>
    <w:rsid w:val="00BE5707"/>
    <w:rsid w:val="00BE5BE8"/>
    <w:rsid w:val="00BE7642"/>
    <w:rsid w:val="00BF13A9"/>
    <w:rsid w:val="00BF4CD4"/>
    <w:rsid w:val="00BF75BF"/>
    <w:rsid w:val="00C052B1"/>
    <w:rsid w:val="00C074C6"/>
    <w:rsid w:val="00C07B0F"/>
    <w:rsid w:val="00C15903"/>
    <w:rsid w:val="00C16AE7"/>
    <w:rsid w:val="00C200F0"/>
    <w:rsid w:val="00C20164"/>
    <w:rsid w:val="00C22EE1"/>
    <w:rsid w:val="00C23E70"/>
    <w:rsid w:val="00C240D3"/>
    <w:rsid w:val="00C31629"/>
    <w:rsid w:val="00C3322A"/>
    <w:rsid w:val="00C344E6"/>
    <w:rsid w:val="00C40E7B"/>
    <w:rsid w:val="00C43C95"/>
    <w:rsid w:val="00C51661"/>
    <w:rsid w:val="00C5183D"/>
    <w:rsid w:val="00C52A9F"/>
    <w:rsid w:val="00C52D77"/>
    <w:rsid w:val="00C53F46"/>
    <w:rsid w:val="00C564E3"/>
    <w:rsid w:val="00C57F9A"/>
    <w:rsid w:val="00C70B86"/>
    <w:rsid w:val="00C726AE"/>
    <w:rsid w:val="00C72957"/>
    <w:rsid w:val="00C751F2"/>
    <w:rsid w:val="00C75F4F"/>
    <w:rsid w:val="00C8082C"/>
    <w:rsid w:val="00C8606B"/>
    <w:rsid w:val="00C8625D"/>
    <w:rsid w:val="00C916DA"/>
    <w:rsid w:val="00CA59D6"/>
    <w:rsid w:val="00CA6EAC"/>
    <w:rsid w:val="00CA7E98"/>
    <w:rsid w:val="00CB111B"/>
    <w:rsid w:val="00CB4A13"/>
    <w:rsid w:val="00CC2483"/>
    <w:rsid w:val="00CC28D1"/>
    <w:rsid w:val="00CC2D4C"/>
    <w:rsid w:val="00CC2EAE"/>
    <w:rsid w:val="00CC3876"/>
    <w:rsid w:val="00CD01EB"/>
    <w:rsid w:val="00CD077B"/>
    <w:rsid w:val="00CD1F5F"/>
    <w:rsid w:val="00CD733C"/>
    <w:rsid w:val="00CE6A09"/>
    <w:rsid w:val="00CF4297"/>
    <w:rsid w:val="00CF4D43"/>
    <w:rsid w:val="00CF675F"/>
    <w:rsid w:val="00CF6A53"/>
    <w:rsid w:val="00D01D6D"/>
    <w:rsid w:val="00D0485E"/>
    <w:rsid w:val="00D120AD"/>
    <w:rsid w:val="00D14054"/>
    <w:rsid w:val="00D1447F"/>
    <w:rsid w:val="00D17C0F"/>
    <w:rsid w:val="00D17E13"/>
    <w:rsid w:val="00D2002E"/>
    <w:rsid w:val="00D2304A"/>
    <w:rsid w:val="00D24E97"/>
    <w:rsid w:val="00D24F69"/>
    <w:rsid w:val="00D4183E"/>
    <w:rsid w:val="00D44852"/>
    <w:rsid w:val="00D51F46"/>
    <w:rsid w:val="00D539B9"/>
    <w:rsid w:val="00D567EE"/>
    <w:rsid w:val="00D575B2"/>
    <w:rsid w:val="00D61045"/>
    <w:rsid w:val="00D645A3"/>
    <w:rsid w:val="00D64F64"/>
    <w:rsid w:val="00D65F10"/>
    <w:rsid w:val="00D65F97"/>
    <w:rsid w:val="00D66472"/>
    <w:rsid w:val="00D75D0A"/>
    <w:rsid w:val="00D77C2B"/>
    <w:rsid w:val="00D803DC"/>
    <w:rsid w:val="00D82E50"/>
    <w:rsid w:val="00D85D49"/>
    <w:rsid w:val="00D8746D"/>
    <w:rsid w:val="00D92A15"/>
    <w:rsid w:val="00D94AB9"/>
    <w:rsid w:val="00DA584A"/>
    <w:rsid w:val="00DA588D"/>
    <w:rsid w:val="00DA6F1F"/>
    <w:rsid w:val="00DB0B91"/>
    <w:rsid w:val="00DB40DF"/>
    <w:rsid w:val="00DC1F31"/>
    <w:rsid w:val="00DC65C4"/>
    <w:rsid w:val="00DD42AA"/>
    <w:rsid w:val="00DD683C"/>
    <w:rsid w:val="00DE0AA2"/>
    <w:rsid w:val="00DE0F12"/>
    <w:rsid w:val="00DE142E"/>
    <w:rsid w:val="00DE27C1"/>
    <w:rsid w:val="00DE2ABD"/>
    <w:rsid w:val="00DE2B78"/>
    <w:rsid w:val="00DE52DC"/>
    <w:rsid w:val="00DE5E69"/>
    <w:rsid w:val="00DF05E5"/>
    <w:rsid w:val="00DF157E"/>
    <w:rsid w:val="00DF4877"/>
    <w:rsid w:val="00DF7907"/>
    <w:rsid w:val="00E04FF6"/>
    <w:rsid w:val="00E0799A"/>
    <w:rsid w:val="00E16FDF"/>
    <w:rsid w:val="00E1713E"/>
    <w:rsid w:val="00E17F42"/>
    <w:rsid w:val="00E21F45"/>
    <w:rsid w:val="00E249F1"/>
    <w:rsid w:val="00E25FD9"/>
    <w:rsid w:val="00E27837"/>
    <w:rsid w:val="00E42FA0"/>
    <w:rsid w:val="00E4354A"/>
    <w:rsid w:val="00E46D70"/>
    <w:rsid w:val="00E47989"/>
    <w:rsid w:val="00E47FCD"/>
    <w:rsid w:val="00E512AA"/>
    <w:rsid w:val="00E52DCF"/>
    <w:rsid w:val="00E56383"/>
    <w:rsid w:val="00E6335A"/>
    <w:rsid w:val="00E660BF"/>
    <w:rsid w:val="00E7120C"/>
    <w:rsid w:val="00E7322D"/>
    <w:rsid w:val="00E73362"/>
    <w:rsid w:val="00E75C44"/>
    <w:rsid w:val="00E768BF"/>
    <w:rsid w:val="00E80D9F"/>
    <w:rsid w:val="00E82168"/>
    <w:rsid w:val="00E8302C"/>
    <w:rsid w:val="00E83F16"/>
    <w:rsid w:val="00E86014"/>
    <w:rsid w:val="00E8696D"/>
    <w:rsid w:val="00E87959"/>
    <w:rsid w:val="00EA663F"/>
    <w:rsid w:val="00EA74F4"/>
    <w:rsid w:val="00EB42BD"/>
    <w:rsid w:val="00EB5F1C"/>
    <w:rsid w:val="00ED048B"/>
    <w:rsid w:val="00ED35E7"/>
    <w:rsid w:val="00ED428B"/>
    <w:rsid w:val="00EE1E10"/>
    <w:rsid w:val="00EE2584"/>
    <w:rsid w:val="00EE2D91"/>
    <w:rsid w:val="00EE4E4F"/>
    <w:rsid w:val="00EE749C"/>
    <w:rsid w:val="00EE7B53"/>
    <w:rsid w:val="00EF5CC2"/>
    <w:rsid w:val="00F0015D"/>
    <w:rsid w:val="00F00F51"/>
    <w:rsid w:val="00F01515"/>
    <w:rsid w:val="00F0156B"/>
    <w:rsid w:val="00F049E2"/>
    <w:rsid w:val="00F063D9"/>
    <w:rsid w:val="00F103C6"/>
    <w:rsid w:val="00F1142F"/>
    <w:rsid w:val="00F11658"/>
    <w:rsid w:val="00F13633"/>
    <w:rsid w:val="00F14EDA"/>
    <w:rsid w:val="00F15509"/>
    <w:rsid w:val="00F206A2"/>
    <w:rsid w:val="00F21EC8"/>
    <w:rsid w:val="00F26641"/>
    <w:rsid w:val="00F30C66"/>
    <w:rsid w:val="00F32C54"/>
    <w:rsid w:val="00F33CFF"/>
    <w:rsid w:val="00F4622F"/>
    <w:rsid w:val="00F47E24"/>
    <w:rsid w:val="00F53E64"/>
    <w:rsid w:val="00F614A1"/>
    <w:rsid w:val="00F7069D"/>
    <w:rsid w:val="00F736ED"/>
    <w:rsid w:val="00F8157D"/>
    <w:rsid w:val="00F8469E"/>
    <w:rsid w:val="00F90945"/>
    <w:rsid w:val="00F91FEA"/>
    <w:rsid w:val="00FA0304"/>
    <w:rsid w:val="00FA1A9F"/>
    <w:rsid w:val="00FA442D"/>
    <w:rsid w:val="00FA75B4"/>
    <w:rsid w:val="00FB4239"/>
    <w:rsid w:val="00FB6502"/>
    <w:rsid w:val="00FB687E"/>
    <w:rsid w:val="00FC03D5"/>
    <w:rsid w:val="00FC0690"/>
    <w:rsid w:val="00FC22A0"/>
    <w:rsid w:val="00FC48FC"/>
    <w:rsid w:val="00FC5AD1"/>
    <w:rsid w:val="00FC5D29"/>
    <w:rsid w:val="00FC6AF8"/>
    <w:rsid w:val="00FD54D9"/>
    <w:rsid w:val="00FD55B1"/>
    <w:rsid w:val="00FE4EDA"/>
    <w:rsid w:val="00FE5015"/>
    <w:rsid w:val="00FE51D9"/>
    <w:rsid w:val="00FE67CD"/>
    <w:rsid w:val="00FF5E28"/>
    <w:rsid w:val="00FF64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14:docId w14:val="66747D44"/>
  <w15:docId w15:val="{463896BF-6562-4B09-86EA-537D711A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CB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31CBA"/>
    <w:pPr>
      <w:keepNext/>
      <w:jc w:val="both"/>
      <w:outlineLvl w:val="0"/>
    </w:pPr>
    <w:rPr>
      <w:rFonts w:ascii="Arial" w:hAnsi="Arial" w:cs="Arial"/>
      <w:b/>
      <w:bCs/>
    </w:rPr>
  </w:style>
  <w:style w:type="paragraph" w:styleId="Ttulo2">
    <w:name w:val="heading 2"/>
    <w:basedOn w:val="Normal"/>
    <w:next w:val="Normal"/>
    <w:link w:val="Ttulo2Car"/>
    <w:qFormat/>
    <w:rsid w:val="00331CBA"/>
    <w:pPr>
      <w:keepNext/>
      <w:jc w:val="center"/>
      <w:outlineLvl w:val="1"/>
    </w:pPr>
    <w:rPr>
      <w:rFonts w:ascii="Book Antiqua" w:hAnsi="Book Antiqua"/>
      <w:b/>
      <w:bCs/>
    </w:rPr>
  </w:style>
  <w:style w:type="paragraph" w:styleId="Ttulo3">
    <w:name w:val="heading 3"/>
    <w:basedOn w:val="Normal"/>
    <w:next w:val="Normal"/>
    <w:link w:val="Ttulo3Car"/>
    <w:uiPriority w:val="9"/>
    <w:semiHidden/>
    <w:unhideWhenUsed/>
    <w:qFormat/>
    <w:rsid w:val="001A7A08"/>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31CBA"/>
    <w:rPr>
      <w:rFonts w:ascii="Arial" w:eastAsia="Times New Roman" w:hAnsi="Arial" w:cs="Arial"/>
      <w:b/>
      <w:bCs/>
      <w:sz w:val="24"/>
      <w:szCs w:val="24"/>
      <w:lang w:val="es-ES" w:eastAsia="es-ES"/>
    </w:rPr>
  </w:style>
  <w:style w:type="character" w:customStyle="1" w:styleId="Ttulo2Car">
    <w:name w:val="Título 2 Car"/>
    <w:basedOn w:val="Fuentedeprrafopredeter"/>
    <w:link w:val="Ttulo2"/>
    <w:rsid w:val="00331CBA"/>
    <w:rPr>
      <w:rFonts w:ascii="Book Antiqua" w:eastAsia="Times New Roman" w:hAnsi="Book Antiqua" w:cs="Times New Roman"/>
      <w:b/>
      <w:bCs/>
      <w:sz w:val="24"/>
      <w:szCs w:val="24"/>
      <w:lang w:val="es-ES" w:eastAsia="es-ES"/>
    </w:rPr>
  </w:style>
  <w:style w:type="paragraph" w:styleId="Encabezado">
    <w:name w:val="header"/>
    <w:basedOn w:val="Normal"/>
    <w:link w:val="EncabezadoCar"/>
    <w:uiPriority w:val="99"/>
    <w:rsid w:val="00331CBA"/>
    <w:pPr>
      <w:tabs>
        <w:tab w:val="center" w:pos="4419"/>
        <w:tab w:val="right" w:pos="8838"/>
      </w:tabs>
    </w:pPr>
  </w:style>
  <w:style w:type="character" w:customStyle="1" w:styleId="EncabezadoCar">
    <w:name w:val="Encabezado Car"/>
    <w:basedOn w:val="Fuentedeprrafopredeter"/>
    <w:link w:val="Encabezado"/>
    <w:uiPriority w:val="99"/>
    <w:rsid w:val="00331C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331CBA"/>
    <w:pPr>
      <w:tabs>
        <w:tab w:val="center" w:pos="4419"/>
        <w:tab w:val="right" w:pos="8838"/>
      </w:tabs>
    </w:pPr>
  </w:style>
  <w:style w:type="character" w:customStyle="1" w:styleId="PiedepginaCar">
    <w:name w:val="Pie de página Car"/>
    <w:basedOn w:val="Fuentedeprrafopredeter"/>
    <w:link w:val="Piedepgina"/>
    <w:uiPriority w:val="99"/>
    <w:rsid w:val="00331CBA"/>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331CBA"/>
    <w:pPr>
      <w:jc w:val="both"/>
    </w:pPr>
    <w:rPr>
      <w:rFonts w:ascii="Book Antiqua" w:hAnsi="Book Antiqua"/>
    </w:rPr>
  </w:style>
  <w:style w:type="character" w:customStyle="1" w:styleId="TextoindependienteCar">
    <w:name w:val="Texto independiente Car"/>
    <w:basedOn w:val="Fuentedeprrafopredeter"/>
    <w:link w:val="Textoindependiente"/>
    <w:rsid w:val="00331CBA"/>
    <w:rPr>
      <w:rFonts w:ascii="Book Antiqua" w:eastAsia="Times New Roman" w:hAnsi="Book Antiqua" w:cs="Times New Roman"/>
      <w:sz w:val="24"/>
      <w:szCs w:val="24"/>
      <w:lang w:val="es-ES" w:eastAsia="es-ES"/>
    </w:rPr>
  </w:style>
  <w:style w:type="character" w:styleId="Nmerodepgina">
    <w:name w:val="page number"/>
    <w:basedOn w:val="Fuentedeprrafopredeter"/>
    <w:rsid w:val="00331CBA"/>
  </w:style>
  <w:style w:type="paragraph" w:styleId="Prrafodelista">
    <w:name w:val="List Paragraph"/>
    <w:basedOn w:val="Normal"/>
    <w:uiPriority w:val="34"/>
    <w:qFormat/>
    <w:rsid w:val="00331CBA"/>
    <w:pPr>
      <w:spacing w:after="200" w:line="276" w:lineRule="auto"/>
      <w:ind w:left="720"/>
      <w:contextualSpacing/>
      <w:jc w:val="both"/>
    </w:pPr>
    <w:rPr>
      <w:rFonts w:ascii="Arial" w:hAnsi="Arial"/>
      <w:sz w:val="22"/>
      <w:szCs w:val="22"/>
      <w:lang w:val="es-MX" w:eastAsia="en-US"/>
    </w:rPr>
  </w:style>
  <w:style w:type="paragraph" w:styleId="Sinespaciado">
    <w:name w:val="No Spacing"/>
    <w:link w:val="SinespaciadoCar"/>
    <w:uiPriority w:val="1"/>
    <w:qFormat/>
    <w:rsid w:val="00331CBA"/>
    <w:pPr>
      <w:spacing w:after="0" w:line="240" w:lineRule="auto"/>
    </w:pPr>
    <w:rPr>
      <w:rFonts w:ascii="Calibri" w:eastAsia="Calibri" w:hAnsi="Calibri" w:cs="Times New Roman"/>
    </w:rPr>
  </w:style>
  <w:style w:type="character" w:customStyle="1" w:styleId="Estilo2">
    <w:name w:val="Estilo2"/>
    <w:uiPriority w:val="1"/>
    <w:rsid w:val="00331CBA"/>
    <w:rPr>
      <w:rFonts w:ascii="Arial" w:hAnsi="Arial"/>
      <w:b/>
      <w:caps/>
      <w:sz w:val="24"/>
    </w:rPr>
  </w:style>
  <w:style w:type="paragraph" w:styleId="Textonotapie">
    <w:name w:val="footnote text"/>
    <w:basedOn w:val="Normal"/>
    <w:link w:val="TextonotapieCar"/>
    <w:uiPriority w:val="99"/>
    <w:unhideWhenUsed/>
    <w:rsid w:val="00331CBA"/>
    <w:rPr>
      <w:sz w:val="20"/>
      <w:szCs w:val="20"/>
    </w:rPr>
  </w:style>
  <w:style w:type="character" w:customStyle="1" w:styleId="TextonotapieCar">
    <w:name w:val="Texto nota pie Car"/>
    <w:basedOn w:val="Fuentedeprrafopredeter"/>
    <w:link w:val="Textonotapie"/>
    <w:uiPriority w:val="99"/>
    <w:rsid w:val="00331CBA"/>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w:uiPriority w:val="99"/>
    <w:unhideWhenUsed/>
    <w:qFormat/>
    <w:rsid w:val="00331CBA"/>
    <w:rPr>
      <w:vertAlign w:val="superscript"/>
    </w:rPr>
  </w:style>
  <w:style w:type="paragraph" w:customStyle="1" w:styleId="Normal1">
    <w:name w:val="Normal1"/>
    <w:rsid w:val="00331CBA"/>
    <w:pPr>
      <w:spacing w:after="0" w:line="240" w:lineRule="auto"/>
    </w:pPr>
    <w:rPr>
      <w:rFonts w:ascii="Times New Roman" w:eastAsia="Times New Roman" w:hAnsi="Times New Roman" w:cs="Times New Roman"/>
      <w:color w:val="000000"/>
      <w:sz w:val="24"/>
      <w:szCs w:val="24"/>
      <w:lang w:eastAsia="es-MX"/>
    </w:rPr>
  </w:style>
  <w:style w:type="character" w:styleId="Hipervnculo">
    <w:name w:val="Hyperlink"/>
    <w:uiPriority w:val="99"/>
    <w:rsid w:val="00331CBA"/>
    <w:rPr>
      <w:color w:val="0000FF"/>
      <w:u w:val="single"/>
    </w:rPr>
  </w:style>
  <w:style w:type="character" w:customStyle="1" w:styleId="SinespaciadoCar">
    <w:name w:val="Sin espaciado Car"/>
    <w:link w:val="Sinespaciado"/>
    <w:uiPriority w:val="1"/>
    <w:rsid w:val="00331CBA"/>
    <w:rPr>
      <w:rFonts w:ascii="Calibri" w:eastAsia="Calibri" w:hAnsi="Calibri" w:cs="Times New Roman"/>
    </w:rPr>
  </w:style>
  <w:style w:type="paragraph" w:customStyle="1" w:styleId="Texto">
    <w:name w:val="Texto"/>
    <w:basedOn w:val="Normal"/>
    <w:link w:val="TextoCar"/>
    <w:rsid w:val="00331CBA"/>
    <w:pPr>
      <w:spacing w:after="101" w:line="216" w:lineRule="exact"/>
      <w:ind w:firstLine="288"/>
      <w:jc w:val="both"/>
    </w:pPr>
    <w:rPr>
      <w:rFonts w:ascii="Arial" w:hAnsi="Arial"/>
      <w:sz w:val="18"/>
      <w:szCs w:val="20"/>
    </w:rPr>
  </w:style>
  <w:style w:type="character" w:customStyle="1" w:styleId="TextoCar">
    <w:name w:val="Texto Car"/>
    <w:link w:val="Texto"/>
    <w:locked/>
    <w:rsid w:val="00331CBA"/>
    <w:rPr>
      <w:rFonts w:ascii="Arial" w:eastAsia="Times New Roman" w:hAnsi="Arial" w:cs="Times New Roman"/>
      <w:sz w:val="18"/>
      <w:szCs w:val="20"/>
      <w:lang w:val="es-ES" w:eastAsia="es-ES"/>
    </w:rPr>
  </w:style>
  <w:style w:type="character" w:styleId="Textoennegrita">
    <w:name w:val="Strong"/>
    <w:uiPriority w:val="22"/>
    <w:qFormat/>
    <w:rsid w:val="00331CBA"/>
    <w:rPr>
      <w:b/>
      <w:bCs/>
    </w:rPr>
  </w:style>
  <w:style w:type="paragraph" w:styleId="Textodeglobo">
    <w:name w:val="Balloon Text"/>
    <w:basedOn w:val="Normal"/>
    <w:link w:val="TextodegloboCar"/>
    <w:uiPriority w:val="99"/>
    <w:semiHidden/>
    <w:unhideWhenUsed/>
    <w:rsid w:val="00331CBA"/>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CBA"/>
    <w:rPr>
      <w:rFonts w:ascii="Tahoma" w:eastAsia="Times New Roman" w:hAnsi="Tahoma" w:cs="Tahoma"/>
      <w:sz w:val="16"/>
      <w:szCs w:val="16"/>
      <w:lang w:val="es-ES" w:eastAsia="es-ES"/>
    </w:rPr>
  </w:style>
  <w:style w:type="paragraph" w:styleId="NormalWeb">
    <w:name w:val="Normal (Web)"/>
    <w:basedOn w:val="Normal"/>
    <w:uiPriority w:val="99"/>
    <w:unhideWhenUsed/>
    <w:rsid w:val="00DE5E69"/>
    <w:pPr>
      <w:spacing w:before="100" w:beforeAutospacing="1" w:after="100" w:afterAutospacing="1"/>
    </w:pPr>
    <w:rPr>
      <w:lang w:val="es-MX" w:eastAsia="es-MX"/>
    </w:rPr>
  </w:style>
  <w:style w:type="paragraph" w:customStyle="1" w:styleId="letter-capitular">
    <w:name w:val="letter-capitular"/>
    <w:basedOn w:val="Normal"/>
    <w:rsid w:val="0066423A"/>
    <w:pPr>
      <w:spacing w:before="100" w:beforeAutospacing="1" w:after="100" w:afterAutospacing="1"/>
    </w:pPr>
    <w:rPr>
      <w:lang w:val="es-MX" w:eastAsia="es-MX"/>
    </w:rPr>
  </w:style>
  <w:style w:type="numbering" w:customStyle="1" w:styleId="Estilo1">
    <w:name w:val="Estilo1"/>
    <w:uiPriority w:val="99"/>
    <w:rsid w:val="00CD733C"/>
    <w:pPr>
      <w:numPr>
        <w:numId w:val="7"/>
      </w:numPr>
    </w:pPr>
  </w:style>
  <w:style w:type="character" w:styleId="Hipervnculovisitado">
    <w:name w:val="FollowedHyperlink"/>
    <w:basedOn w:val="Fuentedeprrafopredeter"/>
    <w:uiPriority w:val="99"/>
    <w:semiHidden/>
    <w:unhideWhenUsed/>
    <w:rsid w:val="00C72957"/>
    <w:rPr>
      <w:color w:val="800080" w:themeColor="followedHyperlink"/>
      <w:u w:val="single"/>
    </w:rPr>
  </w:style>
  <w:style w:type="paragraph" w:customStyle="1" w:styleId="Default">
    <w:name w:val="Default"/>
    <w:link w:val="DefaultChar"/>
    <w:rsid w:val="0042542C"/>
    <w:pPr>
      <w:autoSpaceDE w:val="0"/>
      <w:autoSpaceDN w:val="0"/>
      <w:adjustRightInd w:val="0"/>
      <w:spacing w:after="0" w:line="240" w:lineRule="auto"/>
    </w:pPr>
    <w:rPr>
      <w:rFonts w:ascii="Calibri" w:eastAsia="Calibri" w:hAnsi="Calibri" w:cs="Calibri"/>
      <w:color w:val="000000"/>
      <w:sz w:val="24"/>
      <w:szCs w:val="24"/>
    </w:rPr>
  </w:style>
  <w:style w:type="paragraph" w:customStyle="1" w:styleId="Normal2">
    <w:name w:val="Normal2"/>
    <w:rsid w:val="000556C9"/>
    <w:pPr>
      <w:spacing w:after="0" w:line="240" w:lineRule="auto"/>
    </w:pPr>
    <w:rPr>
      <w:rFonts w:ascii="Times New Roman" w:eastAsia="Times New Roman" w:hAnsi="Times New Roman" w:cs="Times New Roman"/>
      <w:color w:val="000000"/>
      <w:sz w:val="24"/>
      <w:szCs w:val="20"/>
      <w:lang w:val="es-ES" w:eastAsia="es-ES"/>
    </w:rPr>
  </w:style>
  <w:style w:type="character" w:customStyle="1" w:styleId="DefaultChar">
    <w:name w:val="Default Char"/>
    <w:link w:val="Default"/>
    <w:rsid w:val="00714CE4"/>
    <w:rPr>
      <w:rFonts w:ascii="Calibri" w:eastAsia="Calibri" w:hAnsi="Calibri" w:cs="Calibri"/>
      <w:color w:val="000000"/>
      <w:sz w:val="24"/>
      <w:szCs w:val="24"/>
    </w:rPr>
  </w:style>
  <w:style w:type="character" w:customStyle="1" w:styleId="Ninguno">
    <w:name w:val="Ninguno"/>
    <w:rsid w:val="00714CE4"/>
  </w:style>
  <w:style w:type="paragraph" w:customStyle="1" w:styleId="western">
    <w:name w:val="western"/>
    <w:basedOn w:val="Normal"/>
    <w:rsid w:val="005D3AD1"/>
    <w:pPr>
      <w:spacing w:before="100" w:beforeAutospacing="1" w:after="100" w:afterAutospacing="1"/>
    </w:pPr>
    <w:rPr>
      <w:lang w:val="es-MX" w:eastAsia="es-MX"/>
    </w:rPr>
  </w:style>
  <w:style w:type="paragraph" w:customStyle="1" w:styleId="Normal3">
    <w:name w:val="Normal3"/>
    <w:rsid w:val="004613AA"/>
    <w:rPr>
      <w:rFonts w:ascii="Calibri" w:eastAsia="Calibri" w:hAnsi="Calibri" w:cs="Calibri"/>
      <w:color w:val="000000"/>
      <w:lang w:val="es-ES" w:eastAsia="es-ES"/>
    </w:rPr>
  </w:style>
  <w:style w:type="table" w:styleId="Tablaconcuadrcula">
    <w:name w:val="Table Grid"/>
    <w:basedOn w:val="Tablanormal"/>
    <w:uiPriority w:val="39"/>
    <w:rsid w:val="008B3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195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CC2483"/>
    <w:rPr>
      <w:color w:val="605E5C"/>
      <w:shd w:val="clear" w:color="auto" w:fill="E1DFDD"/>
    </w:rPr>
  </w:style>
  <w:style w:type="character" w:customStyle="1" w:styleId="Ttulo3Car">
    <w:name w:val="Título 3 Car"/>
    <w:basedOn w:val="Fuentedeprrafopredeter"/>
    <w:link w:val="Ttulo3"/>
    <w:uiPriority w:val="9"/>
    <w:semiHidden/>
    <w:rsid w:val="001A7A08"/>
    <w:rPr>
      <w:rFonts w:asciiTheme="majorHAnsi" w:eastAsiaTheme="majorEastAsia" w:hAnsiTheme="majorHAnsi" w:cstheme="majorBidi"/>
      <w:color w:val="243F60"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2191">
      <w:bodyDiv w:val="1"/>
      <w:marLeft w:val="0"/>
      <w:marRight w:val="0"/>
      <w:marTop w:val="0"/>
      <w:marBottom w:val="0"/>
      <w:divBdr>
        <w:top w:val="none" w:sz="0" w:space="0" w:color="auto"/>
        <w:left w:val="none" w:sz="0" w:space="0" w:color="auto"/>
        <w:bottom w:val="none" w:sz="0" w:space="0" w:color="auto"/>
        <w:right w:val="none" w:sz="0" w:space="0" w:color="auto"/>
      </w:divBdr>
    </w:div>
    <w:div w:id="56900824">
      <w:bodyDiv w:val="1"/>
      <w:marLeft w:val="0"/>
      <w:marRight w:val="0"/>
      <w:marTop w:val="0"/>
      <w:marBottom w:val="0"/>
      <w:divBdr>
        <w:top w:val="none" w:sz="0" w:space="0" w:color="auto"/>
        <w:left w:val="none" w:sz="0" w:space="0" w:color="auto"/>
        <w:bottom w:val="none" w:sz="0" w:space="0" w:color="auto"/>
        <w:right w:val="none" w:sz="0" w:space="0" w:color="auto"/>
      </w:divBdr>
    </w:div>
    <w:div w:id="83304434">
      <w:bodyDiv w:val="1"/>
      <w:marLeft w:val="0"/>
      <w:marRight w:val="0"/>
      <w:marTop w:val="0"/>
      <w:marBottom w:val="0"/>
      <w:divBdr>
        <w:top w:val="none" w:sz="0" w:space="0" w:color="auto"/>
        <w:left w:val="none" w:sz="0" w:space="0" w:color="auto"/>
        <w:bottom w:val="none" w:sz="0" w:space="0" w:color="auto"/>
        <w:right w:val="none" w:sz="0" w:space="0" w:color="auto"/>
      </w:divBdr>
    </w:div>
    <w:div w:id="261111878">
      <w:bodyDiv w:val="1"/>
      <w:marLeft w:val="0"/>
      <w:marRight w:val="0"/>
      <w:marTop w:val="0"/>
      <w:marBottom w:val="0"/>
      <w:divBdr>
        <w:top w:val="none" w:sz="0" w:space="0" w:color="auto"/>
        <w:left w:val="none" w:sz="0" w:space="0" w:color="auto"/>
        <w:bottom w:val="none" w:sz="0" w:space="0" w:color="auto"/>
        <w:right w:val="none" w:sz="0" w:space="0" w:color="auto"/>
      </w:divBdr>
    </w:div>
    <w:div w:id="485711182">
      <w:bodyDiv w:val="1"/>
      <w:marLeft w:val="0"/>
      <w:marRight w:val="0"/>
      <w:marTop w:val="0"/>
      <w:marBottom w:val="0"/>
      <w:divBdr>
        <w:top w:val="none" w:sz="0" w:space="0" w:color="auto"/>
        <w:left w:val="none" w:sz="0" w:space="0" w:color="auto"/>
        <w:bottom w:val="none" w:sz="0" w:space="0" w:color="auto"/>
        <w:right w:val="none" w:sz="0" w:space="0" w:color="auto"/>
      </w:divBdr>
    </w:div>
    <w:div w:id="548304797">
      <w:bodyDiv w:val="1"/>
      <w:marLeft w:val="0"/>
      <w:marRight w:val="0"/>
      <w:marTop w:val="0"/>
      <w:marBottom w:val="0"/>
      <w:divBdr>
        <w:top w:val="none" w:sz="0" w:space="0" w:color="auto"/>
        <w:left w:val="none" w:sz="0" w:space="0" w:color="auto"/>
        <w:bottom w:val="none" w:sz="0" w:space="0" w:color="auto"/>
        <w:right w:val="none" w:sz="0" w:space="0" w:color="auto"/>
      </w:divBdr>
    </w:div>
    <w:div w:id="911893331">
      <w:bodyDiv w:val="1"/>
      <w:marLeft w:val="0"/>
      <w:marRight w:val="0"/>
      <w:marTop w:val="0"/>
      <w:marBottom w:val="0"/>
      <w:divBdr>
        <w:top w:val="none" w:sz="0" w:space="0" w:color="auto"/>
        <w:left w:val="none" w:sz="0" w:space="0" w:color="auto"/>
        <w:bottom w:val="none" w:sz="0" w:space="0" w:color="auto"/>
        <w:right w:val="none" w:sz="0" w:space="0" w:color="auto"/>
      </w:divBdr>
    </w:div>
    <w:div w:id="1409688761">
      <w:bodyDiv w:val="1"/>
      <w:marLeft w:val="0"/>
      <w:marRight w:val="0"/>
      <w:marTop w:val="0"/>
      <w:marBottom w:val="0"/>
      <w:divBdr>
        <w:top w:val="none" w:sz="0" w:space="0" w:color="auto"/>
        <w:left w:val="none" w:sz="0" w:space="0" w:color="auto"/>
        <w:bottom w:val="none" w:sz="0" w:space="0" w:color="auto"/>
        <w:right w:val="none" w:sz="0" w:space="0" w:color="auto"/>
      </w:divBdr>
    </w:div>
    <w:div w:id="1415513521">
      <w:bodyDiv w:val="1"/>
      <w:marLeft w:val="0"/>
      <w:marRight w:val="0"/>
      <w:marTop w:val="0"/>
      <w:marBottom w:val="0"/>
      <w:divBdr>
        <w:top w:val="none" w:sz="0" w:space="0" w:color="auto"/>
        <w:left w:val="none" w:sz="0" w:space="0" w:color="auto"/>
        <w:bottom w:val="none" w:sz="0" w:space="0" w:color="auto"/>
        <w:right w:val="none" w:sz="0" w:space="0" w:color="auto"/>
      </w:divBdr>
      <w:divsChild>
        <w:div w:id="1097095789">
          <w:marLeft w:val="0"/>
          <w:marRight w:val="0"/>
          <w:marTop w:val="0"/>
          <w:marBottom w:val="0"/>
          <w:divBdr>
            <w:top w:val="none" w:sz="0" w:space="0" w:color="auto"/>
            <w:left w:val="none" w:sz="0" w:space="0" w:color="auto"/>
            <w:bottom w:val="none" w:sz="0" w:space="0" w:color="auto"/>
            <w:right w:val="none" w:sz="0" w:space="0" w:color="auto"/>
          </w:divBdr>
        </w:div>
        <w:div w:id="407076702">
          <w:marLeft w:val="0"/>
          <w:marRight w:val="0"/>
          <w:marTop w:val="0"/>
          <w:marBottom w:val="0"/>
          <w:divBdr>
            <w:top w:val="none" w:sz="0" w:space="0" w:color="auto"/>
            <w:left w:val="none" w:sz="0" w:space="0" w:color="auto"/>
            <w:bottom w:val="none" w:sz="0" w:space="0" w:color="auto"/>
            <w:right w:val="none" w:sz="0" w:space="0" w:color="auto"/>
          </w:divBdr>
        </w:div>
        <w:div w:id="1496727174">
          <w:marLeft w:val="0"/>
          <w:marRight w:val="0"/>
          <w:marTop w:val="0"/>
          <w:marBottom w:val="0"/>
          <w:divBdr>
            <w:top w:val="none" w:sz="0" w:space="0" w:color="auto"/>
            <w:left w:val="none" w:sz="0" w:space="0" w:color="auto"/>
            <w:bottom w:val="none" w:sz="0" w:space="0" w:color="auto"/>
            <w:right w:val="none" w:sz="0" w:space="0" w:color="auto"/>
          </w:divBdr>
        </w:div>
        <w:div w:id="945115210">
          <w:marLeft w:val="0"/>
          <w:marRight w:val="0"/>
          <w:marTop w:val="0"/>
          <w:marBottom w:val="0"/>
          <w:divBdr>
            <w:top w:val="none" w:sz="0" w:space="0" w:color="auto"/>
            <w:left w:val="none" w:sz="0" w:space="0" w:color="auto"/>
            <w:bottom w:val="none" w:sz="0" w:space="0" w:color="auto"/>
            <w:right w:val="none" w:sz="0" w:space="0" w:color="auto"/>
          </w:divBdr>
        </w:div>
        <w:div w:id="957567941">
          <w:marLeft w:val="0"/>
          <w:marRight w:val="0"/>
          <w:marTop w:val="0"/>
          <w:marBottom w:val="0"/>
          <w:divBdr>
            <w:top w:val="none" w:sz="0" w:space="0" w:color="auto"/>
            <w:left w:val="none" w:sz="0" w:space="0" w:color="auto"/>
            <w:bottom w:val="none" w:sz="0" w:space="0" w:color="auto"/>
            <w:right w:val="none" w:sz="0" w:space="0" w:color="auto"/>
          </w:divBdr>
        </w:div>
        <w:div w:id="1278022414">
          <w:marLeft w:val="0"/>
          <w:marRight w:val="0"/>
          <w:marTop w:val="0"/>
          <w:marBottom w:val="0"/>
          <w:divBdr>
            <w:top w:val="none" w:sz="0" w:space="0" w:color="auto"/>
            <w:left w:val="none" w:sz="0" w:space="0" w:color="auto"/>
            <w:bottom w:val="none" w:sz="0" w:space="0" w:color="auto"/>
            <w:right w:val="none" w:sz="0" w:space="0" w:color="auto"/>
          </w:divBdr>
        </w:div>
        <w:div w:id="241061412">
          <w:marLeft w:val="0"/>
          <w:marRight w:val="0"/>
          <w:marTop w:val="0"/>
          <w:marBottom w:val="0"/>
          <w:divBdr>
            <w:top w:val="none" w:sz="0" w:space="0" w:color="auto"/>
            <w:left w:val="none" w:sz="0" w:space="0" w:color="auto"/>
            <w:bottom w:val="none" w:sz="0" w:space="0" w:color="auto"/>
            <w:right w:val="none" w:sz="0" w:space="0" w:color="auto"/>
          </w:divBdr>
        </w:div>
      </w:divsChild>
    </w:div>
    <w:div w:id="1447239483">
      <w:bodyDiv w:val="1"/>
      <w:marLeft w:val="0"/>
      <w:marRight w:val="0"/>
      <w:marTop w:val="0"/>
      <w:marBottom w:val="0"/>
      <w:divBdr>
        <w:top w:val="none" w:sz="0" w:space="0" w:color="auto"/>
        <w:left w:val="none" w:sz="0" w:space="0" w:color="auto"/>
        <w:bottom w:val="none" w:sz="0" w:space="0" w:color="auto"/>
        <w:right w:val="none" w:sz="0" w:space="0" w:color="auto"/>
      </w:divBdr>
    </w:div>
    <w:div w:id="1631083654">
      <w:bodyDiv w:val="1"/>
      <w:marLeft w:val="0"/>
      <w:marRight w:val="0"/>
      <w:marTop w:val="0"/>
      <w:marBottom w:val="0"/>
      <w:divBdr>
        <w:top w:val="none" w:sz="0" w:space="0" w:color="auto"/>
        <w:left w:val="none" w:sz="0" w:space="0" w:color="auto"/>
        <w:bottom w:val="none" w:sz="0" w:space="0" w:color="auto"/>
        <w:right w:val="none" w:sz="0" w:space="0" w:color="auto"/>
      </w:divBdr>
    </w:div>
    <w:div w:id="1804157916">
      <w:bodyDiv w:val="1"/>
      <w:marLeft w:val="0"/>
      <w:marRight w:val="0"/>
      <w:marTop w:val="0"/>
      <w:marBottom w:val="0"/>
      <w:divBdr>
        <w:top w:val="none" w:sz="0" w:space="0" w:color="auto"/>
        <w:left w:val="none" w:sz="0" w:space="0" w:color="auto"/>
        <w:bottom w:val="none" w:sz="0" w:space="0" w:color="auto"/>
        <w:right w:val="none" w:sz="0" w:space="0" w:color="auto"/>
      </w:divBdr>
    </w:div>
    <w:div w:id="1830292682">
      <w:bodyDiv w:val="1"/>
      <w:marLeft w:val="0"/>
      <w:marRight w:val="0"/>
      <w:marTop w:val="0"/>
      <w:marBottom w:val="0"/>
      <w:divBdr>
        <w:top w:val="none" w:sz="0" w:space="0" w:color="auto"/>
        <w:left w:val="none" w:sz="0" w:space="0" w:color="auto"/>
        <w:bottom w:val="none" w:sz="0" w:space="0" w:color="auto"/>
        <w:right w:val="none" w:sz="0" w:space="0" w:color="auto"/>
      </w:divBdr>
    </w:div>
    <w:div w:id="1882478326">
      <w:bodyDiv w:val="1"/>
      <w:marLeft w:val="0"/>
      <w:marRight w:val="0"/>
      <w:marTop w:val="0"/>
      <w:marBottom w:val="0"/>
      <w:divBdr>
        <w:top w:val="none" w:sz="0" w:space="0" w:color="auto"/>
        <w:left w:val="none" w:sz="0" w:space="0" w:color="auto"/>
        <w:bottom w:val="none" w:sz="0" w:space="0" w:color="auto"/>
        <w:right w:val="none" w:sz="0" w:space="0" w:color="auto"/>
      </w:divBdr>
    </w:div>
    <w:div w:id="207003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5D70B6-7FDA-4FDA-9481-175172175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37</Pages>
  <Words>6182</Words>
  <Characters>34001</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roaguirre</dc:creator>
  <cp:lastModifiedBy>Propietario</cp:lastModifiedBy>
  <cp:revision>4</cp:revision>
  <cp:lastPrinted>2019-08-08T19:26:00Z</cp:lastPrinted>
  <dcterms:created xsi:type="dcterms:W3CDTF">2022-01-27T22:03:00Z</dcterms:created>
  <dcterms:modified xsi:type="dcterms:W3CDTF">2022-02-02T18:55:00Z</dcterms:modified>
</cp:coreProperties>
</file>