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B5" w:rsidRPr="00414B59" w:rsidRDefault="006856B5" w:rsidP="004C3CC2">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b/>
          <w:color w:val="auto"/>
          <w:szCs w:val="24"/>
          <w:lang w:val="es-MX"/>
        </w:rPr>
        <w:t>H. CONGRESO DEL ESTADO</w:t>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r w:rsidRPr="00414B59">
        <w:rPr>
          <w:rFonts w:ascii="Century Gothic" w:eastAsia="Arial" w:hAnsi="Century Gothic" w:cs="Arial"/>
          <w:b/>
          <w:color w:val="auto"/>
          <w:szCs w:val="24"/>
          <w:lang w:val="es-MX"/>
        </w:rPr>
        <w:tab/>
      </w:r>
    </w:p>
    <w:p w:rsidR="006856B5" w:rsidRPr="00414B59" w:rsidRDefault="006856B5" w:rsidP="004C3CC2">
      <w:pPr>
        <w:pStyle w:val="Normal1"/>
        <w:spacing w:line="360" w:lineRule="auto"/>
        <w:contextualSpacing/>
        <w:jc w:val="both"/>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P R E S E N T E.-</w:t>
      </w:r>
    </w:p>
    <w:p w:rsidR="006856B5" w:rsidRPr="00414B59" w:rsidRDefault="006856B5" w:rsidP="004C3CC2">
      <w:pPr>
        <w:pStyle w:val="Normal1"/>
        <w:spacing w:line="360" w:lineRule="auto"/>
        <w:contextualSpacing/>
        <w:jc w:val="both"/>
        <w:rPr>
          <w:rFonts w:ascii="Century Gothic" w:eastAsia="Arial" w:hAnsi="Century Gothic" w:cs="Arial"/>
          <w:b/>
          <w:color w:val="auto"/>
          <w:szCs w:val="24"/>
          <w:lang w:val="es-MX"/>
        </w:rPr>
      </w:pPr>
    </w:p>
    <w:p w:rsidR="006856B5" w:rsidRPr="00414B59" w:rsidRDefault="006856B5" w:rsidP="004C3CC2">
      <w:pPr>
        <w:pStyle w:val="Normal1"/>
        <w:spacing w:line="360" w:lineRule="auto"/>
        <w:contextualSpacing/>
        <w:jc w:val="both"/>
        <w:rPr>
          <w:rFonts w:ascii="Century Gothic" w:hAnsi="Century Gothic" w:cs="Arial"/>
          <w:color w:val="auto"/>
          <w:szCs w:val="24"/>
          <w:lang w:val="es-MX"/>
        </w:rPr>
      </w:pPr>
      <w:r w:rsidRPr="00414B59">
        <w:rPr>
          <w:rFonts w:ascii="Century Gothic" w:eastAsia="Arial" w:hAnsi="Century Gothic" w:cs="Arial"/>
          <w:color w:val="auto"/>
          <w:szCs w:val="24"/>
          <w:lang w:val="es-MX"/>
        </w:rPr>
        <w:t xml:space="preserve">La Comisión de </w:t>
      </w:r>
      <w:r w:rsidR="00AE708E">
        <w:rPr>
          <w:rFonts w:ascii="Century Gothic" w:eastAsia="Arial" w:hAnsi="Century Gothic" w:cs="Arial"/>
          <w:color w:val="auto"/>
          <w:szCs w:val="24"/>
          <w:lang w:val="es-MX"/>
        </w:rPr>
        <w:t>Programación, Presupuesto y Hacienda Pública</w:t>
      </w:r>
      <w:r w:rsidRPr="00414B59">
        <w:rPr>
          <w:rFonts w:ascii="Century Gothic" w:eastAsia="Arial" w:hAnsi="Century Gothic" w:cs="Arial"/>
          <w:color w:val="auto"/>
          <w:szCs w:val="24"/>
          <w:lang w:val="es-MX"/>
        </w:rPr>
        <w:t>, con fundamento en lo dispuesto p</w:t>
      </w:r>
      <w:r w:rsidR="00824F97" w:rsidRPr="00414B59">
        <w:rPr>
          <w:rFonts w:ascii="Century Gothic" w:eastAsia="Arial" w:hAnsi="Century Gothic" w:cs="Arial"/>
          <w:color w:val="auto"/>
          <w:szCs w:val="24"/>
          <w:lang w:val="es-MX"/>
        </w:rPr>
        <w:t>or los artículos 64, fracción I</w:t>
      </w:r>
      <w:r w:rsidR="0005625E" w:rsidRPr="00414B59">
        <w:rPr>
          <w:rFonts w:ascii="Century Gothic" w:eastAsia="Arial" w:hAnsi="Century Gothic" w:cs="Arial"/>
          <w:color w:val="auto"/>
          <w:szCs w:val="24"/>
          <w:lang w:val="es-MX"/>
        </w:rPr>
        <w:t>I</w:t>
      </w:r>
      <w:r w:rsidRPr="00414B59">
        <w:rPr>
          <w:rFonts w:ascii="Century Gothic" w:eastAsia="Arial" w:hAnsi="Century Gothic" w:cs="Arial"/>
          <w:color w:val="auto"/>
          <w:szCs w:val="24"/>
          <w:lang w:val="es-MX"/>
        </w:rPr>
        <w:t xml:space="preserve"> de la Constitución Política, 87, 88 y 111 de la Ley Orgánica del Poder Legislativo, así como 80 y 81 del Reglamento Interior y de Prácticas Parlamentarias del Poder Legislativo, </w:t>
      </w:r>
      <w:r w:rsidR="002B3EF9">
        <w:rPr>
          <w:rFonts w:ascii="Century Gothic" w:eastAsia="Arial" w:hAnsi="Century Gothic" w:cs="Arial"/>
          <w:color w:val="auto"/>
          <w:szCs w:val="24"/>
          <w:lang w:val="es-MX"/>
        </w:rPr>
        <w:t>ambos ordenamientos</w:t>
      </w:r>
      <w:r w:rsidRPr="00414B59">
        <w:rPr>
          <w:rFonts w:ascii="Century Gothic" w:eastAsia="Arial" w:hAnsi="Century Gothic" w:cs="Arial"/>
          <w:color w:val="auto"/>
          <w:szCs w:val="24"/>
          <w:lang w:val="es-MX"/>
        </w:rPr>
        <w:t xml:space="preserve"> del Estado de Chihuahua, somete a la consideración de este Alto Cuerpo Colegiado el presente Dictamen, elaborado </w:t>
      </w:r>
      <w:r w:rsidR="00A47535" w:rsidRPr="00414B59">
        <w:rPr>
          <w:rFonts w:ascii="Century Gothic" w:eastAsia="Arial" w:hAnsi="Century Gothic" w:cs="Arial"/>
          <w:color w:val="auto"/>
          <w:szCs w:val="24"/>
          <w:lang w:val="es-MX"/>
        </w:rPr>
        <w:t>con</w:t>
      </w:r>
      <w:r w:rsidRPr="00414B59">
        <w:rPr>
          <w:rFonts w:ascii="Century Gothic" w:eastAsia="Arial" w:hAnsi="Century Gothic" w:cs="Arial"/>
          <w:color w:val="auto"/>
          <w:szCs w:val="24"/>
          <w:lang w:val="es-MX"/>
        </w:rPr>
        <w:t xml:space="preserve"> base a los siguientes: </w:t>
      </w:r>
    </w:p>
    <w:p w:rsidR="00BF2C2D" w:rsidRPr="00414B59" w:rsidRDefault="00BF2C2D" w:rsidP="004C3CC2">
      <w:pPr>
        <w:pStyle w:val="Normal1"/>
        <w:spacing w:line="360" w:lineRule="auto"/>
        <w:contextualSpacing/>
        <w:jc w:val="both"/>
        <w:rPr>
          <w:rFonts w:ascii="Century Gothic" w:eastAsia="Arial" w:hAnsi="Century Gothic" w:cs="Arial"/>
          <w:b/>
          <w:color w:val="auto"/>
          <w:szCs w:val="24"/>
          <w:lang w:val="es-MX"/>
        </w:rPr>
      </w:pPr>
    </w:p>
    <w:p w:rsidR="006856B5" w:rsidRPr="00414B59" w:rsidRDefault="006856B5" w:rsidP="004C3CC2">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ANTECEDENTES</w:t>
      </w:r>
    </w:p>
    <w:p w:rsidR="00BF2C2D" w:rsidRPr="00414B59" w:rsidRDefault="00BF2C2D" w:rsidP="004C3CC2">
      <w:pPr>
        <w:pStyle w:val="Normal1"/>
        <w:spacing w:line="360" w:lineRule="auto"/>
        <w:contextualSpacing/>
        <w:jc w:val="center"/>
        <w:rPr>
          <w:rFonts w:ascii="Century Gothic" w:eastAsia="Arial" w:hAnsi="Century Gothic" w:cs="Arial"/>
          <w:b/>
          <w:color w:val="auto"/>
          <w:szCs w:val="24"/>
          <w:lang w:val="es-MX"/>
        </w:rPr>
      </w:pPr>
    </w:p>
    <w:p w:rsidR="006C0094" w:rsidRDefault="00BF2C2D"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 </w:t>
      </w:r>
      <w:r w:rsidRPr="00414B59">
        <w:rPr>
          <w:rFonts w:ascii="Century Gothic" w:eastAsia="Arial" w:hAnsi="Century Gothic" w:cs="Arial"/>
          <w:color w:val="auto"/>
          <w:szCs w:val="24"/>
          <w:lang w:val="es-MX"/>
        </w:rPr>
        <w:t xml:space="preserve">Con fecha del </w:t>
      </w:r>
      <w:r w:rsidR="006C0094">
        <w:rPr>
          <w:rFonts w:ascii="Century Gothic" w:eastAsia="Arial" w:hAnsi="Century Gothic" w:cs="Arial"/>
          <w:color w:val="auto"/>
          <w:szCs w:val="24"/>
          <w:lang w:val="es-MX"/>
        </w:rPr>
        <w:t>veintinueve</w:t>
      </w:r>
      <w:r w:rsidRPr="00414B59">
        <w:rPr>
          <w:rFonts w:ascii="Century Gothic" w:eastAsia="Arial" w:hAnsi="Century Gothic" w:cs="Arial"/>
          <w:color w:val="auto"/>
          <w:szCs w:val="24"/>
          <w:lang w:val="es-MX"/>
        </w:rPr>
        <w:t xml:space="preserve"> de </w:t>
      </w:r>
      <w:r w:rsidR="006C0094">
        <w:rPr>
          <w:rFonts w:ascii="Century Gothic" w:eastAsia="Arial" w:hAnsi="Century Gothic" w:cs="Arial"/>
          <w:color w:val="auto"/>
          <w:szCs w:val="24"/>
          <w:lang w:val="es-MX"/>
        </w:rPr>
        <w:t>noviemb</w:t>
      </w:r>
      <w:r w:rsidR="00C2171A">
        <w:rPr>
          <w:rFonts w:ascii="Century Gothic" w:eastAsia="Arial" w:hAnsi="Century Gothic" w:cs="Arial"/>
          <w:color w:val="auto"/>
          <w:szCs w:val="24"/>
          <w:lang w:val="es-MX"/>
        </w:rPr>
        <w:t>re</w:t>
      </w:r>
      <w:r w:rsidR="00AE708E">
        <w:rPr>
          <w:rFonts w:ascii="Century Gothic" w:eastAsia="Arial" w:hAnsi="Century Gothic" w:cs="Arial"/>
          <w:color w:val="auto"/>
          <w:szCs w:val="24"/>
          <w:lang w:val="es-MX"/>
        </w:rPr>
        <w:t xml:space="preserve"> del año dos mil veintiuno</w:t>
      </w:r>
      <w:r w:rsidRPr="00414B59">
        <w:rPr>
          <w:rFonts w:ascii="Century Gothic" w:eastAsia="Arial" w:hAnsi="Century Gothic" w:cs="Arial"/>
          <w:color w:val="auto"/>
          <w:szCs w:val="24"/>
          <w:lang w:val="es-MX"/>
        </w:rPr>
        <w:t xml:space="preserve">, </w:t>
      </w:r>
      <w:r w:rsidR="006C0094">
        <w:rPr>
          <w:rFonts w:ascii="Century Gothic" w:eastAsia="Arial" w:hAnsi="Century Gothic" w:cs="Arial"/>
          <w:color w:val="auto"/>
          <w:szCs w:val="24"/>
          <w:lang w:val="es-MX"/>
        </w:rPr>
        <w:t>la</w:t>
      </w:r>
      <w:r w:rsidR="006C0094" w:rsidRPr="006C0094">
        <w:rPr>
          <w:rFonts w:ascii="Century Gothic" w:eastAsia="Arial" w:hAnsi="Century Gothic" w:cs="Arial"/>
          <w:color w:val="auto"/>
          <w:szCs w:val="24"/>
          <w:lang w:val="es-MX"/>
        </w:rPr>
        <w:t xml:space="preserve"> C. Gobernador</w:t>
      </w:r>
      <w:r w:rsidR="006C0094">
        <w:rPr>
          <w:rFonts w:ascii="Century Gothic" w:eastAsia="Arial" w:hAnsi="Century Gothic" w:cs="Arial"/>
          <w:color w:val="auto"/>
          <w:szCs w:val="24"/>
          <w:lang w:val="es-MX"/>
        </w:rPr>
        <w:t>a</w:t>
      </w:r>
      <w:r w:rsidR="006C0094" w:rsidRPr="006C0094">
        <w:rPr>
          <w:rFonts w:ascii="Century Gothic" w:eastAsia="Arial" w:hAnsi="Century Gothic" w:cs="Arial"/>
          <w:color w:val="auto"/>
          <w:szCs w:val="24"/>
          <w:lang w:val="es-MX"/>
        </w:rPr>
        <w:t xml:space="preserve"> Constitucional del Estado de Chihuahua, Lic. </w:t>
      </w:r>
      <w:r w:rsidR="006C0094">
        <w:rPr>
          <w:rFonts w:ascii="Century Gothic" w:eastAsia="Arial" w:hAnsi="Century Gothic" w:cs="Arial"/>
          <w:color w:val="auto"/>
          <w:szCs w:val="24"/>
          <w:lang w:val="es-MX"/>
        </w:rPr>
        <w:t>María Eugenia Campos Galván</w:t>
      </w:r>
      <w:r w:rsidR="006C0094" w:rsidRPr="006C0094">
        <w:rPr>
          <w:rFonts w:ascii="Century Gothic" w:eastAsia="Arial" w:hAnsi="Century Gothic" w:cs="Arial"/>
          <w:color w:val="auto"/>
          <w:szCs w:val="24"/>
          <w:lang w:val="es-MX"/>
        </w:rPr>
        <w:t xml:space="preserve">, presentó Iniciativa con carácter de Decreto, por medio de la cual remite la </w:t>
      </w:r>
      <w:r w:rsidR="00F44A8B" w:rsidRPr="00F44A8B">
        <w:rPr>
          <w:rFonts w:ascii="Century Gothic" w:eastAsia="Arial" w:hAnsi="Century Gothic" w:cs="Arial"/>
          <w:color w:val="auto"/>
          <w:szCs w:val="24"/>
          <w:lang w:val="es-MX"/>
        </w:rPr>
        <w:t>Iniciativa de Fortalecimiento Financiero.</w:t>
      </w:r>
    </w:p>
    <w:p w:rsidR="00F44A8B" w:rsidRPr="006C0094" w:rsidRDefault="00F44A8B" w:rsidP="004C3CC2">
      <w:pPr>
        <w:pStyle w:val="Normal1"/>
        <w:spacing w:line="360" w:lineRule="auto"/>
        <w:contextualSpacing/>
        <w:jc w:val="both"/>
        <w:rPr>
          <w:rFonts w:ascii="Century Gothic" w:eastAsia="Arial" w:hAnsi="Century Gothic" w:cs="Arial"/>
          <w:b/>
          <w:color w:val="auto"/>
          <w:szCs w:val="24"/>
        </w:rPr>
      </w:pPr>
    </w:p>
    <w:p w:rsidR="00BF2C2D" w:rsidRPr="00414B59" w:rsidRDefault="00BF2C2D"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 xml:space="preserve">II.- </w:t>
      </w:r>
      <w:r w:rsidRPr="00414B59">
        <w:rPr>
          <w:rFonts w:ascii="Century Gothic" w:eastAsia="Arial" w:hAnsi="Century Gothic" w:cs="Arial"/>
          <w:color w:val="auto"/>
          <w:szCs w:val="24"/>
          <w:lang w:val="es-MX"/>
        </w:rPr>
        <w:t xml:space="preserve">La Presidencia del H. Congreso del Estado, en uso de las facultades que le confiere el artículo 75, fracción XIII de la Ley Orgánica del Poder Legislativo, el día </w:t>
      </w:r>
      <w:r w:rsidR="006C0094">
        <w:rPr>
          <w:rFonts w:ascii="Century Gothic" w:eastAsia="Arial" w:hAnsi="Century Gothic" w:cs="Arial"/>
          <w:color w:val="auto"/>
          <w:szCs w:val="24"/>
          <w:lang w:val="es-MX"/>
        </w:rPr>
        <w:t>treinta</w:t>
      </w:r>
      <w:r w:rsidR="001074F0" w:rsidRPr="00414B59">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 xml:space="preserve">de </w:t>
      </w:r>
      <w:r w:rsidR="006C0094">
        <w:rPr>
          <w:rFonts w:ascii="Century Gothic" w:eastAsia="Arial" w:hAnsi="Century Gothic" w:cs="Arial"/>
          <w:color w:val="auto"/>
          <w:szCs w:val="24"/>
          <w:lang w:val="es-MX"/>
        </w:rPr>
        <w:t xml:space="preserve">noviembre </w:t>
      </w:r>
      <w:r w:rsidR="00471BB6" w:rsidRPr="00414B59">
        <w:rPr>
          <w:rFonts w:ascii="Century Gothic" w:eastAsia="Arial" w:hAnsi="Century Gothic" w:cs="Arial"/>
          <w:color w:val="auto"/>
          <w:szCs w:val="24"/>
          <w:lang w:val="es-MX"/>
        </w:rPr>
        <w:t xml:space="preserve">del año dos mil </w:t>
      </w:r>
      <w:r w:rsidR="00AE708E">
        <w:rPr>
          <w:rFonts w:ascii="Century Gothic" w:eastAsia="Arial" w:hAnsi="Century Gothic" w:cs="Arial"/>
          <w:color w:val="auto"/>
          <w:szCs w:val="24"/>
          <w:lang w:val="es-MX"/>
        </w:rPr>
        <w:t>veintiuno</w:t>
      </w:r>
      <w:r w:rsidRPr="00414B59">
        <w:rPr>
          <w:rFonts w:ascii="Century Gothic" w:eastAsia="Arial" w:hAnsi="Century Gothic" w:cs="Arial"/>
          <w:color w:val="auto"/>
          <w:szCs w:val="24"/>
          <w:lang w:val="es-MX"/>
        </w:rPr>
        <w:t xml:space="preserve">, tuvo a bien turnar a quienes integran la Comisión de </w:t>
      </w:r>
      <w:r w:rsidR="00AE708E">
        <w:rPr>
          <w:rFonts w:ascii="Century Gothic" w:eastAsia="Arial" w:hAnsi="Century Gothic" w:cs="Arial"/>
          <w:color w:val="auto"/>
          <w:szCs w:val="24"/>
          <w:lang w:val="es-MX"/>
        </w:rPr>
        <w:t>Programación, Presupuesto y Hacienda Pública</w:t>
      </w:r>
      <w:r w:rsidRPr="00414B59">
        <w:rPr>
          <w:rFonts w:ascii="Century Gothic" w:eastAsia="Arial" w:hAnsi="Century Gothic" w:cs="Arial"/>
          <w:color w:val="auto"/>
          <w:szCs w:val="24"/>
          <w:lang w:val="es-MX"/>
        </w:rPr>
        <w:t xml:space="preserve"> la Iniciativa de mérito, a efecto de proceder a su estudio, análisis y elaboración del correspondiente dictamen.</w:t>
      </w:r>
      <w:r w:rsidR="005F1362" w:rsidRPr="00414B59">
        <w:rPr>
          <w:rFonts w:ascii="Century Gothic" w:eastAsia="Arial" w:hAnsi="Century Gothic" w:cs="Arial"/>
          <w:color w:val="auto"/>
          <w:szCs w:val="24"/>
          <w:lang w:val="es-MX"/>
        </w:rPr>
        <w:t xml:space="preserve"> </w:t>
      </w:r>
    </w:p>
    <w:p w:rsidR="00BF2C2D" w:rsidRPr="00414B59" w:rsidRDefault="00BF2C2D" w:rsidP="004C3CC2">
      <w:pPr>
        <w:pStyle w:val="Normal1"/>
        <w:spacing w:line="360" w:lineRule="auto"/>
        <w:contextualSpacing/>
        <w:jc w:val="both"/>
        <w:rPr>
          <w:rFonts w:ascii="Century Gothic" w:eastAsia="Arial" w:hAnsi="Century Gothic" w:cs="Arial"/>
          <w:color w:val="auto"/>
          <w:szCs w:val="24"/>
          <w:lang w:val="es-MX"/>
        </w:rPr>
      </w:pPr>
    </w:p>
    <w:p w:rsidR="00BF2C2D" w:rsidRDefault="00BF2C2D" w:rsidP="004C3CC2">
      <w:pPr>
        <w:pStyle w:val="Normal1"/>
        <w:spacing w:line="360" w:lineRule="auto"/>
        <w:contextualSpacing/>
        <w:jc w:val="both"/>
        <w:rPr>
          <w:rFonts w:ascii="Century Gothic" w:eastAsia="Arial" w:hAnsi="Century Gothic" w:cs="Arial"/>
          <w:color w:val="auto"/>
          <w:szCs w:val="24"/>
        </w:rPr>
      </w:pPr>
      <w:r w:rsidRPr="00414B59">
        <w:rPr>
          <w:rFonts w:ascii="Century Gothic" w:eastAsia="Arial" w:hAnsi="Century Gothic" w:cs="Arial"/>
          <w:b/>
          <w:color w:val="auto"/>
          <w:szCs w:val="24"/>
          <w:lang w:val="es-MX"/>
        </w:rPr>
        <w:t xml:space="preserve">III.- </w:t>
      </w:r>
      <w:r w:rsidRPr="00414B59">
        <w:rPr>
          <w:rFonts w:ascii="Century Gothic" w:eastAsia="Arial" w:hAnsi="Century Gothic" w:cs="Arial"/>
          <w:color w:val="auto"/>
          <w:szCs w:val="24"/>
          <w:lang w:val="es-MX"/>
        </w:rPr>
        <w:t xml:space="preserve">La Exposición de Motivos de la Iniciativa en comento, </w:t>
      </w:r>
      <w:r w:rsidRPr="00414B59">
        <w:rPr>
          <w:rFonts w:ascii="Century Gothic" w:eastAsia="Arial" w:hAnsi="Century Gothic" w:cs="Arial"/>
          <w:color w:val="auto"/>
          <w:szCs w:val="24"/>
        </w:rPr>
        <w:t>se sustenta básicamente en los siguientes argumentos:</w:t>
      </w:r>
    </w:p>
    <w:p w:rsidR="00F44A8B" w:rsidRDefault="00F44A8B" w:rsidP="00F44A8B">
      <w:pPr>
        <w:spacing w:after="0" w:line="360" w:lineRule="auto"/>
        <w:ind w:left="102" w:right="82"/>
        <w:jc w:val="both"/>
        <w:rPr>
          <w:rFonts w:ascii="Century Gothic" w:eastAsia="Arial" w:hAnsi="Century Gothic" w:cs="Arial"/>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Pr>
          <w:rFonts w:ascii="Century Gothic" w:eastAsia="Arial" w:hAnsi="Century Gothic" w:cs="Arial"/>
          <w:i/>
          <w:sz w:val="24"/>
          <w:szCs w:val="24"/>
          <w:lang w:eastAsia="en-US"/>
        </w:rPr>
        <w:t>“</w:t>
      </w:r>
      <w:r w:rsidRPr="002D05D2">
        <w:rPr>
          <w:rFonts w:ascii="Century Gothic" w:eastAsia="Arial" w:hAnsi="Century Gothic" w:cs="Arial"/>
          <w:i/>
          <w:sz w:val="24"/>
          <w:szCs w:val="24"/>
          <w:lang w:eastAsia="en-US"/>
        </w:rPr>
        <w:t>La nueva administración encontró diversos problemas estructurales en las finanzas del Estado que afectan el funcionamiento del Gobierno y el desarrollo de la entidad. Entre los problemas más relevantes se encuentran:</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3"/>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En los últimos años se privilegió el endeudamiento de corto plazo y el crecimiento del pasivo circulante. En virtud de este hecho, los pasivos del Estado crecieron, sin que estos se tradujeran en mayor inversión para el Estado.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3"/>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El crecimiento de estos pasivos y del gasto corriente afectaron gravemente la liquidez de la Hacienda Pública, poniéndonos al borde de una situación de insolvencia financiera.</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3"/>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En los últimos años ha habido una gran falta de inversión productiva. Principalmente, solo se invirtieron los algunos recursos de programas federales y los derivados de los remanentes al amparo de las obligaciones de la emisión de certificados bursátiles. Sin inversión, no puede haber crecimiento.</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3"/>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lastRenderedPageBreak/>
        <w:t>Las condiciones financieras de la deuda y obligaciones financieras tienen una oportunidad de ser mejoradas.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3"/>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Las calificadoras crediticias percibieron el deterioro en las finanzas del Estado. El 6 de noviembre de 2020 Moody´s bajó la calificación soberana del Estado de Ba3/A3.mx a B1/Baa2.mx. La baja en calificaciones, pone en riesgo al Estado de que suban las tasas de interés de sus financiamientos, situación que podría deteriorar la condición financiera del Estado.</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3"/>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El Sistema de Alertas de la Secretaria de Hacienda y Crédito Público, tiene clasificado al Gobierno del Estado en semáforo amarillo, es decir en endeudamiento en observación.</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Ante estos hechos adversos, es necesario una nueva política de financiamiento para el desarrollo que garantice un crecimiento sostenido para el Estado. Este Gobierno parte de que la capacidad de endeudamiento debe ser usada en forma responsable y sostenible y que es un instrumento, como lo señala la propia Constitución Política de los Estados Unidos Mexicanos, y la normatividad federal, para impulsar las inversiones públicas productivas. Dado este principio y los problemas anteriormente mencionados, en los próximos seis años, el Gobierno del Estado buscará:</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4"/>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lastRenderedPageBreak/>
        <w:t>Incrementar la inversión pública productiva como un instrumento idóneo para el desarrollo social y económico de Chihuahua.</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4"/>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Utilizar la capacidad de endeudamiento en forma responsable y sostenible. En concreto, que los ingresos de libre disposición crezcan a una tasa más rápida que la deuda, lo que mejorará la posición financiera de la entidad.</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4"/>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Mejorar las condiciones de financiamiento de los pasivos del Gobierno.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4"/>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Reducir el uso de los recursos de libre disposición como fuente de financiamiento, para evitar mayores presiones de flujo de corto plazo a las finanzas públicas.</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4"/>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Disminuir considerablemente el uso de financiamientos y obligaciones de corto plazo.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Siguiendo los principios señalados y derivado de un análisis muy profundo de las obligaciones financieras del Estado, someto a la consideración de esa Soberanía esta iniciativa de Decreto de Fortalecimiento Financiero, cuyos aspectos más relevantes son:</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5"/>
        </w:numPr>
        <w:spacing w:after="0" w:line="360" w:lineRule="auto"/>
        <w:ind w:right="474"/>
        <w:jc w:val="both"/>
        <w:rPr>
          <w:rFonts w:ascii="Century Gothic" w:eastAsia="Arial" w:hAnsi="Century Gothic" w:cs="Arial"/>
          <w:i/>
          <w:sz w:val="24"/>
          <w:szCs w:val="24"/>
          <w:u w:val="single"/>
          <w:lang w:val="es-ES" w:eastAsia="en-US"/>
        </w:rPr>
      </w:pPr>
      <w:r w:rsidRPr="002D05D2">
        <w:rPr>
          <w:rFonts w:ascii="Century Gothic" w:eastAsia="Arial" w:hAnsi="Century Gothic" w:cs="Arial"/>
          <w:i/>
          <w:sz w:val="24"/>
          <w:szCs w:val="24"/>
          <w:u w:val="single"/>
          <w:lang w:val="es-ES" w:eastAsia="en-US"/>
        </w:rPr>
        <w:t>Financiamiento FAFEF</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 xml:space="preserve">En primer lugar, se les solicita su aprobación para contratar un crédito de largo plazo con cargo al Fondo de Aportaciones para el Fortalecimiento de las Entidades Federativas (FAFEF) por $1,000,000,000.00 (mil millones de pesos 00/100 M.N.). </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El objetivo de este financiamiento es destinarlo a los objetivos de propios de este fondo en lo que se refiere a inversión pública productiva.</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Las ventajas de este financiamiento son las siguientes: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6"/>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El FAFEF es un fondo federal que proviene del ramo general 33, por lo que no se considera recursos de libre disposición y por lo tanto no afectará a la evaluación en el sistema de alertas de la Secretaria de Hacienda y Crédito Público.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6"/>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 xml:space="preserve">El FAFEF es una mejor garantía que las Participaciones Federales. La Ley de Coordinación Fiscal Federal permite que este fondo sea utilizado como garantía y fuente de pago, hasta en un 25% ya sea del año original del crédito o del año en curso por lo que aún en un escenario de estrés, que se redujera en el futuro este fondo, la garantía puede crecer lo que hace que las calificadoras y los bancos la consideren de menor riesgo. Adicionalmente, los </w:t>
      </w:r>
      <w:r w:rsidRPr="002D05D2">
        <w:rPr>
          <w:rFonts w:ascii="Century Gothic" w:eastAsia="Arial" w:hAnsi="Century Gothic" w:cs="Arial"/>
          <w:i/>
          <w:sz w:val="24"/>
          <w:szCs w:val="24"/>
          <w:lang w:val="es-ES" w:eastAsia="en-US"/>
        </w:rPr>
        <w:lastRenderedPageBreak/>
        <w:t>fondos de aportaciones del ramo 33 no disminuyen en el transcurso de un ejercicio fiscal, a diferencia de las Participaciones Federales, que si tienen ese riesgo.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6"/>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Haciendo proyecciones, el Gobierno del Estado pudiera financiarse hasta en más de $7,000 millones de pesos con este fondo, sin embargo, tomar este monto de financiamiento afectaría el flujo de este fondo en el futuro. El monto de $1,000 millones de pesos que se está considerando se pagará del crecimiento del FAFEF que se tuvo este año. Es decir, después de pagar el servicio que esta deuda generará, el monto que seguirá recibiendo el Estado del FAFEF no será inferior a lo que recibió en el 2020, de tal forma que este endeudamiento no afecta las finanzas de Chihuahua.</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5"/>
        </w:numPr>
        <w:spacing w:after="0" w:line="360" w:lineRule="auto"/>
        <w:ind w:right="474"/>
        <w:jc w:val="both"/>
        <w:rPr>
          <w:rFonts w:ascii="Century Gothic" w:eastAsia="Arial" w:hAnsi="Century Gothic" w:cs="Arial"/>
          <w:i/>
          <w:sz w:val="24"/>
          <w:szCs w:val="24"/>
          <w:u w:val="single"/>
          <w:lang w:val="es-ES" w:eastAsia="en-US"/>
        </w:rPr>
      </w:pPr>
      <w:r w:rsidRPr="002D05D2">
        <w:rPr>
          <w:rFonts w:ascii="Century Gothic" w:eastAsia="Arial" w:hAnsi="Century Gothic" w:cs="Arial"/>
          <w:i/>
          <w:sz w:val="24"/>
          <w:szCs w:val="24"/>
          <w:u w:val="single"/>
          <w:lang w:val="es-ES" w:eastAsia="en-US"/>
        </w:rPr>
        <w:t>Financiamiento FAIS</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 xml:space="preserve">En segundo lugar, se les solicita su aprobación para contratar un crédito de largo plazo con cargo al Fondo de Aportaciones para la Infraestructura Social (FAIS) por $500,000,000.00 (quinientos millones de pesos). </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lastRenderedPageBreak/>
        <w:t>El objetivo de este financiamiento es destinarlo a los objetivos de propios de este fondo en lo que se refiere a inversión pública productiva de impacto social.</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Las ventajas de este financiamiento son las siguientes: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7"/>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El FAIS, al igual que el FAFEF es un fondo federal que proviene del ramo general 33, por lo que no se considera recursos de libre disposición y por lo tanto no afectará a la calificación en el sistema de alertas de la Secretaria de Hacienda y Crédito Público.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7"/>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El FAIS es una mejor garantía que las Participaciones Federales. También en forma similar al FAFEF, La Ley de Coordinación Fiscal Federal permite que este fondo sea utilizado como garantía y fuente de pago, hasta en un 25% ya sea del año original del crédito o del año en curso por lo que aún en un escenario de estrés, que se redujera en el futuro este fondo, la garantía puede crecer lo que hace que las calificadoras y los bancos la consideren de menor riesgo. Adicionalmente, los fondos de aportaciones del ramo 33 no disminuyen en el transcurso de un ejercicio fiscal, a diferencia de las Participaciones Federales, que si tienen ese riesgo.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7"/>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lastRenderedPageBreak/>
        <w:t>El FAIS es un fondo de Ramo 33 que solo se utiliza para el financiamiento de obras de infraestructura para beneficiar a poblaciones de pobreza extrema o con alto rezago social. En la forma en que regularmente se ministra este fondo, se tiene una capacidad muy baja de planeación y de realizar obras de impacto trascendental. Al financiarnos con este fondo tendremos la oportunidad de ampliar el beneficio a esta población tan necesitada a la brevedad, sin afectar los recursos de libre disposición y el flujo de las finanzas del Estado.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5"/>
        </w:numPr>
        <w:spacing w:after="0" w:line="360" w:lineRule="auto"/>
        <w:ind w:right="474"/>
        <w:jc w:val="both"/>
        <w:rPr>
          <w:rFonts w:ascii="Century Gothic" w:eastAsia="Arial" w:hAnsi="Century Gothic" w:cs="Arial"/>
          <w:i/>
          <w:sz w:val="24"/>
          <w:szCs w:val="24"/>
          <w:u w:val="single"/>
          <w:lang w:val="es-ES" w:eastAsia="en-US"/>
        </w:rPr>
      </w:pPr>
      <w:r w:rsidRPr="002D05D2">
        <w:rPr>
          <w:rFonts w:ascii="Century Gothic" w:eastAsia="Arial" w:hAnsi="Century Gothic" w:cs="Arial"/>
          <w:i/>
          <w:sz w:val="24"/>
          <w:szCs w:val="24"/>
          <w:u w:val="single"/>
          <w:lang w:val="es-ES" w:eastAsia="en-US"/>
        </w:rPr>
        <w:t>Emisión de Valores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La acción más relevante en el proceso de fortalecimiento financiero es la nueva emisión bursátil que se somete a su consideración. El decreto plantea llevar a cabo una de emisión de certificados bursátiles por la cantidad de hasta $19,600,000,000.00 (diecinueve mil seiscientos millones de pesos). La emisión tendría como garantía y fuente de pago los ingresos por peaje de nueve tramos carreteros que actualmente están fideicomitidos en favor de la emisión CHIHCB 13U. La nueva emisión tendría dos destinos fundamentales: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8"/>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Refinanciar la emisión bursátil CHIHCB 13U; y</w:t>
      </w:r>
    </w:p>
    <w:p w:rsidR="002D05D2" w:rsidRPr="002D05D2" w:rsidRDefault="002D05D2" w:rsidP="007D0833">
      <w:pPr>
        <w:numPr>
          <w:ilvl w:val="0"/>
          <w:numId w:val="8"/>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lastRenderedPageBreak/>
        <w:t>Contar con $3,000,000,000.00 (tres mil millones de pesos) adicionales que se destinen íntegramente a inversión pública productiva.</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Lo más importante y urgente de esta acción es el prepago de la emisión bursátil CHIHCB 13U. ¿Por qué queremos prepagar esa emisión?</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9"/>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La emisión bursátil que fue contratada en el 2013, tiene un costo de financiamiento muy alto. La emisión tiene una tasa efectiva de UDIs más 5.95%. Esto significa que la tasa real de la emisión es de 5.95% pero lo que efectivamente nos cuesta es la tasa de inflación más 5.95%. Entonces, con base en el último reporte de inflación del INEGI, que se presentó el pasado miércoles 24 de noviembre, donde a la primera quincena de noviembre se presentó una inflación anualizada del 7.05%, lo que significa que la tasa de la emisión bursátil es de 7.05% más 5.95%, lo que suma 13%. Entonces por esta deuda actualmente pagamos el 13%, mientras que en el resto de la deuda de largo plazo que esta contratada, en promedio, a TIIE + 0.67% equivalente en estos momentos a 5.9%.</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E04B69" w:rsidP="002D05D2">
      <w:pPr>
        <w:spacing w:after="0" w:line="360" w:lineRule="auto"/>
        <w:ind w:left="284" w:right="474"/>
        <w:jc w:val="both"/>
        <w:rPr>
          <w:rFonts w:ascii="Century Gothic" w:eastAsia="Arial" w:hAnsi="Century Gothic" w:cs="Arial"/>
          <w:i/>
          <w:sz w:val="24"/>
          <w:szCs w:val="24"/>
          <w:lang w:eastAsia="en-US"/>
        </w:rPr>
      </w:pPr>
      <w:r>
        <w:rPr>
          <w:rFonts w:ascii="Century Gothic" w:eastAsia="Arial" w:hAnsi="Century Gothic" w:cs="Arial"/>
          <w:i/>
          <w:noProof/>
          <w:sz w:val="24"/>
          <w:szCs w:val="24"/>
        </w:rPr>
        <w:lastRenderedPageBreak/>
        <w:drawing>
          <wp:inline distT="0" distB="0" distL="0" distR="0">
            <wp:extent cx="4586973" cy="2758164"/>
            <wp:effectExtent l="6102" t="6106" r="7500" b="7505"/>
            <wp:docPr id="1"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Estimación al 26 de noviembre de 2021</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9"/>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 xml:space="preserve">La estructura de la deuda bursátil de la emisión CHIHCB 13U hace que el monto de endeudamiento vaya creciendo conforme crecen las Unidades de Inversión o UDIs, las cuales crecen en forma similar a como crece la inflación. Para entender la gravedad de esta estructura y como afecta al Estado tenemos que considerar que en el 2012 derivado de esta emisión la entidad recibió $12 mil millones de pesos y a la fecha por servicio de esta deuda ha pagado ya $8,196 millones de pesos y sin embargo ahora se deben el equivalente a más de $15,000 millones de pesos. </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140930" w:rsidP="002D05D2">
      <w:pPr>
        <w:spacing w:after="0" w:line="360" w:lineRule="auto"/>
        <w:ind w:left="284" w:right="474"/>
        <w:jc w:val="both"/>
        <w:rPr>
          <w:rFonts w:ascii="Century Gothic" w:eastAsia="Arial" w:hAnsi="Century Gothic" w:cs="Arial"/>
          <w:i/>
          <w:sz w:val="24"/>
          <w:szCs w:val="24"/>
          <w:lang w:eastAsia="en-US"/>
        </w:rPr>
      </w:pPr>
      <w:r>
        <w:rPr>
          <w:rFonts w:ascii="Century Gothic" w:eastAsia="Arial" w:hAnsi="Century Gothic" w:cs="Arial"/>
          <w:i/>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2032635</wp:posOffset>
                </wp:positionH>
                <wp:positionV relativeFrom="paragraph">
                  <wp:posOffset>85725</wp:posOffset>
                </wp:positionV>
                <wp:extent cx="1802765" cy="269240"/>
                <wp:effectExtent l="0" t="0" r="635" b="0"/>
                <wp:wrapNone/>
                <wp:docPr id="13"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2765" cy="269240"/>
                        </a:xfrm>
                        <a:prstGeom prst="rect">
                          <a:avLst/>
                        </a:prstGeom>
                        <a:solidFill>
                          <a:sysClr val="window" lastClr="FFFFFF"/>
                        </a:solidFill>
                        <a:ln w="6350">
                          <a:noFill/>
                        </a:ln>
                      </wps:spPr>
                      <wps:txbx>
                        <w:txbxContent>
                          <w:p w:rsidR="008B637A" w:rsidRDefault="008B637A" w:rsidP="002D05D2">
                            <w:r>
                              <w:t>Emisión CHIHCB 13U al 2021</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160.05pt;margin-top:6.75pt;width:141.95pt;height:2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" fillcolor="window" stroked="f" strokeweight=".5pt">
                <v:path arrowok="t"/>
                <v:textbox>
                  <w:txbxContent>
                    <w:p w:rsidR="008B637A" w:rsidRDefault="008B637A" w:rsidP="002D05D2">
                      <w:r>
                        <w:t>Emisión CHIHCB 13U al 2021</w:t>
                      </w:r>
                    </w:p>
                  </w:txbxContent>
                </v:textbox>
              </v:shape>
            </w:pict>
          </mc:Fallback>
        </mc:AlternateContent>
      </w:r>
      <w:r w:rsidR="00E04B69">
        <w:rPr>
          <w:rFonts w:ascii="Century Gothic" w:eastAsia="Arial" w:hAnsi="Century Gothic" w:cs="Arial"/>
          <w:i/>
          <w:noProof/>
          <w:sz w:val="24"/>
          <w:szCs w:val="24"/>
        </w:rPr>
        <w:drawing>
          <wp:inline distT="0" distB="0" distL="0" distR="0">
            <wp:extent cx="5495925" cy="1800225"/>
            <wp:effectExtent l="19050" t="19050" r="28575" b="28575"/>
            <wp:docPr id="2" name="Imagen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raphical user interface, application&#10;&#10;Description automatically generated"/>
                    <pic:cNvPicPr>
                      <a:picLocks noChangeAspect="1" noChangeArrowheads="1"/>
                    </pic:cNvPicPr>
                  </pic:nvPicPr>
                  <pic:blipFill>
                    <a:blip r:embed="rId9"/>
                    <a:srcRect/>
                    <a:stretch>
                      <a:fillRect/>
                    </a:stretch>
                  </pic:blipFill>
                  <pic:spPr bwMode="auto">
                    <a:xfrm>
                      <a:off x="0" y="0"/>
                      <a:ext cx="5495925" cy="1800225"/>
                    </a:xfrm>
                    <a:prstGeom prst="rect">
                      <a:avLst/>
                    </a:prstGeom>
                    <a:noFill/>
                    <a:ln w="9525" cmpd="sng">
                      <a:solidFill>
                        <a:srgbClr val="000000"/>
                      </a:solidFill>
                      <a:miter lim="800000"/>
                      <a:headEnd/>
                      <a:tailEnd/>
                    </a:ln>
                    <a:effectLst/>
                  </pic:spPr>
                </pic:pic>
              </a:graphicData>
            </a:graphic>
          </wp:inline>
        </w:drawing>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Tan solo en los últimos 12 meses, la deuda del estado de Chihuahua por concepto de esta emisión, aproximadamente creció en $1,000 millones de pesos, sin que el estado haya recibido un peso y sin que esto se pudiera traducir en alguna inversión en beneficio del Estado.</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Lo más delicado es que si no hacemos algo, esta situación se va a deteriorar aún más. Con proyecciones conservadoras de la UDI, en los próximos dos años, se estima que habremos pagado $10,918 millones y en lugar de $12,000 millones, ya deberíamos $16,320 millones de pesos. Es decir, habríamos contraído $1,320 millones de pesos de deuda adicionales, sin ningún beneficio para Chihuahua.</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140930" w:rsidP="002D05D2">
      <w:pPr>
        <w:spacing w:after="0" w:line="360" w:lineRule="auto"/>
        <w:ind w:left="284" w:right="474"/>
        <w:jc w:val="both"/>
        <w:rPr>
          <w:rFonts w:ascii="Century Gothic" w:eastAsia="Arial" w:hAnsi="Century Gothic" w:cs="Arial"/>
          <w:i/>
          <w:sz w:val="24"/>
          <w:szCs w:val="24"/>
          <w:lang w:eastAsia="en-US"/>
        </w:rPr>
      </w:pPr>
      <w:r>
        <w:rPr>
          <w:rFonts w:ascii="Century Gothic" w:eastAsia="Arial" w:hAnsi="Century Gothic" w:cs="Arial"/>
          <w:i/>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2131695</wp:posOffset>
                </wp:positionH>
                <wp:positionV relativeFrom="paragraph">
                  <wp:posOffset>45720</wp:posOffset>
                </wp:positionV>
                <wp:extent cx="1802765" cy="269240"/>
                <wp:effectExtent l="0" t="0" r="635" b="0"/>
                <wp:wrapNone/>
                <wp:docPr id="1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2765" cy="269240"/>
                        </a:xfrm>
                        <a:prstGeom prst="rect">
                          <a:avLst/>
                        </a:prstGeom>
                        <a:solidFill>
                          <a:sysClr val="window" lastClr="FFFFFF"/>
                        </a:solidFill>
                        <a:ln w="6350">
                          <a:noFill/>
                        </a:ln>
                      </wps:spPr>
                      <wps:txbx>
                        <w:txbxContent>
                          <w:p w:rsidR="008B637A" w:rsidRDefault="008B637A" w:rsidP="002D05D2">
                            <w:r>
                              <w:t>Emisión CHIHCB 13U al 2023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5" o:spid="_x0000_s1027" type="#_x0000_t202" style="position:absolute;left:0;text-align:left;margin-left:167.85pt;margin-top:3.6pt;width:141.95pt;height:21.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" fillcolor="window" stroked="f" strokeweight=".5pt">
                <v:path arrowok="t"/>
                <v:textbox>
                  <w:txbxContent>
                    <w:p w:rsidR="008B637A" w:rsidRDefault="008B637A" w:rsidP="002D05D2">
                      <w:r>
                        <w:t>Emisión CHIHCB 13U al 2023</w:t>
                      </w:r>
                    </w:p>
                  </w:txbxContent>
                </v:textbox>
              </v:shape>
            </w:pict>
          </mc:Fallback>
        </mc:AlternateContent>
      </w:r>
      <w:r w:rsidR="00E04B69">
        <w:rPr>
          <w:rFonts w:ascii="Century Gothic" w:eastAsia="Arial" w:hAnsi="Century Gothic" w:cs="Arial"/>
          <w:i/>
          <w:noProof/>
          <w:sz w:val="24"/>
          <w:szCs w:val="24"/>
        </w:rPr>
        <w:drawing>
          <wp:inline distT="0" distB="0" distL="0" distR="0">
            <wp:extent cx="4848225" cy="2390775"/>
            <wp:effectExtent l="19050" t="19050" r="28575" b="28575"/>
            <wp:docPr id="3" name="Imagen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raphical user interface, application, website&#10;&#10;Description automatically generated"/>
                    <pic:cNvPicPr>
                      <a:picLocks noChangeAspect="1" noChangeArrowheads="1"/>
                    </pic:cNvPicPr>
                  </pic:nvPicPr>
                  <pic:blipFill>
                    <a:blip r:embed="rId10"/>
                    <a:srcRect/>
                    <a:stretch>
                      <a:fillRect/>
                    </a:stretch>
                  </pic:blipFill>
                  <pic:spPr bwMode="auto">
                    <a:xfrm>
                      <a:off x="0" y="0"/>
                      <a:ext cx="4848225" cy="2390775"/>
                    </a:xfrm>
                    <a:prstGeom prst="rect">
                      <a:avLst/>
                    </a:prstGeom>
                    <a:noFill/>
                    <a:ln w="9525" cmpd="sng">
                      <a:solidFill>
                        <a:srgbClr val="000000"/>
                      </a:solidFill>
                      <a:miter lim="800000"/>
                      <a:headEnd/>
                      <a:tailEnd/>
                    </a:ln>
                    <a:effectLst/>
                  </pic:spPr>
                </pic:pic>
              </a:graphicData>
            </a:graphic>
          </wp:inline>
        </w:drawing>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9"/>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En estos momentos estamos observando los niveles de inflación más altos de los últimos 20 años, y tanto en México como en el mundo se corre el riesgo de que la inflación siga creciendo, lo que generaría que nuestra deuda denominada en UDIs creciera aún más, sin ningún beneficio.</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Adicionalmente, se debe considerar que la infraestructura carretera del Estado ha mostrado una evolución de los ingresos sumamente favorable, e inclusive en el 2020, a pesar de la pandemia, el aforo carretero se mantuvo en niveles elevados. Esta situación ha hecho que la emisión bursátil con estos activos este calificada como AAA, lo que nos debe generar unas condiciones más favorables para conseguir mejores condiciones de mercado en la nueva emisión.</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lastRenderedPageBreak/>
        <w:t xml:space="preserve">Le pido a esa Soberanía considerar que la nueva emisión bursátil tendrá una mejor estructura financiera que la anterior y podrá acceder a mejores condiciones de financiamiento y que esta no será denominada en UDIs, sino en pesos y se contratará con tasa fija o variable, pero que evitará que se repita la situación de tener una deuda que crezca en el tiempo sin beneficio para el Estado.  </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 xml:space="preserve">Como se mencionó anteriormente, se busca que esta emisión permita al Estado contar con $3,000 millones de pesos adicionales para inversiones públicas productivas. Estamos convencidos de que con la nueva estructura en mejores condiciones de financiamiento se puede acomodar esos $3,000 millones de pesos sin causar un impacto negativo en el flujo de recursos que tiene el Estado producto de los remanentes del peaje carretero. </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5"/>
        </w:numPr>
        <w:spacing w:after="0" w:line="360" w:lineRule="auto"/>
        <w:ind w:right="474"/>
        <w:jc w:val="both"/>
        <w:rPr>
          <w:rFonts w:ascii="Century Gothic" w:eastAsia="Arial" w:hAnsi="Century Gothic" w:cs="Arial"/>
          <w:i/>
          <w:sz w:val="24"/>
          <w:szCs w:val="24"/>
          <w:u w:val="single"/>
          <w:lang w:val="es-ES" w:eastAsia="en-US"/>
        </w:rPr>
      </w:pPr>
      <w:r w:rsidRPr="002D05D2">
        <w:rPr>
          <w:rFonts w:ascii="Century Gothic" w:eastAsia="Arial" w:hAnsi="Century Gothic" w:cs="Arial"/>
          <w:i/>
          <w:sz w:val="24"/>
          <w:szCs w:val="24"/>
          <w:u w:val="single"/>
          <w:lang w:val="es-ES" w:eastAsia="en-US"/>
        </w:rPr>
        <w:t>Financiamiento 665</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 xml:space="preserve">En esta iniciativa se pone a su consideración el refinanciamiento por $665,954,380.00 (seiscientos sesenta y cinco millones, novecientos cincuenta y cuatro mil, trescientos ochenta pesos) del crédito que se contrató con Banobras al amparo del Programa de Financiamiento para Infraestructura y Seguridad de los Estados (PROFISE). Este crédito tiene particularidades distintas a otros créditos bancarios de largo </w:t>
      </w:r>
      <w:r w:rsidRPr="002D05D2">
        <w:rPr>
          <w:rFonts w:ascii="Century Gothic" w:eastAsia="Arial" w:hAnsi="Century Gothic" w:cs="Arial"/>
          <w:i/>
          <w:sz w:val="24"/>
          <w:szCs w:val="24"/>
          <w:lang w:eastAsia="en-US"/>
        </w:rPr>
        <w:lastRenderedPageBreak/>
        <w:t>plazo que tiene el Gobierno del Estado. Entre las principales diferencias se encuentran:</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10"/>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Es un crédito llamado “bullet”, es decir, cuyo principal se liquida en su totalidad al vencimiento del contrato, lo cual se realizaría hasta el 2032.</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10"/>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La tasa de interés pactada es una tasa fija más una sobretasa.</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10"/>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Los intereses siempre se pagan sobre el total del monto del crédito.</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10"/>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El pago del principal se garantizó con un Bono Cupón Cero.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10"/>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Es un crédito que está sobre garantizado. Es decir, para el tamaño del monto del crédito, las Participaciones Federales dadas en garantía son más de cinco veces las de los otros créditos de largo plazo.</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Al refinanciar este crédito, el Gobierno obtendría diversos beneficios, entre los que se encuentran:</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11"/>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 xml:space="preserve">Se espera una disminución en la tasa de interés que generará ahorros presupuestales que en el 2022 serán de $18 millones de </w:t>
      </w:r>
      <w:r w:rsidRPr="002D05D2">
        <w:rPr>
          <w:rFonts w:ascii="Century Gothic" w:eastAsia="Arial" w:hAnsi="Century Gothic" w:cs="Arial"/>
          <w:i/>
          <w:sz w:val="24"/>
          <w:szCs w:val="24"/>
          <w:lang w:val="es-ES" w:eastAsia="en-US"/>
        </w:rPr>
        <w:lastRenderedPageBreak/>
        <w:t>pesos y cada año se incrementarán. A lo largo de la duración del crédito, se estima que el Gobierno del Estado tendrá un ahorro de más de $461 millones de pesos.</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11"/>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Se generaría un ahorro de gastos fiduciarios de $2.3 millones de pesos año.</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11"/>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Se liberarían el 5.53% del Fondo General de Participaciones que están dadas en garantía en este crédito.</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5"/>
        </w:numPr>
        <w:spacing w:after="0" w:line="360" w:lineRule="auto"/>
        <w:ind w:right="474"/>
        <w:jc w:val="both"/>
        <w:rPr>
          <w:rFonts w:ascii="Century Gothic" w:eastAsia="Arial" w:hAnsi="Century Gothic" w:cs="Arial"/>
          <w:i/>
          <w:sz w:val="24"/>
          <w:szCs w:val="24"/>
          <w:u w:val="single"/>
          <w:lang w:val="es-ES" w:eastAsia="en-US"/>
        </w:rPr>
      </w:pPr>
      <w:r w:rsidRPr="002D05D2">
        <w:rPr>
          <w:rFonts w:ascii="Century Gothic" w:eastAsia="Arial" w:hAnsi="Century Gothic" w:cs="Arial"/>
          <w:i/>
          <w:sz w:val="24"/>
          <w:szCs w:val="24"/>
          <w:u w:val="single"/>
          <w:lang w:val="es-ES" w:eastAsia="en-US"/>
        </w:rPr>
        <w:t>Instrumentos Derivados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El Gobierno de Chihuahua, al refinanciar su deuda bancaria de largo plazo en el 2019 suscribió la obligación contractual de adquirir instrumentos derivados que protegieran a los financiamientos crediticios de la volatilidad de los mercados financieros. Dichos instrumentos derivados deberán tener una duración de cinco años y renovarse en forma previa a su vencimiento por otros cinco años.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 xml:space="preserve">Derivado de lo anterior, la Secretaría de Hacienda contrató en el 2019, 21 instrumentos derivados de intercambio de tasas tipo “swaps”. La función de estos instrumentos es intercambiar la tasa variable TIIE a la que fue contratado el crédito por una tasa fija por el periodo de tiempo establecido en el instrumento derivado. Con relación a dichos </w:t>
      </w:r>
      <w:r w:rsidRPr="002D05D2">
        <w:rPr>
          <w:rFonts w:ascii="Century Gothic" w:eastAsia="Arial" w:hAnsi="Century Gothic" w:cs="Arial"/>
          <w:i/>
          <w:sz w:val="24"/>
          <w:szCs w:val="24"/>
          <w:lang w:eastAsia="en-US"/>
        </w:rPr>
        <w:lastRenderedPageBreak/>
        <w:t>instrumentos derivados sometemos a la consideración de esa Soberanía las siguientes acciones: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12"/>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El Gobierno del Estado contrató dos de los 21 instrumento derivados con Accendo Banco, a quien la Comisión Nacional Bancaria y de Valores, le revocó su licencia de operación, lo que generó que el agente liquidador diera por terminado por anticipado el contrato del instrumento derivado. En virtud de lo anterior, y para dar cumplimiento a las obligaciones de hacer establecida en los contratos de crédito, se requiere que el Gobierno del Estado contrate uno o varios instrumentos derivados que suplan a los dos que se dieron por terminados por anticipado.</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12"/>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En adición a los instrumentos derivados mencionados en el inciso anterior, durante la vigencia de este decreto, en caso de ser aprobado, llegarán al término de su vigencia otros cuatro contratos de instrumentos derivados que tendrán que ser sustituidos antes de su terminación.</w:t>
      </w:r>
    </w:p>
    <w:p w:rsidR="002D05D2" w:rsidRPr="002D05D2" w:rsidRDefault="002D05D2" w:rsidP="002D05D2">
      <w:pPr>
        <w:spacing w:after="0" w:line="360" w:lineRule="auto"/>
        <w:ind w:left="284" w:right="474"/>
        <w:jc w:val="both"/>
        <w:rPr>
          <w:rFonts w:ascii="Century Gothic" w:eastAsia="Arial" w:hAnsi="Century Gothic" w:cs="Arial"/>
          <w:i/>
          <w:sz w:val="24"/>
          <w:szCs w:val="24"/>
          <w:lang w:val="es-ES" w:eastAsia="en-US"/>
        </w:rPr>
      </w:pPr>
    </w:p>
    <w:p w:rsidR="002D05D2" w:rsidRPr="002D05D2" w:rsidRDefault="002D05D2" w:rsidP="007D0833">
      <w:pPr>
        <w:numPr>
          <w:ilvl w:val="0"/>
          <w:numId w:val="12"/>
        </w:numPr>
        <w:spacing w:after="0" w:line="360" w:lineRule="auto"/>
        <w:ind w:right="474"/>
        <w:jc w:val="both"/>
        <w:rPr>
          <w:rFonts w:ascii="Century Gothic" w:eastAsia="Arial" w:hAnsi="Century Gothic" w:cs="Arial"/>
          <w:i/>
          <w:sz w:val="24"/>
          <w:szCs w:val="24"/>
          <w:lang w:val="es-ES" w:eastAsia="en-US"/>
        </w:rPr>
      </w:pPr>
      <w:r w:rsidRPr="002D05D2">
        <w:rPr>
          <w:rFonts w:ascii="Century Gothic" w:eastAsia="Arial" w:hAnsi="Century Gothic" w:cs="Arial"/>
          <w:i/>
          <w:sz w:val="24"/>
          <w:szCs w:val="24"/>
          <w:lang w:val="es-ES" w:eastAsia="en-US"/>
        </w:rPr>
        <w:t xml:space="preserve">Ante las expectativas económicas mundiales y nacionales, donde se prevé un crecimiento de las tasas de interés y de la inflación, es una responsabilidad ineludible el buscar los mecanismos para proteger a la Hacienda Pública de la volatilidad, así como de circunstancias adversas que incrementen considerablemente los </w:t>
      </w:r>
      <w:r w:rsidRPr="002D05D2">
        <w:rPr>
          <w:rFonts w:ascii="Century Gothic" w:eastAsia="Arial" w:hAnsi="Century Gothic" w:cs="Arial"/>
          <w:i/>
          <w:sz w:val="24"/>
          <w:szCs w:val="24"/>
          <w:lang w:val="es-ES" w:eastAsia="en-US"/>
        </w:rPr>
        <w:lastRenderedPageBreak/>
        <w:t>costos del servicio de la deuda. A lo largo de este año los agentes económicos han modificado, al alza, sus expectativas sobre las tasas de interés en el mediano y largo plazo. En la gráfica se puede observar como el “swap” a tres años paso de un 4.36% el 6 de enero del 2021 a un 7.45% el 24 de noviembre de este mismo año. Ante este escenario económicos se está solicitando a esa Soberanía, para que, con relación a los otros 15 instrumentos derivados se pueda contratar con anticipación, nuevos instrumentos que eviten tener peores condiciones en las tasas de interés que las que actualmente están vigente en los mercados. De contarse con su autorización la Secretaría de Hacienda buscará el momento adecuado en el mercado, para concursar la contratación de estos instrumentos derivados futuros.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E04B69" w:rsidP="002D05D2">
      <w:pPr>
        <w:spacing w:after="0" w:line="360" w:lineRule="auto"/>
        <w:ind w:left="284" w:right="474"/>
        <w:jc w:val="both"/>
        <w:rPr>
          <w:rFonts w:ascii="Century Gothic" w:eastAsia="Arial" w:hAnsi="Century Gothic" w:cs="Arial"/>
          <w:i/>
          <w:sz w:val="24"/>
          <w:szCs w:val="24"/>
          <w:lang w:eastAsia="en-US"/>
        </w:rPr>
      </w:pPr>
      <w:r>
        <w:rPr>
          <w:rFonts w:ascii="Century Gothic" w:eastAsia="Arial" w:hAnsi="Century Gothic" w:cs="Arial"/>
          <w:i/>
          <w:noProof/>
          <w:sz w:val="24"/>
          <w:szCs w:val="24"/>
        </w:rPr>
        <w:drawing>
          <wp:inline distT="0" distB="0" distL="0" distR="0">
            <wp:extent cx="4743450" cy="217170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srcRect/>
                    <a:stretch>
                      <a:fillRect/>
                    </a:stretch>
                  </pic:blipFill>
                  <pic:spPr bwMode="auto">
                    <a:xfrm>
                      <a:off x="0" y="0"/>
                      <a:ext cx="4743450" cy="2171700"/>
                    </a:xfrm>
                    <a:prstGeom prst="rect">
                      <a:avLst/>
                    </a:prstGeom>
                    <a:noFill/>
                    <a:ln w="9525">
                      <a:noFill/>
                      <a:miter lim="800000"/>
                      <a:headEnd/>
                      <a:tailEnd/>
                    </a:ln>
                  </pic:spPr>
                </pic:pic>
              </a:graphicData>
            </a:graphic>
          </wp:inline>
        </w:drawing>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5"/>
        </w:numPr>
        <w:spacing w:after="0" w:line="360" w:lineRule="auto"/>
        <w:ind w:right="474"/>
        <w:jc w:val="both"/>
        <w:rPr>
          <w:rFonts w:ascii="Century Gothic" w:eastAsia="Arial" w:hAnsi="Century Gothic" w:cs="Arial"/>
          <w:i/>
          <w:sz w:val="24"/>
          <w:szCs w:val="24"/>
          <w:u w:val="single"/>
          <w:lang w:val="es-ES" w:eastAsia="en-US"/>
        </w:rPr>
      </w:pPr>
      <w:r w:rsidRPr="002D05D2">
        <w:rPr>
          <w:rFonts w:ascii="Century Gothic" w:eastAsia="Arial" w:hAnsi="Century Gothic" w:cs="Arial"/>
          <w:i/>
          <w:sz w:val="24"/>
          <w:szCs w:val="24"/>
          <w:u w:val="single"/>
          <w:lang w:val="es-ES" w:eastAsia="en-US"/>
        </w:rPr>
        <w:t>Financiamientos Comisión Estatal de Vivienda, Suelo e Infraestructura de Chihuahua</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El Gobierno del Estado es aval de dos créditos de la comisión cuyo saldo agregado es de $264,086,308.02 (doscientos sesenta y cuatro millones, ochenta y seis mil, trescientos ocho pesos 02/100). Dichos créditos están contratados a una sobre tasa que es más del triple de la que tiene en promedio el Gobierno del Estado. Al refinanciar estos créditos se puede incrementar el plazo de amortización y disminuir la tasa de interés, lo que permitirá bajar el servicio de la deuda, lo que redundará en una menor presión sobre el flujo de recursos de la Institución.</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7D0833">
      <w:pPr>
        <w:numPr>
          <w:ilvl w:val="0"/>
          <w:numId w:val="5"/>
        </w:numPr>
        <w:spacing w:after="0" w:line="360" w:lineRule="auto"/>
        <w:ind w:right="474"/>
        <w:jc w:val="both"/>
        <w:rPr>
          <w:rFonts w:ascii="Century Gothic" w:eastAsia="Arial" w:hAnsi="Century Gothic" w:cs="Arial"/>
          <w:i/>
          <w:sz w:val="24"/>
          <w:szCs w:val="24"/>
          <w:u w:val="single"/>
          <w:lang w:val="es-ES" w:eastAsia="en-US"/>
        </w:rPr>
      </w:pPr>
      <w:r w:rsidRPr="002D05D2">
        <w:rPr>
          <w:rFonts w:ascii="Century Gothic" w:eastAsia="Arial" w:hAnsi="Century Gothic" w:cs="Arial"/>
          <w:i/>
          <w:sz w:val="24"/>
          <w:szCs w:val="24"/>
          <w:u w:val="single"/>
          <w:lang w:val="es-ES" w:eastAsia="en-US"/>
        </w:rPr>
        <w:t xml:space="preserve">Financiamientos Puentes Fronterizos </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El organismo público descentralizado Fideicomiso de Puentes Fronterizos de Chihuahua tiene dos financiamientos cuya garantía y fuente de pago es el peaje de dichos puentes. Las tasas a las que se contrataron dichos créditos son excesivamente altas.</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 xml:space="preserve">El primero de los dos créditos es lo que se conoce como una deuda “senior” (una deuda preferente) que esta contratada con Banobras. El saldo de esta deuda al 31 de octubre de 2021 es de $988,904,968.80 </w:t>
      </w:r>
      <w:r w:rsidRPr="002D05D2">
        <w:rPr>
          <w:rFonts w:ascii="Century Gothic" w:eastAsia="Arial" w:hAnsi="Century Gothic" w:cs="Arial"/>
          <w:i/>
          <w:sz w:val="24"/>
          <w:szCs w:val="24"/>
          <w:lang w:eastAsia="en-US"/>
        </w:rPr>
        <w:lastRenderedPageBreak/>
        <w:t>(Novecientos ochenta y ocho millones novecientos cuatro mil novecientos sesenta y ocho pesos 80/100 M.N.),con una tasa variable de TIIE + 2.74%.</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El segundo de los créditos, es una deuda subordinada contratada con el FONADIN, cuyo saldo al 31 de octubre de 2021 es de $537,716,090.36 (Quinientos treinta y siete millones setecientos dieciséis mil noventa peso 36/100 M.N).. Este crédito tiene una tasa de UDIs + 7.5%.</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 xml:space="preserve">Los dos créditos tienen tasas elevadas y especialmente la deuda con FONADIN enfrenta una problemática similar a la de la emisión de certificados bursátiles del peaje carretero. En este caso en los últimos doce meses la deuda ha crecido en $30 millones de pesos, sin que eso representa algún beneficio. </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 xml:space="preserve">En este caso se busca hacer un refinanciamiento y que adicionalmente se puedan obtener $1,000 millones de pesos adicionales cuyo destino sería el mismo al establecido en el Fideicomiso de Puentes Fronterizos donde, por mandato, la inversión de recursos se tiene que llevar a cabo en Ciudad Juárez. </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lastRenderedPageBreak/>
        <w:t>Esta oportunidad de financiamiento resulta muy valiosa para que se tengan los medios necesarios para dotar de infraestructura al municipio del Estado con una mayor tasa de crecimiento.</w:t>
      </w: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p>
    <w:p w:rsidR="002D05D2" w:rsidRPr="002D05D2" w:rsidRDefault="002D05D2" w:rsidP="002D05D2">
      <w:pPr>
        <w:spacing w:after="0" w:line="360" w:lineRule="auto"/>
        <w:ind w:left="284" w:right="474"/>
        <w:jc w:val="both"/>
        <w:rPr>
          <w:rFonts w:ascii="Century Gothic" w:eastAsia="Arial" w:hAnsi="Century Gothic" w:cs="Arial"/>
          <w:i/>
          <w:sz w:val="24"/>
          <w:szCs w:val="24"/>
          <w:lang w:eastAsia="en-US"/>
        </w:rPr>
      </w:pPr>
      <w:r w:rsidRPr="002D05D2">
        <w:rPr>
          <w:rFonts w:ascii="Century Gothic" w:eastAsia="Arial" w:hAnsi="Century Gothic" w:cs="Arial"/>
          <w:i/>
          <w:sz w:val="24"/>
          <w:szCs w:val="24"/>
          <w:lang w:eastAsia="en-US"/>
        </w:rPr>
        <w:t>Señoras y Señores Legisladores, en síntesis, este decreto busca fortalecer financieramente a la Hacienda Pública del Estado. Las propuestas aquí presentadas se derivan de una análisis técnico y profundo tanto de los contratos y estructuras de los créditos como de las condiciones de mercado actuales. En los últimos años el Estado ha incrementado sus pasivos de diversas formas sin que eso se viera reflejado en inversión pública. Ahora tenemos la oportunidad de revertir esta situación para que a la vez que mejoramos las condiciones de nuestros financiamientos, podamos disponer de recursos para la inversión productiva del Estado para el beneficio de largo plazo del Estado.”</w:t>
      </w:r>
    </w:p>
    <w:p w:rsidR="006C0094" w:rsidRPr="006C0094" w:rsidRDefault="006C0094" w:rsidP="004C3CC2">
      <w:pPr>
        <w:pStyle w:val="Normal1"/>
        <w:spacing w:line="360" w:lineRule="auto"/>
        <w:contextualSpacing/>
        <w:jc w:val="both"/>
        <w:rPr>
          <w:rFonts w:ascii="Century Gothic" w:eastAsia="Arial" w:hAnsi="Century Gothic" w:cs="Arial"/>
          <w:color w:val="auto"/>
          <w:szCs w:val="24"/>
          <w:lang w:val="es-MX"/>
        </w:rPr>
      </w:pPr>
    </w:p>
    <w:p w:rsidR="006856B5" w:rsidRPr="00414B59" w:rsidRDefault="006856B5"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IV.-</w:t>
      </w:r>
      <w:r w:rsidRPr="00414B59">
        <w:rPr>
          <w:rFonts w:ascii="Century Gothic" w:eastAsia="Arial" w:hAnsi="Century Gothic" w:cs="Arial"/>
          <w:color w:val="auto"/>
          <w:szCs w:val="24"/>
          <w:lang w:val="es-MX"/>
        </w:rPr>
        <w:t xml:space="preserve"> Ahora bien, al entrar al estudio y análisis de la Iniciativa en comento, quienes integramos la Comisión de </w:t>
      </w:r>
      <w:r w:rsidR="00AE708E">
        <w:rPr>
          <w:rFonts w:ascii="Century Gothic" w:eastAsia="Arial" w:hAnsi="Century Gothic" w:cs="Arial"/>
          <w:color w:val="auto"/>
          <w:szCs w:val="24"/>
          <w:lang w:val="es-MX"/>
        </w:rPr>
        <w:t>Programación, Presupuesto y Hacienda Pública</w:t>
      </w:r>
      <w:r w:rsidRPr="00414B59">
        <w:rPr>
          <w:rFonts w:ascii="Century Gothic" w:eastAsia="Arial" w:hAnsi="Century Gothic" w:cs="Arial"/>
          <w:color w:val="auto"/>
          <w:szCs w:val="24"/>
          <w:lang w:val="es-MX"/>
        </w:rPr>
        <w:t>, formulamos las siguientes:</w:t>
      </w:r>
    </w:p>
    <w:p w:rsidR="003F0F20" w:rsidRPr="00414B59" w:rsidRDefault="003F0F20" w:rsidP="004C3CC2">
      <w:pPr>
        <w:pStyle w:val="Normal1"/>
        <w:spacing w:line="360" w:lineRule="auto"/>
        <w:contextualSpacing/>
        <w:jc w:val="both"/>
        <w:rPr>
          <w:rFonts w:ascii="Century Gothic" w:eastAsia="Arial" w:hAnsi="Century Gothic" w:cs="Arial"/>
          <w:color w:val="auto"/>
          <w:szCs w:val="24"/>
          <w:lang w:val="es-MX"/>
        </w:rPr>
      </w:pPr>
    </w:p>
    <w:p w:rsidR="006856B5" w:rsidRPr="00414B59" w:rsidRDefault="006856B5" w:rsidP="004C3CC2">
      <w:pPr>
        <w:pStyle w:val="Normal1"/>
        <w:spacing w:line="360" w:lineRule="auto"/>
        <w:contextualSpacing/>
        <w:jc w:val="center"/>
        <w:rPr>
          <w:rFonts w:ascii="Century Gothic" w:eastAsia="Arial" w:hAnsi="Century Gothic" w:cs="Arial"/>
          <w:b/>
          <w:color w:val="auto"/>
          <w:szCs w:val="24"/>
          <w:lang w:val="es-MX"/>
        </w:rPr>
      </w:pPr>
      <w:r w:rsidRPr="00414B59">
        <w:rPr>
          <w:rFonts w:ascii="Century Gothic" w:eastAsia="Arial" w:hAnsi="Century Gothic" w:cs="Arial"/>
          <w:b/>
          <w:color w:val="auto"/>
          <w:szCs w:val="24"/>
          <w:lang w:val="es-MX"/>
        </w:rPr>
        <w:t>CONSIDERACIONES</w:t>
      </w:r>
    </w:p>
    <w:p w:rsidR="006856B5" w:rsidRPr="00414B59" w:rsidRDefault="006856B5" w:rsidP="004C3CC2">
      <w:pPr>
        <w:pStyle w:val="Normal1"/>
        <w:spacing w:line="360" w:lineRule="auto"/>
        <w:contextualSpacing/>
        <w:jc w:val="center"/>
        <w:rPr>
          <w:rFonts w:ascii="Century Gothic" w:eastAsia="Arial" w:hAnsi="Century Gothic" w:cs="Arial"/>
          <w:color w:val="auto"/>
          <w:szCs w:val="24"/>
          <w:lang w:val="es-MX"/>
        </w:rPr>
      </w:pPr>
    </w:p>
    <w:p w:rsidR="006856B5" w:rsidRPr="00414B59" w:rsidRDefault="006856B5" w:rsidP="004C3CC2">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w:t>
      </w:r>
      <w:r w:rsidRPr="00414B59">
        <w:rPr>
          <w:rFonts w:ascii="Century Gothic" w:eastAsia="Arial" w:hAnsi="Century Gothic" w:cs="Arial"/>
          <w:color w:val="auto"/>
          <w:szCs w:val="24"/>
          <w:lang w:val="es-MX"/>
        </w:rPr>
        <w:t xml:space="preserve"> Al analizar las facultades competenciales</w:t>
      </w:r>
      <w:r w:rsidR="00414B59">
        <w:rPr>
          <w:rFonts w:ascii="Century Gothic" w:eastAsia="Arial" w:hAnsi="Century Gothic" w:cs="Arial"/>
          <w:color w:val="auto"/>
          <w:szCs w:val="24"/>
          <w:lang w:val="es-MX"/>
        </w:rPr>
        <w:t xml:space="preserve"> de este Alto Cuerpo Colegiado, </w:t>
      </w:r>
      <w:r w:rsidRPr="00414B59">
        <w:rPr>
          <w:rFonts w:ascii="Century Gothic" w:eastAsia="Arial" w:hAnsi="Century Gothic" w:cs="Arial"/>
          <w:color w:val="auto"/>
          <w:szCs w:val="24"/>
          <w:lang w:val="es-MX"/>
        </w:rPr>
        <w:t>no encontramos impedimento alguno para conocer del presente asunto.</w:t>
      </w:r>
    </w:p>
    <w:p w:rsidR="003079DE" w:rsidRPr="00414B59" w:rsidRDefault="003079DE" w:rsidP="004C3CC2">
      <w:pPr>
        <w:pStyle w:val="Normal1"/>
        <w:spacing w:line="360" w:lineRule="auto"/>
        <w:contextualSpacing/>
        <w:jc w:val="both"/>
        <w:rPr>
          <w:rFonts w:ascii="Century Gothic" w:eastAsia="Arial" w:hAnsi="Century Gothic" w:cs="Arial"/>
          <w:color w:val="auto"/>
          <w:szCs w:val="24"/>
          <w:lang w:val="es-MX"/>
        </w:rPr>
      </w:pPr>
    </w:p>
    <w:p w:rsidR="006E6D83" w:rsidRDefault="003079DE" w:rsidP="006E6D83">
      <w:pPr>
        <w:pStyle w:val="Normal1"/>
        <w:spacing w:line="360" w:lineRule="auto"/>
        <w:contextualSpacing/>
        <w:jc w:val="both"/>
        <w:rPr>
          <w:rFonts w:ascii="Century Gothic" w:eastAsia="Arial" w:hAnsi="Century Gothic" w:cs="Arial"/>
          <w:szCs w:val="24"/>
        </w:rPr>
      </w:pPr>
      <w:r w:rsidRPr="00414B59">
        <w:rPr>
          <w:rFonts w:ascii="Century Gothic" w:eastAsia="Arial" w:hAnsi="Century Gothic" w:cs="Arial"/>
          <w:b/>
          <w:color w:val="auto"/>
          <w:szCs w:val="24"/>
          <w:lang w:val="es-MX"/>
        </w:rPr>
        <w:t xml:space="preserve">II.- </w:t>
      </w:r>
      <w:r w:rsidR="00C2171A">
        <w:rPr>
          <w:rFonts w:ascii="Century Gothic" w:eastAsia="Arial" w:hAnsi="Century Gothic" w:cs="Arial"/>
          <w:szCs w:val="24"/>
          <w:lang w:val="es-MX"/>
        </w:rPr>
        <w:t>La iniciativa turnada,</w:t>
      </w:r>
      <w:r w:rsidR="00796D7D">
        <w:rPr>
          <w:rFonts w:ascii="Century Gothic" w:eastAsia="Arial" w:hAnsi="Century Gothic" w:cs="Arial"/>
          <w:szCs w:val="24"/>
          <w:lang w:val="es-MX"/>
        </w:rPr>
        <w:t xml:space="preserve"> en su primera parte</w:t>
      </w:r>
      <w:r w:rsidR="00C2171A">
        <w:rPr>
          <w:rFonts w:ascii="Century Gothic" w:eastAsia="Arial" w:hAnsi="Century Gothic" w:cs="Arial"/>
          <w:szCs w:val="24"/>
          <w:lang w:val="es-MX"/>
        </w:rPr>
        <w:t xml:space="preserve"> estima necesario</w:t>
      </w:r>
      <w:r w:rsidR="00C2171A" w:rsidRPr="00C2171A">
        <w:rPr>
          <w:rFonts w:ascii="Century Gothic" w:eastAsia="Arial" w:hAnsi="Century Gothic" w:cs="Arial"/>
          <w:szCs w:val="24"/>
          <w:lang w:val="es-MX"/>
        </w:rPr>
        <w:t xml:space="preserve"> </w:t>
      </w:r>
      <w:r w:rsidR="006E6D83">
        <w:rPr>
          <w:rFonts w:ascii="Century Gothic" w:eastAsia="Arial" w:hAnsi="Century Gothic" w:cs="Arial"/>
          <w:szCs w:val="24"/>
        </w:rPr>
        <w:t>la</w:t>
      </w:r>
      <w:r w:rsidR="006E6D83" w:rsidRPr="006E6D83">
        <w:rPr>
          <w:rFonts w:ascii="Century Gothic" w:eastAsia="Arial" w:hAnsi="Century Gothic" w:cs="Arial"/>
          <w:szCs w:val="24"/>
        </w:rPr>
        <w:t xml:space="preserve"> aprobación</w:t>
      </w:r>
      <w:r w:rsidR="006E6D83">
        <w:rPr>
          <w:rFonts w:ascii="Century Gothic" w:eastAsia="Arial" w:hAnsi="Century Gothic" w:cs="Arial"/>
          <w:szCs w:val="24"/>
        </w:rPr>
        <w:t xml:space="preserve"> por parte de esta Soberanía</w:t>
      </w:r>
      <w:r w:rsidR="006E6D83" w:rsidRPr="006E6D83">
        <w:rPr>
          <w:rFonts w:ascii="Century Gothic" w:eastAsia="Arial" w:hAnsi="Century Gothic" w:cs="Arial"/>
          <w:szCs w:val="24"/>
        </w:rPr>
        <w:t xml:space="preserve"> para contratar un crédito de largo plazo con cargo al Fondo de Aportaciones para el Fortalecimiento de las Entidades Federativas (FAFEF) por $1,000,000,000.00 (mil millones de pesos 00/100 M.N.).</w:t>
      </w:r>
    </w:p>
    <w:p w:rsidR="006E6D83" w:rsidRDefault="006E6D83" w:rsidP="006E6D83">
      <w:pPr>
        <w:pStyle w:val="Normal1"/>
        <w:spacing w:line="360" w:lineRule="auto"/>
        <w:contextualSpacing/>
        <w:jc w:val="both"/>
        <w:rPr>
          <w:rFonts w:ascii="Century Gothic" w:eastAsia="Arial" w:hAnsi="Century Gothic" w:cs="Arial"/>
          <w:szCs w:val="24"/>
        </w:rPr>
      </w:pPr>
    </w:p>
    <w:p w:rsidR="006E6D83" w:rsidRPr="006E6D83" w:rsidRDefault="006E6D83" w:rsidP="006E6D83">
      <w:pPr>
        <w:pStyle w:val="Normal1"/>
        <w:spacing w:line="360" w:lineRule="auto"/>
        <w:contextualSpacing/>
        <w:jc w:val="both"/>
        <w:rPr>
          <w:rFonts w:ascii="Century Gothic" w:eastAsia="Arial" w:hAnsi="Century Gothic" w:cs="Arial"/>
          <w:szCs w:val="24"/>
          <w:lang w:val="es-MX"/>
        </w:rPr>
      </w:pPr>
      <w:r>
        <w:rPr>
          <w:rFonts w:ascii="Century Gothic" w:eastAsia="Arial" w:hAnsi="Century Gothic" w:cs="Arial"/>
          <w:szCs w:val="24"/>
        </w:rPr>
        <w:t xml:space="preserve">Así mismo solicita la </w:t>
      </w:r>
      <w:r w:rsidRPr="006E6D83">
        <w:rPr>
          <w:rFonts w:ascii="Century Gothic" w:eastAsia="Arial" w:hAnsi="Century Gothic" w:cs="Arial"/>
          <w:szCs w:val="24"/>
          <w:lang w:val="es-MX"/>
        </w:rPr>
        <w:t>aprobación para contratar un crédito de largo plazo con  cargo  al  Fondo  de  Aportaciones  para  la  Infraestructura  Social  (FAIS)  por</w:t>
      </w:r>
      <w:r>
        <w:rPr>
          <w:rFonts w:ascii="Century Gothic" w:eastAsia="Arial" w:hAnsi="Century Gothic" w:cs="Arial"/>
          <w:szCs w:val="24"/>
          <w:lang w:val="es-MX"/>
        </w:rPr>
        <w:t xml:space="preserve"> </w:t>
      </w:r>
      <w:r w:rsidRPr="006E6D83">
        <w:rPr>
          <w:rFonts w:ascii="Century Gothic" w:eastAsia="Arial" w:hAnsi="Century Gothic" w:cs="Arial"/>
          <w:szCs w:val="24"/>
          <w:lang w:val="es-MX"/>
        </w:rPr>
        <w:t>$500,000,000.00 (quinientos millones de pesos).</w:t>
      </w:r>
    </w:p>
    <w:p w:rsidR="006E6D83" w:rsidRDefault="006E6D83" w:rsidP="006E6D83">
      <w:pPr>
        <w:pStyle w:val="Normal1"/>
        <w:spacing w:line="360" w:lineRule="auto"/>
        <w:contextualSpacing/>
        <w:rPr>
          <w:rFonts w:ascii="Century Gothic" w:eastAsia="Arial" w:hAnsi="Century Gothic" w:cs="Arial"/>
          <w:szCs w:val="24"/>
          <w:lang w:val="es-MX"/>
        </w:rPr>
      </w:pPr>
    </w:p>
    <w:p w:rsidR="006E6D83" w:rsidRDefault="006E6D83" w:rsidP="006E6D83">
      <w:pPr>
        <w:pStyle w:val="Normal1"/>
        <w:spacing w:line="360" w:lineRule="auto"/>
        <w:contextualSpacing/>
        <w:rPr>
          <w:rFonts w:ascii="Century Gothic" w:eastAsia="Arial" w:hAnsi="Century Gothic" w:cs="Arial"/>
          <w:szCs w:val="24"/>
        </w:rPr>
      </w:pPr>
      <w:r w:rsidRPr="006E6D83">
        <w:rPr>
          <w:rFonts w:ascii="Century Gothic" w:eastAsia="Arial" w:hAnsi="Century Gothic" w:cs="Arial"/>
          <w:szCs w:val="24"/>
        </w:rPr>
        <w:t>El objetivo de e</w:t>
      </w:r>
      <w:r w:rsidR="00796D7D">
        <w:rPr>
          <w:rFonts w:ascii="Century Gothic" w:eastAsia="Arial" w:hAnsi="Century Gothic" w:cs="Arial"/>
          <w:szCs w:val="24"/>
        </w:rPr>
        <w:t>stos</w:t>
      </w:r>
      <w:r w:rsidRPr="006E6D83">
        <w:rPr>
          <w:rFonts w:ascii="Century Gothic" w:eastAsia="Arial" w:hAnsi="Century Gothic" w:cs="Arial"/>
          <w:szCs w:val="24"/>
        </w:rPr>
        <w:t xml:space="preserve"> financiamiento</w:t>
      </w:r>
      <w:r w:rsidR="00796D7D">
        <w:rPr>
          <w:rFonts w:ascii="Century Gothic" w:eastAsia="Arial" w:hAnsi="Century Gothic" w:cs="Arial"/>
          <w:szCs w:val="24"/>
        </w:rPr>
        <w:t>s</w:t>
      </w:r>
      <w:r w:rsidRPr="006E6D83">
        <w:rPr>
          <w:rFonts w:ascii="Century Gothic" w:eastAsia="Arial" w:hAnsi="Century Gothic" w:cs="Arial"/>
          <w:szCs w:val="24"/>
        </w:rPr>
        <w:t xml:space="preserve"> es destinarlo a los objetivos de propios de este fondo en lo que se refiere a inversión pública productiva.</w:t>
      </w:r>
    </w:p>
    <w:p w:rsidR="003A76EE" w:rsidRPr="006E6D83" w:rsidRDefault="003A76EE" w:rsidP="00C2171A">
      <w:pPr>
        <w:pStyle w:val="Normal1"/>
        <w:spacing w:line="360" w:lineRule="auto"/>
        <w:contextualSpacing/>
        <w:jc w:val="both"/>
        <w:rPr>
          <w:rFonts w:ascii="Century Gothic" w:eastAsia="Arial" w:hAnsi="Century Gothic" w:cs="Arial"/>
          <w:szCs w:val="24"/>
        </w:rPr>
      </w:pPr>
    </w:p>
    <w:p w:rsidR="008067DA" w:rsidRDefault="00EB65F0" w:rsidP="006E6D83">
      <w:pPr>
        <w:pStyle w:val="Normal1"/>
        <w:spacing w:line="360" w:lineRule="auto"/>
        <w:contextualSpacing/>
        <w:jc w:val="both"/>
        <w:rPr>
          <w:rFonts w:ascii="Century Gothic" w:eastAsia="Arial" w:hAnsi="Century Gothic" w:cs="Arial"/>
          <w:color w:val="auto"/>
          <w:szCs w:val="24"/>
          <w:lang w:val="es-MX"/>
        </w:rPr>
      </w:pPr>
      <w:r w:rsidRPr="00414B59">
        <w:rPr>
          <w:rFonts w:ascii="Century Gothic" w:eastAsia="Arial" w:hAnsi="Century Gothic" w:cs="Arial"/>
          <w:b/>
          <w:color w:val="auto"/>
          <w:szCs w:val="24"/>
          <w:lang w:val="es-MX"/>
        </w:rPr>
        <w:t>III.-</w:t>
      </w:r>
      <w:r w:rsidRPr="00414B59">
        <w:rPr>
          <w:rFonts w:ascii="Century Gothic" w:eastAsia="Arial" w:hAnsi="Century Gothic" w:cs="Arial"/>
          <w:color w:val="auto"/>
          <w:szCs w:val="24"/>
          <w:lang w:val="es-MX"/>
        </w:rPr>
        <w:t xml:space="preserve"> </w:t>
      </w:r>
      <w:r w:rsidR="006E6D83">
        <w:rPr>
          <w:rFonts w:ascii="Century Gothic" w:eastAsia="Arial" w:hAnsi="Century Gothic" w:cs="Arial"/>
          <w:color w:val="auto"/>
          <w:szCs w:val="24"/>
          <w:lang w:val="es-MX"/>
        </w:rPr>
        <w:t>La Iniciativa en comento justifica su solicit</w:t>
      </w:r>
      <w:r w:rsidR="00D73F40">
        <w:rPr>
          <w:rFonts w:ascii="Century Gothic" w:eastAsia="Arial" w:hAnsi="Century Gothic" w:cs="Arial"/>
          <w:color w:val="auto"/>
          <w:szCs w:val="24"/>
          <w:lang w:val="es-MX"/>
        </w:rPr>
        <w:t xml:space="preserve">ud, para hacer frente a </w:t>
      </w:r>
      <w:r w:rsidR="00D73F40" w:rsidRPr="00D73F40">
        <w:rPr>
          <w:rFonts w:ascii="Century Gothic" w:eastAsia="Arial" w:hAnsi="Century Gothic" w:cs="Arial"/>
          <w:color w:val="auto"/>
          <w:szCs w:val="24"/>
          <w:lang w:val="es-MX"/>
        </w:rPr>
        <w:t>diversos problemas estructurales en las finanzas del Estado que afectan el funcionamiento del Gobierno y el desarrollo de la entida</w:t>
      </w:r>
      <w:r w:rsidR="00D73F40">
        <w:rPr>
          <w:rFonts w:ascii="Century Gothic" w:eastAsia="Arial" w:hAnsi="Century Gothic" w:cs="Arial"/>
          <w:color w:val="auto"/>
          <w:szCs w:val="24"/>
          <w:lang w:val="es-MX"/>
        </w:rPr>
        <w:t>d y como medio</w:t>
      </w:r>
      <w:r w:rsidR="00D73F40" w:rsidRPr="00D73F40">
        <w:rPr>
          <w:rFonts w:ascii="Arial" w:eastAsia="Arial" w:hAnsi="Arial" w:cs="Arial"/>
          <w:color w:val="auto"/>
          <w:spacing w:val="-1"/>
          <w:sz w:val="23"/>
          <w:szCs w:val="23"/>
          <w:lang w:val="es-MX" w:eastAsia="en-US"/>
        </w:rPr>
        <w:t xml:space="preserve"> </w:t>
      </w:r>
      <w:r w:rsidR="00D73F40" w:rsidRPr="00D73F40">
        <w:rPr>
          <w:rFonts w:ascii="Century Gothic" w:eastAsia="Arial" w:hAnsi="Century Gothic" w:cs="Arial"/>
          <w:color w:val="auto"/>
          <w:szCs w:val="24"/>
          <w:lang w:val="es-MX"/>
        </w:rPr>
        <w:t xml:space="preserve">necesario </w:t>
      </w:r>
      <w:r w:rsidR="00D73F40">
        <w:rPr>
          <w:rFonts w:ascii="Century Gothic" w:eastAsia="Arial" w:hAnsi="Century Gothic" w:cs="Arial"/>
          <w:color w:val="auto"/>
          <w:szCs w:val="24"/>
          <w:lang w:val="es-MX"/>
        </w:rPr>
        <w:t xml:space="preserve">para </w:t>
      </w:r>
      <w:r w:rsidR="00D73F40" w:rsidRPr="00D73F40">
        <w:rPr>
          <w:rFonts w:ascii="Century Gothic" w:eastAsia="Arial" w:hAnsi="Century Gothic" w:cs="Arial"/>
          <w:color w:val="auto"/>
          <w:szCs w:val="24"/>
          <w:lang w:val="es-MX"/>
        </w:rPr>
        <w:t xml:space="preserve">una nueva política de financiamiento </w:t>
      </w:r>
      <w:r w:rsidR="00D73F40">
        <w:rPr>
          <w:rFonts w:ascii="Century Gothic" w:eastAsia="Arial" w:hAnsi="Century Gothic" w:cs="Arial"/>
          <w:color w:val="auto"/>
          <w:szCs w:val="24"/>
          <w:lang w:val="es-MX"/>
        </w:rPr>
        <w:t>tendiente al</w:t>
      </w:r>
      <w:r w:rsidR="00D73F40" w:rsidRPr="00D73F40">
        <w:rPr>
          <w:rFonts w:ascii="Century Gothic" w:eastAsia="Arial" w:hAnsi="Century Gothic" w:cs="Arial"/>
          <w:color w:val="auto"/>
          <w:szCs w:val="24"/>
          <w:lang w:val="es-MX"/>
        </w:rPr>
        <w:t xml:space="preserve"> desarrollo que garantice un crecimiento sostenido para el Estado.</w:t>
      </w:r>
    </w:p>
    <w:p w:rsidR="00D73F40" w:rsidRDefault="00D73F40" w:rsidP="006E6D83">
      <w:pPr>
        <w:pStyle w:val="Normal1"/>
        <w:spacing w:line="360" w:lineRule="auto"/>
        <w:contextualSpacing/>
        <w:jc w:val="both"/>
        <w:rPr>
          <w:rFonts w:ascii="Century Gothic" w:eastAsia="Arial" w:hAnsi="Century Gothic" w:cs="Arial"/>
          <w:color w:val="auto"/>
          <w:szCs w:val="24"/>
          <w:lang w:val="es-MX"/>
        </w:rPr>
      </w:pPr>
    </w:p>
    <w:p w:rsidR="00D73F40" w:rsidRDefault="00D73F40" w:rsidP="006E6D83">
      <w:pPr>
        <w:pStyle w:val="Normal1"/>
        <w:spacing w:line="360" w:lineRule="auto"/>
        <w:contextualSpacing/>
        <w:jc w:val="both"/>
        <w:rPr>
          <w:rFonts w:ascii="Century Gothic" w:hAnsi="Century Gothic"/>
          <w:bCs/>
          <w:color w:val="auto"/>
          <w:szCs w:val="24"/>
          <w:lang w:val="es-MX"/>
        </w:rPr>
      </w:pPr>
      <w:r>
        <w:rPr>
          <w:rFonts w:ascii="Century Gothic" w:hAnsi="Century Gothic"/>
          <w:bCs/>
          <w:color w:val="auto"/>
          <w:szCs w:val="24"/>
          <w:lang w:val="es-MX"/>
        </w:rPr>
        <w:t>En primer término, por lo que respecta a la contratación del primer crédito cabe señalar que efectivamente las ventajas que representa su financiamiento son:</w:t>
      </w:r>
    </w:p>
    <w:p w:rsidR="00D73F40" w:rsidRDefault="00D73F40" w:rsidP="006E6D83">
      <w:pPr>
        <w:pStyle w:val="Normal1"/>
        <w:spacing w:line="360" w:lineRule="auto"/>
        <w:contextualSpacing/>
        <w:jc w:val="both"/>
        <w:rPr>
          <w:rFonts w:ascii="Century Gothic" w:hAnsi="Century Gothic"/>
          <w:bCs/>
          <w:color w:val="auto"/>
          <w:szCs w:val="24"/>
          <w:lang w:val="es-MX"/>
        </w:rPr>
      </w:pPr>
    </w:p>
    <w:p w:rsidR="00D73F40" w:rsidRPr="00D73F40" w:rsidRDefault="00D73F40" w:rsidP="00D73F40">
      <w:pPr>
        <w:pStyle w:val="Normal1"/>
        <w:spacing w:line="360" w:lineRule="auto"/>
        <w:contextualSpacing/>
        <w:jc w:val="both"/>
        <w:rPr>
          <w:rFonts w:ascii="Century Gothic" w:hAnsi="Century Gothic"/>
          <w:bCs/>
          <w:szCs w:val="24"/>
        </w:rPr>
      </w:pPr>
      <w:r>
        <w:rPr>
          <w:rFonts w:ascii="Century Gothic" w:hAnsi="Century Gothic"/>
          <w:bCs/>
          <w:szCs w:val="24"/>
          <w:lang w:val="es-MX"/>
        </w:rPr>
        <w:lastRenderedPageBreak/>
        <w:t>Que el</w:t>
      </w:r>
      <w:r w:rsidRPr="00D73F40">
        <w:rPr>
          <w:rFonts w:ascii="Century Gothic" w:hAnsi="Century Gothic"/>
          <w:bCs/>
          <w:szCs w:val="24"/>
        </w:rPr>
        <w:t xml:space="preserve"> FAFEF es un fondo federal que proviene del ramo general 33, por lo que no se considera recursos de libre disposición y por lo tanto no afectará a la evaluación en el sistema de alertas de la Secretaria de Hacienda y Crédito Público</w:t>
      </w:r>
      <w:r>
        <w:rPr>
          <w:rFonts w:ascii="Century Gothic" w:hAnsi="Century Gothic"/>
          <w:bCs/>
          <w:szCs w:val="24"/>
        </w:rPr>
        <w:t>, lo que representa</w:t>
      </w:r>
      <w:r w:rsidRPr="00D73F40">
        <w:rPr>
          <w:rFonts w:ascii="Century Gothic" w:hAnsi="Century Gothic"/>
          <w:bCs/>
          <w:szCs w:val="24"/>
        </w:rPr>
        <w:t xml:space="preserve"> una mejor garantía que las</w:t>
      </w:r>
      <w:r>
        <w:rPr>
          <w:rFonts w:ascii="Century Gothic" w:hAnsi="Century Gothic"/>
          <w:bCs/>
          <w:szCs w:val="24"/>
        </w:rPr>
        <w:t xml:space="preserve"> </w:t>
      </w:r>
      <w:r w:rsidRPr="00D73F40">
        <w:rPr>
          <w:rFonts w:ascii="Century Gothic" w:hAnsi="Century Gothic"/>
          <w:bCs/>
          <w:szCs w:val="24"/>
        </w:rPr>
        <w:t>Participaciones Federales. La Ley de Coordinación Fiscal Federal permite que este fondo sea utilizado como garantía y fuente de pago, hasta en un 25% ya sea del año original del crédito o del año en curso por lo que aún en un escenario de estrés, que se redujera en el futuro este fondo, la garantía puede crecer lo que hace que las calificadoras y los bancos la consideren de menor riesgo. Adicionalmente, los fondos de aportaciones del ramo 33 no disminuyen en el transcurso de un ejercicio fiscal, a diferencia de las Participaciones Federales, que si tienen ese riesgo.</w:t>
      </w:r>
    </w:p>
    <w:p w:rsidR="00D73F40" w:rsidRPr="00D73F40" w:rsidRDefault="00D73F40" w:rsidP="00D73F40">
      <w:pPr>
        <w:pStyle w:val="Normal1"/>
        <w:spacing w:line="360" w:lineRule="auto"/>
        <w:contextualSpacing/>
        <w:jc w:val="both"/>
        <w:rPr>
          <w:rFonts w:ascii="Century Gothic" w:hAnsi="Century Gothic"/>
          <w:bCs/>
          <w:szCs w:val="24"/>
        </w:rPr>
      </w:pPr>
    </w:p>
    <w:p w:rsidR="00D73F40" w:rsidRDefault="00D73F40" w:rsidP="00D73F40">
      <w:pPr>
        <w:pStyle w:val="Normal1"/>
        <w:spacing w:line="360" w:lineRule="auto"/>
        <w:contextualSpacing/>
        <w:jc w:val="both"/>
        <w:rPr>
          <w:rFonts w:ascii="Century Gothic" w:hAnsi="Century Gothic"/>
          <w:bCs/>
          <w:szCs w:val="24"/>
        </w:rPr>
      </w:pPr>
      <w:r>
        <w:rPr>
          <w:rFonts w:ascii="Century Gothic" w:hAnsi="Century Gothic"/>
          <w:bCs/>
          <w:szCs w:val="24"/>
        </w:rPr>
        <w:t xml:space="preserve">Bajo este esquema </w:t>
      </w:r>
      <w:r w:rsidRPr="00D73F40">
        <w:rPr>
          <w:rFonts w:ascii="Century Gothic" w:hAnsi="Century Gothic"/>
          <w:bCs/>
          <w:szCs w:val="24"/>
        </w:rPr>
        <w:t>el Gobierno del Estado pudiera financiarse hasta en más de $7,000 millones de pesos con este fondo, sin embargo, tomar este monto de financiamiento afectaría el flujo de este fondo en el futuro. El monto de $1,000 millones de pesos que se está considerando se pagará del crecimiento del FAFEF que se tuvo este año. Es decir, después de pagar el servicio que esta deuda generará, el monto que seguirá recibiendo el Estado del FAFEF no será inferior a lo que recibió en el 2020, de tal forma que este endeudamiento no afecta las finanzas d</w:t>
      </w:r>
      <w:r>
        <w:rPr>
          <w:rFonts w:ascii="Century Gothic" w:hAnsi="Century Gothic"/>
          <w:bCs/>
          <w:szCs w:val="24"/>
        </w:rPr>
        <w:t>el Estado</w:t>
      </w:r>
      <w:r w:rsidR="00073049">
        <w:rPr>
          <w:rFonts w:ascii="Century Gothic" w:hAnsi="Century Gothic"/>
          <w:bCs/>
          <w:szCs w:val="24"/>
        </w:rPr>
        <w:t>.</w:t>
      </w:r>
    </w:p>
    <w:p w:rsidR="00073049" w:rsidRDefault="00073049" w:rsidP="00D73F40">
      <w:pPr>
        <w:pStyle w:val="Normal1"/>
        <w:spacing w:line="360" w:lineRule="auto"/>
        <w:contextualSpacing/>
        <w:jc w:val="both"/>
        <w:rPr>
          <w:rFonts w:ascii="Century Gothic" w:hAnsi="Century Gothic"/>
          <w:bCs/>
          <w:szCs w:val="24"/>
        </w:rPr>
      </w:pPr>
    </w:p>
    <w:p w:rsidR="00073049" w:rsidRPr="00073049" w:rsidRDefault="00073049" w:rsidP="00073049">
      <w:pPr>
        <w:pStyle w:val="Normal1"/>
        <w:spacing w:line="360" w:lineRule="auto"/>
        <w:contextualSpacing/>
        <w:jc w:val="both"/>
        <w:rPr>
          <w:rFonts w:ascii="Century Gothic" w:hAnsi="Century Gothic"/>
          <w:bCs/>
          <w:szCs w:val="24"/>
          <w:lang w:val="es-MX"/>
        </w:rPr>
      </w:pPr>
      <w:r>
        <w:rPr>
          <w:rFonts w:ascii="Century Gothic" w:hAnsi="Century Gothic"/>
          <w:bCs/>
          <w:szCs w:val="24"/>
        </w:rPr>
        <w:t xml:space="preserve">Por lo que respecta al segundo financiamiento, cabe destacar que </w:t>
      </w:r>
      <w:r>
        <w:rPr>
          <w:rFonts w:ascii="Century Gothic" w:hAnsi="Century Gothic"/>
          <w:bCs/>
          <w:szCs w:val="24"/>
          <w:lang w:val="es-MX"/>
        </w:rPr>
        <w:t>e</w:t>
      </w:r>
      <w:r w:rsidRPr="00073049">
        <w:rPr>
          <w:rFonts w:ascii="Century Gothic" w:hAnsi="Century Gothic"/>
          <w:bCs/>
          <w:szCs w:val="24"/>
          <w:lang w:val="es-MX"/>
        </w:rPr>
        <w:t>l FAIS, al igual que el FAFEF es un fondo federal que proviene del ramo general</w:t>
      </w:r>
      <w:r>
        <w:rPr>
          <w:rFonts w:ascii="Century Gothic" w:hAnsi="Century Gothic"/>
          <w:bCs/>
          <w:szCs w:val="24"/>
          <w:lang w:val="es-MX"/>
        </w:rPr>
        <w:t xml:space="preserve"> </w:t>
      </w:r>
      <w:r w:rsidRPr="00073049">
        <w:rPr>
          <w:rFonts w:ascii="Century Gothic" w:hAnsi="Century Gothic"/>
          <w:bCs/>
          <w:szCs w:val="24"/>
          <w:lang w:val="es-MX"/>
        </w:rPr>
        <w:t xml:space="preserve">33, </w:t>
      </w:r>
      <w:r w:rsidRPr="00073049">
        <w:rPr>
          <w:rFonts w:ascii="Century Gothic" w:hAnsi="Century Gothic"/>
          <w:bCs/>
          <w:szCs w:val="24"/>
          <w:lang w:val="es-MX"/>
        </w:rPr>
        <w:lastRenderedPageBreak/>
        <w:t>por lo que no se considera recursos de libre disposición y por lo tanto no afectará a la calificación en el sistema de alertas de la Secretaria de Hacienda y</w:t>
      </w:r>
      <w:r>
        <w:rPr>
          <w:rFonts w:ascii="Century Gothic" w:hAnsi="Century Gothic"/>
          <w:bCs/>
          <w:szCs w:val="24"/>
          <w:lang w:val="es-MX"/>
        </w:rPr>
        <w:t xml:space="preserve"> </w:t>
      </w:r>
      <w:r w:rsidRPr="00073049">
        <w:rPr>
          <w:rFonts w:ascii="Century Gothic" w:hAnsi="Century Gothic"/>
          <w:bCs/>
          <w:szCs w:val="24"/>
          <w:lang w:val="es-MX"/>
        </w:rPr>
        <w:t>Crédito Público.</w:t>
      </w:r>
    </w:p>
    <w:p w:rsidR="00073049" w:rsidRPr="00073049" w:rsidRDefault="00073049" w:rsidP="00073049">
      <w:pPr>
        <w:pStyle w:val="Normal1"/>
        <w:spacing w:line="360" w:lineRule="auto"/>
        <w:contextualSpacing/>
        <w:jc w:val="both"/>
        <w:rPr>
          <w:rFonts w:ascii="Century Gothic" w:hAnsi="Century Gothic"/>
          <w:bCs/>
          <w:szCs w:val="24"/>
          <w:lang w:val="es-MX"/>
        </w:rPr>
      </w:pPr>
    </w:p>
    <w:p w:rsidR="00073049" w:rsidRDefault="00073049" w:rsidP="00073049">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t>Por otra parte el</w:t>
      </w:r>
      <w:r w:rsidRPr="00073049">
        <w:rPr>
          <w:rFonts w:ascii="Century Gothic" w:hAnsi="Century Gothic"/>
          <w:bCs/>
          <w:szCs w:val="24"/>
          <w:lang w:val="es-MX"/>
        </w:rPr>
        <w:t xml:space="preserve"> FAIS es una mejor garantía que las Participaciones Federales. También en forma similar al FAFEF, La Ley de Coordinación Fiscal Federal permite que este fondo sea utilizado como garantía y fuente de pago, hasta en un 25% ya sea del año original del crédito o del año en curso por lo que aún en un escenario de estrés, que se redujera en el futuro este fondo, la garantía puede crecer lo que hace que las calificadoras y los bancos la consideren de menor riesgo. Adicionalmente, los fondos de aportaciones del ramo 33 no disminuyen en el transcurso de un ejercicio fiscal, a diferencia de las Participaciones Federales, que si tienen ese riesgo.</w:t>
      </w:r>
      <w:r>
        <w:rPr>
          <w:rFonts w:ascii="Century Gothic" w:hAnsi="Century Gothic"/>
          <w:bCs/>
          <w:szCs w:val="24"/>
          <w:lang w:val="es-MX"/>
        </w:rPr>
        <w:t xml:space="preserve"> </w:t>
      </w:r>
      <w:r w:rsidRPr="00073049">
        <w:rPr>
          <w:rFonts w:ascii="Century Gothic" w:hAnsi="Century Gothic"/>
          <w:bCs/>
          <w:szCs w:val="24"/>
          <w:lang w:val="es-MX"/>
        </w:rPr>
        <w:t>El FAIS es un fondo de Ramo 33 que solo se utiliza para el financiamiento de obras de infraestructura para beneficiar a poblaciones de pobreza extrema o con alto rezago social. En la forma en que regularmente se ministra este fondo, se tiene una capacidad muy baja de planeación y de realizar obras de impacto trascendental. Al financiarnos con este fondo tendremos la oportunidad de ampliar el beneficio a esta población tan necesitada a la brevedad, sin afectar los recursos de libre disposición y el flujo de las finanzas del Estado.</w:t>
      </w:r>
    </w:p>
    <w:p w:rsidR="00073049" w:rsidRDefault="00073049" w:rsidP="00073049">
      <w:pPr>
        <w:pStyle w:val="Normal1"/>
        <w:spacing w:line="360" w:lineRule="auto"/>
        <w:contextualSpacing/>
        <w:jc w:val="both"/>
        <w:rPr>
          <w:rFonts w:ascii="Century Gothic" w:hAnsi="Century Gothic"/>
          <w:bCs/>
          <w:szCs w:val="24"/>
          <w:lang w:val="es-MX"/>
        </w:rPr>
      </w:pPr>
    </w:p>
    <w:p w:rsidR="0056335E" w:rsidRDefault="00CF01E9" w:rsidP="0056335E">
      <w:pPr>
        <w:pStyle w:val="Normal1"/>
        <w:spacing w:line="360" w:lineRule="auto"/>
        <w:contextualSpacing/>
        <w:jc w:val="both"/>
        <w:rPr>
          <w:rFonts w:ascii="Century Gothic" w:hAnsi="Century Gothic"/>
          <w:bCs/>
          <w:szCs w:val="24"/>
        </w:rPr>
      </w:pPr>
      <w:r>
        <w:rPr>
          <w:rFonts w:ascii="Century Gothic" w:hAnsi="Century Gothic"/>
          <w:b/>
          <w:bCs/>
          <w:szCs w:val="24"/>
          <w:lang w:val="es-MX"/>
        </w:rPr>
        <w:t>IV</w:t>
      </w:r>
      <w:r w:rsidR="00073049" w:rsidRPr="0056335E">
        <w:rPr>
          <w:rFonts w:ascii="Century Gothic" w:hAnsi="Century Gothic"/>
          <w:b/>
          <w:bCs/>
          <w:szCs w:val="24"/>
          <w:lang w:val="es-MX"/>
        </w:rPr>
        <w:t>.</w:t>
      </w:r>
      <w:r>
        <w:rPr>
          <w:rFonts w:ascii="Century Gothic" w:hAnsi="Century Gothic"/>
          <w:bCs/>
          <w:szCs w:val="24"/>
          <w:lang w:val="es-MX"/>
        </w:rPr>
        <w:t xml:space="preserve">- </w:t>
      </w:r>
      <w:r w:rsidR="0056335E">
        <w:rPr>
          <w:rFonts w:ascii="Century Gothic" w:hAnsi="Century Gothic"/>
          <w:bCs/>
          <w:szCs w:val="24"/>
        </w:rPr>
        <w:t xml:space="preserve">Bajo este esquema del </w:t>
      </w:r>
      <w:r w:rsidR="00073049" w:rsidRPr="00073049">
        <w:rPr>
          <w:rFonts w:ascii="Century Gothic" w:hAnsi="Century Gothic"/>
          <w:bCs/>
          <w:szCs w:val="24"/>
        </w:rPr>
        <w:t xml:space="preserve"> proceso de fortalecimiento financiero </w:t>
      </w:r>
      <w:r w:rsidR="0056335E">
        <w:rPr>
          <w:rFonts w:ascii="Century Gothic" w:hAnsi="Century Gothic"/>
          <w:bCs/>
          <w:szCs w:val="24"/>
        </w:rPr>
        <w:t xml:space="preserve">respecto a </w:t>
      </w:r>
      <w:r w:rsidR="00073049" w:rsidRPr="00073049">
        <w:rPr>
          <w:rFonts w:ascii="Century Gothic" w:hAnsi="Century Gothic"/>
          <w:bCs/>
          <w:szCs w:val="24"/>
        </w:rPr>
        <w:t xml:space="preserve"> la nueva emisión bursátil </w:t>
      </w:r>
      <w:r w:rsidR="0056335E">
        <w:rPr>
          <w:rFonts w:ascii="Century Gothic" w:hAnsi="Century Gothic"/>
          <w:bCs/>
          <w:szCs w:val="24"/>
        </w:rPr>
        <w:t>que analizamos</w:t>
      </w:r>
      <w:r w:rsidR="00073049" w:rsidRPr="00073049">
        <w:rPr>
          <w:rFonts w:ascii="Century Gothic" w:hAnsi="Century Gothic"/>
          <w:bCs/>
          <w:szCs w:val="24"/>
        </w:rPr>
        <w:t xml:space="preserve">. </w:t>
      </w:r>
      <w:r w:rsidR="0056335E">
        <w:rPr>
          <w:rFonts w:ascii="Century Gothic" w:hAnsi="Century Gothic"/>
          <w:bCs/>
          <w:szCs w:val="24"/>
        </w:rPr>
        <w:t>La propuesta del Ejecutivo</w:t>
      </w:r>
      <w:r w:rsidR="00073049" w:rsidRPr="00073049">
        <w:rPr>
          <w:rFonts w:ascii="Century Gothic" w:hAnsi="Century Gothic"/>
          <w:bCs/>
          <w:szCs w:val="24"/>
        </w:rPr>
        <w:t xml:space="preserve"> </w:t>
      </w:r>
      <w:r w:rsidR="0056335E">
        <w:rPr>
          <w:rFonts w:ascii="Century Gothic" w:hAnsi="Century Gothic"/>
          <w:bCs/>
          <w:szCs w:val="24"/>
        </w:rPr>
        <w:lastRenderedPageBreak/>
        <w:t>estima</w:t>
      </w:r>
      <w:r w:rsidR="00073049" w:rsidRPr="00073049">
        <w:rPr>
          <w:rFonts w:ascii="Century Gothic" w:hAnsi="Century Gothic"/>
          <w:bCs/>
          <w:szCs w:val="24"/>
        </w:rPr>
        <w:t xml:space="preserve"> llevar a cabo una de emisión de certificados bursátiles por la cantidad de hasta $19,600,000,000.00 (diecinueve mil seiscientos millones de pesos). </w:t>
      </w:r>
    </w:p>
    <w:p w:rsidR="0056335E" w:rsidRDefault="0056335E" w:rsidP="0056335E">
      <w:pPr>
        <w:pStyle w:val="Normal1"/>
        <w:spacing w:line="360" w:lineRule="auto"/>
        <w:contextualSpacing/>
        <w:jc w:val="both"/>
        <w:rPr>
          <w:rFonts w:ascii="Century Gothic" w:hAnsi="Century Gothic"/>
          <w:bCs/>
          <w:szCs w:val="24"/>
        </w:rPr>
      </w:pPr>
    </w:p>
    <w:p w:rsidR="0056335E" w:rsidRPr="0056335E" w:rsidRDefault="0056335E" w:rsidP="0056335E">
      <w:pPr>
        <w:pStyle w:val="Normal1"/>
        <w:spacing w:line="360" w:lineRule="auto"/>
        <w:contextualSpacing/>
        <w:jc w:val="both"/>
        <w:rPr>
          <w:rFonts w:ascii="Century Gothic" w:hAnsi="Century Gothic"/>
          <w:bCs/>
          <w:szCs w:val="24"/>
        </w:rPr>
      </w:pPr>
      <w:r>
        <w:rPr>
          <w:rFonts w:ascii="Century Gothic" w:hAnsi="Century Gothic"/>
          <w:bCs/>
          <w:szCs w:val="24"/>
        </w:rPr>
        <w:t>Dicha</w:t>
      </w:r>
      <w:r w:rsidR="00073049" w:rsidRPr="00073049">
        <w:rPr>
          <w:rFonts w:ascii="Century Gothic" w:hAnsi="Century Gothic"/>
          <w:bCs/>
          <w:szCs w:val="24"/>
        </w:rPr>
        <w:t xml:space="preserve"> emisión tendría como garantía y fuente de pago los ingresos por peaje de nueve tramos carreteros que actualmente están fideicomitidos en favor de la emisión CHIHCB 13U. </w:t>
      </w:r>
      <w:r w:rsidR="00073049" w:rsidRPr="0056335E">
        <w:rPr>
          <w:rFonts w:ascii="Century Gothic" w:hAnsi="Century Gothic"/>
          <w:bCs/>
          <w:szCs w:val="24"/>
          <w:lang w:val="es-MX"/>
        </w:rPr>
        <w:t>La nueva emisión tendría dos destinos fundamentales:</w:t>
      </w:r>
      <w:r>
        <w:rPr>
          <w:rFonts w:ascii="Century Gothic" w:hAnsi="Century Gothic"/>
          <w:bCs/>
          <w:szCs w:val="24"/>
          <w:lang w:val="es-MX"/>
        </w:rPr>
        <w:t xml:space="preserve"> </w:t>
      </w:r>
      <w:r w:rsidRPr="0056335E">
        <w:rPr>
          <w:rFonts w:ascii="Century Gothic" w:hAnsi="Century Gothic"/>
          <w:bCs/>
          <w:szCs w:val="24"/>
          <w:lang w:val="es-MX"/>
        </w:rPr>
        <w:t>Refinanciar la emisión bursátil CHIHCB 13U; y</w:t>
      </w:r>
      <w:r w:rsidRPr="0056335E">
        <w:rPr>
          <w:rFonts w:ascii="Arial" w:eastAsia="Arial" w:hAnsi="Arial" w:cs="Arial"/>
          <w:sz w:val="23"/>
          <w:szCs w:val="23"/>
          <w:lang w:eastAsia="en-US"/>
        </w:rPr>
        <w:t xml:space="preserve"> </w:t>
      </w:r>
      <w:r w:rsidRPr="0056335E">
        <w:rPr>
          <w:rFonts w:ascii="Century Gothic" w:hAnsi="Century Gothic"/>
          <w:bCs/>
          <w:szCs w:val="24"/>
        </w:rPr>
        <w:t>Contar con $3,000,000,000.00 (tres mil millones de pesos) adicionales que se destinen íntegramente a inversión pública productiva.</w:t>
      </w:r>
    </w:p>
    <w:p w:rsidR="0056335E" w:rsidRDefault="0056335E" w:rsidP="0056335E">
      <w:pPr>
        <w:pStyle w:val="Normal1"/>
        <w:spacing w:line="360" w:lineRule="auto"/>
        <w:contextualSpacing/>
        <w:jc w:val="both"/>
        <w:rPr>
          <w:rFonts w:ascii="Century Gothic" w:hAnsi="Century Gothic"/>
          <w:bCs/>
          <w:szCs w:val="24"/>
        </w:rPr>
      </w:pPr>
    </w:p>
    <w:p w:rsidR="0056335E" w:rsidRDefault="0056335E" w:rsidP="0056335E">
      <w:pPr>
        <w:pStyle w:val="Normal1"/>
        <w:spacing w:line="360" w:lineRule="auto"/>
        <w:contextualSpacing/>
        <w:jc w:val="both"/>
        <w:rPr>
          <w:rFonts w:ascii="Century Gothic" w:hAnsi="Century Gothic"/>
          <w:bCs/>
          <w:szCs w:val="24"/>
        </w:rPr>
      </w:pPr>
      <w:r>
        <w:rPr>
          <w:rFonts w:ascii="Century Gothic" w:hAnsi="Century Gothic"/>
          <w:bCs/>
          <w:szCs w:val="24"/>
        </w:rPr>
        <w:t xml:space="preserve">Cabe hacer notar que se requiere </w:t>
      </w:r>
      <w:r w:rsidRPr="0056335E">
        <w:rPr>
          <w:rFonts w:ascii="Century Gothic" w:hAnsi="Century Gothic"/>
          <w:bCs/>
          <w:szCs w:val="24"/>
          <w:lang w:val="es-MX"/>
        </w:rPr>
        <w:t>el prepago de la emisión bursátil</w:t>
      </w:r>
      <w:r w:rsidR="00CF01E9">
        <w:rPr>
          <w:rFonts w:ascii="Century Gothic" w:hAnsi="Century Gothic"/>
          <w:bCs/>
          <w:szCs w:val="24"/>
          <w:lang w:val="es-MX"/>
        </w:rPr>
        <w:t xml:space="preserve"> </w:t>
      </w:r>
      <w:r w:rsidRPr="0056335E">
        <w:rPr>
          <w:rFonts w:ascii="Century Gothic" w:hAnsi="Century Gothic"/>
          <w:bCs/>
          <w:szCs w:val="24"/>
          <w:lang w:val="es-MX"/>
        </w:rPr>
        <w:t>CHIHCB 13</w:t>
      </w:r>
      <w:r>
        <w:rPr>
          <w:rFonts w:ascii="Century Gothic" w:hAnsi="Century Gothic"/>
          <w:bCs/>
          <w:szCs w:val="24"/>
          <w:lang w:val="es-MX"/>
        </w:rPr>
        <w:t xml:space="preserve">U, ya que </w:t>
      </w:r>
      <w:r>
        <w:rPr>
          <w:rFonts w:ascii="Century Gothic" w:hAnsi="Century Gothic"/>
          <w:bCs/>
          <w:szCs w:val="24"/>
        </w:rPr>
        <w:t>l</w:t>
      </w:r>
      <w:r w:rsidRPr="0056335E">
        <w:rPr>
          <w:rFonts w:ascii="Century Gothic" w:hAnsi="Century Gothic"/>
          <w:bCs/>
          <w:szCs w:val="24"/>
        </w:rPr>
        <w:t>a emisión bursátil que fue contratada en el 2013, tiene un costo de financiamiento muy alt</w:t>
      </w:r>
      <w:r>
        <w:rPr>
          <w:rFonts w:ascii="Century Gothic" w:hAnsi="Century Gothic"/>
          <w:bCs/>
          <w:szCs w:val="24"/>
        </w:rPr>
        <w:t xml:space="preserve">o. Dicha </w:t>
      </w:r>
      <w:r w:rsidRPr="0056335E">
        <w:rPr>
          <w:rFonts w:ascii="Century Gothic" w:hAnsi="Century Gothic"/>
          <w:bCs/>
          <w:szCs w:val="24"/>
        </w:rPr>
        <w:t>emisión tiene una tasa efectiva de UDIs más 5.95%. Esto significa que la tasa real de la emisión es de 5.95% pero lo que efectivamente nos cuesta es la tasa de inflación más 5.95%. Entonces, con base en el último reporte de inflación del INEGI, que se presentó el pasado miércoles 24 de noviembre, donde a la primera quincena de noviembre se presentó una inflación anualizada del</w:t>
      </w:r>
      <w:r>
        <w:rPr>
          <w:rFonts w:ascii="Century Gothic" w:hAnsi="Century Gothic"/>
          <w:bCs/>
          <w:szCs w:val="24"/>
        </w:rPr>
        <w:t xml:space="preserve"> </w:t>
      </w:r>
      <w:r w:rsidRPr="0056335E">
        <w:rPr>
          <w:rFonts w:ascii="Century Gothic" w:hAnsi="Century Gothic"/>
          <w:bCs/>
          <w:szCs w:val="24"/>
        </w:rPr>
        <w:t>7.05%, lo que significa que la tasa de la emisión bursátil es de 7.05% más 5.95%, lo que suma 13%. Entonces por esta deuda actualmente pagamos el 13%,</w:t>
      </w:r>
      <w:r>
        <w:rPr>
          <w:rFonts w:ascii="Century Gothic" w:hAnsi="Century Gothic"/>
          <w:bCs/>
          <w:szCs w:val="24"/>
        </w:rPr>
        <w:t xml:space="preserve"> </w:t>
      </w:r>
      <w:r w:rsidRPr="0056335E">
        <w:rPr>
          <w:rFonts w:ascii="Century Gothic" w:hAnsi="Century Gothic"/>
          <w:bCs/>
          <w:szCs w:val="24"/>
        </w:rPr>
        <w:t xml:space="preserve">mientras que en el resto de la deuda de largo plazo que </w:t>
      </w:r>
      <w:r>
        <w:rPr>
          <w:rFonts w:ascii="Century Gothic" w:hAnsi="Century Gothic"/>
          <w:bCs/>
          <w:szCs w:val="24"/>
        </w:rPr>
        <w:t>está</w:t>
      </w:r>
      <w:r w:rsidRPr="0056335E">
        <w:rPr>
          <w:rFonts w:ascii="Century Gothic" w:hAnsi="Century Gothic"/>
          <w:bCs/>
          <w:szCs w:val="24"/>
        </w:rPr>
        <w:t xml:space="preserve"> contratada, en promedio, a TIIE + 0.67% equivalente en estos momentos a 5.9%.</w:t>
      </w:r>
    </w:p>
    <w:p w:rsidR="0056335E" w:rsidRDefault="0056335E" w:rsidP="0056335E">
      <w:pPr>
        <w:pStyle w:val="Normal1"/>
        <w:spacing w:line="360" w:lineRule="auto"/>
        <w:contextualSpacing/>
        <w:jc w:val="both"/>
        <w:rPr>
          <w:rFonts w:ascii="Century Gothic" w:hAnsi="Century Gothic"/>
          <w:bCs/>
          <w:szCs w:val="24"/>
        </w:rPr>
      </w:pPr>
    </w:p>
    <w:p w:rsidR="0056335E" w:rsidRDefault="0056335E" w:rsidP="0056335E">
      <w:pPr>
        <w:pStyle w:val="Normal1"/>
        <w:spacing w:line="360" w:lineRule="auto"/>
        <w:contextualSpacing/>
        <w:jc w:val="both"/>
        <w:rPr>
          <w:rFonts w:ascii="Century Gothic" w:hAnsi="Century Gothic"/>
          <w:bCs/>
          <w:szCs w:val="24"/>
          <w:lang w:val="es-MX"/>
        </w:rPr>
      </w:pPr>
      <w:r>
        <w:rPr>
          <w:rFonts w:ascii="Century Gothic" w:hAnsi="Century Gothic"/>
          <w:bCs/>
          <w:szCs w:val="24"/>
        </w:rPr>
        <w:lastRenderedPageBreak/>
        <w:t xml:space="preserve">Además, </w:t>
      </w:r>
      <w:r>
        <w:rPr>
          <w:rFonts w:ascii="Century Gothic" w:hAnsi="Century Gothic"/>
          <w:bCs/>
          <w:szCs w:val="24"/>
          <w:lang w:val="es-MX"/>
        </w:rPr>
        <w:t>l</w:t>
      </w:r>
      <w:r w:rsidRPr="0056335E">
        <w:rPr>
          <w:rFonts w:ascii="Century Gothic" w:hAnsi="Century Gothic"/>
          <w:bCs/>
          <w:szCs w:val="24"/>
          <w:lang w:val="es-MX"/>
        </w:rPr>
        <w:t>a estructura de la deuda bursátil de la emisión CHIHCB 13U hace que el monto de endeudamiento vaya creciendo conforme crecen las Unidades de Inversión o UDIs, las cuales crecen en forma similar a como crece la inflación. Para entender la gravedad de esta estructura y como afecta al Estado tenemos que considerar que en el 2012 derivado de esta emisión la entidad recibió $12 mil millones de pesos y a la fecha por servicio de esta deuda ha pagado ya $8,196 millones de pesos y sin embargo ahora se deben el equivalente a más de $15,000 millones de pesos.</w:t>
      </w:r>
    </w:p>
    <w:p w:rsidR="00DF7371" w:rsidRDefault="00DF7371" w:rsidP="0056335E">
      <w:pPr>
        <w:pStyle w:val="Normal1"/>
        <w:spacing w:line="360" w:lineRule="auto"/>
        <w:contextualSpacing/>
        <w:jc w:val="both"/>
        <w:rPr>
          <w:rFonts w:ascii="Century Gothic" w:hAnsi="Century Gothic"/>
          <w:b/>
          <w:bCs/>
          <w:szCs w:val="24"/>
          <w:lang w:val="es-MX"/>
        </w:rPr>
      </w:pPr>
    </w:p>
    <w:p w:rsidR="00DF7371" w:rsidRDefault="00DF7371" w:rsidP="00DF7371">
      <w:pPr>
        <w:pStyle w:val="Normal1"/>
        <w:spacing w:line="360" w:lineRule="auto"/>
        <w:contextualSpacing/>
        <w:jc w:val="both"/>
        <w:rPr>
          <w:rFonts w:ascii="Century Gothic" w:hAnsi="Century Gothic"/>
          <w:bCs/>
          <w:szCs w:val="24"/>
        </w:rPr>
      </w:pPr>
      <w:r w:rsidRPr="00DF7371">
        <w:rPr>
          <w:rFonts w:ascii="Century Gothic" w:hAnsi="Century Gothic"/>
          <w:b/>
          <w:bCs/>
          <w:szCs w:val="24"/>
          <w:lang w:val="es-MX"/>
        </w:rPr>
        <w:t>V.-</w:t>
      </w:r>
      <w:r>
        <w:rPr>
          <w:rFonts w:ascii="Century Gothic" w:hAnsi="Century Gothic"/>
          <w:b/>
          <w:bCs/>
          <w:szCs w:val="24"/>
          <w:lang w:val="es-MX"/>
        </w:rPr>
        <w:t xml:space="preserve"> </w:t>
      </w:r>
      <w:r w:rsidR="00877A78">
        <w:rPr>
          <w:rFonts w:ascii="Century Gothic" w:hAnsi="Century Gothic"/>
          <w:bCs/>
          <w:szCs w:val="24"/>
        </w:rPr>
        <w:t>En este primer análisis, es de destacar u</w:t>
      </w:r>
      <w:r w:rsidR="00CF01E9">
        <w:rPr>
          <w:rFonts w:ascii="Century Gothic" w:hAnsi="Century Gothic"/>
          <w:bCs/>
          <w:szCs w:val="24"/>
        </w:rPr>
        <w:t xml:space="preserve">na realidad evidente; y es que </w:t>
      </w:r>
      <w:r w:rsidR="00877A78">
        <w:rPr>
          <w:rFonts w:ascii="Century Gothic" w:hAnsi="Century Gothic"/>
          <w:bCs/>
          <w:szCs w:val="24"/>
        </w:rPr>
        <w:t>en el último año</w:t>
      </w:r>
      <w:r w:rsidRPr="00DF7371">
        <w:rPr>
          <w:rFonts w:ascii="Century Gothic" w:hAnsi="Century Gothic"/>
          <w:bCs/>
          <w:szCs w:val="24"/>
        </w:rPr>
        <w:t>, la deuda del estado de Chihuahua por concepto de esta emisión, aproximadamente creció en $1,000 millones de pesos, sin que el estado haya recibido un peso y sin que esto se pudiera traducir en alguna inversión en beneficio del Estado.</w:t>
      </w:r>
    </w:p>
    <w:p w:rsidR="00877A78" w:rsidRDefault="00877A78" w:rsidP="00DF7371">
      <w:pPr>
        <w:pStyle w:val="Normal1"/>
        <w:spacing w:line="360" w:lineRule="auto"/>
        <w:contextualSpacing/>
        <w:jc w:val="both"/>
        <w:rPr>
          <w:rFonts w:ascii="Century Gothic" w:hAnsi="Century Gothic"/>
          <w:bCs/>
          <w:szCs w:val="24"/>
        </w:rPr>
      </w:pPr>
    </w:p>
    <w:p w:rsidR="00877A78" w:rsidRPr="00877A78" w:rsidRDefault="00877A78" w:rsidP="00877A78">
      <w:pPr>
        <w:pStyle w:val="Normal1"/>
        <w:spacing w:line="360" w:lineRule="auto"/>
        <w:contextualSpacing/>
        <w:jc w:val="both"/>
        <w:rPr>
          <w:rFonts w:ascii="Century Gothic" w:hAnsi="Century Gothic"/>
          <w:bCs/>
          <w:szCs w:val="24"/>
        </w:rPr>
      </w:pPr>
      <w:r>
        <w:rPr>
          <w:rFonts w:ascii="Century Gothic" w:hAnsi="Century Gothic"/>
          <w:bCs/>
          <w:szCs w:val="24"/>
        </w:rPr>
        <w:t xml:space="preserve">Y ante el riesgo latente de que a 24 meses, con proyecciones conservadoras el Estado, bajo el esquema actual habrá contraído </w:t>
      </w:r>
      <w:r w:rsidRPr="00877A78">
        <w:rPr>
          <w:rFonts w:ascii="Century Gothic" w:hAnsi="Century Gothic"/>
          <w:bCs/>
          <w:szCs w:val="24"/>
        </w:rPr>
        <w:t xml:space="preserve">$1,320 millones de pesos de deuda adicionales, sin ningún beneficio para </w:t>
      </w:r>
      <w:r>
        <w:rPr>
          <w:rFonts w:ascii="Century Gothic" w:hAnsi="Century Gothic"/>
          <w:bCs/>
          <w:szCs w:val="24"/>
        </w:rPr>
        <w:t>nuestra Entidad</w:t>
      </w:r>
      <w:r w:rsidRPr="00877A78">
        <w:rPr>
          <w:rFonts w:ascii="Century Gothic" w:hAnsi="Century Gothic"/>
          <w:bCs/>
          <w:szCs w:val="24"/>
        </w:rPr>
        <w:t>.</w:t>
      </w:r>
    </w:p>
    <w:p w:rsidR="00DF7371" w:rsidRDefault="00DF7371" w:rsidP="00DF7371">
      <w:pPr>
        <w:pStyle w:val="Normal1"/>
        <w:spacing w:line="360" w:lineRule="auto"/>
        <w:contextualSpacing/>
        <w:jc w:val="both"/>
        <w:rPr>
          <w:rFonts w:ascii="Century Gothic" w:hAnsi="Century Gothic"/>
          <w:bCs/>
          <w:szCs w:val="24"/>
        </w:rPr>
      </w:pPr>
    </w:p>
    <w:p w:rsidR="00877A78" w:rsidRDefault="00796D7D" w:rsidP="00DF7371">
      <w:pPr>
        <w:pStyle w:val="Normal1"/>
        <w:spacing w:line="360" w:lineRule="auto"/>
        <w:contextualSpacing/>
        <w:jc w:val="both"/>
        <w:rPr>
          <w:rFonts w:ascii="Century Gothic" w:hAnsi="Century Gothic"/>
          <w:bCs/>
          <w:szCs w:val="24"/>
        </w:rPr>
      </w:pPr>
      <w:r w:rsidRPr="00796D7D">
        <w:rPr>
          <w:rFonts w:ascii="Century Gothic" w:hAnsi="Century Gothic"/>
          <w:b/>
          <w:bCs/>
          <w:szCs w:val="24"/>
        </w:rPr>
        <w:t>VI.-</w:t>
      </w:r>
      <w:r>
        <w:rPr>
          <w:rFonts w:ascii="Century Gothic" w:hAnsi="Century Gothic"/>
          <w:bCs/>
          <w:szCs w:val="24"/>
        </w:rPr>
        <w:t xml:space="preserve"> </w:t>
      </w:r>
      <w:r w:rsidR="00877A78">
        <w:rPr>
          <w:rFonts w:ascii="Century Gothic" w:hAnsi="Century Gothic"/>
          <w:bCs/>
          <w:szCs w:val="24"/>
        </w:rPr>
        <w:t xml:space="preserve">Por todo lo anteriormente analizado, </w:t>
      </w:r>
      <w:r>
        <w:rPr>
          <w:rFonts w:ascii="Century Gothic" w:hAnsi="Century Gothic"/>
          <w:bCs/>
          <w:szCs w:val="24"/>
        </w:rPr>
        <w:t xml:space="preserve">por lo que toca a este primer tema, </w:t>
      </w:r>
      <w:r w:rsidR="00877A78">
        <w:rPr>
          <w:rFonts w:ascii="Century Gothic" w:hAnsi="Century Gothic"/>
          <w:bCs/>
          <w:szCs w:val="24"/>
        </w:rPr>
        <w:t>quienes integramos esta Comisión, estimamos lo siguiente:</w:t>
      </w:r>
    </w:p>
    <w:p w:rsidR="00877A78" w:rsidRDefault="00877A78" w:rsidP="00DF7371">
      <w:pPr>
        <w:pStyle w:val="Normal1"/>
        <w:spacing w:line="360" w:lineRule="auto"/>
        <w:contextualSpacing/>
        <w:jc w:val="both"/>
        <w:rPr>
          <w:rFonts w:ascii="Century Gothic" w:hAnsi="Century Gothic"/>
          <w:bCs/>
          <w:szCs w:val="24"/>
        </w:rPr>
      </w:pPr>
    </w:p>
    <w:p w:rsidR="00877A78" w:rsidRDefault="00877A78" w:rsidP="007D0833">
      <w:pPr>
        <w:pStyle w:val="Normal1"/>
        <w:numPr>
          <w:ilvl w:val="0"/>
          <w:numId w:val="1"/>
        </w:numPr>
        <w:spacing w:line="360" w:lineRule="auto"/>
        <w:contextualSpacing/>
        <w:jc w:val="both"/>
        <w:rPr>
          <w:rFonts w:ascii="Century Gothic" w:hAnsi="Century Gothic"/>
          <w:bCs/>
          <w:szCs w:val="24"/>
          <w:lang w:val="es-MX"/>
        </w:rPr>
      </w:pPr>
      <w:r>
        <w:rPr>
          <w:rFonts w:ascii="Century Gothic" w:hAnsi="Century Gothic"/>
          <w:bCs/>
          <w:szCs w:val="24"/>
        </w:rPr>
        <w:t>L</w:t>
      </w:r>
      <w:r w:rsidRPr="00877A78">
        <w:rPr>
          <w:rFonts w:ascii="Century Gothic" w:hAnsi="Century Gothic"/>
          <w:bCs/>
          <w:szCs w:val="24"/>
          <w:lang w:val="es-MX"/>
        </w:rPr>
        <w:t>a nueva emisión bursátil tendrá una mejor estructura financiera que la anterior y podrá acceder a mejores condiciones de financiamiento</w:t>
      </w:r>
      <w:r>
        <w:rPr>
          <w:rFonts w:ascii="Century Gothic" w:hAnsi="Century Gothic"/>
          <w:bCs/>
          <w:szCs w:val="24"/>
          <w:lang w:val="es-MX"/>
        </w:rPr>
        <w:t>.</w:t>
      </w:r>
    </w:p>
    <w:p w:rsidR="00796D7D" w:rsidRDefault="00796D7D" w:rsidP="00796D7D">
      <w:pPr>
        <w:pStyle w:val="Normal1"/>
        <w:spacing w:line="360" w:lineRule="auto"/>
        <w:ind w:left="720"/>
        <w:contextualSpacing/>
        <w:jc w:val="both"/>
        <w:rPr>
          <w:rFonts w:ascii="Century Gothic" w:hAnsi="Century Gothic"/>
          <w:bCs/>
          <w:szCs w:val="24"/>
          <w:lang w:val="es-MX"/>
        </w:rPr>
      </w:pPr>
    </w:p>
    <w:p w:rsidR="00877A78" w:rsidRDefault="00877A78" w:rsidP="007D0833">
      <w:pPr>
        <w:pStyle w:val="Normal1"/>
        <w:numPr>
          <w:ilvl w:val="0"/>
          <w:numId w:val="1"/>
        </w:numPr>
        <w:spacing w:line="360" w:lineRule="auto"/>
        <w:contextualSpacing/>
        <w:jc w:val="both"/>
        <w:rPr>
          <w:rFonts w:ascii="Century Gothic" w:hAnsi="Century Gothic"/>
          <w:bCs/>
          <w:szCs w:val="24"/>
          <w:lang w:val="es-MX"/>
        </w:rPr>
      </w:pPr>
      <w:r>
        <w:rPr>
          <w:rFonts w:ascii="Century Gothic" w:hAnsi="Century Gothic"/>
          <w:bCs/>
          <w:szCs w:val="24"/>
          <w:lang w:val="es-MX"/>
        </w:rPr>
        <w:t xml:space="preserve">Dicha Emisión, </w:t>
      </w:r>
      <w:r w:rsidRPr="00877A78">
        <w:rPr>
          <w:rFonts w:ascii="Century Gothic" w:hAnsi="Century Gothic"/>
          <w:bCs/>
          <w:szCs w:val="24"/>
          <w:lang w:val="es-MX"/>
        </w:rPr>
        <w:t xml:space="preserve">no será denominada en UDIs, sino en pesos y se contratará con tasa fija o variable, </w:t>
      </w:r>
      <w:r>
        <w:rPr>
          <w:rFonts w:ascii="Century Gothic" w:hAnsi="Century Gothic"/>
          <w:bCs/>
          <w:szCs w:val="24"/>
          <w:lang w:val="es-MX"/>
        </w:rPr>
        <w:t xml:space="preserve">lo que </w:t>
      </w:r>
      <w:r w:rsidRPr="00877A78">
        <w:rPr>
          <w:rFonts w:ascii="Century Gothic" w:hAnsi="Century Gothic"/>
          <w:bCs/>
          <w:szCs w:val="24"/>
          <w:lang w:val="es-MX"/>
        </w:rPr>
        <w:t>evitará que se repita la situación de tener una deuda que crezca en el tiempo sin beneficio para el Estado.</w:t>
      </w:r>
    </w:p>
    <w:p w:rsidR="00E84F49" w:rsidRDefault="00E84F49" w:rsidP="00E84F49">
      <w:pPr>
        <w:pStyle w:val="Normal1"/>
        <w:spacing w:line="360" w:lineRule="auto"/>
        <w:contextualSpacing/>
        <w:jc w:val="both"/>
        <w:rPr>
          <w:rFonts w:ascii="Century Gothic" w:hAnsi="Century Gothic"/>
          <w:bCs/>
          <w:szCs w:val="24"/>
          <w:lang w:val="es-MX"/>
        </w:rPr>
      </w:pPr>
    </w:p>
    <w:p w:rsidR="00877A78" w:rsidRDefault="00877A78" w:rsidP="007D0833">
      <w:pPr>
        <w:pStyle w:val="Normal1"/>
        <w:numPr>
          <w:ilvl w:val="0"/>
          <w:numId w:val="1"/>
        </w:numPr>
        <w:spacing w:line="360" w:lineRule="auto"/>
        <w:contextualSpacing/>
        <w:jc w:val="both"/>
        <w:rPr>
          <w:rFonts w:ascii="Century Gothic" w:hAnsi="Century Gothic"/>
          <w:bCs/>
          <w:szCs w:val="24"/>
          <w:lang w:val="es-MX"/>
        </w:rPr>
      </w:pPr>
      <w:r>
        <w:rPr>
          <w:rFonts w:ascii="Century Gothic" w:hAnsi="Century Gothic"/>
          <w:bCs/>
          <w:szCs w:val="24"/>
          <w:lang w:val="es-MX"/>
        </w:rPr>
        <w:t xml:space="preserve">El </w:t>
      </w:r>
      <w:r w:rsidRPr="00877A78">
        <w:rPr>
          <w:rFonts w:ascii="Century Gothic" w:hAnsi="Century Gothic"/>
          <w:bCs/>
          <w:szCs w:val="24"/>
          <w:lang w:val="es-MX"/>
        </w:rPr>
        <w:t>Estado contar</w:t>
      </w:r>
      <w:r>
        <w:rPr>
          <w:rFonts w:ascii="Century Gothic" w:hAnsi="Century Gothic"/>
          <w:bCs/>
          <w:szCs w:val="24"/>
          <w:lang w:val="es-MX"/>
        </w:rPr>
        <w:t>á además</w:t>
      </w:r>
      <w:r w:rsidRPr="00877A78">
        <w:rPr>
          <w:rFonts w:ascii="Century Gothic" w:hAnsi="Century Gothic"/>
          <w:bCs/>
          <w:szCs w:val="24"/>
          <w:lang w:val="es-MX"/>
        </w:rPr>
        <w:t xml:space="preserve"> con $3,000 millones de pesos adicionales para inversiones públicas productivas.</w:t>
      </w:r>
    </w:p>
    <w:p w:rsidR="00796D7D" w:rsidRDefault="00796D7D" w:rsidP="00796D7D">
      <w:pPr>
        <w:pStyle w:val="Normal1"/>
        <w:spacing w:line="360" w:lineRule="auto"/>
        <w:ind w:left="720"/>
        <w:contextualSpacing/>
        <w:jc w:val="both"/>
        <w:rPr>
          <w:rFonts w:ascii="Century Gothic" w:hAnsi="Century Gothic"/>
          <w:bCs/>
          <w:szCs w:val="24"/>
          <w:lang w:val="es-MX"/>
        </w:rPr>
      </w:pPr>
    </w:p>
    <w:p w:rsidR="00877A78" w:rsidRDefault="00877A78" w:rsidP="007D0833">
      <w:pPr>
        <w:pStyle w:val="Normal1"/>
        <w:numPr>
          <w:ilvl w:val="0"/>
          <w:numId w:val="1"/>
        </w:numPr>
        <w:spacing w:line="360" w:lineRule="auto"/>
        <w:contextualSpacing/>
        <w:jc w:val="both"/>
        <w:rPr>
          <w:rFonts w:ascii="Century Gothic" w:hAnsi="Century Gothic"/>
          <w:bCs/>
          <w:szCs w:val="24"/>
          <w:lang w:val="es-MX"/>
        </w:rPr>
      </w:pPr>
      <w:r>
        <w:rPr>
          <w:rFonts w:ascii="Century Gothic" w:hAnsi="Century Gothic"/>
          <w:bCs/>
          <w:szCs w:val="24"/>
          <w:lang w:val="es-MX"/>
        </w:rPr>
        <w:t>Q</w:t>
      </w:r>
      <w:r w:rsidRPr="00877A78">
        <w:rPr>
          <w:rFonts w:ascii="Century Gothic" w:hAnsi="Century Gothic"/>
          <w:bCs/>
          <w:szCs w:val="24"/>
          <w:lang w:val="es-MX"/>
        </w:rPr>
        <w:t xml:space="preserve">ue la infraestructura carretera del Estado ha mostrado una evolución de los ingresos sumamente favorable, </w:t>
      </w:r>
      <w:r>
        <w:rPr>
          <w:rFonts w:ascii="Century Gothic" w:hAnsi="Century Gothic"/>
          <w:bCs/>
          <w:szCs w:val="24"/>
          <w:lang w:val="es-MX"/>
        </w:rPr>
        <w:t xml:space="preserve">manteniéndose </w:t>
      </w:r>
      <w:r w:rsidRPr="00877A78">
        <w:rPr>
          <w:rFonts w:ascii="Century Gothic" w:hAnsi="Century Gothic"/>
          <w:bCs/>
          <w:szCs w:val="24"/>
          <w:lang w:val="es-MX"/>
        </w:rPr>
        <w:t xml:space="preserve">en niveles elevados. </w:t>
      </w:r>
      <w:r>
        <w:rPr>
          <w:rFonts w:ascii="Century Gothic" w:hAnsi="Century Gothic"/>
          <w:bCs/>
          <w:szCs w:val="24"/>
          <w:lang w:val="es-MX"/>
        </w:rPr>
        <w:t>Y que dicha</w:t>
      </w:r>
      <w:r w:rsidRPr="00877A78">
        <w:rPr>
          <w:rFonts w:ascii="Century Gothic" w:hAnsi="Century Gothic"/>
          <w:bCs/>
          <w:szCs w:val="24"/>
          <w:lang w:val="es-MX"/>
        </w:rPr>
        <w:t xml:space="preserve"> situación ha hecho que la emisión bursátil con estos activos este calificada como AAA, lo que nos debe generar unas condiciones más favorables para conseguir mejores condiciones de mercado en la nueva emisión.</w:t>
      </w:r>
    </w:p>
    <w:p w:rsidR="00796D7D" w:rsidRDefault="00796D7D" w:rsidP="00796D7D">
      <w:pPr>
        <w:pStyle w:val="Normal1"/>
        <w:spacing w:line="360" w:lineRule="auto"/>
        <w:contextualSpacing/>
        <w:jc w:val="both"/>
        <w:rPr>
          <w:rFonts w:ascii="Century Gothic" w:hAnsi="Century Gothic"/>
          <w:bCs/>
          <w:szCs w:val="24"/>
          <w:lang w:val="es-MX"/>
        </w:rPr>
      </w:pPr>
    </w:p>
    <w:p w:rsidR="00796D7D" w:rsidRPr="00796D7D" w:rsidRDefault="00796D7D" w:rsidP="00796D7D">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t xml:space="preserve">En consecuencia, tras lo considerado previamente, es de estimarse procedente por este órgano dictaminador, la aprobación al Poder Ejecutivo Estatal el </w:t>
      </w:r>
      <w:r w:rsidRPr="00796D7D">
        <w:rPr>
          <w:rFonts w:ascii="Century Gothic" w:hAnsi="Century Gothic"/>
          <w:bCs/>
          <w:szCs w:val="24"/>
          <w:lang w:val="es-MX"/>
        </w:rPr>
        <w:t>crédito de largo plazo con cargo al Fondo de Aportaciones para el Fortalecimiento de las Entidades Federativas (FAFEF) por $1,000,000,000.00 (mil millones de pesos 00/100 M.N.).</w:t>
      </w:r>
    </w:p>
    <w:p w:rsidR="00796D7D" w:rsidRPr="00796D7D" w:rsidRDefault="00796D7D" w:rsidP="00796D7D">
      <w:pPr>
        <w:pStyle w:val="Normal1"/>
        <w:spacing w:line="360" w:lineRule="auto"/>
        <w:contextualSpacing/>
        <w:jc w:val="both"/>
        <w:rPr>
          <w:rFonts w:ascii="Century Gothic" w:hAnsi="Century Gothic"/>
          <w:bCs/>
          <w:szCs w:val="24"/>
          <w:lang w:val="es-MX"/>
        </w:rPr>
      </w:pPr>
    </w:p>
    <w:p w:rsidR="00796D7D" w:rsidRDefault="00796D7D" w:rsidP="00796D7D">
      <w:pPr>
        <w:pStyle w:val="Normal1"/>
        <w:spacing w:line="360" w:lineRule="auto"/>
        <w:contextualSpacing/>
        <w:jc w:val="both"/>
        <w:rPr>
          <w:rFonts w:ascii="Century Gothic" w:hAnsi="Century Gothic"/>
          <w:bCs/>
          <w:szCs w:val="24"/>
          <w:lang w:val="es-MX"/>
        </w:rPr>
      </w:pPr>
      <w:r w:rsidRPr="00796D7D">
        <w:rPr>
          <w:rFonts w:ascii="Century Gothic" w:hAnsi="Century Gothic"/>
          <w:bCs/>
          <w:szCs w:val="24"/>
          <w:lang w:val="es-MX"/>
        </w:rPr>
        <w:t>Así mismo</w:t>
      </w:r>
      <w:r>
        <w:rPr>
          <w:rFonts w:ascii="Century Gothic" w:hAnsi="Century Gothic"/>
          <w:bCs/>
          <w:szCs w:val="24"/>
          <w:lang w:val="es-MX"/>
        </w:rPr>
        <w:t xml:space="preserve">, se estima pertinente y necesaria la aprobación en los términos planteados autorizando al Poder Ejecutivo para </w:t>
      </w:r>
      <w:r w:rsidRPr="00796D7D">
        <w:rPr>
          <w:rFonts w:ascii="Century Gothic" w:hAnsi="Century Gothic"/>
          <w:bCs/>
          <w:szCs w:val="24"/>
          <w:lang w:val="es-MX"/>
        </w:rPr>
        <w:t xml:space="preserve">contratar un crédito de </w:t>
      </w:r>
      <w:r w:rsidRPr="00796D7D">
        <w:rPr>
          <w:rFonts w:ascii="Century Gothic" w:hAnsi="Century Gothic"/>
          <w:bCs/>
          <w:szCs w:val="24"/>
          <w:lang w:val="es-MX"/>
        </w:rPr>
        <w:lastRenderedPageBreak/>
        <w:t>largo plazo con  cargo  al  Fondo  de  Aportaciones  para  la  Infraestructura  Social  (FAIS)  por $500,000,000.00 (quinientos millones de pesos).</w:t>
      </w:r>
    </w:p>
    <w:p w:rsidR="00796D7D" w:rsidRDefault="00796D7D" w:rsidP="00796D7D">
      <w:pPr>
        <w:pStyle w:val="Normal1"/>
        <w:spacing w:line="360" w:lineRule="auto"/>
        <w:contextualSpacing/>
        <w:jc w:val="both"/>
        <w:rPr>
          <w:rFonts w:ascii="Century Gothic" w:hAnsi="Century Gothic"/>
          <w:bCs/>
          <w:szCs w:val="24"/>
          <w:lang w:val="es-MX"/>
        </w:rPr>
      </w:pPr>
    </w:p>
    <w:p w:rsidR="00796D7D" w:rsidRDefault="00796D7D" w:rsidP="00796D7D">
      <w:pPr>
        <w:pStyle w:val="Normal1"/>
        <w:spacing w:line="360" w:lineRule="auto"/>
        <w:contextualSpacing/>
        <w:jc w:val="both"/>
        <w:rPr>
          <w:rFonts w:ascii="Century Gothic" w:hAnsi="Century Gothic"/>
          <w:bCs/>
          <w:szCs w:val="24"/>
          <w:lang w:val="es-MX"/>
        </w:rPr>
      </w:pPr>
      <w:r w:rsidRPr="00796D7D">
        <w:rPr>
          <w:rFonts w:ascii="Century Gothic" w:hAnsi="Century Gothic"/>
          <w:b/>
          <w:bCs/>
          <w:szCs w:val="24"/>
          <w:lang w:val="es-MX"/>
        </w:rPr>
        <w:t>VII.-</w:t>
      </w:r>
      <w:r>
        <w:rPr>
          <w:rFonts w:ascii="Century Gothic" w:hAnsi="Century Gothic"/>
          <w:b/>
          <w:bCs/>
          <w:szCs w:val="24"/>
          <w:lang w:val="es-MX"/>
        </w:rPr>
        <w:t xml:space="preserve"> </w:t>
      </w:r>
      <w:r w:rsidRPr="00796D7D">
        <w:rPr>
          <w:rFonts w:ascii="Century Gothic" w:hAnsi="Century Gothic"/>
          <w:bCs/>
          <w:szCs w:val="24"/>
          <w:lang w:val="es-MX"/>
        </w:rPr>
        <w:t>La Iniciativa en comento, planteada por el Poder Ejecutivo del Estado, plantea también el refinanciamiento por $665,954,380.00 (seiscientos sesenta y cinco millones, novecientos cincuenta y cuatro mil, trescientos ochenta pesos) del crédito que se contrató con Banobras al amparo del Programa de Financiamiento para Infraestructura y Seguridad de los Estados (PROFISE).</w:t>
      </w:r>
    </w:p>
    <w:p w:rsidR="001B0220" w:rsidRDefault="001B0220" w:rsidP="00796D7D">
      <w:pPr>
        <w:pStyle w:val="Normal1"/>
        <w:spacing w:line="360" w:lineRule="auto"/>
        <w:contextualSpacing/>
        <w:jc w:val="both"/>
        <w:rPr>
          <w:rFonts w:ascii="Century Gothic" w:hAnsi="Century Gothic"/>
          <w:bCs/>
          <w:szCs w:val="24"/>
          <w:lang w:val="es-MX"/>
        </w:rPr>
      </w:pPr>
    </w:p>
    <w:p w:rsidR="00111806" w:rsidRDefault="00111806" w:rsidP="00796D7D">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t xml:space="preserve">Con este refinanciamiento se pretende mejorar las condiciones en el que originalmente fue otorgado, que resultan perniciosas a las finanzas estatales dada su desproporcionalidad. </w:t>
      </w:r>
    </w:p>
    <w:p w:rsidR="00111806" w:rsidRDefault="00111806" w:rsidP="00796D7D">
      <w:pPr>
        <w:pStyle w:val="Normal1"/>
        <w:spacing w:line="360" w:lineRule="auto"/>
        <w:contextualSpacing/>
        <w:jc w:val="both"/>
        <w:rPr>
          <w:rFonts w:ascii="Century Gothic" w:hAnsi="Century Gothic"/>
          <w:bCs/>
          <w:szCs w:val="24"/>
          <w:lang w:val="es-MX"/>
        </w:rPr>
      </w:pPr>
    </w:p>
    <w:p w:rsidR="00111806" w:rsidRDefault="00111806" w:rsidP="00796D7D">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t>Los objetivos proyectados, son detallados puntualmente de la siguiente manera:</w:t>
      </w:r>
    </w:p>
    <w:p w:rsidR="00111806" w:rsidRDefault="00111806" w:rsidP="00111806">
      <w:pPr>
        <w:pStyle w:val="Normal1"/>
        <w:spacing w:line="360" w:lineRule="auto"/>
        <w:contextualSpacing/>
        <w:jc w:val="both"/>
        <w:rPr>
          <w:rFonts w:ascii="Century Gothic" w:hAnsi="Century Gothic"/>
          <w:bCs/>
          <w:szCs w:val="24"/>
        </w:rPr>
      </w:pPr>
    </w:p>
    <w:p w:rsidR="00111806" w:rsidRPr="00111806" w:rsidRDefault="00111806" w:rsidP="007D0833">
      <w:pPr>
        <w:pStyle w:val="Normal1"/>
        <w:numPr>
          <w:ilvl w:val="0"/>
          <w:numId w:val="2"/>
        </w:numPr>
        <w:spacing w:line="360" w:lineRule="auto"/>
        <w:contextualSpacing/>
        <w:jc w:val="both"/>
        <w:rPr>
          <w:rFonts w:ascii="Century Gothic" w:hAnsi="Century Gothic"/>
          <w:bCs/>
          <w:szCs w:val="24"/>
        </w:rPr>
      </w:pPr>
      <w:r w:rsidRPr="00111806">
        <w:rPr>
          <w:rFonts w:ascii="Century Gothic" w:hAnsi="Century Gothic"/>
          <w:bCs/>
          <w:szCs w:val="24"/>
        </w:rPr>
        <w:t>Se  espera  una  disminución  en  la  tasa  de  interés  que  generará  ahorros presupuestales que en el 2022 serán de $18 millones de pesos y cada año se incrementarán. A lo largo de la duración del crédito, se estima que el Gobierno del Estado tendrá un ahorro de más de $461 millones de pesos.</w:t>
      </w:r>
    </w:p>
    <w:p w:rsidR="00111806" w:rsidRPr="00111806" w:rsidRDefault="00111806" w:rsidP="00111806">
      <w:pPr>
        <w:pStyle w:val="Normal1"/>
        <w:spacing w:line="360" w:lineRule="auto"/>
        <w:contextualSpacing/>
        <w:jc w:val="both"/>
        <w:rPr>
          <w:rFonts w:ascii="Century Gothic" w:hAnsi="Century Gothic"/>
          <w:bCs/>
          <w:szCs w:val="24"/>
        </w:rPr>
      </w:pPr>
    </w:p>
    <w:p w:rsidR="00111806" w:rsidRPr="00111806" w:rsidRDefault="00111806" w:rsidP="007D0833">
      <w:pPr>
        <w:pStyle w:val="Normal1"/>
        <w:numPr>
          <w:ilvl w:val="0"/>
          <w:numId w:val="2"/>
        </w:numPr>
        <w:spacing w:line="360" w:lineRule="auto"/>
        <w:contextualSpacing/>
        <w:jc w:val="both"/>
        <w:rPr>
          <w:rFonts w:ascii="Century Gothic" w:hAnsi="Century Gothic"/>
          <w:bCs/>
          <w:szCs w:val="24"/>
          <w:lang w:val="es-MX"/>
        </w:rPr>
      </w:pPr>
      <w:r w:rsidRPr="00111806">
        <w:rPr>
          <w:rFonts w:ascii="Century Gothic" w:hAnsi="Century Gothic"/>
          <w:bCs/>
          <w:szCs w:val="24"/>
          <w:lang w:val="es-MX"/>
        </w:rPr>
        <w:lastRenderedPageBreak/>
        <w:t>Se generaría un ahorro de gastos fiduciarios de $2.3 millones de pesos año.</w:t>
      </w:r>
    </w:p>
    <w:p w:rsidR="00111806" w:rsidRPr="00111806" w:rsidRDefault="00111806" w:rsidP="00111806">
      <w:pPr>
        <w:pStyle w:val="Normal1"/>
        <w:spacing w:line="360" w:lineRule="auto"/>
        <w:contextualSpacing/>
        <w:jc w:val="both"/>
        <w:rPr>
          <w:rFonts w:ascii="Century Gothic" w:hAnsi="Century Gothic"/>
          <w:bCs/>
          <w:szCs w:val="24"/>
          <w:lang w:val="es-MX"/>
        </w:rPr>
      </w:pPr>
    </w:p>
    <w:p w:rsidR="00111806" w:rsidRPr="00111806" w:rsidRDefault="00111806" w:rsidP="007D0833">
      <w:pPr>
        <w:pStyle w:val="Normal1"/>
        <w:numPr>
          <w:ilvl w:val="0"/>
          <w:numId w:val="2"/>
        </w:numPr>
        <w:spacing w:line="360" w:lineRule="auto"/>
        <w:contextualSpacing/>
        <w:jc w:val="both"/>
        <w:rPr>
          <w:rFonts w:ascii="Century Gothic" w:hAnsi="Century Gothic"/>
          <w:bCs/>
          <w:szCs w:val="24"/>
        </w:rPr>
      </w:pPr>
      <w:r w:rsidRPr="00111806">
        <w:rPr>
          <w:rFonts w:ascii="Century Gothic" w:hAnsi="Century Gothic"/>
          <w:bCs/>
          <w:szCs w:val="24"/>
        </w:rPr>
        <w:t>Se liberarían el 5.53% del Fondo General de Participaciones que están dadas en garantía en este crédito.</w:t>
      </w:r>
    </w:p>
    <w:p w:rsidR="00111806" w:rsidRPr="00111806" w:rsidRDefault="00111806" w:rsidP="00111806">
      <w:pPr>
        <w:pStyle w:val="Normal1"/>
        <w:spacing w:line="360" w:lineRule="auto"/>
        <w:contextualSpacing/>
        <w:jc w:val="both"/>
        <w:rPr>
          <w:rFonts w:ascii="Century Gothic" w:hAnsi="Century Gothic"/>
          <w:bCs/>
          <w:szCs w:val="24"/>
        </w:rPr>
      </w:pPr>
    </w:p>
    <w:p w:rsidR="00111806" w:rsidRDefault="00111806" w:rsidP="00111806">
      <w:pPr>
        <w:pStyle w:val="Normal1"/>
        <w:spacing w:line="360" w:lineRule="auto"/>
        <w:contextualSpacing/>
        <w:jc w:val="both"/>
        <w:rPr>
          <w:rFonts w:ascii="Century Gothic" w:hAnsi="Century Gothic"/>
          <w:bCs/>
          <w:szCs w:val="24"/>
          <w:lang w:val="es-MX"/>
        </w:rPr>
      </w:pPr>
      <w:r w:rsidRPr="00111806">
        <w:rPr>
          <w:rFonts w:ascii="Century Gothic" w:hAnsi="Century Gothic"/>
          <w:bCs/>
          <w:szCs w:val="24"/>
          <w:lang w:val="es-MX"/>
        </w:rPr>
        <w:t>Asimismo, de la mano con el refinanciamiento de la deuda bancaria del Estado de Chihuahua, la propuesta establece la necesidad de contratación de uno o varios Instrumentos Derivados</w:t>
      </w:r>
      <w:r w:rsidR="00DF64A5">
        <w:rPr>
          <w:rFonts w:ascii="Century Gothic" w:hAnsi="Century Gothic"/>
          <w:bCs/>
          <w:szCs w:val="24"/>
          <w:lang w:val="es-MX"/>
        </w:rPr>
        <w:t xml:space="preserve">, </w:t>
      </w:r>
      <w:r w:rsidR="00DF64A5" w:rsidRPr="00DF64A5">
        <w:rPr>
          <w:rFonts w:ascii="Century Gothic" w:hAnsi="Century Gothic"/>
          <w:bCs/>
          <w:szCs w:val="24"/>
          <w:lang w:val="es-MX"/>
        </w:rPr>
        <w:t>suplan a los dos que se dieron por terminados por anticipado</w:t>
      </w:r>
      <w:r w:rsidR="00DF64A5">
        <w:rPr>
          <w:rFonts w:ascii="Century Gothic" w:hAnsi="Century Gothic"/>
          <w:bCs/>
          <w:szCs w:val="24"/>
          <w:lang w:val="es-MX"/>
        </w:rPr>
        <w:t xml:space="preserve">, cuando </w:t>
      </w:r>
      <w:r w:rsidR="00DF64A5" w:rsidRPr="00DF64A5">
        <w:rPr>
          <w:rFonts w:ascii="Century Gothic" w:hAnsi="Century Gothic"/>
          <w:bCs/>
          <w:szCs w:val="24"/>
          <w:lang w:val="es-MX"/>
        </w:rPr>
        <w:t>la Comisión Nacional Bancaria y de Valores, le revocó su licencia de operación</w:t>
      </w:r>
      <w:r w:rsidR="00DF64A5">
        <w:rPr>
          <w:rFonts w:ascii="Century Gothic" w:hAnsi="Century Gothic"/>
          <w:bCs/>
          <w:szCs w:val="24"/>
          <w:lang w:val="es-MX"/>
        </w:rPr>
        <w:t xml:space="preserve"> a </w:t>
      </w:r>
      <w:r w:rsidR="00DF64A5" w:rsidRPr="00DF64A5">
        <w:rPr>
          <w:rFonts w:ascii="Century Gothic" w:hAnsi="Century Gothic"/>
          <w:bCs/>
          <w:szCs w:val="24"/>
          <w:lang w:val="es-MX"/>
        </w:rPr>
        <w:t>Accendo Banco, lo que generó que el agente liquidador diera por terminado por anticipado el contrato del instrumento derivado.</w:t>
      </w:r>
    </w:p>
    <w:p w:rsidR="00DF64A5" w:rsidRDefault="00DF64A5" w:rsidP="00111806">
      <w:pPr>
        <w:pStyle w:val="Normal1"/>
        <w:spacing w:line="360" w:lineRule="auto"/>
        <w:contextualSpacing/>
        <w:jc w:val="both"/>
        <w:rPr>
          <w:rFonts w:ascii="Century Gothic" w:hAnsi="Century Gothic"/>
          <w:bCs/>
          <w:szCs w:val="24"/>
          <w:lang w:val="es-MX"/>
        </w:rPr>
      </w:pPr>
    </w:p>
    <w:p w:rsidR="00DF64A5" w:rsidRDefault="00DF64A5" w:rsidP="00111806">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t xml:space="preserve">Este solo hecho justifica por sí misma la medida, como un instrumento necesario para dar continuidad a la </w:t>
      </w:r>
      <w:r w:rsidRPr="00DF64A5">
        <w:rPr>
          <w:rFonts w:ascii="Century Gothic" w:hAnsi="Century Gothic"/>
          <w:bCs/>
          <w:szCs w:val="24"/>
          <w:lang w:val="es-MX"/>
        </w:rPr>
        <w:t xml:space="preserve">función de estos instrumentos </w:t>
      </w:r>
      <w:r>
        <w:rPr>
          <w:rFonts w:ascii="Century Gothic" w:hAnsi="Century Gothic"/>
          <w:bCs/>
          <w:szCs w:val="24"/>
          <w:lang w:val="es-MX"/>
        </w:rPr>
        <w:t>de</w:t>
      </w:r>
      <w:r w:rsidRPr="00DF64A5">
        <w:rPr>
          <w:rFonts w:ascii="Century Gothic" w:hAnsi="Century Gothic"/>
          <w:bCs/>
          <w:szCs w:val="24"/>
          <w:lang w:val="es-MX"/>
        </w:rPr>
        <w:t xml:space="preserve"> intercambiar la tasa variable TIIE a la que fue contratado el crédito por una tasa fija por el periodo de tiempo establecido en el instrumento derivado</w:t>
      </w:r>
      <w:r>
        <w:rPr>
          <w:rFonts w:ascii="Century Gothic" w:hAnsi="Century Gothic"/>
          <w:bCs/>
          <w:szCs w:val="24"/>
          <w:lang w:val="es-MX"/>
        </w:rPr>
        <w:t>.</w:t>
      </w:r>
    </w:p>
    <w:p w:rsidR="00DF64A5" w:rsidRDefault="00DF64A5" w:rsidP="00111806">
      <w:pPr>
        <w:pStyle w:val="Normal1"/>
        <w:spacing w:line="360" w:lineRule="auto"/>
        <w:contextualSpacing/>
        <w:jc w:val="both"/>
        <w:rPr>
          <w:rFonts w:ascii="Century Gothic" w:hAnsi="Century Gothic"/>
          <w:bCs/>
          <w:szCs w:val="24"/>
          <w:lang w:val="es-MX"/>
        </w:rPr>
      </w:pPr>
    </w:p>
    <w:p w:rsidR="00DF64A5" w:rsidRPr="00DF64A5" w:rsidRDefault="00DF64A5" w:rsidP="00DF64A5">
      <w:pPr>
        <w:pStyle w:val="Normal1"/>
        <w:spacing w:line="360" w:lineRule="auto"/>
        <w:contextualSpacing/>
        <w:jc w:val="both"/>
        <w:rPr>
          <w:rFonts w:ascii="Century Gothic" w:hAnsi="Century Gothic"/>
          <w:bCs/>
          <w:szCs w:val="24"/>
        </w:rPr>
      </w:pPr>
      <w:r w:rsidRPr="00DF64A5">
        <w:rPr>
          <w:rFonts w:ascii="Century Gothic" w:hAnsi="Century Gothic"/>
          <w:bCs/>
          <w:szCs w:val="24"/>
        </w:rPr>
        <w:t xml:space="preserve">En consecuencia, tras lo considerado previamente, es de estimarse procedente por este órgano dictaminador, la aprobación al Poder Ejecutivo Estatal el refinanciamiento por $665,954,380.00 (seiscientos sesenta y cinco millones, novecientos cincuenta y cuatro mil, trescientos ochenta pesos) del </w:t>
      </w:r>
      <w:r w:rsidRPr="00DF64A5">
        <w:rPr>
          <w:rFonts w:ascii="Century Gothic" w:hAnsi="Century Gothic"/>
          <w:bCs/>
          <w:szCs w:val="24"/>
        </w:rPr>
        <w:lastRenderedPageBreak/>
        <w:t>crédito que se contrató con Banobras al amparo del Programa de Financiamiento para Infraestructura y Seguridad de los Estados (PROFISE)</w:t>
      </w:r>
    </w:p>
    <w:p w:rsidR="00DF64A5" w:rsidRPr="00DF64A5" w:rsidRDefault="00DF64A5" w:rsidP="00DF64A5">
      <w:pPr>
        <w:pStyle w:val="Normal1"/>
        <w:spacing w:line="360" w:lineRule="auto"/>
        <w:contextualSpacing/>
        <w:jc w:val="both"/>
        <w:rPr>
          <w:rFonts w:ascii="Century Gothic" w:hAnsi="Century Gothic"/>
          <w:bCs/>
          <w:szCs w:val="24"/>
        </w:rPr>
      </w:pPr>
    </w:p>
    <w:p w:rsidR="00DF64A5" w:rsidRDefault="00DF64A5" w:rsidP="00DF64A5">
      <w:pPr>
        <w:pStyle w:val="Normal1"/>
        <w:spacing w:line="360" w:lineRule="auto"/>
        <w:contextualSpacing/>
        <w:jc w:val="both"/>
        <w:rPr>
          <w:rFonts w:ascii="Century Gothic" w:hAnsi="Century Gothic"/>
          <w:bCs/>
          <w:szCs w:val="24"/>
          <w:lang w:val="es-MX"/>
        </w:rPr>
      </w:pPr>
      <w:r w:rsidRPr="00DF64A5">
        <w:rPr>
          <w:rFonts w:ascii="Century Gothic" w:hAnsi="Century Gothic"/>
          <w:bCs/>
          <w:szCs w:val="24"/>
        </w:rPr>
        <w:t xml:space="preserve">Así mismo, se estima pertinente y necesaria la aprobación en los términos planteados autorizando al Poder Ejecutivo para </w:t>
      </w:r>
      <w:r>
        <w:rPr>
          <w:rFonts w:ascii="Century Gothic" w:hAnsi="Century Gothic"/>
          <w:bCs/>
          <w:szCs w:val="24"/>
        </w:rPr>
        <w:t xml:space="preserve">la </w:t>
      </w:r>
      <w:r w:rsidRPr="00DF64A5">
        <w:rPr>
          <w:rFonts w:ascii="Century Gothic" w:hAnsi="Century Gothic"/>
          <w:bCs/>
          <w:szCs w:val="24"/>
          <w:lang w:val="es-MX"/>
        </w:rPr>
        <w:t xml:space="preserve">contratación de uno o varios Instrumentos Derivados, </w:t>
      </w:r>
      <w:r>
        <w:rPr>
          <w:rFonts w:ascii="Century Gothic" w:hAnsi="Century Gothic"/>
          <w:bCs/>
          <w:szCs w:val="24"/>
          <w:lang w:val="es-MX"/>
        </w:rPr>
        <w:t xml:space="preserve">que </w:t>
      </w:r>
      <w:r w:rsidRPr="00DF64A5">
        <w:rPr>
          <w:rFonts w:ascii="Century Gothic" w:hAnsi="Century Gothic"/>
          <w:bCs/>
          <w:szCs w:val="24"/>
          <w:lang w:val="es-MX"/>
        </w:rPr>
        <w:t xml:space="preserve">suplan a los que se dieron por terminados </w:t>
      </w:r>
      <w:r w:rsidR="00117A79">
        <w:rPr>
          <w:rFonts w:ascii="Century Gothic" w:hAnsi="Century Gothic"/>
          <w:bCs/>
          <w:szCs w:val="24"/>
          <w:lang w:val="es-MX"/>
        </w:rPr>
        <w:t>con la revocación de</w:t>
      </w:r>
      <w:r w:rsidRPr="00DF64A5">
        <w:rPr>
          <w:rFonts w:ascii="Century Gothic" w:hAnsi="Century Gothic"/>
          <w:bCs/>
          <w:szCs w:val="24"/>
          <w:lang w:val="es-MX"/>
        </w:rPr>
        <w:t xml:space="preserve"> licencia de operación</w:t>
      </w:r>
      <w:r w:rsidR="00117A79">
        <w:rPr>
          <w:rFonts w:ascii="Century Gothic" w:hAnsi="Century Gothic"/>
          <w:bCs/>
          <w:szCs w:val="24"/>
          <w:lang w:val="es-MX"/>
        </w:rPr>
        <w:t xml:space="preserve"> de</w:t>
      </w:r>
      <w:r w:rsidRPr="00DF64A5">
        <w:rPr>
          <w:rFonts w:ascii="Century Gothic" w:hAnsi="Century Gothic"/>
          <w:bCs/>
          <w:szCs w:val="24"/>
          <w:lang w:val="es-MX"/>
        </w:rPr>
        <w:t xml:space="preserve"> Accendo Banco</w:t>
      </w:r>
      <w:r w:rsidR="00117A79">
        <w:rPr>
          <w:rFonts w:ascii="Century Gothic" w:hAnsi="Century Gothic"/>
          <w:bCs/>
          <w:szCs w:val="24"/>
          <w:lang w:val="es-MX"/>
        </w:rPr>
        <w:t>,</w:t>
      </w:r>
      <w:r w:rsidRPr="00DF64A5">
        <w:rPr>
          <w:rFonts w:ascii="Century Gothic" w:hAnsi="Century Gothic"/>
          <w:bCs/>
          <w:szCs w:val="24"/>
          <w:lang w:val="es-MX"/>
        </w:rPr>
        <w:t xml:space="preserve"> </w:t>
      </w:r>
      <w:r>
        <w:rPr>
          <w:rFonts w:ascii="Century Gothic" w:hAnsi="Century Gothic"/>
          <w:bCs/>
          <w:szCs w:val="24"/>
          <w:lang w:val="es-MX"/>
        </w:rPr>
        <w:t>así como la sustitución de los contratos necesarios a este fin.</w:t>
      </w:r>
    </w:p>
    <w:p w:rsidR="00F63B61" w:rsidRDefault="00F63B61" w:rsidP="00DF64A5">
      <w:pPr>
        <w:pStyle w:val="Normal1"/>
        <w:spacing w:line="360" w:lineRule="auto"/>
        <w:contextualSpacing/>
        <w:jc w:val="both"/>
        <w:rPr>
          <w:rFonts w:ascii="Century Gothic" w:hAnsi="Century Gothic"/>
          <w:bCs/>
          <w:szCs w:val="24"/>
          <w:lang w:val="es-MX"/>
        </w:rPr>
      </w:pPr>
    </w:p>
    <w:p w:rsidR="00F63B61" w:rsidRDefault="00F63B61" w:rsidP="00F63B61">
      <w:pPr>
        <w:pStyle w:val="Normal1"/>
        <w:spacing w:line="360" w:lineRule="auto"/>
        <w:contextualSpacing/>
        <w:jc w:val="both"/>
        <w:rPr>
          <w:rFonts w:ascii="Century Gothic" w:hAnsi="Century Gothic"/>
          <w:bCs/>
          <w:szCs w:val="24"/>
          <w:lang w:val="es-MX"/>
        </w:rPr>
      </w:pPr>
      <w:r w:rsidRPr="00F63B61">
        <w:rPr>
          <w:rFonts w:ascii="Century Gothic" w:hAnsi="Century Gothic"/>
          <w:b/>
          <w:bCs/>
          <w:szCs w:val="24"/>
          <w:lang w:val="es-MX"/>
        </w:rPr>
        <w:t>VIII.-</w:t>
      </w:r>
      <w:r>
        <w:rPr>
          <w:rFonts w:ascii="Century Gothic" w:hAnsi="Century Gothic"/>
          <w:b/>
          <w:bCs/>
          <w:szCs w:val="24"/>
          <w:lang w:val="es-MX"/>
        </w:rPr>
        <w:t xml:space="preserve"> </w:t>
      </w:r>
      <w:r w:rsidRPr="00B20BFD">
        <w:rPr>
          <w:rFonts w:ascii="Century Gothic" w:hAnsi="Century Gothic"/>
          <w:bCs/>
          <w:szCs w:val="24"/>
          <w:lang w:val="es-MX"/>
        </w:rPr>
        <w:t xml:space="preserve">En este mismo esquema, el Ejecutivo del Estado, plantea el refinanciamiento de dos créditos de la Comisión  Estatal  de  Vivienda,  Suelo  e  Infraestructura  de </w:t>
      </w:r>
      <w:r w:rsidRPr="00B20BFD">
        <w:rPr>
          <w:rFonts w:ascii="Century Gothic" w:hAnsi="Century Gothic"/>
          <w:bCs/>
          <w:szCs w:val="24"/>
        </w:rPr>
        <w:t>Chihuahua,</w:t>
      </w:r>
      <w:r w:rsidR="00B20BFD" w:rsidRPr="00B20BFD">
        <w:rPr>
          <w:rFonts w:ascii="Century Gothic" w:hAnsi="Century Gothic"/>
          <w:bCs/>
          <w:szCs w:val="24"/>
        </w:rPr>
        <w:t xml:space="preserve"> para</w:t>
      </w:r>
      <w:r w:rsidR="00B20BFD" w:rsidRPr="00B20BFD">
        <w:rPr>
          <w:rFonts w:ascii="Century Gothic" w:hAnsi="Century Gothic"/>
          <w:b/>
          <w:bCs/>
          <w:szCs w:val="24"/>
        </w:rPr>
        <w:t xml:space="preserve"> </w:t>
      </w:r>
      <w:r w:rsidR="00B20BFD" w:rsidRPr="00B20BFD">
        <w:rPr>
          <w:rFonts w:ascii="Century Gothic" w:hAnsi="Century Gothic"/>
          <w:bCs/>
          <w:szCs w:val="24"/>
          <w:lang w:val="es-MX"/>
        </w:rPr>
        <w:t>incrementar el plazo de amortización y disminuir la tasa de interés, lo que permitirá bajar el servicio de la d</w:t>
      </w:r>
      <w:r w:rsidR="00B20BFD">
        <w:rPr>
          <w:rFonts w:ascii="Century Gothic" w:hAnsi="Century Gothic"/>
          <w:bCs/>
          <w:szCs w:val="24"/>
          <w:lang w:val="es-MX"/>
        </w:rPr>
        <w:t>euda.</w:t>
      </w:r>
    </w:p>
    <w:p w:rsidR="00D76CD6" w:rsidRDefault="00D76CD6" w:rsidP="00F63B61">
      <w:pPr>
        <w:pStyle w:val="Normal1"/>
        <w:spacing w:line="360" w:lineRule="auto"/>
        <w:contextualSpacing/>
        <w:jc w:val="both"/>
        <w:rPr>
          <w:rFonts w:ascii="Century Gothic" w:hAnsi="Century Gothic"/>
          <w:bCs/>
          <w:szCs w:val="24"/>
          <w:lang w:val="es-MX"/>
        </w:rPr>
      </w:pPr>
    </w:p>
    <w:p w:rsidR="00884D05" w:rsidRDefault="00D76CD6" w:rsidP="00884D05">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t>Asimismo, la Iniciadora plantea el refinanciamiento de dos créditos otorgados al</w:t>
      </w:r>
      <w:r w:rsidRPr="00D76CD6">
        <w:rPr>
          <w:rFonts w:ascii="Arial" w:eastAsia="Arial" w:hAnsi="Arial" w:cs="Arial"/>
          <w:color w:val="auto"/>
          <w:sz w:val="23"/>
          <w:szCs w:val="23"/>
          <w:lang w:val="es-MX" w:eastAsia="en-US"/>
        </w:rPr>
        <w:t xml:space="preserve"> </w:t>
      </w:r>
      <w:r w:rsidRPr="00D76CD6">
        <w:rPr>
          <w:rFonts w:ascii="Century Gothic" w:hAnsi="Century Gothic"/>
          <w:bCs/>
          <w:szCs w:val="24"/>
          <w:lang w:val="es-MX"/>
        </w:rPr>
        <w:t>Fideicomiso de Puentes Fronterizos de Chihuahua</w:t>
      </w:r>
      <w:r>
        <w:rPr>
          <w:rFonts w:ascii="Century Gothic" w:hAnsi="Century Gothic"/>
          <w:bCs/>
          <w:szCs w:val="24"/>
          <w:lang w:val="es-MX"/>
        </w:rPr>
        <w:t xml:space="preserve">, </w:t>
      </w:r>
      <w:r w:rsidRPr="00D76CD6">
        <w:rPr>
          <w:rFonts w:ascii="Century Gothic" w:hAnsi="Century Gothic"/>
          <w:bCs/>
          <w:szCs w:val="24"/>
          <w:lang w:val="es-MX"/>
        </w:rPr>
        <w:t>cuya garantía y fuente de pago es el peaje de dichos puentes</w:t>
      </w:r>
      <w:r>
        <w:rPr>
          <w:rFonts w:ascii="Century Gothic" w:hAnsi="Century Gothic"/>
          <w:bCs/>
          <w:szCs w:val="24"/>
          <w:lang w:val="es-MX"/>
        </w:rPr>
        <w:t>.</w:t>
      </w:r>
      <w:r w:rsidR="00884D05" w:rsidRPr="00884D05">
        <w:rPr>
          <w:rFonts w:ascii="Century Gothic" w:hAnsi="Century Gothic"/>
          <w:bCs/>
          <w:szCs w:val="24"/>
          <w:lang w:val="es-MX"/>
        </w:rPr>
        <w:t xml:space="preserve"> El común denominador del objeto de la petición del Ejecutivo en el refinanciamiento de estos créditos, es básicamente mejorar los términos excepcionalmente inequitativos que ofrecen al Gobierno del Estado de Chihuahua y las tasas excesivamente altas, que plantean un panorama inequitativo y pernicioso para la economía E</w:t>
      </w:r>
      <w:r w:rsidR="00884D05">
        <w:rPr>
          <w:rFonts w:ascii="Century Gothic" w:hAnsi="Century Gothic"/>
          <w:bCs/>
          <w:szCs w:val="24"/>
          <w:lang w:val="es-MX"/>
        </w:rPr>
        <w:t>statal.</w:t>
      </w:r>
    </w:p>
    <w:p w:rsidR="00E84F49" w:rsidRDefault="00E84F49" w:rsidP="00884D05">
      <w:pPr>
        <w:pStyle w:val="Normal1"/>
        <w:spacing w:line="360" w:lineRule="auto"/>
        <w:contextualSpacing/>
        <w:jc w:val="both"/>
        <w:rPr>
          <w:rFonts w:ascii="Century Gothic" w:hAnsi="Century Gothic"/>
          <w:bCs/>
          <w:szCs w:val="24"/>
          <w:lang w:val="es-MX"/>
        </w:rPr>
      </w:pPr>
    </w:p>
    <w:p w:rsidR="00E84F49" w:rsidRPr="00E84F49" w:rsidRDefault="00E84F49" w:rsidP="00E84F49">
      <w:pPr>
        <w:pStyle w:val="Normal1"/>
        <w:spacing w:line="360" w:lineRule="auto"/>
        <w:contextualSpacing/>
        <w:jc w:val="both"/>
        <w:rPr>
          <w:rFonts w:ascii="Century Gothic" w:hAnsi="Century Gothic"/>
          <w:bCs/>
          <w:szCs w:val="24"/>
          <w:lang w:val="es-MX"/>
        </w:rPr>
      </w:pPr>
      <w:r>
        <w:rPr>
          <w:rFonts w:ascii="Century Gothic" w:hAnsi="Century Gothic"/>
          <w:bCs/>
          <w:szCs w:val="24"/>
          <w:lang w:val="es-MX"/>
        </w:rPr>
        <w:lastRenderedPageBreak/>
        <w:t xml:space="preserve">En este último tema en particular, en cuanto al Artículo Séptimo del Decreto, es de resaltar que esta Comisión determinó hacer una adecuación, mediante la cual se precisa </w:t>
      </w:r>
      <w:r w:rsidRPr="00E84F49">
        <w:rPr>
          <w:rFonts w:ascii="Century Gothic" w:hAnsi="Century Gothic"/>
          <w:bCs/>
          <w:szCs w:val="24"/>
          <w:lang w:val="es-MX"/>
        </w:rPr>
        <w:t xml:space="preserve">el financiamiento de </w:t>
      </w:r>
      <w:r>
        <w:rPr>
          <w:rFonts w:ascii="Century Gothic" w:hAnsi="Century Gothic"/>
          <w:bCs/>
          <w:szCs w:val="24"/>
          <w:lang w:val="es-MX"/>
        </w:rPr>
        <w:t>la</w:t>
      </w:r>
      <w:r w:rsidRPr="00E84F49">
        <w:rPr>
          <w:rFonts w:ascii="Century Gothic" w:hAnsi="Century Gothic"/>
          <w:bCs/>
          <w:szCs w:val="24"/>
          <w:lang w:val="es-MX"/>
        </w:rPr>
        <w:t xml:space="preserve"> cantidad que será destinada a inversión pública productiva en el municipio de Juárez</w:t>
      </w:r>
      <w:r>
        <w:rPr>
          <w:rFonts w:ascii="Century Gothic" w:hAnsi="Century Gothic"/>
          <w:bCs/>
          <w:szCs w:val="24"/>
          <w:lang w:val="es-MX"/>
        </w:rPr>
        <w:t xml:space="preserve">. </w:t>
      </w:r>
      <w:r w:rsidRPr="00E84F49">
        <w:rPr>
          <w:rFonts w:ascii="Century Gothic" w:hAnsi="Century Gothic"/>
          <w:bCs/>
          <w:szCs w:val="24"/>
          <w:lang w:val="es-MX"/>
        </w:rPr>
        <w:t>Al efecto, y para tener una mayor claridad, se pretende separar el monto total solicitado por dicha Iniciadora, de conformidad con su destino, para establecer el monto que se autorice para el refinanciamiento de los dos créditos actuales y el monto que se autorice para inversión pública productiva.</w:t>
      </w:r>
    </w:p>
    <w:p w:rsidR="00884D05" w:rsidRDefault="00884D05" w:rsidP="00884D05">
      <w:pPr>
        <w:pStyle w:val="Normal1"/>
        <w:spacing w:line="360" w:lineRule="auto"/>
        <w:jc w:val="both"/>
        <w:rPr>
          <w:rFonts w:ascii="Century Gothic" w:hAnsi="Century Gothic"/>
          <w:b/>
          <w:bCs/>
          <w:szCs w:val="24"/>
        </w:rPr>
      </w:pPr>
    </w:p>
    <w:p w:rsidR="00884D05" w:rsidRPr="00884D05" w:rsidRDefault="00884D05" w:rsidP="00676296">
      <w:pPr>
        <w:pStyle w:val="Normal1"/>
        <w:spacing w:line="360" w:lineRule="auto"/>
        <w:jc w:val="both"/>
        <w:rPr>
          <w:rFonts w:ascii="Century Gothic" w:hAnsi="Century Gothic"/>
          <w:bCs/>
          <w:szCs w:val="24"/>
        </w:rPr>
      </w:pPr>
      <w:r>
        <w:rPr>
          <w:rFonts w:ascii="Century Gothic" w:hAnsi="Century Gothic"/>
          <w:b/>
          <w:bCs/>
          <w:szCs w:val="24"/>
        </w:rPr>
        <w:t>IX</w:t>
      </w:r>
      <w:r w:rsidRPr="00884D05">
        <w:rPr>
          <w:rFonts w:ascii="Century Gothic" w:hAnsi="Century Gothic"/>
          <w:b/>
          <w:bCs/>
          <w:szCs w:val="24"/>
        </w:rPr>
        <w:t xml:space="preserve">.- </w:t>
      </w:r>
      <w:r>
        <w:rPr>
          <w:rFonts w:ascii="Century Gothic" w:hAnsi="Century Gothic"/>
          <w:bCs/>
          <w:szCs w:val="24"/>
        </w:rPr>
        <w:t>Tras el detenido análisis y discusión de lo expuesto en este documento</w:t>
      </w:r>
      <w:r w:rsidRPr="00884D05">
        <w:rPr>
          <w:rFonts w:ascii="Century Gothic" w:hAnsi="Century Gothic"/>
          <w:bCs/>
          <w:szCs w:val="24"/>
        </w:rPr>
        <w:t xml:space="preserve">, </w:t>
      </w:r>
      <w:r>
        <w:rPr>
          <w:rFonts w:ascii="Century Gothic" w:hAnsi="Century Gothic"/>
          <w:bCs/>
          <w:szCs w:val="24"/>
        </w:rPr>
        <w:t xml:space="preserve">resultado </w:t>
      </w:r>
      <w:r w:rsidRPr="00884D05">
        <w:rPr>
          <w:rFonts w:ascii="Century Gothic" w:hAnsi="Century Gothic"/>
          <w:bCs/>
          <w:szCs w:val="24"/>
        </w:rPr>
        <w:t xml:space="preserve">fruto del </w:t>
      </w:r>
      <w:r>
        <w:rPr>
          <w:rFonts w:ascii="Century Gothic" w:hAnsi="Century Gothic"/>
          <w:bCs/>
          <w:szCs w:val="24"/>
        </w:rPr>
        <w:t xml:space="preserve">detenido </w:t>
      </w:r>
      <w:r w:rsidRPr="00884D05">
        <w:rPr>
          <w:rFonts w:ascii="Century Gothic" w:hAnsi="Century Gothic"/>
          <w:bCs/>
          <w:szCs w:val="24"/>
        </w:rPr>
        <w:t>estudio de la propuesta turnada para su análisis en esta Comisión de Dictamen Legislativo, es de concluirse por la misma, que la Iniciativa en comento cuenta con sustento suficiente para ser dictaminada en sentido positivo y ser sometida al pleno para su aprobación.</w:t>
      </w:r>
    </w:p>
    <w:p w:rsid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676296">
        <w:rPr>
          <w:rFonts w:ascii="Century Gothic" w:eastAsia="Century Gothic" w:hAnsi="Century Gothic" w:cs="Century Gothic"/>
          <w:b/>
          <w:color w:val="000000"/>
          <w:sz w:val="24"/>
          <w:szCs w:val="24"/>
        </w:rPr>
        <w:t>X.-</w:t>
      </w:r>
      <w:r w:rsidRPr="00EF540F">
        <w:rPr>
          <w:rFonts w:ascii="Century Gothic" w:eastAsia="Century Gothic" w:hAnsi="Century Gothic" w:cs="Century Gothic"/>
          <w:color w:val="000000"/>
          <w:sz w:val="24"/>
          <w:szCs w:val="24"/>
        </w:rPr>
        <w:t xml:space="preserve"> Para efectos de dar cumplimiento a lo establecido en los artículos 117, fracción viii de la Constitución Política de los Estados Unidos Mexicanos, y 16 y 23 de la Ley de Disciplina Financiera de las Entidades Federativas y los Municipios, a continuación, se realiza el análisis de la capacidad de pago, del destino de los Financiamientos y los recursos a ser otorgados como Fuente o Garantía de pago de los mismos.</w:t>
      </w:r>
    </w:p>
    <w:p w:rsid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b/>
          <w:i/>
          <w:iCs/>
          <w:color w:val="000000"/>
          <w:sz w:val="24"/>
          <w:szCs w:val="24"/>
          <w:u w:val="single"/>
        </w:rPr>
      </w:pPr>
      <w:r w:rsidRPr="00676296">
        <w:rPr>
          <w:rFonts w:ascii="Century Gothic" w:eastAsia="Century Gothic" w:hAnsi="Century Gothic" w:cs="Century Gothic"/>
          <w:b/>
          <w:i/>
          <w:iCs/>
          <w:color w:val="000000"/>
          <w:sz w:val="24"/>
          <w:szCs w:val="24"/>
          <w:u w:val="single"/>
        </w:rPr>
        <w:lastRenderedPageBreak/>
        <w:t>Análisis de la Capacidad de Pago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bookmarkStart w:id="0" w:name="_Hlk89995950"/>
      <w:r w:rsidRPr="00EF540F">
        <w:rPr>
          <w:rFonts w:ascii="Century Gothic" w:eastAsia="Century Gothic" w:hAnsi="Century Gothic" w:cs="Century Gothic"/>
          <w:color w:val="000000"/>
          <w:sz w:val="24"/>
          <w:szCs w:val="24"/>
          <w:lang w:val="es-ES"/>
        </w:rPr>
        <w:t>Conforme a lo establecido en el Artículo 23 de la Ley de Disciplina Financiera de las Entidades y los Municipios, se llevó a cabo un análisis de la Capacidad de Pago del Ente Público a cuyo cargo estará el financiamiento. Derivado de este análisis se concluyó lo siguiente:</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Default="00676296" w:rsidP="00AF3A8E">
      <w:pPr>
        <w:numPr>
          <w:ilvl w:val="0"/>
          <w:numId w:val="2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En lo que respecta al financiamiento con garantía y fuente de Pago del FAFEF, el servicio de esta deuda para el 2022 se estima en $80.9 millones de pesos, que representa una menor cantidad que el incremento de ese fondo para el ejercicio 2022 con relación al 2021 que es de $91.8 millones de pesos de conformidad con lo aprobado por el Congreso de la Unión. Dado lo anterior, el Gobierno del Estado no solo tendrá la capacidad de pagar este crédito, sino que contará, aun así, con mayores recursos provenientes del FAFEF que en el 2021.</w:t>
      </w:r>
    </w:p>
    <w:p w:rsidR="00676296" w:rsidRDefault="00676296" w:rsidP="00676296">
      <w:pPr>
        <w:pBdr>
          <w:top w:val="nil"/>
          <w:left w:val="nil"/>
          <w:bottom w:val="nil"/>
          <w:right w:val="nil"/>
          <w:between w:val="nil"/>
        </w:pBdr>
        <w:spacing w:after="0" w:line="360" w:lineRule="auto"/>
        <w:ind w:left="1080"/>
        <w:jc w:val="both"/>
        <w:rPr>
          <w:rFonts w:ascii="Century Gothic" w:eastAsia="Century Gothic" w:hAnsi="Century Gothic" w:cs="Century Gothic"/>
          <w:color w:val="000000"/>
          <w:sz w:val="24"/>
          <w:szCs w:val="24"/>
          <w:lang w:val="es-ES"/>
        </w:rPr>
      </w:pPr>
    </w:p>
    <w:p w:rsidR="00676296" w:rsidRDefault="00676296" w:rsidP="00676296">
      <w:pPr>
        <w:pBdr>
          <w:top w:val="nil"/>
          <w:left w:val="nil"/>
          <w:bottom w:val="nil"/>
          <w:right w:val="nil"/>
          <w:between w:val="nil"/>
        </w:pBdr>
        <w:spacing w:after="0" w:line="360" w:lineRule="auto"/>
        <w:ind w:left="1080"/>
        <w:jc w:val="both"/>
        <w:rPr>
          <w:rFonts w:ascii="Century Gothic" w:eastAsia="Century Gothic" w:hAnsi="Century Gothic" w:cs="Century Gothic"/>
          <w:color w:val="000000"/>
          <w:sz w:val="24"/>
          <w:szCs w:val="24"/>
          <w:lang w:val="es-ES"/>
        </w:rPr>
      </w:pPr>
      <w:r w:rsidRPr="00676296">
        <w:rPr>
          <w:rFonts w:ascii="Century Gothic" w:eastAsia="Century Gothic" w:hAnsi="Century Gothic" w:cs="Century Gothic"/>
          <w:color w:val="000000"/>
          <w:sz w:val="24"/>
          <w:szCs w:val="24"/>
          <w:lang w:val="es-ES"/>
        </w:rPr>
        <w:t>Adicionalmente, el porcentaje a afectar es mucho menor que el permitido por la Ley de Coordinación Fiscal Federal, lo que reafirma la Capacidad de Pago del Gobierno del Estado.</w:t>
      </w:r>
    </w:p>
    <w:p w:rsidR="00676296" w:rsidRDefault="00676296" w:rsidP="00676296">
      <w:pPr>
        <w:pBdr>
          <w:top w:val="nil"/>
          <w:left w:val="nil"/>
          <w:bottom w:val="nil"/>
          <w:right w:val="nil"/>
          <w:between w:val="nil"/>
        </w:pBdr>
        <w:spacing w:after="0" w:line="360" w:lineRule="auto"/>
        <w:ind w:left="1080"/>
        <w:jc w:val="both"/>
        <w:rPr>
          <w:rFonts w:ascii="Century Gothic" w:eastAsia="Century Gothic" w:hAnsi="Century Gothic" w:cs="Century Gothic"/>
          <w:color w:val="000000"/>
          <w:sz w:val="24"/>
          <w:szCs w:val="24"/>
          <w:lang w:val="es-ES"/>
        </w:rPr>
      </w:pPr>
    </w:p>
    <w:p w:rsidR="00676296" w:rsidRPr="00EF540F" w:rsidRDefault="00676296" w:rsidP="00676296">
      <w:pPr>
        <w:pBdr>
          <w:top w:val="nil"/>
          <w:left w:val="nil"/>
          <w:bottom w:val="nil"/>
          <w:right w:val="nil"/>
          <w:between w:val="nil"/>
        </w:pBdr>
        <w:spacing w:after="0" w:line="360" w:lineRule="auto"/>
        <w:ind w:left="1080"/>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 xml:space="preserve">Asimismo, usando datos históricos de este fondo, y considerando un escenario de tasa de interés, plazo y perfil de pagos como el que se buscará en el proceso competitivo, se estimaron las </w:t>
      </w:r>
      <w:r w:rsidRPr="00EF540F">
        <w:rPr>
          <w:rFonts w:ascii="Century Gothic" w:eastAsia="Century Gothic" w:hAnsi="Century Gothic" w:cs="Century Gothic"/>
          <w:color w:val="000000"/>
          <w:sz w:val="24"/>
          <w:szCs w:val="24"/>
          <w:lang w:val="es-ES"/>
        </w:rPr>
        <w:lastRenderedPageBreak/>
        <w:t>proyecciones del Servicio de Deuda y los índices de cobertura, los cuales comprueban la Capacidad de Pago.</w:t>
      </w:r>
    </w:p>
    <w:p w:rsidR="00676296" w:rsidRPr="00EF540F" w:rsidRDefault="00676296" w:rsidP="00676296">
      <w:pPr>
        <w:pBdr>
          <w:top w:val="nil"/>
          <w:left w:val="nil"/>
          <w:bottom w:val="nil"/>
          <w:right w:val="nil"/>
          <w:between w:val="nil"/>
        </w:pBdr>
        <w:spacing w:after="0" w:line="360" w:lineRule="auto"/>
        <w:ind w:left="1025"/>
        <w:jc w:val="both"/>
        <w:rPr>
          <w:rFonts w:ascii="Century Gothic" w:eastAsia="Century Gothic" w:hAnsi="Century Gothic" w:cs="Century Gothic"/>
          <w:color w:val="000000"/>
          <w:sz w:val="24"/>
          <w:szCs w:val="24"/>
          <w:lang w:val="es-ES"/>
        </w:rPr>
      </w:pPr>
    </w:p>
    <w:tbl>
      <w:tblPr>
        <w:tblW w:w="7360" w:type="dxa"/>
        <w:jc w:val="center"/>
        <w:tblLayout w:type="fixed"/>
        <w:tblLook w:val="04A0" w:firstRow="1" w:lastRow="0" w:firstColumn="1" w:lastColumn="0" w:noHBand="0" w:noVBand="1"/>
      </w:tblPr>
      <w:tblGrid>
        <w:gridCol w:w="1300"/>
        <w:gridCol w:w="2180"/>
        <w:gridCol w:w="2200"/>
        <w:gridCol w:w="1680"/>
      </w:tblGrid>
      <w:tr w:rsidR="00676296" w:rsidRPr="00EF540F" w:rsidTr="00676296">
        <w:trPr>
          <w:trHeight w:val="700"/>
          <w:jc w:val="center"/>
        </w:trPr>
        <w:tc>
          <w:tcPr>
            <w:tcW w:w="1300" w:type="dxa"/>
            <w:tcBorders>
              <w:top w:val="single" w:sz="8" w:space="0" w:color="auto"/>
              <w:left w:val="single" w:sz="8" w:space="0" w:color="auto"/>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AÑO</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SERVICIO DE LA DEUDA</w:t>
            </w:r>
          </w:p>
        </w:tc>
        <w:tc>
          <w:tcPr>
            <w:tcW w:w="2200" w:type="dxa"/>
            <w:tcBorders>
              <w:top w:val="single" w:sz="8" w:space="0" w:color="auto"/>
              <w:left w:val="nil"/>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FAFEF AFECTADO (10%)</w:t>
            </w:r>
          </w:p>
        </w:tc>
        <w:tc>
          <w:tcPr>
            <w:tcW w:w="1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RADIO DE COBERTURA</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2022</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80,955,026.26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135,439,868.40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1.7</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2023</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81,919,847.33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139,214,359.77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1.7</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2024</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82,829,280.21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148,094,040.15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2025</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83,898,076.77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152,221,182.95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2026</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85,165,100.34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156,463,342.58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2027</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86,846,842.99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165,823,724.37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1.9</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2028</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88,432,913.78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170,444,964.96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1.9</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2029</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90,524,766.11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175,194,992.10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1.9</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2030</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92,998,568.55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185,077,394.85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2031</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96,096,740.49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190,235,204.28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2032</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99,392,073.64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195,536,753.56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2033</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$ 103,494,856.01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200,986,048.50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1.9</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2034</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$ 108,336,671.33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211,587,206.53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2035</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$ 114,189,172.10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217,483,801.79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1.9</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2036</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$ 120,883,512.10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223,544,725.68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2037</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$ 128,244,856.68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229,774,557.77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2038</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$ 136,894,544.76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241,178,005.27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2039</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$ 145,100,826.71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247,899,248.51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1.7</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2040</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$ 151,513,267.74 </w:t>
            </w:r>
          </w:p>
        </w:tc>
        <w:tc>
          <w:tcPr>
            <w:tcW w:w="220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254,807,802.00 </w:t>
            </w:r>
          </w:p>
        </w:tc>
        <w:tc>
          <w:tcPr>
            <w:tcW w:w="16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1.7</w:t>
            </w:r>
          </w:p>
        </w:tc>
      </w:tr>
      <w:tr w:rsidR="00676296" w:rsidRPr="00EF540F" w:rsidTr="00676296">
        <w:trPr>
          <w:trHeight w:val="340"/>
          <w:jc w:val="center"/>
        </w:trPr>
        <w:tc>
          <w:tcPr>
            <w:tcW w:w="1300" w:type="dxa"/>
            <w:tcBorders>
              <w:top w:val="nil"/>
              <w:left w:val="single" w:sz="8" w:space="0" w:color="auto"/>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2041</w:t>
            </w:r>
          </w:p>
        </w:tc>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$ 156,458,959.21 </w:t>
            </w:r>
          </w:p>
        </w:tc>
        <w:tc>
          <w:tcPr>
            <w:tcW w:w="2200" w:type="dxa"/>
            <w:tcBorders>
              <w:top w:val="nil"/>
              <w:left w:val="nil"/>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261,908,885.76 </w:t>
            </w:r>
          </w:p>
        </w:tc>
        <w:tc>
          <w:tcPr>
            <w:tcW w:w="1680" w:type="dxa"/>
            <w:tcBorders>
              <w:top w:val="nil"/>
              <w:left w:val="single" w:sz="8" w:space="0" w:color="auto"/>
              <w:bottom w:val="single" w:sz="8"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1.7</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Default="00676296" w:rsidP="00AF3A8E">
      <w:pPr>
        <w:numPr>
          <w:ilvl w:val="0"/>
          <w:numId w:val="2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 xml:space="preserve">En segundo lugar, se consideró el financiamiento con garantía y fuente de pago del FAIS. Al ser un fondo que tiene recursos etiquetados en su destino, y que previamente, no tiene </w:t>
      </w:r>
      <w:r w:rsidRPr="00EF540F">
        <w:rPr>
          <w:rFonts w:ascii="Century Gothic" w:eastAsia="Century Gothic" w:hAnsi="Century Gothic" w:cs="Century Gothic"/>
          <w:color w:val="000000"/>
          <w:sz w:val="24"/>
          <w:szCs w:val="24"/>
          <w:lang w:val="es-ES"/>
        </w:rPr>
        <w:lastRenderedPageBreak/>
        <w:t>comprometido o dado en garantía algún porcentaje resulta evidente que se tiene la Capacidad de Pago suficiente. Esto se ratifica porque la propuesta está dentro del límite establecido en la Ley de Coordinación Fiscal Federal que es del 25% del fondo. Adicionalmente, el hecho de que ese 25% por ciento pueda ser un porcentaje de fondo del año original o del año en curso significa que esta garantía y fuente de pago nunca va a decrecer y por lo tanto se reafirma la Capacidad de Pago.</w:t>
      </w:r>
    </w:p>
    <w:p w:rsidR="00676296" w:rsidRDefault="00676296" w:rsidP="00676296">
      <w:pPr>
        <w:pBdr>
          <w:top w:val="nil"/>
          <w:left w:val="nil"/>
          <w:bottom w:val="nil"/>
          <w:right w:val="nil"/>
          <w:between w:val="nil"/>
        </w:pBdr>
        <w:spacing w:after="0" w:line="360" w:lineRule="auto"/>
        <w:ind w:left="1080"/>
        <w:jc w:val="both"/>
        <w:rPr>
          <w:rFonts w:ascii="Century Gothic" w:eastAsia="Century Gothic" w:hAnsi="Century Gothic" w:cs="Century Gothic"/>
          <w:color w:val="000000"/>
          <w:sz w:val="24"/>
          <w:szCs w:val="24"/>
          <w:lang w:val="es-ES"/>
        </w:rPr>
      </w:pPr>
    </w:p>
    <w:p w:rsidR="00676296" w:rsidRPr="00676296" w:rsidRDefault="00676296" w:rsidP="00676296">
      <w:pPr>
        <w:pBdr>
          <w:top w:val="nil"/>
          <w:left w:val="nil"/>
          <w:bottom w:val="nil"/>
          <w:right w:val="nil"/>
          <w:between w:val="nil"/>
        </w:pBdr>
        <w:spacing w:after="0" w:line="360" w:lineRule="auto"/>
        <w:ind w:left="1080"/>
        <w:jc w:val="both"/>
        <w:rPr>
          <w:rFonts w:ascii="Century Gothic" w:eastAsia="Century Gothic" w:hAnsi="Century Gothic" w:cs="Century Gothic"/>
          <w:color w:val="000000"/>
          <w:sz w:val="24"/>
          <w:szCs w:val="24"/>
          <w:lang w:val="es-ES"/>
        </w:rPr>
      </w:pPr>
      <w:r w:rsidRPr="00676296">
        <w:rPr>
          <w:rFonts w:ascii="Century Gothic" w:eastAsia="Century Gothic" w:hAnsi="Century Gothic" w:cs="Century Gothic"/>
          <w:color w:val="000000"/>
          <w:sz w:val="24"/>
          <w:szCs w:val="24"/>
          <w:lang w:val="es-ES"/>
        </w:rPr>
        <w:t>También en este caso, usando datos históricos de este fondo, y considerando un escenario de tasa de interés, plazo y perfil de pagos como el que se buscará en el proceso competitivo, se estimaron las proyecciones del Servicio de Deuda y los índices de cobertura, los cuales comprueban la Capacidad de Pago.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tbl>
      <w:tblPr>
        <w:tblW w:w="7540" w:type="dxa"/>
        <w:jc w:val="center"/>
        <w:tblLayout w:type="fixed"/>
        <w:tblLook w:val="04A0" w:firstRow="1" w:lastRow="0" w:firstColumn="1" w:lastColumn="0" w:noHBand="0" w:noVBand="1"/>
      </w:tblPr>
      <w:tblGrid>
        <w:gridCol w:w="1300"/>
        <w:gridCol w:w="2320"/>
        <w:gridCol w:w="2340"/>
        <w:gridCol w:w="1580"/>
      </w:tblGrid>
      <w:tr w:rsidR="00676296" w:rsidRPr="00EF540F" w:rsidTr="00676296">
        <w:trPr>
          <w:trHeight w:val="700"/>
          <w:jc w:val="center"/>
        </w:trPr>
        <w:tc>
          <w:tcPr>
            <w:tcW w:w="1300" w:type="dxa"/>
            <w:tcBorders>
              <w:top w:val="single" w:sz="8" w:space="0" w:color="auto"/>
              <w:left w:val="single" w:sz="8" w:space="0" w:color="auto"/>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AÑO</w: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SERVICIO DE LA DEUDA</w:t>
            </w:r>
          </w:p>
        </w:tc>
        <w:tc>
          <w:tcPr>
            <w:tcW w:w="2340" w:type="dxa"/>
            <w:tcBorders>
              <w:top w:val="single" w:sz="8" w:space="0" w:color="auto"/>
              <w:left w:val="nil"/>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FAIS AFECTADO (25%)</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RADIO DE COBERTURA</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2022</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39,384,427.79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45,965,603.00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2023</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39,841,455.22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48,336,719.28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2024</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40,276,283.66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50,830,148.59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2025</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40,801,359.75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53,452,200.40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2026</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41,439,665.07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56,209,509.65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2027</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42,307,885.87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59,109,053.53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2028</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43,152,889.00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62,158,169.17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2029</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44,291,581.75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65,364,572.15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2030</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45,673,192.87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68,736,376.08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2031</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47,438,733.49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72,282,113.10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lastRenderedPageBreak/>
              <w:t>2032</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49,387,358.62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76,010,755.47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1.5</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2033</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51,860,734.32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79,931,738.28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2034</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54,856,981.14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84,054,983.34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2035</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58,560,038.81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88,390,924.26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2036</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62,928,731.08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92,950,532.87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2037</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67,841,490.98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97,745,346.97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2038</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73,745,316.71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102,787,499.54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2039</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79,482,772.10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108,089,749.42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2040</w:t>
            </w:r>
          </w:p>
        </w:tc>
        <w:tc>
          <w:tcPr>
            <w:tcW w:w="23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84,040,375.73 </w:t>
            </w:r>
          </w:p>
        </w:tc>
        <w:tc>
          <w:tcPr>
            <w:tcW w:w="234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113,665,513.63 </w:t>
            </w:r>
          </w:p>
        </w:tc>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1.4</w:t>
            </w:r>
          </w:p>
        </w:tc>
      </w:tr>
      <w:tr w:rsidR="00676296" w:rsidRPr="00EF540F" w:rsidTr="00676296">
        <w:trPr>
          <w:trHeight w:val="340"/>
          <w:jc w:val="center"/>
        </w:trPr>
        <w:tc>
          <w:tcPr>
            <w:tcW w:w="1300" w:type="dxa"/>
            <w:tcBorders>
              <w:top w:val="nil"/>
              <w:left w:val="single" w:sz="8" w:space="0" w:color="auto"/>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2041</w:t>
            </w:r>
          </w:p>
        </w:tc>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87,597,886.01 </w:t>
            </w:r>
          </w:p>
        </w:tc>
        <w:tc>
          <w:tcPr>
            <w:tcW w:w="2340" w:type="dxa"/>
            <w:tcBorders>
              <w:top w:val="nil"/>
              <w:left w:val="nil"/>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119,528,901.29 </w:t>
            </w:r>
          </w:p>
        </w:tc>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1.4</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AF3A8E">
      <w:pPr>
        <w:numPr>
          <w:ilvl w:val="0"/>
          <w:numId w:val="2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 xml:space="preserve">Con relación a la operación de financiamiento de la emisión bursátil, se pudo constatar la capacidad de pago de diversas formas. En primer lugar, los ingresos del peaje carretero han evolucionado en los últimos años en forma muy favorable. Se estima que, al cierre de este año, y a pesar de las afectaciones por la pandemia, los ingresos de esta fuente hayan crecido en un 42% con relación al 2017. </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676296">
      <w:pPr>
        <w:pBdr>
          <w:top w:val="nil"/>
          <w:left w:val="nil"/>
          <w:bottom w:val="nil"/>
          <w:right w:val="nil"/>
          <w:between w:val="nil"/>
        </w:pBdr>
        <w:spacing w:after="0" w:line="360" w:lineRule="auto"/>
        <w:ind w:left="1134"/>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En segundo lugar, dado que esos ingresos ya son garantía y fuente de pago de la emisión bursátil CHIHCB 13U, se pudo identificar que las calificadoras crediticias le han otorgado una calificación de AAA por la solidez de los ingresos y capacidad de pago de esta fuente.</w:t>
      </w:r>
    </w:p>
    <w:p w:rsidR="00676296" w:rsidRPr="00EF540F" w:rsidRDefault="00676296" w:rsidP="00676296">
      <w:pPr>
        <w:pBdr>
          <w:top w:val="nil"/>
          <w:left w:val="nil"/>
          <w:bottom w:val="nil"/>
          <w:right w:val="nil"/>
          <w:between w:val="nil"/>
        </w:pBdr>
        <w:spacing w:after="0" w:line="360" w:lineRule="auto"/>
        <w:ind w:left="1134"/>
        <w:jc w:val="both"/>
        <w:rPr>
          <w:rFonts w:ascii="Century Gothic" w:eastAsia="Century Gothic" w:hAnsi="Century Gothic" w:cs="Century Gothic"/>
          <w:color w:val="000000"/>
          <w:sz w:val="24"/>
          <w:szCs w:val="24"/>
          <w:lang w:val="es-ES"/>
        </w:rPr>
      </w:pPr>
    </w:p>
    <w:p w:rsidR="00676296" w:rsidRPr="00EF540F" w:rsidRDefault="00676296" w:rsidP="00676296">
      <w:pPr>
        <w:pBdr>
          <w:top w:val="nil"/>
          <w:left w:val="nil"/>
          <w:bottom w:val="nil"/>
          <w:right w:val="nil"/>
          <w:between w:val="nil"/>
        </w:pBdr>
        <w:spacing w:after="0" w:line="360" w:lineRule="auto"/>
        <w:ind w:left="1134"/>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 xml:space="preserve">En tercer lugar, dado que la emisión vigente esta denominada en UDIs, se pudo inferir que las calificadoras no solo tienen </w:t>
      </w:r>
      <w:r w:rsidRPr="00EF540F">
        <w:rPr>
          <w:rFonts w:ascii="Century Gothic" w:eastAsia="Century Gothic" w:hAnsi="Century Gothic" w:cs="Century Gothic"/>
          <w:color w:val="000000"/>
          <w:sz w:val="24"/>
          <w:szCs w:val="24"/>
          <w:lang w:val="es-ES"/>
        </w:rPr>
        <w:lastRenderedPageBreak/>
        <w:t>considerada la capacidad de pago de la deuda vigente, sino incluso para un mayor monto, toda vez que, por la estructura de dicha emisión y el efecto de la inflación, la deuda, convertida a pesos, está creciendo y seguirá creciendo en los próximos años.</w:t>
      </w:r>
    </w:p>
    <w:p w:rsidR="00676296" w:rsidRPr="00EF540F" w:rsidRDefault="00676296" w:rsidP="00676296">
      <w:pPr>
        <w:pBdr>
          <w:top w:val="nil"/>
          <w:left w:val="nil"/>
          <w:bottom w:val="nil"/>
          <w:right w:val="nil"/>
          <w:between w:val="nil"/>
        </w:pBdr>
        <w:spacing w:after="0" w:line="360" w:lineRule="auto"/>
        <w:ind w:left="1134"/>
        <w:jc w:val="both"/>
        <w:rPr>
          <w:rFonts w:ascii="Century Gothic" w:eastAsia="Century Gothic" w:hAnsi="Century Gothic" w:cs="Century Gothic"/>
          <w:color w:val="000000"/>
          <w:sz w:val="24"/>
          <w:szCs w:val="24"/>
          <w:lang w:val="es-ES"/>
        </w:rPr>
      </w:pPr>
    </w:p>
    <w:p w:rsidR="00676296" w:rsidRPr="00EF540F" w:rsidRDefault="00676296" w:rsidP="00676296">
      <w:pPr>
        <w:pBdr>
          <w:top w:val="nil"/>
          <w:left w:val="nil"/>
          <w:bottom w:val="nil"/>
          <w:right w:val="nil"/>
          <w:between w:val="nil"/>
        </w:pBdr>
        <w:spacing w:after="0" w:line="360" w:lineRule="auto"/>
        <w:ind w:left="1134"/>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En el caso del financiamiento de la emisión bursátil, usando datos históricos de aforos e ingresos por tramo carretero y caseta, y considerando un escenario de tasa de interés, plazo y perfil de pagos como el que se buscará acceder en el mercado bursátil, se estimaron las proyecciones del Servicio de Deuda y los índices de cobertura, los cuales comprueban la Capacidad de Pago. Es importante considerar que en el siguiente ejercicio se toman en cuenta los 3,000 millones adicionales y para el año 2022 solo se toman en cuenta 5 meses. Lo anterior bajo el supuesto que la emisión se liquida el próximo agosto.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tbl>
      <w:tblPr>
        <w:tblW w:w="7860" w:type="dxa"/>
        <w:jc w:val="center"/>
        <w:tblLayout w:type="fixed"/>
        <w:tblLook w:val="04A0" w:firstRow="1" w:lastRow="0" w:firstColumn="1" w:lastColumn="0" w:noHBand="0" w:noVBand="1"/>
      </w:tblPr>
      <w:tblGrid>
        <w:gridCol w:w="1300"/>
        <w:gridCol w:w="2380"/>
        <w:gridCol w:w="2520"/>
        <w:gridCol w:w="1660"/>
      </w:tblGrid>
      <w:tr w:rsidR="00676296" w:rsidRPr="00EF540F" w:rsidTr="00676296">
        <w:trPr>
          <w:trHeight w:val="700"/>
          <w:jc w:val="center"/>
        </w:trPr>
        <w:tc>
          <w:tcPr>
            <w:tcW w:w="1300" w:type="dxa"/>
            <w:tcBorders>
              <w:top w:val="single" w:sz="8" w:space="0" w:color="auto"/>
              <w:left w:val="single" w:sz="8" w:space="0" w:color="auto"/>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AÑO</w:t>
            </w:r>
          </w:p>
        </w:tc>
        <w:tc>
          <w:tcPr>
            <w:tcW w:w="23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SERVICIO DE LA DEUDA</w:t>
            </w:r>
          </w:p>
        </w:tc>
        <w:tc>
          <w:tcPr>
            <w:tcW w:w="2520" w:type="dxa"/>
            <w:tcBorders>
              <w:top w:val="single" w:sz="8" w:space="0" w:color="auto"/>
              <w:left w:val="nil"/>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INGRESOS PEAJE</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RADIO DE COBERTURA</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2022*</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675,291,482.84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1,600,988,623.83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2.4</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2023</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$ 1,623,977,427.04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3,842,372,697.18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2024</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$ 1,632,254,570.24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4,209,438,508.75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2.6</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2025</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$ 1,632,613,788.76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4,611,570,494.44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2026</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$ 1,638,236,671.42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5,052,118,561.88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3.1</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2027</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$ 1,644,959,492.12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5,534,752,638.85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2028</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$ 1,657,288,440.51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6,063,493,245.07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3.7</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2029</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$ 1,662,607,709.79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6,366,667,907.32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lastRenderedPageBreak/>
              <w:t>2030</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$ 1,674,097,948.44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6,685,001,302.69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4.0</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2031</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$ 1,687,835,886.57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7,019,251,367.82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4.2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2032</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$ 1,706,983,868.78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7,370,213,936.21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4.3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2033</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$ 1,722,153,146.40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7,738,724,633.02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4.5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2034</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$ 1,745,291,554.49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8,125,660,864.67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4.7</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2035</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$ 1,772,956,255.65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8,531,943,907.91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4.8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2036</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$ 1,809,996,139.66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8,958,541,103.30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4.9</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2037</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$ 1,845,579,443.18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9,406,468,158.47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5.1</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2038</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$ 1,892,862,277.75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9,876,791,566.39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2039</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$ 1,949,394,493.96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$ 10,370,631,144.71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2040</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$ 2,020,499,478.73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$ 10,889,162,701.95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2041</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$ 2,097,798,400.97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$ 11,433,620,837.04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2042</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$ 2,194,419,846.87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$ 12,005,301,878.90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2043</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$ 2,309,942,203.34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$ 12,605,566,972.84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2044</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$ 2,450,658,481.95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$ 13,235,845,321.48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2045</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$ 2,613,202,365.36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$ 13,897,637,587.56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2046</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$ 2,810,646,192.34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$ 14,592,519,466.93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5.2</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2047</w:t>
            </w:r>
          </w:p>
        </w:tc>
        <w:tc>
          <w:tcPr>
            <w:tcW w:w="23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$ 3,046,713,619.72 </w:t>
            </w:r>
          </w:p>
        </w:tc>
        <w:tc>
          <w:tcPr>
            <w:tcW w:w="252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$ 15,322,145,440.28 </w:t>
            </w:r>
          </w:p>
        </w:tc>
        <w:tc>
          <w:tcPr>
            <w:tcW w:w="166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5.0</w:t>
            </w:r>
          </w:p>
        </w:tc>
      </w:tr>
      <w:tr w:rsidR="00676296" w:rsidRPr="00EF540F" w:rsidTr="00676296">
        <w:trPr>
          <w:trHeight w:val="340"/>
          <w:jc w:val="center"/>
        </w:trPr>
        <w:tc>
          <w:tcPr>
            <w:tcW w:w="1300" w:type="dxa"/>
            <w:tcBorders>
              <w:top w:val="nil"/>
              <w:left w:val="single" w:sz="8" w:space="0" w:color="auto"/>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2048</w:t>
            </w:r>
          </w:p>
        </w:tc>
        <w:tc>
          <w:tcPr>
            <w:tcW w:w="2380" w:type="dxa"/>
            <w:tcBorders>
              <w:top w:val="nil"/>
              <w:left w:val="single" w:sz="8" w:space="0" w:color="auto"/>
              <w:bottom w:val="single" w:sz="8"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$ 3,329,679,065.97 </w:t>
            </w:r>
          </w:p>
        </w:tc>
        <w:tc>
          <w:tcPr>
            <w:tcW w:w="2520" w:type="dxa"/>
            <w:tcBorders>
              <w:top w:val="nil"/>
              <w:left w:val="nil"/>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$ 16,088,252,712.30 </w:t>
            </w:r>
          </w:p>
        </w:tc>
        <w:tc>
          <w:tcPr>
            <w:tcW w:w="1660" w:type="dxa"/>
            <w:tcBorders>
              <w:top w:val="nil"/>
              <w:left w:val="single" w:sz="8" w:space="0" w:color="auto"/>
              <w:bottom w:val="single" w:sz="8"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4.8</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AF3A8E">
      <w:pPr>
        <w:numPr>
          <w:ilvl w:val="0"/>
          <w:numId w:val="2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En lo que respecta a la Capacidad de Pago del Financiamiento 665, en primer lugar, se consideró que no es un financiamiento nuevo por lo que ya hay evidencia de la Capacidad de Pago del Gobierno de Estado para esta obligación financiera. Adicionalmente, el hecho de que se puedan obtener condiciones de tasa de interés más bajas y mayor plazo abonan a que sea más favorable el cubrir anualmente el Servicio de la Deuda.</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676296">
      <w:pPr>
        <w:pBdr>
          <w:top w:val="nil"/>
          <w:left w:val="nil"/>
          <w:bottom w:val="nil"/>
          <w:right w:val="nil"/>
          <w:between w:val="nil"/>
        </w:pBdr>
        <w:spacing w:after="0" w:line="360" w:lineRule="auto"/>
        <w:ind w:left="1167"/>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lastRenderedPageBreak/>
        <w:t>Dado que la fuente de pago son la Participaciones Federales y estas están creciendo a una tasa histórica para el ejercicio 2022, evidencia que la Capacidad de Pago es aún mayor. De igual forma, el hecho de que no se requieran más Participaciones Federales en garantía, sino por el contrario, el que se vaya a liberar cerca de un 6% de esas Participaciones, confirma la viabilidad y beneficios de esta operación.</w:t>
      </w:r>
    </w:p>
    <w:p w:rsidR="00676296" w:rsidRPr="00EF540F" w:rsidRDefault="00676296" w:rsidP="00676296">
      <w:pPr>
        <w:pBdr>
          <w:top w:val="nil"/>
          <w:left w:val="nil"/>
          <w:bottom w:val="nil"/>
          <w:right w:val="nil"/>
          <w:between w:val="nil"/>
        </w:pBdr>
        <w:spacing w:after="0" w:line="360" w:lineRule="auto"/>
        <w:ind w:left="1167"/>
        <w:jc w:val="both"/>
        <w:rPr>
          <w:rFonts w:ascii="Century Gothic" w:eastAsia="Century Gothic" w:hAnsi="Century Gothic" w:cs="Century Gothic"/>
          <w:color w:val="000000"/>
          <w:sz w:val="24"/>
          <w:szCs w:val="24"/>
          <w:lang w:val="es-ES"/>
        </w:rPr>
      </w:pPr>
    </w:p>
    <w:p w:rsidR="00676296" w:rsidRPr="00EF540F" w:rsidRDefault="00676296" w:rsidP="00676296">
      <w:pPr>
        <w:pBdr>
          <w:top w:val="nil"/>
          <w:left w:val="nil"/>
          <w:bottom w:val="nil"/>
          <w:right w:val="nil"/>
          <w:between w:val="nil"/>
        </w:pBdr>
        <w:spacing w:after="0" w:line="360" w:lineRule="auto"/>
        <w:ind w:left="1167"/>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También en este caso, usando datos históricos de la Participaciones Federales, y considerando un escenario de tasa de interés, plazo y perfil de pagos como el que se buscará en el proceso competitivo, se estimaron las proyecciones del Servicio de Deuda y los índices de cobertura, los cuales comprueban la Capacidad de Pago.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tbl>
      <w:tblPr>
        <w:tblW w:w="7260" w:type="dxa"/>
        <w:jc w:val="center"/>
        <w:tblLayout w:type="fixed"/>
        <w:tblLook w:val="04A0" w:firstRow="1" w:lastRow="0" w:firstColumn="1" w:lastColumn="0" w:noHBand="0" w:noVBand="1"/>
      </w:tblPr>
      <w:tblGrid>
        <w:gridCol w:w="1300"/>
        <w:gridCol w:w="2180"/>
        <w:gridCol w:w="2180"/>
        <w:gridCol w:w="1600"/>
      </w:tblGrid>
      <w:tr w:rsidR="00676296" w:rsidRPr="00EF540F" w:rsidTr="00676296">
        <w:trPr>
          <w:trHeight w:val="700"/>
          <w:jc w:val="center"/>
        </w:trPr>
        <w:tc>
          <w:tcPr>
            <w:tcW w:w="1300" w:type="dxa"/>
            <w:tcBorders>
              <w:top w:val="single" w:sz="8" w:space="0" w:color="auto"/>
              <w:left w:val="single" w:sz="8" w:space="0" w:color="auto"/>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AÑO</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SERVICIO DE LA DEUDA</w:t>
            </w:r>
          </w:p>
        </w:tc>
        <w:tc>
          <w:tcPr>
            <w:tcW w:w="2180" w:type="dxa"/>
            <w:tcBorders>
              <w:top w:val="single" w:sz="8" w:space="0" w:color="auto"/>
              <w:left w:val="nil"/>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FGP AFECTADO (1%)</w:t>
            </w:r>
          </w:p>
        </w:tc>
        <w:tc>
          <w:tcPr>
            <w:tcW w:w="16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RADIO DE COBERTURA</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2022</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53,142,194.43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$ 146,114,382.10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2.7</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2023</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53,840,805.67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$ 152,641,793.11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2.8</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2024</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54,516,083.28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$ 159,460,805.09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2.9</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2025</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55,310,319.94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$ 166,584,444.80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3.0</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2026</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56,251,604.18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$ 174,026,320.98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3.1</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2027</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57,484,294.14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$ 181,800,650.30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2028</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58,679,617.75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$ 189,922,284.53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2029</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60,234,124.78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$ 198,406,738.93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2030</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62,072,514.59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$ 207,270,221.87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2031</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64,359,168.91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$ 216,529,665.80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lastRenderedPageBreak/>
              <w:t>2032</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66,823,225.48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$ 226,202,759.61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3.4</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2033</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69,871,365.54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$ 236,307,982.41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2034</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73,469,577.22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$ 246,864,638.81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3.4</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2035</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77,807,413.44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$ 257,892,895.84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2036</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82,789,630.73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$ 269,413,821.46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2037</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88,258,965.28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$ 281,449,424.81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2038</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94,680,567.59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$ 294,022,698.22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3.1</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2039</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$ 100,782,021.47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$ 307,157,661.19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3.0</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2040</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$ 105,549,394.26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$ 320,879,406.25 </w:t>
            </w:r>
          </w:p>
        </w:tc>
        <w:tc>
          <w:tcPr>
            <w:tcW w:w="16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3.0</w:t>
            </w:r>
          </w:p>
        </w:tc>
      </w:tr>
      <w:tr w:rsidR="00676296" w:rsidRPr="00EF540F" w:rsidTr="00676296">
        <w:trPr>
          <w:trHeight w:val="340"/>
          <w:jc w:val="center"/>
        </w:trPr>
        <w:tc>
          <w:tcPr>
            <w:tcW w:w="1300" w:type="dxa"/>
            <w:tcBorders>
              <w:top w:val="nil"/>
              <w:left w:val="single" w:sz="8" w:space="0" w:color="auto"/>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2041</w:t>
            </w:r>
          </w:p>
        </w:tc>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$ 109,226,566.04 </w:t>
            </w:r>
          </w:p>
        </w:tc>
        <w:tc>
          <w:tcPr>
            <w:tcW w:w="2180" w:type="dxa"/>
            <w:tcBorders>
              <w:top w:val="nil"/>
              <w:left w:val="nil"/>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$ 320,879,406.25 </w:t>
            </w:r>
          </w:p>
        </w:tc>
        <w:tc>
          <w:tcPr>
            <w:tcW w:w="1600" w:type="dxa"/>
            <w:tcBorders>
              <w:top w:val="nil"/>
              <w:left w:val="single" w:sz="8" w:space="0" w:color="auto"/>
              <w:bottom w:val="single" w:sz="8"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2.9</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AF3A8E">
      <w:pPr>
        <w:numPr>
          <w:ilvl w:val="0"/>
          <w:numId w:val="2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En cuanto a la Capacidad de Pago del financiamiento de la Comisión Estatal de Vivienda, Suelo e Infraestructura se consideró que este financiamiento sustituye o otros dos, por lo que existe ya evidencia de la Capacidad de Pago. Adicionalmente, al ser un financiamiento con aval del Gobierno del Estado, no solo se tiene la Capacidad de Pago del Ente Público que es la Comisión Estatal de Vivienda, Suelo e Infraestructura sino también las Participaciones Federales del Gobierno del Estado.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676296">
      <w:pPr>
        <w:pBdr>
          <w:top w:val="nil"/>
          <w:left w:val="nil"/>
          <w:bottom w:val="nil"/>
          <w:right w:val="nil"/>
          <w:between w:val="nil"/>
        </w:pBdr>
        <w:spacing w:after="0" w:line="360" w:lineRule="auto"/>
        <w:ind w:left="1167"/>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Asimismo, usando datos históricos de ingresos, y considerando un escenario de tasa de interés, plazo y perfil de pagos como el que se buscará en el proceso competitivo, se estimaron las proyecciones del Servicio de Deuda y los índices de cobertura, los cuales comprueban la Capacidad de Pago.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tbl>
      <w:tblPr>
        <w:tblW w:w="7240" w:type="dxa"/>
        <w:jc w:val="center"/>
        <w:tblLayout w:type="fixed"/>
        <w:tblLook w:val="04A0" w:firstRow="1" w:lastRow="0" w:firstColumn="1" w:lastColumn="0" w:noHBand="0" w:noVBand="1"/>
      </w:tblPr>
      <w:tblGrid>
        <w:gridCol w:w="1300"/>
        <w:gridCol w:w="2120"/>
        <w:gridCol w:w="2180"/>
        <w:gridCol w:w="1640"/>
      </w:tblGrid>
      <w:tr w:rsidR="00676296" w:rsidRPr="00EF540F" w:rsidTr="00676296">
        <w:trPr>
          <w:trHeight w:val="700"/>
          <w:jc w:val="center"/>
        </w:trPr>
        <w:tc>
          <w:tcPr>
            <w:tcW w:w="1300" w:type="dxa"/>
            <w:tcBorders>
              <w:top w:val="single" w:sz="8" w:space="0" w:color="auto"/>
              <w:left w:val="single" w:sz="8" w:space="0" w:color="auto"/>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lastRenderedPageBreak/>
              <w:t>AÑO</w:t>
            </w:r>
          </w:p>
        </w:tc>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SERVICIO DE LA DEUDA</w:t>
            </w:r>
          </w:p>
        </w:tc>
        <w:tc>
          <w:tcPr>
            <w:tcW w:w="2180" w:type="dxa"/>
            <w:tcBorders>
              <w:top w:val="single" w:sz="8" w:space="0" w:color="auto"/>
              <w:left w:val="nil"/>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INGRESOS COESVI</w:t>
            </w:r>
          </w:p>
        </w:tc>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RADIO DE COBERTURA</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2022</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32,598,557.20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$ 181,306,882.11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5.6</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2023</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32,833,231.78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$ 186,746,088.58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5.7</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2024</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33,014,900.09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$ 192,348,471.23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5.8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2025</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33,226,924.12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$ 198,118,925.37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6.0</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2026</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33,478,878.67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$ 204,062,493.13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6.1</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2027</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33,852,650.49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$ 210,184,367.93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2028</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34,127,940.04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$ 216,489,898.96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2029</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34,542,856.94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$ 222,984,595.93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6.5</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2030</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35,033,424.29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$ 229,674,133.81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6.6</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2031</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35,684,888.66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$ 236,564,357.82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6.6</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2032</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36,302,654.97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$ 243,661,288.56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6.7</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2033</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37,118,179.02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$ 250,971,127.22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2034</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38,078,219.93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$ 258,500,261.03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2035</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39,265,696.78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$ 266,255,268.86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2036</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40,575,861.87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$ 274,242,926.93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6.8</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2037</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42,038,480.93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$ 282,470,214.74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6.7</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2038</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43,768,738.68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$ 290,944,321.18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6.6</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2039</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45,388,990.05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$ 299,672,650.81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6.6</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2040</w:t>
            </w:r>
          </w:p>
        </w:tc>
        <w:tc>
          <w:tcPr>
            <w:tcW w:w="212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46,655,871.34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$ 308,662,830.34 </w:t>
            </w:r>
          </w:p>
        </w:tc>
        <w:tc>
          <w:tcPr>
            <w:tcW w:w="164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6.6</w:t>
            </w:r>
          </w:p>
        </w:tc>
      </w:tr>
      <w:tr w:rsidR="00676296" w:rsidRPr="00EF540F" w:rsidTr="00676296">
        <w:trPr>
          <w:trHeight w:val="340"/>
          <w:jc w:val="center"/>
        </w:trPr>
        <w:tc>
          <w:tcPr>
            <w:tcW w:w="1300" w:type="dxa"/>
            <w:tcBorders>
              <w:top w:val="nil"/>
              <w:left w:val="single" w:sz="8" w:space="0" w:color="auto"/>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2041</w:t>
            </w:r>
          </w:p>
        </w:tc>
        <w:tc>
          <w:tcPr>
            <w:tcW w:w="2120" w:type="dxa"/>
            <w:tcBorders>
              <w:top w:val="nil"/>
              <w:left w:val="single" w:sz="8" w:space="0" w:color="auto"/>
              <w:bottom w:val="single" w:sz="8"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47,632,350.51 </w:t>
            </w:r>
          </w:p>
        </w:tc>
        <w:tc>
          <w:tcPr>
            <w:tcW w:w="2180" w:type="dxa"/>
            <w:tcBorders>
              <w:top w:val="nil"/>
              <w:left w:val="nil"/>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$ 317,922,715.25 </w:t>
            </w:r>
          </w:p>
        </w:tc>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6.7</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AF3A8E">
      <w:pPr>
        <w:numPr>
          <w:ilvl w:val="0"/>
          <w:numId w:val="2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Finalmente se analizó el crédito del organismo público descentralizado Puentes Fronterizos, y considerando los ingresos históricos del peaje del uso de estos puentes, se pudo constatar que se tiene la Capacidad de Pago adecuada conforme a la autorización que se está solicitando, considerando las tasas, plazos y perfil de amortización que se busca obtener.</w:t>
      </w:r>
    </w:p>
    <w:bookmarkEnd w:id="0"/>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tbl>
      <w:tblPr>
        <w:tblW w:w="7360" w:type="dxa"/>
        <w:jc w:val="center"/>
        <w:tblLayout w:type="fixed"/>
        <w:tblLook w:val="04A0" w:firstRow="1" w:lastRow="0" w:firstColumn="1" w:lastColumn="0" w:noHBand="0" w:noVBand="1"/>
      </w:tblPr>
      <w:tblGrid>
        <w:gridCol w:w="1300"/>
        <w:gridCol w:w="2180"/>
        <w:gridCol w:w="2180"/>
        <w:gridCol w:w="1700"/>
      </w:tblGrid>
      <w:tr w:rsidR="00676296" w:rsidRPr="00EF540F" w:rsidTr="00676296">
        <w:trPr>
          <w:trHeight w:val="1040"/>
          <w:jc w:val="center"/>
        </w:trPr>
        <w:tc>
          <w:tcPr>
            <w:tcW w:w="1300" w:type="dxa"/>
            <w:tcBorders>
              <w:top w:val="single" w:sz="8" w:space="0" w:color="auto"/>
              <w:left w:val="single" w:sz="8" w:space="0" w:color="auto"/>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AÑO</w:t>
            </w:r>
          </w:p>
        </w:tc>
        <w:tc>
          <w:tcPr>
            <w:tcW w:w="21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SERVICIO DE LA DEUDA</w:t>
            </w:r>
          </w:p>
        </w:tc>
        <w:tc>
          <w:tcPr>
            <w:tcW w:w="2180" w:type="dxa"/>
            <w:tcBorders>
              <w:top w:val="single" w:sz="8" w:space="0" w:color="auto"/>
              <w:left w:val="nil"/>
              <w:bottom w:val="single" w:sz="8" w:space="0" w:color="auto"/>
              <w:right w:val="nil"/>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INGRESOS PEAJE</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RADIO DE COBERTURA</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2022</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$ 212,675,910.04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$ 433,367,479.15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2023</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$ 214,984,185.66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$ 450,702,178.31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2.1</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2024</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$ 217,630,554.51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$ 464,223,243.66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2.1</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2025</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$ 219,616,278.87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$ 482,792,173.41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2026</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$ 222,632,099.37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$ 492,448,016.88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2.2</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2027</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$ 226,237,869.15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$ 507,221,457.38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2028</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$ 231,061,892.07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$ 517,365,886.53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2.2</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2029</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$ 235,703,451.07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$ 538,060,521.99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2030</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$ 241,866,214.78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$ 548,821,732.43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2.3</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2031</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$ 249,234,527.05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$ 559,798,167.08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2.2</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2032</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$ 258,508,538.78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$ 570,994,130.42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2.2</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2033</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$ 268,577,238.20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$ 588,123,954.33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2.2</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2034</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$ 281,170,712.03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$ 599,886,433.42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2.1</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2035</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$ 296,227,698.18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$ 611,884,162.09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2.1</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2036</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$ 314,595,165.45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$ 630,240,686.95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2037</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$ 335,754,108.48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$ 642,845,500.69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1.9</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2038</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$ 361,488,598.83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$ 655,702,410.71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1.8</w:t>
            </w:r>
          </w:p>
        </w:tc>
      </w:tr>
      <w:tr w:rsidR="00676296" w:rsidRPr="00EF540F" w:rsidTr="00676296">
        <w:trPr>
          <w:trHeight w:val="34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2039</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$ 392,257,223.14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$ 681,930,507.13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1.7</w:t>
            </w:r>
          </w:p>
        </w:tc>
      </w:tr>
      <w:tr w:rsidR="00676296" w:rsidRPr="00EF540F" w:rsidTr="00676296">
        <w:trPr>
          <w:trHeight w:val="320"/>
          <w:jc w:val="center"/>
        </w:trPr>
        <w:tc>
          <w:tcPr>
            <w:tcW w:w="1300" w:type="dxa"/>
            <w:tcBorders>
              <w:top w:val="nil"/>
              <w:left w:val="single" w:sz="8" w:space="0" w:color="auto"/>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2040</w:t>
            </w:r>
          </w:p>
        </w:tc>
        <w:tc>
          <w:tcPr>
            <w:tcW w:w="2180" w:type="dxa"/>
            <w:tcBorders>
              <w:top w:val="nil"/>
              <w:left w:val="single" w:sz="8" w:space="0" w:color="auto"/>
              <w:bottom w:val="single" w:sz="4"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$ 429,206,969.35 </w:t>
            </w:r>
          </w:p>
        </w:tc>
        <w:tc>
          <w:tcPr>
            <w:tcW w:w="2180" w:type="dxa"/>
            <w:tcBorders>
              <w:top w:val="nil"/>
              <w:left w:val="nil"/>
              <w:bottom w:val="single" w:sz="4"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$ 695,569,117.28 </w:t>
            </w:r>
          </w:p>
        </w:tc>
        <w:tc>
          <w:tcPr>
            <w:tcW w:w="1700" w:type="dxa"/>
            <w:tcBorders>
              <w:top w:val="nil"/>
              <w:left w:val="single" w:sz="8" w:space="0" w:color="auto"/>
              <w:bottom w:val="single" w:sz="4"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1.6</w:t>
            </w:r>
          </w:p>
        </w:tc>
      </w:tr>
      <w:tr w:rsidR="00676296" w:rsidRPr="00EF540F" w:rsidTr="00676296">
        <w:trPr>
          <w:trHeight w:val="340"/>
          <w:jc w:val="center"/>
        </w:trPr>
        <w:tc>
          <w:tcPr>
            <w:tcW w:w="1300" w:type="dxa"/>
            <w:tcBorders>
              <w:top w:val="nil"/>
              <w:left w:val="single" w:sz="8" w:space="0" w:color="auto"/>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2041</w:t>
            </w:r>
          </w:p>
        </w:tc>
        <w:tc>
          <w:tcPr>
            <w:tcW w:w="2180" w:type="dxa"/>
            <w:tcBorders>
              <w:top w:val="nil"/>
              <w:left w:val="single" w:sz="8" w:space="0" w:color="auto"/>
              <w:bottom w:val="single" w:sz="8" w:space="0" w:color="auto"/>
              <w:right w:val="single" w:sz="8" w:space="0" w:color="auto"/>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$ 473,028,584.44 </w:t>
            </w:r>
          </w:p>
        </w:tc>
        <w:tc>
          <w:tcPr>
            <w:tcW w:w="2180" w:type="dxa"/>
            <w:tcBorders>
              <w:top w:val="nil"/>
              <w:left w:val="nil"/>
              <w:bottom w:val="single" w:sz="8" w:space="0" w:color="auto"/>
              <w:right w:val="nil"/>
            </w:tcBorders>
            <w:shd w:val="clear" w:color="auto" w:fill="auto"/>
            <w:noWrap/>
            <w:vAlign w:val="bottom"/>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 xml:space="preserve"> $ 723,391,881.97 </w:t>
            </w:r>
          </w:p>
        </w:tc>
        <w:tc>
          <w:tcPr>
            <w:tcW w:w="1700" w:type="dxa"/>
            <w:tcBorders>
              <w:top w:val="nil"/>
              <w:left w:val="single" w:sz="8" w:space="0" w:color="auto"/>
              <w:bottom w:val="single" w:sz="8" w:space="0" w:color="auto"/>
              <w:right w:val="single" w:sz="8" w:space="0" w:color="auto"/>
            </w:tcBorders>
            <w:shd w:val="clear" w:color="auto" w:fill="auto"/>
            <w:noWrap/>
            <w:vAlign w:val="center"/>
            <w:hideMark/>
          </w:tcPr>
          <w:p w:rsidR="00676296" w:rsidRPr="00EF540F" w:rsidRDefault="00676296" w:rsidP="00676296">
            <w:pPr>
              <w:spacing w:after="0"/>
              <w:jc w:val="center"/>
              <w:rPr>
                <w:rFonts w:ascii="Century Gothic" w:hAnsi="Century Gothic" w:cs="Calibri"/>
                <w:color w:val="000000"/>
              </w:rPr>
            </w:pPr>
            <w:r w:rsidRPr="00EF540F">
              <w:rPr>
                <w:rFonts w:ascii="Century Gothic" w:hAnsi="Century Gothic" w:cs="Calibri"/>
                <w:color w:val="000000"/>
              </w:rPr>
              <w:t>1.5</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b/>
          <w:i/>
          <w:iCs/>
          <w:color w:val="000000"/>
          <w:sz w:val="24"/>
          <w:szCs w:val="24"/>
          <w:u w:val="single"/>
        </w:rPr>
      </w:pPr>
      <w:r w:rsidRPr="00676296">
        <w:rPr>
          <w:rFonts w:ascii="Century Gothic" w:eastAsia="Century Gothic" w:hAnsi="Century Gothic" w:cs="Century Gothic"/>
          <w:b/>
          <w:i/>
          <w:iCs/>
          <w:color w:val="000000"/>
          <w:sz w:val="24"/>
          <w:szCs w:val="24"/>
          <w:u w:val="single"/>
        </w:rPr>
        <w:lastRenderedPageBreak/>
        <w:t>Análisis del Destino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Financiamiento FAFEF</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De conformidad con lo previsto por el artículo 117, fracción VIII de la Constitución Política de los Estados Unidos Mexicanos, los artículos 47 y 50 de la Ley de Coordinación Fiscal, así como el artículo 2, fracción XXV de la Ley de Disciplina Financiera de las Entidades Federativas y los Municipios, los recursos derivados del Financiamiento FAFEF:</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p>
    <w:p w:rsidR="00676296" w:rsidRPr="00EF540F" w:rsidRDefault="00676296" w:rsidP="00676296">
      <w:pPr>
        <w:numPr>
          <w:ilvl w:val="0"/>
          <w:numId w:val="18"/>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Deberán ser destinados a financiar proyectos de inversión pública productiva destinados a la construcción, reconstrucción, ampliación, mantenimiento y conservación de infraestructura física, o en su caso, inversión para la adquisición de bienes cuyo objeto sea el equipamiento de dicha infraestructura física, en los rubros descritos a continuación: </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AF3A8E">
      <w:pPr>
        <w:numPr>
          <w:ilvl w:val="0"/>
          <w:numId w:val="22"/>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Infraestructura física para el sector salud.</w:t>
      </w:r>
    </w:p>
    <w:p w:rsidR="00676296" w:rsidRPr="00EF540F" w:rsidRDefault="00676296" w:rsidP="00AF3A8E">
      <w:pPr>
        <w:numPr>
          <w:ilvl w:val="0"/>
          <w:numId w:val="22"/>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Infraestructura social urbana.</w:t>
      </w:r>
    </w:p>
    <w:p w:rsidR="00676296" w:rsidRPr="00EF540F" w:rsidRDefault="00676296" w:rsidP="00AF3A8E">
      <w:pPr>
        <w:numPr>
          <w:ilvl w:val="0"/>
          <w:numId w:val="22"/>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Infraestructura física para el sector de seguridad pública.</w:t>
      </w:r>
    </w:p>
    <w:p w:rsidR="00676296" w:rsidRPr="00EF540F" w:rsidRDefault="00676296" w:rsidP="00AF3A8E">
      <w:pPr>
        <w:numPr>
          <w:ilvl w:val="0"/>
          <w:numId w:val="22"/>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Infraestructura física para el sector educativo.</w:t>
      </w:r>
    </w:p>
    <w:p w:rsidR="00676296" w:rsidRPr="00EF540F" w:rsidRDefault="00676296" w:rsidP="00AF3A8E">
      <w:pPr>
        <w:numPr>
          <w:ilvl w:val="0"/>
          <w:numId w:val="22"/>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Infraestructura de alcantarillado y suministro de agua potable.</w:t>
      </w:r>
    </w:p>
    <w:p w:rsidR="00676296" w:rsidRPr="00EF540F" w:rsidRDefault="00676296" w:rsidP="00AF3A8E">
      <w:pPr>
        <w:numPr>
          <w:ilvl w:val="0"/>
          <w:numId w:val="22"/>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Infraestructura hidroagrícola.</w:t>
      </w:r>
    </w:p>
    <w:p w:rsidR="00676296" w:rsidRPr="00EF540F" w:rsidRDefault="00676296" w:rsidP="00AF3A8E">
      <w:pPr>
        <w:numPr>
          <w:ilvl w:val="0"/>
          <w:numId w:val="22"/>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Infraestructura carretera.</w:t>
      </w:r>
    </w:p>
    <w:p w:rsidR="00676296" w:rsidRPr="00EF540F" w:rsidRDefault="00676296" w:rsidP="00AF3A8E">
      <w:pPr>
        <w:numPr>
          <w:ilvl w:val="0"/>
          <w:numId w:val="22"/>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lastRenderedPageBreak/>
        <w:t>Infraestructura física de movilidad urbana.</w:t>
      </w:r>
    </w:p>
    <w:p w:rsidR="00676296" w:rsidRPr="00EF540F" w:rsidRDefault="00676296" w:rsidP="00AF3A8E">
      <w:pPr>
        <w:numPr>
          <w:ilvl w:val="0"/>
          <w:numId w:val="22"/>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Infraestructura pública administrativa.</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8"/>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Podrán ser destinados a la contratación de instrumentos derivados que contribuyan a la fortaleza de las finanzas públicas locales al limitar las variaciones de las tasas de interés de los contratos a través de los cuales se implemente el Financiamiento FAFEF, lo anterior, de conformidad con lo previsto en los artículos 47 fracción II y 50 de la Ley de Coordinación Fiscal.</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Financiamiento FAIS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De conformidad con lo previsto por el artículo 117, fracción VIII de la Constitución Política de los Estados Unidos Mexicanos, los artículos 33 y 50 de la Ley de Coordinación Fiscal, así como el artículo 2, fracción XXV de la Ley de Disciplina Financiera de las Entidades Federativas y los Municipios, los recursos derivados del Financiamiento FAIS deberán ser destinados a proyectos de inversión pública productiva que beneficien directamente a población en pobreza extrema, localidades con alto o muy alto nivel de rezago social y enfocadas a:</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p>
    <w:p w:rsidR="00676296" w:rsidRPr="00EF540F" w:rsidRDefault="00676296" w:rsidP="00AF3A8E">
      <w:pPr>
        <w:numPr>
          <w:ilvl w:val="0"/>
          <w:numId w:val="23"/>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rPr>
        <w:t>La ampliación, construcción, equipamiento, mantenimiento y rehabilitación de los sistemas de suministro de agua potable, alcantarillado y drenaje.</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p>
    <w:p w:rsidR="00676296" w:rsidRPr="00EF540F" w:rsidRDefault="00676296" w:rsidP="00AF3A8E">
      <w:pPr>
        <w:numPr>
          <w:ilvl w:val="0"/>
          <w:numId w:val="23"/>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Proyectos de urbanización, tales como, la ampliación, construcción, equipamiento, mantenimiento y rehabilitación de caminos rurales, carreteras y pavimentación, así como calles, guarniciones y banquetas, puentes e infraestructura para personas con discapacidad.</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AF3A8E">
      <w:pPr>
        <w:numPr>
          <w:ilvl w:val="0"/>
          <w:numId w:val="23"/>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La ampliación, construcción, equipamiento, mantenimiento y rehabilitación de redes eléctricas.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AF3A8E">
      <w:pPr>
        <w:numPr>
          <w:ilvl w:val="0"/>
          <w:numId w:val="23"/>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La ampliación, construcción, equipamiento, mantenimiento y rehabilitación de infraestructura básica del sector salud.</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AF3A8E">
      <w:pPr>
        <w:numPr>
          <w:ilvl w:val="0"/>
          <w:numId w:val="23"/>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Proyectos de mejora de vivienda.</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Emisión de Valores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Los recursos que se obtengan derivado de la colocación y emisión o emisiones de los certificados bursátiles serán destinados a:</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El refinanciamiento de los certificados bursátiles fiduciarios identificados con clave de pizarra CHIHCB 13U, incluyendo costos, comisiones y demás accesorios financieros derivados del refinanciamiento de los mismos y emitidos por el fideicomiso </w:t>
      </w:r>
      <w:r w:rsidRPr="00EF540F">
        <w:rPr>
          <w:rFonts w:ascii="Century Gothic" w:eastAsia="Century Gothic" w:hAnsi="Century Gothic" w:cs="Century Gothic"/>
          <w:color w:val="000000"/>
          <w:sz w:val="24"/>
          <w:szCs w:val="24"/>
        </w:rPr>
        <w:lastRenderedPageBreak/>
        <w:t>irrevocable número 80672, constituido el 21 de agosto 2013, en el cual el Estado y Fibra Estatal, participan como fideicomitentes, Nacional Financiera, Sociedad Nacional de Crédito, Institución de Banca de Desarrollo, participa como fiduciario y Banco Invex, S.A., Institución de Banca Múltiple, Invex Grupo Financiero, participa como representante común. Dichos certificados bursátiles presentan al 31 de octubre de 2021 un saldo insoluto de $14,996,508,926.81 (Catorce mil novecientos noventa y seis millones quinientos ocho mil novecientos veintiséis pesos 81/100 M.N.); incluyendo todos sus accesorios financieros.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En su caso, al financiamiento de proyectos de inversión pública productiva, en los rubros de inversión descritos a continuación, y en términos de lo dispuesto por los artículos 117, fracción VIII, de la Constitución Política de los Estados Unidos Mexicanos, así como los artículos 2 fracción XXV y 22 de la Ley de Disciplina Financiera de las Entidades Federativas y los Municipios: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tbl>
      <w:tblPr>
        <w:tblStyle w:val="Tablaconcuadrcula"/>
        <w:tblW w:w="1009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2441"/>
      </w:tblGrid>
      <w:tr w:rsidR="00676296" w:rsidRPr="00EF540F" w:rsidTr="00676296">
        <w:tc>
          <w:tcPr>
            <w:tcW w:w="10096" w:type="dxa"/>
            <w:gridSpan w:val="2"/>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Rubros de inversión pública productiva.</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tc>
      </w:tr>
      <w:tr w:rsidR="00676296" w:rsidRPr="00EF540F" w:rsidTr="00676296">
        <w:trPr>
          <w:gridAfter w:val="1"/>
          <w:wAfter w:w="2441" w:type="dxa"/>
        </w:trPr>
        <w:tc>
          <w:tcPr>
            <w:tcW w:w="7655" w:type="dxa"/>
          </w:tcPr>
          <w:p w:rsidR="00676296" w:rsidRPr="00EF540F" w:rsidRDefault="00676296" w:rsidP="00676296">
            <w:pPr>
              <w:numPr>
                <w:ilvl w:val="0"/>
                <w:numId w:val="19"/>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 xml:space="preserve">Equipamiento e inversión en infraestructura de seguridad pública y de justicia. </w:t>
            </w:r>
          </w:p>
        </w:tc>
      </w:tr>
      <w:tr w:rsidR="00676296" w:rsidRPr="00EF540F" w:rsidTr="00676296">
        <w:trPr>
          <w:gridAfter w:val="1"/>
          <w:wAfter w:w="2441" w:type="dxa"/>
        </w:trPr>
        <w:tc>
          <w:tcPr>
            <w:tcW w:w="7655" w:type="dxa"/>
          </w:tcPr>
          <w:p w:rsidR="00676296" w:rsidRPr="00EF540F" w:rsidRDefault="00676296" w:rsidP="00676296">
            <w:pPr>
              <w:numPr>
                <w:ilvl w:val="0"/>
                <w:numId w:val="19"/>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Equipamiento e inversión en infraestructura del sector salud.</w:t>
            </w:r>
          </w:p>
        </w:tc>
      </w:tr>
      <w:tr w:rsidR="00676296" w:rsidRPr="00EF540F" w:rsidTr="00676296">
        <w:trPr>
          <w:gridAfter w:val="1"/>
          <w:wAfter w:w="2441" w:type="dxa"/>
        </w:trPr>
        <w:tc>
          <w:tcPr>
            <w:tcW w:w="7655" w:type="dxa"/>
          </w:tcPr>
          <w:p w:rsidR="00676296" w:rsidRPr="00EF540F" w:rsidRDefault="00676296" w:rsidP="00676296">
            <w:pPr>
              <w:numPr>
                <w:ilvl w:val="0"/>
                <w:numId w:val="19"/>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lastRenderedPageBreak/>
              <w:t xml:space="preserve">Equipamiento e inversión en infraestructura urbana. </w:t>
            </w:r>
          </w:p>
        </w:tc>
      </w:tr>
      <w:tr w:rsidR="00676296" w:rsidRPr="00EF540F" w:rsidTr="00676296">
        <w:trPr>
          <w:gridAfter w:val="1"/>
          <w:wAfter w:w="2441" w:type="dxa"/>
        </w:trPr>
        <w:tc>
          <w:tcPr>
            <w:tcW w:w="7655" w:type="dxa"/>
          </w:tcPr>
          <w:p w:rsidR="00676296" w:rsidRPr="00EF540F" w:rsidRDefault="00676296" w:rsidP="00676296">
            <w:pPr>
              <w:numPr>
                <w:ilvl w:val="0"/>
                <w:numId w:val="19"/>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Construcción, mantenimiento y rehabilitación de infraestructura de vías de comunicación.</w:t>
            </w:r>
          </w:p>
        </w:tc>
      </w:tr>
      <w:tr w:rsidR="00676296" w:rsidRPr="00EF540F" w:rsidTr="00676296">
        <w:trPr>
          <w:gridAfter w:val="1"/>
          <w:wAfter w:w="2441" w:type="dxa"/>
        </w:trPr>
        <w:tc>
          <w:tcPr>
            <w:tcW w:w="7655" w:type="dxa"/>
          </w:tcPr>
          <w:p w:rsidR="00676296" w:rsidRPr="00EF540F" w:rsidRDefault="00676296" w:rsidP="00676296">
            <w:pPr>
              <w:numPr>
                <w:ilvl w:val="0"/>
                <w:numId w:val="19"/>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Equipamiento e inversión en infraestructura para el desarrollo de actividades primarias.</w:t>
            </w:r>
          </w:p>
        </w:tc>
      </w:tr>
      <w:tr w:rsidR="00676296" w:rsidRPr="00EF540F" w:rsidTr="00676296">
        <w:trPr>
          <w:gridAfter w:val="1"/>
          <w:wAfter w:w="2441" w:type="dxa"/>
        </w:trPr>
        <w:tc>
          <w:tcPr>
            <w:tcW w:w="7655" w:type="dxa"/>
          </w:tcPr>
          <w:p w:rsidR="00676296" w:rsidRPr="00EF540F" w:rsidRDefault="00676296" w:rsidP="00676296">
            <w:pPr>
              <w:numPr>
                <w:ilvl w:val="0"/>
                <w:numId w:val="19"/>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Construcción de obras y tecnificación para el abastecimiento de agua potable urbana y rural.</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La contratación de instrumentos derivados y garantías de pago, en su caso.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El pago de los gastos relacionados con el diseño, estructuración, instrumentación, emisión y colocación de los certificados bursátiles, incluyendo sin limitar, el pago de honorarios de agencias calificadoras de valores, de asesores financieros y legales, fiduciarios, en su caso, el pago de derechos ante autoridades, así como para la constitución de fondos de reserva para las emisiones de los certificados bursátiles.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Financiamiento 665</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De conformidad con lo previsto por el artículo 117, fracción VIII de la Constitución Política de los Estados Unidos Mexicanos, el artículo 9 de la Ley de Coordinación Fiscal, así como el artículo 2, fracción XXV de la Ley de </w:t>
      </w:r>
      <w:r w:rsidRPr="00EF540F">
        <w:rPr>
          <w:rFonts w:ascii="Century Gothic" w:eastAsia="Century Gothic" w:hAnsi="Century Gothic" w:cs="Century Gothic"/>
          <w:color w:val="000000"/>
          <w:sz w:val="24"/>
          <w:szCs w:val="24"/>
        </w:rPr>
        <w:lastRenderedPageBreak/>
        <w:t>Disciplina Financiera de las Entidades Federativas y los Municipios, los recursos derivados del Financiamiento 665 deberán ser destinados: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Al refinanciamiento del contrato de apertura de crédito simple, de fecha 2 de octubre de 2012, celebrado entre el Estado en su carácter de acreditado y Banco Nacional de Obras y Servicios Públicos, Sociedad Nacional de Crédito, Institución de Banca de Desarrollo, en su carácter de acreedor, por una cantidad de hasta $665,394,050.16 (Seiscientos sesenta y cinco millones trescientos noventa y cuatro mil cincuenta pesos 16/100 M.N.), así como los intereses, comisiones, y demás accesorios que deriven del pago anticipado de dicho contrato; dicho contrato se encuentra inscrito en el Registro Público Único de Financiamientos y Obligaciones de Entidades Federativas y Municipios bajo el folio P08-1012154, y Registro Central de Deuda Pública Estatal del Estado de Chihuahua, bajo el folio 033/2012.</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A la constitución de fondos de reserva en términos del artículo 22 de la Ley de Disciplina Financiera de las Entidades Federativas y los Municipios.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676296">
      <w:pPr>
        <w:numPr>
          <w:ilvl w:val="0"/>
          <w:numId w:val="1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A la contratación de instrumentos derivados.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5"/>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Al pago de los gastos relacionados con el diseño, estructuración, e instrumentación del financiamiento, y en su caso, la contratación de </w:t>
      </w:r>
      <w:r w:rsidRPr="00EF540F">
        <w:rPr>
          <w:rFonts w:ascii="Century Gothic" w:eastAsia="Century Gothic" w:hAnsi="Century Gothic" w:cs="Century Gothic"/>
          <w:color w:val="000000"/>
          <w:sz w:val="24"/>
          <w:szCs w:val="24"/>
        </w:rPr>
        <w:lastRenderedPageBreak/>
        <w:t>instrumentos derivados asociados al mismo, incluyendo sin limitar, el pago de honorarios de agencias calificadoras de valores, de asesores financieros y legales, fiduciarios.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Instrumentos Derivados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Los instrumentos derivados que el Estado tiene previsto contratar deberán ser destinados a la sustitución de los siguientes instrumentos derivados previamente celebrados por el Estado: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tbl>
      <w:tblPr>
        <w:tblStyle w:val="Tablaconcuadrcula"/>
        <w:tblW w:w="9634" w:type="dxa"/>
        <w:tblLayout w:type="fixed"/>
        <w:tblLook w:val="04A0" w:firstRow="1" w:lastRow="0" w:firstColumn="1" w:lastColumn="0" w:noHBand="0" w:noVBand="1"/>
      </w:tblPr>
      <w:tblGrid>
        <w:gridCol w:w="1640"/>
        <w:gridCol w:w="2405"/>
        <w:gridCol w:w="2352"/>
        <w:gridCol w:w="1687"/>
        <w:gridCol w:w="1550"/>
      </w:tblGrid>
      <w:tr w:rsidR="00676296" w:rsidRPr="00EF540F" w:rsidTr="00676296">
        <w:tc>
          <w:tcPr>
            <w:tcW w:w="164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Instrumento Derivado</w:t>
            </w:r>
          </w:p>
        </w:tc>
        <w:tc>
          <w:tcPr>
            <w:tcW w:w="240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Financiamiento u obligación principal</w:t>
            </w:r>
          </w:p>
        </w:tc>
        <w:tc>
          <w:tcPr>
            <w:tcW w:w="2352"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Monto de cobertura</w:t>
            </w:r>
          </w:p>
        </w:tc>
        <w:tc>
          <w:tcPr>
            <w:tcW w:w="1687"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Inscripción RPU</w:t>
            </w:r>
          </w:p>
        </w:tc>
        <w:tc>
          <w:tcPr>
            <w:tcW w:w="155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Inscripción Registro Estatal</w:t>
            </w:r>
          </w:p>
        </w:tc>
      </w:tr>
      <w:tr w:rsidR="00676296" w:rsidRPr="00EF540F" w:rsidTr="00676296">
        <w:tc>
          <w:tcPr>
            <w:tcW w:w="164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2405"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Banorte $3,397,918,257.50</w:t>
            </w:r>
          </w:p>
        </w:tc>
        <w:tc>
          <w:tcPr>
            <w:tcW w:w="2352"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$1,897,330,417.64</w:t>
            </w:r>
          </w:p>
        </w:tc>
        <w:tc>
          <w:tcPr>
            <w:tcW w:w="1687"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P08-1219063_ID</w:t>
            </w:r>
          </w:p>
        </w:tc>
        <w:tc>
          <w:tcPr>
            <w:tcW w:w="155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61/2019</w:t>
            </w:r>
          </w:p>
        </w:tc>
      </w:tr>
      <w:tr w:rsidR="00676296" w:rsidRPr="00EF540F" w:rsidTr="00676296">
        <w:tc>
          <w:tcPr>
            <w:tcW w:w="164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2405"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 $500,000,000</w:t>
            </w:r>
          </w:p>
        </w:tc>
        <w:tc>
          <w:tcPr>
            <w:tcW w:w="2352"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$499,913,500.00</w:t>
            </w:r>
          </w:p>
        </w:tc>
        <w:tc>
          <w:tcPr>
            <w:tcW w:w="1687"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P08-1219064_ID</w:t>
            </w:r>
          </w:p>
        </w:tc>
        <w:tc>
          <w:tcPr>
            <w:tcW w:w="155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62/2019</w:t>
            </w:r>
          </w:p>
        </w:tc>
      </w:tr>
      <w:tr w:rsidR="00676296" w:rsidRPr="00EF540F" w:rsidTr="00676296">
        <w:tc>
          <w:tcPr>
            <w:tcW w:w="164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2405"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Banorte $3,397,918,257.50</w:t>
            </w:r>
          </w:p>
        </w:tc>
        <w:tc>
          <w:tcPr>
            <w:tcW w:w="2352"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$1,500,000,000.00</w:t>
            </w:r>
          </w:p>
        </w:tc>
        <w:tc>
          <w:tcPr>
            <w:tcW w:w="1687"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P08-1219063_ID_02</w:t>
            </w:r>
          </w:p>
        </w:tc>
        <w:tc>
          <w:tcPr>
            <w:tcW w:w="155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63/2019</w:t>
            </w:r>
          </w:p>
        </w:tc>
      </w:tr>
      <w:tr w:rsidR="00676296" w:rsidRPr="00EF540F" w:rsidTr="00676296">
        <w:tc>
          <w:tcPr>
            <w:tcW w:w="164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2405"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 $250,000,000.00</w:t>
            </w:r>
          </w:p>
        </w:tc>
        <w:tc>
          <w:tcPr>
            <w:tcW w:w="2352"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$249,956,750.00</w:t>
            </w:r>
          </w:p>
        </w:tc>
        <w:tc>
          <w:tcPr>
            <w:tcW w:w="1687"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P08-1219065_ID</w:t>
            </w:r>
          </w:p>
        </w:tc>
        <w:tc>
          <w:tcPr>
            <w:tcW w:w="155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64/2019</w:t>
            </w:r>
          </w:p>
        </w:tc>
      </w:tr>
      <w:tr w:rsidR="00676296" w:rsidRPr="00EF540F" w:rsidTr="00676296">
        <w:tc>
          <w:tcPr>
            <w:tcW w:w="164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2405"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Bancomer $1,000,000,000.00</w:t>
            </w:r>
          </w:p>
        </w:tc>
        <w:tc>
          <w:tcPr>
            <w:tcW w:w="2352"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$999,827,000.00</w:t>
            </w:r>
          </w:p>
        </w:tc>
        <w:tc>
          <w:tcPr>
            <w:tcW w:w="1687"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P08-1219066_ID</w:t>
            </w:r>
          </w:p>
        </w:tc>
        <w:tc>
          <w:tcPr>
            <w:tcW w:w="155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65/2019</w:t>
            </w:r>
          </w:p>
        </w:tc>
      </w:tr>
      <w:tr w:rsidR="00676296" w:rsidRPr="00EF540F" w:rsidTr="00676296">
        <w:tc>
          <w:tcPr>
            <w:tcW w:w="164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2405"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Bancomer $830,000,000.00</w:t>
            </w:r>
          </w:p>
        </w:tc>
        <w:tc>
          <w:tcPr>
            <w:tcW w:w="2352"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$829,856,410.00</w:t>
            </w:r>
          </w:p>
        </w:tc>
        <w:tc>
          <w:tcPr>
            <w:tcW w:w="1687"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P08-1219067_ID</w:t>
            </w:r>
          </w:p>
        </w:tc>
        <w:tc>
          <w:tcPr>
            <w:tcW w:w="155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66/2019</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lastRenderedPageBreak/>
        <w:t>Adicionalmente, se tiene prevista la contratación de instrumentos derivados futuros cuyo objeto sea pactar las condiciones financieras de ciertos instrumentos derivados cuyo fin sea cubrir la tasa de interés de los financiamientos de largo plazo que constituyen la deuda pública del Estado, una vez que los instrumentos derivados señalados a continuación terminen su vigencia conforme a los contratos que los instrumentan.</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tbl>
      <w:tblPr>
        <w:tblStyle w:val="Tablaconcuadrcula"/>
        <w:tblW w:w="10348" w:type="dxa"/>
        <w:tblInd w:w="-572" w:type="dxa"/>
        <w:tblLayout w:type="fixed"/>
        <w:tblLook w:val="04A0" w:firstRow="1" w:lastRow="0" w:firstColumn="1" w:lastColumn="0" w:noHBand="0" w:noVBand="1"/>
      </w:tblPr>
      <w:tblGrid>
        <w:gridCol w:w="993"/>
        <w:gridCol w:w="1380"/>
        <w:gridCol w:w="1880"/>
        <w:gridCol w:w="1985"/>
        <w:gridCol w:w="1417"/>
        <w:gridCol w:w="1275"/>
        <w:gridCol w:w="1418"/>
      </w:tblGrid>
      <w:tr w:rsidR="00676296" w:rsidRPr="00EF540F" w:rsidTr="00B5685D">
        <w:tc>
          <w:tcPr>
            <w:tcW w:w="993" w:type="dxa"/>
            <w:vAlign w:val="center"/>
          </w:tcPr>
          <w:p w:rsidR="00676296" w:rsidRPr="00EF540F" w:rsidRDefault="00B5685D"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Pr>
                <w:rFonts w:ascii="Century Gothic" w:eastAsia="Century Gothic" w:hAnsi="Century Gothic" w:cs="Century Gothic"/>
                <w:color w:val="000000"/>
                <w:sz w:val="20"/>
                <w:szCs w:val="20"/>
                <w:lang w:val="es-ES"/>
              </w:rPr>
              <w:t>Instru-m</w:t>
            </w:r>
            <w:r w:rsidR="00676296" w:rsidRPr="00EF540F">
              <w:rPr>
                <w:rFonts w:ascii="Century Gothic" w:eastAsia="Century Gothic" w:hAnsi="Century Gothic" w:cs="Century Gothic"/>
                <w:color w:val="000000"/>
                <w:sz w:val="20"/>
                <w:szCs w:val="20"/>
                <w:lang w:val="es-ES"/>
              </w:rPr>
              <w:t>ento Derivado</w:t>
            </w:r>
          </w:p>
        </w:tc>
        <w:tc>
          <w:tcPr>
            <w:tcW w:w="138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Institución Otorgadora de Derivado</w:t>
            </w:r>
          </w:p>
        </w:tc>
        <w:tc>
          <w:tcPr>
            <w:tcW w:w="1880"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Financiamiento u obligación principal</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Monto de cobertura</w:t>
            </w:r>
          </w:p>
        </w:tc>
        <w:tc>
          <w:tcPr>
            <w:tcW w:w="1417"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Inscripción RPU</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Inscripción Registro Estatal</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Fecha de Vencimiento</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vAlign w:val="bottom"/>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Multiva $1,185,342,076.00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$493,561,873.93</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P08-0919040_ID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40/2019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Bajío 1,500,000,000.00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$1,499,733,806.73</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P08-0819031_ID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38/2019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 xml:space="preserve">BBVA $1,852,528,000.00 </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$6,704,319.34</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P08-0819027_ID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39/2019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Pr>
                <w:rFonts w:ascii="Century Gothic" w:eastAsia="Century Gothic" w:hAnsi="Century Gothic" w:cs="Century Gothic"/>
                <w:color w:val="000000"/>
                <w:sz w:val="20"/>
                <w:szCs w:val="20"/>
                <w:lang w:val="es-ES"/>
              </w:rPr>
              <w:t>BBVA  $1,852,528,000.00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$1,816,021,288.13</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P08-0819027_ID_02</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46/2019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BBVA $3,000,000,000.00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$2,999,467,613.45</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P08-0819026_ID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41/2019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Banobras $4,416,500,000.00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$4,415,723,914.95</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P08-0819028_ID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42/2019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Banobras $5,000,000,000.00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$768,787,183.47</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P08-0819029_ID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43/2019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lastRenderedPageBreak/>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Banobras $5,000,000,000.00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$4,230,334,196.53</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P08-0819029_ID_02</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44/2019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Banobras $5,000,000,000.00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$592,715,803.47</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P08-0819030_ID_02</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45/2019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HSBC $500,000,000.00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$493,561,797.60</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P08-0919042_ID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36/2019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Banco del Bajío</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Multiva $1,185,342,076.00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691,780,202.40</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P08-0919040_ID_02</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39/2019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vAlign w:val="bottom"/>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Santander</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Santander $1,350,000,000.00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$1,349,760,426.05</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P08-0919037_ID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33/2019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vAlign w:val="bottom"/>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Santander</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Santander $1,750,000,000.00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$1,749,689,441.18</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P08-0919039_ID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34/2019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vAlign w:val="bottom"/>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Santander</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Santander $19,000,000.00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$1,899,662,821.85</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P08-0919038_ID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32/2019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r w:rsidR="00676296" w:rsidRPr="00EF540F" w:rsidTr="00B5685D">
        <w:tc>
          <w:tcPr>
            <w:tcW w:w="993"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SWAP</w:t>
            </w:r>
          </w:p>
        </w:tc>
        <w:tc>
          <w:tcPr>
            <w:tcW w:w="1380" w:type="dxa"/>
            <w:vAlign w:val="bottom"/>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Banorte</w:t>
            </w:r>
          </w:p>
        </w:tc>
        <w:tc>
          <w:tcPr>
            <w:tcW w:w="1880"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Banobras $5,000,000,000.00</w:t>
            </w:r>
          </w:p>
        </w:tc>
        <w:tc>
          <w:tcPr>
            <w:tcW w:w="198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$4,406,405,576.53</w:t>
            </w:r>
          </w:p>
        </w:tc>
        <w:tc>
          <w:tcPr>
            <w:tcW w:w="1417"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P08-0819030_ID</w:t>
            </w:r>
          </w:p>
        </w:tc>
        <w:tc>
          <w:tcPr>
            <w:tcW w:w="1275"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35/2019</w:t>
            </w:r>
          </w:p>
        </w:tc>
        <w:tc>
          <w:tcPr>
            <w:tcW w:w="1418" w:type="dxa"/>
            <w:vAlign w:val="center"/>
          </w:tcPr>
          <w:p w:rsidR="00676296" w:rsidRPr="00EF540F" w:rsidRDefault="00676296" w:rsidP="00676296">
            <w:pPr>
              <w:pBdr>
                <w:top w:val="nil"/>
                <w:left w:val="nil"/>
                <w:bottom w:val="nil"/>
                <w:right w:val="nil"/>
                <w:between w:val="nil"/>
              </w:pBdr>
              <w:spacing w:after="0" w:line="360" w:lineRule="auto"/>
              <w:jc w:val="center"/>
              <w:rPr>
                <w:rFonts w:ascii="Century Gothic" w:eastAsia="Century Gothic" w:hAnsi="Century Gothic" w:cs="Century Gothic"/>
                <w:color w:val="000000"/>
                <w:sz w:val="20"/>
                <w:szCs w:val="20"/>
                <w:lang w:val="es-ES"/>
              </w:rPr>
            </w:pPr>
            <w:r w:rsidRPr="00EF540F">
              <w:rPr>
                <w:rFonts w:ascii="Century Gothic" w:eastAsia="Century Gothic" w:hAnsi="Century Gothic" w:cs="Century Gothic"/>
                <w:color w:val="000000"/>
                <w:sz w:val="20"/>
                <w:szCs w:val="20"/>
                <w:lang w:val="es-ES"/>
              </w:rPr>
              <w:t>24/09/2024</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Financiamiento COESVI</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De conformidad con lo previsto por el artículo 117, fracción VIII de la Constitución Política de los Estados Unidos Mexicanos, el artículo 9 de la Ley de Coordinación Fiscal, así como el artículo 2, fracción XXV de la Ley de Disciplina Financiera de las Entidades Federativas y los Municipios, los recursos derivados del Financiamiento COESVI pretenden destinarse a:</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676296">
      <w:pPr>
        <w:numPr>
          <w:ilvl w:val="0"/>
          <w:numId w:val="16"/>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Refinanciar o reestructurar, el contrato de crédito simple, de fecha 26 de noviembre de 2010, celebrado entre la Comisión, en su carácter de acreditado, el Estado, en su carácter de obligado solidario, y HSBC México, S.A., Institución de Banca Múltiple, Grupo Financiero HSBC, por una cantidad de hasta $416,136,000.000 (Cuatrocientos dieciséis millones ciento treinta y seis mil pesos 00/100 M.N.), así como los intereses, comisiones, y demás accesorios que deriven del pago anticipado de dicho contrato; dicho contrato se encuentra inscrito en el Registro Público Único de Financiamientos y Obligaciones de Entidades Federativas y Municipios bajo el folio 47/2010, y Registro Central de Deuda Pública Estatal del Estado de Chihuahua, bajo el folio 21/210; el cual, al 31 octubre 2021, reporta un saldo insoluto de $130,709,384.78 (Ciento treinta millones setecientos nueve mil trescientos ochenta y cuatro pesos 78/100 M.N.).</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6"/>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Refinanciar o reestructurar, el contrato de crédito simple, de fecha 8 de diciembre de 2010, celebrado entre la Comisión, en su carácter de acreditado, el Estado, en su carácter de obligado solidario, y Banco Santander México, S.A., Institución de Banca Múltiple, Grupo Financiero Santander, por una cantidad de hasta $416,136,000.000 (Cuatrocientos dieciséis millones ciento treinta y seis mil pesos 00/100 M.N.), así como los intereses, comisiones, y demás accesorios que </w:t>
      </w:r>
      <w:r w:rsidRPr="00EF540F">
        <w:rPr>
          <w:rFonts w:ascii="Century Gothic" w:eastAsia="Century Gothic" w:hAnsi="Century Gothic" w:cs="Century Gothic"/>
          <w:color w:val="000000"/>
          <w:sz w:val="24"/>
          <w:szCs w:val="24"/>
        </w:rPr>
        <w:lastRenderedPageBreak/>
        <w:t>deriven del pago anticipado de dicho contrato; dicho contrato se encuentra inscrito en el Registro Público Único de Financiamientos y Obligaciones de Entidades Federativas y Municipios bajo el folio 505/2010, y Registro Central de Deuda Pública Estatal del Estado de Chihuahua, bajo el folio 22/210; el cual, al 31 de octubre de 2021, reporta un saldo insoluto de $133,376,923.24 (Ciento treinta y tres millones trescientos setenta y seis mil novecientos veintitrés pesos 24/100 M.N.).</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676296">
      <w:pPr>
        <w:numPr>
          <w:ilvl w:val="0"/>
          <w:numId w:val="16"/>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A la constitución de fondos de reserva en términos del artículo 22 de la Ley de Disciplina Financiera de las Entidades Federativas y los Municipios.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676296">
      <w:pPr>
        <w:numPr>
          <w:ilvl w:val="0"/>
          <w:numId w:val="16"/>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La contratación de instrumentos derivados.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16"/>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El pago de los gastos relacionados con el diseño, estructuración, e instrumentación del Financiamiento COESVI, y en su caso, la contratación de instrumentos derivados asociados al mismo, incluyendo sin limitar, el pago de honorarios de agencias calificadoras de valores, de asesores financieros y legales, fiduciarios.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Refinanciamiento Puentes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lastRenderedPageBreak/>
        <w:t>Los recursos derivados del Financiamiento Puentes deberán ser destinados a:</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numPr>
          <w:ilvl w:val="0"/>
          <w:numId w:val="21"/>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Refinanciar y/o reestructurar los contratos de crédito enlistados a continuación:</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p>
    <w:p w:rsidR="00676296" w:rsidRPr="00EF540F" w:rsidRDefault="00676296" w:rsidP="00AF3A8E">
      <w:pPr>
        <w:numPr>
          <w:ilvl w:val="0"/>
          <w:numId w:val="2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rPr>
        <w:t>Contrato de apertura de crédito simple, de fecha 21 de diciembre de 2015, celebrado entre el Fideicomiso de Puentes Fronterizos de Chihuahua, en su carácter de acreditado y Banco Nacional de Obras y Servicios Públicos, Sociedad Nacional de Crédito, Institución de Banca de Desarrollo, en su carácter de acreedor, por una cantidad de hasta $1,300,000,000.00 (Mil trescientos millones 00/100 M.N.), así como los intereses, comisiones, y demás accesorios que deriven del pago anticipado de dicho contrato; mismo que al 31 de octubre de 2021 reporta un saldo insoluto de $988,904,968.80 (Novecientos ochenta y ocho millones novecientos cuatro mil novecientos sesenta y ocho pesos 80/100 M.N.).</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p>
    <w:p w:rsidR="00676296" w:rsidRPr="00EF540F" w:rsidRDefault="00676296" w:rsidP="00AF3A8E">
      <w:pPr>
        <w:numPr>
          <w:ilvl w:val="0"/>
          <w:numId w:val="24"/>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rPr>
        <w:t xml:space="preserve">Contrato de apertura de crédito simple subordinado, de fecha 21 de diciembre de 2015, celebrado entre el Fideicomiso de Puentes Fronterizos de Chihuahua, en su carácter de acreditado y Banco Nacional de Obras y Servicios Públicos, Sociedad Nacional de Crédito, Institución de Banca de Desarrollo en su </w:t>
      </w:r>
      <w:r w:rsidRPr="00EF540F">
        <w:rPr>
          <w:rFonts w:ascii="Century Gothic" w:eastAsia="Century Gothic" w:hAnsi="Century Gothic" w:cs="Century Gothic"/>
          <w:color w:val="000000"/>
          <w:sz w:val="24"/>
          <w:szCs w:val="24"/>
        </w:rPr>
        <w:lastRenderedPageBreak/>
        <w:t>carácter de fiduciario del fideicomiso 1936, denominado fondo nacional de infraestructura, y acreedor, por una cantidad de $700,000,000.00 (Setecientos millones de pesos 00/100 M.N.), así como los intereses, comisiones, y demás accesorios que deriven del pago anticipado de dicho contrato; mismo que a la fecha del 31 de octubre de 2021 reporta un saldo insoluto de $537,716,090.36 (Quinientos treinta y siete millones setecientos dieciséis mil noventa peso 36/100 M.N.).</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p>
    <w:p w:rsidR="00676296" w:rsidRPr="00EF540F" w:rsidRDefault="00676296" w:rsidP="00676296">
      <w:pPr>
        <w:numPr>
          <w:ilvl w:val="0"/>
          <w:numId w:val="21"/>
        </w:numP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El monto adicional de Financiamiento por hasta $800,000,000.00 (Ochocientos millones de pesos 00/100 M.N.), deberá destinarse al financiamiento de proyectos de inversión pública productiva en el municipio de Juárez, en los rubros de inversión descritos a continuación, y en términos de lo dispuesto por los artículos 117, fracción VIII, de la Constitución Política de los Estados Unidos Mexicanos, así como los artículos 2 fracción XXV y 22 de la Ley de Disciplina Financiera de las Entidades Federativas y los Municipios:</w:t>
      </w:r>
    </w:p>
    <w:p w:rsidR="00676296" w:rsidRPr="00EF540F" w:rsidRDefault="00676296" w:rsidP="00676296">
      <w:pPr>
        <w:pStyle w:val="Prrafodelista"/>
        <w:spacing w:after="0"/>
        <w:rPr>
          <w:rFonts w:ascii="Arial" w:hAnsi="Arial" w:cs="Arial"/>
          <w:sz w:val="23"/>
          <w:szCs w:val="23"/>
          <w:highlight w:val="cyan"/>
        </w:rPr>
      </w:pPr>
    </w:p>
    <w:tbl>
      <w:tblPr>
        <w:tblStyle w:val="Tablaconcuadrcula"/>
        <w:tblW w:w="8616" w:type="dxa"/>
        <w:tblInd w:w="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6"/>
      </w:tblGrid>
      <w:tr w:rsidR="00676296" w:rsidRPr="00EF540F" w:rsidTr="00B5685D">
        <w:tc>
          <w:tcPr>
            <w:tcW w:w="8616" w:type="dxa"/>
          </w:tcPr>
          <w:p w:rsidR="00676296" w:rsidRPr="00EF540F" w:rsidRDefault="00676296" w:rsidP="00676296">
            <w:pPr>
              <w:pStyle w:val="Textoindependiente"/>
              <w:spacing w:line="360" w:lineRule="auto"/>
              <w:ind w:right="-187"/>
              <w:jc w:val="center"/>
              <w:rPr>
                <w:rFonts w:ascii="Century Gothic" w:hAnsi="Century Gothic" w:cs="Arial"/>
              </w:rPr>
            </w:pPr>
            <w:r w:rsidRPr="00EF540F">
              <w:rPr>
                <w:rFonts w:ascii="Century Gothic" w:hAnsi="Century Gothic" w:cs="Arial"/>
              </w:rPr>
              <w:t>Rubros de inversión pública productiva.</w:t>
            </w:r>
          </w:p>
          <w:p w:rsidR="00676296" w:rsidRPr="00EF540F" w:rsidRDefault="00676296" w:rsidP="00676296">
            <w:pPr>
              <w:pStyle w:val="Textoindependiente"/>
              <w:spacing w:line="360" w:lineRule="auto"/>
              <w:ind w:right="-187"/>
              <w:jc w:val="center"/>
              <w:rPr>
                <w:rFonts w:ascii="Century Gothic" w:hAnsi="Century Gothic" w:cs="Arial"/>
              </w:rPr>
            </w:pPr>
          </w:p>
        </w:tc>
      </w:tr>
      <w:tr w:rsidR="00676296" w:rsidRPr="00EF540F" w:rsidTr="00B5685D">
        <w:tc>
          <w:tcPr>
            <w:tcW w:w="8616" w:type="dxa"/>
          </w:tcPr>
          <w:p w:rsidR="00676296" w:rsidRPr="00EF540F" w:rsidRDefault="00676296" w:rsidP="00AF3A8E">
            <w:pPr>
              <w:pStyle w:val="Textoindependiente"/>
              <w:numPr>
                <w:ilvl w:val="0"/>
                <w:numId w:val="26"/>
              </w:numPr>
              <w:spacing w:line="360" w:lineRule="auto"/>
              <w:ind w:left="597" w:hanging="597"/>
              <w:rPr>
                <w:rFonts w:ascii="Century Gothic" w:hAnsi="Century Gothic" w:cs="Arial"/>
              </w:rPr>
            </w:pPr>
            <w:r w:rsidRPr="00EF540F">
              <w:rPr>
                <w:rFonts w:ascii="Century Gothic" w:hAnsi="Century Gothic" w:cs="Arial"/>
              </w:rPr>
              <w:t xml:space="preserve">Equipamiento e inversión en infraestructura de seguridad pública y de justicia. </w:t>
            </w:r>
          </w:p>
        </w:tc>
      </w:tr>
      <w:tr w:rsidR="00676296" w:rsidRPr="00EF540F" w:rsidTr="00B5685D">
        <w:tc>
          <w:tcPr>
            <w:tcW w:w="8616" w:type="dxa"/>
          </w:tcPr>
          <w:p w:rsidR="00676296" w:rsidRPr="00EF540F" w:rsidRDefault="00676296" w:rsidP="00AF3A8E">
            <w:pPr>
              <w:pStyle w:val="Textoindependiente"/>
              <w:numPr>
                <w:ilvl w:val="0"/>
                <w:numId w:val="26"/>
              </w:numPr>
              <w:spacing w:line="360" w:lineRule="auto"/>
              <w:ind w:left="591" w:hanging="591"/>
              <w:rPr>
                <w:rFonts w:ascii="Century Gothic" w:hAnsi="Century Gothic" w:cs="Arial"/>
              </w:rPr>
            </w:pPr>
            <w:r w:rsidRPr="00EF540F">
              <w:rPr>
                <w:rFonts w:ascii="Century Gothic" w:hAnsi="Century Gothic" w:cs="Arial"/>
              </w:rPr>
              <w:t>Equipamiento e inversión en infraestructura del sector salud.</w:t>
            </w:r>
          </w:p>
        </w:tc>
      </w:tr>
      <w:tr w:rsidR="00676296" w:rsidRPr="00EF540F" w:rsidTr="00B5685D">
        <w:tc>
          <w:tcPr>
            <w:tcW w:w="8616" w:type="dxa"/>
          </w:tcPr>
          <w:p w:rsidR="00676296" w:rsidRPr="00EF540F" w:rsidRDefault="00676296" w:rsidP="00AF3A8E">
            <w:pPr>
              <w:pStyle w:val="Textoindependiente"/>
              <w:numPr>
                <w:ilvl w:val="0"/>
                <w:numId w:val="26"/>
              </w:numPr>
              <w:spacing w:line="360" w:lineRule="auto"/>
              <w:ind w:left="591" w:hanging="591"/>
              <w:rPr>
                <w:rFonts w:ascii="Century Gothic" w:hAnsi="Century Gothic" w:cs="Arial"/>
              </w:rPr>
            </w:pPr>
            <w:r w:rsidRPr="00EF540F">
              <w:rPr>
                <w:rFonts w:ascii="Century Gothic" w:hAnsi="Century Gothic" w:cs="Arial"/>
              </w:rPr>
              <w:t xml:space="preserve">Equipamiento e inversión en infraestructura urbana. </w:t>
            </w:r>
          </w:p>
        </w:tc>
      </w:tr>
      <w:tr w:rsidR="00676296" w:rsidRPr="00EF540F" w:rsidTr="00B5685D">
        <w:tc>
          <w:tcPr>
            <w:tcW w:w="8616" w:type="dxa"/>
          </w:tcPr>
          <w:p w:rsidR="00676296" w:rsidRPr="00EF540F" w:rsidRDefault="00676296" w:rsidP="00AF3A8E">
            <w:pPr>
              <w:pStyle w:val="Textoindependiente"/>
              <w:numPr>
                <w:ilvl w:val="0"/>
                <w:numId w:val="26"/>
              </w:numPr>
              <w:spacing w:line="360" w:lineRule="auto"/>
              <w:ind w:left="591" w:hanging="591"/>
              <w:rPr>
                <w:rFonts w:ascii="Century Gothic" w:hAnsi="Century Gothic" w:cs="Arial"/>
              </w:rPr>
            </w:pPr>
            <w:r w:rsidRPr="00EF540F">
              <w:rPr>
                <w:rFonts w:ascii="Century Gothic" w:hAnsi="Century Gothic" w:cs="Arial"/>
              </w:rPr>
              <w:lastRenderedPageBreak/>
              <w:t>Construcción, mantenimiento y rehabilitación de infraestructura de vías de comunicación.</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El detalle de los proyectos de inversión pública productiva a desarrollarse deberá estar descrito dentro de los documentos a través de los cuales se implemente el Financiamiento Puente, en lo que respecta al tramo autorizado para destinarse a inversión pública productiva. </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AF3A8E">
      <w:pPr>
        <w:numPr>
          <w:ilvl w:val="0"/>
          <w:numId w:val="28"/>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A la constitución de fondos de reserva en términos del artículo 22 de la Ley de Disciplina Financiera de las Entidades Federativas y los Municipios.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Pr="00EF540F" w:rsidRDefault="00676296" w:rsidP="00AF3A8E">
      <w:pPr>
        <w:numPr>
          <w:ilvl w:val="0"/>
          <w:numId w:val="28"/>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A la contratación de instrumentos derivados.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AF3A8E">
      <w:pPr>
        <w:numPr>
          <w:ilvl w:val="0"/>
          <w:numId w:val="28"/>
        </w:num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Al pago de los gastos relacionados con el diseño, estructuración, e instrumentación del Financiamiento Puentes, y en su caso, la contratación de instrumentos derivados asociados al mismo, incluyendo sin limitar, el pago de honorarios de agencias calificadoras de valores, de asesores financieros y legales, fiduciarios.</w:t>
      </w:r>
    </w:p>
    <w:p w:rsid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B5685D" w:rsidRDefault="00B5685D"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B5685D" w:rsidRDefault="00B5685D"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B5685D" w:rsidRDefault="00B5685D"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B5685D" w:rsidRPr="00EF540F" w:rsidRDefault="00B5685D"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B5685D"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b/>
          <w:i/>
          <w:iCs/>
          <w:color w:val="000000"/>
          <w:sz w:val="24"/>
          <w:szCs w:val="24"/>
          <w:u w:val="single"/>
        </w:rPr>
      </w:pPr>
      <w:r w:rsidRPr="00B5685D">
        <w:rPr>
          <w:rFonts w:ascii="Century Gothic" w:eastAsia="Century Gothic" w:hAnsi="Century Gothic" w:cs="Century Gothic"/>
          <w:b/>
          <w:i/>
          <w:iCs/>
          <w:color w:val="000000"/>
          <w:sz w:val="24"/>
          <w:szCs w:val="24"/>
          <w:u w:val="single"/>
        </w:rPr>
        <w:lastRenderedPageBreak/>
        <w:t>Análisis de la Fuente de Pago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Financiamiento FAFEF</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El FAFEF es un fondo federal que proviene del ramo general 33, por lo que no se considera recursos de libre disposición y por lo tanto no afectará a la evaluación en el sistema de alertas de la Secretaría de Hacienda y Crédito Público.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El FAFEF es una mejor garantía que las Participaciones Federales. La Ley de Coordinación Fiscal Federal permite que este fondo sea utilizado como garantía y fuente de pago, hasta en un 25% ya sea del año original del crédito o del año en curso por lo que aún en un escenario de estrés, que se redujera en el futuro este fondo, la garantía puede crecer lo que hace que las calificadoras y los bancos la consideren de menor riesgo. Adicionalmente, los fondos de aportaciones del ramo 33 no disminuyen en el transcurso de un ejercicio fiscal, a diferencia de las Participaciones Federales, que si tienen ese riesgo.</w:t>
      </w:r>
    </w:p>
    <w:p w:rsidR="00B5685D" w:rsidRPr="00EF540F" w:rsidRDefault="00B5685D"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Se tiene previsto que el Estado afecte como garantía y/o fuente de pago de todas y cada una de las obligaciones que deriven del Financiamiento FAFEF, hasta el 25% (veinticinco por ciento) de los derechos, e ingresos derivados de los mismos, que le corresponden al Estado del FAFEF, de conformidad con la Ley de Coordinación Fiscal, así como aquellos fondos </w:t>
      </w:r>
      <w:r w:rsidRPr="00EF540F">
        <w:rPr>
          <w:rFonts w:ascii="Century Gothic" w:eastAsia="Century Gothic" w:hAnsi="Century Gothic" w:cs="Century Gothic"/>
          <w:color w:val="000000"/>
          <w:sz w:val="24"/>
          <w:szCs w:val="24"/>
        </w:rPr>
        <w:lastRenderedPageBreak/>
        <w:t>que en su caso lo remplacen, sustituyan o complementen de tiempo en tiempo.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Lo anterior en el entendido de que, de conformidad con el artículo 50 de la Ley de Coordinación Fiscal, para obligaciones pagaderas en dos o más ejercicios fiscales, para cada ejercicio podrá destinarse al servicio de éstas, lo que resulte mayor entre aplicar hasta el 25% (veinticinco por ciento) de los recursos del FAFEF que le corresponden al Estado del ejercicio fiscal que esté transcurriendo o los recursos del FAFEF correspondientes al año en que las obligaciones hayan sido contratadas.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Financiamiento FAIS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El FAIS es un fondo federal que proviene del ramo general 33, por lo que no se considera recursos de libre disposición y por lo tanto no afectará a la calificación en el sistema de alertas de la Secretaría de Hacienda y Crédito Público.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p w:rsid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El FAIS es una mejor garantía que las Participaciones Federales. La Ley de Coordinación Fiscal Federal permite que este fondo sea utilizado como garantía y fuente de pago, hasta en un 25% ya sea del año original del crédito o del año en curso por lo que aún en un escenario de estrés, que se redujera en el futuro este fondo, la garantía puede crecer lo que hace que las calificadoras y los bancos la consideren de menor riesgo. </w:t>
      </w:r>
      <w:r w:rsidRPr="00EF540F">
        <w:rPr>
          <w:rFonts w:ascii="Century Gothic" w:eastAsia="Century Gothic" w:hAnsi="Century Gothic" w:cs="Century Gothic"/>
          <w:color w:val="000000"/>
          <w:sz w:val="24"/>
          <w:szCs w:val="24"/>
        </w:rPr>
        <w:lastRenderedPageBreak/>
        <w:t>Adicionalmente, los fondos de aportaciones del ramo 33 no disminuyen en el transcurso de un ejercicio fiscal, a diferencia de las Participaciones Federales, que si tienen ese riesgo.</w:t>
      </w:r>
    </w:p>
    <w:p w:rsidR="00B5685D" w:rsidRPr="00EF540F" w:rsidRDefault="00B5685D"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Se tiene previsto que el Estado afecte como garantía y/o fuente de pago de todas y cada una de las obligaciones que deriven del Financiamiento FAIS, hasta el 25% (veinticinco por ciento) de los derechos, e ingresos derivados de los mismos, que le corresponden al Estado del FAIS, de conformidad con la Ley de Coordinación Fiscal, así como aquellos fondos que en su caso lo remplacen, sustituyan o complementen de tiempo en tiempo.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Lo anterior en el entendido de que, de conformidad con el artículo 50 de la Ley de Coordinación Fiscal, para obligaciones pagaderas en dos o más ejercicios fiscales, para cada ejercicio podrá destinarse al servicio de éstas, lo que resulte mayor entre aplicar hasta el 25% (veinticinco por ciento) a los recursos del FAIS que le corresponden al Estado del ejercicio fiscal que esté transcurriendo o los recursos del FAIS correspondientes al año en que las obligaciones hayan sido contratadas.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Emisión de Valores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lastRenderedPageBreak/>
        <w:t>Se tiene previsto afectar como garantía y fuente de pago de la emisión CHIHCB 13U, los Ingresos de libre disposición,</w:t>
      </w:r>
      <w:r w:rsidRPr="00EF540F" w:rsidDel="00B66F4E">
        <w:rPr>
          <w:rFonts w:ascii="Century Gothic" w:eastAsia="Century Gothic" w:hAnsi="Century Gothic" w:cs="Century Gothic"/>
          <w:color w:val="000000"/>
          <w:sz w:val="24"/>
          <w:szCs w:val="24"/>
        </w:rPr>
        <w:t xml:space="preserve"> </w:t>
      </w:r>
      <w:r w:rsidRPr="00EF540F">
        <w:rPr>
          <w:rFonts w:ascii="Century Gothic" w:eastAsia="Century Gothic" w:hAnsi="Century Gothic" w:cs="Century Gothic"/>
          <w:color w:val="000000"/>
          <w:sz w:val="24"/>
          <w:szCs w:val="24"/>
        </w:rPr>
        <w:t xml:space="preserve">derivados de las cuotas de peaje por la explotación de los siguientes tramos carreteros: </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p>
    <w:tbl>
      <w:tblPr>
        <w:tblStyle w:val="Tablaconcuadrcula"/>
        <w:tblW w:w="8468" w:type="dxa"/>
        <w:tblInd w:w="562" w:type="dxa"/>
        <w:tblLayout w:type="fixed"/>
        <w:tblLook w:val="04A0" w:firstRow="1" w:lastRow="0" w:firstColumn="1" w:lastColumn="0" w:noHBand="0" w:noVBand="1"/>
      </w:tblPr>
      <w:tblGrid>
        <w:gridCol w:w="2113"/>
        <w:gridCol w:w="2095"/>
        <w:gridCol w:w="2115"/>
        <w:gridCol w:w="2145"/>
      </w:tblGrid>
      <w:tr w:rsidR="00676296" w:rsidRPr="00EF540F" w:rsidTr="00676296">
        <w:tc>
          <w:tcPr>
            <w:tcW w:w="2113"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Caseta</w:t>
            </w:r>
          </w:p>
        </w:tc>
        <w:tc>
          <w:tcPr>
            <w:tcW w:w="2095"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Km</w:t>
            </w:r>
          </w:p>
        </w:tc>
        <w:tc>
          <w:tcPr>
            <w:tcW w:w="2115"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 xml:space="preserve">Tramo </w:t>
            </w:r>
          </w:p>
        </w:tc>
        <w:tc>
          <w:tcPr>
            <w:tcW w:w="2145" w:type="dxa"/>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Jurisdicción</w:t>
            </w:r>
          </w:p>
        </w:tc>
      </w:tr>
      <w:tr w:rsidR="00676296" w:rsidRPr="00EF540F" w:rsidTr="00676296">
        <w:tc>
          <w:tcPr>
            <w:tcW w:w="2113"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Jiménez – Savalza (Savalza)</w:t>
            </w:r>
          </w:p>
        </w:tc>
        <w:tc>
          <w:tcPr>
            <w:tcW w:w="209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10 + 500</w:t>
            </w:r>
          </w:p>
        </w:tc>
        <w:tc>
          <w:tcPr>
            <w:tcW w:w="211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Jiménez – Savalza</w:t>
            </w:r>
          </w:p>
        </w:tc>
        <w:tc>
          <w:tcPr>
            <w:tcW w:w="214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Estatal</w:t>
            </w:r>
          </w:p>
        </w:tc>
      </w:tr>
      <w:tr w:rsidR="00676296" w:rsidRPr="00EF540F" w:rsidTr="00676296">
        <w:tc>
          <w:tcPr>
            <w:tcW w:w="2113"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Chihuahua - Sacramento (Sacramento)</w:t>
            </w:r>
          </w:p>
        </w:tc>
        <w:tc>
          <w:tcPr>
            <w:tcW w:w="209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31 + 300</w:t>
            </w:r>
          </w:p>
        </w:tc>
        <w:tc>
          <w:tcPr>
            <w:tcW w:w="211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Chihuahua – Sacramento</w:t>
            </w:r>
          </w:p>
        </w:tc>
        <w:tc>
          <w:tcPr>
            <w:tcW w:w="214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Estatal</w:t>
            </w:r>
          </w:p>
        </w:tc>
      </w:tr>
      <w:tr w:rsidR="00676296" w:rsidRPr="00EF540F" w:rsidTr="00676296">
        <w:tc>
          <w:tcPr>
            <w:tcW w:w="2113"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Santa Isabel – Cuauhtémoc (Santa Isabel)</w:t>
            </w:r>
          </w:p>
        </w:tc>
        <w:tc>
          <w:tcPr>
            <w:tcW w:w="209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68 + 000</w:t>
            </w:r>
          </w:p>
        </w:tc>
        <w:tc>
          <w:tcPr>
            <w:tcW w:w="211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Santa Isabel – Cuauhtémoc</w:t>
            </w:r>
          </w:p>
        </w:tc>
        <w:tc>
          <w:tcPr>
            <w:tcW w:w="214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Estatal</w:t>
            </w:r>
          </w:p>
        </w:tc>
      </w:tr>
      <w:tr w:rsidR="00676296" w:rsidRPr="00EF540F" w:rsidTr="00676296">
        <w:tc>
          <w:tcPr>
            <w:tcW w:w="2113"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Ojo Laguna – Flores Magón (Ojo Laguna)</w:t>
            </w:r>
          </w:p>
        </w:tc>
        <w:tc>
          <w:tcPr>
            <w:tcW w:w="209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0 + 950</w:t>
            </w:r>
          </w:p>
        </w:tc>
        <w:tc>
          <w:tcPr>
            <w:tcW w:w="211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Ojo Laguna – Flores Magón</w:t>
            </w:r>
          </w:p>
        </w:tc>
        <w:tc>
          <w:tcPr>
            <w:tcW w:w="2145" w:type="dxa"/>
            <w:vAlign w:val="center"/>
          </w:tcPr>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Estatal</w:t>
            </w:r>
          </w:p>
        </w:tc>
      </w:tr>
      <w:tr w:rsidR="00676296" w:rsidRPr="00EF540F" w:rsidTr="00676296">
        <w:tc>
          <w:tcPr>
            <w:tcW w:w="2113"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Acortamiento Flores Magón – Galeana (Galeana)</w:t>
            </w:r>
          </w:p>
        </w:tc>
        <w:tc>
          <w:tcPr>
            <w:tcW w:w="209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18 + 000</w:t>
            </w:r>
          </w:p>
        </w:tc>
        <w:tc>
          <w:tcPr>
            <w:tcW w:w="211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Acortamiento Flores Magón – Galeana</w:t>
            </w:r>
          </w:p>
        </w:tc>
        <w:tc>
          <w:tcPr>
            <w:tcW w:w="214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Estatal</w:t>
            </w:r>
          </w:p>
        </w:tc>
      </w:tr>
      <w:tr w:rsidR="00676296" w:rsidRPr="00EF540F" w:rsidTr="00676296">
        <w:tc>
          <w:tcPr>
            <w:tcW w:w="2113"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Jiménez Camargo (Jiménez)</w:t>
            </w:r>
          </w:p>
        </w:tc>
        <w:tc>
          <w:tcPr>
            <w:tcW w:w="209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11 + 800</w:t>
            </w:r>
          </w:p>
        </w:tc>
        <w:tc>
          <w:tcPr>
            <w:tcW w:w="211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Jiménez – Camargo</w:t>
            </w:r>
          </w:p>
        </w:tc>
        <w:tc>
          <w:tcPr>
            <w:tcW w:w="214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Federal</w:t>
            </w:r>
          </w:p>
        </w:tc>
      </w:tr>
      <w:tr w:rsidR="00676296" w:rsidRPr="00EF540F" w:rsidTr="00676296">
        <w:tc>
          <w:tcPr>
            <w:tcW w:w="2113"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lastRenderedPageBreak/>
              <w:t>Camargo – Conchos (Camargo)</w:t>
            </w:r>
          </w:p>
        </w:tc>
        <w:tc>
          <w:tcPr>
            <w:tcW w:w="209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73 + 800</w:t>
            </w:r>
          </w:p>
        </w:tc>
        <w:tc>
          <w:tcPr>
            <w:tcW w:w="211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Camargo – Conchos</w:t>
            </w:r>
          </w:p>
        </w:tc>
        <w:tc>
          <w:tcPr>
            <w:tcW w:w="214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Federal</w:t>
            </w:r>
          </w:p>
        </w:tc>
      </w:tr>
      <w:tr w:rsidR="00676296" w:rsidRPr="00EF540F" w:rsidTr="00676296">
        <w:tc>
          <w:tcPr>
            <w:tcW w:w="2113"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Conchos – Delicias (Saucillo)</w:t>
            </w:r>
          </w:p>
        </w:tc>
        <w:tc>
          <w:tcPr>
            <w:tcW w:w="209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116 + 400</w:t>
            </w:r>
          </w:p>
        </w:tc>
        <w:tc>
          <w:tcPr>
            <w:tcW w:w="211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Conchos – Delicias</w:t>
            </w:r>
          </w:p>
        </w:tc>
        <w:tc>
          <w:tcPr>
            <w:tcW w:w="214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Federal</w:t>
            </w:r>
          </w:p>
        </w:tc>
      </w:tr>
      <w:tr w:rsidR="00676296" w:rsidRPr="00EF540F" w:rsidTr="00676296">
        <w:tc>
          <w:tcPr>
            <w:tcW w:w="2113"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Sueco – Villa Ahumada (Villa Ahumada)</w:t>
            </w:r>
          </w:p>
        </w:tc>
        <w:tc>
          <w:tcPr>
            <w:tcW w:w="209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216 + 000</w:t>
            </w:r>
          </w:p>
        </w:tc>
        <w:tc>
          <w:tcPr>
            <w:tcW w:w="211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Sueco – Villa Ahumada</w:t>
            </w:r>
          </w:p>
        </w:tc>
        <w:tc>
          <w:tcPr>
            <w:tcW w:w="2145" w:type="dxa"/>
            <w:vAlign w:val="center"/>
          </w:tcPr>
          <w:p w:rsidR="00676296" w:rsidRPr="00EF540F" w:rsidDel="00456E8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lang w:val="es-ES"/>
              </w:rPr>
            </w:pPr>
            <w:r w:rsidRPr="00EF540F">
              <w:rPr>
                <w:rFonts w:ascii="Century Gothic" w:eastAsia="Century Gothic" w:hAnsi="Century Gothic" w:cs="Century Gothic"/>
                <w:color w:val="000000"/>
                <w:sz w:val="24"/>
                <w:szCs w:val="24"/>
                <w:lang w:val="es-ES"/>
              </w:rPr>
              <w:t>Federal</w:t>
            </w:r>
          </w:p>
        </w:tc>
      </w:tr>
    </w:tbl>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Asimismo, se tiene previsto afectar al vehículo a través del cual se implemente la fuente de pago de los certificados bursátiles: (i) cualquier ingreso que se obtenga por el cobro de pólizas de seguros que tengan contratadas o llegasen a contratar para cubrir riesgos relacionados con la operación de los tramos carreteros antes referidos; y (ii) cualquier ingreso que se obtenga del Gobierno Federal, derivado de la terminación anticipada o extinción de las concesiones federales de los tramos carreteros de jurisdicción federal, y cualquier otro ingreso que se perciba derivado de dichas concesiones federales.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Toda vez que los ingresos antes referidos se encuentran afectados al pago de la emisión CHIHCB 13U, se tiene previsto la celebración de diversos actos, contratos y/o convenios que resulten necesarios o convenientes para la </w:t>
      </w:r>
      <w:r w:rsidRPr="00EF540F">
        <w:rPr>
          <w:rFonts w:ascii="Century Gothic" w:eastAsia="Century Gothic" w:hAnsi="Century Gothic" w:cs="Century Gothic"/>
          <w:color w:val="000000"/>
          <w:sz w:val="24"/>
          <w:szCs w:val="24"/>
        </w:rPr>
        <w:lastRenderedPageBreak/>
        <w:t>desafectación de dichos bienes, y su afectación para el pago de la nueva emisión de certificados bursátiles.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Financiamiento 665</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Se tiene previsto que el Estado afecte como garantía y/o fuente de pago de todas y cada una de las obligaciones que deriven del contrato de apertura de crédito simple, de fecha 2 de octubre de 2012, celebrado entre el Estado en su carácter de acreditado y Banco Nacional de Obras y Servicios Públicos, Sociedad Nacional de Crédito, Institución de Banca de Desarrollo, en su carácter de acreedor, por una cantidad de hasta $665,394,050.16 (Seiscientos sesenta y cinco millones trescientos noventa y cuatro mil cincuenta pesos 16/100 M.N.), un porcentaje suficiente y necesario 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Instrumentos Derivados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Los instrumentos derivados tendrán como fuente de pago y/o garantía de todas y cada una de las obligaciones que deriven de los mismos, las participaciones federales, aportaciones federales y/o Ingresos de libre </w:t>
      </w:r>
      <w:r w:rsidRPr="00EF540F">
        <w:rPr>
          <w:rFonts w:ascii="Century Gothic" w:eastAsia="Century Gothic" w:hAnsi="Century Gothic" w:cs="Century Gothic"/>
          <w:color w:val="000000"/>
          <w:sz w:val="24"/>
          <w:szCs w:val="24"/>
        </w:rPr>
        <w:lastRenderedPageBreak/>
        <w:t xml:space="preserve">disposición del Estado que funjan como fuente de pago y/o garantía de todas y cada una de las obligaciones de los financiamientos y/u obligaciones a los que se encontrarán asociados. </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Refinanciamiento Comisión de Vivienda</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 xml:space="preserve">Se tiene previsto que la Comisión Estatal de Vivienda, Suelo e Infraestructura de Chihuahua, afecte como garantía y/o fuente de pago de todas y cada una de las obligaciones que deriven del Financiamiento COESVI un porcentaje suficiente y necesario de los ingresos propios provenientes de la enajenación inmobiliaria que realiza dicha Comisión a través de sus programas de desarrollo a la vivienda. </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t>Asimismo, se tiene previsto que el Estado, en su carácter de obligado solidario y aval, afecte como garantía y/o fuente alterna de pago de todas y cada una de las obligaciones que deriven del Financiamiento COESVI, un porcentaje 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u w:val="single"/>
        </w:rPr>
      </w:pPr>
      <w:r w:rsidRPr="00EF540F">
        <w:rPr>
          <w:rFonts w:ascii="Century Gothic" w:eastAsia="Century Gothic" w:hAnsi="Century Gothic" w:cs="Century Gothic"/>
          <w:color w:val="000000"/>
          <w:sz w:val="24"/>
          <w:szCs w:val="24"/>
          <w:u w:val="single"/>
        </w:rPr>
        <w:t>Refinanciamiento Puentes</w:t>
      </w:r>
    </w:p>
    <w:p w:rsidR="00676296" w:rsidRPr="00EF540F"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676296" w:rsidRDefault="00676296"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r w:rsidRPr="00EF540F">
        <w:rPr>
          <w:rFonts w:ascii="Century Gothic" w:eastAsia="Century Gothic" w:hAnsi="Century Gothic" w:cs="Century Gothic"/>
          <w:color w:val="000000"/>
          <w:sz w:val="24"/>
          <w:szCs w:val="24"/>
        </w:rPr>
        <w:lastRenderedPageBreak/>
        <w:t>Se tiene previsto que el Fideicomiso de Puentes Fronterizos de Chihuahua afecte como garantía y/o fuente de pago de todas y cada una de las obligaciones que deriven del Financiamiento Puentes, los derechos de cobro, así como los recursos derivados de los mismos, que se obtengan por la explotación y operación de la concesión otorgada por la Secretaría de Comunicaciones y Transportes, para operar, explotar, conservar y mantener por 30 años los puentes fronterizos Zaragoza – Ysleta, Lerdo – Stanton, Paso del Norte y Guadalupe Tornillo, ubicados en el Municipio de Juárez, Chihuahua, así como, cualquier pago que tenga derecho a recibir por concepto de indemnización, rescate o terminación anticipada o que por cualquier otra causa tenga derecho a recibir del gobierno federal, a través de la Secretaría de Comunicaciones y Transportes y/o el gobierno del Estado.</w:t>
      </w:r>
    </w:p>
    <w:p w:rsidR="00B5685D" w:rsidRPr="00EF540F" w:rsidRDefault="00B5685D" w:rsidP="00676296">
      <w:pPr>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B5685D" w:rsidRPr="00B05910" w:rsidRDefault="00B5685D" w:rsidP="00B5685D">
      <w:pPr>
        <w:pBdr>
          <w:top w:val="nil"/>
          <w:left w:val="nil"/>
          <w:bottom w:val="nil"/>
          <w:right w:val="nil"/>
          <w:between w:val="nil"/>
        </w:pBdr>
        <w:spacing w:line="360" w:lineRule="auto"/>
        <w:jc w:val="both"/>
        <w:rPr>
          <w:rFonts w:ascii="Century Gothic" w:eastAsia="Century Gothic" w:hAnsi="Century Gothic" w:cs="Century Gothic"/>
          <w:b/>
          <w:color w:val="000000"/>
          <w:sz w:val="24"/>
          <w:szCs w:val="24"/>
        </w:rPr>
      </w:pPr>
      <w:r w:rsidRPr="00B05910">
        <w:rPr>
          <w:rFonts w:ascii="Century Gothic" w:eastAsia="Century Gothic" w:hAnsi="Century Gothic" w:cs="Century Gothic"/>
          <w:b/>
          <w:color w:val="000000"/>
          <w:sz w:val="24"/>
          <w:szCs w:val="24"/>
        </w:rPr>
        <w:t xml:space="preserve">XI.- </w:t>
      </w:r>
      <w:r w:rsidRPr="00F31ADC">
        <w:rPr>
          <w:rFonts w:ascii="Century Gothic" w:eastAsia="Century Gothic" w:hAnsi="Century Gothic" w:cs="Century Gothic"/>
          <w:bCs/>
          <w:color w:val="000000"/>
          <w:sz w:val="24"/>
          <w:szCs w:val="24"/>
        </w:rPr>
        <w:t xml:space="preserve">Por lo anteriormente expuesto, quienes integramos la Comisión de Programación, Presupuesto y Hacienda Pública, nos permitimos someter a la consideración de este Alto Cuerpo Colegiado el siguiente proyecto de: </w:t>
      </w:r>
    </w:p>
    <w:p w:rsidR="00610D6A" w:rsidRPr="00676296" w:rsidRDefault="00610D6A" w:rsidP="00676296">
      <w:pPr>
        <w:autoSpaceDE w:val="0"/>
        <w:autoSpaceDN w:val="0"/>
        <w:adjustRightInd w:val="0"/>
        <w:spacing w:after="0" w:line="360" w:lineRule="auto"/>
        <w:contextualSpacing/>
        <w:jc w:val="both"/>
        <w:rPr>
          <w:rFonts w:ascii="Century Gothic" w:hAnsi="Century Gothic" w:cs="Arial"/>
          <w:color w:val="000000"/>
          <w:sz w:val="24"/>
          <w:szCs w:val="28"/>
        </w:rPr>
      </w:pPr>
    </w:p>
    <w:p w:rsidR="00884D05" w:rsidRPr="00DB5AA7" w:rsidRDefault="00884D05" w:rsidP="00884D05">
      <w:pPr>
        <w:autoSpaceDE w:val="0"/>
        <w:autoSpaceDN w:val="0"/>
        <w:adjustRightInd w:val="0"/>
        <w:spacing w:line="360" w:lineRule="auto"/>
        <w:contextualSpacing/>
        <w:jc w:val="center"/>
        <w:rPr>
          <w:rFonts w:ascii="Century Gothic" w:hAnsi="Century Gothic" w:cs="Arial"/>
          <w:b/>
          <w:color w:val="000000"/>
          <w:sz w:val="28"/>
          <w:szCs w:val="28"/>
        </w:rPr>
      </w:pPr>
      <w:r>
        <w:rPr>
          <w:rFonts w:ascii="Century Gothic" w:hAnsi="Century Gothic" w:cs="Arial"/>
          <w:b/>
          <w:color w:val="000000"/>
          <w:sz w:val="28"/>
          <w:szCs w:val="28"/>
        </w:rPr>
        <w:t>DECRETO</w:t>
      </w:r>
    </w:p>
    <w:p w:rsidR="00B13E1E" w:rsidRDefault="00B13E1E" w:rsidP="00B13E1E">
      <w:pPr>
        <w:spacing w:after="0" w:line="360" w:lineRule="auto"/>
        <w:ind w:right="-187"/>
        <w:jc w:val="both"/>
        <w:rPr>
          <w:rFonts w:ascii="Century Gothic" w:eastAsia="Arial" w:hAnsi="Century Gothic" w:cs="Arial"/>
          <w:b/>
          <w:sz w:val="24"/>
          <w:szCs w:val="24"/>
          <w:lang w:eastAsia="en-US"/>
        </w:rPr>
      </w:pPr>
    </w:p>
    <w:p w:rsidR="00B13E1E" w:rsidRPr="00B13E1E" w:rsidRDefault="00B13E1E" w:rsidP="00B13E1E">
      <w:pPr>
        <w:spacing w:after="0" w:line="360" w:lineRule="auto"/>
        <w:ind w:right="-187"/>
        <w:jc w:val="both"/>
        <w:rPr>
          <w:rFonts w:ascii="Century Gothic" w:eastAsia="Arial" w:hAnsi="Century Gothic" w:cs="Arial"/>
          <w:b/>
          <w:sz w:val="24"/>
          <w:szCs w:val="24"/>
          <w:lang w:eastAsia="en-US"/>
        </w:rPr>
      </w:pPr>
      <w:r w:rsidRPr="00B13E1E">
        <w:rPr>
          <w:rFonts w:ascii="Century Gothic" w:eastAsia="Arial" w:hAnsi="Century Gothic" w:cs="Arial"/>
          <w:b/>
          <w:sz w:val="24"/>
          <w:szCs w:val="24"/>
          <w:lang w:eastAsia="en-US"/>
        </w:rPr>
        <w:t xml:space="preserve">Artículo Primero. </w:t>
      </w:r>
      <w:r w:rsidRPr="00B13E1E">
        <w:rPr>
          <w:rFonts w:ascii="Century Gothic" w:eastAsia="Arial" w:hAnsi="Century Gothic" w:cs="Arial"/>
          <w:bCs/>
          <w:sz w:val="24"/>
          <w:szCs w:val="24"/>
          <w:u w:val="single"/>
          <w:lang w:eastAsia="en-US"/>
        </w:rPr>
        <w:t>Financiamiento FAFEF</w:t>
      </w:r>
      <w:r w:rsidRPr="00B13E1E">
        <w:rPr>
          <w:rFonts w:ascii="Century Gothic" w:eastAsia="Arial" w:hAnsi="Century Gothic" w:cs="Arial"/>
          <w:bCs/>
          <w:sz w:val="24"/>
          <w:szCs w:val="24"/>
          <w:lang w:eastAsia="en-US"/>
        </w:rPr>
        <w:t xml:space="preserve">. </w:t>
      </w:r>
    </w:p>
    <w:p w:rsidR="00B13E1E" w:rsidRPr="00B13E1E" w:rsidRDefault="00B13E1E" w:rsidP="00B13E1E">
      <w:pPr>
        <w:spacing w:after="0" w:line="360" w:lineRule="auto"/>
        <w:ind w:right="-187"/>
        <w:jc w:val="both"/>
        <w:rPr>
          <w:rFonts w:ascii="Century Gothic" w:eastAsia="Arial" w:hAnsi="Century Gothic" w:cs="Arial"/>
          <w:b/>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al Estado Libre y Soberano de Chihuahua (el “</w:t>
      </w:r>
      <w:r w:rsidRPr="00B13E1E">
        <w:rPr>
          <w:rFonts w:ascii="Century Gothic" w:hAnsi="Century Gothic" w:cs="Arial"/>
          <w:sz w:val="24"/>
          <w:szCs w:val="24"/>
          <w:u w:val="single"/>
          <w:lang w:eastAsia="en-US"/>
        </w:rPr>
        <w:t>Estado</w:t>
      </w:r>
      <w:r w:rsidRPr="00B13E1E">
        <w:rPr>
          <w:rFonts w:ascii="Century Gothic" w:hAnsi="Century Gothic" w:cs="Arial"/>
          <w:sz w:val="24"/>
          <w:szCs w:val="24"/>
          <w:lang w:eastAsia="en-US"/>
        </w:rPr>
        <w:t xml:space="preserve">”), para que por conducto de la Secretaría de Hacienda, y conforme </w:t>
      </w:r>
      <w:r w:rsidRPr="00B13E1E">
        <w:rPr>
          <w:rFonts w:ascii="Century Gothic" w:hAnsi="Century Gothic" w:cs="Arial"/>
          <w:sz w:val="24"/>
          <w:szCs w:val="24"/>
          <w:lang w:eastAsia="en-US"/>
        </w:rPr>
        <w:lastRenderedPageBreak/>
        <w:t>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$1,000,000,000.00</w:t>
      </w:r>
      <w:r w:rsidR="008B637A">
        <w:rPr>
          <w:rFonts w:ascii="Century Gothic" w:hAnsi="Century Gothic" w:cs="Arial"/>
          <w:sz w:val="24"/>
          <w:szCs w:val="24"/>
          <w:lang w:eastAsia="en-US"/>
        </w:rPr>
        <w:t xml:space="preserve"> (Mil millones de p</w:t>
      </w:r>
      <w:r w:rsidRPr="00B13E1E">
        <w:rPr>
          <w:rFonts w:ascii="Century Gothic" w:hAnsi="Century Gothic" w:cs="Arial"/>
          <w:sz w:val="24"/>
          <w:szCs w:val="24"/>
          <w:lang w:eastAsia="en-US"/>
        </w:rPr>
        <w:t>esos 00/100 M.N.) (el “</w:t>
      </w:r>
      <w:r w:rsidRPr="00B13E1E">
        <w:rPr>
          <w:rFonts w:ascii="Century Gothic" w:hAnsi="Century Gothic" w:cs="Arial"/>
          <w:sz w:val="24"/>
          <w:szCs w:val="24"/>
          <w:u w:val="single"/>
          <w:lang w:eastAsia="en-US"/>
        </w:rPr>
        <w:t>Financiamiento FAFEF</w:t>
      </w:r>
      <w:r w:rsidRPr="00B13E1E">
        <w:rPr>
          <w:rFonts w:ascii="Century Gothic" w:hAnsi="Century Gothic" w:cs="Arial"/>
          <w:sz w:val="24"/>
          <w:szCs w:val="24"/>
          <w:lang w:eastAsia="en-US"/>
        </w:rPr>
        <w:t>”), mismo que, de conformidad con lo previsto en el presente Decreto, tendrá como garantía y fuente de pago, un porcentaje suficiente y necesario de los derechos, e ingresos derivados de los mismos, que le corresponden al Estado del Fondo de Aportaciones para el Fortalecimiento de las Entidades Federativas referido en la Ley de Coordinación Fiscal (“</w:t>
      </w:r>
      <w:r w:rsidRPr="00B13E1E">
        <w:rPr>
          <w:rFonts w:ascii="Century Gothic" w:hAnsi="Century Gothic" w:cs="Arial"/>
          <w:sz w:val="24"/>
          <w:szCs w:val="24"/>
          <w:u w:val="single"/>
          <w:lang w:eastAsia="en-US"/>
        </w:rPr>
        <w:t>FAFEF</w:t>
      </w:r>
      <w:r w:rsidRPr="00B13E1E">
        <w:rPr>
          <w:rFonts w:ascii="Century Gothic" w:hAnsi="Century Gothic" w:cs="Arial"/>
          <w:sz w:val="24"/>
          <w:szCs w:val="24"/>
          <w:lang w:eastAsia="en-US"/>
        </w:rPr>
        <w:t>”), y deberá ser destinado a las obras de inversión público productivas descritas más adelante en el presente Decreto.</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del Financiamiento FAFEF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autorización anterior se otorga previo análisis de la capacidad de pago del Estado, el destino de los recursos derivados del Financiamiento FAFEF y los recursos que fungirán como garantía y fuente de pago de los contratos a través de los cuales se implemente dicho Financiamiento FAFEF.</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costos y gastos relacionados con la realización de los actos y la celebración de los contratos y vehículos necesarios para la implemen</w:t>
      </w:r>
      <w:r w:rsidR="008B637A">
        <w:rPr>
          <w:rFonts w:ascii="Century Gothic" w:hAnsi="Century Gothic" w:cs="Arial"/>
          <w:sz w:val="24"/>
          <w:szCs w:val="24"/>
          <w:lang w:eastAsia="en-US"/>
        </w:rPr>
        <w:t>tación del Financiamiento FAFEF</w:t>
      </w:r>
      <w:r w:rsidRPr="00B13E1E">
        <w:rPr>
          <w:rFonts w:ascii="Century Gothic" w:hAnsi="Century Gothic" w:cs="Arial"/>
          <w:sz w:val="24"/>
          <w:szCs w:val="24"/>
          <w:lang w:eastAsia="en-US"/>
        </w:rPr>
        <w:t xml:space="preserve"> y</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la constitución de fondos de reserva </w:t>
      </w:r>
      <w:r w:rsidRPr="00B13E1E">
        <w:rPr>
          <w:rFonts w:ascii="Century Gothic" w:hAnsi="Century Gothic" w:cs="Arial"/>
          <w:sz w:val="24"/>
          <w:szCs w:val="24"/>
          <w:lang w:eastAsia="en-US"/>
        </w:rPr>
        <w:lastRenderedPageBreak/>
        <w:t xml:space="preserve">del Financiamiento FAFEF, no podrán ser cubiertos con los recursos derivados de dicho Financiamiento FAFEF y deberán tener una fuente de pago distinta al FAFEF.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De conformidad con lo previsto por el artículo 117, fracción VIII de la Constitución Política de los Estados Unidos Mexicanos, los artículos 47 y 50 de la Ley de Coordinación Fiscal, así como el artículo 2, fracción XXV de la Ley de Disciplina Financiera de las Entidades Federativas y los Municipios, los recursos derivados del Financiamiento FAFEF:</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AF3A8E">
      <w:pPr>
        <w:numPr>
          <w:ilvl w:val="0"/>
          <w:numId w:val="38"/>
        </w:numPr>
        <w:spacing w:after="0" w:line="360" w:lineRule="auto"/>
        <w:ind w:left="0" w:right="-187"/>
        <w:jc w:val="both"/>
        <w:rPr>
          <w:rFonts w:ascii="Century Gothic" w:hAnsi="Century Gothic" w:cs="Arial"/>
          <w:sz w:val="24"/>
          <w:szCs w:val="24"/>
          <w:lang w:eastAsia="en-US"/>
        </w:rPr>
      </w:pPr>
      <w:r w:rsidRPr="00B13E1E">
        <w:rPr>
          <w:rFonts w:ascii="Century Gothic" w:hAnsi="Century Gothic" w:cs="Arial"/>
          <w:sz w:val="24"/>
          <w:szCs w:val="24"/>
          <w:lang w:eastAsia="en-US"/>
        </w:rPr>
        <w:t>Deberán ser destinados a financiar proyectos de inversión pública productiva destinados a la construcción, reconstrucción, ampliación, mantenimiento y conserv</w:t>
      </w:r>
      <w:r w:rsidR="008B637A">
        <w:rPr>
          <w:rFonts w:ascii="Century Gothic" w:hAnsi="Century Gothic" w:cs="Arial"/>
          <w:sz w:val="24"/>
          <w:szCs w:val="24"/>
          <w:lang w:eastAsia="en-US"/>
        </w:rPr>
        <w:t>ación de infraestructura física</w:t>
      </w:r>
      <w:r w:rsidRPr="00B13E1E">
        <w:rPr>
          <w:rFonts w:ascii="Century Gothic" w:hAnsi="Century Gothic" w:cs="Arial"/>
          <w:sz w:val="24"/>
          <w:szCs w:val="24"/>
          <w:lang w:eastAsia="en-US"/>
        </w:rPr>
        <w:t xml:space="preserve"> o</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inversión para la adquisición de bienes cuyo objeto sea el equipamiento de dicha infraestructura física, en los rubros descritos a continuación: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física para el sector salud.</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social urbana.</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física para el sector de seguridad pública.</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física para el sector educativo.</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de alcantarillado y suministro de agua potable.</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hidroagrícola.</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carretera.</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Infraestructura física de movilidad urbana.</w:t>
      </w:r>
    </w:p>
    <w:p w:rsidR="00B13E1E" w:rsidRPr="00B13E1E" w:rsidRDefault="00B13E1E" w:rsidP="00AF3A8E">
      <w:pPr>
        <w:numPr>
          <w:ilvl w:val="0"/>
          <w:numId w:val="29"/>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Infraestructura pública administrativa.</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detalle de las inversiones públicas productivas a ser desarrolladas conforme a lo anterior deberá incluirse dentro de los contratos a través de los cuales se implemente el Financiamiento FAFEF.</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8"/>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Podrán ser destinados a la contratación de instrumentos derivados</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que contribuyan a la fortaleza de las finanzas públicas locales al limitar las variaciones de las tasas de interés de los contratos a través de los cuales se implemente el Financiamiento FAFEF, lo anterior, de conformidad con lo previsto en los artículos 47</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fracción II y 50 de la Ley de Coordinación Fiscal</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y los términos y condiciones previstos más adelante dentro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Se autoriza al Estado para afectar como garantía y/o fuente de pago de todas y cada una de las obligaciones que deriven del Financiamiento FAFEF, hasta el 25% (veinticinco por ciento) de los derechos, e ingresos derivados de los mismos, que le corresponden al Estado del FAFEF, de conformidad con la Ley de Coordinación Fiscal, así como aquellos fondos que en su caso lo remplacen, sustituyan o complementen de tiempo en tiempo.</w:t>
      </w:r>
    </w:p>
    <w:p w:rsidR="00B13E1E" w:rsidRPr="00B13E1E" w:rsidRDefault="00B13E1E" w:rsidP="00B13E1E">
      <w:pPr>
        <w:spacing w:after="0" w:line="360" w:lineRule="auto"/>
        <w:jc w:val="both"/>
        <w:rPr>
          <w:rFonts w:ascii="Century Gothic" w:eastAsia="PMingLiU" w:hAnsi="Century Gothic" w:cs="Arial"/>
          <w:b/>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 anterior en el entendido de que, de conformidad con el artículo 50 de la Ley de Coordinación Fiscal, para obligaciones pagaderas en dos o más ejercicios fiscales, para cada ejercicio p</w:t>
      </w:r>
      <w:r w:rsidR="008B637A">
        <w:rPr>
          <w:rFonts w:ascii="Century Gothic" w:hAnsi="Century Gothic" w:cs="Arial"/>
          <w:sz w:val="24"/>
          <w:szCs w:val="24"/>
          <w:lang w:eastAsia="en-US"/>
        </w:rPr>
        <w:t>odrá destinarse al servicio de e</w:t>
      </w:r>
      <w:r w:rsidRPr="00B13E1E">
        <w:rPr>
          <w:rFonts w:ascii="Century Gothic" w:hAnsi="Century Gothic" w:cs="Arial"/>
          <w:sz w:val="24"/>
          <w:szCs w:val="24"/>
          <w:lang w:eastAsia="en-US"/>
        </w:rPr>
        <w:t xml:space="preserve">stas, lo </w:t>
      </w:r>
      <w:r w:rsidRPr="00B13E1E">
        <w:rPr>
          <w:rFonts w:ascii="Century Gothic" w:hAnsi="Century Gothic" w:cs="Arial"/>
          <w:sz w:val="24"/>
          <w:szCs w:val="24"/>
          <w:lang w:eastAsia="en-US"/>
        </w:rPr>
        <w:lastRenderedPageBreak/>
        <w:t>que resulte mayor entre aplicar hasta el 25% (veinticinco por ciento) de los recursos del FAFEF que le corresponden al Estado del ejercicio fiscal que esté transcurriendo o los recursos del FAFEF correspondientes al año en que las obligaciones hayan sido contratadas.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deberá realizar las afectaciones anteriormente referidas, de manera irrevocable y hasta por el plazo suficiente y necesario para liquidar totalmente las obligaciones que deriven del Financiamiento FAFEF contratado al amparo del presente Decreto. Dicha afectación permanecerá vigente en tanto existan obligaciones pendientes de pago, y a cargo del Estado, derivadas del Financiamiento FAFEF.</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deberá notificar a la Secretaría de Hacienda y Crédito Público, así como a cualquier otra autoridad que resulte competente, respecto de la afectación de las aportaciones del FAFEF autorizada en el presente Decreto, instruyéndolas irrevocablemente para efectos de que, en cada ministración, entrega, anticipo, ajuste o entero, abonen los flujos respectivos en el o los fideicomisos de garantía y fuente de pago que para tales efectos constituya, o modifique el Estado, de conformidad con lo previsto en el presente Decreto, y hasta por el plazo necesario para liquidar totalmente las obligaciones que deriven del Financiamiento FAFEF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 xml:space="preserve">Asimismo, el Estado, a través del </w:t>
      </w:r>
      <w:r w:rsidR="008B637A" w:rsidRPr="00B13E1E">
        <w:rPr>
          <w:rFonts w:ascii="Century Gothic" w:hAnsi="Century Gothic" w:cs="Arial"/>
          <w:sz w:val="24"/>
          <w:szCs w:val="24"/>
          <w:lang w:eastAsia="en-US"/>
        </w:rPr>
        <w:t>Poder Ejecutivo</w:t>
      </w:r>
      <w:r w:rsidRPr="00B13E1E">
        <w:rPr>
          <w:rFonts w:ascii="Century Gothic" w:hAnsi="Century Gothic" w:cs="Arial"/>
          <w:sz w:val="24"/>
          <w:szCs w:val="24"/>
          <w:lang w:eastAsia="en-US"/>
        </w:rPr>
        <w:t>, y por conducto de la Secretaría de Hacienda, realizará las gestiones necesarias para que el porcentaje afecto de las aportaciones del FAFEF ingresen al o los fideicomisos de garantía y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FAFEF.</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Con independencia del vehículo al que se afecten las aportaciones del FAFEF que funjan como garantía y fuente de pago del Financiamiento FAFEF, su afectación: (a) no podrá ser revocada o revertida sin el consentimiento previo, expreso y por escrito de las instituciones financieras mexicanas que hubieren otorgado los financiamientos a través de los cuales se implemente el Financiamiento FAFEF; y (b) se considerará válida y vigente, independientemente de que se modifique su denominación o se sustituya por uno o varios nuevos conceptos que se refieran a situaciones jurídicas o de hecho iguales o similares, a las que dan origen a las aportaciones federales del FAFEF.</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 xml:space="preserve">Se autoriza al Estado para constituir o modificar, por conducto de la Secretaría de Hacienda, el o los mecanismos de administración, fuente de pago y/o garantía, o cualquier otro acto jurídico análogo, que considere necesario para cumplir con las </w:t>
      </w:r>
      <w:r w:rsidRPr="00B13E1E">
        <w:rPr>
          <w:rFonts w:ascii="Century Gothic" w:hAnsi="Century Gothic" w:cs="Arial"/>
          <w:sz w:val="24"/>
          <w:szCs w:val="24"/>
          <w:lang w:eastAsia="en-US"/>
        </w:rPr>
        <w:lastRenderedPageBreak/>
        <w:t>obligaciones de pago a su cargo que deriven de los contratos a través de los cuales se implemente el Financiamiento FAFEF, inclu</w:t>
      </w:r>
      <w:r w:rsidR="008B637A">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fideicomisos irrevocables de administración, garantía y fuente de pago; a los que podrá afectar irrevocablemente las aportaciones federales del FAFEF como garantía y fuente de pago y que deberán tener entre sus fines servir como mecanismo de garantía y fuente de pago de las obligaciones a cargo del Estado que deriven de dichos contratos a través de los cuales se implemente el Financiamiento FAFEF.</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dichos fideicomisos serán </w:t>
      </w:r>
      <w:r w:rsidR="008B637A">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lo podrán ser terminados de conformidad con lo que expresamente se pacte en el o los mismos. Con independencia de su naturaleza</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del Financiamiento</w:t>
      </w:r>
      <w:r w:rsidRPr="00B13E1E">
        <w:rPr>
          <w:rFonts w:ascii="Century Gothic" w:hAnsi="Century Gothic" w:cs="Arial"/>
          <w:sz w:val="24"/>
          <w:szCs w:val="24"/>
          <w:lang w:eastAsia="en-US"/>
        </w:rPr>
        <w:t xml:space="preserve">. Para cada uno de los contratos a través de los cuales se implemente el Financiamiento FAFEF, hasta </w:t>
      </w:r>
      <w:r w:rsidRPr="00B13E1E">
        <w:rPr>
          <w:rFonts w:ascii="Century Gothic" w:hAnsi="Century Gothic" w:cs="Arial"/>
          <w:sz w:val="24"/>
          <w:szCs w:val="24"/>
          <w:lang w:eastAsia="en-US"/>
        </w:rPr>
        <w:lastRenderedPageBreak/>
        <w:t xml:space="preserve">20 (veinte) años, equivalentes aproximadamente a 7,300 (siete mil trescientos) días contados a partir de la fecha en que se celebren dichos contratos o de la fecha de la primera disposición de recursos.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contratos mediante los cuales se formalice el Financiamiento FAFEF permanecerán vigentes, mientras existan obligaciones pendientes de pago a favor de los acreedores respectivos.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xml:space="preserve">. Cada uno de los contratos a través de los cuales se implemente el Financiamiento FAFEF deberán ser celebrados,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FAFEF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Instrumentos Derivados.</w:t>
      </w:r>
      <w:r w:rsidRPr="00B13E1E">
        <w:rPr>
          <w:rFonts w:ascii="Century Gothic" w:hAnsi="Century Gothic" w:cs="Arial"/>
          <w:sz w:val="24"/>
          <w:szCs w:val="24"/>
          <w:lang w:eastAsia="en-US"/>
        </w:rPr>
        <w:t xml:space="preserve"> Con base en la presente autoriza</w:t>
      </w:r>
      <w:r w:rsidR="008B637A">
        <w:rPr>
          <w:rFonts w:ascii="Century Gothic" w:hAnsi="Century Gothic" w:cs="Arial"/>
          <w:sz w:val="24"/>
          <w:szCs w:val="24"/>
          <w:lang w:eastAsia="en-US"/>
        </w:rPr>
        <w:t>ción, el Estado podrá contratar instrumentos derivados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FAFEF, inclu</w:t>
      </w:r>
      <w:r w:rsidR="008B637A">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contratos de cobertura o contratos de intercambio de tasas. En su caso, y de </w:t>
      </w:r>
      <w:r w:rsidRPr="00B13E1E">
        <w:rPr>
          <w:rFonts w:ascii="Century Gothic" w:hAnsi="Century Gothic" w:cs="Arial"/>
          <w:sz w:val="24"/>
          <w:szCs w:val="24"/>
          <w:lang w:eastAsia="en-US"/>
        </w:rPr>
        <w:lastRenderedPageBreak/>
        <w:t>conformidad con los artículos 47</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fracción II y 50 de la Ley de Coordinación Fiscal, los instrumentos derivados podrán: (i) ser contratados con recursos derivados del Financiamiento FAFEF y/o (ii) compartir la fuente de pago del contrato respectivo. </w:t>
      </w:r>
    </w:p>
    <w:p w:rsidR="00B13E1E" w:rsidRPr="00B13E1E" w:rsidRDefault="00B13E1E" w:rsidP="00B13E1E">
      <w:pPr>
        <w:spacing w:after="0" w:line="360" w:lineRule="auto"/>
        <w:jc w:val="both"/>
        <w:rPr>
          <w:rFonts w:ascii="Century Gothic" w:hAnsi="Century Gothic" w:cs="Arial"/>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 xml:space="preserve">En caso </w:t>
      </w:r>
      <w:r w:rsidR="008B637A">
        <w:rPr>
          <w:rFonts w:ascii="Century Gothic" w:hAnsi="Century Gothic" w:cs="Arial"/>
          <w:sz w:val="24"/>
          <w:szCs w:val="24"/>
          <w:lang w:eastAsia="en-US"/>
        </w:rPr>
        <w:t xml:space="preserve">de </w:t>
      </w:r>
      <w:r w:rsidRPr="00B13E1E">
        <w:rPr>
          <w:rFonts w:ascii="Century Gothic" w:hAnsi="Century Gothic" w:cs="Arial"/>
          <w:sz w:val="24"/>
          <w:szCs w:val="24"/>
          <w:lang w:eastAsia="en-US"/>
        </w:rPr>
        <w:t xml:space="preserve">que dicha contratación genere deuda adicional contingente, la misma </w:t>
      </w:r>
      <w:bookmarkStart w:id="1" w:name="_Hlk88688052"/>
      <w:r w:rsidRPr="00B13E1E">
        <w:rPr>
          <w:rFonts w:ascii="Century Gothic" w:hAnsi="Century Gothic" w:cs="Arial"/>
          <w:sz w:val="24"/>
          <w:szCs w:val="24"/>
          <w:lang w:eastAsia="en-US"/>
        </w:rPr>
        <w:t xml:space="preserve">podrá ser hasta por la cantidad necesaria para cubrir el 100% (cien por ciento) del monto del Financiamiento </w:t>
      </w:r>
      <w:bookmarkEnd w:id="1"/>
      <w:r w:rsidRPr="00B13E1E">
        <w:rPr>
          <w:rFonts w:ascii="Century Gothic" w:hAnsi="Century Gothic" w:cs="Arial"/>
          <w:sz w:val="24"/>
          <w:szCs w:val="24"/>
          <w:lang w:eastAsia="en-US"/>
        </w:rPr>
        <w:t>FAFEF. En caso de que la contratación de los instrumentos derivados genere deuda contingente, la misma deberá ajustarse a lo establecido en la Ley de Deuda Pública para el Estado de Chihuahua y sus Municipios.</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Cada contrato o contratos a través de los cuales se implemente el Financiamiento FAFEF, deberá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procurará que el proceso competitivo le permita recibir las mejores ofertas del mercado para el Financiamiento FAFEF, por lo que en todo caso </w:t>
      </w:r>
      <w:r w:rsidRPr="00B13E1E">
        <w:rPr>
          <w:rFonts w:ascii="Century Gothic" w:hAnsi="Century Gothic" w:cs="Arial"/>
          <w:sz w:val="24"/>
          <w:szCs w:val="24"/>
          <w:lang w:eastAsia="en-US"/>
        </w:rPr>
        <w:lastRenderedPageBreak/>
        <w:t>deberá considerar y diseñar los procesos competitivos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Se autoriza al Estado, para contratar y pagar los gastos adicionales que resulten necesarios para instrumentar el Financiamiento FAFEF, incluyendo sin limitar, los costos y gastos asociados a la contratación, administración, mantenimiento, costos de estructuración financiera y legal, aportaciones iniciales, operación, constitución y/o reconstitución de reservas, comisiones financieras institucionales; así como para contratar y pagar todos y cada uno de los gastos inherentes al proceso de implementación y contratación del Financiamiento FAFEF, incluyendo el proceso competitivo, tales como la obtención de dictámenes de agencias calificadoras, contratación de las asesorías y servicios, gastos legales y/o, en general, cualesquiera otros gastos o costos asociados en su caso y que se requieran para el diseño e instrumentación financiera y/o legal de las operaciones a que se refiere la presente autorización.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máximo que deba destinarse para cubrir los gastos y costos asociados a la implementación del Financiamiento FAFEF, no podrá exceder el 2.5% del monto de dicho financiamiento, siempre que se incluyan los instrumentos derivados o de cobertura, y fondos de reserva. En caso de que no se incluyan los instrumentos derivados o de cobertura, los gastos y costos asociados relacionados</w:t>
      </w:r>
      <w:r w:rsidR="008B637A">
        <w:rPr>
          <w:rFonts w:ascii="Century Gothic" w:hAnsi="Century Gothic" w:cs="Arial"/>
          <w:sz w:val="24"/>
          <w:szCs w:val="24"/>
          <w:lang w:eastAsia="en-US"/>
        </w:rPr>
        <w:t xml:space="preserve"> con</w:t>
      </w:r>
      <w:r w:rsidRPr="00B13E1E">
        <w:rPr>
          <w:rFonts w:ascii="Century Gothic" w:hAnsi="Century Gothic" w:cs="Arial"/>
          <w:sz w:val="24"/>
          <w:szCs w:val="24"/>
          <w:lang w:eastAsia="en-US"/>
        </w:rPr>
        <w:t xml:space="preserve"> la implementación del Financiamiento FAFEF, no </w:t>
      </w:r>
      <w:r w:rsidRPr="00B13E1E">
        <w:rPr>
          <w:rFonts w:ascii="Century Gothic" w:hAnsi="Century Gothic" w:cs="Arial"/>
          <w:sz w:val="24"/>
          <w:szCs w:val="24"/>
          <w:lang w:eastAsia="en-US"/>
        </w:rPr>
        <w:lastRenderedPageBreak/>
        <w:t>deberá rebasar el 1.5% del monto de dicho financiamiento, sin perjuicio de lo establecido en el Artículo 27 del Reglamento del Registro Públ</w:t>
      </w:r>
      <w:r w:rsidR="008B637A">
        <w:rPr>
          <w:rFonts w:ascii="Century Gothic" w:hAnsi="Century Gothic" w:cs="Arial"/>
          <w:sz w:val="24"/>
          <w:szCs w:val="24"/>
          <w:lang w:eastAsia="en-US"/>
        </w:rPr>
        <w:t>ico Único de Financiamientos y O</w:t>
      </w:r>
      <w:r w:rsidRPr="00B13E1E">
        <w:rPr>
          <w:rFonts w:ascii="Century Gothic" w:hAnsi="Century Gothic" w:cs="Arial"/>
          <w:sz w:val="24"/>
          <w:szCs w:val="24"/>
          <w:lang w:eastAsia="en-US"/>
        </w:rPr>
        <w:t>bligaciones de Entidades Federativas y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conceptos anteriormente referidos deberán ser cubiertos con recursos distintos al FAFEF y/o al Financiamiento FAFEF.</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b/>
          <w:bCs/>
          <w:sz w:val="24"/>
          <w:szCs w:val="24"/>
          <w:lang w:eastAsia="en-US"/>
        </w:rPr>
      </w:pPr>
      <w:r w:rsidRPr="00B13E1E">
        <w:rPr>
          <w:rFonts w:ascii="Century Gothic" w:hAnsi="Century Gothic" w:cs="Arial"/>
          <w:b/>
          <w:bCs/>
          <w:sz w:val="24"/>
          <w:szCs w:val="24"/>
          <w:lang w:eastAsia="en-US"/>
        </w:rPr>
        <w:t xml:space="preserve">Artículo Segundo. </w:t>
      </w:r>
      <w:r w:rsidRPr="00B13E1E">
        <w:rPr>
          <w:rFonts w:ascii="Century Gothic" w:hAnsi="Century Gothic" w:cs="Arial"/>
          <w:sz w:val="24"/>
          <w:szCs w:val="24"/>
          <w:u w:val="single"/>
          <w:lang w:eastAsia="en-US"/>
        </w:rPr>
        <w:t>Financiamiento FAIS.</w:t>
      </w:r>
    </w:p>
    <w:p w:rsidR="00B13E1E" w:rsidRPr="00B13E1E" w:rsidRDefault="00B13E1E" w:rsidP="00B13E1E">
      <w:pPr>
        <w:spacing w:after="0" w:line="360" w:lineRule="auto"/>
        <w:ind w:right="-187"/>
        <w:jc w:val="both"/>
        <w:rPr>
          <w:rFonts w:ascii="Century Gothic" w:hAnsi="Century Gothic" w:cs="Arial"/>
          <w:b/>
          <w:bCs/>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$500,000,</w:t>
      </w:r>
      <w:r w:rsidR="008B637A">
        <w:rPr>
          <w:rFonts w:ascii="Century Gothic" w:hAnsi="Century Gothic" w:cs="Arial"/>
          <w:sz w:val="24"/>
          <w:szCs w:val="24"/>
          <w:lang w:eastAsia="en-US"/>
        </w:rPr>
        <w:t>000.00 (Quinientos millones de p</w:t>
      </w:r>
      <w:r w:rsidRPr="00B13E1E">
        <w:rPr>
          <w:rFonts w:ascii="Century Gothic" w:hAnsi="Century Gothic" w:cs="Arial"/>
          <w:sz w:val="24"/>
          <w:szCs w:val="24"/>
          <w:lang w:eastAsia="en-US"/>
        </w:rPr>
        <w:t>esos 00/100 M.N.) (el “</w:t>
      </w:r>
      <w:r w:rsidRPr="00B13E1E">
        <w:rPr>
          <w:rFonts w:ascii="Century Gothic" w:hAnsi="Century Gothic" w:cs="Arial"/>
          <w:sz w:val="24"/>
          <w:szCs w:val="24"/>
          <w:u w:val="single"/>
          <w:lang w:eastAsia="en-US"/>
        </w:rPr>
        <w:t>Financiamiento FAIS</w:t>
      </w:r>
      <w:r w:rsidRPr="00B13E1E">
        <w:rPr>
          <w:rFonts w:ascii="Century Gothic" w:hAnsi="Century Gothic" w:cs="Arial"/>
          <w:sz w:val="24"/>
          <w:szCs w:val="24"/>
          <w:lang w:eastAsia="en-US"/>
        </w:rPr>
        <w:t>”), mismo que, de conformidad con lo previsto en el presente Decreto, tendrá como garantía y fuente de pago, un porcentaje suficiente y necesario de los derechos, e ingresos derivados de los mismos, que le corresponden al Estado del Fondo de Aportaciones para la Infraestructura Social referido en la Ley de Coordinación Fiscal (“</w:t>
      </w:r>
      <w:r w:rsidRPr="00B13E1E">
        <w:rPr>
          <w:rFonts w:ascii="Century Gothic" w:hAnsi="Century Gothic" w:cs="Arial"/>
          <w:sz w:val="24"/>
          <w:szCs w:val="24"/>
          <w:u w:val="single"/>
          <w:lang w:eastAsia="en-US"/>
        </w:rPr>
        <w:t>FAIS</w:t>
      </w:r>
      <w:r w:rsidRPr="00B13E1E">
        <w:rPr>
          <w:rFonts w:ascii="Century Gothic" w:hAnsi="Century Gothic" w:cs="Arial"/>
          <w:sz w:val="24"/>
          <w:szCs w:val="24"/>
          <w:lang w:eastAsia="en-US"/>
        </w:rPr>
        <w:t>”), y deberá ser destinado a las obras de inversión público productivas descritas más adelante en 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El importe del Financiamiento FAIS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autorización anterior se otorga previo análisis de la capacidad de pago del Estado, el destino de los recursos derivados del Financiamiento FAIS y los recursos que fungirán como garantía y fuente de pago de los contratos a través de los cuales se implemente dicho Financiamiento FAIS.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costos y gastos relacionados con la realización de los actos y la celebración de los contratos y vehículos necesarios para la implementación del Financiamiento </w:t>
      </w:r>
      <w:r w:rsidR="008B637A">
        <w:rPr>
          <w:rFonts w:ascii="Century Gothic" w:hAnsi="Century Gothic" w:cs="Arial"/>
          <w:sz w:val="24"/>
          <w:szCs w:val="24"/>
          <w:lang w:eastAsia="en-US"/>
        </w:rPr>
        <w:t>FAIS</w:t>
      </w:r>
      <w:r w:rsidRPr="00B13E1E">
        <w:rPr>
          <w:rFonts w:ascii="Century Gothic" w:hAnsi="Century Gothic" w:cs="Arial"/>
          <w:sz w:val="24"/>
          <w:szCs w:val="24"/>
          <w:lang w:eastAsia="en-US"/>
        </w:rPr>
        <w:t xml:space="preserve"> y</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la constitución de fondos de reserva del Financiamiento FAIS, no podrán ser cubiertos con los recursos derivados de dicho Financiamiento FAIS y deberán tener una fuente de pago distinta al FAIS.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De conformidad con lo previsto por el artículo 117, fracción VIII de la Constitución Política de los Estados Unidos Mexicanos, los artículos 33 y 50 de la Ley de Coordinación Fiscal, así como el artículo 2, fracción XXV de la Ley de Disciplina Financiera de las Entidades Federativas y los Municipios, los recursos derivados del Financiamiento FAIS deberán ser destinados a proyectos de inversión pública productiva que beneficien directamente a población en pobreza extrema, localidades con alto o muy alto nivel de rezago social y enfocadas a:</w:t>
      </w:r>
    </w:p>
    <w:p w:rsidR="00B13E1E" w:rsidRPr="00B13E1E" w:rsidRDefault="00B13E1E" w:rsidP="006D7E15">
      <w:pPr>
        <w:spacing w:after="0" w:line="360" w:lineRule="auto"/>
        <w:ind w:left="426" w:right="-187" w:hanging="426"/>
        <w:jc w:val="both"/>
        <w:rPr>
          <w:rFonts w:ascii="Century Gothic" w:hAnsi="Century Gothic" w:cs="Arial"/>
          <w:sz w:val="24"/>
          <w:szCs w:val="24"/>
          <w:u w:val="single"/>
          <w:lang w:eastAsia="en-U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lastRenderedPageBreak/>
        <w:t>La ampliación, construcción, equipamiento, mantenimiento y rehabilitación de los sistemas de suministro de agua potable, alcantarillado y drenaje.</w:t>
      </w:r>
    </w:p>
    <w:p w:rsidR="00B13E1E" w:rsidRPr="00B13E1E" w:rsidRDefault="00B13E1E" w:rsidP="006D7E15">
      <w:pPr>
        <w:spacing w:after="0" w:line="360" w:lineRule="auto"/>
        <w:ind w:left="426" w:right="-187" w:hanging="426"/>
        <w:jc w:val="both"/>
        <w:rPr>
          <w:rFonts w:ascii="Century Gothic" w:hAnsi="Century Gothic" w:cs="Arial"/>
          <w:sz w:val="24"/>
          <w:szCs w:val="24"/>
          <w:u w:val="single"/>
          <w:lang w:eastAsia="en-U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lang w:eastAsia="en-US"/>
        </w:rPr>
      </w:pPr>
      <w:r w:rsidRPr="00B13E1E">
        <w:rPr>
          <w:rFonts w:ascii="Century Gothic" w:hAnsi="Century Gothic" w:cs="Arial"/>
          <w:sz w:val="24"/>
          <w:szCs w:val="24"/>
          <w:lang w:eastAsia="en-US"/>
        </w:rPr>
        <w:t>Proyectos de urbanización, tales como, la ampliación, construcción, equipamiento, mantenimiento y rehabilitación de caminos rurales, carreteras y pavimentación, así como calles, guarniciones y banquetas, puentes e infraestructura para personas con discapacidad.</w:t>
      </w:r>
    </w:p>
    <w:p w:rsidR="00B13E1E" w:rsidRPr="00B13E1E" w:rsidRDefault="00B13E1E" w:rsidP="006D7E15">
      <w:pPr>
        <w:spacing w:after="0" w:line="360" w:lineRule="auto"/>
        <w:ind w:left="426" w:hanging="426"/>
        <w:jc w:val="both"/>
        <w:rPr>
          <w:rFonts w:ascii="Century Gothic" w:hAnsi="Century Gothic" w:cs="Arial"/>
          <w:sz w:val="24"/>
          <w:szCs w:val="24"/>
          <w:lang w:val="es-ES" w:eastAsia="es-E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lang w:eastAsia="en-US"/>
        </w:rPr>
      </w:pPr>
      <w:r w:rsidRPr="00B13E1E">
        <w:rPr>
          <w:rFonts w:ascii="Century Gothic" w:hAnsi="Century Gothic" w:cs="Arial"/>
          <w:sz w:val="24"/>
          <w:szCs w:val="24"/>
          <w:lang w:eastAsia="en-US"/>
        </w:rPr>
        <w:t>La ampliación, construcción, equipamiento, mantenimiento y rehabilitación de redes eléctricas.</w:t>
      </w:r>
    </w:p>
    <w:p w:rsidR="00B13E1E" w:rsidRPr="00B13E1E" w:rsidRDefault="00B13E1E" w:rsidP="006D7E15">
      <w:pPr>
        <w:spacing w:after="0" w:line="360" w:lineRule="auto"/>
        <w:ind w:left="426" w:hanging="426"/>
        <w:jc w:val="both"/>
        <w:rPr>
          <w:rFonts w:ascii="Century Gothic" w:hAnsi="Century Gothic" w:cs="Arial"/>
          <w:sz w:val="24"/>
          <w:szCs w:val="24"/>
          <w:lang w:val="es-ES" w:eastAsia="es-E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lang w:eastAsia="en-US"/>
        </w:rPr>
      </w:pPr>
      <w:r w:rsidRPr="00B13E1E">
        <w:rPr>
          <w:rFonts w:ascii="Century Gothic" w:hAnsi="Century Gothic" w:cs="Arial"/>
          <w:sz w:val="24"/>
          <w:szCs w:val="24"/>
          <w:lang w:eastAsia="en-US"/>
        </w:rPr>
        <w:t>La ampliación, construcción, equipamiento, mantenimiento y rehabilitación de infraestructura básica del sector salud.</w:t>
      </w:r>
    </w:p>
    <w:p w:rsidR="00B13E1E" w:rsidRPr="00B13E1E" w:rsidRDefault="00B13E1E" w:rsidP="006D7E15">
      <w:pPr>
        <w:spacing w:after="0" w:line="360" w:lineRule="auto"/>
        <w:ind w:left="426" w:hanging="426"/>
        <w:jc w:val="both"/>
        <w:rPr>
          <w:rFonts w:ascii="Century Gothic" w:hAnsi="Century Gothic" w:cs="Arial"/>
          <w:sz w:val="24"/>
          <w:szCs w:val="24"/>
          <w:lang w:val="es-ES" w:eastAsia="es-ES"/>
        </w:rPr>
      </w:pPr>
    </w:p>
    <w:p w:rsidR="00B13E1E" w:rsidRPr="00B13E1E" w:rsidRDefault="00B13E1E" w:rsidP="00AF3A8E">
      <w:pPr>
        <w:numPr>
          <w:ilvl w:val="0"/>
          <w:numId w:val="30"/>
        </w:numPr>
        <w:spacing w:after="0" w:line="360" w:lineRule="auto"/>
        <w:ind w:left="426" w:right="-187" w:hanging="426"/>
        <w:jc w:val="both"/>
        <w:rPr>
          <w:rFonts w:ascii="Century Gothic" w:hAnsi="Century Gothic" w:cs="Arial"/>
          <w:sz w:val="24"/>
          <w:szCs w:val="24"/>
          <w:lang w:eastAsia="en-US"/>
        </w:rPr>
      </w:pPr>
      <w:r w:rsidRPr="00B13E1E">
        <w:rPr>
          <w:rFonts w:ascii="Century Gothic" w:hAnsi="Century Gothic" w:cs="Arial"/>
          <w:sz w:val="24"/>
          <w:szCs w:val="24"/>
          <w:lang w:eastAsia="en-US"/>
        </w:rPr>
        <w:t>Proyectos de mejora de vivienda.</w:t>
      </w:r>
    </w:p>
    <w:p w:rsidR="00B13E1E" w:rsidRPr="00B13E1E" w:rsidRDefault="00B13E1E" w:rsidP="006D7E15">
      <w:pPr>
        <w:spacing w:after="0" w:line="360" w:lineRule="auto"/>
        <w:ind w:left="426" w:hanging="426"/>
        <w:jc w:val="both"/>
        <w:rPr>
          <w:rFonts w:ascii="Century Gothic" w:hAnsi="Century Gothic" w:cs="Arial"/>
          <w:sz w:val="24"/>
          <w:szCs w:val="24"/>
          <w:lang w:val="es-ES" w:eastAsia="es-ES"/>
        </w:rPr>
      </w:pPr>
    </w:p>
    <w:p w:rsidR="00B13E1E" w:rsidRPr="00B13E1E" w:rsidRDefault="00B13E1E" w:rsidP="008B637A">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detalle de las inversiones públicas productivas a ser desarrolladas conforme a lo anterior deberá incluirse dentro de los contratos a través de los cuales se implemente el Financiamiento FAIS.</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Se autoriza al Estado para afectar como garantía y/o fuente de pago de todas y cada una de las obligaciones que deriven del Financiamiento FAIS, hasta el 25% (veinticinco por ciento) de los derechos, e </w:t>
      </w:r>
      <w:r w:rsidRPr="00B13E1E">
        <w:rPr>
          <w:rFonts w:ascii="Century Gothic" w:hAnsi="Century Gothic" w:cs="Arial"/>
          <w:sz w:val="24"/>
          <w:szCs w:val="24"/>
          <w:lang w:eastAsia="en-US"/>
        </w:rPr>
        <w:lastRenderedPageBreak/>
        <w:t>ingresos derivados de los mismos, que le corresponden al Estado del FAIS, de conformidad con la Ley de Coordinación Fiscal, así como aquellos fondos que en su caso lo remplacen, sustituyan o complementen de tiempo en tiempo.</w:t>
      </w:r>
    </w:p>
    <w:p w:rsidR="00B13E1E" w:rsidRPr="00B13E1E" w:rsidRDefault="00B13E1E" w:rsidP="00B13E1E">
      <w:pPr>
        <w:spacing w:after="0" w:line="360" w:lineRule="auto"/>
        <w:jc w:val="both"/>
        <w:rPr>
          <w:rFonts w:ascii="Century Gothic" w:eastAsia="PMingLiU" w:hAnsi="Century Gothic" w:cs="Arial"/>
          <w:b/>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 anterior en el entendido de que, de conformidad con el artículo 50 de la Ley de Coordinación Fiscal, para obligaciones pagaderas en dos o más ejercicios fiscales, para cada ejercicio p</w:t>
      </w:r>
      <w:r w:rsidR="008B637A">
        <w:rPr>
          <w:rFonts w:ascii="Century Gothic" w:hAnsi="Century Gothic" w:cs="Arial"/>
          <w:sz w:val="24"/>
          <w:szCs w:val="24"/>
          <w:lang w:eastAsia="en-US"/>
        </w:rPr>
        <w:t>odrá destinarse al servicio de e</w:t>
      </w:r>
      <w:r w:rsidRPr="00B13E1E">
        <w:rPr>
          <w:rFonts w:ascii="Century Gothic" w:hAnsi="Century Gothic" w:cs="Arial"/>
          <w:sz w:val="24"/>
          <w:szCs w:val="24"/>
          <w:lang w:eastAsia="en-US"/>
        </w:rPr>
        <w:t>stas, lo que resulte mayor entre aplicar hasta el 25% (veinticinco por ciento) a los recursos del FAIS que le corresponden al Estado del ejercicio fiscal que esté transcurriendo o los recursos del FAIS correspondientes al año en que las obligaciones hayan sido contratadas.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deberá realizar las afectaciones anteriormente referidas, de manera irrevocable y hasta por el plazo suficiente y necesario para liquidar totalmente las obligaciones que deriven del Financiamiento FAIS contratado al amparo del presente Decreto. Dicha afectación permanecerá vigente en tanto existan obligaciones pendientes de pago, y a cargo del Estado, derivadas del Financiamiento FAIS.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deberá notificar a la Secretaría de Hacienda y Crédito Público, así como a cualquier otra autoridad que resulte competente, respecto de la afectación de las aportaciones del FAIS autorizada en el presente Decreto, instruyéndolas irrevocablemente para efectos de que, en cada ministración, entrega, anticipo, ajuste o entero, abonen los flujos respectivos en el o los </w:t>
      </w:r>
      <w:r w:rsidRPr="00B13E1E">
        <w:rPr>
          <w:rFonts w:ascii="Century Gothic" w:hAnsi="Century Gothic" w:cs="Arial"/>
          <w:sz w:val="24"/>
          <w:szCs w:val="24"/>
          <w:lang w:eastAsia="en-US"/>
        </w:rPr>
        <w:lastRenderedPageBreak/>
        <w:t>fideicomisos de garantía y fuente de pago que para tales efectos constituya, o modifique el Estado, de conformidad con lo previsto en el presente Decreto, y hasta por el plazo necesario para liquidar totalmente las obligaciones que deriven del Financiamiento FAIS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el Estado, a través del </w:t>
      </w:r>
      <w:r w:rsidR="008B637A" w:rsidRPr="00B13E1E">
        <w:rPr>
          <w:rFonts w:ascii="Century Gothic" w:hAnsi="Century Gothic" w:cs="Arial"/>
          <w:sz w:val="24"/>
          <w:szCs w:val="24"/>
          <w:lang w:eastAsia="en-US"/>
        </w:rPr>
        <w:t>Poder Ejecutivo</w:t>
      </w:r>
      <w:r w:rsidRPr="00B13E1E">
        <w:rPr>
          <w:rFonts w:ascii="Century Gothic" w:hAnsi="Century Gothic" w:cs="Arial"/>
          <w:sz w:val="24"/>
          <w:szCs w:val="24"/>
          <w:lang w:eastAsia="en-US"/>
        </w:rPr>
        <w:t>, y por conducto de la Secretaría de Hacienda, realizará las gestiones necesarias para que el porcentaje afecto de las aportaciones del FAIS ingresen al o los fideicomisos de garantía y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FAIS.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Con independencia del vehículo al que se afecten las aportaciones del FAIS que funjan como garantía y fuente de pago del Financiamiento FAIS, su afectación: (a) no podrá ser revocada o revertida sin el consentimiento previo, expreso y por escrito de las instituciones financieras mexicanas que hubieren otorgado los financiamientos a través de los cuales se implemente el Financiamiento FAIS; y (b) se considerará válida y vigente, indepen</w:t>
      </w:r>
      <w:r w:rsidR="008B637A">
        <w:rPr>
          <w:rFonts w:ascii="Century Gothic" w:hAnsi="Century Gothic" w:cs="Arial"/>
          <w:sz w:val="24"/>
          <w:szCs w:val="24"/>
          <w:lang w:eastAsia="en-US"/>
        </w:rPr>
        <w:t>dientemente de que se modifique</w:t>
      </w:r>
      <w:r w:rsidRPr="00B13E1E">
        <w:rPr>
          <w:rFonts w:ascii="Century Gothic" w:hAnsi="Century Gothic" w:cs="Arial"/>
          <w:sz w:val="24"/>
          <w:szCs w:val="24"/>
          <w:lang w:eastAsia="en-US"/>
        </w:rPr>
        <w:t xml:space="preserve"> su denominación o se sustituya por uno o varios nuevos conceptos que se refieran a situaciones jurídicas o de hecho iguales o similares, a las que dan origen a las aportaciones federales del FAIS.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Se autoriza al Estado para constituir o modificar, por conducto de la Secretaría de Hacienda, el o los mecanismos de administración, fuente de pago y/o garantía, o cualquier otro acto jurídico análogo, que considere necesario para cumplir con las obligaciones de pago a su cargo que deriven de los contratos a través de los cuales se implemente el Financiamiento FAIS, inclu</w:t>
      </w:r>
      <w:r w:rsidR="008B637A">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fideicomisos irrevocables de administración</w:t>
      </w:r>
      <w:r w:rsidR="008B637A">
        <w:rPr>
          <w:rFonts w:ascii="Century Gothic" w:hAnsi="Century Gothic" w:cs="Arial"/>
          <w:sz w:val="24"/>
          <w:szCs w:val="24"/>
          <w:lang w:eastAsia="en-US"/>
        </w:rPr>
        <w:t>,</w:t>
      </w:r>
      <w:r w:rsidRPr="00B13E1E">
        <w:rPr>
          <w:rFonts w:ascii="Century Gothic" w:hAnsi="Century Gothic" w:cs="Arial"/>
          <w:sz w:val="24"/>
          <w:szCs w:val="24"/>
          <w:lang w:eastAsia="en-US"/>
        </w:rPr>
        <w:t xml:space="preserve"> garantía y fuente de pago; a los que podrá afectar irrevocablemente las aportaciones federales del FAIS como garantía y fuente de pago y que deberán tener entre sus fines servir como mecanismo de garantía y fuente de pago de las obligaciones a cargo del Estado que deriven de dichos contratos a través de los cuales se implemente el Financiamiento FAIS.</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dichos fideicomisos serán </w:t>
      </w:r>
      <w:r w:rsidR="008B637A">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 xml:space="preserve">lo podrán ser terminados de conformidad con lo que expresamente se pacte en el o los mismos. Con independencia de su naturaleza dicho o dichos Fideicomisos atenderán los requerimientos de información que le formulen los entes fiscalizadores, para lo cual tendrán la obligación de transparentar y rendir </w:t>
      </w:r>
      <w:r w:rsidRPr="00B13E1E">
        <w:rPr>
          <w:rFonts w:ascii="Century Gothic" w:hAnsi="Century Gothic" w:cs="Arial"/>
          <w:sz w:val="24"/>
          <w:szCs w:val="24"/>
          <w:lang w:eastAsia="en-US"/>
        </w:rPr>
        <w:lastRenderedPageBreak/>
        <w:t>cuentas sobre el manejo de los recursos que se hubieran aportado y a proporcionar los informes que permitan su vigilancia y fiscalización.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del Financiamiento FAIS</w:t>
      </w:r>
      <w:r w:rsidRPr="00B13E1E">
        <w:rPr>
          <w:rFonts w:ascii="Century Gothic" w:hAnsi="Century Gothic" w:cs="Arial"/>
          <w:sz w:val="24"/>
          <w:szCs w:val="24"/>
          <w:lang w:eastAsia="en-US"/>
        </w:rPr>
        <w:t xml:space="preserve">. Para cada uno de los contratos a través de los cuales se implemente el Financiamiento FAIS, hasta 20 (veinte) años, equivalentes aproximadamente a 7,300 (siete mil trescientos) días contados a partir de la fecha en que se celebren dichos contratos o de la fecha de la primera disposición de recursos.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contratos mediante los cuales se formalice el Financiamiento FAIS permanecerán vigentes, mientras existan obligaciones pendientes de pago a favor de los acreedores respectivos.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xml:space="preserve">. Cada uno de los contratos a través de los cuales se implemente el Financiamiento FAIS deberán ser celebrados,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FAIS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lastRenderedPageBreak/>
        <w:t>Instrumentos Derivados.</w:t>
      </w:r>
      <w:r w:rsidRPr="00B13E1E">
        <w:rPr>
          <w:rFonts w:ascii="Century Gothic" w:hAnsi="Century Gothic" w:cs="Arial"/>
          <w:sz w:val="24"/>
          <w:szCs w:val="24"/>
          <w:lang w:eastAsia="en-US"/>
        </w:rPr>
        <w:t xml:space="preserve"> Con base en la presente autoriza</w:t>
      </w:r>
      <w:r w:rsidR="008B637A">
        <w:rPr>
          <w:rFonts w:ascii="Century Gothic" w:hAnsi="Century Gothic" w:cs="Arial"/>
          <w:sz w:val="24"/>
          <w:szCs w:val="24"/>
          <w:lang w:eastAsia="en-US"/>
        </w:rPr>
        <w:t>ción, el Estado podrá contratar instrumentos derivados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FAIS, inclu</w:t>
      </w:r>
      <w:r w:rsidR="008B637A">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contratos de cobertura, contratos de intercambios de tasas. Los costos y gastos de contratación de los instrumentos derivados anteriormente referidos, no podrán ser cubiertos con los recursos derivados del Financiamiento FAIS y deberán tener una fuente de pago distinta al FAIS.</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En caso que dicha contratación genere deuda adicional contingente, la misma podrá ser hasta por la cantidad necesaria para cubrir el 100% (cien por ciento) del monto del Financiamiento FAIS.</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En caso de que la contratación de los instrumentos derivados genere deuda contingente, la misma deberá ajustarse a lo establecido en la Ley de Deuda Pública para el Estado de Chihuahua y sus Municipios.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xml:space="preserve">. Cada contrato o contratos a través de los cuales se implemente el Financiamiento FAIS, deberá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w:t>
      </w:r>
      <w:r w:rsidRPr="00B13E1E">
        <w:rPr>
          <w:rFonts w:ascii="Century Gothic" w:hAnsi="Century Gothic" w:cs="Arial"/>
          <w:sz w:val="24"/>
          <w:szCs w:val="24"/>
          <w:lang w:eastAsia="en-US"/>
        </w:rPr>
        <w:lastRenderedPageBreak/>
        <w:t>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procurará que el proceso competitivo le permita recibir las mejores ofertas del mercado para el Financiamiento FAIS, por lo que en todo caso deberá considerar y diseñar los procesos competitivos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Se autoriza al Estado, para contratar y pagar los gastos adicionales que resulten necesarios para instrumentar el Financiamiento FAIS, incluyendo sin limitar, los costos y gastos asociados a la contratación, administración, mantenimiento, costos de estructuración financiera y legal, aportaciones iniciales, operación, constitución y/o reconstitución de reservas, comisiones financieras institucionales; así como para contratar y pagar todos y cada uno de los gastos inherentes al proceso de implementación y contratación del Financiamiento FAIS, incluyendo el proceso competitivo, tales como la obtención de dictámenes de agencias calificadoras, contratación de las asesorías y servicios, gastos legales y/o, en general, cualesquiera otros gastos o costos asociados en su caso y que se requieran para el diseño e instrumentación financiera y/o legal de las operaciones a que se refiere la presente autorización.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 xml:space="preserve">El importe máximo que deba destinarse para cubrir los gastos y costos asociados a la implementación del Financiamiento FAIS, no podrá exceder el 2.5% del monto de dicho financiamiento, siempre que se incluyan los instrumentos derivados o de cobertura, y fondos de reserva. En caso de que no se incluyan los instrumentos derivados o de cobertura, los gastos y costos asociados relacionados </w:t>
      </w:r>
      <w:r w:rsidR="008B637A">
        <w:rPr>
          <w:rFonts w:ascii="Century Gothic" w:hAnsi="Century Gothic" w:cs="Arial"/>
          <w:sz w:val="24"/>
          <w:szCs w:val="24"/>
          <w:lang w:eastAsia="en-US"/>
        </w:rPr>
        <w:t xml:space="preserve">con </w:t>
      </w:r>
      <w:r w:rsidRPr="00B13E1E">
        <w:rPr>
          <w:rFonts w:ascii="Century Gothic" w:hAnsi="Century Gothic" w:cs="Arial"/>
          <w:sz w:val="24"/>
          <w:szCs w:val="24"/>
          <w:lang w:eastAsia="en-US"/>
        </w:rPr>
        <w:t>la implementación del Financiamiento FAIS, no deberá rebasar el 1.5% del monto de dicho financiamiento, sin perjuicio de lo establecido en el Artículo 27 del Reglamento del Registro Públ</w:t>
      </w:r>
      <w:r w:rsidR="008B637A">
        <w:rPr>
          <w:rFonts w:ascii="Century Gothic" w:hAnsi="Century Gothic" w:cs="Arial"/>
          <w:sz w:val="24"/>
          <w:szCs w:val="24"/>
          <w:lang w:eastAsia="en-US"/>
        </w:rPr>
        <w:t>ico Único de Financiamientos y O</w:t>
      </w:r>
      <w:r w:rsidRPr="00B13E1E">
        <w:rPr>
          <w:rFonts w:ascii="Century Gothic" w:hAnsi="Century Gothic" w:cs="Arial"/>
          <w:sz w:val="24"/>
          <w:szCs w:val="24"/>
          <w:lang w:eastAsia="en-US"/>
        </w:rPr>
        <w:t>bligaciones de Entidades Federativas y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conceptos anteriormente referidos deberán ser cubiertos con recursos distintos al FAIS y/o al Financiamiento FAIS.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Artículo Tercero.</w:t>
      </w:r>
      <w:r w:rsidRPr="00B13E1E">
        <w:rPr>
          <w:rFonts w:ascii="Century Gothic" w:hAnsi="Century Gothic" w:cs="Arial"/>
          <w:sz w:val="24"/>
          <w:szCs w:val="24"/>
          <w:lang w:eastAsia="en-US"/>
        </w:rPr>
        <w:t xml:space="preserve"> </w:t>
      </w:r>
      <w:r w:rsidRPr="00B13E1E">
        <w:rPr>
          <w:rFonts w:ascii="Century Gothic" w:hAnsi="Century Gothic" w:cs="Arial"/>
          <w:sz w:val="24"/>
          <w:szCs w:val="24"/>
          <w:u w:val="single"/>
          <w:lang w:eastAsia="en-US"/>
        </w:rPr>
        <w:t>Emisión de Valores</w:t>
      </w:r>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al Estado y a la empresa de participación estatal mayoritaria, perteneciente a la Administración Pública Paraestatal del Estado, denominada Fibra Estatal Chihuahua, S.A. de C.V. (“</w:t>
      </w:r>
      <w:r w:rsidRPr="00B13E1E">
        <w:rPr>
          <w:rFonts w:ascii="Century Gothic" w:hAnsi="Century Gothic" w:cs="Arial"/>
          <w:sz w:val="24"/>
          <w:szCs w:val="24"/>
          <w:u w:val="single"/>
          <w:lang w:eastAsia="en-US"/>
        </w:rPr>
        <w:t>Fibra Estatal</w:t>
      </w:r>
      <w:r w:rsidRPr="00B13E1E">
        <w:rPr>
          <w:rFonts w:ascii="Century Gothic" w:hAnsi="Century Gothic" w:cs="Arial"/>
          <w:sz w:val="24"/>
          <w:szCs w:val="24"/>
          <w:lang w:eastAsia="en-US"/>
        </w:rPr>
        <w:t>”), para que por conducto de los funcionarios que resulten facultados en términos de la legislación aplicable, y conforme a los términos y condiciones previstos en el presente Decreto, realicen las gestiones administrativas y financieras necesarias para llevar a cabo la constitución de un fideicomiso (el “</w:t>
      </w:r>
      <w:r w:rsidRPr="00B13E1E">
        <w:rPr>
          <w:rFonts w:ascii="Century Gothic" w:hAnsi="Century Gothic" w:cs="Arial"/>
          <w:sz w:val="24"/>
          <w:szCs w:val="24"/>
          <w:u w:val="single"/>
          <w:lang w:eastAsia="en-US"/>
        </w:rPr>
        <w:t>Fideicomiso Emisor</w:t>
      </w:r>
      <w:r w:rsidRPr="00B13E1E">
        <w:rPr>
          <w:rFonts w:ascii="Century Gothic" w:hAnsi="Century Gothic" w:cs="Arial"/>
          <w:sz w:val="24"/>
          <w:szCs w:val="24"/>
          <w:lang w:eastAsia="en-US"/>
        </w:rPr>
        <w:t xml:space="preserve">”), a través del cual se implemente uno o varios programas de certificados bursátiles fiduciarios para la emisión o emisiones de los mismos, </w:t>
      </w:r>
      <w:r w:rsidRPr="00B13E1E">
        <w:rPr>
          <w:rFonts w:ascii="Century Gothic" w:hAnsi="Century Gothic" w:cs="Arial"/>
          <w:sz w:val="24"/>
          <w:szCs w:val="24"/>
          <w:lang w:eastAsia="en-US"/>
        </w:rPr>
        <w:lastRenderedPageBreak/>
        <w:t>a través de su oferta pública en el mercado bursátil mexicano y hasta por la cantidad de $19,600,000,000.00 (Diecinue</w:t>
      </w:r>
      <w:r w:rsidR="008B637A">
        <w:rPr>
          <w:rFonts w:ascii="Century Gothic" w:hAnsi="Century Gothic" w:cs="Arial"/>
          <w:sz w:val="24"/>
          <w:szCs w:val="24"/>
          <w:lang w:eastAsia="en-US"/>
        </w:rPr>
        <w:t>ve mil seiscientos millones de p</w:t>
      </w:r>
      <w:r w:rsidRPr="00B13E1E">
        <w:rPr>
          <w:rFonts w:ascii="Century Gothic" w:hAnsi="Century Gothic" w:cs="Arial"/>
          <w:sz w:val="24"/>
          <w:szCs w:val="24"/>
          <w:lang w:eastAsia="en-US"/>
        </w:rPr>
        <w:t>esos 00/100 M.N.) más costos y gastos relacionados con su emisión y más fondos de reserva, de conformidad con lo previsto más adelante en la presente autorización (los “</w:t>
      </w:r>
      <w:r w:rsidRPr="00B13E1E">
        <w:rPr>
          <w:rFonts w:ascii="Century Gothic" w:hAnsi="Century Gothic" w:cs="Arial"/>
          <w:sz w:val="24"/>
          <w:szCs w:val="24"/>
          <w:u w:val="single"/>
          <w:lang w:eastAsia="en-US"/>
        </w:rPr>
        <w:t>Certificados</w:t>
      </w:r>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cantidad anteriormente referida no comprende intereses, comisiones, ni demás accesorios financieros que se generen como consecuencia de la emisión de los Certificados.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certificados bursátiles anteriormente referidos únicamente podrán ser adquiridos por personas físicas y/o morales de nacionalidad mexicana y deberán contener la prohibición expresa de ser vendidos a personas físicas o morales extranjeras, así mismo, los certificados deberán ser pagaderos en moneda nacional y dentro del territorio nacional.</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En términos del artículo 28 de la Ley de Disciplina Financiera de las Entidades Federativas y los Municipios, el Estado y Fibra Estatal deberán fundamentar en el propio documento de colocación de los Certificados, las razones por las cuales el mercado bursátil es una opción más adecuada que el bancario y deberá precisar todos los costos derivados de la emisión y colocación de los Certificados, de conformidad con los términos y condiciones previstos en la legislación aplicable.</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La autorización anterior se otorga previo análisis de la capacidad de pago del Estado y de Fibra Estatal, el destino de los recursos derivados de la emisión de los Certificados y los recursos que fungirán como garantía y fuente de pago de los Certificados.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Se autoriza al Estado, para fungir como fideicomitente y fideicomisario del Fideicomiso Emisor de los certificados bursátiles así como para, directamente o a través de dicho fideicomiso, hacer  todas las actividades, celebrar todos los documentos y llevar a cabo todas las gestiones que sean necesarias frente a las Bolsas de Valores, la Comisión Nacional Bancaria</w:t>
      </w:r>
      <w:r w:rsidR="008B637A">
        <w:rPr>
          <w:rFonts w:ascii="Century Gothic" w:hAnsi="Century Gothic" w:cs="Arial"/>
          <w:sz w:val="24"/>
          <w:szCs w:val="24"/>
          <w:lang w:eastAsia="en-US"/>
        </w:rPr>
        <w:t xml:space="preserve"> y de Valores,</w:t>
      </w:r>
      <w:r w:rsidRPr="00B13E1E">
        <w:rPr>
          <w:rFonts w:ascii="Century Gothic" w:hAnsi="Century Gothic" w:cs="Arial"/>
          <w:sz w:val="24"/>
          <w:szCs w:val="24"/>
          <w:lang w:eastAsia="en-US"/>
        </w:rPr>
        <w:t xml:space="preserve"> y el Indeval, para obtener la autorización de los certificados bursátiles aquí autorizados, así como para llevar a cabo el prepago de los certificados bursátiles fiduciarios identificados con clave de pizarra CHIHCB 13U, de conformidad con lo previsto más adelante.</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Fideicomiso Emisor</w:t>
      </w:r>
      <w:r w:rsidRPr="00B13E1E">
        <w:rPr>
          <w:rFonts w:ascii="Century Gothic" w:hAnsi="Century Gothic" w:cs="Arial"/>
          <w:sz w:val="24"/>
          <w:szCs w:val="24"/>
          <w:lang w:eastAsia="en-US"/>
        </w:rPr>
        <w:t>. El Fideicomiso Emisor tendrá, entre otros fines: (i) la emisión, oferta pública y colocación de los Certificados, en el mercado bursátil mexicano; y (ii) la celebración de los actos necesarios y suficientes y/o convenientes para la emisión, oferta y colocación de los Certificados.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el contrato a través del cual se constituya el Fideicomiso Emisor podrán convenirse todas las condiciones permitidas y exigidas por la normatividad aplicable, por las autoridades e instituciones bancarias y bursátiles, por los mercados financiero y bursátil, aquellas acordes a los usos bancarios y </w:t>
      </w:r>
      <w:r w:rsidRPr="00B13E1E">
        <w:rPr>
          <w:rFonts w:ascii="Century Gothic" w:hAnsi="Century Gothic" w:cs="Arial"/>
          <w:sz w:val="24"/>
          <w:szCs w:val="24"/>
          <w:lang w:eastAsia="en-US"/>
        </w:rPr>
        <w:lastRenderedPageBreak/>
        <w:t>fiduciarios, y las demás que sean necesarias o convenientes para la emisión y colocación de los Certificados, respetando en todo momento lo previsto en 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3860EC" w:rsidP="00B13E1E">
      <w:pPr>
        <w:spacing w:after="0" w:line="360" w:lineRule="auto"/>
        <w:ind w:right="-187"/>
        <w:jc w:val="both"/>
        <w:rPr>
          <w:rFonts w:ascii="Century Gothic" w:hAnsi="Century Gothic" w:cs="Arial"/>
          <w:sz w:val="24"/>
          <w:szCs w:val="24"/>
          <w:lang w:eastAsia="en-US"/>
        </w:rPr>
      </w:pPr>
      <w:r>
        <w:rPr>
          <w:rFonts w:ascii="Century Gothic" w:hAnsi="Century Gothic" w:cs="Arial"/>
          <w:sz w:val="24"/>
          <w:szCs w:val="24"/>
          <w:lang w:eastAsia="en-US"/>
        </w:rPr>
        <w:t>El Fideicomiso Emisor podrá, ma</w:t>
      </w:r>
      <w:r w:rsidR="00B13E1E" w:rsidRPr="00B13E1E">
        <w:rPr>
          <w:rFonts w:ascii="Century Gothic" w:hAnsi="Century Gothic" w:cs="Arial"/>
          <w:sz w:val="24"/>
          <w:szCs w:val="24"/>
          <w:lang w:eastAsia="en-US"/>
        </w:rPr>
        <w:t>s no estará obligado a, prever un comité técnico, en los términos y condiciones que al efecto se establezcan en contrato a través del cual se implemente el Fideicomiso Emisor, pero en todo caso, los integrantes del comité técnico no tendrán derecho a recibir sueldo o emolumento alguno por el desempeño del cargo como miembro del comité técnico y no les será atribuible por el desempeño de dicho cargo la calidad de servidor público de la administración pública estatal.</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En el contrato a través del cual se implemente el Fideicomiso Emisor, se deberá estipular que, una vez que se hayan liquidado en su totalidad las obligaciones de pago a cargo de dicho Fideicomiso Emisor, incluyendo sin limitar, las obligaciones derivadas de los Certificados, y los contratos de coberturas de tasas de interés que, en su caso, se hubieren celebrado, se revertirán al Estado y a la Fibra Estatal, según corresponda, y en términos de dicho Fideicomiso Emisor, los bienes, ingresos y/o derechos fideicomitidos, así como cualesquiera cantidades líquidas que existieran en las cuentas del Fideicomiso Emisor.</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lastRenderedPageBreak/>
        <w:t>Destino.</w:t>
      </w:r>
      <w:r w:rsidRPr="00B13E1E">
        <w:rPr>
          <w:rFonts w:ascii="Century Gothic" w:hAnsi="Century Gothic" w:cs="Arial"/>
          <w:sz w:val="24"/>
          <w:szCs w:val="24"/>
          <w:lang w:eastAsia="en-US"/>
        </w:rPr>
        <w:t xml:space="preserve"> Los recursos que obtenga el fiduciario del Fideicomiso Emisor derivados de la colocación y emisión o emisiones de los Certificados serán destinados a:</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1"/>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Al refinanciamiento de los certificados bursátiles fiduciarios identificados con clave de pizarra CHIHCB 13U, incluyendo costos, comisiones y demás accesorios financieros derivados del refinanciamiento de los mismos y emitidos por el fideicomiso irrevocable número 80672, constituido el 21 de agosto 2013, en el cual el Estado y Fibra Estatal, participan como fideicomitentes, Nacional Financiera, Sociedad Nacional de Crédito, Institución de Banca de Desarrollo, participa como fiduciario y Banco Invex, S.A., Institución de Banca Múltiple, Invex Grupo Financiero, participa como representante común. Dichos certificados bursátiles presentan al 31 de octubre de 2021 un saldo insoluto de $14,996,508,926.81 (Catorce mil novecientos noventa y seis millones quinientos ocho mil novecientos veintiséis pesos 81/100 M.N.) (el “</w:t>
      </w:r>
      <w:r w:rsidRPr="00B13E1E">
        <w:rPr>
          <w:rFonts w:ascii="Century Gothic" w:hAnsi="Century Gothic" w:cs="Arial"/>
          <w:sz w:val="24"/>
          <w:szCs w:val="24"/>
          <w:u w:val="single"/>
          <w:lang w:eastAsia="en-US"/>
        </w:rPr>
        <w:t>Fideicomiso Emisor Previo</w:t>
      </w:r>
      <w:r w:rsidRPr="00B13E1E">
        <w:rPr>
          <w:rFonts w:ascii="Century Gothic" w:hAnsi="Century Gothic" w:cs="Arial"/>
          <w:sz w:val="24"/>
          <w:szCs w:val="24"/>
          <w:lang w:eastAsia="en-US"/>
        </w:rPr>
        <w:t>”); incluyendo todos sus accesorios financieros.</w:t>
      </w:r>
    </w:p>
    <w:p w:rsidR="00B13E1E" w:rsidRPr="00B13E1E" w:rsidRDefault="00B13E1E" w:rsidP="006D7E15">
      <w:pPr>
        <w:spacing w:after="0" w:line="360" w:lineRule="auto"/>
        <w:ind w:left="567" w:right="-187" w:hanging="567"/>
        <w:jc w:val="both"/>
        <w:rPr>
          <w:rFonts w:ascii="Century Gothic" w:hAnsi="Century Gothic" w:cs="Arial"/>
          <w:sz w:val="24"/>
          <w:szCs w:val="24"/>
          <w:lang w:eastAsia="en-US"/>
        </w:rPr>
      </w:pPr>
    </w:p>
    <w:p w:rsidR="00B13E1E" w:rsidRPr="00B13E1E" w:rsidRDefault="00B13E1E" w:rsidP="00AF3A8E">
      <w:pPr>
        <w:numPr>
          <w:ilvl w:val="0"/>
          <w:numId w:val="31"/>
        </w:numPr>
        <w:spacing w:after="0" w:line="360" w:lineRule="auto"/>
        <w:ind w:left="567"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En su caso, al financiamiento de proyectos de inversión pública productiva, en los rubros de inversión descritos a continuación, y en términos de lo dispuesto por los artículos 117, fracción VIII, de la Constitución Política de los Estados Unidos Mexicanos, así como los artículos 2</w:t>
      </w:r>
      <w:r w:rsidR="003860EC">
        <w:rPr>
          <w:rFonts w:ascii="Century Gothic" w:hAnsi="Century Gothic" w:cs="Arial"/>
          <w:sz w:val="24"/>
          <w:szCs w:val="24"/>
          <w:lang w:eastAsia="en-US"/>
        </w:rPr>
        <w:t>,</w:t>
      </w:r>
      <w:r w:rsidRPr="00B13E1E">
        <w:rPr>
          <w:rFonts w:ascii="Century Gothic" w:hAnsi="Century Gothic" w:cs="Arial"/>
          <w:sz w:val="24"/>
          <w:szCs w:val="24"/>
          <w:lang w:eastAsia="en-US"/>
        </w:rPr>
        <w:t xml:space="preserve"> fracción XXV y 22 de la Ley de Disciplina Financiera de las Entidades Federativas y los Municipios:</w:t>
      </w:r>
    </w:p>
    <w:p w:rsidR="00B13E1E" w:rsidRPr="00B13E1E" w:rsidRDefault="00B13E1E" w:rsidP="00B13E1E">
      <w:pPr>
        <w:spacing w:after="0" w:line="360" w:lineRule="auto"/>
        <w:jc w:val="both"/>
        <w:rPr>
          <w:rFonts w:ascii="Century Gothic" w:hAnsi="Century Gothic" w:cs="Arial"/>
          <w:sz w:val="24"/>
          <w:szCs w:val="24"/>
          <w:lang w:val="es-ES" w:eastAsia="es-ES"/>
        </w:rPr>
      </w:pPr>
    </w:p>
    <w:tbl>
      <w:tblPr>
        <w:tblW w:w="0" w:type="auto"/>
        <w:tblInd w:w="142" w:type="dxa"/>
        <w:tblLook w:val="04A0" w:firstRow="1" w:lastRow="0" w:firstColumn="1" w:lastColumn="0" w:noHBand="0" w:noVBand="1"/>
      </w:tblPr>
      <w:tblGrid>
        <w:gridCol w:w="992"/>
        <w:gridCol w:w="7513"/>
        <w:gridCol w:w="181"/>
      </w:tblGrid>
      <w:tr w:rsidR="00B13E1E" w:rsidRPr="00B13E1E" w:rsidTr="006D7E15">
        <w:trPr>
          <w:gridBefore w:val="1"/>
          <w:wBefore w:w="992" w:type="dxa"/>
        </w:trPr>
        <w:tc>
          <w:tcPr>
            <w:tcW w:w="7694" w:type="dxa"/>
            <w:gridSpan w:val="2"/>
            <w:shd w:val="clear" w:color="auto" w:fill="auto"/>
          </w:tcPr>
          <w:p w:rsidR="00B13E1E" w:rsidRPr="00B13E1E" w:rsidRDefault="00B13E1E" w:rsidP="006D7E15">
            <w:pPr>
              <w:spacing w:after="0" w:line="360" w:lineRule="auto"/>
              <w:ind w:right="-187"/>
              <w:jc w:val="center"/>
              <w:rPr>
                <w:rFonts w:ascii="Century Gothic" w:hAnsi="Century Gothic" w:cs="Arial"/>
                <w:b/>
                <w:sz w:val="24"/>
                <w:szCs w:val="24"/>
                <w:lang w:val="es-ES" w:eastAsia="en-US"/>
              </w:rPr>
            </w:pPr>
            <w:r w:rsidRPr="00B13E1E">
              <w:rPr>
                <w:rFonts w:ascii="Century Gothic" w:hAnsi="Century Gothic" w:cs="Arial"/>
                <w:b/>
                <w:sz w:val="24"/>
                <w:szCs w:val="24"/>
                <w:lang w:val="es-ES" w:eastAsia="en-US"/>
              </w:rPr>
              <w:t xml:space="preserve">Rubros </w:t>
            </w:r>
            <w:r w:rsidR="006D7E15">
              <w:rPr>
                <w:rFonts w:ascii="Century Gothic" w:hAnsi="Century Gothic" w:cs="Arial"/>
                <w:b/>
                <w:sz w:val="24"/>
                <w:szCs w:val="24"/>
                <w:lang w:val="es-ES" w:eastAsia="en-US"/>
              </w:rPr>
              <w:t>de inversión público productiva</w:t>
            </w:r>
          </w:p>
          <w:p w:rsidR="00B13E1E" w:rsidRPr="00B13E1E" w:rsidRDefault="00B13E1E" w:rsidP="00484DD8">
            <w:pPr>
              <w:spacing w:after="0" w:line="360" w:lineRule="auto"/>
              <w:ind w:right="-187"/>
              <w:jc w:val="both"/>
              <w:rPr>
                <w:rFonts w:ascii="Century Gothic" w:hAnsi="Century Gothic" w:cs="Arial"/>
                <w:sz w:val="24"/>
                <w:szCs w:val="24"/>
                <w:lang w:val="es-ES" w:eastAsia="en-US"/>
              </w:rPr>
            </w:pP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 xml:space="preserve">Equipamiento e inversión en infraestructura de seguridad pública y de justicia. </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Equipamiento e inversión en infraestructura del sector salud.</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 xml:space="preserve">Equipamiento e inversión en infraestructura urbana. </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Construcción, mantenimiento y rehabilitación de infraestructura de vías de comunicación.</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Equipamiento e inversión en infraestructura para el desarrollo de actividades primarias.</w:t>
            </w:r>
          </w:p>
        </w:tc>
      </w:tr>
      <w:tr w:rsidR="00B13E1E" w:rsidRPr="00B13E1E" w:rsidTr="006D7E15">
        <w:trPr>
          <w:gridAfter w:val="1"/>
          <w:wAfter w:w="181" w:type="dxa"/>
        </w:trPr>
        <w:tc>
          <w:tcPr>
            <w:tcW w:w="8505" w:type="dxa"/>
            <w:gridSpan w:val="2"/>
            <w:shd w:val="clear" w:color="auto" w:fill="auto"/>
          </w:tcPr>
          <w:p w:rsidR="00B13E1E" w:rsidRPr="00B13E1E" w:rsidRDefault="00B13E1E" w:rsidP="00AF3A8E">
            <w:pPr>
              <w:numPr>
                <w:ilvl w:val="0"/>
                <w:numId w:val="32"/>
              </w:numPr>
              <w:spacing w:after="0" w:line="360" w:lineRule="auto"/>
              <w:jc w:val="both"/>
              <w:rPr>
                <w:rFonts w:ascii="Century Gothic" w:hAnsi="Century Gothic" w:cs="Arial"/>
                <w:bCs/>
                <w:sz w:val="24"/>
                <w:szCs w:val="24"/>
                <w:lang w:val="es-ES" w:eastAsia="en-US"/>
              </w:rPr>
            </w:pPr>
            <w:r w:rsidRPr="00B13E1E">
              <w:rPr>
                <w:rFonts w:ascii="Century Gothic" w:hAnsi="Century Gothic" w:cs="Arial"/>
                <w:bCs/>
                <w:sz w:val="24"/>
                <w:szCs w:val="24"/>
                <w:lang w:val="es-ES" w:eastAsia="en-US"/>
              </w:rPr>
              <w:t>Construcción de obras y tecnificación para el abastecimiento de agua potable urbana y rural.</w:t>
            </w:r>
          </w:p>
        </w:tc>
      </w:tr>
    </w:tbl>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detalle de los proyectos de inversión pública productiva a desarrollarse deberá estar descrito dentro de los documentos a través de los cuales se implemente la emisión de los Certificados.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1"/>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En términos de lo previsto más adelante dentro del presente Decreto, a la contratación de instrumentos derivados y Garantías de Pago, según dicho término se define más adelante.</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1"/>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términos de lo previsto más adelante dentro del presente Decreto, el pago de los gastos relacionados con el diseño, estructuración, instrumentación, </w:t>
      </w:r>
      <w:r w:rsidRPr="00B13E1E">
        <w:rPr>
          <w:rFonts w:ascii="Century Gothic" w:hAnsi="Century Gothic" w:cs="Arial"/>
          <w:sz w:val="24"/>
          <w:szCs w:val="24"/>
          <w:lang w:eastAsia="en-US"/>
        </w:rPr>
        <w:lastRenderedPageBreak/>
        <w:t>emisión y colocación de los Certificados, incluyendo sin limitar, el pago de honorarios de agencias calificadoras de valores, de asesores financieros y legales, fiduciarios, en su caso, el pago de derechos ante autoridades, así como para la constitución de fondos de reserva para l</w:t>
      </w:r>
      <w:r w:rsidR="003860EC">
        <w:rPr>
          <w:rFonts w:ascii="Century Gothic" w:hAnsi="Century Gothic" w:cs="Arial"/>
          <w:sz w:val="24"/>
          <w:szCs w:val="24"/>
          <w:lang w:eastAsia="en-US"/>
        </w:rPr>
        <w:t>as emisiones de los Certificados</w:t>
      </w:r>
      <w:r w:rsidRPr="00B13E1E">
        <w:rPr>
          <w:rFonts w:ascii="Century Gothic" w:hAnsi="Century Gothic" w:cs="Arial"/>
          <w:sz w:val="24"/>
          <w:szCs w:val="24"/>
          <w:lang w:eastAsia="en-US"/>
        </w:rPr>
        <w:t xml:space="preserve"> y</w:t>
      </w:r>
      <w:r w:rsidR="003860EC">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la celebración de instrumentos derivados conforme a lo previsto en la presente autorización.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Garantía o fuente de pago</w:t>
      </w:r>
      <w:r w:rsidRPr="00B13E1E">
        <w:rPr>
          <w:rFonts w:ascii="Century Gothic" w:hAnsi="Century Gothic" w:cs="Arial"/>
          <w:sz w:val="24"/>
          <w:szCs w:val="24"/>
          <w:lang w:eastAsia="en-US"/>
        </w:rPr>
        <w:t>. Se autoriza al Estado y a Fibra Estatal, para que por conducto de los funcionarios que resulten legalmente facultados, afecten como garantía y fuente de pago de la emisión de los Certificados, los Ingresos de libre disposición,</w:t>
      </w:r>
      <w:r w:rsidRPr="00B13E1E" w:rsidDel="00B66F4E">
        <w:rPr>
          <w:rFonts w:ascii="Century Gothic" w:hAnsi="Century Gothic" w:cs="Arial"/>
          <w:sz w:val="24"/>
          <w:szCs w:val="24"/>
          <w:lang w:eastAsia="en-US"/>
        </w:rPr>
        <w:t xml:space="preserve"> </w:t>
      </w:r>
      <w:r w:rsidRPr="00B13E1E">
        <w:rPr>
          <w:rFonts w:ascii="Century Gothic" w:hAnsi="Century Gothic" w:cs="Arial"/>
          <w:sz w:val="24"/>
          <w:szCs w:val="24"/>
          <w:lang w:eastAsia="en-US"/>
        </w:rPr>
        <w:t xml:space="preserve">derivados de las cuotas de peaje por la explotación de los siguientes tramos carreteros: </w:t>
      </w:r>
    </w:p>
    <w:p w:rsidR="00B13E1E" w:rsidRPr="00B13E1E" w:rsidRDefault="00B13E1E" w:rsidP="00B13E1E">
      <w:pPr>
        <w:spacing w:after="0" w:line="360" w:lineRule="auto"/>
        <w:jc w:val="both"/>
        <w:rPr>
          <w:rFonts w:ascii="Century Gothic" w:hAnsi="Century Gothic" w:cs="Arial"/>
          <w:b/>
          <w:sz w:val="24"/>
          <w:szCs w:val="24"/>
          <w:lang w:val="es-ES" w:eastAsia="es-ES"/>
        </w:rPr>
      </w:pPr>
    </w:p>
    <w:tbl>
      <w:tblPr>
        <w:tblW w:w="84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2095"/>
        <w:gridCol w:w="2115"/>
        <w:gridCol w:w="2145"/>
      </w:tblGrid>
      <w:tr w:rsidR="00B13E1E" w:rsidRPr="00B13E1E" w:rsidTr="00484DD8">
        <w:tc>
          <w:tcPr>
            <w:tcW w:w="2113" w:type="dxa"/>
            <w:shd w:val="clear" w:color="auto" w:fill="auto"/>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Caseta</w:t>
            </w:r>
          </w:p>
        </w:tc>
        <w:tc>
          <w:tcPr>
            <w:tcW w:w="2095"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Km</w:t>
            </w:r>
          </w:p>
        </w:tc>
        <w:tc>
          <w:tcPr>
            <w:tcW w:w="211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Tramo </w:t>
            </w:r>
          </w:p>
        </w:tc>
        <w:tc>
          <w:tcPr>
            <w:tcW w:w="2145"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Jurisdicción</w:t>
            </w:r>
          </w:p>
        </w:tc>
      </w:tr>
      <w:tr w:rsidR="00B13E1E" w:rsidRPr="00B13E1E" w:rsidTr="00484DD8">
        <w:tc>
          <w:tcPr>
            <w:tcW w:w="2113" w:type="dxa"/>
            <w:shd w:val="clear" w:color="auto" w:fill="auto"/>
            <w:vAlign w:val="center"/>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Jiménez – Savalza (Savalza)</w:t>
            </w:r>
          </w:p>
        </w:tc>
        <w:tc>
          <w:tcPr>
            <w:tcW w:w="209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10 + 500</w:t>
            </w:r>
          </w:p>
        </w:tc>
        <w:tc>
          <w:tcPr>
            <w:tcW w:w="2115" w:type="dxa"/>
            <w:shd w:val="clear" w:color="auto" w:fill="auto"/>
            <w:vAlign w:val="center"/>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Jiménez – Savalza</w:t>
            </w:r>
          </w:p>
        </w:tc>
        <w:tc>
          <w:tcPr>
            <w:tcW w:w="214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Chihuahua - Sacramento (Sacramento)</w:t>
            </w:r>
          </w:p>
        </w:tc>
        <w:tc>
          <w:tcPr>
            <w:tcW w:w="209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31 + 300</w:t>
            </w:r>
          </w:p>
        </w:tc>
        <w:tc>
          <w:tcPr>
            <w:tcW w:w="2115" w:type="dxa"/>
            <w:shd w:val="clear" w:color="auto" w:fill="auto"/>
            <w:vAlign w:val="center"/>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Chihuahua – Sacramento</w:t>
            </w:r>
          </w:p>
        </w:tc>
        <w:tc>
          <w:tcPr>
            <w:tcW w:w="214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Santa Isabel – Cuauhtémoc (Santa Isabel)</w:t>
            </w:r>
          </w:p>
        </w:tc>
        <w:tc>
          <w:tcPr>
            <w:tcW w:w="209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68 + 000</w:t>
            </w:r>
          </w:p>
        </w:tc>
        <w:tc>
          <w:tcPr>
            <w:tcW w:w="2115" w:type="dxa"/>
            <w:shd w:val="clear" w:color="auto" w:fill="auto"/>
            <w:vAlign w:val="center"/>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Santa Isabel – Cuauhtémoc</w:t>
            </w:r>
          </w:p>
        </w:tc>
        <w:tc>
          <w:tcPr>
            <w:tcW w:w="214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lastRenderedPageBreak/>
              <w:t>Ojo Laguna – Flores Magón (Ojo Laguna)</w:t>
            </w:r>
          </w:p>
        </w:tc>
        <w:tc>
          <w:tcPr>
            <w:tcW w:w="209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0 + 950</w:t>
            </w:r>
          </w:p>
        </w:tc>
        <w:tc>
          <w:tcPr>
            <w:tcW w:w="2115" w:type="dxa"/>
            <w:shd w:val="clear" w:color="auto" w:fill="auto"/>
            <w:vAlign w:val="center"/>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Ojo Laguna – Flores Magón</w:t>
            </w:r>
          </w:p>
        </w:tc>
        <w:tc>
          <w:tcPr>
            <w:tcW w:w="2145" w:type="dxa"/>
            <w:shd w:val="clear" w:color="auto" w:fill="auto"/>
            <w:vAlign w:val="center"/>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Acortamiento Flores Magón – Galeana (Galeana)</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18 + 000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Acortamiento Flores Magón – Galeana</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Estatal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Jiménez Camargo (Jiménez)</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11 + 800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Jiménez – Camargo</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Federal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Camargo – Conchos (Camargo)</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73 + 800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Camargo – Conchos</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Federal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Conchos – Delicias (Saucillo)</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116 + 400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Conchos – Delicias</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Federal</w:t>
            </w:r>
          </w:p>
        </w:tc>
      </w:tr>
      <w:tr w:rsidR="00B13E1E" w:rsidRPr="00B13E1E" w:rsidTr="00484DD8">
        <w:tc>
          <w:tcPr>
            <w:tcW w:w="2113" w:type="dxa"/>
            <w:shd w:val="clear" w:color="auto" w:fill="auto"/>
            <w:vAlign w:val="center"/>
          </w:tcPr>
          <w:p w:rsidR="00B13E1E" w:rsidRPr="00B13E1E" w:rsidDel="00456E8F" w:rsidRDefault="00B13E1E" w:rsidP="00484DD8">
            <w:pPr>
              <w:spacing w:after="0" w:line="360" w:lineRule="auto"/>
              <w:ind w:right="16"/>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Sueco – Villa Ahumada (Villa Ahumada)</w:t>
            </w:r>
          </w:p>
        </w:tc>
        <w:tc>
          <w:tcPr>
            <w:tcW w:w="209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216 + 000</w:t>
            </w:r>
          </w:p>
        </w:tc>
        <w:tc>
          <w:tcPr>
            <w:tcW w:w="2115" w:type="dxa"/>
            <w:shd w:val="clear" w:color="auto" w:fill="auto"/>
            <w:vAlign w:val="center"/>
          </w:tcPr>
          <w:p w:rsidR="00B13E1E" w:rsidRPr="00B13E1E" w:rsidDel="00456E8F" w:rsidRDefault="00B13E1E" w:rsidP="00484DD8">
            <w:pPr>
              <w:spacing w:after="0" w:line="360" w:lineRule="auto"/>
              <w:jc w:val="both"/>
              <w:rPr>
                <w:rFonts w:ascii="Century Gothic" w:hAnsi="Century Gothic" w:cs="Arial"/>
                <w:sz w:val="24"/>
                <w:szCs w:val="24"/>
                <w:lang w:val="es-ES" w:eastAsia="en-US"/>
              </w:rPr>
            </w:pPr>
            <w:r w:rsidRPr="00B13E1E">
              <w:rPr>
                <w:rFonts w:ascii="Century Gothic" w:eastAsia="Arial" w:hAnsi="Century Gothic" w:cs="Arial"/>
                <w:b/>
                <w:color w:val="000000"/>
                <w:sz w:val="24"/>
                <w:szCs w:val="24"/>
                <w:lang w:val="es-ES" w:eastAsia="en-US"/>
              </w:rPr>
              <w:t>Sueco – Villa Ahumada</w:t>
            </w:r>
          </w:p>
        </w:tc>
        <w:tc>
          <w:tcPr>
            <w:tcW w:w="2145" w:type="dxa"/>
            <w:shd w:val="clear" w:color="auto" w:fill="auto"/>
            <w:vAlign w:val="center"/>
          </w:tcPr>
          <w:p w:rsidR="00B13E1E" w:rsidRPr="00B13E1E" w:rsidDel="00456E8F"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b/>
                <w:sz w:val="24"/>
                <w:szCs w:val="24"/>
                <w:lang w:val="es-ES" w:eastAsia="en-US"/>
              </w:rPr>
              <w:t>Federal</w:t>
            </w:r>
          </w:p>
        </w:tc>
      </w:tr>
    </w:tbl>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Asimismo</w:t>
      </w:r>
      <w:r w:rsidR="006D7E15">
        <w:rPr>
          <w:rFonts w:ascii="Century Gothic" w:hAnsi="Century Gothic" w:cs="Arial"/>
          <w:sz w:val="24"/>
          <w:szCs w:val="24"/>
          <w:lang w:eastAsia="en-US"/>
        </w:rPr>
        <w:t>,</w:t>
      </w:r>
      <w:r w:rsidRPr="00B13E1E">
        <w:rPr>
          <w:rFonts w:ascii="Century Gothic" w:hAnsi="Century Gothic" w:cs="Arial"/>
          <w:sz w:val="24"/>
          <w:szCs w:val="24"/>
          <w:lang w:eastAsia="en-US"/>
        </w:rPr>
        <w:t xml:space="preserve"> se autoriza al Estado y a Fibra Estatal, para que por conducto de los funcionarios que resulten legalmente facultados</w:t>
      </w:r>
      <w:r w:rsidRPr="00B13E1E" w:rsidDel="0026649B">
        <w:rPr>
          <w:rFonts w:ascii="Century Gothic" w:hAnsi="Century Gothic" w:cs="Arial"/>
          <w:sz w:val="24"/>
          <w:szCs w:val="24"/>
          <w:lang w:eastAsia="en-US"/>
        </w:rPr>
        <w:t xml:space="preserve"> </w:t>
      </w:r>
      <w:r w:rsidRPr="00B13E1E">
        <w:rPr>
          <w:rFonts w:ascii="Century Gothic" w:hAnsi="Century Gothic" w:cs="Arial"/>
          <w:sz w:val="24"/>
          <w:szCs w:val="24"/>
          <w:lang w:eastAsia="en-US"/>
        </w:rPr>
        <w:t xml:space="preserve">, afecten al vehículo a través del cual se implemente la fuente de pago de los Certificados: (i) cualquier ingreso que el Estado y/o Fibra Estatal obtengan por el cobro de pólizas de </w:t>
      </w:r>
      <w:r w:rsidRPr="00B13E1E">
        <w:rPr>
          <w:rFonts w:ascii="Century Gothic" w:hAnsi="Century Gothic" w:cs="Arial"/>
          <w:sz w:val="24"/>
          <w:szCs w:val="24"/>
          <w:lang w:eastAsia="en-US"/>
        </w:rPr>
        <w:lastRenderedPageBreak/>
        <w:t>seguros que tengan contratadas o llegasen a contratar para cubrir riesgos relacionados con la operación de los tramos carreteros antes referidos; y (ii) cualquier ingreso que el Estado y/o la Fibra Estatal obtengan del Gobierno Federal, derivado de la terminación anticipada o extinción de las concesiones federales de los tramos carreteros de jurisdicción federal, y cualquier otro ingreso que el Estado y/o Fibra Estatal perciba derivado de dichas concesiones federales.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afectación de los ingresos antes referidos deberá hacerse de manera irrevocable y por el plazo necesario para liquidar totalmente los Certificados que se emitan y las garantías que se contraten al amparo del presente Decreto. Lo anterior en el entendido que en todo momento deberán respetarse los plazos correspondientes a los tramos carreteros de jurisdicción federal previstos en sus respectivos títulos de concesión.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Toda vez que los ingresos antes referidos se encuentran afectados al patrimonio del Fideicomiso Emisor Previo, se autoriza al Estado y a Fibra Estatal la celebración de los actos, contratos y/o convenios que resulten necesarios o convenientes para la desafectación de dichos bienes del Fideicomiso Emisor Previo, y su afectación al nuevo Fideicomiso Emisor.</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Salvo por la afectación al patrimonio del Fideicomiso Emisor, de los bienes, derechos e ingresos anteriormente referidos, el Estado y Fibra Estatal no tendrán obligación de aportar recursos adicionales al patrimonio del </w:t>
      </w:r>
      <w:r w:rsidRPr="00B13E1E">
        <w:rPr>
          <w:rFonts w:ascii="Century Gothic" w:hAnsi="Century Gothic" w:cs="Arial"/>
          <w:sz w:val="24"/>
          <w:szCs w:val="24"/>
          <w:lang w:eastAsia="en-US"/>
        </w:rPr>
        <w:lastRenderedPageBreak/>
        <w:t xml:space="preserve">Fideicomiso Emisor, respecto del cumplimiento de las obligaciones de pago, en términos de los Certificados que se emitan y de las garantías que se contraten en términos de este Decreto, ni de cualquier otra obligación asumida por el fiduciario bajo el Fideicomiso Emisor, incluyendo sin limitar, las coberturas de tasas de interés que, en su caso, se contraten cualquier otro gasto.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01"/>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Otros bienes que podrán integrar el patrimonio del Fideicomiso Emisor</w:t>
      </w:r>
      <w:r w:rsidRPr="00B13E1E">
        <w:rPr>
          <w:rFonts w:ascii="Century Gothic" w:hAnsi="Century Gothic" w:cs="Arial"/>
          <w:sz w:val="24"/>
          <w:szCs w:val="24"/>
          <w:lang w:eastAsia="en-US"/>
        </w:rPr>
        <w:t>. El contrato a través del cual se constituya el Fideicomiso Emisor podrá estipular que, además de los ingresos y derechos a que se refiere el numeral anterior, el patrimonio del Fideicomiso Emisor se integrará por los siguientes bienes, derechos e ingresos: (i) los ingresos derivados de la emisión y colocación de los Certificados; (ii) los recursos que, en su caso, se generen a favor del fiduciario del Fideicomiso Emisor, derivados de los instrumentos derivados</w:t>
      </w:r>
      <w:r w:rsidR="003860EC">
        <w:rPr>
          <w:rFonts w:ascii="Century Gothic" w:hAnsi="Century Gothic" w:cs="Arial"/>
          <w:sz w:val="24"/>
          <w:szCs w:val="24"/>
          <w:lang w:eastAsia="en-US"/>
        </w:rPr>
        <w:t xml:space="preserve"> que</w:t>
      </w:r>
      <w:r w:rsidRPr="00B13E1E">
        <w:rPr>
          <w:rFonts w:ascii="Century Gothic" w:hAnsi="Century Gothic" w:cs="Arial"/>
          <w:sz w:val="24"/>
          <w:szCs w:val="24"/>
          <w:lang w:eastAsia="en-US"/>
        </w:rPr>
        <w:t>, en su caso, celebre; (iii) los valores en los que se inviertan los recursos líquidos que formen parte del patrimonio del Fideicomiso Emisor y sus rendimientos y (iv) cualquier otro bien que en el futuro se aporte al Fideicomiso Emisor para el cumplimiento de sus fines.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 los Certificados</w:t>
      </w:r>
      <w:r w:rsidRPr="00B13E1E">
        <w:rPr>
          <w:rFonts w:ascii="Century Gothic" w:hAnsi="Century Gothic" w:cs="Arial"/>
          <w:sz w:val="24"/>
          <w:szCs w:val="24"/>
          <w:lang w:eastAsia="en-US"/>
        </w:rPr>
        <w:t>. Los Certificados a ser emitidos al amparo de la presente autorización podrán tener una vigencia de hasta 25 (veinticinco) años, equivalentes aproximadamente a 9,000 (nueve mil) días, contados a partir de la fecha de su emisión.</w:t>
      </w:r>
    </w:p>
    <w:p w:rsidR="00B13E1E" w:rsidRPr="00B13E1E" w:rsidRDefault="00B13E1E" w:rsidP="00B13E1E">
      <w:pPr>
        <w:spacing w:after="0" w:line="360" w:lineRule="auto"/>
        <w:jc w:val="both"/>
        <w:rPr>
          <w:rFonts w:ascii="Century Gothic" w:hAnsi="Century Gothic" w:cs="Arial"/>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 xml:space="preserve">En todo caso, los Certificados permanecerán vigentes, mientras existan obligaciones pendientes de pago a favor de los acreedores respectivos. </w:t>
      </w:r>
    </w:p>
    <w:p w:rsidR="00B13E1E" w:rsidRPr="00B13E1E" w:rsidRDefault="00B13E1E" w:rsidP="00B13E1E">
      <w:pPr>
        <w:spacing w:after="0" w:line="360" w:lineRule="auto"/>
        <w:jc w:val="both"/>
        <w:rPr>
          <w:rFonts w:ascii="Century Gothic" w:hAnsi="Century Gothic" w:cs="Arial"/>
          <w:bCs/>
          <w:sz w:val="24"/>
          <w:szCs w:val="24"/>
          <w:u w:val="single"/>
          <w:lang w:val="es-ES" w:eastAsia="es-ES"/>
        </w:rPr>
      </w:pPr>
    </w:p>
    <w:p w:rsidR="00B13E1E" w:rsidRPr="00B13E1E" w:rsidRDefault="00B13E1E" w:rsidP="00B13E1E">
      <w:pPr>
        <w:numPr>
          <w:ilvl w:val="1"/>
          <w:numId w:val="13"/>
        </w:numPr>
        <w:spacing w:after="0" w:line="360" w:lineRule="auto"/>
        <w:ind w:left="0" w:hanging="501"/>
        <w:jc w:val="both"/>
        <w:rPr>
          <w:rFonts w:ascii="Century Gothic" w:hAnsi="Century Gothic" w:cs="Arial"/>
          <w:sz w:val="24"/>
          <w:szCs w:val="24"/>
          <w:lang w:eastAsia="en-US"/>
        </w:rPr>
      </w:pPr>
      <w:r w:rsidRPr="00B13E1E">
        <w:rPr>
          <w:rFonts w:ascii="Century Gothic" w:hAnsi="Century Gothic" w:cs="Arial"/>
          <w:bCs/>
          <w:sz w:val="24"/>
          <w:szCs w:val="24"/>
          <w:u w:val="single"/>
          <w:lang w:val="es-ES" w:eastAsia="es-ES"/>
        </w:rPr>
        <w:t>Instrumentos Derivados</w:t>
      </w:r>
      <w:r w:rsidRPr="00B13E1E">
        <w:rPr>
          <w:rFonts w:ascii="Century Gothic" w:hAnsi="Century Gothic" w:cs="Arial"/>
          <w:bCs/>
          <w:sz w:val="24"/>
          <w:szCs w:val="24"/>
          <w:lang w:val="es-ES" w:eastAsia="es-ES"/>
        </w:rPr>
        <w:t>.</w:t>
      </w:r>
      <w:r w:rsidRPr="00B13E1E">
        <w:rPr>
          <w:rFonts w:ascii="Century Gothic" w:hAnsi="Century Gothic" w:cs="Arial"/>
          <w:b/>
          <w:sz w:val="24"/>
          <w:szCs w:val="24"/>
          <w:lang w:val="es-ES" w:eastAsia="es-ES"/>
        </w:rPr>
        <w:t xml:space="preserve"> </w:t>
      </w:r>
      <w:r w:rsidRPr="00B13E1E">
        <w:rPr>
          <w:rFonts w:ascii="Century Gothic" w:hAnsi="Century Gothic" w:cs="Arial"/>
          <w:sz w:val="24"/>
          <w:szCs w:val="24"/>
          <w:lang w:eastAsia="en-US"/>
        </w:rPr>
        <w:t>Con base en la presente autorización, el Estado y Fibra Estatal, directamente o a través del Fideicomiso Emisor</w:t>
      </w:r>
      <w:r w:rsidR="003860EC">
        <w:rPr>
          <w:rFonts w:ascii="Century Gothic" w:hAnsi="Century Gothic" w:cs="Arial"/>
          <w:sz w:val="24"/>
          <w:szCs w:val="24"/>
          <w:lang w:eastAsia="en-US"/>
        </w:rPr>
        <w:t>, podrán contratar instrumentos derivados</w:t>
      </w:r>
      <w:r w:rsidRPr="00B13E1E">
        <w:rPr>
          <w:rFonts w:ascii="Century Gothic" w:hAnsi="Century Gothic" w:cs="Arial"/>
          <w:sz w:val="24"/>
          <w:szCs w:val="24"/>
          <w:lang w:eastAsia="en-US"/>
        </w:rPr>
        <w:t xml:space="preserve"> para cubrir hasta la totalidad de los montos expuestos derivados de la emisión de los Certificados, inclu</w:t>
      </w:r>
      <w:r w:rsidR="003860EC">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contratos de cobertura, contratos de intercambios de tasas. En su caso, los instrumentos derivados podrán compartir la fuente de pago de los Certificados, y los mismos podrán contratarse con recursos derivados de la emisión de los Certificados. En caso que dicha contratación genere deuda contingente, la misma podrá ser hasta por la cantidad necesaria para cubrir el 100% (cien por ciento) del monto de la emisión de los Certificados. </w:t>
      </w:r>
    </w:p>
    <w:p w:rsidR="00B13E1E" w:rsidRPr="00B13E1E" w:rsidRDefault="00B13E1E" w:rsidP="00B13E1E">
      <w:pPr>
        <w:spacing w:after="0" w:line="360" w:lineRule="auto"/>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En caso de que la contratación de los instrumentos derivados genere deuda contingente, la misma deberá ajustarse a lo establecido en la Ley de Deuda Pública para el Estado de Chihuahua y sus Municipios.</w:t>
      </w:r>
    </w:p>
    <w:p w:rsidR="00B13E1E" w:rsidRPr="00B13E1E" w:rsidRDefault="00B13E1E" w:rsidP="00B13E1E">
      <w:pPr>
        <w:spacing w:after="0" w:line="360" w:lineRule="auto"/>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xml:space="preserve">. Se autoriza al Estado y a Fibra Estatal, para contratar y pagar los gastos adicionales que resulten necesarios para instrumentar la emisión o emisiones de los Certificados, incluyendo sin limitar, los costos y gastos asociados a la contratación, administración, mantenimiento, costos de estructuración </w:t>
      </w:r>
      <w:r w:rsidRPr="00B13E1E">
        <w:rPr>
          <w:rFonts w:ascii="Century Gothic" w:hAnsi="Century Gothic" w:cs="Arial"/>
          <w:sz w:val="24"/>
          <w:szCs w:val="24"/>
          <w:lang w:eastAsia="en-US"/>
        </w:rPr>
        <w:lastRenderedPageBreak/>
        <w:t>financiera y legal, aportaciones iniciales, operación, constitución y/o reconstitución de reservas, pago de instrumentos derivados, comisiones financieras institucionales; así como para contratar y pagar todos y cada uno de los gastos inherentes al proceso de emisión de los Certificados, tales como la obtención de dictámenes de agencias calificadoras, contratación de las asesorías y</w:t>
      </w:r>
      <w:r w:rsidR="003860EC">
        <w:rPr>
          <w:rFonts w:ascii="Century Gothic" w:hAnsi="Century Gothic" w:cs="Arial"/>
          <w:sz w:val="24"/>
          <w:szCs w:val="24"/>
          <w:lang w:eastAsia="en-US"/>
        </w:rPr>
        <w:t xml:space="preserve"> servicios, gastos legales y/o </w:t>
      </w:r>
      <w:r w:rsidRPr="00B13E1E">
        <w:rPr>
          <w:rFonts w:ascii="Century Gothic" w:hAnsi="Century Gothic" w:cs="Arial"/>
          <w:sz w:val="24"/>
          <w:szCs w:val="24"/>
          <w:lang w:eastAsia="en-US"/>
        </w:rPr>
        <w:t>fiduciarios, gastos de representación común, gastos frente a las Bolsas de Valores, la Comisión Nacional Bancaria</w:t>
      </w:r>
      <w:r w:rsidR="003860EC">
        <w:rPr>
          <w:rFonts w:ascii="Century Gothic" w:hAnsi="Century Gothic" w:cs="Arial"/>
          <w:sz w:val="24"/>
          <w:szCs w:val="24"/>
          <w:lang w:eastAsia="en-US"/>
        </w:rPr>
        <w:t xml:space="preserve"> y de Valores</w:t>
      </w:r>
      <w:r w:rsidRPr="00B13E1E">
        <w:rPr>
          <w:rFonts w:ascii="Century Gothic" w:hAnsi="Century Gothic" w:cs="Arial"/>
          <w:sz w:val="24"/>
          <w:szCs w:val="24"/>
          <w:lang w:eastAsia="en-US"/>
        </w:rPr>
        <w:t xml:space="preserve"> y el S.D. Indeval, y  en general, cualesquiera otros gastos o costos asociados en su caso y que se requieran para el diseño e instrumentación financiera y/o legal de las operaciones a que se refiere la presente autorización.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máximo que deba destinarse para cubrir los gastos y costos asociados a la emisión de los Certificados, no podrá exceder el 2.5% del monto de la emisión de los mismos, siempre que se incluyan los instrumentos derivados o de cobertura, y fondos de reserva. En caso de que no se incluyan los instrumentos derivados o de cobertura, los gastos y costos asociados relacionados con la emisión de los Certificados no deberá rebasar el 1.5% del monto de la emisión de los mismos, sin perjuicio de lo establecido en el Artículo 27 del Reglamento del Registro Públ</w:t>
      </w:r>
      <w:r w:rsidR="003860EC">
        <w:rPr>
          <w:rFonts w:ascii="Century Gothic" w:hAnsi="Century Gothic" w:cs="Arial"/>
          <w:sz w:val="24"/>
          <w:szCs w:val="24"/>
          <w:lang w:eastAsia="en-US"/>
        </w:rPr>
        <w:t>ico Único de Financiamientos y O</w:t>
      </w:r>
      <w:r w:rsidRPr="00B13E1E">
        <w:rPr>
          <w:rFonts w:ascii="Century Gothic" w:hAnsi="Century Gothic" w:cs="Arial"/>
          <w:sz w:val="24"/>
          <w:szCs w:val="24"/>
          <w:lang w:eastAsia="en-US"/>
        </w:rPr>
        <w:t>bligaciones de Entidades Federativas y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Emisión</w:t>
      </w:r>
      <w:r w:rsidRPr="00B13E1E">
        <w:rPr>
          <w:rFonts w:ascii="Century Gothic" w:hAnsi="Century Gothic" w:cs="Arial"/>
          <w:sz w:val="24"/>
          <w:szCs w:val="24"/>
          <w:lang w:eastAsia="en-US"/>
        </w:rPr>
        <w:t xml:space="preserve">. La emisión o emisiones de los Certificados deberá realizarse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Garantías de Pago Oportuno</w:t>
      </w:r>
      <w:r w:rsidRPr="00B13E1E">
        <w:rPr>
          <w:rFonts w:ascii="Century Gothic" w:hAnsi="Century Gothic" w:cs="Arial"/>
          <w:sz w:val="24"/>
          <w:szCs w:val="24"/>
          <w:lang w:eastAsia="en-US"/>
        </w:rPr>
        <w:t>. Con la finalidad de fortalecer la estructura y garantizar a los tenedores de los Certificados, el Fideicomiso Emisor, y/o el Estado y Fibra Estatal, podrán contratar con la Banca de Desarrollo o con cualquier otra institución de crédito de nacionalidad mexicana, cualquier tipo o instrumento de garantías de pago oportuno, mecanismos de refinanciamiento garantizado o cualesquier</w:t>
      </w:r>
      <w:r w:rsidR="003860EC">
        <w:rPr>
          <w:rFonts w:ascii="Century Gothic" w:hAnsi="Century Gothic" w:cs="Arial"/>
          <w:sz w:val="24"/>
          <w:szCs w:val="24"/>
          <w:lang w:eastAsia="en-US"/>
        </w:rPr>
        <w:t>a</w:t>
      </w:r>
      <w:r w:rsidRPr="00B13E1E">
        <w:rPr>
          <w:rFonts w:ascii="Century Gothic" w:hAnsi="Century Gothic" w:cs="Arial"/>
          <w:sz w:val="24"/>
          <w:szCs w:val="24"/>
          <w:lang w:eastAsia="en-US"/>
        </w:rPr>
        <w:t xml:space="preserve"> otros instrumentos o mecanismos de garantía de pago similares o de soporte crediticio, u operaciones similares (“</w:t>
      </w:r>
      <w:r w:rsidRPr="00B13E1E">
        <w:rPr>
          <w:rFonts w:ascii="Century Gothic" w:hAnsi="Century Gothic" w:cs="Arial"/>
          <w:sz w:val="24"/>
          <w:szCs w:val="24"/>
          <w:u w:val="single"/>
          <w:lang w:eastAsia="en-US"/>
        </w:rPr>
        <w:t>Garantías de Pago</w:t>
      </w:r>
      <w:r w:rsidRPr="00B13E1E">
        <w:rPr>
          <w:rFonts w:ascii="Century Gothic" w:hAnsi="Century Gothic" w:cs="Arial"/>
          <w:sz w:val="24"/>
          <w:szCs w:val="24"/>
          <w:lang w:eastAsia="en-US"/>
        </w:rPr>
        <w:t>”), en favor de los tenedores de los Certificados, denominadas en pesos o en Unidades de Inversión, pagaderas en moneda nacional y dentro del territorio del país, en la inteligencia de que la vigencia de las Garantías de Pago será igual o menor al plazo de los Certificados garantizados y hasta por un monto máximo equivalente al 15% (quince por ciento) del monto total de los Certificados autorizados en virtud del presente Decreto. Las Garantías de Pago podrán tener como fuente y/o garantía de pago los Ingresos de libre disposición descritos en el numeral 3.4. anterior.</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derechos de disposición que deriven de la Garantía de Pago, podrán ser afectados a cualquier fideicomiso de administración, garantía y/o fuente de pago.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Obligación Solidaria</w:t>
      </w:r>
      <w:r w:rsidRPr="00B13E1E">
        <w:rPr>
          <w:rFonts w:ascii="Century Gothic" w:hAnsi="Century Gothic" w:cs="Arial"/>
          <w:sz w:val="24"/>
          <w:szCs w:val="24"/>
          <w:lang w:eastAsia="en-US"/>
        </w:rPr>
        <w:t xml:space="preserve">. Asimismo, se autoriza al Estado para que, en su caso, y a través de la Secretaría de Hacienda, se constituya como obligado solidario </w:t>
      </w:r>
      <w:r w:rsidRPr="00B13E1E">
        <w:rPr>
          <w:rFonts w:ascii="Century Gothic" w:hAnsi="Century Gothic" w:cs="Arial"/>
          <w:sz w:val="24"/>
          <w:szCs w:val="24"/>
          <w:lang w:eastAsia="en-US"/>
        </w:rPr>
        <w:lastRenderedPageBreak/>
        <w:t>y/o aval del Fideicomiso Emisor respecto de las obligaciones a cargo del mismo derivadas de la emisión de los Certificados.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autorización anterior se otorga previo análisis de la capacidad de pago del Estado, el destino de los recursos derivados de la emisión de los Certificados y los recursos que fungirán como garantía y fuente de pago de la emisión de los Certificados.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Artículo Cuarto</w:t>
      </w:r>
      <w:r w:rsidRPr="00B13E1E">
        <w:rPr>
          <w:rFonts w:ascii="Century Gothic" w:hAnsi="Century Gothic" w:cs="Arial"/>
          <w:sz w:val="24"/>
          <w:szCs w:val="24"/>
          <w:lang w:eastAsia="en-US"/>
        </w:rPr>
        <w:t xml:space="preserve">. </w:t>
      </w:r>
      <w:r w:rsidRPr="00B13E1E">
        <w:rPr>
          <w:rFonts w:ascii="Century Gothic" w:hAnsi="Century Gothic" w:cs="Arial"/>
          <w:sz w:val="24"/>
          <w:szCs w:val="24"/>
          <w:u w:val="single"/>
          <w:lang w:eastAsia="en-US"/>
        </w:rPr>
        <w:t>Financiamiento 665</w:t>
      </w:r>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$665’954,380.00 (Seiscientos sesenta y cinco millones novecientos cincuenta y cuatro mil trescientos ochenta pesos 00/100 M.N.) más costos y gastos relacionados con su implementación y más fondos de reserva, de conformidad con lo previsto más adelante en la presente autorización (el “</w:t>
      </w:r>
      <w:r w:rsidRPr="00B13E1E">
        <w:rPr>
          <w:rFonts w:ascii="Century Gothic" w:hAnsi="Century Gothic" w:cs="Arial"/>
          <w:sz w:val="24"/>
          <w:szCs w:val="24"/>
          <w:u w:val="single"/>
          <w:lang w:eastAsia="en-US"/>
        </w:rPr>
        <w:t>Financiamiento 665</w:t>
      </w:r>
      <w:r w:rsidRPr="00B13E1E">
        <w:rPr>
          <w:rFonts w:ascii="Century Gothic" w:hAnsi="Century Gothic" w:cs="Arial"/>
          <w:sz w:val="24"/>
          <w:szCs w:val="24"/>
          <w:lang w:eastAsia="en-US"/>
        </w:rPr>
        <w:t>”), mismo que, de conformidad con lo previsto en el presente Decreto, tendrá como garantía y fuente de pago, un porcentaje suficiente y necesario de los derechos (y los ingresos derivados de los mismos), que le corresponden al Estado del Fondo General de Participaciones referido en la Ley de Coordinación Fiscal.</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del Financiamiento 665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autorización anterior se otorga previo análisis de la capacidad de pago del Estado, el destino de los recursos derivados del Financiamiento 665 y los recursos que fungirán como garantía y fuente de pago de los contratos a través de los cuales se implemente dicho Financiamiento 665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De conformidad con lo previsto por el artículo 117, fracción VIII de la Constitución Política de los Estados Unidos Mexicanos, el artículo 9 de la Ley de Coordinación Fiscal, así como el artículo 2, fracción XXV de la Ley de Disciplina Financiera de las Entidades Federativas y los Municipios, los recursos derivados del Financiamiento 665 deberán ser destinados: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3"/>
        </w:numPr>
        <w:spacing w:after="0" w:line="360" w:lineRule="auto"/>
        <w:ind w:left="426"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Al refinanciamiento del contrato de apertura de crédito simple, de fecha 2 de octubre de 2012, celebrado entre el Estado en su carácter de acreditado y Banco Nacional de Obras y Servicios Públicos, Sociedad Nacional de Crédito, Institución de Banca de Desarrollo, en su carácter de acreedor, por una cantidad de hasta $665,394,050.16 (Seiscientos sesenta y cinco millones trescientos noventa y cuatro mil cincuenta pesos 16 /100 M.N.), y cuyo saldo insoluto, a la fecha del presente Decreto, asciende a la cantidad de $637,014,515.00 (Seiscientos treinta y siete millones catorce mil quinientos quince pesos 00/100 M.N.), así como los intereses, </w:t>
      </w:r>
      <w:r w:rsidRPr="00B13E1E">
        <w:rPr>
          <w:rFonts w:ascii="Century Gothic" w:hAnsi="Century Gothic" w:cs="Arial"/>
          <w:sz w:val="24"/>
          <w:szCs w:val="24"/>
          <w:lang w:eastAsia="en-US"/>
        </w:rPr>
        <w:lastRenderedPageBreak/>
        <w:t>comisiones, y demás accesorios que deriven del pago anticipado de dicho contrato; dicho contrato se encuentra inscrito en el Registro Público Único de Financiamientos y Obligaciones de Entidades Federativas y Municipios bajo el folio P08-1012154, y Registro Central de Deuda Pública Estatal del Estado de Chihuahua, bajo el folio 033/2012.</w:t>
      </w:r>
    </w:p>
    <w:p w:rsidR="00B13E1E" w:rsidRPr="00B13E1E" w:rsidRDefault="00B13E1E" w:rsidP="006D7E15">
      <w:pPr>
        <w:spacing w:after="0" w:line="360" w:lineRule="auto"/>
        <w:ind w:left="426" w:right="-187"/>
        <w:jc w:val="both"/>
        <w:rPr>
          <w:rFonts w:ascii="Century Gothic" w:hAnsi="Century Gothic" w:cs="Arial"/>
          <w:sz w:val="24"/>
          <w:szCs w:val="24"/>
          <w:lang w:eastAsia="en-US"/>
        </w:rPr>
      </w:pPr>
    </w:p>
    <w:p w:rsidR="00B13E1E" w:rsidRPr="00B13E1E" w:rsidRDefault="00B13E1E" w:rsidP="00AF3A8E">
      <w:pPr>
        <w:numPr>
          <w:ilvl w:val="0"/>
          <w:numId w:val="33"/>
        </w:numPr>
        <w:spacing w:after="0" w:line="360" w:lineRule="auto"/>
        <w:ind w:left="426" w:right="-187" w:hanging="567"/>
        <w:jc w:val="both"/>
        <w:rPr>
          <w:rFonts w:ascii="Century Gothic" w:hAnsi="Century Gothic" w:cs="Arial"/>
          <w:bCs/>
          <w:sz w:val="24"/>
          <w:szCs w:val="24"/>
          <w:lang w:eastAsia="en-US"/>
        </w:rPr>
      </w:pPr>
      <w:r w:rsidRPr="00B13E1E">
        <w:rPr>
          <w:rFonts w:ascii="Century Gothic" w:hAnsi="Century Gothic" w:cs="Arial"/>
          <w:sz w:val="24"/>
          <w:szCs w:val="24"/>
          <w:lang w:eastAsia="en-US"/>
        </w:rPr>
        <w:t>A la constitución de fondos de reserva en términos del artículo 22 de la Ley de Disciplina Financiera de las Entidades Federativas y los Municipios.</w:t>
      </w:r>
    </w:p>
    <w:p w:rsidR="00B13E1E" w:rsidRPr="00B13E1E" w:rsidRDefault="00B13E1E" w:rsidP="006D7E15">
      <w:pPr>
        <w:spacing w:after="0" w:line="360" w:lineRule="auto"/>
        <w:ind w:left="426"/>
        <w:jc w:val="both"/>
        <w:rPr>
          <w:rFonts w:ascii="Century Gothic" w:hAnsi="Century Gothic" w:cs="Arial"/>
          <w:b/>
          <w:bCs/>
          <w:sz w:val="24"/>
          <w:szCs w:val="24"/>
          <w:lang w:val="es-ES" w:eastAsia="es-ES"/>
        </w:rPr>
      </w:pPr>
    </w:p>
    <w:p w:rsidR="00B13E1E" w:rsidRPr="00B13E1E" w:rsidRDefault="00B13E1E" w:rsidP="00AF3A8E">
      <w:pPr>
        <w:numPr>
          <w:ilvl w:val="0"/>
          <w:numId w:val="33"/>
        </w:numPr>
        <w:spacing w:after="0" w:line="360" w:lineRule="auto"/>
        <w:ind w:left="426" w:right="-187" w:hanging="567"/>
        <w:jc w:val="both"/>
        <w:rPr>
          <w:rFonts w:ascii="Century Gothic" w:hAnsi="Century Gothic" w:cs="Arial"/>
          <w:bCs/>
          <w:sz w:val="24"/>
          <w:szCs w:val="24"/>
          <w:lang w:eastAsia="en-US"/>
        </w:rPr>
      </w:pPr>
      <w:r w:rsidRPr="00B13E1E">
        <w:rPr>
          <w:rFonts w:ascii="Century Gothic" w:hAnsi="Century Gothic" w:cs="Arial"/>
          <w:bCs/>
          <w:sz w:val="24"/>
          <w:szCs w:val="24"/>
          <w:lang w:eastAsia="en-US"/>
        </w:rPr>
        <w:t>En términos de lo previsto más adelante dentro del presente Decreto, a la contratación de instrumentos derivados.</w:t>
      </w:r>
    </w:p>
    <w:p w:rsidR="00B13E1E" w:rsidRPr="00B13E1E" w:rsidRDefault="00B13E1E" w:rsidP="006D7E15">
      <w:pPr>
        <w:spacing w:after="0" w:line="360" w:lineRule="auto"/>
        <w:ind w:left="426" w:right="-187"/>
        <w:jc w:val="both"/>
        <w:rPr>
          <w:rFonts w:ascii="Century Gothic" w:hAnsi="Century Gothic" w:cs="Arial"/>
          <w:sz w:val="24"/>
          <w:szCs w:val="24"/>
          <w:lang w:eastAsia="en-US"/>
        </w:rPr>
      </w:pPr>
    </w:p>
    <w:p w:rsidR="00B13E1E" w:rsidRPr="00B13E1E" w:rsidRDefault="00B13E1E" w:rsidP="00AF3A8E">
      <w:pPr>
        <w:numPr>
          <w:ilvl w:val="0"/>
          <w:numId w:val="33"/>
        </w:numPr>
        <w:spacing w:after="0" w:line="360" w:lineRule="auto"/>
        <w:ind w:left="426" w:right="-187" w:hanging="567"/>
        <w:jc w:val="both"/>
        <w:rPr>
          <w:rFonts w:ascii="Century Gothic" w:hAnsi="Century Gothic" w:cs="Arial"/>
          <w:bCs/>
          <w:sz w:val="24"/>
          <w:szCs w:val="24"/>
          <w:lang w:eastAsia="en-US"/>
        </w:rPr>
      </w:pPr>
      <w:r w:rsidRPr="00B13E1E">
        <w:rPr>
          <w:rFonts w:ascii="Century Gothic" w:hAnsi="Century Gothic" w:cs="Arial"/>
          <w:bCs/>
          <w:sz w:val="24"/>
          <w:szCs w:val="24"/>
          <w:lang w:eastAsia="en-US"/>
        </w:rPr>
        <w:t>En términos de lo previsto más adelante dentro del presente Decreto, al pago de los gastos relacionado</w:t>
      </w:r>
      <w:r w:rsidR="003860EC">
        <w:rPr>
          <w:rFonts w:ascii="Century Gothic" w:hAnsi="Century Gothic" w:cs="Arial"/>
          <w:bCs/>
          <w:sz w:val="24"/>
          <w:szCs w:val="24"/>
          <w:lang w:eastAsia="en-US"/>
        </w:rPr>
        <w:t>s con el diseño, estructuración</w:t>
      </w:r>
      <w:r w:rsidRPr="00B13E1E">
        <w:rPr>
          <w:rFonts w:ascii="Century Gothic" w:hAnsi="Century Gothic" w:cs="Arial"/>
          <w:bCs/>
          <w:sz w:val="24"/>
          <w:szCs w:val="24"/>
          <w:lang w:eastAsia="en-US"/>
        </w:rPr>
        <w:t xml:space="preserve"> e instrumentación del </w:t>
      </w:r>
      <w:r w:rsidRPr="00B13E1E">
        <w:rPr>
          <w:rFonts w:ascii="Century Gothic" w:hAnsi="Century Gothic" w:cs="Arial"/>
          <w:sz w:val="24"/>
          <w:szCs w:val="24"/>
          <w:lang w:eastAsia="en-US"/>
        </w:rPr>
        <w:t>Financiamiento 665</w:t>
      </w:r>
      <w:r w:rsidRPr="00B13E1E">
        <w:rPr>
          <w:rFonts w:ascii="Century Gothic" w:hAnsi="Century Gothic" w:cs="Arial"/>
          <w:bCs/>
          <w:sz w:val="24"/>
          <w:szCs w:val="24"/>
          <w:lang w:eastAsia="en-US"/>
        </w:rPr>
        <w:t xml:space="preserve"> y</w:t>
      </w:r>
      <w:r w:rsidR="003860EC">
        <w:rPr>
          <w:rFonts w:ascii="Century Gothic" w:hAnsi="Century Gothic" w:cs="Arial"/>
          <w:bCs/>
          <w:sz w:val="24"/>
          <w:szCs w:val="24"/>
          <w:lang w:eastAsia="en-US"/>
        </w:rPr>
        <w:t>,</w:t>
      </w:r>
      <w:r w:rsidRPr="00B13E1E">
        <w:rPr>
          <w:rFonts w:ascii="Century Gothic" w:hAnsi="Century Gothic" w:cs="Arial"/>
          <w:bCs/>
          <w:sz w:val="24"/>
          <w:szCs w:val="24"/>
          <w:lang w:eastAsia="en-US"/>
        </w:rPr>
        <w:t xml:space="preserve"> en su caso, la contratación de instrumentos derivados asociados al mismo, incluyendo sin limitar, el pago de honorarios de agencias calificadoras de valores, de asesores financieros y legales, fiduciarios.</w:t>
      </w: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 </w:t>
      </w: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Se autoriza al Estado para afectar como garantía y/o fuente de pago de todas y cada una de las obligaciones que deriven del Financiamiento 665, un porcentaje suficiente y necesario de los derechos, e ingresos derivados de los mismos, que le corresponden al Estado del Fondo General de Participaciones a que hace referencia el artículo 9 de la Ley de </w:t>
      </w:r>
      <w:r w:rsidRPr="00B13E1E">
        <w:rPr>
          <w:rFonts w:ascii="Century Gothic" w:hAnsi="Century Gothic" w:cs="Arial"/>
          <w:sz w:val="24"/>
          <w:szCs w:val="24"/>
          <w:lang w:eastAsia="en-US"/>
        </w:rPr>
        <w:lastRenderedPageBreak/>
        <w:t>Coordinación Fiscal, así como aquellos fondos que en su caso lo remplacen, sustituyan o complementen de tiempo en tiempo.</w:t>
      </w:r>
    </w:p>
    <w:p w:rsidR="00B13E1E" w:rsidRPr="00B13E1E" w:rsidRDefault="00B13E1E" w:rsidP="00B13E1E">
      <w:pPr>
        <w:spacing w:after="0" w:line="360" w:lineRule="auto"/>
        <w:jc w:val="both"/>
        <w:rPr>
          <w:rFonts w:ascii="Century Gothic" w:eastAsia="PMingLiU" w:hAnsi="Century Gothic" w:cs="Arial"/>
          <w:b/>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deberá realizar las afectaciones anteriormente referidas, de manera irrevocable y hasta por el plazo suficiente y necesario para liquidar totalmente las obligaciones que deriven del Financiamiento 665 contratado al amparo del presente Decreto. Dicha afectación permanecerá vigente en tanto existan obligaciones pendientes de pago, y a cargo del Estado, derivadas del Financiamiento 665.</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deberá notificar a la Secretaría de Hacienda y Crédito Público, así como a cualquier otra autoridad que resulte competente, respecto de la afectación de las participaciones del Fondo General del Participaciones autorizada en el presente Decreto, instruyéndolas irrevocablemente para efectos de que, en cada ministración, entrega, anticipo, ajuste o entero, abonen los flujos respectivos en el o los fideicomisos de garantía y fuente de pago que para tales efectos constituya, o modifique el Estado, de conformidad con lo previsto en el presente Decreto, y hasta por el plazo necesario para liquidar totalmente las obligaciones que deriven del Financiamiento 665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el Estado, a través del </w:t>
      </w:r>
      <w:r w:rsidR="003860EC" w:rsidRPr="00B13E1E">
        <w:rPr>
          <w:rFonts w:ascii="Century Gothic" w:hAnsi="Century Gothic" w:cs="Arial"/>
          <w:sz w:val="24"/>
          <w:szCs w:val="24"/>
          <w:lang w:eastAsia="en-US"/>
        </w:rPr>
        <w:t>Poder Ejecutivo</w:t>
      </w:r>
      <w:r w:rsidRPr="00B13E1E">
        <w:rPr>
          <w:rFonts w:ascii="Century Gothic" w:hAnsi="Century Gothic" w:cs="Arial"/>
          <w:sz w:val="24"/>
          <w:szCs w:val="24"/>
          <w:lang w:eastAsia="en-US"/>
        </w:rPr>
        <w:t xml:space="preserve">, y por conducto de la Secretaría de Hacienda, realizará las gestiones necesarias para que el porcentaje afecto de las participaciones del Fondo General de </w:t>
      </w:r>
      <w:r w:rsidRPr="00B13E1E">
        <w:rPr>
          <w:rFonts w:ascii="Century Gothic" w:hAnsi="Century Gothic" w:cs="Arial"/>
          <w:sz w:val="24"/>
          <w:szCs w:val="24"/>
          <w:lang w:eastAsia="en-US"/>
        </w:rPr>
        <w:lastRenderedPageBreak/>
        <w:t>Participaciones ingresen al o los fideicomisos de garantía y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665.</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Con independencia del vehículo al que se afecten las participaciones del Fondo General de Participaciones que funjan como garantía y fuente de pago del Financiamiento 665, su afectación: (a) no podrá ser revocada o revertida sin el consentimiento previo, expreso y por escrito de las instituciones financieras mexicanas que hubieren otorgado los financiamientos a través de los cuales se implemente el Financiamiento 665; y (b) se considerará válida y vigente, indepen</w:t>
      </w:r>
      <w:r w:rsidR="003860EC">
        <w:rPr>
          <w:rFonts w:ascii="Century Gothic" w:hAnsi="Century Gothic" w:cs="Arial"/>
          <w:sz w:val="24"/>
          <w:szCs w:val="24"/>
          <w:lang w:eastAsia="en-US"/>
        </w:rPr>
        <w:t>dientemente de que se modifique</w:t>
      </w:r>
      <w:r w:rsidRPr="00B13E1E">
        <w:rPr>
          <w:rFonts w:ascii="Century Gothic" w:hAnsi="Century Gothic" w:cs="Arial"/>
          <w:sz w:val="24"/>
          <w:szCs w:val="24"/>
          <w:lang w:eastAsia="en-US"/>
        </w:rPr>
        <w:t xml:space="preserve"> su denominación o se sustituya por uno o varios nuevos conceptos que se refieran a situaciones jurídicas o de hecho iguales o similares, a las que dan origen a las participaciones federales del Fondo General de Participaciones.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Se autoriza al Estado para constituir o modificar, por conducto de la Secretaría de Hacienda, el o los mecanismos de administración, fuente de pago y/o garantía, o cualquier otro acto jurídico análogo, que considere necesario para cumplir con las obligaciones a su cargo que deriven de los contratos a través de los cuales se implemente el Financiamiento 665, inclu</w:t>
      </w:r>
      <w:r w:rsidR="003860EC">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fideicomisos irrevocables de administración, garantía y fuente de </w:t>
      </w:r>
      <w:r w:rsidRPr="00B13E1E">
        <w:rPr>
          <w:rFonts w:ascii="Century Gothic" w:hAnsi="Century Gothic" w:cs="Arial"/>
          <w:sz w:val="24"/>
          <w:szCs w:val="24"/>
          <w:lang w:eastAsia="en-US"/>
        </w:rPr>
        <w:lastRenderedPageBreak/>
        <w:t>pago; a los que podrá afectar irrevocablemente las participaciones federales del Fondo General de Participaciones como garantía y fuente de pago y que deberán tener entre sus fines servir como mecanismo de garantía y fuente de pago de las obligaciones a cargo del Estado que deriven de dichos contratos a través de los cuales se implemente el Financiamiento 665.</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dichos fideicomisos serán </w:t>
      </w:r>
      <w:r w:rsidR="003860EC">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lo podrán ser terminados de conformidad con lo que expresamente se pacte en el o los mismos. Con independencia de su naturaleza</w:t>
      </w:r>
      <w:r w:rsidR="003860EC">
        <w:rPr>
          <w:rFonts w:ascii="Century Gothic" w:hAnsi="Century Gothic" w:cs="Arial"/>
          <w:sz w:val="24"/>
          <w:szCs w:val="24"/>
          <w:lang w:eastAsia="en-US"/>
        </w:rPr>
        <w:t>,</w:t>
      </w:r>
      <w:r w:rsidRPr="00B13E1E">
        <w:rPr>
          <w:rFonts w:ascii="Century Gothic" w:hAnsi="Century Gothic" w:cs="Arial"/>
          <w:sz w:val="24"/>
          <w:szCs w:val="24"/>
          <w:lang w:eastAsia="en-US"/>
        </w:rPr>
        <w:t xml:space="preserve">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del Financiamiento</w:t>
      </w:r>
      <w:r w:rsidRPr="00B13E1E">
        <w:rPr>
          <w:rFonts w:ascii="Century Gothic" w:hAnsi="Century Gothic" w:cs="Arial"/>
          <w:sz w:val="24"/>
          <w:szCs w:val="24"/>
          <w:lang w:eastAsia="en-US"/>
        </w:rPr>
        <w:t xml:space="preserve">. Para cada uno de los contratos a través de los cuales se implemente el Financiamiento 665, hasta 20 (veinte) años, equivalentes aproximadamente a 7,300 (siete mil trescientos) días contados a partir de la fecha en que se celebren dichos contratos o de la fecha de la primera disposición de recursos.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contratos mediante los cuales se formalice el Financiamiento 665 permanecerán vigentes, mientras existan obligaciones pendientes de pago a favor de los acreedores respectivos.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xml:space="preserve">. Cada uno de los contratos a través de los cuales se implemente el Financiamiento 665 deberán ser celebrados,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665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Instrumentos Derivados.</w:t>
      </w:r>
      <w:r w:rsidRPr="00B13E1E">
        <w:rPr>
          <w:rFonts w:ascii="Century Gothic" w:hAnsi="Century Gothic" w:cs="Arial"/>
          <w:sz w:val="24"/>
          <w:szCs w:val="24"/>
          <w:lang w:eastAsia="en-US"/>
        </w:rPr>
        <w:t xml:space="preserve"> Con base en la presente autoriza</w:t>
      </w:r>
      <w:r w:rsidR="003860EC">
        <w:rPr>
          <w:rFonts w:ascii="Century Gothic" w:hAnsi="Century Gothic" w:cs="Arial"/>
          <w:sz w:val="24"/>
          <w:szCs w:val="24"/>
          <w:lang w:eastAsia="en-US"/>
        </w:rPr>
        <w:t>ción, el Estado podrá contratar</w:t>
      </w:r>
      <w:r w:rsidRPr="00B13E1E">
        <w:rPr>
          <w:rFonts w:ascii="Century Gothic" w:hAnsi="Century Gothic" w:cs="Arial"/>
          <w:sz w:val="24"/>
          <w:szCs w:val="24"/>
          <w:lang w:eastAsia="en-US"/>
        </w:rPr>
        <w:t xml:space="preserve"> instrumentos der</w:t>
      </w:r>
      <w:r w:rsidR="003860EC">
        <w:rPr>
          <w:rFonts w:ascii="Century Gothic" w:hAnsi="Century Gothic" w:cs="Arial"/>
          <w:sz w:val="24"/>
          <w:szCs w:val="24"/>
          <w:lang w:eastAsia="en-US"/>
        </w:rPr>
        <w:t>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665, inclu</w:t>
      </w:r>
      <w:r w:rsidR="003860EC">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contratos de cobertura, contratos de intercambios de tasas. En su caso, los instrumentos derivados podrán compartir la fuente de pago del contrato al cual se encuentren asociados. En caso </w:t>
      </w:r>
      <w:r w:rsidR="003860EC">
        <w:rPr>
          <w:rFonts w:ascii="Century Gothic" w:hAnsi="Century Gothic" w:cs="Arial"/>
          <w:sz w:val="24"/>
          <w:szCs w:val="24"/>
          <w:lang w:eastAsia="en-US"/>
        </w:rPr>
        <w:t xml:space="preserve">de </w:t>
      </w:r>
      <w:r w:rsidRPr="00B13E1E">
        <w:rPr>
          <w:rFonts w:ascii="Century Gothic" w:hAnsi="Century Gothic" w:cs="Arial"/>
          <w:sz w:val="24"/>
          <w:szCs w:val="24"/>
          <w:lang w:eastAsia="en-US"/>
        </w:rPr>
        <w:t xml:space="preserve">que dicha contratación genere deuda adicional contingente, la misma podrá ser hasta por la cantidad </w:t>
      </w:r>
      <w:r w:rsidRPr="00B13E1E">
        <w:rPr>
          <w:rFonts w:ascii="Century Gothic" w:hAnsi="Century Gothic" w:cs="Arial"/>
          <w:sz w:val="24"/>
          <w:szCs w:val="24"/>
          <w:lang w:eastAsia="en-US"/>
        </w:rPr>
        <w:lastRenderedPageBreak/>
        <w:t xml:space="preserve">necesaria para cubrir el 100% (cien por ciento) del monto del Financiamiento 665. </w:t>
      </w:r>
    </w:p>
    <w:p w:rsidR="00B13E1E" w:rsidRPr="00B13E1E" w:rsidRDefault="00B13E1E" w:rsidP="00B13E1E">
      <w:pPr>
        <w:spacing w:after="0" w:line="360" w:lineRule="auto"/>
        <w:jc w:val="both"/>
        <w:rPr>
          <w:rFonts w:ascii="Century Gothic" w:hAnsi="Century Gothic" w:cs="Arial"/>
          <w:sz w:val="24"/>
          <w:szCs w:val="24"/>
          <w:u w:val="single"/>
          <w:lang w:val="es-ES" w:eastAsia="es-E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sz w:val="24"/>
          <w:szCs w:val="24"/>
          <w:lang w:eastAsia="en-US"/>
        </w:rPr>
        <w:t>En caso de que la contratación de los instrumentos derivados genere deuda contingente, la misma deberá ajustarse a lo establecido en la Ley de Deuda Pública para el Estado de Chihuahua y sus Municipios.</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El contrato o contratos a través de los cuales se implemente el Financiamiento 665, deberá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w:t>
      </w:r>
      <w:r w:rsidR="003860EC">
        <w:rPr>
          <w:rFonts w:ascii="Century Gothic" w:hAnsi="Century Gothic" w:cs="Arial"/>
          <w:sz w:val="24"/>
          <w:szCs w:val="24"/>
          <w:lang w:eastAsia="en-US"/>
        </w:rPr>
        <w:t>etodología para el Cálculo del M</w:t>
      </w:r>
      <w:r w:rsidRPr="00B13E1E">
        <w:rPr>
          <w:rFonts w:ascii="Century Gothic" w:hAnsi="Century Gothic" w:cs="Arial"/>
          <w:sz w:val="24"/>
          <w:szCs w:val="24"/>
          <w:lang w:eastAsia="en-US"/>
        </w:rPr>
        <w:t>enor Costo Financiero y de los Procesos Competitivos de los Financiamientos y 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procurará que el proceso competitivo le permita recibir las mejores ofertas del mercado para el Financiamiento 665, por lo que en todo caso deberá considerar y diseñar los procesos competitivos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bookmarkStart w:id="2" w:name="_Hlk88683379"/>
      <w:r w:rsidRPr="00B13E1E">
        <w:rPr>
          <w:rFonts w:ascii="Century Gothic" w:hAnsi="Century Gothic" w:cs="Arial"/>
          <w:sz w:val="24"/>
          <w:szCs w:val="24"/>
          <w:u w:val="single"/>
          <w:lang w:eastAsia="en-US"/>
        </w:rPr>
        <w:lastRenderedPageBreak/>
        <w:t>Gastos</w:t>
      </w:r>
      <w:r w:rsidRPr="00B13E1E">
        <w:rPr>
          <w:rFonts w:ascii="Century Gothic" w:hAnsi="Century Gothic" w:cs="Arial"/>
          <w:sz w:val="24"/>
          <w:szCs w:val="24"/>
          <w:lang w:eastAsia="en-US"/>
        </w:rPr>
        <w:t xml:space="preserve">. Se autoriza al Estado, para contratar y pagar los gastos adicionales que resulten necesarios para instrumentar el Financiamiento 665, incluyendo sin limitar, los costos y gastos asociados a la contratación, administración, mantenimiento, costos de estructuración financiera y legal, aportaciones iniciales, operación, constitución y/o reconstitución de reservas, pago de instrumentos derivados, comisiones financieras institucionales; así como para contratar y pagar todos y cada uno de los gastos inherentes al proceso de implementación </w:t>
      </w:r>
      <w:r w:rsidR="003860EC">
        <w:rPr>
          <w:rFonts w:ascii="Century Gothic" w:hAnsi="Century Gothic" w:cs="Arial"/>
          <w:sz w:val="24"/>
          <w:szCs w:val="24"/>
          <w:lang w:eastAsia="en-US"/>
        </w:rPr>
        <w:t xml:space="preserve">y </w:t>
      </w:r>
      <w:r w:rsidRPr="00B13E1E">
        <w:rPr>
          <w:rFonts w:ascii="Century Gothic" w:hAnsi="Century Gothic" w:cs="Arial"/>
          <w:sz w:val="24"/>
          <w:szCs w:val="24"/>
          <w:lang w:eastAsia="en-US"/>
        </w:rPr>
        <w:t>contratación del Financiamiento 665, tales como la obtención de dictámenes de agencias calificadoras, contratación de las asesorías y servicios, gastos legales y/o, en general, cualesquiera otros gastos o costos asociados en su caso y que se requieran para el diseño e instrumentación financiera y/o legal de las operaciones a que se refiere la presente autorización.</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máximo que deba destinarse para cubrir los gastos y costos asociados al Financiamiento 665, no podrá exceder el 2.5% del monto de dicho financiamiento, siempre que se incluyan los instrumentos derivados o de cobertura, y fondos de reserva. En caso de que no se incluyan los instrumentos derivados o de cobertura, los gastos y costos asociados relacionados con el Financiamiento 665 no deberán rebasar el 1.5% del monto de la emisión de los mismos, sin perjuicio de lo establecido en el Artículo 27 del Reglamento del Registro Públ</w:t>
      </w:r>
      <w:r w:rsidR="003860EC">
        <w:rPr>
          <w:rFonts w:ascii="Century Gothic" w:hAnsi="Century Gothic" w:cs="Arial"/>
          <w:sz w:val="24"/>
          <w:szCs w:val="24"/>
          <w:lang w:eastAsia="en-US"/>
        </w:rPr>
        <w:t>ico Único de Financiamientos y O</w:t>
      </w:r>
      <w:r w:rsidRPr="00B13E1E">
        <w:rPr>
          <w:rFonts w:ascii="Century Gothic" w:hAnsi="Century Gothic" w:cs="Arial"/>
          <w:sz w:val="24"/>
          <w:szCs w:val="24"/>
          <w:lang w:eastAsia="en-US"/>
        </w:rPr>
        <w:t>bligaciones de Entidades Federativas y Municipios.</w:t>
      </w:r>
    </w:p>
    <w:bookmarkEnd w:id="2"/>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r w:rsidRPr="00B13E1E">
        <w:rPr>
          <w:rFonts w:ascii="Century Gothic" w:hAnsi="Century Gothic" w:cs="Arial"/>
          <w:b/>
          <w:bCs/>
          <w:sz w:val="24"/>
          <w:szCs w:val="24"/>
          <w:lang w:eastAsia="en-US"/>
        </w:rPr>
        <w:lastRenderedPageBreak/>
        <w:t xml:space="preserve">Artículo Quinto. </w:t>
      </w:r>
      <w:r w:rsidRPr="00B13E1E">
        <w:rPr>
          <w:rFonts w:ascii="Century Gothic" w:hAnsi="Century Gothic" w:cs="Arial"/>
          <w:sz w:val="24"/>
          <w:szCs w:val="24"/>
          <w:u w:val="single"/>
          <w:lang w:eastAsia="en-US"/>
        </w:rPr>
        <w:t>Instrumentos Derivados.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instrumentos derivados, en sustitución de los instrumentos derivados descritos más adelante, y</w:t>
      </w:r>
      <w:r w:rsidRPr="00B13E1E">
        <w:rPr>
          <w:rFonts w:ascii="Century Gothic" w:hAnsi="Century Gothic" w:cs="Arial"/>
          <w:bCs/>
          <w:sz w:val="24"/>
          <w:szCs w:val="24"/>
          <w:lang w:eastAsia="en-US"/>
        </w:rPr>
        <w:t xml:space="preserve"> hasta por la cantidad necesaria para cubrir hasta el 100% (cien por ciento) de los montos expuestos de los financiamientos a los que se encuentran asociados dichos instrumentos derivados a ser sustituidos.</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Los instrumentos derivados a ser contratados conforme a la presente autorización, podrán tener como garantía y fuente de pago, de conformidad con lo previsto en el presente Decreto, los derechos (y los ingresos derivados de los mismos), de las fuentes de pago que le correspondan a los contratos principales a los que se encontrarán asociados. En todo caso, los instrumentos derivados a contratarse se contratarán con objetivos específico</w:t>
      </w:r>
      <w:r w:rsidR="003860EC">
        <w:rPr>
          <w:rFonts w:ascii="Century Gothic" w:hAnsi="Century Gothic" w:cs="Arial"/>
          <w:sz w:val="24"/>
          <w:szCs w:val="24"/>
          <w:lang w:eastAsia="en-US"/>
        </w:rPr>
        <w:t>s</w:t>
      </w:r>
      <w:r w:rsidRPr="00B13E1E">
        <w:rPr>
          <w:rFonts w:ascii="Century Gothic" w:hAnsi="Century Gothic" w:cs="Arial"/>
          <w:sz w:val="24"/>
          <w:szCs w:val="24"/>
          <w:lang w:eastAsia="en-US"/>
        </w:rPr>
        <w:t xml:space="preserve"> de cobertura y, en ningún caso, de especulación.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Los instrumentos derivados que el Estado contrate al amparo de la presente autorización</w:t>
      </w:r>
      <w:r w:rsidR="003860EC">
        <w:rPr>
          <w:rFonts w:ascii="Century Gothic" w:hAnsi="Century Gothic" w:cs="Arial"/>
          <w:sz w:val="24"/>
          <w:szCs w:val="24"/>
          <w:lang w:eastAsia="en-US"/>
        </w:rPr>
        <w:t>,</w:t>
      </w:r>
      <w:r w:rsidRPr="00B13E1E">
        <w:rPr>
          <w:rFonts w:ascii="Century Gothic" w:hAnsi="Century Gothic" w:cs="Arial"/>
          <w:sz w:val="24"/>
          <w:szCs w:val="24"/>
          <w:lang w:eastAsia="en-US"/>
        </w:rPr>
        <w:t xml:space="preserve"> deberán ser destinados a la sustitución de los siguientes instrumentos derivados previamente celebrados por el Estado:</w:t>
      </w:r>
    </w:p>
    <w:p w:rsidR="00B13E1E" w:rsidRPr="00B13E1E" w:rsidRDefault="00B13E1E" w:rsidP="00B13E1E">
      <w:pPr>
        <w:spacing w:after="0" w:line="360" w:lineRule="auto"/>
        <w:ind w:right="-187"/>
        <w:jc w:val="both"/>
        <w:rPr>
          <w:rFonts w:ascii="Century Gothic" w:hAnsi="Century Gothic" w:cs="Arial"/>
          <w:sz w:val="24"/>
          <w:szCs w:val="24"/>
          <w:lang w:eastAsia="en-US"/>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2376"/>
        <w:gridCol w:w="2323"/>
        <w:gridCol w:w="1928"/>
        <w:gridCol w:w="2095"/>
      </w:tblGrid>
      <w:tr w:rsidR="00B13E1E" w:rsidRPr="00B13E1E" w:rsidTr="00484DD8">
        <w:tc>
          <w:tcPr>
            <w:tcW w:w="1640"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bookmarkStart w:id="3" w:name="_Hlk88812993"/>
            <w:r w:rsidRPr="00B13E1E">
              <w:rPr>
                <w:rFonts w:ascii="Century Gothic" w:hAnsi="Century Gothic" w:cs="Arial"/>
                <w:sz w:val="24"/>
                <w:szCs w:val="24"/>
                <w:lang w:val="es-ES" w:eastAsia="en-US"/>
              </w:rPr>
              <w:lastRenderedPageBreak/>
              <w:t>Instrumento Derivado</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Financiamiento u obligación principal</w:t>
            </w:r>
          </w:p>
        </w:tc>
        <w:tc>
          <w:tcPr>
            <w:tcW w:w="2352"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Monto de cobertura</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Inscripción RPU</w:t>
            </w:r>
          </w:p>
        </w:tc>
        <w:tc>
          <w:tcPr>
            <w:tcW w:w="2264"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Inscripción Registro Estatal</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tabs>
                <w:tab w:val="center" w:pos="904"/>
              </w:tabs>
              <w:spacing w:after="0" w:line="360" w:lineRule="auto"/>
              <w:ind w:right="53"/>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Banorte $3,397,918,257.50</w:t>
            </w:r>
          </w:p>
        </w:tc>
        <w:tc>
          <w:tcPr>
            <w:tcW w:w="2352" w:type="dxa"/>
            <w:shd w:val="clear" w:color="auto" w:fill="auto"/>
          </w:tcPr>
          <w:p w:rsidR="00B13E1E" w:rsidRPr="00B13E1E" w:rsidRDefault="00B13E1E" w:rsidP="00484DD8">
            <w:pPr>
              <w:spacing w:after="0" w:line="360" w:lineRule="auto"/>
              <w:ind w:right="-58"/>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$1,897,330,417.64</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P08-1219063_ID</w:t>
            </w:r>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61/2019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Banco del Bajío $500,000,000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$499,913,500.00</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P08-1219064_ID</w:t>
            </w:r>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62/2019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Banorte $3,397,918,257.50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$1,500,000,000.00 </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P08-1219063_ID_02</w:t>
            </w:r>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63/2019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Banco del Bajío $250,000,000.00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$249,956,750.00 </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P08-1219065_ID</w:t>
            </w:r>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64/2019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Bancomer $1,000,000,000.00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$999,827,000.00 </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P08-1219066_ID</w:t>
            </w:r>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65/2019</w:t>
            </w:r>
          </w:p>
        </w:tc>
      </w:tr>
      <w:tr w:rsidR="00B13E1E" w:rsidRPr="00B13E1E" w:rsidTr="00484DD8">
        <w:tc>
          <w:tcPr>
            <w:tcW w:w="1640"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SWAP</w:t>
            </w:r>
          </w:p>
        </w:tc>
        <w:tc>
          <w:tcPr>
            <w:tcW w:w="2405" w:type="dxa"/>
            <w:shd w:val="clear" w:color="auto" w:fill="auto"/>
          </w:tcPr>
          <w:p w:rsidR="00B13E1E" w:rsidRPr="00B13E1E" w:rsidRDefault="00B13E1E" w:rsidP="00484DD8">
            <w:pPr>
              <w:spacing w:after="0" w:line="360" w:lineRule="auto"/>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Bancomer $830,000,000.00</w:t>
            </w:r>
          </w:p>
        </w:tc>
        <w:tc>
          <w:tcPr>
            <w:tcW w:w="2352"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 xml:space="preserve">$829,856,410.00 </w:t>
            </w:r>
          </w:p>
        </w:tc>
        <w:tc>
          <w:tcPr>
            <w:tcW w:w="1687" w:type="dxa"/>
            <w:shd w:val="clear" w:color="auto" w:fill="auto"/>
          </w:tcPr>
          <w:p w:rsidR="00B13E1E" w:rsidRPr="00B13E1E" w:rsidRDefault="00B13E1E" w:rsidP="00484DD8">
            <w:pPr>
              <w:spacing w:after="0" w:line="360" w:lineRule="auto"/>
              <w:ind w:right="42"/>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P08-1219067_ID</w:t>
            </w:r>
          </w:p>
        </w:tc>
        <w:tc>
          <w:tcPr>
            <w:tcW w:w="2264" w:type="dxa"/>
            <w:shd w:val="clear" w:color="auto" w:fill="auto"/>
          </w:tcPr>
          <w:p w:rsidR="00B13E1E" w:rsidRPr="00B13E1E" w:rsidRDefault="00B13E1E" w:rsidP="00484DD8">
            <w:pPr>
              <w:spacing w:after="0" w:line="360" w:lineRule="auto"/>
              <w:ind w:right="-187"/>
              <w:jc w:val="both"/>
              <w:rPr>
                <w:rFonts w:ascii="Century Gothic" w:hAnsi="Century Gothic" w:cs="Arial"/>
                <w:sz w:val="24"/>
                <w:szCs w:val="24"/>
                <w:lang w:val="es-ES" w:eastAsia="en-US"/>
              </w:rPr>
            </w:pPr>
            <w:r w:rsidRPr="00B13E1E">
              <w:rPr>
                <w:rFonts w:ascii="Century Gothic" w:hAnsi="Century Gothic" w:cs="Arial"/>
                <w:sz w:val="24"/>
                <w:szCs w:val="24"/>
                <w:lang w:val="es-ES" w:eastAsia="en-US"/>
              </w:rPr>
              <w:t>66/2019</w:t>
            </w:r>
          </w:p>
        </w:tc>
      </w:tr>
      <w:bookmarkEnd w:id="3"/>
    </w:tbl>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Instrumento Derivado Futuro</w:t>
      </w:r>
      <w:r w:rsidRPr="00B13E1E">
        <w:rPr>
          <w:rFonts w:ascii="Century Gothic" w:hAnsi="Century Gothic" w:cs="Arial"/>
          <w:sz w:val="24"/>
          <w:szCs w:val="24"/>
          <w:lang w:eastAsia="en-US"/>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instrumentos derivados futuros (inclu</w:t>
      </w:r>
      <w:r w:rsidR="003860EC">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SWAPS, CAPS, COLLARS, Forwards), hasta por la cantidad necesaria para cubrir el 100% (cien por ciento) del monto de los financiamientos a los </w:t>
      </w:r>
      <w:r w:rsidRPr="00B13E1E">
        <w:rPr>
          <w:rFonts w:ascii="Century Gothic" w:hAnsi="Century Gothic" w:cs="Arial"/>
          <w:sz w:val="24"/>
          <w:szCs w:val="24"/>
          <w:lang w:eastAsia="en-US"/>
        </w:rPr>
        <w:lastRenderedPageBreak/>
        <w:t>cuales estén asociados, cuyo objeto sea pactar las condiciones financieras de ciertos instrumentos derivados cuyo fin sea cubrir la tasa de interés de los financiamientos de largo plazo que constituyen la deuda pública del Estado, una vez que los instrumentos derivados señalados a continuación terminen su vigencia conforme a los contratos que los instrumentan.</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tbl>
      <w:tblPr>
        <w:tblW w:w="1134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8"/>
        <w:gridCol w:w="2293"/>
        <w:gridCol w:w="2135"/>
        <w:gridCol w:w="1667"/>
        <w:gridCol w:w="1134"/>
        <w:gridCol w:w="1560"/>
      </w:tblGrid>
      <w:tr w:rsidR="00B13E1E" w:rsidRPr="003860EC" w:rsidTr="003860EC">
        <w:tc>
          <w:tcPr>
            <w:tcW w:w="1135"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bookmarkStart w:id="4" w:name="_Hlk88817359"/>
            <w:r w:rsidRPr="003860EC">
              <w:rPr>
                <w:rFonts w:ascii="Century Gothic" w:hAnsi="Century Gothic" w:cs="Arial"/>
                <w:sz w:val="20"/>
                <w:szCs w:val="20"/>
                <w:lang w:val="es-ES" w:eastAsia="en-US"/>
              </w:rPr>
              <w:t>Instru</w:t>
            </w:r>
            <w:r w:rsidR="008B46CD" w:rsidRPr="003860EC">
              <w:rPr>
                <w:rFonts w:ascii="Century Gothic" w:hAnsi="Century Gothic" w:cs="Arial"/>
                <w:sz w:val="20"/>
                <w:szCs w:val="20"/>
                <w:lang w:val="es-ES" w:eastAsia="en-US"/>
              </w:rPr>
              <w:t>-</w:t>
            </w:r>
            <w:r w:rsidRPr="003860EC">
              <w:rPr>
                <w:rFonts w:ascii="Century Gothic" w:hAnsi="Century Gothic" w:cs="Arial"/>
                <w:sz w:val="20"/>
                <w:szCs w:val="20"/>
                <w:lang w:val="es-ES" w:eastAsia="en-US"/>
              </w:rPr>
              <w:t>mento Derivado</w:t>
            </w:r>
          </w:p>
        </w:tc>
        <w:tc>
          <w:tcPr>
            <w:tcW w:w="1418"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Institución Otorgadora de Derivado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Financiamiento u obligación principal</w:t>
            </w:r>
          </w:p>
        </w:tc>
        <w:tc>
          <w:tcPr>
            <w:tcW w:w="2135"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Monto de cobertura</w:t>
            </w:r>
          </w:p>
        </w:tc>
        <w:tc>
          <w:tcPr>
            <w:tcW w:w="1667" w:type="dxa"/>
            <w:shd w:val="clear" w:color="auto" w:fill="auto"/>
          </w:tcPr>
          <w:p w:rsidR="00B13E1E" w:rsidRPr="003860EC" w:rsidRDefault="00B13E1E" w:rsidP="00484DD8">
            <w:pPr>
              <w:spacing w:after="0" w:line="360" w:lineRule="auto"/>
              <w:ind w:right="42"/>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Inscripción RPU</w:t>
            </w:r>
          </w:p>
        </w:tc>
        <w:tc>
          <w:tcPr>
            <w:tcW w:w="1134"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Inscrip</w:t>
            </w:r>
            <w:r w:rsidR="008B46CD" w:rsidRPr="003860EC">
              <w:rPr>
                <w:rFonts w:ascii="Century Gothic" w:hAnsi="Century Gothic" w:cs="Arial"/>
                <w:sz w:val="20"/>
                <w:szCs w:val="20"/>
                <w:lang w:val="es-ES" w:eastAsia="en-US"/>
              </w:rPr>
              <w:t>-</w:t>
            </w:r>
            <w:r w:rsidRPr="003860EC">
              <w:rPr>
                <w:rFonts w:ascii="Century Gothic" w:hAnsi="Century Gothic" w:cs="Arial"/>
                <w:sz w:val="20"/>
                <w:szCs w:val="20"/>
                <w:lang w:val="es-ES" w:eastAsia="en-US"/>
              </w:rPr>
              <w:t>ción Registro Estatal</w:t>
            </w:r>
          </w:p>
        </w:tc>
        <w:tc>
          <w:tcPr>
            <w:tcW w:w="1560" w:type="dxa"/>
            <w:shd w:val="clear" w:color="auto" w:fill="auto"/>
          </w:tcPr>
          <w:p w:rsidR="00B13E1E" w:rsidRPr="003860EC" w:rsidRDefault="00B13E1E" w:rsidP="00484DD8">
            <w:pPr>
              <w:spacing w:after="0" w:line="360" w:lineRule="auto"/>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Fecha de Vencimiento</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Multiva $1,185,342,076.00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 $493,561,873.93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P08-0919040_ID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40/2019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Bajío 1,500,000,000.00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$1,499,733,806.73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P08-0819031_ID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38/2019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BBVA $1,852,528,000.00 </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$6,704,319.34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P08-0819027_ID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39/2019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8B46CD" w:rsidP="008B46CD">
            <w:pPr>
              <w:spacing w:after="0" w:line="360" w:lineRule="auto"/>
              <w:ind w:right="176"/>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BBVA  $1,852,528,000.00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$1,816,021,288.13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P08-0819027_ID_02</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46/2019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BBVA  $3,000,000,000.00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$2,999,467,613.45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P08-0819026_ID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41/2019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Banobras  $4,416,500,000.00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$4,415,723,914.95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P08-0819028_ID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42/2019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Banobras $5,000,000,000.00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$768,787,183.47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P08-0819029_ID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43/2019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Banobras $5,000,000,000.00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$4,230,334,196.53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P08-0819029_ID_02</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44/2019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lastRenderedPageBreak/>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Banobras $5,000,000,000.00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 $592,715,803.47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P08-0819030_ID_02</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45/2019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HSBC $500,000,000.00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 $493,561,797.60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P08-0919042_ID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36/2019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tcPr>
          <w:p w:rsidR="00B13E1E" w:rsidRPr="003860EC" w:rsidRDefault="00B13E1E" w:rsidP="00484DD8">
            <w:pPr>
              <w:spacing w:after="0" w:line="360" w:lineRule="auto"/>
              <w:ind w:right="14"/>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Banco del Bajío</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Multiva $1,185,342,076.00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 691,780,202.40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P08-0919040_ID_02</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39/2019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Santander</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Santander $1,350,000,000.00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$1,349,760,426.05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P08-0919037_ID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33/2019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Santander</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Santander  $1,750,000,000.00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$1,749,689,441.18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P08-0919039_ID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34/2019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Santander</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Santander $19,000,000.00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$1,899,662,821.85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P08-0919038_ID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32/2019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tr w:rsidR="00B13E1E" w:rsidRPr="003860EC" w:rsidTr="003860EC">
        <w:tc>
          <w:tcPr>
            <w:tcW w:w="1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SWAP</w:t>
            </w:r>
          </w:p>
        </w:tc>
        <w:tc>
          <w:tcPr>
            <w:tcW w:w="1418" w:type="dxa"/>
            <w:shd w:val="clear" w:color="auto" w:fill="auto"/>
            <w:vAlign w:val="bottom"/>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color w:val="000000"/>
                <w:sz w:val="20"/>
                <w:szCs w:val="20"/>
                <w:lang w:val="es-ES" w:eastAsia="en-US"/>
              </w:rPr>
              <w:t>Banorte</w:t>
            </w:r>
          </w:p>
        </w:tc>
        <w:tc>
          <w:tcPr>
            <w:tcW w:w="2293" w:type="dxa"/>
            <w:shd w:val="clear" w:color="auto" w:fill="auto"/>
          </w:tcPr>
          <w:p w:rsidR="00B13E1E" w:rsidRPr="003860EC" w:rsidRDefault="00B13E1E" w:rsidP="00484DD8">
            <w:pPr>
              <w:spacing w:after="0" w:line="360" w:lineRule="auto"/>
              <w:ind w:right="33"/>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Banobras $5,000,000,000.00</w:t>
            </w:r>
          </w:p>
        </w:tc>
        <w:tc>
          <w:tcPr>
            <w:tcW w:w="2135"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 xml:space="preserve">$4,406,405,576.53 </w:t>
            </w:r>
          </w:p>
        </w:tc>
        <w:tc>
          <w:tcPr>
            <w:tcW w:w="1667"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P08-0819030_ID</w:t>
            </w:r>
          </w:p>
        </w:tc>
        <w:tc>
          <w:tcPr>
            <w:tcW w:w="1134"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35/2019</w:t>
            </w:r>
          </w:p>
        </w:tc>
        <w:tc>
          <w:tcPr>
            <w:tcW w:w="1560" w:type="dxa"/>
            <w:shd w:val="clear" w:color="auto" w:fill="auto"/>
          </w:tcPr>
          <w:p w:rsidR="00B13E1E" w:rsidRPr="003860EC" w:rsidRDefault="00B13E1E" w:rsidP="00484DD8">
            <w:pPr>
              <w:spacing w:after="0" w:line="360" w:lineRule="auto"/>
              <w:ind w:right="-187"/>
              <w:jc w:val="both"/>
              <w:rPr>
                <w:rFonts w:ascii="Century Gothic" w:hAnsi="Century Gothic" w:cs="Arial"/>
                <w:sz w:val="20"/>
                <w:szCs w:val="20"/>
                <w:lang w:val="es-ES" w:eastAsia="en-US"/>
              </w:rPr>
            </w:pPr>
            <w:r w:rsidRPr="003860EC">
              <w:rPr>
                <w:rFonts w:ascii="Century Gothic" w:hAnsi="Century Gothic" w:cs="Arial"/>
                <w:sz w:val="20"/>
                <w:szCs w:val="20"/>
                <w:lang w:val="es-ES" w:eastAsia="en-US"/>
              </w:rPr>
              <w:t>24/09/2024</w:t>
            </w:r>
          </w:p>
        </w:tc>
      </w:tr>
      <w:bookmarkEnd w:id="4"/>
    </w:tbl>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Los instrumentos derivados que contrate el Estado al amparo de la presente autorización, tendrán como fuente de pago y/o garantía de todas y cada una de las obligaciones que deriven de los mismos, las participaciones federales, aportaciones federales y/o Ingresos de libre disposición del Estado que funjan como fuente de pago y/o garantía de todas y cada una de las obligaciones de los financiamientos y/u obligaciones a los que se encontrarán asociados.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deberá realizar los actos suficientes y necesarios, incl</w:t>
      </w:r>
      <w:r w:rsidR="003860EC">
        <w:rPr>
          <w:rFonts w:ascii="Century Gothic" w:hAnsi="Century Gothic" w:cs="Arial"/>
          <w:sz w:val="24"/>
          <w:szCs w:val="24"/>
          <w:lang w:eastAsia="en-US"/>
        </w:rPr>
        <w:t>uyendo de manera enunciativa, ma</w:t>
      </w:r>
      <w:r w:rsidRPr="00B13E1E">
        <w:rPr>
          <w:rFonts w:ascii="Century Gothic" w:hAnsi="Century Gothic" w:cs="Arial"/>
          <w:sz w:val="24"/>
          <w:szCs w:val="24"/>
          <w:lang w:eastAsia="en-US"/>
        </w:rPr>
        <w:t>s no limitativa, instrucciones fiduciarias, la suscripción de contratos y/o convenios y/o cualesquier</w:t>
      </w:r>
      <w:r w:rsidR="003860EC">
        <w:rPr>
          <w:rFonts w:ascii="Century Gothic" w:hAnsi="Century Gothic" w:cs="Arial"/>
          <w:sz w:val="24"/>
          <w:szCs w:val="24"/>
          <w:lang w:eastAsia="en-US"/>
        </w:rPr>
        <w:t>a</w:t>
      </w:r>
      <w:r w:rsidRPr="00B13E1E">
        <w:rPr>
          <w:rFonts w:ascii="Century Gothic" w:hAnsi="Century Gothic" w:cs="Arial"/>
          <w:sz w:val="24"/>
          <w:szCs w:val="24"/>
          <w:lang w:eastAsia="en-US"/>
        </w:rPr>
        <w:t xml:space="preserve"> otros documentos necesarios </w:t>
      </w:r>
      <w:r w:rsidRPr="00B13E1E">
        <w:rPr>
          <w:rFonts w:ascii="Century Gothic" w:hAnsi="Century Gothic" w:cs="Arial"/>
          <w:sz w:val="24"/>
          <w:szCs w:val="24"/>
          <w:lang w:eastAsia="en-US"/>
        </w:rPr>
        <w:lastRenderedPageBreak/>
        <w:t>para efectos de que las garantías y/o fuentes de pago anteriormente referidas queden debidamente constituidas y/o perfeccionadas.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los Instrumentos Derivados</w:t>
      </w:r>
      <w:r w:rsidRPr="00B13E1E">
        <w:rPr>
          <w:rFonts w:ascii="Century Gothic" w:hAnsi="Century Gothic" w:cs="Arial"/>
          <w:sz w:val="24"/>
          <w:szCs w:val="24"/>
          <w:lang w:eastAsia="en-US"/>
        </w:rPr>
        <w:t>. El o los instrumentos derivados que se contraten al amparo de la presente autorización tendrán la vigencia requerida de conformidad con los financiamientos principales a los cuales se encontrarán asociados.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xml:space="preserve">. Cada uno de los contratos a través de los cuales se implementen los instrumentos derivados autorizados al amparo del presente apartado deberán ser celebrados,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El contrato o contratos a través de los cuales se contraten los instrumentos derivados previamente referidos, deberán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El Estado procurará que el proceso competitivo le permita recibir las mejores ofertas del mercado para cada instrumento derivado, por lo que en todo caso deberá considerar y diseñar los procesos competitivos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Artículo Sexto</w:t>
      </w:r>
      <w:r w:rsidRPr="00B13E1E">
        <w:rPr>
          <w:rFonts w:ascii="Century Gothic" w:hAnsi="Century Gothic" w:cs="Arial"/>
          <w:sz w:val="24"/>
          <w:szCs w:val="24"/>
          <w:lang w:eastAsia="en-US"/>
        </w:rPr>
        <w:t xml:space="preserve">. </w:t>
      </w:r>
      <w:r w:rsidRPr="00B13E1E">
        <w:rPr>
          <w:rFonts w:ascii="Century Gothic" w:hAnsi="Century Gothic" w:cs="Arial"/>
          <w:sz w:val="24"/>
          <w:szCs w:val="24"/>
          <w:u w:val="single"/>
          <w:lang w:eastAsia="en-US"/>
        </w:rPr>
        <w:t>Refinanciamiento Comisión de Vivienda</w:t>
      </w:r>
      <w:r w:rsidRPr="00B13E1E">
        <w:rPr>
          <w:rFonts w:ascii="Century Gothic" w:hAnsi="Century Gothic" w:cs="Arial"/>
          <w:sz w:val="24"/>
          <w:szCs w:val="24"/>
          <w:lang w:eastAsia="en-US"/>
        </w:rPr>
        <w:t xml:space="preserve">.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 la Comisión Estatal de Vivienda, Suelo e Infraestructura de Chihuahua, anteriormente el Instituto de la Vivienda del Estado de Chihuahua (la “</w:t>
      </w:r>
      <w:r w:rsidRPr="00B13E1E">
        <w:rPr>
          <w:rFonts w:ascii="Century Gothic" w:hAnsi="Century Gothic" w:cs="Arial"/>
          <w:sz w:val="24"/>
          <w:szCs w:val="24"/>
          <w:u w:val="single"/>
          <w:lang w:eastAsia="en-US"/>
        </w:rPr>
        <w:t>Comisión</w:t>
      </w:r>
      <w:r w:rsidRPr="00B13E1E">
        <w:rPr>
          <w:rFonts w:ascii="Century Gothic" w:hAnsi="Century Gothic" w:cs="Arial"/>
          <w:sz w:val="24"/>
          <w:szCs w:val="24"/>
          <w:lang w:eastAsia="en-US"/>
        </w:rPr>
        <w:t>”), para que por conducto de los funcionarios que resulten facultados en términos de la legislación aplicable,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$275’909,034.82 (Doscientos setenta y cinco millones novecien</w:t>
      </w:r>
      <w:r w:rsidR="003860EC">
        <w:rPr>
          <w:rFonts w:ascii="Century Gothic" w:hAnsi="Century Gothic" w:cs="Arial"/>
          <w:sz w:val="24"/>
          <w:szCs w:val="24"/>
          <w:lang w:eastAsia="en-US"/>
        </w:rPr>
        <w:t>tos nueve mil treinta y cuatro p</w:t>
      </w:r>
      <w:r w:rsidRPr="00B13E1E">
        <w:rPr>
          <w:rFonts w:ascii="Century Gothic" w:hAnsi="Century Gothic" w:cs="Arial"/>
          <w:sz w:val="24"/>
          <w:szCs w:val="24"/>
          <w:lang w:eastAsia="en-US"/>
        </w:rPr>
        <w:t>esos 82/100 M.N.) más costos y gastos relacionados con su implementación y más fondos de reserva, de conformidad con lo previsto más adelante en la presente autorización (el “</w:t>
      </w:r>
      <w:r w:rsidRPr="00B13E1E">
        <w:rPr>
          <w:rFonts w:ascii="Century Gothic" w:hAnsi="Century Gothic" w:cs="Arial"/>
          <w:sz w:val="24"/>
          <w:szCs w:val="24"/>
          <w:u w:val="single"/>
          <w:lang w:eastAsia="en-US"/>
        </w:rPr>
        <w:t>Financiamiento COESVI</w:t>
      </w:r>
      <w:r w:rsidRPr="00B13E1E">
        <w:rPr>
          <w:rFonts w:ascii="Century Gothic" w:hAnsi="Century Gothic" w:cs="Arial"/>
          <w:sz w:val="24"/>
          <w:szCs w:val="24"/>
          <w:lang w:eastAsia="en-US"/>
        </w:rPr>
        <w:t xml:space="preserve">”), mismo que, de conformidad con lo previsto en el presente Decreto, podrá tener como garantía y fuente de pago, un porcentaje suficiente y necesario de los ingresos provenientes de la </w:t>
      </w:r>
      <w:r w:rsidRPr="00B13E1E">
        <w:rPr>
          <w:rFonts w:ascii="Century Gothic" w:hAnsi="Century Gothic" w:cs="Arial"/>
          <w:sz w:val="24"/>
          <w:szCs w:val="24"/>
          <w:lang w:eastAsia="en-US"/>
        </w:rPr>
        <w:lastRenderedPageBreak/>
        <w:t>enajenación inmobiliaria que realiza dicha Comisión, a través de los programas descritos más adelante.</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del Financiamiento COESVI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autorización anterior se otorga previo análisis de la capacidad de pago de la Comisión, el destino de los recursos derivados del Financiamiento COESVI y los recursos que fungirán como garantía y fuente de pago de los contratos a través de los cuales se implemente dicho Financiamiento COESVI.</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Obligación Solidaria</w:t>
      </w:r>
      <w:r w:rsidRPr="00B13E1E">
        <w:rPr>
          <w:rFonts w:ascii="Century Gothic" w:hAnsi="Century Gothic" w:cs="Arial"/>
          <w:sz w:val="24"/>
          <w:szCs w:val="24"/>
          <w:lang w:eastAsia="en-US"/>
        </w:rPr>
        <w:t>. Asimismo, se autoriza al Estado para que, a través de la Secretaría de Hacienda: (i) se constituya como obligado solidario y/o Aval de las obligaciones a cargo de la Comisión derivadas de los contratos a través de los cuales se implemente el Financiamiento COESVI, y (ii) afecte como garantía y fuente alterna de pago de las obligaciones a cargo de la Comisión derivadas de la implementación del Financiamiento COESVI, según dichos términos y condiciones se describen más adelante, un porcentaje suficiente y necesario de los derechos, e ingresos derivados de los mismos, que le corresponden al Estado del Fondo General de Participaciones referido en la Ley de Coordinación Fiscal de conformidad con lo previsto más adelante.</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autorización anterior se otorga previo análisis de la capacidad de pago del Estado, el destino de los recursos derivados del Financiamiento COESVI y </w:t>
      </w:r>
      <w:r w:rsidRPr="00B13E1E">
        <w:rPr>
          <w:rFonts w:ascii="Century Gothic" w:hAnsi="Century Gothic" w:cs="Arial"/>
          <w:sz w:val="24"/>
          <w:szCs w:val="24"/>
          <w:lang w:eastAsia="en-US"/>
        </w:rPr>
        <w:lastRenderedPageBreak/>
        <w:t>los recursos que fungirán como garantía y fuente de pago de los contratos a través de los cuales se implemente dicho Financiamiento COESVI.</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De conformidad con lo previsto por el artículo 117, fracción VIII de la Constitución Política de los Estados Unidos Mexicanos, el artículo 9 de la Ley de Coordinación Fiscal, así como el artículo 2, fracción XXV de la Ley de Disciplina Financiera de las Entidades Federativas y los Municipios, los recursos derivados del Financiamiento COESVI deberán ser destinados a:</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3860EC">
      <w:pPr>
        <w:numPr>
          <w:ilvl w:val="0"/>
          <w:numId w:val="40"/>
        </w:numPr>
        <w:spacing w:after="0" w:line="360" w:lineRule="auto"/>
        <w:ind w:left="0" w:right="-187" w:hanging="501"/>
        <w:jc w:val="both"/>
        <w:rPr>
          <w:rFonts w:ascii="Century Gothic" w:hAnsi="Century Gothic" w:cs="Arial"/>
          <w:sz w:val="24"/>
          <w:szCs w:val="24"/>
          <w:lang w:eastAsia="en-US"/>
        </w:rPr>
      </w:pPr>
      <w:r w:rsidRPr="00B13E1E">
        <w:rPr>
          <w:rFonts w:ascii="Century Gothic" w:hAnsi="Century Gothic" w:cs="Arial"/>
          <w:sz w:val="24"/>
          <w:szCs w:val="24"/>
          <w:lang w:eastAsia="en-US"/>
        </w:rPr>
        <w:t>Refinanciar o reestructurar, el contrato de crédito simple, de fecha 26 de noviembre de 2010, celebrado entre la Comisión, en su carácter de acreditado, el Estado, en su carácter de obligado solidario, y HSBC México, S.A., Institución de Banca Múltiple, Grupo Financiero HSBC, por una cantidad de hasta $416,136,000.000 (Cuatrocientos dieciséis millones ciento treinta y seis mil pesos 00/100 M.N.), así como los intereses, comisiones, y demás accesorios que deriven del pago anticipado de dicho contrato; dicho contrato se encuentra inscrito en el Registro Público Único de Financiamientos y Obligaciones de Entidades Federativas y Municipios bajo el folio 47/2010, y Registro Central de Deuda Pública Estatal del Estado de Chihuahua, bajo el folio 21/210; el cual, al 31 octubre 2021, reporta un saldo insoluto de $130,709,384.78 (Ciento treinta millones setecientos nueve mil trescientos ochenta y cuatro pesos 78/100 M.N.).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3860EC">
      <w:pPr>
        <w:numPr>
          <w:ilvl w:val="0"/>
          <w:numId w:val="40"/>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Refinanciar o reestructurar, el contrato de crédito simple, de fecha 8 de diciembre de 2010, celebrado entre la Comisión, en su carácter de acreditado, el Estado, en su carácter de obligado solidario, y Banco Santander México, S.A., Institución de Banca Múltiple, Grupo Financiero Santander, por una cantidad de hasta $416,136,000.000 (Cuatrocientos dieciséis millones ciento treinta y seis mil pesos 00/100 M.N.), así como los intereses, comisiones, y demás accesorios que deriven del pago anticipado de dicho contrato; dicho contrato se encuentra inscrito en el Registro Público Único de Financiamientos y Obligaciones de Entidades Federativas y Municipios bajo el folio 505/2010, y Registro Central de Deuda Pública Estatal del Estado de Chihuahua, bajo el folio 22/210; el cual, al 31 de octubre de 2021, reporta un saldo insoluto de $133,376,923.24 (Ciento treinta y tres millones trescientos setenta y seis mil novecientos veintitrés pesos 24/100 M.N.).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0"/>
          <w:numId w:val="40"/>
        </w:numPr>
        <w:spacing w:after="0" w:line="360" w:lineRule="auto"/>
        <w:ind w:left="0" w:right="-187" w:hanging="567"/>
        <w:jc w:val="both"/>
        <w:rPr>
          <w:rFonts w:ascii="Century Gothic" w:hAnsi="Century Gothic" w:cs="Arial"/>
          <w:bCs/>
          <w:sz w:val="24"/>
          <w:szCs w:val="24"/>
          <w:lang w:eastAsia="en-US"/>
        </w:rPr>
      </w:pPr>
      <w:r w:rsidRPr="00B13E1E">
        <w:rPr>
          <w:rFonts w:ascii="Century Gothic" w:hAnsi="Century Gothic" w:cs="Arial"/>
          <w:sz w:val="24"/>
          <w:szCs w:val="24"/>
          <w:lang w:eastAsia="en-US"/>
        </w:rPr>
        <w:t>A la constitución de fondos de reserva en términos del artículo 22 de la Ley de Disciplina Financiera de las Entidades Federativas y los Municipios.</w:t>
      </w:r>
    </w:p>
    <w:p w:rsidR="00B13E1E" w:rsidRPr="00B13E1E" w:rsidRDefault="00B13E1E" w:rsidP="00927E59">
      <w:pPr>
        <w:spacing w:after="0" w:line="360" w:lineRule="auto"/>
        <w:ind w:hanging="567"/>
        <w:jc w:val="both"/>
        <w:rPr>
          <w:rFonts w:ascii="Century Gothic" w:hAnsi="Century Gothic" w:cs="Arial"/>
          <w:b/>
          <w:bCs/>
          <w:sz w:val="24"/>
          <w:szCs w:val="24"/>
          <w:lang w:val="es-ES" w:eastAsia="es-ES"/>
        </w:rPr>
      </w:pPr>
    </w:p>
    <w:p w:rsidR="00B13E1E" w:rsidRPr="00B13E1E" w:rsidRDefault="00B13E1E" w:rsidP="00927E59">
      <w:pPr>
        <w:numPr>
          <w:ilvl w:val="0"/>
          <w:numId w:val="40"/>
        </w:numPr>
        <w:spacing w:after="0" w:line="360" w:lineRule="auto"/>
        <w:ind w:left="0" w:right="-187" w:hanging="567"/>
        <w:jc w:val="both"/>
        <w:rPr>
          <w:rFonts w:ascii="Century Gothic" w:hAnsi="Century Gothic" w:cs="Arial"/>
          <w:bCs/>
          <w:sz w:val="24"/>
          <w:szCs w:val="24"/>
          <w:lang w:eastAsia="en-US"/>
        </w:rPr>
      </w:pPr>
      <w:r w:rsidRPr="00B13E1E">
        <w:rPr>
          <w:rFonts w:ascii="Century Gothic" w:hAnsi="Century Gothic" w:cs="Arial"/>
          <w:bCs/>
          <w:sz w:val="24"/>
          <w:szCs w:val="24"/>
          <w:lang w:eastAsia="en-US"/>
        </w:rPr>
        <w:t>En términos de lo previsto más adelante dentro del presente Decreto, la contratación de instrumentos derivados.</w:t>
      </w:r>
    </w:p>
    <w:p w:rsidR="00B13E1E" w:rsidRPr="00B13E1E" w:rsidRDefault="00B13E1E" w:rsidP="00927E59">
      <w:pPr>
        <w:spacing w:after="0" w:line="360" w:lineRule="auto"/>
        <w:ind w:right="-187" w:hanging="567"/>
        <w:jc w:val="both"/>
        <w:rPr>
          <w:rFonts w:ascii="Century Gothic" w:hAnsi="Century Gothic" w:cs="Arial"/>
          <w:sz w:val="24"/>
          <w:szCs w:val="24"/>
          <w:lang w:eastAsia="en-US"/>
        </w:rPr>
      </w:pPr>
    </w:p>
    <w:p w:rsidR="00B13E1E" w:rsidRPr="00B13E1E" w:rsidRDefault="00B13E1E" w:rsidP="00927E59">
      <w:pPr>
        <w:numPr>
          <w:ilvl w:val="0"/>
          <w:numId w:val="40"/>
        </w:numPr>
        <w:spacing w:after="0" w:line="360" w:lineRule="auto"/>
        <w:ind w:left="0" w:right="-187" w:hanging="567"/>
        <w:jc w:val="both"/>
        <w:rPr>
          <w:rFonts w:ascii="Century Gothic" w:hAnsi="Century Gothic" w:cs="Arial"/>
          <w:bCs/>
          <w:sz w:val="24"/>
          <w:szCs w:val="24"/>
          <w:lang w:eastAsia="en-US"/>
        </w:rPr>
      </w:pPr>
      <w:r w:rsidRPr="00B13E1E">
        <w:rPr>
          <w:rFonts w:ascii="Century Gothic" w:hAnsi="Century Gothic" w:cs="Arial"/>
          <w:bCs/>
          <w:sz w:val="24"/>
          <w:szCs w:val="24"/>
          <w:lang w:eastAsia="en-US"/>
        </w:rPr>
        <w:t xml:space="preserve">En términos de lo previsto más adelante dentro del presente Decreto, el pago de los gastos relacionados con el diseño, estructuración, e instrumentación del </w:t>
      </w:r>
      <w:r w:rsidRPr="00B13E1E">
        <w:rPr>
          <w:rFonts w:ascii="Century Gothic" w:hAnsi="Century Gothic" w:cs="Arial"/>
          <w:sz w:val="24"/>
          <w:szCs w:val="24"/>
          <w:lang w:eastAsia="en-US"/>
        </w:rPr>
        <w:t>Financiamiento COESVI</w:t>
      </w:r>
      <w:r w:rsidRPr="00B13E1E">
        <w:rPr>
          <w:rFonts w:ascii="Century Gothic" w:hAnsi="Century Gothic" w:cs="Arial"/>
          <w:bCs/>
          <w:sz w:val="24"/>
          <w:szCs w:val="24"/>
          <w:lang w:eastAsia="en-US"/>
        </w:rPr>
        <w:t xml:space="preserve">, y en su caso, la contratación de instrumentos derivados asociados al mismo, incluyendo sin limitar, el pago de honorarios de </w:t>
      </w:r>
      <w:r w:rsidRPr="00B13E1E">
        <w:rPr>
          <w:rFonts w:ascii="Century Gothic" w:hAnsi="Century Gothic" w:cs="Arial"/>
          <w:bCs/>
          <w:sz w:val="24"/>
          <w:szCs w:val="24"/>
          <w:lang w:eastAsia="en-US"/>
        </w:rPr>
        <w:lastRenderedPageBreak/>
        <w:t>agencias calificadoras de valores, de asesores financieros y legales, fiduciarios.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Se autoriza </w:t>
      </w:r>
      <w:r w:rsidR="00927E59">
        <w:rPr>
          <w:rFonts w:ascii="Century Gothic" w:hAnsi="Century Gothic" w:cs="Arial"/>
          <w:sz w:val="24"/>
          <w:szCs w:val="24"/>
          <w:lang w:eastAsia="en-US"/>
        </w:rPr>
        <w:t xml:space="preserve">a </w:t>
      </w:r>
      <w:r w:rsidRPr="00B13E1E">
        <w:rPr>
          <w:rFonts w:ascii="Century Gothic" w:hAnsi="Century Gothic" w:cs="Arial"/>
          <w:sz w:val="24"/>
          <w:szCs w:val="24"/>
          <w:lang w:eastAsia="en-US"/>
        </w:rPr>
        <w:t xml:space="preserve">la Comisión, para afectar como garantía y/o fuente de pago de todas y cada una de las obligaciones que deriven del Financiamiento COESVI un porcentaje suficiente y necesario de los ingresos propios provenientes de la enajenación inmobiliaria que realiza dicha Comisión a través de sus programas de desarrollo a la vivienda.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Asimismo, se autoriza, en este acto, al Estado, en su carácter de obligado solidario y aval, para afectar como garantía y/o fuente alterna de pago de todas y cada una de las obligaciones que deriven del Financiamiento COESVI, un porcentaje 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p>
    <w:p w:rsidR="00B13E1E" w:rsidRPr="00B13E1E" w:rsidRDefault="00B13E1E" w:rsidP="00B13E1E">
      <w:pPr>
        <w:spacing w:after="0" w:line="360" w:lineRule="auto"/>
        <w:jc w:val="both"/>
        <w:rPr>
          <w:rFonts w:ascii="Century Gothic" w:eastAsia="PMingLiU" w:hAnsi="Century Gothic" w:cs="Arial"/>
          <w:b/>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La Comisión y el Estado, según corresponda, deberán realizar las afectaciones anteriormente referidas, de manera irrevocable y hasta por el plazo suficiente y necesario para liquidar totalmente las obligaciones que deriven del Financiamiento COESVI contratado al amparo del presente Decreto. Dicha afectación permanecerá vigente en tanto existan obligaciones pendientes </w:t>
      </w:r>
      <w:r w:rsidRPr="00B13E1E">
        <w:rPr>
          <w:rFonts w:ascii="Century Gothic" w:hAnsi="Century Gothic" w:cs="Arial"/>
          <w:sz w:val="24"/>
          <w:szCs w:val="24"/>
          <w:lang w:eastAsia="en-US"/>
        </w:rPr>
        <w:lastRenderedPageBreak/>
        <w:t>de pago, y a cargo de la Comisión y/o el Estado, derivadas del Financiamiento COESVI.</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Comisión deberá notificar a las instituciones públicas y/o privadas que resulten competentes de la afectación de los Ingresos de libre disposición derivados de los programas anteriormente referidos, instruyéndolas irrevocablemente para efectos de que abonen los flujos respectivos en el o los fideicomisos de garantía y fuente de pago que para tales efectos constituya, o modifique conjuntamente con el Estado, y de conformidad con lo previsto en el presente Decreto, y hasta por el plazo necesario para liquidar totalmente las obligaciones que deriven del Financiamiento COESVI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Estado deberá notificar a la Secretaría de Hacienda y Crédito Público, así como a cualquier otra autoridad que resulte competente, respecto de la afectación de las participaciones del Fondo General del Participaciones autorizada en el presente Decreto, instruyéndolas irrevocablemente para efectos de que, en cada ministración, entrega, anticipo, ajuste o entero, abonen los flujos respectivos en el o los fideicomisos de garantía y fuente de pago que para tales efectos constituya, o modifique conjuntamente con la Comisión, de conformidad con lo previsto en el presente Decreto, y hasta por el plazo necesario para liquidar totalmente las obligaciones que deriven del Financiamiento COESVI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La Comisión, a través de los funcionarios que se encuentren debidamente facultados de conformidad con la legislación aplicable, realizará las gestiones necesarias para que el porcentaje afecto de los ingresos propios derivados de los programas de vivienda anteriormente referidos ingresen al o los fideicomisos de garantía y fuente de pago que para tales efectos constituya conjuntamente con el Estado de conformidad con el presente Decreto, con la finalidad de que el fiduciario que administre los mismos, tenga el control necesario sobre los recursos para el pago de las obligaciones que deriven del Financiamiento COESVI.</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el Estado, a través del </w:t>
      </w:r>
      <w:r w:rsidR="00927E59" w:rsidRPr="00B13E1E">
        <w:rPr>
          <w:rFonts w:ascii="Century Gothic" w:hAnsi="Century Gothic" w:cs="Arial"/>
          <w:sz w:val="24"/>
          <w:szCs w:val="24"/>
          <w:lang w:eastAsia="en-US"/>
        </w:rPr>
        <w:t>Poder Ejecutivo</w:t>
      </w:r>
      <w:r w:rsidRPr="00B13E1E">
        <w:rPr>
          <w:rFonts w:ascii="Century Gothic" w:hAnsi="Century Gothic" w:cs="Arial"/>
          <w:sz w:val="24"/>
          <w:szCs w:val="24"/>
          <w:lang w:eastAsia="en-US"/>
        </w:rPr>
        <w:t>, y por conducto de la Secretaría de Hacienda, realizará las gestiones necesarias para que el porcentaje afecto de las participaciones del Fondo General de Participaciones ingresen al o los fideicomisos de garantía y fuente de pago que para tales efectos constituya conjuntamente con la Comisión de conformidad con el presente Decreto, con la finalidad de que el fiduciario que administre los mismos, tenga el control necesario sobre los recursos para el pago de las obligaciones que deriven del Financiamiento COESVI.</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Con independencia del vehículo al que se afecten las participaciones del Fondo General de Participaciones y los ingresos propios derivados de los programas de la Comisión anteriormente referidos, y que funjan como garantía y fuente de pago del Financiamiento COESVI, su afectación: (a) no podrá ser revocada o revertida sin el consentimiento previo, expreso y por </w:t>
      </w:r>
      <w:r w:rsidRPr="00B13E1E">
        <w:rPr>
          <w:rFonts w:ascii="Century Gothic" w:hAnsi="Century Gothic" w:cs="Arial"/>
          <w:sz w:val="24"/>
          <w:szCs w:val="24"/>
          <w:lang w:eastAsia="en-US"/>
        </w:rPr>
        <w:lastRenderedPageBreak/>
        <w:t>escrito de las instituciones financieras mexicanas que hubieren otorgado los financiamientos a través de los cuales se implemente el Financiamiento COESVI; y (b) se considerará válida y vigente, indepen</w:t>
      </w:r>
      <w:r w:rsidR="00927E59">
        <w:rPr>
          <w:rFonts w:ascii="Century Gothic" w:hAnsi="Century Gothic" w:cs="Arial"/>
          <w:sz w:val="24"/>
          <w:szCs w:val="24"/>
          <w:lang w:eastAsia="en-US"/>
        </w:rPr>
        <w:t>dientemente de que se modifique</w:t>
      </w:r>
      <w:r w:rsidRPr="00B13E1E">
        <w:rPr>
          <w:rFonts w:ascii="Century Gothic" w:hAnsi="Century Gothic" w:cs="Arial"/>
          <w:sz w:val="24"/>
          <w:szCs w:val="24"/>
          <w:lang w:eastAsia="en-US"/>
        </w:rPr>
        <w:t xml:space="preserve"> su denominación o se sustituya por uno o varios nuevos conceptos que se refieran a situaciones jurídicas o de hecho iguales o similares, a las que dan origen a las participaciones federales del Fondo General de Participaciones y los ingresos propios derivados de los programas de la Comisión anteriormente referidos.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Se autoriza a la Comisión y al Estado para constituir o modificar, por conducto los funcionarios que se encuentren debidamente facultados de conformidad con la legislación aplicable, el o los mecanismos de administración, fuente de pago y/o garantía, o cualquier otro acto jurídico análogo, que considere necesario para cumplir con las obligaciones a su cargo que deriven de los contratos a través de los cuales se implemente el Financiamiento COESVI, inclu</w:t>
      </w:r>
      <w:r w:rsidR="00927E59">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fideicomisos irrevocables de administración</w:t>
      </w:r>
      <w:r w:rsidR="00927E59">
        <w:rPr>
          <w:rFonts w:ascii="Century Gothic" w:hAnsi="Century Gothic" w:cs="Arial"/>
          <w:sz w:val="24"/>
          <w:szCs w:val="24"/>
          <w:lang w:eastAsia="en-US"/>
        </w:rPr>
        <w:t>,</w:t>
      </w:r>
      <w:r w:rsidRPr="00B13E1E">
        <w:rPr>
          <w:rFonts w:ascii="Century Gothic" w:hAnsi="Century Gothic" w:cs="Arial"/>
          <w:sz w:val="24"/>
          <w:szCs w:val="24"/>
          <w:lang w:eastAsia="en-US"/>
        </w:rPr>
        <w:t xml:space="preserve"> garantía y fuente de pago; a los que podrán afectar irrevocablemente las participaciones federales del Fondo General de Participaciones, así como los ingresos propios derivados de los programas de la Comisión referidos en el numeral anterior, como garantía y fuente de pago y que deberán tener entre sus fines servir como mecanismo de garantía y fuente de pago de las obligaciones a cargo de la Comisión y del Estado que </w:t>
      </w:r>
      <w:r w:rsidRPr="00B13E1E">
        <w:rPr>
          <w:rFonts w:ascii="Century Gothic" w:hAnsi="Century Gothic" w:cs="Arial"/>
          <w:sz w:val="24"/>
          <w:szCs w:val="24"/>
          <w:lang w:eastAsia="en-US"/>
        </w:rPr>
        <w:lastRenderedPageBreak/>
        <w:t>deriven de dichos contratos a través de los cuales se implemente el Financiamiento COESVI.</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Asimismo, dichos fideicomisos serán </w:t>
      </w:r>
      <w:r w:rsidR="00927E59">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lo podrán ser terminados de conformidad con lo que expresamente se pacte en el o los mismos. Con independencia de su naturaleza</w:t>
      </w:r>
      <w:r w:rsidR="00927E59">
        <w:rPr>
          <w:rFonts w:ascii="Century Gothic" w:hAnsi="Century Gothic" w:cs="Arial"/>
          <w:sz w:val="24"/>
          <w:szCs w:val="24"/>
          <w:lang w:eastAsia="en-US"/>
        </w:rPr>
        <w:t>,</w:t>
      </w:r>
      <w:r w:rsidRPr="00B13E1E">
        <w:rPr>
          <w:rFonts w:ascii="Century Gothic" w:hAnsi="Century Gothic" w:cs="Arial"/>
          <w:sz w:val="24"/>
          <w:szCs w:val="24"/>
          <w:lang w:eastAsia="en-US"/>
        </w:rPr>
        <w:t xml:space="preserve">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del Financiamiento</w:t>
      </w:r>
      <w:r w:rsidRPr="00B13E1E">
        <w:rPr>
          <w:rFonts w:ascii="Century Gothic" w:hAnsi="Century Gothic" w:cs="Arial"/>
          <w:sz w:val="24"/>
          <w:szCs w:val="24"/>
          <w:lang w:eastAsia="en-US"/>
        </w:rPr>
        <w:t xml:space="preserve">. Para cada uno de los contratos a través de los cuales se implemente el Financiamiento COESVI, hasta 20 (veinte) años, equivalentes aproximadamente a 7,300 (siete mil trescientos) días contados a partir de la fecha en que se celebren dichos contratos o de la fecha de la primera disposición de recursos.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 xml:space="preserve">En todo caso, los contratos mediante los cuales se formalice el Financiamiento COESVI permanecerán vigentes, mientras existan obligaciones pendientes de pago a favor de los acreedores respectivos.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Cada uno de los contratos a través de los cuales se implemente el Financiamiento COESVI deberá</w:t>
      </w:r>
      <w:r w:rsidR="00927E59">
        <w:rPr>
          <w:rFonts w:ascii="Century Gothic" w:hAnsi="Century Gothic" w:cs="Arial"/>
          <w:sz w:val="24"/>
          <w:szCs w:val="24"/>
          <w:lang w:eastAsia="en-US"/>
        </w:rPr>
        <w:t>n</w:t>
      </w:r>
      <w:r w:rsidRPr="00B13E1E">
        <w:rPr>
          <w:rFonts w:ascii="Century Gothic" w:hAnsi="Century Gothic" w:cs="Arial"/>
          <w:sz w:val="24"/>
          <w:szCs w:val="24"/>
          <w:lang w:eastAsia="en-US"/>
        </w:rPr>
        <w:t xml:space="preserve"> ser celebrado</w:t>
      </w:r>
      <w:r w:rsidR="00927E59">
        <w:rPr>
          <w:rFonts w:ascii="Century Gothic" w:hAnsi="Century Gothic" w:cs="Arial"/>
          <w:sz w:val="24"/>
          <w:szCs w:val="24"/>
          <w:lang w:eastAsia="en-US"/>
        </w:rPr>
        <w:t>s</w:t>
      </w:r>
      <w:r w:rsidRPr="00B13E1E">
        <w:rPr>
          <w:rFonts w:ascii="Century Gothic" w:hAnsi="Century Gothic" w:cs="Arial"/>
          <w:sz w:val="24"/>
          <w:szCs w:val="24"/>
          <w:lang w:eastAsia="en-US"/>
        </w:rPr>
        <w:t xml:space="preserve">,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COESVI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Instrumentos Derivados.</w:t>
      </w:r>
      <w:r w:rsidRPr="00B13E1E">
        <w:rPr>
          <w:rFonts w:ascii="Century Gothic" w:hAnsi="Century Gothic" w:cs="Arial"/>
          <w:sz w:val="24"/>
          <w:szCs w:val="24"/>
          <w:lang w:eastAsia="en-US"/>
        </w:rPr>
        <w:t xml:space="preserve"> Con base en la pre</w:t>
      </w:r>
      <w:r w:rsidR="00927E59">
        <w:rPr>
          <w:rFonts w:ascii="Century Gothic" w:hAnsi="Century Gothic" w:cs="Arial"/>
          <w:sz w:val="24"/>
          <w:szCs w:val="24"/>
          <w:lang w:eastAsia="en-US"/>
        </w:rPr>
        <w:t>sente autorización, la Comisión</w:t>
      </w:r>
      <w:r w:rsidRPr="00B13E1E">
        <w:rPr>
          <w:rFonts w:ascii="Century Gothic" w:hAnsi="Century Gothic" w:cs="Arial"/>
          <w:sz w:val="24"/>
          <w:szCs w:val="24"/>
          <w:lang w:eastAsia="en-US"/>
        </w:rPr>
        <w:t xml:space="preserve"> o</w:t>
      </w:r>
      <w:r w:rsidR="00927E59">
        <w:rPr>
          <w:rFonts w:ascii="Century Gothic" w:hAnsi="Century Gothic" w:cs="Arial"/>
          <w:sz w:val="24"/>
          <w:szCs w:val="24"/>
          <w:lang w:eastAsia="en-US"/>
        </w:rPr>
        <w:t>,</w:t>
      </w:r>
      <w:r w:rsidRPr="00B13E1E">
        <w:rPr>
          <w:rFonts w:ascii="Century Gothic" w:hAnsi="Century Gothic" w:cs="Arial"/>
          <w:sz w:val="24"/>
          <w:szCs w:val="24"/>
          <w:lang w:eastAsia="en-US"/>
        </w:rPr>
        <w:t xml:space="preserve"> en su caso, el Estado</w:t>
      </w:r>
      <w:r w:rsidR="00927E59">
        <w:rPr>
          <w:rFonts w:ascii="Century Gothic" w:hAnsi="Century Gothic" w:cs="Arial"/>
          <w:sz w:val="24"/>
          <w:szCs w:val="24"/>
          <w:lang w:eastAsia="en-US"/>
        </w:rPr>
        <w:t>, podrán contratar instrumentos derivados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COESVI, inclu</w:t>
      </w:r>
      <w:r w:rsidR="00927E59">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 xml:space="preserve">s no limitativa, contratos de cobertura, contratos de intercambios de tasas. En su caso, los instrumentos derivados podrán compartir la fuente de pago del contrato al cual se encuentren asociados. En caso </w:t>
      </w:r>
      <w:r w:rsidR="00927E59">
        <w:rPr>
          <w:rFonts w:ascii="Century Gothic" w:hAnsi="Century Gothic" w:cs="Arial"/>
          <w:sz w:val="24"/>
          <w:szCs w:val="24"/>
          <w:lang w:eastAsia="en-US"/>
        </w:rPr>
        <w:t xml:space="preserve">de </w:t>
      </w:r>
      <w:r w:rsidRPr="00B13E1E">
        <w:rPr>
          <w:rFonts w:ascii="Century Gothic" w:hAnsi="Century Gothic" w:cs="Arial"/>
          <w:sz w:val="24"/>
          <w:szCs w:val="24"/>
          <w:lang w:eastAsia="en-US"/>
        </w:rPr>
        <w:t xml:space="preserve">que dicha contratación genere deuda contingente, la misma podrá </w:t>
      </w:r>
      <w:r w:rsidRPr="00B13E1E">
        <w:rPr>
          <w:rFonts w:ascii="Century Gothic" w:hAnsi="Century Gothic" w:cs="Arial"/>
          <w:sz w:val="24"/>
          <w:szCs w:val="24"/>
          <w:lang w:eastAsia="en-US"/>
        </w:rPr>
        <w:lastRenderedPageBreak/>
        <w:t>ser hasta por la cantidad necesaria para cubrir el 100% (cien por ciento) del monto del Financiamiento COESVI.</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El contrato o contratos a través de los cuales se implemente el Financiamiento COESVI, deberá buscar las mejores condiciones de mercado tanto para la Comisión como para el Estado, para lo cual, la Comisión,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Comisión procurará que el proceso competitivo le permita recibir las mejores ofertas del mercado para el Financiamiento COESVI, por lo que en todo caso deberá considerar y diseñar los procesos competitivos</w:t>
      </w:r>
      <w:r w:rsidR="00927E59">
        <w:rPr>
          <w:rFonts w:ascii="Century Gothic" w:hAnsi="Century Gothic" w:cs="Arial"/>
          <w:sz w:val="24"/>
          <w:szCs w:val="24"/>
          <w:lang w:eastAsia="en-US"/>
        </w:rPr>
        <w:t>,</w:t>
      </w:r>
      <w:r w:rsidRPr="00B13E1E">
        <w:rPr>
          <w:rFonts w:ascii="Century Gothic" w:hAnsi="Century Gothic" w:cs="Arial"/>
          <w:sz w:val="24"/>
          <w:szCs w:val="24"/>
          <w:lang w:eastAsia="en-US"/>
        </w:rPr>
        <w:t xml:space="preserve">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xml:space="preserve">. Se autoriza </w:t>
      </w:r>
      <w:r w:rsidR="00927E59">
        <w:rPr>
          <w:rFonts w:ascii="Century Gothic" w:hAnsi="Century Gothic" w:cs="Arial"/>
          <w:sz w:val="24"/>
          <w:szCs w:val="24"/>
          <w:lang w:eastAsia="en-US"/>
        </w:rPr>
        <w:t xml:space="preserve">a </w:t>
      </w:r>
      <w:r w:rsidRPr="00B13E1E">
        <w:rPr>
          <w:rFonts w:ascii="Century Gothic" w:hAnsi="Century Gothic" w:cs="Arial"/>
          <w:sz w:val="24"/>
          <w:szCs w:val="24"/>
          <w:lang w:eastAsia="en-US"/>
        </w:rPr>
        <w:t xml:space="preserve">la Comisión y al Estado, para contratar y pagar los gastos adicionales que resulten necesarios para instrumentar el Financiamiento COESVI, incluyendo sin limitar, los costos y gastos asociados a la contratación, administración, mantenimiento, costos de estructuración financiera y legal, </w:t>
      </w:r>
      <w:r w:rsidRPr="00B13E1E">
        <w:rPr>
          <w:rFonts w:ascii="Century Gothic" w:hAnsi="Century Gothic" w:cs="Arial"/>
          <w:sz w:val="24"/>
          <w:szCs w:val="24"/>
          <w:lang w:eastAsia="en-US"/>
        </w:rPr>
        <w:lastRenderedPageBreak/>
        <w:t>aportaciones iniciales, operación, constitución y/o reconstitución de reservas, pago de instrumentos derivados, comisiones financieras institucionales; así como para contratar y pagar todos y cada uno de los gastos inherentes al proceso de implementación</w:t>
      </w:r>
      <w:r w:rsidR="00927E59">
        <w:rPr>
          <w:rFonts w:ascii="Century Gothic" w:hAnsi="Century Gothic" w:cs="Arial"/>
          <w:sz w:val="24"/>
          <w:szCs w:val="24"/>
          <w:lang w:eastAsia="en-US"/>
        </w:rPr>
        <w:t xml:space="preserve"> y</w:t>
      </w:r>
      <w:r w:rsidRPr="00B13E1E">
        <w:rPr>
          <w:rFonts w:ascii="Century Gothic" w:hAnsi="Century Gothic" w:cs="Arial"/>
          <w:sz w:val="24"/>
          <w:szCs w:val="24"/>
          <w:lang w:eastAsia="en-US"/>
        </w:rPr>
        <w:t xml:space="preserve"> contratación del Financiamiento COESVI, tales como la obtención de dictámenes de agencias calificadoras, contratación de las asesorías y servicios, gastos legales y/o, en general, cualesquiera otros gastos o costos asociados en su caso y que se requieran para el diseño e instrumentación financiera y/o legal de las operaciones a que se refiere la presente autorización.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b/>
          <w:bCs/>
          <w:sz w:val="24"/>
          <w:szCs w:val="24"/>
          <w:lang w:eastAsia="en-US"/>
        </w:rPr>
      </w:pPr>
      <w:r w:rsidRPr="00B13E1E">
        <w:rPr>
          <w:rFonts w:ascii="Century Gothic" w:hAnsi="Century Gothic" w:cs="Arial"/>
          <w:b/>
          <w:bCs/>
          <w:sz w:val="24"/>
          <w:szCs w:val="24"/>
          <w:lang w:eastAsia="en-US"/>
        </w:rPr>
        <w:t xml:space="preserve">Artículo Séptimo. </w:t>
      </w:r>
      <w:r w:rsidRPr="00B13E1E">
        <w:rPr>
          <w:rFonts w:ascii="Century Gothic" w:hAnsi="Century Gothic" w:cs="Arial"/>
          <w:sz w:val="24"/>
          <w:szCs w:val="24"/>
          <w:u w:val="single"/>
          <w:lang w:eastAsia="en-US"/>
        </w:rPr>
        <w:t>Financiamiento Puentes</w:t>
      </w:r>
      <w:r w:rsidRPr="00B13E1E">
        <w:rPr>
          <w:rFonts w:ascii="Century Gothic" w:hAnsi="Century Gothic" w:cs="Arial"/>
          <w:b/>
          <w:bCs/>
          <w:sz w:val="24"/>
          <w:szCs w:val="24"/>
          <w:lang w:eastAsia="en-US"/>
        </w:rPr>
        <w:t>.</w:t>
      </w:r>
    </w:p>
    <w:p w:rsidR="00B13E1E" w:rsidRPr="00B13E1E" w:rsidRDefault="00B13E1E" w:rsidP="00B13E1E">
      <w:pPr>
        <w:spacing w:after="0" w:line="360" w:lineRule="auto"/>
        <w:ind w:right="-187"/>
        <w:jc w:val="both"/>
        <w:rPr>
          <w:rFonts w:ascii="Century Gothic" w:hAnsi="Century Gothic" w:cs="Arial"/>
          <w:b/>
          <w:bCs/>
          <w:sz w:val="24"/>
          <w:szCs w:val="24"/>
          <w:lang w:eastAsia="en-US"/>
        </w:rPr>
      </w:pPr>
    </w:p>
    <w:p w:rsidR="00B13E1E" w:rsidRPr="00B13E1E" w:rsidRDefault="00B13E1E" w:rsidP="00B13E1E">
      <w:pPr>
        <w:numPr>
          <w:ilvl w:val="0"/>
          <w:numId w:val="13"/>
        </w:numPr>
        <w:spacing w:after="0" w:line="360" w:lineRule="auto"/>
        <w:ind w:left="0" w:right="-187"/>
        <w:jc w:val="both"/>
        <w:rPr>
          <w:rFonts w:ascii="Century Gothic" w:hAnsi="Century Gothic" w:cs="Arial"/>
          <w:vanish/>
          <w:sz w:val="24"/>
          <w:szCs w:val="24"/>
          <w:u w:val="single"/>
          <w:lang w:eastAsia="en-US"/>
        </w:rPr>
      </w:pPr>
    </w:p>
    <w:p w:rsidR="008B46CD" w:rsidRDefault="00B13E1E" w:rsidP="008B46CD">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Autorización</w:t>
      </w:r>
      <w:r w:rsidRPr="00B13E1E">
        <w:rPr>
          <w:rFonts w:ascii="Century Gothic" w:hAnsi="Century Gothic" w:cs="Arial"/>
          <w:sz w:val="24"/>
          <w:szCs w:val="24"/>
          <w:lang w:eastAsia="en-US"/>
        </w:rPr>
        <w:t>. Se autoriza al Fideicomiso Público, considerado entidad paraestatal, número 2243, y denominado “Fideicomiso de Puentes Fronterizos de Chihuahua”, para que por conducto de los funcionarios que resulten facultados en términos de la legislación aplicable,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$2,700,000,000.00 (D</w:t>
      </w:r>
      <w:r w:rsidR="00927E59">
        <w:rPr>
          <w:rFonts w:ascii="Century Gothic" w:hAnsi="Century Gothic" w:cs="Arial"/>
          <w:sz w:val="24"/>
          <w:szCs w:val="24"/>
          <w:lang w:eastAsia="en-US"/>
        </w:rPr>
        <w:t>os mil setecientos millones de p</w:t>
      </w:r>
      <w:r w:rsidRPr="00B13E1E">
        <w:rPr>
          <w:rFonts w:ascii="Century Gothic" w:hAnsi="Century Gothic" w:cs="Arial"/>
          <w:sz w:val="24"/>
          <w:szCs w:val="24"/>
          <w:lang w:eastAsia="en-US"/>
        </w:rPr>
        <w:t>esos 00/100 M.N.)  (el “</w:t>
      </w:r>
      <w:r w:rsidRPr="00B13E1E">
        <w:rPr>
          <w:rFonts w:ascii="Century Gothic" w:hAnsi="Century Gothic" w:cs="Arial"/>
          <w:sz w:val="24"/>
          <w:szCs w:val="24"/>
          <w:u w:val="single"/>
          <w:lang w:eastAsia="en-US"/>
        </w:rPr>
        <w:t>Financiamiento Puentes</w:t>
      </w:r>
      <w:r w:rsidRPr="00B13E1E">
        <w:rPr>
          <w:rFonts w:ascii="Century Gothic" w:hAnsi="Century Gothic" w:cs="Arial"/>
          <w:sz w:val="24"/>
          <w:szCs w:val="24"/>
          <w:lang w:eastAsia="en-US"/>
        </w:rPr>
        <w:t>”), mismo que, de conformidad con lo previsto en el presente Decreto, tendrá como garantía y fuente de pago, los Derechos de Cobro, según dicho término se define más adelante.</w:t>
      </w:r>
    </w:p>
    <w:p w:rsidR="008B46CD" w:rsidRDefault="008B46CD" w:rsidP="008B46CD">
      <w:pPr>
        <w:spacing w:after="0" w:line="360" w:lineRule="auto"/>
        <w:ind w:right="-187"/>
        <w:jc w:val="both"/>
        <w:rPr>
          <w:rFonts w:ascii="Century Gothic" w:hAnsi="Century Gothic" w:cs="Arial"/>
          <w:sz w:val="24"/>
          <w:szCs w:val="24"/>
          <w:u w:val="single"/>
          <w:lang w:eastAsia="en-US"/>
        </w:rPr>
      </w:pPr>
    </w:p>
    <w:p w:rsidR="008B46CD" w:rsidRPr="008B46CD" w:rsidRDefault="008B46CD" w:rsidP="008B46CD">
      <w:pPr>
        <w:spacing w:after="0" w:line="360" w:lineRule="auto"/>
        <w:ind w:right="-187"/>
        <w:jc w:val="both"/>
        <w:rPr>
          <w:rFonts w:ascii="Century Gothic" w:hAnsi="Century Gothic" w:cs="Arial"/>
          <w:bCs/>
          <w:sz w:val="24"/>
          <w:szCs w:val="24"/>
        </w:rPr>
      </w:pPr>
      <w:r w:rsidRPr="008B46CD">
        <w:rPr>
          <w:rFonts w:ascii="Century Gothic" w:hAnsi="Century Gothic" w:cs="Arial"/>
          <w:bCs/>
          <w:sz w:val="24"/>
          <w:szCs w:val="24"/>
        </w:rPr>
        <w:t>El monto autorizado por la cantidad de hasta $2,700,000,000.00 (Dos mil setecientos millones de pesos 00/100 M.N.), estará dividido de la siguiente manera en cuanto a destino de los recursos, de conformidad con el numeral siguiente:</w:t>
      </w:r>
    </w:p>
    <w:p w:rsidR="008B46CD" w:rsidRPr="008B46CD" w:rsidRDefault="008B46CD" w:rsidP="008B46CD">
      <w:pPr>
        <w:spacing w:after="0" w:line="360" w:lineRule="auto"/>
        <w:ind w:right="-187"/>
        <w:jc w:val="both"/>
        <w:rPr>
          <w:rFonts w:ascii="Century Gothic" w:hAnsi="Century Gothic" w:cs="Arial"/>
          <w:sz w:val="24"/>
          <w:szCs w:val="24"/>
          <w:lang w:eastAsia="en-US"/>
        </w:rPr>
      </w:pPr>
    </w:p>
    <w:tbl>
      <w:tblPr>
        <w:tblStyle w:val="Tablaconcuadrcula"/>
        <w:tblW w:w="0" w:type="auto"/>
        <w:tblInd w:w="279" w:type="dxa"/>
        <w:tblLayout w:type="fixed"/>
        <w:tblLook w:val="04A0" w:firstRow="1" w:lastRow="0" w:firstColumn="1" w:lastColumn="0" w:noHBand="0" w:noVBand="1"/>
      </w:tblPr>
      <w:tblGrid>
        <w:gridCol w:w="3539"/>
        <w:gridCol w:w="4966"/>
      </w:tblGrid>
      <w:tr w:rsidR="008B46CD" w:rsidRPr="008B46CD" w:rsidTr="00927E59">
        <w:tc>
          <w:tcPr>
            <w:tcW w:w="3539" w:type="dxa"/>
          </w:tcPr>
          <w:p w:rsidR="008B46CD" w:rsidRPr="008B46CD" w:rsidRDefault="008B46CD" w:rsidP="008B637A">
            <w:pPr>
              <w:pStyle w:val="Textoindependiente"/>
              <w:spacing w:line="360" w:lineRule="auto"/>
              <w:ind w:right="-187"/>
              <w:rPr>
                <w:rFonts w:ascii="Century Gothic" w:hAnsi="Century Gothic" w:cs="Arial"/>
                <w:bCs/>
              </w:rPr>
            </w:pPr>
            <w:r w:rsidRPr="008B46CD">
              <w:rPr>
                <w:rFonts w:ascii="Century Gothic" w:hAnsi="Century Gothic" w:cs="Arial"/>
                <w:bCs/>
              </w:rPr>
              <w:t>Refinanciamiento:</w:t>
            </w:r>
          </w:p>
        </w:tc>
        <w:tc>
          <w:tcPr>
            <w:tcW w:w="4966" w:type="dxa"/>
          </w:tcPr>
          <w:p w:rsidR="008B46CD" w:rsidRPr="008B46CD" w:rsidRDefault="008B46CD" w:rsidP="00927E59">
            <w:pPr>
              <w:pStyle w:val="Textoindependiente"/>
              <w:spacing w:line="360" w:lineRule="auto"/>
              <w:rPr>
                <w:rFonts w:ascii="Century Gothic" w:hAnsi="Century Gothic" w:cs="Arial"/>
                <w:bCs/>
              </w:rPr>
            </w:pPr>
            <w:r w:rsidRPr="008B46CD">
              <w:rPr>
                <w:rFonts w:ascii="Century Gothic" w:hAnsi="Century Gothic" w:cs="Arial"/>
                <w:bCs/>
              </w:rPr>
              <w:t>Hasta $1,900,000,000.00 (Mil novecientos millones de pesos 00/100 M.N.)</w:t>
            </w:r>
          </w:p>
        </w:tc>
      </w:tr>
      <w:tr w:rsidR="008B46CD" w:rsidRPr="00EE1A35" w:rsidTr="00927E59">
        <w:tc>
          <w:tcPr>
            <w:tcW w:w="3539" w:type="dxa"/>
          </w:tcPr>
          <w:p w:rsidR="008B46CD" w:rsidRPr="008B46CD" w:rsidRDefault="008B46CD" w:rsidP="008B637A">
            <w:pPr>
              <w:pStyle w:val="Textoindependiente"/>
              <w:spacing w:line="360" w:lineRule="auto"/>
              <w:ind w:right="-187"/>
              <w:rPr>
                <w:rFonts w:ascii="Century Gothic" w:hAnsi="Century Gothic" w:cs="Arial"/>
                <w:bCs/>
              </w:rPr>
            </w:pPr>
            <w:r w:rsidRPr="008B46CD">
              <w:rPr>
                <w:rFonts w:ascii="Century Gothic" w:hAnsi="Century Gothic" w:cs="Arial"/>
                <w:bCs/>
              </w:rPr>
              <w:t>Inversión Publica Productiva:</w:t>
            </w:r>
          </w:p>
        </w:tc>
        <w:tc>
          <w:tcPr>
            <w:tcW w:w="4966" w:type="dxa"/>
          </w:tcPr>
          <w:p w:rsidR="008B46CD" w:rsidRPr="00EE1A35" w:rsidRDefault="008B46CD" w:rsidP="00927E59">
            <w:pPr>
              <w:pStyle w:val="Textoindependiente"/>
              <w:spacing w:line="360" w:lineRule="auto"/>
              <w:rPr>
                <w:rFonts w:ascii="Century Gothic" w:hAnsi="Century Gothic" w:cs="Arial"/>
                <w:bCs/>
              </w:rPr>
            </w:pPr>
            <w:r w:rsidRPr="008B46CD">
              <w:rPr>
                <w:rFonts w:ascii="Century Gothic" w:hAnsi="Century Gothic" w:cs="Arial"/>
                <w:bCs/>
              </w:rPr>
              <w:t>Hasta $800,000,000.00 (Ochocientos millones de pesos 00/100 M.N.)</w:t>
            </w:r>
          </w:p>
        </w:tc>
      </w:tr>
    </w:tbl>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importe del Financiamiento Puentes no comprende intereses, comisiones, ni demás accesorios financieros y legales que deriven del mismo.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La autorización anterior se otorga previo análisis de la capacidad de pago del Fideicomiso de Puentes Fronterizos de Chihuahua, el destino de los recursos derivados del Financiamiento Puentes y los recursos que fungirán como garantía y fuente de pago de los contratos a través de los cuales se implemente dicho Financiamiento Puentes.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Destino</w:t>
      </w:r>
      <w:r w:rsidRPr="00B13E1E">
        <w:rPr>
          <w:rFonts w:ascii="Century Gothic" w:hAnsi="Century Gothic" w:cs="Arial"/>
          <w:sz w:val="24"/>
          <w:szCs w:val="24"/>
          <w:lang w:eastAsia="en-US"/>
        </w:rPr>
        <w:t>. Los recursos derivados del Financiamiento Puentes deberán ser destinados a:</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AF3A8E">
      <w:pPr>
        <w:numPr>
          <w:ilvl w:val="0"/>
          <w:numId w:val="34"/>
        </w:num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Refinanciar y/o reestructurar los contratos de crédito enlistados a continuación (conjuntamente, los “</w:t>
      </w:r>
      <w:r w:rsidRPr="00B13E1E">
        <w:rPr>
          <w:rFonts w:ascii="Century Gothic" w:hAnsi="Century Gothic" w:cs="Arial"/>
          <w:sz w:val="24"/>
          <w:szCs w:val="24"/>
          <w:u w:val="single"/>
          <w:lang w:eastAsia="en-US"/>
        </w:rPr>
        <w:t>Créditos Puentes</w:t>
      </w:r>
      <w:r w:rsidRPr="00B13E1E">
        <w:rPr>
          <w:rFonts w:ascii="Century Gothic"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AF3A8E">
      <w:pPr>
        <w:numPr>
          <w:ilvl w:val="0"/>
          <w:numId w:val="35"/>
        </w:numPr>
        <w:spacing w:after="0" w:line="360" w:lineRule="auto"/>
        <w:ind w:right="-187" w:hanging="294"/>
        <w:jc w:val="both"/>
        <w:rPr>
          <w:rFonts w:ascii="Century Gothic" w:hAnsi="Century Gothic" w:cs="Arial"/>
          <w:sz w:val="24"/>
          <w:szCs w:val="24"/>
          <w:u w:val="single"/>
          <w:lang w:eastAsia="en-US"/>
        </w:rPr>
      </w:pPr>
      <w:r w:rsidRPr="00BE1201">
        <w:rPr>
          <w:rFonts w:ascii="Century Gothic" w:hAnsi="Century Gothic" w:cs="Arial"/>
          <w:sz w:val="24"/>
          <w:szCs w:val="24"/>
          <w:u w:val="single"/>
          <w:lang w:eastAsia="en-US"/>
        </w:rPr>
        <w:t>Contrato de apertura de crédito simple</w:t>
      </w:r>
      <w:r w:rsidRPr="00B13E1E">
        <w:rPr>
          <w:rFonts w:ascii="Century Gothic" w:hAnsi="Century Gothic" w:cs="Arial"/>
          <w:sz w:val="24"/>
          <w:szCs w:val="24"/>
          <w:lang w:eastAsia="en-US"/>
        </w:rPr>
        <w:t>, de fecha 21 de diciembre de 2015, celebrado entre el Fideicomiso de Puentes Fronterizos de Chihuahua, en su carácter de acreditado y Banco Nacional de Obras y Servicios Públicos, Sociedad Nacional de Crédito, Institución de Banca de Desarrollo, en su carácter de acreedor, por una cantidad de hasta $1,300,000,000.00 (Mil trescientos millones 00/100 M.N.), así como los intereses, co</w:t>
      </w:r>
      <w:r w:rsidR="00395ECC">
        <w:rPr>
          <w:rFonts w:ascii="Century Gothic" w:hAnsi="Century Gothic" w:cs="Arial"/>
          <w:sz w:val="24"/>
          <w:szCs w:val="24"/>
          <w:lang w:eastAsia="en-US"/>
        </w:rPr>
        <w:t>misiones</w:t>
      </w:r>
      <w:r w:rsidRPr="00B13E1E">
        <w:rPr>
          <w:rFonts w:ascii="Century Gothic" w:hAnsi="Century Gothic" w:cs="Arial"/>
          <w:sz w:val="24"/>
          <w:szCs w:val="24"/>
          <w:lang w:eastAsia="en-US"/>
        </w:rPr>
        <w:t xml:space="preserve"> y demás accesorios que deriven del pago anticipado de dicho contrato; mismo que al 31 de octubre de 2021 reporta un saldo insoluto de $988,904,968.80 (Novecientos ochenta y ocho millones novecientos cuatro mil novecientos sesenta y ocho pesos 80/100 M.N.).</w:t>
      </w:r>
    </w:p>
    <w:p w:rsidR="00B13E1E" w:rsidRPr="00B13E1E" w:rsidRDefault="00B13E1E" w:rsidP="008A6159">
      <w:pPr>
        <w:spacing w:after="0" w:line="360" w:lineRule="auto"/>
        <w:ind w:left="1287" w:right="-187" w:hanging="294"/>
        <w:jc w:val="both"/>
        <w:rPr>
          <w:rFonts w:ascii="Century Gothic" w:hAnsi="Century Gothic" w:cs="Arial"/>
          <w:sz w:val="24"/>
          <w:szCs w:val="24"/>
          <w:u w:val="single"/>
          <w:lang w:eastAsia="en-US"/>
        </w:rPr>
      </w:pPr>
    </w:p>
    <w:p w:rsidR="00B13E1E" w:rsidRPr="00B13E1E" w:rsidRDefault="00B13E1E" w:rsidP="00AF3A8E">
      <w:pPr>
        <w:numPr>
          <w:ilvl w:val="0"/>
          <w:numId w:val="35"/>
        </w:numPr>
        <w:spacing w:after="0" w:line="360" w:lineRule="auto"/>
        <w:ind w:right="-187" w:hanging="294"/>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 xml:space="preserve">Contrato de apertura de crédito simple subordinado, </w:t>
      </w:r>
      <w:r w:rsidRPr="00B13E1E">
        <w:rPr>
          <w:rFonts w:ascii="Century Gothic" w:hAnsi="Century Gothic" w:cs="Arial"/>
          <w:sz w:val="24"/>
          <w:szCs w:val="24"/>
          <w:lang w:eastAsia="en-US"/>
        </w:rPr>
        <w:t>de fecha 21 de diciembre de 2015, celebrado entre el Fideicomiso de Puentes Fronterizos de Chihuahua, en su carácter de acreditado y Banco Nacional de Obras y Servicios Públicos, Sociedad Nacional de Crédito, Institución de Banca de Desarrollo en</w:t>
      </w:r>
      <w:r w:rsidR="00395ECC">
        <w:rPr>
          <w:rFonts w:ascii="Century Gothic" w:hAnsi="Century Gothic" w:cs="Arial"/>
          <w:sz w:val="24"/>
          <w:szCs w:val="24"/>
          <w:lang w:eastAsia="en-US"/>
        </w:rPr>
        <w:t xml:space="preserve"> su carácter de fiduciario del Fideicomiso 1936, denominado Fondo Nacional de I</w:t>
      </w:r>
      <w:r w:rsidRPr="00B13E1E">
        <w:rPr>
          <w:rFonts w:ascii="Century Gothic" w:hAnsi="Century Gothic" w:cs="Arial"/>
          <w:sz w:val="24"/>
          <w:szCs w:val="24"/>
          <w:lang w:eastAsia="en-US"/>
        </w:rPr>
        <w:t xml:space="preserve">nfraestructura, y acreedor, por una cantidad de $700,000,000.00 (Setecientos millones de pesos 00/100 M.N.), así como los intereses, comisiones, y demás accesorios que deriven del pago anticipado </w:t>
      </w:r>
      <w:r w:rsidRPr="00B13E1E">
        <w:rPr>
          <w:rFonts w:ascii="Century Gothic" w:hAnsi="Century Gothic" w:cs="Arial"/>
          <w:sz w:val="24"/>
          <w:szCs w:val="24"/>
          <w:lang w:eastAsia="en-US"/>
        </w:rPr>
        <w:lastRenderedPageBreak/>
        <w:t xml:space="preserve">de dicho contrato; mismo que a la fecha del 31 de octubre de 2021 reporta un saldo insoluto de </w:t>
      </w:r>
      <w:bookmarkStart w:id="5" w:name="_Hlk88866298"/>
      <w:r w:rsidRPr="00B13E1E">
        <w:rPr>
          <w:rFonts w:ascii="Century Gothic" w:hAnsi="Century Gothic" w:cs="Arial"/>
          <w:sz w:val="24"/>
          <w:szCs w:val="24"/>
          <w:lang w:eastAsia="en-US"/>
        </w:rPr>
        <w:t>$537,716,090.36 (Quinientos treinta y siete millones setecientos dieciséis mil noventa peso</w:t>
      </w:r>
      <w:r w:rsidR="00395ECC">
        <w:rPr>
          <w:rFonts w:ascii="Century Gothic" w:hAnsi="Century Gothic" w:cs="Arial"/>
          <w:sz w:val="24"/>
          <w:szCs w:val="24"/>
          <w:lang w:eastAsia="en-US"/>
        </w:rPr>
        <w:t>s</w:t>
      </w:r>
      <w:r w:rsidRPr="00B13E1E">
        <w:rPr>
          <w:rFonts w:ascii="Century Gothic" w:hAnsi="Century Gothic" w:cs="Arial"/>
          <w:sz w:val="24"/>
          <w:szCs w:val="24"/>
          <w:lang w:eastAsia="en-US"/>
        </w:rPr>
        <w:t xml:space="preserve"> 36/100 M.N).</w:t>
      </w:r>
      <w:bookmarkEnd w:id="5"/>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8A6159" w:rsidRDefault="008A6159" w:rsidP="00AF3A8E">
      <w:pPr>
        <w:pStyle w:val="Textoindependiente"/>
        <w:numPr>
          <w:ilvl w:val="0"/>
          <w:numId w:val="36"/>
        </w:numPr>
        <w:spacing w:line="360" w:lineRule="auto"/>
        <w:ind w:right="-187"/>
        <w:rPr>
          <w:rFonts w:ascii="Century Gothic" w:hAnsi="Century Gothic" w:cs="Arial"/>
        </w:rPr>
      </w:pPr>
      <w:r w:rsidRPr="008A6159">
        <w:rPr>
          <w:rFonts w:ascii="Century Gothic" w:hAnsi="Century Gothic" w:cs="Arial"/>
        </w:rPr>
        <w:t>El monto adicional de Financiamiento por hasta $800,000,000.00 (Ochocientos millones de pesos 00/100 M.N.), deberá destinarse al financiamiento de proyectos de inve</w:t>
      </w:r>
      <w:r w:rsidR="00395ECC">
        <w:rPr>
          <w:rFonts w:ascii="Century Gothic" w:hAnsi="Century Gothic" w:cs="Arial"/>
        </w:rPr>
        <w:t>rsión pública productiva en el M</w:t>
      </w:r>
      <w:r w:rsidRPr="008A6159">
        <w:rPr>
          <w:rFonts w:ascii="Century Gothic" w:hAnsi="Century Gothic" w:cs="Arial"/>
        </w:rPr>
        <w:t>unicipio de Juárez, en los rubros de inversión descritos a continuación, y en términos de lo dispuesto por los artículos 117, fracción VIII, de la Constitución Política de los Estados Unidos Mexicanos, así como los artículos 2</w:t>
      </w:r>
      <w:r w:rsidR="00395ECC">
        <w:rPr>
          <w:rFonts w:ascii="Century Gothic" w:hAnsi="Century Gothic" w:cs="Arial"/>
        </w:rPr>
        <w:t>,</w:t>
      </w:r>
      <w:r w:rsidRPr="008A6159">
        <w:rPr>
          <w:rFonts w:ascii="Century Gothic" w:hAnsi="Century Gothic" w:cs="Arial"/>
        </w:rPr>
        <w:t xml:space="preserve"> fracción XXV y 22 de la Ley de Disciplina Financiera de las Entidades Federativas y los Municipios:</w:t>
      </w:r>
    </w:p>
    <w:p w:rsidR="008A6159" w:rsidRPr="008A6159" w:rsidRDefault="008A6159" w:rsidP="008A6159">
      <w:pPr>
        <w:pStyle w:val="Textoindependiente"/>
        <w:spacing w:line="360" w:lineRule="auto"/>
        <w:ind w:left="720" w:right="-187"/>
        <w:rPr>
          <w:rFonts w:ascii="Century Gothic" w:hAnsi="Century Gothic" w:cs="Arial"/>
        </w:rPr>
      </w:pPr>
    </w:p>
    <w:tbl>
      <w:tblPr>
        <w:tblStyle w:val="Tablaconcuadrcula"/>
        <w:tblW w:w="779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tblGrid>
      <w:tr w:rsidR="008A6159" w:rsidRPr="008A6159" w:rsidTr="008A6159">
        <w:tc>
          <w:tcPr>
            <w:tcW w:w="7797" w:type="dxa"/>
          </w:tcPr>
          <w:p w:rsidR="008A6159" w:rsidRPr="008A6159" w:rsidRDefault="008A6159" w:rsidP="008B637A">
            <w:pPr>
              <w:pStyle w:val="Textoindependiente"/>
              <w:spacing w:line="360" w:lineRule="auto"/>
              <w:ind w:right="-187"/>
              <w:jc w:val="center"/>
              <w:rPr>
                <w:rFonts w:ascii="Century Gothic" w:hAnsi="Century Gothic" w:cs="Arial"/>
              </w:rPr>
            </w:pPr>
            <w:r w:rsidRPr="008A6159">
              <w:rPr>
                <w:rFonts w:ascii="Century Gothic" w:hAnsi="Century Gothic" w:cs="Arial"/>
              </w:rPr>
              <w:t>Rubros de inversión pública productiva.</w:t>
            </w:r>
          </w:p>
          <w:p w:rsidR="008A6159" w:rsidRPr="008A6159" w:rsidRDefault="008A6159" w:rsidP="008B637A">
            <w:pPr>
              <w:pStyle w:val="Textoindependiente"/>
              <w:spacing w:line="360" w:lineRule="auto"/>
              <w:ind w:right="-187"/>
              <w:jc w:val="center"/>
              <w:rPr>
                <w:rFonts w:ascii="Century Gothic" w:hAnsi="Century Gothic" w:cs="Arial"/>
              </w:rPr>
            </w:pPr>
          </w:p>
        </w:tc>
      </w:tr>
      <w:tr w:rsidR="008A6159" w:rsidRPr="008A6159" w:rsidTr="008A6159">
        <w:tc>
          <w:tcPr>
            <w:tcW w:w="7797" w:type="dxa"/>
          </w:tcPr>
          <w:p w:rsidR="008A6159" w:rsidRPr="008A6159" w:rsidRDefault="008A6159" w:rsidP="00AF3A8E">
            <w:pPr>
              <w:pStyle w:val="Textoindependiente"/>
              <w:numPr>
                <w:ilvl w:val="0"/>
                <w:numId w:val="27"/>
              </w:numPr>
              <w:spacing w:line="360" w:lineRule="auto"/>
              <w:ind w:left="630" w:hanging="630"/>
              <w:rPr>
                <w:rFonts w:ascii="Century Gothic" w:hAnsi="Century Gothic" w:cs="Arial"/>
              </w:rPr>
            </w:pPr>
            <w:r w:rsidRPr="008A6159">
              <w:rPr>
                <w:rFonts w:ascii="Century Gothic" w:hAnsi="Century Gothic" w:cs="Arial"/>
              </w:rPr>
              <w:t xml:space="preserve">Equipamiento e inversión en infraestructura de seguridad pública y de justicia. </w:t>
            </w:r>
          </w:p>
        </w:tc>
      </w:tr>
      <w:tr w:rsidR="008A6159" w:rsidRPr="008A6159" w:rsidTr="008A6159">
        <w:tc>
          <w:tcPr>
            <w:tcW w:w="7797" w:type="dxa"/>
          </w:tcPr>
          <w:p w:rsidR="008A6159" w:rsidRPr="008A6159" w:rsidRDefault="008A6159" w:rsidP="00AF3A8E">
            <w:pPr>
              <w:pStyle w:val="Textoindependiente"/>
              <w:numPr>
                <w:ilvl w:val="0"/>
                <w:numId w:val="27"/>
              </w:numPr>
              <w:spacing w:line="360" w:lineRule="auto"/>
              <w:ind w:left="591" w:hanging="591"/>
              <w:rPr>
                <w:rFonts w:ascii="Century Gothic" w:hAnsi="Century Gothic" w:cs="Arial"/>
              </w:rPr>
            </w:pPr>
            <w:r w:rsidRPr="008A6159">
              <w:rPr>
                <w:rFonts w:ascii="Century Gothic" w:hAnsi="Century Gothic" w:cs="Arial"/>
              </w:rPr>
              <w:t>Equipamiento e inversión en infraestructura del sector salud.</w:t>
            </w:r>
          </w:p>
        </w:tc>
      </w:tr>
      <w:tr w:rsidR="008A6159" w:rsidRPr="008A6159" w:rsidTr="008A6159">
        <w:tc>
          <w:tcPr>
            <w:tcW w:w="7797" w:type="dxa"/>
          </w:tcPr>
          <w:p w:rsidR="008A6159" w:rsidRPr="008A6159" w:rsidRDefault="008A6159" w:rsidP="00AF3A8E">
            <w:pPr>
              <w:pStyle w:val="Textoindependiente"/>
              <w:numPr>
                <w:ilvl w:val="0"/>
                <w:numId w:val="27"/>
              </w:numPr>
              <w:spacing w:line="360" w:lineRule="auto"/>
              <w:ind w:left="591" w:hanging="591"/>
              <w:rPr>
                <w:rFonts w:ascii="Century Gothic" w:hAnsi="Century Gothic" w:cs="Arial"/>
              </w:rPr>
            </w:pPr>
            <w:r w:rsidRPr="008A6159">
              <w:rPr>
                <w:rFonts w:ascii="Century Gothic" w:hAnsi="Century Gothic" w:cs="Arial"/>
              </w:rPr>
              <w:t xml:space="preserve">Equipamiento e inversión en infraestructura urbana. </w:t>
            </w:r>
          </w:p>
        </w:tc>
      </w:tr>
      <w:tr w:rsidR="008A6159" w:rsidRPr="008A6159" w:rsidTr="008A6159">
        <w:tc>
          <w:tcPr>
            <w:tcW w:w="7797" w:type="dxa"/>
          </w:tcPr>
          <w:p w:rsidR="008A6159" w:rsidRPr="008A6159" w:rsidRDefault="008A6159" w:rsidP="00AF3A8E">
            <w:pPr>
              <w:pStyle w:val="Textoindependiente"/>
              <w:numPr>
                <w:ilvl w:val="0"/>
                <w:numId w:val="27"/>
              </w:numPr>
              <w:spacing w:line="360" w:lineRule="auto"/>
              <w:ind w:left="591" w:hanging="591"/>
              <w:rPr>
                <w:rFonts w:ascii="Century Gothic" w:hAnsi="Century Gothic" w:cs="Arial"/>
              </w:rPr>
            </w:pPr>
            <w:r w:rsidRPr="008A6159">
              <w:rPr>
                <w:rFonts w:ascii="Century Gothic" w:hAnsi="Century Gothic" w:cs="Arial"/>
              </w:rPr>
              <w:t>Construcción, mantenimiento y rehabilitación de infraestructura de vías de comunicación.</w:t>
            </w:r>
          </w:p>
        </w:tc>
      </w:tr>
    </w:tbl>
    <w:p w:rsidR="008A6159" w:rsidRPr="008A6159" w:rsidRDefault="008A6159" w:rsidP="008A6159">
      <w:pPr>
        <w:pStyle w:val="Textoindependiente"/>
        <w:spacing w:line="360" w:lineRule="auto"/>
        <w:ind w:left="1134" w:right="-187"/>
        <w:rPr>
          <w:rFonts w:ascii="Century Gothic" w:hAnsi="Century Gothic" w:cs="Arial"/>
        </w:rPr>
      </w:pPr>
    </w:p>
    <w:p w:rsidR="008A6159" w:rsidRDefault="008A6159" w:rsidP="008A6159">
      <w:pPr>
        <w:pStyle w:val="Textoindependiente"/>
        <w:spacing w:line="360" w:lineRule="auto"/>
        <w:ind w:left="1134" w:right="-187"/>
        <w:rPr>
          <w:rFonts w:ascii="Century Gothic" w:hAnsi="Century Gothic" w:cs="Arial"/>
        </w:rPr>
      </w:pPr>
      <w:r w:rsidRPr="008A6159">
        <w:rPr>
          <w:rFonts w:ascii="Century Gothic" w:hAnsi="Century Gothic" w:cs="Arial"/>
        </w:rPr>
        <w:lastRenderedPageBreak/>
        <w:t>El detalle de los proyectos de inversión pública productiva a desarrollarse deberá estar descrito dentro de los documentos a través de los cuales se implemente el Financiamiento Puente</w:t>
      </w:r>
      <w:r w:rsidR="00395ECC">
        <w:rPr>
          <w:rFonts w:ascii="Century Gothic" w:hAnsi="Century Gothic" w:cs="Arial"/>
        </w:rPr>
        <w:t>s</w:t>
      </w:r>
      <w:r w:rsidRPr="008A6159">
        <w:rPr>
          <w:rFonts w:ascii="Century Gothic" w:hAnsi="Century Gothic" w:cs="Arial"/>
        </w:rPr>
        <w:t>, en lo que respecta al tramo autorizado para destinarse a inversión pública productiva.</w:t>
      </w:r>
    </w:p>
    <w:p w:rsidR="008A6159" w:rsidRPr="008A6159" w:rsidRDefault="008A6159" w:rsidP="008A6159">
      <w:pPr>
        <w:pStyle w:val="Textoindependiente"/>
        <w:spacing w:line="360" w:lineRule="auto"/>
        <w:ind w:right="-187"/>
        <w:rPr>
          <w:rFonts w:ascii="Century Gothic" w:hAnsi="Century Gothic" w:cs="Arial"/>
        </w:rPr>
      </w:pPr>
    </w:p>
    <w:p w:rsidR="00B13E1E" w:rsidRPr="00B13E1E" w:rsidRDefault="00B13E1E" w:rsidP="00AF3A8E">
      <w:pPr>
        <w:numPr>
          <w:ilvl w:val="0"/>
          <w:numId w:val="37"/>
        </w:numPr>
        <w:spacing w:after="0" w:line="360" w:lineRule="auto"/>
        <w:ind w:left="851" w:right="-187" w:hanging="426"/>
        <w:jc w:val="both"/>
        <w:rPr>
          <w:rFonts w:ascii="Century Gothic" w:hAnsi="Century Gothic" w:cs="Arial"/>
          <w:bCs/>
          <w:sz w:val="24"/>
          <w:szCs w:val="24"/>
          <w:lang w:eastAsia="en-US"/>
        </w:rPr>
      </w:pPr>
      <w:r w:rsidRPr="00B13E1E">
        <w:rPr>
          <w:rFonts w:ascii="Century Gothic" w:hAnsi="Century Gothic" w:cs="Arial"/>
          <w:sz w:val="24"/>
          <w:szCs w:val="24"/>
          <w:lang w:eastAsia="en-US"/>
        </w:rPr>
        <w:t>A la constitución de fondos de reserva en términos del artículo 22 de la Ley de Disciplina Financiera de las Entidades Federativas y los Municipios.</w:t>
      </w:r>
    </w:p>
    <w:p w:rsidR="00B13E1E" w:rsidRPr="00B13E1E" w:rsidRDefault="00B13E1E" w:rsidP="008A6159">
      <w:pPr>
        <w:spacing w:after="0" w:line="360" w:lineRule="auto"/>
        <w:ind w:left="851" w:hanging="426"/>
        <w:jc w:val="both"/>
        <w:rPr>
          <w:rFonts w:ascii="Century Gothic" w:hAnsi="Century Gothic" w:cs="Arial"/>
          <w:b/>
          <w:bCs/>
          <w:sz w:val="24"/>
          <w:szCs w:val="24"/>
          <w:lang w:val="es-ES" w:eastAsia="es-ES"/>
        </w:rPr>
      </w:pPr>
    </w:p>
    <w:p w:rsidR="00B13E1E" w:rsidRPr="00B13E1E" w:rsidRDefault="00B13E1E" w:rsidP="00AF3A8E">
      <w:pPr>
        <w:numPr>
          <w:ilvl w:val="0"/>
          <w:numId w:val="37"/>
        </w:numPr>
        <w:spacing w:after="0" w:line="360" w:lineRule="auto"/>
        <w:ind w:left="851" w:right="-187" w:hanging="426"/>
        <w:jc w:val="both"/>
        <w:rPr>
          <w:rFonts w:ascii="Century Gothic" w:hAnsi="Century Gothic" w:cs="Arial"/>
          <w:bCs/>
          <w:sz w:val="24"/>
          <w:szCs w:val="24"/>
          <w:lang w:eastAsia="en-US"/>
        </w:rPr>
      </w:pPr>
      <w:r w:rsidRPr="00B13E1E">
        <w:rPr>
          <w:rFonts w:ascii="Century Gothic" w:hAnsi="Century Gothic" w:cs="Arial"/>
          <w:bCs/>
          <w:sz w:val="24"/>
          <w:szCs w:val="24"/>
          <w:lang w:eastAsia="en-US"/>
        </w:rPr>
        <w:t>En términos de lo previsto más adelante dentro del presente Decreto, a la contratación de instrumentos derivados.</w:t>
      </w:r>
    </w:p>
    <w:p w:rsidR="00B13E1E" w:rsidRPr="00B13E1E" w:rsidRDefault="00B13E1E" w:rsidP="008A6159">
      <w:pPr>
        <w:spacing w:after="0" w:line="360" w:lineRule="auto"/>
        <w:ind w:left="851" w:right="-187" w:hanging="426"/>
        <w:jc w:val="both"/>
        <w:rPr>
          <w:rFonts w:ascii="Century Gothic" w:hAnsi="Century Gothic" w:cs="Arial"/>
          <w:sz w:val="24"/>
          <w:szCs w:val="24"/>
          <w:lang w:eastAsia="en-US"/>
        </w:rPr>
      </w:pPr>
    </w:p>
    <w:p w:rsidR="00B13E1E" w:rsidRPr="00B13E1E" w:rsidRDefault="00B13E1E" w:rsidP="00AF3A8E">
      <w:pPr>
        <w:numPr>
          <w:ilvl w:val="0"/>
          <w:numId w:val="37"/>
        </w:numPr>
        <w:spacing w:after="0" w:line="360" w:lineRule="auto"/>
        <w:ind w:left="851" w:right="-187" w:hanging="426"/>
        <w:jc w:val="both"/>
        <w:rPr>
          <w:rFonts w:ascii="Century Gothic" w:hAnsi="Century Gothic" w:cs="Arial"/>
          <w:bCs/>
          <w:sz w:val="24"/>
          <w:szCs w:val="24"/>
          <w:lang w:eastAsia="en-US"/>
        </w:rPr>
      </w:pPr>
      <w:r w:rsidRPr="00B13E1E">
        <w:rPr>
          <w:rFonts w:ascii="Century Gothic" w:hAnsi="Century Gothic" w:cs="Arial"/>
          <w:bCs/>
          <w:sz w:val="24"/>
          <w:szCs w:val="24"/>
          <w:lang w:eastAsia="en-US"/>
        </w:rPr>
        <w:t xml:space="preserve">En términos de lo previsto más adelante dentro del presente Decreto, al pago de los gastos relacionados con el diseño, estructuración, e instrumentación del </w:t>
      </w:r>
      <w:r w:rsidRPr="00B13E1E">
        <w:rPr>
          <w:rFonts w:ascii="Century Gothic" w:hAnsi="Century Gothic" w:cs="Arial"/>
          <w:sz w:val="24"/>
          <w:szCs w:val="24"/>
          <w:lang w:eastAsia="en-US"/>
        </w:rPr>
        <w:t>Financiamiento Puentes</w:t>
      </w:r>
      <w:r w:rsidRPr="00B13E1E">
        <w:rPr>
          <w:rFonts w:ascii="Century Gothic" w:hAnsi="Century Gothic" w:cs="Arial"/>
          <w:bCs/>
          <w:sz w:val="24"/>
          <w:szCs w:val="24"/>
          <w:lang w:eastAsia="en-US"/>
        </w:rPr>
        <w:t xml:space="preserve"> y</w:t>
      </w:r>
      <w:r w:rsidR="00395ECC">
        <w:rPr>
          <w:rFonts w:ascii="Century Gothic" w:hAnsi="Century Gothic" w:cs="Arial"/>
          <w:bCs/>
          <w:sz w:val="24"/>
          <w:szCs w:val="24"/>
          <w:lang w:eastAsia="en-US"/>
        </w:rPr>
        <w:t>,</w:t>
      </w:r>
      <w:r w:rsidRPr="00B13E1E">
        <w:rPr>
          <w:rFonts w:ascii="Century Gothic" w:hAnsi="Century Gothic" w:cs="Arial"/>
          <w:bCs/>
          <w:sz w:val="24"/>
          <w:szCs w:val="24"/>
          <w:lang w:eastAsia="en-US"/>
        </w:rPr>
        <w:t xml:space="preserve"> en su caso, la contratación de instrumentos derivados asociados al mismo, incluyendo sin limitar, el pago de honorarios de agencias calificadoras de valores, de asesores financieros y legales, fiduciarios.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Fuente de pago</w:t>
      </w:r>
      <w:r w:rsidRPr="00B13E1E">
        <w:rPr>
          <w:rFonts w:ascii="Century Gothic" w:hAnsi="Century Gothic" w:cs="Arial"/>
          <w:sz w:val="24"/>
          <w:szCs w:val="24"/>
          <w:lang w:eastAsia="en-US"/>
        </w:rPr>
        <w:t xml:space="preserve">. Se autoriza al Fideicomiso de Puentes Fronterizos de Chihuahua para afectar como garantía y/o fuente de pago de todas y cada una de las obligaciones que deriven del Financiamiento Puentes, los derechos de cobro, así como los recursos derivados de los mismos, que se obtengan por </w:t>
      </w:r>
      <w:r w:rsidRPr="00B13E1E">
        <w:rPr>
          <w:rFonts w:ascii="Century Gothic" w:hAnsi="Century Gothic" w:cs="Arial"/>
          <w:sz w:val="24"/>
          <w:szCs w:val="24"/>
          <w:lang w:eastAsia="en-US"/>
        </w:rPr>
        <w:lastRenderedPageBreak/>
        <w:t>la explotación y operación de la concesión otorgada por la Secretaría de Comunicaciones y Transportes, para operar, explotar, conservar y mantener por 30 años los puentes fronterizos Zaragoza – Ysleta, Lerdo – Stanton, Paso del Norte y Guadalupe Tornillo, ubicados en el Municipio de Juárez</w:t>
      </w:r>
      <w:r w:rsidR="00395ECC">
        <w:rPr>
          <w:rFonts w:ascii="Century Gothic" w:hAnsi="Century Gothic" w:cs="Arial"/>
          <w:sz w:val="24"/>
          <w:szCs w:val="24"/>
          <w:lang w:eastAsia="en-US"/>
        </w:rPr>
        <w:t>, Chihuahua, así como</w:t>
      </w:r>
      <w:r w:rsidRPr="00B13E1E">
        <w:rPr>
          <w:rFonts w:ascii="Century Gothic" w:hAnsi="Century Gothic" w:cs="Arial"/>
          <w:sz w:val="24"/>
          <w:szCs w:val="24"/>
          <w:lang w:eastAsia="en-US"/>
        </w:rPr>
        <w:t xml:space="preserve"> cualquier pago que tenga derecho a recibir por concepto de indemnización, rescate o terminación anticipada o que por cualquier otra causa tenga derecho a recibir del </w:t>
      </w:r>
      <w:r w:rsidR="00395ECC" w:rsidRPr="00B13E1E">
        <w:rPr>
          <w:rFonts w:ascii="Century Gothic" w:hAnsi="Century Gothic" w:cs="Arial"/>
          <w:sz w:val="24"/>
          <w:szCs w:val="24"/>
          <w:lang w:eastAsia="en-US"/>
        </w:rPr>
        <w:t>Gobierno Federal</w:t>
      </w:r>
      <w:r w:rsidRPr="00B13E1E">
        <w:rPr>
          <w:rFonts w:ascii="Century Gothic" w:hAnsi="Century Gothic" w:cs="Arial"/>
          <w:sz w:val="24"/>
          <w:szCs w:val="24"/>
          <w:lang w:eastAsia="en-US"/>
        </w:rPr>
        <w:t>, a través de la Secretaría de Comun</w:t>
      </w:r>
      <w:r w:rsidR="00395ECC">
        <w:rPr>
          <w:rFonts w:ascii="Century Gothic" w:hAnsi="Century Gothic" w:cs="Arial"/>
          <w:sz w:val="24"/>
          <w:szCs w:val="24"/>
          <w:lang w:eastAsia="en-US"/>
        </w:rPr>
        <w:t>icaciones y Transportes y/o el G</w:t>
      </w:r>
      <w:r w:rsidRPr="00B13E1E">
        <w:rPr>
          <w:rFonts w:ascii="Century Gothic" w:hAnsi="Century Gothic" w:cs="Arial"/>
          <w:sz w:val="24"/>
          <w:szCs w:val="24"/>
          <w:lang w:eastAsia="en-US"/>
        </w:rPr>
        <w:t>obierno del Estado (la “</w:t>
      </w:r>
      <w:r w:rsidRPr="00B13E1E">
        <w:rPr>
          <w:rFonts w:ascii="Century Gothic" w:hAnsi="Century Gothic" w:cs="Arial"/>
          <w:sz w:val="24"/>
          <w:szCs w:val="24"/>
          <w:u w:val="single"/>
          <w:lang w:eastAsia="en-US"/>
        </w:rPr>
        <w:t>Concesión</w:t>
      </w:r>
      <w:r w:rsidRPr="00B13E1E">
        <w:rPr>
          <w:rFonts w:ascii="Century Gothic" w:hAnsi="Century Gothic" w:cs="Arial"/>
          <w:sz w:val="24"/>
          <w:szCs w:val="24"/>
          <w:lang w:eastAsia="en-US"/>
        </w:rPr>
        <w:t>” y los “</w:t>
      </w:r>
      <w:r w:rsidRPr="00B13E1E">
        <w:rPr>
          <w:rFonts w:ascii="Century Gothic" w:hAnsi="Century Gothic" w:cs="Arial"/>
          <w:sz w:val="24"/>
          <w:szCs w:val="24"/>
          <w:u w:val="single"/>
          <w:lang w:eastAsia="en-US"/>
        </w:rPr>
        <w:t>Derechos de Cobro</w:t>
      </w:r>
      <w:r w:rsidRPr="00B13E1E">
        <w:rPr>
          <w:rFonts w:ascii="Century Gothic" w:hAnsi="Century Gothic" w:cs="Arial"/>
          <w:sz w:val="24"/>
          <w:szCs w:val="24"/>
          <w:lang w:eastAsia="en-US"/>
        </w:rPr>
        <w:t>”, respectivamente)</w:t>
      </w:r>
      <w:r w:rsidRPr="00B13E1E">
        <w:rPr>
          <w:rFonts w:ascii="Century Gothic" w:eastAsia="PMingLiU" w:hAnsi="Century Gothic" w:cs="Arial"/>
          <w:sz w:val="24"/>
          <w:szCs w:val="24"/>
          <w:lang w:eastAsia="en-US"/>
        </w:rPr>
        <w:t>.</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Fideicomiso de Puentes Fronterizos de Chihuahua deberá realizar las afectaciones anteriormente referidas, de manera irrevocable y hasta por el plazo suficiente y necesario para liquidar totalmente las obligaciones que deriven del Financiamiento Puentes contratado al amparo del presente Decreto. Dicha afectación permanecerá vigente en tanto existan obligaciones pendientes de pago, y a cargo del Fideicomiso de Puentes Fronterizos de Chihuahua, derivadas del Financiamiento Puentes.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Estado y/o el Fideicomiso de Puentes Fronterizos de Chihuahua, deberán notificar, según resulte aplicable, a la Secretaría de Comunicaciones y Transportes, así como a cualquier otra autoridad federal o estatal que resulte competente, respecto de la afectación de los Derechos de Cobro, autorizada en el presente Decreto, instruyéndolas irrevocablemente para efectos de que, en caso de resultar aplicable, abonen cualquier flujo que </w:t>
      </w:r>
      <w:r w:rsidRPr="00B13E1E">
        <w:rPr>
          <w:rFonts w:ascii="Century Gothic" w:hAnsi="Century Gothic" w:cs="Arial"/>
          <w:sz w:val="24"/>
          <w:szCs w:val="24"/>
          <w:lang w:eastAsia="en-US"/>
        </w:rPr>
        <w:lastRenderedPageBreak/>
        <w:t>tenga derecho a recibir el Fideicomiso de Puentes Fronterizos de Chihuahua derivado de los Derechos de Cobro en el vehículo en el o los fideicomisos de garantía y fuente de pago que para tales efectos constituya, o modifique el Fideicomiso de Puentes Fronterizos de Chihuahua, y hasta por el plazo necesario para liquidar totalmente las obligaciones que deriven del Financiamiento Puentes contratado al amparo del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Asimismo, el Fideicomiso de Puentes Fronterizos de Chihuahua, por conducto los funcionarios que se encuentren debidamente facultados de conformidad con la legislación aplicable, realizará las gestiones necesarias para que los recursos de los Derechos de Cobro ingresen al o los fideicomisos de garantía y fuente de pago que para tales efectos constituya o modifique el Fideicomiso de Puentes Fronterizos de Chihuahua de conformidad con el presente Decreto, con la finalidad de que el fiduciario que administre los mismos, tenga el control necesario sobre los recursos para el pago de las obligaciones que deriven del Financiamiento Puentes.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Con independencia del vehículo al que se afecten los Derechos de Cobro que funjan como garantía y fuente de pago del Financiamiento Puentes, su afectación: (a) no podrá ser revocada o revertida sin el consentimiento previo, expreso y por escrito de las instituciones financieras mexicanas que hubieren otorgado los financiamientos a través de los cuales se implemente el Financiamiento Puentes; y (b) se considerará válida y vigente, indepen</w:t>
      </w:r>
      <w:r w:rsidR="00395ECC">
        <w:rPr>
          <w:rFonts w:ascii="Century Gothic" w:hAnsi="Century Gothic" w:cs="Arial"/>
          <w:sz w:val="24"/>
          <w:szCs w:val="24"/>
          <w:lang w:eastAsia="en-US"/>
        </w:rPr>
        <w:t>dientemente de que se modifique</w:t>
      </w:r>
      <w:r w:rsidRPr="00B13E1E">
        <w:rPr>
          <w:rFonts w:ascii="Century Gothic" w:hAnsi="Century Gothic" w:cs="Arial"/>
          <w:sz w:val="24"/>
          <w:szCs w:val="24"/>
          <w:lang w:eastAsia="en-US"/>
        </w:rPr>
        <w:t xml:space="preserve"> su denominación o se sustituya por </w:t>
      </w:r>
      <w:r w:rsidRPr="00B13E1E">
        <w:rPr>
          <w:rFonts w:ascii="Century Gothic" w:hAnsi="Century Gothic" w:cs="Arial"/>
          <w:sz w:val="24"/>
          <w:szCs w:val="24"/>
          <w:lang w:eastAsia="en-US"/>
        </w:rPr>
        <w:lastRenderedPageBreak/>
        <w:t>uno o varios nuevos conceptos que se refieran a situaciones jurídicas o de hecho iguales o similares, a las que dan origen a los Derechos de Cobro.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Mecanismo de Administración y Fuente de Pago</w:t>
      </w:r>
      <w:r w:rsidRPr="00B13E1E">
        <w:rPr>
          <w:rFonts w:ascii="Century Gothic" w:hAnsi="Century Gothic" w:cs="Arial"/>
          <w:sz w:val="24"/>
          <w:szCs w:val="24"/>
          <w:lang w:eastAsia="en-US"/>
        </w:rPr>
        <w:t>.</w:t>
      </w:r>
      <w:r w:rsidRPr="00B13E1E">
        <w:rPr>
          <w:rFonts w:ascii="Century Gothic" w:hAnsi="Century Gothic" w:cs="Arial"/>
          <w:b/>
          <w:sz w:val="24"/>
          <w:szCs w:val="24"/>
          <w:lang w:eastAsia="en-US"/>
        </w:rPr>
        <w:t xml:space="preserve"> </w:t>
      </w:r>
      <w:r w:rsidRPr="00B13E1E">
        <w:rPr>
          <w:rFonts w:ascii="Century Gothic" w:hAnsi="Century Gothic" w:cs="Arial"/>
          <w:sz w:val="24"/>
          <w:szCs w:val="24"/>
          <w:lang w:eastAsia="en-US"/>
        </w:rPr>
        <w:t>Se autoriza al Fideicomiso de Puentes Fronterizos de Chihuahua para constituir o modificar, por conducto los funcionarios que se encuentren debidamente facultados de conformidad con la legislación aplicable, el o los mecanismos de administración, fuente de pago y/o garantía, o cualquier otro acto jurídico análogo, que considere necesarios para cumplir con las obligaciones a su cargo que deriven de los contratos a través de los cuales se implemente el Financiamiento Puentes, inclu</w:t>
      </w:r>
      <w:r w:rsidR="00395ECC">
        <w:rPr>
          <w:rFonts w:ascii="Century Gothic" w:hAnsi="Century Gothic" w:cs="Arial"/>
          <w:sz w:val="24"/>
          <w:szCs w:val="24"/>
          <w:lang w:eastAsia="en-US"/>
        </w:rPr>
        <w:t>yendo, de manera enunciativa, ma</w:t>
      </w:r>
      <w:r w:rsidRPr="00B13E1E">
        <w:rPr>
          <w:rFonts w:ascii="Century Gothic" w:hAnsi="Century Gothic" w:cs="Arial"/>
          <w:sz w:val="24"/>
          <w:szCs w:val="24"/>
          <w:lang w:eastAsia="en-US"/>
        </w:rPr>
        <w:t>s no limitativa, fideicomisos irrevocables de administración</w:t>
      </w:r>
      <w:r w:rsidR="00395ECC">
        <w:rPr>
          <w:rFonts w:ascii="Century Gothic" w:hAnsi="Century Gothic" w:cs="Arial"/>
          <w:sz w:val="24"/>
          <w:szCs w:val="24"/>
          <w:lang w:eastAsia="en-US"/>
        </w:rPr>
        <w:t>,</w:t>
      </w:r>
      <w:r w:rsidRPr="00B13E1E">
        <w:rPr>
          <w:rFonts w:ascii="Century Gothic" w:hAnsi="Century Gothic" w:cs="Arial"/>
          <w:sz w:val="24"/>
          <w:szCs w:val="24"/>
          <w:lang w:eastAsia="en-US"/>
        </w:rPr>
        <w:t xml:space="preserve"> garantía y fuente de pago; a los que podrá afectar irrevocablemente los Derechos de Cobro como garantía y fuente de pago y que deberán tener entre sus fines servir como mecanismo de garantía y fuente de pago de las obligaciones a cargo del Fideicomiso de Puentes Fronterizos de Chihuahua que deriven de dichos contratos a través de los cuales se implemente el Financiamiento Puentes.</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Los fideicomisos de administración, garantía y fuente de pago, no serán considerados en ningún caso como parte de la administración pública paraestatal, en el entendido que su supervisión y control estarán sujetos a lo dispuesto en las disposiciones legales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lastRenderedPageBreak/>
        <w:t xml:space="preserve">Asimismo, dichos fideicomisos serán </w:t>
      </w:r>
      <w:r w:rsidR="00395ECC">
        <w:rPr>
          <w:rFonts w:ascii="Century Gothic" w:hAnsi="Century Gothic" w:cs="Arial"/>
          <w:sz w:val="24"/>
          <w:szCs w:val="24"/>
          <w:lang w:eastAsia="en-US"/>
        </w:rPr>
        <w:t>irrevocables y, por lo tanto, so</w:t>
      </w:r>
      <w:r w:rsidRPr="00B13E1E">
        <w:rPr>
          <w:rFonts w:ascii="Century Gothic" w:hAnsi="Century Gothic" w:cs="Arial"/>
          <w:sz w:val="24"/>
          <w:szCs w:val="24"/>
          <w:lang w:eastAsia="en-US"/>
        </w:rPr>
        <w:t>lo podrán ser terminados de conformidad con lo que expresamente se pacte en el o los mismos. Con independencia de su naturaleza</w:t>
      </w:r>
      <w:r w:rsidR="00395ECC">
        <w:rPr>
          <w:rFonts w:ascii="Century Gothic" w:hAnsi="Century Gothic" w:cs="Arial"/>
          <w:sz w:val="24"/>
          <w:szCs w:val="24"/>
          <w:lang w:eastAsia="en-US"/>
        </w:rPr>
        <w:t>,</w:t>
      </w:r>
      <w:r w:rsidRPr="00B13E1E">
        <w:rPr>
          <w:rFonts w:ascii="Century Gothic" w:hAnsi="Century Gothic" w:cs="Arial"/>
          <w:sz w:val="24"/>
          <w:szCs w:val="24"/>
          <w:lang w:eastAsia="en-US"/>
        </w:rPr>
        <w:t xml:space="preserve">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Vigencia del Financiamiento</w:t>
      </w:r>
      <w:r w:rsidRPr="00B13E1E">
        <w:rPr>
          <w:rFonts w:ascii="Century Gothic" w:hAnsi="Century Gothic" w:cs="Arial"/>
          <w:sz w:val="24"/>
          <w:szCs w:val="24"/>
          <w:lang w:eastAsia="en-US"/>
        </w:rPr>
        <w:t>. Para cada uno de los contratos a través de los cuales se implemente el Financiamiento Puentes, hasta</w:t>
      </w:r>
      <w:r w:rsidR="00395ECC">
        <w:rPr>
          <w:rFonts w:ascii="Century Gothic" w:hAnsi="Century Gothic" w:cs="Arial"/>
          <w:sz w:val="24"/>
          <w:szCs w:val="24"/>
          <w:lang w:eastAsia="en-US"/>
        </w:rPr>
        <w:t xml:space="preserve"> 20 (veinte) años, equivalentes</w:t>
      </w:r>
      <w:r w:rsidRPr="00B13E1E">
        <w:rPr>
          <w:rFonts w:ascii="Century Gothic" w:hAnsi="Century Gothic" w:cs="Arial"/>
          <w:sz w:val="24"/>
          <w:szCs w:val="24"/>
          <w:lang w:eastAsia="en-US"/>
        </w:rPr>
        <w:t xml:space="preserve"> aproximadamente a 7,300 (siete mil trescientos) días contados a partir de la fecha en que se celebren dichos contratos o de la fecha de la primera disposición de recursos. </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En todo caso, los contratos mediante los cuales se formalice el Financiamiento Puentes permanecerán vigentes, mientras existan obligaciones pendientes de pago a favor de los acreedores respectivos.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Plazo máximo de Contratación</w:t>
      </w:r>
      <w:r w:rsidRPr="00B13E1E">
        <w:rPr>
          <w:rFonts w:ascii="Century Gothic" w:hAnsi="Century Gothic" w:cs="Arial"/>
          <w:sz w:val="24"/>
          <w:szCs w:val="24"/>
          <w:lang w:eastAsia="en-US"/>
        </w:rPr>
        <w:t>. Cada uno de los contratos a través de los cuales se implemente el Financiamiento Puentes deberá</w:t>
      </w:r>
      <w:r w:rsidR="00395ECC">
        <w:rPr>
          <w:rFonts w:ascii="Century Gothic" w:hAnsi="Century Gothic" w:cs="Arial"/>
          <w:sz w:val="24"/>
          <w:szCs w:val="24"/>
          <w:lang w:eastAsia="en-US"/>
        </w:rPr>
        <w:t>n</w:t>
      </w:r>
      <w:r w:rsidRPr="00B13E1E">
        <w:rPr>
          <w:rFonts w:ascii="Century Gothic" w:hAnsi="Century Gothic" w:cs="Arial"/>
          <w:sz w:val="24"/>
          <w:szCs w:val="24"/>
          <w:lang w:eastAsia="en-US"/>
        </w:rPr>
        <w:t xml:space="preserve"> ser celebrado</w:t>
      </w:r>
      <w:r w:rsidR="00395ECC">
        <w:rPr>
          <w:rFonts w:ascii="Century Gothic" w:hAnsi="Century Gothic" w:cs="Arial"/>
          <w:sz w:val="24"/>
          <w:szCs w:val="24"/>
          <w:lang w:eastAsia="en-US"/>
        </w:rPr>
        <w:t>s</w:t>
      </w:r>
      <w:r w:rsidRPr="00B13E1E">
        <w:rPr>
          <w:rFonts w:ascii="Century Gothic" w:hAnsi="Century Gothic" w:cs="Arial"/>
          <w:sz w:val="24"/>
          <w:szCs w:val="24"/>
          <w:lang w:eastAsia="en-US"/>
        </w:rPr>
        <w:t xml:space="preserve">, a más tardar el 31 de diciembre de 2023.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Tasa de Interés.</w:t>
      </w:r>
      <w:r w:rsidRPr="00B13E1E">
        <w:rPr>
          <w:rFonts w:ascii="Century Gothic" w:hAnsi="Century Gothic" w:cs="Arial"/>
          <w:sz w:val="24"/>
          <w:szCs w:val="24"/>
          <w:lang w:eastAsia="en-US"/>
        </w:rPr>
        <w:t xml:space="preserve"> El o los contratos a través de los cuales se implemente el Financiamiento Puentes se fijarán con las tasas de interés que ofrezcan las </w:t>
      </w:r>
      <w:r w:rsidRPr="00B13E1E">
        <w:rPr>
          <w:rFonts w:ascii="Century Gothic" w:hAnsi="Century Gothic" w:cs="Arial"/>
          <w:sz w:val="24"/>
          <w:szCs w:val="24"/>
          <w:lang w:eastAsia="en-US"/>
        </w:rPr>
        <w:lastRenderedPageBreak/>
        <w:t xml:space="preserve">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rsidR="00B13E1E" w:rsidRPr="00B13E1E" w:rsidRDefault="00B13E1E" w:rsidP="00B13E1E">
      <w:pPr>
        <w:spacing w:after="0" w:line="360" w:lineRule="auto"/>
        <w:jc w:val="both"/>
        <w:rPr>
          <w:rFonts w:ascii="Century Gothic" w:hAnsi="Century Gothic" w:cs="Arial"/>
          <w:b/>
          <w:sz w:val="24"/>
          <w:szCs w:val="24"/>
          <w:u w:val="single"/>
          <w:lang w:val="es-ES" w:eastAsia="es-E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u w:val="single"/>
          <w:lang w:eastAsia="en-US"/>
        </w:rPr>
      </w:pPr>
      <w:r w:rsidRPr="00B13E1E">
        <w:rPr>
          <w:rFonts w:ascii="Century Gothic" w:hAnsi="Century Gothic" w:cs="Arial"/>
          <w:sz w:val="24"/>
          <w:szCs w:val="24"/>
          <w:u w:val="single"/>
          <w:lang w:eastAsia="en-US"/>
        </w:rPr>
        <w:t>Instrumentos Derivados.</w:t>
      </w:r>
      <w:r w:rsidRPr="00B13E1E">
        <w:rPr>
          <w:rFonts w:ascii="Century Gothic" w:hAnsi="Century Gothic" w:cs="Arial"/>
          <w:sz w:val="24"/>
          <w:szCs w:val="24"/>
          <w:lang w:eastAsia="en-US"/>
        </w:rPr>
        <w:t xml:space="preserve"> Con base en la presente autorización, el Fideicomiso de Puentes Fronteriz</w:t>
      </w:r>
      <w:r w:rsidR="00395ECC">
        <w:rPr>
          <w:rFonts w:ascii="Century Gothic" w:hAnsi="Century Gothic" w:cs="Arial"/>
          <w:sz w:val="24"/>
          <w:szCs w:val="24"/>
          <w:lang w:eastAsia="en-US"/>
        </w:rPr>
        <w:t>os de Chihuahua podrá contratar instrumentos derivados</w:t>
      </w:r>
      <w:r w:rsidRPr="00B13E1E">
        <w:rPr>
          <w:rFonts w:ascii="Century Gothic" w:hAnsi="Century Gothic" w:cs="Arial"/>
          <w:sz w:val="24"/>
          <w:szCs w:val="24"/>
          <w:lang w:eastAsia="en-US"/>
        </w:rPr>
        <w:t xml:space="preserve"> para cubrir hasta la totalidad de los montos expuestos derivados de cada contrato a través del cual se implemente el Financiamiento Puentes, incluyendo, de manera enunciativa, más no limitativa, contratos de cobertura, contratos de intercambios de tasas. En su caso, los instrumentos derivados podrán compartir la fuente de pago del contrato al cual se encuentren asociados. En caso que dicha contratación genere deuda adicional contingente, la misma podrá ser hasta por la cantidad necesaria para cubrir el 100% (cien por ciento) del monto del Financiamiento Puentes.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Proceso Competitivo</w:t>
      </w:r>
      <w:r w:rsidRPr="00B13E1E">
        <w:rPr>
          <w:rFonts w:ascii="Century Gothic" w:hAnsi="Century Gothic" w:cs="Arial"/>
          <w:sz w:val="24"/>
          <w:szCs w:val="24"/>
          <w:lang w:eastAsia="en-US"/>
        </w:rPr>
        <w:t>. El contrato o contratos a través de los cuales se implemente el Financiamiento Puentes, deberá buscar las mejores condiciones de mercado para el Fideicomiso de Puentes Fronterizos de Chihuahua, para lo cual, el Fideicomiso de Puentes Fronterizos de Chihuahua, implementará el o los procesos competitivos que resulten aplicables conforme a lo establecido en la Ley de Disciplina Financiera de las Entidades Federativas y los Municipios, así como en los “Lineamientos de la Metodol</w:t>
      </w:r>
      <w:r w:rsidR="00395ECC">
        <w:rPr>
          <w:rFonts w:ascii="Century Gothic" w:hAnsi="Century Gothic" w:cs="Arial"/>
          <w:sz w:val="24"/>
          <w:szCs w:val="24"/>
          <w:lang w:eastAsia="en-US"/>
        </w:rPr>
        <w:t>ogía para el Cálculo del Menor C</w:t>
      </w:r>
      <w:r w:rsidRPr="00B13E1E">
        <w:rPr>
          <w:rFonts w:ascii="Century Gothic" w:hAnsi="Century Gothic" w:cs="Arial"/>
          <w:sz w:val="24"/>
          <w:szCs w:val="24"/>
          <w:lang w:eastAsia="en-US"/>
        </w:rPr>
        <w:t xml:space="preserve">osto Financiero y de los Procesos Competitivos de los </w:t>
      </w:r>
      <w:r w:rsidRPr="00B13E1E">
        <w:rPr>
          <w:rFonts w:ascii="Century Gothic" w:hAnsi="Century Gothic" w:cs="Arial"/>
          <w:sz w:val="24"/>
          <w:szCs w:val="24"/>
          <w:lang w:eastAsia="en-US"/>
        </w:rPr>
        <w:lastRenderedPageBreak/>
        <w:t>Financiamientos y Obligaciones a contratar por parte de las Entidades Federativas, los Municipios y sus Entes Públicos”.</w:t>
      </w:r>
    </w:p>
    <w:p w:rsidR="00B13E1E" w:rsidRPr="00B13E1E" w:rsidRDefault="00B13E1E" w:rsidP="00B13E1E">
      <w:pPr>
        <w:spacing w:after="0" w:line="360" w:lineRule="auto"/>
        <w:jc w:val="both"/>
        <w:rPr>
          <w:rFonts w:ascii="Century Gothic" w:hAnsi="Century Gothic" w:cs="Arial"/>
          <w:b/>
          <w:sz w:val="24"/>
          <w:szCs w:val="24"/>
          <w:lang w:val="es-ES" w:eastAsia="es-E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El Fideicomiso de Puentes Fronterizos de Chihuahua procurará que el proceso competitivo le permita recibir las mejores ofertas del mercado para el Financiamiento Puentes, por lo que en todo caso deberá considerar y diseñar los procesos competitivos</w:t>
      </w:r>
      <w:r w:rsidR="00395ECC">
        <w:rPr>
          <w:rFonts w:ascii="Century Gothic" w:hAnsi="Century Gothic" w:cs="Arial"/>
          <w:sz w:val="24"/>
          <w:szCs w:val="24"/>
          <w:lang w:eastAsia="en-US"/>
        </w:rPr>
        <w:t>,</w:t>
      </w:r>
      <w:r w:rsidRPr="00B13E1E">
        <w:rPr>
          <w:rFonts w:ascii="Century Gothic" w:hAnsi="Century Gothic" w:cs="Arial"/>
          <w:sz w:val="24"/>
          <w:szCs w:val="24"/>
          <w:lang w:eastAsia="en-US"/>
        </w:rPr>
        <w:t xml:space="preserve"> de tal manera que pueda acceder a los esquemas, programas y/o productos bancarios que le permitan obtener las mejores condiciones financieras y legales en el mercado.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927E59">
      <w:pPr>
        <w:numPr>
          <w:ilvl w:val="1"/>
          <w:numId w:val="13"/>
        </w:numPr>
        <w:spacing w:after="0" w:line="360" w:lineRule="auto"/>
        <w:ind w:left="0" w:right="-187" w:hanging="567"/>
        <w:jc w:val="both"/>
        <w:rPr>
          <w:rFonts w:ascii="Century Gothic" w:hAnsi="Century Gothic" w:cs="Arial"/>
          <w:sz w:val="24"/>
          <w:szCs w:val="24"/>
          <w:lang w:eastAsia="en-US"/>
        </w:rPr>
      </w:pPr>
      <w:r w:rsidRPr="00B13E1E">
        <w:rPr>
          <w:rFonts w:ascii="Century Gothic" w:hAnsi="Century Gothic" w:cs="Arial"/>
          <w:sz w:val="24"/>
          <w:szCs w:val="24"/>
          <w:u w:val="single"/>
          <w:lang w:eastAsia="en-US"/>
        </w:rPr>
        <w:t>Gastos</w:t>
      </w:r>
      <w:r w:rsidRPr="00B13E1E">
        <w:rPr>
          <w:rFonts w:ascii="Century Gothic" w:hAnsi="Century Gothic" w:cs="Arial"/>
          <w:sz w:val="24"/>
          <w:szCs w:val="24"/>
          <w:lang w:eastAsia="en-US"/>
        </w:rPr>
        <w:t>. Se autoriza al Fideicomiso de Puentes Fronterizos de Chihuahua, para contratar y pagar los gastos adicionales que resulten necesarios para instrumentar el Financiamiento Puentes, incluyendo sin limitar, los costos y gastos asociados a la contratación, administración, mantenimiento, costos de estructuración financiera y legal, aportaciones iniciales, operación, constitución y/o reconstitución de reservas, pago de instrumentos derivados, comisiones financieras institucionales; así como para contratar y pagar todos y cada uno de los gastos inherentes al proceso de implementación contratación del Financiamiento Puentes, tales como la obtención de dictámenes de agencias calificadoras, contratación de las asesorías y servicios, gastos legales y/o, en general, cualesquiera otros gastos o costos asociados en su caso y que se requieran para el diseño e instrumentación financiera y/o legal de las operaciones a que se refiere la presente autorización.</w:t>
      </w:r>
    </w:p>
    <w:p w:rsidR="00B13E1E" w:rsidRPr="00B13E1E" w:rsidRDefault="00B13E1E" w:rsidP="00B13E1E">
      <w:pPr>
        <w:spacing w:after="0" w:line="360" w:lineRule="auto"/>
        <w:ind w:right="-187"/>
        <w:jc w:val="both"/>
        <w:rPr>
          <w:rFonts w:ascii="Century Gothic" w:hAnsi="Century Gothic" w:cs="Arial"/>
          <w:sz w:val="24"/>
          <w:szCs w:val="24"/>
          <w:u w:val="single"/>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 xml:space="preserve">El importe máximo que deba destinarse para cubrir los gastos y costos asociados al Financiamiento Puentes, no podrá exceder el 2.5% del monto de dicho financiamiento, siempre que se incluyan los instrumentos derivados o de cobertura, y fondos de reserva. En caso de que no se incluyan los instrumentos derivados o de cobertura, los gastos y costos asociados relacionados con el Financiamiento Puentes no deberán rebasar el 1.5% del monto de la emisión de los mismos, sin perjuicio de lo establecido en el Artículo 27 del Reglamento del Registro Público Único de Financiamientos y </w:t>
      </w:r>
      <w:r w:rsidR="00395ECC">
        <w:rPr>
          <w:rFonts w:ascii="Century Gothic" w:hAnsi="Century Gothic" w:cs="Arial"/>
          <w:sz w:val="24"/>
          <w:szCs w:val="24"/>
          <w:lang w:eastAsia="en-US"/>
        </w:rPr>
        <w:t>O</w:t>
      </w:r>
      <w:r w:rsidRPr="00B13E1E">
        <w:rPr>
          <w:rFonts w:ascii="Century Gothic" w:hAnsi="Century Gothic" w:cs="Arial"/>
          <w:sz w:val="24"/>
          <w:szCs w:val="24"/>
          <w:lang w:eastAsia="en-US"/>
        </w:rPr>
        <w:t>bligaciones de Entidades Federativas y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 xml:space="preserve">Artículo Octavo. </w:t>
      </w:r>
      <w:r w:rsidRPr="00B13E1E">
        <w:rPr>
          <w:rFonts w:ascii="Century Gothic" w:hAnsi="Century Gothic" w:cs="Arial"/>
          <w:sz w:val="24"/>
          <w:szCs w:val="24"/>
          <w:u w:val="single"/>
          <w:lang w:eastAsia="en-US"/>
        </w:rPr>
        <w:t>Negociación de Términos y Condiciones</w:t>
      </w:r>
      <w:r w:rsidRPr="00B13E1E">
        <w:rPr>
          <w:rFonts w:ascii="Century Gothic" w:hAnsi="Century Gothic" w:cs="Arial"/>
          <w:sz w:val="24"/>
          <w:szCs w:val="24"/>
          <w:lang w:eastAsia="en-US"/>
        </w:rPr>
        <w:t>. Se autoriza al Estado de Chihuahua, a la Secretaría de Hacienda del Estado, a Fibra Estatal, al Fideicomiso de Puentes Fronterizos de Chihuahua y a la Comisión del Estado de Chihuahua, según corresponda, para que a través de los funcionarios facultados legalmente, negocien y acuerden todas las bases, condiciones, términos y modalidades, convenientes o necesarios, en los contratos, convenios, títulos de crédito y demás documentos necesarios para la implementación, según corresponda y resulte aplicable, de las operaciones autorizadas en el presente Decreto, así como para efectuar todos los actos que se requieran o sean convenientes para ejercer e instrumentar las autorizaciones concedidas en el presente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b/>
          <w:bCs/>
          <w:sz w:val="24"/>
          <w:szCs w:val="24"/>
          <w:lang w:eastAsia="en-US"/>
        </w:rPr>
      </w:pPr>
      <w:r w:rsidRPr="00B13E1E">
        <w:rPr>
          <w:rFonts w:ascii="Century Gothic" w:hAnsi="Century Gothic" w:cs="Arial"/>
          <w:sz w:val="24"/>
          <w:szCs w:val="24"/>
          <w:lang w:eastAsia="en-US"/>
        </w:rPr>
        <w:lastRenderedPageBreak/>
        <w:t>Las operaciones autorizadas en el presente Decreto, se ejercerán previo cumplimiento de las disposiciones legales aplicables.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 xml:space="preserve">Artículo Noveno. </w:t>
      </w:r>
      <w:r w:rsidRPr="00B13E1E">
        <w:rPr>
          <w:rFonts w:ascii="Century Gothic" w:hAnsi="Century Gothic" w:cs="Arial"/>
          <w:sz w:val="24"/>
          <w:szCs w:val="24"/>
          <w:u w:val="single"/>
          <w:lang w:eastAsia="en-US"/>
        </w:rPr>
        <w:t>Ingresos Adicionales</w:t>
      </w:r>
      <w:r w:rsidRPr="00B13E1E">
        <w:rPr>
          <w:rFonts w:ascii="Century Gothic" w:hAnsi="Century Gothic" w:cs="Arial"/>
          <w:sz w:val="24"/>
          <w:szCs w:val="24"/>
          <w:lang w:eastAsia="en-US"/>
        </w:rPr>
        <w:t>. Los importes que resulten de las operaciones autorizadas por este Decreto, se considerarán para todos los efectos como ingresos adicionales a los prev</w:t>
      </w:r>
      <w:r w:rsidR="00AD6723">
        <w:rPr>
          <w:rFonts w:ascii="Century Gothic" w:hAnsi="Century Gothic" w:cs="Arial"/>
          <w:sz w:val="24"/>
          <w:szCs w:val="24"/>
          <w:lang w:eastAsia="en-US"/>
        </w:rPr>
        <w:t xml:space="preserve">istos en la Ley de Ingresos del Estado de Chihuahua para el </w:t>
      </w:r>
      <w:r w:rsidR="00395ECC" w:rsidRPr="00B13E1E">
        <w:rPr>
          <w:rFonts w:ascii="Century Gothic" w:hAnsi="Century Gothic" w:cs="Arial"/>
          <w:sz w:val="24"/>
          <w:szCs w:val="24"/>
          <w:lang w:eastAsia="en-US"/>
        </w:rPr>
        <w:t xml:space="preserve">Ejercicio Fiscal </w:t>
      </w:r>
      <w:r w:rsidRPr="00B13E1E">
        <w:rPr>
          <w:rFonts w:ascii="Century Gothic" w:hAnsi="Century Gothic" w:cs="Arial"/>
          <w:sz w:val="24"/>
          <w:szCs w:val="24"/>
          <w:lang w:eastAsia="en-US"/>
        </w:rPr>
        <w:t>2022.</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Derivado de lo anterior, se entiende reformada la Ley de Ingresos del Estado de Chihuahua para el Ejercicio Fiscal 2022, por los mo</w:t>
      </w:r>
      <w:r w:rsidR="00AD6723">
        <w:rPr>
          <w:rFonts w:ascii="Century Gothic" w:hAnsi="Century Gothic" w:cs="Arial"/>
          <w:sz w:val="24"/>
          <w:szCs w:val="24"/>
          <w:lang w:eastAsia="en-US"/>
        </w:rPr>
        <w:t>ntos que el Estado, la Comisión</w:t>
      </w:r>
      <w:r w:rsidRPr="00B13E1E">
        <w:rPr>
          <w:rFonts w:ascii="Century Gothic" w:hAnsi="Century Gothic" w:cs="Arial"/>
          <w:sz w:val="24"/>
          <w:szCs w:val="24"/>
          <w:lang w:eastAsia="en-US"/>
        </w:rPr>
        <w:t xml:space="preserve"> y el Fideicomiso de Puentes Fronterizos de Chihuahua, según resulte aplicable, ingresarán a su hacienda por la contratación de las operaciones previstas en el presente Decreto. Adicionalmente, se deberá incluir en la Ley de Ingresos del Estado </w:t>
      </w:r>
      <w:r w:rsidR="00AD6723">
        <w:rPr>
          <w:rFonts w:ascii="Century Gothic" w:hAnsi="Century Gothic" w:cs="Arial"/>
          <w:sz w:val="24"/>
          <w:szCs w:val="24"/>
          <w:lang w:eastAsia="en-US"/>
        </w:rPr>
        <w:t xml:space="preserve">de </w:t>
      </w:r>
      <w:r w:rsidRPr="00B13E1E">
        <w:rPr>
          <w:rFonts w:ascii="Century Gothic" w:hAnsi="Century Gothic" w:cs="Arial"/>
          <w:sz w:val="24"/>
          <w:szCs w:val="24"/>
          <w:lang w:eastAsia="en-US"/>
        </w:rPr>
        <w:t>Chihuahua para el Ejercicio Fiscal 2023</w:t>
      </w:r>
      <w:r w:rsidR="00AD6723">
        <w:rPr>
          <w:rFonts w:ascii="Century Gothic" w:hAnsi="Century Gothic" w:cs="Arial"/>
          <w:sz w:val="24"/>
          <w:szCs w:val="24"/>
          <w:lang w:eastAsia="en-US"/>
        </w:rPr>
        <w:t>,</w:t>
      </w:r>
      <w:r w:rsidRPr="00B13E1E">
        <w:rPr>
          <w:rFonts w:ascii="Century Gothic" w:hAnsi="Century Gothic" w:cs="Arial"/>
          <w:sz w:val="24"/>
          <w:szCs w:val="24"/>
          <w:lang w:eastAsia="en-US"/>
        </w:rPr>
        <w:t xml:space="preserve"> la Deuda Pública derivada de las obligaciones que contraigan los Entes Públicos autorizados al amparo del presente Decreto.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sz w:val="24"/>
          <w:szCs w:val="24"/>
          <w:lang w:eastAsia="en-US"/>
        </w:rPr>
        <w:t>Asimismo, mientras existan obligaciones de pago derivadas de las obligaciones que emanen de lo autorizado en el presente Decreto, deberá preverse en los respectivos Decretos de Presupuesto de Egresos las partidas necesarias para el pago del servicio de la deuda y sus accesorios, bajo los términos contratados, hasta la total liquidación.</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lastRenderedPageBreak/>
        <w:t xml:space="preserve">Artículo Décimo. </w:t>
      </w:r>
      <w:r w:rsidRPr="00B13E1E">
        <w:rPr>
          <w:rFonts w:ascii="Century Gothic" w:hAnsi="Century Gothic" w:cs="Arial"/>
          <w:sz w:val="24"/>
          <w:szCs w:val="24"/>
          <w:u w:val="single"/>
          <w:lang w:eastAsia="en-US"/>
        </w:rPr>
        <w:t>Celebración de Documentos</w:t>
      </w:r>
      <w:r w:rsidRPr="00B13E1E">
        <w:rPr>
          <w:rFonts w:ascii="Century Gothic" w:hAnsi="Century Gothic" w:cs="Arial"/>
          <w:sz w:val="24"/>
          <w:szCs w:val="24"/>
          <w:lang w:eastAsia="en-US"/>
        </w:rPr>
        <w:t xml:space="preserve">. Se autoriza al Estado </w:t>
      </w:r>
      <w:r w:rsidR="00AD6723">
        <w:rPr>
          <w:rFonts w:ascii="Century Gothic" w:hAnsi="Century Gothic" w:cs="Arial"/>
          <w:sz w:val="24"/>
          <w:szCs w:val="24"/>
          <w:lang w:eastAsia="en-US"/>
        </w:rPr>
        <w:t>de Chihuahua, a Fibra Estatal, a</w:t>
      </w:r>
      <w:r w:rsidRPr="00B13E1E">
        <w:rPr>
          <w:rFonts w:ascii="Century Gothic" w:hAnsi="Century Gothic" w:cs="Arial"/>
          <w:sz w:val="24"/>
          <w:szCs w:val="24"/>
          <w:lang w:eastAsia="en-US"/>
        </w:rPr>
        <w:t>l Fideicomiso de P</w:t>
      </w:r>
      <w:r w:rsidR="00AD6723">
        <w:rPr>
          <w:rFonts w:ascii="Century Gothic" w:hAnsi="Century Gothic" w:cs="Arial"/>
          <w:sz w:val="24"/>
          <w:szCs w:val="24"/>
          <w:lang w:eastAsia="en-US"/>
        </w:rPr>
        <w:t>uentes Fronterizos de Chihuahua y a</w:t>
      </w:r>
      <w:r w:rsidRPr="00B13E1E">
        <w:rPr>
          <w:rFonts w:ascii="Century Gothic" w:hAnsi="Century Gothic" w:cs="Arial"/>
          <w:sz w:val="24"/>
          <w:szCs w:val="24"/>
          <w:lang w:eastAsia="en-US"/>
        </w:rPr>
        <w:t xml:space="preserve"> la Comisión del Estado de Chihuahua, para que a través de los funcionarios facultados legalmente, lleven a cabo todos los actos jurídicos necesarios, celebren, modifiquen o suscriban todos los documentos, títulos de crédito, fideicomisos, contratos, convenios, mandatos, obligaciones solidarias, mecanismos, instrucciones irrevocables o cualquier instrumento legal que se requiera para formalizar las operaciones autorizadas en este Decreto, con las características, monto</w:t>
      </w:r>
      <w:r w:rsidR="00AD6723">
        <w:rPr>
          <w:rFonts w:ascii="Century Gothic" w:hAnsi="Century Gothic" w:cs="Arial"/>
          <w:sz w:val="24"/>
          <w:szCs w:val="24"/>
          <w:lang w:eastAsia="en-US"/>
        </w:rPr>
        <w:t>s</w:t>
      </w:r>
      <w:r w:rsidRPr="00B13E1E">
        <w:rPr>
          <w:rFonts w:ascii="Century Gothic" w:hAnsi="Century Gothic" w:cs="Arial"/>
          <w:sz w:val="24"/>
          <w:szCs w:val="24"/>
          <w:lang w:eastAsia="en-US"/>
        </w:rPr>
        <w:t>, condiciones y términos que consten y se negocien, así como para instrumentar las afectaciones que se requieran para constituir las fuentes de pago y/o de garantía, para el cumplimiento de las obligaciones asociadas a los documentos que se celebren con base en este Decreto.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t xml:space="preserve">Artículo </w:t>
      </w:r>
      <w:r w:rsidR="00AD6723">
        <w:rPr>
          <w:rFonts w:ascii="Century Gothic" w:hAnsi="Century Gothic" w:cs="Arial"/>
          <w:b/>
          <w:bCs/>
          <w:sz w:val="24"/>
          <w:szCs w:val="24"/>
          <w:lang w:eastAsia="en-US"/>
        </w:rPr>
        <w:t>Undécimo</w:t>
      </w:r>
      <w:r w:rsidRPr="00B13E1E">
        <w:rPr>
          <w:rFonts w:ascii="Century Gothic" w:hAnsi="Century Gothic" w:cs="Arial"/>
          <w:sz w:val="24"/>
          <w:szCs w:val="24"/>
          <w:lang w:eastAsia="en-US"/>
        </w:rPr>
        <w:t xml:space="preserve">. </w:t>
      </w:r>
      <w:r w:rsidRPr="00B13E1E">
        <w:rPr>
          <w:rFonts w:ascii="Century Gothic" w:hAnsi="Century Gothic" w:cs="Arial"/>
          <w:sz w:val="24"/>
          <w:szCs w:val="24"/>
          <w:u w:val="single"/>
          <w:lang w:eastAsia="en-US"/>
        </w:rPr>
        <w:t>Inscripción de los Financiamientos</w:t>
      </w:r>
      <w:r w:rsidRPr="00B13E1E">
        <w:rPr>
          <w:rFonts w:ascii="Century Gothic" w:hAnsi="Century Gothic" w:cs="Arial"/>
          <w:sz w:val="24"/>
          <w:szCs w:val="24"/>
          <w:lang w:eastAsia="en-US"/>
        </w:rPr>
        <w:t>. Según resulte aplicable, el Estado de Chihuahua, Fibra Estatal, el Fideicomiso de Puentes Fronterizos de Chihuahua, y la Comisión del Estado de Chihuahua, conforme a lo establecido en el presente Decreto, deberán inscribir las obligaciones al amparo de las operaciones autorizadas en el presente Decreto, en el Registro Central de Deuda Pública Estatal del Estado de Chihuahua y en el Registro Público Único de Financiamientos y Obligaciones de Entidades Federativas y Municipios, estando autorizado</w:t>
      </w:r>
      <w:r w:rsidR="00AD6723">
        <w:rPr>
          <w:rFonts w:ascii="Century Gothic" w:hAnsi="Century Gothic" w:cs="Arial"/>
          <w:sz w:val="24"/>
          <w:szCs w:val="24"/>
          <w:lang w:eastAsia="en-US"/>
        </w:rPr>
        <w:t>s</w:t>
      </w:r>
      <w:r w:rsidRPr="00B13E1E">
        <w:rPr>
          <w:rFonts w:ascii="Century Gothic" w:hAnsi="Century Gothic" w:cs="Arial"/>
          <w:sz w:val="24"/>
          <w:szCs w:val="24"/>
          <w:lang w:eastAsia="en-US"/>
        </w:rPr>
        <w:t xml:space="preserve"> para llevar a cabo todos los actos necesarios para obtener dichos registros en términos de las normativas aplicables.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B13E1E" w:rsidP="00B13E1E">
      <w:pPr>
        <w:spacing w:after="0" w:line="360" w:lineRule="auto"/>
        <w:ind w:right="-187"/>
        <w:jc w:val="both"/>
        <w:rPr>
          <w:rFonts w:ascii="Century Gothic" w:hAnsi="Century Gothic" w:cs="Arial"/>
          <w:sz w:val="24"/>
          <w:szCs w:val="24"/>
          <w:lang w:eastAsia="en-US"/>
        </w:rPr>
      </w:pPr>
      <w:r w:rsidRPr="00B13E1E">
        <w:rPr>
          <w:rFonts w:ascii="Century Gothic" w:hAnsi="Century Gothic" w:cs="Arial"/>
          <w:b/>
          <w:bCs/>
          <w:sz w:val="24"/>
          <w:szCs w:val="24"/>
          <w:lang w:eastAsia="en-US"/>
        </w:rPr>
        <w:lastRenderedPageBreak/>
        <w:t xml:space="preserve">Artículo </w:t>
      </w:r>
      <w:r w:rsidR="00AD6723">
        <w:rPr>
          <w:rFonts w:ascii="Century Gothic" w:hAnsi="Century Gothic" w:cs="Arial"/>
          <w:b/>
          <w:bCs/>
          <w:sz w:val="24"/>
          <w:szCs w:val="24"/>
          <w:lang w:eastAsia="en-US"/>
        </w:rPr>
        <w:t>Duodécimo</w:t>
      </w:r>
      <w:r w:rsidRPr="00B13E1E">
        <w:rPr>
          <w:rFonts w:ascii="Century Gothic" w:hAnsi="Century Gothic" w:cs="Arial"/>
          <w:sz w:val="24"/>
          <w:szCs w:val="24"/>
          <w:lang w:eastAsia="en-US"/>
        </w:rPr>
        <w:t>. El presente Decreto se considera de orden público e interés social y, por lo tanto, todas las autorizaciones y actos contenidos en el mismo, se otorgan previo análisis del destino, capacidad de pago del Estado de Chihuahua, a Fibra Estatal, el Fideicomiso de Puentes Fronterizos de Chihuahua, y la Comisión del Estado de Chihuahua</w:t>
      </w:r>
      <w:r w:rsidRPr="00B13E1E" w:rsidDel="00F07C07">
        <w:rPr>
          <w:rFonts w:ascii="Century Gothic" w:hAnsi="Century Gothic" w:cs="Arial"/>
          <w:sz w:val="24"/>
          <w:szCs w:val="24"/>
          <w:lang w:eastAsia="en-US"/>
        </w:rPr>
        <w:t xml:space="preserve"> </w:t>
      </w:r>
      <w:r w:rsidRPr="00B13E1E">
        <w:rPr>
          <w:rFonts w:ascii="Century Gothic" w:hAnsi="Century Gothic" w:cs="Arial"/>
          <w:sz w:val="24"/>
          <w:szCs w:val="24"/>
          <w:lang w:eastAsia="en-US"/>
        </w:rPr>
        <w:t>y del otorgamiento de garantías o establecimiento de fuente de pago de los financiamientos y obligaciones que se contraten, o la emisión de certificados realizados, al amparo del presente Decreto, lo anterior, de conformidad con lo previsto en la fracción VIII del Artículo 117 de la Constitución Política de los Estados Unidos Mexicanos, por el voto de cuando menos las dos terceras partes de los miembros presente</w:t>
      </w:r>
      <w:r w:rsidR="00AD6723">
        <w:rPr>
          <w:rFonts w:ascii="Century Gothic" w:hAnsi="Century Gothic" w:cs="Arial"/>
          <w:sz w:val="24"/>
          <w:szCs w:val="24"/>
          <w:lang w:eastAsia="en-US"/>
        </w:rPr>
        <w:t>s</w:t>
      </w:r>
      <w:r w:rsidRPr="00B13E1E">
        <w:rPr>
          <w:rFonts w:ascii="Century Gothic" w:hAnsi="Century Gothic" w:cs="Arial"/>
          <w:sz w:val="24"/>
          <w:szCs w:val="24"/>
          <w:lang w:eastAsia="en-US"/>
        </w:rPr>
        <w:t xml:space="preserve"> del Congreso del Estado. </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AD6723" w:rsidP="00B13E1E">
      <w:pPr>
        <w:spacing w:after="0" w:line="360" w:lineRule="auto"/>
        <w:ind w:right="-187"/>
        <w:jc w:val="both"/>
        <w:rPr>
          <w:rFonts w:ascii="Century Gothic" w:hAnsi="Century Gothic" w:cs="Arial"/>
          <w:sz w:val="24"/>
          <w:szCs w:val="24"/>
          <w:lang w:eastAsia="en-US"/>
        </w:rPr>
      </w:pPr>
      <w:r>
        <w:rPr>
          <w:rFonts w:ascii="Century Gothic" w:hAnsi="Century Gothic" w:cs="Arial"/>
          <w:b/>
          <w:bCs/>
          <w:sz w:val="24"/>
          <w:szCs w:val="24"/>
          <w:lang w:eastAsia="en-US"/>
        </w:rPr>
        <w:t>Artículo Decimot</w:t>
      </w:r>
      <w:r w:rsidRPr="00B13E1E">
        <w:rPr>
          <w:rFonts w:ascii="Century Gothic" w:hAnsi="Century Gothic" w:cs="Arial"/>
          <w:b/>
          <w:bCs/>
          <w:sz w:val="24"/>
          <w:szCs w:val="24"/>
          <w:lang w:eastAsia="en-US"/>
        </w:rPr>
        <w:t>ercero</w:t>
      </w:r>
      <w:r w:rsidR="00B13E1E" w:rsidRPr="00B13E1E">
        <w:rPr>
          <w:rFonts w:ascii="Century Gothic" w:hAnsi="Century Gothic" w:cs="Arial"/>
          <w:sz w:val="24"/>
          <w:szCs w:val="24"/>
          <w:lang w:eastAsia="en-US"/>
        </w:rPr>
        <w:t>. Para la aprobac</w:t>
      </w:r>
      <w:r>
        <w:rPr>
          <w:rFonts w:ascii="Century Gothic" w:hAnsi="Century Gothic" w:cs="Arial"/>
          <w:sz w:val="24"/>
          <w:szCs w:val="24"/>
          <w:lang w:eastAsia="en-US"/>
        </w:rPr>
        <w:t>ión del presente Decreto, esta L</w:t>
      </w:r>
      <w:r w:rsidR="00B13E1E" w:rsidRPr="00B13E1E">
        <w:rPr>
          <w:rFonts w:ascii="Century Gothic" w:hAnsi="Century Gothic" w:cs="Arial"/>
          <w:sz w:val="24"/>
          <w:szCs w:val="24"/>
          <w:lang w:eastAsia="en-US"/>
        </w:rPr>
        <w:t>egislatura incluyó sus dictámenes respectivos, de acuerdo con el artículo 16 de la Ley de Disciplina Financiera de las Entidades Federativas y los Municipios.</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AD6723" w:rsidP="00B13E1E">
      <w:pPr>
        <w:spacing w:after="0" w:line="360" w:lineRule="auto"/>
        <w:ind w:right="-187"/>
        <w:jc w:val="both"/>
        <w:rPr>
          <w:rFonts w:ascii="Century Gothic" w:hAnsi="Century Gothic" w:cs="Arial"/>
          <w:sz w:val="24"/>
          <w:szCs w:val="24"/>
          <w:lang w:eastAsia="en-US"/>
        </w:rPr>
      </w:pPr>
      <w:r>
        <w:rPr>
          <w:rFonts w:ascii="Century Gothic" w:hAnsi="Century Gothic" w:cs="Arial"/>
          <w:b/>
          <w:bCs/>
          <w:sz w:val="24"/>
          <w:szCs w:val="24"/>
          <w:lang w:eastAsia="en-US"/>
        </w:rPr>
        <w:t>Artículo Decimo</w:t>
      </w:r>
      <w:r w:rsidRPr="00B13E1E">
        <w:rPr>
          <w:rFonts w:ascii="Century Gothic" w:hAnsi="Century Gothic" w:cs="Arial"/>
          <w:b/>
          <w:bCs/>
          <w:sz w:val="24"/>
          <w:szCs w:val="24"/>
          <w:lang w:eastAsia="en-US"/>
        </w:rPr>
        <w:t>cuarto</w:t>
      </w:r>
      <w:r w:rsidR="00B13E1E" w:rsidRPr="00B13E1E">
        <w:rPr>
          <w:rFonts w:ascii="Century Gothic" w:hAnsi="Century Gothic" w:cs="Arial"/>
          <w:b/>
          <w:bCs/>
          <w:sz w:val="24"/>
          <w:szCs w:val="24"/>
          <w:lang w:eastAsia="en-US"/>
        </w:rPr>
        <w:t xml:space="preserve">. </w:t>
      </w:r>
      <w:r w:rsidR="00B13E1E" w:rsidRPr="00B13E1E">
        <w:rPr>
          <w:rFonts w:ascii="Century Gothic" w:hAnsi="Century Gothic" w:cs="Arial"/>
          <w:sz w:val="24"/>
          <w:szCs w:val="24"/>
          <w:u w:val="single"/>
          <w:lang w:eastAsia="en-US"/>
        </w:rPr>
        <w:t>Vigencia de la autorización</w:t>
      </w:r>
      <w:r w:rsidR="00B13E1E" w:rsidRPr="00B13E1E">
        <w:rPr>
          <w:rFonts w:ascii="Century Gothic" w:hAnsi="Century Gothic" w:cs="Arial"/>
          <w:sz w:val="24"/>
          <w:szCs w:val="24"/>
          <w:lang w:eastAsia="en-US"/>
        </w:rPr>
        <w:t>. Confo</w:t>
      </w:r>
      <w:r>
        <w:rPr>
          <w:rFonts w:ascii="Century Gothic" w:hAnsi="Century Gothic" w:cs="Arial"/>
          <w:sz w:val="24"/>
          <w:szCs w:val="24"/>
          <w:lang w:eastAsia="en-US"/>
        </w:rPr>
        <w:t xml:space="preserve">rme al artículo 24, fracción V </w:t>
      </w:r>
      <w:r w:rsidR="00B13E1E" w:rsidRPr="00B13E1E">
        <w:rPr>
          <w:rFonts w:ascii="Century Gothic" w:hAnsi="Century Gothic" w:cs="Arial"/>
          <w:sz w:val="24"/>
          <w:szCs w:val="24"/>
          <w:lang w:eastAsia="en-US"/>
        </w:rPr>
        <w:t>de la Ley de Disciplina Financiera</w:t>
      </w:r>
      <w:r>
        <w:rPr>
          <w:rFonts w:ascii="Century Gothic" w:hAnsi="Century Gothic" w:cs="Arial"/>
          <w:sz w:val="24"/>
          <w:szCs w:val="24"/>
          <w:lang w:eastAsia="en-US"/>
        </w:rPr>
        <w:t xml:space="preserve"> de las Entidades Federativas y los Municipios</w:t>
      </w:r>
      <w:r w:rsidR="00B13E1E" w:rsidRPr="00B13E1E">
        <w:rPr>
          <w:rFonts w:ascii="Century Gothic" w:hAnsi="Century Gothic" w:cs="Arial"/>
          <w:sz w:val="24"/>
          <w:szCs w:val="24"/>
          <w:lang w:eastAsia="en-US"/>
        </w:rPr>
        <w:t>, las autorizaciones establecidas en el presente Decreto podrán ejercerse durante los ejercicios fiscales 2022 y 2023.</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B13E1E" w:rsidRPr="00B13E1E" w:rsidRDefault="00AD6723" w:rsidP="00B13E1E">
      <w:pPr>
        <w:spacing w:after="0" w:line="360" w:lineRule="auto"/>
        <w:ind w:right="-187"/>
        <w:jc w:val="both"/>
        <w:rPr>
          <w:rFonts w:ascii="Century Gothic" w:hAnsi="Century Gothic" w:cs="Arial"/>
          <w:sz w:val="24"/>
          <w:szCs w:val="24"/>
          <w:lang w:eastAsia="en-US"/>
        </w:rPr>
      </w:pPr>
      <w:r>
        <w:rPr>
          <w:rFonts w:ascii="Century Gothic" w:hAnsi="Century Gothic" w:cs="Arial"/>
          <w:b/>
          <w:bCs/>
          <w:sz w:val="24"/>
          <w:szCs w:val="24"/>
          <w:lang w:eastAsia="en-US"/>
        </w:rPr>
        <w:t>Artículo Decimo</w:t>
      </w:r>
      <w:r w:rsidRPr="00B13E1E">
        <w:rPr>
          <w:rFonts w:ascii="Century Gothic" w:hAnsi="Century Gothic" w:cs="Arial"/>
          <w:b/>
          <w:bCs/>
          <w:sz w:val="24"/>
          <w:szCs w:val="24"/>
          <w:lang w:eastAsia="en-US"/>
        </w:rPr>
        <w:t>quinto</w:t>
      </w:r>
      <w:r w:rsidR="00B13E1E" w:rsidRPr="00B13E1E">
        <w:rPr>
          <w:rFonts w:ascii="Century Gothic" w:hAnsi="Century Gothic" w:cs="Arial"/>
          <w:b/>
          <w:bCs/>
          <w:sz w:val="24"/>
          <w:szCs w:val="24"/>
          <w:lang w:eastAsia="en-US"/>
        </w:rPr>
        <w:t xml:space="preserve">. </w:t>
      </w:r>
      <w:r w:rsidR="00B13E1E" w:rsidRPr="00B13E1E">
        <w:rPr>
          <w:rFonts w:ascii="Century Gothic" w:hAnsi="Century Gothic" w:cs="Arial"/>
          <w:sz w:val="24"/>
          <w:szCs w:val="24"/>
          <w:lang w:eastAsia="en-US"/>
        </w:rPr>
        <w:t>Los encabezados de los artículos, numerales y/o incisos del presente Decreto son meramente para efectos de referencia y no afectarán la interpretac</w:t>
      </w:r>
      <w:r>
        <w:rPr>
          <w:rFonts w:ascii="Century Gothic" w:hAnsi="Century Gothic" w:cs="Arial"/>
          <w:sz w:val="24"/>
          <w:szCs w:val="24"/>
          <w:lang w:eastAsia="en-US"/>
        </w:rPr>
        <w:t>ión del contenido del presente D</w:t>
      </w:r>
      <w:r w:rsidR="00B13E1E" w:rsidRPr="00B13E1E">
        <w:rPr>
          <w:rFonts w:ascii="Century Gothic" w:hAnsi="Century Gothic" w:cs="Arial"/>
          <w:sz w:val="24"/>
          <w:szCs w:val="24"/>
          <w:lang w:eastAsia="en-US"/>
        </w:rPr>
        <w:t>ecreto.</w:t>
      </w:r>
    </w:p>
    <w:p w:rsidR="00B13E1E" w:rsidRPr="00B13E1E" w:rsidRDefault="00B13E1E" w:rsidP="00B13E1E">
      <w:pPr>
        <w:spacing w:after="0" w:line="360" w:lineRule="auto"/>
        <w:ind w:right="-187"/>
        <w:jc w:val="both"/>
        <w:rPr>
          <w:rFonts w:ascii="Century Gothic" w:hAnsi="Century Gothic" w:cs="Arial"/>
          <w:sz w:val="24"/>
          <w:szCs w:val="24"/>
          <w:lang w:eastAsia="en-US"/>
        </w:rPr>
      </w:pPr>
    </w:p>
    <w:p w:rsidR="00884D05" w:rsidRPr="00DB5AA7" w:rsidRDefault="00884D05" w:rsidP="00884D05">
      <w:pPr>
        <w:spacing w:after="0" w:line="360" w:lineRule="auto"/>
        <w:jc w:val="center"/>
        <w:rPr>
          <w:rFonts w:ascii="Century Gothic" w:eastAsia="Calibri" w:hAnsi="Century Gothic" w:cs="Arial"/>
          <w:b/>
          <w:bCs/>
          <w:color w:val="000000"/>
          <w:sz w:val="28"/>
          <w:szCs w:val="28"/>
          <w:lang w:eastAsia="en-US"/>
        </w:rPr>
      </w:pPr>
      <w:r w:rsidRPr="00DB5AA7">
        <w:rPr>
          <w:rFonts w:ascii="Century Gothic" w:eastAsia="Calibri" w:hAnsi="Century Gothic" w:cs="Arial"/>
          <w:b/>
          <w:bCs/>
          <w:color w:val="000000"/>
          <w:sz w:val="28"/>
          <w:szCs w:val="28"/>
          <w:lang w:eastAsia="en-US"/>
        </w:rPr>
        <w:t>TRANSITORIOS</w:t>
      </w:r>
    </w:p>
    <w:p w:rsidR="00884D05" w:rsidRPr="00DB5AA7" w:rsidRDefault="00884D05" w:rsidP="00884D05">
      <w:pPr>
        <w:spacing w:after="0" w:line="360" w:lineRule="auto"/>
        <w:jc w:val="both"/>
        <w:rPr>
          <w:rFonts w:ascii="Century Gothic" w:eastAsia="Calibri" w:hAnsi="Century Gothic" w:cs="Arial"/>
          <w:b/>
          <w:bCs/>
          <w:color w:val="000000"/>
          <w:sz w:val="24"/>
          <w:szCs w:val="24"/>
          <w:lang w:eastAsia="en-US"/>
        </w:rPr>
      </w:pPr>
    </w:p>
    <w:p w:rsidR="00884D05" w:rsidRPr="00DB5AA7" w:rsidRDefault="00884D05" w:rsidP="00884D05">
      <w:pPr>
        <w:autoSpaceDE w:val="0"/>
        <w:autoSpaceDN w:val="0"/>
        <w:adjustRightInd w:val="0"/>
        <w:spacing w:after="0" w:line="360" w:lineRule="auto"/>
        <w:jc w:val="both"/>
        <w:rPr>
          <w:rFonts w:ascii="Century Gothic" w:hAnsi="Century Gothic" w:cs="Arial"/>
          <w:sz w:val="24"/>
          <w:szCs w:val="24"/>
          <w:lang w:val="es-ES"/>
        </w:rPr>
      </w:pPr>
      <w:r w:rsidRPr="00DB5AA7">
        <w:rPr>
          <w:rFonts w:ascii="Century Gothic" w:hAnsi="Century Gothic" w:cs="Arial"/>
          <w:b/>
          <w:sz w:val="28"/>
          <w:szCs w:val="28"/>
          <w:lang w:val="es-ES"/>
        </w:rPr>
        <w:t xml:space="preserve">ARTÍCULO </w:t>
      </w:r>
      <w:r w:rsidR="00AA41FA">
        <w:rPr>
          <w:rFonts w:ascii="Century Gothic" w:hAnsi="Century Gothic" w:cs="Arial"/>
          <w:b/>
          <w:sz w:val="28"/>
          <w:szCs w:val="28"/>
          <w:lang w:val="es-ES"/>
        </w:rPr>
        <w:t>PRIMERO</w:t>
      </w:r>
      <w:r w:rsidRPr="00DB5AA7">
        <w:rPr>
          <w:rFonts w:ascii="Century Gothic" w:hAnsi="Century Gothic" w:cs="Arial"/>
          <w:b/>
          <w:sz w:val="28"/>
          <w:szCs w:val="28"/>
          <w:lang w:val="es-ES"/>
        </w:rPr>
        <w:t>.-</w:t>
      </w:r>
      <w:r w:rsidRPr="00DB5AA7">
        <w:rPr>
          <w:rFonts w:ascii="Century Gothic" w:hAnsi="Century Gothic" w:cs="Arial"/>
          <w:b/>
          <w:sz w:val="24"/>
          <w:szCs w:val="24"/>
          <w:lang w:val="es-ES"/>
        </w:rPr>
        <w:t xml:space="preserve"> </w:t>
      </w:r>
      <w:r w:rsidRPr="00DB5AA7">
        <w:rPr>
          <w:rFonts w:ascii="Century Gothic" w:hAnsi="Century Gothic" w:cs="Arial"/>
          <w:sz w:val="24"/>
          <w:szCs w:val="24"/>
          <w:lang w:val="es-ES"/>
        </w:rPr>
        <w:t xml:space="preserve">El presente Decreto entrará en vigor al día siguiente de su publicación en el </w:t>
      </w:r>
      <w:r w:rsidR="00CF01E9">
        <w:rPr>
          <w:rFonts w:ascii="Century Gothic" w:hAnsi="Century Gothic" w:cs="Arial"/>
          <w:sz w:val="24"/>
          <w:szCs w:val="24"/>
          <w:lang w:val="es-ES"/>
        </w:rPr>
        <w:t>Periódico Oficial del Estado</w:t>
      </w:r>
      <w:r w:rsidRPr="00DB5AA7">
        <w:rPr>
          <w:rFonts w:ascii="Century Gothic" w:hAnsi="Century Gothic" w:cs="Arial"/>
          <w:sz w:val="24"/>
          <w:szCs w:val="24"/>
          <w:lang w:val="es-ES"/>
        </w:rPr>
        <w:t>.</w:t>
      </w:r>
    </w:p>
    <w:p w:rsidR="00610D6A" w:rsidRDefault="00610D6A" w:rsidP="00610D6A">
      <w:pPr>
        <w:spacing w:after="0" w:line="360" w:lineRule="auto"/>
        <w:jc w:val="both"/>
        <w:rPr>
          <w:rFonts w:ascii="Century Gothic" w:eastAsia="Calibri" w:hAnsi="Century Gothic" w:cs="Arial"/>
          <w:b/>
          <w:sz w:val="24"/>
          <w:szCs w:val="24"/>
          <w:lang w:eastAsia="en-US"/>
        </w:rPr>
      </w:pPr>
    </w:p>
    <w:p w:rsidR="00610D6A" w:rsidRPr="00610D6A" w:rsidRDefault="00610D6A" w:rsidP="00610D6A">
      <w:pPr>
        <w:spacing w:after="0" w:line="360" w:lineRule="auto"/>
        <w:jc w:val="both"/>
        <w:rPr>
          <w:rFonts w:ascii="Century Gothic" w:eastAsia="Calibri" w:hAnsi="Century Gothic" w:cs="Arial"/>
          <w:sz w:val="24"/>
          <w:szCs w:val="24"/>
          <w:lang w:eastAsia="en-US"/>
        </w:rPr>
      </w:pPr>
      <w:r>
        <w:rPr>
          <w:rFonts w:ascii="Century Gothic" w:eastAsia="Calibri" w:hAnsi="Century Gothic" w:cs="Arial"/>
          <w:b/>
          <w:sz w:val="28"/>
          <w:szCs w:val="28"/>
          <w:lang w:eastAsia="en-US"/>
        </w:rPr>
        <w:t xml:space="preserve">ARTÍCULO </w:t>
      </w:r>
      <w:r w:rsidR="008A6159">
        <w:rPr>
          <w:rFonts w:ascii="Century Gothic" w:eastAsia="Calibri" w:hAnsi="Century Gothic" w:cs="Arial"/>
          <w:b/>
          <w:sz w:val="28"/>
          <w:szCs w:val="28"/>
          <w:lang w:eastAsia="en-US"/>
        </w:rPr>
        <w:t>SEGUNDO.</w:t>
      </w:r>
      <w:r w:rsidRPr="00610D6A">
        <w:rPr>
          <w:rFonts w:ascii="Century Gothic" w:eastAsia="Calibri" w:hAnsi="Century Gothic" w:cs="Arial"/>
          <w:b/>
          <w:sz w:val="28"/>
          <w:szCs w:val="28"/>
          <w:lang w:eastAsia="en-US"/>
        </w:rPr>
        <w:t>-</w:t>
      </w:r>
      <w:r w:rsidRPr="00610D6A">
        <w:rPr>
          <w:rFonts w:ascii="Century Gothic" w:eastAsia="Calibri" w:hAnsi="Century Gothic" w:cs="Arial"/>
          <w:b/>
          <w:sz w:val="24"/>
          <w:szCs w:val="24"/>
          <w:lang w:eastAsia="en-US"/>
        </w:rPr>
        <w:t xml:space="preserve"> </w:t>
      </w:r>
      <w:r w:rsidRPr="00610D6A">
        <w:rPr>
          <w:rFonts w:ascii="Century Gothic" w:eastAsia="Calibri" w:hAnsi="Century Gothic" w:cs="Arial"/>
          <w:sz w:val="24"/>
          <w:szCs w:val="24"/>
          <w:lang w:eastAsia="en-US"/>
        </w:rPr>
        <w:t>Se derogan todas las disposiciones legales y administrativas del marco jurídico estatal en lo que se opongan al contenido de este Decreto.</w:t>
      </w:r>
    </w:p>
    <w:p w:rsidR="00884D05" w:rsidRPr="00610D6A" w:rsidRDefault="00884D05" w:rsidP="00884D05">
      <w:pPr>
        <w:spacing w:after="0" w:line="360" w:lineRule="auto"/>
        <w:jc w:val="both"/>
        <w:rPr>
          <w:rFonts w:ascii="Century Gothic" w:eastAsia="Calibri" w:hAnsi="Century Gothic" w:cs="Arial"/>
          <w:sz w:val="24"/>
          <w:szCs w:val="24"/>
          <w:lang w:eastAsia="en-US"/>
        </w:rPr>
      </w:pPr>
    </w:p>
    <w:p w:rsidR="00884D05" w:rsidRPr="00DB5AA7" w:rsidRDefault="00AD6723" w:rsidP="00884D05">
      <w:pPr>
        <w:spacing w:after="0" w:line="360" w:lineRule="auto"/>
        <w:jc w:val="both"/>
        <w:rPr>
          <w:rFonts w:ascii="Century Gothic" w:eastAsia="Calibri" w:hAnsi="Century Gothic" w:cs="Arial"/>
          <w:sz w:val="24"/>
          <w:szCs w:val="24"/>
          <w:lang w:eastAsia="en-US"/>
        </w:rPr>
      </w:pPr>
      <w:r>
        <w:rPr>
          <w:rFonts w:ascii="Century Gothic" w:eastAsia="Calibri" w:hAnsi="Century Gothic" w:cs="Arial"/>
          <w:b/>
          <w:sz w:val="24"/>
          <w:szCs w:val="24"/>
          <w:lang w:eastAsia="en-US"/>
        </w:rPr>
        <w:t>ECONÓMICO.-</w:t>
      </w:r>
      <w:r w:rsidR="00884D05" w:rsidRPr="00DB5AA7">
        <w:rPr>
          <w:rFonts w:ascii="Century Gothic" w:eastAsia="Calibri" w:hAnsi="Century Gothic" w:cs="Arial"/>
          <w:sz w:val="24"/>
          <w:szCs w:val="24"/>
          <w:lang w:eastAsia="en-US"/>
        </w:rPr>
        <w:t> Aprobado que sea, túrnese a la Secretaría para que elabore la Minuta de Decreto en los términos en que deba publicarse.</w:t>
      </w:r>
    </w:p>
    <w:p w:rsidR="00884D05" w:rsidRPr="00DB5AA7" w:rsidRDefault="00884D05" w:rsidP="00884D05">
      <w:pPr>
        <w:spacing w:after="0" w:line="360" w:lineRule="auto"/>
        <w:jc w:val="both"/>
        <w:rPr>
          <w:rFonts w:ascii="Century Gothic" w:hAnsi="Century Gothic"/>
          <w:sz w:val="24"/>
          <w:szCs w:val="24"/>
        </w:rPr>
      </w:pPr>
    </w:p>
    <w:p w:rsidR="00884D05" w:rsidRPr="00414B59" w:rsidRDefault="00884D05" w:rsidP="00884D05">
      <w:pPr>
        <w:spacing w:after="0" w:line="360" w:lineRule="auto"/>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sidR="00AD6723">
        <w:rPr>
          <w:rFonts w:ascii="Century Gothic" w:hAnsi="Century Gothic"/>
          <w:sz w:val="24"/>
          <w:szCs w:val="24"/>
        </w:rPr>
        <w:t>,</w:t>
      </w:r>
      <w:r w:rsidRPr="00414B59">
        <w:rPr>
          <w:rFonts w:ascii="Century Gothic" w:hAnsi="Century Gothic"/>
          <w:sz w:val="24"/>
          <w:szCs w:val="24"/>
        </w:rPr>
        <w:t xml:space="preserve"> a los </w:t>
      </w:r>
      <w:r w:rsidR="00AF7058">
        <w:rPr>
          <w:rFonts w:ascii="Century Gothic" w:hAnsi="Century Gothic"/>
          <w:sz w:val="24"/>
          <w:szCs w:val="24"/>
        </w:rPr>
        <w:t>trece</w:t>
      </w:r>
      <w:r>
        <w:rPr>
          <w:rFonts w:ascii="Century Gothic" w:hAnsi="Century Gothic"/>
          <w:sz w:val="24"/>
          <w:szCs w:val="24"/>
        </w:rPr>
        <w:t xml:space="preserve"> </w:t>
      </w:r>
      <w:r w:rsidRPr="00414B59">
        <w:rPr>
          <w:rFonts w:ascii="Century Gothic" w:hAnsi="Century Gothic"/>
          <w:sz w:val="24"/>
          <w:szCs w:val="24"/>
        </w:rPr>
        <w:t xml:space="preserve">días del mes de </w:t>
      </w:r>
      <w:r w:rsidR="00AF7058">
        <w:rPr>
          <w:rFonts w:ascii="Century Gothic" w:hAnsi="Century Gothic"/>
          <w:sz w:val="24"/>
          <w:szCs w:val="24"/>
        </w:rPr>
        <w:t>diciembre</w:t>
      </w:r>
      <w:r w:rsidRPr="00414B59">
        <w:rPr>
          <w:rFonts w:ascii="Century Gothic" w:hAnsi="Century Gothic"/>
          <w:sz w:val="24"/>
          <w:szCs w:val="24"/>
        </w:rPr>
        <w:t xml:space="preserve"> del año dos mil </w:t>
      </w:r>
      <w:r>
        <w:rPr>
          <w:rFonts w:ascii="Century Gothic" w:hAnsi="Century Gothic"/>
          <w:sz w:val="24"/>
          <w:szCs w:val="24"/>
        </w:rPr>
        <w:t>veintiuno</w:t>
      </w:r>
      <w:r w:rsidRPr="00414B59">
        <w:rPr>
          <w:rFonts w:ascii="Century Gothic" w:hAnsi="Century Gothic"/>
          <w:sz w:val="24"/>
          <w:szCs w:val="24"/>
        </w:rPr>
        <w:t>.</w:t>
      </w:r>
    </w:p>
    <w:p w:rsidR="00AF7058" w:rsidRDefault="00AF7058" w:rsidP="00884D05">
      <w:pPr>
        <w:pStyle w:val="Normal1"/>
        <w:contextualSpacing/>
        <w:jc w:val="both"/>
        <w:rPr>
          <w:rFonts w:ascii="Century Gothic" w:eastAsia="Arial" w:hAnsi="Century Gothic" w:cs="Arial"/>
          <w:b/>
          <w:smallCaps/>
          <w:color w:val="auto"/>
          <w:szCs w:val="24"/>
          <w:lang w:val="es-MX"/>
        </w:rPr>
      </w:pPr>
    </w:p>
    <w:p w:rsidR="00AF7058" w:rsidRDefault="00AF7058"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E04B69" w:rsidRDefault="00E04B69" w:rsidP="00884D05">
      <w:pPr>
        <w:pStyle w:val="Normal1"/>
        <w:contextualSpacing/>
        <w:jc w:val="both"/>
        <w:rPr>
          <w:rFonts w:ascii="Century Gothic" w:eastAsia="Arial" w:hAnsi="Century Gothic" w:cs="Arial"/>
          <w:b/>
          <w:smallCaps/>
          <w:color w:val="auto"/>
          <w:szCs w:val="24"/>
          <w:lang w:val="es-MX"/>
        </w:rPr>
      </w:pPr>
    </w:p>
    <w:p w:rsidR="00884D05" w:rsidRPr="00B24299" w:rsidRDefault="00884D05" w:rsidP="00884D05">
      <w:pPr>
        <w:pStyle w:val="Normal1"/>
        <w:contextualSpacing/>
        <w:jc w:val="both"/>
        <w:rPr>
          <w:rFonts w:ascii="Century Gothic" w:eastAsia="Arial" w:hAnsi="Century Gothic" w:cs="Arial"/>
          <w:b/>
          <w:smallCaps/>
          <w:color w:val="auto"/>
          <w:szCs w:val="24"/>
          <w:lang w:val="es-MX"/>
        </w:rPr>
      </w:pPr>
      <w:r w:rsidRPr="00414B59">
        <w:rPr>
          <w:rFonts w:ascii="Century Gothic" w:eastAsia="Arial" w:hAnsi="Century Gothic" w:cs="Arial"/>
          <w:b/>
          <w:smallCaps/>
          <w:color w:val="auto"/>
          <w:szCs w:val="24"/>
          <w:lang w:val="es-MX"/>
        </w:rPr>
        <w:lastRenderedPageBreak/>
        <w:t xml:space="preserve">ASÍ LO APROBÓ LA COMISIÓN DE </w:t>
      </w:r>
      <w:r w:rsidRPr="00B24299">
        <w:rPr>
          <w:rFonts w:ascii="Century Gothic" w:eastAsia="Arial" w:hAnsi="Century Gothic" w:cs="Arial"/>
          <w:b/>
          <w:smallCaps/>
          <w:color w:val="auto"/>
          <w:szCs w:val="24"/>
          <w:lang w:val="es-MX"/>
        </w:rPr>
        <w:t>PROGRAMACIÓN, PRESUPUESTO Y HACIENDA PÚBLICA, EN REUNIÓN DE FECHA</w:t>
      </w:r>
      <w:r w:rsidR="00AF7058">
        <w:rPr>
          <w:rFonts w:ascii="Century Gothic" w:eastAsia="Arial" w:hAnsi="Century Gothic" w:cs="Arial"/>
          <w:b/>
          <w:smallCaps/>
          <w:color w:val="auto"/>
          <w:szCs w:val="24"/>
          <w:lang w:val="es-MX"/>
        </w:rPr>
        <w:t xml:space="preserve"> 10 DE DICIEMBRE DE </w:t>
      </w:r>
      <w:r w:rsidR="00B24299">
        <w:rPr>
          <w:rFonts w:ascii="Century Gothic" w:eastAsia="Arial" w:hAnsi="Century Gothic" w:cs="Arial"/>
          <w:b/>
          <w:smallCaps/>
          <w:color w:val="auto"/>
          <w:szCs w:val="24"/>
          <w:lang w:val="es-MX"/>
        </w:rPr>
        <w:t>DOS MIL VEINTIUNO.</w:t>
      </w:r>
    </w:p>
    <w:p w:rsidR="00AF7058" w:rsidRDefault="00AF7058" w:rsidP="00884D05">
      <w:pPr>
        <w:pStyle w:val="Normal2"/>
        <w:jc w:val="center"/>
        <w:rPr>
          <w:rFonts w:ascii="Century Gothic" w:eastAsia="Arial" w:hAnsi="Century Gothic" w:cs="Arial"/>
          <w:b/>
          <w:szCs w:val="24"/>
          <w:lang w:val="es-MX"/>
        </w:rPr>
      </w:pPr>
    </w:p>
    <w:p w:rsidR="00884D05" w:rsidRDefault="00884D05" w:rsidP="00884D05">
      <w:pPr>
        <w:pStyle w:val="Normal2"/>
        <w:jc w:val="center"/>
        <w:rPr>
          <w:rFonts w:ascii="Century Gothic" w:eastAsia="Arial" w:hAnsi="Century Gothic" w:cs="Arial"/>
          <w:b/>
          <w:szCs w:val="24"/>
          <w:lang w:val="es-MX"/>
        </w:rPr>
      </w:pPr>
      <w:r w:rsidRPr="00414B59">
        <w:rPr>
          <w:rFonts w:ascii="Century Gothic" w:eastAsia="Arial" w:hAnsi="Century Gothic" w:cs="Arial"/>
          <w:b/>
          <w:szCs w:val="24"/>
          <w:lang w:val="es-MX"/>
        </w:rPr>
        <w:t xml:space="preserve">POR LA </w:t>
      </w:r>
      <w:r w:rsidRPr="00414B59">
        <w:rPr>
          <w:rFonts w:ascii="Century Gothic" w:eastAsia="Arial" w:hAnsi="Century Gothic" w:cs="Arial"/>
          <w:b/>
          <w:smallCaps/>
          <w:szCs w:val="24"/>
          <w:lang w:val="es-MX"/>
        </w:rPr>
        <w:t xml:space="preserve">COMISIÓN </w:t>
      </w:r>
      <w:r w:rsidRPr="00414B59">
        <w:rPr>
          <w:rFonts w:ascii="Century Gothic" w:eastAsia="Arial" w:hAnsi="Century Gothic" w:cs="Arial"/>
          <w:b/>
          <w:szCs w:val="24"/>
          <w:lang w:val="es-MX"/>
        </w:rPr>
        <w:t xml:space="preserve">DE </w:t>
      </w:r>
      <w:r>
        <w:rPr>
          <w:rFonts w:ascii="Century Gothic" w:eastAsia="Arial" w:hAnsi="Century Gothic" w:cs="Arial"/>
          <w:b/>
          <w:szCs w:val="24"/>
          <w:lang w:val="es-MX"/>
        </w:rPr>
        <w:t>PROGRAMACIÓN, PRESUPUESTO Y HACIENDA PÚBLICA</w:t>
      </w:r>
    </w:p>
    <w:p w:rsidR="00AF7058" w:rsidRPr="00414B59" w:rsidRDefault="00AF7058" w:rsidP="00884D05">
      <w:pPr>
        <w:pStyle w:val="Normal2"/>
        <w:jc w:val="center"/>
        <w:rPr>
          <w:rFonts w:ascii="Century Gothic" w:eastAsia="Arial" w:hAnsi="Century Gothic" w:cs="Arial"/>
          <w:b/>
          <w:szCs w:val="24"/>
          <w:lang w:val="es-MX"/>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303"/>
        <w:gridCol w:w="1563"/>
        <w:gridCol w:w="1612"/>
        <w:gridCol w:w="1757"/>
      </w:tblGrid>
      <w:tr w:rsidR="00884D05" w:rsidRPr="00414B59" w:rsidTr="008A6159">
        <w:trPr>
          <w:jc w:val="center"/>
        </w:trPr>
        <w:tc>
          <w:tcPr>
            <w:tcW w:w="2689" w:type="dxa"/>
            <w:vAlign w:val="center"/>
          </w:tcPr>
          <w:p w:rsidR="00884D05" w:rsidRPr="00414B59" w:rsidRDefault="00884D05" w:rsidP="007D0833">
            <w:pPr>
              <w:pStyle w:val="Normal2"/>
              <w:spacing w:line="360" w:lineRule="auto"/>
              <w:jc w:val="center"/>
              <w:rPr>
                <w:rFonts w:ascii="Century Gothic" w:hAnsi="Century Gothic" w:cs="Arial"/>
                <w:b/>
                <w:sz w:val="22"/>
                <w:szCs w:val="22"/>
              </w:rPr>
            </w:pPr>
          </w:p>
        </w:tc>
        <w:tc>
          <w:tcPr>
            <w:tcW w:w="2303" w:type="dxa"/>
            <w:vAlign w:val="center"/>
          </w:tcPr>
          <w:p w:rsidR="00884D05" w:rsidRPr="00414B59" w:rsidRDefault="00884D05"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INTEGRANTES</w:t>
            </w:r>
          </w:p>
        </w:tc>
        <w:tc>
          <w:tcPr>
            <w:tcW w:w="1563" w:type="dxa"/>
            <w:vAlign w:val="center"/>
          </w:tcPr>
          <w:p w:rsidR="00884D05" w:rsidRPr="00414B59" w:rsidRDefault="00884D05"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 FAVOR</w:t>
            </w:r>
          </w:p>
        </w:tc>
        <w:tc>
          <w:tcPr>
            <w:tcW w:w="1612" w:type="dxa"/>
            <w:vAlign w:val="center"/>
          </w:tcPr>
          <w:p w:rsidR="00884D05" w:rsidRPr="00414B59" w:rsidRDefault="00884D05"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EN CONTRA</w:t>
            </w:r>
          </w:p>
        </w:tc>
        <w:tc>
          <w:tcPr>
            <w:tcW w:w="1757" w:type="dxa"/>
            <w:vAlign w:val="center"/>
          </w:tcPr>
          <w:p w:rsidR="00884D05" w:rsidRPr="00414B59" w:rsidRDefault="00884D05" w:rsidP="007D0833">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ABSTENCIÓN</w:t>
            </w:r>
          </w:p>
        </w:tc>
      </w:tr>
      <w:tr w:rsidR="00884D05" w:rsidRPr="00414B59" w:rsidTr="008A6159">
        <w:trPr>
          <w:jc w:val="center"/>
        </w:trPr>
        <w:tc>
          <w:tcPr>
            <w:tcW w:w="2689" w:type="dxa"/>
            <w:vAlign w:val="center"/>
          </w:tcPr>
          <w:p w:rsidR="00884D05" w:rsidRPr="00414B59" w:rsidRDefault="00E04B69" w:rsidP="007D0833">
            <w:pPr>
              <w:pStyle w:val="Normal2"/>
              <w:spacing w:line="360" w:lineRule="auto"/>
              <w:rPr>
                <w:rFonts w:ascii="Century Gothic" w:hAnsi="Century Gothic" w:cs="Arial"/>
                <w:b/>
                <w:szCs w:val="24"/>
              </w:rPr>
            </w:pPr>
            <w:r>
              <w:rPr>
                <w:noProof/>
                <w:lang w:val="es-MX" w:eastAsia="es-MX"/>
              </w:rPr>
              <w:drawing>
                <wp:inline distT="0" distB="0" distL="0" distR="0">
                  <wp:extent cx="1133475" cy="1504950"/>
                  <wp:effectExtent l="19050" t="0" r="9525" b="0"/>
                  <wp:docPr id="5" name="Imagen 5"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humb"/>
                          <pic:cNvPicPr>
                            <a:picLocks noChangeAspect="1" noChangeArrowheads="1"/>
                          </pic:cNvPicPr>
                        </pic:nvPicPr>
                        <pic:blipFill>
                          <a:blip r:embed="rId12"/>
                          <a:srcRect/>
                          <a:stretch>
                            <a:fillRect/>
                          </a:stretch>
                        </pic:blipFill>
                        <pic:spPr bwMode="auto">
                          <a:xfrm>
                            <a:off x="0" y="0"/>
                            <a:ext cx="1133475" cy="1504950"/>
                          </a:xfrm>
                          <a:prstGeom prst="rect">
                            <a:avLst/>
                          </a:prstGeom>
                          <a:noFill/>
                          <a:ln w="9525">
                            <a:noFill/>
                            <a:miter lim="800000"/>
                            <a:headEnd/>
                            <a:tailEnd/>
                          </a:ln>
                        </pic:spPr>
                      </pic:pic>
                    </a:graphicData>
                  </a:graphic>
                </wp:inline>
              </w:drawing>
            </w:r>
          </w:p>
        </w:tc>
        <w:tc>
          <w:tcPr>
            <w:tcW w:w="2303" w:type="dxa"/>
            <w:vAlign w:val="center"/>
          </w:tcPr>
          <w:p w:rsidR="00884D05" w:rsidRPr="00414B59" w:rsidRDefault="00884D05" w:rsidP="007D0833">
            <w:pPr>
              <w:pStyle w:val="Normal2"/>
              <w:spacing w:line="360" w:lineRule="auto"/>
              <w:rPr>
                <w:rFonts w:ascii="Century Gothic" w:hAnsi="Century Gothic" w:cs="Arial"/>
                <w:b/>
                <w:sz w:val="22"/>
                <w:szCs w:val="22"/>
              </w:rPr>
            </w:pPr>
            <w:r w:rsidRPr="00414B59">
              <w:rPr>
                <w:rStyle w:val="NOMBRES"/>
                <w:rFonts w:ascii="Century Gothic" w:hAnsi="Century Gothic"/>
                <w:sz w:val="22"/>
                <w:szCs w:val="22"/>
              </w:rPr>
              <w:t xml:space="preserve">DIP. </w:t>
            </w:r>
            <w:r w:rsidRPr="00657AE8">
              <w:rPr>
                <w:rStyle w:val="NOMBRES"/>
                <w:rFonts w:ascii="Century Gothic" w:hAnsi="Century Gothic"/>
                <w:sz w:val="22"/>
                <w:szCs w:val="22"/>
              </w:rPr>
              <w:t>LUIS ALBERTO AGUILAR LOZOYA</w:t>
            </w:r>
          </w:p>
        </w:tc>
        <w:tc>
          <w:tcPr>
            <w:tcW w:w="1563" w:type="dxa"/>
            <w:vAlign w:val="center"/>
          </w:tcPr>
          <w:p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rsidR="00884D05" w:rsidRPr="00414B59" w:rsidRDefault="00884D05" w:rsidP="007D0833">
            <w:pPr>
              <w:pStyle w:val="Normal2"/>
              <w:spacing w:line="360" w:lineRule="auto"/>
              <w:rPr>
                <w:rFonts w:ascii="Century Gothic" w:hAnsi="Century Gothic" w:cs="Arial"/>
                <w:b/>
                <w:szCs w:val="24"/>
              </w:rPr>
            </w:pPr>
          </w:p>
        </w:tc>
      </w:tr>
      <w:tr w:rsidR="00884D05" w:rsidRPr="00414B59" w:rsidTr="008A6159">
        <w:trPr>
          <w:jc w:val="center"/>
        </w:trPr>
        <w:tc>
          <w:tcPr>
            <w:tcW w:w="2689" w:type="dxa"/>
            <w:vAlign w:val="center"/>
          </w:tcPr>
          <w:p w:rsidR="00884D05" w:rsidRPr="00414B59" w:rsidRDefault="00E04B69" w:rsidP="007D0833">
            <w:pPr>
              <w:pStyle w:val="Normal2"/>
              <w:spacing w:line="360" w:lineRule="auto"/>
              <w:rPr>
                <w:rFonts w:ascii="Century Gothic" w:hAnsi="Century Gothic" w:cs="Arial"/>
                <w:b/>
                <w:szCs w:val="24"/>
              </w:rPr>
            </w:pPr>
            <w:r>
              <w:rPr>
                <w:rFonts w:ascii="Century Gothic" w:hAnsi="Century Gothic" w:cs="Arial"/>
                <w:b/>
                <w:noProof/>
                <w:szCs w:val="24"/>
                <w:lang w:val="es-MX" w:eastAsia="es-MX"/>
              </w:rPr>
              <w:drawing>
                <wp:inline distT="0" distB="0" distL="0" distR="0">
                  <wp:extent cx="1123950" cy="1485900"/>
                  <wp:effectExtent l="19050" t="0" r="0" b="0"/>
                  <wp:docPr id="6" name="Imagen 6" descr="mthum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humb (1)"/>
                          <pic:cNvPicPr>
                            <a:picLocks noChangeAspect="1" noChangeArrowheads="1"/>
                          </pic:cNvPicPr>
                        </pic:nvPicPr>
                        <pic:blipFill>
                          <a:blip r:embed="rId13"/>
                          <a:srcRect/>
                          <a:stretch>
                            <a:fillRect/>
                          </a:stretch>
                        </pic:blipFill>
                        <pic:spPr bwMode="auto">
                          <a:xfrm>
                            <a:off x="0" y="0"/>
                            <a:ext cx="1123950" cy="1485900"/>
                          </a:xfrm>
                          <a:prstGeom prst="rect">
                            <a:avLst/>
                          </a:prstGeom>
                          <a:noFill/>
                          <a:ln w="9525">
                            <a:noFill/>
                            <a:miter lim="800000"/>
                            <a:headEnd/>
                            <a:tailEnd/>
                          </a:ln>
                        </pic:spPr>
                      </pic:pic>
                    </a:graphicData>
                  </a:graphic>
                </wp:inline>
              </w:drawing>
            </w:r>
          </w:p>
        </w:tc>
        <w:tc>
          <w:tcPr>
            <w:tcW w:w="2303" w:type="dxa"/>
            <w:vAlign w:val="center"/>
          </w:tcPr>
          <w:p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MARIO HUMBERTO VÁZQUEZ ROBLES</w:t>
            </w:r>
          </w:p>
          <w:p w:rsidR="00884D05" w:rsidRPr="00414B59"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SECRETARIO</w:t>
            </w:r>
          </w:p>
        </w:tc>
        <w:tc>
          <w:tcPr>
            <w:tcW w:w="1563" w:type="dxa"/>
            <w:vAlign w:val="center"/>
          </w:tcPr>
          <w:p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rsidR="00884D05" w:rsidRPr="00414B59" w:rsidRDefault="00884D05" w:rsidP="007D0833">
            <w:pPr>
              <w:pStyle w:val="Normal2"/>
              <w:spacing w:line="360" w:lineRule="auto"/>
              <w:rPr>
                <w:rFonts w:ascii="Century Gothic" w:hAnsi="Century Gothic" w:cs="Arial"/>
                <w:b/>
                <w:szCs w:val="24"/>
              </w:rPr>
            </w:pPr>
          </w:p>
        </w:tc>
      </w:tr>
      <w:tr w:rsidR="00884D05" w:rsidRPr="00414B59" w:rsidTr="008A6159">
        <w:trPr>
          <w:jc w:val="center"/>
        </w:trPr>
        <w:tc>
          <w:tcPr>
            <w:tcW w:w="2689" w:type="dxa"/>
            <w:vAlign w:val="center"/>
          </w:tcPr>
          <w:p w:rsidR="00884D05" w:rsidRPr="00414B59" w:rsidRDefault="00E04B69" w:rsidP="007D0833">
            <w:pPr>
              <w:pStyle w:val="Normal2"/>
              <w:spacing w:line="360" w:lineRule="auto"/>
              <w:rPr>
                <w:rFonts w:ascii="Century Gothic" w:hAnsi="Century Gothic" w:cs="Arial"/>
                <w:b/>
                <w:szCs w:val="24"/>
              </w:rPr>
            </w:pPr>
            <w:r>
              <w:rPr>
                <w:noProof/>
                <w:lang w:val="es-MX" w:eastAsia="es-MX"/>
              </w:rPr>
              <w:drawing>
                <wp:inline distT="0" distB="0" distL="0" distR="0">
                  <wp:extent cx="1114425" cy="1466850"/>
                  <wp:effectExtent l="19050" t="0" r="9525" b="0"/>
                  <wp:docPr id="7" name="Imagen 7" descr="CHAVEZ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VEZ MADRID"/>
                          <pic:cNvPicPr>
                            <a:picLocks noChangeAspect="1" noChangeArrowheads="1"/>
                          </pic:cNvPicPr>
                        </pic:nvPicPr>
                        <pic:blipFill>
                          <a:blip r:embed="rId14"/>
                          <a:srcRect/>
                          <a:stretch>
                            <a:fillRect/>
                          </a:stretch>
                        </pic:blipFill>
                        <pic:spPr bwMode="auto">
                          <a:xfrm>
                            <a:off x="0" y="0"/>
                            <a:ext cx="1114425" cy="1466850"/>
                          </a:xfrm>
                          <a:prstGeom prst="rect">
                            <a:avLst/>
                          </a:prstGeom>
                          <a:noFill/>
                          <a:ln w="9525">
                            <a:noFill/>
                            <a:miter lim="800000"/>
                            <a:headEnd/>
                            <a:tailEnd/>
                          </a:ln>
                        </pic:spPr>
                      </pic:pic>
                    </a:graphicData>
                  </a:graphic>
                </wp:inline>
              </w:drawing>
            </w:r>
          </w:p>
        </w:tc>
        <w:tc>
          <w:tcPr>
            <w:tcW w:w="2303" w:type="dxa"/>
            <w:vAlign w:val="center"/>
          </w:tcPr>
          <w:p w:rsidR="00884D05" w:rsidRPr="00414B59"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JOSÉ ALFREDO CHÁVEZ MADRID</w:t>
            </w:r>
          </w:p>
          <w:p w:rsidR="00884D05" w:rsidRPr="00414B59"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VOCAL</w:t>
            </w:r>
          </w:p>
        </w:tc>
        <w:tc>
          <w:tcPr>
            <w:tcW w:w="1563" w:type="dxa"/>
            <w:vAlign w:val="center"/>
          </w:tcPr>
          <w:p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rsidR="00884D05" w:rsidRPr="00414B59" w:rsidRDefault="00884D05" w:rsidP="007D0833">
            <w:pPr>
              <w:pStyle w:val="Normal2"/>
              <w:spacing w:line="360" w:lineRule="auto"/>
              <w:rPr>
                <w:rFonts w:ascii="Century Gothic" w:hAnsi="Century Gothic" w:cs="Arial"/>
                <w:b/>
                <w:szCs w:val="24"/>
              </w:rPr>
            </w:pPr>
          </w:p>
        </w:tc>
      </w:tr>
      <w:tr w:rsidR="00884D05" w:rsidRPr="00414B59" w:rsidTr="008A6159">
        <w:trPr>
          <w:jc w:val="center"/>
        </w:trPr>
        <w:tc>
          <w:tcPr>
            <w:tcW w:w="2689" w:type="dxa"/>
            <w:vAlign w:val="center"/>
          </w:tcPr>
          <w:p w:rsidR="00884D05" w:rsidRPr="00414B59" w:rsidRDefault="00E04B69" w:rsidP="007D0833">
            <w:pPr>
              <w:pStyle w:val="Normal2"/>
              <w:spacing w:line="360" w:lineRule="auto"/>
              <w:rPr>
                <w:rFonts w:ascii="Century Gothic" w:hAnsi="Century Gothic" w:cs="Arial"/>
                <w:b/>
                <w:szCs w:val="24"/>
              </w:rPr>
            </w:pPr>
            <w:r>
              <w:rPr>
                <w:rFonts w:ascii="Century Gothic" w:hAnsi="Century Gothic" w:cs="Arial"/>
                <w:b/>
                <w:noProof/>
                <w:szCs w:val="24"/>
                <w:lang w:val="es-MX" w:eastAsia="es-MX"/>
              </w:rPr>
              <w:lastRenderedPageBreak/>
              <w:drawing>
                <wp:inline distT="0" distB="0" distL="0" distR="0">
                  <wp:extent cx="1104900" cy="1466850"/>
                  <wp:effectExtent l="19050" t="0" r="0" b="0"/>
                  <wp:docPr id="8" name="Imagen 8" descr="GARCIA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CIA SOTO"/>
                          <pic:cNvPicPr>
                            <a:picLocks noChangeAspect="1" noChangeArrowheads="1"/>
                          </pic:cNvPicPr>
                        </pic:nvPicPr>
                        <pic:blipFill>
                          <a:blip r:embed="rId15"/>
                          <a:srcRect/>
                          <a:stretch>
                            <a:fillRect/>
                          </a:stretch>
                        </pic:blipFill>
                        <pic:spPr bwMode="auto">
                          <a:xfrm>
                            <a:off x="0" y="0"/>
                            <a:ext cx="1104900" cy="1466850"/>
                          </a:xfrm>
                          <a:prstGeom prst="rect">
                            <a:avLst/>
                          </a:prstGeom>
                          <a:noFill/>
                          <a:ln w="9525">
                            <a:noFill/>
                            <a:miter lim="800000"/>
                            <a:headEnd/>
                            <a:tailEnd/>
                          </a:ln>
                        </pic:spPr>
                      </pic:pic>
                    </a:graphicData>
                  </a:graphic>
                </wp:inline>
              </w:drawing>
            </w:r>
          </w:p>
        </w:tc>
        <w:tc>
          <w:tcPr>
            <w:tcW w:w="2303" w:type="dxa"/>
            <w:vAlign w:val="center"/>
          </w:tcPr>
          <w:p w:rsidR="00884D05"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ILSE AMÉRICA GARCÍA SOTO</w:t>
            </w:r>
          </w:p>
          <w:p w:rsidR="00884D05" w:rsidRPr="00414B59" w:rsidRDefault="00884D05" w:rsidP="007D0833">
            <w:pPr>
              <w:pStyle w:val="Normal2"/>
              <w:spacing w:line="360" w:lineRule="auto"/>
              <w:rPr>
                <w:rFonts w:ascii="Century Gothic" w:hAnsi="Century Gothic" w:cs="Arial"/>
                <w:b/>
                <w:sz w:val="22"/>
                <w:szCs w:val="22"/>
              </w:rPr>
            </w:pPr>
            <w:r w:rsidRPr="00414B59">
              <w:rPr>
                <w:rFonts w:ascii="Century Gothic" w:hAnsi="Century Gothic" w:cs="Arial"/>
                <w:b/>
                <w:sz w:val="22"/>
                <w:szCs w:val="22"/>
              </w:rPr>
              <w:t>VOCAL</w:t>
            </w:r>
          </w:p>
        </w:tc>
        <w:tc>
          <w:tcPr>
            <w:tcW w:w="1563" w:type="dxa"/>
            <w:vAlign w:val="center"/>
          </w:tcPr>
          <w:p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rsidR="00884D05" w:rsidRPr="00414B59" w:rsidRDefault="00884D05" w:rsidP="007D0833">
            <w:pPr>
              <w:pStyle w:val="Normal2"/>
              <w:spacing w:line="360" w:lineRule="auto"/>
              <w:rPr>
                <w:rFonts w:ascii="Century Gothic" w:hAnsi="Century Gothic" w:cs="Arial"/>
                <w:b/>
                <w:szCs w:val="24"/>
              </w:rPr>
            </w:pPr>
          </w:p>
        </w:tc>
      </w:tr>
      <w:tr w:rsidR="00884D05" w:rsidRPr="00414B59" w:rsidTr="008A6159">
        <w:trPr>
          <w:jc w:val="center"/>
        </w:trPr>
        <w:tc>
          <w:tcPr>
            <w:tcW w:w="2689" w:type="dxa"/>
            <w:vAlign w:val="center"/>
          </w:tcPr>
          <w:p w:rsidR="00884D05" w:rsidRPr="00414B59" w:rsidRDefault="00E04B69" w:rsidP="007D0833">
            <w:pPr>
              <w:pStyle w:val="Normal2"/>
              <w:spacing w:line="360" w:lineRule="auto"/>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extent cx="1085850" cy="1438275"/>
                  <wp:effectExtent l="19050" t="0" r="0" b="0"/>
                  <wp:docPr id="9" name="Imagen 9" descr="R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VAS"/>
                          <pic:cNvPicPr>
                            <a:picLocks noChangeAspect="1" noChangeArrowheads="1"/>
                          </pic:cNvPicPr>
                        </pic:nvPicPr>
                        <pic:blipFill>
                          <a:blip r:embed="rId16"/>
                          <a:srcRect/>
                          <a:stretch>
                            <a:fillRect/>
                          </a:stretch>
                        </pic:blipFill>
                        <pic:spPr bwMode="auto">
                          <a:xfrm>
                            <a:off x="0" y="0"/>
                            <a:ext cx="1085850" cy="1438275"/>
                          </a:xfrm>
                          <a:prstGeom prst="rect">
                            <a:avLst/>
                          </a:prstGeom>
                          <a:noFill/>
                          <a:ln w="9525">
                            <a:noFill/>
                            <a:miter lim="800000"/>
                            <a:headEnd/>
                            <a:tailEnd/>
                          </a:ln>
                        </pic:spPr>
                      </pic:pic>
                    </a:graphicData>
                  </a:graphic>
                </wp:inline>
              </w:drawing>
            </w:r>
          </w:p>
        </w:tc>
        <w:tc>
          <w:tcPr>
            <w:tcW w:w="2303" w:type="dxa"/>
            <w:vAlign w:val="center"/>
          </w:tcPr>
          <w:p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DIP</w:t>
            </w:r>
            <w:r w:rsidR="00AD6723">
              <w:rPr>
                <w:rFonts w:ascii="Century Gothic" w:hAnsi="Century Gothic" w:cs="Arial"/>
                <w:b/>
                <w:sz w:val="22"/>
                <w:szCs w:val="22"/>
              </w:rPr>
              <w:t>.</w:t>
            </w:r>
            <w:bookmarkStart w:id="6" w:name="_GoBack"/>
            <w:bookmarkEnd w:id="6"/>
            <w:r>
              <w:rPr>
                <w:rFonts w:ascii="Century Gothic" w:hAnsi="Century Gothic" w:cs="Arial"/>
                <w:b/>
                <w:sz w:val="22"/>
                <w:szCs w:val="22"/>
              </w:rPr>
              <w:t xml:space="preserve"> </w:t>
            </w:r>
            <w:r w:rsidRPr="00657AE8">
              <w:rPr>
                <w:rFonts w:ascii="Century Gothic" w:hAnsi="Century Gothic" w:cs="Arial"/>
                <w:b/>
                <w:sz w:val="22"/>
                <w:szCs w:val="22"/>
              </w:rPr>
              <w:t>CARLA YAMILETH RIVAS MARTÍNEZ</w:t>
            </w:r>
          </w:p>
          <w:p w:rsidR="00884D05" w:rsidRPr="00414B59"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rsidR="00884D05" w:rsidRPr="00414B59" w:rsidRDefault="00884D05" w:rsidP="007D0833">
            <w:pPr>
              <w:pStyle w:val="Normal2"/>
              <w:spacing w:line="360" w:lineRule="auto"/>
              <w:rPr>
                <w:rFonts w:ascii="Century Gothic" w:hAnsi="Century Gothic" w:cs="Arial"/>
                <w:b/>
                <w:szCs w:val="24"/>
              </w:rPr>
            </w:pPr>
          </w:p>
        </w:tc>
      </w:tr>
      <w:tr w:rsidR="00884D05" w:rsidRPr="00414B59" w:rsidTr="008A6159">
        <w:trPr>
          <w:jc w:val="center"/>
        </w:trPr>
        <w:tc>
          <w:tcPr>
            <w:tcW w:w="2689" w:type="dxa"/>
            <w:vAlign w:val="center"/>
          </w:tcPr>
          <w:p w:rsidR="00884D05" w:rsidRPr="00414B59" w:rsidRDefault="00E04B69" w:rsidP="007D0833">
            <w:pPr>
              <w:pStyle w:val="Normal2"/>
              <w:spacing w:line="360" w:lineRule="auto"/>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extent cx="1190625" cy="1581150"/>
                  <wp:effectExtent l="19050" t="0" r="9525" b="0"/>
                  <wp:docPr id="10" name="Imagen 10" descr="PIÑ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ÑON"/>
                          <pic:cNvPicPr>
                            <a:picLocks noChangeAspect="1" noChangeArrowheads="1"/>
                          </pic:cNvPicPr>
                        </pic:nvPicPr>
                        <pic:blipFill>
                          <a:blip r:embed="rId17"/>
                          <a:srcRect/>
                          <a:stretch>
                            <a:fillRect/>
                          </a:stretch>
                        </pic:blipFill>
                        <pic:spPr bwMode="auto">
                          <a:xfrm>
                            <a:off x="0" y="0"/>
                            <a:ext cx="1190625" cy="1581150"/>
                          </a:xfrm>
                          <a:prstGeom prst="rect">
                            <a:avLst/>
                          </a:prstGeom>
                          <a:noFill/>
                          <a:ln w="9525">
                            <a:noFill/>
                            <a:miter lim="800000"/>
                            <a:headEnd/>
                            <a:tailEnd/>
                          </a:ln>
                        </pic:spPr>
                      </pic:pic>
                    </a:graphicData>
                  </a:graphic>
                </wp:inline>
              </w:drawing>
            </w:r>
          </w:p>
        </w:tc>
        <w:tc>
          <w:tcPr>
            <w:tcW w:w="2303" w:type="dxa"/>
            <w:vAlign w:val="center"/>
          </w:tcPr>
          <w:p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EDGAR JOSÉ PIÑÓN DOMÍNGUEZ</w:t>
            </w:r>
          </w:p>
          <w:p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rsidR="00884D05" w:rsidRPr="00414B59" w:rsidRDefault="00884D05" w:rsidP="007D0833">
            <w:pPr>
              <w:pStyle w:val="Normal2"/>
              <w:spacing w:line="360" w:lineRule="auto"/>
              <w:rPr>
                <w:rFonts w:ascii="Century Gothic" w:hAnsi="Century Gothic" w:cs="Arial"/>
                <w:b/>
                <w:szCs w:val="24"/>
              </w:rPr>
            </w:pPr>
          </w:p>
        </w:tc>
      </w:tr>
      <w:tr w:rsidR="00884D05" w:rsidRPr="00414B59" w:rsidTr="008A6159">
        <w:trPr>
          <w:jc w:val="center"/>
        </w:trPr>
        <w:tc>
          <w:tcPr>
            <w:tcW w:w="2689" w:type="dxa"/>
            <w:vAlign w:val="center"/>
          </w:tcPr>
          <w:p w:rsidR="00884D05" w:rsidRPr="00414B59" w:rsidRDefault="00E04B69" w:rsidP="007D0833">
            <w:pPr>
              <w:pStyle w:val="Normal2"/>
              <w:spacing w:line="360" w:lineRule="auto"/>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extent cx="1171575" cy="1552575"/>
                  <wp:effectExtent l="19050" t="0" r="9525" b="0"/>
                  <wp:docPr id="11" name="Imagen 11" descr="CAR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RERA"/>
                          <pic:cNvPicPr>
                            <a:picLocks noChangeAspect="1" noChangeArrowheads="1"/>
                          </pic:cNvPicPr>
                        </pic:nvPicPr>
                        <pic:blipFill>
                          <a:blip r:embed="rId18"/>
                          <a:srcRect/>
                          <a:stretch>
                            <a:fillRect/>
                          </a:stretch>
                        </pic:blipFill>
                        <pic:spPr bwMode="auto">
                          <a:xfrm>
                            <a:off x="0" y="0"/>
                            <a:ext cx="1171575" cy="1552575"/>
                          </a:xfrm>
                          <a:prstGeom prst="rect">
                            <a:avLst/>
                          </a:prstGeom>
                          <a:noFill/>
                          <a:ln w="9525">
                            <a:noFill/>
                            <a:miter lim="800000"/>
                            <a:headEnd/>
                            <a:tailEnd/>
                          </a:ln>
                        </pic:spPr>
                      </pic:pic>
                    </a:graphicData>
                  </a:graphic>
                </wp:inline>
              </w:drawing>
            </w:r>
          </w:p>
        </w:tc>
        <w:tc>
          <w:tcPr>
            <w:tcW w:w="2303" w:type="dxa"/>
            <w:vAlign w:val="center"/>
          </w:tcPr>
          <w:p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BENJAMÍN CARRERA CHÁVEZ</w:t>
            </w:r>
          </w:p>
          <w:p w:rsidR="00884D05" w:rsidRDefault="00884D05" w:rsidP="007D0833">
            <w:pPr>
              <w:pStyle w:val="Normal2"/>
              <w:spacing w:line="360" w:lineRule="auto"/>
              <w:rPr>
                <w:rFonts w:ascii="Century Gothic" w:hAnsi="Century Gothic" w:cs="Arial"/>
                <w:b/>
                <w:sz w:val="22"/>
                <w:szCs w:val="22"/>
              </w:rPr>
            </w:pPr>
            <w:r>
              <w:rPr>
                <w:rFonts w:ascii="Century Gothic" w:hAnsi="Century Gothic" w:cs="Arial"/>
                <w:b/>
                <w:sz w:val="22"/>
                <w:szCs w:val="22"/>
              </w:rPr>
              <w:t>VOCAL</w:t>
            </w:r>
          </w:p>
        </w:tc>
        <w:tc>
          <w:tcPr>
            <w:tcW w:w="1563" w:type="dxa"/>
            <w:vAlign w:val="center"/>
          </w:tcPr>
          <w:p w:rsidR="00884D05" w:rsidRPr="00414B59" w:rsidRDefault="00884D05" w:rsidP="007D0833">
            <w:pPr>
              <w:pStyle w:val="Normal2"/>
              <w:spacing w:line="360" w:lineRule="auto"/>
              <w:rPr>
                <w:rFonts w:ascii="Century Gothic" w:hAnsi="Century Gothic" w:cs="Arial"/>
                <w:b/>
                <w:szCs w:val="24"/>
              </w:rPr>
            </w:pPr>
          </w:p>
        </w:tc>
        <w:tc>
          <w:tcPr>
            <w:tcW w:w="1612" w:type="dxa"/>
            <w:vAlign w:val="center"/>
          </w:tcPr>
          <w:p w:rsidR="00884D05" w:rsidRPr="00414B59" w:rsidRDefault="00884D05" w:rsidP="007D0833">
            <w:pPr>
              <w:pStyle w:val="Normal2"/>
              <w:spacing w:line="360" w:lineRule="auto"/>
              <w:rPr>
                <w:rFonts w:ascii="Century Gothic" w:hAnsi="Century Gothic" w:cs="Arial"/>
                <w:b/>
                <w:szCs w:val="24"/>
              </w:rPr>
            </w:pPr>
          </w:p>
        </w:tc>
        <w:tc>
          <w:tcPr>
            <w:tcW w:w="1757" w:type="dxa"/>
            <w:vAlign w:val="center"/>
          </w:tcPr>
          <w:p w:rsidR="00884D05" w:rsidRPr="00414B59" w:rsidRDefault="00884D05" w:rsidP="007D0833">
            <w:pPr>
              <w:pStyle w:val="Normal2"/>
              <w:spacing w:line="360" w:lineRule="auto"/>
              <w:rPr>
                <w:rFonts w:ascii="Century Gothic" w:hAnsi="Century Gothic" w:cs="Arial"/>
                <w:b/>
                <w:szCs w:val="24"/>
              </w:rPr>
            </w:pPr>
          </w:p>
        </w:tc>
      </w:tr>
    </w:tbl>
    <w:p w:rsidR="00451389" w:rsidRDefault="00884D05" w:rsidP="00AF7058">
      <w:pPr>
        <w:rPr>
          <w:rFonts w:ascii="Century Gothic" w:hAnsi="Century Gothic"/>
          <w:b/>
          <w:szCs w:val="24"/>
        </w:rPr>
      </w:pPr>
      <w:r w:rsidRPr="00414B59">
        <w:rPr>
          <w:rFonts w:ascii="Century Gothic" w:hAnsi="Century Gothic"/>
          <w:sz w:val="12"/>
          <w:szCs w:val="12"/>
        </w:rPr>
        <w:t xml:space="preserve">Hoja de firmas perteneciente al Dictamen relativo a la </w:t>
      </w:r>
      <w:r w:rsidRPr="00884D05">
        <w:rPr>
          <w:rFonts w:ascii="Century Gothic" w:hAnsi="Century Gothic"/>
          <w:sz w:val="12"/>
          <w:szCs w:val="12"/>
        </w:rPr>
        <w:t>Iniciativa con carácter de Decreto, por medio de la cual remite la Iniciativa de Fortalecimiento Financiero</w:t>
      </w:r>
      <w:r w:rsidRPr="00272978">
        <w:rPr>
          <w:rFonts w:ascii="Century Gothic" w:hAnsi="Century Gothic"/>
          <w:sz w:val="12"/>
          <w:szCs w:val="12"/>
        </w:rPr>
        <w:t>.</w:t>
      </w:r>
    </w:p>
    <w:sectPr w:rsidR="00451389" w:rsidSect="003042CE">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88" w:rsidRDefault="00D81E88" w:rsidP="006856B5">
      <w:pPr>
        <w:spacing w:after="0" w:line="240" w:lineRule="auto"/>
      </w:pPr>
      <w:r>
        <w:separator/>
      </w:r>
    </w:p>
  </w:endnote>
  <w:endnote w:type="continuationSeparator" w:id="0">
    <w:p w:rsidR="00D81E88" w:rsidRDefault="00D81E88" w:rsidP="0068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7A" w:rsidRDefault="008B637A" w:rsidP="007C0D2D">
    <w:pPr>
      <w:pStyle w:val="Piedepgina"/>
      <w:jc w:val="center"/>
    </w:pPr>
  </w:p>
  <w:p w:rsidR="008B637A" w:rsidRDefault="008B637A" w:rsidP="007C0D2D">
    <w:pPr>
      <w:pStyle w:val="Piedepgina"/>
      <w:jc w:val="right"/>
      <w:rPr>
        <w:sz w:val="16"/>
        <w:szCs w:val="16"/>
        <w:lang w:val="en-US"/>
      </w:rPr>
    </w:pPr>
    <w:r>
      <w:rPr>
        <w:sz w:val="16"/>
        <w:szCs w:val="16"/>
        <w:lang w:val="en-US"/>
      </w:rPr>
      <w:t>A558/ERS/GAOR/JRMC/ASC</w:t>
    </w:r>
  </w:p>
  <w:p w:rsidR="008B637A" w:rsidRPr="007C0D2D" w:rsidRDefault="008B637A" w:rsidP="007C0D2D">
    <w:pPr>
      <w:pStyle w:val="Piedepgin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88" w:rsidRDefault="00D81E88" w:rsidP="006856B5">
      <w:pPr>
        <w:spacing w:after="0" w:line="240" w:lineRule="auto"/>
      </w:pPr>
      <w:r>
        <w:separator/>
      </w:r>
    </w:p>
  </w:footnote>
  <w:footnote w:type="continuationSeparator" w:id="0">
    <w:p w:rsidR="00D81E88" w:rsidRDefault="00D81E88" w:rsidP="00685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37A" w:rsidRPr="00AE708E" w:rsidRDefault="008B637A" w:rsidP="00AE708E">
    <w:pPr>
      <w:spacing w:after="0" w:line="240" w:lineRule="auto"/>
      <w:jc w:val="right"/>
      <w:rPr>
        <w:rFonts w:ascii="Arial" w:hAnsi="Arial" w:cs="Arial"/>
        <w:b/>
        <w:sz w:val="18"/>
        <w:szCs w:val="18"/>
        <w:lang w:val="es-ES"/>
      </w:rPr>
    </w:pPr>
    <w:r w:rsidRPr="00AE708E">
      <w:rPr>
        <w:rFonts w:ascii="Arial" w:hAnsi="Arial" w:cs="Arial"/>
        <w:b/>
        <w:bCs/>
        <w:i/>
        <w:sz w:val="18"/>
        <w:szCs w:val="18"/>
        <w:lang w:val="es-ES"/>
      </w:rPr>
      <w:t xml:space="preserve">“2021, Año del Bicentenario de la Consumación de la </w:t>
    </w:r>
  </w:p>
  <w:p w:rsidR="008B637A" w:rsidRPr="00AE708E" w:rsidRDefault="008B637A" w:rsidP="00AE708E">
    <w:pPr>
      <w:spacing w:after="0" w:line="240" w:lineRule="auto"/>
      <w:jc w:val="right"/>
      <w:rPr>
        <w:rFonts w:ascii="Arial" w:hAnsi="Arial" w:cs="Arial"/>
        <w:b/>
        <w:bCs/>
        <w:i/>
        <w:sz w:val="18"/>
        <w:szCs w:val="18"/>
        <w:lang w:val="es-ES"/>
      </w:rPr>
    </w:pPr>
    <w:r w:rsidRPr="00AE708E">
      <w:rPr>
        <w:rFonts w:ascii="Arial" w:hAnsi="Arial" w:cs="Arial"/>
        <w:b/>
        <w:bCs/>
        <w:i/>
        <w:sz w:val="18"/>
        <w:szCs w:val="18"/>
        <w:lang w:val="es-ES"/>
      </w:rPr>
      <w:t>Independencia de México”</w:t>
    </w:r>
  </w:p>
  <w:p w:rsidR="008B637A" w:rsidRPr="00AE708E" w:rsidRDefault="008B637A" w:rsidP="00AE708E">
    <w:pPr>
      <w:spacing w:after="0" w:line="240" w:lineRule="auto"/>
      <w:jc w:val="right"/>
      <w:rPr>
        <w:rFonts w:ascii="Arial" w:hAnsi="Arial" w:cs="Arial"/>
        <w:b/>
        <w:bCs/>
        <w:i/>
        <w:sz w:val="18"/>
        <w:szCs w:val="18"/>
        <w:lang w:val="es-ES"/>
      </w:rPr>
    </w:pPr>
  </w:p>
  <w:p w:rsidR="008B637A" w:rsidRPr="00AE708E" w:rsidRDefault="008B637A" w:rsidP="00AE708E">
    <w:pPr>
      <w:spacing w:after="0" w:line="240" w:lineRule="auto"/>
      <w:jc w:val="right"/>
      <w:rPr>
        <w:rFonts w:ascii="Arial" w:hAnsi="Arial" w:cs="Arial"/>
        <w:b/>
        <w:sz w:val="18"/>
        <w:szCs w:val="18"/>
        <w:lang w:val="es-ES"/>
      </w:rPr>
    </w:pPr>
    <w:r w:rsidRPr="00AE708E">
      <w:rPr>
        <w:rFonts w:ascii="Arial" w:hAnsi="Arial" w:cs="Arial"/>
        <w:b/>
        <w:bCs/>
        <w:i/>
        <w:sz w:val="18"/>
        <w:szCs w:val="18"/>
        <w:lang w:val="es-ES"/>
      </w:rPr>
      <w:t>“2021, Año de las Culturas del Norte”</w:t>
    </w:r>
  </w:p>
  <w:p w:rsidR="008B637A" w:rsidRPr="00AE708E" w:rsidRDefault="008B637A" w:rsidP="00AE708E">
    <w:pPr>
      <w:spacing w:after="0" w:line="240" w:lineRule="auto"/>
      <w:jc w:val="right"/>
      <w:rPr>
        <w:rFonts w:ascii="Arial" w:hAnsi="Arial" w:cs="Arial"/>
        <w:b/>
        <w:sz w:val="18"/>
        <w:szCs w:val="18"/>
      </w:rPr>
    </w:pPr>
  </w:p>
  <w:p w:rsidR="008B637A" w:rsidRDefault="008B637A" w:rsidP="006856B5">
    <w:pPr>
      <w:spacing w:after="0" w:line="240" w:lineRule="auto"/>
      <w:jc w:val="right"/>
      <w:rPr>
        <w:rFonts w:ascii="Century Gothic" w:hAnsi="Century Gothic"/>
        <w:sz w:val="18"/>
        <w:szCs w:val="18"/>
      </w:rPr>
    </w:pPr>
  </w:p>
  <w:p w:rsidR="008B637A" w:rsidRDefault="008B637A" w:rsidP="006856B5">
    <w:pPr>
      <w:pStyle w:val="Encabezado"/>
      <w:jc w:val="right"/>
      <w:rPr>
        <w:rFonts w:ascii="Century Gothic" w:hAnsi="Century Gothic"/>
        <w:sz w:val="28"/>
        <w:szCs w:val="28"/>
      </w:rPr>
    </w:pPr>
    <w:r>
      <w:rPr>
        <w:rFonts w:ascii="Century Gothic" w:hAnsi="Century Gothic" w:cs="Tahoma"/>
        <w:b/>
        <w:bCs/>
        <w:sz w:val="28"/>
        <w:szCs w:val="28"/>
        <w:shd w:val="clear" w:color="auto" w:fill="FFFFFF"/>
      </w:rPr>
      <w:t xml:space="preserve">Comisión de </w:t>
    </w:r>
    <w:r w:rsidRPr="00AE708E">
      <w:rPr>
        <w:rFonts w:ascii="Century Gothic" w:hAnsi="Century Gothic" w:cs="Tahoma"/>
        <w:b/>
        <w:bCs/>
        <w:sz w:val="28"/>
        <w:szCs w:val="28"/>
        <w:shd w:val="clear" w:color="auto" w:fill="FFFFFF"/>
      </w:rPr>
      <w:t>Programación, Presupuesto y Hacienda Pública</w:t>
    </w:r>
  </w:p>
  <w:p w:rsidR="008B637A" w:rsidRDefault="008B637A" w:rsidP="006856B5">
    <w:pPr>
      <w:pStyle w:val="Normal1"/>
      <w:spacing w:line="360" w:lineRule="auto"/>
      <w:jc w:val="right"/>
      <w:rPr>
        <w:rFonts w:ascii="Century Gothic" w:hAnsi="Century Gothic" w:cs="Arial"/>
        <w:b/>
        <w:szCs w:val="24"/>
        <w:lang w:val="es-MX"/>
      </w:rPr>
    </w:pPr>
    <w:r>
      <w:rPr>
        <w:rFonts w:ascii="Century Gothic" w:hAnsi="Century Gothic" w:cs="Arial"/>
        <w:b/>
        <w:szCs w:val="24"/>
        <w:lang w:val="es-MX"/>
      </w:rPr>
      <w:t>LXVII LEGISLATURA</w:t>
    </w:r>
  </w:p>
  <w:p w:rsidR="008B637A" w:rsidRPr="00876443" w:rsidRDefault="008B637A" w:rsidP="006856B5">
    <w:pPr>
      <w:pStyle w:val="Prrafodelista"/>
      <w:spacing w:line="360" w:lineRule="auto"/>
      <w:jc w:val="right"/>
      <w:rPr>
        <w:rFonts w:ascii="Century Gothic" w:hAnsi="Century Gothic" w:cs="Calibri"/>
        <w:b/>
        <w:sz w:val="24"/>
        <w:szCs w:val="24"/>
      </w:rPr>
    </w:pPr>
    <w:r>
      <w:rPr>
        <w:rFonts w:ascii="Century Gothic" w:hAnsi="Century Gothic" w:cs="Calibri"/>
        <w:b/>
        <w:sz w:val="24"/>
        <w:szCs w:val="24"/>
      </w:rPr>
      <w:t>DCPPHP/07/2021</w:t>
    </w:r>
  </w:p>
  <w:p w:rsidR="008B637A" w:rsidRDefault="008B63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BA9"/>
    <w:multiLevelType w:val="hybridMultilevel"/>
    <w:tmpl w:val="2690D1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52E41"/>
    <w:multiLevelType w:val="hybridMultilevel"/>
    <w:tmpl w:val="D8DC09C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735C2D"/>
    <w:multiLevelType w:val="hybridMultilevel"/>
    <w:tmpl w:val="F7147C02"/>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571617F"/>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059F5C6E"/>
    <w:multiLevelType w:val="hybridMultilevel"/>
    <w:tmpl w:val="8960C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3E04A1"/>
    <w:multiLevelType w:val="hybridMultilevel"/>
    <w:tmpl w:val="04C0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387EE9"/>
    <w:multiLevelType w:val="hybridMultilevel"/>
    <w:tmpl w:val="2690D1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C20246"/>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F210A2"/>
    <w:multiLevelType w:val="hybridMultilevel"/>
    <w:tmpl w:val="2690D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6F7048"/>
    <w:multiLevelType w:val="hybridMultilevel"/>
    <w:tmpl w:val="C76E3A76"/>
    <w:lvl w:ilvl="0" w:tplc="23143AE0">
      <w:start w:val="1"/>
      <w:numFmt w:val="lowerLetter"/>
      <w:lvlText w:val="%1)"/>
      <w:lvlJc w:val="left"/>
      <w:pPr>
        <w:ind w:left="927" w:hanging="360"/>
      </w:pPr>
      <w:rPr>
        <w:rFonts w:hint="default"/>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1D6611F"/>
    <w:multiLevelType w:val="hybridMultilevel"/>
    <w:tmpl w:val="6F0C7DDC"/>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F03D76"/>
    <w:multiLevelType w:val="hybridMultilevel"/>
    <w:tmpl w:val="56403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C227023"/>
    <w:multiLevelType w:val="hybridMultilevel"/>
    <w:tmpl w:val="9F0613E8"/>
    <w:lvl w:ilvl="0" w:tplc="A49EC0F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D6F63"/>
    <w:multiLevelType w:val="hybridMultilevel"/>
    <w:tmpl w:val="F8043CEC"/>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1E7A6CD0"/>
    <w:multiLevelType w:val="hybridMultilevel"/>
    <w:tmpl w:val="EFC4CD56"/>
    <w:lvl w:ilvl="0" w:tplc="1C7280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473138F"/>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F46852"/>
    <w:multiLevelType w:val="hybridMultilevel"/>
    <w:tmpl w:val="19F67702"/>
    <w:lvl w:ilvl="0" w:tplc="080A0013">
      <w:start w:val="1"/>
      <w:numFmt w:val="upperRoman"/>
      <w:lvlText w:val="%1."/>
      <w:lvlJc w:val="righ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3652300F"/>
    <w:multiLevelType w:val="hybridMultilevel"/>
    <w:tmpl w:val="84AE8B2C"/>
    <w:lvl w:ilvl="0" w:tplc="43906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C178E4"/>
    <w:multiLevelType w:val="hybridMultilevel"/>
    <w:tmpl w:val="2EDCF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802721"/>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3C4321A5"/>
    <w:multiLevelType w:val="hybridMultilevel"/>
    <w:tmpl w:val="908E204E"/>
    <w:lvl w:ilvl="0" w:tplc="25FA2A48">
      <w:start w:val="3"/>
      <w:numFmt w:val="lowerLetter"/>
      <w:lvlText w:val="%1)"/>
      <w:lvlJc w:val="left"/>
      <w:pPr>
        <w:ind w:left="72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3CD44026"/>
    <w:multiLevelType w:val="hybridMultilevel"/>
    <w:tmpl w:val="5CB4B952"/>
    <w:lvl w:ilvl="0" w:tplc="ED92B036">
      <w:start w:val="3"/>
      <w:numFmt w:val="lowerLetter"/>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B05EE9"/>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3" w15:restartNumberingAfterBreak="0">
    <w:nsid w:val="457F6C7E"/>
    <w:multiLevelType w:val="hybridMultilevel"/>
    <w:tmpl w:val="ECBC9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6834AA"/>
    <w:multiLevelType w:val="multilevel"/>
    <w:tmpl w:val="E9B0B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8B32AE"/>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EA1283"/>
    <w:multiLevelType w:val="hybridMultilevel"/>
    <w:tmpl w:val="B02291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F3677B"/>
    <w:multiLevelType w:val="hybridMultilevel"/>
    <w:tmpl w:val="19F67702"/>
    <w:lvl w:ilvl="0" w:tplc="080A0013">
      <w:start w:val="1"/>
      <w:numFmt w:val="upperRoman"/>
      <w:lvlText w:val="%1."/>
      <w:lvlJc w:val="righ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5832422F"/>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5C0E41CE"/>
    <w:multiLevelType w:val="hybridMultilevel"/>
    <w:tmpl w:val="C4184CE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60B97697"/>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15:restartNumberingAfterBreak="0">
    <w:nsid w:val="65DE547F"/>
    <w:multiLevelType w:val="hybridMultilevel"/>
    <w:tmpl w:val="820478E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835CBD"/>
    <w:multiLevelType w:val="hybridMultilevel"/>
    <w:tmpl w:val="28F82398"/>
    <w:lvl w:ilvl="0" w:tplc="8C4A9E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F15E9D"/>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73AA7FA7"/>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BD6D68"/>
    <w:multiLevelType w:val="hybridMultilevel"/>
    <w:tmpl w:val="54A81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CBF09E3"/>
    <w:multiLevelType w:val="hybridMultilevel"/>
    <w:tmpl w:val="5BDA2A3A"/>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15:restartNumberingAfterBreak="0">
    <w:nsid w:val="7E5029D4"/>
    <w:multiLevelType w:val="hybridMultilevel"/>
    <w:tmpl w:val="2EDCF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4"/>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num>
  <w:num w:numId="15">
    <w:abstractNumId w:val="7"/>
  </w:num>
  <w:num w:numId="16">
    <w:abstractNumId w:val="13"/>
  </w:num>
  <w:num w:numId="17">
    <w:abstractNumId w:val="9"/>
  </w:num>
  <w:num w:numId="18">
    <w:abstractNumId w:val="18"/>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0"/>
  </w:num>
  <w:num w:numId="27">
    <w:abstractNumId w:val="6"/>
  </w:num>
  <w:num w:numId="28">
    <w:abstractNumId w:val="20"/>
  </w:num>
  <w:num w:numId="29">
    <w:abstractNumId w:val="3"/>
  </w:num>
  <w:num w:numId="30">
    <w:abstractNumId w:val="19"/>
  </w:num>
  <w:num w:numId="31">
    <w:abstractNumId w:val="28"/>
  </w:num>
  <w:num w:numId="32">
    <w:abstractNumId w:val="10"/>
  </w:num>
  <w:num w:numId="33">
    <w:abstractNumId w:val="34"/>
  </w:num>
  <w:num w:numId="34">
    <w:abstractNumId w:val="2"/>
  </w:num>
  <w:num w:numId="35">
    <w:abstractNumId w:val="27"/>
  </w:num>
  <w:num w:numId="36">
    <w:abstractNumId w:val="12"/>
  </w:num>
  <w:num w:numId="37">
    <w:abstractNumId w:val="21"/>
  </w:num>
  <w:num w:numId="38">
    <w:abstractNumId w:val="37"/>
  </w:num>
  <w:num w:numId="39">
    <w:abstractNumId w:val="16"/>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5"/>
    <w:rsid w:val="0000415F"/>
    <w:rsid w:val="00012E63"/>
    <w:rsid w:val="00013560"/>
    <w:rsid w:val="00020D1F"/>
    <w:rsid w:val="00021020"/>
    <w:rsid w:val="00027181"/>
    <w:rsid w:val="0002761B"/>
    <w:rsid w:val="000300C0"/>
    <w:rsid w:val="0003676D"/>
    <w:rsid w:val="00036AE1"/>
    <w:rsid w:val="00045857"/>
    <w:rsid w:val="00054777"/>
    <w:rsid w:val="0005625E"/>
    <w:rsid w:val="00070CC2"/>
    <w:rsid w:val="00073049"/>
    <w:rsid w:val="00075DEF"/>
    <w:rsid w:val="00082321"/>
    <w:rsid w:val="000829EA"/>
    <w:rsid w:val="00090286"/>
    <w:rsid w:val="000933F9"/>
    <w:rsid w:val="000A0D5B"/>
    <w:rsid w:val="000A68A9"/>
    <w:rsid w:val="000B3DD0"/>
    <w:rsid w:val="000C6BC4"/>
    <w:rsid w:val="000C7A93"/>
    <w:rsid w:val="000E413D"/>
    <w:rsid w:val="000E437A"/>
    <w:rsid w:val="000F200E"/>
    <w:rsid w:val="000F2F10"/>
    <w:rsid w:val="000F712E"/>
    <w:rsid w:val="00100614"/>
    <w:rsid w:val="00100ECD"/>
    <w:rsid w:val="00104180"/>
    <w:rsid w:val="001074F0"/>
    <w:rsid w:val="00111806"/>
    <w:rsid w:val="00113ECD"/>
    <w:rsid w:val="00117A79"/>
    <w:rsid w:val="00120147"/>
    <w:rsid w:val="00126B4A"/>
    <w:rsid w:val="001370A0"/>
    <w:rsid w:val="00140930"/>
    <w:rsid w:val="001457AA"/>
    <w:rsid w:val="00150BFF"/>
    <w:rsid w:val="001527DB"/>
    <w:rsid w:val="00160190"/>
    <w:rsid w:val="00160B24"/>
    <w:rsid w:val="0016350D"/>
    <w:rsid w:val="00166C60"/>
    <w:rsid w:val="00171A72"/>
    <w:rsid w:val="00175723"/>
    <w:rsid w:val="0018367C"/>
    <w:rsid w:val="00184A54"/>
    <w:rsid w:val="00187E23"/>
    <w:rsid w:val="00191968"/>
    <w:rsid w:val="00192282"/>
    <w:rsid w:val="00195784"/>
    <w:rsid w:val="001A0994"/>
    <w:rsid w:val="001A1350"/>
    <w:rsid w:val="001A733F"/>
    <w:rsid w:val="001B0220"/>
    <w:rsid w:val="001B0E85"/>
    <w:rsid w:val="001C4815"/>
    <w:rsid w:val="001D2CD5"/>
    <w:rsid w:val="001E3BCB"/>
    <w:rsid w:val="0020450B"/>
    <w:rsid w:val="00206AFB"/>
    <w:rsid w:val="002111E6"/>
    <w:rsid w:val="00224DBB"/>
    <w:rsid w:val="00233189"/>
    <w:rsid w:val="00234487"/>
    <w:rsid w:val="0024226A"/>
    <w:rsid w:val="00244724"/>
    <w:rsid w:val="00250A9A"/>
    <w:rsid w:val="00250D6F"/>
    <w:rsid w:val="00253065"/>
    <w:rsid w:val="00253743"/>
    <w:rsid w:val="00265BDA"/>
    <w:rsid w:val="00266DD2"/>
    <w:rsid w:val="00267058"/>
    <w:rsid w:val="002710B1"/>
    <w:rsid w:val="002710E2"/>
    <w:rsid w:val="002720C4"/>
    <w:rsid w:val="00272978"/>
    <w:rsid w:val="00282DC9"/>
    <w:rsid w:val="00284BB6"/>
    <w:rsid w:val="00290F96"/>
    <w:rsid w:val="00291711"/>
    <w:rsid w:val="002A0F93"/>
    <w:rsid w:val="002A4609"/>
    <w:rsid w:val="002B3EF9"/>
    <w:rsid w:val="002B41DD"/>
    <w:rsid w:val="002C42F1"/>
    <w:rsid w:val="002C4A92"/>
    <w:rsid w:val="002C6FFE"/>
    <w:rsid w:val="002C71F2"/>
    <w:rsid w:val="002C7345"/>
    <w:rsid w:val="002D05D2"/>
    <w:rsid w:val="002D0872"/>
    <w:rsid w:val="002D1211"/>
    <w:rsid w:val="002D1565"/>
    <w:rsid w:val="002D7093"/>
    <w:rsid w:val="002E122B"/>
    <w:rsid w:val="002E618D"/>
    <w:rsid w:val="002E7B83"/>
    <w:rsid w:val="002E7B9C"/>
    <w:rsid w:val="002F1147"/>
    <w:rsid w:val="002F5C65"/>
    <w:rsid w:val="002F5D17"/>
    <w:rsid w:val="003042CE"/>
    <w:rsid w:val="003062D4"/>
    <w:rsid w:val="003079DE"/>
    <w:rsid w:val="00310794"/>
    <w:rsid w:val="00310A8B"/>
    <w:rsid w:val="00315E05"/>
    <w:rsid w:val="003176CD"/>
    <w:rsid w:val="00317735"/>
    <w:rsid w:val="00327579"/>
    <w:rsid w:val="00330D4B"/>
    <w:rsid w:val="0033126B"/>
    <w:rsid w:val="003401E7"/>
    <w:rsid w:val="003422A7"/>
    <w:rsid w:val="0034517E"/>
    <w:rsid w:val="00350123"/>
    <w:rsid w:val="00351049"/>
    <w:rsid w:val="00353275"/>
    <w:rsid w:val="00354847"/>
    <w:rsid w:val="00361F47"/>
    <w:rsid w:val="00375F5E"/>
    <w:rsid w:val="00375FCD"/>
    <w:rsid w:val="00381630"/>
    <w:rsid w:val="00382FC0"/>
    <w:rsid w:val="003860EC"/>
    <w:rsid w:val="003935CD"/>
    <w:rsid w:val="00395ECC"/>
    <w:rsid w:val="003A64B0"/>
    <w:rsid w:val="003A76EE"/>
    <w:rsid w:val="003B2686"/>
    <w:rsid w:val="003B2D09"/>
    <w:rsid w:val="003C05B6"/>
    <w:rsid w:val="003D4556"/>
    <w:rsid w:val="003D5025"/>
    <w:rsid w:val="003E5925"/>
    <w:rsid w:val="003F0F20"/>
    <w:rsid w:val="0041434B"/>
    <w:rsid w:val="00414B59"/>
    <w:rsid w:val="0042342A"/>
    <w:rsid w:val="00424442"/>
    <w:rsid w:val="00426810"/>
    <w:rsid w:val="0043115D"/>
    <w:rsid w:val="00431F4F"/>
    <w:rsid w:val="00433065"/>
    <w:rsid w:val="00437BE5"/>
    <w:rsid w:val="00442BE3"/>
    <w:rsid w:val="00444719"/>
    <w:rsid w:val="004470C1"/>
    <w:rsid w:val="00451389"/>
    <w:rsid w:val="00452F27"/>
    <w:rsid w:val="0045351A"/>
    <w:rsid w:val="004539B5"/>
    <w:rsid w:val="00455B9A"/>
    <w:rsid w:val="00455BDD"/>
    <w:rsid w:val="00456DAE"/>
    <w:rsid w:val="00462050"/>
    <w:rsid w:val="00462A88"/>
    <w:rsid w:val="00471BB6"/>
    <w:rsid w:val="00475945"/>
    <w:rsid w:val="004770FC"/>
    <w:rsid w:val="00482313"/>
    <w:rsid w:val="00484DD8"/>
    <w:rsid w:val="00487766"/>
    <w:rsid w:val="00487A8B"/>
    <w:rsid w:val="00490B97"/>
    <w:rsid w:val="0049396E"/>
    <w:rsid w:val="0049740E"/>
    <w:rsid w:val="004A5A38"/>
    <w:rsid w:val="004B3849"/>
    <w:rsid w:val="004B7B92"/>
    <w:rsid w:val="004C3CC2"/>
    <w:rsid w:val="004C44B4"/>
    <w:rsid w:val="004D0717"/>
    <w:rsid w:val="004D1A95"/>
    <w:rsid w:val="004D2EA7"/>
    <w:rsid w:val="004D33FF"/>
    <w:rsid w:val="004D591F"/>
    <w:rsid w:val="004E315D"/>
    <w:rsid w:val="004F5493"/>
    <w:rsid w:val="005044BE"/>
    <w:rsid w:val="00507A0D"/>
    <w:rsid w:val="0051020A"/>
    <w:rsid w:val="00514D89"/>
    <w:rsid w:val="00524C2B"/>
    <w:rsid w:val="00525677"/>
    <w:rsid w:val="00530E81"/>
    <w:rsid w:val="00542B92"/>
    <w:rsid w:val="00547CB0"/>
    <w:rsid w:val="0056180C"/>
    <w:rsid w:val="005622C4"/>
    <w:rsid w:val="0056335E"/>
    <w:rsid w:val="00570233"/>
    <w:rsid w:val="00572EE4"/>
    <w:rsid w:val="005776A8"/>
    <w:rsid w:val="00580810"/>
    <w:rsid w:val="00582E3B"/>
    <w:rsid w:val="00584611"/>
    <w:rsid w:val="0058531E"/>
    <w:rsid w:val="0059114C"/>
    <w:rsid w:val="00597B53"/>
    <w:rsid w:val="005A0143"/>
    <w:rsid w:val="005A1970"/>
    <w:rsid w:val="005A2872"/>
    <w:rsid w:val="005A6290"/>
    <w:rsid w:val="005B18F8"/>
    <w:rsid w:val="005B2431"/>
    <w:rsid w:val="005B2620"/>
    <w:rsid w:val="005C0B72"/>
    <w:rsid w:val="005C6DC3"/>
    <w:rsid w:val="005E0966"/>
    <w:rsid w:val="005E36F2"/>
    <w:rsid w:val="005F1362"/>
    <w:rsid w:val="00601D62"/>
    <w:rsid w:val="00610D6A"/>
    <w:rsid w:val="006122EA"/>
    <w:rsid w:val="006161AF"/>
    <w:rsid w:val="00623502"/>
    <w:rsid w:val="00631408"/>
    <w:rsid w:val="00634A70"/>
    <w:rsid w:val="00637855"/>
    <w:rsid w:val="006400B0"/>
    <w:rsid w:val="006439F3"/>
    <w:rsid w:val="0065154C"/>
    <w:rsid w:val="006578C4"/>
    <w:rsid w:val="00657AE8"/>
    <w:rsid w:val="00657D82"/>
    <w:rsid w:val="00676296"/>
    <w:rsid w:val="00681CBA"/>
    <w:rsid w:val="0068386F"/>
    <w:rsid w:val="006856B5"/>
    <w:rsid w:val="00693016"/>
    <w:rsid w:val="006A2A06"/>
    <w:rsid w:val="006A3491"/>
    <w:rsid w:val="006A4BC3"/>
    <w:rsid w:val="006B1A64"/>
    <w:rsid w:val="006C0094"/>
    <w:rsid w:val="006C44B3"/>
    <w:rsid w:val="006D1910"/>
    <w:rsid w:val="006D7E15"/>
    <w:rsid w:val="006E658E"/>
    <w:rsid w:val="006E6D83"/>
    <w:rsid w:val="006F5DF3"/>
    <w:rsid w:val="0070581D"/>
    <w:rsid w:val="00705DD9"/>
    <w:rsid w:val="00710843"/>
    <w:rsid w:val="00710B16"/>
    <w:rsid w:val="0071194E"/>
    <w:rsid w:val="007125D0"/>
    <w:rsid w:val="00712FFD"/>
    <w:rsid w:val="0072389F"/>
    <w:rsid w:val="007245C6"/>
    <w:rsid w:val="00726C9A"/>
    <w:rsid w:val="007411A8"/>
    <w:rsid w:val="007413E3"/>
    <w:rsid w:val="00750D00"/>
    <w:rsid w:val="0075285B"/>
    <w:rsid w:val="007571DB"/>
    <w:rsid w:val="0076686A"/>
    <w:rsid w:val="00772CEE"/>
    <w:rsid w:val="00773DCA"/>
    <w:rsid w:val="00781382"/>
    <w:rsid w:val="00787FE7"/>
    <w:rsid w:val="00790207"/>
    <w:rsid w:val="007902B4"/>
    <w:rsid w:val="00796821"/>
    <w:rsid w:val="00796D7D"/>
    <w:rsid w:val="007A633B"/>
    <w:rsid w:val="007A7202"/>
    <w:rsid w:val="007B0E49"/>
    <w:rsid w:val="007B4E57"/>
    <w:rsid w:val="007C059C"/>
    <w:rsid w:val="007C0D2D"/>
    <w:rsid w:val="007C3822"/>
    <w:rsid w:val="007C6384"/>
    <w:rsid w:val="007D0833"/>
    <w:rsid w:val="007D2AC6"/>
    <w:rsid w:val="007D4726"/>
    <w:rsid w:val="007D48DC"/>
    <w:rsid w:val="007E0167"/>
    <w:rsid w:val="007E7FE1"/>
    <w:rsid w:val="007F6D09"/>
    <w:rsid w:val="008067DA"/>
    <w:rsid w:val="00806B1C"/>
    <w:rsid w:val="00807E9A"/>
    <w:rsid w:val="0081676D"/>
    <w:rsid w:val="008209F7"/>
    <w:rsid w:val="008249D8"/>
    <w:rsid w:val="00824F97"/>
    <w:rsid w:val="008362B8"/>
    <w:rsid w:val="0084745D"/>
    <w:rsid w:val="00856F48"/>
    <w:rsid w:val="0086251E"/>
    <w:rsid w:val="00863674"/>
    <w:rsid w:val="00866767"/>
    <w:rsid w:val="00871654"/>
    <w:rsid w:val="00876443"/>
    <w:rsid w:val="00876704"/>
    <w:rsid w:val="00877A78"/>
    <w:rsid w:val="008818C0"/>
    <w:rsid w:val="00884D05"/>
    <w:rsid w:val="008927D7"/>
    <w:rsid w:val="008928E6"/>
    <w:rsid w:val="008938B7"/>
    <w:rsid w:val="00894046"/>
    <w:rsid w:val="008A32B3"/>
    <w:rsid w:val="008A485B"/>
    <w:rsid w:val="008A4B03"/>
    <w:rsid w:val="008A6159"/>
    <w:rsid w:val="008B46CD"/>
    <w:rsid w:val="008B4E55"/>
    <w:rsid w:val="008B637A"/>
    <w:rsid w:val="008C259D"/>
    <w:rsid w:val="008C74B8"/>
    <w:rsid w:val="008D277D"/>
    <w:rsid w:val="008D3E8F"/>
    <w:rsid w:val="008E0F88"/>
    <w:rsid w:val="008E5CEB"/>
    <w:rsid w:val="008E7D9C"/>
    <w:rsid w:val="008F4476"/>
    <w:rsid w:val="008F697D"/>
    <w:rsid w:val="008F6B9F"/>
    <w:rsid w:val="008F7003"/>
    <w:rsid w:val="00913FE0"/>
    <w:rsid w:val="0091417A"/>
    <w:rsid w:val="009149ED"/>
    <w:rsid w:val="00914AD5"/>
    <w:rsid w:val="00914DCE"/>
    <w:rsid w:val="0091797E"/>
    <w:rsid w:val="0092422B"/>
    <w:rsid w:val="00927E59"/>
    <w:rsid w:val="00931218"/>
    <w:rsid w:val="0093274A"/>
    <w:rsid w:val="00936E72"/>
    <w:rsid w:val="00953440"/>
    <w:rsid w:val="00957477"/>
    <w:rsid w:val="009625F9"/>
    <w:rsid w:val="00962CF6"/>
    <w:rsid w:val="009657C8"/>
    <w:rsid w:val="00971295"/>
    <w:rsid w:val="009726BC"/>
    <w:rsid w:val="009817F1"/>
    <w:rsid w:val="009967DD"/>
    <w:rsid w:val="009B305D"/>
    <w:rsid w:val="009C532C"/>
    <w:rsid w:val="009D3CA1"/>
    <w:rsid w:val="009D53DF"/>
    <w:rsid w:val="009E0AE6"/>
    <w:rsid w:val="009E7179"/>
    <w:rsid w:val="009F6F52"/>
    <w:rsid w:val="00A022B0"/>
    <w:rsid w:val="00A02E91"/>
    <w:rsid w:val="00A0522A"/>
    <w:rsid w:val="00A059B1"/>
    <w:rsid w:val="00A06484"/>
    <w:rsid w:val="00A1226B"/>
    <w:rsid w:val="00A123B5"/>
    <w:rsid w:val="00A12F75"/>
    <w:rsid w:val="00A16B0A"/>
    <w:rsid w:val="00A22FF8"/>
    <w:rsid w:val="00A27705"/>
    <w:rsid w:val="00A3068F"/>
    <w:rsid w:val="00A35479"/>
    <w:rsid w:val="00A4310B"/>
    <w:rsid w:val="00A47535"/>
    <w:rsid w:val="00A53BEB"/>
    <w:rsid w:val="00A540E1"/>
    <w:rsid w:val="00A563A6"/>
    <w:rsid w:val="00A5664A"/>
    <w:rsid w:val="00A61A8F"/>
    <w:rsid w:val="00A64A06"/>
    <w:rsid w:val="00A71C0E"/>
    <w:rsid w:val="00A73682"/>
    <w:rsid w:val="00A76C79"/>
    <w:rsid w:val="00A804BE"/>
    <w:rsid w:val="00A809A0"/>
    <w:rsid w:val="00A81314"/>
    <w:rsid w:val="00A82081"/>
    <w:rsid w:val="00A85F00"/>
    <w:rsid w:val="00A93093"/>
    <w:rsid w:val="00A942D2"/>
    <w:rsid w:val="00A94D1F"/>
    <w:rsid w:val="00A95A86"/>
    <w:rsid w:val="00AA41FA"/>
    <w:rsid w:val="00AB35BE"/>
    <w:rsid w:val="00AB3BCC"/>
    <w:rsid w:val="00AC2C28"/>
    <w:rsid w:val="00AC7AFB"/>
    <w:rsid w:val="00AD6723"/>
    <w:rsid w:val="00AD72C5"/>
    <w:rsid w:val="00AE12B8"/>
    <w:rsid w:val="00AE4365"/>
    <w:rsid w:val="00AE5EFC"/>
    <w:rsid w:val="00AE6240"/>
    <w:rsid w:val="00AE708E"/>
    <w:rsid w:val="00AF25E4"/>
    <w:rsid w:val="00AF3A8E"/>
    <w:rsid w:val="00AF610E"/>
    <w:rsid w:val="00AF6D59"/>
    <w:rsid w:val="00AF7058"/>
    <w:rsid w:val="00B01009"/>
    <w:rsid w:val="00B01931"/>
    <w:rsid w:val="00B01BFD"/>
    <w:rsid w:val="00B0203F"/>
    <w:rsid w:val="00B13E1E"/>
    <w:rsid w:val="00B15782"/>
    <w:rsid w:val="00B170A6"/>
    <w:rsid w:val="00B20BFD"/>
    <w:rsid w:val="00B20D20"/>
    <w:rsid w:val="00B23BD3"/>
    <w:rsid w:val="00B24299"/>
    <w:rsid w:val="00B2552D"/>
    <w:rsid w:val="00B25B14"/>
    <w:rsid w:val="00B43068"/>
    <w:rsid w:val="00B4645D"/>
    <w:rsid w:val="00B52161"/>
    <w:rsid w:val="00B52DD5"/>
    <w:rsid w:val="00B55995"/>
    <w:rsid w:val="00B5685D"/>
    <w:rsid w:val="00B56B6C"/>
    <w:rsid w:val="00B61E38"/>
    <w:rsid w:val="00B75D07"/>
    <w:rsid w:val="00B80C6E"/>
    <w:rsid w:val="00B825E1"/>
    <w:rsid w:val="00B96A04"/>
    <w:rsid w:val="00BA47D2"/>
    <w:rsid w:val="00BA5178"/>
    <w:rsid w:val="00BB0F50"/>
    <w:rsid w:val="00BB3215"/>
    <w:rsid w:val="00BC0C8E"/>
    <w:rsid w:val="00BC18FD"/>
    <w:rsid w:val="00BD1E85"/>
    <w:rsid w:val="00BD7879"/>
    <w:rsid w:val="00BE1201"/>
    <w:rsid w:val="00BE2588"/>
    <w:rsid w:val="00BE37C4"/>
    <w:rsid w:val="00BF15B0"/>
    <w:rsid w:val="00BF1E03"/>
    <w:rsid w:val="00BF2C2D"/>
    <w:rsid w:val="00BF4929"/>
    <w:rsid w:val="00BF78D5"/>
    <w:rsid w:val="00C00DF3"/>
    <w:rsid w:val="00C016A4"/>
    <w:rsid w:val="00C10AFC"/>
    <w:rsid w:val="00C10D69"/>
    <w:rsid w:val="00C159D9"/>
    <w:rsid w:val="00C2171A"/>
    <w:rsid w:val="00C3220C"/>
    <w:rsid w:val="00C32D73"/>
    <w:rsid w:val="00C3496D"/>
    <w:rsid w:val="00C44A6A"/>
    <w:rsid w:val="00C7025C"/>
    <w:rsid w:val="00C72756"/>
    <w:rsid w:val="00C76433"/>
    <w:rsid w:val="00C76A98"/>
    <w:rsid w:val="00C80F8E"/>
    <w:rsid w:val="00C831C2"/>
    <w:rsid w:val="00C923C5"/>
    <w:rsid w:val="00CA0C5F"/>
    <w:rsid w:val="00CA524B"/>
    <w:rsid w:val="00CA656D"/>
    <w:rsid w:val="00CB0E55"/>
    <w:rsid w:val="00CB4353"/>
    <w:rsid w:val="00CB69D3"/>
    <w:rsid w:val="00CB7CAE"/>
    <w:rsid w:val="00CC2CA9"/>
    <w:rsid w:val="00CC2DA4"/>
    <w:rsid w:val="00CD013F"/>
    <w:rsid w:val="00CD0414"/>
    <w:rsid w:val="00CD0905"/>
    <w:rsid w:val="00CD31D1"/>
    <w:rsid w:val="00CE0C96"/>
    <w:rsid w:val="00CE7118"/>
    <w:rsid w:val="00CF01E9"/>
    <w:rsid w:val="00CF30F0"/>
    <w:rsid w:val="00CF5113"/>
    <w:rsid w:val="00D00F75"/>
    <w:rsid w:val="00D0403B"/>
    <w:rsid w:val="00D136CE"/>
    <w:rsid w:val="00D151E9"/>
    <w:rsid w:val="00D24626"/>
    <w:rsid w:val="00D249DF"/>
    <w:rsid w:val="00D33877"/>
    <w:rsid w:val="00D34681"/>
    <w:rsid w:val="00D3472A"/>
    <w:rsid w:val="00D35DFC"/>
    <w:rsid w:val="00D377F7"/>
    <w:rsid w:val="00D43C23"/>
    <w:rsid w:val="00D45406"/>
    <w:rsid w:val="00D507D8"/>
    <w:rsid w:val="00D615EE"/>
    <w:rsid w:val="00D716F1"/>
    <w:rsid w:val="00D71FFF"/>
    <w:rsid w:val="00D72FF1"/>
    <w:rsid w:val="00D72FFE"/>
    <w:rsid w:val="00D73F40"/>
    <w:rsid w:val="00D76CD6"/>
    <w:rsid w:val="00D81E88"/>
    <w:rsid w:val="00D87EA9"/>
    <w:rsid w:val="00D911A2"/>
    <w:rsid w:val="00D93E8E"/>
    <w:rsid w:val="00D93F4F"/>
    <w:rsid w:val="00D954B1"/>
    <w:rsid w:val="00DA194B"/>
    <w:rsid w:val="00DB5AA7"/>
    <w:rsid w:val="00DC2505"/>
    <w:rsid w:val="00DC448C"/>
    <w:rsid w:val="00DC50D0"/>
    <w:rsid w:val="00DC5CFF"/>
    <w:rsid w:val="00DD22C8"/>
    <w:rsid w:val="00DD6783"/>
    <w:rsid w:val="00DE208F"/>
    <w:rsid w:val="00DE286A"/>
    <w:rsid w:val="00DF0819"/>
    <w:rsid w:val="00DF18F2"/>
    <w:rsid w:val="00DF64A5"/>
    <w:rsid w:val="00DF7371"/>
    <w:rsid w:val="00E02FB1"/>
    <w:rsid w:val="00E04B69"/>
    <w:rsid w:val="00E06C15"/>
    <w:rsid w:val="00E1498B"/>
    <w:rsid w:val="00E20DFC"/>
    <w:rsid w:val="00E21FF0"/>
    <w:rsid w:val="00E234BB"/>
    <w:rsid w:val="00E31BA5"/>
    <w:rsid w:val="00E353DB"/>
    <w:rsid w:val="00E35628"/>
    <w:rsid w:val="00E40EDC"/>
    <w:rsid w:val="00E41DD5"/>
    <w:rsid w:val="00E420A8"/>
    <w:rsid w:val="00E556C0"/>
    <w:rsid w:val="00E55869"/>
    <w:rsid w:val="00E61E22"/>
    <w:rsid w:val="00E64FB6"/>
    <w:rsid w:val="00E65607"/>
    <w:rsid w:val="00E71B6A"/>
    <w:rsid w:val="00E727B8"/>
    <w:rsid w:val="00E74C29"/>
    <w:rsid w:val="00E84F49"/>
    <w:rsid w:val="00E91423"/>
    <w:rsid w:val="00E9218E"/>
    <w:rsid w:val="00E9530F"/>
    <w:rsid w:val="00E960EB"/>
    <w:rsid w:val="00EA0D24"/>
    <w:rsid w:val="00EA3D06"/>
    <w:rsid w:val="00EA4CF9"/>
    <w:rsid w:val="00EB06E7"/>
    <w:rsid w:val="00EB0F7A"/>
    <w:rsid w:val="00EB398E"/>
    <w:rsid w:val="00EB65F0"/>
    <w:rsid w:val="00ED3E17"/>
    <w:rsid w:val="00ED7039"/>
    <w:rsid w:val="00EE1FFA"/>
    <w:rsid w:val="00EE3612"/>
    <w:rsid w:val="00EE39DD"/>
    <w:rsid w:val="00EE3A7C"/>
    <w:rsid w:val="00EE7A17"/>
    <w:rsid w:val="00EF66D8"/>
    <w:rsid w:val="00F04FBB"/>
    <w:rsid w:val="00F05368"/>
    <w:rsid w:val="00F065BA"/>
    <w:rsid w:val="00F10780"/>
    <w:rsid w:val="00F1539F"/>
    <w:rsid w:val="00F25ACE"/>
    <w:rsid w:val="00F41226"/>
    <w:rsid w:val="00F44A8B"/>
    <w:rsid w:val="00F467E8"/>
    <w:rsid w:val="00F479C8"/>
    <w:rsid w:val="00F52F78"/>
    <w:rsid w:val="00F539BF"/>
    <w:rsid w:val="00F54E42"/>
    <w:rsid w:val="00F54EC0"/>
    <w:rsid w:val="00F57791"/>
    <w:rsid w:val="00F61860"/>
    <w:rsid w:val="00F63B61"/>
    <w:rsid w:val="00F64013"/>
    <w:rsid w:val="00F658C2"/>
    <w:rsid w:val="00F66975"/>
    <w:rsid w:val="00F731D6"/>
    <w:rsid w:val="00F746E5"/>
    <w:rsid w:val="00F8514F"/>
    <w:rsid w:val="00F85601"/>
    <w:rsid w:val="00F866F4"/>
    <w:rsid w:val="00F87C85"/>
    <w:rsid w:val="00F9055D"/>
    <w:rsid w:val="00F94C8D"/>
    <w:rsid w:val="00FA1D3F"/>
    <w:rsid w:val="00FA52A1"/>
    <w:rsid w:val="00FB0D11"/>
    <w:rsid w:val="00FC0420"/>
    <w:rsid w:val="00FC08F2"/>
    <w:rsid w:val="00FD0313"/>
    <w:rsid w:val="00FD0945"/>
    <w:rsid w:val="00FD5FFF"/>
    <w:rsid w:val="00FD61DF"/>
    <w:rsid w:val="00FF278F"/>
    <w:rsid w:val="00FF477C"/>
    <w:rsid w:val="00FF6D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B1675-D886-4E53-ADB6-283E48DD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30"/>
    <w:pPr>
      <w:spacing w:after="200" w:line="276" w:lineRule="auto"/>
    </w:pPr>
    <w:rPr>
      <w:sz w:val="22"/>
      <w:szCs w:val="22"/>
    </w:rPr>
  </w:style>
  <w:style w:type="paragraph" w:styleId="Ttulo1">
    <w:name w:val="heading 1"/>
    <w:basedOn w:val="Normal"/>
    <w:next w:val="Normal"/>
    <w:link w:val="Ttulo1Car"/>
    <w:rsid w:val="00610D6A"/>
    <w:pPr>
      <w:keepNext/>
      <w:keepLines/>
      <w:spacing w:before="480" w:after="120" w:line="240" w:lineRule="auto"/>
      <w:outlineLvl w:val="0"/>
    </w:pPr>
    <w:rPr>
      <w:rFonts w:ascii="Times New Roman" w:hAnsi="Times New Roman"/>
      <w:b/>
      <w:sz w:val="48"/>
      <w:szCs w:val="48"/>
      <w:lang w:val="es-ES" w:eastAsia="es-ES"/>
    </w:rPr>
  </w:style>
  <w:style w:type="paragraph" w:styleId="Ttulo2">
    <w:name w:val="heading 2"/>
    <w:basedOn w:val="Normal"/>
    <w:next w:val="Normal"/>
    <w:link w:val="Ttulo2Car"/>
    <w:rsid w:val="00610D6A"/>
    <w:pPr>
      <w:keepNext/>
      <w:keepLines/>
      <w:spacing w:before="360" w:after="80" w:line="240" w:lineRule="auto"/>
      <w:outlineLvl w:val="1"/>
    </w:pPr>
    <w:rPr>
      <w:rFonts w:ascii="Times New Roman" w:hAnsi="Times New Roman"/>
      <w:b/>
      <w:sz w:val="36"/>
      <w:szCs w:val="36"/>
      <w:lang w:val="es-ES" w:eastAsia="es-ES"/>
    </w:rPr>
  </w:style>
  <w:style w:type="paragraph" w:styleId="Ttulo3">
    <w:name w:val="heading 3"/>
    <w:basedOn w:val="Normal"/>
    <w:next w:val="Normal"/>
    <w:link w:val="Ttulo3Car"/>
    <w:semiHidden/>
    <w:unhideWhenUsed/>
    <w:qFormat/>
    <w:rsid w:val="00610D6A"/>
    <w:pPr>
      <w:keepNext/>
      <w:spacing w:before="240" w:after="60" w:line="240" w:lineRule="auto"/>
      <w:outlineLvl w:val="2"/>
    </w:pPr>
    <w:rPr>
      <w:rFonts w:ascii="Calibri Light" w:hAnsi="Calibri Light"/>
      <w:b/>
      <w:bCs/>
      <w:sz w:val="26"/>
      <w:szCs w:val="26"/>
      <w:lang w:val="es-ES" w:eastAsia="es-ES"/>
    </w:rPr>
  </w:style>
  <w:style w:type="paragraph" w:styleId="Ttulo4">
    <w:name w:val="heading 4"/>
    <w:basedOn w:val="Normal"/>
    <w:next w:val="Normal"/>
    <w:link w:val="Ttulo4Car"/>
    <w:rsid w:val="00610D6A"/>
    <w:pPr>
      <w:keepNext/>
      <w:keepLines/>
      <w:spacing w:before="240" w:after="40" w:line="240" w:lineRule="auto"/>
      <w:outlineLvl w:val="3"/>
    </w:pPr>
    <w:rPr>
      <w:rFonts w:ascii="Times New Roman" w:hAnsi="Times New Roman"/>
      <w:b/>
      <w:sz w:val="24"/>
      <w:szCs w:val="24"/>
      <w:lang w:val="es-ES" w:eastAsia="es-ES"/>
    </w:rPr>
  </w:style>
  <w:style w:type="paragraph" w:styleId="Ttulo5">
    <w:name w:val="heading 5"/>
    <w:basedOn w:val="Normal"/>
    <w:next w:val="Normal"/>
    <w:link w:val="Ttulo5Car"/>
    <w:rsid w:val="00610D6A"/>
    <w:pPr>
      <w:keepNext/>
      <w:keepLines/>
      <w:spacing w:before="220" w:after="40" w:line="240" w:lineRule="auto"/>
      <w:outlineLvl w:val="4"/>
    </w:pPr>
    <w:rPr>
      <w:rFonts w:ascii="Times New Roman" w:hAnsi="Times New Roman"/>
      <w:b/>
      <w:lang w:val="es-ES" w:eastAsia="es-ES"/>
    </w:rPr>
  </w:style>
  <w:style w:type="paragraph" w:styleId="Ttulo6">
    <w:name w:val="heading 6"/>
    <w:basedOn w:val="Normal"/>
    <w:next w:val="Normal"/>
    <w:link w:val="Ttulo6Car"/>
    <w:rsid w:val="00610D6A"/>
    <w:pPr>
      <w:keepNext/>
      <w:keepLines/>
      <w:spacing w:before="200" w:after="40" w:line="240" w:lineRule="auto"/>
      <w:outlineLvl w:val="5"/>
    </w:pPr>
    <w:rPr>
      <w:rFonts w:ascii="Times New Roman" w:hAnsi="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856B5"/>
    <w:rPr>
      <w:rFonts w:ascii="Times New Roman" w:hAnsi="Times New Roman"/>
      <w:color w:val="000000"/>
      <w:sz w:val="24"/>
      <w:lang w:val="es-ES" w:eastAsia="es-ES"/>
    </w:rPr>
  </w:style>
  <w:style w:type="character" w:customStyle="1" w:styleId="Estilo2">
    <w:name w:val="Estilo2"/>
    <w:uiPriority w:val="1"/>
    <w:rsid w:val="006856B5"/>
    <w:rPr>
      <w:rFonts w:ascii="Arial" w:hAnsi="Arial" w:cs="Arial" w:hint="default"/>
      <w:b/>
      <w:bCs w:val="0"/>
      <w:caps/>
      <w:sz w:val="24"/>
    </w:rPr>
  </w:style>
  <w:style w:type="character" w:customStyle="1" w:styleId="NOMBRES">
    <w:name w:val="NOMBRES"/>
    <w:uiPriority w:val="1"/>
    <w:rsid w:val="006856B5"/>
    <w:rPr>
      <w:rFonts w:ascii="Arial" w:hAnsi="Arial" w:cs="Arial" w:hint="default"/>
      <w:b/>
      <w:bCs w:val="0"/>
      <w:sz w:val="24"/>
    </w:rPr>
  </w:style>
  <w:style w:type="paragraph" w:styleId="Encabezado">
    <w:name w:val="header"/>
    <w:basedOn w:val="Normal"/>
    <w:link w:val="EncabezadoCar"/>
    <w:unhideWhenUsed/>
    <w:rsid w:val="006856B5"/>
    <w:pPr>
      <w:tabs>
        <w:tab w:val="center" w:pos="4419"/>
        <w:tab w:val="right" w:pos="8838"/>
      </w:tabs>
      <w:spacing w:after="0" w:line="240" w:lineRule="auto"/>
    </w:pPr>
  </w:style>
  <w:style w:type="character" w:customStyle="1" w:styleId="EncabezadoCar">
    <w:name w:val="Encabezado Car"/>
    <w:basedOn w:val="Fuentedeprrafopredeter"/>
    <w:link w:val="Encabezado"/>
    <w:rsid w:val="006856B5"/>
  </w:style>
  <w:style w:type="paragraph" w:styleId="Piedepgina">
    <w:name w:val="footer"/>
    <w:basedOn w:val="Normal"/>
    <w:link w:val="PiedepginaCar"/>
    <w:uiPriority w:val="99"/>
    <w:unhideWhenUsed/>
    <w:rsid w:val="006856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B5"/>
  </w:style>
  <w:style w:type="paragraph" w:styleId="Prrafodelista">
    <w:name w:val="List Paragraph"/>
    <w:basedOn w:val="Normal"/>
    <w:link w:val="PrrafodelistaCar"/>
    <w:uiPriority w:val="34"/>
    <w:qFormat/>
    <w:rsid w:val="006856B5"/>
    <w:pPr>
      <w:ind w:left="720"/>
      <w:contextualSpacing/>
    </w:pPr>
    <w:rPr>
      <w:rFonts w:eastAsia="Calibri"/>
      <w:lang w:eastAsia="en-US"/>
    </w:rPr>
  </w:style>
  <w:style w:type="paragraph" w:styleId="Textoindependiente">
    <w:name w:val="Body Text"/>
    <w:basedOn w:val="Normal"/>
    <w:link w:val="TextoindependienteCar"/>
    <w:rsid w:val="005044BE"/>
    <w:pPr>
      <w:spacing w:after="0" w:line="240" w:lineRule="auto"/>
      <w:jc w:val="both"/>
    </w:pPr>
    <w:rPr>
      <w:rFonts w:ascii="Book Antiqua" w:hAnsi="Book Antiqua"/>
      <w:sz w:val="24"/>
      <w:szCs w:val="24"/>
      <w:lang w:val="es-ES" w:eastAsia="es-ES"/>
    </w:rPr>
  </w:style>
  <w:style w:type="character" w:customStyle="1" w:styleId="TextoindependienteCar">
    <w:name w:val="Texto independiente Car"/>
    <w:link w:val="Textoindependiente"/>
    <w:rsid w:val="005044BE"/>
    <w:rPr>
      <w:rFonts w:ascii="Book Antiqua" w:eastAsia="Times New Roman" w:hAnsi="Book Antiqua" w:cs="Times New Roman"/>
      <w:sz w:val="24"/>
      <w:szCs w:val="24"/>
      <w:lang w:val="es-ES" w:eastAsia="es-ES"/>
    </w:rPr>
  </w:style>
  <w:style w:type="paragraph" w:styleId="Textonotapie">
    <w:name w:val="footnote text"/>
    <w:basedOn w:val="Normal"/>
    <w:link w:val="TextonotapieCar"/>
    <w:uiPriority w:val="99"/>
    <w:semiHidden/>
    <w:unhideWhenUsed/>
    <w:rsid w:val="005622C4"/>
    <w:pPr>
      <w:spacing w:after="0" w:line="240" w:lineRule="auto"/>
    </w:pPr>
    <w:rPr>
      <w:sz w:val="20"/>
      <w:szCs w:val="20"/>
    </w:rPr>
  </w:style>
  <w:style w:type="character" w:customStyle="1" w:styleId="TextonotapieCar">
    <w:name w:val="Texto nota pie Car"/>
    <w:link w:val="Textonotapie"/>
    <w:uiPriority w:val="99"/>
    <w:semiHidden/>
    <w:rsid w:val="005622C4"/>
    <w:rPr>
      <w:sz w:val="20"/>
      <w:szCs w:val="20"/>
    </w:rPr>
  </w:style>
  <w:style w:type="character" w:styleId="Refdenotaalpie">
    <w:name w:val="footnote reference"/>
    <w:uiPriority w:val="99"/>
    <w:semiHidden/>
    <w:unhideWhenUsed/>
    <w:rsid w:val="005622C4"/>
    <w:rPr>
      <w:vertAlign w:val="superscript"/>
    </w:rPr>
  </w:style>
  <w:style w:type="paragraph" w:customStyle="1" w:styleId="Texto">
    <w:name w:val="Texto"/>
    <w:basedOn w:val="Normal"/>
    <w:link w:val="TextoCar"/>
    <w:rsid w:val="002C4A92"/>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C4A92"/>
    <w:rPr>
      <w:rFonts w:ascii="Arial" w:eastAsia="Times New Roman" w:hAnsi="Arial" w:cs="Times New Roman"/>
      <w:sz w:val="18"/>
      <w:szCs w:val="20"/>
      <w:lang w:val="es-ES" w:eastAsia="es-ES"/>
    </w:rPr>
  </w:style>
  <w:style w:type="character" w:styleId="Hipervnculo">
    <w:name w:val="Hyperlink"/>
    <w:uiPriority w:val="99"/>
    <w:unhideWhenUsed/>
    <w:rsid w:val="00013560"/>
    <w:rPr>
      <w:color w:val="0000FF"/>
      <w:u w:val="single"/>
    </w:rPr>
  </w:style>
  <w:style w:type="paragraph" w:customStyle="1" w:styleId="Normal2">
    <w:name w:val="Normal2"/>
    <w:rsid w:val="00070CC2"/>
    <w:rPr>
      <w:rFonts w:ascii="Times New Roman" w:hAnsi="Times New Roman"/>
      <w:color w:val="000000"/>
      <w:sz w:val="24"/>
      <w:lang w:val="es-ES" w:eastAsia="es-ES"/>
    </w:rPr>
  </w:style>
  <w:style w:type="paragraph" w:styleId="Textodeglobo">
    <w:name w:val="Balloon Text"/>
    <w:basedOn w:val="Normal"/>
    <w:link w:val="TextodegloboCar"/>
    <w:uiPriority w:val="99"/>
    <w:semiHidden/>
    <w:unhideWhenUsed/>
    <w:rsid w:val="00070CC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70CC2"/>
    <w:rPr>
      <w:rFonts w:ascii="Tahoma" w:hAnsi="Tahoma" w:cs="Tahoma"/>
      <w:sz w:val="16"/>
      <w:szCs w:val="16"/>
    </w:rPr>
  </w:style>
  <w:style w:type="table" w:styleId="Tablaconcuadrcula">
    <w:name w:val="Table Grid"/>
    <w:basedOn w:val="Tablanormal"/>
    <w:uiPriority w:val="39"/>
    <w:rsid w:val="0062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451389"/>
    <w:rPr>
      <w:color w:val="605E5C"/>
      <w:shd w:val="clear" w:color="auto" w:fill="E1DFDD"/>
    </w:rPr>
  </w:style>
  <w:style w:type="character" w:customStyle="1" w:styleId="Ttulo1Car">
    <w:name w:val="Título 1 Car"/>
    <w:link w:val="Ttulo1"/>
    <w:rsid w:val="00610D6A"/>
    <w:rPr>
      <w:rFonts w:ascii="Times New Roman" w:hAnsi="Times New Roman"/>
      <w:b/>
      <w:sz w:val="48"/>
      <w:szCs w:val="48"/>
      <w:lang w:val="es-ES" w:eastAsia="es-ES"/>
    </w:rPr>
  </w:style>
  <w:style w:type="character" w:customStyle="1" w:styleId="Ttulo2Car">
    <w:name w:val="Título 2 Car"/>
    <w:link w:val="Ttulo2"/>
    <w:rsid w:val="00610D6A"/>
    <w:rPr>
      <w:rFonts w:ascii="Times New Roman" w:hAnsi="Times New Roman"/>
      <w:b/>
      <w:sz w:val="36"/>
      <w:szCs w:val="36"/>
      <w:lang w:val="es-ES" w:eastAsia="es-ES"/>
    </w:rPr>
  </w:style>
  <w:style w:type="character" w:customStyle="1" w:styleId="Ttulo3Car">
    <w:name w:val="Título 3 Car"/>
    <w:link w:val="Ttulo3"/>
    <w:semiHidden/>
    <w:rsid w:val="00610D6A"/>
    <w:rPr>
      <w:rFonts w:ascii="Calibri Light" w:hAnsi="Calibri Light"/>
      <w:b/>
      <w:bCs/>
      <w:sz w:val="26"/>
      <w:szCs w:val="26"/>
      <w:lang w:val="es-ES" w:eastAsia="es-ES"/>
    </w:rPr>
  </w:style>
  <w:style w:type="character" w:customStyle="1" w:styleId="Ttulo4Car">
    <w:name w:val="Título 4 Car"/>
    <w:link w:val="Ttulo4"/>
    <w:rsid w:val="00610D6A"/>
    <w:rPr>
      <w:rFonts w:ascii="Times New Roman" w:hAnsi="Times New Roman"/>
      <w:b/>
      <w:sz w:val="24"/>
      <w:szCs w:val="24"/>
      <w:lang w:val="es-ES" w:eastAsia="es-ES"/>
    </w:rPr>
  </w:style>
  <w:style w:type="character" w:customStyle="1" w:styleId="Ttulo5Car">
    <w:name w:val="Título 5 Car"/>
    <w:link w:val="Ttulo5"/>
    <w:rsid w:val="00610D6A"/>
    <w:rPr>
      <w:rFonts w:ascii="Times New Roman" w:hAnsi="Times New Roman"/>
      <w:b/>
      <w:sz w:val="22"/>
      <w:szCs w:val="22"/>
      <w:lang w:val="es-ES" w:eastAsia="es-ES"/>
    </w:rPr>
  </w:style>
  <w:style w:type="character" w:customStyle="1" w:styleId="Ttulo6Car">
    <w:name w:val="Título 6 Car"/>
    <w:link w:val="Ttulo6"/>
    <w:rsid w:val="00610D6A"/>
    <w:rPr>
      <w:rFonts w:ascii="Times New Roman" w:hAnsi="Times New Roman"/>
      <w:b/>
      <w:lang w:val="es-ES" w:eastAsia="es-ES"/>
    </w:rPr>
  </w:style>
  <w:style w:type="numbering" w:customStyle="1" w:styleId="Sinlista1">
    <w:name w:val="Sin lista1"/>
    <w:next w:val="Sinlista"/>
    <w:uiPriority w:val="99"/>
    <w:semiHidden/>
    <w:unhideWhenUsed/>
    <w:rsid w:val="00610D6A"/>
  </w:style>
  <w:style w:type="character" w:customStyle="1" w:styleId="PrrafodelistaCar">
    <w:name w:val="Párrafo de lista Car"/>
    <w:link w:val="Prrafodelista"/>
    <w:uiPriority w:val="34"/>
    <w:locked/>
    <w:rsid w:val="00610D6A"/>
    <w:rPr>
      <w:rFonts w:eastAsia="Calibri"/>
      <w:sz w:val="22"/>
      <w:szCs w:val="22"/>
      <w:lang w:eastAsia="en-US"/>
    </w:rPr>
  </w:style>
  <w:style w:type="table" w:customStyle="1" w:styleId="Tablaconcuadrcula1">
    <w:name w:val="Tabla con cuadrícula1"/>
    <w:basedOn w:val="Tablanormal"/>
    <w:next w:val="Tablaconcuadrcula"/>
    <w:uiPriority w:val="39"/>
    <w:rsid w:val="00610D6A"/>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10D6A"/>
    <w:rPr>
      <w:sz w:val="16"/>
      <w:szCs w:val="16"/>
    </w:rPr>
  </w:style>
  <w:style w:type="paragraph" w:styleId="Textocomentario">
    <w:name w:val="annotation text"/>
    <w:basedOn w:val="Normal"/>
    <w:link w:val="TextocomentarioCar"/>
    <w:uiPriority w:val="99"/>
    <w:unhideWhenUsed/>
    <w:rsid w:val="00610D6A"/>
    <w:pPr>
      <w:spacing w:after="0" w:line="240" w:lineRule="auto"/>
    </w:pPr>
    <w:rPr>
      <w:rFonts w:ascii="Times New Roman" w:eastAsia="PMingLiU" w:hAnsi="Times New Roman"/>
      <w:sz w:val="20"/>
      <w:szCs w:val="20"/>
      <w:lang w:eastAsia="en-US"/>
    </w:rPr>
  </w:style>
  <w:style w:type="character" w:customStyle="1" w:styleId="TextocomentarioCar">
    <w:name w:val="Texto comentario Car"/>
    <w:link w:val="Textocomentario"/>
    <w:uiPriority w:val="99"/>
    <w:rsid w:val="00610D6A"/>
    <w:rPr>
      <w:rFonts w:ascii="Times New Roman" w:eastAsia="PMingLiU" w:hAnsi="Times New Roman"/>
      <w:lang w:eastAsia="en-US"/>
    </w:rPr>
  </w:style>
  <w:style w:type="paragraph" w:styleId="Asuntodelcomentario">
    <w:name w:val="annotation subject"/>
    <w:basedOn w:val="Textocomentario"/>
    <w:next w:val="Textocomentario"/>
    <w:link w:val="AsuntodelcomentarioCar"/>
    <w:uiPriority w:val="99"/>
    <w:semiHidden/>
    <w:unhideWhenUsed/>
    <w:rsid w:val="00610D6A"/>
    <w:rPr>
      <w:b/>
      <w:bCs/>
    </w:rPr>
  </w:style>
  <w:style w:type="character" w:customStyle="1" w:styleId="AsuntodelcomentarioCar">
    <w:name w:val="Asunto del comentario Car"/>
    <w:link w:val="Asuntodelcomentario"/>
    <w:uiPriority w:val="99"/>
    <w:semiHidden/>
    <w:rsid w:val="00610D6A"/>
    <w:rPr>
      <w:rFonts w:ascii="Times New Roman" w:eastAsia="PMingLiU" w:hAnsi="Times New Roman"/>
      <w:b/>
      <w:bCs/>
      <w:lang w:eastAsia="en-US"/>
    </w:rPr>
  </w:style>
  <w:style w:type="paragraph" w:styleId="Revisin">
    <w:name w:val="Revision"/>
    <w:hidden/>
    <w:uiPriority w:val="99"/>
    <w:semiHidden/>
    <w:rsid w:val="00610D6A"/>
    <w:rPr>
      <w:rFonts w:ascii="Times New Roman" w:eastAsia="PMingLiU" w:hAnsi="Times New Roman"/>
      <w:sz w:val="22"/>
      <w:szCs w:val="22"/>
      <w:lang w:eastAsia="en-US"/>
    </w:rPr>
  </w:style>
  <w:style w:type="table" w:customStyle="1" w:styleId="TableNormal1">
    <w:name w:val="Table Normal1"/>
    <w:rsid w:val="00610D6A"/>
    <w:rPr>
      <w:rFonts w:ascii="Times New Roman" w:hAnsi="Times New Roman"/>
      <w:sz w:val="24"/>
      <w:szCs w:val="24"/>
      <w:lang w:val="es-ES" w:eastAsia="en-US"/>
    </w:rPr>
    <w:tblPr>
      <w:tblCellMar>
        <w:top w:w="0" w:type="dxa"/>
        <w:left w:w="0" w:type="dxa"/>
        <w:bottom w:w="0" w:type="dxa"/>
        <w:right w:w="0" w:type="dxa"/>
      </w:tblCellMar>
    </w:tblPr>
  </w:style>
  <w:style w:type="paragraph" w:styleId="Puesto">
    <w:name w:val="Title"/>
    <w:basedOn w:val="Normal"/>
    <w:next w:val="Normal"/>
    <w:link w:val="PuestoCar"/>
    <w:rsid w:val="00610D6A"/>
    <w:pPr>
      <w:keepNext/>
      <w:keepLines/>
      <w:spacing w:before="480" w:after="120" w:line="240" w:lineRule="auto"/>
    </w:pPr>
    <w:rPr>
      <w:rFonts w:ascii="Times New Roman" w:hAnsi="Times New Roman"/>
      <w:b/>
      <w:sz w:val="72"/>
      <w:szCs w:val="72"/>
      <w:lang w:val="es-ES" w:eastAsia="es-ES"/>
    </w:rPr>
  </w:style>
  <w:style w:type="character" w:customStyle="1" w:styleId="PuestoCar">
    <w:name w:val="Puesto Car"/>
    <w:link w:val="Puesto"/>
    <w:rsid w:val="00610D6A"/>
    <w:rPr>
      <w:rFonts w:ascii="Times New Roman" w:hAnsi="Times New Roman"/>
      <w:b/>
      <w:sz w:val="72"/>
      <w:szCs w:val="72"/>
      <w:lang w:val="es-ES" w:eastAsia="es-ES"/>
    </w:rPr>
  </w:style>
  <w:style w:type="character" w:styleId="Nmerodepgina">
    <w:name w:val="page number"/>
    <w:rsid w:val="00610D6A"/>
  </w:style>
  <w:style w:type="paragraph" w:customStyle="1" w:styleId="Estilo">
    <w:name w:val="Estilo"/>
    <w:basedOn w:val="Sinespaciado"/>
    <w:link w:val="EstiloCar"/>
    <w:qFormat/>
    <w:rsid w:val="00610D6A"/>
  </w:style>
  <w:style w:type="character" w:customStyle="1" w:styleId="EstiloCar">
    <w:name w:val="Estilo Car"/>
    <w:link w:val="Estilo"/>
    <w:rsid w:val="00610D6A"/>
    <w:rPr>
      <w:rFonts w:ascii="Times New Roman" w:hAnsi="Times New Roman"/>
      <w:sz w:val="24"/>
      <w:szCs w:val="24"/>
      <w:lang w:val="es-ES" w:eastAsia="es-ES"/>
    </w:rPr>
  </w:style>
  <w:style w:type="paragraph" w:styleId="NormalWeb">
    <w:name w:val="Normal (Web)"/>
    <w:basedOn w:val="Normal"/>
    <w:uiPriority w:val="99"/>
    <w:unhideWhenUsed/>
    <w:rsid w:val="00610D6A"/>
    <w:pPr>
      <w:spacing w:before="100" w:beforeAutospacing="1" w:after="100" w:afterAutospacing="1" w:line="240" w:lineRule="auto"/>
    </w:pPr>
    <w:rPr>
      <w:rFonts w:ascii="Times New Roman" w:hAnsi="Times New Roman"/>
      <w:sz w:val="24"/>
      <w:szCs w:val="24"/>
    </w:rPr>
  </w:style>
  <w:style w:type="paragraph" w:styleId="Sinespaciado">
    <w:name w:val="No Spacing"/>
    <w:uiPriority w:val="1"/>
    <w:qFormat/>
    <w:rsid w:val="00610D6A"/>
    <w:rPr>
      <w:rFonts w:ascii="Times New Roman" w:hAnsi="Times New Roman"/>
      <w:sz w:val="24"/>
      <w:szCs w:val="24"/>
      <w:lang w:val="es-ES" w:eastAsia="es-ES"/>
    </w:rPr>
  </w:style>
  <w:style w:type="paragraph" w:styleId="Subttulo">
    <w:name w:val="Subtitle"/>
    <w:basedOn w:val="Normal"/>
    <w:next w:val="Normal"/>
    <w:link w:val="SubttuloCar"/>
    <w:rsid w:val="00610D6A"/>
    <w:pPr>
      <w:keepNext/>
      <w:keepLines/>
      <w:spacing w:before="360" w:after="80" w:line="240" w:lineRule="auto"/>
    </w:pPr>
    <w:rPr>
      <w:rFonts w:ascii="Georgia" w:eastAsia="Georgia" w:hAnsi="Georgia" w:cs="Georgia"/>
      <w:i/>
      <w:color w:val="666666"/>
      <w:sz w:val="48"/>
      <w:szCs w:val="48"/>
      <w:lang w:val="es-ES" w:eastAsia="es-ES"/>
    </w:rPr>
  </w:style>
  <w:style w:type="character" w:customStyle="1" w:styleId="SubttuloCar">
    <w:name w:val="Subtítulo Car"/>
    <w:link w:val="Subttulo"/>
    <w:rsid w:val="00610D6A"/>
    <w:rPr>
      <w:rFonts w:ascii="Georgia" w:eastAsia="Georgia" w:hAnsi="Georgia" w:cs="Georgia"/>
      <w:i/>
      <w:color w:val="666666"/>
      <w:sz w:val="48"/>
      <w:szCs w:val="48"/>
      <w:lang w:val="es-ES" w:eastAsia="es-ES"/>
    </w:rPr>
  </w:style>
  <w:style w:type="numbering" w:customStyle="1" w:styleId="Sinlista2">
    <w:name w:val="Sin lista2"/>
    <w:next w:val="Sinlista"/>
    <w:uiPriority w:val="99"/>
    <w:semiHidden/>
    <w:unhideWhenUsed/>
    <w:rsid w:val="00B13E1E"/>
  </w:style>
  <w:style w:type="table" w:customStyle="1" w:styleId="Tablaconcuadrcula2">
    <w:name w:val="Tabla con cuadrícula2"/>
    <w:basedOn w:val="Tablanormal"/>
    <w:next w:val="Tablaconcuadrcula"/>
    <w:uiPriority w:val="39"/>
    <w:rsid w:val="00B13E1E"/>
    <w:rPr>
      <w:rFonts w:ascii="Times New Roman" w:hAnsi="Times New Roman"/>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13E1E"/>
    <w:rPr>
      <w:rFonts w:ascii="Times New Roman" w:hAnsi="Times New Roman"/>
      <w:sz w:val="24"/>
      <w:szCs w:val="24"/>
      <w:lang w:val="es-E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020">
      <w:bodyDiv w:val="1"/>
      <w:marLeft w:val="0"/>
      <w:marRight w:val="0"/>
      <w:marTop w:val="0"/>
      <w:marBottom w:val="0"/>
      <w:divBdr>
        <w:top w:val="none" w:sz="0" w:space="0" w:color="auto"/>
        <w:left w:val="none" w:sz="0" w:space="0" w:color="auto"/>
        <w:bottom w:val="none" w:sz="0" w:space="0" w:color="auto"/>
        <w:right w:val="none" w:sz="0" w:space="0" w:color="auto"/>
      </w:divBdr>
    </w:div>
    <w:div w:id="359861166">
      <w:bodyDiv w:val="1"/>
      <w:marLeft w:val="0"/>
      <w:marRight w:val="0"/>
      <w:marTop w:val="0"/>
      <w:marBottom w:val="0"/>
      <w:divBdr>
        <w:top w:val="none" w:sz="0" w:space="0" w:color="auto"/>
        <w:left w:val="none" w:sz="0" w:space="0" w:color="auto"/>
        <w:bottom w:val="none" w:sz="0" w:space="0" w:color="auto"/>
        <w:right w:val="none" w:sz="0" w:space="0" w:color="auto"/>
      </w:divBdr>
    </w:div>
    <w:div w:id="663822453">
      <w:bodyDiv w:val="1"/>
      <w:marLeft w:val="0"/>
      <w:marRight w:val="0"/>
      <w:marTop w:val="0"/>
      <w:marBottom w:val="0"/>
      <w:divBdr>
        <w:top w:val="none" w:sz="0" w:space="0" w:color="auto"/>
        <w:left w:val="none" w:sz="0" w:space="0" w:color="auto"/>
        <w:bottom w:val="none" w:sz="0" w:space="0" w:color="auto"/>
        <w:right w:val="none" w:sz="0" w:space="0" w:color="auto"/>
      </w:divBdr>
    </w:div>
    <w:div w:id="683365023">
      <w:bodyDiv w:val="1"/>
      <w:marLeft w:val="0"/>
      <w:marRight w:val="0"/>
      <w:marTop w:val="0"/>
      <w:marBottom w:val="0"/>
      <w:divBdr>
        <w:top w:val="none" w:sz="0" w:space="0" w:color="auto"/>
        <w:left w:val="none" w:sz="0" w:space="0" w:color="auto"/>
        <w:bottom w:val="none" w:sz="0" w:space="0" w:color="auto"/>
        <w:right w:val="none" w:sz="0" w:space="0" w:color="auto"/>
      </w:divBdr>
    </w:div>
    <w:div w:id="796530165">
      <w:bodyDiv w:val="1"/>
      <w:marLeft w:val="0"/>
      <w:marRight w:val="0"/>
      <w:marTop w:val="0"/>
      <w:marBottom w:val="0"/>
      <w:divBdr>
        <w:top w:val="none" w:sz="0" w:space="0" w:color="auto"/>
        <w:left w:val="none" w:sz="0" w:space="0" w:color="auto"/>
        <w:bottom w:val="none" w:sz="0" w:space="0" w:color="auto"/>
        <w:right w:val="none" w:sz="0" w:space="0" w:color="auto"/>
      </w:divBdr>
    </w:div>
    <w:div w:id="1110510098">
      <w:bodyDiv w:val="1"/>
      <w:marLeft w:val="0"/>
      <w:marRight w:val="0"/>
      <w:marTop w:val="0"/>
      <w:marBottom w:val="0"/>
      <w:divBdr>
        <w:top w:val="none" w:sz="0" w:space="0" w:color="auto"/>
        <w:left w:val="none" w:sz="0" w:space="0" w:color="auto"/>
        <w:bottom w:val="none" w:sz="0" w:space="0" w:color="auto"/>
        <w:right w:val="none" w:sz="0" w:space="0" w:color="auto"/>
      </w:divBdr>
      <w:divsChild>
        <w:div w:id="766463216">
          <w:marLeft w:val="0"/>
          <w:marRight w:val="0"/>
          <w:marTop w:val="0"/>
          <w:marBottom w:val="0"/>
          <w:divBdr>
            <w:top w:val="none" w:sz="0" w:space="0" w:color="auto"/>
            <w:left w:val="none" w:sz="0" w:space="0" w:color="auto"/>
            <w:bottom w:val="none" w:sz="0" w:space="0" w:color="auto"/>
            <w:right w:val="none" w:sz="0" w:space="0" w:color="auto"/>
          </w:divBdr>
        </w:div>
        <w:div w:id="874074137">
          <w:marLeft w:val="0"/>
          <w:marRight w:val="0"/>
          <w:marTop w:val="0"/>
          <w:marBottom w:val="0"/>
          <w:divBdr>
            <w:top w:val="none" w:sz="0" w:space="0" w:color="auto"/>
            <w:left w:val="none" w:sz="0" w:space="0" w:color="auto"/>
            <w:bottom w:val="none" w:sz="0" w:space="0" w:color="auto"/>
            <w:right w:val="none" w:sz="0" w:space="0" w:color="auto"/>
          </w:divBdr>
        </w:div>
        <w:div w:id="948196716">
          <w:marLeft w:val="0"/>
          <w:marRight w:val="0"/>
          <w:marTop w:val="0"/>
          <w:marBottom w:val="0"/>
          <w:divBdr>
            <w:top w:val="none" w:sz="0" w:space="0" w:color="auto"/>
            <w:left w:val="none" w:sz="0" w:space="0" w:color="auto"/>
            <w:bottom w:val="none" w:sz="0" w:space="0" w:color="auto"/>
            <w:right w:val="none" w:sz="0" w:space="0" w:color="auto"/>
          </w:divBdr>
        </w:div>
        <w:div w:id="962930795">
          <w:marLeft w:val="0"/>
          <w:marRight w:val="0"/>
          <w:marTop w:val="0"/>
          <w:marBottom w:val="0"/>
          <w:divBdr>
            <w:top w:val="none" w:sz="0" w:space="0" w:color="auto"/>
            <w:left w:val="none" w:sz="0" w:space="0" w:color="auto"/>
            <w:bottom w:val="none" w:sz="0" w:space="0" w:color="auto"/>
            <w:right w:val="none" w:sz="0" w:space="0" w:color="auto"/>
          </w:divBdr>
        </w:div>
        <w:div w:id="998462948">
          <w:marLeft w:val="0"/>
          <w:marRight w:val="0"/>
          <w:marTop w:val="0"/>
          <w:marBottom w:val="0"/>
          <w:divBdr>
            <w:top w:val="none" w:sz="0" w:space="0" w:color="auto"/>
            <w:left w:val="none" w:sz="0" w:space="0" w:color="auto"/>
            <w:bottom w:val="none" w:sz="0" w:space="0" w:color="auto"/>
            <w:right w:val="none" w:sz="0" w:space="0" w:color="auto"/>
          </w:divBdr>
        </w:div>
        <w:div w:id="1253588224">
          <w:marLeft w:val="0"/>
          <w:marRight w:val="0"/>
          <w:marTop w:val="0"/>
          <w:marBottom w:val="0"/>
          <w:divBdr>
            <w:top w:val="none" w:sz="0" w:space="0" w:color="auto"/>
            <w:left w:val="none" w:sz="0" w:space="0" w:color="auto"/>
            <w:bottom w:val="none" w:sz="0" w:space="0" w:color="auto"/>
            <w:right w:val="none" w:sz="0" w:space="0" w:color="auto"/>
          </w:divBdr>
        </w:div>
        <w:div w:id="2132167416">
          <w:marLeft w:val="0"/>
          <w:marRight w:val="0"/>
          <w:marTop w:val="0"/>
          <w:marBottom w:val="0"/>
          <w:divBdr>
            <w:top w:val="none" w:sz="0" w:space="0" w:color="auto"/>
            <w:left w:val="none" w:sz="0" w:space="0" w:color="auto"/>
            <w:bottom w:val="none" w:sz="0" w:space="0" w:color="auto"/>
            <w:right w:val="none" w:sz="0" w:space="0" w:color="auto"/>
          </w:divBdr>
        </w:div>
      </w:divsChild>
    </w:div>
    <w:div w:id="1570768391">
      <w:bodyDiv w:val="1"/>
      <w:marLeft w:val="0"/>
      <w:marRight w:val="0"/>
      <w:marTop w:val="0"/>
      <w:marBottom w:val="0"/>
      <w:divBdr>
        <w:top w:val="none" w:sz="0" w:space="0" w:color="auto"/>
        <w:left w:val="none" w:sz="0" w:space="0" w:color="auto"/>
        <w:bottom w:val="none" w:sz="0" w:space="0" w:color="auto"/>
        <w:right w:val="none" w:sz="0" w:space="0" w:color="auto"/>
      </w:divBdr>
    </w:div>
    <w:div w:id="1852405475">
      <w:bodyDiv w:val="1"/>
      <w:marLeft w:val="0"/>
      <w:marRight w:val="0"/>
      <w:marTop w:val="0"/>
      <w:marBottom w:val="0"/>
      <w:divBdr>
        <w:top w:val="none" w:sz="0" w:space="0" w:color="auto"/>
        <w:left w:val="none" w:sz="0" w:space="0" w:color="auto"/>
        <w:bottom w:val="none" w:sz="0" w:space="0" w:color="auto"/>
        <w:right w:val="none" w:sz="0" w:space="0" w:color="auto"/>
      </w:divBdr>
    </w:div>
    <w:div w:id="1904946132">
      <w:bodyDiv w:val="1"/>
      <w:marLeft w:val="0"/>
      <w:marRight w:val="0"/>
      <w:marTop w:val="0"/>
      <w:marBottom w:val="0"/>
      <w:divBdr>
        <w:top w:val="none" w:sz="0" w:space="0" w:color="auto"/>
        <w:left w:val="none" w:sz="0" w:space="0" w:color="auto"/>
        <w:bottom w:val="none" w:sz="0" w:space="0" w:color="auto"/>
        <w:right w:val="none" w:sz="0" w:space="0" w:color="auto"/>
      </w:divBdr>
    </w:div>
    <w:div w:id="2034573730">
      <w:bodyDiv w:val="1"/>
      <w:marLeft w:val="0"/>
      <w:marRight w:val="0"/>
      <w:marTop w:val="0"/>
      <w:marBottom w:val="0"/>
      <w:divBdr>
        <w:top w:val="none" w:sz="0" w:space="0" w:color="auto"/>
        <w:left w:val="none" w:sz="0" w:space="0" w:color="auto"/>
        <w:bottom w:val="none" w:sz="0" w:space="0" w:color="auto"/>
        <w:right w:val="none" w:sz="0" w:space="0" w:color="auto"/>
      </w:divBdr>
    </w:div>
    <w:div w:id="2062896502">
      <w:bodyDiv w:val="1"/>
      <w:marLeft w:val="0"/>
      <w:marRight w:val="0"/>
      <w:marTop w:val="0"/>
      <w:marBottom w:val="0"/>
      <w:divBdr>
        <w:top w:val="none" w:sz="0" w:space="0" w:color="auto"/>
        <w:left w:val="none" w:sz="0" w:space="0" w:color="auto"/>
        <w:bottom w:val="none" w:sz="0" w:space="0" w:color="auto"/>
        <w:right w:val="none" w:sz="0" w:space="0" w:color="auto"/>
      </w:divBdr>
      <w:divsChild>
        <w:div w:id="287587716">
          <w:marLeft w:val="0"/>
          <w:marRight w:val="0"/>
          <w:marTop w:val="0"/>
          <w:marBottom w:val="0"/>
          <w:divBdr>
            <w:top w:val="none" w:sz="0" w:space="0" w:color="auto"/>
            <w:left w:val="none" w:sz="0" w:space="0" w:color="auto"/>
            <w:bottom w:val="none" w:sz="0" w:space="0" w:color="auto"/>
            <w:right w:val="none" w:sz="0" w:space="0" w:color="auto"/>
          </w:divBdr>
        </w:div>
        <w:div w:id="350188514">
          <w:marLeft w:val="0"/>
          <w:marRight w:val="0"/>
          <w:marTop w:val="0"/>
          <w:marBottom w:val="0"/>
          <w:divBdr>
            <w:top w:val="none" w:sz="0" w:space="0" w:color="auto"/>
            <w:left w:val="none" w:sz="0" w:space="0" w:color="auto"/>
            <w:bottom w:val="none" w:sz="0" w:space="0" w:color="auto"/>
            <w:right w:val="none" w:sz="0" w:space="0" w:color="auto"/>
          </w:divBdr>
        </w:div>
        <w:div w:id="553733279">
          <w:marLeft w:val="0"/>
          <w:marRight w:val="0"/>
          <w:marTop w:val="0"/>
          <w:marBottom w:val="0"/>
          <w:divBdr>
            <w:top w:val="none" w:sz="0" w:space="0" w:color="auto"/>
            <w:left w:val="none" w:sz="0" w:space="0" w:color="auto"/>
            <w:bottom w:val="none" w:sz="0" w:space="0" w:color="auto"/>
            <w:right w:val="none" w:sz="0" w:space="0" w:color="auto"/>
          </w:divBdr>
        </w:div>
        <w:div w:id="866412402">
          <w:marLeft w:val="0"/>
          <w:marRight w:val="0"/>
          <w:marTop w:val="0"/>
          <w:marBottom w:val="0"/>
          <w:divBdr>
            <w:top w:val="none" w:sz="0" w:space="0" w:color="auto"/>
            <w:left w:val="none" w:sz="0" w:space="0" w:color="auto"/>
            <w:bottom w:val="none" w:sz="0" w:space="0" w:color="auto"/>
            <w:right w:val="none" w:sz="0" w:space="0" w:color="auto"/>
          </w:divBdr>
        </w:div>
        <w:div w:id="1586837064">
          <w:marLeft w:val="0"/>
          <w:marRight w:val="0"/>
          <w:marTop w:val="0"/>
          <w:marBottom w:val="0"/>
          <w:divBdr>
            <w:top w:val="none" w:sz="0" w:space="0" w:color="auto"/>
            <w:left w:val="none" w:sz="0" w:space="0" w:color="auto"/>
            <w:bottom w:val="none" w:sz="0" w:space="0" w:color="auto"/>
            <w:right w:val="none" w:sz="0" w:space="0" w:color="auto"/>
          </w:divBdr>
        </w:div>
        <w:div w:id="1771580479">
          <w:marLeft w:val="0"/>
          <w:marRight w:val="0"/>
          <w:marTop w:val="0"/>
          <w:marBottom w:val="0"/>
          <w:divBdr>
            <w:top w:val="none" w:sz="0" w:space="0" w:color="auto"/>
            <w:left w:val="none" w:sz="0" w:space="0" w:color="auto"/>
            <w:bottom w:val="none" w:sz="0" w:space="0" w:color="auto"/>
            <w:right w:val="none" w:sz="0" w:space="0" w:color="auto"/>
          </w:divBdr>
        </w:div>
        <w:div w:id="2117825053">
          <w:marLeft w:val="0"/>
          <w:marRight w:val="0"/>
          <w:marTop w:val="0"/>
          <w:marBottom w:val="0"/>
          <w:divBdr>
            <w:top w:val="none" w:sz="0" w:space="0" w:color="auto"/>
            <w:left w:val="none" w:sz="0" w:space="0" w:color="auto"/>
            <w:bottom w:val="none" w:sz="0" w:space="0" w:color="auto"/>
            <w:right w:val="none" w:sz="0" w:space="0" w:color="auto"/>
          </w:divBdr>
        </w:div>
      </w:divsChild>
    </w:div>
    <w:div w:id="21183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Users\gerardoc\Documents\Chihuahua%20Cobertura%20de%20Deud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n-US"/>
              <a:t>Tasa</a:t>
            </a:r>
            <a:r>
              <a:rPr lang="en-US" baseline="0"/>
              <a:t> de Interés Observada</a:t>
            </a:r>
          </a:p>
          <a:p>
            <a:pPr>
              <a:defRPr lang="es-ES" sz="1400" b="0" i="0" u="none" strike="noStrike" kern="1200" spc="0" baseline="0">
                <a:solidFill>
                  <a:schemeClr val="tx1">
                    <a:lumMod val="65000"/>
                    <a:lumOff val="35000"/>
                  </a:schemeClr>
                </a:solidFill>
                <a:latin typeface="+mn-lt"/>
                <a:ea typeface="+mn-ea"/>
                <a:cs typeface="+mn-cs"/>
              </a:defRPr>
            </a:pPr>
            <a:r>
              <a:rPr lang="en-US" baseline="0"/>
              <a:t>(%)</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Sheet9!$F$13:$F$14</c:f>
              <c:strCache>
                <c:ptCount val="2"/>
                <c:pt idx="0">
                  <c:v>Deuda Bancaria</c:v>
                </c:pt>
                <c:pt idx="1">
                  <c:v>Emisión Bursátil</c:v>
                </c:pt>
              </c:strCache>
            </c:strRef>
          </c:cat>
          <c:val>
            <c:numRef>
              <c:f>Sheet9!$G$13:$G$14</c:f>
              <c:numCache>
                <c:formatCode>0.0</c:formatCode>
                <c:ptCount val="2"/>
                <c:pt idx="0">
                  <c:v>5.9</c:v>
                </c:pt>
                <c:pt idx="1">
                  <c:v>13</c:v>
                </c:pt>
              </c:numCache>
            </c:numRef>
          </c:val>
          <c:extLst xmlns:c16r2="http://schemas.microsoft.com/office/drawing/2015/06/chart">
            <c:ext xmlns:c16="http://schemas.microsoft.com/office/drawing/2014/chart" uri="{C3380CC4-5D6E-409C-BE32-E72D297353CC}">
              <c16:uniqueId val="{00000000-F0A1-4B28-A4AF-400C75F9B247}"/>
            </c:ext>
          </c:extLst>
        </c:ser>
        <c:dLbls>
          <c:showLegendKey val="0"/>
          <c:showVal val="0"/>
          <c:showCatName val="0"/>
          <c:showSerName val="0"/>
          <c:showPercent val="0"/>
          <c:showBubbleSize val="0"/>
        </c:dLbls>
        <c:gapWidth val="219"/>
        <c:overlap val="-27"/>
        <c:axId val="-1337652352"/>
        <c:axId val="-1337651808"/>
      </c:barChart>
      <c:catAx>
        <c:axId val="-133765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337651808"/>
        <c:crosses val="autoZero"/>
        <c:auto val="1"/>
        <c:lblAlgn val="ctr"/>
        <c:lblOffset val="100"/>
        <c:noMultiLvlLbl val="0"/>
      </c:catAx>
      <c:valAx>
        <c:axId val="-13376518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MX"/>
          </a:p>
        </c:txPr>
        <c:crossAx val="-13376523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72C4C-305D-48AA-B4C5-787F2846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136</Pages>
  <Words>26532</Words>
  <Characters>145926</Characters>
  <Application>Microsoft Office Word</Application>
  <DocSecurity>0</DocSecurity>
  <Lines>1216</Lines>
  <Paragraphs>344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acastillo</dc:creator>
  <cp:lastModifiedBy>Felipe Alejandro Salasplata Cazares</cp:lastModifiedBy>
  <cp:revision>4</cp:revision>
  <cp:lastPrinted>2021-12-11T00:16:00Z</cp:lastPrinted>
  <dcterms:created xsi:type="dcterms:W3CDTF">2021-12-11T00:04:00Z</dcterms:created>
  <dcterms:modified xsi:type="dcterms:W3CDTF">2021-12-18T00:40:00Z</dcterms:modified>
</cp:coreProperties>
</file>