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9100E8" w14:textId="65D77FA4" w:rsidR="00A53E96" w:rsidRPr="00335650" w:rsidRDefault="00A53E96" w:rsidP="00A53E96">
      <w:pPr>
        <w:spacing w:after="0" w:line="288" w:lineRule="auto"/>
        <w:jc w:val="both"/>
        <w:rPr>
          <w:rFonts w:ascii="Arial" w:hAnsi="Arial" w:cs="Arial"/>
          <w:b/>
          <w:bCs/>
          <w:sz w:val="25"/>
          <w:szCs w:val="25"/>
        </w:rPr>
      </w:pPr>
      <w:r w:rsidRPr="00335650">
        <w:rPr>
          <w:rFonts w:ascii="Arial" w:hAnsi="Arial" w:cs="Arial"/>
          <w:b/>
          <w:bCs/>
          <w:sz w:val="25"/>
          <w:szCs w:val="25"/>
        </w:rPr>
        <w:t xml:space="preserve">RESERVAS A LA LEY </w:t>
      </w:r>
      <w:r w:rsidRPr="00A53E96">
        <w:rPr>
          <w:rFonts w:ascii="Arial" w:hAnsi="Arial" w:cs="Arial"/>
          <w:b/>
          <w:bCs/>
          <w:caps/>
          <w:sz w:val="25"/>
          <w:szCs w:val="25"/>
        </w:rPr>
        <w:t>que Regula el Uso Obligatoria de Cubrebocas y Demás Medidas para prevenir la Transmisión de la Enfermedad Covid-19 en el Estado de Chihuahua</w:t>
      </w:r>
      <w:r>
        <w:rPr>
          <w:rFonts w:ascii="Arial" w:hAnsi="Arial" w:cs="Arial"/>
          <w:b/>
          <w:bCs/>
          <w:caps/>
          <w:sz w:val="25"/>
          <w:szCs w:val="25"/>
        </w:rPr>
        <w:t xml:space="preserve">. (dip. lorenzo arturo parga amado) </w:t>
      </w:r>
    </w:p>
    <w:p w14:paraId="53DC8F35" w14:textId="77777777" w:rsidR="00A53E96" w:rsidRPr="00335650" w:rsidRDefault="00A53E96" w:rsidP="00A53E96">
      <w:pPr>
        <w:spacing w:after="0" w:line="288" w:lineRule="auto"/>
        <w:jc w:val="both"/>
        <w:rPr>
          <w:rFonts w:ascii="Arial" w:hAnsi="Arial" w:cs="Arial"/>
          <w:sz w:val="25"/>
          <w:szCs w:val="25"/>
        </w:rPr>
      </w:pPr>
    </w:p>
    <w:p w14:paraId="4F6ED6AB" w14:textId="77777777" w:rsidR="00A53E96" w:rsidRPr="00A53E96" w:rsidRDefault="00A53E96" w:rsidP="00A53E96">
      <w:pPr>
        <w:pStyle w:val="Prrafodelista"/>
        <w:numPr>
          <w:ilvl w:val="0"/>
          <w:numId w:val="3"/>
        </w:numPr>
        <w:spacing w:after="0" w:line="288" w:lineRule="auto"/>
        <w:jc w:val="both"/>
        <w:rPr>
          <w:rFonts w:ascii="Arial" w:hAnsi="Arial" w:cs="Arial"/>
          <w:sz w:val="25"/>
          <w:szCs w:val="25"/>
        </w:rPr>
      </w:pPr>
      <w:r w:rsidRPr="00A53E96">
        <w:rPr>
          <w:rFonts w:ascii="Arial" w:hAnsi="Arial" w:cs="Arial"/>
          <w:b/>
          <w:bCs/>
          <w:sz w:val="25"/>
          <w:szCs w:val="25"/>
        </w:rPr>
        <w:t>Reformar la fracción II del artículo ocho, para quedar de la siguiente manera</w:t>
      </w:r>
      <w:r w:rsidRPr="00A53E96">
        <w:rPr>
          <w:rFonts w:ascii="Arial" w:hAnsi="Arial" w:cs="Arial"/>
          <w:sz w:val="25"/>
          <w:szCs w:val="25"/>
        </w:rPr>
        <w:t>:</w:t>
      </w:r>
    </w:p>
    <w:p w14:paraId="6A2E45F8" w14:textId="77777777" w:rsidR="00A53E96" w:rsidRPr="00A53E96" w:rsidRDefault="00A53E96" w:rsidP="00A53E96">
      <w:pPr>
        <w:spacing w:after="0" w:line="288" w:lineRule="auto"/>
        <w:jc w:val="both"/>
        <w:rPr>
          <w:rFonts w:ascii="Arial" w:hAnsi="Arial" w:cs="Arial"/>
          <w:sz w:val="25"/>
          <w:szCs w:val="25"/>
          <w:lang w:val="es-ES_tradnl"/>
        </w:rPr>
      </w:pPr>
      <w:r w:rsidRPr="00A53E96">
        <w:rPr>
          <w:rFonts w:ascii="Arial" w:hAnsi="Arial" w:cs="Arial"/>
          <w:sz w:val="25"/>
          <w:szCs w:val="25"/>
          <w:lang w:val="es-ES_tradnl"/>
        </w:rPr>
        <w:t>Artículo 8. Excepciones.</w:t>
      </w:r>
    </w:p>
    <w:p w14:paraId="0C3F31DC" w14:textId="77777777" w:rsidR="00A53E96" w:rsidRPr="00335650" w:rsidRDefault="00A53E96" w:rsidP="00A53E96">
      <w:pPr>
        <w:spacing w:after="0" w:line="288" w:lineRule="auto"/>
        <w:jc w:val="both"/>
        <w:rPr>
          <w:rFonts w:ascii="Arial" w:hAnsi="Arial" w:cs="Arial"/>
          <w:sz w:val="25"/>
          <w:szCs w:val="25"/>
          <w:lang w:val="es-ES_tradnl"/>
        </w:rPr>
      </w:pPr>
      <w:r w:rsidRPr="00335650">
        <w:rPr>
          <w:rFonts w:ascii="Arial" w:hAnsi="Arial" w:cs="Arial"/>
          <w:sz w:val="25"/>
          <w:szCs w:val="25"/>
          <w:lang w:val="es-ES_tradnl"/>
        </w:rPr>
        <w:t>Quedan excluidos del uso obligatorio de cubrebocas:</w:t>
      </w:r>
    </w:p>
    <w:p w14:paraId="6F687493" w14:textId="77777777" w:rsidR="00A53E96" w:rsidRPr="00335650" w:rsidRDefault="00A53E96" w:rsidP="00A53E96">
      <w:pPr>
        <w:numPr>
          <w:ilvl w:val="0"/>
          <w:numId w:val="1"/>
        </w:numPr>
        <w:spacing w:after="0" w:line="288" w:lineRule="auto"/>
        <w:jc w:val="both"/>
        <w:rPr>
          <w:rFonts w:ascii="Arial" w:hAnsi="Arial" w:cs="Arial"/>
          <w:sz w:val="25"/>
          <w:szCs w:val="25"/>
          <w:lang w:val="es-ES_tradnl"/>
        </w:rPr>
      </w:pPr>
      <w:r w:rsidRPr="00335650">
        <w:rPr>
          <w:rFonts w:ascii="Arial" w:hAnsi="Arial" w:cs="Arial"/>
          <w:sz w:val="25"/>
          <w:szCs w:val="25"/>
          <w:lang w:val="es-ES_tradnl"/>
        </w:rPr>
        <w:t>Menores de dos años.</w:t>
      </w:r>
    </w:p>
    <w:p w14:paraId="154D1953" w14:textId="6258D0D8" w:rsidR="00A53E96" w:rsidRPr="00335650" w:rsidRDefault="00A53E96" w:rsidP="00A53E96">
      <w:pPr>
        <w:numPr>
          <w:ilvl w:val="0"/>
          <w:numId w:val="1"/>
        </w:numPr>
        <w:spacing w:after="0" w:line="288" w:lineRule="auto"/>
        <w:jc w:val="both"/>
        <w:rPr>
          <w:rFonts w:ascii="Arial" w:hAnsi="Arial" w:cs="Arial"/>
          <w:sz w:val="25"/>
          <w:szCs w:val="25"/>
          <w:lang w:val="es-ES_tradnl"/>
        </w:rPr>
      </w:pPr>
      <w:r w:rsidRPr="00335650">
        <w:rPr>
          <w:rFonts w:ascii="Arial" w:hAnsi="Arial" w:cs="Arial"/>
          <w:sz w:val="25"/>
          <w:szCs w:val="25"/>
          <w:lang w:val="es-ES_tradnl"/>
        </w:rPr>
        <w:t xml:space="preserve">Cualquier persona que tenga problemas para respirar, </w:t>
      </w:r>
      <w:r w:rsidRPr="00335650">
        <w:rPr>
          <w:rFonts w:ascii="Arial" w:hAnsi="Arial" w:cs="Arial"/>
          <w:b/>
          <w:bCs/>
          <w:sz w:val="25"/>
          <w:szCs w:val="25"/>
          <w:lang w:val="es-ES_tradnl"/>
        </w:rPr>
        <w:t xml:space="preserve">que no esté ocasionada por una infección respiratoria. </w:t>
      </w:r>
    </w:p>
    <w:p w14:paraId="49D14A9C" w14:textId="77777777" w:rsidR="00A53E96" w:rsidRPr="00335650" w:rsidRDefault="00A53E96" w:rsidP="00A53E96">
      <w:pPr>
        <w:numPr>
          <w:ilvl w:val="0"/>
          <w:numId w:val="1"/>
        </w:numPr>
        <w:spacing w:after="0" w:line="288" w:lineRule="auto"/>
        <w:jc w:val="both"/>
        <w:rPr>
          <w:rFonts w:ascii="Arial" w:hAnsi="Arial" w:cs="Arial"/>
          <w:sz w:val="25"/>
          <w:szCs w:val="25"/>
          <w:lang w:val="es-ES_tradnl"/>
        </w:rPr>
      </w:pPr>
      <w:r w:rsidRPr="00335650">
        <w:rPr>
          <w:rFonts w:ascii="Arial" w:hAnsi="Arial" w:cs="Arial"/>
          <w:sz w:val="25"/>
          <w:szCs w:val="25"/>
          <w:lang w:val="es-ES_tradnl"/>
        </w:rPr>
        <w:t>Personas que no puedan quitarse el cubrebocas sin ayuda.</w:t>
      </w:r>
    </w:p>
    <w:p w14:paraId="7D282B1E" w14:textId="77777777" w:rsidR="00A53E96" w:rsidRPr="00335650" w:rsidRDefault="00A53E96" w:rsidP="00A53E96">
      <w:pPr>
        <w:numPr>
          <w:ilvl w:val="0"/>
          <w:numId w:val="1"/>
        </w:numPr>
        <w:spacing w:after="0" w:line="288" w:lineRule="auto"/>
        <w:jc w:val="both"/>
        <w:rPr>
          <w:rFonts w:ascii="Arial" w:hAnsi="Arial" w:cs="Arial"/>
          <w:sz w:val="25"/>
          <w:szCs w:val="25"/>
          <w:lang w:val="es-ES_tradnl"/>
        </w:rPr>
      </w:pPr>
      <w:r w:rsidRPr="00335650">
        <w:rPr>
          <w:rFonts w:ascii="Arial" w:hAnsi="Arial" w:cs="Arial"/>
          <w:sz w:val="25"/>
          <w:szCs w:val="25"/>
          <w:lang w:val="es-ES_tradnl"/>
        </w:rPr>
        <w:t>Aquella persona que se encuentre en el interior de un vehículo automotriz sin compañía.</w:t>
      </w:r>
    </w:p>
    <w:p w14:paraId="090B260C" w14:textId="2E275034" w:rsidR="00A53E96" w:rsidRDefault="00A53E96" w:rsidP="00A53E96">
      <w:pPr>
        <w:spacing w:after="0" w:line="288" w:lineRule="auto"/>
        <w:jc w:val="both"/>
        <w:rPr>
          <w:rFonts w:ascii="Arial" w:hAnsi="Arial" w:cs="Arial"/>
          <w:sz w:val="25"/>
          <w:szCs w:val="25"/>
          <w:lang w:val="es-ES_tradnl"/>
        </w:rPr>
      </w:pPr>
      <w:bookmarkStart w:id="0" w:name="_GoBack"/>
      <w:bookmarkEnd w:id="0"/>
    </w:p>
    <w:p w14:paraId="353CA419" w14:textId="77777777" w:rsidR="00A53E96" w:rsidRPr="00335650" w:rsidRDefault="00A53E96" w:rsidP="00A53E96">
      <w:pPr>
        <w:spacing w:after="0" w:line="288" w:lineRule="auto"/>
        <w:jc w:val="both"/>
        <w:rPr>
          <w:rFonts w:ascii="Arial" w:hAnsi="Arial" w:cs="Arial"/>
          <w:sz w:val="25"/>
          <w:szCs w:val="25"/>
          <w:lang w:val="es-ES_tradnl"/>
        </w:rPr>
      </w:pPr>
    </w:p>
    <w:p w14:paraId="0BBF4F7D" w14:textId="77777777" w:rsidR="00A53E96" w:rsidRPr="00A53E96" w:rsidRDefault="00A53E96" w:rsidP="00A53E96">
      <w:pPr>
        <w:pStyle w:val="Prrafodelista"/>
        <w:numPr>
          <w:ilvl w:val="0"/>
          <w:numId w:val="3"/>
        </w:numPr>
        <w:spacing w:after="0" w:line="288" w:lineRule="auto"/>
        <w:jc w:val="both"/>
        <w:rPr>
          <w:rFonts w:ascii="Arial" w:hAnsi="Arial" w:cs="Arial"/>
          <w:b/>
          <w:bCs/>
          <w:sz w:val="25"/>
          <w:szCs w:val="25"/>
          <w:lang w:val="es-ES_tradnl"/>
        </w:rPr>
      </w:pPr>
      <w:r w:rsidRPr="00A53E96">
        <w:rPr>
          <w:rFonts w:ascii="Arial" w:hAnsi="Arial" w:cs="Arial"/>
          <w:b/>
          <w:bCs/>
          <w:sz w:val="25"/>
          <w:szCs w:val="25"/>
          <w:lang w:val="es-ES_tradnl"/>
        </w:rPr>
        <w:t>Reformar el artículo 9, a efecto de quedar de la siguiente manera:</w:t>
      </w:r>
    </w:p>
    <w:p w14:paraId="45591992" w14:textId="77777777" w:rsidR="00A53E96" w:rsidRPr="00A53E96" w:rsidRDefault="00A53E96" w:rsidP="00A53E96">
      <w:pPr>
        <w:spacing w:after="0" w:line="288" w:lineRule="auto"/>
        <w:jc w:val="both"/>
        <w:rPr>
          <w:rFonts w:ascii="Arial" w:hAnsi="Arial" w:cs="Arial"/>
          <w:sz w:val="25"/>
          <w:szCs w:val="25"/>
          <w:lang w:val="es-ES_tradnl"/>
        </w:rPr>
      </w:pPr>
      <w:r w:rsidRPr="00A53E96">
        <w:rPr>
          <w:rFonts w:ascii="Arial" w:hAnsi="Arial" w:cs="Arial"/>
          <w:sz w:val="25"/>
          <w:szCs w:val="25"/>
          <w:lang w:val="es-ES_tradnl"/>
        </w:rPr>
        <w:t>Artículo 9. Disposiciones para el correcto uso del cubrebocas.</w:t>
      </w:r>
    </w:p>
    <w:p w14:paraId="0636C17F" w14:textId="77777777" w:rsidR="00A53E96" w:rsidRPr="00335650" w:rsidRDefault="00A53E96" w:rsidP="00A53E96">
      <w:pPr>
        <w:spacing w:after="0" w:line="288" w:lineRule="auto"/>
        <w:jc w:val="both"/>
        <w:rPr>
          <w:rFonts w:ascii="Arial" w:hAnsi="Arial" w:cs="Arial"/>
          <w:sz w:val="25"/>
          <w:szCs w:val="25"/>
          <w:lang w:val="es-ES_tradnl"/>
        </w:rPr>
      </w:pPr>
      <w:r w:rsidRPr="00335650">
        <w:rPr>
          <w:rFonts w:ascii="Arial" w:hAnsi="Arial" w:cs="Arial"/>
          <w:sz w:val="25"/>
          <w:szCs w:val="25"/>
          <w:lang w:val="es-ES_tradnl"/>
        </w:rPr>
        <w:t xml:space="preserve">Para el uso de cubrebocas higiénicos de forma segura, </w:t>
      </w:r>
      <w:r w:rsidRPr="00335650">
        <w:rPr>
          <w:rFonts w:ascii="Arial" w:hAnsi="Arial" w:cs="Arial"/>
          <w:b/>
          <w:bCs/>
          <w:sz w:val="25"/>
          <w:szCs w:val="25"/>
          <w:lang w:val="es-ES_tradnl"/>
        </w:rPr>
        <w:t>se debe atender a las recomendaciones dadas por las autoridades sanitarias.</w:t>
      </w:r>
      <w:r w:rsidRPr="00335650">
        <w:rPr>
          <w:rFonts w:ascii="Arial" w:hAnsi="Arial" w:cs="Arial"/>
          <w:sz w:val="25"/>
          <w:szCs w:val="25"/>
          <w:lang w:val="es-ES_tradnl"/>
        </w:rPr>
        <w:t xml:space="preserve"> </w:t>
      </w:r>
    </w:p>
    <w:p w14:paraId="7DA9D53D" w14:textId="72701850" w:rsidR="00A53E96" w:rsidRDefault="00A53E96" w:rsidP="00A53E96">
      <w:pPr>
        <w:spacing w:after="0" w:line="288" w:lineRule="auto"/>
        <w:jc w:val="both"/>
        <w:rPr>
          <w:rFonts w:ascii="Arial" w:hAnsi="Arial" w:cs="Arial"/>
          <w:sz w:val="25"/>
          <w:szCs w:val="25"/>
          <w:lang w:val="es-ES_tradnl"/>
        </w:rPr>
      </w:pPr>
    </w:p>
    <w:p w14:paraId="5161AEF8" w14:textId="77777777" w:rsidR="00A53E96" w:rsidRPr="00335650" w:rsidRDefault="00A53E96" w:rsidP="00A53E96">
      <w:pPr>
        <w:spacing w:after="0" w:line="288" w:lineRule="auto"/>
        <w:jc w:val="both"/>
        <w:rPr>
          <w:rFonts w:ascii="Arial" w:hAnsi="Arial" w:cs="Arial"/>
          <w:sz w:val="25"/>
          <w:szCs w:val="25"/>
          <w:lang w:val="es-ES_tradnl"/>
        </w:rPr>
      </w:pPr>
    </w:p>
    <w:p w14:paraId="77667686" w14:textId="77777777" w:rsidR="00A53E96" w:rsidRPr="00A53E96" w:rsidRDefault="00A53E96" w:rsidP="00A53E96">
      <w:pPr>
        <w:pStyle w:val="Prrafodelista"/>
        <w:numPr>
          <w:ilvl w:val="0"/>
          <w:numId w:val="3"/>
        </w:numPr>
        <w:spacing w:after="0" w:line="288" w:lineRule="auto"/>
        <w:jc w:val="both"/>
        <w:rPr>
          <w:rFonts w:ascii="Arial" w:hAnsi="Arial" w:cs="Arial"/>
          <w:b/>
          <w:bCs/>
          <w:sz w:val="25"/>
          <w:szCs w:val="25"/>
          <w:lang w:val="es-ES_tradnl"/>
        </w:rPr>
      </w:pPr>
      <w:r w:rsidRPr="00A53E96">
        <w:rPr>
          <w:rFonts w:ascii="Arial" w:hAnsi="Arial" w:cs="Arial"/>
          <w:b/>
          <w:bCs/>
          <w:sz w:val="25"/>
          <w:szCs w:val="25"/>
          <w:lang w:val="es-ES_tradnl"/>
        </w:rPr>
        <w:t>Se agrega un último párrafo al artículo 10, para quedar redactado de la siguiente forma:</w:t>
      </w:r>
    </w:p>
    <w:p w14:paraId="30DDEC24" w14:textId="77777777" w:rsidR="00A53E96" w:rsidRPr="00A53E96" w:rsidRDefault="00A53E96" w:rsidP="00A53E96">
      <w:pPr>
        <w:spacing w:after="0" w:line="288" w:lineRule="auto"/>
        <w:jc w:val="both"/>
        <w:rPr>
          <w:rFonts w:ascii="Arial" w:hAnsi="Arial" w:cs="Arial"/>
          <w:sz w:val="25"/>
          <w:szCs w:val="25"/>
          <w:lang w:val="es-ES_tradnl"/>
        </w:rPr>
      </w:pPr>
      <w:r w:rsidRPr="00A53E96">
        <w:rPr>
          <w:rFonts w:ascii="Arial" w:hAnsi="Arial" w:cs="Arial"/>
          <w:sz w:val="25"/>
          <w:szCs w:val="25"/>
          <w:lang w:val="es-ES_tradnl"/>
        </w:rPr>
        <w:t>Artículo 10. Disposiciones para oficinas públicas, privadas y centros de trabajo.</w:t>
      </w:r>
    </w:p>
    <w:p w14:paraId="4CB8E57D" w14:textId="77777777" w:rsidR="00A53E96" w:rsidRPr="00A53E96" w:rsidRDefault="00A53E96" w:rsidP="00A53E96">
      <w:pPr>
        <w:spacing w:after="0" w:line="288" w:lineRule="auto"/>
        <w:jc w:val="both"/>
        <w:rPr>
          <w:rFonts w:ascii="Arial" w:hAnsi="Arial" w:cs="Arial"/>
          <w:sz w:val="25"/>
          <w:szCs w:val="25"/>
          <w:lang w:val="es-ES_tradnl"/>
        </w:rPr>
      </w:pPr>
      <w:r w:rsidRPr="00A53E96">
        <w:rPr>
          <w:rFonts w:ascii="Arial" w:hAnsi="Arial" w:cs="Arial"/>
          <w:sz w:val="25"/>
          <w:szCs w:val="25"/>
          <w:lang w:val="es-ES_tradnl"/>
        </w:rPr>
        <w:t>…</w:t>
      </w:r>
    </w:p>
    <w:p w14:paraId="6C48C007" w14:textId="77777777" w:rsidR="00A53E96" w:rsidRPr="00335650" w:rsidRDefault="00A53E96" w:rsidP="00A53E96">
      <w:pPr>
        <w:spacing w:after="0" w:line="288" w:lineRule="auto"/>
        <w:jc w:val="both"/>
        <w:rPr>
          <w:rFonts w:ascii="Arial" w:hAnsi="Arial" w:cs="Arial"/>
          <w:sz w:val="25"/>
          <w:szCs w:val="25"/>
          <w:lang w:val="es-ES_tradnl"/>
        </w:rPr>
      </w:pPr>
      <w:r w:rsidRPr="00335650">
        <w:rPr>
          <w:rFonts w:ascii="Arial" w:hAnsi="Arial" w:cs="Arial"/>
          <w:sz w:val="25"/>
          <w:szCs w:val="25"/>
          <w:lang w:val="es-ES_tradnl"/>
        </w:rPr>
        <w:t>…</w:t>
      </w:r>
    </w:p>
    <w:p w14:paraId="3DFBC1A8" w14:textId="77777777" w:rsidR="00A53E96" w:rsidRPr="00335650" w:rsidRDefault="00A53E96" w:rsidP="00A53E96">
      <w:pPr>
        <w:spacing w:after="0" w:line="288" w:lineRule="auto"/>
        <w:jc w:val="both"/>
        <w:rPr>
          <w:rFonts w:ascii="Arial" w:hAnsi="Arial" w:cs="Arial"/>
          <w:sz w:val="25"/>
          <w:szCs w:val="25"/>
          <w:lang w:val="es-ES_tradnl"/>
        </w:rPr>
      </w:pPr>
      <w:r w:rsidRPr="00335650">
        <w:rPr>
          <w:rFonts w:ascii="Arial" w:hAnsi="Arial" w:cs="Arial"/>
          <w:sz w:val="25"/>
          <w:szCs w:val="25"/>
          <w:lang w:val="es-ES_tradnl"/>
        </w:rPr>
        <w:t>…</w:t>
      </w:r>
    </w:p>
    <w:p w14:paraId="7E412045" w14:textId="77777777" w:rsidR="00A53E96" w:rsidRPr="00335650" w:rsidRDefault="00A53E96" w:rsidP="00A53E96">
      <w:pPr>
        <w:spacing w:after="0" w:line="288" w:lineRule="auto"/>
        <w:jc w:val="both"/>
        <w:rPr>
          <w:rFonts w:ascii="Arial" w:hAnsi="Arial" w:cs="Arial"/>
          <w:b/>
          <w:bCs/>
          <w:sz w:val="25"/>
          <w:szCs w:val="25"/>
          <w:lang w:val="es-ES_tradnl"/>
        </w:rPr>
      </w:pPr>
      <w:r w:rsidRPr="00335650">
        <w:rPr>
          <w:rFonts w:ascii="Arial" w:hAnsi="Arial" w:cs="Arial"/>
          <w:b/>
          <w:bCs/>
          <w:sz w:val="25"/>
          <w:szCs w:val="25"/>
        </w:rPr>
        <w:t>Las autoridades competentes priorizarán la entrega de cubrebocas de tipo médico, a las personas con alguna infección respiratoria que sean parte de los grupos vulnerables, a sus cuidadores; así como a los profesionales de la salud.</w:t>
      </w:r>
    </w:p>
    <w:p w14:paraId="237FF9E5" w14:textId="2B824E51" w:rsidR="00A53E96" w:rsidRDefault="00A53E96" w:rsidP="00A53E96">
      <w:pPr>
        <w:spacing w:after="0" w:line="288" w:lineRule="auto"/>
        <w:jc w:val="both"/>
        <w:rPr>
          <w:rFonts w:ascii="Arial" w:hAnsi="Arial" w:cs="Arial"/>
          <w:sz w:val="25"/>
          <w:szCs w:val="25"/>
        </w:rPr>
      </w:pPr>
    </w:p>
    <w:p w14:paraId="41033452" w14:textId="77777777" w:rsidR="00A53E96" w:rsidRPr="00335650" w:rsidRDefault="00A53E96" w:rsidP="00A53E96">
      <w:pPr>
        <w:spacing w:after="0" w:line="288" w:lineRule="auto"/>
        <w:jc w:val="both"/>
        <w:rPr>
          <w:rFonts w:ascii="Arial" w:hAnsi="Arial" w:cs="Arial"/>
          <w:sz w:val="25"/>
          <w:szCs w:val="25"/>
        </w:rPr>
      </w:pPr>
    </w:p>
    <w:p w14:paraId="7FA27F5C" w14:textId="77777777" w:rsidR="00A53E96" w:rsidRPr="00A53E96" w:rsidRDefault="00A53E96" w:rsidP="00A53E96">
      <w:pPr>
        <w:pStyle w:val="Prrafodelista"/>
        <w:numPr>
          <w:ilvl w:val="0"/>
          <w:numId w:val="3"/>
        </w:numPr>
        <w:spacing w:after="0" w:line="288" w:lineRule="auto"/>
        <w:jc w:val="both"/>
        <w:rPr>
          <w:rFonts w:ascii="Arial" w:hAnsi="Arial" w:cs="Arial"/>
          <w:b/>
          <w:bCs/>
          <w:sz w:val="25"/>
          <w:szCs w:val="25"/>
        </w:rPr>
      </w:pPr>
      <w:r w:rsidRPr="00A53E96">
        <w:rPr>
          <w:rFonts w:ascii="Arial" w:hAnsi="Arial" w:cs="Arial"/>
          <w:b/>
          <w:bCs/>
          <w:sz w:val="25"/>
          <w:szCs w:val="25"/>
        </w:rPr>
        <w:t>Se reforman las dos fracciones del artículo 20, a fin de quedar en los siguientes términos:</w:t>
      </w:r>
    </w:p>
    <w:p w14:paraId="5AB5C2F9" w14:textId="77777777" w:rsidR="00A53E96" w:rsidRPr="00A53E96" w:rsidRDefault="00A53E96" w:rsidP="00A53E96">
      <w:pPr>
        <w:spacing w:after="0" w:line="288" w:lineRule="auto"/>
        <w:jc w:val="both"/>
        <w:rPr>
          <w:rFonts w:ascii="Arial" w:hAnsi="Arial" w:cs="Arial"/>
          <w:bCs/>
          <w:sz w:val="25"/>
          <w:szCs w:val="25"/>
        </w:rPr>
      </w:pPr>
      <w:r w:rsidRPr="00A53E96">
        <w:rPr>
          <w:rFonts w:ascii="Arial" w:hAnsi="Arial" w:cs="Arial"/>
          <w:bCs/>
          <w:sz w:val="25"/>
          <w:szCs w:val="25"/>
        </w:rPr>
        <w:t>Artículo 20. Imposición de la multa.</w:t>
      </w:r>
    </w:p>
    <w:p w14:paraId="1A1A3422" w14:textId="77777777" w:rsidR="00A53E96" w:rsidRPr="00335650" w:rsidRDefault="00A53E96" w:rsidP="00A53E96">
      <w:pPr>
        <w:spacing w:after="0" w:line="288" w:lineRule="auto"/>
        <w:jc w:val="both"/>
        <w:rPr>
          <w:rFonts w:ascii="Arial" w:hAnsi="Arial" w:cs="Arial"/>
          <w:sz w:val="25"/>
          <w:szCs w:val="25"/>
        </w:rPr>
      </w:pPr>
      <w:r w:rsidRPr="00335650">
        <w:rPr>
          <w:rFonts w:ascii="Arial" w:hAnsi="Arial" w:cs="Arial"/>
          <w:sz w:val="25"/>
          <w:szCs w:val="25"/>
        </w:rPr>
        <w:t>A quien infrinja las disposiciones de esta ley, tomando en consideración los criterios previstos en el artículo 17, se aplicará la multa en los siguientes términos:</w:t>
      </w:r>
    </w:p>
    <w:p w14:paraId="36CD946C" w14:textId="77777777" w:rsidR="00A53E96" w:rsidRPr="00335650" w:rsidRDefault="00A53E96" w:rsidP="00A53E96">
      <w:pPr>
        <w:numPr>
          <w:ilvl w:val="0"/>
          <w:numId w:val="2"/>
        </w:numPr>
        <w:spacing w:after="0" w:line="288" w:lineRule="auto"/>
        <w:jc w:val="both"/>
        <w:rPr>
          <w:rFonts w:ascii="Arial" w:hAnsi="Arial" w:cs="Arial"/>
          <w:sz w:val="25"/>
          <w:szCs w:val="25"/>
        </w:rPr>
      </w:pPr>
      <w:r w:rsidRPr="00335650">
        <w:rPr>
          <w:rFonts w:ascii="Arial" w:hAnsi="Arial" w:cs="Arial"/>
          <w:sz w:val="25"/>
          <w:szCs w:val="25"/>
        </w:rPr>
        <w:lastRenderedPageBreak/>
        <w:t xml:space="preserve">En el caso de los propietarios o administradores de los establecimientos comerciales, industriales, empresariales, de negocios o de servicios previstos en el artículo 12 de esta ley, hasta </w:t>
      </w:r>
      <w:r w:rsidRPr="00335650">
        <w:rPr>
          <w:rFonts w:ascii="Arial" w:hAnsi="Arial" w:cs="Arial"/>
          <w:b/>
          <w:bCs/>
          <w:sz w:val="25"/>
          <w:szCs w:val="25"/>
        </w:rPr>
        <w:t>15</w:t>
      </w:r>
      <w:r w:rsidRPr="00335650">
        <w:rPr>
          <w:rFonts w:ascii="Arial" w:hAnsi="Arial" w:cs="Arial"/>
          <w:sz w:val="25"/>
          <w:szCs w:val="25"/>
        </w:rPr>
        <w:t xml:space="preserve"> veces el valor diario de la Unidad de Medida y Actualización.</w:t>
      </w:r>
    </w:p>
    <w:p w14:paraId="07C3C97B" w14:textId="77777777" w:rsidR="00A53E96" w:rsidRPr="00335650" w:rsidRDefault="00A53E96" w:rsidP="00A53E96">
      <w:pPr>
        <w:numPr>
          <w:ilvl w:val="0"/>
          <w:numId w:val="2"/>
        </w:numPr>
        <w:spacing w:after="0" w:line="288" w:lineRule="auto"/>
        <w:jc w:val="both"/>
        <w:rPr>
          <w:rFonts w:ascii="Arial" w:hAnsi="Arial" w:cs="Arial"/>
          <w:sz w:val="25"/>
          <w:szCs w:val="25"/>
        </w:rPr>
      </w:pPr>
      <w:r w:rsidRPr="00335650">
        <w:rPr>
          <w:rFonts w:ascii="Arial" w:hAnsi="Arial" w:cs="Arial"/>
          <w:sz w:val="25"/>
          <w:szCs w:val="25"/>
        </w:rPr>
        <w:t xml:space="preserve">En todos los demás casos, hasta </w:t>
      </w:r>
      <w:r w:rsidRPr="00335650">
        <w:rPr>
          <w:rFonts w:ascii="Arial" w:hAnsi="Arial" w:cs="Arial"/>
          <w:b/>
          <w:bCs/>
          <w:sz w:val="25"/>
          <w:szCs w:val="25"/>
        </w:rPr>
        <w:t xml:space="preserve">5 </w:t>
      </w:r>
      <w:r w:rsidRPr="00335650">
        <w:rPr>
          <w:rFonts w:ascii="Arial" w:hAnsi="Arial" w:cs="Arial"/>
          <w:sz w:val="25"/>
          <w:szCs w:val="25"/>
        </w:rPr>
        <w:t>veces el valor diario de la Unidad de Medida y Actualización.</w:t>
      </w:r>
    </w:p>
    <w:p w14:paraId="7D1529C7" w14:textId="77777777" w:rsidR="00A53E96" w:rsidRPr="00335650" w:rsidRDefault="00A53E96" w:rsidP="00A53E96">
      <w:pPr>
        <w:spacing w:after="0" w:line="288" w:lineRule="auto"/>
        <w:jc w:val="both"/>
        <w:rPr>
          <w:rFonts w:ascii="Arial" w:hAnsi="Arial" w:cs="Arial"/>
          <w:sz w:val="25"/>
          <w:szCs w:val="25"/>
        </w:rPr>
      </w:pPr>
      <w:r w:rsidRPr="00335650">
        <w:rPr>
          <w:rFonts w:ascii="Arial" w:hAnsi="Arial" w:cs="Arial"/>
          <w:sz w:val="25"/>
          <w:szCs w:val="25"/>
        </w:rPr>
        <w:t>…</w:t>
      </w:r>
    </w:p>
    <w:p w14:paraId="2FF0BD0B" w14:textId="674AFCFF" w:rsidR="00A53E96" w:rsidRDefault="00A53E96" w:rsidP="00A53E96">
      <w:pPr>
        <w:spacing w:after="0" w:line="288" w:lineRule="auto"/>
        <w:jc w:val="both"/>
        <w:rPr>
          <w:rFonts w:ascii="Arial" w:hAnsi="Arial" w:cs="Arial"/>
          <w:sz w:val="25"/>
          <w:szCs w:val="25"/>
        </w:rPr>
      </w:pPr>
    </w:p>
    <w:p w14:paraId="42D8A88A" w14:textId="77777777" w:rsidR="00A53E96" w:rsidRPr="00335650" w:rsidRDefault="00A53E96" w:rsidP="00A53E96">
      <w:pPr>
        <w:spacing w:after="0" w:line="288" w:lineRule="auto"/>
        <w:jc w:val="both"/>
        <w:rPr>
          <w:rFonts w:ascii="Arial" w:hAnsi="Arial" w:cs="Arial"/>
          <w:sz w:val="25"/>
          <w:szCs w:val="25"/>
        </w:rPr>
      </w:pPr>
    </w:p>
    <w:p w14:paraId="41910B50" w14:textId="77777777" w:rsidR="00A53E96" w:rsidRPr="00A53E96" w:rsidRDefault="00A53E96" w:rsidP="00A53E96">
      <w:pPr>
        <w:pStyle w:val="Prrafodelista"/>
        <w:numPr>
          <w:ilvl w:val="0"/>
          <w:numId w:val="3"/>
        </w:numPr>
        <w:spacing w:after="0" w:line="288" w:lineRule="auto"/>
        <w:jc w:val="both"/>
        <w:rPr>
          <w:rFonts w:ascii="Arial" w:hAnsi="Arial" w:cs="Arial"/>
          <w:b/>
          <w:bCs/>
          <w:sz w:val="25"/>
          <w:szCs w:val="25"/>
        </w:rPr>
      </w:pPr>
      <w:r w:rsidRPr="00A53E96">
        <w:rPr>
          <w:rFonts w:ascii="Arial" w:hAnsi="Arial" w:cs="Arial"/>
          <w:b/>
          <w:bCs/>
          <w:sz w:val="25"/>
          <w:szCs w:val="25"/>
        </w:rPr>
        <w:t xml:space="preserve">Se adiciona un artículo octavo transitorio en los siguientes términos: </w:t>
      </w:r>
    </w:p>
    <w:p w14:paraId="746BDE5E" w14:textId="77777777" w:rsidR="00A53E96" w:rsidRPr="00335650" w:rsidRDefault="00A53E96" w:rsidP="00A53E96">
      <w:pPr>
        <w:spacing w:after="0" w:line="288" w:lineRule="auto"/>
        <w:jc w:val="both"/>
        <w:rPr>
          <w:rFonts w:ascii="Arial" w:hAnsi="Arial" w:cs="Arial"/>
          <w:b/>
          <w:bCs/>
          <w:sz w:val="25"/>
          <w:szCs w:val="25"/>
        </w:rPr>
      </w:pPr>
      <w:r w:rsidRPr="00335650">
        <w:rPr>
          <w:rFonts w:ascii="Arial" w:hAnsi="Arial" w:cs="Arial"/>
          <w:b/>
          <w:bCs/>
          <w:sz w:val="25"/>
          <w:szCs w:val="25"/>
        </w:rPr>
        <w:t xml:space="preserve">Las sanciones a que hace referencia la Ley que Regula el Uso Obligatoria de Cubrebocas y Demás Medidas para prevenir la Transmisión de la Enfermedad Covid-19 en el Estado de Chihuahua; serán aplicables a los diez días siguientes de su publicación en el Periódico Oficial del Estado, durante el cual las autoridades competentes deberán hacer la difusión necesaria para hacer del conocimiento de la ciudadanía el contenido de la misma, sus sanciones y su aplicabilidad, a fin de que estén en condiciones de darle cumplimiento para cuando comience a sancionarse su incumplimiento. Así mismo, se deberá capacitar a los cuerpos de seguridad pública o bien los servidores públicos que aplicarán la Ley, antes de que se comience a sancionar las conductas. </w:t>
      </w:r>
    </w:p>
    <w:p w14:paraId="693EA1F9" w14:textId="77777777" w:rsidR="00A53E96" w:rsidRPr="00335650" w:rsidRDefault="00A53E96" w:rsidP="00A53E96">
      <w:pPr>
        <w:spacing w:after="0" w:line="288" w:lineRule="auto"/>
        <w:jc w:val="both"/>
        <w:rPr>
          <w:rFonts w:ascii="Arial" w:hAnsi="Arial" w:cs="Arial"/>
          <w:sz w:val="25"/>
          <w:szCs w:val="25"/>
        </w:rPr>
      </w:pPr>
    </w:p>
    <w:p w14:paraId="22D8C7F8" w14:textId="77777777" w:rsidR="00A53E96" w:rsidRPr="00335650" w:rsidRDefault="00A53E96" w:rsidP="00A53E96">
      <w:pPr>
        <w:spacing w:after="0" w:line="288" w:lineRule="auto"/>
        <w:jc w:val="both"/>
        <w:rPr>
          <w:rFonts w:ascii="Arial" w:hAnsi="Arial" w:cs="Arial"/>
          <w:sz w:val="25"/>
          <w:szCs w:val="25"/>
        </w:rPr>
      </w:pPr>
    </w:p>
    <w:p w14:paraId="1EFFBE24" w14:textId="77777777" w:rsidR="005F35B5" w:rsidRDefault="00FD6E3F"/>
    <w:sectPr w:rsidR="005F35B5" w:rsidSect="002A0E82">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C0C29"/>
    <w:multiLevelType w:val="hybridMultilevel"/>
    <w:tmpl w:val="198C71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6FF4374"/>
    <w:multiLevelType w:val="hybridMultilevel"/>
    <w:tmpl w:val="209ED144"/>
    <w:lvl w:ilvl="0" w:tplc="F9C6A9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3715D22"/>
    <w:multiLevelType w:val="hybridMultilevel"/>
    <w:tmpl w:val="320C5C8E"/>
    <w:lvl w:ilvl="0" w:tplc="A2AAC2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E96"/>
    <w:rsid w:val="00442EA8"/>
    <w:rsid w:val="004F1CB3"/>
    <w:rsid w:val="00A53E96"/>
    <w:rsid w:val="00FD6E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C171D"/>
  <w15:chartTrackingRefBased/>
  <w15:docId w15:val="{971ED990-2C5F-4AE2-8AC6-5774013C0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E9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3E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2349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 guerrero lara</dc:creator>
  <cp:keywords/>
  <dc:description/>
  <cp:lastModifiedBy>Sonia Pérez Chacón</cp:lastModifiedBy>
  <cp:revision>2</cp:revision>
  <dcterms:created xsi:type="dcterms:W3CDTF">2020-11-12T16:29:00Z</dcterms:created>
  <dcterms:modified xsi:type="dcterms:W3CDTF">2020-11-12T16:29:00Z</dcterms:modified>
</cp:coreProperties>
</file>