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B7CA8" w14:textId="77777777" w:rsidR="00331CBA" w:rsidRPr="009568FB" w:rsidRDefault="00331CBA" w:rsidP="002E2CD6">
      <w:pPr>
        <w:pStyle w:val="Ttulo1"/>
        <w:tabs>
          <w:tab w:val="left" w:pos="5385"/>
        </w:tabs>
        <w:ind w:right="332"/>
        <w:rPr>
          <w:rFonts w:ascii="Century Gothic" w:hAnsi="Century Gothic"/>
        </w:rPr>
      </w:pPr>
      <w:r w:rsidRPr="009568FB">
        <w:rPr>
          <w:rFonts w:ascii="Century Gothic" w:hAnsi="Century Gothic"/>
        </w:rPr>
        <w:t>H. CONGRESO DEL ESTADO</w:t>
      </w:r>
    </w:p>
    <w:p w14:paraId="235A1066" w14:textId="77777777" w:rsidR="00331CBA" w:rsidRPr="009568FB" w:rsidRDefault="00331CBA" w:rsidP="002E2CD6">
      <w:pPr>
        <w:ind w:right="332"/>
        <w:jc w:val="both"/>
        <w:rPr>
          <w:rFonts w:ascii="Century Gothic" w:hAnsi="Century Gothic" w:cs="Arial"/>
          <w:b/>
          <w:bCs/>
        </w:rPr>
      </w:pPr>
      <w:r w:rsidRPr="009568FB">
        <w:rPr>
          <w:rFonts w:ascii="Century Gothic" w:hAnsi="Century Gothic" w:cs="Arial"/>
          <w:b/>
          <w:bCs/>
        </w:rPr>
        <w:t>P R E S E N T E. –</w:t>
      </w:r>
    </w:p>
    <w:p w14:paraId="5133EAF3" w14:textId="77777777" w:rsidR="00331CBA" w:rsidRPr="009568FB" w:rsidRDefault="00331CBA" w:rsidP="002E2CD6">
      <w:pPr>
        <w:tabs>
          <w:tab w:val="left" w:pos="6840"/>
        </w:tabs>
        <w:spacing w:line="360" w:lineRule="auto"/>
        <w:ind w:right="332"/>
        <w:jc w:val="both"/>
        <w:rPr>
          <w:rFonts w:ascii="Century Gothic" w:hAnsi="Century Gothic" w:cs="Arial"/>
          <w:b/>
          <w:bCs/>
        </w:rPr>
      </w:pPr>
      <w:r>
        <w:rPr>
          <w:rFonts w:ascii="Century Gothic" w:hAnsi="Century Gothic" w:cs="Arial"/>
          <w:b/>
          <w:bCs/>
        </w:rPr>
        <w:tab/>
      </w:r>
    </w:p>
    <w:p w14:paraId="4FC95A92" w14:textId="77777777" w:rsidR="00331CBA" w:rsidRPr="009568FB" w:rsidRDefault="00E25FD9" w:rsidP="002E2CD6">
      <w:pPr>
        <w:pStyle w:val="Textoindependiente"/>
        <w:spacing w:line="360" w:lineRule="auto"/>
        <w:ind w:right="332"/>
        <w:rPr>
          <w:rFonts w:ascii="Century Gothic" w:hAnsi="Century Gothic" w:cs="Arial"/>
        </w:rPr>
      </w:pPr>
      <w:r>
        <w:rPr>
          <w:rFonts w:ascii="Century Gothic" w:hAnsi="Century Gothic" w:cs="Arial"/>
        </w:rPr>
        <w:t xml:space="preserve">La Comisión de </w:t>
      </w:r>
      <w:r w:rsidR="00FC48FC">
        <w:rPr>
          <w:rFonts w:ascii="Century Gothic" w:hAnsi="Century Gothic" w:cs="Arial"/>
        </w:rPr>
        <w:t xml:space="preserve">Comisión de </w:t>
      </w:r>
      <w:r w:rsidR="005D3AD1">
        <w:rPr>
          <w:rFonts w:ascii="Century Gothic" w:hAnsi="Century Gothic" w:cs="Arial"/>
        </w:rPr>
        <w:t>Justicia</w:t>
      </w:r>
      <w:r w:rsidR="00FC48FC">
        <w:rPr>
          <w:rFonts w:ascii="Century Gothic" w:hAnsi="Century Gothic" w:cs="Arial"/>
        </w:rPr>
        <w:t>,</w:t>
      </w:r>
      <w:r w:rsidR="00331CBA" w:rsidRPr="009568FB">
        <w:rPr>
          <w:rFonts w:ascii="Century Gothic" w:hAnsi="Century Gothic" w:cs="Arial"/>
        </w:rPr>
        <w:t xml:space="preserve"> </w:t>
      </w:r>
      <w:r w:rsidR="00331CBA" w:rsidRPr="0002744E">
        <w:rPr>
          <w:rFonts w:ascii="Century Gothic" w:eastAsia="Arial" w:hAnsi="Century Gothic" w:cs="Arial"/>
        </w:rPr>
        <w:t>con fundamento en lo dispuesto</w:t>
      </w:r>
      <w:r w:rsidR="009C6EF9">
        <w:rPr>
          <w:rFonts w:ascii="Century Gothic" w:eastAsia="Arial" w:hAnsi="Century Gothic" w:cs="Arial"/>
        </w:rPr>
        <w:t xml:space="preserve"> </w:t>
      </w:r>
      <w:r w:rsidR="00621915">
        <w:rPr>
          <w:rFonts w:ascii="Century Gothic" w:eastAsia="Arial" w:hAnsi="Century Gothic" w:cs="Arial"/>
        </w:rPr>
        <w:t xml:space="preserve">por los artículos 57 y </w:t>
      </w:r>
      <w:r w:rsidR="00621915" w:rsidRPr="00B139DA">
        <w:rPr>
          <w:rFonts w:ascii="Century Gothic" w:eastAsia="Arial" w:hAnsi="Century Gothic" w:cs="Arial"/>
        </w:rPr>
        <w:t xml:space="preserve">64, fracción I </w:t>
      </w:r>
      <w:r w:rsidR="00621915" w:rsidRPr="003B1094">
        <w:rPr>
          <w:rFonts w:ascii="Century Gothic" w:eastAsia="Arial" w:hAnsi="Century Gothic" w:cs="Arial"/>
        </w:rPr>
        <w:t>de la Constitución Política del Estado de Chihuahua; 87, 88 y 111 de la Ley Orgánica; así como 80 y 81 del Reglamento Interior y de Prácticas Parlamentarias</w:t>
      </w:r>
      <w:r w:rsidR="00621915">
        <w:rPr>
          <w:rFonts w:ascii="Century Gothic" w:eastAsia="Arial" w:hAnsi="Century Gothic" w:cs="Arial"/>
        </w:rPr>
        <w:t>, ambos ordenamientos del Poder Legislativo del Estado de Chihuahua;</w:t>
      </w:r>
      <w:r w:rsidR="00621915" w:rsidRPr="0002744E">
        <w:rPr>
          <w:rFonts w:ascii="Century Gothic" w:eastAsia="Arial" w:hAnsi="Century Gothic" w:cs="Arial"/>
        </w:rPr>
        <w:t xml:space="preserve"> somete a la consideración del Pleno el presente Dictamen, elaborado con base en los siguientes</w:t>
      </w:r>
      <w:r w:rsidR="00621915">
        <w:rPr>
          <w:rFonts w:ascii="Century Gothic" w:eastAsia="Arial" w:hAnsi="Century Gothic" w:cs="Arial"/>
        </w:rPr>
        <w:t>:</w:t>
      </w:r>
    </w:p>
    <w:p w14:paraId="7AA47B43" w14:textId="77777777" w:rsidR="00331CBA" w:rsidRDefault="00331CBA" w:rsidP="002E2CD6">
      <w:pPr>
        <w:pStyle w:val="Textoindependiente"/>
        <w:ind w:right="332" w:firstLine="993"/>
        <w:rPr>
          <w:rFonts w:ascii="Century Gothic" w:hAnsi="Century Gothic" w:cs="Arial"/>
          <w:b/>
        </w:rPr>
      </w:pPr>
    </w:p>
    <w:p w14:paraId="1319AC95" w14:textId="77777777" w:rsidR="00331CBA" w:rsidRDefault="00331CBA" w:rsidP="002E2CD6">
      <w:pPr>
        <w:pStyle w:val="Ttulo2"/>
        <w:spacing w:line="360" w:lineRule="auto"/>
        <w:ind w:right="332"/>
        <w:rPr>
          <w:rFonts w:ascii="Century Gothic" w:hAnsi="Century Gothic" w:cs="Arial"/>
        </w:rPr>
      </w:pPr>
      <w:r w:rsidRPr="009568FB">
        <w:rPr>
          <w:rFonts w:ascii="Century Gothic" w:hAnsi="Century Gothic" w:cs="Arial"/>
        </w:rPr>
        <w:t>A N T E C E D E N T E S</w:t>
      </w:r>
    </w:p>
    <w:p w14:paraId="5AFE91B1" w14:textId="77777777" w:rsidR="00331CBA" w:rsidRPr="009568FB" w:rsidRDefault="00331CBA" w:rsidP="002E2CD6">
      <w:pPr>
        <w:ind w:right="332"/>
        <w:rPr>
          <w:rFonts w:ascii="Century Gothic" w:hAnsi="Century Gothic" w:cs="Arial"/>
        </w:rPr>
      </w:pPr>
    </w:p>
    <w:p w14:paraId="73280AAA" w14:textId="77777777" w:rsidR="00331CBA" w:rsidRPr="00F67CAC" w:rsidRDefault="00331CBA" w:rsidP="002E2CD6">
      <w:pPr>
        <w:shd w:val="clear" w:color="auto" w:fill="FFFFFF"/>
        <w:tabs>
          <w:tab w:val="left" w:pos="9763"/>
        </w:tabs>
        <w:spacing w:line="360" w:lineRule="auto"/>
        <w:ind w:right="332"/>
        <w:jc w:val="both"/>
        <w:rPr>
          <w:rFonts w:ascii="Century Gothic" w:hAnsi="Century Gothic" w:cs="Arial"/>
        </w:rPr>
      </w:pPr>
      <w:r w:rsidRPr="005D3AD1">
        <w:rPr>
          <w:rFonts w:ascii="Century Gothic" w:hAnsi="Century Gothic" w:cs="Arial"/>
          <w:b/>
          <w:bCs/>
        </w:rPr>
        <w:t xml:space="preserve">I.- </w:t>
      </w:r>
      <w:r w:rsidRPr="005D3AD1">
        <w:rPr>
          <w:rFonts w:ascii="Century Gothic" w:hAnsi="Century Gothic" w:cs="Arial"/>
        </w:rPr>
        <w:t xml:space="preserve">Con fecha </w:t>
      </w:r>
      <w:r w:rsidR="005F2C3A">
        <w:rPr>
          <w:rFonts w:ascii="Century Gothic" w:hAnsi="Century Gothic" w:cs="Arial"/>
        </w:rPr>
        <w:t>12</w:t>
      </w:r>
      <w:r w:rsidR="002F7B8E" w:rsidRPr="005D3AD1">
        <w:rPr>
          <w:rFonts w:ascii="Century Gothic" w:hAnsi="Century Gothic" w:cs="Arial"/>
        </w:rPr>
        <w:t xml:space="preserve"> de </w:t>
      </w:r>
      <w:r w:rsidR="00F67CAC">
        <w:rPr>
          <w:rFonts w:ascii="Century Gothic" w:hAnsi="Century Gothic" w:cs="Arial"/>
        </w:rPr>
        <w:t>noviembre</w:t>
      </w:r>
      <w:r w:rsidR="002F7B8E" w:rsidRPr="005D3AD1">
        <w:rPr>
          <w:rFonts w:ascii="Century Gothic" w:hAnsi="Century Gothic" w:cs="Arial"/>
        </w:rPr>
        <w:t xml:space="preserve"> </w:t>
      </w:r>
      <w:r w:rsidRPr="005D3AD1">
        <w:rPr>
          <w:rFonts w:ascii="Century Gothic" w:hAnsi="Century Gothic" w:cs="Arial"/>
        </w:rPr>
        <w:t xml:space="preserve">de </w:t>
      </w:r>
      <w:r w:rsidR="005F2C3A">
        <w:rPr>
          <w:rFonts w:ascii="Century Gothic" w:hAnsi="Century Gothic" w:cs="Arial"/>
        </w:rPr>
        <w:t>2019</w:t>
      </w:r>
      <w:r w:rsidRPr="005D3AD1">
        <w:rPr>
          <w:rFonts w:ascii="Century Gothic" w:hAnsi="Century Gothic" w:cs="Arial"/>
        </w:rPr>
        <w:t>,</w:t>
      </w:r>
      <w:r w:rsidR="00323DC4" w:rsidRPr="005D3AD1">
        <w:rPr>
          <w:rFonts w:ascii="Century Gothic" w:hAnsi="Century Gothic" w:cs="Arial"/>
        </w:rPr>
        <w:t xml:space="preserve"> </w:t>
      </w:r>
      <w:r w:rsidR="005F2C3A">
        <w:rPr>
          <w:rFonts w:ascii="Century Gothic" w:hAnsi="Century Gothic" w:cs="Arial"/>
        </w:rPr>
        <w:t>los Diputados</w:t>
      </w:r>
      <w:r w:rsidR="00F67CAC">
        <w:rPr>
          <w:rFonts w:ascii="Century Gothic" w:hAnsi="Century Gothic" w:cs="Arial"/>
          <w:shd w:val="clear" w:color="auto" w:fill="FAF8F6"/>
        </w:rPr>
        <w:t xml:space="preserve"> Ana Carmen Estrada García</w:t>
      </w:r>
      <w:r w:rsidR="00F67CAC" w:rsidRPr="00F67CAC">
        <w:rPr>
          <w:rFonts w:ascii="Century Gothic" w:hAnsi="Century Gothic" w:cs="Arial"/>
          <w:shd w:val="clear" w:color="auto" w:fill="FAF8F6"/>
        </w:rPr>
        <w:t>, Benjamín Carrera Chávez, Francisco Humberto Chávez Herrera, Leticia Ochoa Martínez</w:t>
      </w:r>
      <w:r w:rsidR="00F67CAC">
        <w:rPr>
          <w:rFonts w:ascii="Century Gothic" w:hAnsi="Century Gothic" w:cs="Arial"/>
          <w:shd w:val="clear" w:color="auto" w:fill="FAF8F6"/>
        </w:rPr>
        <w:t>,</w:t>
      </w:r>
      <w:r w:rsidR="00F67CAC" w:rsidRPr="00F67CAC">
        <w:rPr>
          <w:rFonts w:ascii="Century Gothic" w:hAnsi="Century Gothic" w:cs="Arial"/>
          <w:shd w:val="clear" w:color="auto" w:fill="FAF8F6"/>
        </w:rPr>
        <w:t xml:space="preserve"> Lo</w:t>
      </w:r>
      <w:r w:rsidR="00F67CAC">
        <w:rPr>
          <w:rFonts w:ascii="Century Gothic" w:hAnsi="Century Gothic" w:cs="Arial"/>
          <w:shd w:val="clear" w:color="auto" w:fill="FAF8F6"/>
        </w:rPr>
        <w:t xml:space="preserve">urdes Beatriz Valle Armendáriz, </w:t>
      </w:r>
      <w:r w:rsidR="00F67CAC" w:rsidRPr="00F67CAC">
        <w:rPr>
          <w:rFonts w:ascii="Century Gothic" w:hAnsi="Century Gothic" w:cs="Arial"/>
          <w:shd w:val="clear" w:color="auto" w:fill="FAF8F6"/>
        </w:rPr>
        <w:t>Miguel Ángel Colunga Martínez</w:t>
      </w:r>
      <w:r w:rsidR="00F67CAC">
        <w:rPr>
          <w:rFonts w:ascii="Century Gothic" w:hAnsi="Century Gothic" w:cs="Arial"/>
          <w:shd w:val="clear" w:color="auto" w:fill="FAF8F6"/>
        </w:rPr>
        <w:t>, del grupo parlamentario del Partido MORENA</w:t>
      </w:r>
      <w:r w:rsidR="00B90391" w:rsidRPr="005D3AD1">
        <w:rPr>
          <w:rFonts w:ascii="Century Gothic" w:hAnsi="Century Gothic" w:cs="Arial"/>
        </w:rPr>
        <w:t>,</w:t>
      </w:r>
      <w:r w:rsidR="00B46904" w:rsidRPr="005D3AD1">
        <w:rPr>
          <w:rFonts w:ascii="Century Gothic" w:hAnsi="Century Gothic" w:cs="Arial"/>
        </w:rPr>
        <w:t xml:space="preserve"> present</w:t>
      </w:r>
      <w:r w:rsidR="00F67CAC">
        <w:rPr>
          <w:rFonts w:ascii="Century Gothic" w:hAnsi="Century Gothic" w:cs="Arial"/>
        </w:rPr>
        <w:t>aron</w:t>
      </w:r>
      <w:r w:rsidRPr="005D3AD1">
        <w:rPr>
          <w:rFonts w:ascii="Century Gothic" w:hAnsi="Century Gothic" w:cs="Arial"/>
        </w:rPr>
        <w:t xml:space="preserve"> </w:t>
      </w:r>
      <w:r w:rsidR="005100FF" w:rsidRPr="005D3AD1">
        <w:rPr>
          <w:rFonts w:ascii="Century Gothic" w:hAnsi="Century Gothic" w:cs="Arial"/>
        </w:rPr>
        <w:t>i</w:t>
      </w:r>
      <w:r w:rsidR="00356B4E" w:rsidRPr="005D3AD1">
        <w:rPr>
          <w:rFonts w:ascii="Century Gothic" w:hAnsi="Century Gothic" w:cs="Arial"/>
          <w:shd w:val="clear" w:color="auto" w:fill="FAF8F6"/>
        </w:rPr>
        <w:t>niciativa con carácter de decreto, a fin</w:t>
      </w:r>
      <w:r w:rsidR="007039A4">
        <w:rPr>
          <w:rFonts w:ascii="Century Gothic" w:hAnsi="Century Gothic" w:cs="Arial"/>
          <w:shd w:val="clear" w:color="auto" w:fill="FAF8F6"/>
        </w:rPr>
        <w:t xml:space="preserve"> de adicionar </w:t>
      </w:r>
      <w:r w:rsidR="00F67CAC" w:rsidRPr="00F67CAC">
        <w:rPr>
          <w:rFonts w:ascii="Century Gothic" w:hAnsi="Century Gothic" w:cs="Arial"/>
          <w:shd w:val="clear" w:color="auto" w:fill="FAF8F6"/>
        </w:rPr>
        <w:t>diversas disposiciones a los artículos 5, 14 y 20 de la Ley de Víctimas para el Estado de Chihuahua, relativo al padrón de víctimas indirectas</w:t>
      </w:r>
      <w:r w:rsidR="005D3AD1" w:rsidRPr="00F67CAC">
        <w:rPr>
          <w:rFonts w:ascii="Century Gothic" w:hAnsi="Century Gothic" w:cs="Arial"/>
          <w:shd w:val="clear" w:color="auto" w:fill="FAF8F6"/>
        </w:rPr>
        <w:t>.</w:t>
      </w:r>
    </w:p>
    <w:p w14:paraId="622E1404" w14:textId="77777777" w:rsidR="007E7F92" w:rsidRDefault="007E7F92" w:rsidP="002E2CD6">
      <w:pPr>
        <w:shd w:val="clear" w:color="auto" w:fill="FFFFFF"/>
        <w:tabs>
          <w:tab w:val="left" w:pos="9763"/>
        </w:tabs>
        <w:spacing w:line="360" w:lineRule="auto"/>
        <w:ind w:right="332"/>
        <w:jc w:val="both"/>
        <w:rPr>
          <w:rFonts w:ascii="Century Gothic" w:hAnsi="Century Gothic"/>
        </w:rPr>
      </w:pPr>
    </w:p>
    <w:p w14:paraId="1CC2CBD3" w14:textId="77777777" w:rsidR="007E7F92" w:rsidRPr="007E7F92" w:rsidRDefault="007E7F92" w:rsidP="002E2CD6">
      <w:pPr>
        <w:shd w:val="clear" w:color="auto" w:fill="FFFFFF"/>
        <w:tabs>
          <w:tab w:val="left" w:pos="9763"/>
        </w:tabs>
        <w:spacing w:line="360" w:lineRule="auto"/>
        <w:ind w:right="332"/>
        <w:jc w:val="both"/>
        <w:rPr>
          <w:rFonts w:ascii="Century Gothic" w:eastAsia="Arial" w:hAnsi="Century Gothic" w:cs="Arial"/>
        </w:rPr>
      </w:pPr>
      <w:r w:rsidRPr="00E24D27">
        <w:rPr>
          <w:rFonts w:ascii="Century Gothic" w:hAnsi="Century Gothic" w:cs="Arial"/>
          <w:b/>
        </w:rPr>
        <w:t>II.-</w:t>
      </w:r>
      <w:r>
        <w:rPr>
          <w:rFonts w:ascii="Century Gothic" w:hAnsi="Century Gothic" w:cs="Arial"/>
        </w:rPr>
        <w:t xml:space="preserve"> La Presidencia del H. Congreso del Estado, con fecha </w:t>
      </w:r>
      <w:r w:rsidR="005F2C3A">
        <w:rPr>
          <w:rFonts w:ascii="Century Gothic" w:hAnsi="Century Gothic" w:cs="Arial"/>
        </w:rPr>
        <w:t>20</w:t>
      </w:r>
      <w:r w:rsidR="00245BFF">
        <w:rPr>
          <w:rFonts w:ascii="Century Gothic" w:hAnsi="Century Gothic" w:cs="Arial"/>
        </w:rPr>
        <w:t xml:space="preserve"> </w:t>
      </w:r>
      <w:r w:rsidRPr="00A91DCA">
        <w:rPr>
          <w:rFonts w:ascii="Century Gothic" w:hAnsi="Century Gothic" w:cs="Arial"/>
        </w:rPr>
        <w:t xml:space="preserve">de </w:t>
      </w:r>
      <w:r w:rsidR="005D3AD1">
        <w:rPr>
          <w:rFonts w:ascii="Century Gothic" w:hAnsi="Century Gothic" w:cs="Arial"/>
        </w:rPr>
        <w:t>enero</w:t>
      </w:r>
      <w:r w:rsidRPr="00A91DCA">
        <w:rPr>
          <w:rFonts w:ascii="Century Gothic" w:hAnsi="Century Gothic" w:cs="Arial"/>
        </w:rPr>
        <w:t xml:space="preserve"> de </w:t>
      </w:r>
      <w:r w:rsidR="005F2C3A">
        <w:rPr>
          <w:rFonts w:ascii="Century Gothic" w:hAnsi="Century Gothic" w:cs="Arial"/>
        </w:rPr>
        <w:t>2020</w:t>
      </w:r>
      <w:r w:rsidRPr="00A91DCA">
        <w:rPr>
          <w:rFonts w:ascii="Century Gothic" w:hAnsi="Century Gothic" w:cs="Arial"/>
        </w:rPr>
        <w:t xml:space="preserve">, </w:t>
      </w:r>
      <w:r>
        <w:rPr>
          <w:rFonts w:ascii="Century Gothic" w:hAnsi="Century Gothic" w:cs="Arial"/>
        </w:rPr>
        <w:t xml:space="preserve">y en </w:t>
      </w:r>
      <w:r>
        <w:rPr>
          <w:rFonts w:ascii="Century Gothic" w:eastAsia="Arial" w:hAnsi="Century Gothic" w:cs="Arial"/>
        </w:rPr>
        <w:t xml:space="preserve">uso de las facultades que le confiere el artículo 75, fracción XIII, de la Ley Orgánica del Poder Legislativo, tuvo a bien turnar a la Comisión de </w:t>
      </w:r>
      <w:r w:rsidR="005D3AD1">
        <w:rPr>
          <w:rFonts w:ascii="Century Gothic" w:eastAsia="Arial" w:hAnsi="Century Gothic" w:cs="Arial"/>
        </w:rPr>
        <w:t>Justicia</w:t>
      </w:r>
      <w:r w:rsidR="00245BFF">
        <w:rPr>
          <w:rFonts w:ascii="Century Gothic" w:eastAsia="Arial" w:hAnsi="Century Gothic" w:cs="Arial"/>
        </w:rPr>
        <w:t xml:space="preserve">, la </w:t>
      </w:r>
      <w:r w:rsidR="005100FF">
        <w:rPr>
          <w:rFonts w:ascii="Century Gothic" w:eastAsia="Arial" w:hAnsi="Century Gothic" w:cs="Arial"/>
        </w:rPr>
        <w:t>i</w:t>
      </w:r>
      <w:r w:rsidR="00BC19BA">
        <w:rPr>
          <w:rFonts w:ascii="Century Gothic" w:eastAsia="Arial" w:hAnsi="Century Gothic" w:cs="Arial"/>
        </w:rPr>
        <w:t>niciativa de mérito</w:t>
      </w:r>
      <w:r w:rsidRPr="00A91DCA">
        <w:rPr>
          <w:rFonts w:ascii="Century Gothic" w:hAnsi="Century Gothic" w:cs="Arial"/>
        </w:rPr>
        <w:t>,</w:t>
      </w:r>
      <w:r>
        <w:rPr>
          <w:rFonts w:ascii="Century Gothic" w:eastAsia="Arial" w:hAnsi="Century Gothic" w:cs="Arial"/>
        </w:rPr>
        <w:t xml:space="preserve"> a efecto de proceder al estudio, análisis y elaboración del dictamen correspondiente.</w:t>
      </w:r>
    </w:p>
    <w:p w14:paraId="7812267B" w14:textId="77777777" w:rsidR="00917BA4" w:rsidRDefault="00917BA4" w:rsidP="002E2CD6">
      <w:pPr>
        <w:shd w:val="clear" w:color="auto" w:fill="FFFFFF"/>
        <w:tabs>
          <w:tab w:val="left" w:pos="9763"/>
        </w:tabs>
        <w:spacing w:line="360" w:lineRule="auto"/>
        <w:ind w:right="332"/>
        <w:jc w:val="both"/>
        <w:rPr>
          <w:rFonts w:ascii="Century Gothic" w:hAnsi="Century Gothic" w:cs="Arial"/>
        </w:rPr>
      </w:pPr>
    </w:p>
    <w:p w14:paraId="6B5B2BCD" w14:textId="77777777" w:rsidR="00331CBA" w:rsidRPr="003B10E3" w:rsidRDefault="00F33CFF" w:rsidP="002E2CD6">
      <w:pPr>
        <w:shd w:val="clear" w:color="auto" w:fill="FFFFFF"/>
        <w:tabs>
          <w:tab w:val="left" w:pos="9763"/>
        </w:tabs>
        <w:spacing w:line="360" w:lineRule="auto"/>
        <w:ind w:right="332"/>
        <w:jc w:val="both"/>
        <w:rPr>
          <w:rFonts w:ascii="Century Gothic" w:eastAsia="Arial" w:hAnsi="Century Gothic" w:cs="Arial"/>
        </w:rPr>
      </w:pPr>
      <w:r w:rsidRPr="00E24D27">
        <w:rPr>
          <w:rFonts w:ascii="Century Gothic" w:hAnsi="Century Gothic" w:cs="Arial"/>
          <w:b/>
        </w:rPr>
        <w:t>II</w:t>
      </w:r>
      <w:r w:rsidR="000556C9">
        <w:rPr>
          <w:rFonts w:ascii="Century Gothic" w:hAnsi="Century Gothic" w:cs="Arial"/>
          <w:b/>
        </w:rPr>
        <w:t>I</w:t>
      </w:r>
      <w:r w:rsidRPr="00E24D27">
        <w:rPr>
          <w:rFonts w:ascii="Century Gothic" w:hAnsi="Century Gothic" w:cs="Arial"/>
          <w:b/>
        </w:rPr>
        <w:t>.-</w:t>
      </w:r>
      <w:r>
        <w:rPr>
          <w:rFonts w:ascii="Century Gothic" w:hAnsi="Century Gothic" w:cs="Arial"/>
        </w:rPr>
        <w:t xml:space="preserve"> </w:t>
      </w:r>
      <w:r w:rsidR="00323DC4">
        <w:rPr>
          <w:rFonts w:ascii="Century Gothic" w:hAnsi="Century Gothic" w:cs="Arial"/>
          <w:bCs/>
        </w:rPr>
        <w:t>La i</w:t>
      </w:r>
      <w:r w:rsidR="00331CBA" w:rsidRPr="009568FB">
        <w:rPr>
          <w:rFonts w:ascii="Century Gothic" w:hAnsi="Century Gothic" w:cs="Arial"/>
          <w:bCs/>
        </w:rPr>
        <w:t xml:space="preserve">niciativa </w:t>
      </w:r>
      <w:r w:rsidR="00323DC4">
        <w:rPr>
          <w:rFonts w:ascii="Century Gothic" w:hAnsi="Century Gothic" w:cs="Arial"/>
          <w:bCs/>
        </w:rPr>
        <w:t>se sustenta en los</w:t>
      </w:r>
      <w:r w:rsidR="00331CBA">
        <w:rPr>
          <w:rFonts w:ascii="Century Gothic" w:hAnsi="Century Gothic" w:cs="Arial"/>
          <w:bCs/>
        </w:rPr>
        <w:t xml:space="preserve"> siguiente</w:t>
      </w:r>
      <w:r w:rsidR="00323DC4">
        <w:rPr>
          <w:rFonts w:ascii="Century Gothic" w:hAnsi="Century Gothic" w:cs="Arial"/>
          <w:bCs/>
        </w:rPr>
        <w:t>s argumentos</w:t>
      </w:r>
      <w:r w:rsidR="00331CBA">
        <w:rPr>
          <w:rFonts w:ascii="Century Gothic" w:hAnsi="Century Gothic" w:cs="Arial"/>
          <w:bCs/>
        </w:rPr>
        <w:t>:</w:t>
      </w:r>
    </w:p>
    <w:p w14:paraId="23AC3FB3" w14:textId="77777777" w:rsidR="006C3CD3" w:rsidRPr="00917BA4" w:rsidRDefault="006C3CD3" w:rsidP="002E2CD6">
      <w:pPr>
        <w:pStyle w:val="Textoindependiente"/>
        <w:spacing w:line="360" w:lineRule="auto"/>
        <w:ind w:right="332"/>
        <w:rPr>
          <w:rFonts w:ascii="Century Gothic" w:hAnsi="Century Gothic" w:cs="Arial"/>
          <w:bCs/>
          <w:lang w:val="es-MX"/>
        </w:rPr>
      </w:pPr>
    </w:p>
    <w:p w14:paraId="221482FB" w14:textId="77777777" w:rsidR="00F67CAC" w:rsidRPr="009E68BB" w:rsidRDefault="00FA75B4" w:rsidP="009E68BB">
      <w:pPr>
        <w:autoSpaceDE w:val="0"/>
        <w:autoSpaceDN w:val="0"/>
        <w:adjustRightInd w:val="0"/>
        <w:spacing w:line="360" w:lineRule="auto"/>
        <w:ind w:left="851" w:right="1466" w:hanging="425"/>
        <w:jc w:val="both"/>
        <w:rPr>
          <w:rFonts w:ascii="Century Gothic" w:hAnsi="Century Gothic" w:cs="Arial"/>
          <w:i/>
        </w:rPr>
      </w:pPr>
      <w:r>
        <w:rPr>
          <w:rFonts w:ascii="Century Gothic" w:eastAsia="Arial" w:hAnsi="Century Gothic"/>
          <w:i/>
        </w:rPr>
        <w:t xml:space="preserve">       </w:t>
      </w:r>
      <w:r w:rsidR="00B46904" w:rsidRPr="00917BA4">
        <w:rPr>
          <w:rFonts w:ascii="Century Gothic" w:eastAsia="Arial" w:hAnsi="Century Gothic"/>
          <w:i/>
        </w:rPr>
        <w:t>“</w:t>
      </w:r>
      <w:r w:rsidR="00F67CAC" w:rsidRPr="009E68BB">
        <w:rPr>
          <w:rFonts w:ascii="Century Gothic" w:hAnsi="Century Gothic" w:cs="Arial"/>
          <w:i/>
        </w:rPr>
        <w:t>La violencia contra las mujeres tiene su origen en la desigualdad de género, es decir, en la posición de subordinación, marginalidad y riesgo en el cual éstas se encuentran respecto de los hombres.</w:t>
      </w:r>
    </w:p>
    <w:p w14:paraId="07F19F91" w14:textId="77777777" w:rsidR="00F67CAC" w:rsidRPr="009E68BB" w:rsidRDefault="00F67CAC" w:rsidP="009E68BB">
      <w:pPr>
        <w:pStyle w:val="NormalWeb"/>
        <w:shd w:val="clear" w:color="auto" w:fill="FFFFFF"/>
        <w:spacing w:before="0" w:beforeAutospacing="0" w:after="0" w:afterAutospacing="0" w:line="276" w:lineRule="auto"/>
        <w:ind w:left="850" w:right="1468"/>
        <w:jc w:val="both"/>
        <w:rPr>
          <w:rFonts w:ascii="Century Gothic" w:hAnsi="Century Gothic" w:cs="Arial"/>
          <w:i/>
        </w:rPr>
      </w:pPr>
    </w:p>
    <w:p w14:paraId="5B8342FC" w14:textId="77777777" w:rsidR="00F67CAC" w:rsidRPr="009E68BB" w:rsidRDefault="00F67CAC" w:rsidP="00C75721">
      <w:pPr>
        <w:pStyle w:val="NormalWeb"/>
        <w:shd w:val="clear" w:color="auto" w:fill="FFFFFF"/>
        <w:spacing w:before="0" w:beforeAutospacing="0" w:after="0" w:afterAutospacing="0" w:line="360" w:lineRule="auto"/>
        <w:ind w:left="850" w:right="1468"/>
        <w:jc w:val="both"/>
        <w:rPr>
          <w:rFonts w:ascii="Century Gothic" w:hAnsi="Century Gothic" w:cs="Arial"/>
          <w:i/>
          <w:vertAlign w:val="superscript"/>
        </w:rPr>
      </w:pPr>
      <w:r w:rsidRPr="009E68BB">
        <w:rPr>
          <w:rFonts w:ascii="Century Gothic" w:hAnsi="Century Gothic" w:cs="Arial"/>
          <w:i/>
        </w:rPr>
        <w:t>La </w:t>
      </w:r>
      <w:r w:rsidRPr="009E68BB">
        <w:rPr>
          <w:rStyle w:val="Textoennegrita"/>
          <w:rFonts w:ascii="Century Gothic" w:hAnsi="Century Gothic" w:cs="Arial"/>
          <w:b w:val="0"/>
          <w:bCs w:val="0"/>
          <w:i/>
        </w:rPr>
        <w:t>muerte violenta de las mujeres</w:t>
      </w:r>
      <w:r w:rsidRPr="009E68BB">
        <w:rPr>
          <w:rFonts w:ascii="Century Gothic" w:hAnsi="Century Gothic" w:cs="Arial"/>
          <w:bCs/>
          <w:i/>
        </w:rPr>
        <w:t> </w:t>
      </w:r>
      <w:r w:rsidRPr="009E68BB">
        <w:rPr>
          <w:rStyle w:val="Textoennegrita"/>
          <w:rFonts w:ascii="Century Gothic" w:hAnsi="Century Gothic" w:cs="Arial"/>
          <w:b w:val="0"/>
          <w:bCs w:val="0"/>
          <w:i/>
        </w:rPr>
        <w:t>por razones de género,</w:t>
      </w:r>
      <w:r w:rsidRPr="009E68BB">
        <w:rPr>
          <w:rFonts w:ascii="Century Gothic" w:hAnsi="Century Gothic" w:cs="Arial"/>
          <w:i/>
        </w:rPr>
        <w:t> tipificada en nuestro sistema penal como feminicidio, </w:t>
      </w:r>
      <w:r w:rsidRPr="009E68BB">
        <w:rPr>
          <w:rStyle w:val="Textoennegrita"/>
          <w:rFonts w:ascii="Century Gothic" w:hAnsi="Century Gothic" w:cs="Arial"/>
          <w:b w:val="0"/>
          <w:bCs w:val="0"/>
          <w:i/>
        </w:rPr>
        <w:t>es la forma más extrema de violencia</w:t>
      </w:r>
      <w:r w:rsidRPr="009E68BB">
        <w:rPr>
          <w:rFonts w:ascii="Century Gothic" w:hAnsi="Century Gothic" w:cs="Arial"/>
          <w:i/>
        </w:rPr>
        <w:t xml:space="preserve"> contra la mujer y una de las manifestaciones más graves de la discriminación hacia ellas. </w:t>
      </w:r>
      <w:r w:rsidRPr="009E68BB">
        <w:rPr>
          <w:rFonts w:ascii="Century Gothic" w:hAnsi="Century Gothic" w:cs="Arial"/>
          <w:i/>
          <w:vertAlign w:val="superscript"/>
        </w:rPr>
        <w:t>1</w:t>
      </w:r>
    </w:p>
    <w:p w14:paraId="55AD980F" w14:textId="77777777" w:rsidR="00F67CAC" w:rsidRPr="009E68BB" w:rsidRDefault="00F67CAC" w:rsidP="00C75721">
      <w:pPr>
        <w:pStyle w:val="NormalWeb"/>
        <w:shd w:val="clear" w:color="auto" w:fill="FFFFFF"/>
        <w:spacing w:before="0" w:beforeAutospacing="0" w:after="0" w:afterAutospacing="0" w:line="360" w:lineRule="auto"/>
        <w:ind w:left="850" w:right="1468"/>
        <w:jc w:val="both"/>
        <w:rPr>
          <w:rFonts w:ascii="Century Gothic" w:hAnsi="Century Gothic" w:cs="Arial"/>
          <w:i/>
          <w:vertAlign w:val="superscript"/>
        </w:rPr>
      </w:pPr>
    </w:p>
    <w:p w14:paraId="7FAF6178" w14:textId="77777777" w:rsidR="00C75721" w:rsidRDefault="00F67CAC" w:rsidP="00C75721">
      <w:pPr>
        <w:shd w:val="clear" w:color="auto" w:fill="FFFFFF"/>
        <w:spacing w:line="360" w:lineRule="auto"/>
        <w:ind w:left="850" w:right="1468"/>
        <w:jc w:val="both"/>
        <w:rPr>
          <w:rFonts w:ascii="Century Gothic" w:hAnsi="Century Gothic"/>
          <w:i/>
          <w:lang w:val="es-MX" w:eastAsia="es-MX"/>
        </w:rPr>
      </w:pPr>
      <w:r w:rsidRPr="009E68BB">
        <w:rPr>
          <w:rFonts w:ascii="Century Gothic" w:hAnsi="Century Gothic"/>
          <w:i/>
          <w:lang w:val="es-MX" w:eastAsia="es-MX"/>
        </w:rPr>
        <w:t xml:space="preserve">Lagarde señala que "Para que se dé el feminicidio concurren de manera criminal, el silencio, la omisión, la negligencia y la colusión de autoridades encargadas de prevenir y erradicar estos crímenes. Hay feminicidio cuando el Estado no da garantías a las mujeres y no crea condiciones de seguridad para sus vidas en la comunidad, en la casa, </w:t>
      </w:r>
      <w:r w:rsidR="00C75721">
        <w:rPr>
          <w:rFonts w:ascii="Century Gothic" w:hAnsi="Century Gothic"/>
          <w:i/>
          <w:lang w:val="es-MX" w:eastAsia="es-MX"/>
        </w:rPr>
        <w:t xml:space="preserve"> </w:t>
      </w:r>
      <w:r w:rsidRPr="009E68BB">
        <w:rPr>
          <w:rFonts w:ascii="Century Gothic" w:hAnsi="Century Gothic"/>
          <w:i/>
          <w:lang w:val="es-MX" w:eastAsia="es-MX"/>
        </w:rPr>
        <w:t xml:space="preserve">ni </w:t>
      </w:r>
      <w:r w:rsidR="00C75721">
        <w:rPr>
          <w:rFonts w:ascii="Century Gothic" w:hAnsi="Century Gothic"/>
          <w:i/>
          <w:lang w:val="es-MX" w:eastAsia="es-MX"/>
        </w:rPr>
        <w:t xml:space="preserve"> </w:t>
      </w:r>
      <w:r w:rsidRPr="009E68BB">
        <w:rPr>
          <w:rFonts w:ascii="Century Gothic" w:hAnsi="Century Gothic"/>
          <w:i/>
          <w:lang w:val="es-MX" w:eastAsia="es-MX"/>
        </w:rPr>
        <w:t>en</w:t>
      </w:r>
      <w:r w:rsidR="00C75721">
        <w:rPr>
          <w:rFonts w:ascii="Century Gothic" w:hAnsi="Century Gothic"/>
          <w:i/>
          <w:lang w:val="es-MX" w:eastAsia="es-MX"/>
        </w:rPr>
        <w:t xml:space="preserve"> </w:t>
      </w:r>
      <w:r w:rsidRPr="009E68BB">
        <w:rPr>
          <w:rFonts w:ascii="Century Gothic" w:hAnsi="Century Gothic"/>
          <w:i/>
          <w:lang w:val="es-MX" w:eastAsia="es-MX"/>
        </w:rPr>
        <w:t xml:space="preserve"> los espacios </w:t>
      </w:r>
      <w:r w:rsidR="00C75721">
        <w:rPr>
          <w:rFonts w:ascii="Century Gothic" w:hAnsi="Century Gothic"/>
          <w:i/>
          <w:lang w:val="es-MX" w:eastAsia="es-MX"/>
        </w:rPr>
        <w:t xml:space="preserve"> </w:t>
      </w:r>
      <w:r w:rsidRPr="009E68BB">
        <w:rPr>
          <w:rFonts w:ascii="Century Gothic" w:hAnsi="Century Gothic"/>
          <w:i/>
          <w:lang w:val="es-MX" w:eastAsia="es-MX"/>
        </w:rPr>
        <w:t>de</w:t>
      </w:r>
      <w:r w:rsidR="00C75721">
        <w:rPr>
          <w:rFonts w:ascii="Century Gothic" w:hAnsi="Century Gothic"/>
          <w:i/>
          <w:lang w:val="es-MX" w:eastAsia="es-MX"/>
        </w:rPr>
        <w:t xml:space="preserve"> </w:t>
      </w:r>
      <w:r w:rsidRPr="009E68BB">
        <w:rPr>
          <w:rFonts w:ascii="Century Gothic" w:hAnsi="Century Gothic"/>
          <w:i/>
          <w:lang w:val="es-MX" w:eastAsia="es-MX"/>
        </w:rPr>
        <w:t xml:space="preserve"> trabajo</w:t>
      </w:r>
      <w:r w:rsidR="00C75721">
        <w:rPr>
          <w:rFonts w:ascii="Century Gothic" w:hAnsi="Century Gothic"/>
          <w:i/>
          <w:lang w:val="es-MX" w:eastAsia="es-MX"/>
        </w:rPr>
        <w:t xml:space="preserve"> </w:t>
      </w:r>
      <w:r w:rsidRPr="009E68BB">
        <w:rPr>
          <w:rFonts w:ascii="Century Gothic" w:hAnsi="Century Gothic"/>
          <w:i/>
          <w:lang w:val="es-MX" w:eastAsia="es-MX"/>
        </w:rPr>
        <w:t xml:space="preserve"> de tránsito o de</w:t>
      </w:r>
    </w:p>
    <w:p w14:paraId="063B39A0" w14:textId="77777777" w:rsidR="00C75721" w:rsidRPr="009E68BB" w:rsidRDefault="00C75721" w:rsidP="00C75721">
      <w:pPr>
        <w:spacing w:line="360" w:lineRule="auto"/>
        <w:ind w:left="850" w:right="1468"/>
        <w:jc w:val="both"/>
        <w:rPr>
          <w:rFonts w:ascii="Century Gothic" w:hAnsi="Century Gothic"/>
          <w:i/>
          <w:vertAlign w:val="superscript"/>
        </w:rPr>
      </w:pPr>
      <w:r w:rsidRPr="009E68BB">
        <w:rPr>
          <w:rFonts w:ascii="Century Gothic" w:hAnsi="Century Gothic" w:cs="Arial"/>
          <w:i/>
          <w:vertAlign w:val="superscript"/>
        </w:rPr>
        <w:t>1</w:t>
      </w:r>
      <w:hyperlink r:id="rId8" w:history="1">
        <w:r w:rsidRPr="009E68BB">
          <w:rPr>
            <w:rStyle w:val="Hipervnculo"/>
            <w:rFonts w:ascii="Century Gothic" w:hAnsi="Century Gothic"/>
            <w:i/>
            <w:vertAlign w:val="superscript"/>
          </w:rPr>
          <w:t>https://www.gob.mx/conavim/articulos/que-es-el-feminicidio-y-como-identificarlo?idiom=es</w:t>
        </w:r>
      </w:hyperlink>
      <w:r w:rsidRPr="009E68BB">
        <w:rPr>
          <w:rFonts w:ascii="Century Gothic" w:hAnsi="Century Gothic"/>
          <w:i/>
          <w:vertAlign w:val="superscript"/>
        </w:rPr>
        <w:t>, consultado en fecha 08 de noviembre del 2019</w:t>
      </w:r>
    </w:p>
    <w:p w14:paraId="291E5A83" w14:textId="77777777" w:rsidR="00C75721" w:rsidRPr="00C75721" w:rsidRDefault="00C75721" w:rsidP="00C75721">
      <w:pPr>
        <w:shd w:val="clear" w:color="auto" w:fill="FFFFFF"/>
        <w:spacing w:line="360" w:lineRule="auto"/>
        <w:ind w:left="850" w:right="1468"/>
        <w:jc w:val="both"/>
        <w:rPr>
          <w:rFonts w:ascii="Century Gothic" w:hAnsi="Century Gothic"/>
          <w:i/>
          <w:lang w:eastAsia="es-MX"/>
        </w:rPr>
      </w:pPr>
    </w:p>
    <w:p w14:paraId="0C830D96" w14:textId="77777777" w:rsidR="00F67CAC" w:rsidRPr="009E68BB" w:rsidRDefault="00F67CAC" w:rsidP="00C75721">
      <w:pPr>
        <w:shd w:val="clear" w:color="auto" w:fill="FFFFFF"/>
        <w:spacing w:line="360" w:lineRule="auto"/>
        <w:ind w:left="850" w:right="1468"/>
        <w:jc w:val="both"/>
        <w:rPr>
          <w:rFonts w:ascii="Century Gothic" w:hAnsi="Century Gothic"/>
          <w:i/>
          <w:lang w:val="es-MX" w:eastAsia="es-MX"/>
        </w:rPr>
      </w:pPr>
      <w:r w:rsidRPr="009E68BB">
        <w:rPr>
          <w:rFonts w:ascii="Century Gothic" w:hAnsi="Century Gothic"/>
          <w:i/>
          <w:lang w:val="es-MX" w:eastAsia="es-MX"/>
        </w:rPr>
        <w:lastRenderedPageBreak/>
        <w:t xml:space="preserve"> esparcimiento. Sucede, cuando las autoridades no realizan con eficiencia sus funciones. Si el Estado falla, se crea impunidad, la delincuencia prolifera y el feminicidio no llega a su fin. Por eso el feminicidio es un crimen de Estado".</w:t>
      </w:r>
      <w:r w:rsidRPr="009E68BB">
        <w:rPr>
          <w:rFonts w:ascii="Century Gothic" w:hAnsi="Century Gothic"/>
          <w:i/>
          <w:vertAlign w:val="superscript"/>
          <w:lang w:val="es-MX" w:eastAsia="es-MX"/>
        </w:rPr>
        <w:t>2</w:t>
      </w:r>
    </w:p>
    <w:p w14:paraId="1AACFD99" w14:textId="77777777" w:rsidR="00F67CAC" w:rsidRPr="009E68BB" w:rsidRDefault="00F67CAC" w:rsidP="00C75721">
      <w:pPr>
        <w:shd w:val="clear" w:color="auto" w:fill="FFFFFF"/>
        <w:spacing w:line="360" w:lineRule="auto"/>
        <w:ind w:left="850" w:right="1468" w:firstLine="288"/>
        <w:jc w:val="both"/>
        <w:rPr>
          <w:rFonts w:ascii="Century Gothic" w:hAnsi="Century Gothic"/>
          <w:i/>
          <w:lang w:val="es-MX" w:eastAsia="es-MX"/>
        </w:rPr>
      </w:pPr>
    </w:p>
    <w:p w14:paraId="7989A2B5" w14:textId="77777777" w:rsidR="00057E56" w:rsidRDefault="00F67CAC" w:rsidP="00057E56">
      <w:pPr>
        <w:shd w:val="clear" w:color="auto" w:fill="FFFFFF"/>
        <w:spacing w:line="360" w:lineRule="auto"/>
        <w:ind w:left="850" w:right="1468"/>
        <w:jc w:val="both"/>
        <w:rPr>
          <w:rFonts w:ascii="Century Gothic" w:hAnsi="Century Gothic"/>
          <w:i/>
          <w:vertAlign w:val="superscript"/>
          <w:lang w:val="es-MX" w:eastAsia="es-MX"/>
        </w:rPr>
      </w:pPr>
      <w:r w:rsidRPr="009E68BB">
        <w:rPr>
          <w:rFonts w:ascii="Century Gothic" w:hAnsi="Century Gothic"/>
          <w:i/>
          <w:lang w:val="es-MX" w:eastAsia="es-MX"/>
        </w:rPr>
        <w:t>La Ley General de Acceso de las Mujeres a una Vida Libre de Violencia reconoce en su artículo 21       a la violencia feminicida como "[...] la forma extrema de violencia de género contra las mujeres, producto de la violación de sus derechos humanos, en los ámbitos público y privado, conformada por el conjunto de conductas misóginas que pueden conllevar impunidad social y del Estado y puede culminar en homicidio y otras formas de muerte violenta de mujeres"</w:t>
      </w:r>
      <w:r w:rsidR="00057E56" w:rsidRPr="009E68BB">
        <w:rPr>
          <w:rFonts w:ascii="Century Gothic" w:hAnsi="Century Gothic"/>
          <w:i/>
          <w:lang w:val="es-MX" w:eastAsia="es-MX"/>
        </w:rPr>
        <w:t>.</w:t>
      </w:r>
      <w:r w:rsidR="00057E56" w:rsidRPr="009E68BB">
        <w:rPr>
          <w:rFonts w:ascii="Century Gothic" w:hAnsi="Century Gothic"/>
          <w:i/>
          <w:vertAlign w:val="superscript"/>
          <w:lang w:val="es-MX" w:eastAsia="es-MX"/>
        </w:rPr>
        <w:t>3</w:t>
      </w:r>
    </w:p>
    <w:p w14:paraId="3033E893" w14:textId="77777777" w:rsidR="007039A4" w:rsidRDefault="007039A4" w:rsidP="00057E56">
      <w:pPr>
        <w:shd w:val="clear" w:color="auto" w:fill="FFFFFF"/>
        <w:spacing w:line="360" w:lineRule="auto"/>
        <w:ind w:left="850" w:right="1468"/>
        <w:jc w:val="both"/>
        <w:rPr>
          <w:rFonts w:ascii="Century Gothic" w:hAnsi="Century Gothic"/>
          <w:i/>
          <w:vertAlign w:val="superscript"/>
          <w:lang w:val="es-MX" w:eastAsia="es-MX"/>
        </w:rPr>
      </w:pPr>
    </w:p>
    <w:p w14:paraId="526E1BC1" w14:textId="77777777" w:rsidR="00057E56" w:rsidRDefault="00057E56" w:rsidP="00C75721">
      <w:pPr>
        <w:shd w:val="clear" w:color="auto" w:fill="FFFFFF"/>
        <w:spacing w:line="360" w:lineRule="auto"/>
        <w:ind w:left="850" w:right="1468"/>
        <w:jc w:val="both"/>
        <w:rPr>
          <w:rFonts w:ascii="Century Gothic" w:hAnsi="Century Gothic"/>
          <w:i/>
          <w:lang w:val="es-MX" w:eastAsia="es-MX"/>
        </w:rPr>
      </w:pPr>
      <w:r w:rsidRPr="009E68BB">
        <w:rPr>
          <w:rFonts w:ascii="Century Gothic" w:hAnsi="Century Gothic"/>
          <w:bCs/>
          <w:i/>
        </w:rPr>
        <w:t>Bajo esta situación hay miles de menores de edad, que han quedado huérfanos por feminicidio en los últimos años. Según cifras del Secretariado Ejecutivo del Sistema Nacional de Seguridad Pública, de enero de 2015 a mayo de 2019 se</w:t>
      </w:r>
      <w:r w:rsidR="003A6455" w:rsidRPr="003A6455">
        <w:rPr>
          <w:rFonts w:ascii="Century Gothic" w:hAnsi="Century Gothic"/>
          <w:bCs/>
          <w:i/>
        </w:rPr>
        <w:t xml:space="preserve"> </w:t>
      </w:r>
      <w:r w:rsidR="003A6455" w:rsidRPr="009E68BB">
        <w:rPr>
          <w:rFonts w:ascii="Century Gothic" w:hAnsi="Century Gothic"/>
          <w:bCs/>
          <w:i/>
        </w:rPr>
        <w:t>registraron 3 mil 17 feminicidios, de los cuales alrededor de 2 mil víctimas tenían más de 18 años, lo que significa que pudieron</w:t>
      </w:r>
      <w:r w:rsidR="003A6455">
        <w:rPr>
          <w:rFonts w:ascii="Century Gothic" w:hAnsi="Century Gothic"/>
          <w:bCs/>
          <w:i/>
        </w:rPr>
        <w:t xml:space="preserve"> </w:t>
      </w:r>
      <w:r w:rsidR="003A6455" w:rsidRPr="009E68BB">
        <w:rPr>
          <w:rFonts w:ascii="Century Gothic" w:hAnsi="Century Gothic"/>
          <w:bCs/>
          <w:i/>
        </w:rPr>
        <w:t xml:space="preserve"> estar </w:t>
      </w:r>
      <w:r w:rsidR="003A6455">
        <w:rPr>
          <w:rFonts w:ascii="Century Gothic" w:hAnsi="Century Gothic"/>
          <w:bCs/>
          <w:i/>
        </w:rPr>
        <w:t xml:space="preserve"> </w:t>
      </w:r>
      <w:r w:rsidR="003A6455" w:rsidRPr="009E68BB">
        <w:rPr>
          <w:rFonts w:ascii="Century Gothic" w:hAnsi="Century Gothic"/>
          <w:bCs/>
          <w:i/>
        </w:rPr>
        <w:t xml:space="preserve">en </w:t>
      </w:r>
      <w:r w:rsidR="003A6455">
        <w:rPr>
          <w:rFonts w:ascii="Century Gothic" w:hAnsi="Century Gothic"/>
          <w:bCs/>
          <w:i/>
        </w:rPr>
        <w:t xml:space="preserve"> </w:t>
      </w:r>
      <w:r w:rsidR="003A6455" w:rsidRPr="009E68BB">
        <w:rPr>
          <w:rFonts w:ascii="Century Gothic" w:hAnsi="Century Gothic"/>
          <w:bCs/>
          <w:i/>
        </w:rPr>
        <w:t xml:space="preserve">edad </w:t>
      </w:r>
      <w:r w:rsidR="003A6455">
        <w:rPr>
          <w:rFonts w:ascii="Century Gothic" w:hAnsi="Century Gothic"/>
          <w:bCs/>
          <w:i/>
        </w:rPr>
        <w:t xml:space="preserve"> </w:t>
      </w:r>
      <w:r w:rsidR="003A6455" w:rsidRPr="009E68BB">
        <w:rPr>
          <w:rFonts w:ascii="Century Gothic" w:hAnsi="Century Gothic"/>
          <w:bCs/>
          <w:i/>
        </w:rPr>
        <w:t>reproductiva y haber sido madres</w:t>
      </w:r>
    </w:p>
    <w:p w14:paraId="652B9879" w14:textId="77777777" w:rsidR="00C75721" w:rsidRPr="00057E56" w:rsidRDefault="00C75721" w:rsidP="00C75721">
      <w:pPr>
        <w:shd w:val="clear" w:color="auto" w:fill="FFFFFF"/>
        <w:spacing w:line="276" w:lineRule="auto"/>
        <w:ind w:right="1468"/>
        <w:jc w:val="both"/>
        <w:rPr>
          <w:rFonts w:ascii="Century Gothic" w:hAnsi="Century Gothic"/>
          <w:i/>
          <w:vertAlign w:val="superscript"/>
        </w:rPr>
      </w:pPr>
      <w:r w:rsidRPr="00057E56">
        <w:rPr>
          <w:rFonts w:ascii="Century Gothic" w:hAnsi="Century Gothic"/>
          <w:i/>
          <w:vertAlign w:val="superscript"/>
          <w:lang w:val="es-MX" w:eastAsia="es-MX"/>
        </w:rPr>
        <w:t xml:space="preserve">                    2 </w:t>
      </w:r>
      <w:hyperlink r:id="rId9" w:history="1">
        <w:r w:rsidRPr="00057E56">
          <w:rPr>
            <w:rStyle w:val="Hipervnculo"/>
            <w:rFonts w:ascii="Century Gothic" w:hAnsi="Century Gothic"/>
            <w:i/>
            <w:vertAlign w:val="superscript"/>
          </w:rPr>
          <w:t>http://www.dof.gob.mx/nota_detalle.php?codigo=5577990&amp;fecha=06/11/2019</w:t>
        </w:r>
      </w:hyperlink>
      <w:r w:rsidRPr="00057E56">
        <w:rPr>
          <w:rFonts w:ascii="Century Gothic" w:hAnsi="Century Gothic"/>
          <w:i/>
          <w:vertAlign w:val="superscript"/>
        </w:rPr>
        <w:t xml:space="preserve">,  </w:t>
      </w:r>
    </w:p>
    <w:p w14:paraId="5485403C" w14:textId="77777777" w:rsidR="00C75721" w:rsidRPr="00057E56" w:rsidRDefault="00C75721" w:rsidP="00C75721">
      <w:pPr>
        <w:shd w:val="clear" w:color="auto" w:fill="FFFFFF"/>
        <w:spacing w:line="276" w:lineRule="auto"/>
        <w:ind w:right="1468"/>
        <w:jc w:val="both"/>
        <w:rPr>
          <w:rFonts w:ascii="Century Gothic" w:hAnsi="Century Gothic"/>
          <w:i/>
          <w:vertAlign w:val="superscript"/>
          <w:lang w:val="es-MX" w:eastAsia="es-MX"/>
        </w:rPr>
      </w:pPr>
      <w:r w:rsidRPr="00057E56">
        <w:rPr>
          <w:rFonts w:ascii="Century Gothic" w:hAnsi="Century Gothic"/>
          <w:i/>
          <w:vertAlign w:val="superscript"/>
        </w:rPr>
        <w:t xml:space="preserve">                    consultado en fecha 08 de noviembre del 2019</w:t>
      </w:r>
    </w:p>
    <w:p w14:paraId="16FE1551" w14:textId="77777777" w:rsidR="00C75721" w:rsidRPr="00057E56" w:rsidRDefault="00C75721" w:rsidP="00C75721">
      <w:pPr>
        <w:shd w:val="clear" w:color="auto" w:fill="FFFFFF"/>
        <w:spacing w:line="360" w:lineRule="auto"/>
        <w:ind w:left="850" w:right="1468"/>
        <w:jc w:val="both"/>
        <w:rPr>
          <w:rFonts w:ascii="Century Gothic" w:hAnsi="Century Gothic"/>
          <w:i/>
          <w:vertAlign w:val="superscript"/>
          <w:lang w:val="es-MX" w:eastAsia="es-MX"/>
        </w:rPr>
      </w:pPr>
      <w:r w:rsidRPr="00057E56">
        <w:rPr>
          <w:rFonts w:ascii="Century Gothic" w:hAnsi="Century Gothic"/>
          <w:bCs/>
          <w:i/>
          <w:vertAlign w:val="superscript"/>
        </w:rPr>
        <w:t xml:space="preserve">3 </w:t>
      </w:r>
      <w:proofErr w:type="spellStart"/>
      <w:r w:rsidRPr="00057E56">
        <w:rPr>
          <w:rFonts w:ascii="Century Gothic" w:hAnsi="Century Gothic"/>
          <w:bCs/>
          <w:i/>
          <w:vertAlign w:val="superscript"/>
        </w:rPr>
        <w:t>Ibidem</w:t>
      </w:r>
      <w:proofErr w:type="spellEnd"/>
    </w:p>
    <w:p w14:paraId="2C847DE6" w14:textId="77777777" w:rsidR="00F67CAC" w:rsidRPr="009E68BB" w:rsidRDefault="00C75721" w:rsidP="00C75721">
      <w:pPr>
        <w:pStyle w:val="Ttulo1"/>
        <w:spacing w:line="360" w:lineRule="auto"/>
        <w:ind w:left="850" w:right="1468"/>
        <w:rPr>
          <w:rFonts w:ascii="Century Gothic" w:hAnsi="Century Gothic"/>
          <w:b w:val="0"/>
          <w:bCs w:val="0"/>
          <w:i/>
        </w:rPr>
      </w:pPr>
      <w:r w:rsidRPr="009E68BB">
        <w:rPr>
          <w:rFonts w:ascii="Century Gothic" w:hAnsi="Century Gothic"/>
          <w:b w:val="0"/>
          <w:i/>
          <w:lang w:val="es-MX" w:eastAsia="es-MX"/>
        </w:rPr>
        <w:lastRenderedPageBreak/>
        <w:t>en la casa, ni en los espacios de trabajo de tránsito o de</w:t>
      </w:r>
      <w:r w:rsidR="00F67CAC" w:rsidRPr="009E68BB">
        <w:rPr>
          <w:rFonts w:ascii="Century Gothic" w:hAnsi="Century Gothic"/>
          <w:b w:val="0"/>
          <w:bCs w:val="0"/>
          <w:i/>
        </w:rPr>
        <w:t xml:space="preserve"> familia.</w:t>
      </w:r>
    </w:p>
    <w:p w14:paraId="71DEA03E" w14:textId="77777777" w:rsidR="00F67CAC" w:rsidRPr="009E68BB" w:rsidRDefault="00F67CAC" w:rsidP="00C75721">
      <w:pPr>
        <w:pStyle w:val="NormalWeb"/>
        <w:shd w:val="clear" w:color="auto" w:fill="FFFFFF"/>
        <w:spacing w:before="0" w:beforeAutospacing="0" w:after="0" w:afterAutospacing="0" w:line="360" w:lineRule="auto"/>
        <w:ind w:left="850" w:right="1468"/>
        <w:jc w:val="both"/>
        <w:textAlignment w:val="baseline"/>
        <w:rPr>
          <w:rFonts w:ascii="Century Gothic" w:hAnsi="Century Gothic" w:cs="Arial"/>
          <w:i/>
        </w:rPr>
      </w:pPr>
    </w:p>
    <w:p w14:paraId="04B65380" w14:textId="77777777" w:rsidR="00F67CAC" w:rsidRDefault="00F67CAC" w:rsidP="00C75721">
      <w:pPr>
        <w:pStyle w:val="NormalWeb"/>
        <w:shd w:val="clear" w:color="auto" w:fill="FFFFFF"/>
        <w:spacing w:before="0" w:beforeAutospacing="0" w:after="0" w:afterAutospacing="0" w:line="360" w:lineRule="auto"/>
        <w:ind w:left="850" w:right="1468"/>
        <w:jc w:val="both"/>
        <w:textAlignment w:val="baseline"/>
        <w:rPr>
          <w:rFonts w:ascii="Century Gothic" w:hAnsi="Century Gothic" w:cs="Arial"/>
          <w:i/>
        </w:rPr>
      </w:pPr>
      <w:r w:rsidRPr="009E68BB">
        <w:rPr>
          <w:rFonts w:ascii="Century Gothic" w:hAnsi="Century Gothic" w:cs="Arial"/>
          <w:i/>
        </w:rPr>
        <w:t>Además, en el mismo periodo el Secretariado Ejecutivo del Sistema Nacional de Seguridad Pública registra 9 mil 892 mujeres víctimas de homicidio doloso, sin especificar cuántos de estos casos pueden ser investigados como feminicidio.</w:t>
      </w:r>
    </w:p>
    <w:p w14:paraId="61AE1B68" w14:textId="77777777" w:rsidR="00057E56" w:rsidRPr="009E68BB" w:rsidRDefault="00057E56" w:rsidP="00C75721">
      <w:pPr>
        <w:pStyle w:val="NormalWeb"/>
        <w:shd w:val="clear" w:color="auto" w:fill="FFFFFF"/>
        <w:spacing w:before="0" w:beforeAutospacing="0" w:after="0" w:afterAutospacing="0" w:line="360" w:lineRule="auto"/>
        <w:ind w:left="850" w:right="1468"/>
        <w:jc w:val="both"/>
        <w:textAlignment w:val="baseline"/>
        <w:rPr>
          <w:rFonts w:ascii="Century Gothic" w:hAnsi="Century Gothic" w:cs="Arial"/>
          <w:i/>
        </w:rPr>
      </w:pPr>
    </w:p>
    <w:p w14:paraId="6F5E50AD" w14:textId="77777777" w:rsidR="00F67CAC" w:rsidRPr="00057E56" w:rsidRDefault="00F67CAC" w:rsidP="00057E56">
      <w:pPr>
        <w:spacing w:line="360" w:lineRule="auto"/>
        <w:ind w:left="850" w:right="1468"/>
        <w:jc w:val="both"/>
        <w:rPr>
          <w:rFonts w:ascii="Century Gothic" w:hAnsi="Century Gothic"/>
          <w:i/>
          <w:vertAlign w:val="superscript"/>
        </w:rPr>
      </w:pPr>
      <w:r w:rsidRPr="009E68BB">
        <w:rPr>
          <w:rFonts w:ascii="Century Gothic" w:hAnsi="Century Gothic" w:cs="Arial"/>
          <w:i/>
        </w:rPr>
        <w:t xml:space="preserve">México satisface parcialmente las necesidades de información estadística para construir los indicadores Objetivos de Desarrollo Sostenible referentes a violencia contra niñas, niños y adolescentes. De esta manera, avanzar en la consolidación de las prioridades globales y </w:t>
      </w:r>
      <w:r w:rsidR="00C75721" w:rsidRPr="009E68BB">
        <w:rPr>
          <w:rFonts w:ascii="Century Gothic" w:hAnsi="Century Gothic" w:cs="Arial"/>
          <w:i/>
        </w:rPr>
        <w:t>nacionales implicará, por un lado, garantizar el</w:t>
      </w:r>
      <w:r w:rsidRPr="009E68BB">
        <w:rPr>
          <w:rFonts w:ascii="Century Gothic" w:hAnsi="Century Gothic" w:cs="Arial"/>
          <w:i/>
        </w:rPr>
        <w:t xml:space="preserve"> levantamiento periódico de los instrumentos que nutren los indicadores; por otro, se tendrán que fortalecer y realizar diversos ajustes conceptuales y metodológicos a los instrumentos existentes, sean encuestas o registros administrativos. </w:t>
      </w:r>
    </w:p>
    <w:p w14:paraId="1049EC45" w14:textId="77777777" w:rsidR="00F67CAC" w:rsidRPr="009E68BB" w:rsidRDefault="00F67CAC" w:rsidP="00C75721">
      <w:pPr>
        <w:pStyle w:val="NormalWeb"/>
        <w:shd w:val="clear" w:color="auto" w:fill="FFFFFF"/>
        <w:spacing w:line="360" w:lineRule="auto"/>
        <w:ind w:left="850" w:right="1468"/>
        <w:jc w:val="both"/>
        <w:textAlignment w:val="baseline"/>
        <w:rPr>
          <w:rFonts w:ascii="Century Gothic" w:hAnsi="Century Gothic" w:cs="Arial"/>
          <w:i/>
        </w:rPr>
      </w:pPr>
      <w:r w:rsidRPr="009E68BB">
        <w:rPr>
          <w:rFonts w:ascii="Century Gothic" w:hAnsi="Century Gothic" w:cs="Arial"/>
          <w:i/>
        </w:rPr>
        <w:t>Finalmente, en función de los vacíos de información y el costo-oportunidad, se tendrá que valorar y discutir la posibilidad de crear un instrumento especialmente diseñado para medir los tipos de violencia contra niñas, niños y adolescentes.</w:t>
      </w:r>
    </w:p>
    <w:p w14:paraId="7EF9CA6F" w14:textId="77777777" w:rsidR="00F67CAC" w:rsidRPr="009E68BB" w:rsidRDefault="00F67CAC" w:rsidP="00C75721">
      <w:pPr>
        <w:pStyle w:val="NormalWeb"/>
        <w:shd w:val="clear" w:color="auto" w:fill="FFFFFF"/>
        <w:spacing w:line="360" w:lineRule="auto"/>
        <w:ind w:left="850" w:right="1468"/>
        <w:jc w:val="both"/>
        <w:textAlignment w:val="baseline"/>
        <w:rPr>
          <w:rFonts w:ascii="Century Gothic" w:hAnsi="Century Gothic" w:cs="Arial"/>
          <w:i/>
          <w:vertAlign w:val="superscript"/>
        </w:rPr>
      </w:pPr>
      <w:r w:rsidRPr="009E68BB">
        <w:rPr>
          <w:rFonts w:ascii="Century Gothic" w:hAnsi="Century Gothic" w:cs="Arial"/>
          <w:i/>
        </w:rPr>
        <w:lastRenderedPageBreak/>
        <w:t xml:space="preserve">En vista de la revisión y recomendaciones emitidas por el Comité de los Derechos del Niño (2015),  es impostergable construir las capacidades y metodologías necesarias a fin de subsanar las carencias de datos referentes a tipos de violencia relacionados con homicidios, feminicidios, desapariciones, violencia sexual, explotación, abusos de toda índole, violencia por medio de internet, así como el reclutamiento y el empleo forzado de niñas, niños y adolescentes por grupos armados     no estatales. </w:t>
      </w:r>
      <w:r w:rsidRPr="009E68BB">
        <w:rPr>
          <w:rFonts w:ascii="Century Gothic" w:hAnsi="Century Gothic" w:cs="Arial"/>
          <w:i/>
          <w:vertAlign w:val="superscript"/>
        </w:rPr>
        <w:t>4</w:t>
      </w:r>
    </w:p>
    <w:p w14:paraId="4FD80D71" w14:textId="77777777" w:rsidR="00057E56" w:rsidRPr="009E68BB" w:rsidRDefault="00F67CAC" w:rsidP="00057E56">
      <w:pPr>
        <w:pStyle w:val="NormalWeb"/>
        <w:shd w:val="clear" w:color="auto" w:fill="FFFFFF"/>
        <w:spacing w:line="360" w:lineRule="auto"/>
        <w:ind w:left="850" w:right="1468"/>
        <w:jc w:val="both"/>
        <w:textAlignment w:val="baseline"/>
        <w:rPr>
          <w:rFonts w:ascii="Century Gothic" w:hAnsi="Century Gothic" w:cs="Arial"/>
          <w:i/>
        </w:rPr>
      </w:pPr>
      <w:r w:rsidRPr="009E68BB">
        <w:rPr>
          <w:rFonts w:ascii="Century Gothic" w:hAnsi="Century Gothic" w:cs="Arial"/>
          <w:i/>
        </w:rPr>
        <w:t xml:space="preserve">La violencia, en sus manifestaciones más directas, afecta a todas las niñas, niños y adolescentes, independientemente de su condición económica o social, sin embargo, corren mayores riesgos quienes se encuentran más vulnerables por situaciones </w:t>
      </w:r>
      <w:r w:rsidR="00C75721">
        <w:rPr>
          <w:rFonts w:ascii="Century Gothic" w:hAnsi="Century Gothic" w:cs="Arial"/>
          <w:i/>
        </w:rPr>
        <w:t xml:space="preserve"> </w:t>
      </w:r>
      <w:r w:rsidRPr="009E68BB">
        <w:rPr>
          <w:rFonts w:ascii="Century Gothic" w:hAnsi="Century Gothic" w:cs="Arial"/>
          <w:i/>
        </w:rPr>
        <w:t>de</w:t>
      </w:r>
      <w:r w:rsidR="00C75721">
        <w:rPr>
          <w:rFonts w:ascii="Century Gothic" w:hAnsi="Century Gothic" w:cs="Arial"/>
          <w:i/>
        </w:rPr>
        <w:t xml:space="preserve">  </w:t>
      </w:r>
      <w:r w:rsidRPr="009E68BB">
        <w:rPr>
          <w:rFonts w:ascii="Century Gothic" w:hAnsi="Century Gothic" w:cs="Arial"/>
          <w:i/>
        </w:rPr>
        <w:t xml:space="preserve"> abandono </w:t>
      </w:r>
      <w:r w:rsidR="00C75721">
        <w:rPr>
          <w:rFonts w:ascii="Century Gothic" w:hAnsi="Century Gothic" w:cs="Arial"/>
          <w:i/>
        </w:rPr>
        <w:t xml:space="preserve">  </w:t>
      </w:r>
      <w:r w:rsidRPr="009E68BB">
        <w:rPr>
          <w:rFonts w:ascii="Century Gothic" w:hAnsi="Century Gothic" w:cs="Arial"/>
          <w:i/>
        </w:rPr>
        <w:t xml:space="preserve">o </w:t>
      </w:r>
      <w:r w:rsidR="00C75721">
        <w:rPr>
          <w:rFonts w:ascii="Century Gothic" w:hAnsi="Century Gothic" w:cs="Arial"/>
          <w:i/>
        </w:rPr>
        <w:t xml:space="preserve">  </w:t>
      </w:r>
      <w:r w:rsidRPr="009E68BB">
        <w:rPr>
          <w:rFonts w:ascii="Century Gothic" w:hAnsi="Century Gothic" w:cs="Arial"/>
          <w:i/>
        </w:rPr>
        <w:t>negligencia,</w:t>
      </w:r>
      <w:r w:rsidR="00C75721">
        <w:rPr>
          <w:rFonts w:ascii="Century Gothic" w:hAnsi="Century Gothic" w:cs="Arial"/>
          <w:i/>
        </w:rPr>
        <w:t xml:space="preserve">  </w:t>
      </w:r>
      <w:r w:rsidRPr="009E68BB">
        <w:rPr>
          <w:rFonts w:ascii="Century Gothic" w:hAnsi="Century Gothic" w:cs="Arial"/>
          <w:i/>
        </w:rPr>
        <w:t xml:space="preserve"> marginación,</w:t>
      </w:r>
      <w:r w:rsidR="00057E56" w:rsidRPr="00057E56">
        <w:rPr>
          <w:rFonts w:ascii="Century Gothic" w:hAnsi="Century Gothic" w:cs="Arial"/>
          <w:i/>
        </w:rPr>
        <w:t xml:space="preserve"> </w:t>
      </w:r>
      <w:r w:rsidR="00057E56" w:rsidRPr="009E68BB">
        <w:rPr>
          <w:rFonts w:ascii="Century Gothic" w:hAnsi="Century Gothic" w:cs="Arial"/>
          <w:i/>
        </w:rPr>
        <w:t>discapacidad, migración, desplazamiento forzado o contextos de violencia armada.</w:t>
      </w:r>
    </w:p>
    <w:p w14:paraId="2E88917A" w14:textId="77777777" w:rsidR="00C75721" w:rsidRDefault="00057E56" w:rsidP="00057E56">
      <w:pPr>
        <w:pStyle w:val="NormalWeb"/>
        <w:shd w:val="clear" w:color="auto" w:fill="FFFFFF"/>
        <w:spacing w:line="360" w:lineRule="auto"/>
        <w:ind w:left="850" w:right="1468"/>
        <w:textAlignment w:val="baseline"/>
        <w:rPr>
          <w:rFonts w:ascii="Century Gothic" w:hAnsi="Century Gothic" w:cs="Arial"/>
          <w:i/>
        </w:rPr>
      </w:pPr>
      <w:r w:rsidRPr="009E68BB">
        <w:rPr>
          <w:rFonts w:ascii="Century Gothic" w:hAnsi="Century Gothic" w:cs="Arial"/>
          <w:i/>
        </w:rPr>
        <w:t xml:space="preserve">La Alianza Global para poner Fin a la Violencia Contra los niños </w:t>
      </w:r>
      <w:r>
        <w:rPr>
          <w:rFonts w:ascii="Century Gothic" w:hAnsi="Century Gothic" w:cs="Arial"/>
          <w:i/>
        </w:rPr>
        <w:t xml:space="preserve"> </w:t>
      </w:r>
      <w:r w:rsidRPr="009E68BB">
        <w:rPr>
          <w:rFonts w:ascii="Century Gothic" w:hAnsi="Century Gothic" w:cs="Arial"/>
          <w:i/>
        </w:rPr>
        <w:t xml:space="preserve">y </w:t>
      </w:r>
      <w:r>
        <w:rPr>
          <w:rFonts w:ascii="Century Gothic" w:hAnsi="Century Gothic" w:cs="Arial"/>
          <w:i/>
        </w:rPr>
        <w:t xml:space="preserve"> </w:t>
      </w:r>
      <w:r w:rsidRPr="009E68BB">
        <w:rPr>
          <w:rFonts w:ascii="Century Gothic" w:hAnsi="Century Gothic" w:cs="Arial"/>
          <w:i/>
        </w:rPr>
        <w:t>los</w:t>
      </w:r>
      <w:r>
        <w:rPr>
          <w:rFonts w:ascii="Century Gothic" w:hAnsi="Century Gothic" w:cs="Arial"/>
          <w:i/>
        </w:rPr>
        <w:t xml:space="preserve"> </w:t>
      </w:r>
      <w:r w:rsidRPr="009E68BB">
        <w:rPr>
          <w:rFonts w:ascii="Century Gothic" w:hAnsi="Century Gothic" w:cs="Arial"/>
          <w:i/>
        </w:rPr>
        <w:t xml:space="preserve"> adolescentes</w:t>
      </w:r>
      <w:r>
        <w:rPr>
          <w:rFonts w:ascii="Century Gothic" w:hAnsi="Century Gothic" w:cs="Arial"/>
          <w:i/>
        </w:rPr>
        <w:t xml:space="preserve">  </w:t>
      </w:r>
      <w:r w:rsidRPr="009E68BB">
        <w:rPr>
          <w:rFonts w:ascii="Century Gothic" w:hAnsi="Century Gothic" w:cs="Arial"/>
          <w:i/>
        </w:rPr>
        <w:t xml:space="preserve"> incluye</w:t>
      </w:r>
      <w:r>
        <w:rPr>
          <w:rFonts w:ascii="Century Gothic" w:hAnsi="Century Gothic" w:cs="Arial"/>
          <w:i/>
        </w:rPr>
        <w:t xml:space="preserve">  </w:t>
      </w:r>
      <w:r w:rsidRPr="009E68BB">
        <w:rPr>
          <w:rFonts w:ascii="Century Gothic" w:hAnsi="Century Gothic" w:cs="Arial"/>
          <w:i/>
        </w:rPr>
        <w:t xml:space="preserve">el </w:t>
      </w:r>
      <w:r>
        <w:rPr>
          <w:rFonts w:ascii="Century Gothic" w:hAnsi="Century Gothic" w:cs="Arial"/>
          <w:i/>
        </w:rPr>
        <w:t xml:space="preserve"> </w:t>
      </w:r>
      <w:r w:rsidRPr="009E68BB">
        <w:rPr>
          <w:rFonts w:ascii="Century Gothic" w:hAnsi="Century Gothic" w:cs="Arial"/>
          <w:i/>
        </w:rPr>
        <w:t>maltrato</w:t>
      </w:r>
      <w:r>
        <w:rPr>
          <w:rFonts w:ascii="Century Gothic" w:hAnsi="Century Gothic" w:cs="Arial"/>
          <w:i/>
        </w:rPr>
        <w:t xml:space="preserve"> </w:t>
      </w:r>
      <w:r w:rsidRPr="009E68BB">
        <w:rPr>
          <w:rFonts w:ascii="Century Gothic" w:hAnsi="Century Gothic" w:cs="Arial"/>
          <w:i/>
        </w:rPr>
        <w:t xml:space="preserve"> físico </w:t>
      </w:r>
      <w:r>
        <w:rPr>
          <w:rFonts w:ascii="Century Gothic" w:hAnsi="Century Gothic" w:cs="Arial"/>
          <w:i/>
        </w:rPr>
        <w:t xml:space="preserve">  </w:t>
      </w:r>
      <w:r w:rsidRPr="009E68BB">
        <w:rPr>
          <w:rFonts w:ascii="Century Gothic" w:hAnsi="Century Gothic" w:cs="Arial"/>
          <w:i/>
        </w:rPr>
        <w:t xml:space="preserve">o </w:t>
      </w:r>
    </w:p>
    <w:p w14:paraId="4841BE9A" w14:textId="77777777" w:rsidR="00C75721" w:rsidRDefault="00C75721" w:rsidP="00C75721">
      <w:pPr>
        <w:pStyle w:val="NormalWeb"/>
        <w:shd w:val="clear" w:color="auto" w:fill="FFFFFF"/>
        <w:spacing w:line="360" w:lineRule="auto"/>
        <w:ind w:left="850" w:right="1468"/>
        <w:jc w:val="both"/>
        <w:textAlignment w:val="baseline"/>
        <w:rPr>
          <w:rFonts w:ascii="Century Gothic" w:hAnsi="Century Gothic" w:cs="Arial"/>
          <w:i/>
        </w:rPr>
      </w:pPr>
      <w:r w:rsidRPr="00C75721">
        <w:rPr>
          <w:rFonts w:ascii="Century Gothic" w:hAnsi="Century Gothic" w:cs="Arial"/>
          <w:i/>
          <w:vertAlign w:val="superscript"/>
        </w:rPr>
        <w:t xml:space="preserve"> </w:t>
      </w:r>
      <w:r w:rsidRPr="009E68BB">
        <w:rPr>
          <w:rFonts w:ascii="Century Gothic" w:hAnsi="Century Gothic" w:cs="Arial"/>
          <w:i/>
          <w:vertAlign w:val="superscript"/>
        </w:rPr>
        <w:t xml:space="preserve">4 </w:t>
      </w:r>
      <w:hyperlink r:id="rId10" w:history="1">
        <w:r w:rsidRPr="009E68BB">
          <w:rPr>
            <w:rStyle w:val="Hipervnculo"/>
            <w:rFonts w:ascii="Century Gothic" w:hAnsi="Century Gothic" w:cs="Arial"/>
            <w:i/>
            <w:vertAlign w:val="superscript"/>
          </w:rPr>
          <w:t>https://www.unicef.org/mexico/media/1731/file/UNICEF%20PanoramaEstadistico.pdf</w:t>
        </w:r>
      </w:hyperlink>
      <w:r w:rsidRPr="009E68BB">
        <w:rPr>
          <w:rFonts w:ascii="Century Gothic" w:hAnsi="Century Gothic" w:cs="Arial"/>
          <w:i/>
          <w:vertAlign w:val="superscript"/>
        </w:rPr>
        <w:t xml:space="preserve"> , consultado en fecha 08 de noviembre del 2019</w:t>
      </w:r>
    </w:p>
    <w:p w14:paraId="1D39E626" w14:textId="77777777" w:rsidR="00F67CAC" w:rsidRPr="009E68BB" w:rsidRDefault="00057E56" w:rsidP="00C75721">
      <w:pPr>
        <w:pStyle w:val="NormalWeb"/>
        <w:shd w:val="clear" w:color="auto" w:fill="FFFFFF"/>
        <w:spacing w:line="360" w:lineRule="auto"/>
        <w:ind w:left="850" w:right="1468"/>
        <w:jc w:val="both"/>
        <w:textAlignment w:val="baseline"/>
        <w:rPr>
          <w:rFonts w:ascii="Century Gothic" w:hAnsi="Century Gothic" w:cs="Arial"/>
          <w:i/>
        </w:rPr>
      </w:pPr>
      <w:r w:rsidRPr="009E68BB">
        <w:rPr>
          <w:rFonts w:ascii="Century Gothic" w:hAnsi="Century Gothic" w:cs="Arial"/>
          <w:i/>
        </w:rPr>
        <w:t>emocional,el abuso sexual y la desatención. En el caso</w:t>
      </w:r>
      <w:r w:rsidR="00F67CAC" w:rsidRPr="009E68BB">
        <w:rPr>
          <w:rFonts w:ascii="Century Gothic" w:hAnsi="Century Gothic" w:cs="Arial"/>
          <w:i/>
        </w:rPr>
        <w:t xml:space="preserve">de los lactantes y los niños pequeños, la violencia toma </w:t>
      </w:r>
      <w:r w:rsidR="00F67CAC" w:rsidRPr="009E68BB">
        <w:rPr>
          <w:rFonts w:ascii="Century Gothic" w:hAnsi="Century Gothic" w:cs="Arial"/>
          <w:i/>
        </w:rPr>
        <w:lastRenderedPageBreak/>
        <w:t xml:space="preserve">principalmente la forma del maltrato a manos de los padres, los cuidadores y otras figuras de autoridad. A medida que los niños crecen se vuelve común también la violencia de los compañeros    y la pareja: intimidación, peleas, violencia y agresiones sexuales, a menudo con armas de fuego o blancas. </w:t>
      </w:r>
      <w:r w:rsidR="00F67CAC" w:rsidRPr="009E68BB">
        <w:rPr>
          <w:rFonts w:ascii="Century Gothic" w:hAnsi="Century Gothic" w:cs="Arial"/>
          <w:i/>
          <w:vertAlign w:val="superscript"/>
        </w:rPr>
        <w:t>5</w:t>
      </w:r>
    </w:p>
    <w:p w14:paraId="513F0F3A" w14:textId="77777777" w:rsidR="00F67CAC" w:rsidRPr="009E68BB" w:rsidRDefault="00F67CAC" w:rsidP="00C75721">
      <w:pPr>
        <w:pStyle w:val="NormalWeb"/>
        <w:shd w:val="clear" w:color="auto" w:fill="FFFFFF"/>
        <w:spacing w:line="360" w:lineRule="auto"/>
        <w:ind w:left="850" w:right="1468"/>
        <w:jc w:val="both"/>
        <w:rPr>
          <w:rFonts w:ascii="Century Gothic" w:hAnsi="Century Gothic" w:cs="Arial"/>
          <w:i/>
        </w:rPr>
      </w:pPr>
      <w:r w:rsidRPr="009E68BB">
        <w:rPr>
          <w:rFonts w:ascii="Century Gothic" w:hAnsi="Century Gothic" w:cs="Arial"/>
          <w:i/>
        </w:rPr>
        <w:t xml:space="preserve">La información oficial para 15 países de América Latina y el Caribe muestra que al menos 3.287 mujeres han sido víctimas de feminicidio o femicidio en 2018. Si a estos se suman los datos de los        9 países de la región que solo registran los feminicidios cometidos a manos de la pareja o ex pareja de la víctima se pueden afirmar que el número de feminicidios para el año 2018 ha sido a lo menos de 3.527 mujeres. </w:t>
      </w:r>
      <w:r w:rsidRPr="009E68BB">
        <w:rPr>
          <w:rFonts w:ascii="Century Gothic" w:hAnsi="Century Gothic" w:cs="Arial"/>
          <w:i/>
          <w:vertAlign w:val="superscript"/>
        </w:rPr>
        <w:t>6</w:t>
      </w:r>
    </w:p>
    <w:p w14:paraId="7B381296" w14:textId="77777777" w:rsidR="00057E56" w:rsidRPr="007039A4" w:rsidRDefault="00F67CAC" w:rsidP="007039A4">
      <w:pPr>
        <w:pStyle w:val="NormalWeb"/>
        <w:shd w:val="clear" w:color="auto" w:fill="FFFFFF"/>
        <w:spacing w:line="360" w:lineRule="auto"/>
        <w:ind w:left="850" w:right="1468"/>
        <w:jc w:val="both"/>
        <w:rPr>
          <w:rFonts w:ascii="Century Gothic" w:hAnsi="Century Gothic" w:cs="Arial"/>
          <w:i/>
          <w:shd w:val="clear" w:color="auto" w:fill="FFFFFF"/>
        </w:rPr>
      </w:pPr>
      <w:r w:rsidRPr="009E68BB">
        <w:rPr>
          <w:rStyle w:val="Textoennegrita"/>
          <w:rFonts w:ascii="Century Gothic" w:hAnsi="Century Gothic" w:cs="Arial"/>
          <w:b w:val="0"/>
          <w:bCs w:val="0"/>
          <w:i/>
          <w:shd w:val="clear" w:color="auto" w:fill="FFFFFF"/>
        </w:rPr>
        <w:t xml:space="preserve">América Latina, el Caribe y España (19 países): Feminicidio o </w:t>
      </w:r>
      <w:r w:rsidR="00057E56" w:rsidRPr="009E68BB">
        <w:rPr>
          <w:rStyle w:val="Textoennegrita"/>
          <w:rFonts w:ascii="Century Gothic" w:hAnsi="Century Gothic" w:cs="Arial"/>
          <w:b w:val="0"/>
          <w:bCs w:val="0"/>
          <w:i/>
          <w:shd w:val="clear" w:color="auto" w:fill="FFFFFF"/>
        </w:rPr>
        <w:t>femicidio, último año disponible (En números absolutos y tasas por cada 100.000 mujeres)</w:t>
      </w:r>
      <w:r w:rsidR="00057E56">
        <w:rPr>
          <w:rStyle w:val="Textoennegrita"/>
          <w:rFonts w:ascii="Century Gothic" w:hAnsi="Century Gothic" w:cs="Arial"/>
          <w:b w:val="0"/>
          <w:bCs w:val="0"/>
          <w:i/>
          <w:shd w:val="clear" w:color="auto" w:fill="FFFFFF"/>
        </w:rPr>
        <w:t>.</w:t>
      </w:r>
    </w:p>
    <w:p w14:paraId="312E01A0" w14:textId="77777777" w:rsidR="00F67CAC" w:rsidRPr="009E68BB" w:rsidRDefault="00F67CAC" w:rsidP="00C75721">
      <w:pPr>
        <w:pStyle w:val="NormalWeb"/>
        <w:shd w:val="clear" w:color="auto" w:fill="FFFFFF"/>
        <w:spacing w:line="360" w:lineRule="auto"/>
        <w:ind w:left="850" w:right="1468"/>
        <w:jc w:val="both"/>
        <w:textAlignment w:val="baseline"/>
        <w:rPr>
          <w:rFonts w:ascii="Century Gothic" w:hAnsi="Century Gothic" w:cs="Arial"/>
          <w:bCs/>
          <w:i/>
        </w:rPr>
      </w:pPr>
      <w:r w:rsidRPr="009E68BB">
        <w:rPr>
          <w:rFonts w:ascii="Century Gothic" w:hAnsi="Century Gothic" w:cs="Arial"/>
          <w:bCs/>
          <w:i/>
        </w:rPr>
        <w:t>VIOLENCIA FEMINICIDA CONTRA NIÑAS Y ADOLESCENTES.</w:t>
      </w:r>
    </w:p>
    <w:p w14:paraId="4D0117CA" w14:textId="77777777" w:rsidR="00F67CAC" w:rsidRPr="009E68BB" w:rsidRDefault="00F67CAC" w:rsidP="00C75721">
      <w:pPr>
        <w:pStyle w:val="NormalWeb"/>
        <w:shd w:val="clear" w:color="auto" w:fill="FFFFFF"/>
        <w:spacing w:line="360" w:lineRule="auto"/>
        <w:ind w:left="850" w:right="1468"/>
        <w:jc w:val="both"/>
        <w:textAlignment w:val="baseline"/>
        <w:rPr>
          <w:rFonts w:ascii="Century Gothic" w:hAnsi="Century Gothic" w:cs="Arial"/>
          <w:i/>
        </w:rPr>
      </w:pPr>
      <w:r w:rsidRPr="009E68BB">
        <w:rPr>
          <w:rFonts w:ascii="Century Gothic" w:hAnsi="Century Gothic" w:cs="Arial"/>
          <w:i/>
        </w:rPr>
        <w:t>La Comisión Nacional de los Derechos Humanos observa con preocupación los altos índices de feminicidios y violencia feminicida de las que son víctimas, directas e indirectas, niñas y adolescentes menores de 18 años.</w:t>
      </w:r>
    </w:p>
    <w:p w14:paraId="3DFA70DB" w14:textId="77777777" w:rsidR="00F67CAC" w:rsidRPr="009E68BB" w:rsidRDefault="00F67CAC" w:rsidP="00C75721">
      <w:pPr>
        <w:pStyle w:val="NormalWeb"/>
        <w:shd w:val="clear" w:color="auto" w:fill="FFFFFF"/>
        <w:spacing w:line="360" w:lineRule="auto"/>
        <w:ind w:left="850" w:right="1468"/>
        <w:jc w:val="both"/>
        <w:textAlignment w:val="baseline"/>
        <w:rPr>
          <w:rFonts w:ascii="Century Gothic" w:hAnsi="Century Gothic" w:cs="Arial"/>
          <w:i/>
        </w:rPr>
      </w:pPr>
      <w:r w:rsidRPr="009E68BB">
        <w:rPr>
          <w:rFonts w:ascii="Century Gothic" w:hAnsi="Century Gothic" w:cs="Arial"/>
          <w:i/>
        </w:rPr>
        <w:lastRenderedPageBreak/>
        <w:t xml:space="preserve">Con relación a los asesinatos de niñas y adolescentes, el Diagnóstico de Acceso a la Justicia y Violencia Feminicida elaborado por esta Comisión Nacional señala, a partir de la información provista por las instituciones de procuración de justicia, el 11.53% fueron niñas y adolescentes (menores de 18 años). Es decir, de 10 homicidios dolosos, por lo menos en un caso, se trataba de una niña o adolescente. </w:t>
      </w:r>
      <w:r w:rsidRPr="009E68BB">
        <w:rPr>
          <w:rFonts w:ascii="Century Gothic" w:hAnsi="Century Gothic" w:cs="Arial"/>
          <w:i/>
          <w:vertAlign w:val="superscript"/>
        </w:rPr>
        <w:t>7</w:t>
      </w:r>
    </w:p>
    <w:p w14:paraId="4BC85E8B" w14:textId="77777777" w:rsidR="00057E56" w:rsidRPr="009E68BB" w:rsidRDefault="00F67CAC" w:rsidP="00057E56">
      <w:pPr>
        <w:pStyle w:val="NormalWeb"/>
        <w:shd w:val="clear" w:color="auto" w:fill="FFFFFF"/>
        <w:spacing w:before="0" w:beforeAutospacing="0" w:after="0" w:afterAutospacing="0" w:line="360" w:lineRule="auto"/>
        <w:ind w:left="850" w:right="1468"/>
        <w:jc w:val="both"/>
        <w:textAlignment w:val="baseline"/>
        <w:rPr>
          <w:rFonts w:ascii="Century Gothic" w:hAnsi="Century Gothic" w:cs="Arial"/>
          <w:i/>
          <w:shd w:val="clear" w:color="auto" w:fill="FFFFFF"/>
          <w:vertAlign w:val="superscript"/>
        </w:rPr>
      </w:pPr>
      <w:r w:rsidRPr="009E68BB">
        <w:rPr>
          <w:rFonts w:ascii="Century Gothic" w:hAnsi="Century Gothic" w:cs="Arial"/>
          <w:i/>
        </w:rPr>
        <w:t xml:space="preserve">Es prioritario que el Estado Mexicano ponga en marcha acciones para hacer frente a la situación de trata y desapariciones de niñas y adolescentes. Al respecto, la Red por los Derechos de la Infancia  en México (REDIM), ha señalado la gravedad de la situación, indicando que de acuerdo </w:t>
      </w:r>
      <w:r w:rsidR="00057E56">
        <w:rPr>
          <w:rFonts w:ascii="Century Gothic" w:hAnsi="Century Gothic" w:cs="Arial"/>
          <w:i/>
        </w:rPr>
        <w:t xml:space="preserve"> </w:t>
      </w:r>
      <w:r w:rsidRPr="009E68BB">
        <w:rPr>
          <w:rFonts w:ascii="Century Gothic" w:hAnsi="Century Gothic" w:cs="Arial"/>
          <w:i/>
        </w:rPr>
        <w:t>con</w:t>
      </w:r>
      <w:r w:rsidR="00057E56">
        <w:rPr>
          <w:rFonts w:ascii="Century Gothic" w:hAnsi="Century Gothic" w:cs="Arial"/>
          <w:i/>
        </w:rPr>
        <w:t xml:space="preserve">  </w:t>
      </w:r>
      <w:r w:rsidRPr="009E68BB">
        <w:rPr>
          <w:rFonts w:ascii="Century Gothic" w:hAnsi="Century Gothic" w:cs="Arial"/>
          <w:i/>
        </w:rPr>
        <w:t xml:space="preserve"> información del Secretariado Ejecutivo del</w:t>
      </w:r>
      <w:r w:rsidR="00057E56">
        <w:rPr>
          <w:rFonts w:ascii="Century Gothic" w:hAnsi="Century Gothic" w:cs="Arial"/>
          <w:i/>
        </w:rPr>
        <w:t xml:space="preserve">   </w:t>
      </w:r>
      <w:r w:rsidRPr="009E68BB">
        <w:rPr>
          <w:rFonts w:ascii="Century Gothic" w:hAnsi="Century Gothic" w:cs="Arial"/>
          <w:i/>
        </w:rPr>
        <w:t xml:space="preserve"> </w:t>
      </w:r>
      <w:r w:rsidR="00057E56" w:rsidRPr="009E68BB">
        <w:rPr>
          <w:rFonts w:ascii="Century Gothic" w:hAnsi="Century Gothic" w:cs="Arial"/>
          <w:i/>
          <w:vertAlign w:val="superscript"/>
        </w:rPr>
        <w:t xml:space="preserve">7 </w:t>
      </w:r>
      <w:r w:rsidR="00057E56" w:rsidRPr="009E68BB">
        <w:rPr>
          <w:rFonts w:ascii="Century Gothic" w:hAnsi="Century Gothic" w:cs="Arial"/>
          <w:i/>
          <w:shd w:val="clear" w:color="auto" w:fill="FFFFFF"/>
          <w:vertAlign w:val="superscript"/>
        </w:rPr>
        <w:t>INEGI, Resultados de la Encuesta Nacional sobre la Dinámica de las Relaciones en los Hogares (ENDIREH) 2016, Boletín de prensa Núm. 379/17, México, 2017, P. 1</w:t>
      </w:r>
    </w:p>
    <w:p w14:paraId="60DFE44B" w14:textId="77777777" w:rsidR="00057E56" w:rsidRDefault="00057E56" w:rsidP="00C75721">
      <w:pPr>
        <w:pStyle w:val="NormalWeb"/>
        <w:shd w:val="clear" w:color="auto" w:fill="FFFFFF"/>
        <w:spacing w:line="360" w:lineRule="auto"/>
        <w:ind w:left="850" w:right="1468"/>
        <w:jc w:val="both"/>
        <w:textAlignment w:val="baseline"/>
        <w:rPr>
          <w:rFonts w:ascii="Century Gothic" w:hAnsi="Century Gothic" w:cs="Arial"/>
          <w:i/>
        </w:rPr>
      </w:pPr>
    </w:p>
    <w:p w14:paraId="0845FD5F" w14:textId="77777777" w:rsidR="00F67CAC" w:rsidRPr="009E68BB" w:rsidRDefault="00F67CAC" w:rsidP="00C75721">
      <w:pPr>
        <w:pStyle w:val="NormalWeb"/>
        <w:shd w:val="clear" w:color="auto" w:fill="FFFFFF"/>
        <w:spacing w:line="360" w:lineRule="auto"/>
        <w:ind w:left="850" w:right="1468"/>
        <w:jc w:val="both"/>
        <w:textAlignment w:val="baseline"/>
        <w:rPr>
          <w:rFonts w:ascii="Century Gothic" w:hAnsi="Century Gothic" w:cs="Arial"/>
          <w:i/>
        </w:rPr>
      </w:pPr>
      <w:r w:rsidRPr="009E68BB">
        <w:rPr>
          <w:rFonts w:ascii="Century Gothic" w:hAnsi="Century Gothic" w:cs="Arial"/>
          <w:i/>
        </w:rPr>
        <w:t xml:space="preserve">Sistema Nacional de Seguridad Pública, de enero a junio del presente año, se registran a nivel nacional 3,320 víctimas de trata, de las cuales, 805, es decir, una cuarta parte, corresponde a niñas, niños y adolescentes, de los cuales, en 7 de cada 10 casos,  la víctima es una niña o mujer adolescente. </w:t>
      </w:r>
      <w:r w:rsidRPr="009E68BB">
        <w:rPr>
          <w:rFonts w:ascii="Century Gothic" w:hAnsi="Century Gothic" w:cs="Arial"/>
          <w:i/>
          <w:vertAlign w:val="superscript"/>
        </w:rPr>
        <w:t>8</w:t>
      </w:r>
    </w:p>
    <w:p w14:paraId="0015DD1D" w14:textId="77777777" w:rsidR="00F67CAC" w:rsidRPr="005F2C3A" w:rsidRDefault="00F67CAC" w:rsidP="005F2C3A">
      <w:pPr>
        <w:pStyle w:val="NormalWeb"/>
        <w:shd w:val="clear" w:color="auto" w:fill="FFFFFF"/>
        <w:spacing w:before="0" w:beforeAutospacing="0" w:after="0" w:afterAutospacing="0" w:line="360" w:lineRule="auto"/>
        <w:ind w:left="850" w:right="1468"/>
        <w:jc w:val="both"/>
        <w:textAlignment w:val="baseline"/>
        <w:rPr>
          <w:rFonts w:ascii="Century Gothic" w:hAnsi="Century Gothic" w:cs="Arial"/>
          <w:i/>
          <w:vertAlign w:val="superscript"/>
        </w:rPr>
      </w:pPr>
      <w:r w:rsidRPr="009E68BB">
        <w:rPr>
          <w:rFonts w:ascii="Century Gothic" w:hAnsi="Century Gothic" w:cs="Arial"/>
          <w:i/>
        </w:rPr>
        <w:lastRenderedPageBreak/>
        <w:t>En cuanto a la violencia sexual,</w:t>
      </w:r>
      <w:r w:rsidR="00C75721">
        <w:rPr>
          <w:rFonts w:ascii="Century Gothic" w:hAnsi="Century Gothic" w:cs="Arial"/>
          <w:i/>
        </w:rPr>
        <w:t xml:space="preserve"> </w:t>
      </w:r>
      <w:r w:rsidRPr="009E68BB">
        <w:rPr>
          <w:rFonts w:ascii="Century Gothic" w:hAnsi="Century Gothic" w:cs="Arial"/>
          <w:i/>
        </w:rPr>
        <w:t xml:space="preserve"> las niñas</w:t>
      </w:r>
      <w:r w:rsidR="00C75721">
        <w:rPr>
          <w:rFonts w:ascii="Century Gothic" w:hAnsi="Century Gothic" w:cs="Arial"/>
          <w:i/>
        </w:rPr>
        <w:t xml:space="preserve"> </w:t>
      </w:r>
      <w:r w:rsidRPr="009E68BB">
        <w:rPr>
          <w:rFonts w:ascii="Century Gothic" w:hAnsi="Century Gothic" w:cs="Arial"/>
          <w:i/>
        </w:rPr>
        <w:t xml:space="preserve"> y </w:t>
      </w:r>
      <w:r w:rsidR="00C75721">
        <w:rPr>
          <w:rFonts w:ascii="Century Gothic" w:hAnsi="Century Gothic" w:cs="Arial"/>
          <w:i/>
        </w:rPr>
        <w:t xml:space="preserve"> </w:t>
      </w:r>
      <w:r w:rsidRPr="009E68BB">
        <w:rPr>
          <w:rFonts w:ascii="Century Gothic" w:hAnsi="Century Gothic" w:cs="Arial"/>
          <w:i/>
        </w:rPr>
        <w:t>jóvenes</w:t>
      </w:r>
      <w:r w:rsidR="00C75721">
        <w:rPr>
          <w:rFonts w:ascii="Century Gothic" w:hAnsi="Century Gothic" w:cs="Arial"/>
          <w:i/>
        </w:rPr>
        <w:t xml:space="preserve"> </w:t>
      </w:r>
      <w:r w:rsidRPr="009E68BB">
        <w:rPr>
          <w:rFonts w:ascii="Century Gothic" w:hAnsi="Century Gothic" w:cs="Arial"/>
          <w:i/>
        </w:rPr>
        <w:t xml:space="preserve">víctimas de violaciones, deben tener acceso inmediato a la anticoncepción de emergencia y al aborto legal, como lo marca la NOM 046, sin embargo este servicio no siempre se les ofrece o proporciona, generando así una re victimización para las niñas y mujeres y violentando sus derechos a la seguridad jurídica, a la salud, a la procuración de justicia y a la protección del interés superior de la infancia, tal como lo ha señalado       la Comisión Nacional de los Derechos Humanos en la Recomendación 49/2018. </w:t>
      </w:r>
      <w:r w:rsidRPr="009E68BB">
        <w:rPr>
          <w:rFonts w:ascii="Century Gothic" w:hAnsi="Century Gothic" w:cs="Arial"/>
          <w:i/>
          <w:vertAlign w:val="superscript"/>
        </w:rPr>
        <w:t>9</w:t>
      </w:r>
      <w:r w:rsidR="009E68BB">
        <w:rPr>
          <w:rFonts w:ascii="Century Gothic" w:hAnsi="Century Gothic"/>
          <w:i/>
        </w:rPr>
        <w:t>”</w:t>
      </w:r>
      <w:r w:rsidRPr="009E68BB">
        <w:rPr>
          <w:rFonts w:ascii="Century Gothic" w:hAnsi="Century Gothic"/>
          <w:i/>
        </w:rPr>
        <w:t xml:space="preserve">. </w:t>
      </w:r>
    </w:p>
    <w:p w14:paraId="61D04C78" w14:textId="77777777" w:rsidR="002D3A8D" w:rsidRDefault="002D3A8D" w:rsidP="002E2CD6">
      <w:pPr>
        <w:autoSpaceDE w:val="0"/>
        <w:autoSpaceDN w:val="0"/>
        <w:adjustRightInd w:val="0"/>
        <w:spacing w:line="360" w:lineRule="auto"/>
        <w:ind w:right="332"/>
        <w:jc w:val="both"/>
        <w:rPr>
          <w:rFonts w:ascii="Century Gothic" w:hAnsi="Century Gothic" w:cs="Arial"/>
          <w:i/>
        </w:rPr>
      </w:pPr>
    </w:p>
    <w:p w14:paraId="0F127482" w14:textId="77777777" w:rsidR="00315537" w:rsidRDefault="00315537" w:rsidP="002E2CD6">
      <w:pPr>
        <w:pStyle w:val="Textoindependiente"/>
        <w:spacing w:line="360" w:lineRule="auto"/>
        <w:ind w:right="332"/>
        <w:rPr>
          <w:rFonts w:ascii="Century Gothic" w:eastAsia="Arial" w:hAnsi="Century Gothic" w:cs="Arial"/>
          <w:lang w:val="es-MX"/>
        </w:rPr>
      </w:pPr>
      <w:r w:rsidRPr="00A335F4">
        <w:rPr>
          <w:rFonts w:ascii="Century Gothic" w:eastAsia="Arial" w:hAnsi="Century Gothic" w:cs="Arial"/>
          <w:lang w:val="es-MX"/>
        </w:rPr>
        <w:t>Ahora bien, al entrar al estudi</w:t>
      </w:r>
      <w:r w:rsidR="00DC1F31">
        <w:rPr>
          <w:rFonts w:ascii="Century Gothic" w:eastAsia="Arial" w:hAnsi="Century Gothic" w:cs="Arial"/>
          <w:lang w:val="es-MX"/>
        </w:rPr>
        <w:t>o y análisis de la I</w:t>
      </w:r>
      <w:r>
        <w:rPr>
          <w:rFonts w:ascii="Century Gothic" w:eastAsia="Arial" w:hAnsi="Century Gothic" w:cs="Arial"/>
          <w:lang w:val="es-MX"/>
        </w:rPr>
        <w:t>niciativa en comento</w:t>
      </w:r>
      <w:r w:rsidRPr="00A335F4">
        <w:rPr>
          <w:rFonts w:ascii="Century Gothic" w:eastAsia="Arial" w:hAnsi="Century Gothic" w:cs="Arial"/>
          <w:lang w:val="es-MX"/>
        </w:rPr>
        <w:t>, quienes integramos la Comisión citada en el proemio del presente Dictamen, formulamos las siguientes</w:t>
      </w:r>
      <w:r>
        <w:rPr>
          <w:rFonts w:ascii="Century Gothic" w:eastAsia="Arial" w:hAnsi="Century Gothic" w:cs="Arial"/>
          <w:lang w:val="es-MX"/>
        </w:rPr>
        <w:t>:</w:t>
      </w:r>
    </w:p>
    <w:p w14:paraId="520C6954" w14:textId="77777777" w:rsidR="00315537" w:rsidRDefault="00315537" w:rsidP="002E2CD6">
      <w:pPr>
        <w:pStyle w:val="Textoindependiente"/>
        <w:spacing w:line="360" w:lineRule="auto"/>
        <w:ind w:right="332"/>
        <w:rPr>
          <w:rFonts w:ascii="Century Gothic" w:hAnsi="Century Gothic" w:cs="Arial"/>
        </w:rPr>
      </w:pPr>
    </w:p>
    <w:p w14:paraId="4131AE02" w14:textId="77777777" w:rsidR="005A0C94" w:rsidRDefault="005A0C94" w:rsidP="002E2CD6">
      <w:pPr>
        <w:pStyle w:val="Textoindependiente"/>
        <w:spacing w:line="360" w:lineRule="auto"/>
        <w:ind w:right="332"/>
        <w:rPr>
          <w:rFonts w:ascii="Century Gothic" w:hAnsi="Century Gothic" w:cs="Arial"/>
        </w:rPr>
      </w:pPr>
    </w:p>
    <w:p w14:paraId="29ED4B2F" w14:textId="77777777" w:rsidR="00315537" w:rsidRDefault="00315537" w:rsidP="002E2CD6">
      <w:pPr>
        <w:pStyle w:val="Textoindependiente"/>
        <w:spacing w:line="360" w:lineRule="auto"/>
        <w:ind w:right="332"/>
        <w:jc w:val="center"/>
        <w:rPr>
          <w:rFonts w:ascii="Century Gothic" w:hAnsi="Century Gothic" w:cs="Arial"/>
          <w:b/>
          <w:bCs/>
        </w:rPr>
      </w:pPr>
      <w:r>
        <w:rPr>
          <w:rFonts w:ascii="Century Gothic" w:hAnsi="Century Gothic" w:cs="Arial"/>
          <w:b/>
          <w:bCs/>
        </w:rPr>
        <w:t>C</w:t>
      </w:r>
      <w:r w:rsidRPr="009568FB">
        <w:rPr>
          <w:rFonts w:ascii="Century Gothic" w:hAnsi="Century Gothic" w:cs="Arial"/>
          <w:b/>
          <w:bCs/>
        </w:rPr>
        <w:t xml:space="preserve"> O N S I D E R A C I O N E S</w:t>
      </w:r>
    </w:p>
    <w:p w14:paraId="0F6A165B" w14:textId="77777777" w:rsidR="00315537" w:rsidRDefault="00315537" w:rsidP="002E2CD6">
      <w:pPr>
        <w:spacing w:line="360" w:lineRule="auto"/>
        <w:ind w:right="332"/>
        <w:jc w:val="both"/>
        <w:rPr>
          <w:rFonts w:ascii="Century Gothic" w:hAnsi="Century Gothic" w:cs="Arial"/>
          <w:b/>
          <w:bCs/>
        </w:rPr>
      </w:pPr>
    </w:p>
    <w:p w14:paraId="73E85116" w14:textId="77777777" w:rsidR="005A0C94" w:rsidRPr="009568FB" w:rsidRDefault="005A0C94" w:rsidP="002E2CD6">
      <w:pPr>
        <w:spacing w:line="360" w:lineRule="auto"/>
        <w:ind w:right="332"/>
        <w:jc w:val="both"/>
        <w:rPr>
          <w:rFonts w:ascii="Century Gothic" w:hAnsi="Century Gothic" w:cs="Arial"/>
          <w:b/>
          <w:bCs/>
        </w:rPr>
      </w:pPr>
    </w:p>
    <w:p w14:paraId="327BA364" w14:textId="77777777" w:rsidR="00315537" w:rsidRDefault="00315537" w:rsidP="00454C5C">
      <w:pPr>
        <w:spacing w:line="360" w:lineRule="auto"/>
        <w:ind w:right="48"/>
        <w:jc w:val="both"/>
        <w:rPr>
          <w:rFonts w:ascii="Century Gothic" w:hAnsi="Century Gothic" w:cs="Arial"/>
        </w:rPr>
      </w:pPr>
      <w:r w:rsidRPr="009568FB">
        <w:rPr>
          <w:rFonts w:ascii="Century Gothic" w:hAnsi="Century Gothic" w:cs="Arial"/>
          <w:b/>
          <w:bCs/>
        </w:rPr>
        <w:t>I.-</w:t>
      </w:r>
      <w:r w:rsidRPr="009568FB">
        <w:rPr>
          <w:rFonts w:ascii="Century Gothic" w:hAnsi="Century Gothic" w:cs="Arial"/>
        </w:rPr>
        <w:t xml:space="preserve"> </w:t>
      </w:r>
      <w:r>
        <w:rPr>
          <w:rFonts w:ascii="Century Gothic" w:hAnsi="Century Gothic" w:cs="Arial"/>
        </w:rPr>
        <w:t xml:space="preserve">El H. Congreso del Estado, a través de esta Comisión, es competente para conocer y resolver sobre la iniciativa en mención. </w:t>
      </w:r>
    </w:p>
    <w:p w14:paraId="4C380A78" w14:textId="77777777" w:rsidR="00315537" w:rsidRDefault="00315537" w:rsidP="00454C5C">
      <w:pPr>
        <w:autoSpaceDE w:val="0"/>
        <w:autoSpaceDN w:val="0"/>
        <w:adjustRightInd w:val="0"/>
        <w:spacing w:line="360" w:lineRule="auto"/>
        <w:ind w:right="48"/>
        <w:jc w:val="both"/>
        <w:rPr>
          <w:rFonts w:ascii="Century Gothic" w:hAnsi="Century Gothic" w:cs="Arial"/>
          <w:b/>
        </w:rPr>
      </w:pPr>
    </w:p>
    <w:p w14:paraId="1CF680F3" w14:textId="77777777" w:rsidR="005F2C3A" w:rsidRPr="005F2C3A" w:rsidRDefault="00315537" w:rsidP="00454C5C">
      <w:pPr>
        <w:pStyle w:val="Textoindependiente"/>
        <w:spacing w:line="360" w:lineRule="auto"/>
        <w:ind w:right="48"/>
        <w:rPr>
          <w:rFonts w:ascii="Century Gothic" w:hAnsi="Century Gothic" w:cs="Arial"/>
          <w:lang w:val="es-MX"/>
        </w:rPr>
      </w:pPr>
      <w:r>
        <w:rPr>
          <w:rFonts w:ascii="Century Gothic" w:hAnsi="Century Gothic" w:cs="Arial"/>
          <w:b/>
        </w:rPr>
        <w:t>II</w:t>
      </w:r>
      <w:r w:rsidR="002D3A8D">
        <w:rPr>
          <w:rFonts w:ascii="Century Gothic" w:hAnsi="Century Gothic" w:cs="Arial"/>
          <w:b/>
        </w:rPr>
        <w:t xml:space="preserve">.- </w:t>
      </w:r>
      <w:r w:rsidR="005F2C3A">
        <w:rPr>
          <w:rFonts w:ascii="Century Gothic" w:hAnsi="Century Gothic" w:cs="Arial"/>
        </w:rPr>
        <w:t xml:space="preserve">La iniciativa plantea </w:t>
      </w:r>
      <w:r w:rsidR="005F2C3A" w:rsidRPr="005F2C3A">
        <w:rPr>
          <w:rFonts w:ascii="Century Gothic" w:hAnsi="Century Gothic" w:cs="Arial"/>
          <w:lang w:val="es-MX"/>
        </w:rPr>
        <w:t xml:space="preserve">que en el país existen miles de asesinatos de mujeres, y muchas de ellas eran madres, por ende, sus hijos o hijas quedan huérfanas. </w:t>
      </w:r>
    </w:p>
    <w:p w14:paraId="37BDBE93" w14:textId="77777777" w:rsidR="00454C5C" w:rsidRDefault="00454C5C" w:rsidP="00454C5C">
      <w:pPr>
        <w:pStyle w:val="Textoindependiente"/>
        <w:spacing w:line="360" w:lineRule="auto"/>
        <w:ind w:right="48"/>
        <w:rPr>
          <w:rFonts w:ascii="Century Gothic" w:hAnsi="Century Gothic" w:cs="Arial"/>
          <w:lang w:val="es-MX"/>
        </w:rPr>
      </w:pPr>
    </w:p>
    <w:p w14:paraId="0544CE25" w14:textId="77777777" w:rsidR="005F2C3A" w:rsidRPr="005F2C3A" w:rsidRDefault="005F2C3A" w:rsidP="00454C5C">
      <w:pPr>
        <w:pStyle w:val="Textoindependiente"/>
        <w:spacing w:line="360" w:lineRule="auto"/>
        <w:ind w:right="48"/>
        <w:rPr>
          <w:rFonts w:ascii="Century Gothic" w:hAnsi="Century Gothic" w:cs="Arial"/>
          <w:lang w:val="es-MX"/>
        </w:rPr>
      </w:pPr>
      <w:r w:rsidRPr="005F2C3A">
        <w:rPr>
          <w:rFonts w:ascii="Century Gothic" w:hAnsi="Century Gothic" w:cs="Arial"/>
          <w:lang w:val="es-MX"/>
        </w:rPr>
        <w:t>De lo anterior (menciona la iniciativa) no existen datos, por ende, no se pueden construir indicadores “</w:t>
      </w:r>
      <w:r w:rsidRPr="005F2C3A">
        <w:rPr>
          <w:rFonts w:ascii="Century Gothic" w:hAnsi="Century Gothic" w:cs="Arial"/>
          <w:i/>
          <w:lang w:val="es-MX"/>
        </w:rPr>
        <w:t>Objetivos de Desarrollo Sostenible referentes a violencia contra niñas, niños y adolescentes</w:t>
      </w:r>
      <w:r w:rsidRPr="005F2C3A">
        <w:rPr>
          <w:rFonts w:ascii="Century Gothic" w:hAnsi="Century Gothic" w:cs="Arial"/>
          <w:lang w:val="es-MX"/>
        </w:rPr>
        <w:t>.”</w:t>
      </w:r>
      <w:r w:rsidR="00454C5C">
        <w:rPr>
          <w:rFonts w:ascii="Century Gothic" w:hAnsi="Century Gothic" w:cs="Arial"/>
          <w:lang w:val="es-MX"/>
        </w:rPr>
        <w:t xml:space="preserve"> Por lo que propone </w:t>
      </w:r>
      <w:r w:rsidR="00454C5C" w:rsidRPr="00454C5C">
        <w:rPr>
          <w:rFonts w:ascii="Century Gothic" w:hAnsi="Century Gothic" w:cs="Arial"/>
          <w:lang w:val="es-MX"/>
        </w:rPr>
        <w:t>la</w:t>
      </w:r>
      <w:r w:rsidRPr="005F2C3A">
        <w:rPr>
          <w:rFonts w:ascii="Century Gothic" w:hAnsi="Century Gothic" w:cs="Arial"/>
          <w:lang w:val="es-MX"/>
        </w:rPr>
        <w:t xml:space="preserve"> creación de un Padrón de Víctimas Indirectas que dependa de la Comisión Ejecutiva de Atención a Víctimas del Estado.</w:t>
      </w:r>
    </w:p>
    <w:p w14:paraId="3BA51285" w14:textId="77777777" w:rsidR="005F2C3A" w:rsidRDefault="00454C5C" w:rsidP="00454C5C">
      <w:pPr>
        <w:pStyle w:val="Textoindependiente"/>
        <w:spacing w:line="360" w:lineRule="auto"/>
        <w:ind w:right="48"/>
        <w:rPr>
          <w:rFonts w:ascii="Century Gothic" w:hAnsi="Century Gothic" w:cs="Arial"/>
        </w:rPr>
      </w:pPr>
      <w:r>
        <w:rPr>
          <w:rFonts w:ascii="Century Gothic" w:hAnsi="Century Gothic" w:cs="Arial"/>
        </w:rPr>
        <w:t xml:space="preserve"> </w:t>
      </w:r>
    </w:p>
    <w:p w14:paraId="46C4512E" w14:textId="77777777" w:rsidR="00454C5C" w:rsidRPr="005F2C3A" w:rsidRDefault="00454C5C" w:rsidP="00454C5C">
      <w:pPr>
        <w:pStyle w:val="Textoindependiente"/>
        <w:spacing w:line="360" w:lineRule="auto"/>
        <w:ind w:right="48"/>
        <w:rPr>
          <w:rFonts w:ascii="Century Gothic" w:hAnsi="Century Gothic" w:cs="Arial"/>
        </w:rPr>
      </w:pPr>
      <w:r>
        <w:rPr>
          <w:rFonts w:ascii="Century Gothic" w:hAnsi="Century Gothic" w:cs="Arial"/>
        </w:rPr>
        <w:t xml:space="preserve">Y para ello expone un proyecto de Decreto que podremos </w:t>
      </w:r>
      <w:proofErr w:type="spellStart"/>
      <w:r>
        <w:rPr>
          <w:rFonts w:ascii="Century Gothic" w:hAnsi="Century Gothic" w:cs="Arial"/>
        </w:rPr>
        <w:t>vualizar</w:t>
      </w:r>
      <w:proofErr w:type="spellEnd"/>
      <w:r>
        <w:rPr>
          <w:rFonts w:ascii="Century Gothic" w:hAnsi="Century Gothic" w:cs="Arial"/>
        </w:rPr>
        <w:t xml:space="preserve"> en el siguiente cuadro comparativo</w:t>
      </w:r>
    </w:p>
    <w:p w14:paraId="746B3BE2" w14:textId="77777777" w:rsidR="005F2C3A" w:rsidRDefault="005F2C3A" w:rsidP="005F2C3A">
      <w:pPr>
        <w:pStyle w:val="Textoindependiente"/>
        <w:spacing w:line="360" w:lineRule="auto"/>
        <w:ind w:right="335"/>
        <w:rPr>
          <w:rFonts w:ascii="Century Gothic" w:hAnsi="Century Gothic"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454C5C" w:rsidRPr="00454C5C" w14:paraId="044A03C0" w14:textId="77777777" w:rsidTr="00454C5C">
        <w:tc>
          <w:tcPr>
            <w:tcW w:w="8978" w:type="dxa"/>
            <w:gridSpan w:val="2"/>
            <w:shd w:val="clear" w:color="auto" w:fill="BFBFBF"/>
          </w:tcPr>
          <w:p w14:paraId="50E535B3" w14:textId="77777777" w:rsidR="00454C5C" w:rsidRPr="00454C5C" w:rsidRDefault="00454C5C" w:rsidP="00454C5C">
            <w:pPr>
              <w:spacing w:after="160" w:line="360" w:lineRule="auto"/>
              <w:jc w:val="center"/>
              <w:rPr>
                <w:rFonts w:ascii="Century Gothic" w:eastAsia="Calibri" w:hAnsi="Century Gothic"/>
                <w:b/>
                <w:lang w:val="es-MX" w:eastAsia="en-US"/>
              </w:rPr>
            </w:pPr>
            <w:r w:rsidRPr="00454C5C">
              <w:rPr>
                <w:rFonts w:ascii="Century Gothic" w:eastAsia="Calibri" w:hAnsi="Century Gothic"/>
                <w:b/>
                <w:lang w:val="es-MX" w:eastAsia="en-US"/>
              </w:rPr>
              <w:t>Ley de Víctimas para el Estado de Chihuahua</w:t>
            </w:r>
          </w:p>
        </w:tc>
      </w:tr>
      <w:tr w:rsidR="00454C5C" w:rsidRPr="00454C5C" w14:paraId="6679CC24" w14:textId="77777777" w:rsidTr="00454C5C">
        <w:tc>
          <w:tcPr>
            <w:tcW w:w="4489" w:type="dxa"/>
            <w:shd w:val="clear" w:color="auto" w:fill="BFBFBF"/>
          </w:tcPr>
          <w:p w14:paraId="267E898F" w14:textId="77777777" w:rsidR="00454C5C" w:rsidRPr="00454C5C" w:rsidRDefault="00454C5C" w:rsidP="00454C5C">
            <w:pPr>
              <w:spacing w:after="160" w:line="360" w:lineRule="auto"/>
              <w:jc w:val="both"/>
              <w:rPr>
                <w:rFonts w:ascii="Century Gothic" w:eastAsia="Calibri" w:hAnsi="Century Gothic"/>
                <w:b/>
                <w:lang w:val="es-MX" w:eastAsia="en-US"/>
              </w:rPr>
            </w:pPr>
            <w:r w:rsidRPr="00454C5C">
              <w:rPr>
                <w:rFonts w:ascii="Century Gothic" w:eastAsia="Calibri" w:hAnsi="Century Gothic"/>
                <w:b/>
                <w:lang w:val="es-MX" w:eastAsia="en-US"/>
              </w:rPr>
              <w:t xml:space="preserve">Vigente </w:t>
            </w:r>
          </w:p>
        </w:tc>
        <w:tc>
          <w:tcPr>
            <w:tcW w:w="4489" w:type="dxa"/>
            <w:shd w:val="clear" w:color="auto" w:fill="BFBFBF"/>
          </w:tcPr>
          <w:p w14:paraId="5F6FFE40" w14:textId="77777777" w:rsidR="00454C5C" w:rsidRPr="00454C5C" w:rsidRDefault="00454C5C" w:rsidP="00454C5C">
            <w:pPr>
              <w:spacing w:after="160" w:line="360" w:lineRule="auto"/>
              <w:jc w:val="both"/>
              <w:rPr>
                <w:rFonts w:ascii="Century Gothic" w:eastAsia="Calibri" w:hAnsi="Century Gothic"/>
                <w:b/>
                <w:lang w:val="es-MX" w:eastAsia="en-US"/>
              </w:rPr>
            </w:pPr>
            <w:r w:rsidRPr="00454C5C">
              <w:rPr>
                <w:rFonts w:ascii="Century Gothic" w:eastAsia="Calibri" w:hAnsi="Century Gothic"/>
                <w:b/>
                <w:lang w:val="es-MX" w:eastAsia="en-US"/>
              </w:rPr>
              <w:t xml:space="preserve">Propuesta </w:t>
            </w:r>
          </w:p>
        </w:tc>
      </w:tr>
      <w:tr w:rsidR="00454C5C" w:rsidRPr="00454C5C" w14:paraId="371466D7" w14:textId="77777777" w:rsidTr="00DD4266">
        <w:tc>
          <w:tcPr>
            <w:tcW w:w="4489" w:type="dxa"/>
            <w:shd w:val="clear" w:color="auto" w:fill="auto"/>
          </w:tcPr>
          <w:p w14:paraId="69997AAF" w14:textId="77777777" w:rsidR="00454C5C" w:rsidRPr="00454C5C" w:rsidRDefault="00454C5C" w:rsidP="00454C5C">
            <w:pPr>
              <w:spacing w:after="160" w:line="360" w:lineRule="auto"/>
              <w:jc w:val="both"/>
              <w:rPr>
                <w:rFonts w:ascii="Century Gothic" w:eastAsia="Calibri" w:hAnsi="Century Gothic"/>
                <w:lang w:val="es-MX" w:eastAsia="en-US"/>
              </w:rPr>
            </w:pPr>
            <w:r w:rsidRPr="00454C5C">
              <w:rPr>
                <w:rFonts w:ascii="Century Gothic" w:eastAsia="Calibri" w:hAnsi="Century Gothic"/>
                <w:b/>
                <w:lang w:val="es-MX" w:eastAsia="en-US"/>
              </w:rPr>
              <w:t>Artículo 5.</w:t>
            </w:r>
            <w:r w:rsidRPr="00454C5C">
              <w:rPr>
                <w:rFonts w:ascii="Century Gothic" w:eastAsia="Calibri" w:hAnsi="Century Gothic"/>
                <w:lang w:val="es-MX" w:eastAsia="en-US"/>
              </w:rPr>
              <w:t xml:space="preserve"> </w:t>
            </w:r>
            <w:r w:rsidRPr="00454C5C">
              <w:rPr>
                <w:rFonts w:ascii="Century Gothic" w:eastAsia="Calibri" w:hAnsi="Century Gothic"/>
                <w:b/>
                <w:lang w:val="es-MX" w:eastAsia="en-US"/>
              </w:rPr>
              <w:t>Glosario.</w:t>
            </w:r>
          </w:p>
          <w:p w14:paraId="40048436" w14:textId="77777777" w:rsidR="00454C5C" w:rsidRPr="00454C5C" w:rsidRDefault="00454C5C" w:rsidP="00454C5C">
            <w:pPr>
              <w:spacing w:after="160" w:line="360" w:lineRule="auto"/>
              <w:jc w:val="both"/>
              <w:rPr>
                <w:rFonts w:ascii="Century Gothic" w:eastAsia="Calibri" w:hAnsi="Century Gothic"/>
                <w:lang w:val="es-MX" w:eastAsia="en-US"/>
              </w:rPr>
            </w:pPr>
            <w:r w:rsidRPr="00454C5C">
              <w:rPr>
                <w:rFonts w:ascii="Century Gothic" w:eastAsia="Calibri" w:hAnsi="Century Gothic"/>
                <w:lang w:val="es-MX" w:eastAsia="en-US"/>
              </w:rPr>
              <w:t>Para los efectos de esta Ley, se entenderá por:</w:t>
            </w:r>
          </w:p>
          <w:p w14:paraId="0850D008" w14:textId="77777777" w:rsidR="00454C5C" w:rsidRDefault="00454C5C" w:rsidP="00454C5C">
            <w:pPr>
              <w:spacing w:after="160" w:line="360" w:lineRule="auto"/>
              <w:jc w:val="both"/>
              <w:rPr>
                <w:rFonts w:ascii="Century Gothic" w:eastAsia="Calibri" w:hAnsi="Century Gothic"/>
                <w:lang w:val="es-MX" w:eastAsia="en-US"/>
              </w:rPr>
            </w:pPr>
            <w:r w:rsidRPr="00454C5C">
              <w:rPr>
                <w:rFonts w:ascii="Century Gothic" w:eastAsia="Calibri" w:hAnsi="Century Gothic"/>
                <w:lang w:val="es-MX" w:eastAsia="en-US"/>
              </w:rPr>
              <w:t>I a VIII. …</w:t>
            </w:r>
          </w:p>
          <w:p w14:paraId="1F49702A" w14:textId="77777777" w:rsidR="00454C5C" w:rsidRPr="00454C5C" w:rsidRDefault="00454C5C" w:rsidP="00454C5C">
            <w:pPr>
              <w:spacing w:after="160" w:line="360" w:lineRule="auto"/>
              <w:jc w:val="both"/>
              <w:rPr>
                <w:rFonts w:ascii="Century Gothic" w:eastAsia="Calibri" w:hAnsi="Century Gothic"/>
                <w:lang w:val="es-MX" w:eastAsia="en-US"/>
              </w:rPr>
            </w:pPr>
          </w:p>
          <w:p w14:paraId="5F60CA01" w14:textId="77777777" w:rsidR="00454C5C" w:rsidRPr="00454C5C" w:rsidRDefault="00454C5C" w:rsidP="00454C5C">
            <w:pPr>
              <w:spacing w:after="160" w:line="360" w:lineRule="auto"/>
              <w:jc w:val="both"/>
              <w:rPr>
                <w:rFonts w:ascii="Century Gothic" w:eastAsia="Calibri" w:hAnsi="Century Gothic"/>
                <w:lang w:val="es-MX" w:eastAsia="en-US"/>
              </w:rPr>
            </w:pPr>
            <w:r w:rsidRPr="00454C5C">
              <w:rPr>
                <w:rFonts w:ascii="Century Gothic" w:eastAsia="Calibri" w:hAnsi="Century Gothic"/>
                <w:lang w:val="es-MX" w:eastAsia="en-US"/>
              </w:rPr>
              <w:t>(no hay correlativo)</w:t>
            </w:r>
          </w:p>
        </w:tc>
        <w:tc>
          <w:tcPr>
            <w:tcW w:w="4489" w:type="dxa"/>
            <w:shd w:val="clear" w:color="auto" w:fill="auto"/>
          </w:tcPr>
          <w:p w14:paraId="1F3284E5" w14:textId="77777777" w:rsidR="00454C5C" w:rsidRPr="00454C5C" w:rsidRDefault="00454C5C" w:rsidP="00454C5C">
            <w:pPr>
              <w:spacing w:after="160" w:line="360" w:lineRule="auto"/>
              <w:jc w:val="both"/>
              <w:rPr>
                <w:rFonts w:ascii="Century Gothic" w:eastAsia="Calibri" w:hAnsi="Century Gothic"/>
                <w:lang w:val="es-MX" w:eastAsia="en-US" w:bidi="es-ES"/>
              </w:rPr>
            </w:pPr>
            <w:r w:rsidRPr="00454C5C">
              <w:rPr>
                <w:rFonts w:ascii="Century Gothic" w:eastAsia="Calibri" w:hAnsi="Century Gothic"/>
                <w:b/>
                <w:lang w:val="es-MX" w:eastAsia="en-US" w:bidi="es-ES"/>
              </w:rPr>
              <w:t xml:space="preserve">ART. 5.- </w:t>
            </w:r>
            <w:r w:rsidRPr="00454C5C">
              <w:rPr>
                <w:rFonts w:ascii="Century Gothic" w:eastAsia="Calibri" w:hAnsi="Century Gothic"/>
                <w:lang w:val="es-MX" w:eastAsia="en-US" w:bidi="es-ES"/>
              </w:rPr>
              <w:t xml:space="preserve">Glosario. </w:t>
            </w:r>
          </w:p>
          <w:p w14:paraId="70211AAF" w14:textId="77777777" w:rsidR="00454C5C" w:rsidRPr="00454C5C" w:rsidRDefault="00454C5C" w:rsidP="00454C5C">
            <w:pPr>
              <w:spacing w:after="160" w:line="360" w:lineRule="auto"/>
              <w:jc w:val="both"/>
              <w:rPr>
                <w:rFonts w:ascii="Century Gothic" w:eastAsia="Calibri" w:hAnsi="Century Gothic"/>
                <w:lang w:val="es-MX" w:eastAsia="en-US" w:bidi="es-ES"/>
              </w:rPr>
            </w:pPr>
            <w:r w:rsidRPr="00454C5C">
              <w:rPr>
                <w:rFonts w:ascii="Century Gothic" w:eastAsia="Calibri" w:hAnsi="Century Gothic"/>
                <w:lang w:val="es-MX" w:eastAsia="en-US" w:bidi="es-ES"/>
              </w:rPr>
              <w:t>Para los efectos de esta Ley, se entenderá por:</w:t>
            </w:r>
          </w:p>
          <w:p w14:paraId="41098F14" w14:textId="77777777" w:rsidR="00454C5C" w:rsidRPr="00454C5C" w:rsidRDefault="00454C5C" w:rsidP="00454C5C">
            <w:pPr>
              <w:spacing w:after="160" w:line="360" w:lineRule="auto"/>
              <w:jc w:val="both"/>
              <w:rPr>
                <w:rFonts w:ascii="Century Gothic" w:eastAsia="Calibri" w:hAnsi="Century Gothic"/>
                <w:lang w:val="es-MX" w:eastAsia="en-US" w:bidi="es-ES"/>
              </w:rPr>
            </w:pPr>
            <w:r w:rsidRPr="00454C5C">
              <w:rPr>
                <w:rFonts w:ascii="Century Gothic" w:eastAsia="Calibri" w:hAnsi="Century Gothic"/>
                <w:lang w:val="es-MX" w:eastAsia="en-US" w:bidi="es-ES"/>
              </w:rPr>
              <w:t>I a VIII. …</w:t>
            </w:r>
          </w:p>
          <w:p w14:paraId="26C2D480" w14:textId="77777777" w:rsidR="00454C5C" w:rsidRPr="00454C5C" w:rsidRDefault="00454C5C" w:rsidP="00454C5C">
            <w:pPr>
              <w:spacing w:after="160" w:line="360" w:lineRule="auto"/>
              <w:jc w:val="both"/>
              <w:rPr>
                <w:rFonts w:ascii="Century Gothic" w:eastAsia="Calibri" w:hAnsi="Century Gothic"/>
                <w:b/>
                <w:lang w:val="es-MX" w:eastAsia="en-US" w:bidi="es-ES"/>
              </w:rPr>
            </w:pPr>
          </w:p>
          <w:p w14:paraId="1B5EEB00" w14:textId="77777777" w:rsidR="00454C5C" w:rsidRPr="00454C5C" w:rsidRDefault="00454C5C" w:rsidP="00454C5C">
            <w:pPr>
              <w:spacing w:after="160" w:line="360" w:lineRule="auto"/>
              <w:jc w:val="both"/>
              <w:rPr>
                <w:rFonts w:ascii="Century Gothic" w:eastAsia="Calibri" w:hAnsi="Century Gothic"/>
                <w:i/>
                <w:lang w:val="es-MX" w:eastAsia="en-US" w:bidi="es-ES"/>
              </w:rPr>
            </w:pPr>
            <w:r w:rsidRPr="00454C5C">
              <w:rPr>
                <w:rFonts w:ascii="Century Gothic" w:eastAsia="Calibri" w:hAnsi="Century Gothic"/>
                <w:b/>
                <w:i/>
                <w:lang w:val="es-MX" w:eastAsia="en-US" w:bidi="es-ES"/>
              </w:rPr>
              <w:t xml:space="preserve">XXXIX. – Padrón de Víctimas Indirectas. – </w:t>
            </w:r>
            <w:r w:rsidRPr="00454C5C">
              <w:rPr>
                <w:rFonts w:ascii="Century Gothic" w:eastAsia="Calibri" w:hAnsi="Century Gothic"/>
                <w:bCs/>
                <w:i/>
                <w:lang w:val="es-MX" w:eastAsia="en-US" w:bidi="es-ES"/>
              </w:rPr>
              <w:t>Documento publico con las reservas de la Ley de Protección de Datos Personales del Estado de Chihuahua donde se</w:t>
            </w:r>
            <w:r w:rsidRPr="00454C5C">
              <w:rPr>
                <w:rFonts w:ascii="Century Gothic" w:eastAsia="Calibri" w:hAnsi="Century Gothic"/>
                <w:b/>
                <w:i/>
                <w:lang w:val="es-MX" w:eastAsia="en-US" w:bidi="es-ES"/>
              </w:rPr>
              <w:t xml:space="preserve"> </w:t>
            </w:r>
            <w:r w:rsidRPr="00454C5C">
              <w:rPr>
                <w:rFonts w:ascii="Century Gothic" w:eastAsia="Calibri" w:hAnsi="Century Gothic"/>
                <w:bCs/>
                <w:i/>
                <w:lang w:val="es-MX" w:eastAsia="en-US" w:bidi="es-ES"/>
              </w:rPr>
              <w:lastRenderedPageBreak/>
              <w:t>relacionen las víctimas indirectas de los feminicidios, así como sus necesidades</w:t>
            </w:r>
            <w:r w:rsidRPr="00454C5C">
              <w:rPr>
                <w:rFonts w:ascii="Century Gothic" w:eastAsia="Calibri" w:hAnsi="Century Gothic"/>
                <w:i/>
                <w:lang w:val="es-MX" w:eastAsia="en-US" w:bidi="es-ES"/>
              </w:rPr>
              <w:t xml:space="preserve"> y requerimientos para la restitución de derechos. </w:t>
            </w:r>
            <w:r w:rsidRPr="00454C5C">
              <w:rPr>
                <w:rFonts w:ascii="Century Gothic" w:eastAsia="Calibri" w:hAnsi="Century Gothic"/>
                <w:lang w:val="es-MX" w:eastAsia="en-US" w:bidi="es-ES"/>
              </w:rPr>
              <w:t>(sic)</w:t>
            </w:r>
          </w:p>
          <w:p w14:paraId="236A10D4" w14:textId="77777777" w:rsidR="00454C5C" w:rsidRPr="00454C5C" w:rsidRDefault="00454C5C" w:rsidP="00454C5C">
            <w:pPr>
              <w:spacing w:after="160" w:line="360" w:lineRule="auto"/>
              <w:jc w:val="both"/>
              <w:rPr>
                <w:rFonts w:ascii="Century Gothic" w:eastAsia="Calibri" w:hAnsi="Century Gothic"/>
                <w:i/>
                <w:lang w:val="es-MX" w:eastAsia="en-US"/>
              </w:rPr>
            </w:pPr>
          </w:p>
        </w:tc>
      </w:tr>
      <w:tr w:rsidR="00454C5C" w:rsidRPr="00454C5C" w14:paraId="2AEA308B" w14:textId="77777777" w:rsidTr="00DD4266">
        <w:tc>
          <w:tcPr>
            <w:tcW w:w="4489" w:type="dxa"/>
            <w:shd w:val="clear" w:color="auto" w:fill="auto"/>
          </w:tcPr>
          <w:p w14:paraId="24BA0712" w14:textId="77777777" w:rsidR="00454C5C" w:rsidRPr="00454C5C" w:rsidRDefault="00454C5C" w:rsidP="00454C5C">
            <w:pPr>
              <w:spacing w:after="160" w:line="360" w:lineRule="auto"/>
              <w:jc w:val="both"/>
              <w:rPr>
                <w:rFonts w:ascii="Century Gothic" w:eastAsia="Calibri" w:hAnsi="Century Gothic"/>
                <w:lang w:val="es-MX" w:eastAsia="en-US"/>
              </w:rPr>
            </w:pPr>
            <w:r w:rsidRPr="00454C5C">
              <w:rPr>
                <w:rFonts w:ascii="Century Gothic" w:eastAsia="Calibri" w:hAnsi="Century Gothic"/>
                <w:b/>
                <w:lang w:val="es-MX" w:eastAsia="en-US"/>
              </w:rPr>
              <w:lastRenderedPageBreak/>
              <w:t>Artículo 14.</w:t>
            </w:r>
            <w:r w:rsidRPr="00454C5C">
              <w:rPr>
                <w:rFonts w:ascii="Century Gothic" w:eastAsia="Calibri" w:hAnsi="Century Gothic"/>
                <w:lang w:val="es-MX" w:eastAsia="en-US"/>
              </w:rPr>
              <w:t xml:space="preserve"> </w:t>
            </w:r>
            <w:r w:rsidRPr="00454C5C">
              <w:rPr>
                <w:rFonts w:ascii="Century Gothic" w:eastAsia="Calibri" w:hAnsi="Century Gothic"/>
                <w:b/>
                <w:lang w:val="es-MX" w:eastAsia="en-US"/>
              </w:rPr>
              <w:t>Objeto.</w:t>
            </w:r>
          </w:p>
          <w:p w14:paraId="0FAE0386" w14:textId="77777777" w:rsidR="00454C5C" w:rsidRPr="00454C5C" w:rsidRDefault="00454C5C" w:rsidP="00454C5C">
            <w:pPr>
              <w:spacing w:after="160" w:line="360" w:lineRule="auto"/>
              <w:jc w:val="both"/>
              <w:rPr>
                <w:rFonts w:ascii="Century Gothic" w:eastAsia="Calibri" w:hAnsi="Century Gothic"/>
                <w:lang w:val="es-ES_tradnl" w:eastAsia="en-US"/>
              </w:rPr>
            </w:pPr>
            <w:r w:rsidRPr="00454C5C">
              <w:rPr>
                <w:rFonts w:ascii="Century Gothic" w:eastAsia="Calibri" w:hAnsi="Century Gothic"/>
                <w:lang w:val="es-ES_tradnl" w:eastAsia="en-US"/>
              </w:rPr>
              <w:t>La Comisión Ejecutiva tendrá por objeto, promover y proteger los derechos de las víctimas del delito y de violaciones a derechos humanos.</w:t>
            </w:r>
          </w:p>
          <w:p w14:paraId="21C9F82F" w14:textId="77777777" w:rsidR="00454C5C" w:rsidRPr="00454C5C" w:rsidRDefault="00454C5C" w:rsidP="00454C5C">
            <w:pPr>
              <w:spacing w:after="160" w:line="360" w:lineRule="auto"/>
              <w:jc w:val="both"/>
              <w:rPr>
                <w:rFonts w:ascii="Century Gothic" w:eastAsia="Calibri" w:hAnsi="Century Gothic"/>
                <w:lang w:val="es-ES_tradnl" w:eastAsia="en-US"/>
              </w:rPr>
            </w:pPr>
            <w:r w:rsidRPr="00454C5C">
              <w:rPr>
                <w:rFonts w:ascii="Century Gothic" w:eastAsia="Calibri" w:hAnsi="Century Gothic"/>
                <w:lang w:val="es-ES_tradnl" w:eastAsia="en-US"/>
              </w:rPr>
              <w:t xml:space="preserve">En la ejecución de las funciones, acciones, planes y programas previstos en la Ley General y en el presente ordenamiento, la Comisión Ejecutiva auxiliará la representación y participación directa de las víctimas y organizaciones de la sociedad civil. </w:t>
            </w:r>
          </w:p>
          <w:p w14:paraId="5C42E802" w14:textId="77777777" w:rsidR="00454C5C" w:rsidRPr="00454C5C" w:rsidRDefault="00454C5C" w:rsidP="00454C5C">
            <w:pPr>
              <w:spacing w:after="160" w:line="360" w:lineRule="auto"/>
              <w:jc w:val="both"/>
              <w:rPr>
                <w:rFonts w:ascii="Century Gothic" w:eastAsia="Calibri" w:hAnsi="Century Gothic"/>
                <w:lang w:val="es-ES_tradnl" w:eastAsia="en-US"/>
              </w:rPr>
            </w:pPr>
          </w:p>
          <w:p w14:paraId="0DCB72C4" w14:textId="77777777" w:rsidR="00454C5C" w:rsidRPr="00454C5C" w:rsidRDefault="00454C5C" w:rsidP="00454C5C">
            <w:pPr>
              <w:spacing w:after="160" w:line="360" w:lineRule="auto"/>
              <w:jc w:val="both"/>
              <w:rPr>
                <w:rFonts w:ascii="Century Gothic" w:eastAsia="Calibri" w:hAnsi="Century Gothic"/>
                <w:lang w:val="es-ES_tradnl" w:eastAsia="en-US"/>
              </w:rPr>
            </w:pPr>
            <w:r w:rsidRPr="00454C5C">
              <w:rPr>
                <w:rFonts w:ascii="Century Gothic" w:eastAsia="Calibri" w:hAnsi="Century Gothic"/>
                <w:lang w:val="es-ES_tradnl" w:eastAsia="en-US"/>
              </w:rPr>
              <w:t xml:space="preserve">Además tendrá por objeto, atender, asistir y, en su caso, propiciar la reparación a las víctimas de delitos </w:t>
            </w:r>
            <w:r w:rsidRPr="00454C5C">
              <w:rPr>
                <w:rFonts w:ascii="Century Gothic" w:eastAsia="Calibri" w:hAnsi="Century Gothic"/>
                <w:lang w:val="es-ES_tradnl" w:eastAsia="en-US"/>
              </w:rPr>
              <w:lastRenderedPageBreak/>
              <w:t>del fuero común o de violaciones a los derechos humanos por parte de los responsables.</w:t>
            </w:r>
          </w:p>
          <w:p w14:paraId="50FE7B1B" w14:textId="77777777" w:rsidR="00454C5C" w:rsidRPr="00454C5C" w:rsidRDefault="00454C5C" w:rsidP="00454C5C">
            <w:pPr>
              <w:spacing w:after="160" w:line="360" w:lineRule="auto"/>
              <w:jc w:val="both"/>
              <w:rPr>
                <w:rFonts w:ascii="Century Gothic" w:eastAsia="Calibri" w:hAnsi="Century Gothic"/>
                <w:lang w:val="es-MX" w:eastAsia="en-US"/>
              </w:rPr>
            </w:pPr>
          </w:p>
        </w:tc>
        <w:tc>
          <w:tcPr>
            <w:tcW w:w="4489" w:type="dxa"/>
            <w:shd w:val="clear" w:color="auto" w:fill="auto"/>
          </w:tcPr>
          <w:p w14:paraId="4DC59399" w14:textId="77777777" w:rsidR="00454C5C" w:rsidRPr="00454C5C" w:rsidRDefault="00454C5C" w:rsidP="00454C5C">
            <w:pPr>
              <w:spacing w:after="160" w:line="360" w:lineRule="auto"/>
              <w:jc w:val="both"/>
              <w:rPr>
                <w:rFonts w:ascii="Century Gothic" w:eastAsia="Calibri" w:hAnsi="Century Gothic"/>
                <w:lang w:eastAsia="en-US" w:bidi="es-ES"/>
              </w:rPr>
            </w:pPr>
            <w:r w:rsidRPr="00454C5C">
              <w:rPr>
                <w:rFonts w:ascii="Century Gothic" w:eastAsia="Calibri" w:hAnsi="Century Gothic"/>
                <w:b/>
                <w:bCs/>
                <w:lang w:eastAsia="en-US" w:bidi="es-ES"/>
              </w:rPr>
              <w:lastRenderedPageBreak/>
              <w:t>Artículo 14. Objeto.</w:t>
            </w:r>
            <w:r w:rsidRPr="00454C5C">
              <w:rPr>
                <w:rFonts w:ascii="Century Gothic" w:eastAsia="Calibri" w:hAnsi="Century Gothic"/>
                <w:lang w:eastAsia="en-US" w:bidi="es-ES"/>
              </w:rPr>
              <w:t xml:space="preserve"> </w:t>
            </w:r>
          </w:p>
          <w:p w14:paraId="2FBC37CA" w14:textId="77777777" w:rsidR="00454C5C" w:rsidRPr="00454C5C" w:rsidRDefault="00454C5C" w:rsidP="00454C5C">
            <w:pPr>
              <w:spacing w:after="160" w:line="360" w:lineRule="auto"/>
              <w:jc w:val="both"/>
              <w:rPr>
                <w:rFonts w:ascii="Century Gothic" w:eastAsia="Calibri" w:hAnsi="Century Gothic"/>
                <w:lang w:eastAsia="en-US" w:bidi="es-ES"/>
              </w:rPr>
            </w:pPr>
            <w:r w:rsidRPr="00454C5C">
              <w:rPr>
                <w:rFonts w:ascii="Century Gothic" w:eastAsia="Calibri" w:hAnsi="Century Gothic"/>
                <w:lang w:eastAsia="en-US" w:bidi="es-ES"/>
              </w:rPr>
              <w:t>…</w:t>
            </w:r>
          </w:p>
          <w:p w14:paraId="62B506BD" w14:textId="77777777" w:rsidR="00454C5C" w:rsidRPr="00454C5C" w:rsidRDefault="00454C5C" w:rsidP="00454C5C">
            <w:pPr>
              <w:spacing w:after="160" w:line="360" w:lineRule="auto"/>
              <w:jc w:val="both"/>
              <w:rPr>
                <w:rFonts w:ascii="Century Gothic" w:eastAsia="Calibri" w:hAnsi="Century Gothic"/>
                <w:lang w:eastAsia="en-US" w:bidi="es-ES"/>
              </w:rPr>
            </w:pPr>
          </w:p>
          <w:p w14:paraId="55D07001" w14:textId="77777777" w:rsidR="00454C5C" w:rsidRPr="00454C5C" w:rsidRDefault="00454C5C" w:rsidP="00454C5C">
            <w:pPr>
              <w:spacing w:after="160" w:line="360" w:lineRule="auto"/>
              <w:jc w:val="both"/>
              <w:rPr>
                <w:rFonts w:ascii="Century Gothic" w:eastAsia="Calibri" w:hAnsi="Century Gothic"/>
                <w:lang w:eastAsia="en-US" w:bidi="es-ES"/>
              </w:rPr>
            </w:pPr>
          </w:p>
          <w:p w14:paraId="3865AD0E" w14:textId="77777777" w:rsidR="00454C5C" w:rsidRPr="00454C5C" w:rsidRDefault="00454C5C" w:rsidP="00454C5C">
            <w:pPr>
              <w:spacing w:after="160" w:line="360" w:lineRule="auto"/>
              <w:jc w:val="both"/>
              <w:rPr>
                <w:rFonts w:ascii="Century Gothic" w:eastAsia="Calibri" w:hAnsi="Century Gothic"/>
                <w:lang w:eastAsia="en-US" w:bidi="es-ES"/>
              </w:rPr>
            </w:pPr>
            <w:r w:rsidRPr="00454C5C">
              <w:rPr>
                <w:rFonts w:ascii="Century Gothic" w:eastAsia="Calibri" w:hAnsi="Century Gothic"/>
                <w:lang w:eastAsia="en-US" w:bidi="es-ES"/>
              </w:rPr>
              <w:t xml:space="preserve">… </w:t>
            </w:r>
          </w:p>
          <w:p w14:paraId="2FACD1FF" w14:textId="77777777" w:rsidR="00454C5C" w:rsidRPr="00454C5C" w:rsidRDefault="00454C5C" w:rsidP="00454C5C">
            <w:pPr>
              <w:spacing w:after="160" w:line="360" w:lineRule="auto"/>
              <w:jc w:val="both"/>
              <w:rPr>
                <w:rFonts w:ascii="Century Gothic" w:eastAsia="Calibri" w:hAnsi="Century Gothic"/>
                <w:lang w:eastAsia="en-US" w:bidi="es-ES"/>
              </w:rPr>
            </w:pPr>
          </w:p>
          <w:p w14:paraId="1400EA4C" w14:textId="77777777" w:rsidR="00454C5C" w:rsidRPr="00454C5C" w:rsidRDefault="00454C5C" w:rsidP="00454C5C">
            <w:pPr>
              <w:spacing w:after="160" w:line="360" w:lineRule="auto"/>
              <w:jc w:val="both"/>
              <w:rPr>
                <w:rFonts w:ascii="Century Gothic" w:eastAsia="Calibri" w:hAnsi="Century Gothic"/>
                <w:lang w:eastAsia="en-US" w:bidi="es-ES"/>
              </w:rPr>
            </w:pPr>
          </w:p>
          <w:p w14:paraId="0229241B" w14:textId="77777777" w:rsidR="00454C5C" w:rsidRPr="00454C5C" w:rsidRDefault="00454C5C" w:rsidP="00454C5C">
            <w:pPr>
              <w:spacing w:after="160" w:line="360" w:lineRule="auto"/>
              <w:jc w:val="both"/>
              <w:rPr>
                <w:rFonts w:ascii="Century Gothic" w:eastAsia="Calibri" w:hAnsi="Century Gothic"/>
                <w:lang w:eastAsia="en-US" w:bidi="es-ES"/>
              </w:rPr>
            </w:pPr>
          </w:p>
          <w:p w14:paraId="7F5ABFA6" w14:textId="77777777" w:rsidR="00454C5C" w:rsidRPr="00454C5C" w:rsidRDefault="00454C5C" w:rsidP="00454C5C">
            <w:pPr>
              <w:spacing w:after="160" w:line="360" w:lineRule="auto"/>
              <w:jc w:val="both"/>
              <w:rPr>
                <w:rFonts w:ascii="Century Gothic" w:eastAsia="Calibri" w:hAnsi="Century Gothic"/>
                <w:lang w:eastAsia="en-US" w:bidi="es-ES"/>
              </w:rPr>
            </w:pPr>
          </w:p>
          <w:p w14:paraId="57774B13" w14:textId="77777777" w:rsidR="00454C5C" w:rsidRDefault="00454C5C" w:rsidP="00454C5C">
            <w:pPr>
              <w:spacing w:after="160" w:line="360" w:lineRule="auto"/>
              <w:jc w:val="both"/>
              <w:rPr>
                <w:rFonts w:ascii="Century Gothic" w:eastAsia="Calibri" w:hAnsi="Century Gothic"/>
                <w:sz w:val="44"/>
                <w:lang w:eastAsia="en-US" w:bidi="es-ES"/>
              </w:rPr>
            </w:pPr>
          </w:p>
          <w:p w14:paraId="16880DEB" w14:textId="77777777" w:rsidR="00454C5C" w:rsidRPr="00454C5C" w:rsidRDefault="00454C5C" w:rsidP="00454C5C">
            <w:pPr>
              <w:spacing w:after="160" w:line="360" w:lineRule="auto"/>
              <w:jc w:val="both"/>
              <w:rPr>
                <w:rFonts w:ascii="Century Gothic" w:eastAsia="Calibri" w:hAnsi="Century Gothic"/>
                <w:sz w:val="28"/>
                <w:lang w:eastAsia="en-US" w:bidi="es-ES"/>
              </w:rPr>
            </w:pPr>
          </w:p>
          <w:p w14:paraId="7C8AA711" w14:textId="77777777" w:rsidR="00454C5C" w:rsidRPr="00454C5C" w:rsidRDefault="00454C5C" w:rsidP="00454C5C">
            <w:pPr>
              <w:spacing w:after="160" w:line="360" w:lineRule="auto"/>
              <w:jc w:val="both"/>
              <w:rPr>
                <w:rFonts w:ascii="Century Gothic" w:eastAsia="Calibri" w:hAnsi="Century Gothic"/>
                <w:lang w:eastAsia="en-US" w:bidi="es-ES"/>
              </w:rPr>
            </w:pPr>
            <w:r w:rsidRPr="00454C5C">
              <w:rPr>
                <w:rFonts w:ascii="Century Gothic" w:eastAsia="Calibri" w:hAnsi="Century Gothic"/>
                <w:lang w:eastAsia="en-US" w:bidi="es-ES"/>
              </w:rPr>
              <w:t>…</w:t>
            </w:r>
          </w:p>
          <w:p w14:paraId="6E3827F1" w14:textId="77777777" w:rsidR="00454C5C" w:rsidRPr="00454C5C" w:rsidRDefault="00454C5C" w:rsidP="00454C5C">
            <w:pPr>
              <w:spacing w:after="160" w:line="360" w:lineRule="auto"/>
              <w:jc w:val="both"/>
              <w:rPr>
                <w:rFonts w:ascii="Century Gothic" w:eastAsia="Calibri" w:hAnsi="Century Gothic"/>
                <w:lang w:eastAsia="en-US" w:bidi="es-ES"/>
              </w:rPr>
            </w:pPr>
          </w:p>
          <w:p w14:paraId="7B61309F" w14:textId="77777777" w:rsidR="00454C5C" w:rsidRPr="00454C5C" w:rsidRDefault="00454C5C" w:rsidP="00454C5C">
            <w:pPr>
              <w:spacing w:after="160" w:line="360" w:lineRule="auto"/>
              <w:jc w:val="both"/>
              <w:rPr>
                <w:rFonts w:ascii="Century Gothic" w:eastAsia="Calibri" w:hAnsi="Century Gothic"/>
                <w:lang w:eastAsia="en-US" w:bidi="es-ES"/>
              </w:rPr>
            </w:pPr>
          </w:p>
          <w:p w14:paraId="5A934F80" w14:textId="77777777" w:rsidR="00454C5C" w:rsidRPr="00454C5C" w:rsidRDefault="00454C5C" w:rsidP="00454C5C">
            <w:pPr>
              <w:spacing w:after="160" w:line="360" w:lineRule="auto"/>
              <w:jc w:val="both"/>
              <w:rPr>
                <w:rFonts w:ascii="Century Gothic" w:eastAsia="Calibri" w:hAnsi="Century Gothic"/>
                <w:lang w:eastAsia="en-US" w:bidi="es-ES"/>
              </w:rPr>
            </w:pPr>
          </w:p>
          <w:p w14:paraId="605DD88F" w14:textId="77777777" w:rsidR="00454C5C" w:rsidRPr="00454C5C" w:rsidRDefault="00454C5C" w:rsidP="00454C5C">
            <w:pPr>
              <w:spacing w:after="160" w:line="360" w:lineRule="auto"/>
              <w:jc w:val="both"/>
              <w:rPr>
                <w:rFonts w:ascii="Century Gothic" w:eastAsia="Calibri" w:hAnsi="Century Gothic"/>
                <w:lang w:eastAsia="en-US" w:bidi="es-ES"/>
              </w:rPr>
            </w:pPr>
          </w:p>
          <w:p w14:paraId="0B49D7D8" w14:textId="77777777" w:rsidR="00454C5C" w:rsidRPr="00454C5C" w:rsidRDefault="00454C5C" w:rsidP="00454C5C">
            <w:pPr>
              <w:spacing w:after="160" w:line="360" w:lineRule="auto"/>
              <w:jc w:val="both"/>
              <w:rPr>
                <w:rFonts w:ascii="Century Gothic" w:eastAsia="Calibri" w:hAnsi="Century Gothic"/>
                <w:lang w:val="es-MX" w:eastAsia="en-US" w:bidi="es-ES"/>
              </w:rPr>
            </w:pPr>
            <w:r w:rsidRPr="00454C5C">
              <w:rPr>
                <w:rFonts w:ascii="Century Gothic" w:eastAsia="Calibri" w:hAnsi="Century Gothic"/>
                <w:b/>
                <w:bCs/>
                <w:lang w:eastAsia="en-US" w:bidi="es-ES"/>
              </w:rPr>
              <w:t>Tendrá a su cargo la elaboración y mantenimiento del Padrón de Víctimas Indirectas, que deberá tener actualizaciones mensuales, que permitan visibilizar las condiciones de vulnerabilidad de las Víctimas Indirectas.</w:t>
            </w:r>
          </w:p>
        </w:tc>
      </w:tr>
      <w:tr w:rsidR="00454C5C" w:rsidRPr="00454C5C" w14:paraId="20064D5B" w14:textId="77777777" w:rsidTr="00DD4266">
        <w:tc>
          <w:tcPr>
            <w:tcW w:w="4489" w:type="dxa"/>
            <w:shd w:val="clear" w:color="auto" w:fill="auto"/>
          </w:tcPr>
          <w:p w14:paraId="75550B60" w14:textId="77777777" w:rsidR="00454C5C" w:rsidRPr="00454C5C" w:rsidRDefault="00454C5C" w:rsidP="00454C5C">
            <w:pPr>
              <w:spacing w:after="160" w:line="360" w:lineRule="auto"/>
              <w:jc w:val="both"/>
              <w:rPr>
                <w:rFonts w:ascii="Century Gothic" w:eastAsia="Calibri" w:hAnsi="Century Gothic"/>
                <w:lang w:val="es-MX" w:eastAsia="en-US"/>
              </w:rPr>
            </w:pPr>
            <w:r w:rsidRPr="00454C5C">
              <w:rPr>
                <w:rFonts w:ascii="Century Gothic" w:eastAsia="Calibri" w:hAnsi="Century Gothic"/>
                <w:b/>
                <w:lang w:val="es-MX" w:eastAsia="en-US"/>
              </w:rPr>
              <w:lastRenderedPageBreak/>
              <w:t>Artículo 20.</w:t>
            </w:r>
            <w:r w:rsidRPr="00454C5C">
              <w:rPr>
                <w:rFonts w:ascii="Century Gothic" w:eastAsia="Calibri" w:hAnsi="Century Gothic"/>
                <w:lang w:val="es-MX" w:eastAsia="en-US"/>
              </w:rPr>
              <w:t xml:space="preserve"> </w:t>
            </w:r>
            <w:r w:rsidRPr="00454C5C">
              <w:rPr>
                <w:rFonts w:ascii="Century Gothic" w:eastAsia="Calibri" w:hAnsi="Century Gothic"/>
                <w:b/>
                <w:lang w:val="es-MX" w:eastAsia="en-US"/>
              </w:rPr>
              <w:t>Atribuciones de la Comisión Ejecutiva.</w:t>
            </w:r>
          </w:p>
          <w:p w14:paraId="5AA25BA2" w14:textId="77777777" w:rsidR="00454C5C" w:rsidRPr="00454C5C" w:rsidRDefault="00454C5C" w:rsidP="00454C5C">
            <w:pPr>
              <w:spacing w:after="160" w:line="360" w:lineRule="auto"/>
              <w:jc w:val="both"/>
              <w:rPr>
                <w:rFonts w:ascii="Century Gothic" w:eastAsia="Calibri" w:hAnsi="Century Gothic"/>
                <w:lang w:val="es-MX" w:eastAsia="en-US"/>
              </w:rPr>
            </w:pPr>
            <w:r w:rsidRPr="00454C5C">
              <w:rPr>
                <w:rFonts w:ascii="Century Gothic" w:eastAsia="Calibri" w:hAnsi="Century Gothic"/>
                <w:lang w:val="es-MX" w:eastAsia="en-US"/>
              </w:rPr>
              <w:t>La Comisión Ejecutiva tendrá las siguientes atribuciones:</w:t>
            </w:r>
          </w:p>
          <w:p w14:paraId="21A23623" w14:textId="77777777" w:rsidR="00454C5C" w:rsidRPr="00454C5C" w:rsidRDefault="00454C5C" w:rsidP="00454C5C">
            <w:pPr>
              <w:spacing w:after="160" w:line="360" w:lineRule="auto"/>
              <w:jc w:val="both"/>
              <w:rPr>
                <w:rFonts w:ascii="Century Gothic" w:eastAsia="Calibri" w:hAnsi="Century Gothic"/>
                <w:lang w:val="es-MX" w:eastAsia="en-US"/>
              </w:rPr>
            </w:pPr>
          </w:p>
          <w:p w14:paraId="67039FD9" w14:textId="77777777" w:rsidR="00454C5C" w:rsidRPr="00454C5C" w:rsidRDefault="00454C5C" w:rsidP="00454C5C">
            <w:pPr>
              <w:spacing w:after="160" w:line="360" w:lineRule="auto"/>
              <w:jc w:val="both"/>
              <w:rPr>
                <w:rFonts w:ascii="Century Gothic" w:eastAsia="Calibri" w:hAnsi="Century Gothic"/>
                <w:lang w:val="es-MX" w:eastAsia="en-US"/>
              </w:rPr>
            </w:pPr>
            <w:r w:rsidRPr="00454C5C">
              <w:rPr>
                <w:rFonts w:ascii="Century Gothic" w:eastAsia="Calibri" w:hAnsi="Century Gothic"/>
                <w:lang w:val="es-MX" w:eastAsia="en-US"/>
              </w:rPr>
              <w:t>I. a XXXVIII. …</w:t>
            </w:r>
          </w:p>
          <w:p w14:paraId="11183E72" w14:textId="77777777" w:rsidR="00454C5C" w:rsidRPr="00454C5C" w:rsidRDefault="00454C5C" w:rsidP="00454C5C">
            <w:pPr>
              <w:spacing w:after="160" w:line="360" w:lineRule="auto"/>
              <w:jc w:val="both"/>
              <w:rPr>
                <w:rFonts w:ascii="Century Gothic" w:eastAsia="Calibri" w:hAnsi="Century Gothic"/>
                <w:lang w:val="es-MX" w:eastAsia="en-US"/>
              </w:rPr>
            </w:pPr>
            <w:r w:rsidRPr="00454C5C">
              <w:rPr>
                <w:rFonts w:ascii="Century Gothic" w:eastAsia="Calibri" w:hAnsi="Century Gothic"/>
                <w:lang w:val="es-MX" w:eastAsia="en-US"/>
              </w:rPr>
              <w:t>(No hay correlativo)</w:t>
            </w:r>
          </w:p>
        </w:tc>
        <w:tc>
          <w:tcPr>
            <w:tcW w:w="4489" w:type="dxa"/>
            <w:shd w:val="clear" w:color="auto" w:fill="auto"/>
          </w:tcPr>
          <w:p w14:paraId="6A20637E" w14:textId="77777777" w:rsidR="00454C5C" w:rsidRPr="00454C5C" w:rsidRDefault="00454C5C" w:rsidP="00454C5C">
            <w:pPr>
              <w:spacing w:after="160" w:line="360" w:lineRule="auto"/>
              <w:jc w:val="both"/>
              <w:rPr>
                <w:rFonts w:ascii="Century Gothic" w:eastAsia="Calibri" w:hAnsi="Century Gothic"/>
                <w:lang w:eastAsia="en-US" w:bidi="es-ES"/>
              </w:rPr>
            </w:pPr>
            <w:r w:rsidRPr="00454C5C">
              <w:rPr>
                <w:rFonts w:ascii="Century Gothic" w:eastAsia="Calibri" w:hAnsi="Century Gothic"/>
                <w:b/>
                <w:bCs/>
                <w:lang w:eastAsia="en-US" w:bidi="es-ES"/>
              </w:rPr>
              <w:t>Artículo 20.</w:t>
            </w:r>
            <w:r w:rsidRPr="00454C5C">
              <w:rPr>
                <w:rFonts w:ascii="Century Gothic" w:eastAsia="Calibri" w:hAnsi="Century Gothic"/>
                <w:lang w:eastAsia="en-US" w:bidi="es-ES"/>
              </w:rPr>
              <w:t xml:space="preserve"> Atribuciones de la Comisión Ejecutiva. </w:t>
            </w:r>
          </w:p>
          <w:p w14:paraId="7795CEEF" w14:textId="77777777" w:rsidR="00454C5C" w:rsidRPr="00454C5C" w:rsidRDefault="00454C5C" w:rsidP="00454C5C">
            <w:pPr>
              <w:spacing w:after="160" w:line="360" w:lineRule="auto"/>
              <w:jc w:val="both"/>
              <w:rPr>
                <w:rFonts w:ascii="Century Gothic" w:eastAsia="Calibri" w:hAnsi="Century Gothic"/>
                <w:lang w:eastAsia="en-US" w:bidi="es-ES"/>
              </w:rPr>
            </w:pPr>
            <w:r w:rsidRPr="00454C5C">
              <w:rPr>
                <w:rFonts w:ascii="Century Gothic" w:eastAsia="Calibri" w:hAnsi="Century Gothic"/>
                <w:lang w:eastAsia="en-US" w:bidi="es-ES"/>
              </w:rPr>
              <w:t>La Comisión Ejecutiva tendrá las siguientes atribuciones:</w:t>
            </w:r>
          </w:p>
          <w:p w14:paraId="493091D2" w14:textId="77777777" w:rsidR="00454C5C" w:rsidRPr="00454C5C" w:rsidRDefault="00454C5C" w:rsidP="00454C5C">
            <w:pPr>
              <w:spacing w:after="160" w:line="360" w:lineRule="auto"/>
              <w:jc w:val="both"/>
              <w:rPr>
                <w:rFonts w:ascii="Century Gothic" w:eastAsia="Calibri" w:hAnsi="Century Gothic"/>
                <w:b/>
                <w:bCs/>
                <w:lang w:eastAsia="en-US" w:bidi="es-ES"/>
              </w:rPr>
            </w:pPr>
          </w:p>
          <w:p w14:paraId="67570DD0" w14:textId="77777777" w:rsidR="00454C5C" w:rsidRPr="00454C5C" w:rsidRDefault="00454C5C" w:rsidP="00454C5C">
            <w:pPr>
              <w:spacing w:after="160" w:line="360" w:lineRule="auto"/>
              <w:jc w:val="both"/>
              <w:rPr>
                <w:rFonts w:ascii="Century Gothic" w:eastAsia="Calibri" w:hAnsi="Century Gothic"/>
                <w:b/>
                <w:bCs/>
                <w:lang w:eastAsia="en-US" w:bidi="es-ES"/>
              </w:rPr>
            </w:pPr>
            <w:r w:rsidRPr="00454C5C">
              <w:rPr>
                <w:rFonts w:ascii="Century Gothic" w:eastAsia="Calibri" w:hAnsi="Century Gothic"/>
                <w:b/>
                <w:bCs/>
                <w:lang w:eastAsia="en-US" w:bidi="es-ES"/>
              </w:rPr>
              <w:t>…</w:t>
            </w:r>
          </w:p>
          <w:p w14:paraId="11B9CD51" w14:textId="77777777" w:rsidR="00454C5C" w:rsidRPr="00454C5C" w:rsidRDefault="00454C5C" w:rsidP="00454C5C">
            <w:pPr>
              <w:spacing w:after="160" w:line="360" w:lineRule="auto"/>
              <w:jc w:val="both"/>
              <w:rPr>
                <w:rFonts w:ascii="Century Gothic" w:eastAsia="Calibri" w:hAnsi="Century Gothic"/>
                <w:lang w:val="es-MX" w:eastAsia="en-US" w:bidi="es-ES"/>
              </w:rPr>
            </w:pPr>
            <w:r w:rsidRPr="00454C5C">
              <w:rPr>
                <w:rFonts w:ascii="Century Gothic" w:eastAsia="Calibri" w:hAnsi="Century Gothic"/>
                <w:b/>
                <w:bCs/>
                <w:lang w:eastAsia="en-US" w:bidi="es-ES"/>
              </w:rPr>
              <w:t xml:space="preserve">XXXIX.- </w:t>
            </w:r>
            <w:r w:rsidRPr="00454C5C">
              <w:rPr>
                <w:rFonts w:ascii="Century Gothic" w:eastAsia="Calibri" w:hAnsi="Century Gothic"/>
                <w:lang w:eastAsia="en-US" w:bidi="es-ES"/>
              </w:rPr>
              <w:t xml:space="preserve">La elaboración y mantenimiento del Padrón de Víctimas Indirectas de         los </w:t>
            </w:r>
            <w:r w:rsidRPr="00454C5C">
              <w:rPr>
                <w:rFonts w:ascii="Century Gothic" w:eastAsia="Calibri" w:hAnsi="Century Gothic"/>
                <w:lang w:eastAsia="en-US" w:bidi="es-ES"/>
              </w:rPr>
              <w:lastRenderedPageBreak/>
              <w:t>feminicidios el cual deberá estar actualizado mensualmente y contener como mínimo los siguientes datos; nombre, edad, domicilio, nacionalidad, fecha de ingreso al padrón, si cuenta con alguna discapacidad, diagnóstico de derechos vulnerados, plan de restitución de derechos, nombre del familiar fallecido.</w:t>
            </w:r>
          </w:p>
        </w:tc>
      </w:tr>
    </w:tbl>
    <w:p w14:paraId="2CD266FD" w14:textId="77777777" w:rsidR="00454C5C" w:rsidRDefault="00454C5C" w:rsidP="005F2C3A">
      <w:pPr>
        <w:pStyle w:val="Textoindependiente"/>
        <w:spacing w:line="360" w:lineRule="auto"/>
        <w:ind w:right="335"/>
        <w:rPr>
          <w:rFonts w:ascii="Century Gothic" w:hAnsi="Century Gothic" w:cs="Arial"/>
          <w:b/>
        </w:rPr>
      </w:pPr>
    </w:p>
    <w:p w14:paraId="1EC5C3F7" w14:textId="77777777" w:rsidR="00454C5C" w:rsidRDefault="00454C5C" w:rsidP="005F2C3A">
      <w:pPr>
        <w:pStyle w:val="Textoindependiente"/>
        <w:spacing w:line="360" w:lineRule="auto"/>
        <w:ind w:right="335"/>
        <w:rPr>
          <w:rFonts w:ascii="Century Gothic" w:hAnsi="Century Gothic" w:cs="Arial"/>
          <w:b/>
        </w:rPr>
      </w:pPr>
    </w:p>
    <w:p w14:paraId="23FB9C38" w14:textId="77777777" w:rsidR="00454C5C" w:rsidRPr="00454C5C" w:rsidRDefault="00454C5C" w:rsidP="00454C5C">
      <w:pPr>
        <w:spacing w:line="360" w:lineRule="auto"/>
        <w:jc w:val="both"/>
        <w:rPr>
          <w:rFonts w:ascii="Century Gothic" w:eastAsia="Calibri" w:hAnsi="Century Gothic"/>
          <w:lang w:val="es-MX" w:eastAsia="en-US"/>
        </w:rPr>
      </w:pPr>
      <w:r>
        <w:rPr>
          <w:rFonts w:ascii="Century Gothic" w:hAnsi="Century Gothic" w:cs="Arial"/>
          <w:b/>
        </w:rPr>
        <w:t>III</w:t>
      </w:r>
      <w:r w:rsidRPr="00454C5C">
        <w:rPr>
          <w:rFonts w:ascii="Century Gothic" w:eastAsia="Calibri" w:hAnsi="Century Gothic"/>
          <w:b/>
          <w:lang w:val="es-MX" w:eastAsia="en-US"/>
        </w:rPr>
        <w:t>.-</w:t>
      </w:r>
      <w:r w:rsidRPr="00454C5C">
        <w:rPr>
          <w:rFonts w:ascii="Century Gothic" w:eastAsia="Calibri" w:hAnsi="Century Gothic"/>
          <w:lang w:val="es-MX" w:eastAsia="en-US"/>
        </w:rPr>
        <w:t xml:space="preserve"> De acuerdo a la reforma publicada en el Diario Ofi</w:t>
      </w:r>
      <w:r>
        <w:rPr>
          <w:rFonts w:ascii="Century Gothic" w:eastAsia="Calibri" w:hAnsi="Century Gothic"/>
          <w:lang w:val="es-MX" w:eastAsia="en-US"/>
        </w:rPr>
        <w:t xml:space="preserve">cial de la Federación el día 25 de julio de </w:t>
      </w:r>
      <w:r w:rsidRPr="00454C5C">
        <w:rPr>
          <w:rFonts w:ascii="Century Gothic" w:eastAsia="Calibri" w:hAnsi="Century Gothic"/>
          <w:lang w:val="es-MX" w:eastAsia="en-US"/>
        </w:rPr>
        <w:t>2016, el Congreso de la Unión tiene la facultad para expedir la Ley General en materia de víctimas tal y como se expresa a continuación:</w:t>
      </w:r>
    </w:p>
    <w:p w14:paraId="06A4E0BF" w14:textId="77777777" w:rsidR="00454C5C" w:rsidRPr="00454C5C" w:rsidRDefault="00454C5C" w:rsidP="00454C5C">
      <w:pPr>
        <w:spacing w:after="160" w:line="360" w:lineRule="auto"/>
        <w:jc w:val="both"/>
        <w:rPr>
          <w:rFonts w:ascii="Century Gothic" w:eastAsia="Calibri" w:hAnsi="Century Gothic"/>
          <w:lang w:val="es-MX" w:eastAsia="en-US"/>
        </w:rPr>
      </w:pPr>
    </w:p>
    <w:p w14:paraId="7E4EAF0A" w14:textId="77777777" w:rsidR="00454C5C" w:rsidRPr="00454C5C" w:rsidRDefault="00454C5C" w:rsidP="00454C5C">
      <w:pPr>
        <w:spacing w:after="160" w:line="360" w:lineRule="auto"/>
        <w:ind w:left="851" w:right="900"/>
        <w:jc w:val="both"/>
        <w:rPr>
          <w:rFonts w:ascii="Century Gothic" w:eastAsia="Calibri" w:hAnsi="Century Gothic"/>
          <w:lang w:val="es-MX" w:eastAsia="en-US"/>
        </w:rPr>
      </w:pPr>
      <w:r w:rsidRPr="00454C5C">
        <w:rPr>
          <w:rFonts w:ascii="Century Gothic" w:eastAsia="Calibri" w:hAnsi="Century Gothic"/>
          <w:b/>
          <w:lang w:val="es-MX" w:eastAsia="en-US"/>
        </w:rPr>
        <w:t xml:space="preserve">“Artículo 73. </w:t>
      </w:r>
      <w:r w:rsidRPr="00454C5C">
        <w:rPr>
          <w:rFonts w:ascii="Century Gothic" w:eastAsia="Calibri" w:hAnsi="Century Gothic"/>
          <w:lang w:val="es-MX" w:eastAsia="en-US"/>
        </w:rPr>
        <w:t>El Congreso tiene facultad:</w:t>
      </w:r>
    </w:p>
    <w:p w14:paraId="2B9E008E" w14:textId="77777777" w:rsidR="00454C5C" w:rsidRPr="00454C5C" w:rsidRDefault="00454C5C" w:rsidP="00454C5C">
      <w:pPr>
        <w:spacing w:after="160" w:line="360" w:lineRule="auto"/>
        <w:ind w:left="851" w:right="900"/>
        <w:jc w:val="both"/>
        <w:rPr>
          <w:rFonts w:ascii="Century Gothic" w:eastAsia="Calibri" w:hAnsi="Century Gothic"/>
          <w:lang w:val="es-MX" w:eastAsia="en-US"/>
        </w:rPr>
      </w:pPr>
      <w:r w:rsidRPr="00454C5C">
        <w:rPr>
          <w:rFonts w:ascii="Century Gothic" w:eastAsia="Calibri" w:hAnsi="Century Gothic"/>
          <w:lang w:val="es-MX" w:eastAsia="en-US"/>
        </w:rPr>
        <w:t>(…)</w:t>
      </w:r>
    </w:p>
    <w:p w14:paraId="67880D0B" w14:textId="77777777" w:rsidR="00454C5C" w:rsidRPr="00454C5C" w:rsidRDefault="00454C5C" w:rsidP="00454C5C">
      <w:pPr>
        <w:spacing w:after="160" w:line="360" w:lineRule="auto"/>
        <w:ind w:left="851" w:right="900"/>
        <w:jc w:val="both"/>
        <w:rPr>
          <w:rFonts w:ascii="Century Gothic" w:eastAsia="Calibri" w:hAnsi="Century Gothic"/>
          <w:lang w:val="es-MX" w:eastAsia="en-US"/>
        </w:rPr>
      </w:pPr>
      <w:r w:rsidRPr="00454C5C">
        <w:rPr>
          <w:rFonts w:ascii="Century Gothic" w:eastAsia="Calibri" w:hAnsi="Century Gothic"/>
          <w:lang w:val="es-MX" w:eastAsia="en-US"/>
        </w:rPr>
        <w:t xml:space="preserve">XXIX-X. Para expedir la ley general que establezca la concurrencia de la federación, las entidades federativas, los municipios y, en su caso, las demarcaciones territoriales de la Ciudad de México, en el ámbito de sus respectivas competencias, en materia de derechos de las víctimas. </w:t>
      </w:r>
    </w:p>
    <w:p w14:paraId="69694772" w14:textId="77777777" w:rsidR="00454C5C" w:rsidRPr="00454C5C" w:rsidRDefault="00454C5C" w:rsidP="00454C5C">
      <w:pPr>
        <w:spacing w:after="160" w:line="360" w:lineRule="auto"/>
        <w:ind w:left="851" w:right="900"/>
        <w:jc w:val="both"/>
        <w:rPr>
          <w:rFonts w:ascii="Century Gothic" w:eastAsia="Calibri" w:hAnsi="Century Gothic"/>
          <w:b/>
          <w:lang w:val="es-MX" w:eastAsia="en-US"/>
        </w:rPr>
      </w:pPr>
      <w:r w:rsidRPr="00454C5C">
        <w:rPr>
          <w:rFonts w:ascii="Century Gothic" w:eastAsia="Calibri" w:hAnsi="Century Gothic"/>
          <w:lang w:val="es-MX" w:eastAsia="en-US"/>
        </w:rPr>
        <w:lastRenderedPageBreak/>
        <w:t>(…)”</w:t>
      </w:r>
    </w:p>
    <w:p w14:paraId="06E6C233" w14:textId="77777777" w:rsidR="00454C5C" w:rsidRPr="00454C5C" w:rsidRDefault="00454C5C" w:rsidP="00454C5C">
      <w:pPr>
        <w:spacing w:after="160" w:line="360" w:lineRule="auto"/>
        <w:jc w:val="both"/>
        <w:rPr>
          <w:rFonts w:ascii="Century Gothic" w:eastAsia="Calibri" w:hAnsi="Century Gothic"/>
          <w:b/>
          <w:lang w:val="es-MX" w:eastAsia="en-US"/>
        </w:rPr>
      </w:pPr>
    </w:p>
    <w:p w14:paraId="5DB4D393" w14:textId="77777777" w:rsidR="00454C5C" w:rsidRPr="00454C5C" w:rsidRDefault="00454C5C" w:rsidP="00454C5C">
      <w:pPr>
        <w:spacing w:after="160" w:line="360" w:lineRule="auto"/>
        <w:jc w:val="both"/>
        <w:rPr>
          <w:rFonts w:ascii="Century Gothic" w:eastAsia="Calibri" w:hAnsi="Century Gothic"/>
          <w:lang w:val="es-MX" w:eastAsia="en-US"/>
        </w:rPr>
      </w:pPr>
      <w:r w:rsidRPr="00454C5C">
        <w:rPr>
          <w:rFonts w:ascii="Century Gothic" w:eastAsia="Calibri" w:hAnsi="Century Gothic"/>
          <w:lang w:val="es-MX" w:eastAsia="en-US"/>
        </w:rPr>
        <w:t xml:space="preserve">Como podemos apreciar, a partir de julio de 2016, dicha materia victimal es una facultad concurrente en el sistema jurídico mexicano, lo que implica que las entidades federativas pueden legislar el este rubro, pero, bajo la </w:t>
      </w:r>
      <w:r w:rsidRPr="00454C5C">
        <w:rPr>
          <w:rFonts w:ascii="Century Gothic" w:eastAsia="Calibri" w:hAnsi="Century Gothic"/>
          <w:i/>
          <w:lang w:val="es-MX" w:eastAsia="en-US"/>
        </w:rPr>
        <w:t>forma</w:t>
      </w:r>
      <w:r w:rsidRPr="00454C5C">
        <w:rPr>
          <w:rFonts w:ascii="Century Gothic" w:eastAsia="Calibri" w:hAnsi="Century Gothic"/>
          <w:lang w:val="es-MX" w:eastAsia="en-US"/>
        </w:rPr>
        <w:t xml:space="preserve"> y </w:t>
      </w:r>
      <w:r w:rsidRPr="00454C5C">
        <w:rPr>
          <w:rFonts w:ascii="Century Gothic" w:eastAsia="Calibri" w:hAnsi="Century Gothic"/>
          <w:i/>
          <w:lang w:val="es-MX" w:eastAsia="en-US"/>
        </w:rPr>
        <w:t>términos</w:t>
      </w:r>
      <w:r w:rsidRPr="00454C5C">
        <w:rPr>
          <w:rFonts w:ascii="Century Gothic" w:eastAsia="Calibri" w:hAnsi="Century Gothic"/>
          <w:lang w:val="es-MX" w:eastAsia="en-US"/>
        </w:rPr>
        <w:t xml:space="preserve"> que establezca el H. Congreso de la Unión.</w:t>
      </w:r>
      <w:r w:rsidRPr="00454C5C">
        <w:rPr>
          <w:rFonts w:ascii="Century Gothic" w:eastAsia="Calibri" w:hAnsi="Century Gothic"/>
          <w:vertAlign w:val="superscript"/>
          <w:lang w:val="es-MX" w:eastAsia="en-US"/>
        </w:rPr>
        <w:footnoteReference w:id="1"/>
      </w:r>
    </w:p>
    <w:p w14:paraId="7D259F51" w14:textId="77777777" w:rsidR="00454C5C" w:rsidRPr="00454C5C" w:rsidRDefault="00454C5C" w:rsidP="00454C5C">
      <w:pPr>
        <w:spacing w:after="160" w:line="360" w:lineRule="auto"/>
        <w:jc w:val="both"/>
        <w:rPr>
          <w:rFonts w:ascii="Century Gothic" w:eastAsia="Calibri" w:hAnsi="Century Gothic"/>
          <w:lang w:val="es-MX" w:eastAsia="en-US"/>
        </w:rPr>
      </w:pPr>
    </w:p>
    <w:p w14:paraId="275DDC5D" w14:textId="77777777" w:rsidR="00454C5C" w:rsidRPr="00454C5C" w:rsidRDefault="00454C5C" w:rsidP="00454C5C">
      <w:pPr>
        <w:spacing w:after="160" w:line="360" w:lineRule="auto"/>
        <w:jc w:val="both"/>
        <w:rPr>
          <w:rFonts w:ascii="Century Gothic" w:eastAsia="Calibri" w:hAnsi="Century Gothic"/>
          <w:lang w:eastAsia="en-US"/>
        </w:rPr>
      </w:pPr>
      <w:r w:rsidRPr="00454C5C">
        <w:rPr>
          <w:rFonts w:ascii="Century Gothic" w:eastAsia="Calibri" w:hAnsi="Century Gothic"/>
          <w:lang w:val="es-MX" w:eastAsia="en-US"/>
        </w:rPr>
        <w:t>En ese sentido el Pleno de la Suprema Corte de Justicia de la Nación ha establecido que: “</w:t>
      </w:r>
      <w:r w:rsidRPr="00454C5C">
        <w:rPr>
          <w:rFonts w:ascii="Century Gothic" w:eastAsia="Calibri" w:hAnsi="Century Gothic"/>
          <w:i/>
          <w:lang w:val="es-MX" w:eastAsia="en-US"/>
        </w:rPr>
        <w:t>…</w:t>
      </w:r>
      <w:r w:rsidRPr="00454C5C">
        <w:rPr>
          <w:rFonts w:ascii="Century Gothic" w:eastAsia="Calibri" w:hAnsi="Century Gothic"/>
          <w:i/>
          <w:lang w:eastAsia="en-US"/>
        </w:rPr>
        <w:t>Por tanto, cumpliendo el mínimo normativo que marca la ley general, las leyes locales pueden tener su propio ámbito de regulación, poniendo mayor énfasis en determinados aspectos que sean preocupantes en una región específica. Si no fuera así, las leyes locales en las materias concurrentes no tendrían razón de ser, pues se limitarían a repetir lo establecido por el legislador federal, lo que resulta carente de sentido, pues se vaciaría el concepto mismo de concurrencia. …</w:t>
      </w:r>
      <w:r w:rsidRPr="00454C5C">
        <w:rPr>
          <w:rFonts w:ascii="Century Gothic" w:eastAsia="Calibri" w:hAnsi="Century Gothic"/>
          <w:lang w:eastAsia="en-US"/>
        </w:rPr>
        <w:t>”</w:t>
      </w:r>
      <w:r w:rsidRPr="00454C5C">
        <w:rPr>
          <w:rFonts w:ascii="Century Gothic" w:eastAsia="Calibri" w:hAnsi="Century Gothic"/>
          <w:vertAlign w:val="superscript"/>
          <w:lang w:eastAsia="en-US"/>
        </w:rPr>
        <w:footnoteReference w:id="2"/>
      </w:r>
    </w:p>
    <w:p w14:paraId="56DBB207" w14:textId="77777777" w:rsidR="00454C5C" w:rsidRPr="00454C5C" w:rsidRDefault="00454C5C" w:rsidP="00454C5C">
      <w:pPr>
        <w:spacing w:after="160" w:line="360" w:lineRule="auto"/>
        <w:jc w:val="both"/>
        <w:rPr>
          <w:rFonts w:ascii="Century Gothic" w:eastAsia="Calibri" w:hAnsi="Century Gothic"/>
          <w:lang w:eastAsia="en-US"/>
        </w:rPr>
      </w:pPr>
    </w:p>
    <w:p w14:paraId="45499301" w14:textId="77777777" w:rsidR="00454C5C" w:rsidRPr="00454C5C" w:rsidRDefault="00454C5C" w:rsidP="00454C5C">
      <w:pPr>
        <w:spacing w:after="160" w:line="360" w:lineRule="auto"/>
        <w:jc w:val="both"/>
        <w:rPr>
          <w:rFonts w:ascii="Century Gothic" w:eastAsia="Calibri" w:hAnsi="Century Gothic"/>
          <w:lang w:eastAsia="en-US"/>
        </w:rPr>
      </w:pPr>
      <w:r w:rsidRPr="00454C5C">
        <w:rPr>
          <w:rFonts w:ascii="Century Gothic" w:eastAsia="Calibri" w:hAnsi="Century Gothic"/>
          <w:lang w:eastAsia="en-US"/>
        </w:rPr>
        <w:t>De ahí que nuestra entidad, en su legislación, podría aumentar las obligaciones, mas no restringirlas.</w:t>
      </w:r>
    </w:p>
    <w:p w14:paraId="32996CC0" w14:textId="77777777" w:rsidR="00454C5C" w:rsidRPr="00454C5C" w:rsidRDefault="00454C5C" w:rsidP="00454C5C">
      <w:pPr>
        <w:spacing w:after="160" w:line="360" w:lineRule="auto"/>
        <w:jc w:val="both"/>
        <w:rPr>
          <w:rFonts w:ascii="Century Gothic" w:eastAsia="Calibri" w:hAnsi="Century Gothic"/>
          <w:lang w:eastAsia="en-US"/>
        </w:rPr>
      </w:pPr>
    </w:p>
    <w:p w14:paraId="42EDBDFE" w14:textId="77777777" w:rsidR="00454C5C" w:rsidRPr="00454C5C" w:rsidRDefault="00454C5C" w:rsidP="00454C5C">
      <w:pPr>
        <w:spacing w:after="160" w:line="360" w:lineRule="auto"/>
        <w:jc w:val="both"/>
        <w:rPr>
          <w:rFonts w:ascii="Century Gothic" w:eastAsia="Calibri" w:hAnsi="Century Gothic"/>
          <w:lang w:val="es-MX" w:eastAsia="en-US"/>
        </w:rPr>
      </w:pPr>
      <w:r>
        <w:rPr>
          <w:rFonts w:ascii="Century Gothic" w:eastAsia="Calibri" w:hAnsi="Century Gothic"/>
          <w:b/>
          <w:lang w:eastAsia="en-US"/>
        </w:rPr>
        <w:t>IV</w:t>
      </w:r>
      <w:r w:rsidRPr="00454C5C">
        <w:rPr>
          <w:rFonts w:ascii="Century Gothic" w:eastAsia="Calibri" w:hAnsi="Century Gothic"/>
          <w:b/>
          <w:lang w:eastAsia="en-US"/>
        </w:rPr>
        <w:t>.-</w:t>
      </w:r>
      <w:r w:rsidRPr="00454C5C">
        <w:rPr>
          <w:rFonts w:ascii="Century Gothic" w:eastAsia="Calibri" w:hAnsi="Century Gothic"/>
          <w:lang w:eastAsia="en-US"/>
        </w:rPr>
        <w:t xml:space="preserve"> Si la iniciativa pretende aumentar las obligaciones para con la Comisión Ejecutiva </w:t>
      </w:r>
      <w:r w:rsidRPr="00454C5C">
        <w:rPr>
          <w:rFonts w:ascii="Century Gothic" w:eastAsia="Calibri" w:hAnsi="Century Gothic"/>
          <w:lang w:val="es-MX" w:eastAsia="en-US"/>
        </w:rPr>
        <w:t xml:space="preserve">de Atención a Víctimas del Estado de Chihuahua; por principio, y de acuerdo a las jurisprudencias y fundamentos antes mencionados, la propuesta de solución al problema planteado por las y los legisladores resultaría viable. </w:t>
      </w:r>
    </w:p>
    <w:p w14:paraId="359E949D" w14:textId="77777777" w:rsidR="00454C5C" w:rsidRPr="00454C5C" w:rsidRDefault="00454C5C" w:rsidP="00454C5C">
      <w:pPr>
        <w:spacing w:after="160" w:line="360" w:lineRule="auto"/>
        <w:jc w:val="both"/>
        <w:rPr>
          <w:rFonts w:ascii="Century Gothic" w:eastAsia="Calibri" w:hAnsi="Century Gothic"/>
          <w:lang w:val="es-MX" w:eastAsia="en-US"/>
        </w:rPr>
      </w:pPr>
    </w:p>
    <w:p w14:paraId="1FB80E9F" w14:textId="77777777" w:rsidR="00454C5C" w:rsidRPr="00454C5C" w:rsidRDefault="00454C5C" w:rsidP="00454C5C">
      <w:pPr>
        <w:spacing w:after="160" w:line="360" w:lineRule="auto"/>
        <w:jc w:val="both"/>
        <w:rPr>
          <w:rFonts w:ascii="Century Gothic" w:eastAsia="Calibri" w:hAnsi="Century Gothic"/>
          <w:lang w:val="es-MX" w:eastAsia="en-US"/>
        </w:rPr>
      </w:pPr>
      <w:r w:rsidRPr="00454C5C">
        <w:rPr>
          <w:rFonts w:ascii="Century Gothic" w:eastAsia="Calibri" w:hAnsi="Century Gothic"/>
          <w:lang w:val="es-MX" w:eastAsia="en-US"/>
        </w:rPr>
        <w:t xml:space="preserve">Sin embargo, si bien es cierto lo anterior, también lo es que debemos de considerar los </w:t>
      </w:r>
      <w:r w:rsidRPr="00454C5C">
        <w:rPr>
          <w:rFonts w:ascii="Century Gothic" w:eastAsia="Calibri" w:hAnsi="Century Gothic"/>
          <w:i/>
          <w:lang w:val="es-MX" w:eastAsia="en-US"/>
        </w:rPr>
        <w:t>términos</w:t>
      </w:r>
      <w:r w:rsidRPr="00454C5C">
        <w:rPr>
          <w:rFonts w:ascii="Century Gothic" w:eastAsia="Calibri" w:hAnsi="Century Gothic"/>
          <w:lang w:val="es-MX" w:eastAsia="en-US"/>
        </w:rPr>
        <w:t xml:space="preserve"> impuestos por el constituyente en la legislación general, y para ello se exponen las definiciones expuestas en el artículo 6 fraccion</w:t>
      </w:r>
      <w:r>
        <w:rPr>
          <w:rFonts w:ascii="Century Gothic" w:eastAsia="Calibri" w:hAnsi="Century Gothic"/>
          <w:lang w:val="es-MX" w:eastAsia="en-US"/>
        </w:rPr>
        <w:t>es</w:t>
      </w:r>
      <w:r w:rsidRPr="00454C5C">
        <w:rPr>
          <w:rFonts w:ascii="Century Gothic" w:eastAsia="Calibri" w:hAnsi="Century Gothic"/>
          <w:lang w:val="es-MX" w:eastAsia="en-US"/>
        </w:rPr>
        <w:t xml:space="preserve"> XVI y XIX de la Ley General de Víctimas que refiere lo siguiente: </w:t>
      </w:r>
    </w:p>
    <w:p w14:paraId="7315BD74" w14:textId="77777777" w:rsidR="00454C5C" w:rsidRPr="00454C5C" w:rsidRDefault="00454C5C" w:rsidP="00454C5C">
      <w:pPr>
        <w:spacing w:line="360" w:lineRule="auto"/>
        <w:jc w:val="both"/>
        <w:rPr>
          <w:rFonts w:ascii="Century Gothic" w:eastAsia="Calibri" w:hAnsi="Century Gothic"/>
          <w:lang w:val="es-MX" w:eastAsia="en-US"/>
        </w:rPr>
      </w:pPr>
    </w:p>
    <w:p w14:paraId="24120739" w14:textId="77777777" w:rsidR="00454C5C" w:rsidRPr="00454C5C" w:rsidRDefault="00454C5C" w:rsidP="00454C5C">
      <w:pPr>
        <w:spacing w:line="360" w:lineRule="auto"/>
        <w:ind w:left="851" w:right="900"/>
        <w:jc w:val="both"/>
        <w:rPr>
          <w:rFonts w:ascii="Century Gothic" w:eastAsia="Calibri" w:hAnsi="Century Gothic"/>
          <w:lang w:val="es-MX" w:eastAsia="en-US"/>
        </w:rPr>
      </w:pPr>
      <w:r w:rsidRPr="00454C5C">
        <w:rPr>
          <w:rFonts w:ascii="Century Gothic" w:eastAsia="Calibri" w:hAnsi="Century Gothic"/>
          <w:lang w:val="es-MX" w:eastAsia="en-US"/>
        </w:rPr>
        <w:t xml:space="preserve">“Artículo 6. Para los efectos de esta Ley, se entenderá por: </w:t>
      </w:r>
    </w:p>
    <w:p w14:paraId="62ABE7C0" w14:textId="77777777" w:rsidR="00454C5C" w:rsidRPr="00454C5C" w:rsidRDefault="00454C5C" w:rsidP="00454C5C">
      <w:pPr>
        <w:tabs>
          <w:tab w:val="left" w:pos="2805"/>
        </w:tabs>
        <w:spacing w:line="360" w:lineRule="auto"/>
        <w:ind w:left="851" w:right="900"/>
        <w:jc w:val="both"/>
        <w:rPr>
          <w:rFonts w:ascii="Century Gothic" w:eastAsia="Calibri" w:hAnsi="Century Gothic"/>
          <w:lang w:val="es-MX" w:eastAsia="en-US"/>
        </w:rPr>
      </w:pPr>
      <w:r w:rsidRPr="00454C5C">
        <w:rPr>
          <w:rFonts w:ascii="Century Gothic" w:eastAsia="Calibri" w:hAnsi="Century Gothic"/>
          <w:lang w:val="es-MX" w:eastAsia="en-US"/>
        </w:rPr>
        <w:t>I. a XV. …</w:t>
      </w:r>
      <w:r w:rsidRPr="00454C5C">
        <w:rPr>
          <w:rFonts w:ascii="Century Gothic" w:eastAsia="Calibri" w:hAnsi="Century Gothic"/>
          <w:lang w:val="es-MX" w:eastAsia="en-US"/>
        </w:rPr>
        <w:tab/>
      </w:r>
    </w:p>
    <w:p w14:paraId="77E6ACFA" w14:textId="77777777" w:rsidR="00454C5C" w:rsidRPr="00454C5C" w:rsidRDefault="00454C5C" w:rsidP="00454C5C">
      <w:pPr>
        <w:tabs>
          <w:tab w:val="left" w:pos="2805"/>
        </w:tabs>
        <w:spacing w:line="360" w:lineRule="auto"/>
        <w:ind w:left="851" w:right="900"/>
        <w:jc w:val="both"/>
        <w:rPr>
          <w:rFonts w:ascii="Century Gothic" w:eastAsia="Calibri" w:hAnsi="Century Gothic"/>
          <w:lang w:val="es-MX" w:eastAsia="en-US"/>
        </w:rPr>
      </w:pPr>
    </w:p>
    <w:p w14:paraId="6786F92A" w14:textId="77777777" w:rsidR="00454C5C" w:rsidRPr="00454C5C" w:rsidRDefault="00454C5C" w:rsidP="00454C5C">
      <w:pPr>
        <w:tabs>
          <w:tab w:val="left" w:pos="2805"/>
        </w:tabs>
        <w:spacing w:line="360" w:lineRule="auto"/>
        <w:ind w:left="851" w:right="900"/>
        <w:jc w:val="both"/>
        <w:rPr>
          <w:rFonts w:ascii="Century Gothic" w:eastAsia="Calibri" w:hAnsi="Century Gothic"/>
          <w:lang w:val="es-MX" w:eastAsia="en-US"/>
        </w:rPr>
      </w:pPr>
      <w:r w:rsidRPr="00454C5C">
        <w:rPr>
          <w:rFonts w:ascii="Century Gothic" w:eastAsia="Calibri" w:hAnsi="Century Gothic"/>
          <w:lang w:val="es-MX" w:eastAsia="en-US"/>
        </w:rPr>
        <w:t xml:space="preserve">XVI. </w:t>
      </w:r>
      <w:r w:rsidRPr="00454C5C">
        <w:rPr>
          <w:rFonts w:ascii="Century Gothic" w:eastAsia="Calibri" w:hAnsi="Century Gothic"/>
          <w:b/>
          <w:lang w:val="es-MX" w:eastAsia="en-US"/>
        </w:rPr>
        <w:t>Registro</w:t>
      </w:r>
      <w:r w:rsidRPr="00454C5C">
        <w:rPr>
          <w:rFonts w:ascii="Century Gothic" w:eastAsia="Calibri" w:hAnsi="Century Gothic"/>
          <w:lang w:val="es-MX" w:eastAsia="en-US"/>
        </w:rPr>
        <w:t>: Registro Nacional de Víctimas, que incluye el registro federal y los registros de las entidades federativas;</w:t>
      </w:r>
    </w:p>
    <w:p w14:paraId="4011B452" w14:textId="77777777" w:rsidR="00454C5C" w:rsidRPr="00454C5C" w:rsidRDefault="00454C5C" w:rsidP="00454C5C">
      <w:pPr>
        <w:tabs>
          <w:tab w:val="left" w:pos="2805"/>
        </w:tabs>
        <w:spacing w:line="360" w:lineRule="auto"/>
        <w:ind w:left="851" w:right="900"/>
        <w:jc w:val="both"/>
        <w:rPr>
          <w:rFonts w:ascii="Century Gothic" w:eastAsia="Calibri" w:hAnsi="Century Gothic"/>
          <w:lang w:val="es-MX" w:eastAsia="en-US"/>
        </w:rPr>
      </w:pPr>
    </w:p>
    <w:p w14:paraId="023F957E" w14:textId="77777777" w:rsidR="00454C5C" w:rsidRPr="00454C5C" w:rsidRDefault="00454C5C" w:rsidP="00454C5C">
      <w:pPr>
        <w:tabs>
          <w:tab w:val="left" w:pos="2805"/>
        </w:tabs>
        <w:spacing w:line="360" w:lineRule="auto"/>
        <w:ind w:left="851" w:right="900"/>
        <w:jc w:val="both"/>
        <w:rPr>
          <w:rFonts w:ascii="Century Gothic" w:eastAsia="Calibri" w:hAnsi="Century Gothic"/>
          <w:lang w:val="es-MX" w:eastAsia="en-US"/>
        </w:rPr>
      </w:pPr>
      <w:r w:rsidRPr="00454C5C">
        <w:rPr>
          <w:rFonts w:ascii="Century Gothic" w:eastAsia="Calibri" w:hAnsi="Century Gothic"/>
          <w:lang w:val="es-MX" w:eastAsia="en-US"/>
        </w:rPr>
        <w:t>XVI. a XVIII. …</w:t>
      </w:r>
    </w:p>
    <w:p w14:paraId="5C56C53C" w14:textId="77777777" w:rsidR="00454C5C" w:rsidRPr="00454C5C" w:rsidRDefault="00454C5C" w:rsidP="00454C5C">
      <w:pPr>
        <w:tabs>
          <w:tab w:val="left" w:pos="2805"/>
        </w:tabs>
        <w:spacing w:line="360" w:lineRule="auto"/>
        <w:ind w:left="851" w:right="900"/>
        <w:jc w:val="both"/>
        <w:rPr>
          <w:rFonts w:ascii="Century Gothic" w:eastAsia="Calibri" w:hAnsi="Century Gothic"/>
          <w:lang w:val="es-MX" w:eastAsia="en-US"/>
        </w:rPr>
      </w:pPr>
    </w:p>
    <w:p w14:paraId="07D96D10" w14:textId="77777777" w:rsidR="00454C5C" w:rsidRPr="00454C5C" w:rsidRDefault="00454C5C" w:rsidP="00454C5C">
      <w:pPr>
        <w:tabs>
          <w:tab w:val="left" w:pos="2805"/>
        </w:tabs>
        <w:spacing w:line="360" w:lineRule="auto"/>
        <w:ind w:left="851" w:right="900"/>
        <w:jc w:val="both"/>
        <w:rPr>
          <w:rFonts w:ascii="Century Gothic" w:eastAsia="Calibri" w:hAnsi="Century Gothic"/>
          <w:lang w:val="es-MX" w:eastAsia="en-US"/>
        </w:rPr>
      </w:pPr>
      <w:r w:rsidRPr="00454C5C">
        <w:rPr>
          <w:rFonts w:ascii="Century Gothic" w:eastAsia="Calibri" w:hAnsi="Century Gothic"/>
          <w:lang w:val="es-MX" w:eastAsia="en-US"/>
        </w:rPr>
        <w:t xml:space="preserve">XIX. </w:t>
      </w:r>
      <w:r w:rsidRPr="00454C5C">
        <w:rPr>
          <w:rFonts w:ascii="Century Gothic" w:eastAsia="Calibri" w:hAnsi="Century Gothic"/>
          <w:b/>
          <w:lang w:val="es-MX" w:eastAsia="en-US"/>
        </w:rPr>
        <w:t>Víctima</w:t>
      </w:r>
      <w:r w:rsidRPr="00454C5C">
        <w:rPr>
          <w:rFonts w:ascii="Century Gothic" w:eastAsia="Calibri" w:hAnsi="Century Gothic"/>
          <w:lang w:val="es-MX" w:eastAsia="en-US"/>
        </w:rPr>
        <w:t>: Persona física que directa o indirectamente ha sufrido daño o el menoscabo de sus derechos producto de una violación de derechos humanos o de la comisión de un delito;</w:t>
      </w:r>
    </w:p>
    <w:p w14:paraId="3B39B643" w14:textId="77777777" w:rsidR="00454C5C" w:rsidRPr="00454C5C" w:rsidRDefault="00454C5C" w:rsidP="00454C5C">
      <w:pPr>
        <w:spacing w:line="360" w:lineRule="auto"/>
        <w:ind w:left="851" w:right="900"/>
        <w:jc w:val="both"/>
        <w:rPr>
          <w:rFonts w:ascii="Century Gothic" w:eastAsia="Calibri" w:hAnsi="Century Gothic"/>
          <w:lang w:val="es-MX" w:eastAsia="en-US"/>
        </w:rPr>
      </w:pPr>
    </w:p>
    <w:p w14:paraId="3011EBB4" w14:textId="77777777" w:rsidR="00454C5C" w:rsidRPr="00454C5C" w:rsidRDefault="00454C5C" w:rsidP="00454C5C">
      <w:pPr>
        <w:spacing w:line="360" w:lineRule="auto"/>
        <w:ind w:left="851" w:right="900"/>
        <w:jc w:val="both"/>
        <w:rPr>
          <w:rFonts w:ascii="Century Gothic" w:eastAsia="Calibri" w:hAnsi="Century Gothic"/>
          <w:lang w:val="es-MX" w:eastAsia="en-US"/>
        </w:rPr>
      </w:pPr>
      <w:r w:rsidRPr="00454C5C">
        <w:rPr>
          <w:rFonts w:ascii="Century Gothic" w:eastAsia="Calibri" w:hAnsi="Century Gothic"/>
          <w:lang w:val="es-MX" w:eastAsia="en-US"/>
        </w:rPr>
        <w:lastRenderedPageBreak/>
        <w:t>XX. y XXI. …”</w:t>
      </w:r>
    </w:p>
    <w:p w14:paraId="3A8C172E" w14:textId="77777777" w:rsidR="00454C5C" w:rsidRPr="00454C5C" w:rsidRDefault="00454C5C" w:rsidP="00454C5C">
      <w:pPr>
        <w:spacing w:after="160" w:line="360" w:lineRule="auto"/>
        <w:jc w:val="both"/>
        <w:rPr>
          <w:rFonts w:ascii="Century Gothic" w:eastAsia="Calibri" w:hAnsi="Century Gothic"/>
          <w:lang w:eastAsia="en-US"/>
        </w:rPr>
      </w:pPr>
    </w:p>
    <w:p w14:paraId="2B6221CB" w14:textId="77777777" w:rsidR="00454C5C" w:rsidRPr="00454C5C" w:rsidRDefault="00454C5C" w:rsidP="00454C5C">
      <w:pPr>
        <w:spacing w:after="160" w:line="360" w:lineRule="auto"/>
        <w:jc w:val="both"/>
        <w:rPr>
          <w:rFonts w:ascii="Century Gothic" w:eastAsia="Calibri" w:hAnsi="Century Gothic"/>
          <w:lang w:eastAsia="en-US"/>
        </w:rPr>
      </w:pPr>
      <w:r w:rsidRPr="00454C5C">
        <w:rPr>
          <w:rFonts w:ascii="Century Gothic" w:eastAsia="Calibri" w:hAnsi="Century Gothic"/>
          <w:lang w:eastAsia="en-US"/>
        </w:rPr>
        <w:t xml:space="preserve">A su vez, el numeral 96 define: </w:t>
      </w:r>
    </w:p>
    <w:p w14:paraId="6EB739AB" w14:textId="77777777" w:rsidR="00454C5C" w:rsidRPr="00454C5C" w:rsidRDefault="00454C5C" w:rsidP="00454C5C">
      <w:pPr>
        <w:spacing w:after="160" w:line="360" w:lineRule="auto"/>
        <w:jc w:val="both"/>
        <w:rPr>
          <w:rFonts w:ascii="Century Gothic" w:eastAsia="Calibri" w:hAnsi="Century Gothic"/>
          <w:lang w:eastAsia="en-US"/>
        </w:rPr>
      </w:pPr>
    </w:p>
    <w:p w14:paraId="062C358F" w14:textId="77777777" w:rsidR="00454C5C" w:rsidRPr="00454C5C" w:rsidRDefault="00454C5C" w:rsidP="00454C5C">
      <w:pPr>
        <w:spacing w:after="160" w:line="360" w:lineRule="auto"/>
        <w:ind w:left="851" w:right="900"/>
        <w:jc w:val="both"/>
        <w:rPr>
          <w:rFonts w:ascii="Century Gothic" w:eastAsia="Calibri" w:hAnsi="Century Gothic"/>
          <w:lang w:eastAsia="en-US"/>
        </w:rPr>
      </w:pPr>
      <w:r w:rsidRPr="00454C5C">
        <w:rPr>
          <w:rFonts w:ascii="Century Gothic" w:eastAsia="Calibri" w:hAnsi="Century Gothic"/>
          <w:lang w:val="es-MX" w:eastAsia="en-US"/>
        </w:rPr>
        <w:t>“Artículo 96. El Registro Nacional de Víctimas, es el mecanismo administrativo y técnico que soporta todo el proceso de ingreso y registro de las víctimas del delito y de violaciones de derechos humanos al Sistema, creado en esta Ley.</w:t>
      </w:r>
    </w:p>
    <w:p w14:paraId="690F59BB" w14:textId="77777777" w:rsidR="00454C5C" w:rsidRPr="00454C5C" w:rsidRDefault="00454C5C" w:rsidP="00454C5C">
      <w:pPr>
        <w:spacing w:after="160" w:line="360" w:lineRule="auto"/>
        <w:ind w:left="851" w:right="900"/>
        <w:jc w:val="both"/>
        <w:rPr>
          <w:rFonts w:ascii="Century Gothic" w:eastAsia="Calibri" w:hAnsi="Century Gothic"/>
          <w:lang w:eastAsia="en-US"/>
        </w:rPr>
      </w:pPr>
    </w:p>
    <w:p w14:paraId="0CF25046" w14:textId="77777777" w:rsidR="00454C5C" w:rsidRPr="00454C5C" w:rsidRDefault="00454C5C" w:rsidP="00454C5C">
      <w:pPr>
        <w:spacing w:after="160" w:line="360" w:lineRule="auto"/>
        <w:ind w:left="851" w:right="900"/>
        <w:jc w:val="both"/>
        <w:rPr>
          <w:rFonts w:ascii="Century Gothic" w:eastAsia="Calibri" w:hAnsi="Century Gothic"/>
          <w:lang w:val="es-MX" w:eastAsia="en-US"/>
        </w:rPr>
      </w:pPr>
      <w:r w:rsidRPr="00454C5C">
        <w:rPr>
          <w:rFonts w:ascii="Century Gothic" w:eastAsia="Calibri" w:hAnsi="Century Gothic"/>
          <w:lang w:val="es-MX" w:eastAsia="en-US"/>
        </w:rPr>
        <w:t>…</w:t>
      </w:r>
    </w:p>
    <w:p w14:paraId="46FE5224" w14:textId="77777777" w:rsidR="00454C5C" w:rsidRPr="00454C5C" w:rsidRDefault="00454C5C" w:rsidP="00454C5C">
      <w:pPr>
        <w:spacing w:after="160" w:line="360" w:lineRule="auto"/>
        <w:ind w:left="851" w:right="900"/>
        <w:jc w:val="both"/>
        <w:rPr>
          <w:rFonts w:ascii="Century Gothic" w:eastAsia="Calibri" w:hAnsi="Century Gothic"/>
          <w:lang w:val="es-MX" w:eastAsia="en-US"/>
        </w:rPr>
      </w:pPr>
    </w:p>
    <w:p w14:paraId="25A1F836" w14:textId="77777777" w:rsidR="00454C5C" w:rsidRPr="00454C5C" w:rsidRDefault="00454C5C" w:rsidP="00454C5C">
      <w:pPr>
        <w:spacing w:after="160" w:line="360" w:lineRule="auto"/>
        <w:ind w:left="851" w:right="900"/>
        <w:jc w:val="both"/>
        <w:rPr>
          <w:rFonts w:ascii="Century Gothic" w:eastAsia="Calibri" w:hAnsi="Century Gothic"/>
          <w:lang w:val="es-MX" w:eastAsia="en-US"/>
        </w:rPr>
      </w:pPr>
      <w:r w:rsidRPr="00454C5C">
        <w:rPr>
          <w:rFonts w:ascii="Century Gothic" w:eastAsia="Calibri" w:hAnsi="Century Gothic"/>
          <w:lang w:val="es-MX" w:eastAsia="en-US"/>
        </w:rPr>
        <w:t xml:space="preserve">... </w:t>
      </w:r>
    </w:p>
    <w:p w14:paraId="51BBEDE2" w14:textId="77777777" w:rsidR="00454C5C" w:rsidRPr="00454C5C" w:rsidRDefault="00454C5C" w:rsidP="00454C5C">
      <w:pPr>
        <w:spacing w:after="160" w:line="360" w:lineRule="auto"/>
        <w:ind w:left="851" w:right="900"/>
        <w:jc w:val="both"/>
        <w:rPr>
          <w:rFonts w:ascii="Century Gothic" w:eastAsia="Calibri" w:hAnsi="Century Gothic"/>
          <w:lang w:val="es-MX" w:eastAsia="en-US"/>
        </w:rPr>
      </w:pPr>
    </w:p>
    <w:p w14:paraId="31A1CEC5" w14:textId="77777777" w:rsidR="00454C5C" w:rsidRPr="00454C5C" w:rsidRDefault="00454C5C" w:rsidP="00454C5C">
      <w:pPr>
        <w:spacing w:after="160" w:line="360" w:lineRule="auto"/>
        <w:ind w:left="851" w:right="900"/>
        <w:jc w:val="both"/>
        <w:rPr>
          <w:rFonts w:ascii="Century Gothic" w:eastAsia="Calibri" w:hAnsi="Century Gothic"/>
          <w:lang w:val="es-MX" w:eastAsia="en-US"/>
        </w:rPr>
      </w:pPr>
      <w:r w:rsidRPr="00454C5C">
        <w:rPr>
          <w:rFonts w:ascii="Century Gothic" w:eastAsia="Calibri" w:hAnsi="Century Gothic"/>
          <w:lang w:val="es-MX" w:eastAsia="en-US"/>
        </w:rPr>
        <w:t xml:space="preserve">El Registro es la unidad administrativa encargada de llevar y salvaguardar el </w:t>
      </w:r>
      <w:r w:rsidRPr="00454C5C">
        <w:rPr>
          <w:rFonts w:ascii="Century Gothic" w:eastAsia="Calibri" w:hAnsi="Century Gothic"/>
          <w:b/>
          <w:lang w:val="es-MX" w:eastAsia="en-US"/>
        </w:rPr>
        <w:t>padrón de víctimas</w:t>
      </w:r>
      <w:r w:rsidRPr="00454C5C">
        <w:rPr>
          <w:rFonts w:ascii="Century Gothic" w:eastAsia="Calibri" w:hAnsi="Century Gothic"/>
          <w:lang w:val="es-MX" w:eastAsia="en-US"/>
        </w:rPr>
        <w:t xml:space="preserve">, a nivel nacional, e inscribir los datos de las víctimas del delito y de violaciones a derechos humanos del orden federal, y por excepción del orden local en los casos a que se refiere el artículo 88 Bis de la presente Ley. </w:t>
      </w:r>
    </w:p>
    <w:p w14:paraId="278622FA" w14:textId="77777777" w:rsidR="00454C5C" w:rsidRPr="00454C5C" w:rsidRDefault="00454C5C" w:rsidP="00454C5C">
      <w:pPr>
        <w:spacing w:after="160" w:line="360" w:lineRule="auto"/>
        <w:ind w:left="851" w:right="900"/>
        <w:jc w:val="both"/>
        <w:rPr>
          <w:rFonts w:ascii="Century Gothic" w:eastAsia="Calibri" w:hAnsi="Century Gothic"/>
          <w:lang w:val="es-MX" w:eastAsia="en-US"/>
        </w:rPr>
      </w:pPr>
    </w:p>
    <w:p w14:paraId="5FF88844" w14:textId="77777777" w:rsidR="00454C5C" w:rsidRPr="00454C5C" w:rsidRDefault="00454C5C" w:rsidP="00454C5C">
      <w:pPr>
        <w:spacing w:after="160" w:line="360" w:lineRule="auto"/>
        <w:ind w:left="851" w:right="900"/>
        <w:jc w:val="both"/>
        <w:rPr>
          <w:rFonts w:ascii="Century Gothic" w:eastAsia="Calibri" w:hAnsi="Century Gothic"/>
          <w:lang w:val="es-MX" w:eastAsia="en-US"/>
        </w:rPr>
      </w:pPr>
      <w:r w:rsidRPr="00454C5C">
        <w:rPr>
          <w:rFonts w:ascii="Century Gothic" w:eastAsia="Calibri" w:hAnsi="Century Gothic"/>
          <w:b/>
          <w:lang w:val="es-MX" w:eastAsia="en-US"/>
        </w:rPr>
        <w:lastRenderedPageBreak/>
        <w:t>Las entidades federativas contarán con sus propios registros.</w:t>
      </w:r>
      <w:r w:rsidRPr="00454C5C">
        <w:rPr>
          <w:rFonts w:ascii="Century Gothic" w:eastAsia="Calibri" w:hAnsi="Century Gothic"/>
          <w:lang w:val="es-MX" w:eastAsia="en-US"/>
        </w:rPr>
        <w:t xml:space="preserve"> La Federación, y las entidades federativas estarán obligadas a intercambiar, sistematizar, analizar y actualizar la información que diariamente se genere en materia de víctimas del delito y de violaciones a derechos humanos para la debida integración del Registro. </w:t>
      </w:r>
    </w:p>
    <w:p w14:paraId="5C90826D" w14:textId="77777777" w:rsidR="00454C5C" w:rsidRPr="00454C5C" w:rsidRDefault="00454C5C" w:rsidP="00454C5C">
      <w:pPr>
        <w:spacing w:after="160" w:line="360" w:lineRule="auto"/>
        <w:ind w:left="851" w:right="900"/>
        <w:jc w:val="both"/>
        <w:rPr>
          <w:rFonts w:ascii="Century Gothic" w:eastAsia="Calibri" w:hAnsi="Century Gothic"/>
          <w:lang w:val="es-MX" w:eastAsia="en-US"/>
        </w:rPr>
      </w:pPr>
      <w:r w:rsidRPr="00454C5C">
        <w:rPr>
          <w:rFonts w:ascii="Century Gothic" w:eastAsia="Calibri" w:hAnsi="Century Gothic"/>
          <w:lang w:val="es-MX" w:eastAsia="en-US"/>
        </w:rPr>
        <w:t>(…)”</w:t>
      </w:r>
    </w:p>
    <w:p w14:paraId="2EE874C1" w14:textId="77777777" w:rsidR="00454C5C" w:rsidRPr="00454C5C" w:rsidRDefault="00454C5C" w:rsidP="00454C5C">
      <w:pPr>
        <w:spacing w:after="160" w:line="360" w:lineRule="auto"/>
        <w:jc w:val="both"/>
        <w:rPr>
          <w:rFonts w:ascii="Century Gothic" w:eastAsia="Calibri" w:hAnsi="Century Gothic"/>
          <w:lang w:val="es-MX" w:eastAsia="en-US"/>
        </w:rPr>
      </w:pPr>
    </w:p>
    <w:p w14:paraId="26D3CBD5" w14:textId="77777777" w:rsidR="00454C5C" w:rsidRPr="00454C5C" w:rsidRDefault="00454C5C" w:rsidP="00454C5C">
      <w:pPr>
        <w:spacing w:after="160" w:line="360" w:lineRule="auto"/>
        <w:jc w:val="both"/>
        <w:rPr>
          <w:rFonts w:ascii="Century Gothic" w:eastAsia="Calibri" w:hAnsi="Century Gothic"/>
          <w:lang w:eastAsia="en-US"/>
        </w:rPr>
      </w:pPr>
      <w:r w:rsidRPr="00454C5C">
        <w:rPr>
          <w:rFonts w:ascii="Century Gothic" w:eastAsia="Calibri" w:hAnsi="Century Gothic"/>
          <w:lang w:eastAsia="en-US"/>
        </w:rPr>
        <w:t xml:space="preserve">El artículo 84, párrafo 8, de la referida Ley menciona: </w:t>
      </w:r>
    </w:p>
    <w:p w14:paraId="263F7B4E" w14:textId="77777777" w:rsidR="00454C5C" w:rsidRPr="00454C5C" w:rsidRDefault="00454C5C" w:rsidP="00454C5C">
      <w:pPr>
        <w:spacing w:after="160" w:line="360" w:lineRule="auto"/>
        <w:jc w:val="both"/>
        <w:rPr>
          <w:rFonts w:ascii="Century Gothic" w:eastAsia="Calibri" w:hAnsi="Century Gothic"/>
          <w:lang w:eastAsia="en-US"/>
        </w:rPr>
      </w:pPr>
    </w:p>
    <w:p w14:paraId="6C6A1967" w14:textId="77777777" w:rsidR="00454C5C" w:rsidRPr="00454C5C" w:rsidRDefault="00454C5C" w:rsidP="00454C5C">
      <w:pPr>
        <w:spacing w:after="160" w:line="360" w:lineRule="auto"/>
        <w:ind w:left="851" w:right="900"/>
        <w:jc w:val="both"/>
        <w:rPr>
          <w:rFonts w:ascii="Century Gothic" w:eastAsia="Calibri" w:hAnsi="Century Gothic"/>
          <w:lang w:eastAsia="en-US"/>
        </w:rPr>
      </w:pPr>
      <w:r w:rsidRPr="00454C5C">
        <w:rPr>
          <w:rFonts w:ascii="Century Gothic" w:eastAsia="Calibri" w:hAnsi="Century Gothic"/>
          <w:lang w:eastAsia="en-US"/>
        </w:rPr>
        <w:t>“Artículo 84. …</w:t>
      </w:r>
    </w:p>
    <w:p w14:paraId="3D5D7BDB" w14:textId="77777777" w:rsidR="00454C5C" w:rsidRPr="00454C5C" w:rsidRDefault="00454C5C" w:rsidP="00454C5C">
      <w:pPr>
        <w:spacing w:after="160" w:line="360" w:lineRule="auto"/>
        <w:ind w:left="851" w:right="900"/>
        <w:jc w:val="both"/>
        <w:rPr>
          <w:rFonts w:ascii="Century Gothic" w:eastAsia="Calibri" w:hAnsi="Century Gothic"/>
          <w:lang w:eastAsia="en-US"/>
        </w:rPr>
      </w:pPr>
      <w:r w:rsidRPr="00454C5C">
        <w:rPr>
          <w:rFonts w:ascii="Century Gothic" w:eastAsia="Calibri" w:hAnsi="Century Gothic"/>
          <w:lang w:eastAsia="en-US"/>
        </w:rPr>
        <w:t>(…)</w:t>
      </w:r>
    </w:p>
    <w:p w14:paraId="466548B7" w14:textId="77777777" w:rsidR="00454C5C" w:rsidRPr="00454C5C" w:rsidRDefault="00454C5C" w:rsidP="00454C5C">
      <w:pPr>
        <w:spacing w:after="160" w:line="360" w:lineRule="auto"/>
        <w:ind w:left="851" w:right="900"/>
        <w:jc w:val="both"/>
        <w:rPr>
          <w:rFonts w:ascii="Century Gothic" w:eastAsia="Calibri" w:hAnsi="Century Gothic"/>
          <w:lang w:eastAsia="en-US"/>
        </w:rPr>
      </w:pPr>
      <w:r w:rsidRPr="00454C5C">
        <w:rPr>
          <w:rFonts w:ascii="Century Gothic" w:eastAsia="Calibri" w:hAnsi="Century Gothic"/>
          <w:b/>
          <w:lang w:val="es-MX" w:eastAsia="en-US"/>
        </w:rPr>
        <w:t>Las entidades federativas contarán con</w:t>
      </w:r>
      <w:r w:rsidRPr="00454C5C">
        <w:rPr>
          <w:rFonts w:ascii="Century Gothic" w:eastAsia="Calibri" w:hAnsi="Century Gothic"/>
          <w:lang w:val="es-MX" w:eastAsia="en-US"/>
        </w:rPr>
        <w:t xml:space="preserve"> una asesoría jurídica, </w:t>
      </w:r>
      <w:r w:rsidRPr="00454C5C">
        <w:rPr>
          <w:rFonts w:ascii="Century Gothic" w:eastAsia="Calibri" w:hAnsi="Century Gothic"/>
          <w:b/>
          <w:lang w:val="es-MX" w:eastAsia="en-US"/>
        </w:rPr>
        <w:t>un registro de víctimas</w:t>
      </w:r>
      <w:r w:rsidRPr="00454C5C">
        <w:rPr>
          <w:rFonts w:ascii="Century Gothic" w:eastAsia="Calibri" w:hAnsi="Century Gothic"/>
          <w:lang w:val="es-MX" w:eastAsia="en-US"/>
        </w:rPr>
        <w:t xml:space="preserve"> y un Fondo estatal en los términos de esta Ley y de lo que disponga la legislación aplicable.</w:t>
      </w:r>
    </w:p>
    <w:p w14:paraId="36A36B40" w14:textId="77777777" w:rsidR="00454C5C" w:rsidRPr="00454C5C" w:rsidRDefault="00454C5C" w:rsidP="00454C5C">
      <w:pPr>
        <w:spacing w:after="160" w:line="360" w:lineRule="auto"/>
        <w:jc w:val="both"/>
        <w:rPr>
          <w:rFonts w:ascii="Century Gothic" w:eastAsia="Calibri" w:hAnsi="Century Gothic"/>
          <w:lang w:eastAsia="en-US"/>
        </w:rPr>
      </w:pPr>
    </w:p>
    <w:p w14:paraId="365636C4" w14:textId="77777777" w:rsidR="00454C5C" w:rsidRPr="00454C5C" w:rsidRDefault="00454C5C" w:rsidP="00454C5C">
      <w:pPr>
        <w:spacing w:after="160" w:line="360" w:lineRule="auto"/>
        <w:jc w:val="both"/>
        <w:rPr>
          <w:rFonts w:ascii="Century Gothic" w:eastAsia="Calibri" w:hAnsi="Century Gothic"/>
          <w:lang w:eastAsia="en-US"/>
        </w:rPr>
      </w:pPr>
      <w:r w:rsidRPr="00454C5C">
        <w:rPr>
          <w:rFonts w:ascii="Century Gothic" w:eastAsia="Calibri" w:hAnsi="Century Gothic"/>
          <w:lang w:eastAsia="en-US"/>
        </w:rPr>
        <w:t xml:space="preserve">De lo anterior podemos establecer que el constituyente federal en ejercicio de su atribución, les dio la obligación a las entidades federativas de crear un registro de víctimas interconectado con el Registro Nacional. </w:t>
      </w:r>
    </w:p>
    <w:p w14:paraId="247FBFBE" w14:textId="77777777" w:rsidR="00454C5C" w:rsidRPr="00454C5C" w:rsidRDefault="00454C5C" w:rsidP="00454C5C">
      <w:pPr>
        <w:spacing w:after="160" w:line="360" w:lineRule="auto"/>
        <w:jc w:val="both"/>
        <w:rPr>
          <w:rFonts w:ascii="Century Gothic" w:eastAsia="Calibri" w:hAnsi="Century Gothic"/>
          <w:lang w:val="es-MX" w:eastAsia="en-US"/>
        </w:rPr>
      </w:pPr>
    </w:p>
    <w:p w14:paraId="53EB9AE3" w14:textId="77777777" w:rsidR="00454C5C" w:rsidRPr="00454C5C" w:rsidRDefault="00454C5C" w:rsidP="00454C5C">
      <w:pPr>
        <w:spacing w:after="160" w:line="360" w:lineRule="auto"/>
        <w:jc w:val="both"/>
        <w:rPr>
          <w:rFonts w:ascii="Century Gothic" w:eastAsia="Calibri" w:hAnsi="Century Gothic"/>
          <w:lang w:val="es-MX" w:eastAsia="en-US"/>
        </w:rPr>
      </w:pPr>
      <w:r w:rsidRPr="00454C5C">
        <w:rPr>
          <w:rFonts w:ascii="Century Gothic" w:eastAsia="Calibri" w:hAnsi="Century Gothic"/>
          <w:lang w:val="es-MX" w:eastAsia="en-US"/>
        </w:rPr>
        <w:lastRenderedPageBreak/>
        <w:t xml:space="preserve">Este registro estatal contendrá el padrón de víctimas, por ende, si tomamos en consideración que, para estos efectos, Víctima, está integrada por aquellas personas que directa o indirectamente han sufrido un daño o menoscabo es sus derechos, el Registro Estatal está integrado por víctimas directas o indirectas. </w:t>
      </w:r>
    </w:p>
    <w:p w14:paraId="10A1DF84" w14:textId="77777777" w:rsidR="00454C5C" w:rsidRPr="00454C5C" w:rsidRDefault="00454C5C" w:rsidP="00454C5C">
      <w:pPr>
        <w:spacing w:after="160" w:line="360" w:lineRule="auto"/>
        <w:jc w:val="both"/>
        <w:rPr>
          <w:rFonts w:ascii="Century Gothic" w:eastAsia="Calibri" w:hAnsi="Century Gothic"/>
          <w:lang w:val="es-MX" w:eastAsia="en-US"/>
        </w:rPr>
      </w:pPr>
    </w:p>
    <w:p w14:paraId="2D0897C2" w14:textId="77777777" w:rsidR="00454C5C" w:rsidRPr="00454C5C" w:rsidRDefault="00454C5C" w:rsidP="00454C5C">
      <w:pPr>
        <w:spacing w:after="160" w:line="360" w:lineRule="auto"/>
        <w:jc w:val="both"/>
        <w:rPr>
          <w:rFonts w:ascii="Century Gothic" w:eastAsia="Calibri" w:hAnsi="Century Gothic"/>
          <w:lang w:val="es-MX" w:eastAsia="en-US"/>
        </w:rPr>
      </w:pPr>
      <w:r w:rsidRPr="00454C5C">
        <w:rPr>
          <w:rFonts w:ascii="Century Gothic" w:eastAsia="Calibri" w:hAnsi="Century Gothic"/>
          <w:lang w:val="es-MX" w:eastAsia="en-US"/>
        </w:rPr>
        <w:t xml:space="preserve">Por ende, la </w:t>
      </w:r>
      <w:r w:rsidRPr="00454C5C">
        <w:rPr>
          <w:rFonts w:ascii="Century Gothic" w:eastAsia="Calibri" w:hAnsi="Century Gothic"/>
          <w:i/>
          <w:lang w:val="es-MX" w:eastAsia="en-US"/>
        </w:rPr>
        <w:t>forma</w:t>
      </w:r>
      <w:r w:rsidRPr="00454C5C">
        <w:rPr>
          <w:rFonts w:ascii="Century Gothic" w:eastAsia="Calibri" w:hAnsi="Century Gothic"/>
          <w:lang w:val="es-MX" w:eastAsia="en-US"/>
        </w:rPr>
        <w:t xml:space="preserve"> y </w:t>
      </w:r>
      <w:r w:rsidRPr="00454C5C">
        <w:rPr>
          <w:rFonts w:ascii="Century Gothic" w:eastAsia="Calibri" w:hAnsi="Century Gothic"/>
          <w:i/>
          <w:lang w:val="es-MX" w:eastAsia="en-US"/>
        </w:rPr>
        <w:t>términos</w:t>
      </w:r>
      <w:r w:rsidRPr="00454C5C">
        <w:rPr>
          <w:rFonts w:ascii="Century Gothic" w:eastAsia="Calibri" w:hAnsi="Century Gothic"/>
          <w:lang w:val="es-MX" w:eastAsia="en-US"/>
        </w:rPr>
        <w:t xml:space="preserve"> en que deberá integrarse el Registro Estatal ha sido definida por el legislador federal, de ahí que, aunque sea una facultad concurrente y pareciera que estamos ampliando la obligación registral a la Comisión Ejecutiva Estatal al crear “un padrón de víctimas indirectas” esto resultaría ser una ficción normativa porque la obligación ya existe y lo vigente sigue los parámetros de una técnica legislativa al ser general y abstracta.</w:t>
      </w:r>
    </w:p>
    <w:p w14:paraId="3DB2A7EC" w14:textId="77777777" w:rsidR="00454C5C" w:rsidRPr="00454C5C" w:rsidRDefault="00454C5C" w:rsidP="00454C5C">
      <w:pPr>
        <w:spacing w:after="160" w:line="360" w:lineRule="auto"/>
        <w:jc w:val="both"/>
        <w:rPr>
          <w:rFonts w:ascii="Century Gothic" w:eastAsia="Calibri" w:hAnsi="Century Gothic"/>
          <w:lang w:val="es-MX" w:eastAsia="en-US"/>
        </w:rPr>
      </w:pPr>
    </w:p>
    <w:p w14:paraId="09E0D64A" w14:textId="77777777" w:rsidR="00454C5C" w:rsidRDefault="00454C5C" w:rsidP="00454C5C">
      <w:pPr>
        <w:spacing w:after="160" w:line="360" w:lineRule="auto"/>
        <w:jc w:val="both"/>
        <w:rPr>
          <w:rFonts w:ascii="Century Gothic" w:eastAsia="Calibri" w:hAnsi="Century Gothic"/>
          <w:lang w:val="es-MX" w:eastAsia="en-US"/>
        </w:rPr>
      </w:pPr>
      <w:r w:rsidRPr="00454C5C">
        <w:rPr>
          <w:rFonts w:ascii="Century Gothic" w:eastAsia="Calibri" w:hAnsi="Century Gothic"/>
          <w:lang w:val="es-MX" w:eastAsia="en-US"/>
        </w:rPr>
        <w:t>En cumplimiento a lo anterior, nuestra legislación estatal en la Ley de Víctimas para el Estado de Chihuahua, establece en varias disposiciones como las contempladas en la fracción IX del artículo 5, o las referidas en el artículo 22 al 37, entre otras, todo lo referente al Registro Estatal, en armonía con la disposición general.</w:t>
      </w:r>
    </w:p>
    <w:p w14:paraId="11898849" w14:textId="77777777" w:rsidR="00DC3178" w:rsidRDefault="00DC3178" w:rsidP="00454C5C">
      <w:pPr>
        <w:spacing w:after="160" w:line="360" w:lineRule="auto"/>
        <w:jc w:val="both"/>
        <w:rPr>
          <w:rFonts w:ascii="Century Gothic" w:eastAsia="Calibri" w:hAnsi="Century Gothic"/>
          <w:lang w:val="es-MX" w:eastAsia="en-US"/>
        </w:rPr>
      </w:pPr>
    </w:p>
    <w:p w14:paraId="643E2339" w14:textId="77777777" w:rsidR="00DC3178" w:rsidRDefault="00DC3178" w:rsidP="00454C5C">
      <w:pPr>
        <w:spacing w:after="160" w:line="360" w:lineRule="auto"/>
        <w:jc w:val="both"/>
        <w:rPr>
          <w:rFonts w:ascii="Century Gothic" w:eastAsia="Calibri" w:hAnsi="Century Gothic"/>
          <w:lang w:val="es-MX" w:eastAsia="en-US"/>
        </w:rPr>
      </w:pPr>
      <w:r>
        <w:rPr>
          <w:rFonts w:ascii="Century Gothic" w:eastAsia="Calibri" w:hAnsi="Century Gothic"/>
          <w:lang w:val="es-MX" w:eastAsia="en-US"/>
        </w:rPr>
        <w:t>En resumen, el padrón de víctimas, establecido en la legislación vigente referida con anterioridad, sienta las bases jurídicas para registrar tanto víctimas directas como indirectas, de ahí que la propuesta se encuentre satisfecha.</w:t>
      </w:r>
    </w:p>
    <w:p w14:paraId="3EDA1F38" w14:textId="77777777" w:rsidR="007039A4" w:rsidRPr="00454C5C" w:rsidRDefault="007039A4" w:rsidP="00454C5C">
      <w:pPr>
        <w:spacing w:after="160" w:line="360" w:lineRule="auto"/>
        <w:jc w:val="both"/>
        <w:rPr>
          <w:rFonts w:ascii="Century Gothic" w:eastAsia="Calibri" w:hAnsi="Century Gothic"/>
          <w:lang w:val="es-MX" w:eastAsia="en-US"/>
        </w:rPr>
      </w:pPr>
    </w:p>
    <w:p w14:paraId="50EC7532" w14:textId="77777777" w:rsidR="0014239A" w:rsidRPr="0014239A" w:rsidRDefault="00DC3178" w:rsidP="0014239A">
      <w:pPr>
        <w:spacing w:line="360" w:lineRule="auto"/>
        <w:rPr>
          <w:rFonts w:ascii="Century Gothic" w:hAnsi="Century Gothic" w:cs="Arial"/>
          <w:bCs/>
        </w:rPr>
      </w:pPr>
      <w:r w:rsidRPr="00DC3178">
        <w:rPr>
          <w:rFonts w:ascii="Century Gothic" w:hAnsi="Century Gothic" w:cs="Arial"/>
          <w:b/>
          <w:bCs/>
        </w:rPr>
        <w:lastRenderedPageBreak/>
        <w:t>V.</w:t>
      </w:r>
      <w:r>
        <w:rPr>
          <w:rFonts w:ascii="Century Gothic" w:hAnsi="Century Gothic" w:cs="Arial"/>
          <w:bCs/>
        </w:rPr>
        <w:t xml:space="preserve"> </w:t>
      </w:r>
      <w:r w:rsidR="0014239A" w:rsidRPr="0014239A">
        <w:rPr>
          <w:rFonts w:ascii="Century Gothic" w:hAnsi="Century Gothic" w:cs="Arial"/>
          <w:bCs/>
        </w:rPr>
        <w:t>En mérito de las reflexiones anteriormente expuestas, la Comisión de Justicia, somete a la consideración del Pleno el siguiente proyecto de:</w:t>
      </w:r>
    </w:p>
    <w:p w14:paraId="1A58CE71" w14:textId="77777777" w:rsidR="0014239A" w:rsidRDefault="0014239A" w:rsidP="0014239A">
      <w:pPr>
        <w:pStyle w:val="Normal1"/>
        <w:tabs>
          <w:tab w:val="left" w:pos="993"/>
        </w:tabs>
        <w:spacing w:line="360" w:lineRule="auto"/>
        <w:jc w:val="center"/>
        <w:rPr>
          <w:rFonts w:ascii="Century Gothic" w:eastAsia="Arial" w:hAnsi="Century Gothic" w:cs="Arial"/>
          <w:b/>
        </w:rPr>
      </w:pPr>
    </w:p>
    <w:p w14:paraId="5BF47F45" w14:textId="77777777" w:rsidR="005A0C94" w:rsidRDefault="005A0C94" w:rsidP="0014239A">
      <w:pPr>
        <w:pStyle w:val="Normal1"/>
        <w:tabs>
          <w:tab w:val="left" w:pos="993"/>
        </w:tabs>
        <w:spacing w:line="360" w:lineRule="auto"/>
        <w:jc w:val="center"/>
        <w:rPr>
          <w:rFonts w:ascii="Century Gothic" w:eastAsia="Arial" w:hAnsi="Century Gothic" w:cs="Arial"/>
          <w:b/>
        </w:rPr>
      </w:pPr>
    </w:p>
    <w:p w14:paraId="4DC35913" w14:textId="77777777" w:rsidR="0014239A" w:rsidRPr="004162A0" w:rsidRDefault="0014239A" w:rsidP="0014239A">
      <w:pPr>
        <w:pStyle w:val="Normal1"/>
        <w:tabs>
          <w:tab w:val="left" w:pos="993"/>
        </w:tabs>
        <w:spacing w:line="360" w:lineRule="auto"/>
        <w:jc w:val="center"/>
        <w:rPr>
          <w:rFonts w:ascii="Century Gothic" w:eastAsia="Arial" w:hAnsi="Century Gothic" w:cs="Arial"/>
          <w:b/>
          <w:sz w:val="28"/>
        </w:rPr>
      </w:pPr>
      <w:r w:rsidRPr="004162A0">
        <w:rPr>
          <w:rFonts w:ascii="Century Gothic" w:eastAsia="Arial" w:hAnsi="Century Gothic" w:cs="Arial"/>
          <w:b/>
          <w:sz w:val="28"/>
        </w:rPr>
        <w:t>A C U E R D O</w:t>
      </w:r>
    </w:p>
    <w:p w14:paraId="5A3D1407" w14:textId="77777777" w:rsidR="0014239A" w:rsidRDefault="0014239A" w:rsidP="0014239A">
      <w:pPr>
        <w:pStyle w:val="Normal1"/>
        <w:tabs>
          <w:tab w:val="left" w:pos="993"/>
        </w:tabs>
        <w:spacing w:line="360" w:lineRule="auto"/>
        <w:jc w:val="center"/>
        <w:rPr>
          <w:rFonts w:ascii="Century Gothic" w:eastAsia="Arial" w:hAnsi="Century Gothic" w:cs="Arial"/>
          <w:b/>
        </w:rPr>
      </w:pPr>
    </w:p>
    <w:p w14:paraId="7436407C" w14:textId="77777777" w:rsidR="005A0C94" w:rsidRPr="00433518" w:rsidRDefault="005A0C94" w:rsidP="0014239A">
      <w:pPr>
        <w:pStyle w:val="Normal1"/>
        <w:tabs>
          <w:tab w:val="left" w:pos="993"/>
        </w:tabs>
        <w:spacing w:line="360" w:lineRule="auto"/>
        <w:jc w:val="center"/>
        <w:rPr>
          <w:rFonts w:ascii="Century Gothic" w:eastAsia="Arial" w:hAnsi="Century Gothic" w:cs="Arial"/>
          <w:b/>
        </w:rPr>
      </w:pPr>
    </w:p>
    <w:p w14:paraId="6054BD1F" w14:textId="77777777" w:rsidR="0014239A" w:rsidRDefault="00DC3178" w:rsidP="0014239A">
      <w:pPr>
        <w:spacing w:line="360" w:lineRule="auto"/>
        <w:jc w:val="both"/>
        <w:rPr>
          <w:rFonts w:ascii="Century Gothic" w:hAnsi="Century Gothic" w:cs="Arial"/>
        </w:rPr>
      </w:pPr>
      <w:r>
        <w:rPr>
          <w:rFonts w:ascii="Century Gothic" w:hAnsi="Century Gothic" w:cs="Arial"/>
          <w:b/>
          <w:sz w:val="28"/>
          <w:szCs w:val="28"/>
        </w:rPr>
        <w:t>ÚNICO</w:t>
      </w:r>
      <w:r w:rsidR="0014239A" w:rsidRPr="00934A9E">
        <w:rPr>
          <w:rFonts w:ascii="Century Gothic" w:hAnsi="Century Gothic" w:cs="Arial"/>
          <w:b/>
          <w:sz w:val="28"/>
          <w:szCs w:val="28"/>
        </w:rPr>
        <w:t>.-</w:t>
      </w:r>
      <w:r w:rsidR="0014239A" w:rsidRPr="006618E1">
        <w:rPr>
          <w:rFonts w:ascii="Century Gothic" w:hAnsi="Century Gothic" w:cs="Arial"/>
        </w:rPr>
        <w:t xml:space="preserve"> </w:t>
      </w:r>
      <w:r w:rsidR="0014239A" w:rsidRPr="00934A9E">
        <w:rPr>
          <w:rFonts w:ascii="Century Gothic" w:hAnsi="Century Gothic" w:cs="Arial"/>
        </w:rPr>
        <w:t xml:space="preserve">La Sexagésima Sexta Legislatura del Honorable Congreso del Estado de Chihuahua, da por </w:t>
      </w:r>
      <w:r>
        <w:rPr>
          <w:rFonts w:ascii="Century Gothic" w:hAnsi="Century Gothic" w:cs="Arial"/>
        </w:rPr>
        <w:t>satisfecha</w:t>
      </w:r>
      <w:r w:rsidR="0014239A" w:rsidRPr="00934A9E">
        <w:rPr>
          <w:rFonts w:ascii="Century Gothic" w:hAnsi="Century Gothic" w:cs="Arial"/>
        </w:rPr>
        <w:t xml:space="preserve"> la</w:t>
      </w:r>
      <w:r w:rsidR="0014239A">
        <w:rPr>
          <w:rFonts w:ascii="Century Gothic" w:hAnsi="Century Gothic" w:cs="Arial"/>
        </w:rPr>
        <w:t xml:space="preserve"> </w:t>
      </w:r>
      <w:r w:rsidR="0014239A" w:rsidRPr="00934A9E">
        <w:rPr>
          <w:rFonts w:ascii="Century Gothic" w:hAnsi="Century Gothic" w:cs="Arial"/>
        </w:rPr>
        <w:t xml:space="preserve">Iniciativa con carácter </w:t>
      </w:r>
      <w:r w:rsidR="0014239A" w:rsidRPr="00F15509">
        <w:rPr>
          <w:rFonts w:ascii="Century Gothic" w:hAnsi="Century Gothic" w:cs="Arial"/>
        </w:rPr>
        <w:t xml:space="preserve">de </w:t>
      </w:r>
      <w:r w:rsidR="00FE4EDA" w:rsidRPr="00F15509">
        <w:rPr>
          <w:rFonts w:ascii="Century Gothic" w:hAnsi="Century Gothic" w:cs="Arial"/>
          <w:shd w:val="clear" w:color="auto" w:fill="FAF8F6"/>
        </w:rPr>
        <w:t xml:space="preserve">decreto, a fin de </w:t>
      </w:r>
      <w:r w:rsidR="00DA156C" w:rsidRPr="00F67CAC">
        <w:rPr>
          <w:rFonts w:ascii="Century Gothic" w:hAnsi="Century Gothic" w:cs="Arial"/>
          <w:shd w:val="clear" w:color="auto" w:fill="FAF8F6"/>
        </w:rPr>
        <w:t>adicionar diversas disposiciones a los artículos 5, 14 y 20 de la Ley de Víctimas para el Estado de Chihuahua, relativo al padrón de víctimas indirectas</w:t>
      </w:r>
      <w:r w:rsidR="0014239A" w:rsidRPr="00F15509">
        <w:rPr>
          <w:rFonts w:ascii="Century Gothic" w:hAnsi="Century Gothic" w:cs="Arial"/>
        </w:rPr>
        <w:t>;</w:t>
      </w:r>
      <w:r>
        <w:rPr>
          <w:rFonts w:ascii="Century Gothic" w:hAnsi="Century Gothic" w:cs="Arial"/>
        </w:rPr>
        <w:t xml:space="preserve"> toda vez que el </w:t>
      </w:r>
      <w:r w:rsidRPr="00DC3178">
        <w:rPr>
          <w:rFonts w:ascii="Century Gothic" w:hAnsi="Century Gothic" w:cs="Arial"/>
          <w:lang w:val="es-MX"/>
        </w:rPr>
        <w:t>artículo 6 fracciones XVI y XIX</w:t>
      </w:r>
      <w:r>
        <w:rPr>
          <w:rFonts w:ascii="Century Gothic" w:hAnsi="Century Gothic" w:cs="Arial"/>
          <w:lang w:val="es-MX"/>
        </w:rPr>
        <w:t xml:space="preserve">; 96 y 84, de la Ley General de Víctimas, en relación con </w:t>
      </w:r>
      <w:r w:rsidRPr="00DC3178">
        <w:rPr>
          <w:rFonts w:ascii="Century Gothic" w:hAnsi="Century Gothic" w:cs="Arial"/>
          <w:lang w:val="es-MX"/>
        </w:rPr>
        <w:t>la fracción IX del artículo 5, artículo 22 al 37</w:t>
      </w:r>
      <w:r>
        <w:rPr>
          <w:rFonts w:ascii="Century Gothic" w:hAnsi="Century Gothic" w:cs="Arial"/>
          <w:lang w:val="es-MX"/>
        </w:rPr>
        <w:t xml:space="preserve"> de la Ley de Víctimas para el Estado de Chihuahua, permiten el registro de victimas indirectas.</w:t>
      </w:r>
    </w:p>
    <w:p w14:paraId="2DE833A4" w14:textId="77777777" w:rsidR="00790B95" w:rsidRDefault="00790B95" w:rsidP="0014239A">
      <w:pPr>
        <w:spacing w:line="360" w:lineRule="auto"/>
        <w:jc w:val="both"/>
        <w:rPr>
          <w:rFonts w:ascii="Century Gothic" w:hAnsi="Century Gothic" w:cs="Arial"/>
        </w:rPr>
      </w:pPr>
    </w:p>
    <w:p w14:paraId="4011EB34" w14:textId="77777777" w:rsidR="0014239A" w:rsidRDefault="0014239A" w:rsidP="0014239A">
      <w:pPr>
        <w:spacing w:line="360" w:lineRule="auto"/>
        <w:jc w:val="both"/>
        <w:rPr>
          <w:rFonts w:ascii="Century Gothic" w:hAnsi="Century Gothic"/>
        </w:rPr>
      </w:pPr>
      <w:r w:rsidRPr="00135B1B">
        <w:rPr>
          <w:rFonts w:ascii="Century Gothic" w:hAnsi="Century Gothic"/>
          <w:b/>
        </w:rPr>
        <w:t>Económico.-</w:t>
      </w:r>
      <w:r w:rsidRPr="006E73CB">
        <w:rPr>
          <w:rFonts w:ascii="Century Gothic" w:hAnsi="Century Gothic"/>
        </w:rPr>
        <w:t xml:space="preserve"> </w:t>
      </w:r>
      <w:r w:rsidRPr="001C66B6">
        <w:rPr>
          <w:rFonts w:ascii="Century Gothic" w:hAnsi="Century Gothic"/>
        </w:rPr>
        <w:t>Aprobado que sea, túrnese a la Secretaría para los efectos legales correspondientes.</w:t>
      </w:r>
    </w:p>
    <w:p w14:paraId="0A78EE74" w14:textId="77777777" w:rsidR="0014239A" w:rsidRPr="005C4A3E" w:rsidRDefault="0014239A" w:rsidP="0014239A">
      <w:pPr>
        <w:spacing w:line="360" w:lineRule="auto"/>
        <w:jc w:val="both"/>
        <w:rPr>
          <w:rFonts w:ascii="Century Gothic" w:hAnsi="Century Gothic" w:cs="Arial"/>
        </w:rPr>
      </w:pPr>
    </w:p>
    <w:p w14:paraId="5C609355" w14:textId="77777777" w:rsidR="0014239A" w:rsidRDefault="0014239A" w:rsidP="0014239A">
      <w:pPr>
        <w:spacing w:line="360" w:lineRule="auto"/>
        <w:jc w:val="both"/>
        <w:rPr>
          <w:rFonts w:ascii="Century Gothic" w:hAnsi="Century Gothic"/>
        </w:rPr>
      </w:pPr>
      <w:r w:rsidRPr="006618E1">
        <w:rPr>
          <w:rFonts w:ascii="Century Gothic" w:hAnsi="Century Gothic"/>
          <w:b/>
        </w:rPr>
        <w:t xml:space="preserve">D A D O </w:t>
      </w:r>
      <w:r w:rsidRPr="006618E1">
        <w:rPr>
          <w:rFonts w:ascii="Century Gothic" w:hAnsi="Century Gothic"/>
        </w:rPr>
        <w:t xml:space="preserve">en el Salón de Sesiones del Poder Legislativo, </w:t>
      </w:r>
      <w:r>
        <w:rPr>
          <w:rFonts w:ascii="Century Gothic" w:hAnsi="Century Gothic"/>
        </w:rPr>
        <w:t>en la ciudad de Chihuahua, Chihuahua</w:t>
      </w:r>
      <w:r w:rsidRPr="006618E1">
        <w:rPr>
          <w:rFonts w:ascii="Century Gothic" w:hAnsi="Century Gothic"/>
        </w:rPr>
        <w:t xml:space="preserve">, a los </w:t>
      </w:r>
      <w:r w:rsidR="004F2BB4">
        <w:rPr>
          <w:rFonts w:ascii="Century Gothic" w:hAnsi="Century Gothic"/>
        </w:rPr>
        <w:t>11</w:t>
      </w:r>
      <w:r w:rsidRPr="006618E1">
        <w:rPr>
          <w:rFonts w:ascii="Century Gothic" w:hAnsi="Century Gothic"/>
        </w:rPr>
        <w:t xml:space="preserve"> días del mes de </w:t>
      </w:r>
      <w:r w:rsidR="00111DB5">
        <w:rPr>
          <w:rFonts w:ascii="Century Gothic" w:hAnsi="Century Gothic"/>
        </w:rPr>
        <w:t>septiembre</w:t>
      </w:r>
      <w:r w:rsidRPr="006618E1">
        <w:rPr>
          <w:rFonts w:ascii="Century Gothic" w:hAnsi="Century Gothic"/>
        </w:rPr>
        <w:t xml:space="preserve"> del año </w:t>
      </w:r>
      <w:r>
        <w:rPr>
          <w:rFonts w:ascii="Century Gothic" w:hAnsi="Century Gothic"/>
        </w:rPr>
        <w:t>20</w:t>
      </w:r>
      <w:r w:rsidR="00F15509">
        <w:rPr>
          <w:rFonts w:ascii="Century Gothic" w:hAnsi="Century Gothic"/>
        </w:rPr>
        <w:t>20</w:t>
      </w:r>
      <w:r>
        <w:rPr>
          <w:rFonts w:ascii="Century Gothic" w:hAnsi="Century Gothic"/>
        </w:rPr>
        <w:t>.</w:t>
      </w:r>
    </w:p>
    <w:p w14:paraId="000110C1" w14:textId="77777777" w:rsidR="00A1082E" w:rsidRDefault="00A1082E" w:rsidP="002E2CD6">
      <w:pPr>
        <w:spacing w:line="360" w:lineRule="auto"/>
        <w:ind w:right="332"/>
        <w:jc w:val="both"/>
        <w:rPr>
          <w:rFonts w:ascii="Century Gothic" w:hAnsi="Century Gothic" w:cs="Arial"/>
        </w:rPr>
      </w:pPr>
    </w:p>
    <w:p w14:paraId="43EC6CAB" w14:textId="77777777" w:rsidR="005A0C94" w:rsidRDefault="005A0C94" w:rsidP="002E2CD6">
      <w:pPr>
        <w:spacing w:line="360" w:lineRule="auto"/>
        <w:ind w:right="332"/>
        <w:jc w:val="both"/>
        <w:rPr>
          <w:rFonts w:ascii="Century Gothic" w:hAnsi="Century Gothic" w:cs="Arial"/>
        </w:rPr>
      </w:pPr>
    </w:p>
    <w:p w14:paraId="6011AA92" w14:textId="77777777" w:rsidR="005A0C94" w:rsidRDefault="005A0C94" w:rsidP="002E2CD6">
      <w:pPr>
        <w:spacing w:line="360" w:lineRule="auto"/>
        <w:ind w:right="332"/>
        <w:jc w:val="both"/>
        <w:rPr>
          <w:rFonts w:ascii="Century Gothic" w:hAnsi="Century Gothic" w:cs="Arial"/>
        </w:rPr>
      </w:pPr>
    </w:p>
    <w:p w14:paraId="20C9918F" w14:textId="77777777" w:rsidR="004613AA" w:rsidRPr="006618E1" w:rsidRDefault="00A1082E" w:rsidP="004613AA">
      <w:pPr>
        <w:spacing w:line="360" w:lineRule="auto"/>
        <w:jc w:val="center"/>
        <w:rPr>
          <w:rFonts w:ascii="Century Gothic" w:hAnsi="Century Gothic" w:cs="Arial"/>
          <w:b/>
          <w:spacing w:val="10"/>
        </w:rPr>
      </w:pPr>
      <w:r w:rsidRPr="00036A35">
        <w:rPr>
          <w:rFonts w:ascii="Century Gothic" w:hAnsi="Century Gothic" w:cs="Arial"/>
          <w:b/>
          <w:spacing w:val="10"/>
        </w:rPr>
        <w:lastRenderedPageBreak/>
        <w:t>Así lo aprobó</w:t>
      </w:r>
      <w:bookmarkStart w:id="0" w:name="_GoBack"/>
      <w:bookmarkEnd w:id="0"/>
      <w:r w:rsidRPr="00036A35">
        <w:rPr>
          <w:rFonts w:ascii="Century Gothic" w:hAnsi="Century Gothic" w:cs="Arial"/>
          <w:b/>
          <w:spacing w:val="10"/>
        </w:rPr>
        <w:t xml:space="preserve"> la Comisión de </w:t>
      </w:r>
      <w:r w:rsidR="00B153CF">
        <w:rPr>
          <w:rFonts w:ascii="Century Gothic" w:hAnsi="Century Gothic" w:cs="Arial"/>
          <w:b/>
          <w:spacing w:val="10"/>
        </w:rPr>
        <w:t>Justicia</w:t>
      </w:r>
      <w:r w:rsidRPr="00036A35">
        <w:rPr>
          <w:rFonts w:ascii="Century Gothic" w:hAnsi="Century Gothic" w:cs="Arial"/>
          <w:b/>
          <w:spacing w:val="10"/>
        </w:rPr>
        <w:t>, en reunión de fecha</w:t>
      </w:r>
      <w:r>
        <w:rPr>
          <w:rFonts w:ascii="Century Gothic" w:hAnsi="Century Gothic" w:cs="Arial"/>
          <w:b/>
          <w:spacing w:val="10"/>
        </w:rPr>
        <w:t xml:space="preserve"> </w:t>
      </w:r>
      <w:r w:rsidR="00111DB5">
        <w:rPr>
          <w:rFonts w:ascii="Century Gothic" w:hAnsi="Century Gothic" w:cs="Arial"/>
          <w:b/>
          <w:spacing w:val="10"/>
        </w:rPr>
        <w:t>07 de septiembre</w:t>
      </w:r>
      <w:r>
        <w:rPr>
          <w:rFonts w:ascii="Century Gothic" w:hAnsi="Century Gothic" w:cs="Arial"/>
          <w:b/>
          <w:spacing w:val="10"/>
        </w:rPr>
        <w:t xml:space="preserve"> de 2020</w:t>
      </w:r>
      <w:r w:rsidRPr="00036A35">
        <w:rPr>
          <w:rFonts w:ascii="Century Gothic" w:hAnsi="Century Gothic" w:cs="Arial"/>
          <w:b/>
          <w:spacing w:val="10"/>
        </w:rPr>
        <w:t>.</w:t>
      </w:r>
      <w:r w:rsidR="004613AA" w:rsidRPr="004613AA">
        <w:rPr>
          <w:rFonts w:ascii="Century Gothic" w:hAnsi="Century Gothic" w:cs="Arial"/>
          <w:b/>
          <w:spacing w:val="10"/>
        </w:rPr>
        <w:t xml:space="preserve"> </w:t>
      </w:r>
    </w:p>
    <w:tbl>
      <w:tblPr>
        <w:tblW w:w="9790"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5"/>
        <w:gridCol w:w="2700"/>
        <w:gridCol w:w="1620"/>
        <w:gridCol w:w="1751"/>
        <w:gridCol w:w="1824"/>
      </w:tblGrid>
      <w:tr w:rsidR="005A0C94" w:rsidRPr="006618E1" w14:paraId="7787850C" w14:textId="77777777" w:rsidTr="005A0C94">
        <w:trPr>
          <w:trHeight w:val="323"/>
        </w:trPr>
        <w:tc>
          <w:tcPr>
            <w:tcW w:w="1895" w:type="dxa"/>
          </w:tcPr>
          <w:p w14:paraId="6FE1F1B7" w14:textId="77777777" w:rsidR="004613AA" w:rsidRPr="006618E1" w:rsidRDefault="004613AA" w:rsidP="005A0C94">
            <w:pPr>
              <w:tabs>
                <w:tab w:val="center" w:pos="4570"/>
                <w:tab w:val="right" w:pos="8504"/>
              </w:tabs>
              <w:spacing w:line="276" w:lineRule="auto"/>
              <w:ind w:right="-122"/>
              <w:jc w:val="center"/>
              <w:rPr>
                <w:rFonts w:ascii="Century Gothic" w:hAnsi="Century Gothic" w:cs="Arial"/>
                <w:b/>
              </w:rPr>
            </w:pPr>
          </w:p>
        </w:tc>
        <w:tc>
          <w:tcPr>
            <w:tcW w:w="2700" w:type="dxa"/>
          </w:tcPr>
          <w:p w14:paraId="4A02E05B" w14:textId="77777777" w:rsidR="004613AA" w:rsidRPr="006618E1" w:rsidRDefault="004613AA" w:rsidP="005A0C94">
            <w:pPr>
              <w:tabs>
                <w:tab w:val="center" w:pos="4252"/>
                <w:tab w:val="right" w:pos="8504"/>
              </w:tabs>
              <w:spacing w:line="276" w:lineRule="auto"/>
              <w:jc w:val="center"/>
              <w:rPr>
                <w:rFonts w:ascii="Century Gothic" w:hAnsi="Century Gothic" w:cs="Arial"/>
                <w:b/>
              </w:rPr>
            </w:pPr>
            <w:r w:rsidRPr="00E65D55">
              <w:rPr>
                <w:rFonts w:ascii="Century Gothic" w:hAnsi="Century Gothic" w:cs="Arial"/>
                <w:b/>
              </w:rPr>
              <w:t>INTEGRANTES</w:t>
            </w:r>
          </w:p>
        </w:tc>
        <w:tc>
          <w:tcPr>
            <w:tcW w:w="1620" w:type="dxa"/>
          </w:tcPr>
          <w:p w14:paraId="6B65EC08" w14:textId="77777777" w:rsidR="004613AA" w:rsidRPr="006618E1" w:rsidRDefault="004613AA" w:rsidP="005A0C94">
            <w:pPr>
              <w:tabs>
                <w:tab w:val="center" w:pos="4252"/>
                <w:tab w:val="right" w:pos="8504"/>
              </w:tabs>
              <w:spacing w:line="276" w:lineRule="auto"/>
              <w:jc w:val="center"/>
              <w:rPr>
                <w:rFonts w:ascii="Century Gothic" w:hAnsi="Century Gothic" w:cs="Arial"/>
                <w:b/>
              </w:rPr>
            </w:pPr>
            <w:r w:rsidRPr="00E65D55">
              <w:rPr>
                <w:rFonts w:ascii="Century Gothic" w:hAnsi="Century Gothic" w:cs="Arial"/>
                <w:b/>
              </w:rPr>
              <w:t>A FAVOR</w:t>
            </w:r>
          </w:p>
        </w:tc>
        <w:tc>
          <w:tcPr>
            <w:tcW w:w="1751" w:type="dxa"/>
          </w:tcPr>
          <w:p w14:paraId="401CDB1A" w14:textId="77777777" w:rsidR="004613AA" w:rsidRPr="006618E1" w:rsidRDefault="004613AA" w:rsidP="005A0C94">
            <w:pPr>
              <w:tabs>
                <w:tab w:val="center" w:pos="4252"/>
                <w:tab w:val="right" w:pos="8504"/>
              </w:tabs>
              <w:spacing w:line="276" w:lineRule="auto"/>
              <w:jc w:val="center"/>
              <w:rPr>
                <w:rFonts w:ascii="Century Gothic" w:hAnsi="Century Gothic" w:cs="Arial"/>
                <w:b/>
              </w:rPr>
            </w:pPr>
            <w:r w:rsidRPr="00C507D4">
              <w:rPr>
                <w:rFonts w:ascii="Century Gothic" w:hAnsi="Century Gothic" w:cs="Arial"/>
                <w:b/>
                <w:color w:val="000000"/>
              </w:rPr>
              <w:t>EN CONTRA</w:t>
            </w:r>
          </w:p>
        </w:tc>
        <w:tc>
          <w:tcPr>
            <w:tcW w:w="1824" w:type="dxa"/>
          </w:tcPr>
          <w:p w14:paraId="2E0E5960" w14:textId="77777777" w:rsidR="004613AA" w:rsidRPr="006618E1" w:rsidRDefault="004613AA" w:rsidP="005A0C94">
            <w:pPr>
              <w:tabs>
                <w:tab w:val="center" w:pos="4252"/>
                <w:tab w:val="right" w:pos="8504"/>
              </w:tabs>
              <w:spacing w:line="276" w:lineRule="auto"/>
              <w:jc w:val="center"/>
              <w:rPr>
                <w:rFonts w:ascii="Century Gothic" w:hAnsi="Century Gothic" w:cs="Arial"/>
                <w:b/>
              </w:rPr>
            </w:pPr>
            <w:r w:rsidRPr="00B3721F">
              <w:rPr>
                <w:rFonts w:ascii="Century Gothic" w:hAnsi="Century Gothic" w:cs="Arial"/>
                <w:b/>
              </w:rPr>
              <w:t>ABSTENCIÓN</w:t>
            </w:r>
          </w:p>
        </w:tc>
      </w:tr>
      <w:tr w:rsidR="005A0C94" w:rsidRPr="006618E1" w14:paraId="1FADE7A8" w14:textId="77777777" w:rsidTr="005A0C94">
        <w:trPr>
          <w:trHeight w:val="1709"/>
        </w:trPr>
        <w:tc>
          <w:tcPr>
            <w:tcW w:w="1895" w:type="dxa"/>
          </w:tcPr>
          <w:p w14:paraId="25082103" w14:textId="77777777" w:rsidR="004613AA" w:rsidRDefault="004613AA" w:rsidP="005A0C94">
            <w:pPr>
              <w:pStyle w:val="Normal3"/>
              <w:tabs>
                <w:tab w:val="center" w:pos="4252"/>
                <w:tab w:val="right" w:pos="8504"/>
              </w:tabs>
              <w:spacing w:after="0"/>
              <w:jc w:val="center"/>
              <w:rPr>
                <w:noProof/>
                <w:lang w:val="es-MX" w:eastAsia="es-MX"/>
              </w:rPr>
            </w:pPr>
          </w:p>
          <w:p w14:paraId="43E7291C" w14:textId="77777777" w:rsidR="004613AA" w:rsidRPr="006618E1" w:rsidRDefault="004613AA" w:rsidP="005A0C94">
            <w:pPr>
              <w:pStyle w:val="Normal3"/>
              <w:tabs>
                <w:tab w:val="center" w:pos="4252"/>
                <w:tab w:val="right" w:pos="8504"/>
              </w:tabs>
              <w:spacing w:after="0"/>
              <w:jc w:val="center"/>
              <w:rPr>
                <w:rFonts w:ascii="Century Gothic" w:eastAsia="Arial" w:hAnsi="Century Gothic" w:cs="Arial"/>
                <w:b/>
                <w:sz w:val="24"/>
                <w:szCs w:val="24"/>
              </w:rPr>
            </w:pPr>
            <w:r>
              <w:rPr>
                <w:noProof/>
                <w:lang w:val="es-ES_tradnl" w:eastAsia="es-ES_tradnl"/>
              </w:rPr>
              <w:drawing>
                <wp:inline distT="0" distB="0" distL="0" distR="0" wp14:anchorId="1B3AFA79" wp14:editId="40A7AAE1">
                  <wp:extent cx="742950" cy="742950"/>
                  <wp:effectExtent l="19050" t="0" r="0" b="0"/>
                  <wp:docPr id="9" name="Imagen 1" descr="http://www.congresochihuahua.gob.mx/mthumb.php?src=diputados/imagenes/fotos/1207.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mthumb.php?src=diputados/imagenes/fotos/1207.jpg&amp;w=260&amp;h=260&amp;zc=1"/>
                          <pic:cNvPicPr>
                            <a:picLocks noChangeAspect="1" noChangeArrowheads="1"/>
                          </pic:cNvPicPr>
                        </pic:nvPicPr>
                        <pic:blipFill>
                          <a:blip r:embed="rId11" cstate="print"/>
                          <a:srcRect/>
                          <a:stretch>
                            <a:fillRect/>
                          </a:stretch>
                        </pic:blipFill>
                        <pic:spPr bwMode="auto">
                          <a:xfrm>
                            <a:off x="0" y="0"/>
                            <a:ext cx="742950" cy="742950"/>
                          </a:xfrm>
                          <a:prstGeom prst="rect">
                            <a:avLst/>
                          </a:prstGeom>
                          <a:noFill/>
                          <a:ln w="9525">
                            <a:noFill/>
                            <a:miter lim="800000"/>
                            <a:headEnd/>
                            <a:tailEnd/>
                          </a:ln>
                        </pic:spPr>
                      </pic:pic>
                    </a:graphicData>
                  </a:graphic>
                </wp:inline>
              </w:drawing>
            </w:r>
          </w:p>
          <w:p w14:paraId="1620F9C8" w14:textId="77777777" w:rsidR="004613AA" w:rsidRPr="006618E1" w:rsidRDefault="004613AA" w:rsidP="005A0C94">
            <w:pPr>
              <w:pStyle w:val="Normal3"/>
              <w:tabs>
                <w:tab w:val="center" w:pos="4252"/>
                <w:tab w:val="right" w:pos="8504"/>
              </w:tabs>
              <w:spacing w:after="0"/>
              <w:jc w:val="center"/>
              <w:rPr>
                <w:rFonts w:ascii="Century Gothic" w:hAnsi="Century Gothic"/>
                <w:sz w:val="24"/>
                <w:szCs w:val="24"/>
              </w:rPr>
            </w:pPr>
          </w:p>
        </w:tc>
        <w:tc>
          <w:tcPr>
            <w:tcW w:w="2700" w:type="dxa"/>
          </w:tcPr>
          <w:p w14:paraId="0A1B22A2" w14:textId="77777777" w:rsidR="004613AA" w:rsidRDefault="004613AA" w:rsidP="005A0C94">
            <w:pPr>
              <w:spacing w:line="276" w:lineRule="auto"/>
              <w:jc w:val="center"/>
              <w:rPr>
                <w:rFonts w:ascii="Century Gothic" w:hAnsi="Century Gothic" w:cs="Arial"/>
                <w:b/>
                <w:color w:val="000000"/>
              </w:rPr>
            </w:pPr>
          </w:p>
          <w:p w14:paraId="4E0C6470" w14:textId="77777777" w:rsidR="004613AA" w:rsidRPr="00B3721F" w:rsidRDefault="004613AA" w:rsidP="005A0C94">
            <w:pPr>
              <w:jc w:val="center"/>
              <w:rPr>
                <w:rFonts w:ascii="Century Gothic" w:hAnsi="Century Gothic" w:cs="Arial"/>
                <w:b/>
                <w:color w:val="000000"/>
              </w:rPr>
            </w:pPr>
            <w:r w:rsidRPr="00B3721F">
              <w:rPr>
                <w:rFonts w:ascii="Century Gothic" w:hAnsi="Century Gothic" w:cs="Arial"/>
                <w:b/>
                <w:color w:val="000000"/>
              </w:rPr>
              <w:t>DIP.PRESIDENTA</w:t>
            </w:r>
          </w:p>
          <w:p w14:paraId="4C75F062" w14:textId="77777777" w:rsidR="004613AA" w:rsidRPr="006618E1" w:rsidRDefault="002B37B0" w:rsidP="005A0C94">
            <w:pPr>
              <w:tabs>
                <w:tab w:val="center" w:pos="4252"/>
                <w:tab w:val="right" w:pos="8504"/>
              </w:tabs>
              <w:jc w:val="center"/>
              <w:rPr>
                <w:rFonts w:ascii="Century Gothic" w:hAnsi="Century Gothic"/>
              </w:rPr>
            </w:pPr>
            <w:hyperlink r:id="rId12" w:history="1">
              <w:r w:rsidR="004613AA" w:rsidRPr="00B3721F">
                <w:rPr>
                  <w:rFonts w:ascii="Century Gothic" w:hAnsi="Century Gothic"/>
                  <w:b/>
                  <w:bCs/>
                  <w:color w:val="000000"/>
                  <w:szCs w:val="20"/>
                </w:rPr>
                <w:t xml:space="preserve">MARISELA </w:t>
              </w:r>
              <w:r w:rsidR="004613AA" w:rsidRPr="00B3721F">
                <w:rPr>
                  <w:rFonts w:ascii="Century Gothic" w:hAnsi="Century Gothic"/>
                  <w:b/>
                  <w:bCs/>
                  <w:color w:val="000000"/>
                  <w:szCs w:val="20"/>
                </w:rPr>
                <w:t>S</w:t>
              </w:r>
              <w:r w:rsidR="004613AA" w:rsidRPr="00B3721F">
                <w:rPr>
                  <w:rFonts w:ascii="Century Gothic" w:hAnsi="Century Gothic"/>
                  <w:b/>
                  <w:bCs/>
                  <w:color w:val="000000"/>
                  <w:szCs w:val="20"/>
                </w:rPr>
                <w:t>ÁENZ MORIEL</w:t>
              </w:r>
            </w:hyperlink>
          </w:p>
        </w:tc>
        <w:tc>
          <w:tcPr>
            <w:tcW w:w="1620" w:type="dxa"/>
          </w:tcPr>
          <w:p w14:paraId="6393B551" w14:textId="77777777" w:rsidR="004613AA" w:rsidRPr="006618E1" w:rsidRDefault="004613AA" w:rsidP="005A0C94">
            <w:pPr>
              <w:tabs>
                <w:tab w:val="center" w:pos="4252"/>
                <w:tab w:val="right" w:pos="8504"/>
              </w:tabs>
              <w:spacing w:line="276" w:lineRule="auto"/>
              <w:rPr>
                <w:rFonts w:ascii="Century Gothic" w:hAnsi="Century Gothic"/>
              </w:rPr>
            </w:pPr>
          </w:p>
        </w:tc>
        <w:tc>
          <w:tcPr>
            <w:tcW w:w="1751" w:type="dxa"/>
          </w:tcPr>
          <w:p w14:paraId="349FDCD6" w14:textId="77777777" w:rsidR="004613AA" w:rsidRPr="006618E1" w:rsidRDefault="004613AA" w:rsidP="005A0C94">
            <w:pPr>
              <w:tabs>
                <w:tab w:val="center" w:pos="4252"/>
                <w:tab w:val="right" w:pos="8504"/>
              </w:tabs>
              <w:spacing w:line="276" w:lineRule="auto"/>
              <w:rPr>
                <w:rFonts w:ascii="Century Gothic" w:hAnsi="Century Gothic"/>
              </w:rPr>
            </w:pPr>
          </w:p>
        </w:tc>
        <w:tc>
          <w:tcPr>
            <w:tcW w:w="1824" w:type="dxa"/>
          </w:tcPr>
          <w:p w14:paraId="73E7D39B" w14:textId="77777777" w:rsidR="004613AA" w:rsidRPr="006618E1" w:rsidRDefault="004613AA" w:rsidP="005A0C94">
            <w:pPr>
              <w:tabs>
                <w:tab w:val="center" w:pos="4252"/>
                <w:tab w:val="right" w:pos="8504"/>
              </w:tabs>
              <w:spacing w:line="276" w:lineRule="auto"/>
              <w:rPr>
                <w:rFonts w:ascii="Century Gothic" w:hAnsi="Century Gothic"/>
              </w:rPr>
            </w:pPr>
          </w:p>
        </w:tc>
      </w:tr>
      <w:tr w:rsidR="005A0C94" w:rsidRPr="006618E1" w14:paraId="6D086827" w14:textId="77777777" w:rsidTr="005A0C94">
        <w:trPr>
          <w:trHeight w:val="1421"/>
        </w:trPr>
        <w:tc>
          <w:tcPr>
            <w:tcW w:w="1895" w:type="dxa"/>
          </w:tcPr>
          <w:p w14:paraId="6D9CE5BB" w14:textId="77777777" w:rsidR="004613AA" w:rsidRPr="00C9201C" w:rsidRDefault="004613AA" w:rsidP="005A0C94">
            <w:pPr>
              <w:pStyle w:val="Normal3"/>
              <w:tabs>
                <w:tab w:val="center" w:pos="4252"/>
                <w:tab w:val="right" w:pos="8504"/>
              </w:tabs>
              <w:spacing w:after="0"/>
              <w:ind w:right="193"/>
              <w:jc w:val="center"/>
              <w:rPr>
                <w:rFonts w:ascii="Century Gothic" w:eastAsia="Arial" w:hAnsi="Century Gothic" w:cs="Arial"/>
                <w:b/>
                <w:sz w:val="24"/>
                <w:szCs w:val="24"/>
              </w:rPr>
            </w:pPr>
            <w:r>
              <w:rPr>
                <w:noProof/>
                <w:lang w:val="es-MX" w:eastAsia="es-MX"/>
              </w:rPr>
              <w:t xml:space="preserve">    </w:t>
            </w:r>
            <w:r>
              <w:rPr>
                <w:noProof/>
                <w:lang w:val="es-ES_tradnl" w:eastAsia="es-ES_tradnl"/>
              </w:rPr>
              <w:drawing>
                <wp:inline distT="0" distB="0" distL="0" distR="0" wp14:anchorId="0187C7E3" wp14:editId="510C0184">
                  <wp:extent cx="771525" cy="771525"/>
                  <wp:effectExtent l="19050" t="0" r="9525" b="0"/>
                  <wp:docPr id="2" name="Imagen 2" descr="http://www.congresochihuahua.gob.mx/mthumb.php?src=diputados/imagenes/fotos/1185.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congresochihuahua.gob.mx/mthumb.php?src=diputados/imagenes/fotos/1185.jpg&amp;w=260&amp;h=260&amp;zc=1"/>
                          <pic:cNvPicPr>
                            <a:picLocks noChangeAspect="1" noChangeArrowheads="1"/>
                          </pic:cNvPicPr>
                        </pic:nvPicPr>
                        <pic:blipFill>
                          <a:blip r:embed="rId13" cstate="print"/>
                          <a:srcRect/>
                          <a:stretch>
                            <a:fillRect/>
                          </a:stretch>
                        </pic:blipFill>
                        <pic:spPr bwMode="auto">
                          <a:xfrm>
                            <a:off x="0" y="0"/>
                            <a:ext cx="771525" cy="771525"/>
                          </a:xfrm>
                          <a:prstGeom prst="rect">
                            <a:avLst/>
                          </a:prstGeom>
                          <a:noFill/>
                          <a:ln w="9525">
                            <a:noFill/>
                            <a:miter lim="800000"/>
                            <a:headEnd/>
                            <a:tailEnd/>
                          </a:ln>
                        </pic:spPr>
                      </pic:pic>
                    </a:graphicData>
                  </a:graphic>
                </wp:inline>
              </w:drawing>
            </w:r>
          </w:p>
        </w:tc>
        <w:tc>
          <w:tcPr>
            <w:tcW w:w="2700" w:type="dxa"/>
          </w:tcPr>
          <w:p w14:paraId="37261EA3" w14:textId="77777777" w:rsidR="004613AA" w:rsidRDefault="004613AA" w:rsidP="005A0C94">
            <w:pPr>
              <w:spacing w:line="276" w:lineRule="auto"/>
              <w:jc w:val="center"/>
              <w:rPr>
                <w:rFonts w:ascii="Century Gothic" w:hAnsi="Century Gothic" w:cs="Arial"/>
                <w:b/>
                <w:color w:val="000000"/>
              </w:rPr>
            </w:pPr>
          </w:p>
          <w:p w14:paraId="4C7215AD" w14:textId="77777777" w:rsidR="004613AA" w:rsidRPr="00B3721F" w:rsidRDefault="004613AA" w:rsidP="005A0C94">
            <w:pPr>
              <w:spacing w:line="276" w:lineRule="auto"/>
              <w:jc w:val="center"/>
              <w:rPr>
                <w:rFonts w:ascii="Century Gothic" w:hAnsi="Century Gothic" w:cs="Arial"/>
                <w:b/>
                <w:color w:val="000000"/>
              </w:rPr>
            </w:pPr>
            <w:r w:rsidRPr="00B3721F">
              <w:rPr>
                <w:rFonts w:ascii="Century Gothic" w:hAnsi="Century Gothic" w:cs="Arial"/>
                <w:b/>
                <w:color w:val="000000"/>
              </w:rPr>
              <w:t>DIP.SECRETARIA</w:t>
            </w:r>
          </w:p>
          <w:p w14:paraId="4FB66C1B" w14:textId="77777777" w:rsidR="004613AA" w:rsidRPr="00433518" w:rsidRDefault="004613AA" w:rsidP="005A0C94">
            <w:pPr>
              <w:spacing w:line="276" w:lineRule="auto"/>
              <w:jc w:val="center"/>
              <w:rPr>
                <w:rFonts w:ascii="Century Gothic" w:hAnsi="Century Gothic" w:cs="Arial"/>
                <w:b/>
                <w:color w:val="000000"/>
              </w:rPr>
            </w:pPr>
            <w:r w:rsidRPr="00B3721F">
              <w:rPr>
                <w:rFonts w:ascii="Century Gothic" w:hAnsi="Century Gothic"/>
                <w:b/>
              </w:rPr>
              <w:t xml:space="preserve">ROCÍO GUADALUPE SARMIENTO RUFINO </w:t>
            </w:r>
          </w:p>
        </w:tc>
        <w:tc>
          <w:tcPr>
            <w:tcW w:w="1620" w:type="dxa"/>
          </w:tcPr>
          <w:p w14:paraId="245E34FB" w14:textId="77777777" w:rsidR="004613AA" w:rsidRPr="006618E1" w:rsidRDefault="004613AA" w:rsidP="005A0C94">
            <w:pPr>
              <w:tabs>
                <w:tab w:val="center" w:pos="4252"/>
                <w:tab w:val="right" w:pos="8504"/>
              </w:tabs>
              <w:spacing w:line="276" w:lineRule="auto"/>
              <w:rPr>
                <w:rFonts w:ascii="Century Gothic" w:hAnsi="Century Gothic"/>
              </w:rPr>
            </w:pPr>
          </w:p>
        </w:tc>
        <w:tc>
          <w:tcPr>
            <w:tcW w:w="1751" w:type="dxa"/>
          </w:tcPr>
          <w:p w14:paraId="4D234D9C" w14:textId="77777777" w:rsidR="004613AA" w:rsidRPr="006618E1" w:rsidRDefault="004613AA" w:rsidP="005A0C94">
            <w:pPr>
              <w:tabs>
                <w:tab w:val="center" w:pos="4252"/>
                <w:tab w:val="right" w:pos="8504"/>
              </w:tabs>
              <w:spacing w:line="276" w:lineRule="auto"/>
              <w:rPr>
                <w:rFonts w:ascii="Century Gothic" w:hAnsi="Century Gothic"/>
              </w:rPr>
            </w:pPr>
          </w:p>
        </w:tc>
        <w:tc>
          <w:tcPr>
            <w:tcW w:w="1824" w:type="dxa"/>
          </w:tcPr>
          <w:p w14:paraId="5E653E00" w14:textId="77777777" w:rsidR="004613AA" w:rsidRPr="006618E1" w:rsidRDefault="004613AA" w:rsidP="005A0C94">
            <w:pPr>
              <w:tabs>
                <w:tab w:val="center" w:pos="4252"/>
                <w:tab w:val="right" w:pos="8504"/>
              </w:tabs>
              <w:spacing w:line="276" w:lineRule="auto"/>
              <w:rPr>
                <w:rFonts w:ascii="Century Gothic" w:hAnsi="Century Gothic"/>
              </w:rPr>
            </w:pPr>
          </w:p>
        </w:tc>
      </w:tr>
      <w:tr w:rsidR="005A0C94" w:rsidRPr="006618E1" w14:paraId="09900CC2" w14:textId="77777777" w:rsidTr="005A0C94">
        <w:trPr>
          <w:trHeight w:val="1484"/>
        </w:trPr>
        <w:tc>
          <w:tcPr>
            <w:tcW w:w="1895" w:type="dxa"/>
          </w:tcPr>
          <w:p w14:paraId="76909E6B" w14:textId="77777777" w:rsidR="004613AA" w:rsidRDefault="004613AA" w:rsidP="005A0C94">
            <w:pPr>
              <w:pStyle w:val="Normal3"/>
              <w:tabs>
                <w:tab w:val="center" w:pos="4252"/>
                <w:tab w:val="right" w:pos="8504"/>
              </w:tabs>
              <w:spacing w:after="0"/>
              <w:ind w:right="193"/>
              <w:jc w:val="center"/>
              <w:rPr>
                <w:noProof/>
                <w:lang w:val="es-MX" w:eastAsia="es-MX"/>
              </w:rPr>
            </w:pPr>
          </w:p>
          <w:p w14:paraId="251A719F" w14:textId="77777777" w:rsidR="004613AA" w:rsidRPr="00C9201C" w:rsidRDefault="004613AA" w:rsidP="005A0C94">
            <w:pPr>
              <w:pStyle w:val="Normal3"/>
              <w:tabs>
                <w:tab w:val="center" w:pos="4252"/>
                <w:tab w:val="right" w:pos="8504"/>
              </w:tabs>
              <w:spacing w:after="0"/>
              <w:ind w:right="193"/>
              <w:jc w:val="center"/>
              <w:rPr>
                <w:rFonts w:ascii="Century Gothic" w:eastAsia="Arial" w:hAnsi="Century Gothic" w:cs="Arial"/>
                <w:b/>
                <w:sz w:val="24"/>
                <w:szCs w:val="24"/>
              </w:rPr>
            </w:pPr>
            <w:r>
              <w:rPr>
                <w:noProof/>
                <w:lang w:val="es-ES_tradnl" w:eastAsia="es-ES_tradnl"/>
              </w:rPr>
              <w:drawing>
                <wp:inline distT="0" distB="0" distL="0" distR="0" wp14:anchorId="2A0BFEAE" wp14:editId="293617C7">
                  <wp:extent cx="752475" cy="752475"/>
                  <wp:effectExtent l="19050" t="0" r="9525" b="0"/>
                  <wp:docPr id="3" name="Imagen 3" descr="http://www.congresochihuahua.gob.mx/mthumb.php?src=diputados/imagenes/fotos/1205.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congresochihuahua.gob.mx/mthumb.php?src=diputados/imagenes/fotos/1205.jpg&amp;w=260&amp;h=260&amp;zc=1"/>
                          <pic:cNvPicPr>
                            <a:picLocks noChangeAspect="1" noChangeArrowheads="1"/>
                          </pic:cNvPicPr>
                        </pic:nvPicPr>
                        <pic:blipFill>
                          <a:blip r:embed="rId14"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tc>
        <w:tc>
          <w:tcPr>
            <w:tcW w:w="2700" w:type="dxa"/>
          </w:tcPr>
          <w:p w14:paraId="0285B942" w14:textId="77777777" w:rsidR="004613AA" w:rsidRDefault="004613AA" w:rsidP="005A0C94">
            <w:pPr>
              <w:spacing w:line="276" w:lineRule="auto"/>
              <w:jc w:val="center"/>
              <w:rPr>
                <w:rFonts w:ascii="Century Gothic" w:hAnsi="Century Gothic" w:cs="Arial"/>
                <w:b/>
                <w:color w:val="000000"/>
              </w:rPr>
            </w:pPr>
          </w:p>
          <w:p w14:paraId="5F20B9F2" w14:textId="77777777" w:rsidR="004613AA" w:rsidRPr="00B3721F" w:rsidRDefault="004613AA" w:rsidP="005A0C94">
            <w:pPr>
              <w:spacing w:line="276" w:lineRule="auto"/>
              <w:jc w:val="center"/>
              <w:rPr>
                <w:rFonts w:ascii="Century Gothic" w:hAnsi="Century Gothic" w:cs="Arial"/>
                <w:b/>
                <w:color w:val="000000"/>
              </w:rPr>
            </w:pPr>
            <w:r w:rsidRPr="00B3721F">
              <w:rPr>
                <w:rFonts w:ascii="Century Gothic" w:hAnsi="Century Gothic" w:cs="Arial"/>
                <w:b/>
                <w:color w:val="000000"/>
              </w:rPr>
              <w:t>DIP. VOCAL</w:t>
            </w:r>
          </w:p>
          <w:p w14:paraId="058A4FC3" w14:textId="77777777" w:rsidR="004613AA" w:rsidRPr="006618E1" w:rsidRDefault="004613AA" w:rsidP="005A0C94">
            <w:pPr>
              <w:tabs>
                <w:tab w:val="center" w:pos="4252"/>
                <w:tab w:val="right" w:pos="8504"/>
              </w:tabs>
              <w:spacing w:line="276" w:lineRule="auto"/>
              <w:jc w:val="center"/>
              <w:rPr>
                <w:rFonts w:ascii="Century Gothic" w:hAnsi="Century Gothic"/>
              </w:rPr>
            </w:pPr>
            <w:r w:rsidRPr="00B3721F">
              <w:rPr>
                <w:rFonts w:ascii="Century Gothic" w:hAnsi="Century Gothic"/>
                <w:b/>
              </w:rPr>
              <w:t>FRANCISCO HUMBERTO CHÁVEZ HERRERA</w:t>
            </w:r>
          </w:p>
        </w:tc>
        <w:tc>
          <w:tcPr>
            <w:tcW w:w="1620" w:type="dxa"/>
          </w:tcPr>
          <w:p w14:paraId="2622A3F7" w14:textId="77777777" w:rsidR="004613AA" w:rsidRPr="006618E1" w:rsidRDefault="004613AA" w:rsidP="005A0C94">
            <w:pPr>
              <w:tabs>
                <w:tab w:val="center" w:pos="4252"/>
                <w:tab w:val="right" w:pos="8504"/>
              </w:tabs>
              <w:spacing w:line="276" w:lineRule="auto"/>
              <w:rPr>
                <w:rFonts w:ascii="Century Gothic" w:hAnsi="Century Gothic"/>
              </w:rPr>
            </w:pPr>
          </w:p>
        </w:tc>
        <w:tc>
          <w:tcPr>
            <w:tcW w:w="1751" w:type="dxa"/>
          </w:tcPr>
          <w:p w14:paraId="19F8F015" w14:textId="77777777" w:rsidR="004613AA" w:rsidRPr="006618E1" w:rsidRDefault="004613AA" w:rsidP="005A0C94">
            <w:pPr>
              <w:tabs>
                <w:tab w:val="center" w:pos="4252"/>
                <w:tab w:val="right" w:pos="8504"/>
              </w:tabs>
              <w:spacing w:line="276" w:lineRule="auto"/>
              <w:rPr>
                <w:rFonts w:ascii="Century Gothic" w:hAnsi="Century Gothic"/>
              </w:rPr>
            </w:pPr>
          </w:p>
        </w:tc>
        <w:tc>
          <w:tcPr>
            <w:tcW w:w="1824" w:type="dxa"/>
          </w:tcPr>
          <w:p w14:paraId="7E1F15B0" w14:textId="77777777" w:rsidR="004613AA" w:rsidRPr="006618E1" w:rsidRDefault="004613AA" w:rsidP="005A0C94">
            <w:pPr>
              <w:tabs>
                <w:tab w:val="center" w:pos="4252"/>
                <w:tab w:val="right" w:pos="8504"/>
              </w:tabs>
              <w:spacing w:line="276" w:lineRule="auto"/>
              <w:rPr>
                <w:rFonts w:ascii="Century Gothic" w:hAnsi="Century Gothic"/>
              </w:rPr>
            </w:pPr>
          </w:p>
        </w:tc>
      </w:tr>
      <w:tr w:rsidR="005A0C94" w:rsidRPr="006618E1" w14:paraId="71AEA327" w14:textId="77777777" w:rsidTr="005A0C94">
        <w:trPr>
          <w:trHeight w:val="1574"/>
        </w:trPr>
        <w:tc>
          <w:tcPr>
            <w:tcW w:w="1895" w:type="dxa"/>
          </w:tcPr>
          <w:p w14:paraId="76461FDA" w14:textId="77777777" w:rsidR="004613AA" w:rsidRDefault="004613AA" w:rsidP="005A0C94">
            <w:pPr>
              <w:tabs>
                <w:tab w:val="center" w:pos="4252"/>
                <w:tab w:val="right" w:pos="8504"/>
              </w:tabs>
              <w:spacing w:line="276" w:lineRule="auto"/>
              <w:jc w:val="center"/>
              <w:rPr>
                <w:rFonts w:ascii="Century Gothic" w:eastAsia="Arial" w:hAnsi="Century Gothic" w:cs="Arial"/>
              </w:rPr>
            </w:pPr>
          </w:p>
          <w:p w14:paraId="7B40E2EE" w14:textId="77777777" w:rsidR="004613AA" w:rsidRPr="00C9201C" w:rsidRDefault="004613AA" w:rsidP="005A0C94">
            <w:pPr>
              <w:tabs>
                <w:tab w:val="center" w:pos="4252"/>
                <w:tab w:val="right" w:pos="8504"/>
              </w:tabs>
              <w:spacing w:line="276" w:lineRule="auto"/>
              <w:jc w:val="center"/>
              <w:rPr>
                <w:rFonts w:ascii="Century Gothic" w:eastAsia="Arial" w:hAnsi="Century Gothic" w:cs="Arial"/>
              </w:rPr>
            </w:pPr>
            <w:r>
              <w:rPr>
                <w:noProof/>
                <w:lang w:val="es-ES_tradnl" w:eastAsia="es-ES_tradnl"/>
              </w:rPr>
              <w:drawing>
                <wp:inline distT="0" distB="0" distL="0" distR="0" wp14:anchorId="27ED7129" wp14:editId="5B1AEB5D">
                  <wp:extent cx="733425" cy="733425"/>
                  <wp:effectExtent l="19050" t="0" r="9525" b="0"/>
                  <wp:docPr id="4" name="Imagen 4" descr="http://www.congresochihuahua.gob.mx/mthumb.php?src=diputados/imagenes/fotos/1179.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www.congresochihuahua.gob.mx/mthumb.php?src=diputados/imagenes/fotos/1179.jpg&amp;w=260&amp;h=260&amp;zc=1"/>
                          <pic:cNvPicPr>
                            <a:picLocks noChangeAspect="1" noChangeArrowheads="1"/>
                          </pic:cNvPicPr>
                        </pic:nvPicPr>
                        <pic:blipFill>
                          <a:blip r:embed="rId15" cstate="print"/>
                          <a:srcRect/>
                          <a:stretch>
                            <a:fillRect/>
                          </a:stretch>
                        </pic:blipFill>
                        <pic:spPr bwMode="auto">
                          <a:xfrm>
                            <a:off x="0" y="0"/>
                            <a:ext cx="733425" cy="733425"/>
                          </a:xfrm>
                          <a:prstGeom prst="rect">
                            <a:avLst/>
                          </a:prstGeom>
                          <a:noFill/>
                          <a:ln w="9525">
                            <a:noFill/>
                            <a:miter lim="800000"/>
                            <a:headEnd/>
                            <a:tailEnd/>
                          </a:ln>
                        </pic:spPr>
                      </pic:pic>
                    </a:graphicData>
                  </a:graphic>
                </wp:inline>
              </w:drawing>
            </w:r>
          </w:p>
        </w:tc>
        <w:tc>
          <w:tcPr>
            <w:tcW w:w="2700" w:type="dxa"/>
          </w:tcPr>
          <w:p w14:paraId="034EC4AB" w14:textId="77777777" w:rsidR="004613AA" w:rsidRDefault="004613AA" w:rsidP="005A0C94">
            <w:pPr>
              <w:spacing w:line="276" w:lineRule="auto"/>
              <w:jc w:val="center"/>
              <w:rPr>
                <w:rFonts w:ascii="Century Gothic" w:hAnsi="Century Gothic" w:cs="Arial"/>
                <w:b/>
                <w:color w:val="000000"/>
              </w:rPr>
            </w:pPr>
          </w:p>
          <w:p w14:paraId="7FDB7F80" w14:textId="77777777" w:rsidR="004613AA" w:rsidRPr="00C44D01" w:rsidRDefault="004613AA" w:rsidP="005A0C94">
            <w:pPr>
              <w:spacing w:line="276" w:lineRule="auto"/>
              <w:jc w:val="center"/>
              <w:rPr>
                <w:rFonts w:ascii="Century Gothic" w:hAnsi="Century Gothic" w:cs="Arial"/>
                <w:b/>
                <w:color w:val="000000"/>
              </w:rPr>
            </w:pPr>
            <w:r>
              <w:rPr>
                <w:rFonts w:ascii="Century Gothic" w:hAnsi="Century Gothic" w:cs="Arial"/>
                <w:b/>
                <w:color w:val="000000"/>
              </w:rPr>
              <w:t xml:space="preserve">DIP. </w:t>
            </w:r>
            <w:r w:rsidRPr="00C44D01">
              <w:rPr>
                <w:rFonts w:ascii="Century Gothic" w:hAnsi="Century Gothic" w:cs="Arial"/>
                <w:b/>
                <w:color w:val="000000"/>
              </w:rPr>
              <w:t>VOCAL</w:t>
            </w:r>
          </w:p>
          <w:p w14:paraId="22B7583A" w14:textId="77777777" w:rsidR="004613AA" w:rsidRDefault="004613AA" w:rsidP="005A0C94">
            <w:pPr>
              <w:spacing w:line="276" w:lineRule="auto"/>
              <w:jc w:val="center"/>
              <w:rPr>
                <w:rFonts w:ascii="Century Gothic" w:hAnsi="Century Gothic" w:cs="Arial"/>
                <w:b/>
                <w:bCs/>
                <w:color w:val="000000"/>
                <w:szCs w:val="20"/>
              </w:rPr>
            </w:pPr>
            <w:r w:rsidRPr="00C44D01">
              <w:rPr>
                <w:rFonts w:ascii="Century Gothic" w:hAnsi="Century Gothic" w:cs="Arial"/>
                <w:b/>
                <w:color w:val="000000"/>
                <w:szCs w:val="20"/>
              </w:rPr>
              <w:t>DIP.</w:t>
            </w:r>
            <w:r>
              <w:rPr>
                <w:rFonts w:ascii="Century Gothic" w:hAnsi="Century Gothic" w:cs="Arial"/>
                <w:b/>
                <w:bCs/>
                <w:color w:val="000000"/>
                <w:szCs w:val="20"/>
              </w:rPr>
              <w:t>GUSTAVO DE LA ROSA</w:t>
            </w:r>
          </w:p>
          <w:p w14:paraId="6EC063E3" w14:textId="77777777" w:rsidR="004613AA" w:rsidRPr="006618E1" w:rsidRDefault="004613AA" w:rsidP="005A0C94">
            <w:pPr>
              <w:tabs>
                <w:tab w:val="center" w:pos="4252"/>
                <w:tab w:val="right" w:pos="8504"/>
              </w:tabs>
              <w:spacing w:line="276" w:lineRule="auto"/>
              <w:jc w:val="center"/>
              <w:rPr>
                <w:rFonts w:ascii="Century Gothic" w:hAnsi="Century Gothic"/>
              </w:rPr>
            </w:pPr>
            <w:r>
              <w:rPr>
                <w:rFonts w:ascii="Century Gothic" w:hAnsi="Century Gothic" w:cs="Arial"/>
                <w:b/>
                <w:bCs/>
                <w:color w:val="000000"/>
                <w:szCs w:val="20"/>
              </w:rPr>
              <w:t>HICKERSON</w:t>
            </w:r>
          </w:p>
        </w:tc>
        <w:tc>
          <w:tcPr>
            <w:tcW w:w="1620" w:type="dxa"/>
          </w:tcPr>
          <w:p w14:paraId="65C4EBDB" w14:textId="77777777" w:rsidR="004613AA" w:rsidRPr="006618E1" w:rsidRDefault="004613AA" w:rsidP="005A0C94">
            <w:pPr>
              <w:tabs>
                <w:tab w:val="center" w:pos="4252"/>
                <w:tab w:val="right" w:pos="8504"/>
              </w:tabs>
              <w:spacing w:line="276" w:lineRule="auto"/>
              <w:rPr>
                <w:rFonts w:ascii="Century Gothic" w:hAnsi="Century Gothic"/>
              </w:rPr>
            </w:pPr>
          </w:p>
        </w:tc>
        <w:tc>
          <w:tcPr>
            <w:tcW w:w="1751" w:type="dxa"/>
          </w:tcPr>
          <w:p w14:paraId="4E991C15" w14:textId="77777777" w:rsidR="004613AA" w:rsidRPr="006618E1" w:rsidRDefault="004613AA" w:rsidP="005A0C94">
            <w:pPr>
              <w:tabs>
                <w:tab w:val="center" w:pos="4252"/>
                <w:tab w:val="right" w:pos="8504"/>
              </w:tabs>
              <w:spacing w:line="276" w:lineRule="auto"/>
              <w:rPr>
                <w:rFonts w:ascii="Century Gothic" w:hAnsi="Century Gothic"/>
              </w:rPr>
            </w:pPr>
          </w:p>
        </w:tc>
        <w:tc>
          <w:tcPr>
            <w:tcW w:w="1824" w:type="dxa"/>
          </w:tcPr>
          <w:p w14:paraId="62D71E34" w14:textId="77777777" w:rsidR="004613AA" w:rsidRPr="006618E1" w:rsidRDefault="004613AA" w:rsidP="005A0C94">
            <w:pPr>
              <w:tabs>
                <w:tab w:val="center" w:pos="4252"/>
                <w:tab w:val="right" w:pos="8504"/>
              </w:tabs>
              <w:spacing w:line="276" w:lineRule="auto"/>
              <w:rPr>
                <w:rFonts w:ascii="Century Gothic" w:hAnsi="Century Gothic"/>
              </w:rPr>
            </w:pPr>
          </w:p>
        </w:tc>
      </w:tr>
      <w:tr w:rsidR="005A0C94" w:rsidRPr="006618E1" w14:paraId="21E67D0C" w14:textId="77777777" w:rsidTr="005A0C94">
        <w:trPr>
          <w:trHeight w:val="1574"/>
        </w:trPr>
        <w:tc>
          <w:tcPr>
            <w:tcW w:w="1895" w:type="dxa"/>
          </w:tcPr>
          <w:p w14:paraId="53B60F72" w14:textId="77777777" w:rsidR="004613AA" w:rsidRDefault="004613AA" w:rsidP="005A0C94">
            <w:pPr>
              <w:tabs>
                <w:tab w:val="center" w:pos="4252"/>
                <w:tab w:val="right" w:pos="8504"/>
              </w:tabs>
              <w:spacing w:line="276" w:lineRule="auto"/>
              <w:jc w:val="center"/>
              <w:rPr>
                <w:noProof/>
                <w:lang w:eastAsia="es-MX"/>
              </w:rPr>
            </w:pPr>
          </w:p>
          <w:p w14:paraId="0A7B610F" w14:textId="77777777" w:rsidR="004613AA" w:rsidRPr="006618E1" w:rsidRDefault="004613AA" w:rsidP="005A0C94">
            <w:pPr>
              <w:tabs>
                <w:tab w:val="center" w:pos="4252"/>
                <w:tab w:val="right" w:pos="8504"/>
              </w:tabs>
              <w:spacing w:line="276" w:lineRule="auto"/>
              <w:jc w:val="center"/>
              <w:rPr>
                <w:rFonts w:ascii="Century Gothic" w:eastAsia="Arial" w:hAnsi="Century Gothic" w:cs="Arial"/>
              </w:rPr>
            </w:pPr>
            <w:r>
              <w:rPr>
                <w:noProof/>
                <w:lang w:val="es-ES_tradnl" w:eastAsia="es-ES_tradnl"/>
              </w:rPr>
              <w:drawing>
                <wp:inline distT="0" distB="0" distL="0" distR="0" wp14:anchorId="32C434D7" wp14:editId="2C2BDEB8">
                  <wp:extent cx="781050" cy="781050"/>
                  <wp:effectExtent l="19050" t="0" r="0" b="0"/>
                  <wp:docPr id="1" name="Imagen 5" descr="http://www.congresochihuahua.gob.mx/mthumb.php?src=diputados/imagenes/fotos/1184.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www.congresochihuahua.gob.mx/mthumb.php?src=diputados/imagenes/fotos/1184.jpg&amp;w=260&amp;h=260&amp;zc=1"/>
                          <pic:cNvPicPr>
                            <a:picLocks noChangeAspect="1" noChangeArrowheads="1"/>
                          </pic:cNvPicPr>
                        </pic:nvPicPr>
                        <pic:blipFill>
                          <a:blip r:embed="rId16" cstate="print"/>
                          <a:srcRect/>
                          <a:stretch>
                            <a:fillRect/>
                          </a:stretch>
                        </pic:blipFill>
                        <pic:spPr bwMode="auto">
                          <a:xfrm>
                            <a:off x="0" y="0"/>
                            <a:ext cx="781050" cy="781050"/>
                          </a:xfrm>
                          <a:prstGeom prst="rect">
                            <a:avLst/>
                          </a:prstGeom>
                          <a:noFill/>
                          <a:ln w="9525">
                            <a:noFill/>
                            <a:miter lim="800000"/>
                            <a:headEnd/>
                            <a:tailEnd/>
                          </a:ln>
                        </pic:spPr>
                      </pic:pic>
                    </a:graphicData>
                  </a:graphic>
                </wp:inline>
              </w:drawing>
            </w:r>
          </w:p>
        </w:tc>
        <w:tc>
          <w:tcPr>
            <w:tcW w:w="2700" w:type="dxa"/>
          </w:tcPr>
          <w:p w14:paraId="3A472B5B" w14:textId="77777777" w:rsidR="004613AA" w:rsidRDefault="004613AA" w:rsidP="005A0C94">
            <w:pPr>
              <w:spacing w:line="276" w:lineRule="auto"/>
              <w:jc w:val="center"/>
              <w:rPr>
                <w:rFonts w:ascii="Century Gothic" w:hAnsi="Century Gothic" w:cs="Arial"/>
                <w:b/>
                <w:color w:val="000000"/>
              </w:rPr>
            </w:pPr>
          </w:p>
          <w:p w14:paraId="575710A8" w14:textId="77777777" w:rsidR="004613AA" w:rsidRPr="00B3721F" w:rsidRDefault="004613AA" w:rsidP="005A0C94">
            <w:pPr>
              <w:spacing w:line="276" w:lineRule="auto"/>
              <w:jc w:val="center"/>
              <w:rPr>
                <w:rFonts w:ascii="Century Gothic" w:hAnsi="Century Gothic"/>
                <w:b/>
                <w:bCs/>
                <w:color w:val="000000"/>
                <w:szCs w:val="20"/>
              </w:rPr>
            </w:pPr>
            <w:r w:rsidRPr="00B3721F">
              <w:rPr>
                <w:rFonts w:ascii="Century Gothic" w:hAnsi="Century Gothic" w:cs="Arial"/>
                <w:b/>
                <w:color w:val="000000"/>
              </w:rPr>
              <w:t>DIP.VOCAL</w:t>
            </w:r>
          </w:p>
          <w:p w14:paraId="4226EBA0" w14:textId="77777777" w:rsidR="004613AA" w:rsidRPr="006618E1" w:rsidRDefault="002B37B0" w:rsidP="005A0C94">
            <w:pPr>
              <w:tabs>
                <w:tab w:val="center" w:pos="4252"/>
                <w:tab w:val="right" w:pos="8504"/>
              </w:tabs>
              <w:spacing w:line="276" w:lineRule="auto"/>
              <w:jc w:val="center"/>
              <w:rPr>
                <w:rFonts w:ascii="Century Gothic" w:hAnsi="Century Gothic"/>
              </w:rPr>
            </w:pPr>
            <w:hyperlink r:id="rId17" w:history="1">
              <w:r w:rsidR="004613AA" w:rsidRPr="00B3721F">
                <w:rPr>
                  <w:rFonts w:ascii="Century Gothic" w:hAnsi="Century Gothic" w:cs="Arial"/>
                  <w:b/>
                  <w:bCs/>
                  <w:color w:val="000000"/>
                </w:rPr>
                <w:t>GEORGINA ALEJANDRA BUJANDA RIOS</w:t>
              </w:r>
            </w:hyperlink>
          </w:p>
        </w:tc>
        <w:tc>
          <w:tcPr>
            <w:tcW w:w="1620" w:type="dxa"/>
          </w:tcPr>
          <w:p w14:paraId="6A2A36DC" w14:textId="77777777" w:rsidR="004613AA" w:rsidRPr="006618E1" w:rsidRDefault="004613AA" w:rsidP="005A0C94">
            <w:pPr>
              <w:tabs>
                <w:tab w:val="center" w:pos="4252"/>
                <w:tab w:val="right" w:pos="8504"/>
              </w:tabs>
              <w:spacing w:line="276" w:lineRule="auto"/>
              <w:rPr>
                <w:rFonts w:ascii="Century Gothic" w:hAnsi="Century Gothic"/>
              </w:rPr>
            </w:pPr>
          </w:p>
        </w:tc>
        <w:tc>
          <w:tcPr>
            <w:tcW w:w="1751" w:type="dxa"/>
          </w:tcPr>
          <w:p w14:paraId="708778AD" w14:textId="77777777" w:rsidR="004613AA" w:rsidRPr="006618E1" w:rsidRDefault="004613AA" w:rsidP="005A0C94">
            <w:pPr>
              <w:tabs>
                <w:tab w:val="center" w:pos="4252"/>
                <w:tab w:val="right" w:pos="8504"/>
              </w:tabs>
              <w:spacing w:line="276" w:lineRule="auto"/>
              <w:rPr>
                <w:rFonts w:ascii="Century Gothic" w:hAnsi="Century Gothic"/>
              </w:rPr>
            </w:pPr>
          </w:p>
        </w:tc>
        <w:tc>
          <w:tcPr>
            <w:tcW w:w="1824" w:type="dxa"/>
          </w:tcPr>
          <w:p w14:paraId="182D6E20" w14:textId="77777777" w:rsidR="004613AA" w:rsidRPr="006618E1" w:rsidRDefault="004613AA" w:rsidP="005A0C94">
            <w:pPr>
              <w:tabs>
                <w:tab w:val="center" w:pos="4252"/>
                <w:tab w:val="right" w:pos="8504"/>
              </w:tabs>
              <w:spacing w:line="276" w:lineRule="auto"/>
              <w:rPr>
                <w:rFonts w:ascii="Century Gothic" w:hAnsi="Century Gothic"/>
              </w:rPr>
            </w:pPr>
          </w:p>
        </w:tc>
      </w:tr>
    </w:tbl>
    <w:p w14:paraId="2257EA69" w14:textId="77777777" w:rsidR="00DC3178" w:rsidRPr="00DC3178" w:rsidRDefault="004613AA" w:rsidP="005A0C94">
      <w:pPr>
        <w:shd w:val="clear" w:color="auto" w:fill="FFFFFF"/>
        <w:tabs>
          <w:tab w:val="left" w:pos="2978"/>
        </w:tabs>
        <w:ind w:right="332"/>
        <w:jc w:val="both"/>
        <w:rPr>
          <w:rFonts w:ascii="Century Gothic" w:eastAsia="Arial" w:hAnsi="Century Gothic" w:cs="Arial"/>
          <w:sz w:val="16"/>
          <w:szCs w:val="16"/>
        </w:rPr>
      </w:pPr>
      <w:r w:rsidRPr="00315537">
        <w:rPr>
          <w:rFonts w:ascii="Century Gothic" w:eastAsia="Arial" w:hAnsi="Century Gothic" w:cs="Arial"/>
          <w:sz w:val="16"/>
          <w:szCs w:val="16"/>
        </w:rPr>
        <w:t xml:space="preserve">La presente hoja de firmas corresponde al </w:t>
      </w:r>
      <w:r w:rsidR="00DC3178">
        <w:rPr>
          <w:rFonts w:ascii="Century Gothic" w:eastAsia="Arial" w:hAnsi="Century Gothic" w:cs="Arial"/>
          <w:sz w:val="16"/>
          <w:szCs w:val="16"/>
        </w:rPr>
        <w:t xml:space="preserve">dictamen que recae en el Asunto 1380, presentado por </w:t>
      </w:r>
      <w:r w:rsidR="00DC3178" w:rsidRPr="00DC3178">
        <w:rPr>
          <w:rFonts w:ascii="Century Gothic" w:eastAsia="Arial" w:hAnsi="Century Gothic" w:cs="Arial"/>
          <w:sz w:val="16"/>
          <w:szCs w:val="16"/>
        </w:rPr>
        <w:t>los Diputados Ana Carmen Estrada García, Benjamín Carrera Chávez, Francisco Humberto Chávez Herrera, Leticia Ochoa Martínez, Lourdes Beatriz Valle Armendáriz, Miguel Ángel Colunga Martínez, del grupo parlamentario del Partido MORENA,, a fin de  adicionar diversas disposiciones a los artículos 5, 14 y 20 de la Ley de Víctimas para el Estado de Chihuahua, relativo al padrón de víctimas indirectas.</w:t>
      </w:r>
    </w:p>
    <w:p w14:paraId="21C888B3" w14:textId="77777777" w:rsidR="004613AA" w:rsidRPr="00165C38" w:rsidRDefault="004613AA" w:rsidP="004613AA">
      <w:pPr>
        <w:shd w:val="clear" w:color="auto" w:fill="FFFFFF"/>
        <w:tabs>
          <w:tab w:val="left" w:pos="2978"/>
        </w:tabs>
        <w:spacing w:line="276" w:lineRule="auto"/>
        <w:ind w:right="332"/>
        <w:jc w:val="both"/>
        <w:rPr>
          <w:rFonts w:ascii="Century Gothic" w:hAnsi="Century Gothic" w:cs="Arial"/>
          <w:sz w:val="16"/>
          <w:szCs w:val="16"/>
        </w:rPr>
      </w:pPr>
      <w:r w:rsidRPr="00315537">
        <w:rPr>
          <w:rFonts w:ascii="Century Gothic" w:eastAsia="Arial" w:hAnsi="Century Gothic" w:cs="Arial"/>
          <w:sz w:val="16"/>
          <w:szCs w:val="16"/>
        </w:rPr>
        <w:lastRenderedPageBreak/>
        <w:t>.</w:t>
      </w:r>
    </w:p>
    <w:p w14:paraId="25310A9A" w14:textId="77777777" w:rsidR="00EE2584" w:rsidRPr="00165C38" w:rsidRDefault="00EE2584">
      <w:pPr>
        <w:rPr>
          <w:sz w:val="16"/>
          <w:szCs w:val="16"/>
        </w:rPr>
      </w:pPr>
    </w:p>
    <w:sectPr w:rsidR="00EE2584" w:rsidRPr="00165C38" w:rsidSect="007422ED">
      <w:headerReference w:type="default" r:id="rId18"/>
      <w:footerReference w:type="even" r:id="rId19"/>
      <w:footerReference w:type="default" r:id="rId20"/>
      <w:pgSz w:w="12240" w:h="15840" w:code="1"/>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89DAA" w14:textId="77777777" w:rsidR="002B37B0" w:rsidRDefault="002B37B0" w:rsidP="00331CBA">
      <w:r>
        <w:separator/>
      </w:r>
    </w:p>
  </w:endnote>
  <w:endnote w:type="continuationSeparator" w:id="0">
    <w:p w14:paraId="46DE481C" w14:textId="77777777" w:rsidR="002B37B0" w:rsidRDefault="002B37B0" w:rsidP="0033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B3BD0" w14:textId="77777777" w:rsidR="00CA7E98" w:rsidRDefault="00CC420D">
    <w:pPr>
      <w:pStyle w:val="Piedepgina"/>
      <w:framePr w:wrap="around" w:vAnchor="text" w:hAnchor="margin" w:xAlign="center" w:y="1"/>
      <w:rPr>
        <w:rStyle w:val="Nmerodepgina"/>
      </w:rPr>
    </w:pPr>
    <w:r>
      <w:rPr>
        <w:rStyle w:val="Nmerodepgina"/>
      </w:rPr>
      <w:fldChar w:fldCharType="begin"/>
    </w:r>
    <w:r w:rsidR="00CA7E98">
      <w:rPr>
        <w:rStyle w:val="Nmerodepgina"/>
      </w:rPr>
      <w:instrText xml:space="preserve">PAGE  </w:instrText>
    </w:r>
    <w:r>
      <w:rPr>
        <w:rStyle w:val="Nmerodepgina"/>
      </w:rPr>
      <w:fldChar w:fldCharType="end"/>
    </w:r>
  </w:p>
  <w:p w14:paraId="54024B31" w14:textId="77777777" w:rsidR="00CA7E98" w:rsidRDefault="00CA7E98">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37CE2" w14:textId="77777777" w:rsidR="00B34D70" w:rsidRDefault="00B34D70" w:rsidP="00B34D70">
    <w:pPr>
      <w:pStyle w:val="Piedepgina"/>
      <w:jc w:val="right"/>
    </w:pPr>
  </w:p>
  <w:p w14:paraId="141AAA2B" w14:textId="77777777" w:rsidR="00B34D70" w:rsidRPr="00B34D70" w:rsidRDefault="005F2C3A" w:rsidP="00B34D70">
    <w:pPr>
      <w:pStyle w:val="Piedepgina"/>
      <w:jc w:val="right"/>
      <w:rPr>
        <w:lang w:val="en-US"/>
      </w:rPr>
    </w:pPr>
    <w:r>
      <w:rPr>
        <w:rFonts w:ascii="Arial" w:hAnsi="Arial" w:cs="Arial"/>
        <w:sz w:val="16"/>
        <w:szCs w:val="16"/>
        <w:lang w:val="en-US"/>
      </w:rPr>
      <w:t>A1380/LEAT/GAOR/RMO/GTN</w:t>
    </w:r>
    <w:r w:rsidR="00B34D70" w:rsidRPr="00B34D70">
      <w:rPr>
        <w:lang w:val="en-US"/>
      </w:rPr>
      <w:t xml:space="preserve"> </w:t>
    </w:r>
    <w:sdt>
      <w:sdtPr>
        <w:id w:val="5509021"/>
        <w:docPartObj>
          <w:docPartGallery w:val="Page Numbers (Bottom of Page)"/>
          <w:docPartUnique/>
        </w:docPartObj>
      </w:sdtPr>
      <w:sdtEndPr/>
      <w:sdtContent>
        <w:r w:rsidR="00CC420D">
          <w:fldChar w:fldCharType="begin"/>
        </w:r>
        <w:r w:rsidR="00B34D70" w:rsidRPr="00B34D70">
          <w:rPr>
            <w:lang w:val="en-US"/>
          </w:rPr>
          <w:instrText xml:space="preserve"> PAGE   \* MERGEFORMAT </w:instrText>
        </w:r>
        <w:r w:rsidR="00CC420D">
          <w:fldChar w:fldCharType="separate"/>
        </w:r>
        <w:r w:rsidR="005A0C94">
          <w:rPr>
            <w:noProof/>
            <w:lang w:val="en-US"/>
          </w:rPr>
          <w:t>19</w:t>
        </w:r>
        <w:r w:rsidR="00CC420D">
          <w:fldChar w:fldCharType="end"/>
        </w:r>
      </w:sdtContent>
    </w:sdt>
  </w:p>
  <w:p w14:paraId="5DFEF2B6" w14:textId="77777777" w:rsidR="00CA7E98" w:rsidRPr="00FC48FC" w:rsidRDefault="00CA7E98" w:rsidP="0091427A">
    <w:pPr>
      <w:pStyle w:val="Piedepgina"/>
      <w:tabs>
        <w:tab w:val="center" w:pos="4986"/>
        <w:tab w:val="left" w:pos="7185"/>
      </w:tabs>
      <w:rPr>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65042" w14:textId="77777777" w:rsidR="002B37B0" w:rsidRDefault="002B37B0" w:rsidP="00331CBA">
      <w:r>
        <w:separator/>
      </w:r>
    </w:p>
  </w:footnote>
  <w:footnote w:type="continuationSeparator" w:id="0">
    <w:p w14:paraId="348A0C73" w14:textId="77777777" w:rsidR="002B37B0" w:rsidRDefault="002B37B0" w:rsidP="00331CBA">
      <w:r>
        <w:continuationSeparator/>
      </w:r>
    </w:p>
  </w:footnote>
  <w:footnote w:id="1">
    <w:p w14:paraId="7582D684" w14:textId="77777777" w:rsidR="00454C5C" w:rsidRPr="00B54FE1" w:rsidRDefault="00454C5C" w:rsidP="00454C5C">
      <w:pPr>
        <w:pStyle w:val="Textonotapie"/>
      </w:pPr>
      <w:r>
        <w:rPr>
          <w:rStyle w:val="Refdenotaalpie"/>
        </w:rPr>
        <w:footnoteRef/>
      </w:r>
      <w:r>
        <w:t xml:space="preserve"> Vid </w:t>
      </w:r>
      <w:r w:rsidRPr="00B54FE1">
        <w:t>Pleno SCJN. Jurisprudencia. Novena Época. Registro: 187982. Materia: Constitucional. FACULTADES CONCURRENTES EN EL SISTEMA JURÍDICO MEXICANO. SUS CARACTERÍSTICAS GENERALES.</w:t>
      </w:r>
    </w:p>
    <w:p w14:paraId="376C6F4E" w14:textId="77777777" w:rsidR="00454C5C" w:rsidRDefault="00454C5C" w:rsidP="00454C5C">
      <w:pPr>
        <w:pStyle w:val="Textonotapie"/>
      </w:pPr>
    </w:p>
  </w:footnote>
  <w:footnote w:id="2">
    <w:p w14:paraId="55F6D12F" w14:textId="77777777" w:rsidR="00454C5C" w:rsidRDefault="00454C5C" w:rsidP="00454C5C">
      <w:pPr>
        <w:pStyle w:val="Textonotapie"/>
      </w:pPr>
      <w:r>
        <w:rPr>
          <w:rStyle w:val="Refdenotaalpie"/>
        </w:rPr>
        <w:footnoteRef/>
      </w:r>
      <w:r>
        <w:t xml:space="preserve"> Cfr. Pleno SCJN. Jurisprudencia. Novena Época. Registro: 165224. Febrero de 2010 Materia: Constitucional LEYES LOCALES EN MATERIAS CONCURRENTES. EN ELLAS SE PUEDEN AUMENTAR LAS PROHIBICIONES O LOS DEBERES IMPUESTOS POR LAS LEYES GENERALES.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D7BE6" w14:textId="77777777" w:rsidR="00CA7E98" w:rsidRPr="0091427A" w:rsidRDefault="00CA7E98" w:rsidP="0091427A">
    <w:pPr>
      <w:jc w:val="right"/>
      <w:rPr>
        <w:rFonts w:ascii="Century Gothic" w:eastAsia="Calibri" w:hAnsi="Century Gothic" w:cs="Arial"/>
        <w:sz w:val="18"/>
        <w:szCs w:val="18"/>
        <w:lang w:eastAsia="en-US"/>
      </w:rPr>
    </w:pPr>
    <w:r w:rsidRPr="0091427A">
      <w:rPr>
        <w:rFonts w:ascii="Century Gothic" w:eastAsia="Calibri" w:hAnsi="Century Gothic" w:cs="Arial"/>
        <w:sz w:val="18"/>
        <w:szCs w:val="18"/>
        <w:lang w:eastAsia="en-US"/>
      </w:rPr>
      <w:t>“2020, Por un Nuevo Federalismo Fiscal, Justo y Equitativo”</w:t>
    </w:r>
  </w:p>
  <w:p w14:paraId="1E86FF92" w14:textId="77777777" w:rsidR="00CA7E98" w:rsidRPr="0091427A" w:rsidRDefault="00CA7E98" w:rsidP="0091427A">
    <w:pPr>
      <w:jc w:val="right"/>
      <w:rPr>
        <w:rFonts w:ascii="Century Gothic" w:eastAsia="Calibri" w:hAnsi="Century Gothic" w:cs="Arial"/>
        <w:sz w:val="18"/>
        <w:szCs w:val="18"/>
        <w:lang w:eastAsia="en-US"/>
      </w:rPr>
    </w:pPr>
  </w:p>
  <w:p w14:paraId="3C0755C9" w14:textId="77777777" w:rsidR="00CA7E98" w:rsidRPr="00800A6D" w:rsidRDefault="00CA7E98" w:rsidP="0091427A">
    <w:pPr>
      <w:jc w:val="right"/>
      <w:rPr>
        <w:rFonts w:ascii="Arial" w:hAnsi="Arial" w:cs="Arial"/>
        <w:bCs/>
        <w:color w:val="444444"/>
        <w:sz w:val="18"/>
        <w:szCs w:val="16"/>
        <w:shd w:val="clear" w:color="auto" w:fill="FFFFFF"/>
      </w:rPr>
    </w:pPr>
    <w:r w:rsidRPr="0091427A">
      <w:rPr>
        <w:rFonts w:ascii="Century Gothic" w:eastAsia="Calibri" w:hAnsi="Century Gothic" w:cs="Arial"/>
        <w:sz w:val="18"/>
        <w:szCs w:val="18"/>
        <w:lang w:eastAsia="en-US"/>
      </w:rPr>
      <w:t>“2020, Año de la Sanidad Vegetal”</w:t>
    </w:r>
  </w:p>
  <w:p w14:paraId="0072E062" w14:textId="77777777" w:rsidR="00CA7E98" w:rsidRPr="00450450" w:rsidRDefault="00CA7E98" w:rsidP="007C6780">
    <w:pPr>
      <w:pStyle w:val="Encabezado"/>
      <w:jc w:val="center"/>
      <w:rPr>
        <w:rFonts w:ascii="Arial" w:hAnsi="Arial" w:cs="Arial"/>
        <w:b/>
        <w:sz w:val="20"/>
        <w:szCs w:val="20"/>
      </w:rPr>
    </w:pPr>
  </w:p>
  <w:p w14:paraId="5216B357" w14:textId="77777777" w:rsidR="00CA7E98" w:rsidRPr="0091427A" w:rsidRDefault="005A0C94" w:rsidP="005A0C94">
    <w:pPr>
      <w:pStyle w:val="Encabezado"/>
      <w:spacing w:line="360" w:lineRule="auto"/>
      <w:jc w:val="right"/>
      <w:rPr>
        <w:rFonts w:ascii="Century Gothic" w:hAnsi="Century Gothic"/>
        <w:b/>
      </w:rPr>
    </w:pPr>
    <w:r w:rsidRPr="0091427A">
      <w:rPr>
        <w:rFonts w:ascii="Century Gothic" w:hAnsi="Century Gothic"/>
        <w:b/>
      </w:rPr>
      <w:t xml:space="preserve">COMISIÓN DE </w:t>
    </w:r>
    <w:r>
      <w:rPr>
        <w:rFonts w:ascii="Century Gothic" w:hAnsi="Century Gothic"/>
        <w:b/>
      </w:rPr>
      <w:t>JUSTICIA</w:t>
    </w:r>
    <w:r w:rsidRPr="0091427A">
      <w:rPr>
        <w:rFonts w:ascii="Century Gothic" w:hAnsi="Century Gothic"/>
        <w:b/>
      </w:rPr>
      <w:t>.</w:t>
    </w:r>
  </w:p>
  <w:p w14:paraId="4BEB0319" w14:textId="77777777" w:rsidR="005A0C94" w:rsidRDefault="005A0C94" w:rsidP="005A0C94">
    <w:pPr>
      <w:pStyle w:val="Encabezado"/>
      <w:spacing w:line="360" w:lineRule="auto"/>
      <w:jc w:val="right"/>
      <w:rPr>
        <w:rFonts w:ascii="Century Gothic" w:hAnsi="Century Gothic"/>
        <w:b/>
      </w:rPr>
    </w:pPr>
    <w:r w:rsidRPr="0091427A">
      <w:rPr>
        <w:rFonts w:ascii="Century Gothic" w:hAnsi="Century Gothic"/>
        <w:b/>
      </w:rPr>
      <w:t>LXVI LEGISLATURA</w:t>
    </w:r>
  </w:p>
  <w:p w14:paraId="11E2AA01" w14:textId="77777777" w:rsidR="00CA7E98" w:rsidRDefault="005A0C94" w:rsidP="005A0C94">
    <w:pPr>
      <w:pStyle w:val="Encabezado"/>
      <w:spacing w:line="360" w:lineRule="auto"/>
      <w:jc w:val="right"/>
      <w:rPr>
        <w:rFonts w:ascii="Century Gothic" w:hAnsi="Century Gothic"/>
        <w:b/>
      </w:rPr>
    </w:pPr>
    <w:r>
      <w:rPr>
        <w:rFonts w:ascii="Century Gothic" w:hAnsi="Century Gothic"/>
        <w:b/>
      </w:rPr>
      <w:t>DCJ/016/2020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02320"/>
    <w:multiLevelType w:val="hybridMultilevel"/>
    <w:tmpl w:val="A26CA7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8392BDB"/>
    <w:multiLevelType w:val="multilevel"/>
    <w:tmpl w:val="35C6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8D2421"/>
    <w:multiLevelType w:val="multilevel"/>
    <w:tmpl w:val="E1809B40"/>
    <w:styleLink w:val="Estilo1"/>
    <w:lvl w:ilvl="0">
      <w:start w:val="1"/>
      <w:numFmt w:val="lowerLetter"/>
      <w:lvlText w:val="%1."/>
      <w:lvlJc w:val="left"/>
      <w:pPr>
        <w:ind w:left="1815" w:hanging="360"/>
      </w:pPr>
    </w:lvl>
    <w:lvl w:ilvl="1">
      <w:start w:val="1"/>
      <w:numFmt w:val="lowerLetter"/>
      <w:lvlText w:val="%2."/>
      <w:lvlJc w:val="left"/>
      <w:pPr>
        <w:ind w:left="2535" w:hanging="360"/>
      </w:pPr>
    </w:lvl>
    <w:lvl w:ilvl="2">
      <w:start w:val="1"/>
      <w:numFmt w:val="lowerRoman"/>
      <w:lvlText w:val="%3."/>
      <w:lvlJc w:val="right"/>
      <w:pPr>
        <w:ind w:left="3255" w:hanging="180"/>
      </w:pPr>
    </w:lvl>
    <w:lvl w:ilvl="3">
      <w:start w:val="1"/>
      <w:numFmt w:val="decimal"/>
      <w:lvlText w:val="%4."/>
      <w:lvlJc w:val="left"/>
      <w:pPr>
        <w:ind w:left="3975" w:hanging="360"/>
      </w:pPr>
    </w:lvl>
    <w:lvl w:ilvl="4">
      <w:start w:val="1"/>
      <w:numFmt w:val="lowerLetter"/>
      <w:lvlText w:val="%5."/>
      <w:lvlJc w:val="left"/>
      <w:pPr>
        <w:ind w:left="4695" w:hanging="360"/>
      </w:pPr>
    </w:lvl>
    <w:lvl w:ilvl="5">
      <w:start w:val="1"/>
      <w:numFmt w:val="lowerRoman"/>
      <w:lvlText w:val="%6."/>
      <w:lvlJc w:val="right"/>
      <w:pPr>
        <w:ind w:left="5415" w:hanging="180"/>
      </w:pPr>
    </w:lvl>
    <w:lvl w:ilvl="6">
      <w:start w:val="1"/>
      <w:numFmt w:val="decimal"/>
      <w:lvlText w:val="%7."/>
      <w:lvlJc w:val="left"/>
      <w:pPr>
        <w:ind w:left="6135" w:hanging="360"/>
      </w:pPr>
    </w:lvl>
    <w:lvl w:ilvl="7">
      <w:start w:val="1"/>
      <w:numFmt w:val="lowerLetter"/>
      <w:lvlText w:val="%8."/>
      <w:lvlJc w:val="left"/>
      <w:pPr>
        <w:ind w:left="6855" w:hanging="360"/>
      </w:pPr>
    </w:lvl>
    <w:lvl w:ilvl="8">
      <w:start w:val="1"/>
      <w:numFmt w:val="lowerRoman"/>
      <w:lvlText w:val="%9."/>
      <w:lvlJc w:val="right"/>
      <w:pPr>
        <w:ind w:left="7575" w:hanging="180"/>
      </w:pPr>
    </w:lvl>
  </w:abstractNum>
  <w:abstractNum w:abstractNumId="3">
    <w:nsid w:val="424E65DA"/>
    <w:multiLevelType w:val="hybridMultilevel"/>
    <w:tmpl w:val="A7C0F7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D044507"/>
    <w:multiLevelType w:val="hybridMultilevel"/>
    <w:tmpl w:val="06BEE580"/>
    <w:lvl w:ilvl="0" w:tplc="12AC94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EB90B87"/>
    <w:multiLevelType w:val="hybridMultilevel"/>
    <w:tmpl w:val="415CE3CE"/>
    <w:lvl w:ilvl="0" w:tplc="1A881CC6">
      <w:start w:val="1"/>
      <w:numFmt w:val="upperRoman"/>
      <w:lvlText w:val="%1."/>
      <w:lvlJc w:val="left"/>
      <w:pPr>
        <w:ind w:left="720" w:hanging="720"/>
      </w:pPr>
      <w:rPr>
        <w:rFonts w:hint="default"/>
        <w:b/>
        <w:i w:val="0"/>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7C337C68"/>
    <w:multiLevelType w:val="multilevel"/>
    <w:tmpl w:val="E1809B40"/>
    <w:numStyleLink w:val="Estilo1"/>
  </w:abstractNum>
  <w:abstractNum w:abstractNumId="7">
    <w:nsid w:val="7D6B4C82"/>
    <w:multiLevelType w:val="hybridMultilevel"/>
    <w:tmpl w:val="0BE830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4"/>
  </w:num>
  <w:num w:numId="5">
    <w:abstractNumId w:val="0"/>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BA"/>
    <w:rsid w:val="000133EF"/>
    <w:rsid w:val="00014A86"/>
    <w:rsid w:val="00036145"/>
    <w:rsid w:val="00043CA6"/>
    <w:rsid w:val="00051D9C"/>
    <w:rsid w:val="0005404A"/>
    <w:rsid w:val="000556C9"/>
    <w:rsid w:val="00057E56"/>
    <w:rsid w:val="00057FD5"/>
    <w:rsid w:val="00060A1D"/>
    <w:rsid w:val="00064D71"/>
    <w:rsid w:val="000677BC"/>
    <w:rsid w:val="00085026"/>
    <w:rsid w:val="00085129"/>
    <w:rsid w:val="000909A0"/>
    <w:rsid w:val="0009428B"/>
    <w:rsid w:val="0009442B"/>
    <w:rsid w:val="000A7BA7"/>
    <w:rsid w:val="000B0550"/>
    <w:rsid w:val="000B5707"/>
    <w:rsid w:val="000C2791"/>
    <w:rsid w:val="000E40B2"/>
    <w:rsid w:val="00100C26"/>
    <w:rsid w:val="00101D85"/>
    <w:rsid w:val="00110C51"/>
    <w:rsid w:val="00111DB5"/>
    <w:rsid w:val="0011350B"/>
    <w:rsid w:val="00120612"/>
    <w:rsid w:val="001316AF"/>
    <w:rsid w:val="00134515"/>
    <w:rsid w:val="0013500E"/>
    <w:rsid w:val="0014239A"/>
    <w:rsid w:val="00144D96"/>
    <w:rsid w:val="00145872"/>
    <w:rsid w:val="00152BDB"/>
    <w:rsid w:val="00152C67"/>
    <w:rsid w:val="001535B1"/>
    <w:rsid w:val="0015696D"/>
    <w:rsid w:val="00165C38"/>
    <w:rsid w:val="00166858"/>
    <w:rsid w:val="0018294E"/>
    <w:rsid w:val="00190E37"/>
    <w:rsid w:val="001933D0"/>
    <w:rsid w:val="001938C1"/>
    <w:rsid w:val="001955AE"/>
    <w:rsid w:val="001955ED"/>
    <w:rsid w:val="001A5B6C"/>
    <w:rsid w:val="001B1AAA"/>
    <w:rsid w:val="001C7DC8"/>
    <w:rsid w:val="001D18E0"/>
    <w:rsid w:val="001E56B3"/>
    <w:rsid w:val="001E58B7"/>
    <w:rsid w:val="0020030B"/>
    <w:rsid w:val="00201247"/>
    <w:rsid w:val="00202A20"/>
    <w:rsid w:val="002128DC"/>
    <w:rsid w:val="00232854"/>
    <w:rsid w:val="00232FC2"/>
    <w:rsid w:val="002364BE"/>
    <w:rsid w:val="0023737C"/>
    <w:rsid w:val="00245BFF"/>
    <w:rsid w:val="00246F9A"/>
    <w:rsid w:val="002540ED"/>
    <w:rsid w:val="002556F6"/>
    <w:rsid w:val="00267943"/>
    <w:rsid w:val="0027160A"/>
    <w:rsid w:val="0027206F"/>
    <w:rsid w:val="0027447C"/>
    <w:rsid w:val="002A1151"/>
    <w:rsid w:val="002A3572"/>
    <w:rsid w:val="002A534A"/>
    <w:rsid w:val="002A5852"/>
    <w:rsid w:val="002A799F"/>
    <w:rsid w:val="002B37B0"/>
    <w:rsid w:val="002B4E13"/>
    <w:rsid w:val="002B710B"/>
    <w:rsid w:val="002C16A8"/>
    <w:rsid w:val="002C3D19"/>
    <w:rsid w:val="002D3A8D"/>
    <w:rsid w:val="002D4618"/>
    <w:rsid w:val="002E2814"/>
    <w:rsid w:val="002E2CD6"/>
    <w:rsid w:val="002F1F34"/>
    <w:rsid w:val="002F7B8E"/>
    <w:rsid w:val="00306540"/>
    <w:rsid w:val="003123AE"/>
    <w:rsid w:val="00315537"/>
    <w:rsid w:val="00323399"/>
    <w:rsid w:val="00323DC4"/>
    <w:rsid w:val="00331CBA"/>
    <w:rsid w:val="00347E26"/>
    <w:rsid w:val="00354620"/>
    <w:rsid w:val="00356B4E"/>
    <w:rsid w:val="00357185"/>
    <w:rsid w:val="0037265C"/>
    <w:rsid w:val="003751B7"/>
    <w:rsid w:val="00380BCB"/>
    <w:rsid w:val="00386C7D"/>
    <w:rsid w:val="003A218E"/>
    <w:rsid w:val="003A2630"/>
    <w:rsid w:val="003A5C7B"/>
    <w:rsid w:val="003A627F"/>
    <w:rsid w:val="003A6455"/>
    <w:rsid w:val="003B10E3"/>
    <w:rsid w:val="003B56D7"/>
    <w:rsid w:val="003C2048"/>
    <w:rsid w:val="003D1450"/>
    <w:rsid w:val="003D452D"/>
    <w:rsid w:val="003E4467"/>
    <w:rsid w:val="003F07B2"/>
    <w:rsid w:val="003F33B7"/>
    <w:rsid w:val="003F626B"/>
    <w:rsid w:val="0040279F"/>
    <w:rsid w:val="00403160"/>
    <w:rsid w:val="004121C5"/>
    <w:rsid w:val="0041371E"/>
    <w:rsid w:val="0041565C"/>
    <w:rsid w:val="00417264"/>
    <w:rsid w:val="00420990"/>
    <w:rsid w:val="00423A04"/>
    <w:rsid w:val="0042542C"/>
    <w:rsid w:val="004279BB"/>
    <w:rsid w:val="00434ADD"/>
    <w:rsid w:val="00435E05"/>
    <w:rsid w:val="004375E9"/>
    <w:rsid w:val="0044590F"/>
    <w:rsid w:val="00446C31"/>
    <w:rsid w:val="00450C7A"/>
    <w:rsid w:val="00454505"/>
    <w:rsid w:val="00454C5C"/>
    <w:rsid w:val="004613AA"/>
    <w:rsid w:val="00467A10"/>
    <w:rsid w:val="00484DD5"/>
    <w:rsid w:val="0049512E"/>
    <w:rsid w:val="004A0470"/>
    <w:rsid w:val="004A24F1"/>
    <w:rsid w:val="004A618D"/>
    <w:rsid w:val="004A78A7"/>
    <w:rsid w:val="004B11FC"/>
    <w:rsid w:val="004B2661"/>
    <w:rsid w:val="004B4059"/>
    <w:rsid w:val="004C3B8D"/>
    <w:rsid w:val="004D1BBB"/>
    <w:rsid w:val="004D1F18"/>
    <w:rsid w:val="004D6E07"/>
    <w:rsid w:val="004E1878"/>
    <w:rsid w:val="004E4110"/>
    <w:rsid w:val="004E44AD"/>
    <w:rsid w:val="004F1C0A"/>
    <w:rsid w:val="004F2BB4"/>
    <w:rsid w:val="004F3F73"/>
    <w:rsid w:val="004F4D83"/>
    <w:rsid w:val="00506834"/>
    <w:rsid w:val="005100FF"/>
    <w:rsid w:val="00513316"/>
    <w:rsid w:val="005210B8"/>
    <w:rsid w:val="00522340"/>
    <w:rsid w:val="005251D2"/>
    <w:rsid w:val="00536463"/>
    <w:rsid w:val="00537A89"/>
    <w:rsid w:val="00540B8F"/>
    <w:rsid w:val="005506D5"/>
    <w:rsid w:val="00555A2D"/>
    <w:rsid w:val="00564841"/>
    <w:rsid w:val="00565B1C"/>
    <w:rsid w:val="005732B8"/>
    <w:rsid w:val="00575458"/>
    <w:rsid w:val="0058079D"/>
    <w:rsid w:val="00580DA9"/>
    <w:rsid w:val="00582411"/>
    <w:rsid w:val="00590E94"/>
    <w:rsid w:val="005A0C94"/>
    <w:rsid w:val="005A31FE"/>
    <w:rsid w:val="005A3410"/>
    <w:rsid w:val="005A34DD"/>
    <w:rsid w:val="005A38D8"/>
    <w:rsid w:val="005A39CF"/>
    <w:rsid w:val="005A5F92"/>
    <w:rsid w:val="005B2B38"/>
    <w:rsid w:val="005B47BC"/>
    <w:rsid w:val="005B4AFD"/>
    <w:rsid w:val="005B62FB"/>
    <w:rsid w:val="005C0966"/>
    <w:rsid w:val="005C142F"/>
    <w:rsid w:val="005C2EB7"/>
    <w:rsid w:val="005D3AD1"/>
    <w:rsid w:val="005D53FC"/>
    <w:rsid w:val="005E263F"/>
    <w:rsid w:val="005E3A77"/>
    <w:rsid w:val="005E3E08"/>
    <w:rsid w:val="005E7596"/>
    <w:rsid w:val="005F2C3A"/>
    <w:rsid w:val="005F39A9"/>
    <w:rsid w:val="00604DD4"/>
    <w:rsid w:val="0061375E"/>
    <w:rsid w:val="00613794"/>
    <w:rsid w:val="00621135"/>
    <w:rsid w:val="0062121E"/>
    <w:rsid w:val="00621915"/>
    <w:rsid w:val="00626CA9"/>
    <w:rsid w:val="00635B02"/>
    <w:rsid w:val="00635F77"/>
    <w:rsid w:val="00636CDA"/>
    <w:rsid w:val="0064149F"/>
    <w:rsid w:val="00642AA1"/>
    <w:rsid w:val="00654E49"/>
    <w:rsid w:val="006614FD"/>
    <w:rsid w:val="00661958"/>
    <w:rsid w:val="0066252E"/>
    <w:rsid w:val="0066423A"/>
    <w:rsid w:val="00673673"/>
    <w:rsid w:val="006740B7"/>
    <w:rsid w:val="006740DE"/>
    <w:rsid w:val="00674CD6"/>
    <w:rsid w:val="00683FAE"/>
    <w:rsid w:val="00691D0B"/>
    <w:rsid w:val="006976BE"/>
    <w:rsid w:val="006A071E"/>
    <w:rsid w:val="006C391B"/>
    <w:rsid w:val="006C3CD3"/>
    <w:rsid w:val="006C426B"/>
    <w:rsid w:val="006D3D3F"/>
    <w:rsid w:val="006D68A5"/>
    <w:rsid w:val="006E443C"/>
    <w:rsid w:val="006E5BD0"/>
    <w:rsid w:val="006E6EDF"/>
    <w:rsid w:val="006F5983"/>
    <w:rsid w:val="007009BC"/>
    <w:rsid w:val="00700E13"/>
    <w:rsid w:val="00702D96"/>
    <w:rsid w:val="007039A4"/>
    <w:rsid w:val="007066CA"/>
    <w:rsid w:val="00710627"/>
    <w:rsid w:val="007139D2"/>
    <w:rsid w:val="00714CE4"/>
    <w:rsid w:val="0072109F"/>
    <w:rsid w:val="00734E9C"/>
    <w:rsid w:val="007422ED"/>
    <w:rsid w:val="007576C2"/>
    <w:rsid w:val="007577FA"/>
    <w:rsid w:val="00763F74"/>
    <w:rsid w:val="00767666"/>
    <w:rsid w:val="007723A0"/>
    <w:rsid w:val="007732B2"/>
    <w:rsid w:val="007768F7"/>
    <w:rsid w:val="00776C4D"/>
    <w:rsid w:val="00782883"/>
    <w:rsid w:val="00783820"/>
    <w:rsid w:val="00787F8E"/>
    <w:rsid w:val="00790B95"/>
    <w:rsid w:val="00793B76"/>
    <w:rsid w:val="007A3C7B"/>
    <w:rsid w:val="007A6216"/>
    <w:rsid w:val="007A6523"/>
    <w:rsid w:val="007B6D66"/>
    <w:rsid w:val="007C6780"/>
    <w:rsid w:val="007D6990"/>
    <w:rsid w:val="007E711E"/>
    <w:rsid w:val="007E7F92"/>
    <w:rsid w:val="008007F8"/>
    <w:rsid w:val="00800A6D"/>
    <w:rsid w:val="00804E5D"/>
    <w:rsid w:val="00834453"/>
    <w:rsid w:val="00835C67"/>
    <w:rsid w:val="00843D8A"/>
    <w:rsid w:val="00850AE0"/>
    <w:rsid w:val="008522E9"/>
    <w:rsid w:val="00855B39"/>
    <w:rsid w:val="008573DE"/>
    <w:rsid w:val="008619DE"/>
    <w:rsid w:val="00865B79"/>
    <w:rsid w:val="00866D56"/>
    <w:rsid w:val="0087090B"/>
    <w:rsid w:val="00874757"/>
    <w:rsid w:val="008748CD"/>
    <w:rsid w:val="0088488E"/>
    <w:rsid w:val="00886F46"/>
    <w:rsid w:val="0088770C"/>
    <w:rsid w:val="00887DD0"/>
    <w:rsid w:val="0089457F"/>
    <w:rsid w:val="008A6967"/>
    <w:rsid w:val="008B2416"/>
    <w:rsid w:val="008B3C7F"/>
    <w:rsid w:val="008C5C9D"/>
    <w:rsid w:val="008D6F45"/>
    <w:rsid w:val="008E09E0"/>
    <w:rsid w:val="008E3D0C"/>
    <w:rsid w:val="008E3E5E"/>
    <w:rsid w:val="008E5D49"/>
    <w:rsid w:val="008E66B7"/>
    <w:rsid w:val="008E672D"/>
    <w:rsid w:val="008F021D"/>
    <w:rsid w:val="008F3D11"/>
    <w:rsid w:val="00903A9D"/>
    <w:rsid w:val="00913B0B"/>
    <w:rsid w:val="0091427A"/>
    <w:rsid w:val="00915B00"/>
    <w:rsid w:val="00917BA4"/>
    <w:rsid w:val="00917D04"/>
    <w:rsid w:val="00925EF3"/>
    <w:rsid w:val="009261EF"/>
    <w:rsid w:val="00944602"/>
    <w:rsid w:val="009466AE"/>
    <w:rsid w:val="0095240E"/>
    <w:rsid w:val="00955B5C"/>
    <w:rsid w:val="00961AAC"/>
    <w:rsid w:val="00962F8F"/>
    <w:rsid w:val="009630E9"/>
    <w:rsid w:val="00963B0C"/>
    <w:rsid w:val="009677F2"/>
    <w:rsid w:val="00970683"/>
    <w:rsid w:val="00971A44"/>
    <w:rsid w:val="00973E0B"/>
    <w:rsid w:val="00974307"/>
    <w:rsid w:val="00977A67"/>
    <w:rsid w:val="00985CF0"/>
    <w:rsid w:val="00995192"/>
    <w:rsid w:val="009953A4"/>
    <w:rsid w:val="00995FD4"/>
    <w:rsid w:val="009C6EF9"/>
    <w:rsid w:val="009E68BB"/>
    <w:rsid w:val="009F0267"/>
    <w:rsid w:val="009F792D"/>
    <w:rsid w:val="00A03B35"/>
    <w:rsid w:val="00A1082E"/>
    <w:rsid w:val="00A111CE"/>
    <w:rsid w:val="00A17271"/>
    <w:rsid w:val="00A355DD"/>
    <w:rsid w:val="00A35F1E"/>
    <w:rsid w:val="00A40D80"/>
    <w:rsid w:val="00A420D5"/>
    <w:rsid w:val="00A456FB"/>
    <w:rsid w:val="00A52300"/>
    <w:rsid w:val="00A642C1"/>
    <w:rsid w:val="00A9387E"/>
    <w:rsid w:val="00AA050F"/>
    <w:rsid w:val="00AA4F0D"/>
    <w:rsid w:val="00AC2894"/>
    <w:rsid w:val="00AC5805"/>
    <w:rsid w:val="00AE04C7"/>
    <w:rsid w:val="00AE17A8"/>
    <w:rsid w:val="00AE1E7B"/>
    <w:rsid w:val="00AE35C5"/>
    <w:rsid w:val="00AE61A9"/>
    <w:rsid w:val="00AF332A"/>
    <w:rsid w:val="00AF3755"/>
    <w:rsid w:val="00AF3DD2"/>
    <w:rsid w:val="00B0235F"/>
    <w:rsid w:val="00B11450"/>
    <w:rsid w:val="00B14721"/>
    <w:rsid w:val="00B153CF"/>
    <w:rsid w:val="00B21E0B"/>
    <w:rsid w:val="00B25B1C"/>
    <w:rsid w:val="00B26255"/>
    <w:rsid w:val="00B305BE"/>
    <w:rsid w:val="00B3237A"/>
    <w:rsid w:val="00B34D70"/>
    <w:rsid w:val="00B4377F"/>
    <w:rsid w:val="00B438AA"/>
    <w:rsid w:val="00B43B48"/>
    <w:rsid w:val="00B44334"/>
    <w:rsid w:val="00B46904"/>
    <w:rsid w:val="00B56B0C"/>
    <w:rsid w:val="00B61AC9"/>
    <w:rsid w:val="00B71574"/>
    <w:rsid w:val="00B71694"/>
    <w:rsid w:val="00B764D2"/>
    <w:rsid w:val="00B81167"/>
    <w:rsid w:val="00B8591B"/>
    <w:rsid w:val="00B90391"/>
    <w:rsid w:val="00B931BD"/>
    <w:rsid w:val="00BA0D41"/>
    <w:rsid w:val="00BB21CA"/>
    <w:rsid w:val="00BB4EFE"/>
    <w:rsid w:val="00BC19BA"/>
    <w:rsid w:val="00BE5707"/>
    <w:rsid w:val="00BE5BE8"/>
    <w:rsid w:val="00BF13A9"/>
    <w:rsid w:val="00BF4CD4"/>
    <w:rsid w:val="00BF75BF"/>
    <w:rsid w:val="00C052B1"/>
    <w:rsid w:val="00C074C6"/>
    <w:rsid w:val="00C07B0F"/>
    <w:rsid w:val="00C15903"/>
    <w:rsid w:val="00C200F0"/>
    <w:rsid w:val="00C20164"/>
    <w:rsid w:val="00C344E6"/>
    <w:rsid w:val="00C43C95"/>
    <w:rsid w:val="00C51661"/>
    <w:rsid w:val="00C52D77"/>
    <w:rsid w:val="00C57F9A"/>
    <w:rsid w:val="00C72957"/>
    <w:rsid w:val="00C75721"/>
    <w:rsid w:val="00C75F4F"/>
    <w:rsid w:val="00C8082C"/>
    <w:rsid w:val="00C916DA"/>
    <w:rsid w:val="00CA59D6"/>
    <w:rsid w:val="00CA6EAC"/>
    <w:rsid w:val="00CA7E98"/>
    <w:rsid w:val="00CB111B"/>
    <w:rsid w:val="00CB22D2"/>
    <w:rsid w:val="00CC28D1"/>
    <w:rsid w:val="00CC2EAE"/>
    <w:rsid w:val="00CC3876"/>
    <w:rsid w:val="00CC38BF"/>
    <w:rsid w:val="00CC420D"/>
    <w:rsid w:val="00CD077B"/>
    <w:rsid w:val="00CD1F5F"/>
    <w:rsid w:val="00CD733C"/>
    <w:rsid w:val="00CE6A09"/>
    <w:rsid w:val="00CF4D43"/>
    <w:rsid w:val="00CF675F"/>
    <w:rsid w:val="00CF6A53"/>
    <w:rsid w:val="00D01D6D"/>
    <w:rsid w:val="00D0485E"/>
    <w:rsid w:val="00D120AD"/>
    <w:rsid w:val="00D1447F"/>
    <w:rsid w:val="00D17C0F"/>
    <w:rsid w:val="00D24F69"/>
    <w:rsid w:val="00D575B2"/>
    <w:rsid w:val="00D61045"/>
    <w:rsid w:val="00D645A3"/>
    <w:rsid w:val="00D64F64"/>
    <w:rsid w:val="00D66472"/>
    <w:rsid w:val="00D75D0A"/>
    <w:rsid w:val="00D803DC"/>
    <w:rsid w:val="00D85D49"/>
    <w:rsid w:val="00D94AB9"/>
    <w:rsid w:val="00DA156C"/>
    <w:rsid w:val="00DA584A"/>
    <w:rsid w:val="00DA588D"/>
    <w:rsid w:val="00DA6F1F"/>
    <w:rsid w:val="00DB0B91"/>
    <w:rsid w:val="00DB40DF"/>
    <w:rsid w:val="00DC1F31"/>
    <w:rsid w:val="00DC3178"/>
    <w:rsid w:val="00DC5748"/>
    <w:rsid w:val="00DD42AA"/>
    <w:rsid w:val="00DD683C"/>
    <w:rsid w:val="00DE0F12"/>
    <w:rsid w:val="00DE142E"/>
    <w:rsid w:val="00DE2ABD"/>
    <w:rsid w:val="00DE2B78"/>
    <w:rsid w:val="00DE5E69"/>
    <w:rsid w:val="00DF157E"/>
    <w:rsid w:val="00DF4877"/>
    <w:rsid w:val="00DF7907"/>
    <w:rsid w:val="00E04FF6"/>
    <w:rsid w:val="00E0799A"/>
    <w:rsid w:val="00E16FDF"/>
    <w:rsid w:val="00E1713E"/>
    <w:rsid w:val="00E17F42"/>
    <w:rsid w:val="00E249F1"/>
    <w:rsid w:val="00E25FD9"/>
    <w:rsid w:val="00E27837"/>
    <w:rsid w:val="00E4354A"/>
    <w:rsid w:val="00E46D70"/>
    <w:rsid w:val="00E47FCD"/>
    <w:rsid w:val="00E512AA"/>
    <w:rsid w:val="00E52DCF"/>
    <w:rsid w:val="00E56383"/>
    <w:rsid w:val="00E60DAC"/>
    <w:rsid w:val="00E7120C"/>
    <w:rsid w:val="00E73362"/>
    <w:rsid w:val="00E768BF"/>
    <w:rsid w:val="00E80D9F"/>
    <w:rsid w:val="00E82168"/>
    <w:rsid w:val="00E8302C"/>
    <w:rsid w:val="00E8696D"/>
    <w:rsid w:val="00E87959"/>
    <w:rsid w:val="00EA663F"/>
    <w:rsid w:val="00EA74F4"/>
    <w:rsid w:val="00EB5F1C"/>
    <w:rsid w:val="00ED048B"/>
    <w:rsid w:val="00ED35E7"/>
    <w:rsid w:val="00ED428B"/>
    <w:rsid w:val="00EE1E10"/>
    <w:rsid w:val="00EE2584"/>
    <w:rsid w:val="00EE4E4F"/>
    <w:rsid w:val="00EE7B53"/>
    <w:rsid w:val="00F0015D"/>
    <w:rsid w:val="00F00F51"/>
    <w:rsid w:val="00F063D9"/>
    <w:rsid w:val="00F103C6"/>
    <w:rsid w:val="00F1142F"/>
    <w:rsid w:val="00F11658"/>
    <w:rsid w:val="00F13633"/>
    <w:rsid w:val="00F14EDA"/>
    <w:rsid w:val="00F15509"/>
    <w:rsid w:val="00F21EC8"/>
    <w:rsid w:val="00F26641"/>
    <w:rsid w:val="00F32C54"/>
    <w:rsid w:val="00F33CFF"/>
    <w:rsid w:val="00F4622F"/>
    <w:rsid w:val="00F46F4D"/>
    <w:rsid w:val="00F47E24"/>
    <w:rsid w:val="00F60996"/>
    <w:rsid w:val="00F614A1"/>
    <w:rsid w:val="00F67CAC"/>
    <w:rsid w:val="00F8469E"/>
    <w:rsid w:val="00F90945"/>
    <w:rsid w:val="00F91B8D"/>
    <w:rsid w:val="00F91FEA"/>
    <w:rsid w:val="00FA0304"/>
    <w:rsid w:val="00FA442D"/>
    <w:rsid w:val="00FA75B4"/>
    <w:rsid w:val="00FB4239"/>
    <w:rsid w:val="00FC03D5"/>
    <w:rsid w:val="00FC0690"/>
    <w:rsid w:val="00FC48FC"/>
    <w:rsid w:val="00FC5D29"/>
    <w:rsid w:val="00FC6AF8"/>
    <w:rsid w:val="00FD54D9"/>
    <w:rsid w:val="00FD55B1"/>
    <w:rsid w:val="00FE4EDA"/>
    <w:rsid w:val="00FE5015"/>
    <w:rsid w:val="00FE67CD"/>
    <w:rsid w:val="00FF64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F951D"/>
  <w15:docId w15:val="{75E574EB-1546-4CCB-81CF-6935EBDEC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CB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31CBA"/>
    <w:pPr>
      <w:keepNext/>
      <w:jc w:val="both"/>
      <w:outlineLvl w:val="0"/>
    </w:pPr>
    <w:rPr>
      <w:rFonts w:ascii="Arial" w:hAnsi="Arial" w:cs="Arial"/>
      <w:b/>
      <w:bCs/>
    </w:rPr>
  </w:style>
  <w:style w:type="paragraph" w:styleId="Ttulo2">
    <w:name w:val="heading 2"/>
    <w:basedOn w:val="Normal"/>
    <w:next w:val="Normal"/>
    <w:link w:val="Ttulo2Car"/>
    <w:qFormat/>
    <w:rsid w:val="00331CBA"/>
    <w:pPr>
      <w:keepNext/>
      <w:jc w:val="center"/>
      <w:outlineLvl w:val="1"/>
    </w:pPr>
    <w:rPr>
      <w:rFonts w:ascii="Book Antiqua" w:hAnsi="Book Antiqu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31CBA"/>
    <w:rPr>
      <w:rFonts w:ascii="Arial" w:eastAsia="Times New Roman" w:hAnsi="Arial" w:cs="Arial"/>
      <w:b/>
      <w:bCs/>
      <w:sz w:val="24"/>
      <w:szCs w:val="24"/>
      <w:lang w:val="es-ES" w:eastAsia="es-ES"/>
    </w:rPr>
  </w:style>
  <w:style w:type="character" w:customStyle="1" w:styleId="Ttulo2Car">
    <w:name w:val="Título 2 Car"/>
    <w:basedOn w:val="Fuentedeprrafopredeter"/>
    <w:link w:val="Ttulo2"/>
    <w:rsid w:val="00331CBA"/>
    <w:rPr>
      <w:rFonts w:ascii="Book Antiqua" w:eastAsia="Times New Roman" w:hAnsi="Book Antiqua" w:cs="Times New Roman"/>
      <w:b/>
      <w:bCs/>
      <w:sz w:val="24"/>
      <w:szCs w:val="24"/>
      <w:lang w:val="es-ES" w:eastAsia="es-ES"/>
    </w:rPr>
  </w:style>
  <w:style w:type="paragraph" w:styleId="Encabezado">
    <w:name w:val="header"/>
    <w:basedOn w:val="Normal"/>
    <w:link w:val="EncabezadoCar"/>
    <w:uiPriority w:val="99"/>
    <w:rsid w:val="00331CBA"/>
    <w:pPr>
      <w:tabs>
        <w:tab w:val="center" w:pos="4419"/>
        <w:tab w:val="right" w:pos="8838"/>
      </w:tabs>
    </w:pPr>
  </w:style>
  <w:style w:type="character" w:customStyle="1" w:styleId="EncabezadoCar">
    <w:name w:val="Encabezado Car"/>
    <w:basedOn w:val="Fuentedeprrafopredeter"/>
    <w:link w:val="Encabezado"/>
    <w:uiPriority w:val="99"/>
    <w:rsid w:val="00331C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331CBA"/>
    <w:pPr>
      <w:tabs>
        <w:tab w:val="center" w:pos="4419"/>
        <w:tab w:val="right" w:pos="8838"/>
      </w:tabs>
    </w:pPr>
  </w:style>
  <w:style w:type="character" w:customStyle="1" w:styleId="PiedepginaCar">
    <w:name w:val="Pie de página Car"/>
    <w:basedOn w:val="Fuentedeprrafopredeter"/>
    <w:link w:val="Piedepgina"/>
    <w:uiPriority w:val="99"/>
    <w:rsid w:val="00331CBA"/>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331CBA"/>
    <w:pPr>
      <w:jc w:val="both"/>
    </w:pPr>
    <w:rPr>
      <w:rFonts w:ascii="Book Antiqua" w:hAnsi="Book Antiqua"/>
    </w:rPr>
  </w:style>
  <w:style w:type="character" w:customStyle="1" w:styleId="TextoindependienteCar">
    <w:name w:val="Texto independiente Car"/>
    <w:basedOn w:val="Fuentedeprrafopredeter"/>
    <w:link w:val="Textoindependiente"/>
    <w:rsid w:val="00331CBA"/>
    <w:rPr>
      <w:rFonts w:ascii="Book Antiqua" w:eastAsia="Times New Roman" w:hAnsi="Book Antiqua" w:cs="Times New Roman"/>
      <w:sz w:val="24"/>
      <w:szCs w:val="24"/>
      <w:lang w:val="es-ES" w:eastAsia="es-ES"/>
    </w:rPr>
  </w:style>
  <w:style w:type="character" w:styleId="Nmerodepgina">
    <w:name w:val="page number"/>
    <w:basedOn w:val="Fuentedeprrafopredeter"/>
    <w:rsid w:val="00331CBA"/>
  </w:style>
  <w:style w:type="paragraph" w:styleId="Prrafodelista">
    <w:name w:val="List Paragraph"/>
    <w:basedOn w:val="Normal"/>
    <w:uiPriority w:val="34"/>
    <w:qFormat/>
    <w:rsid w:val="00331CBA"/>
    <w:pPr>
      <w:spacing w:after="200" w:line="276" w:lineRule="auto"/>
      <w:ind w:left="720"/>
      <w:contextualSpacing/>
      <w:jc w:val="both"/>
    </w:pPr>
    <w:rPr>
      <w:rFonts w:ascii="Arial" w:hAnsi="Arial"/>
      <w:sz w:val="22"/>
      <w:szCs w:val="22"/>
      <w:lang w:val="es-MX" w:eastAsia="en-US"/>
    </w:rPr>
  </w:style>
  <w:style w:type="paragraph" w:styleId="Sinespaciado">
    <w:name w:val="No Spacing"/>
    <w:link w:val="SinespaciadoCar"/>
    <w:uiPriority w:val="1"/>
    <w:qFormat/>
    <w:rsid w:val="00331CBA"/>
    <w:pPr>
      <w:spacing w:after="0" w:line="240" w:lineRule="auto"/>
    </w:pPr>
    <w:rPr>
      <w:rFonts w:ascii="Calibri" w:eastAsia="Calibri" w:hAnsi="Calibri" w:cs="Times New Roman"/>
    </w:rPr>
  </w:style>
  <w:style w:type="character" w:customStyle="1" w:styleId="Estilo2">
    <w:name w:val="Estilo2"/>
    <w:uiPriority w:val="1"/>
    <w:rsid w:val="00331CBA"/>
    <w:rPr>
      <w:rFonts w:ascii="Arial" w:hAnsi="Arial"/>
      <w:b/>
      <w:caps/>
      <w:sz w:val="24"/>
    </w:rPr>
  </w:style>
  <w:style w:type="paragraph" w:styleId="Textonotapie">
    <w:name w:val="footnote text"/>
    <w:basedOn w:val="Normal"/>
    <w:link w:val="TextonotapieCar"/>
    <w:uiPriority w:val="99"/>
    <w:unhideWhenUsed/>
    <w:rsid w:val="00331CBA"/>
    <w:rPr>
      <w:sz w:val="20"/>
      <w:szCs w:val="20"/>
    </w:rPr>
  </w:style>
  <w:style w:type="character" w:customStyle="1" w:styleId="TextonotapieCar">
    <w:name w:val="Texto nota pie Car"/>
    <w:basedOn w:val="Fuentedeprrafopredeter"/>
    <w:link w:val="Textonotapie"/>
    <w:uiPriority w:val="99"/>
    <w:rsid w:val="00331CBA"/>
    <w:rPr>
      <w:rFonts w:ascii="Times New Roman" w:eastAsia="Times New Roman" w:hAnsi="Times New Roman" w:cs="Times New Roman"/>
      <w:sz w:val="20"/>
      <w:szCs w:val="20"/>
      <w:lang w:val="es-ES" w:eastAsia="es-ES"/>
    </w:rPr>
  </w:style>
  <w:style w:type="character" w:styleId="Refdenotaalpie">
    <w:name w:val="footnote reference"/>
    <w:uiPriority w:val="99"/>
    <w:unhideWhenUsed/>
    <w:rsid w:val="00331CBA"/>
    <w:rPr>
      <w:vertAlign w:val="superscript"/>
    </w:rPr>
  </w:style>
  <w:style w:type="paragraph" w:customStyle="1" w:styleId="Normal1">
    <w:name w:val="Normal1"/>
    <w:rsid w:val="00331CBA"/>
    <w:pPr>
      <w:spacing w:after="0" w:line="240" w:lineRule="auto"/>
    </w:pPr>
    <w:rPr>
      <w:rFonts w:ascii="Times New Roman" w:eastAsia="Times New Roman" w:hAnsi="Times New Roman" w:cs="Times New Roman"/>
      <w:color w:val="000000"/>
      <w:sz w:val="24"/>
      <w:szCs w:val="24"/>
      <w:lang w:eastAsia="es-MX"/>
    </w:rPr>
  </w:style>
  <w:style w:type="character" w:styleId="Hipervnculo">
    <w:name w:val="Hyperlink"/>
    <w:uiPriority w:val="99"/>
    <w:rsid w:val="00331CBA"/>
    <w:rPr>
      <w:color w:val="0000FF"/>
      <w:u w:val="single"/>
    </w:rPr>
  </w:style>
  <w:style w:type="character" w:customStyle="1" w:styleId="SinespaciadoCar">
    <w:name w:val="Sin espaciado Car"/>
    <w:link w:val="Sinespaciado"/>
    <w:uiPriority w:val="1"/>
    <w:rsid w:val="00331CBA"/>
    <w:rPr>
      <w:rFonts w:ascii="Calibri" w:eastAsia="Calibri" w:hAnsi="Calibri" w:cs="Times New Roman"/>
    </w:rPr>
  </w:style>
  <w:style w:type="paragraph" w:customStyle="1" w:styleId="Texto">
    <w:name w:val="Texto"/>
    <w:basedOn w:val="Normal"/>
    <w:link w:val="TextoCar"/>
    <w:rsid w:val="00331CBA"/>
    <w:pPr>
      <w:spacing w:after="101" w:line="216" w:lineRule="exact"/>
      <w:ind w:firstLine="288"/>
      <w:jc w:val="both"/>
    </w:pPr>
    <w:rPr>
      <w:rFonts w:ascii="Arial" w:hAnsi="Arial"/>
      <w:sz w:val="18"/>
      <w:szCs w:val="20"/>
    </w:rPr>
  </w:style>
  <w:style w:type="character" w:customStyle="1" w:styleId="TextoCar">
    <w:name w:val="Texto Car"/>
    <w:link w:val="Texto"/>
    <w:locked/>
    <w:rsid w:val="00331CBA"/>
    <w:rPr>
      <w:rFonts w:ascii="Arial" w:eastAsia="Times New Roman" w:hAnsi="Arial" w:cs="Times New Roman"/>
      <w:sz w:val="18"/>
      <w:szCs w:val="20"/>
      <w:lang w:val="es-ES" w:eastAsia="es-ES"/>
    </w:rPr>
  </w:style>
  <w:style w:type="character" w:styleId="Textoennegrita">
    <w:name w:val="Strong"/>
    <w:uiPriority w:val="22"/>
    <w:qFormat/>
    <w:rsid w:val="00331CBA"/>
    <w:rPr>
      <w:b/>
      <w:bCs/>
    </w:rPr>
  </w:style>
  <w:style w:type="paragraph" w:styleId="Textodeglobo">
    <w:name w:val="Balloon Text"/>
    <w:basedOn w:val="Normal"/>
    <w:link w:val="TextodegloboCar"/>
    <w:uiPriority w:val="99"/>
    <w:semiHidden/>
    <w:unhideWhenUsed/>
    <w:rsid w:val="00331CBA"/>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CBA"/>
    <w:rPr>
      <w:rFonts w:ascii="Tahoma" w:eastAsia="Times New Roman" w:hAnsi="Tahoma" w:cs="Tahoma"/>
      <w:sz w:val="16"/>
      <w:szCs w:val="16"/>
      <w:lang w:val="es-ES" w:eastAsia="es-ES"/>
    </w:rPr>
  </w:style>
  <w:style w:type="paragraph" w:styleId="NormalWeb">
    <w:name w:val="Normal (Web)"/>
    <w:basedOn w:val="Normal"/>
    <w:uiPriority w:val="99"/>
    <w:unhideWhenUsed/>
    <w:rsid w:val="00DE5E69"/>
    <w:pPr>
      <w:spacing w:before="100" w:beforeAutospacing="1" w:after="100" w:afterAutospacing="1"/>
    </w:pPr>
    <w:rPr>
      <w:lang w:val="es-MX" w:eastAsia="es-MX"/>
    </w:rPr>
  </w:style>
  <w:style w:type="paragraph" w:customStyle="1" w:styleId="letter-capitular">
    <w:name w:val="letter-capitular"/>
    <w:basedOn w:val="Normal"/>
    <w:rsid w:val="0066423A"/>
    <w:pPr>
      <w:spacing w:before="100" w:beforeAutospacing="1" w:after="100" w:afterAutospacing="1"/>
    </w:pPr>
    <w:rPr>
      <w:lang w:val="es-MX" w:eastAsia="es-MX"/>
    </w:rPr>
  </w:style>
  <w:style w:type="numbering" w:customStyle="1" w:styleId="Estilo1">
    <w:name w:val="Estilo1"/>
    <w:uiPriority w:val="99"/>
    <w:rsid w:val="00CD733C"/>
    <w:pPr>
      <w:numPr>
        <w:numId w:val="7"/>
      </w:numPr>
    </w:pPr>
  </w:style>
  <w:style w:type="character" w:styleId="Hipervnculovisitado">
    <w:name w:val="FollowedHyperlink"/>
    <w:basedOn w:val="Fuentedeprrafopredeter"/>
    <w:uiPriority w:val="99"/>
    <w:semiHidden/>
    <w:unhideWhenUsed/>
    <w:rsid w:val="00C72957"/>
    <w:rPr>
      <w:color w:val="800080" w:themeColor="followedHyperlink"/>
      <w:u w:val="single"/>
    </w:rPr>
  </w:style>
  <w:style w:type="paragraph" w:customStyle="1" w:styleId="Default">
    <w:name w:val="Default"/>
    <w:link w:val="DefaultChar"/>
    <w:rsid w:val="0042542C"/>
    <w:pPr>
      <w:autoSpaceDE w:val="0"/>
      <w:autoSpaceDN w:val="0"/>
      <w:adjustRightInd w:val="0"/>
      <w:spacing w:after="0" w:line="240" w:lineRule="auto"/>
    </w:pPr>
    <w:rPr>
      <w:rFonts w:ascii="Calibri" w:eastAsia="Calibri" w:hAnsi="Calibri" w:cs="Calibri"/>
      <w:color w:val="000000"/>
      <w:sz w:val="24"/>
      <w:szCs w:val="24"/>
    </w:rPr>
  </w:style>
  <w:style w:type="paragraph" w:customStyle="1" w:styleId="Normal2">
    <w:name w:val="Normal2"/>
    <w:rsid w:val="000556C9"/>
    <w:pPr>
      <w:spacing w:after="0" w:line="240" w:lineRule="auto"/>
    </w:pPr>
    <w:rPr>
      <w:rFonts w:ascii="Times New Roman" w:eastAsia="Times New Roman" w:hAnsi="Times New Roman" w:cs="Times New Roman"/>
      <w:color w:val="000000"/>
      <w:sz w:val="24"/>
      <w:szCs w:val="20"/>
      <w:lang w:val="es-ES" w:eastAsia="es-ES"/>
    </w:rPr>
  </w:style>
  <w:style w:type="character" w:customStyle="1" w:styleId="DefaultChar">
    <w:name w:val="Default Char"/>
    <w:link w:val="Default"/>
    <w:rsid w:val="00714CE4"/>
    <w:rPr>
      <w:rFonts w:ascii="Calibri" w:eastAsia="Calibri" w:hAnsi="Calibri" w:cs="Calibri"/>
      <w:color w:val="000000"/>
      <w:sz w:val="24"/>
      <w:szCs w:val="24"/>
    </w:rPr>
  </w:style>
  <w:style w:type="character" w:customStyle="1" w:styleId="Ninguno">
    <w:name w:val="Ninguno"/>
    <w:rsid w:val="00714CE4"/>
  </w:style>
  <w:style w:type="paragraph" w:customStyle="1" w:styleId="western">
    <w:name w:val="western"/>
    <w:basedOn w:val="Normal"/>
    <w:rsid w:val="005D3AD1"/>
    <w:pPr>
      <w:spacing w:before="100" w:beforeAutospacing="1" w:after="100" w:afterAutospacing="1"/>
    </w:pPr>
    <w:rPr>
      <w:lang w:val="es-MX" w:eastAsia="es-MX"/>
    </w:rPr>
  </w:style>
  <w:style w:type="paragraph" w:customStyle="1" w:styleId="Normal3">
    <w:name w:val="Normal3"/>
    <w:rsid w:val="004613AA"/>
    <w:rPr>
      <w:rFonts w:ascii="Calibri" w:eastAsia="Calibri" w:hAnsi="Calibri" w:cs="Calibri"/>
      <w:color w:val="00000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52191">
      <w:bodyDiv w:val="1"/>
      <w:marLeft w:val="0"/>
      <w:marRight w:val="0"/>
      <w:marTop w:val="0"/>
      <w:marBottom w:val="0"/>
      <w:divBdr>
        <w:top w:val="none" w:sz="0" w:space="0" w:color="auto"/>
        <w:left w:val="none" w:sz="0" w:space="0" w:color="auto"/>
        <w:bottom w:val="none" w:sz="0" w:space="0" w:color="auto"/>
        <w:right w:val="none" w:sz="0" w:space="0" w:color="auto"/>
      </w:divBdr>
    </w:div>
    <w:div w:id="5690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dof.gob.mx/nota_detalle.php?codigo=5577990&amp;fecha=06/11/2019" TargetMode="Externa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www.unicef.org/mexico/media/1731/file/UNICEF%20PanoramaEstadistico.pdf" TargetMode="External"/><Relationship Id="rId11" Type="http://schemas.openxmlformats.org/officeDocument/2006/relationships/image" Target="media/image1.png"/><Relationship Id="rId12" Type="http://schemas.openxmlformats.org/officeDocument/2006/relationships/hyperlink" Target="javascript:%20verDetalle(1180)" TargetMode="External"/><Relationship Id="rId13" Type="http://schemas.openxmlformats.org/officeDocument/2006/relationships/image" Target="media/image2.png"/><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image" Target="media/image5.png"/><Relationship Id="rId17" Type="http://schemas.openxmlformats.org/officeDocument/2006/relationships/hyperlink" Target="javascript:%20verDetalle(1184)"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gob.mx/conavim/articulos/que-es-el-feminicidio-y-como-identificarlo?idiom=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EE473A-EF35-7545-9153-98BA929B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3001</Words>
  <Characters>16506</Characters>
  <Application>Microsoft Macintosh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roaguirre</dc:creator>
  <cp:lastModifiedBy>Usuario de Microsoft Office</cp:lastModifiedBy>
  <cp:revision>2</cp:revision>
  <cp:lastPrinted>2019-08-08T19:26:00Z</cp:lastPrinted>
  <dcterms:created xsi:type="dcterms:W3CDTF">2020-10-02T19:54:00Z</dcterms:created>
  <dcterms:modified xsi:type="dcterms:W3CDTF">2020-10-02T19:54:00Z</dcterms:modified>
</cp:coreProperties>
</file>