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CBA" w:rsidRPr="009568FB" w:rsidRDefault="00331CBA" w:rsidP="00331CBA">
      <w:pPr>
        <w:pStyle w:val="Ttulo1"/>
        <w:tabs>
          <w:tab w:val="left" w:pos="5385"/>
        </w:tabs>
        <w:rPr>
          <w:rFonts w:ascii="Century Gothic" w:hAnsi="Century Gothic"/>
        </w:rPr>
      </w:pPr>
      <w:r w:rsidRPr="009568FB">
        <w:rPr>
          <w:rFonts w:ascii="Century Gothic" w:hAnsi="Century Gothic"/>
        </w:rPr>
        <w:t>H. CONGRESO DEL ESTADO</w:t>
      </w:r>
    </w:p>
    <w:p w:rsidR="00331CBA" w:rsidRPr="009568FB" w:rsidRDefault="00331CBA" w:rsidP="00331CBA">
      <w:pPr>
        <w:jc w:val="both"/>
        <w:rPr>
          <w:rFonts w:ascii="Century Gothic" w:hAnsi="Century Gothic" w:cs="Arial"/>
          <w:b/>
          <w:bCs/>
        </w:rPr>
      </w:pPr>
      <w:r w:rsidRPr="009568FB">
        <w:rPr>
          <w:rFonts w:ascii="Century Gothic" w:hAnsi="Century Gothic" w:cs="Arial"/>
          <w:b/>
          <w:bCs/>
        </w:rPr>
        <w:t>P R E S E N T E. –</w:t>
      </w:r>
    </w:p>
    <w:p w:rsidR="00331CBA" w:rsidRPr="009568FB" w:rsidRDefault="00331CBA" w:rsidP="00331CBA">
      <w:pPr>
        <w:tabs>
          <w:tab w:val="left" w:pos="6840"/>
        </w:tabs>
        <w:spacing w:line="360" w:lineRule="auto"/>
        <w:jc w:val="both"/>
        <w:rPr>
          <w:rFonts w:ascii="Century Gothic" w:hAnsi="Century Gothic" w:cs="Arial"/>
          <w:b/>
          <w:bCs/>
        </w:rPr>
      </w:pPr>
      <w:r>
        <w:rPr>
          <w:rFonts w:ascii="Century Gothic" w:hAnsi="Century Gothic" w:cs="Arial"/>
          <w:b/>
          <w:bCs/>
        </w:rPr>
        <w:tab/>
      </w:r>
    </w:p>
    <w:p w:rsidR="00331CBA" w:rsidRPr="009568FB" w:rsidRDefault="00E25FD9" w:rsidP="00331CBA">
      <w:pPr>
        <w:pStyle w:val="Textoindependiente"/>
        <w:spacing w:line="360" w:lineRule="auto"/>
        <w:rPr>
          <w:rFonts w:ascii="Century Gothic" w:hAnsi="Century Gothic" w:cs="Arial"/>
        </w:rPr>
      </w:pPr>
      <w:r>
        <w:rPr>
          <w:rFonts w:ascii="Century Gothic" w:hAnsi="Century Gothic" w:cs="Arial"/>
        </w:rPr>
        <w:t>La Comisión de Transparencia,</w:t>
      </w:r>
      <w:r w:rsidR="00331CBA">
        <w:rPr>
          <w:rFonts w:ascii="Century Gothic" w:hAnsi="Century Gothic" w:cs="Arial"/>
        </w:rPr>
        <w:t xml:space="preserve"> Acceso a la Información</w:t>
      </w:r>
      <w:r>
        <w:rPr>
          <w:rFonts w:ascii="Century Gothic" w:hAnsi="Century Gothic" w:cs="Arial"/>
        </w:rPr>
        <w:t xml:space="preserve"> </w:t>
      </w:r>
      <w:r w:rsidR="001933D0">
        <w:rPr>
          <w:rFonts w:ascii="Century Gothic" w:hAnsi="Century Gothic" w:cs="Arial"/>
        </w:rPr>
        <w:t xml:space="preserve">Pública </w:t>
      </w:r>
      <w:r>
        <w:rPr>
          <w:rFonts w:ascii="Century Gothic" w:hAnsi="Century Gothic" w:cs="Arial"/>
        </w:rPr>
        <w:t>y Parlamento Abierto</w:t>
      </w:r>
      <w:r w:rsidR="00331CBA" w:rsidRPr="009568FB">
        <w:rPr>
          <w:rFonts w:ascii="Century Gothic" w:hAnsi="Century Gothic" w:cs="Arial"/>
        </w:rPr>
        <w:t xml:space="preserve">, </w:t>
      </w:r>
      <w:r w:rsidR="00331CBA" w:rsidRPr="0002744E">
        <w:rPr>
          <w:rFonts w:ascii="Century Gothic" w:eastAsia="Arial" w:hAnsi="Century Gothic" w:cs="Arial"/>
        </w:rPr>
        <w:t>con fundamento en lo dispuesto</w:t>
      </w:r>
      <w:r w:rsidR="009C6EF9">
        <w:rPr>
          <w:rFonts w:ascii="Century Gothic" w:eastAsia="Arial" w:hAnsi="Century Gothic" w:cs="Arial"/>
        </w:rPr>
        <w:t xml:space="preserve"> </w:t>
      </w:r>
      <w:r w:rsidR="00621915">
        <w:rPr>
          <w:rFonts w:ascii="Century Gothic" w:eastAsia="Arial" w:hAnsi="Century Gothic" w:cs="Arial"/>
        </w:rPr>
        <w:t xml:space="preserve">por los artículos 57 y </w:t>
      </w:r>
      <w:r w:rsidR="00477D1B">
        <w:rPr>
          <w:rFonts w:ascii="Century Gothic" w:eastAsia="Arial" w:hAnsi="Century Gothic" w:cs="Arial"/>
        </w:rPr>
        <w:t xml:space="preserve">58 </w:t>
      </w:r>
      <w:r w:rsidR="00621915" w:rsidRPr="003B1094">
        <w:rPr>
          <w:rFonts w:ascii="Century Gothic" w:eastAsia="Arial" w:hAnsi="Century Gothic" w:cs="Arial"/>
        </w:rPr>
        <w:t>de la Constitución Política del Estado de Chihuahua; 87, 88 y 111 de la Ley Orgánica; así como 80 y 81 del Reglamento Interior y de Prácticas Parlamentarias</w:t>
      </w:r>
      <w:r w:rsidR="00621915">
        <w:rPr>
          <w:rFonts w:ascii="Century Gothic" w:eastAsia="Arial" w:hAnsi="Century Gothic" w:cs="Arial"/>
        </w:rPr>
        <w:t>, ambos ordenamientos del Poder Legislativo del Estado de Chihuahua;</w:t>
      </w:r>
      <w:r w:rsidR="00621915" w:rsidRPr="0002744E">
        <w:rPr>
          <w:rFonts w:ascii="Century Gothic" w:eastAsia="Arial" w:hAnsi="Century Gothic" w:cs="Arial"/>
        </w:rPr>
        <w:t xml:space="preserve"> somete a la consideración del Pleno el presente Dictamen, elaborado con base en los siguientes</w:t>
      </w:r>
      <w:r w:rsidR="00621915">
        <w:rPr>
          <w:rFonts w:ascii="Century Gothic" w:eastAsia="Arial" w:hAnsi="Century Gothic" w:cs="Arial"/>
        </w:rPr>
        <w:t>:</w:t>
      </w:r>
    </w:p>
    <w:p w:rsidR="00331CBA" w:rsidRDefault="00331CBA" w:rsidP="00331CBA">
      <w:pPr>
        <w:pStyle w:val="Textoindependiente"/>
        <w:ind w:firstLine="993"/>
        <w:rPr>
          <w:rFonts w:ascii="Century Gothic" w:hAnsi="Century Gothic" w:cs="Arial"/>
          <w:b/>
        </w:rPr>
      </w:pPr>
    </w:p>
    <w:p w:rsidR="00331CBA" w:rsidRDefault="00331CBA" w:rsidP="00331CBA">
      <w:pPr>
        <w:pStyle w:val="Ttulo2"/>
        <w:spacing w:line="360" w:lineRule="auto"/>
        <w:rPr>
          <w:rFonts w:ascii="Century Gothic" w:hAnsi="Century Gothic" w:cs="Arial"/>
        </w:rPr>
      </w:pPr>
      <w:r w:rsidRPr="009568FB">
        <w:rPr>
          <w:rFonts w:ascii="Century Gothic" w:hAnsi="Century Gothic" w:cs="Arial"/>
        </w:rPr>
        <w:t>A N T E C E D E N T E S</w:t>
      </w:r>
    </w:p>
    <w:p w:rsidR="00331CBA" w:rsidRPr="009568FB" w:rsidRDefault="00331CBA" w:rsidP="00331CBA">
      <w:pPr>
        <w:rPr>
          <w:rFonts w:ascii="Century Gothic" w:hAnsi="Century Gothic" w:cs="Arial"/>
        </w:rPr>
      </w:pPr>
    </w:p>
    <w:p w:rsidR="007E7F92" w:rsidRPr="00AF159B" w:rsidRDefault="00331CBA" w:rsidP="0076572A">
      <w:pPr>
        <w:shd w:val="clear" w:color="auto" w:fill="FFFFFF"/>
        <w:tabs>
          <w:tab w:val="left" w:pos="9763"/>
        </w:tabs>
        <w:spacing w:line="360" w:lineRule="auto"/>
        <w:jc w:val="both"/>
        <w:rPr>
          <w:rFonts w:ascii="Century Gothic" w:hAnsi="Century Gothic"/>
        </w:rPr>
      </w:pPr>
      <w:r w:rsidRPr="009568FB">
        <w:rPr>
          <w:rFonts w:ascii="Century Gothic" w:hAnsi="Century Gothic" w:cs="Arial"/>
          <w:b/>
          <w:bCs/>
        </w:rPr>
        <w:t xml:space="preserve">I.- </w:t>
      </w:r>
      <w:r w:rsidR="0076572A">
        <w:rPr>
          <w:rFonts w:ascii="Century Gothic" w:hAnsi="Century Gothic" w:cs="Arial"/>
        </w:rPr>
        <w:t xml:space="preserve">Con fecha </w:t>
      </w:r>
      <w:r w:rsidR="00362C50">
        <w:rPr>
          <w:rFonts w:ascii="Century Gothic" w:hAnsi="Century Gothic" w:cs="Arial"/>
        </w:rPr>
        <w:t xml:space="preserve">veinticinco </w:t>
      </w:r>
      <w:r>
        <w:rPr>
          <w:rFonts w:ascii="Century Gothic" w:hAnsi="Century Gothic" w:cs="Arial"/>
        </w:rPr>
        <w:t xml:space="preserve">de </w:t>
      </w:r>
      <w:r w:rsidR="00362C50">
        <w:rPr>
          <w:rFonts w:ascii="Century Gothic" w:hAnsi="Century Gothic" w:cs="Arial"/>
        </w:rPr>
        <w:t>junio</w:t>
      </w:r>
      <w:r>
        <w:rPr>
          <w:rFonts w:ascii="Century Gothic" w:hAnsi="Century Gothic" w:cs="Arial"/>
        </w:rPr>
        <w:t xml:space="preserve"> de</w:t>
      </w:r>
      <w:r w:rsidR="00362C50">
        <w:rPr>
          <w:rFonts w:ascii="Century Gothic" w:hAnsi="Century Gothic" w:cs="Arial"/>
        </w:rPr>
        <w:t>l año</w:t>
      </w:r>
      <w:r>
        <w:rPr>
          <w:rFonts w:ascii="Century Gothic" w:hAnsi="Century Gothic" w:cs="Arial"/>
        </w:rPr>
        <w:t xml:space="preserve"> dos mil dieci</w:t>
      </w:r>
      <w:r w:rsidR="0020030B">
        <w:rPr>
          <w:rFonts w:ascii="Century Gothic" w:hAnsi="Century Gothic" w:cs="Arial"/>
        </w:rPr>
        <w:t>nueve</w:t>
      </w:r>
      <w:r>
        <w:rPr>
          <w:rFonts w:ascii="Century Gothic" w:hAnsi="Century Gothic" w:cs="Arial"/>
        </w:rPr>
        <w:t>,</w:t>
      </w:r>
      <w:r w:rsidR="00323DC4">
        <w:rPr>
          <w:rFonts w:ascii="Century Gothic" w:hAnsi="Century Gothic" w:cs="Arial"/>
        </w:rPr>
        <w:t xml:space="preserve"> </w:t>
      </w:r>
      <w:r w:rsidR="00917BA4">
        <w:rPr>
          <w:rFonts w:ascii="Century Gothic" w:hAnsi="Century Gothic" w:cs="Arial"/>
        </w:rPr>
        <w:t>e</w:t>
      </w:r>
      <w:r w:rsidR="0009442B">
        <w:rPr>
          <w:rFonts w:ascii="Century Gothic" w:hAnsi="Century Gothic" w:cs="Arial"/>
        </w:rPr>
        <w:t>l</w:t>
      </w:r>
      <w:r w:rsidR="00B46904">
        <w:rPr>
          <w:rFonts w:ascii="Century Gothic" w:hAnsi="Century Gothic" w:cs="Arial"/>
        </w:rPr>
        <w:t xml:space="preserve"> </w:t>
      </w:r>
      <w:r w:rsidR="00F4622F">
        <w:rPr>
          <w:rFonts w:ascii="Century Gothic" w:hAnsi="Century Gothic" w:cs="Arial"/>
        </w:rPr>
        <w:t>D</w:t>
      </w:r>
      <w:r>
        <w:rPr>
          <w:rFonts w:ascii="Century Gothic" w:hAnsi="Century Gothic" w:cs="Arial"/>
        </w:rPr>
        <w:t>iputad</w:t>
      </w:r>
      <w:r w:rsidR="00917BA4">
        <w:rPr>
          <w:rFonts w:ascii="Century Gothic" w:hAnsi="Century Gothic" w:cs="Arial"/>
        </w:rPr>
        <w:t xml:space="preserve">o </w:t>
      </w:r>
      <w:r w:rsidR="00362C50">
        <w:rPr>
          <w:rFonts w:ascii="Century Gothic" w:hAnsi="Century Gothic" w:cs="Arial"/>
        </w:rPr>
        <w:t>Omar Bazán Flores</w:t>
      </w:r>
      <w:r w:rsidR="00C52D77">
        <w:rPr>
          <w:rFonts w:ascii="Century Gothic" w:hAnsi="Century Gothic" w:cs="Arial"/>
        </w:rPr>
        <w:t>,</w:t>
      </w:r>
      <w:r w:rsidR="00B46904">
        <w:rPr>
          <w:rFonts w:ascii="Century Gothic" w:hAnsi="Century Gothic" w:cs="Arial"/>
        </w:rPr>
        <w:t xml:space="preserve"> integrante </w:t>
      </w:r>
      <w:r>
        <w:rPr>
          <w:rFonts w:ascii="Century Gothic" w:hAnsi="Century Gothic" w:cs="Arial"/>
        </w:rPr>
        <w:t>del Grupo Parlamentario del Par</w:t>
      </w:r>
      <w:r w:rsidR="00B46904">
        <w:rPr>
          <w:rFonts w:ascii="Century Gothic" w:hAnsi="Century Gothic" w:cs="Arial"/>
        </w:rPr>
        <w:t>tido</w:t>
      </w:r>
      <w:r w:rsidR="0020030B">
        <w:rPr>
          <w:rFonts w:ascii="Century Gothic" w:hAnsi="Century Gothic" w:cs="Arial"/>
        </w:rPr>
        <w:t xml:space="preserve"> </w:t>
      </w:r>
      <w:r w:rsidR="00362C50">
        <w:rPr>
          <w:rFonts w:ascii="Century Gothic" w:hAnsi="Century Gothic" w:cs="Arial"/>
        </w:rPr>
        <w:t>Revolucionario Institucional</w:t>
      </w:r>
      <w:r w:rsidR="00B90391">
        <w:rPr>
          <w:rFonts w:ascii="Century Gothic" w:hAnsi="Century Gothic" w:cs="Arial"/>
        </w:rPr>
        <w:t>,</w:t>
      </w:r>
      <w:r w:rsidR="00B46904">
        <w:rPr>
          <w:rFonts w:ascii="Century Gothic" w:hAnsi="Century Gothic" w:cs="Arial"/>
        </w:rPr>
        <w:t xml:space="preserve"> presentó</w:t>
      </w:r>
      <w:r w:rsidR="0076572A">
        <w:rPr>
          <w:rFonts w:ascii="Century Gothic" w:hAnsi="Century Gothic" w:cs="Arial"/>
        </w:rPr>
        <w:t xml:space="preserve"> i</w:t>
      </w:r>
      <w:r w:rsidR="00362C50" w:rsidRPr="00362C50">
        <w:rPr>
          <w:rFonts w:ascii="Century Gothic" w:hAnsi="Century Gothic"/>
        </w:rPr>
        <w:t>niciativa con carácter de decreto, con el objeto de reformar el artículo 125, fracción II, de la Ley Orgánica del Poder Judicial del Estado de Chihuahua, a fin de establecer, dentro de las atribuciones del Consejo de la Judicatura, el expedir un reglamento para el Acceso de los Medios de Comunicación a las Audiencias Públicas.</w:t>
      </w:r>
    </w:p>
    <w:p w:rsidR="00AF159B" w:rsidRPr="00AF159B" w:rsidRDefault="00AF159B" w:rsidP="00AF159B">
      <w:pPr>
        <w:shd w:val="clear" w:color="auto" w:fill="FFFFFF"/>
        <w:tabs>
          <w:tab w:val="left" w:pos="9763"/>
        </w:tabs>
        <w:spacing w:line="360" w:lineRule="auto"/>
        <w:rPr>
          <w:rFonts w:ascii="Century Gothic" w:hAnsi="Century Gothic"/>
        </w:rPr>
      </w:pPr>
    </w:p>
    <w:p w:rsidR="007E7F92" w:rsidRPr="007E7F92" w:rsidRDefault="007E7F92" w:rsidP="00AF159B">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t>II.-</w:t>
      </w:r>
      <w:r>
        <w:rPr>
          <w:rFonts w:ascii="Century Gothic" w:hAnsi="Century Gothic" w:cs="Arial"/>
        </w:rPr>
        <w:t xml:space="preserve"> La Presidencia del H. Congreso del Estado, con fecha </w:t>
      </w:r>
      <w:r w:rsidR="00362C50">
        <w:rPr>
          <w:rFonts w:ascii="Century Gothic" w:hAnsi="Century Gothic" w:cs="Arial"/>
        </w:rPr>
        <w:t>primero</w:t>
      </w:r>
      <w:r w:rsidRPr="00A91DCA">
        <w:rPr>
          <w:rFonts w:ascii="Century Gothic" w:hAnsi="Century Gothic" w:cs="Arial"/>
        </w:rPr>
        <w:t xml:space="preserve"> de </w:t>
      </w:r>
      <w:r w:rsidR="00362C50">
        <w:rPr>
          <w:rFonts w:ascii="Century Gothic" w:hAnsi="Century Gothic" w:cs="Arial"/>
        </w:rPr>
        <w:t>julio</w:t>
      </w:r>
      <w:r w:rsidRPr="00A91DCA">
        <w:rPr>
          <w:rFonts w:ascii="Century Gothic" w:hAnsi="Century Gothic" w:cs="Arial"/>
        </w:rPr>
        <w:t xml:space="preserve"> de dos mil diecinueve, </w:t>
      </w:r>
      <w:r>
        <w:rPr>
          <w:rFonts w:ascii="Century Gothic" w:hAnsi="Century Gothic" w:cs="Arial"/>
        </w:rPr>
        <w:t xml:space="preserve">y en </w:t>
      </w:r>
      <w:r>
        <w:rPr>
          <w:rFonts w:ascii="Century Gothic" w:eastAsia="Arial" w:hAnsi="Century Gothic" w:cs="Arial"/>
        </w:rPr>
        <w:t xml:space="preserve">uso de las facultades que le confiere el artículo 75, fracción XIII, de la Ley Orgánica del Poder Legislativo, tuvo a bien turnar a la Comisión de </w:t>
      </w:r>
      <w:r w:rsidR="00BC19BA">
        <w:rPr>
          <w:rFonts w:ascii="Century Gothic" w:eastAsia="Arial" w:hAnsi="Century Gothic" w:cs="Arial"/>
        </w:rPr>
        <w:t>Transparencia, Acceso a la Información Pública y Parlamento Abierto, la</w:t>
      </w:r>
      <w:r w:rsidR="0076572A">
        <w:rPr>
          <w:rFonts w:ascii="Century Gothic" w:eastAsia="Arial" w:hAnsi="Century Gothic" w:cs="Arial"/>
        </w:rPr>
        <w:t xml:space="preserve"> </w:t>
      </w:r>
      <w:r w:rsidR="00BC19BA">
        <w:rPr>
          <w:rFonts w:ascii="Century Gothic" w:eastAsia="Arial" w:hAnsi="Century Gothic" w:cs="Arial"/>
        </w:rPr>
        <w:t>iniciativa de mérito</w:t>
      </w:r>
      <w:r w:rsidRPr="00A91DCA">
        <w:rPr>
          <w:rFonts w:ascii="Century Gothic" w:hAnsi="Century Gothic" w:cs="Arial"/>
        </w:rPr>
        <w:t>,</w:t>
      </w:r>
      <w:r>
        <w:rPr>
          <w:rFonts w:ascii="Century Gothic" w:eastAsia="Arial" w:hAnsi="Century Gothic" w:cs="Arial"/>
        </w:rPr>
        <w:t xml:space="preserve"> a efecto de proceder al estudio, análisis y elaboración del dictamen correspondiente.</w:t>
      </w:r>
    </w:p>
    <w:p w:rsidR="00917BA4" w:rsidRDefault="00917BA4" w:rsidP="00917BA4">
      <w:pPr>
        <w:shd w:val="clear" w:color="auto" w:fill="FFFFFF"/>
        <w:tabs>
          <w:tab w:val="left" w:pos="9763"/>
        </w:tabs>
        <w:spacing w:line="360" w:lineRule="auto"/>
        <w:jc w:val="both"/>
        <w:rPr>
          <w:rFonts w:ascii="Century Gothic" w:hAnsi="Century Gothic" w:cs="Arial"/>
        </w:rPr>
      </w:pPr>
    </w:p>
    <w:p w:rsidR="00331CBA" w:rsidRPr="003B10E3" w:rsidRDefault="00F33CFF" w:rsidP="003B10E3">
      <w:pPr>
        <w:shd w:val="clear" w:color="auto" w:fill="FFFFFF"/>
        <w:tabs>
          <w:tab w:val="left" w:pos="9763"/>
        </w:tabs>
        <w:spacing w:line="360" w:lineRule="auto"/>
        <w:jc w:val="both"/>
        <w:rPr>
          <w:rFonts w:ascii="Century Gothic" w:eastAsia="Arial" w:hAnsi="Century Gothic" w:cs="Arial"/>
        </w:rPr>
      </w:pPr>
      <w:r w:rsidRPr="00E24D27">
        <w:rPr>
          <w:rFonts w:ascii="Century Gothic" w:hAnsi="Century Gothic" w:cs="Arial"/>
          <w:b/>
        </w:rPr>
        <w:lastRenderedPageBreak/>
        <w:t>II</w:t>
      </w:r>
      <w:r w:rsidR="000556C9">
        <w:rPr>
          <w:rFonts w:ascii="Century Gothic" w:hAnsi="Century Gothic" w:cs="Arial"/>
          <w:b/>
        </w:rPr>
        <w:t>I</w:t>
      </w:r>
      <w:r w:rsidRPr="00E24D27">
        <w:rPr>
          <w:rFonts w:ascii="Century Gothic" w:hAnsi="Century Gothic" w:cs="Arial"/>
          <w:b/>
        </w:rPr>
        <w:t>.-</w:t>
      </w:r>
      <w:r>
        <w:rPr>
          <w:rFonts w:ascii="Century Gothic" w:hAnsi="Century Gothic" w:cs="Arial"/>
        </w:rPr>
        <w:t xml:space="preserve"> </w:t>
      </w:r>
      <w:r w:rsidR="00323DC4">
        <w:rPr>
          <w:rFonts w:ascii="Century Gothic" w:hAnsi="Century Gothic" w:cs="Arial"/>
          <w:bCs/>
        </w:rPr>
        <w:t>La</w:t>
      </w:r>
      <w:r w:rsidR="00362C50">
        <w:rPr>
          <w:rFonts w:ascii="Century Gothic" w:hAnsi="Century Gothic" w:cs="Arial"/>
          <w:bCs/>
        </w:rPr>
        <w:t xml:space="preserve"> </w:t>
      </w:r>
      <w:r w:rsidR="00323DC4">
        <w:rPr>
          <w:rFonts w:ascii="Century Gothic" w:hAnsi="Century Gothic" w:cs="Arial"/>
          <w:bCs/>
        </w:rPr>
        <w:t>i</w:t>
      </w:r>
      <w:r w:rsidR="00331CBA" w:rsidRPr="009568FB">
        <w:rPr>
          <w:rFonts w:ascii="Century Gothic" w:hAnsi="Century Gothic" w:cs="Arial"/>
          <w:bCs/>
        </w:rPr>
        <w:t>niciativa</w:t>
      </w:r>
      <w:r w:rsidR="00362C50">
        <w:rPr>
          <w:rFonts w:ascii="Century Gothic" w:hAnsi="Century Gothic" w:cs="Arial"/>
          <w:bCs/>
        </w:rPr>
        <w:t xml:space="preserve"> en estudio</w:t>
      </w:r>
      <w:r w:rsidR="00331CBA" w:rsidRPr="009568FB">
        <w:rPr>
          <w:rFonts w:ascii="Century Gothic" w:hAnsi="Century Gothic" w:cs="Arial"/>
          <w:bCs/>
        </w:rPr>
        <w:t xml:space="preserve"> </w:t>
      </w:r>
      <w:r w:rsidR="00323DC4">
        <w:rPr>
          <w:rFonts w:ascii="Century Gothic" w:hAnsi="Century Gothic" w:cs="Arial"/>
          <w:bCs/>
        </w:rPr>
        <w:t>se sustenta en los</w:t>
      </w:r>
      <w:r w:rsidR="00331CBA">
        <w:rPr>
          <w:rFonts w:ascii="Century Gothic" w:hAnsi="Century Gothic" w:cs="Arial"/>
          <w:bCs/>
        </w:rPr>
        <w:t xml:space="preserve"> siguiente</w:t>
      </w:r>
      <w:r w:rsidR="00323DC4">
        <w:rPr>
          <w:rFonts w:ascii="Century Gothic" w:hAnsi="Century Gothic" w:cs="Arial"/>
          <w:bCs/>
        </w:rPr>
        <w:t>s argumentos</w:t>
      </w:r>
      <w:r w:rsidR="00331CBA">
        <w:rPr>
          <w:rFonts w:ascii="Century Gothic" w:hAnsi="Century Gothic" w:cs="Arial"/>
          <w:bCs/>
        </w:rPr>
        <w:t>:</w:t>
      </w:r>
    </w:p>
    <w:p w:rsidR="00362C50" w:rsidRDefault="00362C50" w:rsidP="00315537">
      <w:pPr>
        <w:pStyle w:val="Textoindependiente"/>
        <w:spacing w:line="360" w:lineRule="auto"/>
        <w:rPr>
          <w:rFonts w:ascii="Century Gothic" w:eastAsia="Arial" w:hAnsi="Century Gothic" w:cs="Arial"/>
          <w:lang w:val="es-MX"/>
        </w:rPr>
      </w:pPr>
    </w:p>
    <w:p w:rsidR="00AF159B" w:rsidRPr="00AF159B" w:rsidRDefault="00362C50" w:rsidP="00AF159B">
      <w:pPr>
        <w:autoSpaceDE w:val="0"/>
        <w:autoSpaceDN w:val="0"/>
        <w:adjustRightInd w:val="0"/>
        <w:ind w:left="426"/>
        <w:jc w:val="both"/>
        <w:rPr>
          <w:rFonts w:ascii="Century Gothic" w:eastAsia="Arial" w:hAnsi="Century Gothic"/>
          <w:i/>
          <w:lang w:val="es-MX"/>
        </w:rPr>
      </w:pPr>
      <w:r w:rsidRPr="00917BA4">
        <w:rPr>
          <w:rFonts w:ascii="Century Gothic" w:eastAsia="Arial" w:hAnsi="Century Gothic"/>
          <w:i/>
        </w:rPr>
        <w:t>“</w:t>
      </w:r>
      <w:r w:rsidR="00AF159B" w:rsidRPr="00AF159B">
        <w:rPr>
          <w:rFonts w:ascii="Century Gothic" w:eastAsia="Arial" w:hAnsi="Century Gothic"/>
          <w:i/>
          <w:lang w:val="es-MX"/>
        </w:rPr>
        <w:t>La labor de los medios de comunicación es fundamental en el desarrollo de un proceso jurisdiccional relevante, pues es garantiza un vínculo directo entre la ciudadanía y el sistema de justicia, sin embrago el derecho a la información  puede colisionar con la presunción de inocencia, pues la sobre exposición en medios de comunicación de una persona puede causarle un daño moral y prejuzgarlo socialmente, violando el derecho de presunción de inocencia.</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La Primera Sala de la Suprema Corte de Justicia de la Nación en la tesis: 1a. CLXXVIII/2013 (10a.), Pá</w:t>
      </w:r>
      <w:r w:rsidR="00441F8C">
        <w:rPr>
          <w:rFonts w:ascii="Century Gothic" w:eastAsia="Arial" w:hAnsi="Century Gothic"/>
          <w:i/>
          <w:lang w:val="es-MX"/>
        </w:rPr>
        <w:t>gina: 565, visible bajo la voz &lt;</w:t>
      </w:r>
      <w:r w:rsidRPr="00AF159B">
        <w:rPr>
          <w:rFonts w:ascii="Century Gothic" w:eastAsia="Arial" w:hAnsi="Century Gothic"/>
          <w:i/>
          <w:lang w:val="es-MX"/>
        </w:rPr>
        <w:t>PRESUNCIÓN DE INOCENCIA Y DERECHO A LA INFORMACIÓN. SU RELACIÓN CON LA EXPOSICIÓN DE DETENIDOS A</w:t>
      </w:r>
      <w:r w:rsidR="00441F8C">
        <w:rPr>
          <w:rFonts w:ascii="Century Gothic" w:eastAsia="Arial" w:hAnsi="Century Gothic"/>
          <w:i/>
          <w:lang w:val="es-MX"/>
        </w:rPr>
        <w:t>NTE LOS MEDIOS DE COMUNICACIÓN.&gt;</w:t>
      </w:r>
      <w:r w:rsidRPr="00AF159B">
        <w:rPr>
          <w:rFonts w:ascii="Century Gothic" w:eastAsia="Arial" w:hAnsi="Century Gothic"/>
          <w:i/>
          <w:lang w:val="es-MX"/>
        </w:rPr>
        <w:t xml:space="preserve"> Señala lo siguiente:</w:t>
      </w:r>
    </w:p>
    <w:p w:rsidR="00441F8C" w:rsidRDefault="00441F8C" w:rsidP="00AF159B">
      <w:pPr>
        <w:autoSpaceDE w:val="0"/>
        <w:autoSpaceDN w:val="0"/>
        <w:adjustRightInd w:val="0"/>
        <w:ind w:left="426"/>
        <w:jc w:val="both"/>
        <w:rPr>
          <w:rFonts w:ascii="Century Gothic" w:eastAsia="Arial" w:hAnsi="Century Gothic"/>
          <w:i/>
          <w:iCs/>
          <w:lang w:val="es-MX"/>
        </w:rPr>
      </w:pPr>
    </w:p>
    <w:p w:rsidR="00AF159B" w:rsidRPr="00AF159B" w:rsidRDefault="00441F8C" w:rsidP="00AF159B">
      <w:pPr>
        <w:autoSpaceDE w:val="0"/>
        <w:autoSpaceDN w:val="0"/>
        <w:adjustRightInd w:val="0"/>
        <w:ind w:left="426"/>
        <w:jc w:val="both"/>
        <w:rPr>
          <w:rFonts w:ascii="Century Gothic" w:eastAsia="Arial" w:hAnsi="Century Gothic"/>
          <w:i/>
          <w:lang w:val="es-MX"/>
        </w:rPr>
      </w:pPr>
      <w:r>
        <w:rPr>
          <w:rFonts w:ascii="Century Gothic" w:eastAsia="Arial" w:hAnsi="Century Gothic"/>
          <w:i/>
          <w:iCs/>
          <w:lang w:val="es-MX"/>
        </w:rPr>
        <w:t>&lt;</w:t>
      </w:r>
      <w:r w:rsidR="00AF159B" w:rsidRPr="00AF159B">
        <w:rPr>
          <w:rFonts w:ascii="Century Gothic" w:eastAsia="Arial" w:hAnsi="Century Gothic"/>
          <w:i/>
          <w:iCs/>
          <w:lang w:val="es-MX"/>
        </w:rPr>
        <w:t xml:space="preserve">A lo largo de su jurisprudencia, esta Primera Sala de la Suprema Corte de  Justicia de la Nación ha reconocido el papel central que juegan la libertad de expresión y el derecho a la información en un Estado democrático constitucional de Derecho, como piezas centrales para el adecuado funcionamiento de la democracia representativa. El orden constitucional mexicano promueve la comunicación libre y socialmente trascendente, pues el intercambio de información y opiniones entre los distintos comunicadores contribuirá a la formación de la voluntad social y estatal, de modo que es  posible afirmar que el despliegue comunicativo es constitutivo de los procesos sociales y políticos. Sin embargo, el proporcionar información sobre eventos de interés nacional para un debido ejercicio del derecho a la información no puede justificar la violación de los derechos fundamentales de los detenidos y acusados. Es decir, la finalidad de brindar información sobre hechos delictuosos a los medios periodísticos no puede justificar la violación a la presunción de inocencia, como regla de trato en su vertiente extraprocesal, por parte de las autoridades que exponen como culpables a los detenidos. En este sentido, se estima que al proporcionar información sobre hechos delictuosos, las autoridades deben abstenerse de deformar la realidad a fin de exponer a una persona frente a la sociedad y, principalmente, frente a las futuras partes del proceso, como los culpables del hecho delictivo. Por el contrario, deben constreñirse a presentar en forma descriptiva y no valorativa la información relativa a la causa penal que pueda </w:t>
      </w:r>
      <w:r w:rsidR="00AF159B" w:rsidRPr="00AF159B">
        <w:rPr>
          <w:rFonts w:ascii="Century Gothic" w:eastAsia="Arial" w:hAnsi="Century Gothic"/>
          <w:i/>
          <w:iCs/>
          <w:lang w:val="es-MX"/>
        </w:rPr>
        <w:lastRenderedPageBreak/>
        <w:t>tener relevancia pública, absteniéndose de brindar información sugestiva que exponga al detenido a un juicio paralelo y viole su derecho a ser tratado como inocente durante el trámite de</w:t>
      </w:r>
      <w:r w:rsidR="003F4149">
        <w:rPr>
          <w:rFonts w:ascii="Century Gothic" w:eastAsia="Arial" w:hAnsi="Century Gothic"/>
          <w:i/>
          <w:iCs/>
          <w:lang w:val="es-MX"/>
        </w:rPr>
        <w:t xml:space="preserve">l </w:t>
      </w:r>
      <w:r w:rsidR="00AF159B" w:rsidRPr="00AF159B">
        <w:rPr>
          <w:rFonts w:ascii="Century Gothic" w:eastAsia="Arial" w:hAnsi="Century Gothic"/>
          <w:i/>
          <w:iCs/>
          <w:lang w:val="es-MX"/>
        </w:rPr>
        <w:t>procedimiento e, incluso, desde antes de que se inicie. Esta misma lógica ha sido sostenida por la Corte Interamericana de Derechos Humanos, la cual estableció en el Caso Cabrera García y Montiel Flores vs. México, que el principio de presunción de inocencia implica que los juzgadores no inicien el proceso con una idea preconcebida de que el acusado ha cometido el delito que se le imputa, por lo que la carga de la prueba está a cargo de quien acusa y cualquier duda debe ser usada en beneficio del acusado. En el mismo sentido, al dictar sentencia en el Caso Loayza Tamayo vs. Perú, la Corte Interamericana condenó enfáticamente la práctica consistente en exponer ante los medios de comunicación a personas acusadas por la comisión de delitos, cuando aún no han sido condenadas por sentencia firme. Al respecto, dicho tribunal sostuvo que el derecho a la presunción de inocencia exige que el Estado no condene informalmente a una persona o emita un juicio ante la sociedad que contribuya así a formar una opinión pública, mientras no se acredite conforme a la ley la re</w:t>
      </w:r>
      <w:r>
        <w:rPr>
          <w:rFonts w:ascii="Century Gothic" w:eastAsia="Arial" w:hAnsi="Century Gothic"/>
          <w:i/>
          <w:iCs/>
          <w:lang w:val="es-MX"/>
        </w:rPr>
        <w:t>sponsabilidad penal de aquélla.&gt;</w:t>
      </w:r>
    </w:p>
    <w:p w:rsidR="00AF159B" w:rsidRPr="00AF159B" w:rsidRDefault="00AF159B" w:rsidP="00AF159B">
      <w:pPr>
        <w:autoSpaceDE w:val="0"/>
        <w:autoSpaceDN w:val="0"/>
        <w:adjustRightInd w:val="0"/>
        <w:ind w:left="426"/>
        <w:jc w:val="both"/>
        <w:rPr>
          <w:rFonts w:ascii="Century Gothic" w:eastAsia="Arial" w:hAnsi="Century Gothic"/>
          <w:i/>
          <w:iCs/>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Es fundamental que garanticemos el derecho a la información y evitar que so pretexto de violar el principio de presunción de inocencia, se prohíba de forma absoluta a los medios de comunicación el acceso a las audiencias que son públicas conforme al artículo 5º del Código Nacional de Procedimientos penales, sin embargo se requiere que las perso</w:t>
      </w:r>
      <w:r w:rsidR="00441F8C">
        <w:rPr>
          <w:rFonts w:ascii="Century Gothic" w:eastAsia="Arial" w:hAnsi="Century Gothic"/>
          <w:i/>
          <w:lang w:val="es-MX"/>
        </w:rPr>
        <w:t xml:space="preserve">nas que se dedican </w:t>
      </w:r>
      <w:r w:rsidRPr="00AF159B">
        <w:rPr>
          <w:rFonts w:ascii="Century Gothic" w:eastAsia="Arial" w:hAnsi="Century Gothic"/>
          <w:i/>
          <w:lang w:val="es-MX"/>
        </w:rPr>
        <w:t>a transmitir información en esta materia se encuentren especializadas en los principios del sistema de justicia penal, pues el conocimiento de c</w:t>
      </w:r>
      <w:r w:rsidR="00441F8C">
        <w:rPr>
          <w:rFonts w:ascii="Century Gothic" w:eastAsia="Arial" w:hAnsi="Century Gothic"/>
          <w:i/>
          <w:lang w:val="es-MX"/>
        </w:rPr>
        <w:t xml:space="preserve">uestiones técnicas, </w:t>
      </w:r>
      <w:r w:rsidRPr="00AF159B">
        <w:rPr>
          <w:rFonts w:ascii="Century Gothic" w:eastAsia="Arial" w:hAnsi="Century Gothic"/>
          <w:i/>
          <w:lang w:val="es-MX"/>
        </w:rPr>
        <w:t>permitirá que no sea violentado en perjuicio del imputado.</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 xml:space="preserve">Siempre han existido los juicios mediáticos en donde la opinión pública se  encarga de dictaminar si la persona es culpable o inocente o si realmente se trata de una víctima o de un impostor, </w:t>
      </w:r>
      <w:r w:rsidR="00441F8C">
        <w:rPr>
          <w:rFonts w:ascii="Century Gothic" w:eastAsia="Arial" w:hAnsi="Century Gothic"/>
          <w:i/>
          <w:lang w:val="es-MX"/>
        </w:rPr>
        <w:t>actúa de cierta manera como un &lt;</w:t>
      </w:r>
      <w:r w:rsidRPr="00AF159B">
        <w:rPr>
          <w:rFonts w:ascii="Century Gothic" w:eastAsia="Arial" w:hAnsi="Century Gothic"/>
          <w:i/>
          <w:lang w:val="es-MX"/>
        </w:rPr>
        <w:t>tribunal de juicio oral o de enju</w:t>
      </w:r>
      <w:r w:rsidR="00441F8C">
        <w:rPr>
          <w:rFonts w:ascii="Century Gothic" w:eastAsia="Arial" w:hAnsi="Century Gothic"/>
          <w:i/>
          <w:lang w:val="es-MX"/>
        </w:rPr>
        <w:t>iciamiento&gt;</w:t>
      </w:r>
      <w:r w:rsidRPr="00AF159B">
        <w:rPr>
          <w:rFonts w:ascii="Century Gothic" w:eastAsia="Arial" w:hAnsi="Century Gothic"/>
          <w:i/>
          <w:lang w:val="es-MX"/>
        </w:rPr>
        <w:t>, mientras que en el ámbito judicial- siendo los tribunales los únicos lugares en donde se puede dictar una sentencia-muchas veces el proceso penal apenas va en la tapa de investigación inicial.</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 xml:space="preserve">Un periodismo desinformado tiene como consecuencia la violación a derechos humanos de las personas que están en medio de un proceso penal. La  presunción </w:t>
      </w:r>
      <w:r w:rsidRPr="00AF159B">
        <w:rPr>
          <w:rFonts w:ascii="Century Gothic" w:eastAsia="Arial" w:hAnsi="Century Gothic"/>
          <w:i/>
          <w:lang w:val="es-MX"/>
        </w:rPr>
        <w:lastRenderedPageBreak/>
        <w:t>de inocencia muchas veces se ve dañada por los juicios mediáticos, eso ocasiona procesos penales viciados y una incorrecta procuración de justicia.</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Por eso es importante que las personas que realizan este tipo de ejercicios de comunicación estén sumamente informadas sobre lo que es sistema de justicia penal en México y puedan dar una información veraz a la población.</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 xml:space="preserve">Por otro lado el Código Nacional de Procedimientos Penales prevé principios que se vuelven herramientas para informar y transparentar los procesos penales, por ejemplo la publicidad prevista en el artículo 5º permite que cualquier persona pueda presenciar directamente una audiencia y esto, a su vez, permite que conozcan los hechos, las posturas, los medios de pruebas y demás datos que son presentadas por las partes, pero se debe cuidar la difusión masiva de rostros y nombres, así como juicios de valor de quien tiene la razón, que el área reservada para el Tribunal. </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Como criterio orientador y siguiendo la tesis: 1a. CLXXVI/2013 (</w:t>
      </w:r>
      <w:r w:rsidR="00441F8C">
        <w:rPr>
          <w:rFonts w:ascii="Century Gothic" w:eastAsia="Arial" w:hAnsi="Century Gothic"/>
          <w:i/>
          <w:lang w:val="es-MX"/>
        </w:rPr>
        <w:t>10a.) Página: 564, bajo la voz &lt;</w:t>
      </w:r>
      <w:r w:rsidRPr="00AF159B">
        <w:rPr>
          <w:rFonts w:ascii="Century Gothic" w:eastAsia="Arial" w:hAnsi="Century Gothic"/>
          <w:i/>
          <w:lang w:val="es-MX"/>
        </w:rPr>
        <w:t xml:space="preserve">PRESUNCIÓN DE INOCENCIA COMO REGLA DE TRATO EN SU VERTIENTE EXTRAPROCESAL. </w:t>
      </w:r>
      <w:r w:rsidR="00441F8C">
        <w:rPr>
          <w:rFonts w:ascii="Century Gothic" w:eastAsia="Arial" w:hAnsi="Century Gothic"/>
          <w:i/>
          <w:lang w:val="es-MX"/>
        </w:rPr>
        <w:t>SU CONTENIDO Y CARACTERÍSTICAS&gt;</w:t>
      </w:r>
      <w:r w:rsidRPr="00AF159B">
        <w:rPr>
          <w:rFonts w:ascii="Century Gothic" w:eastAsia="Arial" w:hAnsi="Century Gothic"/>
          <w:i/>
          <w:lang w:val="es-MX"/>
        </w:rPr>
        <w:t>, a fin de garantizar que se efectúe un juicio justo en su contra, se debe evitar realizar acciones que tengan como finalidad exponer públicamente a alguien como responsable del hecho delictivo, pues se corre el enorme riesgo de condenar al denunciado antes de tiempo, ya que el centro de gravedad que corresponde al proceso como tal, se puede desplazar a la imputación pública realizada por la policía, por ello debe haber reserva de datos personales y de juicios de valor hasta en tanto no se dicte sentencia condenatoria firme, que por otro lado al existir ya el parámetro legal de condena, la sociedad debe saber los alcances de la misma, para estar informada y sobre todo conocer las consecuencias de un conducta antisocial, como efecto disuasivo.</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Así pues, el artículo 5º del Código Nacional de Procedimientos Penales señala:</w:t>
      </w:r>
    </w:p>
    <w:p w:rsidR="00AF159B" w:rsidRPr="00441F8C" w:rsidRDefault="00AF159B" w:rsidP="00AF159B">
      <w:pPr>
        <w:autoSpaceDE w:val="0"/>
        <w:autoSpaceDN w:val="0"/>
        <w:adjustRightInd w:val="0"/>
        <w:ind w:left="426"/>
        <w:jc w:val="both"/>
        <w:rPr>
          <w:rFonts w:ascii="Century Gothic" w:eastAsia="Arial" w:hAnsi="Century Gothic"/>
          <w:bCs/>
          <w:i/>
          <w:iCs/>
        </w:rPr>
      </w:pPr>
      <w:bookmarkStart w:id="0" w:name="Artículo_5o"/>
    </w:p>
    <w:p w:rsidR="00AF159B" w:rsidRPr="00AF159B" w:rsidRDefault="00441F8C" w:rsidP="00AF159B">
      <w:pPr>
        <w:autoSpaceDE w:val="0"/>
        <w:autoSpaceDN w:val="0"/>
        <w:adjustRightInd w:val="0"/>
        <w:ind w:left="426"/>
        <w:jc w:val="both"/>
        <w:rPr>
          <w:rFonts w:ascii="Century Gothic" w:eastAsia="Arial" w:hAnsi="Century Gothic"/>
          <w:bCs/>
          <w:i/>
          <w:iCs/>
        </w:rPr>
      </w:pPr>
      <w:r w:rsidRPr="00441F8C">
        <w:rPr>
          <w:rFonts w:ascii="Century Gothic" w:eastAsia="Arial" w:hAnsi="Century Gothic"/>
          <w:bCs/>
          <w:i/>
          <w:iCs/>
        </w:rPr>
        <w:t>&lt;</w:t>
      </w:r>
      <w:r w:rsidR="00AF159B" w:rsidRPr="00441F8C">
        <w:rPr>
          <w:rFonts w:ascii="Century Gothic" w:eastAsia="Arial" w:hAnsi="Century Gothic"/>
          <w:bCs/>
          <w:i/>
          <w:iCs/>
        </w:rPr>
        <w:t>Artículo 5o</w:t>
      </w:r>
      <w:bookmarkEnd w:id="0"/>
      <w:r w:rsidR="00AF159B" w:rsidRPr="00441F8C">
        <w:rPr>
          <w:rFonts w:ascii="Century Gothic" w:eastAsia="Arial" w:hAnsi="Century Gothic"/>
          <w:bCs/>
          <w:i/>
          <w:iCs/>
        </w:rPr>
        <w:t>.</w:t>
      </w:r>
      <w:r w:rsidR="00AF159B" w:rsidRPr="00AF159B">
        <w:rPr>
          <w:rFonts w:ascii="Century Gothic" w:eastAsia="Arial" w:hAnsi="Century Gothic"/>
          <w:bCs/>
          <w:i/>
          <w:iCs/>
        </w:rPr>
        <w:t xml:space="preserve"> Principio de publicidad</w:t>
      </w:r>
    </w:p>
    <w:p w:rsidR="00AF159B" w:rsidRPr="00AF159B" w:rsidRDefault="00AF159B" w:rsidP="00AF159B">
      <w:pPr>
        <w:autoSpaceDE w:val="0"/>
        <w:autoSpaceDN w:val="0"/>
        <w:adjustRightInd w:val="0"/>
        <w:ind w:left="426"/>
        <w:jc w:val="both"/>
        <w:rPr>
          <w:rFonts w:ascii="Century Gothic" w:eastAsia="Arial" w:hAnsi="Century Gothic"/>
          <w:bCs/>
          <w:i/>
          <w:iCs/>
        </w:rPr>
      </w:pPr>
    </w:p>
    <w:p w:rsidR="00AF159B" w:rsidRPr="00AF159B" w:rsidRDefault="00AF159B" w:rsidP="00AF159B">
      <w:pPr>
        <w:autoSpaceDE w:val="0"/>
        <w:autoSpaceDN w:val="0"/>
        <w:adjustRightInd w:val="0"/>
        <w:ind w:left="426"/>
        <w:jc w:val="both"/>
        <w:rPr>
          <w:rFonts w:ascii="Century Gothic" w:eastAsia="Arial" w:hAnsi="Century Gothic"/>
          <w:bCs/>
          <w:i/>
          <w:iCs/>
        </w:rPr>
      </w:pPr>
      <w:r w:rsidRPr="00AF159B">
        <w:rPr>
          <w:rFonts w:ascii="Century Gothic" w:eastAsia="Arial" w:hAnsi="Century Gothic"/>
          <w:bCs/>
          <w:i/>
          <w:iCs/>
        </w:rPr>
        <w:lastRenderedPageBreak/>
        <w:t>Las audiencias serán públicas, con el fin de que a ellas accedan no sólo las partes que intervienen en el procedimiento sino también el público en general, con las excepciones previstas en este Código.</w:t>
      </w:r>
    </w:p>
    <w:p w:rsidR="00AF159B" w:rsidRPr="00AF159B" w:rsidRDefault="00AF159B" w:rsidP="00AF159B">
      <w:pPr>
        <w:autoSpaceDE w:val="0"/>
        <w:autoSpaceDN w:val="0"/>
        <w:adjustRightInd w:val="0"/>
        <w:ind w:left="426"/>
        <w:jc w:val="both"/>
        <w:rPr>
          <w:rFonts w:ascii="Century Gothic" w:eastAsia="Arial" w:hAnsi="Century Gothic"/>
          <w:bCs/>
          <w:i/>
          <w:iCs/>
        </w:rPr>
      </w:pPr>
    </w:p>
    <w:p w:rsidR="00AF159B" w:rsidRPr="00AF159B" w:rsidRDefault="00AF159B" w:rsidP="00AF159B">
      <w:pPr>
        <w:autoSpaceDE w:val="0"/>
        <w:autoSpaceDN w:val="0"/>
        <w:adjustRightInd w:val="0"/>
        <w:ind w:left="426"/>
        <w:jc w:val="both"/>
        <w:rPr>
          <w:rFonts w:ascii="Century Gothic" w:eastAsia="Arial" w:hAnsi="Century Gothic"/>
          <w:bCs/>
          <w:i/>
          <w:iCs/>
        </w:rPr>
      </w:pPr>
      <w:r w:rsidRPr="00AF159B">
        <w:rPr>
          <w:rFonts w:ascii="Century Gothic" w:eastAsia="Arial" w:hAnsi="Century Gothic"/>
          <w:bCs/>
          <w:i/>
          <w:iCs/>
        </w:rPr>
        <w:t>Los periodistas y los medios de comunicación podrán acceder al lugar en el que se desarrolle la audiencia en los casos y condiciones que determine el  Órgano jurisdiccional conforme a lo dispuesto por la Constitución, este Código y los acuerdos</w:t>
      </w:r>
      <w:r w:rsidR="00441F8C">
        <w:rPr>
          <w:rFonts w:ascii="Century Gothic" w:eastAsia="Arial" w:hAnsi="Century Gothic"/>
          <w:bCs/>
          <w:i/>
          <w:iCs/>
        </w:rPr>
        <w:t xml:space="preserve"> generales que emita el Consejo&gt;</w:t>
      </w:r>
      <w:r w:rsidRPr="00AF159B">
        <w:rPr>
          <w:rFonts w:ascii="Century Gothic" w:eastAsia="Arial" w:hAnsi="Century Gothic"/>
          <w:bCs/>
          <w:i/>
          <w:iCs/>
        </w:rPr>
        <w:t>.</w:t>
      </w:r>
    </w:p>
    <w:p w:rsidR="00AF159B" w:rsidRPr="00AF159B" w:rsidRDefault="00AF159B" w:rsidP="00AF159B">
      <w:pPr>
        <w:autoSpaceDE w:val="0"/>
        <w:autoSpaceDN w:val="0"/>
        <w:adjustRightInd w:val="0"/>
        <w:ind w:left="426"/>
        <w:jc w:val="both"/>
        <w:rPr>
          <w:rFonts w:ascii="Century Gothic" w:eastAsia="Arial" w:hAnsi="Century Gothic"/>
          <w:i/>
        </w:rPr>
      </w:pPr>
    </w:p>
    <w:p w:rsidR="00AF159B" w:rsidRPr="00AF159B" w:rsidRDefault="00AF159B" w:rsidP="00AF159B">
      <w:pPr>
        <w:autoSpaceDE w:val="0"/>
        <w:autoSpaceDN w:val="0"/>
        <w:adjustRightInd w:val="0"/>
        <w:ind w:left="426"/>
        <w:jc w:val="both"/>
        <w:rPr>
          <w:rFonts w:ascii="Century Gothic" w:eastAsia="Arial" w:hAnsi="Century Gothic"/>
          <w:i/>
          <w:lang w:val="es-MX"/>
        </w:rPr>
      </w:pPr>
      <w:r w:rsidRPr="00AF159B">
        <w:rPr>
          <w:rFonts w:ascii="Century Gothic" w:eastAsia="Arial" w:hAnsi="Century Gothic"/>
          <w:i/>
          <w:lang w:val="es-MX"/>
        </w:rPr>
        <w:t>Por otra parte, el artículo 6º de la Constitución de los Estados Unidos Mexicanos garantiza el derecho a la información, que debe ponderarse con los derechos del imputado, principalmente el de presunción de inocencia previstos 1 en el artículo 20 del mismo ordenamiento supremo:</w:t>
      </w:r>
    </w:p>
    <w:p w:rsidR="00AF159B" w:rsidRPr="00AF159B" w:rsidRDefault="00AF159B" w:rsidP="00AF159B">
      <w:pPr>
        <w:autoSpaceDE w:val="0"/>
        <w:autoSpaceDN w:val="0"/>
        <w:adjustRightInd w:val="0"/>
        <w:ind w:left="426"/>
        <w:jc w:val="both"/>
        <w:rPr>
          <w:rFonts w:ascii="Century Gothic" w:eastAsia="Arial" w:hAnsi="Century Gothic"/>
          <w:i/>
          <w:lang w:val="es-MX"/>
        </w:rPr>
      </w:pPr>
    </w:p>
    <w:p w:rsidR="00AF159B" w:rsidRPr="00AF159B" w:rsidRDefault="00441F8C" w:rsidP="00AF159B">
      <w:pPr>
        <w:autoSpaceDE w:val="0"/>
        <w:autoSpaceDN w:val="0"/>
        <w:adjustRightInd w:val="0"/>
        <w:ind w:left="426"/>
        <w:jc w:val="both"/>
        <w:rPr>
          <w:rFonts w:ascii="Century Gothic" w:eastAsia="Arial" w:hAnsi="Century Gothic"/>
          <w:i/>
          <w:iCs/>
        </w:rPr>
      </w:pPr>
      <w:bookmarkStart w:id="1" w:name="Artículo_6o"/>
      <w:r w:rsidRPr="00441F8C">
        <w:rPr>
          <w:rFonts w:ascii="Century Gothic" w:eastAsia="Arial" w:hAnsi="Century Gothic"/>
          <w:i/>
          <w:iCs/>
        </w:rPr>
        <w:t>&lt;</w:t>
      </w:r>
      <w:r w:rsidR="00AF159B" w:rsidRPr="00441F8C">
        <w:rPr>
          <w:rFonts w:ascii="Century Gothic" w:eastAsia="Arial" w:hAnsi="Century Gothic"/>
          <w:i/>
          <w:iCs/>
        </w:rPr>
        <w:t>Artículo 6o</w:t>
      </w:r>
      <w:bookmarkEnd w:id="1"/>
      <w:r w:rsidR="00AF159B" w:rsidRPr="00441F8C">
        <w:rPr>
          <w:rFonts w:ascii="Century Gothic" w:eastAsia="Arial" w:hAnsi="Century Gothic"/>
          <w:i/>
          <w:iCs/>
        </w:rPr>
        <w:t>.</w:t>
      </w:r>
      <w:r w:rsidR="00AF159B" w:rsidRPr="00AF159B">
        <w:rPr>
          <w:rFonts w:ascii="Century Gothic" w:eastAsia="Arial" w:hAnsi="Century Gothic"/>
          <w:i/>
          <w:iCs/>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w:t>
      </w: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r w:rsidRPr="00AF159B">
        <w:rPr>
          <w:rFonts w:ascii="Century Gothic" w:eastAsia="Arial" w:hAnsi="Century Gothic"/>
          <w:i/>
          <w:iCs/>
        </w:rPr>
        <w:t>El derecho a la información será garantizado por el Estado.</w:t>
      </w: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r w:rsidRPr="00AF159B">
        <w:rPr>
          <w:rFonts w:ascii="Century Gothic" w:eastAsia="Arial" w:hAnsi="Century Gothic"/>
          <w:i/>
          <w:iCs/>
        </w:rPr>
        <w:t>Toda persona tiene derecho al libre acceso a información plural y oportuna, así como a buscar, recibir y difundir información e ideas de toda índole por cualquier medio de expresión.</w:t>
      </w:r>
    </w:p>
    <w:p w:rsidR="00AF159B" w:rsidRPr="00AF159B" w:rsidRDefault="00AF159B" w:rsidP="00AF159B">
      <w:pPr>
        <w:autoSpaceDE w:val="0"/>
        <w:autoSpaceDN w:val="0"/>
        <w:adjustRightInd w:val="0"/>
        <w:ind w:left="426"/>
        <w:jc w:val="both"/>
        <w:rPr>
          <w:rFonts w:ascii="Century Gothic" w:eastAsia="Arial" w:hAnsi="Century Gothic"/>
          <w:b/>
          <w:i/>
          <w:iCs/>
        </w:rPr>
      </w:pPr>
      <w:bookmarkStart w:id="2" w:name="Artículo_20"/>
    </w:p>
    <w:p w:rsidR="00AF159B" w:rsidRPr="00AF159B" w:rsidRDefault="00AF159B" w:rsidP="00AF159B">
      <w:pPr>
        <w:autoSpaceDE w:val="0"/>
        <w:autoSpaceDN w:val="0"/>
        <w:adjustRightInd w:val="0"/>
        <w:ind w:left="426"/>
        <w:jc w:val="both"/>
        <w:rPr>
          <w:rFonts w:ascii="Century Gothic" w:eastAsia="Arial" w:hAnsi="Century Gothic"/>
          <w:b/>
          <w:i/>
          <w:iCs/>
        </w:rPr>
      </w:pPr>
      <w:r w:rsidRPr="00AF159B">
        <w:rPr>
          <w:rFonts w:ascii="Century Gothic" w:eastAsia="Arial" w:hAnsi="Century Gothic"/>
          <w:b/>
          <w:i/>
          <w:iCs/>
        </w:rPr>
        <w:t>…</w:t>
      </w:r>
    </w:p>
    <w:p w:rsidR="00AF159B" w:rsidRPr="00AF159B" w:rsidRDefault="00AF159B" w:rsidP="00AF159B">
      <w:pPr>
        <w:autoSpaceDE w:val="0"/>
        <w:autoSpaceDN w:val="0"/>
        <w:adjustRightInd w:val="0"/>
        <w:ind w:left="426"/>
        <w:jc w:val="both"/>
        <w:rPr>
          <w:rFonts w:ascii="Century Gothic" w:eastAsia="Arial" w:hAnsi="Century Gothic"/>
          <w:b/>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Artículo 20</w:t>
      </w:r>
      <w:bookmarkEnd w:id="2"/>
      <w:r w:rsidRPr="00441F8C">
        <w:rPr>
          <w:rFonts w:ascii="Century Gothic" w:eastAsia="Arial" w:hAnsi="Century Gothic"/>
          <w:i/>
          <w:iCs/>
        </w:rPr>
        <w:t>. El proceso penal será acusatorio y oral. Se regirá por los principios de publicidad, contradicción, concentración, continuidad e inmediación.</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numPr>
          <w:ilvl w:val="0"/>
          <w:numId w:val="9"/>
        </w:numPr>
        <w:autoSpaceDE w:val="0"/>
        <w:autoSpaceDN w:val="0"/>
        <w:adjustRightInd w:val="0"/>
        <w:jc w:val="both"/>
        <w:rPr>
          <w:rFonts w:ascii="Century Gothic" w:eastAsia="Arial" w:hAnsi="Century Gothic"/>
          <w:i/>
          <w:iCs/>
        </w:rPr>
      </w:pPr>
      <w:r w:rsidRPr="00441F8C">
        <w:rPr>
          <w:rFonts w:ascii="Century Gothic" w:eastAsia="Arial" w:hAnsi="Century Gothic"/>
          <w:i/>
          <w:iCs/>
        </w:rPr>
        <w:t>…</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B.</w:t>
      </w:r>
      <w:r w:rsidRPr="00441F8C">
        <w:rPr>
          <w:rFonts w:ascii="Century Gothic" w:eastAsia="Arial" w:hAnsi="Century Gothic"/>
          <w:i/>
          <w:iCs/>
        </w:rPr>
        <w:tab/>
        <w:t>De los derechos de toda persona imputada: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lastRenderedPageBreak/>
        <w:t>I.</w:t>
      </w:r>
      <w:r w:rsidRPr="00441F8C">
        <w:rPr>
          <w:rFonts w:ascii="Century Gothic" w:eastAsia="Arial" w:hAnsi="Century Gothic"/>
          <w:i/>
          <w:iCs/>
        </w:rPr>
        <w:tab/>
        <w:t>A que se presuma su inocencia mientras no se declare su responsabilidad mediante sentencia emitida por el juez de la causa;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II.</w:t>
      </w:r>
      <w:r w:rsidRPr="00441F8C">
        <w:rPr>
          <w:rFonts w:ascii="Century Gothic" w:eastAsia="Arial" w:hAnsi="Century Gothic"/>
          <w:i/>
          <w:iCs/>
        </w:rPr>
        <w:tab/>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 probatorio;</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III.</w:t>
      </w:r>
      <w:r w:rsidRPr="00441F8C">
        <w:rPr>
          <w:rFonts w:ascii="Century Gothic" w:eastAsia="Arial" w:hAnsi="Century Gothic"/>
          <w:i/>
          <w:iCs/>
        </w:rPr>
        <w:tab/>
        <w:t>A que se le informe, tanto en el momento de su detención como en su comparecencia ante el Ministerio Público o el juez, los hechos que se le imputan y los derechos que le asisten. Tratándose de delincuencia organizada, la autoridad judicial podrá autorizar que se mantenga en reserva el nombre y datos del acusador.</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La ley establecerá beneficios a favor del inculpado, procesado o sentenciado que preste ayuda eficaz para la investigación y persecución de delitos en materia de delincuencia organizada;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IV.</w:t>
      </w:r>
      <w:r w:rsidRPr="00441F8C">
        <w:rPr>
          <w:rFonts w:ascii="Century Gothic" w:eastAsia="Arial" w:hAnsi="Century Gothic"/>
          <w:i/>
          <w:iCs/>
        </w:rPr>
        <w:tab/>
        <w:t>Se le recibirán los testigos y demás pruebas pertinentes que ofrezca, concediéndosele el tiempo que la ley estime necesario al efecto y auxiliándosele para obtener la comparecencia de las personas cuyo testimonio solicite, en los términos que señale la ley;</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V.</w:t>
      </w:r>
      <w:r w:rsidRPr="00441F8C">
        <w:rPr>
          <w:rFonts w:ascii="Century Gothic" w:eastAsia="Arial" w:hAnsi="Century Gothic"/>
          <w:i/>
          <w:iCs/>
        </w:rPr>
        <w:tab/>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 justificarlo.</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VI.</w:t>
      </w:r>
      <w:r w:rsidRPr="00441F8C">
        <w:rPr>
          <w:rFonts w:ascii="Century Gothic" w:eastAsia="Arial" w:hAnsi="Century Gothic"/>
          <w:i/>
          <w:iCs/>
        </w:rPr>
        <w:tab/>
        <w:t>Le serán facilitados todos los datos que solicite para su defensa y que consten en el proceso.</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 defensa;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VII.</w:t>
      </w:r>
      <w:r w:rsidRPr="00441F8C">
        <w:rPr>
          <w:rFonts w:ascii="Century Gothic" w:eastAsia="Arial" w:hAnsi="Century Gothic"/>
          <w:i/>
          <w:iCs/>
        </w:rPr>
        <w:tab/>
        <w:t>Será juzgado antes de cuatro meses si se tratare de delitos cuya pena máxima no exceda de dos años de prisión, y antes de un año si la pena excediere de ese tiempo, salvo que solicite mayor plazo para su defensa;</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441F8C"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VIII.</w:t>
      </w:r>
      <w:r w:rsidRPr="00441F8C">
        <w:rPr>
          <w:rFonts w:ascii="Century Gothic" w:eastAsia="Arial" w:hAnsi="Century Gothic"/>
          <w:i/>
          <w:iCs/>
        </w:rPr>
        <w:tab/>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 y</w:t>
      </w:r>
    </w:p>
    <w:p w:rsidR="00AF159B" w:rsidRPr="00441F8C"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r w:rsidRPr="00441F8C">
        <w:rPr>
          <w:rFonts w:ascii="Century Gothic" w:eastAsia="Arial" w:hAnsi="Century Gothic"/>
          <w:i/>
          <w:iCs/>
        </w:rPr>
        <w:t>IX.</w:t>
      </w:r>
      <w:r w:rsidRPr="00441F8C">
        <w:rPr>
          <w:rFonts w:ascii="Century Gothic" w:eastAsia="Arial" w:hAnsi="Century Gothic"/>
          <w:i/>
          <w:iCs/>
        </w:rPr>
        <w:tab/>
        <w:t>En ningún caso podrá prolongarse la prisión o detención, por falta de pago de honorarios de defensores o por cualquiera otra  prestación de dinero,</w:t>
      </w:r>
      <w:r w:rsidRPr="00AF159B">
        <w:rPr>
          <w:rFonts w:ascii="Century Gothic" w:eastAsia="Arial" w:hAnsi="Century Gothic"/>
          <w:i/>
          <w:iCs/>
        </w:rPr>
        <w:t xml:space="preserve"> por causa de responsabilidad civil o algún otro motivo análogo.</w:t>
      </w: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Pr="00AF159B" w:rsidRDefault="00AF159B" w:rsidP="00AF159B">
      <w:pPr>
        <w:autoSpaceDE w:val="0"/>
        <w:autoSpaceDN w:val="0"/>
        <w:adjustRightInd w:val="0"/>
        <w:ind w:left="426"/>
        <w:jc w:val="both"/>
        <w:rPr>
          <w:rFonts w:ascii="Century Gothic" w:eastAsia="Arial" w:hAnsi="Century Gothic"/>
          <w:i/>
          <w:iCs/>
        </w:rPr>
      </w:pPr>
      <w:r w:rsidRPr="00AF159B">
        <w:rPr>
          <w:rFonts w:ascii="Century Gothic" w:eastAsia="Arial" w:hAnsi="Century Gothic"/>
          <w:i/>
          <w:iCs/>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rsidR="00AF159B" w:rsidRPr="00AF159B" w:rsidRDefault="00AF159B" w:rsidP="00AF159B">
      <w:pPr>
        <w:autoSpaceDE w:val="0"/>
        <w:autoSpaceDN w:val="0"/>
        <w:adjustRightInd w:val="0"/>
        <w:ind w:left="426"/>
        <w:jc w:val="both"/>
        <w:rPr>
          <w:rFonts w:ascii="Century Gothic" w:eastAsia="Arial" w:hAnsi="Century Gothic"/>
          <w:i/>
          <w:iCs/>
        </w:rPr>
      </w:pPr>
    </w:p>
    <w:p w:rsidR="00AF159B" w:rsidRDefault="00AF159B" w:rsidP="00362C50">
      <w:pPr>
        <w:autoSpaceDE w:val="0"/>
        <w:autoSpaceDN w:val="0"/>
        <w:adjustRightInd w:val="0"/>
        <w:ind w:left="426"/>
        <w:jc w:val="both"/>
        <w:rPr>
          <w:rFonts w:ascii="Century Gothic" w:eastAsia="Arial" w:hAnsi="Century Gothic"/>
          <w:i/>
          <w:iCs/>
        </w:rPr>
      </w:pPr>
      <w:r w:rsidRPr="00AF159B">
        <w:rPr>
          <w:rFonts w:ascii="Century Gothic" w:eastAsia="Arial" w:hAnsi="Century Gothic"/>
          <w:i/>
          <w:iCs/>
        </w:rPr>
        <w:lastRenderedPageBreak/>
        <w:t>En toda pena de prisión que imponga una sentencia, se computará el tiempo de la detención</w:t>
      </w:r>
    </w:p>
    <w:p w:rsidR="00AF159B" w:rsidRDefault="00AF159B" w:rsidP="00362C50">
      <w:pPr>
        <w:autoSpaceDE w:val="0"/>
        <w:autoSpaceDN w:val="0"/>
        <w:adjustRightInd w:val="0"/>
        <w:ind w:left="426"/>
        <w:jc w:val="both"/>
        <w:rPr>
          <w:rFonts w:ascii="Century Gothic" w:eastAsia="Arial" w:hAnsi="Century Gothic"/>
          <w:i/>
          <w:iCs/>
        </w:rPr>
      </w:pPr>
    </w:p>
    <w:p w:rsidR="00362C50" w:rsidRDefault="00AF159B" w:rsidP="00362C50">
      <w:pPr>
        <w:autoSpaceDE w:val="0"/>
        <w:autoSpaceDN w:val="0"/>
        <w:adjustRightInd w:val="0"/>
        <w:ind w:left="426"/>
        <w:jc w:val="both"/>
        <w:rPr>
          <w:rFonts w:ascii="Century Gothic" w:hAnsi="Century Gothic" w:cs="Arial"/>
          <w:i/>
        </w:rPr>
      </w:pPr>
      <w:r w:rsidRPr="00AF159B">
        <w:rPr>
          <w:rFonts w:ascii="Century Gothic" w:hAnsi="Century Gothic" w:cs="Arial"/>
          <w:i/>
          <w:lang w:val="es-MX"/>
        </w:rPr>
        <w:t>Bajo estas condiciones se deben precisar los casos en que se restrinja la publicidad  de datos en el desarrollo del ejercicio profesional del periodismo, lo cual compete al Consejo de la Judicatura</w:t>
      </w:r>
      <w:r>
        <w:rPr>
          <w:rFonts w:ascii="Century Gothic" w:hAnsi="Century Gothic" w:cs="Arial"/>
          <w:i/>
          <w:lang w:val="es-MX"/>
        </w:rPr>
        <w:t>…</w:t>
      </w:r>
      <w:r w:rsidR="00362C50" w:rsidRPr="00917BA4">
        <w:rPr>
          <w:rFonts w:ascii="Century Gothic" w:hAnsi="Century Gothic" w:cs="Arial"/>
          <w:i/>
        </w:rPr>
        <w:t>”.</w:t>
      </w:r>
    </w:p>
    <w:p w:rsidR="00441F8C" w:rsidRPr="00362C50" w:rsidRDefault="00441F8C" w:rsidP="00315537">
      <w:pPr>
        <w:pStyle w:val="Textoindependiente"/>
        <w:spacing w:line="360" w:lineRule="auto"/>
        <w:rPr>
          <w:rFonts w:ascii="Century Gothic" w:eastAsia="Arial" w:hAnsi="Century Gothic" w:cs="Arial"/>
        </w:rPr>
      </w:pPr>
    </w:p>
    <w:p w:rsidR="00315537" w:rsidRDefault="00315537" w:rsidP="00315537">
      <w:pPr>
        <w:pStyle w:val="Textoindependiente"/>
        <w:spacing w:line="360" w:lineRule="auto"/>
        <w:rPr>
          <w:rFonts w:ascii="Century Gothic" w:eastAsia="Arial" w:hAnsi="Century Gothic" w:cs="Arial"/>
          <w:lang w:val="es-MX"/>
        </w:rPr>
      </w:pPr>
      <w:r w:rsidRPr="00A335F4">
        <w:rPr>
          <w:rFonts w:ascii="Century Gothic" w:eastAsia="Arial" w:hAnsi="Century Gothic" w:cs="Arial"/>
          <w:lang w:val="es-MX"/>
        </w:rPr>
        <w:t>Ahora bien, al entrar al estudi</w:t>
      </w:r>
      <w:r>
        <w:rPr>
          <w:rFonts w:ascii="Century Gothic" w:eastAsia="Arial" w:hAnsi="Century Gothic" w:cs="Arial"/>
          <w:lang w:val="es-MX"/>
        </w:rPr>
        <w:t>o y análisis de la iniciativa en comento</w:t>
      </w:r>
      <w:r w:rsidRPr="00A335F4">
        <w:rPr>
          <w:rFonts w:ascii="Century Gothic" w:eastAsia="Arial" w:hAnsi="Century Gothic" w:cs="Arial"/>
          <w:lang w:val="es-MX"/>
        </w:rPr>
        <w:t>, quienes integramos la Comisión citada en el proemio del presente Dictamen, formulamos las siguientes</w:t>
      </w:r>
      <w:r>
        <w:rPr>
          <w:rFonts w:ascii="Century Gothic" w:eastAsia="Arial" w:hAnsi="Century Gothic" w:cs="Arial"/>
          <w:lang w:val="es-MX"/>
        </w:rPr>
        <w:t>:</w:t>
      </w:r>
    </w:p>
    <w:p w:rsidR="00441F8C" w:rsidRDefault="00441F8C" w:rsidP="00315537">
      <w:pPr>
        <w:pStyle w:val="Textoindependiente"/>
        <w:spacing w:line="360" w:lineRule="auto"/>
        <w:rPr>
          <w:rFonts w:ascii="Century Gothic" w:hAnsi="Century Gothic" w:cs="Arial"/>
        </w:rPr>
      </w:pPr>
    </w:p>
    <w:p w:rsidR="00315537" w:rsidRDefault="00315537" w:rsidP="00315537">
      <w:pPr>
        <w:pStyle w:val="Textoindependiente"/>
        <w:spacing w:line="360" w:lineRule="auto"/>
        <w:jc w:val="center"/>
        <w:rPr>
          <w:rFonts w:ascii="Century Gothic" w:hAnsi="Century Gothic" w:cs="Arial"/>
          <w:b/>
          <w:bCs/>
        </w:rPr>
      </w:pPr>
      <w:r>
        <w:rPr>
          <w:rFonts w:ascii="Century Gothic" w:hAnsi="Century Gothic" w:cs="Arial"/>
          <w:b/>
          <w:bCs/>
        </w:rPr>
        <w:t>C</w:t>
      </w:r>
      <w:r w:rsidRPr="009568FB">
        <w:rPr>
          <w:rFonts w:ascii="Century Gothic" w:hAnsi="Century Gothic" w:cs="Arial"/>
          <w:b/>
          <w:bCs/>
        </w:rPr>
        <w:t xml:space="preserve"> O N S I D E R A C I O N E S</w:t>
      </w:r>
    </w:p>
    <w:p w:rsidR="00315537" w:rsidRPr="009568FB" w:rsidRDefault="00315537" w:rsidP="00315537">
      <w:pPr>
        <w:spacing w:line="360" w:lineRule="auto"/>
        <w:jc w:val="both"/>
        <w:rPr>
          <w:rFonts w:ascii="Century Gothic" w:hAnsi="Century Gothic" w:cs="Arial"/>
          <w:b/>
          <w:bCs/>
        </w:rPr>
      </w:pPr>
    </w:p>
    <w:p w:rsidR="00AF159B" w:rsidRDefault="00315537" w:rsidP="00AF159B">
      <w:pPr>
        <w:pStyle w:val="Normal3"/>
        <w:spacing w:line="360" w:lineRule="auto"/>
        <w:jc w:val="both"/>
        <w:rPr>
          <w:rFonts w:ascii="Century Gothic" w:eastAsia="Arial" w:hAnsi="Century Gothic" w:cs="Arial"/>
          <w:szCs w:val="24"/>
          <w:lang w:val="es-MX"/>
        </w:rPr>
      </w:pPr>
      <w:r w:rsidRPr="009568FB">
        <w:rPr>
          <w:rFonts w:ascii="Century Gothic" w:hAnsi="Century Gothic" w:cs="Arial"/>
          <w:b/>
          <w:bCs/>
        </w:rPr>
        <w:t>I.-</w:t>
      </w:r>
      <w:r w:rsidRPr="009568FB">
        <w:rPr>
          <w:rFonts w:ascii="Century Gothic" w:hAnsi="Century Gothic" w:cs="Arial"/>
        </w:rPr>
        <w:t xml:space="preserve"> </w:t>
      </w:r>
      <w:r w:rsidR="00AF159B" w:rsidRPr="0090301A">
        <w:rPr>
          <w:rFonts w:ascii="Century Gothic" w:eastAsia="Arial" w:hAnsi="Century Gothic" w:cs="Arial"/>
          <w:szCs w:val="24"/>
        </w:rPr>
        <w:t xml:space="preserve">El H. Congreso del Estado, a través de esta Comisión de Dictamen Legislativo, es competente para conocer y resolver sobre </w:t>
      </w:r>
      <w:r w:rsidR="00AF159B">
        <w:rPr>
          <w:rFonts w:ascii="Century Gothic" w:eastAsia="Arial" w:hAnsi="Century Gothic" w:cs="Arial"/>
          <w:szCs w:val="24"/>
        </w:rPr>
        <w:t>la</w:t>
      </w:r>
      <w:r w:rsidR="00AF159B" w:rsidRPr="0090301A">
        <w:rPr>
          <w:rFonts w:ascii="Century Gothic" w:eastAsia="Arial" w:hAnsi="Century Gothic" w:cs="Arial"/>
          <w:szCs w:val="24"/>
        </w:rPr>
        <w:t xml:space="preserve"> iniciativa descrita en el apartado de antecedentes.</w:t>
      </w:r>
    </w:p>
    <w:p w:rsidR="00AF159B" w:rsidRDefault="00AF159B" w:rsidP="00AF159B">
      <w:pPr>
        <w:pStyle w:val="Normal3"/>
        <w:spacing w:line="360" w:lineRule="auto"/>
        <w:jc w:val="both"/>
        <w:rPr>
          <w:rFonts w:ascii="Century Gothic" w:eastAsia="Arial" w:hAnsi="Century Gothic" w:cs="Arial"/>
          <w:b/>
          <w:szCs w:val="24"/>
          <w:lang w:val="es-MX"/>
        </w:rPr>
      </w:pPr>
    </w:p>
    <w:p w:rsidR="00AF159B" w:rsidRDefault="00AF159B" w:rsidP="00AF159B">
      <w:pPr>
        <w:spacing w:line="360" w:lineRule="auto"/>
        <w:jc w:val="both"/>
        <w:rPr>
          <w:rFonts w:ascii="Century Gothic" w:hAnsi="Century Gothic" w:cs="Arial"/>
          <w:bCs/>
        </w:rPr>
      </w:pPr>
      <w:r w:rsidRPr="00797063">
        <w:rPr>
          <w:rFonts w:ascii="Century Gothic" w:eastAsia="Arial" w:hAnsi="Century Gothic" w:cs="Arial"/>
          <w:b/>
        </w:rPr>
        <w:t>II.-</w:t>
      </w:r>
      <w:r w:rsidRPr="00797063">
        <w:rPr>
          <w:rFonts w:ascii="Century Gothic" w:eastAsia="Arial" w:hAnsi="Century Gothic" w:cs="Arial"/>
        </w:rPr>
        <w:t xml:space="preserve"> </w:t>
      </w:r>
      <w:r w:rsidR="00441F8C">
        <w:rPr>
          <w:rFonts w:ascii="Century Gothic" w:eastAsia="Arial" w:hAnsi="Century Gothic" w:cs="Arial"/>
        </w:rPr>
        <w:t>Tal y como se aprecia en la</w:t>
      </w:r>
      <w:r>
        <w:rPr>
          <w:rFonts w:ascii="Century Gothic" w:eastAsia="Arial" w:hAnsi="Century Gothic" w:cs="Arial"/>
        </w:rPr>
        <w:t xml:space="preserve"> i</w:t>
      </w:r>
      <w:r w:rsidRPr="00797063">
        <w:rPr>
          <w:rFonts w:ascii="Century Gothic" w:eastAsia="Arial" w:hAnsi="Century Gothic" w:cs="Arial"/>
        </w:rPr>
        <w:t>niciativa</w:t>
      </w:r>
      <w:r w:rsidR="00441F8C">
        <w:rPr>
          <w:rFonts w:ascii="Century Gothic" w:eastAsia="Arial" w:hAnsi="Century Gothic" w:cs="Arial"/>
        </w:rPr>
        <w:t xml:space="preserve"> referida, la propuesta</w:t>
      </w:r>
      <w:r>
        <w:rPr>
          <w:rFonts w:ascii="Century Gothic" w:eastAsia="Arial" w:hAnsi="Century Gothic" w:cs="Arial"/>
        </w:rPr>
        <w:t xml:space="preserve"> tienen como objeto</w:t>
      </w:r>
      <w:r>
        <w:rPr>
          <w:rFonts w:ascii="Century Gothic" w:hAnsi="Century Gothic" w:cs="Arial"/>
          <w:bCs/>
        </w:rPr>
        <w:t xml:space="preserve"> reformar el artículo 125, fracción II, de la Ley Orgánica del Poder Judicial del Estado de </w:t>
      </w:r>
      <w:r w:rsidR="00AB45A6">
        <w:rPr>
          <w:rFonts w:ascii="Century Gothic" w:hAnsi="Century Gothic" w:cs="Arial"/>
          <w:bCs/>
        </w:rPr>
        <w:t xml:space="preserve">Chihuahua, a fin de establecer </w:t>
      </w:r>
      <w:r>
        <w:rPr>
          <w:rFonts w:ascii="Century Gothic" w:hAnsi="Century Gothic" w:cs="Arial"/>
          <w:bCs/>
        </w:rPr>
        <w:t xml:space="preserve">dentro de las atribuciones del Consejo de la Judicatura, </w:t>
      </w:r>
      <w:r w:rsidR="00AB45A6">
        <w:rPr>
          <w:rFonts w:ascii="Century Gothic" w:hAnsi="Century Gothic" w:cs="Arial"/>
          <w:bCs/>
        </w:rPr>
        <w:t xml:space="preserve">la expedición de </w:t>
      </w:r>
      <w:r>
        <w:rPr>
          <w:rFonts w:ascii="Century Gothic" w:hAnsi="Century Gothic" w:cs="Arial"/>
          <w:bCs/>
        </w:rPr>
        <w:t>un Reglamento para el Acceso de los Medios de Comunicación para las Audiencias Públicas.</w:t>
      </w:r>
    </w:p>
    <w:p w:rsidR="00AF159B" w:rsidRDefault="00AF159B" w:rsidP="00AF159B">
      <w:pPr>
        <w:spacing w:line="360" w:lineRule="auto"/>
        <w:jc w:val="both"/>
        <w:rPr>
          <w:rFonts w:ascii="Century Gothic" w:hAnsi="Century Gothic" w:cs="Arial"/>
          <w:bCs/>
        </w:rPr>
      </w:pPr>
    </w:p>
    <w:p w:rsidR="00AF159B" w:rsidRDefault="00AF159B" w:rsidP="00AF159B">
      <w:pPr>
        <w:spacing w:line="360" w:lineRule="auto"/>
        <w:jc w:val="both"/>
        <w:rPr>
          <w:rFonts w:ascii="Century Gothic" w:eastAsia="Arial" w:hAnsi="Century Gothic" w:cs="Arial"/>
        </w:rPr>
      </w:pPr>
      <w:r>
        <w:rPr>
          <w:rFonts w:ascii="Century Gothic" w:eastAsia="Arial" w:hAnsi="Century Gothic" w:cs="Arial"/>
          <w:b/>
        </w:rPr>
        <w:t>III.-</w:t>
      </w:r>
      <w:r>
        <w:rPr>
          <w:rFonts w:ascii="Century Gothic" w:eastAsia="Arial" w:hAnsi="Century Gothic" w:cs="Arial"/>
        </w:rPr>
        <w:t xml:space="preserve"> </w:t>
      </w:r>
      <w:r w:rsidR="00801476">
        <w:rPr>
          <w:rFonts w:ascii="Century Gothic" w:eastAsia="Arial" w:hAnsi="Century Gothic" w:cs="Arial"/>
        </w:rPr>
        <w:t xml:space="preserve">Para los efectos del presente dictamen, resulta ilustrativo </w:t>
      </w:r>
      <w:r w:rsidR="00441F8C">
        <w:rPr>
          <w:rFonts w:ascii="Century Gothic" w:eastAsia="Arial" w:hAnsi="Century Gothic" w:cs="Arial"/>
        </w:rPr>
        <w:t>señalar</w:t>
      </w:r>
      <w:r w:rsidR="00801476">
        <w:rPr>
          <w:rFonts w:ascii="Century Gothic" w:eastAsia="Arial" w:hAnsi="Century Gothic" w:cs="Arial"/>
        </w:rPr>
        <w:t xml:space="preserve"> que l</w:t>
      </w:r>
      <w:r>
        <w:rPr>
          <w:rFonts w:ascii="Century Gothic" w:eastAsia="Arial" w:hAnsi="Century Gothic" w:cs="Arial"/>
        </w:rPr>
        <w:t xml:space="preserve">a </w:t>
      </w:r>
      <w:r w:rsidR="00441F8C">
        <w:rPr>
          <w:rFonts w:ascii="Century Gothic" w:eastAsia="Arial" w:hAnsi="Century Gothic" w:cs="Arial"/>
        </w:rPr>
        <w:t>presunción de inocencia, es un principio consagrado</w:t>
      </w:r>
      <w:r>
        <w:rPr>
          <w:rFonts w:ascii="Century Gothic" w:eastAsia="Arial" w:hAnsi="Century Gothic" w:cs="Arial"/>
        </w:rPr>
        <w:t xml:space="preserve"> </w:t>
      </w:r>
      <w:r w:rsidR="002078FD">
        <w:rPr>
          <w:rFonts w:ascii="Century Gothic" w:eastAsia="Arial" w:hAnsi="Century Gothic" w:cs="Arial"/>
        </w:rPr>
        <w:t>en</w:t>
      </w:r>
      <w:r>
        <w:rPr>
          <w:rFonts w:ascii="Century Gothic" w:eastAsia="Arial" w:hAnsi="Century Gothic" w:cs="Arial"/>
        </w:rPr>
        <w:t xml:space="preserve"> </w:t>
      </w:r>
      <w:r w:rsidR="002078FD">
        <w:rPr>
          <w:rFonts w:ascii="Century Gothic" w:eastAsia="Arial" w:hAnsi="Century Gothic" w:cs="Arial"/>
        </w:rPr>
        <w:t xml:space="preserve">el artículo 20 de </w:t>
      </w:r>
      <w:r>
        <w:rPr>
          <w:rFonts w:ascii="Century Gothic" w:eastAsia="Arial" w:hAnsi="Century Gothic" w:cs="Arial"/>
        </w:rPr>
        <w:t xml:space="preserve">la Constitución Política de los Estados </w:t>
      </w:r>
      <w:r w:rsidR="00801476">
        <w:rPr>
          <w:rFonts w:ascii="Century Gothic" w:eastAsia="Arial" w:hAnsi="Century Gothic" w:cs="Arial"/>
        </w:rPr>
        <w:t>Unidos Mexicanos</w:t>
      </w:r>
      <w:r>
        <w:rPr>
          <w:rFonts w:ascii="Century Gothic" w:eastAsia="Arial" w:hAnsi="Century Gothic" w:cs="Arial"/>
        </w:rPr>
        <w:t>,</w:t>
      </w:r>
      <w:r w:rsidR="00AB45A6">
        <w:rPr>
          <w:rFonts w:ascii="Century Gothic" w:eastAsia="Arial" w:hAnsi="Century Gothic" w:cs="Arial"/>
        </w:rPr>
        <w:t xml:space="preserve"> máximo o</w:t>
      </w:r>
      <w:r w:rsidR="00801476">
        <w:rPr>
          <w:rFonts w:ascii="Century Gothic" w:eastAsia="Arial" w:hAnsi="Century Gothic" w:cs="Arial"/>
        </w:rPr>
        <w:t xml:space="preserve">rdenamiento jurídico en nuestro País, el </w:t>
      </w:r>
      <w:r w:rsidR="00801476">
        <w:rPr>
          <w:rFonts w:ascii="Century Gothic" w:eastAsia="Arial" w:hAnsi="Century Gothic" w:cs="Arial"/>
        </w:rPr>
        <w:lastRenderedPageBreak/>
        <w:t xml:space="preserve">cual </w:t>
      </w:r>
      <w:r w:rsidR="002078FD">
        <w:rPr>
          <w:rFonts w:ascii="Century Gothic" w:eastAsia="Arial" w:hAnsi="Century Gothic" w:cs="Arial"/>
        </w:rPr>
        <w:t xml:space="preserve">además </w:t>
      </w:r>
      <w:r w:rsidR="00801476">
        <w:rPr>
          <w:rFonts w:ascii="Century Gothic" w:eastAsia="Arial" w:hAnsi="Century Gothic" w:cs="Arial"/>
        </w:rPr>
        <w:t>desde su artículo 1°</w:t>
      </w:r>
      <w:r w:rsidR="00AB45A6">
        <w:rPr>
          <w:rFonts w:ascii="Century Gothic" w:eastAsia="Arial" w:hAnsi="Century Gothic" w:cs="Arial"/>
        </w:rPr>
        <w:t>,</w:t>
      </w:r>
      <w:r>
        <w:rPr>
          <w:rFonts w:ascii="Century Gothic" w:eastAsia="Arial" w:hAnsi="Century Gothic" w:cs="Arial"/>
        </w:rPr>
        <w:t xml:space="preserve"> dispone que toda persona goza</w:t>
      </w:r>
      <w:r w:rsidR="00801476">
        <w:rPr>
          <w:rFonts w:ascii="Century Gothic" w:eastAsia="Arial" w:hAnsi="Century Gothic" w:cs="Arial"/>
        </w:rPr>
        <w:t>rá</w:t>
      </w:r>
      <w:r>
        <w:rPr>
          <w:rFonts w:ascii="Century Gothic" w:eastAsia="Arial" w:hAnsi="Century Gothic" w:cs="Arial"/>
        </w:rPr>
        <w:t xml:space="preserve"> de los derechos reconocidos en ella y en los tratados internacionales de los que el Estado</w:t>
      </w:r>
      <w:r w:rsidR="00AB45A6">
        <w:rPr>
          <w:rFonts w:ascii="Century Gothic" w:eastAsia="Arial" w:hAnsi="Century Gothic" w:cs="Arial"/>
        </w:rPr>
        <w:t xml:space="preserve"> Mexicano sea parte, tales como:</w:t>
      </w:r>
      <w:r>
        <w:rPr>
          <w:rFonts w:ascii="Century Gothic" w:eastAsia="Arial" w:hAnsi="Century Gothic" w:cs="Arial"/>
        </w:rPr>
        <w:t xml:space="preserve"> la Convención Americana de Derechos Humanos “Pacto de San José de Costa Rica” y el Pacto Internacional de Derechos Civiles y Políticos.</w:t>
      </w:r>
    </w:p>
    <w:p w:rsidR="00AF159B" w:rsidRDefault="00AF159B" w:rsidP="00AF159B">
      <w:pPr>
        <w:spacing w:line="360" w:lineRule="auto"/>
        <w:jc w:val="both"/>
        <w:rPr>
          <w:rFonts w:ascii="Century Gothic" w:eastAsia="Arial" w:hAnsi="Century Gothic" w:cs="Arial"/>
        </w:rPr>
      </w:pPr>
    </w:p>
    <w:p w:rsidR="00AF159B" w:rsidRDefault="002078FD" w:rsidP="00AF159B">
      <w:pPr>
        <w:spacing w:line="360" w:lineRule="auto"/>
        <w:jc w:val="both"/>
        <w:rPr>
          <w:rFonts w:ascii="Century Gothic" w:eastAsia="Arial" w:hAnsi="Century Gothic" w:cs="Arial"/>
        </w:rPr>
      </w:pPr>
      <w:r>
        <w:rPr>
          <w:rFonts w:ascii="Century Gothic" w:eastAsia="Arial" w:hAnsi="Century Gothic" w:cs="Arial"/>
        </w:rPr>
        <w:t>En ese sentido</w:t>
      </w:r>
      <w:r w:rsidR="00801476">
        <w:rPr>
          <w:rFonts w:ascii="Century Gothic" w:eastAsia="Arial" w:hAnsi="Century Gothic" w:cs="Arial"/>
        </w:rPr>
        <w:t xml:space="preserve">, </w:t>
      </w:r>
      <w:r>
        <w:rPr>
          <w:rFonts w:ascii="Century Gothic" w:eastAsia="Arial" w:hAnsi="Century Gothic" w:cs="Arial"/>
        </w:rPr>
        <w:t xml:space="preserve">es importante señalar que </w:t>
      </w:r>
      <w:r w:rsidR="00801476">
        <w:rPr>
          <w:rFonts w:ascii="Century Gothic" w:eastAsia="Arial" w:hAnsi="Century Gothic" w:cs="Arial"/>
        </w:rPr>
        <w:t>l</w:t>
      </w:r>
      <w:r w:rsidR="00AF159B">
        <w:rPr>
          <w:rFonts w:ascii="Century Gothic" w:eastAsia="Arial" w:hAnsi="Century Gothic" w:cs="Arial"/>
        </w:rPr>
        <w:t xml:space="preserve">a Declaración Universal de Derechos Humanos </w:t>
      </w:r>
      <w:r>
        <w:rPr>
          <w:rFonts w:ascii="Century Gothic" w:eastAsia="Arial" w:hAnsi="Century Gothic" w:cs="Arial"/>
        </w:rPr>
        <w:t>establece</w:t>
      </w:r>
      <w:r w:rsidR="00AF159B">
        <w:rPr>
          <w:rFonts w:ascii="Century Gothic" w:eastAsia="Arial" w:hAnsi="Century Gothic" w:cs="Arial"/>
        </w:rPr>
        <w:t xml:space="preserve"> en su artículo 11</w:t>
      </w:r>
      <w:r w:rsidR="00801476">
        <w:rPr>
          <w:rFonts w:ascii="Century Gothic" w:eastAsia="Arial" w:hAnsi="Century Gothic" w:cs="Arial"/>
        </w:rPr>
        <w:t xml:space="preserve"> que</w:t>
      </w:r>
      <w:r w:rsidR="00AF159B">
        <w:rPr>
          <w:rFonts w:ascii="Century Gothic" w:eastAsia="Arial" w:hAnsi="Century Gothic" w:cs="Arial"/>
        </w:rPr>
        <w:t xml:space="preserve">: “Toda persona acusada de delito tiene derecho a que se presuma su inocencia mientras no se pruebe su culpabilidad, conforme a la ley y en juicio público en el que se le hayan asegurado todas las garantías necesarias para su defensa”. </w:t>
      </w:r>
      <w:r>
        <w:rPr>
          <w:rFonts w:ascii="Century Gothic" w:eastAsia="Arial" w:hAnsi="Century Gothic" w:cs="Arial"/>
        </w:rPr>
        <w:t>A su vez, e</w:t>
      </w:r>
      <w:r w:rsidR="00AF159B">
        <w:rPr>
          <w:rFonts w:ascii="Century Gothic" w:eastAsia="Arial" w:hAnsi="Century Gothic" w:cs="Arial"/>
        </w:rPr>
        <w:t>l Pacto Internacional de Derechos Civiles y Políticos menciona en su artículo 14: “Toda persona acusada de un delito tiene derecho a que se presuma su inocencia mientras no se pruebe su culpabilidad conforme a la ley”.</w:t>
      </w:r>
    </w:p>
    <w:p w:rsidR="00AF159B" w:rsidRDefault="00AF159B" w:rsidP="00AF159B">
      <w:pPr>
        <w:spacing w:line="360" w:lineRule="auto"/>
        <w:jc w:val="both"/>
        <w:rPr>
          <w:rFonts w:ascii="Century Gothic" w:eastAsia="Arial" w:hAnsi="Century Gothic" w:cs="Arial"/>
        </w:rPr>
      </w:pPr>
    </w:p>
    <w:p w:rsidR="00AF159B" w:rsidRDefault="00801476" w:rsidP="00AF159B">
      <w:pPr>
        <w:spacing w:line="360" w:lineRule="auto"/>
        <w:jc w:val="both"/>
        <w:rPr>
          <w:rFonts w:ascii="Century Gothic" w:eastAsia="Arial" w:hAnsi="Century Gothic" w:cs="Arial"/>
        </w:rPr>
      </w:pPr>
      <w:r>
        <w:rPr>
          <w:rFonts w:ascii="Century Gothic" w:eastAsia="Arial" w:hAnsi="Century Gothic" w:cs="Arial"/>
        </w:rPr>
        <w:t>De igual forma</w:t>
      </w:r>
      <w:r w:rsidR="002078FD">
        <w:rPr>
          <w:rFonts w:ascii="Century Gothic" w:eastAsia="Arial" w:hAnsi="Century Gothic" w:cs="Arial"/>
        </w:rPr>
        <w:t>, este derecho es considerado</w:t>
      </w:r>
      <w:r w:rsidR="00AF159B">
        <w:rPr>
          <w:rFonts w:ascii="Century Gothic" w:eastAsia="Arial" w:hAnsi="Century Gothic" w:cs="Arial"/>
        </w:rPr>
        <w:t xml:space="preserve"> por la Corte Interamericana de Derechos Humanos como piedra angular </w:t>
      </w:r>
      <w:r w:rsidR="00AB45A6">
        <w:rPr>
          <w:rFonts w:ascii="Century Gothic" w:eastAsia="Arial" w:hAnsi="Century Gothic" w:cs="Arial"/>
        </w:rPr>
        <w:t>para</w:t>
      </w:r>
      <w:r w:rsidR="002078FD">
        <w:rPr>
          <w:rFonts w:ascii="Century Gothic" w:eastAsia="Arial" w:hAnsi="Century Gothic" w:cs="Arial"/>
        </w:rPr>
        <w:t xml:space="preserve"> el</w:t>
      </w:r>
      <w:r w:rsidR="00AF159B">
        <w:rPr>
          <w:rFonts w:ascii="Century Gothic" w:eastAsia="Arial" w:hAnsi="Century Gothic" w:cs="Arial"/>
        </w:rPr>
        <w:t xml:space="preserve"> proceso penal acusatorio</w:t>
      </w:r>
      <w:r>
        <w:rPr>
          <w:rFonts w:ascii="Century Gothic" w:eastAsia="Arial" w:hAnsi="Century Gothic" w:cs="Arial"/>
        </w:rPr>
        <w:t>,</w:t>
      </w:r>
      <w:r w:rsidR="002078FD">
        <w:rPr>
          <w:rFonts w:ascii="Century Gothic" w:eastAsia="Arial" w:hAnsi="Century Gothic" w:cs="Arial"/>
        </w:rPr>
        <w:t xml:space="preserve"> el cual debe ser garantizado a toda persona imputada durante</w:t>
      </w:r>
      <w:r w:rsidR="00AF159B">
        <w:rPr>
          <w:rFonts w:ascii="Century Gothic" w:eastAsia="Arial" w:hAnsi="Century Gothic" w:cs="Arial"/>
        </w:rPr>
        <w:t xml:space="preserve"> la tramitación del proceso judicial</w:t>
      </w:r>
      <w:r>
        <w:rPr>
          <w:rFonts w:ascii="Century Gothic" w:eastAsia="Arial" w:hAnsi="Century Gothic" w:cs="Arial"/>
        </w:rPr>
        <w:t>,</w:t>
      </w:r>
      <w:r w:rsidR="00AF159B">
        <w:rPr>
          <w:rFonts w:ascii="Century Gothic" w:eastAsia="Arial" w:hAnsi="Century Gothic" w:cs="Arial"/>
        </w:rPr>
        <w:t xml:space="preserve"> hasta que una sentencia condenatoria </w:t>
      </w:r>
      <w:r w:rsidR="002078FD">
        <w:rPr>
          <w:rFonts w:ascii="Century Gothic" w:eastAsia="Arial" w:hAnsi="Century Gothic" w:cs="Arial"/>
        </w:rPr>
        <w:t xml:space="preserve">quede firme y se </w:t>
      </w:r>
      <w:r w:rsidR="00AF159B">
        <w:rPr>
          <w:rFonts w:ascii="Century Gothic" w:eastAsia="Arial" w:hAnsi="Century Gothic" w:cs="Arial"/>
        </w:rPr>
        <w:t>determine su inocenci</w:t>
      </w:r>
      <w:r w:rsidR="002078FD">
        <w:rPr>
          <w:rFonts w:ascii="Century Gothic" w:eastAsia="Arial" w:hAnsi="Century Gothic" w:cs="Arial"/>
        </w:rPr>
        <w:t>a o culpabilidad.</w:t>
      </w:r>
    </w:p>
    <w:p w:rsidR="00AF159B" w:rsidRDefault="00AF159B" w:rsidP="00AF159B">
      <w:pPr>
        <w:spacing w:line="360" w:lineRule="auto"/>
        <w:jc w:val="both"/>
        <w:rPr>
          <w:rFonts w:ascii="Century Gothic" w:eastAsia="Arial" w:hAnsi="Century Gothic" w:cs="Arial"/>
        </w:rPr>
      </w:pPr>
    </w:p>
    <w:p w:rsidR="00AF159B" w:rsidRDefault="00AF159B" w:rsidP="00AF159B">
      <w:pPr>
        <w:spacing w:line="360" w:lineRule="auto"/>
        <w:jc w:val="both"/>
        <w:rPr>
          <w:rFonts w:ascii="Century Gothic" w:eastAsia="Arial" w:hAnsi="Century Gothic" w:cs="Arial"/>
        </w:rPr>
      </w:pPr>
      <w:r>
        <w:rPr>
          <w:rFonts w:ascii="Century Gothic" w:eastAsia="Arial" w:hAnsi="Century Gothic" w:cs="Arial"/>
        </w:rPr>
        <w:t>Además, el Comité de Derechos Humanos</w:t>
      </w:r>
      <w:r w:rsidR="00801476">
        <w:rPr>
          <w:rFonts w:ascii="Century Gothic" w:eastAsia="Arial" w:hAnsi="Century Gothic" w:cs="Arial"/>
        </w:rPr>
        <w:t xml:space="preserve"> de las Naciones Unidas</w:t>
      </w:r>
      <w:r>
        <w:rPr>
          <w:rFonts w:ascii="Century Gothic" w:eastAsia="Arial" w:hAnsi="Century Gothic" w:cs="Arial"/>
        </w:rPr>
        <w:t xml:space="preserve"> en su Observación General número 32, ha comentado lo siguiente: “Todas las autoridades públicas tienen el deber de abstenerse de prejuzgar los resultados de un juicio, por ejemplo, absteniéndose de hacer comentarios públicos en que se declare la culpabilidad del </w:t>
      </w:r>
      <w:r>
        <w:rPr>
          <w:rFonts w:ascii="Century Gothic" w:eastAsia="Arial" w:hAnsi="Century Gothic" w:cs="Arial"/>
        </w:rPr>
        <w:lastRenderedPageBreak/>
        <w:t>acusado”, y menciona que l</w:t>
      </w:r>
      <w:r w:rsidR="00B80955">
        <w:rPr>
          <w:rFonts w:ascii="Century Gothic" w:eastAsia="Arial" w:hAnsi="Century Gothic" w:cs="Arial"/>
        </w:rPr>
        <w:t>os medios de comunicación debe</w:t>
      </w:r>
      <w:r>
        <w:rPr>
          <w:rFonts w:ascii="Century Gothic" w:eastAsia="Arial" w:hAnsi="Century Gothic" w:cs="Arial"/>
        </w:rPr>
        <w:t>n</w:t>
      </w:r>
      <w:r w:rsidR="00B80955">
        <w:rPr>
          <w:rFonts w:ascii="Century Gothic" w:eastAsia="Arial" w:hAnsi="Century Gothic" w:cs="Arial"/>
        </w:rPr>
        <w:t xml:space="preserve"> también</w:t>
      </w:r>
      <w:r>
        <w:rPr>
          <w:rFonts w:ascii="Century Gothic" w:eastAsia="Arial" w:hAnsi="Century Gothic" w:cs="Arial"/>
        </w:rPr>
        <w:t xml:space="preserve"> evitar expresar opiniones perjudiciales </w:t>
      </w:r>
      <w:r w:rsidR="00B80955">
        <w:rPr>
          <w:rFonts w:ascii="Century Gothic" w:eastAsia="Arial" w:hAnsi="Century Gothic" w:cs="Arial"/>
        </w:rPr>
        <w:t>par</w:t>
      </w:r>
      <w:r>
        <w:rPr>
          <w:rFonts w:ascii="Century Gothic" w:eastAsia="Arial" w:hAnsi="Century Gothic" w:cs="Arial"/>
        </w:rPr>
        <w:t>a la presunción de inocencia.</w:t>
      </w:r>
    </w:p>
    <w:p w:rsidR="00AF159B" w:rsidRDefault="00AF159B" w:rsidP="00AF159B">
      <w:pPr>
        <w:spacing w:line="360" w:lineRule="auto"/>
        <w:jc w:val="both"/>
        <w:rPr>
          <w:rFonts w:ascii="Century Gothic" w:eastAsia="Arial" w:hAnsi="Century Gothic" w:cs="Arial"/>
        </w:rPr>
      </w:pPr>
    </w:p>
    <w:p w:rsidR="00AF159B" w:rsidRDefault="00AB45A6" w:rsidP="00AF159B">
      <w:pPr>
        <w:spacing w:line="360" w:lineRule="auto"/>
        <w:jc w:val="both"/>
        <w:rPr>
          <w:rFonts w:ascii="Century Gothic" w:eastAsia="Arial" w:hAnsi="Century Gothic" w:cs="Arial"/>
        </w:rPr>
      </w:pPr>
      <w:r w:rsidRPr="00AB45A6">
        <w:rPr>
          <w:rFonts w:ascii="Century Gothic" w:eastAsia="Arial" w:hAnsi="Century Gothic" w:cs="Arial"/>
          <w:b/>
        </w:rPr>
        <w:t>I</w:t>
      </w:r>
      <w:r>
        <w:rPr>
          <w:rFonts w:ascii="Century Gothic" w:eastAsia="Arial" w:hAnsi="Century Gothic" w:cs="Arial"/>
          <w:b/>
        </w:rPr>
        <w:t>V</w:t>
      </w:r>
      <w:r w:rsidRPr="00AB45A6">
        <w:rPr>
          <w:rFonts w:ascii="Century Gothic" w:eastAsia="Arial" w:hAnsi="Century Gothic" w:cs="Arial"/>
          <w:b/>
        </w:rPr>
        <w:t>.-</w:t>
      </w:r>
      <w:r>
        <w:rPr>
          <w:rFonts w:ascii="Century Gothic" w:eastAsia="Arial" w:hAnsi="Century Gothic" w:cs="Arial"/>
        </w:rPr>
        <w:t xml:space="preserve"> </w:t>
      </w:r>
      <w:r w:rsidR="00AF159B">
        <w:rPr>
          <w:rFonts w:ascii="Century Gothic" w:eastAsia="Arial" w:hAnsi="Century Gothic" w:cs="Arial"/>
        </w:rPr>
        <w:t xml:space="preserve">En </w:t>
      </w:r>
      <w:r w:rsidR="00B80955">
        <w:rPr>
          <w:rFonts w:ascii="Century Gothic" w:eastAsia="Arial" w:hAnsi="Century Gothic" w:cs="Arial"/>
        </w:rPr>
        <w:t>congruencia con e</w:t>
      </w:r>
      <w:r w:rsidR="00AF159B">
        <w:rPr>
          <w:rFonts w:ascii="Century Gothic" w:eastAsia="Arial" w:hAnsi="Century Gothic" w:cs="Arial"/>
        </w:rPr>
        <w:t>ste principi</w:t>
      </w:r>
      <w:r w:rsidR="00070AAC">
        <w:rPr>
          <w:rFonts w:ascii="Century Gothic" w:eastAsia="Arial" w:hAnsi="Century Gothic" w:cs="Arial"/>
        </w:rPr>
        <w:t xml:space="preserve">o, en fecha 18 de junio de 2008, </w:t>
      </w:r>
      <w:r w:rsidR="00801476">
        <w:rPr>
          <w:rFonts w:ascii="Century Gothic" w:eastAsia="Arial" w:hAnsi="Century Gothic" w:cs="Arial"/>
        </w:rPr>
        <w:t>fue publicada</w:t>
      </w:r>
      <w:r w:rsidR="00AF159B">
        <w:rPr>
          <w:rFonts w:ascii="Century Gothic" w:eastAsia="Arial" w:hAnsi="Century Gothic" w:cs="Arial"/>
        </w:rPr>
        <w:t xml:space="preserve"> la reforma </w:t>
      </w:r>
      <w:r w:rsidR="00801476">
        <w:rPr>
          <w:rFonts w:ascii="Century Gothic" w:eastAsia="Arial" w:hAnsi="Century Gothic" w:cs="Arial"/>
        </w:rPr>
        <w:t xml:space="preserve">por medio de la cual </w:t>
      </w:r>
      <w:r w:rsidR="00070AAC">
        <w:rPr>
          <w:rFonts w:ascii="Century Gothic" w:eastAsia="Arial" w:hAnsi="Century Gothic" w:cs="Arial"/>
        </w:rPr>
        <w:t>se implantaron</w:t>
      </w:r>
      <w:r w:rsidR="00801476">
        <w:rPr>
          <w:rFonts w:ascii="Century Gothic" w:eastAsia="Arial" w:hAnsi="Century Gothic" w:cs="Arial"/>
        </w:rPr>
        <w:t xml:space="preserve"> las bases</w:t>
      </w:r>
      <w:r w:rsidR="00B526FD">
        <w:rPr>
          <w:rFonts w:ascii="Century Gothic" w:eastAsia="Arial" w:hAnsi="Century Gothic" w:cs="Arial"/>
        </w:rPr>
        <w:t xml:space="preserve"> constitucionales</w:t>
      </w:r>
      <w:r w:rsidR="00801476">
        <w:rPr>
          <w:rFonts w:ascii="Century Gothic" w:eastAsia="Arial" w:hAnsi="Century Gothic" w:cs="Arial"/>
        </w:rPr>
        <w:t xml:space="preserve"> para la transición d</w:t>
      </w:r>
      <w:r w:rsidR="00B526FD">
        <w:rPr>
          <w:rFonts w:ascii="Century Gothic" w:eastAsia="Arial" w:hAnsi="Century Gothic" w:cs="Arial"/>
        </w:rPr>
        <w:t>e un sistema penal inquisitivo hacia uno de corte acusatorio, siendo precisamente uno de sus pilares</w:t>
      </w:r>
      <w:r w:rsidR="00070AAC">
        <w:rPr>
          <w:rFonts w:ascii="Century Gothic" w:eastAsia="Arial" w:hAnsi="Century Gothic" w:cs="Arial"/>
        </w:rPr>
        <w:t xml:space="preserve"> el derecho a</w:t>
      </w:r>
      <w:r w:rsidR="00B526FD">
        <w:rPr>
          <w:rFonts w:ascii="Century Gothic" w:eastAsia="Arial" w:hAnsi="Century Gothic" w:cs="Arial"/>
        </w:rPr>
        <w:t xml:space="preserve"> </w:t>
      </w:r>
      <w:r w:rsidR="00AF159B">
        <w:rPr>
          <w:rFonts w:ascii="Century Gothic" w:eastAsia="Arial" w:hAnsi="Century Gothic" w:cs="Arial"/>
        </w:rPr>
        <w:t>la presunción de inocencia</w:t>
      </w:r>
      <w:r w:rsidR="00070AAC">
        <w:rPr>
          <w:rFonts w:ascii="Century Gothic" w:eastAsia="Arial" w:hAnsi="Century Gothic" w:cs="Arial"/>
        </w:rPr>
        <w:t xml:space="preserve"> de las personas imputadas; </w:t>
      </w:r>
      <w:r w:rsidR="00B526FD">
        <w:rPr>
          <w:rFonts w:ascii="Century Gothic" w:eastAsia="Arial" w:hAnsi="Century Gothic" w:cs="Arial"/>
        </w:rPr>
        <w:t>para tal efecto</w:t>
      </w:r>
      <w:r w:rsidR="00070AAC">
        <w:rPr>
          <w:rFonts w:ascii="Century Gothic" w:eastAsia="Arial" w:hAnsi="Century Gothic" w:cs="Arial"/>
        </w:rPr>
        <w:t xml:space="preserve"> fueron reformados</w:t>
      </w:r>
      <w:r w:rsidR="00B526FD">
        <w:rPr>
          <w:rFonts w:ascii="Century Gothic" w:eastAsia="Arial" w:hAnsi="Century Gothic" w:cs="Arial"/>
        </w:rPr>
        <w:t xml:space="preserve"> los</w:t>
      </w:r>
      <w:r w:rsidR="00AF159B">
        <w:rPr>
          <w:rFonts w:ascii="Century Gothic" w:eastAsia="Arial" w:hAnsi="Century Gothic" w:cs="Arial"/>
        </w:rPr>
        <w:t xml:space="preserve"> artículos 16, 17, 18, 19, 20, 21 y 22 de la Constitución Federal, conforme a </w:t>
      </w:r>
      <w:r w:rsidR="00B526FD">
        <w:rPr>
          <w:rFonts w:ascii="Century Gothic" w:eastAsia="Arial" w:hAnsi="Century Gothic" w:cs="Arial"/>
        </w:rPr>
        <w:t>otros</w:t>
      </w:r>
      <w:r w:rsidR="00AF159B">
        <w:rPr>
          <w:rFonts w:ascii="Century Gothic" w:eastAsia="Arial" w:hAnsi="Century Gothic" w:cs="Arial"/>
        </w:rPr>
        <w:t xml:space="preserve"> principios</w:t>
      </w:r>
      <w:r w:rsidR="00070AAC">
        <w:rPr>
          <w:rFonts w:ascii="Century Gothic" w:eastAsia="Arial" w:hAnsi="Century Gothic" w:cs="Arial"/>
        </w:rPr>
        <w:t xml:space="preserve"> sustanciales del proceso</w:t>
      </w:r>
      <w:r w:rsidR="00B526FD">
        <w:rPr>
          <w:rFonts w:ascii="Century Gothic" w:eastAsia="Arial" w:hAnsi="Century Gothic" w:cs="Arial"/>
        </w:rPr>
        <w:t xml:space="preserve"> como los</w:t>
      </w:r>
      <w:r w:rsidR="00AF159B">
        <w:rPr>
          <w:rFonts w:ascii="Century Gothic" w:eastAsia="Arial" w:hAnsi="Century Gothic" w:cs="Arial"/>
        </w:rPr>
        <w:t xml:space="preserve"> de </w:t>
      </w:r>
      <w:r w:rsidR="00B526FD">
        <w:rPr>
          <w:rFonts w:ascii="Century Gothic" w:eastAsia="Arial" w:hAnsi="Century Gothic" w:cs="Arial"/>
        </w:rPr>
        <w:t>publicidad, contradicción, continuidad, concentración, inmediación e igualdad.</w:t>
      </w:r>
    </w:p>
    <w:p w:rsidR="00AF159B" w:rsidRDefault="00AF159B" w:rsidP="00AF159B">
      <w:pPr>
        <w:spacing w:line="360" w:lineRule="auto"/>
        <w:jc w:val="both"/>
        <w:rPr>
          <w:rFonts w:ascii="Century Gothic" w:eastAsia="Arial" w:hAnsi="Century Gothic" w:cs="Arial"/>
        </w:rPr>
      </w:pPr>
    </w:p>
    <w:p w:rsidR="00AF159B" w:rsidRDefault="00070AAC" w:rsidP="00AF159B">
      <w:pPr>
        <w:spacing w:line="360" w:lineRule="auto"/>
        <w:jc w:val="both"/>
        <w:rPr>
          <w:rFonts w:ascii="Century Gothic" w:eastAsia="Arial" w:hAnsi="Century Gothic" w:cs="Arial"/>
        </w:rPr>
      </w:pPr>
      <w:r>
        <w:rPr>
          <w:rFonts w:ascii="Century Gothic" w:eastAsia="Arial" w:hAnsi="Century Gothic" w:cs="Arial"/>
        </w:rPr>
        <w:t xml:space="preserve">Posteriormente, </w:t>
      </w:r>
      <w:r w:rsidR="00B526FD">
        <w:rPr>
          <w:rFonts w:ascii="Century Gothic" w:eastAsia="Arial" w:hAnsi="Century Gothic" w:cs="Arial"/>
        </w:rPr>
        <w:t>una vez otorgada la facultad exclusiva del Congreso de la Unión para legislar en esta materia</w:t>
      </w:r>
      <w:r>
        <w:rPr>
          <w:rFonts w:ascii="Century Gothic" w:eastAsia="Arial" w:hAnsi="Century Gothic" w:cs="Arial"/>
        </w:rPr>
        <w:t xml:space="preserve"> (artículo 73, fracción XXI, inciso c) de la CPEUM)</w:t>
      </w:r>
      <w:r w:rsidR="00B526FD">
        <w:rPr>
          <w:rFonts w:ascii="Century Gothic" w:eastAsia="Arial" w:hAnsi="Century Gothic" w:cs="Arial"/>
        </w:rPr>
        <w:t>,</w:t>
      </w:r>
      <w:r w:rsidR="00AF159B">
        <w:rPr>
          <w:rFonts w:ascii="Century Gothic" w:eastAsia="Arial" w:hAnsi="Century Gothic" w:cs="Arial"/>
        </w:rPr>
        <w:t xml:space="preserve"> en fecha </w:t>
      </w:r>
      <w:r w:rsidR="00AB45A6">
        <w:rPr>
          <w:rFonts w:ascii="Century Gothic" w:eastAsia="Arial" w:hAnsi="Century Gothic" w:cs="Arial"/>
        </w:rPr>
        <w:t>5</w:t>
      </w:r>
      <w:r w:rsidR="00AF159B">
        <w:rPr>
          <w:rFonts w:ascii="Century Gothic" w:eastAsia="Arial" w:hAnsi="Century Gothic" w:cs="Arial"/>
        </w:rPr>
        <w:t xml:space="preserve"> </w:t>
      </w:r>
      <w:r w:rsidR="00B526FD">
        <w:rPr>
          <w:rFonts w:ascii="Century Gothic" w:eastAsia="Arial" w:hAnsi="Century Gothic" w:cs="Arial"/>
        </w:rPr>
        <w:t xml:space="preserve">de marzo de </w:t>
      </w:r>
      <w:r w:rsidR="00AB45A6">
        <w:rPr>
          <w:rFonts w:ascii="Century Gothic" w:eastAsia="Arial" w:hAnsi="Century Gothic" w:cs="Arial"/>
        </w:rPr>
        <w:t>2014</w:t>
      </w:r>
      <w:r w:rsidR="00B526FD">
        <w:rPr>
          <w:rFonts w:ascii="Century Gothic" w:eastAsia="Arial" w:hAnsi="Century Gothic" w:cs="Arial"/>
        </w:rPr>
        <w:t xml:space="preserve">, fue publicado </w:t>
      </w:r>
      <w:r w:rsidR="00AF159B">
        <w:rPr>
          <w:rFonts w:ascii="Century Gothic" w:eastAsia="Arial" w:hAnsi="Century Gothic" w:cs="Arial"/>
        </w:rPr>
        <w:t xml:space="preserve">en el Diario Oficial de la Federación, el Código Nacional de Procedimientos Penales, instrumento </w:t>
      </w:r>
      <w:r>
        <w:rPr>
          <w:rFonts w:ascii="Century Gothic" w:eastAsia="Arial" w:hAnsi="Century Gothic" w:cs="Arial"/>
        </w:rPr>
        <w:t xml:space="preserve">que </w:t>
      </w:r>
      <w:r w:rsidR="00AB45A6">
        <w:rPr>
          <w:rFonts w:ascii="Century Gothic" w:eastAsia="Arial" w:hAnsi="Century Gothic" w:cs="Arial"/>
        </w:rPr>
        <w:t>sirvió para el desarrollo del sistema</w:t>
      </w:r>
      <w:r w:rsidR="0076061C">
        <w:rPr>
          <w:rFonts w:ascii="Century Gothic" w:eastAsia="Arial" w:hAnsi="Century Gothic" w:cs="Arial"/>
        </w:rPr>
        <w:t xml:space="preserve"> de justicia penal</w:t>
      </w:r>
      <w:r w:rsidR="00AF159B">
        <w:rPr>
          <w:rFonts w:ascii="Century Gothic" w:eastAsia="Arial" w:hAnsi="Century Gothic" w:cs="Arial"/>
        </w:rPr>
        <w:t xml:space="preserve">, </w:t>
      </w:r>
      <w:r w:rsidR="00AB45A6">
        <w:rPr>
          <w:rFonts w:ascii="Century Gothic" w:eastAsia="Arial" w:hAnsi="Century Gothic" w:cs="Arial"/>
        </w:rPr>
        <w:t xml:space="preserve">y a través </w:t>
      </w:r>
      <w:r>
        <w:rPr>
          <w:rFonts w:ascii="Century Gothic" w:eastAsia="Arial" w:hAnsi="Century Gothic" w:cs="Arial"/>
        </w:rPr>
        <w:t>del cual se unificaron</w:t>
      </w:r>
      <w:r w:rsidR="00AF159B">
        <w:rPr>
          <w:rFonts w:ascii="Century Gothic" w:eastAsia="Arial" w:hAnsi="Century Gothic" w:cs="Arial"/>
        </w:rPr>
        <w:t xml:space="preserve"> </w:t>
      </w:r>
      <w:r w:rsidR="00AB45A6">
        <w:rPr>
          <w:rFonts w:ascii="Century Gothic" w:eastAsia="Arial" w:hAnsi="Century Gothic" w:cs="Arial"/>
        </w:rPr>
        <w:t xml:space="preserve">en un solo ordenamiento </w:t>
      </w:r>
      <w:r w:rsidR="00AF159B">
        <w:rPr>
          <w:rFonts w:ascii="Century Gothic" w:eastAsia="Arial" w:hAnsi="Century Gothic" w:cs="Arial"/>
        </w:rPr>
        <w:t>los distintos instrumentos</w:t>
      </w:r>
      <w:r>
        <w:rPr>
          <w:rFonts w:ascii="Century Gothic" w:eastAsia="Arial" w:hAnsi="Century Gothic" w:cs="Arial"/>
        </w:rPr>
        <w:t xml:space="preserve"> procesales vigentes en el país</w:t>
      </w:r>
      <w:r w:rsidR="00AB45A6">
        <w:rPr>
          <w:rFonts w:ascii="Century Gothic" w:eastAsia="Arial" w:hAnsi="Century Gothic" w:cs="Arial"/>
        </w:rPr>
        <w:t>.</w:t>
      </w:r>
    </w:p>
    <w:p w:rsidR="00F00D2B" w:rsidRDefault="00F00D2B" w:rsidP="00AF159B">
      <w:pPr>
        <w:spacing w:line="360" w:lineRule="auto"/>
        <w:jc w:val="both"/>
        <w:rPr>
          <w:rFonts w:ascii="Century Gothic" w:eastAsia="Arial" w:hAnsi="Century Gothic" w:cs="Arial"/>
        </w:rPr>
      </w:pPr>
    </w:p>
    <w:p w:rsidR="00AF159B" w:rsidRDefault="00070AAC" w:rsidP="00AF159B">
      <w:pPr>
        <w:spacing w:line="360" w:lineRule="auto"/>
        <w:jc w:val="both"/>
        <w:rPr>
          <w:rFonts w:ascii="Century Gothic" w:eastAsia="Arial" w:hAnsi="Century Gothic" w:cs="Arial"/>
        </w:rPr>
      </w:pPr>
      <w:r>
        <w:rPr>
          <w:rFonts w:ascii="Century Gothic" w:eastAsia="Arial" w:hAnsi="Century Gothic" w:cs="Arial"/>
        </w:rPr>
        <w:t>Cabe resaltar</w:t>
      </w:r>
      <w:r w:rsidR="00F00D2B">
        <w:rPr>
          <w:rFonts w:ascii="Century Gothic" w:eastAsia="Arial" w:hAnsi="Century Gothic" w:cs="Arial"/>
        </w:rPr>
        <w:t xml:space="preserve"> que e</w:t>
      </w:r>
      <w:r w:rsidR="00AF159B">
        <w:rPr>
          <w:rFonts w:ascii="Century Gothic" w:eastAsia="Arial" w:hAnsi="Century Gothic" w:cs="Arial"/>
        </w:rPr>
        <w:t>ste siste</w:t>
      </w:r>
      <w:r>
        <w:rPr>
          <w:rFonts w:ascii="Century Gothic" w:eastAsia="Arial" w:hAnsi="Century Gothic" w:cs="Arial"/>
        </w:rPr>
        <w:t xml:space="preserve">ma de justicia penal acusatorio, </w:t>
      </w:r>
      <w:r w:rsidR="00AF159B">
        <w:rPr>
          <w:rFonts w:ascii="Century Gothic" w:eastAsia="Arial" w:hAnsi="Century Gothic" w:cs="Arial"/>
        </w:rPr>
        <w:t xml:space="preserve">generó las condiciones para el </w:t>
      </w:r>
      <w:r w:rsidR="00F00D2B">
        <w:rPr>
          <w:rFonts w:ascii="Century Gothic" w:eastAsia="Arial" w:hAnsi="Century Gothic" w:cs="Arial"/>
        </w:rPr>
        <w:t>adecuado</w:t>
      </w:r>
      <w:r w:rsidR="00AF159B">
        <w:rPr>
          <w:rFonts w:ascii="Century Gothic" w:eastAsia="Arial" w:hAnsi="Century Gothic" w:cs="Arial"/>
        </w:rPr>
        <w:t xml:space="preserve"> ejercicio de otros derechos reconocidos internacionalmente, como lo son el acceso a la información, a la libertad de expresión y a la garantía de publicidad.   </w:t>
      </w:r>
    </w:p>
    <w:p w:rsidR="00AF159B" w:rsidRDefault="00AF159B" w:rsidP="00AF159B">
      <w:pPr>
        <w:spacing w:line="360" w:lineRule="auto"/>
        <w:jc w:val="both"/>
        <w:rPr>
          <w:rFonts w:ascii="Century Gothic" w:eastAsia="Arial" w:hAnsi="Century Gothic" w:cs="Arial"/>
        </w:rPr>
      </w:pPr>
    </w:p>
    <w:p w:rsidR="00AF159B" w:rsidRDefault="00070AAC" w:rsidP="00AF159B">
      <w:pPr>
        <w:spacing w:line="360" w:lineRule="auto"/>
        <w:jc w:val="both"/>
        <w:rPr>
          <w:rFonts w:ascii="Century Gothic" w:eastAsia="Arial" w:hAnsi="Century Gothic" w:cs="Arial"/>
        </w:rPr>
      </w:pPr>
      <w:r>
        <w:rPr>
          <w:rFonts w:ascii="Century Gothic" w:eastAsia="Arial" w:hAnsi="Century Gothic" w:cs="Arial"/>
          <w:b/>
        </w:rPr>
        <w:lastRenderedPageBreak/>
        <w:t>V</w:t>
      </w:r>
      <w:r w:rsidR="00AF159B">
        <w:rPr>
          <w:rFonts w:ascii="Century Gothic" w:eastAsia="Arial" w:hAnsi="Century Gothic" w:cs="Arial"/>
          <w:b/>
        </w:rPr>
        <w:t>.-</w:t>
      </w:r>
      <w:r w:rsidR="00AF159B">
        <w:rPr>
          <w:rFonts w:ascii="Century Gothic" w:eastAsia="Arial" w:hAnsi="Century Gothic" w:cs="Arial"/>
        </w:rPr>
        <w:t xml:space="preserve"> </w:t>
      </w:r>
      <w:r w:rsidR="00AB45A6">
        <w:rPr>
          <w:rFonts w:ascii="Century Gothic" w:eastAsia="Arial" w:hAnsi="Century Gothic" w:cs="Arial"/>
        </w:rPr>
        <w:t>Para los fines del presente dictamen, es necesario referir que e</w:t>
      </w:r>
      <w:r w:rsidR="00AF159B">
        <w:rPr>
          <w:rFonts w:ascii="Century Gothic" w:eastAsia="Arial" w:hAnsi="Century Gothic" w:cs="Arial"/>
        </w:rPr>
        <w:t xml:space="preserve">l Código Nacional de </w:t>
      </w:r>
      <w:r>
        <w:rPr>
          <w:rFonts w:ascii="Century Gothic" w:eastAsia="Arial" w:hAnsi="Century Gothic" w:cs="Arial"/>
        </w:rPr>
        <w:t xml:space="preserve">Procedimientos Penales establece en su artículo 4° los principios rectores del procedimiento, entre los que se encuentra el de publicidad, </w:t>
      </w:r>
      <w:r w:rsidR="001E7D69">
        <w:rPr>
          <w:rFonts w:ascii="Century Gothic" w:eastAsia="Arial" w:hAnsi="Century Gothic" w:cs="Arial"/>
        </w:rPr>
        <w:t xml:space="preserve">lo cual se </w:t>
      </w:r>
      <w:r>
        <w:rPr>
          <w:rFonts w:ascii="Century Gothic" w:eastAsia="Arial" w:hAnsi="Century Gothic" w:cs="Arial"/>
        </w:rPr>
        <w:t>relaciona con lo dispuesto por el artículo 5°,</w:t>
      </w:r>
      <w:r w:rsidR="00AF159B">
        <w:rPr>
          <w:rFonts w:ascii="Century Gothic" w:eastAsia="Arial" w:hAnsi="Century Gothic" w:cs="Arial"/>
        </w:rPr>
        <w:t xml:space="preserve"> que a la letra menciona: </w:t>
      </w:r>
    </w:p>
    <w:p w:rsidR="00AF159B" w:rsidRPr="00070AAC" w:rsidRDefault="00AF159B" w:rsidP="00AF159B">
      <w:pPr>
        <w:pStyle w:val="Prrafodelista"/>
        <w:spacing w:line="360" w:lineRule="auto"/>
        <w:ind w:right="473"/>
        <w:rPr>
          <w:rFonts w:ascii="Century Gothic" w:eastAsia="Arial" w:hAnsi="Century Gothic" w:cs="Arial"/>
          <w:b/>
          <w:lang w:val="es-ES"/>
        </w:rPr>
      </w:pPr>
    </w:p>
    <w:p w:rsidR="00AF159B" w:rsidRDefault="00AF159B" w:rsidP="00AF159B">
      <w:pPr>
        <w:pStyle w:val="Prrafodelista"/>
        <w:spacing w:line="360" w:lineRule="auto"/>
        <w:ind w:right="473"/>
        <w:rPr>
          <w:rFonts w:ascii="Century Gothic" w:eastAsia="Arial" w:hAnsi="Century Gothic" w:cs="Arial"/>
          <w:i/>
        </w:rPr>
      </w:pPr>
      <w:r>
        <w:rPr>
          <w:rFonts w:ascii="Century Gothic" w:eastAsia="Arial" w:hAnsi="Century Gothic" w:cs="Arial"/>
          <w:i/>
        </w:rPr>
        <w:t>Artículo 5o. Las audiencias serán públicas con el fin de que ellas, accedan no sólo las partes que intervienen en el procedimiento sino también el público en general, con las excepciones previstas en este Código.</w:t>
      </w:r>
    </w:p>
    <w:p w:rsidR="00AF159B" w:rsidRDefault="00AF159B" w:rsidP="00AF159B">
      <w:pPr>
        <w:pStyle w:val="Prrafodelista"/>
        <w:spacing w:line="360" w:lineRule="auto"/>
        <w:ind w:right="473"/>
        <w:rPr>
          <w:rFonts w:ascii="Century Gothic" w:eastAsia="Arial" w:hAnsi="Century Gothic" w:cs="Arial"/>
          <w:i/>
        </w:rPr>
      </w:pPr>
    </w:p>
    <w:p w:rsidR="00AF159B" w:rsidRDefault="00AF159B" w:rsidP="00AF159B">
      <w:pPr>
        <w:pStyle w:val="Prrafodelista"/>
        <w:spacing w:line="360" w:lineRule="auto"/>
        <w:ind w:right="473"/>
        <w:rPr>
          <w:rFonts w:ascii="Century Gothic" w:eastAsia="Arial" w:hAnsi="Century Gothic" w:cs="Arial"/>
          <w:i/>
        </w:rPr>
      </w:pPr>
      <w:r>
        <w:rPr>
          <w:rFonts w:ascii="Century Gothic" w:eastAsia="Arial" w:hAnsi="Century Gothic" w:cs="Arial"/>
          <w:i/>
        </w:rPr>
        <w:t xml:space="preserve">Los periodistas y los medios de comunicación podrán acceder al lugar en el que se desarrolle la audiencia en los casos y condiciones que determine el Órgano jurisdiccional conforme a lo dispuesto por la Constitución, este Código y los acuerdos generales que emita el Consejo. </w:t>
      </w:r>
    </w:p>
    <w:p w:rsidR="00AF159B" w:rsidRDefault="00AF159B" w:rsidP="00AF159B">
      <w:pPr>
        <w:pStyle w:val="Prrafodelista"/>
        <w:spacing w:line="360" w:lineRule="auto"/>
        <w:ind w:right="473"/>
        <w:rPr>
          <w:rFonts w:ascii="Century Gothic" w:eastAsia="Arial" w:hAnsi="Century Gothic" w:cs="Arial"/>
        </w:rPr>
      </w:pPr>
    </w:p>
    <w:p w:rsidR="00AF159B" w:rsidRDefault="00AF159B" w:rsidP="00AF159B">
      <w:pPr>
        <w:pStyle w:val="Prrafodelista"/>
        <w:spacing w:line="360" w:lineRule="auto"/>
        <w:ind w:left="0" w:right="473"/>
        <w:rPr>
          <w:rFonts w:ascii="Century Gothic" w:eastAsia="Arial" w:hAnsi="Century Gothic" w:cs="Arial"/>
          <w:sz w:val="24"/>
          <w:szCs w:val="24"/>
        </w:rPr>
      </w:pPr>
      <w:r>
        <w:rPr>
          <w:rFonts w:ascii="Century Gothic" w:eastAsia="Arial" w:hAnsi="Century Gothic" w:cs="Arial"/>
          <w:sz w:val="24"/>
          <w:szCs w:val="24"/>
        </w:rPr>
        <w:t>De la di</w:t>
      </w:r>
      <w:r w:rsidR="00E95508">
        <w:rPr>
          <w:rFonts w:ascii="Century Gothic" w:eastAsia="Arial" w:hAnsi="Century Gothic" w:cs="Arial"/>
          <w:sz w:val="24"/>
          <w:szCs w:val="24"/>
        </w:rPr>
        <w:t>sposición anterior se desprende</w:t>
      </w:r>
      <w:r>
        <w:rPr>
          <w:rFonts w:ascii="Century Gothic" w:eastAsia="Arial" w:hAnsi="Century Gothic" w:cs="Arial"/>
          <w:sz w:val="24"/>
          <w:szCs w:val="24"/>
        </w:rPr>
        <w:t xml:space="preserve"> que </w:t>
      </w:r>
      <w:r w:rsidR="00E95508">
        <w:rPr>
          <w:rFonts w:ascii="Century Gothic" w:eastAsia="Arial" w:hAnsi="Century Gothic" w:cs="Arial"/>
          <w:sz w:val="24"/>
          <w:szCs w:val="24"/>
        </w:rPr>
        <w:t xml:space="preserve">la autoridad, </w:t>
      </w:r>
      <w:r>
        <w:rPr>
          <w:rFonts w:ascii="Century Gothic" w:eastAsia="Arial" w:hAnsi="Century Gothic" w:cs="Arial"/>
          <w:sz w:val="24"/>
          <w:szCs w:val="24"/>
        </w:rPr>
        <w:t>en la aplicación del principio de publicidad,</w:t>
      </w:r>
      <w:r w:rsidR="00E95508">
        <w:rPr>
          <w:rFonts w:ascii="Century Gothic" w:eastAsia="Arial" w:hAnsi="Century Gothic" w:cs="Arial"/>
          <w:sz w:val="24"/>
          <w:szCs w:val="24"/>
        </w:rPr>
        <w:t xml:space="preserve"> debe permitir</w:t>
      </w:r>
      <w:r>
        <w:rPr>
          <w:rFonts w:ascii="Century Gothic" w:eastAsia="Arial" w:hAnsi="Century Gothic" w:cs="Arial"/>
          <w:sz w:val="24"/>
          <w:szCs w:val="24"/>
        </w:rPr>
        <w:t xml:space="preserve"> el acceso del público en general a las audiencias </w:t>
      </w:r>
      <w:r w:rsidR="00E95508">
        <w:rPr>
          <w:rFonts w:ascii="Century Gothic" w:eastAsia="Arial" w:hAnsi="Century Gothic" w:cs="Arial"/>
          <w:sz w:val="24"/>
          <w:szCs w:val="24"/>
        </w:rPr>
        <w:t>que se realicen</w:t>
      </w:r>
      <w:r>
        <w:rPr>
          <w:rFonts w:ascii="Century Gothic" w:eastAsia="Arial" w:hAnsi="Century Gothic" w:cs="Arial"/>
          <w:sz w:val="24"/>
          <w:szCs w:val="24"/>
        </w:rPr>
        <w:t xml:space="preserve">, </w:t>
      </w:r>
      <w:r w:rsidR="0032366C">
        <w:rPr>
          <w:rFonts w:ascii="Century Gothic" w:eastAsia="Arial" w:hAnsi="Century Gothic" w:cs="Arial"/>
          <w:sz w:val="24"/>
          <w:szCs w:val="24"/>
        </w:rPr>
        <w:t>salvo que se presente alguna de</w:t>
      </w:r>
      <w:r>
        <w:rPr>
          <w:rFonts w:ascii="Century Gothic" w:eastAsia="Arial" w:hAnsi="Century Gothic" w:cs="Arial"/>
          <w:sz w:val="24"/>
          <w:szCs w:val="24"/>
        </w:rPr>
        <w:t xml:space="preserve"> las </w:t>
      </w:r>
      <w:r w:rsidR="0032366C">
        <w:rPr>
          <w:rFonts w:ascii="Century Gothic" w:eastAsia="Arial" w:hAnsi="Century Gothic" w:cs="Arial"/>
          <w:sz w:val="24"/>
          <w:szCs w:val="24"/>
        </w:rPr>
        <w:t xml:space="preserve">excepciones </w:t>
      </w:r>
      <w:r>
        <w:rPr>
          <w:rFonts w:ascii="Century Gothic" w:eastAsia="Arial" w:hAnsi="Century Gothic" w:cs="Arial"/>
          <w:sz w:val="24"/>
          <w:szCs w:val="24"/>
        </w:rPr>
        <w:t xml:space="preserve">previstas en el </w:t>
      </w:r>
      <w:r w:rsidR="00F00D2B">
        <w:rPr>
          <w:rFonts w:ascii="Century Gothic" w:eastAsia="Arial" w:hAnsi="Century Gothic" w:cs="Arial"/>
          <w:sz w:val="24"/>
          <w:szCs w:val="24"/>
        </w:rPr>
        <w:t xml:space="preserve">propio </w:t>
      </w:r>
      <w:r>
        <w:rPr>
          <w:rFonts w:ascii="Century Gothic" w:eastAsia="Arial" w:hAnsi="Century Gothic" w:cs="Arial"/>
          <w:sz w:val="24"/>
          <w:szCs w:val="24"/>
        </w:rPr>
        <w:t>Código Nacional</w:t>
      </w:r>
      <w:r w:rsidR="001E7D69">
        <w:rPr>
          <w:rFonts w:ascii="Century Gothic" w:eastAsia="Arial" w:hAnsi="Century Gothic" w:cs="Arial"/>
          <w:sz w:val="24"/>
          <w:szCs w:val="24"/>
        </w:rPr>
        <w:t xml:space="preserve"> (artículo 64)</w:t>
      </w:r>
      <w:r w:rsidR="00507B45">
        <w:rPr>
          <w:rFonts w:ascii="Century Gothic" w:eastAsia="Arial" w:hAnsi="Century Gothic" w:cs="Arial"/>
          <w:sz w:val="24"/>
          <w:szCs w:val="24"/>
        </w:rPr>
        <w:t xml:space="preserve">, </w:t>
      </w:r>
      <w:r w:rsidR="0032366C">
        <w:rPr>
          <w:rFonts w:ascii="Century Gothic" w:eastAsia="Arial" w:hAnsi="Century Gothic" w:cs="Arial"/>
          <w:sz w:val="24"/>
          <w:szCs w:val="24"/>
        </w:rPr>
        <w:t xml:space="preserve">es decir, que pueda </w:t>
      </w:r>
      <w:r w:rsidR="0032366C" w:rsidRPr="0032366C">
        <w:rPr>
          <w:rFonts w:ascii="Century Gothic" w:eastAsia="Arial" w:hAnsi="Century Gothic" w:cs="Arial"/>
          <w:sz w:val="24"/>
          <w:szCs w:val="24"/>
          <w:lang w:val="es-ES"/>
        </w:rPr>
        <w:t>afectar</w:t>
      </w:r>
      <w:r w:rsidR="0032366C">
        <w:rPr>
          <w:rFonts w:ascii="Century Gothic" w:eastAsia="Arial" w:hAnsi="Century Gothic" w:cs="Arial"/>
          <w:sz w:val="24"/>
          <w:szCs w:val="24"/>
          <w:lang w:val="es-ES"/>
        </w:rPr>
        <w:t>se</w:t>
      </w:r>
      <w:r w:rsidR="0032366C" w:rsidRPr="0032366C">
        <w:rPr>
          <w:rFonts w:ascii="Century Gothic" w:eastAsia="Arial" w:hAnsi="Century Gothic" w:cs="Arial"/>
          <w:sz w:val="24"/>
          <w:szCs w:val="24"/>
          <w:lang w:val="es-ES"/>
        </w:rPr>
        <w:t xml:space="preserve"> la integridad de alguna de las partes, </w:t>
      </w:r>
      <w:r w:rsidR="0032366C">
        <w:rPr>
          <w:rFonts w:ascii="Century Gothic" w:eastAsia="Arial" w:hAnsi="Century Gothic" w:cs="Arial"/>
          <w:sz w:val="24"/>
          <w:szCs w:val="24"/>
          <w:lang w:val="es-ES"/>
        </w:rPr>
        <w:t>o de alguna persona citada; que l</w:t>
      </w:r>
      <w:r w:rsidR="0032366C" w:rsidRPr="0032366C">
        <w:rPr>
          <w:rFonts w:ascii="Century Gothic" w:eastAsia="Arial" w:hAnsi="Century Gothic" w:cs="Arial"/>
          <w:sz w:val="24"/>
          <w:szCs w:val="24"/>
          <w:lang w:val="es-ES"/>
        </w:rPr>
        <w:t>a seguridad pública o la seguridad nacional puedan v</w:t>
      </w:r>
      <w:r w:rsidR="0032366C">
        <w:rPr>
          <w:rFonts w:ascii="Century Gothic" w:eastAsia="Arial" w:hAnsi="Century Gothic" w:cs="Arial"/>
          <w:sz w:val="24"/>
          <w:szCs w:val="24"/>
          <w:lang w:val="es-ES"/>
        </w:rPr>
        <w:t>erse gravemente afectadas; que p</w:t>
      </w:r>
      <w:r w:rsidR="0032366C" w:rsidRPr="0032366C">
        <w:rPr>
          <w:rFonts w:ascii="Century Gothic" w:eastAsia="Arial" w:hAnsi="Century Gothic" w:cs="Arial"/>
          <w:sz w:val="24"/>
          <w:szCs w:val="24"/>
          <w:lang w:val="es-ES"/>
        </w:rPr>
        <w:t>eligre un secreto oficial, par</w:t>
      </w:r>
      <w:r w:rsidR="0032366C">
        <w:rPr>
          <w:rFonts w:ascii="Century Gothic" w:eastAsia="Arial" w:hAnsi="Century Gothic" w:cs="Arial"/>
          <w:sz w:val="24"/>
          <w:szCs w:val="24"/>
          <w:lang w:val="es-ES"/>
        </w:rPr>
        <w:t>ticular, comercial o industrial, o que s</w:t>
      </w:r>
      <w:r w:rsidR="0032366C" w:rsidRPr="0032366C">
        <w:rPr>
          <w:rFonts w:ascii="Century Gothic" w:eastAsia="Arial" w:hAnsi="Century Gothic" w:cs="Arial"/>
          <w:sz w:val="24"/>
          <w:szCs w:val="24"/>
          <w:lang w:val="es-ES"/>
        </w:rPr>
        <w:t>e afecte el Interés Superior del Niño y de la Niña</w:t>
      </w:r>
      <w:r w:rsidR="00AB45A6">
        <w:rPr>
          <w:rFonts w:ascii="Century Gothic" w:eastAsia="Arial" w:hAnsi="Century Gothic" w:cs="Arial"/>
          <w:sz w:val="24"/>
          <w:szCs w:val="24"/>
          <w:lang w:val="es-ES"/>
        </w:rPr>
        <w:t>. En estos casos, el Tribunal se encuentra facultado para</w:t>
      </w:r>
      <w:r w:rsidR="0032366C">
        <w:rPr>
          <w:rFonts w:ascii="Century Gothic" w:eastAsia="Arial" w:hAnsi="Century Gothic" w:cs="Arial"/>
          <w:sz w:val="24"/>
          <w:szCs w:val="24"/>
          <w:lang w:val="es-ES"/>
        </w:rPr>
        <w:t xml:space="preserve"> resolver que la audiencia </w:t>
      </w:r>
      <w:r w:rsidR="0032366C" w:rsidRPr="0032366C">
        <w:rPr>
          <w:rFonts w:ascii="Century Gothic" w:eastAsia="Arial" w:hAnsi="Century Gothic" w:cs="Arial"/>
          <w:sz w:val="24"/>
          <w:szCs w:val="24"/>
          <w:lang w:val="es-ES"/>
        </w:rPr>
        <w:t xml:space="preserve">se desarrolle total </w:t>
      </w:r>
      <w:r w:rsidR="0032366C">
        <w:rPr>
          <w:rFonts w:ascii="Century Gothic" w:eastAsia="Arial" w:hAnsi="Century Gothic" w:cs="Arial"/>
          <w:sz w:val="24"/>
          <w:szCs w:val="24"/>
          <w:lang w:val="es-ES"/>
        </w:rPr>
        <w:t>o parcialmente a puerta cerrada.</w:t>
      </w:r>
    </w:p>
    <w:p w:rsidR="00AF159B" w:rsidRDefault="00AF159B" w:rsidP="00AF159B">
      <w:pPr>
        <w:pStyle w:val="Prrafodelista"/>
        <w:spacing w:line="360" w:lineRule="auto"/>
        <w:ind w:left="0" w:right="473"/>
        <w:rPr>
          <w:rFonts w:ascii="Century Gothic" w:eastAsia="Arial" w:hAnsi="Century Gothic" w:cs="Arial"/>
          <w:sz w:val="24"/>
          <w:szCs w:val="24"/>
        </w:rPr>
      </w:pPr>
    </w:p>
    <w:p w:rsidR="00AF159B" w:rsidRDefault="001E7D69" w:rsidP="00AF159B">
      <w:pPr>
        <w:pStyle w:val="Prrafodelista"/>
        <w:spacing w:line="360" w:lineRule="auto"/>
        <w:ind w:left="0" w:right="473"/>
        <w:rPr>
          <w:rFonts w:ascii="Century Gothic" w:eastAsia="Arial" w:hAnsi="Century Gothic" w:cs="Arial"/>
          <w:sz w:val="24"/>
          <w:szCs w:val="24"/>
        </w:rPr>
      </w:pPr>
      <w:r>
        <w:rPr>
          <w:rFonts w:ascii="Century Gothic" w:eastAsia="Arial" w:hAnsi="Century Gothic" w:cs="Arial"/>
          <w:sz w:val="24"/>
          <w:szCs w:val="24"/>
        </w:rPr>
        <w:lastRenderedPageBreak/>
        <w:t>En ese contexto, el s</w:t>
      </w:r>
      <w:r w:rsidR="00AF159B">
        <w:rPr>
          <w:rFonts w:ascii="Century Gothic" w:eastAsia="Arial" w:hAnsi="Century Gothic" w:cs="Arial"/>
          <w:sz w:val="24"/>
          <w:szCs w:val="24"/>
        </w:rPr>
        <w:t xml:space="preserve">egundo párrafo hace un claro énfasis en la facultad </w:t>
      </w:r>
      <w:r w:rsidR="004D35C3">
        <w:rPr>
          <w:rFonts w:ascii="Century Gothic" w:eastAsia="Arial" w:hAnsi="Century Gothic" w:cs="Arial"/>
          <w:sz w:val="24"/>
          <w:szCs w:val="24"/>
        </w:rPr>
        <w:t xml:space="preserve">que tiene el </w:t>
      </w:r>
      <w:r w:rsidR="00AF159B">
        <w:rPr>
          <w:rFonts w:ascii="Century Gothic" w:eastAsia="Arial" w:hAnsi="Century Gothic" w:cs="Arial"/>
          <w:sz w:val="24"/>
          <w:szCs w:val="24"/>
        </w:rPr>
        <w:t xml:space="preserve">Órgano jurisdiccional </w:t>
      </w:r>
      <w:r w:rsidR="004D35C3">
        <w:rPr>
          <w:rFonts w:ascii="Century Gothic" w:eastAsia="Arial" w:hAnsi="Century Gothic" w:cs="Arial"/>
          <w:sz w:val="24"/>
          <w:szCs w:val="24"/>
        </w:rPr>
        <w:t xml:space="preserve">para determinar </w:t>
      </w:r>
      <w:r w:rsidR="00AF159B">
        <w:rPr>
          <w:rFonts w:ascii="Century Gothic" w:eastAsia="Arial" w:hAnsi="Century Gothic" w:cs="Arial"/>
          <w:sz w:val="24"/>
          <w:szCs w:val="24"/>
        </w:rPr>
        <w:t>el acceso de periodistas</w:t>
      </w:r>
      <w:r w:rsidR="004D35C3">
        <w:rPr>
          <w:rFonts w:ascii="Century Gothic" w:eastAsia="Arial" w:hAnsi="Century Gothic" w:cs="Arial"/>
          <w:sz w:val="24"/>
          <w:szCs w:val="24"/>
        </w:rPr>
        <w:t xml:space="preserve"> y </w:t>
      </w:r>
      <w:r w:rsidR="00AF159B">
        <w:rPr>
          <w:rFonts w:ascii="Century Gothic" w:eastAsia="Arial" w:hAnsi="Century Gothic" w:cs="Arial"/>
          <w:sz w:val="24"/>
          <w:szCs w:val="24"/>
        </w:rPr>
        <w:t>medio</w:t>
      </w:r>
      <w:r w:rsidR="004D35C3">
        <w:rPr>
          <w:rFonts w:ascii="Century Gothic" w:eastAsia="Arial" w:hAnsi="Century Gothic" w:cs="Arial"/>
          <w:sz w:val="24"/>
          <w:szCs w:val="24"/>
        </w:rPr>
        <w:t>s</w:t>
      </w:r>
      <w:r w:rsidR="0032366C">
        <w:rPr>
          <w:rFonts w:ascii="Century Gothic" w:eastAsia="Arial" w:hAnsi="Century Gothic" w:cs="Arial"/>
          <w:sz w:val="24"/>
          <w:szCs w:val="24"/>
        </w:rPr>
        <w:t xml:space="preserve"> de comunicación; lo anterior, </w:t>
      </w:r>
      <w:r w:rsidR="00AF159B">
        <w:rPr>
          <w:rFonts w:ascii="Century Gothic" w:eastAsia="Arial" w:hAnsi="Century Gothic" w:cs="Arial"/>
          <w:sz w:val="24"/>
          <w:szCs w:val="24"/>
        </w:rPr>
        <w:t>conforme a lo dispuesto por la Constitu</w:t>
      </w:r>
      <w:r w:rsidR="00F00D2B">
        <w:rPr>
          <w:rFonts w:ascii="Century Gothic" w:eastAsia="Arial" w:hAnsi="Century Gothic" w:cs="Arial"/>
          <w:sz w:val="24"/>
          <w:szCs w:val="24"/>
        </w:rPr>
        <w:t>ción, el mismo Código</w:t>
      </w:r>
      <w:r w:rsidR="00AF159B">
        <w:rPr>
          <w:rFonts w:ascii="Century Gothic" w:eastAsia="Arial" w:hAnsi="Century Gothic" w:cs="Arial"/>
          <w:sz w:val="24"/>
          <w:szCs w:val="24"/>
        </w:rPr>
        <w:t xml:space="preserve"> y</w:t>
      </w:r>
      <w:r w:rsidR="0032366C">
        <w:rPr>
          <w:rFonts w:ascii="Century Gothic" w:eastAsia="Arial" w:hAnsi="Century Gothic" w:cs="Arial"/>
          <w:sz w:val="24"/>
          <w:szCs w:val="24"/>
        </w:rPr>
        <w:t>,</w:t>
      </w:r>
      <w:r w:rsidR="00F00D2B">
        <w:rPr>
          <w:rFonts w:ascii="Century Gothic" w:eastAsia="Arial" w:hAnsi="Century Gothic" w:cs="Arial"/>
          <w:sz w:val="24"/>
          <w:szCs w:val="24"/>
        </w:rPr>
        <w:t xml:space="preserve"> concretamente</w:t>
      </w:r>
      <w:r w:rsidR="0032366C">
        <w:rPr>
          <w:rFonts w:ascii="Century Gothic" w:eastAsia="Arial" w:hAnsi="Century Gothic" w:cs="Arial"/>
          <w:sz w:val="24"/>
          <w:szCs w:val="24"/>
        </w:rPr>
        <w:t>,</w:t>
      </w:r>
      <w:r w:rsidR="00AF159B">
        <w:rPr>
          <w:rFonts w:ascii="Century Gothic" w:eastAsia="Arial" w:hAnsi="Century Gothic" w:cs="Arial"/>
          <w:sz w:val="24"/>
          <w:szCs w:val="24"/>
        </w:rPr>
        <w:t xml:space="preserve"> en </w:t>
      </w:r>
      <w:r>
        <w:rPr>
          <w:rFonts w:ascii="Century Gothic" w:eastAsia="Arial" w:hAnsi="Century Gothic" w:cs="Arial"/>
          <w:sz w:val="24"/>
          <w:szCs w:val="24"/>
        </w:rPr>
        <w:t>apego</w:t>
      </w:r>
      <w:r w:rsidR="00AF159B">
        <w:rPr>
          <w:rFonts w:ascii="Century Gothic" w:eastAsia="Arial" w:hAnsi="Century Gothic" w:cs="Arial"/>
          <w:sz w:val="24"/>
          <w:szCs w:val="24"/>
        </w:rPr>
        <w:t xml:space="preserve"> a los acuerdos generales que </w:t>
      </w:r>
      <w:r w:rsidR="0032366C">
        <w:rPr>
          <w:rFonts w:ascii="Century Gothic" w:eastAsia="Arial" w:hAnsi="Century Gothic" w:cs="Arial"/>
          <w:sz w:val="24"/>
          <w:szCs w:val="24"/>
        </w:rPr>
        <w:t xml:space="preserve">para tal efecto </w:t>
      </w:r>
      <w:r w:rsidR="00AF159B">
        <w:rPr>
          <w:rFonts w:ascii="Century Gothic" w:eastAsia="Arial" w:hAnsi="Century Gothic" w:cs="Arial"/>
          <w:sz w:val="24"/>
          <w:szCs w:val="24"/>
        </w:rPr>
        <w:t xml:space="preserve">emita el </w:t>
      </w:r>
      <w:r>
        <w:rPr>
          <w:rFonts w:ascii="Century Gothic" w:eastAsia="Arial" w:hAnsi="Century Gothic" w:cs="Arial"/>
          <w:sz w:val="24"/>
          <w:szCs w:val="24"/>
        </w:rPr>
        <w:t>“</w:t>
      </w:r>
      <w:r w:rsidR="00AF159B">
        <w:rPr>
          <w:rFonts w:ascii="Century Gothic" w:eastAsia="Arial" w:hAnsi="Century Gothic" w:cs="Arial"/>
          <w:sz w:val="24"/>
          <w:szCs w:val="24"/>
        </w:rPr>
        <w:t>Consejo</w:t>
      </w:r>
      <w:r>
        <w:rPr>
          <w:rFonts w:ascii="Century Gothic" w:eastAsia="Arial" w:hAnsi="Century Gothic" w:cs="Arial"/>
          <w:sz w:val="24"/>
          <w:szCs w:val="24"/>
        </w:rPr>
        <w:t>”</w:t>
      </w:r>
      <w:r w:rsidR="004D35C3">
        <w:rPr>
          <w:rFonts w:ascii="Century Gothic" w:eastAsia="Arial" w:hAnsi="Century Gothic" w:cs="Arial"/>
          <w:sz w:val="24"/>
          <w:szCs w:val="24"/>
        </w:rPr>
        <w:t xml:space="preserve">, entendiéndose por este, según el glosario del propio </w:t>
      </w:r>
      <w:r>
        <w:rPr>
          <w:rFonts w:ascii="Century Gothic" w:eastAsia="Arial" w:hAnsi="Century Gothic" w:cs="Arial"/>
          <w:sz w:val="24"/>
          <w:szCs w:val="24"/>
        </w:rPr>
        <w:t>ordenamiento</w:t>
      </w:r>
      <w:r w:rsidR="0032366C">
        <w:rPr>
          <w:rFonts w:ascii="Century Gothic" w:eastAsia="Arial" w:hAnsi="Century Gothic" w:cs="Arial"/>
          <w:sz w:val="24"/>
          <w:szCs w:val="24"/>
        </w:rPr>
        <w:t xml:space="preserve"> (artículo 3°, fracción III)</w:t>
      </w:r>
      <w:r w:rsidR="00AF159B">
        <w:rPr>
          <w:rFonts w:ascii="Century Gothic" w:eastAsia="Arial" w:hAnsi="Century Gothic" w:cs="Arial"/>
          <w:sz w:val="24"/>
          <w:szCs w:val="24"/>
        </w:rPr>
        <w:t xml:space="preserve">, </w:t>
      </w:r>
      <w:r w:rsidR="00AB45A6">
        <w:rPr>
          <w:rFonts w:ascii="Century Gothic" w:eastAsia="Arial" w:hAnsi="Century Gothic" w:cs="Arial"/>
          <w:sz w:val="24"/>
          <w:szCs w:val="24"/>
        </w:rPr>
        <w:t xml:space="preserve">no solo al Consejo de la Judicatura Federal, sino también a </w:t>
      </w:r>
      <w:r w:rsidR="00F00D2B">
        <w:rPr>
          <w:rFonts w:ascii="Century Gothic" w:eastAsia="Arial" w:hAnsi="Century Gothic" w:cs="Arial"/>
          <w:sz w:val="24"/>
          <w:szCs w:val="24"/>
        </w:rPr>
        <w:t>los</w:t>
      </w:r>
      <w:r w:rsidR="00AF159B">
        <w:rPr>
          <w:rFonts w:ascii="Century Gothic" w:eastAsia="Arial" w:hAnsi="Century Gothic" w:cs="Arial"/>
          <w:sz w:val="24"/>
          <w:szCs w:val="24"/>
        </w:rPr>
        <w:t xml:space="preserve"> Consejo</w:t>
      </w:r>
      <w:r w:rsidR="00F00D2B">
        <w:rPr>
          <w:rFonts w:ascii="Century Gothic" w:eastAsia="Arial" w:hAnsi="Century Gothic" w:cs="Arial"/>
          <w:sz w:val="24"/>
          <w:szCs w:val="24"/>
        </w:rPr>
        <w:t>s</w:t>
      </w:r>
      <w:r w:rsidR="00AF159B">
        <w:rPr>
          <w:rFonts w:ascii="Century Gothic" w:eastAsia="Arial" w:hAnsi="Century Gothic" w:cs="Arial"/>
          <w:sz w:val="24"/>
          <w:szCs w:val="24"/>
        </w:rPr>
        <w:t xml:space="preserve"> de la</w:t>
      </w:r>
      <w:r w:rsidR="00F00D2B">
        <w:rPr>
          <w:rFonts w:ascii="Century Gothic" w:eastAsia="Arial" w:hAnsi="Century Gothic" w:cs="Arial"/>
          <w:sz w:val="24"/>
          <w:szCs w:val="24"/>
        </w:rPr>
        <w:t>s</w:t>
      </w:r>
      <w:r w:rsidR="00AF159B">
        <w:rPr>
          <w:rFonts w:ascii="Century Gothic" w:eastAsia="Arial" w:hAnsi="Century Gothic" w:cs="Arial"/>
          <w:sz w:val="24"/>
          <w:szCs w:val="24"/>
        </w:rPr>
        <w:t xml:space="preserve"> Judicatura</w:t>
      </w:r>
      <w:r w:rsidR="00AB45A6">
        <w:rPr>
          <w:rFonts w:ascii="Century Gothic" w:eastAsia="Arial" w:hAnsi="Century Gothic" w:cs="Arial"/>
          <w:sz w:val="24"/>
          <w:szCs w:val="24"/>
        </w:rPr>
        <w:t>s Estatales.</w:t>
      </w:r>
    </w:p>
    <w:p w:rsidR="00AF159B" w:rsidRDefault="00AF159B" w:rsidP="00AF159B">
      <w:pPr>
        <w:pStyle w:val="Prrafodelista"/>
        <w:spacing w:line="360" w:lineRule="auto"/>
        <w:ind w:left="0" w:right="473"/>
        <w:rPr>
          <w:rFonts w:ascii="Century Gothic" w:eastAsia="Arial" w:hAnsi="Century Gothic" w:cs="Arial"/>
          <w:sz w:val="24"/>
          <w:szCs w:val="24"/>
        </w:rPr>
      </w:pPr>
    </w:p>
    <w:p w:rsidR="00AF159B" w:rsidRDefault="004D35C3" w:rsidP="00AF159B">
      <w:pPr>
        <w:pStyle w:val="Prrafodelista"/>
        <w:spacing w:line="360" w:lineRule="auto"/>
        <w:ind w:left="0" w:right="473"/>
        <w:rPr>
          <w:rFonts w:ascii="Century Gothic" w:eastAsia="Arial" w:hAnsi="Century Gothic" w:cs="Arial"/>
          <w:sz w:val="24"/>
          <w:szCs w:val="24"/>
        </w:rPr>
      </w:pPr>
      <w:r>
        <w:rPr>
          <w:rFonts w:ascii="Century Gothic" w:eastAsia="Arial" w:hAnsi="Century Gothic" w:cs="Arial"/>
          <w:sz w:val="24"/>
          <w:szCs w:val="24"/>
        </w:rPr>
        <w:t>De forma adicional, es importante resaltar que</w:t>
      </w:r>
      <w:r w:rsidR="00AF159B">
        <w:rPr>
          <w:rFonts w:ascii="Century Gothic" w:eastAsia="Arial" w:hAnsi="Century Gothic" w:cs="Arial"/>
          <w:sz w:val="24"/>
          <w:szCs w:val="24"/>
        </w:rPr>
        <w:t xml:space="preserve"> </w:t>
      </w:r>
      <w:r w:rsidR="001E7D69">
        <w:rPr>
          <w:rFonts w:ascii="Century Gothic" w:eastAsia="Arial" w:hAnsi="Century Gothic" w:cs="Arial"/>
          <w:sz w:val="24"/>
          <w:szCs w:val="24"/>
        </w:rPr>
        <w:t xml:space="preserve">según lo dispuesto por el artículo 131, fracción II de la </w:t>
      </w:r>
      <w:r w:rsidR="001E7D69" w:rsidRPr="001E7D69">
        <w:rPr>
          <w:rFonts w:ascii="Century Gothic" w:eastAsia="Arial" w:hAnsi="Century Gothic" w:cs="Arial"/>
          <w:sz w:val="24"/>
          <w:szCs w:val="24"/>
          <w:lang w:val="es-ES"/>
        </w:rPr>
        <w:t>Ley Orgánica del Poder Judicial del Estado de Chihuahu</w:t>
      </w:r>
      <w:r w:rsidR="001E7D69">
        <w:rPr>
          <w:rFonts w:ascii="Century Gothic" w:eastAsia="Arial" w:hAnsi="Century Gothic" w:cs="Arial"/>
          <w:sz w:val="24"/>
          <w:szCs w:val="24"/>
          <w:lang w:val="es-ES"/>
        </w:rPr>
        <w:t xml:space="preserve">a, </w:t>
      </w:r>
      <w:r w:rsidR="0032366C">
        <w:rPr>
          <w:rFonts w:ascii="Century Gothic" w:eastAsia="Arial" w:hAnsi="Century Gothic" w:cs="Arial"/>
          <w:sz w:val="24"/>
          <w:szCs w:val="24"/>
          <w:lang w:val="es-ES"/>
        </w:rPr>
        <w:t>el</w:t>
      </w:r>
      <w:r w:rsidR="001E7D69">
        <w:rPr>
          <w:rFonts w:ascii="Century Gothic" w:eastAsia="Arial" w:hAnsi="Century Gothic" w:cs="Arial"/>
          <w:sz w:val="24"/>
          <w:szCs w:val="24"/>
          <w:lang w:val="es-ES"/>
        </w:rPr>
        <w:t xml:space="preserve"> </w:t>
      </w:r>
      <w:r w:rsidR="00AF159B">
        <w:rPr>
          <w:rFonts w:ascii="Century Gothic" w:eastAsia="Arial" w:hAnsi="Century Gothic" w:cs="Arial"/>
          <w:sz w:val="24"/>
          <w:szCs w:val="24"/>
        </w:rPr>
        <w:t xml:space="preserve">Consejo </w:t>
      </w:r>
      <w:r w:rsidR="0032366C">
        <w:rPr>
          <w:rFonts w:ascii="Century Gothic" w:eastAsia="Arial" w:hAnsi="Century Gothic" w:cs="Arial"/>
          <w:sz w:val="24"/>
          <w:szCs w:val="24"/>
        </w:rPr>
        <w:t>de la Judicatura Es</w:t>
      </w:r>
      <w:r w:rsidR="001E7D69">
        <w:rPr>
          <w:rFonts w:ascii="Century Gothic" w:eastAsia="Arial" w:hAnsi="Century Gothic" w:cs="Arial"/>
          <w:sz w:val="24"/>
          <w:szCs w:val="24"/>
        </w:rPr>
        <w:t xml:space="preserve">tatal </w:t>
      </w:r>
      <w:r w:rsidR="00AF159B">
        <w:rPr>
          <w:rFonts w:ascii="Century Gothic" w:eastAsia="Arial" w:hAnsi="Century Gothic" w:cs="Arial"/>
          <w:sz w:val="24"/>
          <w:szCs w:val="24"/>
        </w:rPr>
        <w:t xml:space="preserve">se encuentra facultado para expedir los reglamentos interiores en materia administrativa, de carrera judicial, de escalafón y régimen disciplinario del Poder Judicial, </w:t>
      </w:r>
      <w:r w:rsidR="001E7D69">
        <w:rPr>
          <w:rFonts w:ascii="Century Gothic" w:eastAsia="Arial" w:hAnsi="Century Gothic" w:cs="Arial"/>
          <w:sz w:val="24"/>
          <w:szCs w:val="24"/>
        </w:rPr>
        <w:t>así como</w:t>
      </w:r>
      <w:r w:rsidR="00AF159B">
        <w:rPr>
          <w:rFonts w:ascii="Century Gothic" w:eastAsia="Arial" w:hAnsi="Century Gothic" w:cs="Arial"/>
          <w:sz w:val="24"/>
          <w:szCs w:val="24"/>
        </w:rPr>
        <w:t xml:space="preserve"> todos aquellos acuerdos generales que fueren necesarios para el adecuado</w:t>
      </w:r>
      <w:r w:rsidR="001E7D69">
        <w:rPr>
          <w:rFonts w:ascii="Century Gothic" w:eastAsia="Arial" w:hAnsi="Century Gothic" w:cs="Arial"/>
          <w:sz w:val="24"/>
          <w:szCs w:val="24"/>
        </w:rPr>
        <w:t xml:space="preserve"> ejercicio de sus atribuciones.</w:t>
      </w:r>
    </w:p>
    <w:p w:rsidR="00AF159B" w:rsidRDefault="00AF159B" w:rsidP="00AF159B">
      <w:pPr>
        <w:pStyle w:val="Prrafodelista"/>
        <w:spacing w:line="360" w:lineRule="auto"/>
        <w:ind w:left="0" w:right="473"/>
        <w:rPr>
          <w:rFonts w:ascii="Century Gothic" w:eastAsia="Arial" w:hAnsi="Century Gothic" w:cs="Arial"/>
          <w:sz w:val="24"/>
          <w:szCs w:val="24"/>
        </w:rPr>
      </w:pPr>
    </w:p>
    <w:p w:rsidR="00F00D2B" w:rsidRDefault="00C8092A" w:rsidP="00AF159B">
      <w:pPr>
        <w:pStyle w:val="Prrafodelista"/>
        <w:spacing w:line="360" w:lineRule="auto"/>
        <w:ind w:left="0" w:right="473"/>
        <w:rPr>
          <w:rFonts w:ascii="Century Gothic" w:eastAsia="Arial" w:hAnsi="Century Gothic" w:cs="Arial"/>
          <w:sz w:val="24"/>
          <w:szCs w:val="24"/>
        </w:rPr>
      </w:pPr>
      <w:r w:rsidRPr="00C8092A">
        <w:rPr>
          <w:rFonts w:ascii="Century Gothic" w:eastAsia="Arial" w:hAnsi="Century Gothic" w:cs="Arial"/>
          <w:b/>
          <w:sz w:val="24"/>
          <w:szCs w:val="24"/>
        </w:rPr>
        <w:t>VI.-</w:t>
      </w:r>
      <w:r>
        <w:rPr>
          <w:rFonts w:ascii="Century Gothic" w:eastAsia="Arial" w:hAnsi="Century Gothic" w:cs="Arial"/>
          <w:sz w:val="24"/>
          <w:szCs w:val="24"/>
        </w:rPr>
        <w:t xml:space="preserve"> </w:t>
      </w:r>
      <w:r w:rsidR="00F00D2B">
        <w:rPr>
          <w:rFonts w:ascii="Century Gothic" w:eastAsia="Arial" w:hAnsi="Century Gothic" w:cs="Arial"/>
          <w:sz w:val="24"/>
          <w:szCs w:val="24"/>
        </w:rPr>
        <w:t xml:space="preserve">De las reflexiones anteriores, se advierte que este </w:t>
      </w:r>
      <w:r w:rsidR="00AF159B">
        <w:rPr>
          <w:rFonts w:ascii="Century Gothic" w:eastAsia="Arial" w:hAnsi="Century Gothic" w:cs="Arial"/>
          <w:sz w:val="24"/>
          <w:szCs w:val="24"/>
        </w:rPr>
        <w:t xml:space="preserve">órgano </w:t>
      </w:r>
      <w:r w:rsidR="00F00D2B">
        <w:rPr>
          <w:rFonts w:ascii="Century Gothic" w:eastAsia="Arial" w:hAnsi="Century Gothic" w:cs="Arial"/>
          <w:sz w:val="24"/>
          <w:szCs w:val="24"/>
        </w:rPr>
        <w:t>del T</w:t>
      </w:r>
      <w:r w:rsidR="0032366C">
        <w:rPr>
          <w:rFonts w:ascii="Century Gothic" w:eastAsia="Arial" w:hAnsi="Century Gothic" w:cs="Arial"/>
          <w:sz w:val="24"/>
          <w:szCs w:val="24"/>
        </w:rPr>
        <w:t>ribunal Superior de Justicia</w:t>
      </w:r>
      <w:r w:rsidR="004D35C3">
        <w:rPr>
          <w:rFonts w:ascii="Century Gothic" w:eastAsia="Arial" w:hAnsi="Century Gothic" w:cs="Arial"/>
          <w:sz w:val="24"/>
          <w:szCs w:val="24"/>
        </w:rPr>
        <w:t>,</w:t>
      </w:r>
      <w:r w:rsidR="00F00D2B">
        <w:rPr>
          <w:rFonts w:ascii="Century Gothic" w:eastAsia="Arial" w:hAnsi="Century Gothic" w:cs="Arial"/>
          <w:sz w:val="24"/>
          <w:szCs w:val="24"/>
        </w:rPr>
        <w:t xml:space="preserve"> </w:t>
      </w:r>
      <w:r w:rsidR="0032366C">
        <w:rPr>
          <w:rFonts w:ascii="Century Gothic" w:eastAsia="Arial" w:hAnsi="Century Gothic" w:cs="Arial"/>
          <w:sz w:val="24"/>
          <w:szCs w:val="24"/>
        </w:rPr>
        <w:t xml:space="preserve">ya cuenta </w:t>
      </w:r>
      <w:r w:rsidR="00F00D2B">
        <w:rPr>
          <w:rFonts w:ascii="Century Gothic" w:eastAsia="Arial" w:hAnsi="Century Gothic" w:cs="Arial"/>
          <w:sz w:val="24"/>
          <w:szCs w:val="24"/>
        </w:rPr>
        <w:t xml:space="preserve">con las atribuciones </w:t>
      </w:r>
      <w:r w:rsidR="001E7D69">
        <w:rPr>
          <w:rFonts w:ascii="Century Gothic" w:eastAsia="Arial" w:hAnsi="Century Gothic" w:cs="Arial"/>
          <w:sz w:val="24"/>
          <w:szCs w:val="24"/>
        </w:rPr>
        <w:t xml:space="preserve">legales </w:t>
      </w:r>
      <w:r w:rsidR="00F00D2B">
        <w:rPr>
          <w:rFonts w:ascii="Century Gothic" w:eastAsia="Arial" w:hAnsi="Century Gothic" w:cs="Arial"/>
          <w:sz w:val="24"/>
          <w:szCs w:val="24"/>
        </w:rPr>
        <w:t>para emitir</w:t>
      </w:r>
      <w:r w:rsidR="001E7D69">
        <w:rPr>
          <w:rFonts w:ascii="Century Gothic" w:eastAsia="Arial" w:hAnsi="Century Gothic" w:cs="Arial"/>
          <w:sz w:val="24"/>
          <w:szCs w:val="24"/>
        </w:rPr>
        <w:t xml:space="preserve"> </w:t>
      </w:r>
      <w:r w:rsidR="00F00D2B">
        <w:rPr>
          <w:rFonts w:ascii="Century Gothic" w:eastAsia="Arial" w:hAnsi="Century Gothic" w:cs="Arial"/>
          <w:sz w:val="24"/>
          <w:szCs w:val="24"/>
        </w:rPr>
        <w:t>los</w:t>
      </w:r>
      <w:r w:rsidR="00AF159B">
        <w:rPr>
          <w:rFonts w:ascii="Century Gothic" w:eastAsia="Arial" w:hAnsi="Century Gothic" w:cs="Arial"/>
          <w:sz w:val="24"/>
          <w:szCs w:val="24"/>
        </w:rPr>
        <w:t xml:space="preserve"> lineamientos que especifiquen las condiciones y </w:t>
      </w:r>
      <w:r w:rsidR="00F00D2B">
        <w:rPr>
          <w:rFonts w:ascii="Century Gothic" w:eastAsia="Arial" w:hAnsi="Century Gothic" w:cs="Arial"/>
          <w:sz w:val="24"/>
          <w:szCs w:val="24"/>
        </w:rPr>
        <w:t xml:space="preserve">medidas </w:t>
      </w:r>
      <w:r w:rsidR="00AF159B">
        <w:rPr>
          <w:rFonts w:ascii="Century Gothic" w:eastAsia="Arial" w:hAnsi="Century Gothic" w:cs="Arial"/>
          <w:sz w:val="24"/>
          <w:szCs w:val="24"/>
        </w:rPr>
        <w:t xml:space="preserve">que deberán </w:t>
      </w:r>
      <w:r w:rsidR="00F00D2B">
        <w:rPr>
          <w:rFonts w:ascii="Century Gothic" w:eastAsia="Arial" w:hAnsi="Century Gothic" w:cs="Arial"/>
          <w:sz w:val="24"/>
          <w:szCs w:val="24"/>
        </w:rPr>
        <w:t xml:space="preserve">observar </w:t>
      </w:r>
      <w:r w:rsidR="004D35C3">
        <w:rPr>
          <w:rFonts w:ascii="Century Gothic" w:eastAsia="Arial" w:hAnsi="Century Gothic" w:cs="Arial"/>
          <w:sz w:val="24"/>
          <w:szCs w:val="24"/>
        </w:rPr>
        <w:t>los periodistas y</w:t>
      </w:r>
      <w:r w:rsidR="00F00D2B">
        <w:rPr>
          <w:rFonts w:ascii="Century Gothic" w:eastAsia="Arial" w:hAnsi="Century Gothic" w:cs="Arial"/>
          <w:sz w:val="24"/>
          <w:szCs w:val="24"/>
        </w:rPr>
        <w:t xml:space="preserve"> </w:t>
      </w:r>
      <w:r w:rsidR="00AF159B">
        <w:rPr>
          <w:rFonts w:ascii="Century Gothic" w:eastAsia="Arial" w:hAnsi="Century Gothic" w:cs="Arial"/>
          <w:sz w:val="24"/>
          <w:szCs w:val="24"/>
        </w:rPr>
        <w:t>medios de comunicación</w:t>
      </w:r>
      <w:r w:rsidR="001E7D69">
        <w:rPr>
          <w:rFonts w:ascii="Century Gothic" w:eastAsia="Arial" w:hAnsi="Century Gothic" w:cs="Arial"/>
          <w:sz w:val="24"/>
          <w:szCs w:val="24"/>
        </w:rPr>
        <w:t xml:space="preserve"> para el acceso de las audiencias públicas</w:t>
      </w:r>
      <w:r w:rsidR="00F00D2B">
        <w:rPr>
          <w:rFonts w:ascii="Century Gothic" w:eastAsia="Arial" w:hAnsi="Century Gothic" w:cs="Arial"/>
          <w:sz w:val="24"/>
          <w:szCs w:val="24"/>
        </w:rPr>
        <w:t>; todo ello</w:t>
      </w:r>
      <w:r w:rsidR="00AF159B">
        <w:rPr>
          <w:rFonts w:ascii="Century Gothic" w:eastAsia="Arial" w:hAnsi="Century Gothic" w:cs="Arial"/>
          <w:sz w:val="24"/>
          <w:szCs w:val="24"/>
        </w:rPr>
        <w:t xml:space="preserve"> </w:t>
      </w:r>
      <w:r w:rsidR="0032366C">
        <w:rPr>
          <w:rFonts w:ascii="Century Gothic" w:eastAsia="Arial" w:hAnsi="Century Gothic" w:cs="Arial"/>
          <w:sz w:val="24"/>
          <w:szCs w:val="24"/>
        </w:rPr>
        <w:t>en</w:t>
      </w:r>
      <w:r w:rsidR="00AF159B">
        <w:rPr>
          <w:rFonts w:ascii="Century Gothic" w:eastAsia="Arial" w:hAnsi="Century Gothic" w:cs="Arial"/>
          <w:sz w:val="24"/>
          <w:szCs w:val="24"/>
        </w:rPr>
        <w:t xml:space="preserve"> </w:t>
      </w:r>
      <w:r w:rsidR="004D35C3">
        <w:rPr>
          <w:rFonts w:ascii="Century Gothic" w:eastAsia="Arial" w:hAnsi="Century Gothic" w:cs="Arial"/>
          <w:sz w:val="24"/>
          <w:szCs w:val="24"/>
        </w:rPr>
        <w:t xml:space="preserve">observancia </w:t>
      </w:r>
      <w:r w:rsidR="0032366C">
        <w:rPr>
          <w:rFonts w:ascii="Century Gothic" w:eastAsia="Arial" w:hAnsi="Century Gothic" w:cs="Arial"/>
          <w:sz w:val="24"/>
          <w:szCs w:val="24"/>
        </w:rPr>
        <w:t>a</w:t>
      </w:r>
      <w:r w:rsidR="00AF159B">
        <w:rPr>
          <w:rFonts w:ascii="Century Gothic" w:eastAsia="Arial" w:hAnsi="Century Gothic" w:cs="Arial"/>
          <w:sz w:val="24"/>
          <w:szCs w:val="24"/>
        </w:rPr>
        <w:t xml:space="preserve"> los principios de presu</w:t>
      </w:r>
      <w:r w:rsidR="001E7D69">
        <w:rPr>
          <w:rFonts w:ascii="Century Gothic" w:eastAsia="Arial" w:hAnsi="Century Gothic" w:cs="Arial"/>
          <w:sz w:val="24"/>
          <w:szCs w:val="24"/>
        </w:rPr>
        <w:t xml:space="preserve">nción de inocencia y publicidad, tal y como </w:t>
      </w:r>
      <w:r w:rsidR="004D35C3">
        <w:rPr>
          <w:rFonts w:ascii="Century Gothic" w:eastAsia="Arial" w:hAnsi="Century Gothic" w:cs="Arial"/>
          <w:sz w:val="24"/>
          <w:szCs w:val="24"/>
        </w:rPr>
        <w:t xml:space="preserve">se refiere </w:t>
      </w:r>
      <w:r w:rsidR="001E7D69">
        <w:rPr>
          <w:rFonts w:ascii="Century Gothic" w:eastAsia="Arial" w:hAnsi="Century Gothic" w:cs="Arial"/>
          <w:sz w:val="24"/>
          <w:szCs w:val="24"/>
        </w:rPr>
        <w:t xml:space="preserve">por la </w:t>
      </w:r>
      <w:r w:rsidR="004D35C3">
        <w:rPr>
          <w:rFonts w:ascii="Century Gothic" w:eastAsia="Arial" w:hAnsi="Century Gothic" w:cs="Arial"/>
          <w:sz w:val="24"/>
          <w:szCs w:val="24"/>
        </w:rPr>
        <w:t>iniciativa</w:t>
      </w:r>
      <w:r w:rsidR="001E7D69">
        <w:rPr>
          <w:rFonts w:ascii="Century Gothic" w:eastAsia="Arial" w:hAnsi="Century Gothic" w:cs="Arial"/>
          <w:sz w:val="24"/>
          <w:szCs w:val="24"/>
        </w:rPr>
        <w:t xml:space="preserve"> en estudio.</w:t>
      </w:r>
      <w:r w:rsidR="00AF159B">
        <w:rPr>
          <w:rFonts w:ascii="Century Gothic" w:eastAsia="Arial" w:hAnsi="Century Gothic" w:cs="Arial"/>
          <w:sz w:val="24"/>
          <w:szCs w:val="24"/>
        </w:rPr>
        <w:t xml:space="preserve"> </w:t>
      </w:r>
    </w:p>
    <w:p w:rsidR="00F00D2B" w:rsidRDefault="00F00D2B" w:rsidP="00AF159B">
      <w:pPr>
        <w:pStyle w:val="Prrafodelista"/>
        <w:spacing w:line="360" w:lineRule="auto"/>
        <w:ind w:left="0" w:right="473"/>
        <w:rPr>
          <w:rFonts w:ascii="Century Gothic" w:eastAsia="Arial" w:hAnsi="Century Gothic" w:cs="Arial"/>
          <w:sz w:val="24"/>
          <w:szCs w:val="24"/>
        </w:rPr>
      </w:pPr>
    </w:p>
    <w:p w:rsidR="00AF159B" w:rsidRDefault="00F00D2B" w:rsidP="001E7D69">
      <w:pPr>
        <w:pStyle w:val="Prrafodelista"/>
        <w:spacing w:after="0" w:line="360" w:lineRule="auto"/>
        <w:ind w:left="0" w:right="473"/>
        <w:rPr>
          <w:rFonts w:ascii="Century Gothic" w:hAnsi="Century Gothic" w:cs="Arial"/>
        </w:rPr>
      </w:pPr>
      <w:r>
        <w:rPr>
          <w:rFonts w:ascii="Century Gothic" w:eastAsia="Arial" w:hAnsi="Century Gothic" w:cs="Arial"/>
          <w:sz w:val="24"/>
          <w:szCs w:val="24"/>
        </w:rPr>
        <w:t>Así pues, este órgano dictamin</w:t>
      </w:r>
      <w:r w:rsidR="001E7D69">
        <w:rPr>
          <w:rFonts w:ascii="Century Gothic" w:eastAsia="Arial" w:hAnsi="Century Gothic" w:cs="Arial"/>
          <w:sz w:val="24"/>
          <w:szCs w:val="24"/>
        </w:rPr>
        <w:t xml:space="preserve">ador considera que la </w:t>
      </w:r>
      <w:r>
        <w:rPr>
          <w:rFonts w:ascii="Century Gothic" w:eastAsia="Arial" w:hAnsi="Century Gothic" w:cs="Arial"/>
          <w:sz w:val="24"/>
          <w:szCs w:val="24"/>
        </w:rPr>
        <w:t xml:space="preserve">reforma </w:t>
      </w:r>
      <w:r w:rsidR="001E7D69">
        <w:rPr>
          <w:rFonts w:ascii="Century Gothic" w:eastAsia="Arial" w:hAnsi="Century Gothic" w:cs="Arial"/>
          <w:sz w:val="24"/>
          <w:szCs w:val="24"/>
        </w:rPr>
        <w:t>propuesta</w:t>
      </w:r>
      <w:r w:rsidR="0032366C">
        <w:rPr>
          <w:rFonts w:ascii="Century Gothic" w:eastAsia="Arial" w:hAnsi="Century Gothic" w:cs="Arial"/>
          <w:sz w:val="24"/>
          <w:szCs w:val="24"/>
        </w:rPr>
        <w:t xml:space="preserve"> s</w:t>
      </w:r>
      <w:r>
        <w:rPr>
          <w:rFonts w:ascii="Century Gothic" w:eastAsia="Arial" w:hAnsi="Century Gothic" w:cs="Arial"/>
          <w:sz w:val="24"/>
          <w:szCs w:val="24"/>
        </w:rPr>
        <w:t xml:space="preserve">e encuentra satisfecha, no obstante, </w:t>
      </w:r>
      <w:r w:rsidR="004D35C3">
        <w:rPr>
          <w:rFonts w:ascii="Century Gothic" w:eastAsia="Arial" w:hAnsi="Century Gothic" w:cs="Arial"/>
          <w:sz w:val="24"/>
          <w:szCs w:val="24"/>
        </w:rPr>
        <w:t>a efecto de brindar mayor</w:t>
      </w:r>
      <w:r w:rsidR="00AF159B">
        <w:rPr>
          <w:rFonts w:ascii="Century Gothic" w:eastAsia="Arial" w:hAnsi="Century Gothic" w:cs="Arial"/>
          <w:sz w:val="24"/>
          <w:szCs w:val="24"/>
        </w:rPr>
        <w:t xml:space="preserve"> certeza y seguridad </w:t>
      </w:r>
      <w:r w:rsidR="00AF159B">
        <w:rPr>
          <w:rFonts w:ascii="Century Gothic" w:eastAsia="Arial" w:hAnsi="Century Gothic" w:cs="Arial"/>
          <w:sz w:val="24"/>
          <w:szCs w:val="24"/>
        </w:rPr>
        <w:lastRenderedPageBreak/>
        <w:t xml:space="preserve">en el actuar de los medios y periodistas durante </w:t>
      </w:r>
      <w:r w:rsidR="007935D2">
        <w:rPr>
          <w:rFonts w:ascii="Century Gothic" w:eastAsia="Arial" w:hAnsi="Century Gothic" w:cs="Arial"/>
          <w:sz w:val="24"/>
          <w:szCs w:val="24"/>
        </w:rPr>
        <w:t>el desarrollo de las audiencias, y toda vez que</w:t>
      </w:r>
      <w:r w:rsidR="001E7D69">
        <w:rPr>
          <w:rFonts w:ascii="Century Gothic" w:eastAsia="Arial" w:hAnsi="Century Gothic" w:cs="Arial"/>
          <w:sz w:val="24"/>
          <w:szCs w:val="24"/>
        </w:rPr>
        <w:t xml:space="preserve"> es del conocimiento de esta Comisión que </w:t>
      </w:r>
      <w:r w:rsidR="004D35C3">
        <w:rPr>
          <w:rFonts w:ascii="Century Gothic" w:eastAsia="Arial" w:hAnsi="Century Gothic" w:cs="Arial"/>
          <w:sz w:val="24"/>
          <w:szCs w:val="24"/>
        </w:rPr>
        <w:t>dichos</w:t>
      </w:r>
      <w:r w:rsidR="007935D2">
        <w:rPr>
          <w:rFonts w:ascii="Century Gothic" w:eastAsia="Arial" w:hAnsi="Century Gothic" w:cs="Arial"/>
          <w:sz w:val="24"/>
          <w:szCs w:val="24"/>
        </w:rPr>
        <w:t xml:space="preserve"> acuerdos generales </w:t>
      </w:r>
      <w:r w:rsidR="001E7D69">
        <w:rPr>
          <w:rFonts w:ascii="Century Gothic" w:eastAsia="Arial" w:hAnsi="Century Gothic" w:cs="Arial"/>
          <w:sz w:val="24"/>
          <w:szCs w:val="24"/>
        </w:rPr>
        <w:t xml:space="preserve">aún </w:t>
      </w:r>
      <w:r w:rsidR="007935D2">
        <w:rPr>
          <w:rFonts w:ascii="Century Gothic" w:eastAsia="Arial" w:hAnsi="Century Gothic" w:cs="Arial"/>
          <w:sz w:val="24"/>
          <w:szCs w:val="24"/>
        </w:rPr>
        <w:t xml:space="preserve">no han sido expedidos, se propone realizar un exhorto </w:t>
      </w:r>
      <w:r w:rsidR="0032366C">
        <w:rPr>
          <w:rFonts w:ascii="Century Gothic" w:eastAsia="Arial" w:hAnsi="Century Gothic" w:cs="Arial"/>
          <w:sz w:val="24"/>
          <w:szCs w:val="24"/>
        </w:rPr>
        <w:t>a</w:t>
      </w:r>
      <w:r w:rsidR="004D35C3">
        <w:rPr>
          <w:rFonts w:ascii="Century Gothic" w:eastAsia="Arial" w:hAnsi="Century Gothic" w:cs="Arial"/>
          <w:sz w:val="24"/>
          <w:szCs w:val="24"/>
        </w:rPr>
        <w:t xml:space="preserve">l Consejo de la Judicatura del Estado, </w:t>
      </w:r>
      <w:r w:rsidR="0032366C">
        <w:rPr>
          <w:rFonts w:ascii="Century Gothic" w:eastAsia="Arial" w:hAnsi="Century Gothic" w:cs="Arial"/>
          <w:sz w:val="24"/>
          <w:szCs w:val="24"/>
        </w:rPr>
        <w:t xml:space="preserve">para que </w:t>
      </w:r>
      <w:r w:rsidR="004D35C3">
        <w:rPr>
          <w:rFonts w:ascii="Century Gothic" w:eastAsia="Arial" w:hAnsi="Century Gothic" w:cs="Arial"/>
          <w:sz w:val="24"/>
          <w:szCs w:val="24"/>
        </w:rPr>
        <w:t xml:space="preserve">tenga a bien </w:t>
      </w:r>
      <w:r w:rsidR="0032366C">
        <w:rPr>
          <w:rFonts w:ascii="Century Gothic" w:eastAsia="Arial" w:hAnsi="Century Gothic" w:cs="Arial"/>
          <w:sz w:val="24"/>
          <w:szCs w:val="24"/>
        </w:rPr>
        <w:t>expedir</w:t>
      </w:r>
      <w:r w:rsidR="004D35C3">
        <w:rPr>
          <w:rFonts w:ascii="Century Gothic" w:eastAsia="Arial" w:hAnsi="Century Gothic" w:cs="Arial"/>
          <w:sz w:val="24"/>
          <w:szCs w:val="24"/>
        </w:rPr>
        <w:t xml:space="preserve"> </w:t>
      </w:r>
      <w:r w:rsidR="00C8092A">
        <w:rPr>
          <w:rFonts w:ascii="Century Gothic" w:eastAsia="Arial" w:hAnsi="Century Gothic" w:cs="Arial"/>
          <w:sz w:val="24"/>
          <w:szCs w:val="24"/>
        </w:rPr>
        <w:t>la regulación respectiva</w:t>
      </w:r>
      <w:r w:rsidR="004D35C3">
        <w:rPr>
          <w:rFonts w:ascii="Century Gothic" w:eastAsia="Arial" w:hAnsi="Century Gothic" w:cs="Arial"/>
          <w:sz w:val="24"/>
          <w:szCs w:val="24"/>
        </w:rPr>
        <w:t>.</w:t>
      </w:r>
    </w:p>
    <w:p w:rsidR="00315537" w:rsidRPr="00683018" w:rsidRDefault="00315537" w:rsidP="001E7D69">
      <w:pPr>
        <w:spacing w:line="360" w:lineRule="auto"/>
        <w:jc w:val="both"/>
        <w:rPr>
          <w:rFonts w:ascii="Century Gothic" w:hAnsi="Century Gothic" w:cs="Arial"/>
          <w:b/>
          <w:lang w:val="es-MX"/>
        </w:rPr>
      </w:pPr>
    </w:p>
    <w:p w:rsidR="00331CBA" w:rsidRDefault="003F4149" w:rsidP="001E7D69">
      <w:pPr>
        <w:pStyle w:val="Textoindependiente"/>
        <w:spacing w:line="360" w:lineRule="auto"/>
        <w:rPr>
          <w:rFonts w:ascii="Century Gothic" w:eastAsia="Arial Unicode MS" w:hAnsi="Century Gothic" w:cs="Arial"/>
        </w:rPr>
      </w:pPr>
      <w:r w:rsidRPr="003F4149">
        <w:rPr>
          <w:rFonts w:ascii="Century Gothic" w:hAnsi="Century Gothic" w:cs="Arial"/>
          <w:b/>
        </w:rPr>
        <w:t>VI</w:t>
      </w:r>
      <w:r w:rsidR="00C8092A">
        <w:rPr>
          <w:rFonts w:ascii="Century Gothic" w:hAnsi="Century Gothic" w:cs="Arial"/>
          <w:b/>
        </w:rPr>
        <w:t>I</w:t>
      </w:r>
      <w:r w:rsidRPr="003F4149">
        <w:rPr>
          <w:rFonts w:ascii="Century Gothic" w:hAnsi="Century Gothic" w:cs="Arial"/>
          <w:b/>
        </w:rPr>
        <w:t>.-</w:t>
      </w:r>
      <w:r>
        <w:rPr>
          <w:rFonts w:ascii="Century Gothic" w:hAnsi="Century Gothic" w:cs="Arial"/>
        </w:rPr>
        <w:t xml:space="preserve"> </w:t>
      </w:r>
      <w:r w:rsidR="00331CBA">
        <w:rPr>
          <w:rFonts w:ascii="Century Gothic" w:hAnsi="Century Gothic" w:cs="Arial"/>
        </w:rPr>
        <w:t xml:space="preserve">En virtud de lo </w:t>
      </w:r>
      <w:r>
        <w:rPr>
          <w:rFonts w:ascii="Century Gothic" w:hAnsi="Century Gothic" w:cs="Arial"/>
        </w:rPr>
        <w:t xml:space="preserve">anteriormente </w:t>
      </w:r>
      <w:r w:rsidR="00331CBA">
        <w:rPr>
          <w:rFonts w:ascii="Century Gothic" w:hAnsi="Century Gothic" w:cs="Arial"/>
        </w:rPr>
        <w:t>expuesto</w:t>
      </w:r>
      <w:r w:rsidR="00331CBA" w:rsidRPr="009568FB">
        <w:rPr>
          <w:rFonts w:ascii="Century Gothic" w:hAnsi="Century Gothic" w:cs="Arial"/>
        </w:rPr>
        <w:t xml:space="preserve">, </w:t>
      </w:r>
      <w:r w:rsidR="00165C38">
        <w:rPr>
          <w:rFonts w:ascii="Century Gothic" w:hAnsi="Century Gothic" w:cs="Arial"/>
        </w:rPr>
        <w:t xml:space="preserve">quienes integramos esta Comisión </w:t>
      </w:r>
      <w:r w:rsidR="00331CBA" w:rsidRPr="009568FB">
        <w:rPr>
          <w:rFonts w:ascii="Century Gothic" w:eastAsia="Arial Unicode MS" w:hAnsi="Century Gothic" w:cs="Arial"/>
        </w:rPr>
        <w:t>somete</w:t>
      </w:r>
      <w:r w:rsidR="00331CBA">
        <w:rPr>
          <w:rFonts w:ascii="Century Gothic" w:eastAsia="Arial Unicode MS" w:hAnsi="Century Gothic" w:cs="Arial"/>
        </w:rPr>
        <w:t>mos</w:t>
      </w:r>
      <w:r w:rsidR="00331CBA" w:rsidRPr="009568FB">
        <w:rPr>
          <w:rFonts w:ascii="Century Gothic" w:eastAsia="Arial Unicode MS" w:hAnsi="Century Gothic" w:cs="Arial"/>
        </w:rPr>
        <w:t xml:space="preserve"> a la consideració</w:t>
      </w:r>
      <w:r w:rsidR="00995192">
        <w:rPr>
          <w:rFonts w:ascii="Century Gothic" w:eastAsia="Arial Unicode MS" w:hAnsi="Century Gothic" w:cs="Arial"/>
        </w:rPr>
        <w:t>n del Pleno el presente proyecto</w:t>
      </w:r>
      <w:r w:rsidR="00331CBA" w:rsidRPr="009568FB">
        <w:rPr>
          <w:rFonts w:ascii="Century Gothic" w:eastAsia="Arial Unicode MS" w:hAnsi="Century Gothic" w:cs="Arial"/>
        </w:rPr>
        <w:t xml:space="preserve"> con carácter de</w:t>
      </w:r>
      <w:r w:rsidR="00331CBA">
        <w:rPr>
          <w:rFonts w:ascii="Century Gothic" w:eastAsia="Arial Unicode MS" w:hAnsi="Century Gothic" w:cs="Arial"/>
        </w:rPr>
        <w:t>:</w:t>
      </w:r>
    </w:p>
    <w:p w:rsidR="00331CBA" w:rsidRDefault="00331CBA" w:rsidP="00E512AA">
      <w:pPr>
        <w:pStyle w:val="Textoindependiente"/>
        <w:spacing w:line="360" w:lineRule="auto"/>
        <w:rPr>
          <w:rFonts w:ascii="Century Gothic" w:eastAsia="Arial Unicode MS" w:hAnsi="Century Gothic" w:cs="Arial"/>
        </w:rPr>
      </w:pPr>
    </w:p>
    <w:p w:rsidR="007935D2" w:rsidRDefault="007935D2" w:rsidP="007935D2">
      <w:pPr>
        <w:spacing w:line="360" w:lineRule="auto"/>
        <w:jc w:val="center"/>
        <w:rPr>
          <w:rFonts w:ascii="Century Gothic" w:eastAsia="Arial" w:hAnsi="Century Gothic" w:cs="Arial"/>
          <w:b/>
          <w:sz w:val="28"/>
          <w:szCs w:val="28"/>
        </w:rPr>
      </w:pPr>
      <w:bookmarkStart w:id="3" w:name="_gjdgxs" w:colFirst="0" w:colLast="0"/>
      <w:bookmarkEnd w:id="3"/>
      <w:r>
        <w:rPr>
          <w:rFonts w:ascii="Century Gothic" w:eastAsia="Arial" w:hAnsi="Century Gothic" w:cs="Arial"/>
          <w:b/>
          <w:sz w:val="28"/>
          <w:szCs w:val="28"/>
        </w:rPr>
        <w:t xml:space="preserve">A C U E R D O </w:t>
      </w:r>
    </w:p>
    <w:p w:rsidR="007935D2" w:rsidRPr="00683018" w:rsidRDefault="007935D2" w:rsidP="007935D2">
      <w:pPr>
        <w:spacing w:line="360" w:lineRule="auto"/>
        <w:jc w:val="center"/>
        <w:rPr>
          <w:rFonts w:ascii="Century Gothic" w:eastAsia="Arial" w:hAnsi="Century Gothic" w:cs="Arial"/>
          <w:b/>
          <w:szCs w:val="28"/>
        </w:rPr>
      </w:pPr>
    </w:p>
    <w:p w:rsidR="007935D2" w:rsidRPr="00683018" w:rsidRDefault="007935D2" w:rsidP="007935D2">
      <w:pPr>
        <w:spacing w:line="360" w:lineRule="auto"/>
        <w:jc w:val="both"/>
        <w:rPr>
          <w:rFonts w:ascii="Century Gothic" w:hAnsi="Century Gothic" w:cs="Arial"/>
        </w:rPr>
      </w:pPr>
      <w:r>
        <w:rPr>
          <w:rFonts w:ascii="Century Gothic" w:eastAsia="Arial" w:hAnsi="Century Gothic" w:cs="Arial"/>
          <w:b/>
          <w:sz w:val="28"/>
          <w:szCs w:val="28"/>
        </w:rPr>
        <w:t>PRIMERO.-</w:t>
      </w:r>
      <w:r>
        <w:rPr>
          <w:rFonts w:ascii="Century Gothic" w:eastAsia="Arial" w:hAnsi="Century Gothic" w:cs="Arial"/>
          <w:b/>
        </w:rPr>
        <w:t xml:space="preserve"> </w:t>
      </w:r>
      <w:r>
        <w:rPr>
          <w:rFonts w:ascii="Century Gothic" w:eastAsia="Arial" w:hAnsi="Century Gothic" w:cs="Arial"/>
        </w:rPr>
        <w:t>La Sexagésima Sexta Legislatura del Honorable C</w:t>
      </w:r>
      <w:r w:rsidR="004D35C3">
        <w:rPr>
          <w:rFonts w:ascii="Century Gothic" w:eastAsia="Arial" w:hAnsi="Century Gothic" w:cs="Arial"/>
        </w:rPr>
        <w:t xml:space="preserve">ongreso del Estado de Chihuahua, </w:t>
      </w:r>
      <w:r>
        <w:rPr>
          <w:rFonts w:ascii="Century Gothic" w:eastAsia="Arial" w:hAnsi="Century Gothic" w:cs="Arial"/>
        </w:rPr>
        <w:t xml:space="preserve">exhorta respetuosamente al </w:t>
      </w:r>
      <w:r w:rsidR="004D35C3">
        <w:rPr>
          <w:rFonts w:ascii="Century Gothic" w:eastAsia="Arial" w:hAnsi="Century Gothic" w:cs="Arial"/>
        </w:rPr>
        <w:t xml:space="preserve">Consejo de la Judicatura del </w:t>
      </w:r>
      <w:r>
        <w:rPr>
          <w:rFonts w:ascii="Century Gothic" w:hAnsi="Century Gothic" w:cs="Arial"/>
        </w:rPr>
        <w:t>Poder Ju</w:t>
      </w:r>
      <w:r w:rsidR="00507B45">
        <w:rPr>
          <w:rFonts w:ascii="Century Gothic" w:hAnsi="Century Gothic" w:cs="Arial"/>
        </w:rPr>
        <w:t>dicial del Estado</w:t>
      </w:r>
      <w:r w:rsidR="00C8092A">
        <w:rPr>
          <w:rFonts w:ascii="Century Gothic" w:hAnsi="Century Gothic" w:cs="Arial"/>
        </w:rPr>
        <w:t xml:space="preserve"> de Chihuahua</w:t>
      </w:r>
      <w:r>
        <w:rPr>
          <w:rFonts w:ascii="Century Gothic" w:hAnsi="Century Gothic" w:cs="Arial"/>
        </w:rPr>
        <w:t xml:space="preserve">, para que </w:t>
      </w:r>
      <w:r w:rsidR="00507B45">
        <w:rPr>
          <w:rFonts w:ascii="Century Gothic" w:hAnsi="Century Gothic" w:cs="Arial"/>
        </w:rPr>
        <w:t>en uso de sus atribuciones</w:t>
      </w:r>
      <w:r>
        <w:rPr>
          <w:rFonts w:ascii="Century Gothic" w:hAnsi="Century Gothic" w:cs="Arial"/>
        </w:rPr>
        <w:t xml:space="preserve">, </w:t>
      </w:r>
      <w:r w:rsidR="00507B45">
        <w:rPr>
          <w:rFonts w:ascii="Century Gothic" w:hAnsi="Century Gothic" w:cs="Arial"/>
        </w:rPr>
        <w:t xml:space="preserve">tenga a bien expedir los lineamientos o acuerdos generales </w:t>
      </w:r>
      <w:r w:rsidR="00683018">
        <w:rPr>
          <w:rFonts w:ascii="Century Gothic" w:hAnsi="Century Gothic" w:cs="Arial"/>
        </w:rPr>
        <w:t>sobre</w:t>
      </w:r>
      <w:r w:rsidR="00507B45">
        <w:rPr>
          <w:rFonts w:ascii="Century Gothic" w:hAnsi="Century Gothic" w:cs="Arial"/>
        </w:rPr>
        <w:t xml:space="preserve"> el</w:t>
      </w:r>
      <w:r w:rsidR="0032366C">
        <w:rPr>
          <w:rFonts w:ascii="Century Gothic" w:hAnsi="Century Gothic" w:cs="Arial"/>
        </w:rPr>
        <w:t xml:space="preserve"> acceso de periodistas y medios de comunicación a las audiencia</w:t>
      </w:r>
      <w:r w:rsidR="00683018">
        <w:rPr>
          <w:rFonts w:ascii="Century Gothic" w:hAnsi="Century Gothic" w:cs="Arial"/>
        </w:rPr>
        <w:t>s</w:t>
      </w:r>
      <w:r w:rsidR="0032366C">
        <w:rPr>
          <w:rFonts w:ascii="Century Gothic" w:hAnsi="Century Gothic" w:cs="Arial"/>
        </w:rPr>
        <w:t xml:space="preserve"> públicas</w:t>
      </w:r>
      <w:r w:rsidR="00507B45">
        <w:rPr>
          <w:rFonts w:ascii="Century Gothic" w:hAnsi="Century Gothic" w:cs="Arial"/>
        </w:rPr>
        <w:t>, a fin de garanti</w:t>
      </w:r>
      <w:r w:rsidR="00683018">
        <w:rPr>
          <w:rFonts w:ascii="Century Gothic" w:hAnsi="Century Gothic" w:cs="Arial"/>
        </w:rPr>
        <w:t xml:space="preserve">zar el principio de publicidad </w:t>
      </w:r>
      <w:r>
        <w:rPr>
          <w:rFonts w:ascii="Century Gothic" w:hAnsi="Century Gothic" w:cs="Arial"/>
        </w:rPr>
        <w:t xml:space="preserve">sin violar el debido proceso </w:t>
      </w:r>
      <w:r w:rsidR="00507B45">
        <w:rPr>
          <w:rFonts w:ascii="Century Gothic" w:hAnsi="Century Gothic" w:cs="Arial"/>
        </w:rPr>
        <w:t>y l</w:t>
      </w:r>
      <w:r w:rsidR="00683018">
        <w:rPr>
          <w:rFonts w:ascii="Century Gothic" w:hAnsi="Century Gothic" w:cs="Arial"/>
        </w:rPr>
        <w:t xml:space="preserve">a presunción de inocencia de las </w:t>
      </w:r>
      <w:r w:rsidR="00507B45">
        <w:rPr>
          <w:rFonts w:ascii="Century Gothic" w:hAnsi="Century Gothic" w:cs="Arial"/>
        </w:rPr>
        <w:t>persona</w:t>
      </w:r>
      <w:r w:rsidR="00683018">
        <w:rPr>
          <w:rFonts w:ascii="Century Gothic" w:hAnsi="Century Gothic" w:cs="Arial"/>
        </w:rPr>
        <w:t>s</w:t>
      </w:r>
      <w:r>
        <w:rPr>
          <w:rFonts w:ascii="Century Gothic" w:hAnsi="Century Gothic" w:cs="Arial"/>
        </w:rPr>
        <w:t xml:space="preserve"> imputad</w:t>
      </w:r>
      <w:r w:rsidR="00507B45">
        <w:rPr>
          <w:rFonts w:ascii="Century Gothic" w:hAnsi="Century Gothic" w:cs="Arial"/>
        </w:rPr>
        <w:t>a</w:t>
      </w:r>
      <w:r w:rsidR="00683018">
        <w:rPr>
          <w:rFonts w:ascii="Century Gothic" w:hAnsi="Century Gothic" w:cs="Arial"/>
        </w:rPr>
        <w:t>s.</w:t>
      </w:r>
      <w:r w:rsidR="00C8092A">
        <w:rPr>
          <w:rFonts w:ascii="Century Gothic" w:hAnsi="Century Gothic" w:cs="Arial"/>
        </w:rPr>
        <w:t xml:space="preserve"> Lo anterior, de conformidad con lo dispuesto por el artículo 5° del Código Nacional de Procedimientos Penales, en relación con el artículo 131, fracción II de la Ley Orgánica del Poder Judicial del Estado de Chihuahua.</w:t>
      </w:r>
    </w:p>
    <w:p w:rsidR="007935D2" w:rsidRDefault="007935D2" w:rsidP="007935D2">
      <w:pPr>
        <w:spacing w:line="360" w:lineRule="auto"/>
        <w:jc w:val="both"/>
        <w:rPr>
          <w:rFonts w:ascii="Century Gothic" w:eastAsia="Arial" w:hAnsi="Century Gothic" w:cs="Arial"/>
        </w:rPr>
      </w:pPr>
    </w:p>
    <w:p w:rsidR="007935D2" w:rsidRDefault="00683018" w:rsidP="007935D2">
      <w:pPr>
        <w:spacing w:line="360" w:lineRule="auto"/>
        <w:jc w:val="both"/>
        <w:rPr>
          <w:rFonts w:ascii="Century Gothic" w:eastAsia="Arial" w:hAnsi="Century Gothic" w:cs="Arial"/>
        </w:rPr>
      </w:pPr>
      <w:r>
        <w:rPr>
          <w:rFonts w:ascii="Century Gothic" w:eastAsia="Arial" w:hAnsi="Century Gothic" w:cs="Arial"/>
          <w:b/>
          <w:sz w:val="28"/>
          <w:szCs w:val="28"/>
        </w:rPr>
        <w:t>SEGUNDO</w:t>
      </w:r>
      <w:r w:rsidR="007935D2">
        <w:rPr>
          <w:rFonts w:ascii="Century Gothic" w:eastAsia="Arial" w:hAnsi="Century Gothic" w:cs="Arial"/>
          <w:b/>
          <w:sz w:val="28"/>
          <w:szCs w:val="28"/>
        </w:rPr>
        <w:t xml:space="preserve">.- </w:t>
      </w:r>
      <w:r w:rsidR="007935D2">
        <w:rPr>
          <w:rFonts w:ascii="Century Gothic" w:eastAsia="Arial" w:hAnsi="Century Gothic" w:cs="Arial"/>
        </w:rPr>
        <w:t>Remítase copia del presente Acuerdo a las autoridades antes mencionadas, para su conocimiento y los efectos conducentes.</w:t>
      </w:r>
    </w:p>
    <w:p w:rsidR="00AE35C5" w:rsidRDefault="00AE35C5" w:rsidP="00315537">
      <w:pPr>
        <w:spacing w:line="360" w:lineRule="auto"/>
        <w:jc w:val="both"/>
        <w:rPr>
          <w:rFonts w:ascii="Century Gothic" w:hAnsi="Century Gothic" w:cs="Arial"/>
          <w:b/>
        </w:rPr>
      </w:pPr>
    </w:p>
    <w:p w:rsidR="00800A6D" w:rsidRDefault="0042542C" w:rsidP="00315537">
      <w:pPr>
        <w:spacing w:line="360" w:lineRule="auto"/>
        <w:jc w:val="both"/>
        <w:rPr>
          <w:rFonts w:ascii="Century Gothic" w:hAnsi="Century Gothic" w:cs="Arial"/>
        </w:rPr>
      </w:pPr>
      <w:r w:rsidRPr="00315537">
        <w:rPr>
          <w:rFonts w:ascii="Century Gothic" w:hAnsi="Century Gothic" w:cs="Arial"/>
          <w:b/>
        </w:rPr>
        <w:lastRenderedPageBreak/>
        <w:t>ECONÓMICO.-</w:t>
      </w:r>
      <w:r>
        <w:rPr>
          <w:rFonts w:ascii="Century Gothic" w:hAnsi="Century Gothic" w:cs="Arial"/>
        </w:rPr>
        <w:t xml:space="preserve"> Aprobado que sea, túrnese a la</w:t>
      </w:r>
      <w:r w:rsidR="007935D2">
        <w:rPr>
          <w:rFonts w:ascii="Century Gothic" w:hAnsi="Century Gothic" w:cs="Arial"/>
        </w:rPr>
        <w:t xml:space="preserve"> Secretaría para que elabore el Acuerdo</w:t>
      </w:r>
      <w:r>
        <w:rPr>
          <w:rFonts w:ascii="Century Gothic" w:hAnsi="Century Gothic" w:cs="Arial"/>
        </w:rPr>
        <w:t xml:space="preserve"> en los términos </w:t>
      </w:r>
      <w:r w:rsidR="007935D2">
        <w:rPr>
          <w:rFonts w:ascii="Century Gothic" w:hAnsi="Century Gothic" w:cs="Arial"/>
        </w:rPr>
        <w:t>que corresponda.</w:t>
      </w:r>
    </w:p>
    <w:p w:rsidR="00800A6D" w:rsidRPr="00683018" w:rsidRDefault="00800A6D" w:rsidP="00315537">
      <w:pPr>
        <w:spacing w:line="360" w:lineRule="auto"/>
        <w:jc w:val="both"/>
        <w:rPr>
          <w:rFonts w:ascii="Century Gothic" w:hAnsi="Century Gothic" w:cs="Arial"/>
          <w:b/>
        </w:rPr>
      </w:pPr>
    </w:p>
    <w:p w:rsidR="00683018" w:rsidRDefault="000556C9" w:rsidP="00683018">
      <w:pPr>
        <w:pStyle w:val="Normal2"/>
        <w:widowControl w:val="0"/>
        <w:spacing w:line="360" w:lineRule="auto"/>
        <w:jc w:val="both"/>
        <w:rPr>
          <w:rFonts w:ascii="Century Gothic" w:eastAsia="Arial" w:hAnsi="Century Gothic" w:cs="Arial"/>
          <w:szCs w:val="24"/>
          <w:lang w:val="es-MX"/>
        </w:rPr>
      </w:pP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A</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D</w:t>
      </w:r>
      <w:r>
        <w:rPr>
          <w:rFonts w:ascii="Century Gothic" w:eastAsia="Arial" w:hAnsi="Century Gothic" w:cs="Arial"/>
          <w:b/>
          <w:szCs w:val="24"/>
          <w:lang w:val="es-MX"/>
        </w:rPr>
        <w:t xml:space="preserve"> </w:t>
      </w:r>
      <w:r w:rsidRPr="00A335F4">
        <w:rPr>
          <w:rFonts w:ascii="Century Gothic" w:eastAsia="Arial" w:hAnsi="Century Gothic" w:cs="Arial"/>
          <w:b/>
          <w:szCs w:val="24"/>
          <w:lang w:val="es-MX"/>
        </w:rPr>
        <w:t>O</w:t>
      </w:r>
      <w:r w:rsidRPr="00A335F4">
        <w:rPr>
          <w:rFonts w:ascii="Century Gothic" w:eastAsia="Arial" w:hAnsi="Century Gothic" w:cs="Arial"/>
          <w:szCs w:val="24"/>
          <w:lang w:val="es-MX"/>
        </w:rPr>
        <w:t xml:space="preserve"> en Sala de Plenos del Poder Legislativo, en la Ciudad de Chihuahua, Chih., a los </w:t>
      </w:r>
      <w:r w:rsidR="009C78BF">
        <w:rPr>
          <w:rFonts w:ascii="Century Gothic" w:eastAsia="Arial" w:hAnsi="Century Gothic" w:cs="Arial"/>
          <w:szCs w:val="24"/>
          <w:lang w:val="es-MX"/>
        </w:rPr>
        <w:t>ocho</w:t>
      </w:r>
      <w:r>
        <w:rPr>
          <w:rFonts w:ascii="Century Gothic" w:eastAsia="Arial" w:hAnsi="Century Gothic" w:cs="Arial"/>
          <w:szCs w:val="24"/>
          <w:lang w:val="es-MX"/>
        </w:rPr>
        <w:t xml:space="preserve"> días</w:t>
      </w:r>
      <w:r w:rsidRPr="00A335F4">
        <w:rPr>
          <w:rFonts w:ascii="Century Gothic" w:eastAsia="Arial" w:hAnsi="Century Gothic" w:cs="Arial"/>
          <w:szCs w:val="24"/>
          <w:lang w:val="es-MX"/>
        </w:rPr>
        <w:t xml:space="preserve"> del mes de </w:t>
      </w:r>
      <w:r w:rsidR="009C78BF">
        <w:rPr>
          <w:rFonts w:ascii="Century Gothic" w:eastAsia="Arial" w:hAnsi="Century Gothic" w:cs="Arial"/>
          <w:szCs w:val="24"/>
          <w:lang w:val="es-MX"/>
        </w:rPr>
        <w:t>septiembre</w:t>
      </w:r>
      <w:r>
        <w:rPr>
          <w:rFonts w:ascii="Century Gothic" w:eastAsia="Arial" w:hAnsi="Century Gothic" w:cs="Arial"/>
          <w:szCs w:val="24"/>
          <w:lang w:val="es-MX"/>
        </w:rPr>
        <w:t xml:space="preserve"> </w:t>
      </w:r>
      <w:r w:rsidRPr="00A335F4">
        <w:rPr>
          <w:rFonts w:ascii="Century Gothic" w:eastAsia="Arial" w:hAnsi="Century Gothic" w:cs="Arial"/>
          <w:szCs w:val="24"/>
          <w:lang w:val="es-MX"/>
        </w:rPr>
        <w:t>del año dos mil</w:t>
      </w:r>
      <w:r>
        <w:rPr>
          <w:rFonts w:ascii="Century Gothic" w:eastAsia="Arial" w:hAnsi="Century Gothic" w:cs="Arial"/>
          <w:szCs w:val="24"/>
          <w:lang w:val="es-MX"/>
        </w:rPr>
        <w:t xml:space="preserve"> </w:t>
      </w:r>
      <w:r w:rsidR="00062B46">
        <w:rPr>
          <w:rFonts w:ascii="Century Gothic" w:eastAsia="Arial" w:hAnsi="Century Gothic" w:cs="Arial"/>
          <w:szCs w:val="24"/>
          <w:lang w:val="es-MX"/>
        </w:rPr>
        <w:t>veinte</w:t>
      </w:r>
      <w:r>
        <w:rPr>
          <w:rFonts w:ascii="Century Gothic" w:eastAsia="Arial" w:hAnsi="Century Gothic" w:cs="Arial"/>
          <w:szCs w:val="24"/>
          <w:lang w:val="es-MX"/>
        </w:rPr>
        <w:t>.</w:t>
      </w: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FC6F87" w:rsidRDefault="00FC6F87"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9C78BF" w:rsidRDefault="009C78BF" w:rsidP="00683018">
      <w:pPr>
        <w:pStyle w:val="Normal2"/>
        <w:widowControl w:val="0"/>
        <w:spacing w:line="360" w:lineRule="auto"/>
        <w:jc w:val="both"/>
        <w:rPr>
          <w:rFonts w:ascii="Century Gothic" w:eastAsia="Arial" w:hAnsi="Century Gothic" w:cs="Arial"/>
        </w:rPr>
      </w:pPr>
    </w:p>
    <w:p w:rsidR="00C8092A" w:rsidRDefault="00C8092A" w:rsidP="00683018">
      <w:pPr>
        <w:pStyle w:val="Normal2"/>
        <w:widowControl w:val="0"/>
        <w:spacing w:line="360" w:lineRule="auto"/>
        <w:jc w:val="both"/>
        <w:rPr>
          <w:rFonts w:ascii="Century Gothic" w:eastAsia="Arial" w:hAnsi="Century Gothic" w:cs="Arial"/>
        </w:rPr>
      </w:pPr>
    </w:p>
    <w:p w:rsidR="00331CBA" w:rsidRPr="00683018" w:rsidRDefault="00E52DCF" w:rsidP="00683018">
      <w:pPr>
        <w:pStyle w:val="Normal2"/>
        <w:widowControl w:val="0"/>
        <w:spacing w:line="360" w:lineRule="auto"/>
        <w:jc w:val="both"/>
        <w:rPr>
          <w:rFonts w:ascii="Century Gothic" w:eastAsia="Arial" w:hAnsi="Century Gothic" w:cs="Arial"/>
          <w:szCs w:val="24"/>
          <w:lang w:val="es-MX"/>
        </w:rPr>
      </w:pPr>
      <w:r>
        <w:rPr>
          <w:rFonts w:ascii="Century Gothic" w:eastAsia="Arial" w:hAnsi="Century Gothic" w:cs="Arial"/>
        </w:rPr>
        <w:lastRenderedPageBreak/>
        <w:t>A</w:t>
      </w:r>
      <w:r w:rsidR="00331CBA" w:rsidRPr="00165C38">
        <w:rPr>
          <w:rFonts w:ascii="Century Gothic" w:eastAsia="Arial" w:hAnsi="Century Gothic" w:cs="Arial"/>
        </w:rPr>
        <w:t>sí lo aprob</w:t>
      </w:r>
      <w:r w:rsidR="00E25FD9">
        <w:rPr>
          <w:rFonts w:ascii="Century Gothic" w:eastAsia="Arial" w:hAnsi="Century Gothic" w:cs="Arial"/>
        </w:rPr>
        <w:t>ó la Comisión de Transparencia,</w:t>
      </w:r>
      <w:r w:rsidR="00331CBA" w:rsidRPr="00165C38">
        <w:rPr>
          <w:rFonts w:ascii="Century Gothic" w:eastAsia="Arial" w:hAnsi="Century Gothic" w:cs="Arial"/>
        </w:rPr>
        <w:t xml:space="preserve"> Acces</w:t>
      </w:r>
      <w:r w:rsidR="00E25FD9">
        <w:rPr>
          <w:rFonts w:ascii="Century Gothic" w:eastAsia="Arial" w:hAnsi="Century Gothic" w:cs="Arial"/>
        </w:rPr>
        <w:t>o a la Información</w:t>
      </w:r>
      <w:r w:rsidR="001933D0">
        <w:rPr>
          <w:rFonts w:ascii="Century Gothic" w:eastAsia="Arial" w:hAnsi="Century Gothic" w:cs="Arial"/>
        </w:rPr>
        <w:t xml:space="preserve"> Pública</w:t>
      </w:r>
      <w:r w:rsidR="00E25FD9">
        <w:rPr>
          <w:rFonts w:ascii="Century Gothic" w:eastAsia="Arial" w:hAnsi="Century Gothic" w:cs="Arial"/>
        </w:rPr>
        <w:t xml:space="preserve"> y Parlamento Abierto</w:t>
      </w:r>
      <w:r w:rsidR="001535B1">
        <w:rPr>
          <w:rFonts w:ascii="Century Gothic" w:eastAsia="Arial" w:hAnsi="Century Gothic" w:cs="Arial"/>
        </w:rPr>
        <w:t xml:space="preserve">, en reunión de fecha </w:t>
      </w:r>
      <w:r w:rsidR="009C78BF">
        <w:rPr>
          <w:rFonts w:ascii="Century Gothic" w:eastAsia="Arial" w:hAnsi="Century Gothic" w:cs="Arial"/>
        </w:rPr>
        <w:t>dos</w:t>
      </w:r>
      <w:r w:rsidR="007139D2">
        <w:rPr>
          <w:rFonts w:ascii="Century Gothic" w:eastAsia="Arial" w:hAnsi="Century Gothic" w:cs="Arial"/>
        </w:rPr>
        <w:t xml:space="preserve"> </w:t>
      </w:r>
      <w:r w:rsidR="00315537">
        <w:rPr>
          <w:rFonts w:ascii="Century Gothic" w:eastAsia="Arial" w:hAnsi="Century Gothic" w:cs="Arial"/>
        </w:rPr>
        <w:t xml:space="preserve">de </w:t>
      </w:r>
      <w:r w:rsidR="009C78BF">
        <w:rPr>
          <w:rFonts w:ascii="Century Gothic" w:eastAsia="Arial" w:hAnsi="Century Gothic" w:cs="Arial"/>
        </w:rPr>
        <w:t>septiembre</w:t>
      </w:r>
      <w:bookmarkStart w:id="4" w:name="_GoBack"/>
      <w:bookmarkEnd w:id="4"/>
      <w:r w:rsidR="00315537">
        <w:rPr>
          <w:rFonts w:ascii="Century Gothic" w:eastAsia="Arial" w:hAnsi="Century Gothic" w:cs="Arial"/>
        </w:rPr>
        <w:t xml:space="preserve"> </w:t>
      </w:r>
      <w:r w:rsidR="001535B1">
        <w:rPr>
          <w:rFonts w:ascii="Century Gothic" w:eastAsia="Arial" w:hAnsi="Century Gothic" w:cs="Arial"/>
        </w:rPr>
        <w:t xml:space="preserve">del año dos mil </w:t>
      </w:r>
      <w:r w:rsidR="007139D2">
        <w:rPr>
          <w:rFonts w:ascii="Century Gothic" w:eastAsia="Arial" w:hAnsi="Century Gothic" w:cs="Arial"/>
        </w:rPr>
        <w:t>veinte</w:t>
      </w:r>
      <w:r w:rsidR="00331CBA" w:rsidRPr="00165C38">
        <w:rPr>
          <w:rFonts w:ascii="Century Gothic" w:eastAsia="Arial" w:hAnsi="Century Gothic" w:cs="Arial"/>
        </w:rPr>
        <w:t>.</w:t>
      </w:r>
    </w:p>
    <w:p w:rsidR="00315537" w:rsidRPr="00AE35C5" w:rsidRDefault="00315537" w:rsidP="001933D0">
      <w:pPr>
        <w:pStyle w:val="Normal1"/>
        <w:spacing w:line="360" w:lineRule="auto"/>
        <w:jc w:val="both"/>
        <w:rPr>
          <w:rFonts w:ascii="Century Gothic" w:eastAsia="Arial" w:hAnsi="Century Gothic" w:cs="Arial"/>
          <w:b/>
          <w:sz w:val="12"/>
        </w:rPr>
      </w:pPr>
    </w:p>
    <w:p w:rsidR="00331CBA" w:rsidRPr="004B6514" w:rsidRDefault="00F1142F" w:rsidP="001933D0">
      <w:pPr>
        <w:pStyle w:val="Normal1"/>
        <w:spacing w:line="360" w:lineRule="auto"/>
        <w:jc w:val="both"/>
        <w:rPr>
          <w:rFonts w:ascii="Century Gothic" w:eastAsia="Arial" w:hAnsi="Century Gothic" w:cs="Arial"/>
          <w:b/>
        </w:rPr>
      </w:pPr>
      <w:r>
        <w:rPr>
          <w:rFonts w:ascii="Century Gothic" w:eastAsia="Arial" w:hAnsi="Century Gothic" w:cs="Arial"/>
          <w:b/>
        </w:rPr>
        <w:t xml:space="preserve">POR LA COMISIÓN </w:t>
      </w:r>
      <w:r w:rsidR="001933D0">
        <w:rPr>
          <w:rFonts w:ascii="Century Gothic" w:eastAsia="Arial" w:hAnsi="Century Gothic" w:cs="Arial"/>
          <w:b/>
        </w:rPr>
        <w:t>DE TRANSPARENCIA,</w:t>
      </w:r>
      <w:r w:rsidR="00331CBA" w:rsidRPr="004B6514">
        <w:rPr>
          <w:rFonts w:ascii="Century Gothic" w:eastAsia="Arial" w:hAnsi="Century Gothic" w:cs="Arial"/>
          <w:b/>
        </w:rPr>
        <w:t xml:space="preserve"> ACCESO A LA INFORMACIÓN PÚBLICA</w:t>
      </w:r>
      <w:r w:rsidR="001933D0">
        <w:rPr>
          <w:rFonts w:ascii="Century Gothic" w:eastAsia="Arial" w:hAnsi="Century Gothic" w:cs="Arial"/>
          <w:b/>
        </w:rPr>
        <w:t xml:space="preserve"> Y PARLAMENTO ABIERTO</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2562"/>
        <w:gridCol w:w="2087"/>
        <w:gridCol w:w="1573"/>
        <w:gridCol w:w="1942"/>
      </w:tblGrid>
      <w:tr w:rsidR="00331CBA" w:rsidRPr="004B6514" w:rsidTr="001933D0">
        <w:trPr>
          <w:jc w:val="center"/>
        </w:trPr>
        <w:tc>
          <w:tcPr>
            <w:tcW w:w="1375" w:type="dxa"/>
          </w:tcPr>
          <w:p w:rsidR="00331CBA" w:rsidRPr="004B6514" w:rsidRDefault="00331CBA" w:rsidP="007C6780">
            <w:pPr>
              <w:pStyle w:val="Normal1"/>
              <w:spacing w:line="360" w:lineRule="auto"/>
              <w:jc w:val="both"/>
              <w:rPr>
                <w:rFonts w:ascii="Century Gothic" w:hAnsi="Century Gothic" w:cs="Arial"/>
                <w:b/>
                <w:sz w:val="22"/>
                <w:szCs w:val="22"/>
              </w:rPr>
            </w:pPr>
          </w:p>
        </w:tc>
        <w:tc>
          <w:tcPr>
            <w:tcW w:w="2595" w:type="dxa"/>
          </w:tcPr>
          <w:p w:rsidR="00331CBA" w:rsidRPr="004B6514" w:rsidRDefault="00331CBA"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INTEGRANTES</w:t>
            </w:r>
          </w:p>
        </w:tc>
        <w:tc>
          <w:tcPr>
            <w:tcW w:w="2126" w:type="dxa"/>
          </w:tcPr>
          <w:p w:rsidR="00331CBA" w:rsidRPr="004B6514" w:rsidRDefault="00331CBA"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 FAVOR</w:t>
            </w:r>
          </w:p>
        </w:tc>
        <w:tc>
          <w:tcPr>
            <w:tcW w:w="1589" w:type="dxa"/>
          </w:tcPr>
          <w:p w:rsidR="00331CBA" w:rsidRPr="004B6514" w:rsidRDefault="00331CBA"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EN CONTRA</w:t>
            </w:r>
          </w:p>
        </w:tc>
        <w:tc>
          <w:tcPr>
            <w:tcW w:w="1955" w:type="dxa"/>
          </w:tcPr>
          <w:p w:rsidR="00331CBA" w:rsidRPr="004B6514" w:rsidRDefault="00331CBA" w:rsidP="007C6780">
            <w:pPr>
              <w:pStyle w:val="Normal1"/>
              <w:spacing w:line="360" w:lineRule="auto"/>
              <w:jc w:val="center"/>
              <w:rPr>
                <w:rFonts w:ascii="Century Gothic" w:hAnsi="Century Gothic" w:cs="Arial"/>
                <w:b/>
                <w:sz w:val="22"/>
                <w:szCs w:val="22"/>
              </w:rPr>
            </w:pPr>
            <w:r w:rsidRPr="004B6514">
              <w:rPr>
                <w:rFonts w:ascii="Century Gothic" w:hAnsi="Century Gothic" w:cs="Arial"/>
                <w:b/>
                <w:sz w:val="22"/>
                <w:szCs w:val="22"/>
              </w:rPr>
              <w:t>ABSTENCIÓN</w:t>
            </w:r>
          </w:p>
        </w:tc>
      </w:tr>
      <w:tr w:rsidR="00331CBA" w:rsidRPr="00A61F38" w:rsidTr="001933D0">
        <w:trPr>
          <w:jc w:val="center"/>
        </w:trPr>
        <w:tc>
          <w:tcPr>
            <w:tcW w:w="1375"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98162" cy="798162"/>
                  <wp:effectExtent l="0" t="0" r="2540" b="2540"/>
                  <wp:docPr id="1" name="Imagen 1" descr="1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89"/>
                          <pic:cNvPicPr>
                            <a:picLocks noChangeAspect="1" noChangeArrowheads="1"/>
                          </pic:cNvPicPr>
                        </pic:nvPicPr>
                        <pic:blipFill>
                          <a:blip r:embed="rId8" cstate="print"/>
                          <a:srcRect/>
                          <a:stretch>
                            <a:fillRect/>
                          </a:stretch>
                        </pic:blipFill>
                        <pic:spPr bwMode="auto">
                          <a:xfrm>
                            <a:off x="0" y="0"/>
                            <a:ext cx="798764" cy="798764"/>
                          </a:xfrm>
                          <a:prstGeom prst="rect">
                            <a:avLst/>
                          </a:prstGeom>
                          <a:noFill/>
                          <a:ln w="9525">
                            <a:noFill/>
                            <a:miter lim="800000"/>
                            <a:headEnd/>
                            <a:tailEnd/>
                          </a:ln>
                        </pic:spPr>
                      </pic:pic>
                    </a:graphicData>
                  </a:graphic>
                </wp:inline>
              </w:drawing>
            </w:r>
          </w:p>
        </w:tc>
        <w:tc>
          <w:tcPr>
            <w:tcW w:w="2595" w:type="dxa"/>
          </w:tcPr>
          <w:p w:rsidR="00331CBA" w:rsidRPr="004B6514" w:rsidRDefault="00331CBA" w:rsidP="007C6780">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BLANCA GÁMEZ GUTIÉRREZ</w:t>
            </w:r>
          </w:p>
          <w:p w:rsidR="00331CBA" w:rsidRPr="00991167" w:rsidRDefault="00165C38" w:rsidP="007C6780">
            <w:pPr>
              <w:pStyle w:val="Normal1"/>
              <w:spacing w:line="360" w:lineRule="auto"/>
              <w:jc w:val="center"/>
              <w:rPr>
                <w:rFonts w:ascii="Century Gothic" w:hAnsi="Century Gothic" w:cs="Arial"/>
                <w:b/>
                <w:sz w:val="22"/>
                <w:szCs w:val="22"/>
              </w:rPr>
            </w:pPr>
            <w:r w:rsidRPr="00991167">
              <w:rPr>
                <w:rStyle w:val="Estilo2"/>
                <w:rFonts w:ascii="Century Gothic" w:hAnsi="Century Gothic" w:cs="Arial"/>
                <w:caps w:val="0"/>
                <w:sz w:val="22"/>
                <w:szCs w:val="22"/>
              </w:rPr>
              <w:t>PRESIDENT</w:t>
            </w:r>
            <w:r>
              <w:rPr>
                <w:rStyle w:val="Estilo2"/>
                <w:rFonts w:ascii="Century Gothic" w:hAnsi="Century Gothic" w:cs="Arial"/>
                <w:caps w:val="0"/>
                <w:sz w:val="22"/>
                <w:szCs w:val="22"/>
              </w:rPr>
              <w:t>A</w:t>
            </w:r>
          </w:p>
        </w:tc>
        <w:tc>
          <w:tcPr>
            <w:tcW w:w="2126" w:type="dxa"/>
          </w:tcPr>
          <w:p w:rsidR="00331CBA" w:rsidRPr="00A61F38" w:rsidRDefault="00331CBA" w:rsidP="007C6780">
            <w:pPr>
              <w:pStyle w:val="Normal1"/>
              <w:spacing w:line="360" w:lineRule="auto"/>
              <w:jc w:val="both"/>
              <w:rPr>
                <w:rFonts w:ascii="Century Gothic" w:hAnsi="Century Gothic" w:cs="Arial"/>
                <w:b/>
              </w:rPr>
            </w:pPr>
          </w:p>
        </w:tc>
        <w:tc>
          <w:tcPr>
            <w:tcW w:w="1589" w:type="dxa"/>
          </w:tcPr>
          <w:p w:rsidR="00331CBA" w:rsidRPr="00A61F38" w:rsidRDefault="00331CBA" w:rsidP="007C6780">
            <w:pPr>
              <w:pStyle w:val="Normal1"/>
              <w:spacing w:line="360" w:lineRule="auto"/>
              <w:jc w:val="both"/>
              <w:rPr>
                <w:rFonts w:ascii="Century Gothic" w:hAnsi="Century Gothic" w:cs="Arial"/>
                <w:b/>
              </w:rPr>
            </w:pPr>
          </w:p>
        </w:tc>
        <w:tc>
          <w:tcPr>
            <w:tcW w:w="1955"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1933D0">
        <w:trPr>
          <w:jc w:val="center"/>
        </w:trPr>
        <w:tc>
          <w:tcPr>
            <w:tcW w:w="1375"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84839" cy="784839"/>
                  <wp:effectExtent l="0" t="0" r="0" b="0"/>
                  <wp:docPr id="2" name="Imagen 2" descr="1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74"/>
                          <pic:cNvPicPr>
                            <a:picLocks noChangeAspect="1" noChangeArrowheads="1"/>
                          </pic:cNvPicPr>
                        </pic:nvPicPr>
                        <pic:blipFill>
                          <a:blip r:embed="rId9" cstate="print"/>
                          <a:srcRect/>
                          <a:stretch>
                            <a:fillRect/>
                          </a:stretch>
                        </pic:blipFill>
                        <pic:spPr bwMode="auto">
                          <a:xfrm>
                            <a:off x="0" y="0"/>
                            <a:ext cx="788377" cy="788377"/>
                          </a:xfrm>
                          <a:prstGeom prst="rect">
                            <a:avLst/>
                          </a:prstGeom>
                          <a:noFill/>
                          <a:ln w="9525">
                            <a:noFill/>
                            <a:miter lim="800000"/>
                            <a:headEnd/>
                            <a:tailEnd/>
                          </a:ln>
                        </pic:spPr>
                      </pic:pic>
                    </a:graphicData>
                  </a:graphic>
                </wp:inline>
              </w:drawing>
            </w:r>
          </w:p>
        </w:tc>
        <w:tc>
          <w:tcPr>
            <w:tcW w:w="2595" w:type="dxa"/>
          </w:tcPr>
          <w:p w:rsidR="00331CBA" w:rsidRDefault="00331CBA" w:rsidP="007C6780">
            <w:pPr>
              <w:pStyle w:val="Normal1"/>
              <w:spacing w:line="360" w:lineRule="auto"/>
              <w:jc w:val="center"/>
              <w:rPr>
                <w:rFonts w:ascii="Century Gothic" w:eastAsia="Arial" w:hAnsi="Century Gothic" w:cs="Arial"/>
                <w:b/>
                <w:sz w:val="22"/>
                <w:szCs w:val="22"/>
                <w:lang w:val="es-ES"/>
              </w:rPr>
            </w:pPr>
            <w:r w:rsidRPr="004B6514">
              <w:rPr>
                <w:rFonts w:ascii="Century Gothic" w:eastAsia="Arial" w:hAnsi="Century Gothic" w:cs="Arial"/>
                <w:b/>
                <w:sz w:val="22"/>
                <w:szCs w:val="22"/>
                <w:lang w:val="es-ES"/>
              </w:rPr>
              <w:t>DIP. JANET FRANCIS MENDOZA BERBER</w:t>
            </w:r>
          </w:p>
          <w:p w:rsidR="00165C38" w:rsidRPr="004B6514" w:rsidRDefault="00165C38" w:rsidP="007C6780">
            <w:pPr>
              <w:pStyle w:val="Normal1"/>
              <w:spacing w:line="360" w:lineRule="auto"/>
              <w:jc w:val="center"/>
              <w:rPr>
                <w:rFonts w:ascii="Century Gothic" w:eastAsia="Arial" w:hAnsi="Century Gothic" w:cs="Arial"/>
                <w:b/>
                <w:sz w:val="22"/>
                <w:szCs w:val="22"/>
                <w:lang w:val="es-ES"/>
              </w:rPr>
            </w:pPr>
            <w:r>
              <w:rPr>
                <w:rFonts w:ascii="Century Gothic" w:hAnsi="Century Gothic" w:cs="Arial"/>
                <w:b/>
                <w:sz w:val="22"/>
                <w:szCs w:val="22"/>
              </w:rPr>
              <w:t>SECRETARIA</w:t>
            </w:r>
          </w:p>
        </w:tc>
        <w:tc>
          <w:tcPr>
            <w:tcW w:w="2126" w:type="dxa"/>
          </w:tcPr>
          <w:p w:rsidR="00331CBA" w:rsidRPr="00A61F38" w:rsidRDefault="00331CBA" w:rsidP="007C6780">
            <w:pPr>
              <w:pStyle w:val="Normal1"/>
              <w:spacing w:line="360" w:lineRule="auto"/>
              <w:jc w:val="both"/>
              <w:rPr>
                <w:rFonts w:ascii="Century Gothic" w:hAnsi="Century Gothic" w:cs="Arial"/>
                <w:b/>
              </w:rPr>
            </w:pPr>
          </w:p>
        </w:tc>
        <w:tc>
          <w:tcPr>
            <w:tcW w:w="1589" w:type="dxa"/>
          </w:tcPr>
          <w:p w:rsidR="00331CBA" w:rsidRPr="00A61F38" w:rsidRDefault="00331CBA" w:rsidP="007C6780">
            <w:pPr>
              <w:pStyle w:val="Normal1"/>
              <w:spacing w:line="360" w:lineRule="auto"/>
              <w:jc w:val="both"/>
              <w:rPr>
                <w:rFonts w:ascii="Century Gothic" w:hAnsi="Century Gothic" w:cs="Arial"/>
                <w:b/>
              </w:rPr>
            </w:pPr>
          </w:p>
        </w:tc>
        <w:tc>
          <w:tcPr>
            <w:tcW w:w="1955"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1933D0">
        <w:trPr>
          <w:jc w:val="center"/>
        </w:trPr>
        <w:tc>
          <w:tcPr>
            <w:tcW w:w="1375"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74916" cy="774916"/>
                  <wp:effectExtent l="0" t="0" r="6350" b="6350"/>
                  <wp:docPr id="3" name="Imagen 3" descr="1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98"/>
                          <pic:cNvPicPr>
                            <a:picLocks noChangeAspect="1" noChangeArrowheads="1"/>
                          </pic:cNvPicPr>
                        </pic:nvPicPr>
                        <pic:blipFill>
                          <a:blip r:embed="rId10" cstate="print"/>
                          <a:srcRect/>
                          <a:stretch>
                            <a:fillRect/>
                          </a:stretch>
                        </pic:blipFill>
                        <pic:spPr bwMode="auto">
                          <a:xfrm>
                            <a:off x="0" y="0"/>
                            <a:ext cx="778238" cy="778238"/>
                          </a:xfrm>
                          <a:prstGeom prst="rect">
                            <a:avLst/>
                          </a:prstGeom>
                          <a:noFill/>
                          <a:ln w="9525">
                            <a:noFill/>
                            <a:miter lim="800000"/>
                            <a:headEnd/>
                            <a:tailEnd/>
                          </a:ln>
                        </pic:spPr>
                      </pic:pic>
                    </a:graphicData>
                  </a:graphic>
                </wp:inline>
              </w:drawing>
            </w:r>
          </w:p>
        </w:tc>
        <w:tc>
          <w:tcPr>
            <w:tcW w:w="2595" w:type="dxa"/>
          </w:tcPr>
          <w:p w:rsidR="00331CBA" w:rsidRPr="004B6514" w:rsidRDefault="00331CBA" w:rsidP="007C6780">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AN</w:t>
            </w:r>
            <w:r w:rsidR="00051D9C">
              <w:rPr>
                <w:rFonts w:ascii="Century Gothic" w:eastAsia="Arial" w:hAnsi="Century Gothic" w:cs="Arial"/>
                <w:b/>
                <w:sz w:val="22"/>
                <w:szCs w:val="22"/>
              </w:rPr>
              <w:t>N</w:t>
            </w:r>
            <w:r w:rsidRPr="004B6514">
              <w:rPr>
                <w:rFonts w:ascii="Century Gothic" w:eastAsia="Arial" w:hAnsi="Century Gothic" w:cs="Arial"/>
                <w:b/>
                <w:sz w:val="22"/>
                <w:szCs w:val="22"/>
              </w:rPr>
              <w:t>A ELIZABETH CHÁVEZ MATA</w:t>
            </w:r>
          </w:p>
          <w:p w:rsidR="00331CBA" w:rsidRPr="00991167" w:rsidRDefault="00165C38" w:rsidP="007C6780">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331CBA" w:rsidRPr="00A61F38" w:rsidRDefault="00331CBA" w:rsidP="007C6780">
            <w:pPr>
              <w:pStyle w:val="Normal1"/>
              <w:spacing w:line="360" w:lineRule="auto"/>
              <w:jc w:val="both"/>
              <w:rPr>
                <w:rFonts w:ascii="Century Gothic" w:hAnsi="Century Gothic" w:cs="Arial"/>
                <w:b/>
              </w:rPr>
            </w:pPr>
          </w:p>
        </w:tc>
        <w:tc>
          <w:tcPr>
            <w:tcW w:w="1589" w:type="dxa"/>
          </w:tcPr>
          <w:p w:rsidR="00331CBA" w:rsidRPr="00A61F38" w:rsidRDefault="00331CBA" w:rsidP="007C6780">
            <w:pPr>
              <w:pStyle w:val="Normal1"/>
              <w:spacing w:line="360" w:lineRule="auto"/>
              <w:jc w:val="both"/>
              <w:rPr>
                <w:rFonts w:ascii="Century Gothic" w:hAnsi="Century Gothic" w:cs="Arial"/>
                <w:b/>
              </w:rPr>
            </w:pPr>
          </w:p>
        </w:tc>
        <w:tc>
          <w:tcPr>
            <w:tcW w:w="1955" w:type="dxa"/>
          </w:tcPr>
          <w:p w:rsidR="00331CBA" w:rsidRPr="00A61F38" w:rsidRDefault="00331CBA" w:rsidP="007C6780">
            <w:pPr>
              <w:pStyle w:val="Normal1"/>
              <w:spacing w:line="360" w:lineRule="auto"/>
              <w:jc w:val="both"/>
              <w:rPr>
                <w:rFonts w:ascii="Century Gothic" w:hAnsi="Century Gothic" w:cs="Arial"/>
                <w:b/>
              </w:rPr>
            </w:pPr>
          </w:p>
        </w:tc>
      </w:tr>
      <w:tr w:rsidR="00331CBA" w:rsidRPr="00A61F38" w:rsidTr="001933D0">
        <w:trPr>
          <w:jc w:val="center"/>
        </w:trPr>
        <w:tc>
          <w:tcPr>
            <w:tcW w:w="1375" w:type="dxa"/>
          </w:tcPr>
          <w:p w:rsidR="00331CBA" w:rsidRPr="00A61F38" w:rsidRDefault="00331CBA" w:rsidP="00AE35C5">
            <w:pPr>
              <w:pStyle w:val="Normal1"/>
              <w:spacing w:line="360" w:lineRule="auto"/>
              <w:jc w:val="center"/>
              <w:rPr>
                <w:rFonts w:ascii="Century Gothic" w:hAnsi="Century Gothic" w:cs="Arial"/>
                <w:b/>
              </w:rPr>
            </w:pPr>
            <w:r>
              <w:rPr>
                <w:noProof/>
              </w:rPr>
              <w:drawing>
                <wp:inline distT="0" distB="0" distL="0" distR="0">
                  <wp:extent cx="796516" cy="796516"/>
                  <wp:effectExtent l="0" t="0" r="3810" b="3810"/>
                  <wp:docPr id="4" name="Imagen 4" descr="1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87"/>
                          <pic:cNvPicPr>
                            <a:picLocks noChangeAspect="1" noChangeArrowheads="1"/>
                          </pic:cNvPicPr>
                        </pic:nvPicPr>
                        <pic:blipFill>
                          <a:blip r:embed="rId11" cstate="print"/>
                          <a:srcRect/>
                          <a:stretch>
                            <a:fillRect/>
                          </a:stretch>
                        </pic:blipFill>
                        <pic:spPr bwMode="auto">
                          <a:xfrm>
                            <a:off x="0" y="0"/>
                            <a:ext cx="804353" cy="804353"/>
                          </a:xfrm>
                          <a:prstGeom prst="rect">
                            <a:avLst/>
                          </a:prstGeom>
                          <a:noFill/>
                          <a:ln w="9525">
                            <a:noFill/>
                            <a:miter lim="800000"/>
                            <a:headEnd/>
                            <a:tailEnd/>
                          </a:ln>
                        </pic:spPr>
                      </pic:pic>
                    </a:graphicData>
                  </a:graphic>
                </wp:inline>
              </w:drawing>
            </w:r>
          </w:p>
        </w:tc>
        <w:tc>
          <w:tcPr>
            <w:tcW w:w="2595" w:type="dxa"/>
          </w:tcPr>
          <w:p w:rsidR="00331CBA" w:rsidRPr="004B6514" w:rsidRDefault="00165C38" w:rsidP="007C6780">
            <w:pPr>
              <w:pStyle w:val="Normal1"/>
              <w:spacing w:line="360" w:lineRule="auto"/>
              <w:jc w:val="center"/>
              <w:rPr>
                <w:rFonts w:ascii="Century Gothic" w:eastAsia="Arial" w:hAnsi="Century Gothic" w:cs="Arial"/>
                <w:b/>
                <w:sz w:val="22"/>
                <w:szCs w:val="22"/>
              </w:rPr>
            </w:pPr>
            <w:r w:rsidRPr="004B6514">
              <w:rPr>
                <w:rFonts w:ascii="Century Gothic" w:eastAsia="Arial" w:hAnsi="Century Gothic" w:cs="Arial"/>
                <w:b/>
                <w:sz w:val="22"/>
                <w:szCs w:val="22"/>
              </w:rPr>
              <w:t>DIP. JORGE CARLOS SOTO PRIETO</w:t>
            </w:r>
          </w:p>
          <w:p w:rsidR="00331CBA" w:rsidRPr="00991167" w:rsidRDefault="00165C38" w:rsidP="007C6780">
            <w:pPr>
              <w:pStyle w:val="Normal1"/>
              <w:spacing w:line="360" w:lineRule="auto"/>
              <w:jc w:val="center"/>
              <w:rPr>
                <w:rFonts w:ascii="Century Gothic" w:hAnsi="Century Gothic" w:cs="Arial"/>
                <w:b/>
                <w:sz w:val="22"/>
                <w:szCs w:val="22"/>
              </w:rPr>
            </w:pPr>
            <w:r w:rsidRPr="004B6514">
              <w:rPr>
                <w:rFonts w:ascii="Century Gothic" w:eastAsia="Arial" w:hAnsi="Century Gothic" w:cs="Arial"/>
                <w:b/>
                <w:sz w:val="22"/>
                <w:szCs w:val="22"/>
              </w:rPr>
              <w:t>VOCAL</w:t>
            </w:r>
          </w:p>
        </w:tc>
        <w:tc>
          <w:tcPr>
            <w:tcW w:w="2126" w:type="dxa"/>
          </w:tcPr>
          <w:p w:rsidR="00331CBA" w:rsidRPr="00A61F38" w:rsidRDefault="00331CBA" w:rsidP="007C6780">
            <w:pPr>
              <w:pStyle w:val="Normal1"/>
              <w:spacing w:line="360" w:lineRule="auto"/>
              <w:jc w:val="both"/>
              <w:rPr>
                <w:rFonts w:ascii="Century Gothic" w:hAnsi="Century Gothic" w:cs="Arial"/>
                <w:b/>
              </w:rPr>
            </w:pPr>
          </w:p>
        </w:tc>
        <w:tc>
          <w:tcPr>
            <w:tcW w:w="1589" w:type="dxa"/>
          </w:tcPr>
          <w:p w:rsidR="00331CBA" w:rsidRPr="00A61F38" w:rsidRDefault="00331CBA" w:rsidP="007C6780">
            <w:pPr>
              <w:pStyle w:val="Normal1"/>
              <w:spacing w:line="360" w:lineRule="auto"/>
              <w:jc w:val="both"/>
              <w:rPr>
                <w:rFonts w:ascii="Century Gothic" w:hAnsi="Century Gothic" w:cs="Arial"/>
                <w:b/>
              </w:rPr>
            </w:pPr>
          </w:p>
        </w:tc>
        <w:tc>
          <w:tcPr>
            <w:tcW w:w="1955" w:type="dxa"/>
          </w:tcPr>
          <w:p w:rsidR="00331CBA" w:rsidRPr="00A61F38" w:rsidRDefault="00331CBA" w:rsidP="007C6780">
            <w:pPr>
              <w:pStyle w:val="Normal1"/>
              <w:spacing w:line="360" w:lineRule="auto"/>
              <w:jc w:val="both"/>
              <w:rPr>
                <w:rFonts w:ascii="Century Gothic" w:hAnsi="Century Gothic" w:cs="Arial"/>
                <w:b/>
              </w:rPr>
            </w:pPr>
          </w:p>
        </w:tc>
      </w:tr>
    </w:tbl>
    <w:p w:rsidR="00331CBA" w:rsidRPr="00165C38" w:rsidRDefault="00331CBA" w:rsidP="00331CBA">
      <w:pPr>
        <w:shd w:val="clear" w:color="auto" w:fill="FFFFFF"/>
        <w:tabs>
          <w:tab w:val="left" w:pos="2978"/>
        </w:tabs>
        <w:spacing w:line="276" w:lineRule="auto"/>
        <w:jc w:val="both"/>
        <w:rPr>
          <w:rFonts w:ascii="Century Gothic" w:hAnsi="Century Gothic" w:cs="Arial"/>
          <w:sz w:val="16"/>
          <w:szCs w:val="16"/>
        </w:rPr>
      </w:pPr>
      <w:r w:rsidRPr="00315537">
        <w:rPr>
          <w:rFonts w:ascii="Century Gothic" w:eastAsia="Arial" w:hAnsi="Century Gothic" w:cs="Arial"/>
          <w:sz w:val="16"/>
          <w:szCs w:val="16"/>
        </w:rPr>
        <w:t>La presente hoja de firmas corresponde al Dictamen</w:t>
      </w:r>
      <w:r w:rsidR="00165C38" w:rsidRPr="00315537">
        <w:rPr>
          <w:rFonts w:ascii="Century Gothic" w:eastAsia="Arial" w:hAnsi="Century Gothic" w:cs="Arial"/>
          <w:sz w:val="16"/>
          <w:szCs w:val="16"/>
        </w:rPr>
        <w:t xml:space="preserve"> </w:t>
      </w:r>
      <w:r w:rsidR="00B26255" w:rsidRPr="00315537">
        <w:rPr>
          <w:rFonts w:ascii="Century Gothic" w:hAnsi="Century Gothic"/>
          <w:sz w:val="16"/>
          <w:szCs w:val="16"/>
        </w:rPr>
        <w:t>DCTAIP</w:t>
      </w:r>
      <w:r w:rsidR="00F1142F" w:rsidRPr="00315537">
        <w:rPr>
          <w:rFonts w:ascii="Century Gothic" w:hAnsi="Century Gothic"/>
          <w:sz w:val="16"/>
          <w:szCs w:val="16"/>
        </w:rPr>
        <w:t>PA</w:t>
      </w:r>
      <w:r w:rsidR="007935D2">
        <w:rPr>
          <w:rFonts w:ascii="Century Gothic" w:hAnsi="Century Gothic"/>
          <w:sz w:val="16"/>
          <w:szCs w:val="16"/>
        </w:rPr>
        <w:t>/</w:t>
      </w:r>
      <w:r w:rsidR="00557BBF">
        <w:rPr>
          <w:rFonts w:ascii="Century Gothic" w:hAnsi="Century Gothic"/>
          <w:sz w:val="16"/>
          <w:szCs w:val="16"/>
        </w:rPr>
        <w:t>16</w:t>
      </w:r>
      <w:r w:rsidR="00800A6D">
        <w:rPr>
          <w:rFonts w:ascii="Century Gothic" w:hAnsi="Century Gothic"/>
          <w:sz w:val="16"/>
          <w:szCs w:val="16"/>
        </w:rPr>
        <w:t>/2020</w:t>
      </w:r>
      <w:r w:rsidR="00165C38" w:rsidRPr="00315537">
        <w:rPr>
          <w:rFonts w:ascii="Century Gothic" w:hAnsi="Century Gothic"/>
          <w:sz w:val="16"/>
          <w:szCs w:val="16"/>
        </w:rPr>
        <w:t xml:space="preserve"> de </w:t>
      </w:r>
      <w:r w:rsidR="00E25FD9" w:rsidRPr="00315537">
        <w:rPr>
          <w:rFonts w:ascii="Century Gothic" w:eastAsia="Arial" w:hAnsi="Century Gothic" w:cs="Arial"/>
          <w:sz w:val="16"/>
          <w:szCs w:val="16"/>
        </w:rPr>
        <w:t>la Comisión de Transparencia,</w:t>
      </w:r>
      <w:r w:rsidRPr="00315537">
        <w:rPr>
          <w:rFonts w:ascii="Century Gothic" w:eastAsia="Arial" w:hAnsi="Century Gothic" w:cs="Arial"/>
          <w:sz w:val="16"/>
          <w:szCs w:val="16"/>
        </w:rPr>
        <w:t xml:space="preserve"> Acceso a la </w:t>
      </w:r>
      <w:r w:rsidR="00E25FD9" w:rsidRPr="00315537">
        <w:rPr>
          <w:rFonts w:ascii="Century Gothic" w:eastAsia="Arial" w:hAnsi="Century Gothic" w:cs="Arial"/>
          <w:sz w:val="16"/>
          <w:szCs w:val="16"/>
        </w:rPr>
        <w:t xml:space="preserve">Información </w:t>
      </w:r>
      <w:r w:rsidR="001933D0" w:rsidRPr="00315537">
        <w:rPr>
          <w:rFonts w:ascii="Century Gothic" w:eastAsia="Arial" w:hAnsi="Century Gothic" w:cs="Arial"/>
          <w:sz w:val="16"/>
          <w:szCs w:val="16"/>
        </w:rPr>
        <w:t xml:space="preserve">Pública </w:t>
      </w:r>
      <w:r w:rsidR="00E25FD9" w:rsidRPr="00315537">
        <w:rPr>
          <w:rFonts w:ascii="Century Gothic" w:eastAsia="Arial" w:hAnsi="Century Gothic" w:cs="Arial"/>
          <w:sz w:val="16"/>
          <w:szCs w:val="16"/>
        </w:rPr>
        <w:t>y Parlamento Abierto</w:t>
      </w:r>
      <w:r w:rsidR="00165C38" w:rsidRPr="00315537">
        <w:rPr>
          <w:rFonts w:ascii="Century Gothic" w:eastAsia="Arial" w:hAnsi="Century Gothic" w:cs="Arial"/>
          <w:sz w:val="16"/>
          <w:szCs w:val="16"/>
        </w:rPr>
        <w:t>.</w:t>
      </w:r>
    </w:p>
    <w:p w:rsidR="00EE2584" w:rsidRPr="00165C38" w:rsidRDefault="00EE2584">
      <w:pPr>
        <w:rPr>
          <w:sz w:val="16"/>
          <w:szCs w:val="16"/>
        </w:rPr>
      </w:pPr>
    </w:p>
    <w:sectPr w:rsidR="00EE2584" w:rsidRPr="00165C38" w:rsidSect="003F4149">
      <w:headerReference w:type="default" r:id="rId12"/>
      <w:footerReference w:type="even" r:id="rId13"/>
      <w:footerReference w:type="default" r:id="rId14"/>
      <w:pgSz w:w="12240" w:h="15840" w:code="1"/>
      <w:pgMar w:top="3402"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816" w:rsidRDefault="00A21816" w:rsidP="00331CBA">
      <w:r>
        <w:separator/>
      </w:r>
    </w:p>
  </w:endnote>
  <w:endnote w:type="continuationSeparator" w:id="0">
    <w:p w:rsidR="00A21816" w:rsidRDefault="00A21816" w:rsidP="00331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Century Gothic">
    <w:altName w:val="Segoe UI"/>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6C" w:rsidRDefault="00DD4551">
    <w:pPr>
      <w:pStyle w:val="Piedepgina"/>
      <w:framePr w:wrap="around" w:vAnchor="text" w:hAnchor="margin" w:xAlign="center" w:y="1"/>
      <w:rPr>
        <w:rStyle w:val="Nmerodepgina"/>
      </w:rPr>
    </w:pPr>
    <w:r>
      <w:rPr>
        <w:rStyle w:val="Nmerodepgina"/>
      </w:rPr>
      <w:fldChar w:fldCharType="begin"/>
    </w:r>
    <w:r w:rsidR="0032366C">
      <w:rPr>
        <w:rStyle w:val="Nmerodepgina"/>
      </w:rPr>
      <w:instrText xml:space="preserve">PAGE  </w:instrText>
    </w:r>
    <w:r>
      <w:rPr>
        <w:rStyle w:val="Nmerodepgina"/>
      </w:rPr>
      <w:fldChar w:fldCharType="end"/>
    </w:r>
  </w:p>
  <w:p w:rsidR="0032366C" w:rsidRDefault="0032366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438769"/>
      <w:docPartObj>
        <w:docPartGallery w:val="Page Numbers (Bottom of Page)"/>
        <w:docPartUnique/>
      </w:docPartObj>
    </w:sdtPr>
    <w:sdtEndPr>
      <w:rPr>
        <w:rFonts w:ascii="Century Gothic" w:hAnsi="Century Gothic"/>
        <w:sz w:val="18"/>
        <w:szCs w:val="18"/>
      </w:rPr>
    </w:sdtEndPr>
    <w:sdtContent>
      <w:p w:rsidR="0032366C" w:rsidRDefault="00DD4551" w:rsidP="000556C9">
        <w:pPr>
          <w:pStyle w:val="Piedepgina"/>
          <w:tabs>
            <w:tab w:val="center" w:pos="4986"/>
            <w:tab w:val="left" w:pos="7185"/>
          </w:tabs>
          <w:jc w:val="center"/>
        </w:pPr>
        <w:r>
          <w:rPr>
            <w:noProof/>
          </w:rPr>
          <w:fldChar w:fldCharType="begin"/>
        </w:r>
        <w:r w:rsidR="0032366C">
          <w:rPr>
            <w:noProof/>
          </w:rPr>
          <w:instrText>PAGE   \* MERGEFORMAT</w:instrText>
        </w:r>
        <w:r>
          <w:rPr>
            <w:noProof/>
          </w:rPr>
          <w:fldChar w:fldCharType="separate"/>
        </w:r>
        <w:r w:rsidR="009C78BF">
          <w:rPr>
            <w:noProof/>
          </w:rPr>
          <w:t>15</w:t>
        </w:r>
        <w:r>
          <w:rPr>
            <w:noProof/>
          </w:rPr>
          <w:fldChar w:fldCharType="end"/>
        </w:r>
      </w:p>
      <w:p w:rsidR="0032366C" w:rsidRPr="00362C50" w:rsidRDefault="0032366C" w:rsidP="000556C9">
        <w:pPr>
          <w:pStyle w:val="Piedepgina"/>
          <w:tabs>
            <w:tab w:val="center" w:pos="4986"/>
            <w:tab w:val="left" w:pos="7185"/>
          </w:tabs>
          <w:jc w:val="right"/>
          <w:rPr>
            <w:lang w:val="en-US"/>
          </w:rPr>
        </w:pPr>
        <w:r>
          <w:rPr>
            <w:rFonts w:ascii="Arial" w:hAnsi="Arial" w:cs="Arial"/>
            <w:sz w:val="16"/>
            <w:szCs w:val="16"/>
            <w:lang w:val="en-US"/>
          </w:rPr>
          <w:t>A998/LEAT/G</w:t>
        </w:r>
        <w:r w:rsidRPr="00495692">
          <w:rPr>
            <w:rFonts w:ascii="Arial" w:hAnsi="Arial" w:cs="Arial"/>
            <w:sz w:val="16"/>
            <w:szCs w:val="16"/>
            <w:lang w:val="en-US"/>
          </w:rPr>
          <w:t>AOR/RMO/FASC</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816" w:rsidRDefault="00A21816" w:rsidP="00331CBA">
      <w:r>
        <w:separator/>
      </w:r>
    </w:p>
  </w:footnote>
  <w:footnote w:type="continuationSeparator" w:id="0">
    <w:p w:rsidR="00A21816" w:rsidRDefault="00A21816" w:rsidP="00331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66C" w:rsidRPr="002653F4" w:rsidRDefault="0032366C" w:rsidP="00800A6D">
    <w:pPr>
      <w:jc w:val="center"/>
      <w:rPr>
        <w:rFonts w:ascii="Century Gothic" w:eastAsia="Calibri" w:hAnsi="Century Gothic" w:cs="Arial"/>
        <w:lang w:eastAsia="en-US"/>
      </w:rPr>
    </w:pPr>
    <w:r w:rsidRPr="002653F4">
      <w:rPr>
        <w:rFonts w:ascii="Century Gothic" w:eastAsia="Calibri" w:hAnsi="Century Gothic" w:cs="Arial"/>
        <w:lang w:eastAsia="en-US"/>
      </w:rPr>
      <w:t>“2020, Por un Nuevo Federalismo Fiscal, Justo y Equitativo”</w:t>
    </w:r>
  </w:p>
  <w:p w:rsidR="0032366C" w:rsidRPr="002653F4" w:rsidRDefault="0032366C" w:rsidP="00800A6D">
    <w:pPr>
      <w:jc w:val="center"/>
      <w:rPr>
        <w:rFonts w:ascii="Century Gothic" w:eastAsia="Calibri" w:hAnsi="Century Gothic" w:cs="Arial"/>
        <w:lang w:eastAsia="en-US"/>
      </w:rPr>
    </w:pPr>
  </w:p>
  <w:p w:rsidR="0032366C" w:rsidRPr="002653F4" w:rsidRDefault="0032366C" w:rsidP="00800A6D">
    <w:pPr>
      <w:jc w:val="center"/>
      <w:rPr>
        <w:rFonts w:ascii="Arial" w:hAnsi="Arial" w:cs="Arial"/>
        <w:bCs/>
        <w:color w:val="444444"/>
        <w:sz w:val="20"/>
        <w:szCs w:val="16"/>
        <w:shd w:val="clear" w:color="auto" w:fill="FFFFFF"/>
      </w:rPr>
    </w:pPr>
    <w:r w:rsidRPr="002653F4">
      <w:rPr>
        <w:rFonts w:ascii="Century Gothic" w:eastAsia="Calibri" w:hAnsi="Century Gothic" w:cs="Arial"/>
        <w:lang w:eastAsia="en-US"/>
      </w:rPr>
      <w:t>“2020, Año de la Sanidad Vegetal”</w:t>
    </w:r>
  </w:p>
  <w:p w:rsidR="0032366C" w:rsidRPr="00450450" w:rsidRDefault="0032366C" w:rsidP="007C6780">
    <w:pPr>
      <w:pStyle w:val="Encabezado"/>
      <w:jc w:val="center"/>
      <w:rPr>
        <w:rFonts w:ascii="Arial" w:hAnsi="Arial" w:cs="Arial"/>
        <w:b/>
        <w:sz w:val="20"/>
        <w:szCs w:val="20"/>
      </w:rPr>
    </w:pPr>
  </w:p>
  <w:p w:rsidR="0032366C" w:rsidRDefault="0032366C" w:rsidP="00621915">
    <w:pPr>
      <w:pStyle w:val="Encabezado"/>
      <w:jc w:val="right"/>
      <w:rPr>
        <w:rFonts w:ascii="Century Gothic" w:hAnsi="Century Gothic"/>
        <w:b/>
        <w:sz w:val="28"/>
        <w:szCs w:val="28"/>
      </w:rPr>
    </w:pPr>
    <w:r>
      <w:rPr>
        <w:rFonts w:ascii="Century Gothic" w:hAnsi="Century Gothic"/>
        <w:b/>
        <w:sz w:val="28"/>
        <w:szCs w:val="28"/>
      </w:rPr>
      <w:t xml:space="preserve">Comisión </w:t>
    </w:r>
    <w:r w:rsidRPr="00BE3706">
      <w:rPr>
        <w:rFonts w:ascii="Century Gothic" w:hAnsi="Century Gothic"/>
        <w:b/>
        <w:sz w:val="28"/>
        <w:szCs w:val="28"/>
      </w:rPr>
      <w:t xml:space="preserve">de </w:t>
    </w:r>
    <w:r>
      <w:rPr>
        <w:rFonts w:ascii="Century Gothic" w:hAnsi="Century Gothic"/>
        <w:b/>
        <w:sz w:val="28"/>
        <w:szCs w:val="28"/>
      </w:rPr>
      <w:t xml:space="preserve">Transparencia, Acceso a la Información </w:t>
    </w:r>
  </w:p>
  <w:p w:rsidR="0032366C" w:rsidRDefault="0032366C" w:rsidP="00621915">
    <w:pPr>
      <w:pStyle w:val="Encabezado"/>
      <w:jc w:val="right"/>
      <w:rPr>
        <w:rFonts w:ascii="Century Gothic" w:hAnsi="Century Gothic"/>
        <w:b/>
        <w:sz w:val="28"/>
        <w:szCs w:val="28"/>
      </w:rPr>
    </w:pPr>
    <w:r>
      <w:rPr>
        <w:rFonts w:ascii="Century Gothic" w:hAnsi="Century Gothic"/>
        <w:b/>
        <w:sz w:val="28"/>
        <w:szCs w:val="28"/>
      </w:rPr>
      <w:t>Pública y Parlamento Abierto</w:t>
    </w:r>
  </w:p>
  <w:p w:rsidR="0032366C" w:rsidRDefault="0032366C" w:rsidP="007C6780">
    <w:pPr>
      <w:pStyle w:val="Encabezado"/>
      <w:jc w:val="right"/>
      <w:rPr>
        <w:rFonts w:ascii="Century Gothic" w:hAnsi="Century Gothic"/>
        <w:b/>
        <w:sz w:val="28"/>
        <w:szCs w:val="28"/>
      </w:rPr>
    </w:pPr>
    <w:r>
      <w:rPr>
        <w:rFonts w:ascii="Century Gothic" w:hAnsi="Century Gothic"/>
        <w:b/>
        <w:sz w:val="28"/>
        <w:szCs w:val="28"/>
      </w:rPr>
      <w:t>LXVI LEGISLATURA</w:t>
    </w:r>
  </w:p>
  <w:p w:rsidR="0032366C" w:rsidRDefault="0032366C" w:rsidP="00621915">
    <w:pPr>
      <w:pStyle w:val="Encabezado"/>
      <w:jc w:val="right"/>
      <w:rPr>
        <w:rFonts w:ascii="Century Gothic" w:hAnsi="Century Gothic"/>
        <w:b/>
      </w:rPr>
    </w:pPr>
    <w:r>
      <w:rPr>
        <w:rFonts w:ascii="Century Gothic" w:hAnsi="Century Gothic"/>
        <w:b/>
      </w:rPr>
      <w:t>DCTAIPPA/</w:t>
    </w:r>
    <w:r w:rsidR="00557BBF">
      <w:rPr>
        <w:rFonts w:ascii="Century Gothic" w:hAnsi="Century Gothic"/>
        <w:b/>
      </w:rPr>
      <w:t>16</w:t>
    </w:r>
    <w:r>
      <w:rPr>
        <w:rFonts w:ascii="Century Gothic" w:hAnsi="Century Gothic"/>
        <w:b/>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02320"/>
    <w:multiLevelType w:val="hybridMultilevel"/>
    <w:tmpl w:val="A26CA7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2BD46E1"/>
    <w:multiLevelType w:val="hybridMultilevel"/>
    <w:tmpl w:val="4F82A872"/>
    <w:lvl w:ilvl="0" w:tplc="E196F48C">
      <w:start w:val="1"/>
      <w:numFmt w:val="upperLetter"/>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2" w15:restartNumberingAfterBreak="0">
    <w:nsid w:val="38392BDB"/>
    <w:multiLevelType w:val="multilevel"/>
    <w:tmpl w:val="35C6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8D2421"/>
    <w:multiLevelType w:val="multilevel"/>
    <w:tmpl w:val="E1809B40"/>
    <w:styleLink w:val="Estilo1"/>
    <w:lvl w:ilvl="0">
      <w:start w:val="1"/>
      <w:numFmt w:val="lowerLetter"/>
      <w:lvlText w:val="%1."/>
      <w:lvlJc w:val="left"/>
      <w:pPr>
        <w:ind w:left="1815" w:hanging="360"/>
      </w:pPr>
    </w:lvl>
    <w:lvl w:ilvl="1">
      <w:start w:val="1"/>
      <w:numFmt w:val="lowerLetter"/>
      <w:lvlText w:val="%2."/>
      <w:lvlJc w:val="left"/>
      <w:pPr>
        <w:ind w:left="2535" w:hanging="360"/>
      </w:pPr>
    </w:lvl>
    <w:lvl w:ilvl="2">
      <w:start w:val="1"/>
      <w:numFmt w:val="lowerRoman"/>
      <w:lvlText w:val="%3."/>
      <w:lvlJc w:val="right"/>
      <w:pPr>
        <w:ind w:left="3255" w:hanging="180"/>
      </w:pPr>
    </w:lvl>
    <w:lvl w:ilvl="3">
      <w:start w:val="1"/>
      <w:numFmt w:val="decimal"/>
      <w:lvlText w:val="%4."/>
      <w:lvlJc w:val="left"/>
      <w:pPr>
        <w:ind w:left="3975" w:hanging="360"/>
      </w:pPr>
    </w:lvl>
    <w:lvl w:ilvl="4">
      <w:start w:val="1"/>
      <w:numFmt w:val="lowerLetter"/>
      <w:lvlText w:val="%5."/>
      <w:lvlJc w:val="left"/>
      <w:pPr>
        <w:ind w:left="4695" w:hanging="360"/>
      </w:pPr>
    </w:lvl>
    <w:lvl w:ilvl="5">
      <w:start w:val="1"/>
      <w:numFmt w:val="lowerRoman"/>
      <w:lvlText w:val="%6."/>
      <w:lvlJc w:val="right"/>
      <w:pPr>
        <w:ind w:left="5415" w:hanging="180"/>
      </w:pPr>
    </w:lvl>
    <w:lvl w:ilvl="6">
      <w:start w:val="1"/>
      <w:numFmt w:val="decimal"/>
      <w:lvlText w:val="%7."/>
      <w:lvlJc w:val="left"/>
      <w:pPr>
        <w:ind w:left="6135" w:hanging="360"/>
      </w:pPr>
    </w:lvl>
    <w:lvl w:ilvl="7">
      <w:start w:val="1"/>
      <w:numFmt w:val="lowerLetter"/>
      <w:lvlText w:val="%8."/>
      <w:lvlJc w:val="left"/>
      <w:pPr>
        <w:ind w:left="6855" w:hanging="360"/>
      </w:pPr>
    </w:lvl>
    <w:lvl w:ilvl="8">
      <w:start w:val="1"/>
      <w:numFmt w:val="lowerRoman"/>
      <w:lvlText w:val="%9."/>
      <w:lvlJc w:val="right"/>
      <w:pPr>
        <w:ind w:left="7575" w:hanging="180"/>
      </w:pPr>
    </w:lvl>
  </w:abstractNum>
  <w:abstractNum w:abstractNumId="4" w15:restartNumberingAfterBreak="0">
    <w:nsid w:val="424E65DA"/>
    <w:multiLevelType w:val="hybridMultilevel"/>
    <w:tmpl w:val="A7C0F73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D044507"/>
    <w:multiLevelType w:val="hybridMultilevel"/>
    <w:tmpl w:val="06BEE580"/>
    <w:lvl w:ilvl="0" w:tplc="12AC94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FB6433"/>
    <w:multiLevelType w:val="hybridMultilevel"/>
    <w:tmpl w:val="A5680326"/>
    <w:lvl w:ilvl="0" w:tplc="0C10385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C337C68"/>
    <w:multiLevelType w:val="multilevel"/>
    <w:tmpl w:val="E1809B40"/>
    <w:numStyleLink w:val="Estilo1"/>
  </w:abstractNum>
  <w:abstractNum w:abstractNumId="8" w15:restartNumberingAfterBreak="0">
    <w:nsid w:val="7D6B4C82"/>
    <w:multiLevelType w:val="hybridMultilevel"/>
    <w:tmpl w:val="0BE8301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BA"/>
    <w:rsid w:val="00001D3C"/>
    <w:rsid w:val="00036145"/>
    <w:rsid w:val="00043CA6"/>
    <w:rsid w:val="00051D9C"/>
    <w:rsid w:val="0005404A"/>
    <w:rsid w:val="000556C9"/>
    <w:rsid w:val="00057FD5"/>
    <w:rsid w:val="00060A1D"/>
    <w:rsid w:val="00062B46"/>
    <w:rsid w:val="00064D71"/>
    <w:rsid w:val="000677BC"/>
    <w:rsid w:val="00070AAC"/>
    <w:rsid w:val="000909A0"/>
    <w:rsid w:val="0009428B"/>
    <w:rsid w:val="0009442B"/>
    <w:rsid w:val="000A7BA7"/>
    <w:rsid w:val="000B0550"/>
    <w:rsid w:val="000C2791"/>
    <w:rsid w:val="000E40B2"/>
    <w:rsid w:val="00100C26"/>
    <w:rsid w:val="00101D85"/>
    <w:rsid w:val="00110C51"/>
    <w:rsid w:val="0011350B"/>
    <w:rsid w:val="00120612"/>
    <w:rsid w:val="00134515"/>
    <w:rsid w:val="0013500E"/>
    <w:rsid w:val="00144D96"/>
    <w:rsid w:val="00152C67"/>
    <w:rsid w:val="001535B1"/>
    <w:rsid w:val="0015696D"/>
    <w:rsid w:val="00165C38"/>
    <w:rsid w:val="00166858"/>
    <w:rsid w:val="00190E37"/>
    <w:rsid w:val="001933D0"/>
    <w:rsid w:val="001938C1"/>
    <w:rsid w:val="001955AE"/>
    <w:rsid w:val="001955ED"/>
    <w:rsid w:val="001A5B6C"/>
    <w:rsid w:val="001B1AAA"/>
    <w:rsid w:val="001C7DC8"/>
    <w:rsid w:val="001D18E0"/>
    <w:rsid w:val="001E56B3"/>
    <w:rsid w:val="001E7D69"/>
    <w:rsid w:val="0020030B"/>
    <w:rsid w:val="00201247"/>
    <w:rsid w:val="00202A20"/>
    <w:rsid w:val="002078FD"/>
    <w:rsid w:val="002128DC"/>
    <w:rsid w:val="00232854"/>
    <w:rsid w:val="002364BE"/>
    <w:rsid w:val="0023737C"/>
    <w:rsid w:val="002540ED"/>
    <w:rsid w:val="002556F6"/>
    <w:rsid w:val="002653F4"/>
    <w:rsid w:val="00267943"/>
    <w:rsid w:val="0027160A"/>
    <w:rsid w:val="0027206F"/>
    <w:rsid w:val="0027447C"/>
    <w:rsid w:val="002A3572"/>
    <w:rsid w:val="002A534A"/>
    <w:rsid w:val="002A5852"/>
    <w:rsid w:val="002A799F"/>
    <w:rsid w:val="002B4E13"/>
    <w:rsid w:val="002B710B"/>
    <w:rsid w:val="002C1F39"/>
    <w:rsid w:val="002C3D19"/>
    <w:rsid w:val="002D3A8D"/>
    <w:rsid w:val="002D4618"/>
    <w:rsid w:val="002E2814"/>
    <w:rsid w:val="002F1F34"/>
    <w:rsid w:val="00306540"/>
    <w:rsid w:val="003123AE"/>
    <w:rsid w:val="00315537"/>
    <w:rsid w:val="003164D3"/>
    <w:rsid w:val="00323399"/>
    <w:rsid w:val="0032366C"/>
    <w:rsid w:val="00323DC4"/>
    <w:rsid w:val="00331CBA"/>
    <w:rsid w:val="00347E26"/>
    <w:rsid w:val="00357185"/>
    <w:rsid w:val="00362C50"/>
    <w:rsid w:val="0037265C"/>
    <w:rsid w:val="003751B7"/>
    <w:rsid w:val="00380BCB"/>
    <w:rsid w:val="00386C7D"/>
    <w:rsid w:val="003A2630"/>
    <w:rsid w:val="003A5C7B"/>
    <w:rsid w:val="003B10E3"/>
    <w:rsid w:val="003B56D7"/>
    <w:rsid w:val="003D1450"/>
    <w:rsid w:val="003D452D"/>
    <w:rsid w:val="003E4467"/>
    <w:rsid w:val="003F07B2"/>
    <w:rsid w:val="003F33B7"/>
    <w:rsid w:val="003F4149"/>
    <w:rsid w:val="003F626B"/>
    <w:rsid w:val="004121C5"/>
    <w:rsid w:val="0041371E"/>
    <w:rsid w:val="0041565C"/>
    <w:rsid w:val="00417264"/>
    <w:rsid w:val="00420990"/>
    <w:rsid w:val="00423A04"/>
    <w:rsid w:val="0042542C"/>
    <w:rsid w:val="004279BB"/>
    <w:rsid w:val="00434ADD"/>
    <w:rsid w:val="00435E05"/>
    <w:rsid w:val="00441F8C"/>
    <w:rsid w:val="0044590F"/>
    <w:rsid w:val="00446C31"/>
    <w:rsid w:val="00450C7A"/>
    <w:rsid w:val="00454505"/>
    <w:rsid w:val="00467A10"/>
    <w:rsid w:val="00477D1B"/>
    <w:rsid w:val="00484DD5"/>
    <w:rsid w:val="0049512E"/>
    <w:rsid w:val="004A0470"/>
    <w:rsid w:val="004A24F1"/>
    <w:rsid w:val="004A618D"/>
    <w:rsid w:val="004A78A7"/>
    <w:rsid w:val="004B2661"/>
    <w:rsid w:val="004B4059"/>
    <w:rsid w:val="004C3B8D"/>
    <w:rsid w:val="004D1BBB"/>
    <w:rsid w:val="004D35C3"/>
    <w:rsid w:val="004E1878"/>
    <w:rsid w:val="004E44AD"/>
    <w:rsid w:val="004F1C0A"/>
    <w:rsid w:val="004F3F73"/>
    <w:rsid w:val="004F4D83"/>
    <w:rsid w:val="00506834"/>
    <w:rsid w:val="00507B45"/>
    <w:rsid w:val="005210B8"/>
    <w:rsid w:val="00522340"/>
    <w:rsid w:val="005251D2"/>
    <w:rsid w:val="00537A89"/>
    <w:rsid w:val="00540B8F"/>
    <w:rsid w:val="00541F51"/>
    <w:rsid w:val="005506D5"/>
    <w:rsid w:val="00555A2D"/>
    <w:rsid w:val="00557BBF"/>
    <w:rsid w:val="00564841"/>
    <w:rsid w:val="00565B1C"/>
    <w:rsid w:val="005732B8"/>
    <w:rsid w:val="00575458"/>
    <w:rsid w:val="0058079D"/>
    <w:rsid w:val="00582411"/>
    <w:rsid w:val="00590E94"/>
    <w:rsid w:val="005A31FE"/>
    <w:rsid w:val="005A3410"/>
    <w:rsid w:val="005A34DD"/>
    <w:rsid w:val="005A38D8"/>
    <w:rsid w:val="005A5AB1"/>
    <w:rsid w:val="005B2B38"/>
    <w:rsid w:val="005B47BC"/>
    <w:rsid w:val="005B4AFD"/>
    <w:rsid w:val="005B62FB"/>
    <w:rsid w:val="005C0966"/>
    <w:rsid w:val="005C142F"/>
    <w:rsid w:val="005C2EB7"/>
    <w:rsid w:val="005D53FC"/>
    <w:rsid w:val="005E263F"/>
    <w:rsid w:val="005E3A77"/>
    <w:rsid w:val="005E3E08"/>
    <w:rsid w:val="005E7596"/>
    <w:rsid w:val="005F39A9"/>
    <w:rsid w:val="00604DD4"/>
    <w:rsid w:val="0061375E"/>
    <w:rsid w:val="00613794"/>
    <w:rsid w:val="00621135"/>
    <w:rsid w:val="0062121E"/>
    <w:rsid w:val="00621915"/>
    <w:rsid w:val="00626CA9"/>
    <w:rsid w:val="00635B02"/>
    <w:rsid w:val="00635F77"/>
    <w:rsid w:val="00636CDA"/>
    <w:rsid w:val="0064149F"/>
    <w:rsid w:val="00642AA1"/>
    <w:rsid w:val="00654E49"/>
    <w:rsid w:val="00655E1B"/>
    <w:rsid w:val="006614FD"/>
    <w:rsid w:val="00661958"/>
    <w:rsid w:val="0066423A"/>
    <w:rsid w:val="00673673"/>
    <w:rsid w:val="00674CD6"/>
    <w:rsid w:val="00683018"/>
    <w:rsid w:val="00683FAE"/>
    <w:rsid w:val="006976BE"/>
    <w:rsid w:val="006A071E"/>
    <w:rsid w:val="006C391B"/>
    <w:rsid w:val="006C3CD3"/>
    <w:rsid w:val="006D3D3F"/>
    <w:rsid w:val="006D68A5"/>
    <w:rsid w:val="006E443C"/>
    <w:rsid w:val="006F5983"/>
    <w:rsid w:val="00700E13"/>
    <w:rsid w:val="00702D96"/>
    <w:rsid w:val="007066CA"/>
    <w:rsid w:val="00710627"/>
    <w:rsid w:val="007115BD"/>
    <w:rsid w:val="007139D2"/>
    <w:rsid w:val="0072109F"/>
    <w:rsid w:val="00734E9C"/>
    <w:rsid w:val="007422ED"/>
    <w:rsid w:val="007576C2"/>
    <w:rsid w:val="0076061C"/>
    <w:rsid w:val="00763F74"/>
    <w:rsid w:val="0076572A"/>
    <w:rsid w:val="00767666"/>
    <w:rsid w:val="007723A0"/>
    <w:rsid w:val="007732B2"/>
    <w:rsid w:val="007768F7"/>
    <w:rsid w:val="00782883"/>
    <w:rsid w:val="00783820"/>
    <w:rsid w:val="00787F8E"/>
    <w:rsid w:val="007935D2"/>
    <w:rsid w:val="00793B76"/>
    <w:rsid w:val="007A3C7B"/>
    <w:rsid w:val="007A6216"/>
    <w:rsid w:val="007A6523"/>
    <w:rsid w:val="007B6D66"/>
    <w:rsid w:val="007C6780"/>
    <w:rsid w:val="007E711E"/>
    <w:rsid w:val="007E7F92"/>
    <w:rsid w:val="008007F8"/>
    <w:rsid w:val="00800A6D"/>
    <w:rsid w:val="00801476"/>
    <w:rsid w:val="00804E5D"/>
    <w:rsid w:val="00834453"/>
    <w:rsid w:val="00835C67"/>
    <w:rsid w:val="00843D8A"/>
    <w:rsid w:val="00850AE0"/>
    <w:rsid w:val="008522E9"/>
    <w:rsid w:val="00855B39"/>
    <w:rsid w:val="008573DE"/>
    <w:rsid w:val="008619DE"/>
    <w:rsid w:val="00865B79"/>
    <w:rsid w:val="0087090B"/>
    <w:rsid w:val="00874757"/>
    <w:rsid w:val="008748CD"/>
    <w:rsid w:val="0088488E"/>
    <w:rsid w:val="00886F46"/>
    <w:rsid w:val="0088770C"/>
    <w:rsid w:val="00887DD0"/>
    <w:rsid w:val="0089457F"/>
    <w:rsid w:val="008E09E0"/>
    <w:rsid w:val="008E3D0C"/>
    <w:rsid w:val="008E3E5E"/>
    <w:rsid w:val="008E5D49"/>
    <w:rsid w:val="008E66B7"/>
    <w:rsid w:val="008E672D"/>
    <w:rsid w:val="008F021D"/>
    <w:rsid w:val="008F3D11"/>
    <w:rsid w:val="00903A9D"/>
    <w:rsid w:val="00913B0B"/>
    <w:rsid w:val="00915B00"/>
    <w:rsid w:val="00917BA4"/>
    <w:rsid w:val="009261EF"/>
    <w:rsid w:val="00936996"/>
    <w:rsid w:val="00944602"/>
    <w:rsid w:val="00955B5C"/>
    <w:rsid w:val="00961AAC"/>
    <w:rsid w:val="00962F8F"/>
    <w:rsid w:val="009630E9"/>
    <w:rsid w:val="00963B0C"/>
    <w:rsid w:val="009677F2"/>
    <w:rsid w:val="00970683"/>
    <w:rsid w:val="00973E0B"/>
    <w:rsid w:val="00974307"/>
    <w:rsid w:val="00985CF0"/>
    <w:rsid w:val="00995192"/>
    <w:rsid w:val="009953A4"/>
    <w:rsid w:val="00995FD4"/>
    <w:rsid w:val="009C6EF9"/>
    <w:rsid w:val="009C78BF"/>
    <w:rsid w:val="009F0267"/>
    <w:rsid w:val="009F792D"/>
    <w:rsid w:val="00A03B35"/>
    <w:rsid w:val="00A111CE"/>
    <w:rsid w:val="00A17271"/>
    <w:rsid w:val="00A21816"/>
    <w:rsid w:val="00A355DD"/>
    <w:rsid w:val="00A35F1E"/>
    <w:rsid w:val="00A40D80"/>
    <w:rsid w:val="00A420D5"/>
    <w:rsid w:val="00A52300"/>
    <w:rsid w:val="00A642C1"/>
    <w:rsid w:val="00AA050F"/>
    <w:rsid w:val="00AB45A6"/>
    <w:rsid w:val="00AC2894"/>
    <w:rsid w:val="00AC5805"/>
    <w:rsid w:val="00AE17A8"/>
    <w:rsid w:val="00AE1E7B"/>
    <w:rsid w:val="00AE35C5"/>
    <w:rsid w:val="00AE61A9"/>
    <w:rsid w:val="00AF159B"/>
    <w:rsid w:val="00AF332A"/>
    <w:rsid w:val="00AF3755"/>
    <w:rsid w:val="00AF3DD2"/>
    <w:rsid w:val="00B11450"/>
    <w:rsid w:val="00B21E0B"/>
    <w:rsid w:val="00B25B1C"/>
    <w:rsid w:val="00B26255"/>
    <w:rsid w:val="00B4377F"/>
    <w:rsid w:val="00B438AA"/>
    <w:rsid w:val="00B43B48"/>
    <w:rsid w:val="00B46904"/>
    <w:rsid w:val="00B526FD"/>
    <w:rsid w:val="00B56B0C"/>
    <w:rsid w:val="00B71574"/>
    <w:rsid w:val="00B764D2"/>
    <w:rsid w:val="00B80955"/>
    <w:rsid w:val="00B81167"/>
    <w:rsid w:val="00B8591B"/>
    <w:rsid w:val="00B90391"/>
    <w:rsid w:val="00B931BD"/>
    <w:rsid w:val="00BB21CA"/>
    <w:rsid w:val="00BB4EFE"/>
    <w:rsid w:val="00BC19BA"/>
    <w:rsid w:val="00BE5707"/>
    <w:rsid w:val="00BE5BE8"/>
    <w:rsid w:val="00BF4CD4"/>
    <w:rsid w:val="00C052B1"/>
    <w:rsid w:val="00C074C6"/>
    <w:rsid w:val="00C07B0F"/>
    <w:rsid w:val="00C200F0"/>
    <w:rsid w:val="00C20164"/>
    <w:rsid w:val="00C51661"/>
    <w:rsid w:val="00C52ADD"/>
    <w:rsid w:val="00C52D77"/>
    <w:rsid w:val="00C57F9A"/>
    <w:rsid w:val="00C72957"/>
    <w:rsid w:val="00C75F4F"/>
    <w:rsid w:val="00C8082C"/>
    <w:rsid w:val="00C8092A"/>
    <w:rsid w:val="00C916DA"/>
    <w:rsid w:val="00CA59D6"/>
    <w:rsid w:val="00CA6EAC"/>
    <w:rsid w:val="00CB111B"/>
    <w:rsid w:val="00CC28D1"/>
    <w:rsid w:val="00CC2EAE"/>
    <w:rsid w:val="00CC3876"/>
    <w:rsid w:val="00CD077B"/>
    <w:rsid w:val="00CD1F5F"/>
    <w:rsid w:val="00CD733C"/>
    <w:rsid w:val="00CE1A47"/>
    <w:rsid w:val="00CE6A09"/>
    <w:rsid w:val="00CF4D43"/>
    <w:rsid w:val="00CF51E6"/>
    <w:rsid w:val="00CF675F"/>
    <w:rsid w:val="00CF6A53"/>
    <w:rsid w:val="00D0485E"/>
    <w:rsid w:val="00D120AD"/>
    <w:rsid w:val="00D24F69"/>
    <w:rsid w:val="00D575B2"/>
    <w:rsid w:val="00D61045"/>
    <w:rsid w:val="00D645A3"/>
    <w:rsid w:val="00D64F64"/>
    <w:rsid w:val="00D66472"/>
    <w:rsid w:val="00D75D0A"/>
    <w:rsid w:val="00D85D49"/>
    <w:rsid w:val="00D94AB9"/>
    <w:rsid w:val="00DA584A"/>
    <w:rsid w:val="00DA588D"/>
    <w:rsid w:val="00DB0B91"/>
    <w:rsid w:val="00DB40DF"/>
    <w:rsid w:val="00DD42AA"/>
    <w:rsid w:val="00DD4551"/>
    <w:rsid w:val="00DD683C"/>
    <w:rsid w:val="00DD74E3"/>
    <w:rsid w:val="00DE0F12"/>
    <w:rsid w:val="00DE2ABD"/>
    <w:rsid w:val="00DE2B78"/>
    <w:rsid w:val="00DE5E69"/>
    <w:rsid w:val="00DF157E"/>
    <w:rsid w:val="00DF4877"/>
    <w:rsid w:val="00DF7907"/>
    <w:rsid w:val="00E04FF6"/>
    <w:rsid w:val="00E0799A"/>
    <w:rsid w:val="00E16FDF"/>
    <w:rsid w:val="00E1713E"/>
    <w:rsid w:val="00E17F42"/>
    <w:rsid w:val="00E249F1"/>
    <w:rsid w:val="00E25FD9"/>
    <w:rsid w:val="00E4354A"/>
    <w:rsid w:val="00E47FCD"/>
    <w:rsid w:val="00E512AA"/>
    <w:rsid w:val="00E52DCF"/>
    <w:rsid w:val="00E7120C"/>
    <w:rsid w:val="00E73362"/>
    <w:rsid w:val="00E768BF"/>
    <w:rsid w:val="00E80D9F"/>
    <w:rsid w:val="00E82168"/>
    <w:rsid w:val="00E8302C"/>
    <w:rsid w:val="00E8696D"/>
    <w:rsid w:val="00E87959"/>
    <w:rsid w:val="00E95508"/>
    <w:rsid w:val="00EA663F"/>
    <w:rsid w:val="00EA74F4"/>
    <w:rsid w:val="00EB5F1C"/>
    <w:rsid w:val="00ED35E7"/>
    <w:rsid w:val="00ED428B"/>
    <w:rsid w:val="00EE1E10"/>
    <w:rsid w:val="00EE2584"/>
    <w:rsid w:val="00EE4E4F"/>
    <w:rsid w:val="00EE7B53"/>
    <w:rsid w:val="00F0015D"/>
    <w:rsid w:val="00F00D2B"/>
    <w:rsid w:val="00F063D9"/>
    <w:rsid w:val="00F103C6"/>
    <w:rsid w:val="00F1142F"/>
    <w:rsid w:val="00F13633"/>
    <w:rsid w:val="00F21EC8"/>
    <w:rsid w:val="00F26641"/>
    <w:rsid w:val="00F32C54"/>
    <w:rsid w:val="00F33CFF"/>
    <w:rsid w:val="00F4622F"/>
    <w:rsid w:val="00F47E24"/>
    <w:rsid w:val="00F614A1"/>
    <w:rsid w:val="00F8469E"/>
    <w:rsid w:val="00F90945"/>
    <w:rsid w:val="00F91FEA"/>
    <w:rsid w:val="00FA0304"/>
    <w:rsid w:val="00FA442D"/>
    <w:rsid w:val="00FB4239"/>
    <w:rsid w:val="00FC03D5"/>
    <w:rsid w:val="00FC0690"/>
    <w:rsid w:val="00FC5D29"/>
    <w:rsid w:val="00FC6AF8"/>
    <w:rsid w:val="00FC6F87"/>
    <w:rsid w:val="00FD2085"/>
    <w:rsid w:val="00FD54D9"/>
    <w:rsid w:val="00FD55B1"/>
    <w:rsid w:val="00FE5015"/>
    <w:rsid w:val="00FE67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64CFA-5BC9-4BB3-990B-E81CDE5BB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CB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31CBA"/>
    <w:pPr>
      <w:keepNext/>
      <w:jc w:val="both"/>
      <w:outlineLvl w:val="0"/>
    </w:pPr>
    <w:rPr>
      <w:rFonts w:ascii="Arial" w:hAnsi="Arial" w:cs="Arial"/>
      <w:b/>
      <w:bCs/>
    </w:rPr>
  </w:style>
  <w:style w:type="paragraph" w:styleId="Ttulo2">
    <w:name w:val="heading 2"/>
    <w:basedOn w:val="Normal"/>
    <w:next w:val="Normal"/>
    <w:link w:val="Ttulo2Car"/>
    <w:qFormat/>
    <w:rsid w:val="00331CBA"/>
    <w:pPr>
      <w:keepNext/>
      <w:jc w:val="center"/>
      <w:outlineLvl w:val="1"/>
    </w:pPr>
    <w:rPr>
      <w:rFonts w:ascii="Book Antiqua" w:hAnsi="Book Antiqu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31CBA"/>
    <w:rPr>
      <w:rFonts w:ascii="Arial" w:eastAsia="Times New Roman" w:hAnsi="Arial" w:cs="Arial"/>
      <w:b/>
      <w:bCs/>
      <w:sz w:val="24"/>
      <w:szCs w:val="24"/>
      <w:lang w:val="es-ES" w:eastAsia="es-ES"/>
    </w:rPr>
  </w:style>
  <w:style w:type="character" w:customStyle="1" w:styleId="Ttulo2Car">
    <w:name w:val="Título 2 Car"/>
    <w:basedOn w:val="Fuentedeprrafopredeter"/>
    <w:link w:val="Ttulo2"/>
    <w:rsid w:val="00331CBA"/>
    <w:rPr>
      <w:rFonts w:ascii="Book Antiqua" w:eastAsia="Times New Roman" w:hAnsi="Book Antiqua" w:cs="Times New Roman"/>
      <w:b/>
      <w:bCs/>
      <w:sz w:val="24"/>
      <w:szCs w:val="24"/>
      <w:lang w:val="es-ES" w:eastAsia="es-ES"/>
    </w:rPr>
  </w:style>
  <w:style w:type="paragraph" w:styleId="Encabezado">
    <w:name w:val="header"/>
    <w:basedOn w:val="Normal"/>
    <w:link w:val="EncabezadoCar"/>
    <w:uiPriority w:val="99"/>
    <w:rsid w:val="00331CBA"/>
    <w:pPr>
      <w:tabs>
        <w:tab w:val="center" w:pos="4419"/>
        <w:tab w:val="right" w:pos="8838"/>
      </w:tabs>
    </w:pPr>
  </w:style>
  <w:style w:type="character" w:customStyle="1" w:styleId="EncabezadoCar">
    <w:name w:val="Encabezado Car"/>
    <w:basedOn w:val="Fuentedeprrafopredeter"/>
    <w:link w:val="Encabezado"/>
    <w:uiPriority w:val="99"/>
    <w:rsid w:val="00331CBA"/>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331CBA"/>
    <w:pPr>
      <w:tabs>
        <w:tab w:val="center" w:pos="4419"/>
        <w:tab w:val="right" w:pos="8838"/>
      </w:tabs>
    </w:pPr>
  </w:style>
  <w:style w:type="character" w:customStyle="1" w:styleId="PiedepginaCar">
    <w:name w:val="Pie de página Car"/>
    <w:basedOn w:val="Fuentedeprrafopredeter"/>
    <w:link w:val="Piedepgina"/>
    <w:uiPriority w:val="99"/>
    <w:rsid w:val="00331CBA"/>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rsid w:val="00331CBA"/>
    <w:pPr>
      <w:jc w:val="both"/>
    </w:pPr>
    <w:rPr>
      <w:rFonts w:ascii="Book Antiqua" w:hAnsi="Book Antiqua"/>
    </w:rPr>
  </w:style>
  <w:style w:type="character" w:customStyle="1" w:styleId="TextoindependienteCar">
    <w:name w:val="Texto independiente Car"/>
    <w:basedOn w:val="Fuentedeprrafopredeter"/>
    <w:link w:val="Textoindependiente"/>
    <w:rsid w:val="00331CBA"/>
    <w:rPr>
      <w:rFonts w:ascii="Book Antiqua" w:eastAsia="Times New Roman" w:hAnsi="Book Antiqua" w:cs="Times New Roman"/>
      <w:sz w:val="24"/>
      <w:szCs w:val="24"/>
      <w:lang w:val="es-ES" w:eastAsia="es-ES"/>
    </w:rPr>
  </w:style>
  <w:style w:type="character" w:styleId="Nmerodepgina">
    <w:name w:val="page number"/>
    <w:basedOn w:val="Fuentedeprrafopredeter"/>
    <w:rsid w:val="00331CBA"/>
  </w:style>
  <w:style w:type="paragraph" w:styleId="Prrafodelista">
    <w:name w:val="List Paragraph"/>
    <w:basedOn w:val="Normal"/>
    <w:uiPriority w:val="34"/>
    <w:qFormat/>
    <w:rsid w:val="00331CBA"/>
    <w:pPr>
      <w:spacing w:after="200" w:line="276" w:lineRule="auto"/>
      <w:ind w:left="720"/>
      <w:contextualSpacing/>
      <w:jc w:val="both"/>
    </w:pPr>
    <w:rPr>
      <w:rFonts w:ascii="Arial" w:hAnsi="Arial"/>
      <w:sz w:val="22"/>
      <w:szCs w:val="22"/>
      <w:lang w:val="es-MX" w:eastAsia="en-US"/>
    </w:rPr>
  </w:style>
  <w:style w:type="paragraph" w:styleId="Sinespaciado">
    <w:name w:val="No Spacing"/>
    <w:link w:val="SinespaciadoCar"/>
    <w:uiPriority w:val="1"/>
    <w:qFormat/>
    <w:rsid w:val="00331CBA"/>
    <w:pPr>
      <w:spacing w:after="0" w:line="240" w:lineRule="auto"/>
    </w:pPr>
    <w:rPr>
      <w:rFonts w:ascii="Calibri" w:eastAsia="Calibri" w:hAnsi="Calibri" w:cs="Times New Roman"/>
    </w:rPr>
  </w:style>
  <w:style w:type="character" w:customStyle="1" w:styleId="Estilo2">
    <w:name w:val="Estilo2"/>
    <w:uiPriority w:val="1"/>
    <w:rsid w:val="00331CBA"/>
    <w:rPr>
      <w:rFonts w:ascii="Arial" w:hAnsi="Arial"/>
      <w:b/>
      <w:caps/>
      <w:sz w:val="24"/>
    </w:rPr>
  </w:style>
  <w:style w:type="paragraph" w:styleId="Textonotapie">
    <w:name w:val="footnote text"/>
    <w:basedOn w:val="Normal"/>
    <w:link w:val="TextonotapieCar"/>
    <w:uiPriority w:val="99"/>
    <w:unhideWhenUsed/>
    <w:rsid w:val="00331CBA"/>
    <w:rPr>
      <w:sz w:val="20"/>
      <w:szCs w:val="20"/>
    </w:rPr>
  </w:style>
  <w:style w:type="character" w:customStyle="1" w:styleId="TextonotapieCar">
    <w:name w:val="Texto nota pie Car"/>
    <w:basedOn w:val="Fuentedeprrafopredeter"/>
    <w:link w:val="Textonotapie"/>
    <w:uiPriority w:val="99"/>
    <w:rsid w:val="00331CBA"/>
    <w:rPr>
      <w:rFonts w:ascii="Times New Roman" w:eastAsia="Times New Roman" w:hAnsi="Times New Roman" w:cs="Times New Roman"/>
      <w:sz w:val="20"/>
      <w:szCs w:val="20"/>
      <w:lang w:val="es-ES" w:eastAsia="es-ES"/>
    </w:rPr>
  </w:style>
  <w:style w:type="character" w:styleId="Refdenotaalpie">
    <w:name w:val="footnote reference"/>
    <w:uiPriority w:val="99"/>
    <w:unhideWhenUsed/>
    <w:rsid w:val="00331CBA"/>
    <w:rPr>
      <w:vertAlign w:val="superscript"/>
    </w:rPr>
  </w:style>
  <w:style w:type="paragraph" w:customStyle="1" w:styleId="Normal1">
    <w:name w:val="Normal1"/>
    <w:rsid w:val="00331CBA"/>
    <w:pPr>
      <w:spacing w:after="0" w:line="240" w:lineRule="auto"/>
    </w:pPr>
    <w:rPr>
      <w:rFonts w:ascii="Times New Roman" w:eastAsia="Times New Roman" w:hAnsi="Times New Roman" w:cs="Times New Roman"/>
      <w:color w:val="000000"/>
      <w:sz w:val="24"/>
      <w:szCs w:val="24"/>
      <w:lang w:eastAsia="es-MX"/>
    </w:rPr>
  </w:style>
  <w:style w:type="character" w:styleId="Hipervnculo">
    <w:name w:val="Hyperlink"/>
    <w:uiPriority w:val="99"/>
    <w:rsid w:val="00331CBA"/>
    <w:rPr>
      <w:color w:val="0000FF"/>
      <w:u w:val="single"/>
    </w:rPr>
  </w:style>
  <w:style w:type="character" w:customStyle="1" w:styleId="SinespaciadoCar">
    <w:name w:val="Sin espaciado Car"/>
    <w:link w:val="Sinespaciado"/>
    <w:uiPriority w:val="1"/>
    <w:rsid w:val="00331CBA"/>
    <w:rPr>
      <w:rFonts w:ascii="Calibri" w:eastAsia="Calibri" w:hAnsi="Calibri" w:cs="Times New Roman"/>
    </w:rPr>
  </w:style>
  <w:style w:type="paragraph" w:customStyle="1" w:styleId="Texto">
    <w:name w:val="Texto"/>
    <w:basedOn w:val="Normal"/>
    <w:link w:val="TextoCar"/>
    <w:rsid w:val="00331CBA"/>
    <w:pPr>
      <w:spacing w:after="101" w:line="216" w:lineRule="exact"/>
      <w:ind w:firstLine="288"/>
      <w:jc w:val="both"/>
    </w:pPr>
    <w:rPr>
      <w:rFonts w:ascii="Arial" w:hAnsi="Arial"/>
      <w:sz w:val="18"/>
      <w:szCs w:val="20"/>
    </w:rPr>
  </w:style>
  <w:style w:type="character" w:customStyle="1" w:styleId="TextoCar">
    <w:name w:val="Texto Car"/>
    <w:link w:val="Texto"/>
    <w:locked/>
    <w:rsid w:val="00331CBA"/>
    <w:rPr>
      <w:rFonts w:ascii="Arial" w:eastAsia="Times New Roman" w:hAnsi="Arial" w:cs="Times New Roman"/>
      <w:sz w:val="18"/>
      <w:szCs w:val="20"/>
      <w:lang w:val="es-ES" w:eastAsia="es-ES"/>
    </w:rPr>
  </w:style>
  <w:style w:type="character" w:styleId="Textoennegrita">
    <w:name w:val="Strong"/>
    <w:uiPriority w:val="22"/>
    <w:qFormat/>
    <w:rsid w:val="00331CBA"/>
    <w:rPr>
      <w:b/>
      <w:bCs/>
    </w:rPr>
  </w:style>
  <w:style w:type="paragraph" w:styleId="Textodeglobo">
    <w:name w:val="Balloon Text"/>
    <w:basedOn w:val="Normal"/>
    <w:link w:val="TextodegloboCar"/>
    <w:uiPriority w:val="99"/>
    <w:semiHidden/>
    <w:unhideWhenUsed/>
    <w:rsid w:val="00331CBA"/>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CBA"/>
    <w:rPr>
      <w:rFonts w:ascii="Tahoma" w:eastAsia="Times New Roman" w:hAnsi="Tahoma" w:cs="Tahoma"/>
      <w:sz w:val="16"/>
      <w:szCs w:val="16"/>
      <w:lang w:val="es-ES" w:eastAsia="es-ES"/>
    </w:rPr>
  </w:style>
  <w:style w:type="paragraph" w:styleId="NormalWeb">
    <w:name w:val="Normal (Web)"/>
    <w:basedOn w:val="Normal"/>
    <w:uiPriority w:val="99"/>
    <w:semiHidden/>
    <w:unhideWhenUsed/>
    <w:rsid w:val="00DE5E69"/>
    <w:pPr>
      <w:spacing w:before="100" w:beforeAutospacing="1" w:after="100" w:afterAutospacing="1"/>
    </w:pPr>
    <w:rPr>
      <w:lang w:val="es-MX" w:eastAsia="es-MX"/>
    </w:rPr>
  </w:style>
  <w:style w:type="paragraph" w:customStyle="1" w:styleId="letter-capitular">
    <w:name w:val="letter-capitular"/>
    <w:basedOn w:val="Normal"/>
    <w:rsid w:val="0066423A"/>
    <w:pPr>
      <w:spacing w:before="100" w:beforeAutospacing="1" w:after="100" w:afterAutospacing="1"/>
    </w:pPr>
    <w:rPr>
      <w:lang w:val="es-MX" w:eastAsia="es-MX"/>
    </w:rPr>
  </w:style>
  <w:style w:type="numbering" w:customStyle="1" w:styleId="Estilo1">
    <w:name w:val="Estilo1"/>
    <w:uiPriority w:val="99"/>
    <w:rsid w:val="00CD733C"/>
    <w:pPr>
      <w:numPr>
        <w:numId w:val="7"/>
      </w:numPr>
    </w:pPr>
  </w:style>
  <w:style w:type="character" w:styleId="Hipervnculovisitado">
    <w:name w:val="FollowedHyperlink"/>
    <w:basedOn w:val="Fuentedeprrafopredeter"/>
    <w:uiPriority w:val="99"/>
    <w:semiHidden/>
    <w:unhideWhenUsed/>
    <w:rsid w:val="00C72957"/>
    <w:rPr>
      <w:color w:val="800080" w:themeColor="followedHyperlink"/>
      <w:u w:val="single"/>
    </w:rPr>
  </w:style>
  <w:style w:type="paragraph" w:customStyle="1" w:styleId="Default">
    <w:name w:val="Default"/>
    <w:rsid w:val="0042542C"/>
    <w:pPr>
      <w:autoSpaceDE w:val="0"/>
      <w:autoSpaceDN w:val="0"/>
      <w:adjustRightInd w:val="0"/>
      <w:spacing w:after="0" w:line="240" w:lineRule="auto"/>
    </w:pPr>
    <w:rPr>
      <w:rFonts w:ascii="Calibri" w:eastAsia="Calibri" w:hAnsi="Calibri" w:cs="Calibri"/>
      <w:color w:val="000000"/>
      <w:sz w:val="24"/>
      <w:szCs w:val="24"/>
    </w:rPr>
  </w:style>
  <w:style w:type="paragraph" w:customStyle="1" w:styleId="Normal2">
    <w:name w:val="Normal2"/>
    <w:rsid w:val="000556C9"/>
    <w:pPr>
      <w:spacing w:after="0" w:line="240" w:lineRule="auto"/>
    </w:pPr>
    <w:rPr>
      <w:rFonts w:ascii="Times New Roman" w:eastAsia="Times New Roman" w:hAnsi="Times New Roman" w:cs="Times New Roman"/>
      <w:color w:val="000000"/>
      <w:sz w:val="24"/>
      <w:szCs w:val="20"/>
      <w:lang w:val="es-ES" w:eastAsia="es-ES"/>
    </w:rPr>
  </w:style>
  <w:style w:type="paragraph" w:customStyle="1" w:styleId="Normal3">
    <w:name w:val="Normal3"/>
    <w:rsid w:val="00AF159B"/>
    <w:pPr>
      <w:spacing w:after="0" w:line="240" w:lineRule="auto"/>
    </w:pPr>
    <w:rPr>
      <w:rFonts w:ascii="Times New Roman" w:eastAsia="Times New Roman" w:hAnsi="Times New Roman" w:cs="Times New Roman"/>
      <w:color w:val="000000"/>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934">
      <w:bodyDiv w:val="1"/>
      <w:marLeft w:val="0"/>
      <w:marRight w:val="0"/>
      <w:marTop w:val="0"/>
      <w:marBottom w:val="0"/>
      <w:divBdr>
        <w:top w:val="none" w:sz="0" w:space="0" w:color="auto"/>
        <w:left w:val="none" w:sz="0" w:space="0" w:color="auto"/>
        <w:bottom w:val="none" w:sz="0" w:space="0" w:color="auto"/>
        <w:right w:val="none" w:sz="0" w:space="0" w:color="auto"/>
      </w:divBdr>
    </w:div>
    <w:div w:id="49152191">
      <w:bodyDiv w:val="1"/>
      <w:marLeft w:val="0"/>
      <w:marRight w:val="0"/>
      <w:marTop w:val="0"/>
      <w:marBottom w:val="0"/>
      <w:divBdr>
        <w:top w:val="none" w:sz="0" w:space="0" w:color="auto"/>
        <w:left w:val="none" w:sz="0" w:space="0" w:color="auto"/>
        <w:bottom w:val="none" w:sz="0" w:space="0" w:color="auto"/>
        <w:right w:val="none" w:sz="0" w:space="0" w:color="auto"/>
      </w:divBdr>
    </w:div>
    <w:div w:id="56900824">
      <w:bodyDiv w:val="1"/>
      <w:marLeft w:val="0"/>
      <w:marRight w:val="0"/>
      <w:marTop w:val="0"/>
      <w:marBottom w:val="0"/>
      <w:divBdr>
        <w:top w:val="none" w:sz="0" w:space="0" w:color="auto"/>
        <w:left w:val="none" w:sz="0" w:space="0" w:color="auto"/>
        <w:bottom w:val="none" w:sz="0" w:space="0" w:color="auto"/>
        <w:right w:val="none" w:sz="0" w:space="0" w:color="auto"/>
      </w:divBdr>
    </w:div>
    <w:div w:id="821048810">
      <w:bodyDiv w:val="1"/>
      <w:marLeft w:val="0"/>
      <w:marRight w:val="0"/>
      <w:marTop w:val="0"/>
      <w:marBottom w:val="0"/>
      <w:divBdr>
        <w:top w:val="none" w:sz="0" w:space="0" w:color="auto"/>
        <w:left w:val="none" w:sz="0" w:space="0" w:color="auto"/>
        <w:bottom w:val="none" w:sz="0" w:space="0" w:color="auto"/>
        <w:right w:val="none" w:sz="0" w:space="0" w:color="auto"/>
      </w:divBdr>
    </w:div>
    <w:div w:id="1251547822">
      <w:bodyDiv w:val="1"/>
      <w:marLeft w:val="0"/>
      <w:marRight w:val="0"/>
      <w:marTop w:val="0"/>
      <w:marBottom w:val="0"/>
      <w:divBdr>
        <w:top w:val="none" w:sz="0" w:space="0" w:color="auto"/>
        <w:left w:val="none" w:sz="0" w:space="0" w:color="auto"/>
        <w:bottom w:val="none" w:sz="0" w:space="0" w:color="auto"/>
        <w:right w:val="none" w:sz="0" w:space="0" w:color="auto"/>
      </w:divBdr>
    </w:div>
    <w:div w:id="1744838713">
      <w:bodyDiv w:val="1"/>
      <w:marLeft w:val="0"/>
      <w:marRight w:val="0"/>
      <w:marTop w:val="0"/>
      <w:marBottom w:val="0"/>
      <w:divBdr>
        <w:top w:val="none" w:sz="0" w:space="0" w:color="auto"/>
        <w:left w:val="none" w:sz="0" w:space="0" w:color="auto"/>
        <w:bottom w:val="none" w:sz="0" w:space="0" w:color="auto"/>
        <w:right w:val="none" w:sz="0" w:space="0" w:color="auto"/>
      </w:divBdr>
    </w:div>
    <w:div w:id="2004313644">
      <w:bodyDiv w:val="1"/>
      <w:marLeft w:val="0"/>
      <w:marRight w:val="0"/>
      <w:marTop w:val="0"/>
      <w:marBottom w:val="0"/>
      <w:divBdr>
        <w:top w:val="none" w:sz="0" w:space="0" w:color="auto"/>
        <w:left w:val="none" w:sz="0" w:space="0" w:color="auto"/>
        <w:bottom w:val="none" w:sz="0" w:space="0" w:color="auto"/>
        <w:right w:val="none" w:sz="0" w:space="0" w:color="auto"/>
      </w:divBdr>
    </w:div>
    <w:div w:id="2051491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138A2-20C6-4CD6-B3AE-70C4C7681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3656</Words>
  <Characters>20111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23720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roaguirre</dc:creator>
  <cp:lastModifiedBy>Felipe Alejandro Salasplata Cazares</cp:lastModifiedBy>
  <cp:revision>3</cp:revision>
  <cp:lastPrinted>2019-08-08T19:26:00Z</cp:lastPrinted>
  <dcterms:created xsi:type="dcterms:W3CDTF">2020-08-31T20:20:00Z</dcterms:created>
  <dcterms:modified xsi:type="dcterms:W3CDTF">2020-09-04T17:29:00Z</dcterms:modified>
</cp:coreProperties>
</file>