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DB" w:rsidRPr="00B203DB" w:rsidRDefault="00B203DB" w:rsidP="00B203DB">
      <w:pPr>
        <w:spacing w:after="0" w:line="360" w:lineRule="auto"/>
        <w:jc w:val="both"/>
        <w:rPr>
          <w:rFonts w:ascii="Century Gothic" w:eastAsia="Times New Roman" w:hAnsi="Century Gothic" w:cs="Arial"/>
          <w:b/>
          <w:sz w:val="24"/>
          <w:szCs w:val="24"/>
          <w:lang w:val="es-ES" w:eastAsia="es-ES_tradnl"/>
        </w:rPr>
      </w:pPr>
      <w:r w:rsidRPr="00B203DB">
        <w:rPr>
          <w:rFonts w:ascii="Century Gothic" w:eastAsia="Times New Roman" w:hAnsi="Century Gothic" w:cs="Arial"/>
          <w:b/>
          <w:sz w:val="24"/>
          <w:szCs w:val="24"/>
          <w:lang w:val="es-ES" w:eastAsia="es-ES_tradnl"/>
        </w:rPr>
        <w:t>H. CONGRESO DEL ESTADO</w:t>
      </w:r>
    </w:p>
    <w:p w:rsidR="00B203DB" w:rsidRPr="00B203DB" w:rsidRDefault="00B203DB" w:rsidP="008E0A13">
      <w:pPr>
        <w:tabs>
          <w:tab w:val="left" w:pos="6480"/>
          <w:tab w:val="left" w:pos="7860"/>
        </w:tabs>
        <w:spacing w:after="0" w:line="360" w:lineRule="auto"/>
        <w:jc w:val="both"/>
        <w:rPr>
          <w:rFonts w:ascii="Century Gothic" w:eastAsia="Times New Roman" w:hAnsi="Century Gothic" w:cs="Arial"/>
          <w:b/>
          <w:sz w:val="24"/>
          <w:szCs w:val="24"/>
          <w:lang w:val="es-ES" w:eastAsia="es-ES_tradnl"/>
        </w:rPr>
      </w:pPr>
      <w:r w:rsidRPr="00B203DB">
        <w:rPr>
          <w:rFonts w:ascii="Century Gothic" w:eastAsia="Times New Roman" w:hAnsi="Century Gothic" w:cs="Arial"/>
          <w:b/>
          <w:sz w:val="24"/>
          <w:szCs w:val="24"/>
          <w:lang w:val="es-ES" w:eastAsia="es-ES_tradnl"/>
        </w:rPr>
        <w:t>PRESENTE.-</w:t>
      </w:r>
      <w:r w:rsidRPr="00B203DB">
        <w:rPr>
          <w:rFonts w:ascii="Century Gothic" w:eastAsia="Times New Roman" w:hAnsi="Century Gothic" w:cs="Arial"/>
          <w:b/>
          <w:sz w:val="24"/>
          <w:szCs w:val="24"/>
          <w:lang w:val="es-ES" w:eastAsia="es-ES_tradnl"/>
        </w:rPr>
        <w:tab/>
      </w:r>
      <w:bookmarkStart w:id="0" w:name="_GoBack"/>
      <w:bookmarkEnd w:id="0"/>
      <w:r w:rsidR="008E0A13">
        <w:rPr>
          <w:rFonts w:ascii="Century Gothic" w:eastAsia="Times New Roman" w:hAnsi="Century Gothic" w:cs="Arial"/>
          <w:b/>
          <w:sz w:val="24"/>
          <w:szCs w:val="24"/>
          <w:lang w:val="es-ES" w:eastAsia="es-ES_tradnl"/>
        </w:rPr>
        <w:tab/>
      </w:r>
    </w:p>
    <w:p w:rsidR="00B203DB" w:rsidRPr="00B203DB" w:rsidRDefault="00B203DB" w:rsidP="00B203DB">
      <w:pPr>
        <w:spacing w:after="0" w:line="360" w:lineRule="auto"/>
        <w:jc w:val="both"/>
        <w:rPr>
          <w:rFonts w:ascii="Century Gothic" w:eastAsia="Times New Roman" w:hAnsi="Century Gothic" w:cs="Arial"/>
          <w:sz w:val="24"/>
          <w:szCs w:val="24"/>
          <w:lang w:val="es-ES" w:eastAsia="es-ES_tradnl"/>
        </w:rPr>
      </w:pPr>
    </w:p>
    <w:p w:rsidR="00B203DB" w:rsidRPr="00B203DB" w:rsidRDefault="00B203DB" w:rsidP="00B203D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sz w:val="24"/>
          <w:szCs w:val="24"/>
          <w:lang w:val="es-ES_tradnl" w:eastAsia="es-ES_tradnl"/>
        </w:rPr>
        <w:t xml:space="preserve">La </w:t>
      </w:r>
      <w:r w:rsidRPr="00B203DB">
        <w:rPr>
          <w:rFonts w:ascii="Century Gothic" w:eastAsia="Times New Roman" w:hAnsi="Century Gothic" w:cs="Arial"/>
          <w:sz w:val="24"/>
          <w:szCs w:val="24"/>
          <w:lang w:eastAsia="es-ES_tradnl"/>
        </w:rPr>
        <w:t>Comisión Primera de Gobernación y Puntos Constitucionales</w:t>
      </w:r>
      <w:r w:rsidRPr="00B203DB">
        <w:rPr>
          <w:rFonts w:ascii="Century Gothic" w:eastAsia="Times New Roman" w:hAnsi="Century Gothic" w:cs="Arial"/>
          <w:sz w:val="24"/>
          <w:szCs w:val="24"/>
          <w:lang w:val="es-ES_tradnl" w:eastAsia="es-ES_tradnl"/>
        </w:rPr>
        <w:t>, con fundamento en lo dispuesto por los artículos 64 fracción I de la Constitución Política, 87, 88 y 111 de la Ley Orgánica del Poder Legislativo, así como por los artículos 80 y 81 del Reglamento Interior y de Prácticas Parlamentarias, todos del Estado de Chihuahua, somete a la consideración del Pleno el presente Dictamen, elaborado con base en los siguientes:</w:t>
      </w:r>
    </w:p>
    <w:p w:rsidR="00B203DB" w:rsidRPr="00B203DB" w:rsidRDefault="00B203DB" w:rsidP="00B203D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B203DB" w:rsidRPr="00B203DB" w:rsidRDefault="00B203DB" w:rsidP="00B203DB">
      <w:pPr>
        <w:spacing w:after="0" w:line="360" w:lineRule="auto"/>
        <w:jc w:val="center"/>
        <w:rPr>
          <w:rFonts w:ascii="Century Gothic" w:eastAsia="Times New Roman" w:hAnsi="Century Gothic" w:cs="Arial"/>
          <w:b/>
          <w:sz w:val="24"/>
          <w:szCs w:val="24"/>
          <w:lang w:val="es-ES" w:eastAsia="es-ES_tradnl"/>
        </w:rPr>
      </w:pPr>
      <w:r w:rsidRPr="00B203DB">
        <w:rPr>
          <w:rFonts w:ascii="Century Gothic" w:eastAsia="Times New Roman" w:hAnsi="Century Gothic" w:cs="Arial"/>
          <w:b/>
          <w:sz w:val="24"/>
          <w:szCs w:val="24"/>
          <w:lang w:val="es-ES" w:eastAsia="es-ES_tradnl"/>
        </w:rPr>
        <w:t>ANTECEDENTES</w:t>
      </w:r>
    </w:p>
    <w:p w:rsidR="00B203DB" w:rsidRPr="00B203DB" w:rsidRDefault="00B203DB" w:rsidP="00B203DB">
      <w:pPr>
        <w:spacing w:after="0" w:line="360" w:lineRule="auto"/>
        <w:jc w:val="center"/>
        <w:rPr>
          <w:rFonts w:ascii="Century Gothic" w:eastAsia="Times New Roman" w:hAnsi="Century Gothic" w:cs="Arial"/>
          <w:b/>
          <w:sz w:val="24"/>
          <w:szCs w:val="24"/>
          <w:lang w:val="es-ES" w:eastAsia="es-ES_tradnl"/>
        </w:rPr>
      </w:pPr>
    </w:p>
    <w:p w:rsidR="00B203DB" w:rsidRDefault="00B203DB" w:rsidP="00B203DB">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b/>
          <w:sz w:val="24"/>
          <w:szCs w:val="24"/>
          <w:lang w:val="es-ES_tradnl" w:eastAsia="es-ES_tradnl"/>
        </w:rPr>
        <w:t>I.-</w:t>
      </w:r>
      <w:r w:rsidRPr="00B203DB">
        <w:rPr>
          <w:rFonts w:ascii="Century Gothic" w:eastAsia="Times New Roman" w:hAnsi="Century Gothic" w:cs="Arial"/>
          <w:sz w:val="24"/>
          <w:szCs w:val="24"/>
          <w:lang w:val="es-ES_tradnl" w:eastAsia="es-ES_tradnl"/>
        </w:rPr>
        <w:t xml:space="preserve"> Con fecha</w:t>
      </w:r>
      <w:r w:rsidR="00D67962">
        <w:rPr>
          <w:rFonts w:ascii="Century Gothic" w:eastAsia="Times New Roman" w:hAnsi="Century Gothic" w:cs="Arial"/>
          <w:sz w:val="24"/>
          <w:szCs w:val="24"/>
          <w:lang w:eastAsia="es-ES_tradnl"/>
        </w:rPr>
        <w:t xml:space="preserve"> 9 de julio</w:t>
      </w:r>
      <w:r w:rsidRPr="00B203DB">
        <w:rPr>
          <w:rFonts w:ascii="Century Gothic" w:eastAsia="Times New Roman" w:hAnsi="Century Gothic" w:cs="Arial"/>
          <w:sz w:val="24"/>
          <w:szCs w:val="24"/>
          <w:lang w:eastAsia="es-ES_tradnl"/>
        </w:rPr>
        <w:t xml:space="preserve"> </w:t>
      </w:r>
      <w:r w:rsidR="00D67962">
        <w:rPr>
          <w:rFonts w:ascii="Century Gothic" w:eastAsia="Times New Roman" w:hAnsi="Century Gothic" w:cs="Arial"/>
          <w:sz w:val="24"/>
          <w:szCs w:val="24"/>
          <w:lang w:eastAsia="es-ES_tradnl"/>
        </w:rPr>
        <w:t>de 2019</w:t>
      </w:r>
      <w:r w:rsidRPr="00B203DB">
        <w:rPr>
          <w:rFonts w:ascii="Century Gothic" w:eastAsia="Times New Roman" w:hAnsi="Century Gothic" w:cs="Arial"/>
          <w:sz w:val="24"/>
          <w:szCs w:val="24"/>
          <w:lang w:val="es-ES_tradnl" w:eastAsia="es-ES_tradnl"/>
        </w:rPr>
        <w:t xml:space="preserve">, la Diputada </w:t>
      </w:r>
      <w:r w:rsidR="00D67962">
        <w:rPr>
          <w:rFonts w:ascii="Century Gothic" w:eastAsia="Times New Roman" w:hAnsi="Century Gothic" w:cs="Arial"/>
          <w:sz w:val="24"/>
          <w:szCs w:val="24"/>
          <w:lang w:val="es-ES_tradnl" w:eastAsia="es-ES_tradnl"/>
        </w:rPr>
        <w:t>Martha Josefina Lemus Gurrola, integrante del Grupo Parlamentario del Partido Encuentro Social, presentó</w:t>
      </w:r>
      <w:r w:rsidRPr="00B203DB">
        <w:rPr>
          <w:rFonts w:ascii="Century Gothic" w:eastAsia="Times New Roman" w:hAnsi="Century Gothic" w:cs="Arial"/>
          <w:sz w:val="24"/>
          <w:szCs w:val="24"/>
          <w:lang w:val="es-ES_tradnl" w:eastAsia="es-ES_tradnl"/>
        </w:rPr>
        <w:t xml:space="preserve"> iniciativa con carácter de </w:t>
      </w:r>
      <w:r w:rsidR="00D67962">
        <w:rPr>
          <w:rFonts w:ascii="Century Gothic" w:eastAsia="Times New Roman" w:hAnsi="Century Gothic" w:cs="Arial"/>
          <w:sz w:val="24"/>
          <w:szCs w:val="24"/>
          <w:lang w:val="es-ES_tradnl" w:eastAsia="es-ES_tradnl"/>
        </w:rPr>
        <w:t xml:space="preserve">Decreto a fin de adicionar el artículo 381 Bis al Código de Procedimientos Civiles del Estado de Chihuahua, en materia de arrendamiento de bienes inmuebles. </w:t>
      </w:r>
    </w:p>
    <w:p w:rsidR="00D67962" w:rsidRPr="00B203DB" w:rsidRDefault="00D67962" w:rsidP="00B203DB">
      <w:pPr>
        <w:spacing w:after="0" w:line="360" w:lineRule="auto"/>
        <w:jc w:val="both"/>
        <w:rPr>
          <w:rFonts w:ascii="Century Gothic" w:eastAsia="Times New Roman" w:hAnsi="Century Gothic" w:cs="Arial"/>
          <w:sz w:val="24"/>
          <w:szCs w:val="24"/>
          <w:lang w:val="es-ES_tradnl" w:eastAsia="es-ES_tradnl"/>
        </w:rPr>
      </w:pPr>
    </w:p>
    <w:p w:rsidR="00B203DB" w:rsidRPr="00B203DB" w:rsidRDefault="00B203DB" w:rsidP="00B203DB">
      <w:pPr>
        <w:spacing w:after="0" w:line="360" w:lineRule="auto"/>
        <w:jc w:val="both"/>
        <w:rPr>
          <w:rFonts w:ascii="Century Gothic" w:eastAsia="Arial" w:hAnsi="Century Gothic" w:cs="Arial"/>
          <w:sz w:val="24"/>
          <w:szCs w:val="24"/>
          <w:lang w:val="es-ES_tradnl" w:eastAsia="es-ES_tradnl"/>
        </w:rPr>
      </w:pPr>
      <w:r w:rsidRPr="00B203DB">
        <w:rPr>
          <w:rFonts w:ascii="Century Gothic" w:eastAsia="Times New Roman" w:hAnsi="Century Gothic" w:cs="Arial"/>
          <w:b/>
          <w:sz w:val="24"/>
          <w:szCs w:val="24"/>
          <w:lang w:val="es-ES" w:eastAsia="es-ES_tradnl"/>
        </w:rPr>
        <w:t xml:space="preserve">II.- </w:t>
      </w:r>
      <w:r w:rsidRPr="00B203DB">
        <w:rPr>
          <w:rFonts w:ascii="Century Gothic" w:eastAsia="Times New Roman" w:hAnsi="Century Gothic" w:cs="Arial"/>
          <w:sz w:val="24"/>
          <w:szCs w:val="24"/>
          <w:lang w:val="es-ES" w:eastAsia="es-ES_tradnl"/>
        </w:rPr>
        <w:t xml:space="preserve">La Presidencia del H. Congreso del Estado, con fecha </w:t>
      </w:r>
      <w:r w:rsidR="00D67962">
        <w:rPr>
          <w:rFonts w:ascii="Century Gothic" w:eastAsia="Times New Roman" w:hAnsi="Century Gothic" w:cs="Arial"/>
          <w:sz w:val="24"/>
          <w:szCs w:val="24"/>
          <w:lang w:val="es-ES" w:eastAsia="es-ES_tradnl"/>
        </w:rPr>
        <w:t xml:space="preserve">14 de julio de 2019, </w:t>
      </w:r>
      <w:r w:rsidRPr="00B203DB">
        <w:rPr>
          <w:rFonts w:ascii="Century Gothic" w:eastAsia="Times New Roman" w:hAnsi="Century Gothic" w:cs="Arial"/>
          <w:sz w:val="24"/>
          <w:szCs w:val="24"/>
          <w:lang w:val="es-ES" w:eastAsia="es-ES_tradnl"/>
        </w:rPr>
        <w:t xml:space="preserve">y en uso de las facultades que le confiere el artículo 75, fracción XIII, de la Ley Orgánica del Poder Legislativo, tuvo a bien turnar a esta Comisión de Dictamen Legislativo </w:t>
      </w:r>
      <w:r w:rsidRPr="00B203DB">
        <w:rPr>
          <w:rFonts w:ascii="Century Gothic" w:eastAsia="Arial" w:hAnsi="Century Gothic" w:cs="Arial"/>
          <w:sz w:val="24"/>
          <w:szCs w:val="24"/>
          <w:lang w:val="es-ES_tradnl" w:eastAsia="es-ES_tradnl"/>
        </w:rPr>
        <w:t xml:space="preserve">la iniciativa de mérito a efecto de proceder al estudio, análisis y elaboración del dictamen correspondiente. </w:t>
      </w:r>
    </w:p>
    <w:p w:rsidR="00B203DB" w:rsidRPr="00B203DB" w:rsidRDefault="00B203DB" w:rsidP="00B203DB">
      <w:pPr>
        <w:spacing w:after="0" w:line="360" w:lineRule="auto"/>
        <w:jc w:val="both"/>
        <w:rPr>
          <w:rFonts w:ascii="Century Gothic" w:eastAsia="Times New Roman" w:hAnsi="Century Gothic" w:cs="Arial"/>
          <w:sz w:val="24"/>
          <w:szCs w:val="24"/>
          <w:lang w:val="es-ES_tradnl" w:eastAsia="es-ES_tradnl"/>
        </w:rPr>
      </w:pPr>
    </w:p>
    <w:p w:rsidR="00B203DB" w:rsidRDefault="00B203DB" w:rsidP="00B203DB">
      <w:pPr>
        <w:spacing w:after="0" w:line="360" w:lineRule="auto"/>
        <w:jc w:val="both"/>
        <w:rPr>
          <w:rFonts w:ascii="Century Gothic" w:eastAsia="Times New Roman" w:hAnsi="Century Gothic" w:cs="Arial"/>
          <w:bCs/>
          <w:sz w:val="24"/>
          <w:szCs w:val="24"/>
          <w:lang w:val="es-ES_tradnl" w:eastAsia="es-ES_tradnl"/>
        </w:rPr>
      </w:pPr>
      <w:r w:rsidRPr="00B203DB">
        <w:rPr>
          <w:rFonts w:ascii="Century Gothic" w:eastAsia="Times New Roman" w:hAnsi="Century Gothic" w:cs="Arial"/>
          <w:b/>
          <w:bCs/>
          <w:sz w:val="24"/>
          <w:szCs w:val="24"/>
          <w:lang w:val="es-ES_tradnl" w:eastAsia="es-ES_tradnl"/>
        </w:rPr>
        <w:t>III</w:t>
      </w:r>
      <w:r w:rsidRPr="00B203DB">
        <w:rPr>
          <w:rFonts w:ascii="Century Gothic" w:eastAsia="Times New Roman" w:hAnsi="Century Gothic" w:cs="Arial"/>
          <w:bCs/>
          <w:sz w:val="24"/>
          <w:szCs w:val="24"/>
          <w:lang w:val="es-ES_tradnl" w:eastAsia="es-ES_tradnl"/>
        </w:rPr>
        <w:t xml:space="preserve">.- La iniciativa se sustenta en los siguientes argumentos: </w:t>
      </w:r>
    </w:p>
    <w:p w:rsidR="00286761" w:rsidRPr="00286761" w:rsidRDefault="00957367" w:rsidP="00957367">
      <w:pPr>
        <w:spacing w:before="240" w:after="0" w:line="240" w:lineRule="auto"/>
        <w:ind w:left="708"/>
        <w:jc w:val="both"/>
        <w:rPr>
          <w:rFonts w:ascii="Century Gothic" w:eastAsia="Calibri" w:hAnsi="Century Gothic" w:cs="Arial"/>
          <w:i/>
          <w:sz w:val="24"/>
          <w:szCs w:val="24"/>
        </w:rPr>
      </w:pPr>
      <w:r w:rsidRPr="00957367">
        <w:rPr>
          <w:rFonts w:ascii="Century Gothic" w:eastAsia="Calibri" w:hAnsi="Century Gothic" w:cs="Arial"/>
          <w:i/>
          <w:sz w:val="24"/>
          <w:szCs w:val="24"/>
        </w:rPr>
        <w:lastRenderedPageBreak/>
        <w:t>“</w:t>
      </w:r>
      <w:r w:rsidR="00286761" w:rsidRPr="00286761">
        <w:rPr>
          <w:rFonts w:ascii="Century Gothic" w:eastAsia="Calibri" w:hAnsi="Century Gothic" w:cs="Arial"/>
          <w:i/>
          <w:sz w:val="24"/>
          <w:szCs w:val="24"/>
        </w:rPr>
        <w:t>El contrato de arrendamiento de bienes inmuebles, es uno de los contratos más comunes que se pueden dar entre dos o más personas. Ya sea que la finca se destine a comercio, industria o habitación. El Código Civil para nuestro Estado establece que, hay arrendamiento cuando una persona llamada arrendador, se obliga a conceder el uso o goce temporal de un bien y la otra, llamada arrendatario, se obliga a pagar por ello un precio cierto y determinado.</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Dentro del ordenamiento en cita, en su numeral 2382 prevé las maneras de terminar el arrendamiento, en caso que en el contrato pactado entre las partes no lo contenga, que pude ser: por haberse cumplido el plazo fijado en el contrato o por la ley, o por estar satisfecho el objeto para que la cosa fue arrendada, por convenio expreso; por nulidad; por rescisión; por confusión; por pérdida o destrucción total de la cosa arrendada, por caso fortuito o fuerza mayor; por expropiación de la cosa arrendada hecha por causa de utilidad pública o por evicción de la cosa dada en arrendamiento.</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Paralelamente, el mismo ordenamiento en su artículo 2391,otorga al arrendador el derecho de dejar sin efectos lo estipulado, solicitando la rescisión de contrato de arrendamiento, cuando el arrendatario incurra en alguno de los siguientes supuestos:</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 xml:space="preserve">I. Por falta de pago de la renta en los términos previstos en el Código Civil vigente para nuestro Estado. </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 xml:space="preserve">II. Por el mal uso que del bien haga el arrendatario, o por los daños graves que llegue a causarle. </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 xml:space="preserve">III. Por subarrendar el bien en contravención a lo dispuesto por el artículo 2377. </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IV. Porque el arrendatario cambie la forma del bien arrendado sin consentimiento expreso del arrendador.</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 xml:space="preserve">Con respecto lo narrado, el principal problema en este tipo de contratos, es que en numerosas ocasiones los arrendatarios, encuadran en algún tipo de terminación del contrato en los artículos en mención, pero a pesar de ello, se </w:t>
      </w:r>
      <w:r w:rsidRPr="00286761">
        <w:rPr>
          <w:rFonts w:ascii="Century Gothic" w:eastAsia="Calibri" w:hAnsi="Century Gothic" w:cs="Arial"/>
          <w:i/>
          <w:sz w:val="24"/>
          <w:szCs w:val="24"/>
        </w:rPr>
        <w:lastRenderedPageBreak/>
        <w:t>niegan a entregar la finca arrendada a sabiendas que la misma no es de su propiedad.</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En razón a lo anterior, los propietarios se ven en la necesidad de entablar un Juicio Especial para de esta manera poder recuperar la posesión material del bien dado en arrendamiento, y de esta manera evitar el deterioro del bien inmueble.</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Ahora bien en una gran cantidad de casos sucede que, entablado el juicio, el arrendador con tal de entorpecer el juicio o no hacerse responsable de las obligaciones que le corresponden, abandona el bien inmueble arrendado escondiéndose de la acción legal.</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 xml:space="preserve">Es preciso señalar que la finalidad de este Juicio Especial, tiene como fin que el propietario </w:t>
      </w:r>
      <w:r w:rsidRPr="00286761">
        <w:rPr>
          <w:rFonts w:ascii="Century Gothic" w:eastAsia="Calibri" w:hAnsi="Century Gothic" w:cs="Arial"/>
          <w:i/>
          <w:sz w:val="24"/>
          <w:szCs w:val="24"/>
          <w:u w:val="single"/>
        </w:rPr>
        <w:t>obtenga con toda celeridad la posesión material del bien dado en arrendamiento</w:t>
      </w:r>
      <w:r w:rsidRPr="00286761">
        <w:rPr>
          <w:rFonts w:ascii="Century Gothic" w:eastAsia="Calibri" w:hAnsi="Century Gothic" w:cs="Arial"/>
          <w:i/>
          <w:sz w:val="24"/>
          <w:szCs w:val="24"/>
        </w:rPr>
        <w:t xml:space="preserve">, cuando el arrendatario haya incumplido con lo pactado en el contrato, o bien cuando se actualicen las hipótesis señaladas en el Código Civil del Estado. </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 xml:space="preserve">En ese orden de ideas, nuestro Código de Procedimientos Civiles vigente para nuestro Estado, en su numeral 141 ordena que </w:t>
      </w:r>
      <w:r w:rsidRPr="00286761">
        <w:rPr>
          <w:rFonts w:ascii="Century Gothic" w:eastAsia="Calibri" w:hAnsi="Century Gothic" w:cs="Arial"/>
          <w:i/>
          <w:sz w:val="24"/>
          <w:szCs w:val="24"/>
          <w:u w:val="single"/>
        </w:rPr>
        <w:t>La segunda y ulteriores notificaciones personales se harán indistintamente por la o el secretario judicial o notificador, si las partes se presentan al tribunal respectivo</w:t>
      </w:r>
      <w:r w:rsidRPr="00286761">
        <w:rPr>
          <w:rFonts w:ascii="Century Gothic" w:eastAsia="Calibri" w:hAnsi="Century Gothic" w:cs="Arial"/>
          <w:i/>
          <w:sz w:val="24"/>
          <w:szCs w:val="24"/>
        </w:rPr>
        <w:t>, lo cual, en caso de que se dé el supuesto descrito en el párrafo que antecede, la posesión material del bien, se ve retardada hasta en tanto que no se localice al demandado, por consiguiente, la entrega material objeto de la controversia no puede otorgársele a su propietario.</w:t>
      </w:r>
    </w:p>
    <w:p w:rsidR="00286761" w:rsidRPr="00286761" w:rsidRDefault="00286761" w:rsidP="00957367">
      <w:pPr>
        <w:spacing w:before="240" w:after="0" w:line="240" w:lineRule="auto"/>
        <w:ind w:left="708"/>
        <w:jc w:val="both"/>
        <w:rPr>
          <w:rFonts w:ascii="Century Gothic" w:eastAsia="Calibri" w:hAnsi="Century Gothic" w:cs="Arial"/>
          <w:i/>
          <w:sz w:val="24"/>
          <w:szCs w:val="24"/>
        </w:rPr>
      </w:pPr>
      <w:r w:rsidRPr="00286761">
        <w:rPr>
          <w:rFonts w:ascii="Century Gothic" w:eastAsia="Calibri" w:hAnsi="Century Gothic" w:cs="Arial"/>
          <w:i/>
          <w:sz w:val="24"/>
          <w:szCs w:val="24"/>
        </w:rPr>
        <w:t>Por todo lo anterior es necesario se haga una adición a nuestro Código de Procedimientos Civiles de nuestro Estado, contemplando el supuesto de que el demandado pretenda eludirse de la acción de la justicia y que se permita al arrendador tomar posesión del inmueble de su propiedad cuando por esta acción dilatoria el arrendatario abandone el inmueble arrendado.</w:t>
      </w:r>
    </w:p>
    <w:p w:rsidR="00286761" w:rsidRPr="00286761" w:rsidRDefault="00286761" w:rsidP="00957367">
      <w:pPr>
        <w:spacing w:before="240" w:after="0" w:line="240" w:lineRule="auto"/>
        <w:ind w:left="708"/>
        <w:jc w:val="both"/>
        <w:rPr>
          <w:rFonts w:ascii="Century Gothic" w:eastAsia="Times New Roman" w:hAnsi="Century Gothic" w:cs="Arial"/>
          <w:i/>
          <w:sz w:val="24"/>
          <w:szCs w:val="24"/>
          <w:lang w:eastAsia="es-MX"/>
        </w:rPr>
      </w:pPr>
      <w:r w:rsidRPr="00286761">
        <w:rPr>
          <w:rFonts w:ascii="Century Gothic" w:eastAsia="Calibri" w:hAnsi="Century Gothic" w:cs="Arial"/>
          <w:i/>
          <w:sz w:val="24"/>
          <w:szCs w:val="24"/>
        </w:rPr>
        <w:lastRenderedPageBreak/>
        <w:t xml:space="preserve">Por ésto, </w:t>
      </w:r>
      <w:r w:rsidRPr="00286761">
        <w:rPr>
          <w:rFonts w:ascii="Century Gothic" w:eastAsia="Times New Roman" w:hAnsi="Century Gothic" w:cs="Arial"/>
          <w:i/>
          <w:sz w:val="24"/>
          <w:szCs w:val="24"/>
          <w:lang w:eastAsia="es-MX"/>
        </w:rPr>
        <w:t>cuando se inicie el juicio, y hasta antes de que se dicte sentencia, se le haga saber al Juez o Tribunal ante quien se tramite el juicio especial, éste deberá ordenar se lleve a cabo una inspección judicial con las características del cateo en el que se haga constar por el actuario o secretario del juzgado tal hecho, y que una vez realizada dicha diligencia el juzgador, ordene de manera inmediata se ponga en posesión material al arrendador del inmueble de su propiedad.</w:t>
      </w:r>
    </w:p>
    <w:p w:rsidR="00286761" w:rsidRPr="00286761" w:rsidRDefault="00286761" w:rsidP="00957367">
      <w:pPr>
        <w:spacing w:before="240" w:after="0" w:line="240" w:lineRule="auto"/>
        <w:ind w:left="708"/>
        <w:jc w:val="both"/>
        <w:rPr>
          <w:rFonts w:ascii="Century Gothic" w:eastAsia="Calibri" w:hAnsi="Century Gothic" w:cs="Arial"/>
          <w:i/>
          <w:color w:val="222222"/>
          <w:sz w:val="24"/>
          <w:szCs w:val="24"/>
          <w:shd w:val="clear" w:color="auto" w:fill="FFFFFF"/>
        </w:rPr>
      </w:pPr>
      <w:r w:rsidRPr="00286761">
        <w:rPr>
          <w:rFonts w:ascii="Century Gothic" w:eastAsia="Calibri" w:hAnsi="Century Gothic" w:cs="Arial"/>
          <w:i/>
          <w:color w:val="222222"/>
          <w:sz w:val="24"/>
          <w:szCs w:val="24"/>
          <w:shd w:val="clear" w:color="auto" w:fill="FFFFFF"/>
        </w:rPr>
        <w:t>El informe de abandono del que se menciona, además podrá realizarse mediante la intervención de Fedatario Público, o bien en declaración de testigos que conozcan del asunto.</w:t>
      </w:r>
    </w:p>
    <w:p w:rsidR="00286761" w:rsidRPr="00286761" w:rsidRDefault="00286761" w:rsidP="00957367">
      <w:pPr>
        <w:spacing w:before="240" w:after="0" w:line="240" w:lineRule="auto"/>
        <w:ind w:left="708"/>
        <w:jc w:val="both"/>
        <w:rPr>
          <w:rFonts w:ascii="Century Gothic" w:eastAsia="Times New Roman" w:hAnsi="Century Gothic" w:cs="Arial"/>
          <w:i/>
          <w:color w:val="000000"/>
          <w:sz w:val="24"/>
          <w:szCs w:val="24"/>
          <w:lang w:eastAsia="es-MX"/>
        </w:rPr>
      </w:pPr>
      <w:r w:rsidRPr="00286761">
        <w:rPr>
          <w:rFonts w:ascii="Century Gothic" w:eastAsia="Times New Roman" w:hAnsi="Century Gothic" w:cs="Arial"/>
          <w:i/>
          <w:color w:val="000000"/>
          <w:sz w:val="24"/>
          <w:szCs w:val="24"/>
          <w:lang w:eastAsia="es-MX"/>
        </w:rPr>
        <w:t>Es de resaltarse que dicha medida no vulnera garantías y derechos del demandado pues dicho supuesto ya se encuentra contemplado en algunos ordenamientos de la materia de diversas Entidades Federativas siendo el caso más destacado el del Estado de Jalisco.</w:t>
      </w:r>
    </w:p>
    <w:p w:rsidR="00286761" w:rsidRPr="00286761" w:rsidRDefault="00286761" w:rsidP="00957367">
      <w:pPr>
        <w:spacing w:before="240" w:after="0" w:line="240" w:lineRule="auto"/>
        <w:ind w:left="708"/>
        <w:jc w:val="both"/>
        <w:rPr>
          <w:rFonts w:ascii="Century Gothic" w:eastAsia="Times New Roman" w:hAnsi="Century Gothic" w:cs="Arial"/>
          <w:i/>
          <w:color w:val="000000"/>
          <w:sz w:val="24"/>
          <w:szCs w:val="24"/>
          <w:lang w:eastAsia="es-MX"/>
        </w:rPr>
      </w:pPr>
      <w:r w:rsidRPr="00286761">
        <w:rPr>
          <w:rFonts w:ascii="Century Gothic" w:eastAsia="Times New Roman" w:hAnsi="Century Gothic" w:cs="Arial"/>
          <w:i/>
          <w:color w:val="000000"/>
          <w:sz w:val="24"/>
          <w:szCs w:val="24"/>
          <w:lang w:eastAsia="es-MX"/>
        </w:rPr>
        <w:t xml:space="preserve">Para apoyar esta iniciativa me permito citar la Tesis Jurisprudencial número 168213, donde se analizó el articulado de la Legislación aplicable para el Estado de Jalisco, donde se consideró que: “A través de tal disposición el legislador jalisciense pretendió la creación de un medio efectivo y expedito para que el propietario logre la pronta recuperación de la posesión del inmueble cuando el arrendatario lo abandone, con el fin de evitar una afectación patrimonial mayor y el menoscabo o deterioro de la finca. Atendiendo a ello, se considera que la frase "durante el juicio" incluida en ese precepto, permite que la medida se dicte a partir de la presentación de la demanda (sin tener que esperar a que se haya emplazado o al momento en que la litis queda integrada por contestación del demandado o por declaración de su rebeldía), porque a partir de entonces los actos que se practican dejan de ser considerados como prejudiciales, lo que se corrobora por el hecho de que en el precepto no se indicó que esa solicitud no procediera antes del llamado a juicio del demandado, mismo que puede llegar a practicarse mucho tiempo después de la interposición del libelo inicial, generalmente debido a que el arrendador sólo conoce como domicilio de su contrario precisamente el del inmueble objeto </w:t>
      </w:r>
      <w:r w:rsidRPr="00286761">
        <w:rPr>
          <w:rFonts w:ascii="Century Gothic" w:eastAsia="Times New Roman" w:hAnsi="Century Gothic" w:cs="Arial"/>
          <w:i/>
          <w:color w:val="000000"/>
          <w:sz w:val="24"/>
          <w:szCs w:val="24"/>
          <w:lang w:eastAsia="es-MX"/>
        </w:rPr>
        <w:lastRenderedPageBreak/>
        <w:t>del contrato, que al estar desocupado impide realizar la notificación al reo, de modo que lo correcto es que esa restitución pueda decretarse en cualquier momento a partir de que se abre la instancia con la promoción de la demanda.</w:t>
      </w:r>
      <w:r w:rsidR="00957367" w:rsidRPr="00957367">
        <w:rPr>
          <w:rFonts w:ascii="Century Gothic" w:eastAsia="Times New Roman" w:hAnsi="Century Gothic" w:cs="Arial"/>
          <w:i/>
          <w:color w:val="000000"/>
          <w:sz w:val="24"/>
          <w:szCs w:val="24"/>
          <w:lang w:eastAsia="es-MX"/>
        </w:rPr>
        <w:t>”</w:t>
      </w:r>
    </w:p>
    <w:p w:rsidR="00286761" w:rsidRPr="00957367" w:rsidRDefault="00286761" w:rsidP="00957367">
      <w:pPr>
        <w:spacing w:after="0" w:line="240" w:lineRule="auto"/>
        <w:jc w:val="both"/>
        <w:rPr>
          <w:rFonts w:ascii="Century Gothic" w:eastAsia="Times New Roman" w:hAnsi="Century Gothic" w:cs="Arial"/>
          <w:bCs/>
          <w:sz w:val="24"/>
          <w:szCs w:val="24"/>
          <w:lang w:val="es-ES_tradnl" w:eastAsia="es-ES_tradnl"/>
        </w:rPr>
      </w:pPr>
    </w:p>
    <w:p w:rsidR="00B203DB" w:rsidRPr="00B203DB" w:rsidRDefault="00B203DB" w:rsidP="00B203DB">
      <w:pPr>
        <w:spacing w:after="0" w:line="360" w:lineRule="auto"/>
        <w:jc w:val="both"/>
        <w:rPr>
          <w:rFonts w:ascii="Century Gothic" w:eastAsia="Times New Roman" w:hAnsi="Century Gothic" w:cs="Arial"/>
          <w:bCs/>
          <w:sz w:val="24"/>
          <w:szCs w:val="24"/>
          <w:lang w:val="es-ES_tradnl" w:eastAsia="es-ES_tradnl"/>
        </w:rPr>
      </w:pPr>
    </w:p>
    <w:p w:rsidR="00B203DB" w:rsidRPr="00B203DB" w:rsidRDefault="00B203DB" w:rsidP="00B203DB">
      <w:pPr>
        <w:spacing w:after="0" w:line="360" w:lineRule="auto"/>
        <w:ind w:firstLine="426"/>
        <w:jc w:val="both"/>
        <w:rPr>
          <w:rFonts w:ascii="Century Gothic" w:eastAsia="Times New Roman" w:hAnsi="Century Gothic" w:cs="Times New Roman"/>
          <w:color w:val="000000"/>
          <w:sz w:val="24"/>
          <w:szCs w:val="24"/>
          <w:lang w:eastAsia="es-MX"/>
        </w:rPr>
      </w:pPr>
      <w:r w:rsidRPr="00B203DB">
        <w:rPr>
          <w:rFonts w:ascii="Century Gothic" w:eastAsia="Arial" w:hAnsi="Century Gothic" w:cs="Arial"/>
          <w:color w:val="000000"/>
          <w:sz w:val="24"/>
          <w:szCs w:val="24"/>
          <w:lang w:eastAsia="es-MX"/>
        </w:rPr>
        <w:t xml:space="preserve">Quienes integramos la Comisión Primera de Gobernación y Puntos Constitucionales, después de entrar al estudio y análisis de la iniciativa de mérito, formulamos las siguientes: </w:t>
      </w:r>
    </w:p>
    <w:p w:rsidR="00B203DB" w:rsidRPr="00B203DB" w:rsidRDefault="00B203DB" w:rsidP="00B203DB">
      <w:pPr>
        <w:spacing w:after="0" w:line="360" w:lineRule="auto"/>
        <w:jc w:val="both"/>
        <w:rPr>
          <w:rFonts w:ascii="Century Gothic" w:eastAsia="Times New Roman" w:hAnsi="Century Gothic" w:cs="Arial"/>
          <w:color w:val="000000"/>
          <w:sz w:val="24"/>
          <w:szCs w:val="24"/>
          <w:lang w:eastAsia="es-ES"/>
        </w:rPr>
      </w:pPr>
    </w:p>
    <w:p w:rsidR="00B203DB" w:rsidRPr="00B203DB" w:rsidRDefault="00B203DB" w:rsidP="00B203DB">
      <w:pPr>
        <w:spacing w:after="0" w:line="360" w:lineRule="auto"/>
        <w:jc w:val="center"/>
        <w:rPr>
          <w:rFonts w:ascii="Century Gothic" w:eastAsia="Times New Roman" w:hAnsi="Century Gothic" w:cs="Arial"/>
          <w:b/>
          <w:sz w:val="24"/>
          <w:szCs w:val="24"/>
          <w:lang w:val="es-ES" w:eastAsia="es-ES_tradnl"/>
        </w:rPr>
      </w:pPr>
    </w:p>
    <w:p w:rsidR="00B203DB" w:rsidRPr="00B203DB" w:rsidRDefault="00B203DB" w:rsidP="00B203DB">
      <w:pPr>
        <w:spacing w:after="0" w:line="360" w:lineRule="auto"/>
        <w:jc w:val="center"/>
        <w:rPr>
          <w:rFonts w:ascii="Century Gothic" w:eastAsia="Times New Roman" w:hAnsi="Century Gothic" w:cs="Arial"/>
          <w:b/>
          <w:sz w:val="24"/>
          <w:szCs w:val="24"/>
          <w:lang w:val="es-ES" w:eastAsia="es-ES_tradnl"/>
        </w:rPr>
      </w:pPr>
      <w:r w:rsidRPr="00B203DB">
        <w:rPr>
          <w:rFonts w:ascii="Century Gothic" w:eastAsia="Times New Roman" w:hAnsi="Century Gothic" w:cs="Arial"/>
          <w:b/>
          <w:sz w:val="24"/>
          <w:szCs w:val="24"/>
          <w:lang w:val="es-ES" w:eastAsia="es-ES_tradnl"/>
        </w:rPr>
        <w:t>CONSIDERACIONES</w:t>
      </w:r>
    </w:p>
    <w:p w:rsidR="00B203DB" w:rsidRPr="00B203DB" w:rsidRDefault="00B203DB" w:rsidP="00B203DB">
      <w:pPr>
        <w:spacing w:after="0" w:line="360" w:lineRule="auto"/>
        <w:jc w:val="center"/>
        <w:rPr>
          <w:rFonts w:ascii="Century Gothic" w:eastAsia="Times New Roman" w:hAnsi="Century Gothic" w:cs="Arial"/>
          <w:b/>
          <w:sz w:val="24"/>
          <w:szCs w:val="24"/>
          <w:lang w:val="es-ES" w:eastAsia="es-ES_tradnl"/>
        </w:rPr>
      </w:pPr>
    </w:p>
    <w:p w:rsidR="00B203DB" w:rsidRPr="00B203DB" w:rsidRDefault="00B203DB" w:rsidP="00B203DB">
      <w:pPr>
        <w:spacing w:after="0" w:line="360" w:lineRule="auto"/>
        <w:jc w:val="both"/>
        <w:rPr>
          <w:rFonts w:ascii="Century Gothic" w:eastAsia="Times New Roman" w:hAnsi="Century Gothic" w:cs="Arial"/>
          <w:sz w:val="24"/>
          <w:szCs w:val="24"/>
          <w:lang w:val="es-ES" w:eastAsia="es-ES_tradnl"/>
        </w:rPr>
      </w:pPr>
      <w:r w:rsidRPr="00B203DB">
        <w:rPr>
          <w:rFonts w:ascii="Century Gothic" w:eastAsia="Times New Roman" w:hAnsi="Century Gothic" w:cs="Arial"/>
          <w:b/>
          <w:sz w:val="24"/>
          <w:szCs w:val="24"/>
          <w:lang w:val="es-ES" w:eastAsia="es-ES_tradnl"/>
        </w:rPr>
        <w:t>I.-</w:t>
      </w:r>
      <w:r w:rsidRPr="00B203DB">
        <w:rPr>
          <w:rFonts w:ascii="Century Gothic" w:eastAsia="Times New Roman" w:hAnsi="Century Gothic" w:cs="Arial"/>
          <w:sz w:val="24"/>
          <w:szCs w:val="24"/>
          <w:lang w:val="es-ES" w:eastAsia="es-ES_tradnl"/>
        </w:rPr>
        <w:t xml:space="preserve"> El Honorable Congreso del Estado, a través de esta Comisión, es competente para conocer y resolver sobre la iniciativa enunciada en los antecedentes. </w:t>
      </w:r>
    </w:p>
    <w:p w:rsidR="00B203DB" w:rsidRPr="00B203DB" w:rsidRDefault="00B203DB" w:rsidP="00B203DB">
      <w:pPr>
        <w:spacing w:after="0" w:line="360" w:lineRule="auto"/>
        <w:jc w:val="both"/>
        <w:rPr>
          <w:rFonts w:ascii="Century Gothic" w:eastAsia="Times New Roman" w:hAnsi="Century Gothic" w:cs="Arial"/>
          <w:sz w:val="24"/>
          <w:szCs w:val="24"/>
          <w:lang w:val="es-ES_tradnl" w:eastAsia="es-ES_tradnl"/>
        </w:rPr>
      </w:pPr>
    </w:p>
    <w:p w:rsidR="00947EF7" w:rsidRDefault="00B203DB" w:rsidP="00B203DB">
      <w:pPr>
        <w:spacing w:after="0" w:line="360" w:lineRule="auto"/>
        <w:jc w:val="both"/>
        <w:rPr>
          <w:rFonts w:ascii="Century Gothic" w:eastAsia="Times New Roman" w:hAnsi="Century Gothic" w:cs="Times New Roman"/>
          <w:sz w:val="24"/>
          <w:szCs w:val="24"/>
          <w:lang w:val="es-ES_tradnl" w:eastAsia="es-ES_tradnl"/>
        </w:rPr>
      </w:pPr>
      <w:r w:rsidRPr="00B203DB">
        <w:rPr>
          <w:rFonts w:ascii="Century Gothic" w:eastAsia="Times New Roman" w:hAnsi="Century Gothic" w:cs="Arial"/>
          <w:b/>
          <w:sz w:val="24"/>
          <w:szCs w:val="24"/>
          <w:lang w:val="es-ES_tradnl" w:eastAsia="es-ES_tradnl"/>
        </w:rPr>
        <w:t xml:space="preserve">II.- </w:t>
      </w:r>
      <w:r w:rsidR="00053433">
        <w:rPr>
          <w:rFonts w:ascii="Century Gothic" w:eastAsia="Times New Roman" w:hAnsi="Century Gothic" w:cs="Times New Roman"/>
          <w:sz w:val="24"/>
          <w:szCs w:val="24"/>
          <w:lang w:val="es-ES_tradnl" w:eastAsia="es-ES_tradnl"/>
        </w:rPr>
        <w:t>Como quedó señalado anteriormente</w:t>
      </w:r>
      <w:r w:rsidRPr="00B203DB">
        <w:rPr>
          <w:rFonts w:ascii="Century Gothic" w:eastAsia="Times New Roman" w:hAnsi="Century Gothic" w:cs="Times New Roman"/>
          <w:sz w:val="24"/>
          <w:szCs w:val="24"/>
          <w:lang w:val="es-ES_tradnl" w:eastAsia="es-ES_tradnl"/>
        </w:rPr>
        <w:t xml:space="preserve">, la iniciativa en estudio tiene como finalidad </w:t>
      </w:r>
      <w:r w:rsidR="004930CF">
        <w:rPr>
          <w:rFonts w:ascii="Century Gothic" w:eastAsia="Times New Roman" w:hAnsi="Century Gothic" w:cs="Times New Roman"/>
          <w:sz w:val="24"/>
          <w:szCs w:val="24"/>
          <w:lang w:val="es-ES_tradnl" w:eastAsia="es-ES_tradnl"/>
        </w:rPr>
        <w:t xml:space="preserve">adicionar un artículo 381 Bis </w:t>
      </w:r>
      <w:r w:rsidR="00864C23">
        <w:rPr>
          <w:rFonts w:ascii="Century Gothic" w:eastAsia="Times New Roman" w:hAnsi="Century Gothic" w:cs="Times New Roman"/>
          <w:sz w:val="24"/>
          <w:szCs w:val="24"/>
          <w:lang w:val="es-ES_tradnl" w:eastAsia="es-ES_tradnl"/>
        </w:rPr>
        <w:t xml:space="preserve">al Código de Procedimientos Civiles del Estado de Chihuahua, en relación con </w:t>
      </w:r>
      <w:r w:rsidR="00947EF7">
        <w:rPr>
          <w:rFonts w:ascii="Century Gothic" w:eastAsia="Times New Roman" w:hAnsi="Century Gothic" w:cs="Times New Roman"/>
          <w:sz w:val="24"/>
          <w:szCs w:val="24"/>
          <w:lang w:val="es-ES_tradnl" w:eastAsia="es-ES_tradnl"/>
        </w:rPr>
        <w:t>el tema de los bienes inmuebles.</w:t>
      </w:r>
    </w:p>
    <w:p w:rsidR="00B203DB" w:rsidRDefault="00864C23" w:rsidP="00B203DB">
      <w:pPr>
        <w:spacing w:after="0" w:line="360" w:lineRule="auto"/>
        <w:jc w:val="both"/>
        <w:rPr>
          <w:rFonts w:ascii="Century Gothic" w:eastAsia="Times New Roman" w:hAnsi="Century Gothic" w:cs="Times New Roman"/>
          <w:sz w:val="24"/>
          <w:szCs w:val="24"/>
          <w:lang w:val="es-ES_tradnl" w:eastAsia="es-ES_tradnl"/>
        </w:rPr>
      </w:pPr>
      <w:r>
        <w:rPr>
          <w:rFonts w:ascii="Century Gothic" w:eastAsia="Times New Roman" w:hAnsi="Century Gothic" w:cs="Times New Roman"/>
          <w:sz w:val="24"/>
          <w:szCs w:val="24"/>
          <w:lang w:val="es-ES_tradnl" w:eastAsia="es-ES_tradnl"/>
        </w:rPr>
        <w:t xml:space="preserve">Sin embargo, esta Comisión advierte que la reforma planteada por la iniciadora es inconstitucional, por lo que </w:t>
      </w:r>
      <w:r w:rsidR="00976233">
        <w:rPr>
          <w:rFonts w:ascii="Century Gothic" w:eastAsia="Times New Roman" w:hAnsi="Century Gothic" w:cs="Times New Roman"/>
          <w:sz w:val="24"/>
          <w:szCs w:val="24"/>
          <w:lang w:val="es-ES_tradnl" w:eastAsia="es-ES_tradnl"/>
        </w:rPr>
        <w:t xml:space="preserve">no se habrá entrar al análisis de su </w:t>
      </w:r>
      <w:r>
        <w:rPr>
          <w:rFonts w:ascii="Century Gothic" w:eastAsia="Times New Roman" w:hAnsi="Century Gothic" w:cs="Times New Roman"/>
          <w:sz w:val="24"/>
          <w:szCs w:val="24"/>
          <w:lang w:val="es-ES_tradnl" w:eastAsia="es-ES_tradnl"/>
        </w:rPr>
        <w:t xml:space="preserve">contenido, no obstante, a continuación se </w:t>
      </w:r>
      <w:r w:rsidR="00A40B41">
        <w:rPr>
          <w:rFonts w:ascii="Century Gothic" w:eastAsia="Times New Roman" w:hAnsi="Century Gothic" w:cs="Times New Roman"/>
          <w:sz w:val="24"/>
          <w:szCs w:val="24"/>
          <w:lang w:val="es-ES_tradnl" w:eastAsia="es-ES_tradnl"/>
        </w:rPr>
        <w:t xml:space="preserve">precisarán detalladamente </w:t>
      </w:r>
      <w:r>
        <w:rPr>
          <w:rFonts w:ascii="Century Gothic" w:eastAsia="Times New Roman" w:hAnsi="Century Gothic" w:cs="Times New Roman"/>
          <w:sz w:val="24"/>
          <w:szCs w:val="24"/>
          <w:lang w:val="es-ES_tradnl" w:eastAsia="es-ES_tradnl"/>
        </w:rPr>
        <w:t xml:space="preserve">las razones por las que este órgano dictaminador hace la afirmación antes vertida. </w:t>
      </w:r>
    </w:p>
    <w:p w:rsidR="00A40B41" w:rsidRDefault="00A40B41" w:rsidP="00B203DB">
      <w:pPr>
        <w:spacing w:after="0" w:line="360" w:lineRule="auto"/>
        <w:jc w:val="both"/>
        <w:rPr>
          <w:rFonts w:ascii="Century Gothic" w:eastAsia="Times New Roman" w:hAnsi="Century Gothic" w:cs="Times New Roman"/>
          <w:sz w:val="24"/>
          <w:szCs w:val="24"/>
          <w:lang w:val="es-ES_tradnl" w:eastAsia="es-ES_tradnl"/>
        </w:rPr>
      </w:pPr>
    </w:p>
    <w:p w:rsidR="00A40B41" w:rsidRDefault="00A40B41" w:rsidP="00A40B41">
      <w:pPr>
        <w:spacing w:after="0" w:line="360" w:lineRule="auto"/>
        <w:jc w:val="both"/>
        <w:rPr>
          <w:rFonts w:ascii="Century Gothic" w:hAnsi="Century Gothic"/>
          <w:sz w:val="24"/>
          <w:szCs w:val="24"/>
          <w:lang w:val="es-ES"/>
        </w:rPr>
      </w:pPr>
      <w:r>
        <w:rPr>
          <w:rFonts w:ascii="Century Gothic" w:hAnsi="Century Gothic"/>
          <w:sz w:val="24"/>
          <w:szCs w:val="24"/>
        </w:rPr>
        <w:lastRenderedPageBreak/>
        <w:t>L</w:t>
      </w:r>
      <w:r w:rsidRPr="00A40B41">
        <w:rPr>
          <w:rFonts w:ascii="Century Gothic" w:hAnsi="Century Gothic"/>
          <w:sz w:val="24"/>
          <w:szCs w:val="24"/>
        </w:rPr>
        <w:t xml:space="preserve">a Constitución Política de los Estados Unidos Mexicanos, en su artículo 73 señala las facultades del Congreso de la Unión, y al efecto su fracción XXX a la letra dice: </w:t>
      </w:r>
      <w:r w:rsidRPr="00A40B41">
        <w:rPr>
          <w:rFonts w:ascii="Century Gothic" w:hAnsi="Century Gothic"/>
          <w:i/>
          <w:sz w:val="24"/>
          <w:szCs w:val="24"/>
        </w:rPr>
        <w:t>“</w:t>
      </w:r>
      <w:r w:rsidRPr="00A40B41">
        <w:rPr>
          <w:rFonts w:ascii="Century Gothic" w:hAnsi="Century Gothic"/>
          <w:i/>
          <w:sz w:val="24"/>
          <w:szCs w:val="24"/>
          <w:lang w:val="es-ES"/>
        </w:rPr>
        <w:t>Para expedir la legislación única en materia procesal civil y familiar, así como sobre extinción de dominio en los términos del artículo 22 de esta Constitución, y”</w:t>
      </w:r>
      <w:r w:rsidRPr="00A40B41">
        <w:rPr>
          <w:rFonts w:ascii="Century Gothic" w:hAnsi="Century Gothic"/>
          <w:sz w:val="24"/>
          <w:szCs w:val="24"/>
          <w:lang w:val="es-ES"/>
        </w:rPr>
        <w:t xml:space="preserve">. </w:t>
      </w:r>
    </w:p>
    <w:p w:rsidR="00A40B41" w:rsidRDefault="00A40B41" w:rsidP="00A40B41">
      <w:pPr>
        <w:spacing w:after="0" w:line="360" w:lineRule="auto"/>
        <w:jc w:val="both"/>
        <w:rPr>
          <w:rFonts w:ascii="Century Gothic" w:hAnsi="Century Gothic"/>
          <w:sz w:val="24"/>
          <w:szCs w:val="24"/>
          <w:lang w:val="es-ES"/>
        </w:rPr>
      </w:pPr>
    </w:p>
    <w:p w:rsidR="00F043E5" w:rsidRPr="00F043E5" w:rsidRDefault="00F043E5" w:rsidP="00F043E5">
      <w:pPr>
        <w:spacing w:after="0" w:line="360" w:lineRule="auto"/>
        <w:jc w:val="both"/>
        <w:rPr>
          <w:rFonts w:ascii="Century Gothic" w:hAnsi="Century Gothic"/>
          <w:sz w:val="24"/>
          <w:szCs w:val="24"/>
          <w:lang w:val="es-ES"/>
        </w:rPr>
      </w:pPr>
      <w:r w:rsidRPr="00F043E5">
        <w:rPr>
          <w:rFonts w:ascii="Century Gothic" w:hAnsi="Century Gothic"/>
          <w:sz w:val="24"/>
          <w:szCs w:val="24"/>
          <w:lang w:val="es-ES"/>
        </w:rPr>
        <w:t xml:space="preserve">Ahora bien, la reforma por medio de la cual se adicionó la facultad antes referida, misma que fue Publicada en el Diario Oficial de la Federación el día 15 de septiembre de 2017, contiene un artículo transitorio quinto que textualmente dispone: </w:t>
      </w:r>
      <w:r w:rsidRPr="00F043E5">
        <w:rPr>
          <w:rFonts w:ascii="Century Gothic" w:hAnsi="Century Gothic"/>
          <w:i/>
          <w:sz w:val="24"/>
          <w:szCs w:val="24"/>
          <w:lang w:val="es-ES"/>
        </w:rPr>
        <w:t>”La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r w:rsidRPr="00F043E5">
        <w:rPr>
          <w:rFonts w:ascii="Century Gothic" w:hAnsi="Century Gothic"/>
          <w:sz w:val="24"/>
          <w:szCs w:val="24"/>
          <w:lang w:val="es-ES"/>
        </w:rPr>
        <w:t>.</w:t>
      </w:r>
    </w:p>
    <w:p w:rsidR="00F043E5" w:rsidRDefault="00F043E5" w:rsidP="00F043E5">
      <w:pPr>
        <w:spacing w:after="0" w:line="360" w:lineRule="auto"/>
        <w:jc w:val="both"/>
        <w:rPr>
          <w:rFonts w:ascii="Century Gothic" w:hAnsi="Century Gothic"/>
          <w:sz w:val="24"/>
          <w:szCs w:val="24"/>
          <w:lang w:val="es-ES"/>
        </w:rPr>
      </w:pPr>
    </w:p>
    <w:p w:rsidR="00D61BCE" w:rsidRPr="00D61BCE" w:rsidRDefault="00D61BCE" w:rsidP="00D61BCE">
      <w:pPr>
        <w:spacing w:after="0" w:line="360" w:lineRule="auto"/>
        <w:jc w:val="both"/>
        <w:rPr>
          <w:rFonts w:ascii="Century Gothic" w:hAnsi="Century Gothic"/>
          <w:sz w:val="24"/>
          <w:szCs w:val="24"/>
          <w:lang w:val="es-ES"/>
        </w:rPr>
      </w:pPr>
      <w:r w:rsidRPr="00D61BCE">
        <w:rPr>
          <w:rFonts w:ascii="Century Gothic" w:hAnsi="Century Gothic"/>
          <w:sz w:val="24"/>
          <w:szCs w:val="24"/>
          <w:lang w:val="es-ES"/>
        </w:rPr>
        <w:t xml:space="preserve">Por lo tanto, si bien es cierto continua vigente la legislación procesal civil y familiar de nuestra Entidad, hasta en tanto se emita la Nacional lo cual no ha acontecido, resulta innegable que este Poder Legislativo del Estado carece de facultades para reformar las disposiciones locales en la materia, en razón de que esto ya constituye facultad exclusiva del Congreso de la Unión. Así mismo, la Suprema Corte de Justicia de la Nación se ha pronunciado al respecto en la Jurisprudencia que obra bajo el número </w:t>
      </w:r>
      <w:r w:rsidRPr="00D61BCE">
        <w:rPr>
          <w:rFonts w:ascii="Century Gothic" w:hAnsi="Century Gothic"/>
          <w:sz w:val="24"/>
          <w:szCs w:val="24"/>
          <w:lang w:val="es-ES"/>
        </w:rPr>
        <w:lastRenderedPageBreak/>
        <w:t>de registro 2006517, la cual resulta aplicable por</w:t>
      </w:r>
      <w:r>
        <w:rPr>
          <w:rFonts w:ascii="Century Gothic" w:hAnsi="Century Gothic"/>
          <w:sz w:val="24"/>
          <w:szCs w:val="24"/>
          <w:lang w:val="es-ES"/>
        </w:rPr>
        <w:t xml:space="preserve"> analogía al caso que nos ocupa, y señala: </w:t>
      </w:r>
    </w:p>
    <w:p w:rsidR="00D61BCE" w:rsidRPr="00D61BCE" w:rsidRDefault="00D61BCE" w:rsidP="00D61BCE">
      <w:pPr>
        <w:spacing w:after="0" w:line="360" w:lineRule="auto"/>
        <w:jc w:val="both"/>
        <w:rPr>
          <w:rFonts w:ascii="Century Gothic" w:hAnsi="Century Gothic"/>
          <w:sz w:val="24"/>
          <w:szCs w:val="24"/>
          <w:lang w:val="es-ES"/>
        </w:rPr>
      </w:pPr>
    </w:p>
    <w:p w:rsidR="00053433" w:rsidRPr="00165772" w:rsidRDefault="004D2F89" w:rsidP="004D2F89">
      <w:pPr>
        <w:spacing w:after="0" w:line="480" w:lineRule="auto"/>
        <w:ind w:left="705"/>
        <w:jc w:val="both"/>
        <w:rPr>
          <w:rFonts w:ascii="Century Gothic" w:eastAsia="Times New Roman" w:hAnsi="Century Gothic" w:cs="Times New Roman"/>
          <w:b/>
          <w:i/>
          <w:sz w:val="24"/>
          <w:szCs w:val="24"/>
          <w:lang w:val="es-ES_tradnl" w:eastAsia="es-ES_tradnl"/>
        </w:rPr>
      </w:pPr>
      <w:r w:rsidRPr="00165772">
        <w:rPr>
          <w:rFonts w:ascii="Century Gothic" w:eastAsia="Times New Roman" w:hAnsi="Century Gothic" w:cs="Times New Roman"/>
          <w:b/>
          <w:i/>
          <w:sz w:val="24"/>
          <w:szCs w:val="24"/>
          <w:lang w:val="es-ES_tradnl" w:eastAsia="es-ES_tradnl"/>
        </w:rPr>
        <w:t xml:space="preserve">“ARRAIGO EN MATERIA PENAL. A PARTIR DE LA REFORMA A LA CONSTITUCIÓN POLÍTICA DE LOS ESTADOS UNIDOS MEXICANOS, PUBLICADA EN EL DIARIO OFICIAL DE LA FEDERACIÓN EL 18 DE JUNIO DE 2008, LAS LEGISLATURAS LOCALES CARECEN DE COMPETENCIA PARA LEGISLAR SOBRE AQUELLA FIGURA, AL SER FACULTAD EXCLUSIVA DEL CONGRESO DE LA UNIÓN”. </w:t>
      </w:r>
    </w:p>
    <w:p w:rsidR="004D2F89" w:rsidRPr="00165772" w:rsidRDefault="004D2F89" w:rsidP="004D2F89">
      <w:pPr>
        <w:spacing w:after="0" w:line="480" w:lineRule="auto"/>
        <w:ind w:left="705"/>
        <w:jc w:val="both"/>
        <w:rPr>
          <w:rFonts w:ascii="Century Gothic" w:eastAsia="Times New Roman" w:hAnsi="Century Gothic" w:cs="Times New Roman"/>
          <w:i/>
          <w:sz w:val="24"/>
          <w:szCs w:val="24"/>
          <w:lang w:val="es-ES_tradnl" w:eastAsia="es-ES_tradnl"/>
        </w:rPr>
      </w:pPr>
    </w:p>
    <w:p w:rsidR="004D2F89" w:rsidRDefault="004D2F89" w:rsidP="004D2F89">
      <w:pPr>
        <w:spacing w:after="0" w:line="480" w:lineRule="auto"/>
        <w:ind w:left="705"/>
        <w:jc w:val="both"/>
        <w:rPr>
          <w:rFonts w:ascii="Century Gothic" w:eastAsia="Times New Roman" w:hAnsi="Century Gothic" w:cs="Times New Roman"/>
          <w:i/>
          <w:sz w:val="24"/>
          <w:szCs w:val="24"/>
          <w:lang w:val="es-ES_tradnl" w:eastAsia="es-ES_tradnl"/>
        </w:rPr>
      </w:pPr>
      <w:r w:rsidRPr="00165772">
        <w:rPr>
          <w:rFonts w:ascii="Century Gothic" w:eastAsia="Times New Roman" w:hAnsi="Century Gothic" w:cs="Times New Roman"/>
          <w:i/>
          <w:sz w:val="24"/>
          <w:szCs w:val="24"/>
          <w:lang w:val="es-ES_tradnl" w:eastAsia="es-ES_tradnl"/>
        </w:rPr>
        <w:t xml:space="preserve">La reforma a los artículos 16 a 22, 73, fracciones XXI y XXIII, 115, fracción VII Y 123, apartado B, fracción XIII, de la Constitución Política de los Estados Unidos Mexicanos, publicada en el Diario Oficial de la Federación el 18 de junio de 2008, fue trascedente para el sistema de procuración e impartición de justicia </w:t>
      </w:r>
      <w:r w:rsidR="0002788C" w:rsidRPr="00165772">
        <w:rPr>
          <w:rFonts w:ascii="Century Gothic" w:eastAsia="Times New Roman" w:hAnsi="Century Gothic" w:cs="Times New Roman"/>
          <w:i/>
          <w:sz w:val="24"/>
          <w:szCs w:val="24"/>
          <w:lang w:val="es-ES_tradnl" w:eastAsia="es-ES_tradnl"/>
        </w:rPr>
        <w:t xml:space="preserve">en materia penal, pues estableció un nuevo modelo de justicia penal que transformó el sistema mixto en acusatorio u oral; entre otras modalidades, introdujo la figura del arraigo a través de la cual se permite limitar la libertad personal tratándose de delitos de delincuencia organizada, bajo ciertos requisitos que la propia Constitución señala. Es así que a partir de esa fecha el </w:t>
      </w:r>
      <w:r w:rsidR="0002788C" w:rsidRPr="00165772">
        <w:rPr>
          <w:rFonts w:ascii="Century Gothic" w:eastAsia="Times New Roman" w:hAnsi="Century Gothic" w:cs="Times New Roman"/>
          <w:i/>
          <w:sz w:val="24"/>
          <w:szCs w:val="24"/>
          <w:lang w:val="es-ES_tradnl" w:eastAsia="es-ES_tradnl"/>
        </w:rPr>
        <w:lastRenderedPageBreak/>
        <w:t xml:space="preserve">referido artículo 16 reguló constitucionalmente la procedencia del arraigo, </w:t>
      </w:r>
      <w:r w:rsidR="00165772" w:rsidRPr="00165772">
        <w:rPr>
          <w:rFonts w:ascii="Century Gothic" w:eastAsia="Times New Roman" w:hAnsi="Century Gothic" w:cs="Times New Roman"/>
          <w:i/>
          <w:sz w:val="24"/>
          <w:szCs w:val="24"/>
          <w:lang w:val="es-ES_tradnl" w:eastAsia="es-ES_tradnl"/>
        </w:rPr>
        <w:t>reservándola para delitos de delincuencia organizada, respecto de los cuales por disposición expresa del diverso precepto 73, fracción XXI, corresponde legislar en exclusiva al Congreso de la Unión; de ahí que a partir de esa data los Congresos Locales carecen de competencia para legislar en la materia.”</w:t>
      </w:r>
    </w:p>
    <w:p w:rsidR="00165772" w:rsidRDefault="00165772" w:rsidP="00165772">
      <w:pPr>
        <w:spacing w:after="0" w:line="480" w:lineRule="auto"/>
        <w:jc w:val="both"/>
        <w:rPr>
          <w:rFonts w:ascii="Century Gothic" w:eastAsia="Times New Roman" w:hAnsi="Century Gothic" w:cs="Times New Roman"/>
          <w:i/>
          <w:sz w:val="24"/>
          <w:szCs w:val="24"/>
          <w:lang w:val="es-ES_tradnl" w:eastAsia="es-ES_tradnl"/>
        </w:rPr>
      </w:pPr>
    </w:p>
    <w:p w:rsidR="00B72BA5" w:rsidRDefault="00165772" w:rsidP="00947EF7">
      <w:pPr>
        <w:spacing w:line="360" w:lineRule="auto"/>
        <w:jc w:val="both"/>
        <w:rPr>
          <w:rFonts w:ascii="Century Gothic" w:hAnsi="Century Gothic"/>
          <w:sz w:val="24"/>
          <w:szCs w:val="24"/>
          <w:lang w:val="es-ES"/>
        </w:rPr>
      </w:pPr>
      <w:r w:rsidRPr="00794493">
        <w:rPr>
          <w:rFonts w:ascii="Century Gothic" w:eastAsia="Times New Roman" w:hAnsi="Century Gothic" w:cs="Times New Roman"/>
          <w:sz w:val="24"/>
          <w:szCs w:val="24"/>
          <w:lang w:val="es-ES_tradnl" w:eastAsia="es-ES_tradnl"/>
        </w:rPr>
        <w:t>Si bien es cierto la jurisprudencia antes transcrita se refiere a la figura del arra</w:t>
      </w:r>
      <w:r w:rsidR="00735F99" w:rsidRPr="00794493">
        <w:rPr>
          <w:rFonts w:ascii="Century Gothic" w:eastAsia="Times New Roman" w:hAnsi="Century Gothic" w:cs="Times New Roman"/>
          <w:sz w:val="24"/>
          <w:szCs w:val="24"/>
          <w:lang w:val="es-ES_tradnl" w:eastAsia="es-ES_tradnl"/>
        </w:rPr>
        <w:t>igo, propio del Derecho P</w:t>
      </w:r>
      <w:r w:rsidRPr="00794493">
        <w:rPr>
          <w:rFonts w:ascii="Century Gothic" w:eastAsia="Times New Roman" w:hAnsi="Century Gothic" w:cs="Times New Roman"/>
          <w:sz w:val="24"/>
          <w:szCs w:val="24"/>
          <w:lang w:val="es-ES_tradnl" w:eastAsia="es-ES_tradnl"/>
        </w:rPr>
        <w:t xml:space="preserve">enal, y el caso que nos ocupa es eminentemente civil, </w:t>
      </w:r>
      <w:r w:rsidR="00735F99" w:rsidRPr="00794493">
        <w:rPr>
          <w:rFonts w:ascii="Century Gothic" w:eastAsia="Times New Roman" w:hAnsi="Century Gothic" w:cs="Times New Roman"/>
          <w:sz w:val="24"/>
          <w:szCs w:val="24"/>
          <w:lang w:val="es-ES_tradnl" w:eastAsia="es-ES_tradnl"/>
        </w:rPr>
        <w:t xml:space="preserve">sirve de criterio orientador para deducir que la Suprema Corte de Justicia de la Nación se ha pronunciado expresamente para salvaguardar la competencia exclusiva de uno de los poderes del Estado, en este caso el Congreso de la Unión, y así evitar lo que la teoría ha denominado invasión de esferas competenciales. </w:t>
      </w:r>
      <w:r w:rsidR="00207A7B" w:rsidRPr="00794493">
        <w:rPr>
          <w:rFonts w:ascii="Century Gothic" w:eastAsia="Times New Roman" w:hAnsi="Century Gothic" w:cs="Times New Roman"/>
          <w:sz w:val="24"/>
          <w:szCs w:val="24"/>
          <w:lang w:val="es-ES_tradnl" w:eastAsia="es-ES_tradnl"/>
        </w:rPr>
        <w:t xml:space="preserve">Por lo tanto, lo vertido por el Máximo Tribunal resulta también aplicable para </w:t>
      </w:r>
      <w:r w:rsidR="00B72BA5" w:rsidRPr="00794493">
        <w:rPr>
          <w:rFonts w:ascii="Century Gothic" w:eastAsia="Times New Roman" w:hAnsi="Century Gothic" w:cs="Times New Roman"/>
          <w:sz w:val="24"/>
          <w:szCs w:val="24"/>
          <w:lang w:val="es-ES_tradnl" w:eastAsia="es-ES_tradnl"/>
        </w:rPr>
        <w:t xml:space="preserve">justificar </w:t>
      </w:r>
      <w:r w:rsidR="00207A7B" w:rsidRPr="00794493">
        <w:rPr>
          <w:rFonts w:ascii="Century Gothic" w:eastAsia="Times New Roman" w:hAnsi="Century Gothic" w:cs="Times New Roman"/>
          <w:sz w:val="24"/>
          <w:szCs w:val="24"/>
          <w:lang w:val="es-ES_tradnl" w:eastAsia="es-ES_tradnl"/>
        </w:rPr>
        <w:t>la imposibilidad en que se encuentra esta Soberanía para realizar la reform</w:t>
      </w:r>
      <w:r w:rsidR="00794493" w:rsidRPr="00794493">
        <w:rPr>
          <w:rFonts w:ascii="Century Gothic" w:eastAsia="Times New Roman" w:hAnsi="Century Gothic" w:cs="Times New Roman"/>
          <w:sz w:val="24"/>
          <w:szCs w:val="24"/>
          <w:lang w:val="es-ES_tradnl" w:eastAsia="es-ES_tradnl"/>
        </w:rPr>
        <w:t xml:space="preserve">a pretendida por la iniciadora, </w:t>
      </w:r>
      <w:r w:rsidR="00794493" w:rsidRPr="00794493">
        <w:rPr>
          <w:rFonts w:ascii="Century Gothic" w:hAnsi="Century Gothic"/>
          <w:sz w:val="24"/>
          <w:szCs w:val="24"/>
        </w:rPr>
        <w:t xml:space="preserve">la cual de efectuarse </w:t>
      </w:r>
      <w:r w:rsidR="00794493">
        <w:rPr>
          <w:rFonts w:ascii="Century Gothic" w:hAnsi="Century Gothic"/>
          <w:sz w:val="24"/>
          <w:szCs w:val="24"/>
        </w:rPr>
        <w:t xml:space="preserve">representaría </w:t>
      </w:r>
      <w:r w:rsidR="00794493" w:rsidRPr="00794493">
        <w:rPr>
          <w:rFonts w:ascii="Century Gothic" w:hAnsi="Century Gothic"/>
          <w:sz w:val="24"/>
          <w:szCs w:val="24"/>
        </w:rPr>
        <w:t xml:space="preserve">un acto </w:t>
      </w:r>
      <w:r w:rsidR="00794493">
        <w:rPr>
          <w:rFonts w:ascii="Century Gothic" w:hAnsi="Century Gothic"/>
          <w:sz w:val="24"/>
          <w:szCs w:val="24"/>
        </w:rPr>
        <w:t xml:space="preserve">inconstitucional emitido por </w:t>
      </w:r>
      <w:r w:rsidR="00794493" w:rsidRPr="00794493">
        <w:rPr>
          <w:rFonts w:ascii="Century Gothic" w:hAnsi="Century Gothic"/>
          <w:sz w:val="24"/>
          <w:szCs w:val="24"/>
        </w:rPr>
        <w:t xml:space="preserve">este H. Congreso. </w:t>
      </w:r>
    </w:p>
    <w:p w:rsidR="00947EF7" w:rsidRPr="00947EF7" w:rsidRDefault="00947EF7" w:rsidP="00947EF7">
      <w:pPr>
        <w:spacing w:line="360" w:lineRule="auto"/>
        <w:jc w:val="both"/>
        <w:rPr>
          <w:rFonts w:ascii="Century Gothic" w:hAnsi="Century Gothic"/>
          <w:sz w:val="24"/>
          <w:szCs w:val="24"/>
          <w:lang w:val="es-ES"/>
        </w:rPr>
      </w:pPr>
    </w:p>
    <w:p w:rsidR="00947EF7" w:rsidRPr="00947EF7" w:rsidRDefault="00B203DB" w:rsidP="004D2F89">
      <w:pPr>
        <w:spacing w:after="0" w:line="360" w:lineRule="auto"/>
        <w:ind w:right="284"/>
        <w:jc w:val="both"/>
        <w:rPr>
          <w:rFonts w:ascii="Century Gothic" w:eastAsia="Times New Roman" w:hAnsi="Century Gothic" w:cs="Times New Roman"/>
          <w:sz w:val="24"/>
          <w:szCs w:val="24"/>
          <w:lang w:val="es-ES_tradnl" w:eastAsia="es-ES_tradnl"/>
        </w:rPr>
      </w:pPr>
      <w:r w:rsidRPr="00B203DB">
        <w:rPr>
          <w:rFonts w:ascii="Century Gothic" w:eastAsia="Times New Roman" w:hAnsi="Century Gothic" w:cs="Times New Roman"/>
          <w:b/>
          <w:sz w:val="24"/>
          <w:szCs w:val="24"/>
          <w:lang w:val="es-ES_tradnl" w:eastAsia="es-ES_tradnl"/>
        </w:rPr>
        <w:t xml:space="preserve">III.- </w:t>
      </w:r>
      <w:r w:rsidR="00947EF7">
        <w:rPr>
          <w:rFonts w:ascii="Century Gothic" w:eastAsia="Times New Roman" w:hAnsi="Century Gothic" w:cs="Times New Roman"/>
          <w:sz w:val="24"/>
          <w:szCs w:val="24"/>
          <w:lang w:val="es-ES_tradnl" w:eastAsia="es-ES_tradnl"/>
        </w:rPr>
        <w:t>Q</w:t>
      </w:r>
      <w:r w:rsidR="00947EF7" w:rsidRPr="00947EF7">
        <w:rPr>
          <w:rFonts w:ascii="Century Gothic" w:eastAsia="Times New Roman" w:hAnsi="Century Gothic" w:cs="Times New Roman"/>
          <w:sz w:val="24"/>
          <w:szCs w:val="24"/>
          <w:lang w:val="es-ES_tradnl" w:eastAsia="es-ES_tradnl"/>
        </w:rPr>
        <w:t>uienes integramos este órgano dictaminador</w:t>
      </w:r>
      <w:r w:rsidR="00947EF7">
        <w:rPr>
          <w:rFonts w:ascii="Century Gothic" w:eastAsia="Times New Roman" w:hAnsi="Century Gothic" w:cs="Times New Roman"/>
          <w:b/>
          <w:sz w:val="24"/>
          <w:szCs w:val="24"/>
          <w:lang w:val="es-ES_tradnl" w:eastAsia="es-ES_tradnl"/>
        </w:rPr>
        <w:t xml:space="preserve"> </w:t>
      </w:r>
      <w:r w:rsidR="00947EF7">
        <w:rPr>
          <w:rFonts w:ascii="Century Gothic" w:eastAsia="Times New Roman" w:hAnsi="Century Gothic" w:cs="Times New Roman"/>
          <w:sz w:val="24"/>
          <w:szCs w:val="24"/>
          <w:lang w:val="es-ES_tradnl" w:eastAsia="es-ES_tradnl"/>
        </w:rPr>
        <w:t xml:space="preserve">estimamos necesario señalar que compartimos plenamente la preocupación mostrada por la iniciadora en relación con el tema que aborda en su iniciativa, y estamos convencidos que </w:t>
      </w:r>
      <w:r w:rsidR="00947EF7">
        <w:rPr>
          <w:rFonts w:ascii="Century Gothic" w:eastAsia="Times New Roman" w:hAnsi="Century Gothic" w:cs="Times New Roman"/>
          <w:sz w:val="24"/>
          <w:szCs w:val="24"/>
          <w:lang w:val="es-ES_tradnl" w:eastAsia="es-ES_tradnl"/>
        </w:rPr>
        <w:lastRenderedPageBreak/>
        <w:t xml:space="preserve">deben buscarse soluciones a este tipo de problemáticas, como la que plantea, </w:t>
      </w:r>
      <w:r w:rsidR="00DE452D">
        <w:rPr>
          <w:rFonts w:ascii="Century Gothic" w:eastAsia="Times New Roman" w:hAnsi="Century Gothic" w:cs="Times New Roman"/>
          <w:sz w:val="24"/>
          <w:szCs w:val="24"/>
          <w:lang w:val="es-ES_tradnl" w:eastAsia="es-ES_tradnl"/>
        </w:rPr>
        <w:t xml:space="preserve">mismas que afectan a </w:t>
      </w:r>
      <w:r w:rsidR="00947EF7">
        <w:rPr>
          <w:rFonts w:ascii="Century Gothic" w:eastAsia="Times New Roman" w:hAnsi="Century Gothic" w:cs="Times New Roman"/>
          <w:sz w:val="24"/>
          <w:szCs w:val="24"/>
          <w:lang w:val="es-ES_tradnl" w:eastAsia="es-ES_tradnl"/>
        </w:rPr>
        <w:t>un gran número de personas</w:t>
      </w:r>
      <w:r w:rsidR="00DE452D">
        <w:rPr>
          <w:rFonts w:ascii="Century Gothic" w:eastAsia="Times New Roman" w:hAnsi="Century Gothic" w:cs="Times New Roman"/>
          <w:sz w:val="24"/>
          <w:szCs w:val="24"/>
          <w:lang w:val="es-ES_tradnl" w:eastAsia="es-ES_tradnl"/>
        </w:rPr>
        <w:t xml:space="preserve">. </w:t>
      </w:r>
    </w:p>
    <w:p w:rsidR="00947EF7" w:rsidRDefault="00947EF7" w:rsidP="004D2F89">
      <w:pPr>
        <w:spacing w:after="0" w:line="360" w:lineRule="auto"/>
        <w:ind w:right="284"/>
        <w:jc w:val="both"/>
        <w:rPr>
          <w:rFonts w:ascii="Century Gothic" w:eastAsia="Times New Roman" w:hAnsi="Century Gothic" w:cs="Times New Roman"/>
          <w:b/>
          <w:sz w:val="24"/>
          <w:szCs w:val="24"/>
          <w:lang w:val="es-ES_tradnl" w:eastAsia="es-ES_tradnl"/>
        </w:rPr>
      </w:pPr>
    </w:p>
    <w:p w:rsidR="00B203DB" w:rsidRPr="00794493" w:rsidRDefault="00794493" w:rsidP="004D2F89">
      <w:pPr>
        <w:spacing w:after="0" w:line="360" w:lineRule="auto"/>
        <w:ind w:right="284"/>
        <w:jc w:val="both"/>
        <w:rPr>
          <w:rFonts w:ascii="Century Gothic" w:eastAsia="Times New Roman" w:hAnsi="Century Gothic" w:cs="Times New Roman"/>
          <w:sz w:val="24"/>
          <w:szCs w:val="24"/>
          <w:lang w:val="es-ES_tradnl" w:eastAsia="es-ES_tradnl"/>
        </w:rPr>
      </w:pPr>
      <w:r w:rsidRPr="00794493">
        <w:rPr>
          <w:rFonts w:ascii="Century Gothic" w:eastAsia="Times New Roman" w:hAnsi="Century Gothic" w:cs="Times New Roman"/>
          <w:sz w:val="24"/>
          <w:szCs w:val="24"/>
          <w:lang w:val="es-ES_tradnl" w:eastAsia="es-ES_tradnl"/>
        </w:rPr>
        <w:t>En virtud de los argumentos</w:t>
      </w:r>
      <w:r>
        <w:rPr>
          <w:rFonts w:ascii="Century Gothic" w:eastAsia="Times New Roman" w:hAnsi="Century Gothic" w:cs="Times New Roman"/>
          <w:b/>
          <w:sz w:val="24"/>
          <w:szCs w:val="24"/>
          <w:lang w:val="es-ES_tradnl" w:eastAsia="es-ES_tradnl"/>
        </w:rPr>
        <w:t xml:space="preserve"> </w:t>
      </w:r>
      <w:r>
        <w:rPr>
          <w:rFonts w:ascii="Century Gothic" w:eastAsia="Times New Roman" w:hAnsi="Century Gothic" w:cs="Times New Roman"/>
          <w:sz w:val="24"/>
          <w:szCs w:val="24"/>
          <w:lang w:val="es-ES_tradnl" w:eastAsia="es-ES_tradnl"/>
        </w:rPr>
        <w:t xml:space="preserve">que han quedo </w:t>
      </w:r>
      <w:r w:rsidRPr="00794493">
        <w:rPr>
          <w:rFonts w:ascii="Century Gothic" w:eastAsia="Times New Roman" w:hAnsi="Century Gothic" w:cs="Times New Roman"/>
          <w:sz w:val="24"/>
          <w:szCs w:val="24"/>
          <w:lang w:val="es-ES_tradnl" w:eastAsia="es-ES_tradnl"/>
        </w:rPr>
        <w:t>señalados</w:t>
      </w:r>
      <w:r>
        <w:rPr>
          <w:rFonts w:ascii="Century Gothic" w:eastAsia="Times New Roman" w:hAnsi="Century Gothic" w:cs="Times New Roman"/>
          <w:sz w:val="24"/>
          <w:szCs w:val="24"/>
          <w:lang w:val="es-ES_tradnl" w:eastAsia="es-ES_tradnl"/>
        </w:rPr>
        <w:t xml:space="preserve"> en las consideraciones de este documento</w:t>
      </w:r>
      <w:r w:rsidRPr="00794493">
        <w:rPr>
          <w:rFonts w:ascii="Century Gothic" w:eastAsia="Times New Roman" w:hAnsi="Century Gothic" w:cs="Times New Roman"/>
          <w:sz w:val="24"/>
          <w:szCs w:val="24"/>
          <w:lang w:val="es-ES_tradnl" w:eastAsia="es-ES_tradnl"/>
        </w:rPr>
        <w:t xml:space="preserve">, </w:t>
      </w:r>
      <w:r>
        <w:rPr>
          <w:rFonts w:ascii="Century Gothic" w:eastAsia="Times New Roman" w:hAnsi="Century Gothic" w:cs="Times New Roman"/>
          <w:sz w:val="24"/>
          <w:szCs w:val="24"/>
          <w:lang w:val="es-ES_tradnl" w:eastAsia="es-ES_tradnl"/>
        </w:rPr>
        <w:t xml:space="preserve">este órgano dictaminador estima que la iniciativa en estudio no es viable pues la facultad para legislar en materia procesal civil es, a la fecha, exclusiva del Congreso de la Unión, por lo que esta Soberanía, en estricto apego al principio de división de competencias que emana de la Constitución Política de los Estados Unidos Mexicanos, se encuentra imposibilitada para realizar cualquier modificación al ordenamiento que pretende reformar la parte iniciadora. </w:t>
      </w:r>
    </w:p>
    <w:p w:rsidR="004D2F89" w:rsidRDefault="004D2F89" w:rsidP="004D2F89">
      <w:pPr>
        <w:spacing w:after="0" w:line="360" w:lineRule="auto"/>
        <w:ind w:right="284"/>
        <w:jc w:val="both"/>
        <w:rPr>
          <w:rFonts w:ascii="Century Gothic" w:eastAsia="Times New Roman" w:hAnsi="Century Gothic" w:cs="Times New Roman"/>
          <w:b/>
          <w:sz w:val="24"/>
          <w:szCs w:val="24"/>
          <w:lang w:val="es-ES_tradnl" w:eastAsia="es-ES_tradnl"/>
        </w:rPr>
      </w:pPr>
    </w:p>
    <w:p w:rsidR="00B203DB" w:rsidRPr="00B203DB" w:rsidRDefault="00B203DB" w:rsidP="00B203DB">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sz w:val="24"/>
          <w:szCs w:val="24"/>
          <w:lang w:val="es-ES_tradnl" w:eastAsia="es-ES_tradnl"/>
        </w:rPr>
        <w:t>Por lo anteriormente expuesto, la Comisión Primera de Gobernación y Puntos Constitucionales somete a la consideración de esta Soberanía el siguiente proyecto de dictamen con carácter de</w:t>
      </w:r>
    </w:p>
    <w:p w:rsidR="00B203DB" w:rsidRPr="00B203DB" w:rsidRDefault="00B203DB" w:rsidP="00B203DB">
      <w:pPr>
        <w:tabs>
          <w:tab w:val="left" w:pos="3600"/>
        </w:tabs>
        <w:spacing w:after="0" w:line="360" w:lineRule="auto"/>
        <w:rPr>
          <w:rFonts w:ascii="Century Gothic" w:eastAsia="Calibri" w:hAnsi="Century Gothic" w:cs="Arial"/>
          <w:b/>
          <w:spacing w:val="20"/>
          <w:sz w:val="24"/>
          <w:szCs w:val="24"/>
          <w:lang w:val="en-US"/>
        </w:rPr>
      </w:pPr>
    </w:p>
    <w:p w:rsidR="00B203DB" w:rsidRPr="00B203DB" w:rsidRDefault="00B203DB" w:rsidP="00B203DB">
      <w:pPr>
        <w:spacing w:after="0" w:line="360" w:lineRule="auto"/>
        <w:jc w:val="center"/>
        <w:rPr>
          <w:rFonts w:ascii="Century Gothic" w:eastAsia="Times New Roman" w:hAnsi="Century Gothic" w:cs="Arial"/>
          <w:b/>
          <w:sz w:val="28"/>
          <w:szCs w:val="28"/>
          <w:lang w:val="es-ES_tradnl" w:eastAsia="es-ES_tradnl"/>
        </w:rPr>
      </w:pPr>
      <w:r w:rsidRPr="00B203DB">
        <w:rPr>
          <w:rFonts w:ascii="Century Gothic" w:eastAsia="Times New Roman" w:hAnsi="Century Gothic" w:cs="Arial"/>
          <w:b/>
          <w:sz w:val="28"/>
          <w:szCs w:val="28"/>
          <w:lang w:val="es-ES_tradnl" w:eastAsia="es-ES_tradnl"/>
        </w:rPr>
        <w:t>A C U E R D O</w:t>
      </w:r>
    </w:p>
    <w:p w:rsidR="00B203DB" w:rsidRPr="00B203DB" w:rsidRDefault="00B203DB" w:rsidP="00B203DB">
      <w:pPr>
        <w:spacing w:after="0" w:line="360" w:lineRule="auto"/>
        <w:jc w:val="center"/>
        <w:rPr>
          <w:rFonts w:ascii="Century Gothic" w:eastAsia="Times New Roman" w:hAnsi="Century Gothic" w:cs="Arial"/>
          <w:b/>
          <w:sz w:val="24"/>
          <w:szCs w:val="24"/>
          <w:lang w:val="es-ES_tradnl" w:eastAsia="es-ES_tradnl"/>
        </w:rPr>
      </w:pPr>
    </w:p>
    <w:p w:rsidR="00B203DB" w:rsidRPr="00B203DB" w:rsidRDefault="00B203DB" w:rsidP="00B203DB">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b/>
          <w:sz w:val="28"/>
          <w:szCs w:val="28"/>
          <w:lang w:val="es-ES_tradnl" w:eastAsia="es-ES_tradnl"/>
        </w:rPr>
        <w:t xml:space="preserve">ÚNICO.- </w:t>
      </w:r>
      <w:r w:rsidRPr="00B203DB">
        <w:rPr>
          <w:rFonts w:ascii="Century Gothic" w:eastAsia="Times New Roman" w:hAnsi="Century Gothic" w:cs="Arial"/>
          <w:sz w:val="24"/>
          <w:szCs w:val="24"/>
          <w:lang w:val="es-ES_tradnl" w:eastAsia="es-ES_tradnl"/>
        </w:rPr>
        <w:t xml:space="preserve">La Sexagésima Sexta Legislatura del H. Congreso del Estado de Chihuahua declara satisfecha la iniciativa número </w:t>
      </w:r>
      <w:r w:rsidR="00957367">
        <w:rPr>
          <w:rFonts w:ascii="Century Gothic" w:eastAsia="Times New Roman" w:hAnsi="Century Gothic" w:cs="Arial"/>
          <w:sz w:val="24"/>
          <w:szCs w:val="24"/>
          <w:lang w:val="es-ES_tradnl" w:eastAsia="es-ES_tradnl"/>
        </w:rPr>
        <w:t>1018</w:t>
      </w:r>
      <w:r w:rsidR="00B6638D">
        <w:rPr>
          <w:rFonts w:ascii="Century Gothic" w:eastAsia="Times New Roman" w:hAnsi="Century Gothic" w:cs="Arial"/>
          <w:sz w:val="24"/>
          <w:szCs w:val="24"/>
          <w:lang w:val="es-ES_tradnl" w:eastAsia="es-ES_tradnl"/>
        </w:rPr>
        <w:t xml:space="preserve">, por medio de </w:t>
      </w:r>
      <w:r w:rsidR="00F54390">
        <w:rPr>
          <w:rFonts w:ascii="Century Gothic" w:eastAsia="Times New Roman" w:hAnsi="Century Gothic" w:cs="Arial"/>
          <w:sz w:val="24"/>
          <w:szCs w:val="24"/>
          <w:lang w:val="es-ES_tradnl" w:eastAsia="es-ES_tradnl"/>
        </w:rPr>
        <w:t>la cual se pretendía</w:t>
      </w:r>
      <w:r w:rsidR="00B6638D">
        <w:rPr>
          <w:rFonts w:ascii="Century Gothic" w:eastAsia="Times New Roman" w:hAnsi="Century Gothic" w:cs="Arial"/>
          <w:sz w:val="24"/>
          <w:szCs w:val="24"/>
          <w:lang w:val="es-ES_tradnl" w:eastAsia="es-ES_tradnl"/>
        </w:rPr>
        <w:t xml:space="preserve"> adicionar el artículo 381 Bis al Código de Procedimientos Civiles del Estado de Chihuahua, en materia de arrendamiento de bienes inmuebles</w:t>
      </w:r>
      <w:r w:rsidR="00F54390">
        <w:rPr>
          <w:rFonts w:ascii="Century Gothic" w:eastAsia="Times New Roman" w:hAnsi="Century Gothic" w:cs="Arial"/>
          <w:sz w:val="24"/>
          <w:szCs w:val="24"/>
          <w:lang w:val="es-ES_tradnl" w:eastAsia="es-ES_tradnl"/>
        </w:rPr>
        <w:t xml:space="preserve">. Lo anterior, en razón de que la facultad para legislar en materia procesal civil es exclusiva del Congreso de </w:t>
      </w:r>
      <w:r w:rsidR="00F54390">
        <w:rPr>
          <w:rFonts w:ascii="Century Gothic" w:eastAsia="Times New Roman" w:hAnsi="Century Gothic" w:cs="Arial"/>
          <w:sz w:val="24"/>
          <w:szCs w:val="24"/>
          <w:lang w:val="es-ES_tradnl" w:eastAsia="es-ES_tradnl"/>
        </w:rPr>
        <w:lastRenderedPageBreak/>
        <w:t xml:space="preserve">la Unión, de conformidad a lo dispuesto por el artículo 73, fracción XXX, de la Constitución Política de los Estados Unidos Mexicanos. </w:t>
      </w:r>
    </w:p>
    <w:p w:rsidR="00B203DB" w:rsidRPr="00B203DB" w:rsidRDefault="00B203DB" w:rsidP="00B203DB">
      <w:pPr>
        <w:spacing w:after="0" w:line="360" w:lineRule="auto"/>
        <w:rPr>
          <w:rFonts w:ascii="Century Gothic" w:eastAsia="Times New Roman" w:hAnsi="Century Gothic" w:cs="Arial"/>
          <w:sz w:val="24"/>
          <w:szCs w:val="24"/>
          <w:lang w:val="es-ES_tradnl" w:eastAsia="es-ES_tradnl"/>
        </w:rPr>
      </w:pPr>
    </w:p>
    <w:p w:rsidR="00B203DB" w:rsidRPr="00B203DB" w:rsidRDefault="00B203DB" w:rsidP="00B203DB">
      <w:pPr>
        <w:spacing w:after="0" w:line="360" w:lineRule="auto"/>
        <w:jc w:val="both"/>
        <w:rPr>
          <w:rFonts w:ascii="Century Gothic" w:eastAsia="Times New Roman" w:hAnsi="Century Gothic" w:cs="Arial"/>
          <w:spacing w:val="10"/>
          <w:sz w:val="24"/>
          <w:szCs w:val="24"/>
          <w:lang w:val="es-ES_tradnl" w:eastAsia="es-ES_tradnl"/>
        </w:rPr>
      </w:pPr>
    </w:p>
    <w:p w:rsidR="00B203DB" w:rsidRPr="00B203DB" w:rsidRDefault="00B203DB" w:rsidP="00B203DB">
      <w:pPr>
        <w:spacing w:after="0" w:line="240" w:lineRule="auto"/>
        <w:ind w:right="193"/>
        <w:jc w:val="both"/>
        <w:rPr>
          <w:rFonts w:ascii="Century Gothic" w:eastAsia="Times New Roman" w:hAnsi="Century Gothic" w:cs="Arial"/>
          <w:color w:val="C4BC96"/>
          <w:sz w:val="14"/>
          <w:szCs w:val="14"/>
          <w:lang w:val="es-ES_tradnl" w:eastAsia="es-ES_tradnl"/>
        </w:rPr>
      </w:pPr>
    </w:p>
    <w:p w:rsidR="00B203DB" w:rsidRPr="00B203DB" w:rsidRDefault="00B203DB" w:rsidP="00B203DB">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B203DB" w:rsidRPr="00B203DB" w:rsidRDefault="00B203DB" w:rsidP="00B203DB">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B203DB" w:rsidRPr="00B203DB" w:rsidRDefault="00B203DB" w:rsidP="00B203DB">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B203DB" w:rsidRPr="00B203DB" w:rsidRDefault="00B203DB" w:rsidP="00B203DB">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3D2AAD" w:rsidRPr="00B203DB" w:rsidRDefault="003D2AAD" w:rsidP="003D2AAD">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spacing w:val="10"/>
          <w:sz w:val="24"/>
          <w:szCs w:val="24"/>
          <w:lang w:val="es-ES_tradnl" w:eastAsia="es-ES_tradnl"/>
        </w:rPr>
        <w:t>Dado en el Salón de Sesiones del Poder Legislativo en la Ciudad de Chihu</w:t>
      </w:r>
      <w:r>
        <w:rPr>
          <w:rFonts w:ascii="Century Gothic" w:eastAsia="Times New Roman" w:hAnsi="Century Gothic" w:cs="Arial"/>
          <w:spacing w:val="10"/>
          <w:sz w:val="24"/>
          <w:szCs w:val="24"/>
          <w:lang w:val="es-ES_tradnl" w:eastAsia="es-ES_tradnl"/>
        </w:rPr>
        <w:t>a</w:t>
      </w:r>
      <w:r w:rsidR="00B41C51">
        <w:rPr>
          <w:rFonts w:ascii="Century Gothic" w:eastAsia="Times New Roman" w:hAnsi="Century Gothic" w:cs="Arial"/>
          <w:spacing w:val="10"/>
          <w:sz w:val="24"/>
          <w:szCs w:val="24"/>
          <w:lang w:val="es-ES_tradnl" w:eastAsia="es-ES_tradnl"/>
        </w:rPr>
        <w:t>hua, Chihuahua, a los 3</w:t>
      </w:r>
      <w:r>
        <w:rPr>
          <w:rFonts w:ascii="Century Gothic" w:eastAsia="Times New Roman" w:hAnsi="Century Gothic" w:cs="Arial"/>
          <w:spacing w:val="10"/>
          <w:sz w:val="24"/>
          <w:szCs w:val="24"/>
          <w:lang w:val="es-ES_tradnl" w:eastAsia="es-ES_tradnl"/>
        </w:rPr>
        <w:t xml:space="preserve"> </w:t>
      </w:r>
      <w:r w:rsidRPr="00B203DB">
        <w:rPr>
          <w:rFonts w:ascii="Century Gothic" w:eastAsia="Times New Roman" w:hAnsi="Century Gothic" w:cs="Arial"/>
          <w:spacing w:val="10"/>
          <w:sz w:val="24"/>
          <w:szCs w:val="24"/>
          <w:lang w:val="es-ES_tradnl" w:eastAsia="es-ES_tradnl"/>
        </w:rPr>
        <w:t>días del mes</w:t>
      </w:r>
      <w:r w:rsidR="00B41C51">
        <w:rPr>
          <w:rFonts w:ascii="Century Gothic" w:eastAsia="Times New Roman" w:hAnsi="Century Gothic" w:cs="Arial"/>
          <w:spacing w:val="10"/>
          <w:sz w:val="24"/>
          <w:szCs w:val="24"/>
          <w:lang w:val="es-ES_tradnl" w:eastAsia="es-ES_tradnl"/>
        </w:rPr>
        <w:t xml:space="preserve"> de septiembre  del año 2020</w:t>
      </w:r>
      <w:r w:rsidRPr="00B203DB">
        <w:rPr>
          <w:rFonts w:ascii="Century Gothic" w:eastAsia="Times New Roman" w:hAnsi="Century Gothic" w:cs="Arial"/>
          <w:spacing w:val="10"/>
          <w:sz w:val="24"/>
          <w:szCs w:val="24"/>
          <w:lang w:val="es-ES_tradnl" w:eastAsia="es-ES_tradnl"/>
        </w:rPr>
        <w:t>.</w:t>
      </w:r>
    </w:p>
    <w:p w:rsidR="003D2AAD" w:rsidRPr="00B203DB" w:rsidRDefault="003D2AAD" w:rsidP="003D2AAD">
      <w:pPr>
        <w:spacing w:after="0" w:line="240" w:lineRule="auto"/>
        <w:jc w:val="center"/>
        <w:rPr>
          <w:rFonts w:ascii="Century Gothic" w:eastAsia="Times New Roman" w:hAnsi="Century Gothic" w:cs="Arial"/>
          <w:b/>
          <w:spacing w:val="10"/>
          <w:sz w:val="24"/>
          <w:szCs w:val="24"/>
          <w:lang w:val="es-ES_tradnl" w:eastAsia="es-ES_tradnl"/>
        </w:rPr>
      </w:pPr>
    </w:p>
    <w:p w:rsidR="00B203DB" w:rsidRPr="00B203DB" w:rsidRDefault="00B203DB" w:rsidP="00B203DB">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B203DB" w:rsidRPr="00B203DB" w:rsidRDefault="00B203DB" w:rsidP="00B203DB">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B203DB" w:rsidRPr="00B203DB" w:rsidRDefault="00B203DB" w:rsidP="00B203DB">
      <w:pPr>
        <w:tabs>
          <w:tab w:val="left" w:pos="4962"/>
        </w:tabs>
        <w:spacing w:after="0" w:line="240" w:lineRule="auto"/>
        <w:ind w:left="4961" w:right="193"/>
        <w:jc w:val="both"/>
        <w:rPr>
          <w:rFonts w:ascii="Century Gothic" w:eastAsia="Times New Roman" w:hAnsi="Century Gothic" w:cs="Arial"/>
          <w:color w:val="C4BC96"/>
          <w:sz w:val="14"/>
          <w:szCs w:val="14"/>
          <w:lang w:val="es-ES_tradnl" w:eastAsia="es-ES_tradnl"/>
        </w:rPr>
      </w:pPr>
    </w:p>
    <w:p w:rsidR="00B203DB" w:rsidRPr="00B203DB" w:rsidRDefault="00B203DB" w:rsidP="00B203DB">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500204" w:rsidRDefault="00500204" w:rsidP="00B203DB">
      <w:pPr>
        <w:spacing w:after="0" w:line="240" w:lineRule="auto"/>
        <w:jc w:val="center"/>
        <w:rPr>
          <w:rFonts w:ascii="Century Gothic" w:eastAsia="Times New Roman" w:hAnsi="Century Gothic" w:cs="Arial"/>
          <w:b/>
          <w:spacing w:val="10"/>
          <w:sz w:val="24"/>
          <w:szCs w:val="24"/>
          <w:lang w:val="es-ES_tradnl" w:eastAsia="es-ES_tradnl"/>
        </w:rPr>
      </w:pPr>
    </w:p>
    <w:p w:rsidR="00500204" w:rsidRDefault="00500204" w:rsidP="00B203DB">
      <w:pPr>
        <w:spacing w:after="0" w:line="240" w:lineRule="auto"/>
        <w:jc w:val="center"/>
        <w:rPr>
          <w:rFonts w:ascii="Century Gothic" w:eastAsia="Times New Roman" w:hAnsi="Century Gothic" w:cs="Arial"/>
          <w:b/>
          <w:spacing w:val="10"/>
          <w:sz w:val="24"/>
          <w:szCs w:val="24"/>
          <w:lang w:val="es-ES_tradnl" w:eastAsia="es-ES_tradnl"/>
        </w:rPr>
      </w:pPr>
    </w:p>
    <w:p w:rsidR="00500204" w:rsidRDefault="00500204" w:rsidP="00B203DB">
      <w:pPr>
        <w:spacing w:after="0" w:line="240" w:lineRule="auto"/>
        <w:jc w:val="center"/>
        <w:rPr>
          <w:rFonts w:ascii="Century Gothic" w:eastAsia="Times New Roman" w:hAnsi="Century Gothic" w:cs="Arial"/>
          <w:b/>
          <w:spacing w:val="10"/>
          <w:sz w:val="24"/>
          <w:szCs w:val="24"/>
          <w:lang w:val="es-ES_tradnl" w:eastAsia="es-ES_tradnl"/>
        </w:rPr>
      </w:pPr>
    </w:p>
    <w:p w:rsidR="00500204" w:rsidRDefault="00500204" w:rsidP="00B203DB">
      <w:pPr>
        <w:spacing w:after="0" w:line="240" w:lineRule="auto"/>
        <w:jc w:val="center"/>
        <w:rPr>
          <w:rFonts w:ascii="Century Gothic" w:eastAsia="Times New Roman" w:hAnsi="Century Gothic" w:cs="Arial"/>
          <w:b/>
          <w:spacing w:val="10"/>
          <w:sz w:val="24"/>
          <w:szCs w:val="24"/>
          <w:lang w:val="es-ES_tradnl" w:eastAsia="es-ES_tradnl"/>
        </w:rPr>
      </w:pPr>
    </w:p>
    <w:p w:rsidR="00500204" w:rsidRDefault="00500204" w:rsidP="00B203DB">
      <w:pPr>
        <w:spacing w:after="0" w:line="240" w:lineRule="auto"/>
        <w:jc w:val="center"/>
        <w:rPr>
          <w:rFonts w:ascii="Century Gothic" w:eastAsia="Times New Roman" w:hAnsi="Century Gothic" w:cs="Arial"/>
          <w:b/>
          <w:spacing w:val="10"/>
          <w:sz w:val="24"/>
          <w:szCs w:val="24"/>
          <w:lang w:val="es-ES_tradnl" w:eastAsia="es-ES_tradnl"/>
        </w:rPr>
      </w:pPr>
    </w:p>
    <w:p w:rsidR="00500204" w:rsidRDefault="00500204" w:rsidP="00B203DB">
      <w:pPr>
        <w:spacing w:after="0" w:line="240" w:lineRule="auto"/>
        <w:jc w:val="center"/>
        <w:rPr>
          <w:rFonts w:ascii="Century Gothic" w:eastAsia="Times New Roman" w:hAnsi="Century Gothic" w:cs="Arial"/>
          <w:b/>
          <w:spacing w:val="10"/>
          <w:sz w:val="24"/>
          <w:szCs w:val="24"/>
          <w:lang w:val="es-ES_tradnl" w:eastAsia="es-ES_tradnl"/>
        </w:rPr>
      </w:pPr>
    </w:p>
    <w:p w:rsidR="00500204" w:rsidRDefault="00500204" w:rsidP="00B203DB">
      <w:pPr>
        <w:spacing w:after="0" w:line="240" w:lineRule="auto"/>
        <w:jc w:val="center"/>
        <w:rPr>
          <w:rFonts w:ascii="Century Gothic" w:eastAsia="Times New Roman" w:hAnsi="Century Gothic" w:cs="Arial"/>
          <w:b/>
          <w:spacing w:val="10"/>
          <w:sz w:val="24"/>
          <w:szCs w:val="24"/>
          <w:lang w:val="es-ES_tradnl" w:eastAsia="es-ES_tradnl"/>
        </w:rPr>
      </w:pPr>
    </w:p>
    <w:p w:rsidR="00500204" w:rsidRDefault="00500204" w:rsidP="00B203DB">
      <w:pPr>
        <w:spacing w:after="0" w:line="240" w:lineRule="auto"/>
        <w:jc w:val="center"/>
        <w:rPr>
          <w:rFonts w:ascii="Century Gothic" w:eastAsia="Times New Roman" w:hAnsi="Century Gothic" w:cs="Arial"/>
          <w:b/>
          <w:spacing w:val="10"/>
          <w:sz w:val="24"/>
          <w:szCs w:val="24"/>
          <w:lang w:val="es-ES_tradnl" w:eastAsia="es-ES_tradnl"/>
        </w:rPr>
      </w:pPr>
    </w:p>
    <w:p w:rsidR="00500204" w:rsidRDefault="00500204" w:rsidP="008E0A13">
      <w:pPr>
        <w:spacing w:after="0" w:line="240" w:lineRule="auto"/>
        <w:rPr>
          <w:rFonts w:ascii="Century Gothic" w:eastAsia="Times New Roman" w:hAnsi="Century Gothic" w:cs="Arial"/>
          <w:b/>
          <w:spacing w:val="10"/>
          <w:sz w:val="24"/>
          <w:szCs w:val="24"/>
          <w:lang w:val="es-ES_tradnl" w:eastAsia="es-ES_tradnl"/>
        </w:rPr>
      </w:pPr>
    </w:p>
    <w:p w:rsidR="00500204" w:rsidRDefault="00500204" w:rsidP="00B203DB">
      <w:pPr>
        <w:spacing w:after="0" w:line="240" w:lineRule="auto"/>
        <w:jc w:val="center"/>
        <w:rPr>
          <w:rFonts w:ascii="Century Gothic" w:eastAsia="Times New Roman" w:hAnsi="Century Gothic" w:cs="Arial"/>
          <w:b/>
          <w:spacing w:val="10"/>
          <w:sz w:val="24"/>
          <w:szCs w:val="24"/>
          <w:lang w:val="es-ES_tradnl" w:eastAsia="es-ES_tradnl"/>
        </w:rPr>
      </w:pPr>
    </w:p>
    <w:p w:rsidR="003D2AAD" w:rsidRDefault="003D2AAD" w:rsidP="00B203DB">
      <w:pPr>
        <w:spacing w:after="0" w:line="240" w:lineRule="auto"/>
        <w:jc w:val="center"/>
        <w:rPr>
          <w:rFonts w:ascii="Century Gothic" w:eastAsia="Times New Roman" w:hAnsi="Century Gothic" w:cs="Arial"/>
          <w:b/>
          <w:spacing w:val="10"/>
          <w:sz w:val="24"/>
          <w:szCs w:val="24"/>
          <w:lang w:val="es-ES_tradnl" w:eastAsia="es-ES_tradnl"/>
        </w:rPr>
      </w:pPr>
    </w:p>
    <w:p w:rsidR="003D2AAD" w:rsidRDefault="003D2AAD" w:rsidP="00B203DB">
      <w:pPr>
        <w:spacing w:after="0" w:line="240" w:lineRule="auto"/>
        <w:jc w:val="center"/>
        <w:rPr>
          <w:rFonts w:ascii="Century Gothic" w:eastAsia="Times New Roman" w:hAnsi="Century Gothic" w:cs="Arial"/>
          <w:b/>
          <w:spacing w:val="10"/>
          <w:sz w:val="24"/>
          <w:szCs w:val="24"/>
          <w:lang w:val="es-ES_tradnl" w:eastAsia="es-ES_tradnl"/>
        </w:rPr>
      </w:pPr>
    </w:p>
    <w:p w:rsidR="003D2AAD" w:rsidRDefault="003D2AAD" w:rsidP="00B203DB">
      <w:pPr>
        <w:spacing w:after="0" w:line="240" w:lineRule="auto"/>
        <w:jc w:val="center"/>
        <w:rPr>
          <w:rFonts w:ascii="Century Gothic" w:eastAsia="Times New Roman" w:hAnsi="Century Gothic" w:cs="Arial"/>
          <w:b/>
          <w:spacing w:val="10"/>
          <w:sz w:val="24"/>
          <w:szCs w:val="24"/>
          <w:lang w:val="es-ES_tradnl" w:eastAsia="es-ES_tradnl"/>
        </w:rPr>
      </w:pPr>
    </w:p>
    <w:p w:rsidR="003D2AAD" w:rsidRDefault="003D2AAD" w:rsidP="00B203DB">
      <w:pPr>
        <w:spacing w:after="0" w:line="240" w:lineRule="auto"/>
        <w:jc w:val="center"/>
        <w:rPr>
          <w:rFonts w:ascii="Century Gothic" w:eastAsia="Times New Roman" w:hAnsi="Century Gothic" w:cs="Arial"/>
          <w:b/>
          <w:spacing w:val="10"/>
          <w:sz w:val="24"/>
          <w:szCs w:val="24"/>
          <w:lang w:val="es-ES_tradnl" w:eastAsia="es-ES_tradnl"/>
        </w:rPr>
      </w:pPr>
    </w:p>
    <w:p w:rsidR="003D2AAD" w:rsidRDefault="003D2AAD" w:rsidP="00B203DB">
      <w:pPr>
        <w:spacing w:after="0" w:line="240" w:lineRule="auto"/>
        <w:jc w:val="center"/>
        <w:rPr>
          <w:rFonts w:ascii="Century Gothic" w:eastAsia="Times New Roman" w:hAnsi="Century Gothic" w:cs="Arial"/>
          <w:b/>
          <w:spacing w:val="10"/>
          <w:sz w:val="24"/>
          <w:szCs w:val="24"/>
          <w:lang w:val="es-ES_tradnl" w:eastAsia="es-ES_tradnl"/>
        </w:rPr>
      </w:pPr>
    </w:p>
    <w:p w:rsidR="003D2AAD" w:rsidRDefault="003D2AAD" w:rsidP="00B203DB">
      <w:pPr>
        <w:spacing w:after="0" w:line="240" w:lineRule="auto"/>
        <w:jc w:val="center"/>
        <w:rPr>
          <w:rFonts w:ascii="Century Gothic" w:eastAsia="Times New Roman" w:hAnsi="Century Gothic" w:cs="Arial"/>
          <w:b/>
          <w:spacing w:val="10"/>
          <w:sz w:val="24"/>
          <w:szCs w:val="24"/>
          <w:lang w:val="es-ES_tradnl" w:eastAsia="es-ES_tradnl"/>
        </w:rPr>
      </w:pPr>
    </w:p>
    <w:p w:rsidR="003D2AAD" w:rsidRDefault="003D2AAD" w:rsidP="00B203DB">
      <w:pPr>
        <w:spacing w:after="0" w:line="240" w:lineRule="auto"/>
        <w:jc w:val="center"/>
        <w:rPr>
          <w:rFonts w:ascii="Century Gothic" w:eastAsia="Times New Roman" w:hAnsi="Century Gothic" w:cs="Arial"/>
          <w:b/>
          <w:spacing w:val="10"/>
          <w:sz w:val="24"/>
          <w:szCs w:val="24"/>
          <w:lang w:val="es-ES_tradnl" w:eastAsia="es-ES_tradnl"/>
        </w:rPr>
      </w:pPr>
    </w:p>
    <w:p w:rsidR="003D2AAD" w:rsidRDefault="003D2AAD" w:rsidP="00B203DB">
      <w:pPr>
        <w:spacing w:after="0" w:line="240" w:lineRule="auto"/>
        <w:jc w:val="center"/>
        <w:rPr>
          <w:rFonts w:ascii="Century Gothic" w:eastAsia="Times New Roman" w:hAnsi="Century Gothic" w:cs="Arial"/>
          <w:b/>
          <w:spacing w:val="10"/>
          <w:sz w:val="24"/>
          <w:szCs w:val="24"/>
          <w:lang w:val="es-ES_tradnl" w:eastAsia="es-ES_tradnl"/>
        </w:rPr>
      </w:pPr>
    </w:p>
    <w:p w:rsidR="00B203DB" w:rsidRPr="00B203DB" w:rsidRDefault="00B203DB" w:rsidP="00B203DB">
      <w:pPr>
        <w:spacing w:after="0" w:line="240" w:lineRule="auto"/>
        <w:jc w:val="center"/>
        <w:rPr>
          <w:rFonts w:ascii="Century Gothic" w:eastAsia="Times New Roman" w:hAnsi="Century Gothic" w:cs="Arial"/>
          <w:b/>
          <w:spacing w:val="10"/>
          <w:sz w:val="24"/>
          <w:szCs w:val="24"/>
          <w:lang w:val="es-ES_tradnl" w:eastAsia="es-ES_tradnl"/>
        </w:rPr>
      </w:pPr>
      <w:r w:rsidRPr="00B203DB">
        <w:rPr>
          <w:rFonts w:ascii="Century Gothic" w:eastAsia="Times New Roman" w:hAnsi="Century Gothic" w:cs="Arial"/>
          <w:b/>
          <w:spacing w:val="10"/>
          <w:sz w:val="24"/>
          <w:szCs w:val="24"/>
          <w:lang w:val="es-ES_tradnl" w:eastAsia="es-ES_tradnl"/>
        </w:rPr>
        <w:lastRenderedPageBreak/>
        <w:t>ASÍ LO APROBÓ LA COMISIÓN PRIMERA DE GOBERNACIÓN Y PUNTOS CONSTIT</w:t>
      </w:r>
      <w:r w:rsidR="00500204">
        <w:rPr>
          <w:rFonts w:ascii="Century Gothic" w:eastAsia="Times New Roman" w:hAnsi="Century Gothic" w:cs="Arial"/>
          <w:b/>
          <w:spacing w:val="10"/>
          <w:sz w:val="24"/>
          <w:szCs w:val="24"/>
          <w:lang w:val="es-ES_tradnl" w:eastAsia="es-ES_tradnl"/>
        </w:rPr>
        <w:t>U</w:t>
      </w:r>
      <w:r w:rsidR="008E0A13">
        <w:rPr>
          <w:rFonts w:ascii="Century Gothic" w:eastAsia="Times New Roman" w:hAnsi="Century Gothic" w:cs="Arial"/>
          <w:b/>
          <w:spacing w:val="10"/>
          <w:sz w:val="24"/>
          <w:szCs w:val="24"/>
          <w:lang w:val="es-ES_tradnl" w:eastAsia="es-ES_tradnl"/>
        </w:rPr>
        <w:t>CIONALES, EN REUNIÓN DE FECHA 25</w:t>
      </w:r>
      <w:r w:rsidRPr="00B203DB">
        <w:rPr>
          <w:rFonts w:ascii="Century Gothic" w:eastAsia="Times New Roman" w:hAnsi="Century Gothic" w:cs="Arial"/>
          <w:b/>
          <w:spacing w:val="10"/>
          <w:sz w:val="24"/>
          <w:szCs w:val="24"/>
          <w:lang w:val="es-ES_tradnl" w:eastAsia="es-ES_tradnl"/>
        </w:rPr>
        <w:t xml:space="preserve"> DE SEPTIEMBRE DE 2019.</w:t>
      </w:r>
    </w:p>
    <w:p w:rsidR="00B203DB" w:rsidRPr="00B203DB" w:rsidRDefault="00B203DB" w:rsidP="00B203DB">
      <w:pPr>
        <w:spacing w:after="0" w:line="360" w:lineRule="auto"/>
        <w:contextualSpacing/>
        <w:rPr>
          <w:rFonts w:ascii="Century Gothic" w:eastAsia="Times New Roman" w:hAnsi="Century Gothic" w:cs="Arial"/>
          <w:sz w:val="18"/>
          <w:szCs w:val="18"/>
          <w:lang w:val="es-ES_tradnl" w:eastAsia="es-ES_tradnl"/>
        </w:rPr>
      </w:pPr>
    </w:p>
    <w:p w:rsidR="00B203DB" w:rsidRPr="00B203DB" w:rsidRDefault="00B203DB" w:rsidP="00B203DB">
      <w:pPr>
        <w:spacing w:after="0" w:line="360" w:lineRule="auto"/>
        <w:contextualSpacing/>
        <w:jc w:val="center"/>
        <w:rPr>
          <w:rFonts w:ascii="Century Gothic" w:eastAsia="Times New Roman" w:hAnsi="Century Gothic" w:cs="Arial"/>
          <w:b/>
          <w:sz w:val="24"/>
          <w:szCs w:val="28"/>
          <w:lang w:val="es-ES_tradnl" w:eastAsia="es-ES_tradnl"/>
        </w:rPr>
      </w:pPr>
      <w:r w:rsidRPr="00B203DB">
        <w:rPr>
          <w:rFonts w:ascii="Century Gothic" w:eastAsia="Times New Roman" w:hAnsi="Century Gothic" w:cs="Arial"/>
          <w:b/>
          <w:sz w:val="24"/>
          <w:szCs w:val="28"/>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316"/>
        <w:gridCol w:w="2220"/>
        <w:gridCol w:w="1985"/>
      </w:tblGrid>
      <w:tr w:rsidR="00B203DB" w:rsidRPr="00B203DB" w:rsidTr="00C36377">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240" w:lineRule="auto"/>
              <w:jc w:val="center"/>
              <w:rPr>
                <w:rFonts w:ascii="Century Gothic" w:eastAsia="Times New Roman" w:hAnsi="Century Gothic" w:cs="Arial"/>
                <w:b/>
                <w:color w:val="000000"/>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240" w:lineRule="auto"/>
              <w:jc w:val="center"/>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INTEGRANTES</w:t>
            </w:r>
          </w:p>
        </w:tc>
        <w:tc>
          <w:tcPr>
            <w:tcW w:w="2316"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240" w:lineRule="auto"/>
              <w:jc w:val="center"/>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A FAVOR</w:t>
            </w:r>
          </w:p>
        </w:tc>
        <w:tc>
          <w:tcPr>
            <w:tcW w:w="2220"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240" w:lineRule="auto"/>
              <w:jc w:val="center"/>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240" w:lineRule="auto"/>
              <w:jc w:val="center"/>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ABSTENCIÓN</w:t>
            </w:r>
          </w:p>
        </w:tc>
      </w:tr>
      <w:tr w:rsidR="00B203DB" w:rsidRPr="00B203DB" w:rsidTr="00C36377">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3DB1706F" wp14:editId="5B33268B">
                  <wp:extent cx="685800" cy="733425"/>
                  <wp:effectExtent l="0" t="0" r="0" b="0"/>
                  <wp:docPr id="1" name="Imagen 1" descr="http://www.congresochihuahua.gob.mx/diputados/TimThumb.php?src=imagenes/fotos/1188.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TimThumb.php?src=imagenes/fotos/1188.jpg&amp;w=260&amp;h=280&amp;zc=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DIP. MIGUEL FRANCISCO LA TORRE SÁENZ</w:t>
            </w:r>
          </w:p>
          <w:p w:rsidR="00B203DB" w:rsidRPr="00B203DB" w:rsidRDefault="00B203DB" w:rsidP="00B203DB">
            <w:pPr>
              <w:spacing w:after="0" w:line="240" w:lineRule="auto"/>
              <w:rPr>
                <w:rFonts w:ascii="Times New Roman" w:eastAsia="Times New Roman" w:hAnsi="Times New Roman" w:cs="Times New Roman"/>
                <w:color w:val="000000"/>
                <w:sz w:val="24"/>
                <w:szCs w:val="20"/>
                <w:lang w:val="es-ES" w:eastAsia="es-ES"/>
              </w:rPr>
            </w:pPr>
            <w:r w:rsidRPr="00B203DB">
              <w:rPr>
                <w:rFonts w:ascii="Century Gothic" w:eastAsia="Times New Roman" w:hAnsi="Century Gothic" w:cs="Arial"/>
                <w:b/>
                <w:caps/>
                <w:color w:val="000000"/>
                <w:lang w:val="es-ES" w:eastAsia="es-ES"/>
              </w:rPr>
              <w:t>PRESIDENTE</w:t>
            </w:r>
          </w:p>
        </w:tc>
        <w:tc>
          <w:tcPr>
            <w:tcW w:w="2316"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r>
      <w:tr w:rsidR="00B203DB" w:rsidRPr="00B203DB" w:rsidTr="00C36377">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545A82A1" wp14:editId="2F52360D">
                  <wp:extent cx="695325" cy="752475"/>
                  <wp:effectExtent l="0" t="0" r="0" b="0"/>
                  <wp:docPr id="2" name="Imagen 2" descr="http://www.congresochihuahua.gob.mx/diputados/TimThumb.php?src=imagenes/fotos/1205.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diputados/TimThumb.php?src=imagenes/fotos/1205.jpg&amp;w=260&amp;h=280&amp;zc=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DIP. FRANCISCO HUMBERTO CHÁVEZ HERRERA</w:t>
            </w:r>
          </w:p>
          <w:p w:rsidR="00B203DB" w:rsidRPr="00B203DB" w:rsidRDefault="00B203DB" w:rsidP="00B203DB">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SECRETARIO</w:t>
            </w:r>
          </w:p>
        </w:tc>
        <w:tc>
          <w:tcPr>
            <w:tcW w:w="2316"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r>
      <w:tr w:rsidR="00B203DB" w:rsidRPr="00B203DB" w:rsidTr="00C36377">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7FF06936" wp14:editId="45012A50">
                  <wp:extent cx="704850" cy="752475"/>
                  <wp:effectExtent l="0" t="0" r="0" b="0"/>
                  <wp:docPr id="3" name="Imagen 3" descr="http://www.congresochihuahua.gob.mx/diputados/TimThumb.php?src=imagenes/fotos/1201.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diputados/TimThumb.php?src=imagenes/fotos/1201.jpg&amp;w=260&amp;h=280&amp;zc=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DIP. RENÉ FRÍAS BENCOMO</w:t>
            </w:r>
          </w:p>
          <w:p w:rsidR="00B203DB" w:rsidRPr="00B203DB" w:rsidRDefault="00B203DB" w:rsidP="00B203DB">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r>
      <w:tr w:rsidR="00B203DB" w:rsidRPr="00B203DB" w:rsidTr="00C36377">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58C115E7" wp14:editId="02722CC4">
                  <wp:extent cx="666750" cy="714375"/>
                  <wp:effectExtent l="0" t="0" r="0" b="0"/>
                  <wp:docPr id="4" name="Imagen 4" descr="http://www.congresochihuahua.gob.mx/diputados/TimThumb.php?src=imagenes/fotos/1200.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diputados/TimThumb.php?src=imagenes/fotos/1200.jpg&amp;w=260&amp;h=280&amp;zc=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 xml:space="preserve">DIP. RUBÉN AGUILAR JIMÉNEZ </w:t>
            </w:r>
          </w:p>
          <w:p w:rsidR="00B203DB" w:rsidRPr="00B203DB" w:rsidRDefault="00B203DB" w:rsidP="00B203DB">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r>
      <w:tr w:rsidR="00B203DB" w:rsidRPr="00B203DB" w:rsidTr="00C36377">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712C199E" wp14:editId="43DFA801">
                  <wp:extent cx="666750" cy="714375"/>
                  <wp:effectExtent l="0" t="0" r="0" b="0"/>
                  <wp:docPr id="5" name="Imagen 5" descr="http://www.congresochihuahua.gob.mx/diputados/TimThumb.php?src=imagenes/fotos/1202.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diputados/TimThumb.php?src=imagenes/fotos/1202.jpg&amp;w=260&amp;h=280&amp;zc=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B203DB" w:rsidRPr="00B203DB" w:rsidRDefault="00B203DB" w:rsidP="00B203DB">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 xml:space="preserve">DIP. ALEJANDRO GLORIA GONZÁLEZ </w:t>
            </w:r>
          </w:p>
          <w:p w:rsidR="00B203DB" w:rsidRPr="00B203DB" w:rsidRDefault="00B203DB" w:rsidP="00B203DB">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B203DB" w:rsidRPr="00B203DB" w:rsidRDefault="00B203DB" w:rsidP="00B203DB">
            <w:pPr>
              <w:spacing w:after="0" w:line="360" w:lineRule="auto"/>
              <w:rPr>
                <w:rFonts w:ascii="Century Gothic" w:eastAsia="Times New Roman" w:hAnsi="Century Gothic" w:cs="Arial"/>
                <w:b/>
                <w:color w:val="000000"/>
                <w:sz w:val="24"/>
                <w:szCs w:val="24"/>
                <w:lang w:val="es-ES" w:eastAsia="es-ES"/>
              </w:rPr>
            </w:pPr>
          </w:p>
        </w:tc>
      </w:tr>
    </w:tbl>
    <w:p w:rsidR="00B203DB" w:rsidRPr="00B203DB" w:rsidRDefault="00B203DB" w:rsidP="00B203DB">
      <w:pPr>
        <w:spacing w:after="0" w:line="360" w:lineRule="auto"/>
        <w:jc w:val="both"/>
        <w:rPr>
          <w:rFonts w:ascii="Century Gothic" w:eastAsia="Times New Roman" w:hAnsi="Century Gothic" w:cs="Arial"/>
          <w:sz w:val="18"/>
          <w:szCs w:val="18"/>
          <w:lang w:val="es-ES_tradnl" w:eastAsia="es-ES_tradnl"/>
        </w:rPr>
      </w:pPr>
    </w:p>
    <w:p w:rsidR="003A0E84" w:rsidRPr="003A0E84" w:rsidRDefault="00B203DB" w:rsidP="003A0E84">
      <w:pPr>
        <w:spacing w:after="0" w:line="360" w:lineRule="auto"/>
        <w:jc w:val="both"/>
        <w:rPr>
          <w:rFonts w:ascii="Century Gothic" w:eastAsia="Times New Roman" w:hAnsi="Century Gothic" w:cs="Arial"/>
          <w:sz w:val="18"/>
          <w:szCs w:val="18"/>
          <w:lang w:val="es-ES_tradnl" w:eastAsia="es-ES_tradnl"/>
        </w:rPr>
      </w:pPr>
      <w:r w:rsidRPr="003A0E84">
        <w:rPr>
          <w:rFonts w:ascii="Century Gothic" w:eastAsia="Times New Roman" w:hAnsi="Century Gothic" w:cs="Arial"/>
          <w:sz w:val="18"/>
          <w:szCs w:val="18"/>
          <w:lang w:val="es-ES_tradnl" w:eastAsia="es-ES_tradnl"/>
        </w:rPr>
        <w:t>La presente</w:t>
      </w:r>
      <w:r w:rsidRPr="003A0E84">
        <w:rPr>
          <w:rFonts w:ascii="Century Gothic" w:eastAsia="Times New Roman" w:hAnsi="Century Gothic" w:cs="Arial"/>
          <w:sz w:val="18"/>
          <w:szCs w:val="18"/>
          <w:lang w:eastAsia="es-ES_tradnl"/>
        </w:rPr>
        <w:t xml:space="preserve"> hoja de firmas corresponde al Dictamen que </w:t>
      </w:r>
      <w:r w:rsidRPr="003A0E84">
        <w:rPr>
          <w:rFonts w:ascii="Century Gothic" w:eastAsia="Times New Roman" w:hAnsi="Century Gothic" w:cs="Arial"/>
          <w:bCs/>
          <w:sz w:val="18"/>
          <w:szCs w:val="18"/>
          <w:lang w:eastAsia="es-ES_tradnl"/>
        </w:rPr>
        <w:t xml:space="preserve">recae </w:t>
      </w:r>
      <w:r w:rsidRPr="003A0E84">
        <w:rPr>
          <w:rFonts w:ascii="Century Gothic" w:eastAsia="Times New Roman" w:hAnsi="Century Gothic" w:cstheme="minorHAnsi"/>
          <w:sz w:val="18"/>
          <w:szCs w:val="18"/>
          <w:lang w:val="es-ES_tradnl" w:eastAsia="es-ES_tradnl"/>
        </w:rPr>
        <w:t xml:space="preserve">a la </w:t>
      </w:r>
      <w:r w:rsidRPr="003A0E84">
        <w:rPr>
          <w:rFonts w:ascii="Century Gothic" w:eastAsia="Times New Roman" w:hAnsi="Century Gothic" w:cs="Arial"/>
          <w:sz w:val="18"/>
          <w:szCs w:val="18"/>
          <w:lang w:val="es-ES_tradnl" w:eastAsia="es-ES_tradnl"/>
        </w:rPr>
        <w:t xml:space="preserve">iniciativa con carácter de </w:t>
      </w:r>
      <w:r w:rsidR="003A0E84" w:rsidRPr="003A0E84">
        <w:rPr>
          <w:rFonts w:ascii="Century Gothic" w:eastAsia="Times New Roman" w:hAnsi="Century Gothic" w:cs="Arial"/>
          <w:sz w:val="18"/>
          <w:szCs w:val="18"/>
          <w:lang w:val="es-ES_tradnl" w:eastAsia="es-ES_tradnl"/>
        </w:rPr>
        <w:t xml:space="preserve">Decreto a fin de adicionar el artículo 381 Bis al Código de Procedimientos Civiles del Estado de Chihuahua, en materia de arrendamiento de bienes inmuebles. </w:t>
      </w:r>
    </w:p>
    <w:sectPr w:rsidR="003A0E84" w:rsidRPr="003A0E84" w:rsidSect="003D2AAD">
      <w:headerReference w:type="default" r:id="rId17"/>
      <w:footerReference w:type="default" r:id="rId18"/>
      <w:pgSz w:w="12240" w:h="15840" w:code="1"/>
      <w:pgMar w:top="3402" w:right="1134" w:bottom="1701" w:left="1134"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6E" w:rsidRDefault="0039306E">
      <w:pPr>
        <w:spacing w:after="0" w:line="240" w:lineRule="auto"/>
      </w:pPr>
      <w:r>
        <w:separator/>
      </w:r>
    </w:p>
  </w:endnote>
  <w:endnote w:type="continuationSeparator" w:id="0">
    <w:p w:rsidR="0039306E" w:rsidRDefault="0039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818887"/>
      <w:docPartObj>
        <w:docPartGallery w:val="Page Numbers (Bottom of Page)"/>
        <w:docPartUnique/>
      </w:docPartObj>
    </w:sdtPr>
    <w:sdtEndPr/>
    <w:sdtContent>
      <w:p w:rsidR="00854C69" w:rsidRDefault="00B203DB" w:rsidP="003F7C6E">
        <w:pPr>
          <w:pStyle w:val="Piedepgina"/>
          <w:jc w:val="center"/>
        </w:pPr>
        <w:r>
          <w:rPr>
            <w:lang w:val="es-ES_tradnl"/>
          </w:rPr>
          <w:fldChar w:fldCharType="begin"/>
        </w:r>
        <w:r>
          <w:instrText>PAGE   \* MERGEFORMAT</w:instrText>
        </w:r>
        <w:r>
          <w:rPr>
            <w:lang w:val="es-ES_tradnl"/>
          </w:rPr>
          <w:fldChar w:fldCharType="separate"/>
        </w:r>
        <w:r w:rsidR="008B2171" w:rsidRPr="008B2171">
          <w:rPr>
            <w:noProof/>
            <w:lang w:val="es-ES"/>
          </w:rPr>
          <w:t>1</w:t>
        </w:r>
        <w:r>
          <w:rPr>
            <w:noProof/>
            <w:lang w:val="es-ES"/>
          </w:rPr>
          <w:fldChar w:fldCharType="end"/>
        </w:r>
      </w:p>
    </w:sdtContent>
  </w:sdt>
  <w:p w:rsidR="00854C69" w:rsidRPr="004804CA" w:rsidRDefault="00D67962" w:rsidP="003F7C6E">
    <w:pPr>
      <w:spacing w:line="360" w:lineRule="auto"/>
      <w:ind w:right="48"/>
      <w:jc w:val="right"/>
      <w:rPr>
        <w:rFonts w:ascii="Century Gothic" w:hAnsi="Century Gothic" w:cs="Arial"/>
        <w:sz w:val="20"/>
        <w:szCs w:val="20"/>
        <w:shd w:val="clear" w:color="auto" w:fill="FAF8F6"/>
        <w:lang w:val="en-US"/>
      </w:rPr>
    </w:pPr>
    <w:r>
      <w:rPr>
        <w:rFonts w:ascii="Century Gothic" w:hAnsi="Century Gothic"/>
        <w:sz w:val="20"/>
        <w:szCs w:val="20"/>
        <w:lang w:val="en-US"/>
      </w:rPr>
      <w:t>A1018</w:t>
    </w:r>
    <w:r w:rsidR="00B203DB" w:rsidRPr="004804CA">
      <w:rPr>
        <w:rFonts w:ascii="Century Gothic" w:hAnsi="Century Gothic"/>
        <w:sz w:val="20"/>
        <w:szCs w:val="20"/>
        <w:lang w:val="en-US"/>
      </w:rPr>
      <w:t>/</w:t>
    </w:r>
    <w:r w:rsidR="00B203DB">
      <w:rPr>
        <w:rFonts w:ascii="Century Gothic" w:eastAsia="Arial" w:hAnsi="Century Gothic" w:cs="Arial"/>
        <w:sz w:val="20"/>
        <w:szCs w:val="20"/>
        <w:lang w:val="en-US"/>
      </w:rPr>
      <w:t xml:space="preserve"> LEAT/GAOR/</w:t>
    </w:r>
    <w:r w:rsidR="00B203DB" w:rsidRPr="004804CA">
      <w:rPr>
        <w:rFonts w:ascii="Century Gothic" w:eastAsia="Arial" w:hAnsi="Century Gothic" w:cs="Arial"/>
        <w:sz w:val="20"/>
        <w:szCs w:val="20"/>
        <w:lang w:val="en-US"/>
      </w:rPr>
      <w:t>PFE</w:t>
    </w:r>
  </w:p>
  <w:p w:rsidR="00854C69" w:rsidRPr="004804CA" w:rsidRDefault="00B203DB" w:rsidP="003F7C6E">
    <w:pPr>
      <w:pStyle w:val="Piedepgina"/>
      <w:jc w:val="right"/>
      <w:rPr>
        <w:rFonts w:ascii="Century Gothic" w:hAnsi="Century Gothic"/>
        <w:sz w:val="18"/>
        <w:szCs w:val="18"/>
        <w:lang w:val="en-US"/>
      </w:rPr>
    </w:pPr>
    <w:r w:rsidRPr="004804CA">
      <w:rPr>
        <w:rFonts w:ascii="Century Gothic" w:hAnsi="Century Gothic"/>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6E" w:rsidRDefault="0039306E">
      <w:pPr>
        <w:spacing w:after="0" w:line="240" w:lineRule="auto"/>
      </w:pPr>
      <w:r>
        <w:separator/>
      </w:r>
    </w:p>
  </w:footnote>
  <w:footnote w:type="continuationSeparator" w:id="0">
    <w:p w:rsidR="0039306E" w:rsidRDefault="00393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13" w:rsidRDefault="008E0A13" w:rsidP="008E0A13">
    <w:pPr>
      <w:pStyle w:val="Encabezado"/>
      <w:rPr>
        <w:rFonts w:ascii="Century Gothic" w:hAnsi="Century Gothic"/>
        <w:b/>
        <w:bCs/>
        <w:color w:val="000000"/>
        <w:sz w:val="18"/>
        <w:szCs w:val="18"/>
        <w:shd w:val="clear" w:color="auto" w:fill="FFFFFF"/>
      </w:rPr>
    </w:pPr>
  </w:p>
  <w:p w:rsidR="008E0A13" w:rsidRDefault="008E0A13" w:rsidP="008E0A13">
    <w:pPr>
      <w:pStyle w:val="Encabezado"/>
      <w:jc w:val="right"/>
      <w:rPr>
        <w:rFonts w:ascii="Century Gothic" w:hAnsi="Century Gothic"/>
        <w:b/>
        <w:bCs/>
        <w:color w:val="000000"/>
        <w:sz w:val="18"/>
        <w:szCs w:val="18"/>
        <w:shd w:val="clear" w:color="auto" w:fill="FFFFFF"/>
      </w:rPr>
    </w:pPr>
  </w:p>
  <w:p w:rsidR="00854C69" w:rsidRPr="00254C35" w:rsidRDefault="00B203DB" w:rsidP="008E0A13">
    <w:pPr>
      <w:pStyle w:val="Encabezado"/>
      <w:jc w:val="right"/>
      <w:rPr>
        <w:rFonts w:ascii="Century Gothic" w:hAnsi="Century Gothic"/>
        <w:b/>
        <w:sz w:val="18"/>
        <w:szCs w:val="18"/>
      </w:rPr>
    </w:pPr>
    <w:r w:rsidRPr="00254C35">
      <w:rPr>
        <w:rFonts w:ascii="Century Gothic" w:hAnsi="Century Gothic"/>
        <w:b/>
        <w:bCs/>
        <w:color w:val="000000"/>
        <w:sz w:val="18"/>
        <w:szCs w:val="18"/>
        <w:shd w:val="clear" w:color="auto" w:fill="FFFFFF"/>
      </w:rPr>
      <w:t>“2019, Año Internacional de las Lenguas Indígenas”.</w:t>
    </w:r>
  </w:p>
  <w:p w:rsidR="00C33C86" w:rsidRDefault="00C33C86" w:rsidP="002F2D50">
    <w:pPr>
      <w:pStyle w:val="Encabezado"/>
      <w:jc w:val="right"/>
      <w:rPr>
        <w:rFonts w:ascii="Century Gothic" w:hAnsi="Century Gothic"/>
        <w:b/>
      </w:rPr>
    </w:pPr>
  </w:p>
  <w:p w:rsidR="00854C69" w:rsidRDefault="00B203DB" w:rsidP="002F2D50">
    <w:pPr>
      <w:pStyle w:val="Encabezado"/>
      <w:jc w:val="right"/>
      <w:rPr>
        <w:rFonts w:ascii="Century Gothic" w:hAnsi="Century Gothic"/>
        <w:b/>
      </w:rPr>
    </w:pPr>
    <w:r>
      <w:rPr>
        <w:rFonts w:ascii="Century Gothic" w:hAnsi="Century Gothic"/>
        <w:b/>
      </w:rPr>
      <w:t>COMISIÓN PRIMERA DE GOBERNACIÓN Y PUNTOS CONSTITUCIONALES</w:t>
    </w:r>
  </w:p>
  <w:p w:rsidR="00854C69" w:rsidRDefault="008B2171" w:rsidP="002F2D50">
    <w:pPr>
      <w:pStyle w:val="Encabezado"/>
      <w:jc w:val="right"/>
      <w:rPr>
        <w:rFonts w:ascii="Century Gothic" w:hAnsi="Century Gothic"/>
        <w:sz w:val="18"/>
        <w:szCs w:val="18"/>
      </w:rPr>
    </w:pPr>
  </w:p>
  <w:p w:rsidR="008E0A13" w:rsidRDefault="008E0A13" w:rsidP="002F2D50">
    <w:pPr>
      <w:pStyle w:val="Encabezado"/>
      <w:jc w:val="right"/>
      <w:rPr>
        <w:rFonts w:ascii="Century Gothic" w:hAnsi="Century Gothic"/>
        <w:b/>
      </w:rPr>
    </w:pPr>
  </w:p>
  <w:p w:rsidR="008E0A13" w:rsidRDefault="008E0A13" w:rsidP="002F2D50">
    <w:pPr>
      <w:pStyle w:val="Encabezado"/>
      <w:jc w:val="right"/>
      <w:rPr>
        <w:rFonts w:ascii="Century Gothic" w:hAnsi="Century Gothic"/>
        <w:b/>
      </w:rPr>
    </w:pPr>
  </w:p>
  <w:p w:rsidR="00854C69" w:rsidRDefault="00B203DB" w:rsidP="002F2D50">
    <w:pPr>
      <w:pStyle w:val="Encabezado"/>
      <w:jc w:val="right"/>
      <w:rPr>
        <w:rFonts w:ascii="Century Gothic" w:hAnsi="Century Gothic"/>
        <w:b/>
      </w:rPr>
    </w:pPr>
    <w:r>
      <w:rPr>
        <w:rFonts w:ascii="Century Gothic" w:hAnsi="Century Gothic"/>
        <w:b/>
      </w:rPr>
      <w:t>LXVI LEGISLATURA</w:t>
    </w:r>
  </w:p>
  <w:p w:rsidR="00854C69" w:rsidRPr="000A6C7D" w:rsidRDefault="008E0A13" w:rsidP="002F2D50">
    <w:pPr>
      <w:pStyle w:val="Encabezado"/>
      <w:jc w:val="right"/>
      <w:rPr>
        <w:rFonts w:ascii="Century Gothic" w:hAnsi="Century Gothic"/>
        <w:b/>
      </w:rPr>
    </w:pPr>
    <w:r>
      <w:rPr>
        <w:rFonts w:ascii="Century Gothic" w:hAnsi="Century Gothic"/>
        <w:b/>
      </w:rPr>
      <w:t>DCPGPC/14</w:t>
    </w:r>
    <w:r w:rsidR="00B203DB">
      <w:rPr>
        <w:rFonts w:ascii="Century Gothic" w:hAnsi="Century Gothic"/>
        <w:b/>
      </w:rPr>
      <w:t>/2019</w:t>
    </w:r>
  </w:p>
  <w:p w:rsidR="00854C69" w:rsidRPr="002B1678" w:rsidRDefault="008B2171" w:rsidP="002F2D50">
    <w:pPr>
      <w:pStyle w:val="Encabezado"/>
    </w:pPr>
  </w:p>
  <w:p w:rsidR="00854C69" w:rsidRDefault="008B2171" w:rsidP="002F2D50">
    <w:pPr>
      <w:pStyle w:val="Encabezado"/>
      <w:jc w:val="right"/>
    </w:pPr>
  </w:p>
  <w:p w:rsidR="00854C69" w:rsidRPr="002F2D50" w:rsidRDefault="008B2171" w:rsidP="002F2D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4DB5"/>
    <w:multiLevelType w:val="hybridMultilevel"/>
    <w:tmpl w:val="CF1620D6"/>
    <w:lvl w:ilvl="0" w:tplc="9600092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66EE7A49"/>
    <w:multiLevelType w:val="hybridMultilevel"/>
    <w:tmpl w:val="1506F9E2"/>
    <w:lvl w:ilvl="0" w:tplc="2974987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DB"/>
    <w:rsid w:val="0002788C"/>
    <w:rsid w:val="00053433"/>
    <w:rsid w:val="00165772"/>
    <w:rsid w:val="00207A7B"/>
    <w:rsid w:val="0025275E"/>
    <w:rsid w:val="00286761"/>
    <w:rsid w:val="0039306E"/>
    <w:rsid w:val="003A0E84"/>
    <w:rsid w:val="003B1B0B"/>
    <w:rsid w:val="003D2AAD"/>
    <w:rsid w:val="004930CF"/>
    <w:rsid w:val="004D2F89"/>
    <w:rsid w:val="00500204"/>
    <w:rsid w:val="005E1A6D"/>
    <w:rsid w:val="006B7617"/>
    <w:rsid w:val="00735F99"/>
    <w:rsid w:val="00794493"/>
    <w:rsid w:val="00794EB2"/>
    <w:rsid w:val="00864C23"/>
    <w:rsid w:val="008865A4"/>
    <w:rsid w:val="008B2171"/>
    <w:rsid w:val="008E0A13"/>
    <w:rsid w:val="008E5632"/>
    <w:rsid w:val="00947EF7"/>
    <w:rsid w:val="00957367"/>
    <w:rsid w:val="00976233"/>
    <w:rsid w:val="00A40B41"/>
    <w:rsid w:val="00B203DB"/>
    <w:rsid w:val="00B41C51"/>
    <w:rsid w:val="00B6638D"/>
    <w:rsid w:val="00B72BA5"/>
    <w:rsid w:val="00C33C86"/>
    <w:rsid w:val="00C52928"/>
    <w:rsid w:val="00C57FD4"/>
    <w:rsid w:val="00D61BCE"/>
    <w:rsid w:val="00D67962"/>
    <w:rsid w:val="00DE452D"/>
    <w:rsid w:val="00F043E5"/>
    <w:rsid w:val="00F54390"/>
    <w:rsid w:val="00F65068"/>
    <w:rsid w:val="00F87A46"/>
    <w:rsid w:val="00FD6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09560-AFF0-41D1-B5AB-DA678DC5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03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3DB"/>
  </w:style>
  <w:style w:type="paragraph" w:styleId="Encabezado">
    <w:name w:val="header"/>
    <w:basedOn w:val="Normal"/>
    <w:link w:val="EncabezadoCar"/>
    <w:uiPriority w:val="99"/>
    <w:unhideWhenUsed/>
    <w:rsid w:val="00B203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3DB"/>
  </w:style>
  <w:style w:type="paragraph" w:styleId="Textodeglobo">
    <w:name w:val="Balloon Text"/>
    <w:basedOn w:val="Normal"/>
    <w:link w:val="TextodegloboCar"/>
    <w:uiPriority w:val="99"/>
    <w:semiHidden/>
    <w:unhideWhenUsed/>
    <w:rsid w:val="008E0A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diputados/TimThumb.php?src=imagenes/fotos/1188.jpg&amp;w=260&amp;h=280&amp;zc=1"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congresochihuahua.gob.mx/diputados/TimThumb.php?src=imagenes/fotos/1201.jpg&amp;w=260&amp;h=280&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diputados/TimThumb.php?src=imagenes/fotos/1202.jpg&amp;w=260&amp;h=280&amp;zc=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congresochihuahua.gob.mx/diputados/TimThumb.php?src=imagenes/fotos/1205.jpg&amp;w=260&amp;h=280&amp;z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ongresochihuahua.gob.mx/diputados/TimThumb.php?src=imagenes/fotos/1200.jpg&amp;w=260&amp;h=280&amp;zc=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2280</Words>
  <Characters>12546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Usuario de Windows</cp:lastModifiedBy>
  <cp:revision>2</cp:revision>
  <cp:lastPrinted>2019-09-25T16:34:00Z</cp:lastPrinted>
  <dcterms:created xsi:type="dcterms:W3CDTF">2020-09-02T04:28:00Z</dcterms:created>
  <dcterms:modified xsi:type="dcterms:W3CDTF">2020-09-02T04:28:00Z</dcterms:modified>
</cp:coreProperties>
</file>