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91" w:rsidRPr="008D2A24" w:rsidRDefault="00D70291" w:rsidP="00D70291">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D70291" w:rsidRPr="008D2A24" w:rsidRDefault="00D70291" w:rsidP="00D70291">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D70291" w:rsidRPr="008D2A24" w:rsidRDefault="00D70291" w:rsidP="00D70291">
      <w:pPr>
        <w:spacing w:after="0" w:line="360" w:lineRule="auto"/>
        <w:jc w:val="both"/>
        <w:rPr>
          <w:rFonts w:ascii="Century Gothic" w:eastAsia="Times New Roman" w:hAnsi="Century Gothic" w:cs="Arial"/>
          <w:sz w:val="24"/>
          <w:szCs w:val="24"/>
          <w:lang w:val="es-ES" w:eastAsia="es-ES_tradnl"/>
        </w:rPr>
      </w:pPr>
    </w:p>
    <w:p w:rsidR="00D70291" w:rsidRPr="008D2A24" w:rsidRDefault="00D70291" w:rsidP="00D70291">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w:t>
      </w:r>
      <w:r w:rsidR="00654408">
        <w:rPr>
          <w:rFonts w:ascii="Century Gothic" w:eastAsia="Times New Roman" w:hAnsi="Century Gothic" w:cs="Arial"/>
          <w:sz w:val="24"/>
          <w:szCs w:val="24"/>
          <w:lang w:val="es-ES_tradnl" w:eastAsia="es-ES_tradnl"/>
        </w:rPr>
        <w:t>,</w:t>
      </w:r>
      <w:r w:rsidRPr="008D2A24">
        <w:rPr>
          <w:rFonts w:ascii="Century Gothic" w:eastAsia="Times New Roman" w:hAnsi="Century Gothic" w:cs="Arial"/>
          <w:sz w:val="24"/>
          <w:szCs w:val="24"/>
          <w:lang w:val="es-ES_tradnl" w:eastAsia="es-ES_tradnl"/>
        </w:rPr>
        <w:t xml:space="preserve">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D70291" w:rsidRPr="008D2A24" w:rsidRDefault="00D70291" w:rsidP="00D70291">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D70291" w:rsidRPr="008D2A24" w:rsidRDefault="00D70291" w:rsidP="00D70291">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D70291" w:rsidRPr="008D2A24" w:rsidRDefault="00D70291" w:rsidP="00D70291">
      <w:pPr>
        <w:spacing w:after="0" w:line="360" w:lineRule="auto"/>
        <w:jc w:val="center"/>
        <w:rPr>
          <w:rFonts w:ascii="Century Gothic" w:eastAsia="Times New Roman" w:hAnsi="Century Gothic" w:cs="Arial"/>
          <w:b/>
          <w:sz w:val="24"/>
          <w:szCs w:val="24"/>
          <w:lang w:val="es-ES" w:eastAsia="es-ES_tradnl"/>
        </w:rPr>
      </w:pPr>
    </w:p>
    <w:p w:rsidR="00D70291" w:rsidRDefault="00D70291" w:rsidP="00D70291">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Con fecha</w:t>
      </w:r>
      <w:r w:rsidRPr="008D2A24">
        <w:rPr>
          <w:rFonts w:ascii="Century Gothic" w:eastAsia="Times New Roman" w:hAnsi="Century Gothic" w:cs="Arial"/>
          <w:sz w:val="24"/>
          <w:szCs w:val="24"/>
          <w:lang w:eastAsia="es-ES_tradnl"/>
        </w:rPr>
        <w:t xml:space="preserve"> </w:t>
      </w:r>
      <w:r w:rsidR="00D0634C">
        <w:rPr>
          <w:rFonts w:ascii="Century Gothic" w:eastAsia="Times New Roman" w:hAnsi="Century Gothic" w:cs="Arial"/>
          <w:sz w:val="24"/>
          <w:szCs w:val="24"/>
          <w:lang w:eastAsia="es-ES_tradnl"/>
        </w:rPr>
        <w:t>18 de junio</w:t>
      </w:r>
      <w:r>
        <w:rPr>
          <w:rFonts w:ascii="Century Gothic" w:eastAsia="Times New Roman" w:hAnsi="Century Gothic" w:cs="Arial"/>
          <w:sz w:val="24"/>
          <w:szCs w:val="24"/>
          <w:lang w:eastAsia="es-ES_tradnl"/>
        </w:rPr>
        <w:t xml:space="preserve"> del 2020</w:t>
      </w:r>
      <w:r w:rsidRPr="008D2A24">
        <w:rPr>
          <w:rFonts w:ascii="Century Gothic" w:eastAsia="Times New Roman" w:hAnsi="Century Gothic" w:cs="Arial"/>
          <w:sz w:val="24"/>
          <w:szCs w:val="24"/>
          <w:lang w:val="es-ES_tradnl" w:eastAsia="es-ES_tradnl"/>
        </w:rPr>
        <w:t xml:space="preserve">, </w:t>
      </w:r>
      <w:r w:rsidR="00D0634C">
        <w:rPr>
          <w:rFonts w:ascii="Century Gothic" w:eastAsia="Times New Roman" w:hAnsi="Century Gothic" w:cs="Arial"/>
          <w:sz w:val="24"/>
          <w:szCs w:val="24"/>
          <w:lang w:val="es-ES_tradnl" w:eastAsia="es-ES_tradnl"/>
        </w:rPr>
        <w:t>los d</w:t>
      </w:r>
      <w:r>
        <w:rPr>
          <w:rFonts w:ascii="Century Gothic" w:eastAsia="Times New Roman" w:hAnsi="Century Gothic" w:cs="Arial"/>
          <w:sz w:val="24"/>
          <w:szCs w:val="24"/>
          <w:lang w:val="es-ES_tradnl" w:eastAsia="es-ES_tradnl"/>
        </w:rPr>
        <w:t>iputado</w:t>
      </w:r>
      <w:r w:rsidR="00D0634C">
        <w:rPr>
          <w:rFonts w:ascii="Century Gothic" w:eastAsia="Times New Roman" w:hAnsi="Century Gothic" w:cs="Arial"/>
          <w:sz w:val="24"/>
          <w:szCs w:val="24"/>
          <w:lang w:val="es-ES_tradnl" w:eastAsia="es-ES_tradnl"/>
        </w:rPr>
        <w:t>s Fernando Álvarez Monje y Miguel Francisco La Torre Sáenz</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integrantes del Grupo Parlamentario del Partido</w:t>
      </w:r>
      <w:r w:rsidR="00D0634C">
        <w:rPr>
          <w:rFonts w:ascii="Century Gothic" w:eastAsia="Times New Roman" w:hAnsi="Century Gothic" w:cs="Arial"/>
          <w:sz w:val="24"/>
          <w:szCs w:val="24"/>
          <w:lang w:val="es-ES_tradnl" w:eastAsia="es-ES_tradnl"/>
        </w:rPr>
        <w:t xml:space="preserve"> Acción Nacional</w:t>
      </w:r>
      <w:r>
        <w:rPr>
          <w:rFonts w:ascii="Century Gothic" w:eastAsia="Times New Roman" w:hAnsi="Century Gothic" w:cs="Arial"/>
          <w:sz w:val="24"/>
          <w:szCs w:val="24"/>
          <w:lang w:val="es-ES_tradnl" w:eastAsia="es-ES_tradnl"/>
        </w:rPr>
        <w:t xml:space="preserve">, presentaron iniciativa con carácter de decreto a efecto de </w:t>
      </w:r>
      <w:r w:rsidR="00D0634C">
        <w:rPr>
          <w:rFonts w:ascii="Century Gothic" w:eastAsia="Times New Roman" w:hAnsi="Century Gothic" w:cs="Arial"/>
          <w:sz w:val="24"/>
          <w:szCs w:val="24"/>
          <w:lang w:val="es-ES_tradnl" w:eastAsia="es-ES_tradnl"/>
        </w:rPr>
        <w:t xml:space="preserve">reformar y adicionar diversas disposiciones del artículo 28 de la Ley Electoral del Estado de Chihuahua, a fin de ampliar el financiamiento privado a los partidos políticos. </w:t>
      </w:r>
    </w:p>
    <w:p w:rsidR="00D0634C" w:rsidRPr="008D2A24" w:rsidRDefault="00D0634C" w:rsidP="00D70291">
      <w:pPr>
        <w:spacing w:after="0" w:line="360" w:lineRule="auto"/>
        <w:jc w:val="both"/>
        <w:rPr>
          <w:rFonts w:ascii="Century Gothic" w:eastAsia="Times New Roman" w:hAnsi="Century Gothic" w:cs="Arial"/>
          <w:sz w:val="24"/>
          <w:szCs w:val="24"/>
          <w:lang w:val="es-ES_tradnl" w:eastAsia="es-ES_tradnl"/>
        </w:rPr>
      </w:pPr>
    </w:p>
    <w:p w:rsidR="00D70291" w:rsidRPr="00A85258" w:rsidRDefault="00D70291" w:rsidP="00D70291">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Pr="008D2A24">
        <w:rPr>
          <w:rFonts w:ascii="Century Gothic" w:eastAsia="Times New Roman" w:hAnsi="Century Gothic" w:cs="Arial"/>
          <w:color w:val="000000"/>
          <w:sz w:val="24"/>
          <w:szCs w:val="24"/>
          <w:lang w:val="es-ES" w:eastAsia="es-MX"/>
        </w:rPr>
        <w:t xml:space="preserve">La Presidencia del H. Congreso del Estado, </w:t>
      </w:r>
      <w:r w:rsidR="00D0634C">
        <w:rPr>
          <w:rFonts w:ascii="Century Gothic" w:eastAsia="Times New Roman" w:hAnsi="Century Gothic" w:cs="Arial"/>
          <w:color w:val="000000"/>
          <w:sz w:val="24"/>
          <w:szCs w:val="24"/>
          <w:lang w:val="es-ES" w:eastAsia="es-MX"/>
        </w:rPr>
        <w:t>en la misma fecha referida en el antecedente I,</w:t>
      </w:r>
      <w:r>
        <w:rPr>
          <w:rFonts w:ascii="Century Gothic" w:eastAsia="Times New Roman" w:hAnsi="Century Gothic" w:cs="Arial"/>
          <w:color w:val="000000"/>
          <w:sz w:val="24"/>
          <w:szCs w:val="24"/>
          <w:lang w:val="es-ES" w:eastAsia="es-MX"/>
        </w:rPr>
        <w:t xml:space="preserve"> </w:t>
      </w:r>
      <w:r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8D2A2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D70291" w:rsidRPr="008D2A24" w:rsidRDefault="00D70291" w:rsidP="00D70291">
      <w:pPr>
        <w:spacing w:after="0" w:line="360" w:lineRule="auto"/>
        <w:jc w:val="both"/>
        <w:rPr>
          <w:rFonts w:ascii="Century Gothic" w:eastAsia="Times New Roman" w:hAnsi="Century Gothic" w:cs="Arial"/>
          <w:sz w:val="24"/>
          <w:szCs w:val="24"/>
          <w:lang w:eastAsia="es-ES_tradnl"/>
        </w:rPr>
      </w:pPr>
    </w:p>
    <w:p w:rsidR="00D70291" w:rsidRDefault="00D70291" w:rsidP="00D70291">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lastRenderedPageBreak/>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BE14F6" w:rsidRDefault="00BE14F6" w:rsidP="00D70291">
      <w:pPr>
        <w:spacing w:after="0" w:line="360" w:lineRule="auto"/>
        <w:jc w:val="both"/>
        <w:rPr>
          <w:rFonts w:ascii="Century Gothic" w:eastAsia="Times New Roman" w:hAnsi="Century Gothic" w:cs="Arial"/>
          <w:bCs/>
          <w:sz w:val="24"/>
          <w:szCs w:val="24"/>
          <w:lang w:val="es-ES_tradnl" w:eastAsia="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Pr>
          <w:rFonts w:ascii="Century Gothic" w:hAnsi="Century Gothic" w:cs="Arial"/>
          <w:b/>
          <w:i/>
          <w:sz w:val="24"/>
          <w:szCs w:val="24"/>
        </w:rPr>
        <w:t>“</w:t>
      </w:r>
      <w:r w:rsidRPr="00BE14F6">
        <w:rPr>
          <w:rFonts w:ascii="Century Gothic" w:hAnsi="Century Gothic" w:cs="Arial"/>
          <w:b/>
          <w:i/>
          <w:sz w:val="24"/>
          <w:szCs w:val="24"/>
        </w:rPr>
        <w:t>I.-</w:t>
      </w:r>
      <w:r w:rsidRPr="00BE14F6">
        <w:rPr>
          <w:rFonts w:ascii="Century Gothic" w:hAnsi="Century Gothic" w:cs="Arial"/>
          <w:i/>
          <w:sz w:val="24"/>
          <w:szCs w:val="24"/>
        </w:rPr>
        <w:t xml:space="preserve"> Es innegable la importancia que juegan los partidos políticos en la joven y moderna construcción e inacabada democracia de la República Mexicana, no obstante ello se percibe en la población en general una democracia cara por lo oneroso de las campañas y el alto financiamiento que reciben los institutos políticos.</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sidRPr="00BE14F6">
        <w:rPr>
          <w:rFonts w:ascii="Century Gothic" w:hAnsi="Century Gothic" w:cs="Arial"/>
          <w:i/>
          <w:sz w:val="24"/>
          <w:szCs w:val="24"/>
        </w:rPr>
        <w:t xml:space="preserve">Un estudio de investigación sobre el tema, de Jorge </w:t>
      </w:r>
      <w:proofErr w:type="spellStart"/>
      <w:r w:rsidRPr="00BE14F6">
        <w:rPr>
          <w:rFonts w:ascii="Century Gothic" w:hAnsi="Century Gothic" w:cs="Arial"/>
          <w:i/>
          <w:sz w:val="24"/>
          <w:szCs w:val="24"/>
        </w:rPr>
        <w:t>Kristian</w:t>
      </w:r>
      <w:proofErr w:type="spellEnd"/>
      <w:r w:rsidRPr="00BE14F6">
        <w:rPr>
          <w:rFonts w:ascii="Century Gothic" w:hAnsi="Century Gothic" w:cs="Arial"/>
          <w:i/>
          <w:sz w:val="24"/>
          <w:szCs w:val="24"/>
        </w:rPr>
        <w:t xml:space="preserve"> Bernal Moreno, para e Instituto de Investigaciones Jurídicas de la UNAM, nos sugiere: </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Pr>
          <w:rFonts w:ascii="Century Gothic" w:hAnsi="Century Gothic" w:cs="Arial"/>
          <w:i/>
          <w:sz w:val="24"/>
          <w:szCs w:val="24"/>
        </w:rPr>
        <w:t>&lt;</w:t>
      </w:r>
      <w:r w:rsidRPr="00BE14F6">
        <w:rPr>
          <w:rFonts w:ascii="Century Gothic" w:hAnsi="Century Gothic" w:cs="Arial"/>
          <w:i/>
          <w:sz w:val="24"/>
          <w:szCs w:val="24"/>
        </w:rPr>
        <w:t>…Debemos abordar el tema con cautela, además de plantear la posibilidad de una reforma en materia de financiamiento electoral, tomando en consideración sus ventajas, así como las medidas necesarias para reducir al mínimo los riesgos que implica la ponderación de cualquier tipo de financiamiento, sea púb</w:t>
      </w:r>
      <w:r>
        <w:rPr>
          <w:rFonts w:ascii="Century Gothic" w:hAnsi="Century Gothic" w:cs="Arial"/>
          <w:i/>
          <w:sz w:val="24"/>
          <w:szCs w:val="24"/>
        </w:rPr>
        <w:t>lico o privado&gt;</w:t>
      </w:r>
      <w:r w:rsidRPr="00BE14F6">
        <w:rPr>
          <w:rFonts w:ascii="Century Gothic" w:hAnsi="Century Gothic" w:cs="Arial"/>
          <w:i/>
          <w:sz w:val="24"/>
          <w:szCs w:val="24"/>
        </w:rPr>
        <w:t xml:space="preserve">.  </w:t>
      </w:r>
      <w:r w:rsidRPr="00BE14F6">
        <w:rPr>
          <w:rStyle w:val="Refdenotaalpie"/>
          <w:rFonts w:ascii="Century Gothic" w:hAnsi="Century Gothic" w:cs="Arial"/>
          <w:i/>
          <w:sz w:val="24"/>
          <w:szCs w:val="24"/>
        </w:rPr>
        <w:footnoteReference w:id="1"/>
      </w:r>
    </w:p>
    <w:p w:rsidR="00BE14F6" w:rsidRPr="00BE14F6" w:rsidRDefault="00BE14F6" w:rsidP="00BE14F6">
      <w:pPr>
        <w:autoSpaceDE w:val="0"/>
        <w:autoSpaceDN w:val="0"/>
        <w:adjustRightInd w:val="0"/>
        <w:spacing w:after="0" w:line="240" w:lineRule="auto"/>
        <w:jc w:val="both"/>
        <w:rPr>
          <w:rFonts w:ascii="Century Gothic" w:hAnsi="Century Gothic" w:cs="Arial"/>
          <w:bCs/>
          <w:i/>
          <w:sz w:val="24"/>
          <w:szCs w:val="24"/>
          <w:highlight w:val="yellow"/>
        </w:rPr>
      </w:pPr>
    </w:p>
    <w:p w:rsidR="00BE14F6" w:rsidRPr="00BE14F6" w:rsidRDefault="00BE14F6" w:rsidP="00BE14F6">
      <w:pPr>
        <w:autoSpaceDE w:val="0"/>
        <w:autoSpaceDN w:val="0"/>
        <w:adjustRightInd w:val="0"/>
        <w:spacing w:after="0" w:line="360" w:lineRule="auto"/>
        <w:ind w:left="284"/>
        <w:jc w:val="both"/>
        <w:rPr>
          <w:rFonts w:ascii="Century Gothic" w:hAnsi="Century Gothic" w:cs="Arial"/>
          <w:i/>
          <w:sz w:val="24"/>
          <w:szCs w:val="24"/>
          <w:lang w:val="es-ES_tradnl"/>
        </w:rPr>
      </w:pPr>
      <w:r w:rsidRPr="00BE14F6">
        <w:rPr>
          <w:rFonts w:ascii="Century Gothic" w:hAnsi="Century Gothic" w:cs="Arial"/>
          <w:bCs/>
          <w:i/>
          <w:sz w:val="24"/>
          <w:szCs w:val="24"/>
        </w:rPr>
        <w:t xml:space="preserve">Ante este H. Congreso del Estado se han presentado- en la presente legislatura-  distintas iniciativas que tienen como propósito en general la reducción e incluso la eliminación del financiamiento público a los partidos políticos, pero nadie ha presentado alguna alternativa para que los partidos políticos estén en aptitud de cumplir con el mandato constitucional, además de proponer la forma de sostener sus actividades ordinarias permanentes, actividades específicas </w:t>
      </w:r>
      <w:r w:rsidRPr="00BE14F6">
        <w:rPr>
          <w:rFonts w:ascii="Century Gothic" w:hAnsi="Century Gothic" w:cs="Arial"/>
          <w:b/>
          <w:bCs/>
          <w:i/>
          <w:sz w:val="24"/>
          <w:szCs w:val="24"/>
        </w:rPr>
        <w:t>(de educación, capacitación, investigación y tareas editoriales),</w:t>
      </w:r>
      <w:r w:rsidRPr="00BE14F6">
        <w:rPr>
          <w:rFonts w:ascii="Century Gothic" w:hAnsi="Century Gothic" w:cs="Arial"/>
          <w:bCs/>
          <w:i/>
          <w:sz w:val="24"/>
          <w:szCs w:val="24"/>
        </w:rPr>
        <w:t xml:space="preserve"> el sostenimiento de sus campañas. No debo pasar por alto que en la actualidad los candidato</w:t>
      </w:r>
      <w:r>
        <w:rPr>
          <w:rFonts w:ascii="Century Gothic" w:hAnsi="Century Gothic" w:cs="Arial"/>
          <w:bCs/>
          <w:i/>
          <w:sz w:val="24"/>
          <w:szCs w:val="24"/>
        </w:rPr>
        <w:t>s</w:t>
      </w:r>
      <w:r w:rsidRPr="00BE14F6">
        <w:rPr>
          <w:rFonts w:ascii="Century Gothic" w:hAnsi="Century Gothic" w:cs="Arial"/>
          <w:bCs/>
          <w:i/>
          <w:sz w:val="24"/>
          <w:szCs w:val="24"/>
        </w:rPr>
        <w:t xml:space="preserve"> </w:t>
      </w:r>
      <w:proofErr w:type="gramStart"/>
      <w:r w:rsidRPr="00BE14F6">
        <w:rPr>
          <w:rFonts w:ascii="Century Gothic" w:hAnsi="Century Gothic" w:cs="Arial"/>
          <w:bCs/>
          <w:i/>
          <w:sz w:val="24"/>
          <w:szCs w:val="24"/>
        </w:rPr>
        <w:t xml:space="preserve">independientes  </w:t>
      </w:r>
      <w:r w:rsidRPr="00BE14F6">
        <w:rPr>
          <w:rFonts w:ascii="Century Gothic" w:hAnsi="Century Gothic" w:cs="Arial"/>
          <w:bCs/>
          <w:i/>
          <w:sz w:val="24"/>
          <w:szCs w:val="24"/>
        </w:rPr>
        <w:lastRenderedPageBreak/>
        <w:t>también</w:t>
      </w:r>
      <w:proofErr w:type="gramEnd"/>
      <w:r w:rsidRPr="00BE14F6">
        <w:rPr>
          <w:rFonts w:ascii="Century Gothic" w:hAnsi="Century Gothic" w:cs="Arial"/>
          <w:bCs/>
          <w:i/>
          <w:sz w:val="24"/>
          <w:szCs w:val="24"/>
        </w:rPr>
        <w:t xml:space="preserve"> tienen como prerrogativa y derecho </w:t>
      </w:r>
      <w:proofErr w:type="spellStart"/>
      <w:r w:rsidRPr="00BE14F6">
        <w:rPr>
          <w:rFonts w:ascii="Century Gothic" w:hAnsi="Century Gothic" w:cs="Arial"/>
          <w:bCs/>
          <w:i/>
          <w:sz w:val="24"/>
          <w:szCs w:val="24"/>
        </w:rPr>
        <w:t>ob</w:t>
      </w:r>
      <w:proofErr w:type="spellEnd"/>
      <w:r w:rsidRPr="00BE14F6">
        <w:rPr>
          <w:rFonts w:ascii="Century Gothic" w:hAnsi="Century Gothic" w:cs="Arial"/>
          <w:i/>
          <w:sz w:val="24"/>
          <w:szCs w:val="24"/>
          <w:lang w:val="es-ES_tradnl"/>
        </w:rPr>
        <w:t xml:space="preserve">tener tanto financiamiento público como privado, de conformidad por lo estipulado en el artículo 24 de la Ley Electoral del Estado.     </w:t>
      </w:r>
    </w:p>
    <w:p w:rsidR="00BE14F6" w:rsidRPr="00BE14F6" w:rsidRDefault="00BE14F6" w:rsidP="00BE14F6">
      <w:pPr>
        <w:autoSpaceDE w:val="0"/>
        <w:autoSpaceDN w:val="0"/>
        <w:adjustRightInd w:val="0"/>
        <w:spacing w:after="0" w:line="360" w:lineRule="auto"/>
        <w:jc w:val="both"/>
        <w:rPr>
          <w:rFonts w:ascii="Century Gothic" w:hAnsi="Century Gothic" w:cs="Arial"/>
          <w:i/>
          <w:sz w:val="24"/>
          <w:szCs w:val="24"/>
          <w:lang w:val="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
        </w:rPr>
      </w:pPr>
      <w:r w:rsidRPr="00BE14F6">
        <w:rPr>
          <w:rFonts w:ascii="Century Gothic" w:hAnsi="Century Gothic" w:cs="Arial"/>
          <w:b/>
          <w:i/>
          <w:sz w:val="24"/>
          <w:szCs w:val="24"/>
        </w:rPr>
        <w:t>II.-</w:t>
      </w:r>
      <w:r w:rsidRPr="00BE14F6">
        <w:rPr>
          <w:rFonts w:ascii="Century Gothic" w:hAnsi="Century Gothic" w:cs="Arial"/>
          <w:i/>
          <w:sz w:val="24"/>
          <w:szCs w:val="24"/>
        </w:rPr>
        <w:t xml:space="preserve"> El artículo 41 Constitucional, enmarcado en el capítulo </w:t>
      </w:r>
      <w:r>
        <w:rPr>
          <w:rFonts w:ascii="Century Gothic" w:hAnsi="Century Gothic" w:cs="Arial"/>
          <w:i/>
          <w:sz w:val="24"/>
          <w:szCs w:val="24"/>
        </w:rPr>
        <w:t>&lt;</w:t>
      </w:r>
      <w:r w:rsidRPr="00BE14F6">
        <w:rPr>
          <w:rFonts w:ascii="Century Gothic" w:hAnsi="Century Gothic" w:cs="Arial"/>
          <w:i/>
          <w:sz w:val="24"/>
          <w:szCs w:val="24"/>
        </w:rPr>
        <w:t xml:space="preserve">De la Soberanía </w:t>
      </w:r>
      <w:r>
        <w:rPr>
          <w:rFonts w:ascii="Century Gothic" w:hAnsi="Century Gothic" w:cs="Arial"/>
          <w:i/>
          <w:sz w:val="24"/>
          <w:szCs w:val="24"/>
        </w:rPr>
        <w:t>Nacional y la Forma de Gobierno&gt;</w:t>
      </w:r>
      <w:r w:rsidRPr="00BE14F6">
        <w:rPr>
          <w:rFonts w:ascii="Century Gothic" w:hAnsi="Century Gothic" w:cs="Arial"/>
          <w:i/>
          <w:sz w:val="24"/>
          <w:szCs w:val="24"/>
        </w:rPr>
        <w:t>, entre otros aspectos, establece: Que l</w:t>
      </w:r>
      <w:r w:rsidRPr="00BE14F6">
        <w:rPr>
          <w:rFonts w:ascii="Century Gothic" w:hAnsi="Century Gothic" w:cs="Arial"/>
          <w:bCs/>
          <w:i/>
          <w:sz w:val="24"/>
          <w:szCs w:val="24"/>
        </w:rPr>
        <w:t xml:space="preserve">os partidos políticos son entidades de interés público; la ley determinará los derechos, obligaciones y prerrogativas que les corresponden; que los partidos políticos </w:t>
      </w:r>
      <w:r w:rsidRPr="00BE14F6">
        <w:rPr>
          <w:rFonts w:ascii="Century Gothic" w:hAnsi="Century Gothic" w:cs="Arial"/>
          <w:i/>
          <w:sz w:val="24"/>
          <w:szCs w:val="24"/>
          <w:lang w:val="es-ES_tradnl"/>
        </w:rPr>
        <w:t>nacionales tienen derecho a participar en las elecciones de las entidades federativas y municipales; que l</w:t>
      </w:r>
      <w:r w:rsidRPr="00BE14F6">
        <w:rPr>
          <w:rFonts w:ascii="Century Gothic" w:hAnsi="Century Gothic" w:cs="Arial"/>
          <w:i/>
          <w:sz w:val="24"/>
          <w:szCs w:val="24"/>
        </w:rPr>
        <w:t>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que l</w:t>
      </w:r>
      <w:r w:rsidRPr="00BE14F6">
        <w:rPr>
          <w:rFonts w:ascii="Century Gothic" w:hAnsi="Century Gothic" w:cs="Arial"/>
          <w:i/>
          <w:sz w:val="24"/>
          <w:szCs w:val="24"/>
          <w:lang w:val="es-ES_tradnl"/>
        </w:rPr>
        <w:t xml:space="preserve">a ley fijará los límites a las erogaciones en los procesos internos de selección de candidatos y en las campañas electorales, establecerá el monto máximo que tendrán las aportaciones de sus militantes y simpatizantes. </w:t>
      </w:r>
    </w:p>
    <w:p w:rsidR="00BE14F6" w:rsidRPr="00BE14F6" w:rsidRDefault="00BE14F6" w:rsidP="00BE14F6">
      <w:pPr>
        <w:autoSpaceDE w:val="0"/>
        <w:autoSpaceDN w:val="0"/>
        <w:adjustRightInd w:val="0"/>
        <w:spacing w:line="360" w:lineRule="auto"/>
        <w:jc w:val="both"/>
        <w:rPr>
          <w:rFonts w:ascii="Century Gothic" w:hAnsi="Century Gothic" w:cs="Arial"/>
          <w:i/>
          <w:sz w:val="24"/>
          <w:szCs w:val="24"/>
        </w:rPr>
      </w:pPr>
    </w:p>
    <w:p w:rsid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r w:rsidRPr="00BE14F6">
        <w:rPr>
          <w:rFonts w:ascii="Century Gothic" w:hAnsi="Century Gothic" w:cs="Arial"/>
          <w:i/>
          <w:sz w:val="24"/>
          <w:szCs w:val="24"/>
        </w:rPr>
        <w:t xml:space="preserve">Por su parte la Ley General de Partidos Políticos, en el </w:t>
      </w:r>
      <w:r>
        <w:rPr>
          <w:rFonts w:ascii="Century Gothic" w:hAnsi="Century Gothic" w:cs="Arial"/>
          <w:i/>
          <w:sz w:val="24"/>
          <w:szCs w:val="24"/>
        </w:rPr>
        <w:t>&lt;</w:t>
      </w:r>
      <w:r>
        <w:rPr>
          <w:rFonts w:ascii="Century Gothic" w:hAnsi="Century Gothic" w:cs="Arial"/>
          <w:b/>
          <w:i/>
          <w:sz w:val="24"/>
          <w:szCs w:val="24"/>
        </w:rPr>
        <w:t>CAPÍTULO III&gt;</w:t>
      </w:r>
      <w:r w:rsidRPr="00BE14F6">
        <w:rPr>
          <w:rFonts w:ascii="Century Gothic" w:hAnsi="Century Gothic" w:cs="Arial"/>
          <w:b/>
          <w:i/>
          <w:sz w:val="24"/>
          <w:szCs w:val="24"/>
        </w:rPr>
        <w:t xml:space="preserve"> </w:t>
      </w:r>
      <w:r w:rsidRPr="00BE14F6">
        <w:rPr>
          <w:rFonts w:ascii="Century Gothic" w:hAnsi="Century Gothic" w:cs="Arial"/>
          <w:i/>
          <w:sz w:val="24"/>
          <w:szCs w:val="24"/>
        </w:rPr>
        <w:t xml:space="preserve">denominado </w:t>
      </w:r>
      <w:r>
        <w:rPr>
          <w:rFonts w:ascii="Century Gothic" w:hAnsi="Century Gothic" w:cs="Arial"/>
          <w:i/>
          <w:sz w:val="24"/>
          <w:szCs w:val="24"/>
        </w:rPr>
        <w:t>&lt;</w:t>
      </w:r>
      <w:r w:rsidRPr="00BE14F6">
        <w:rPr>
          <w:rFonts w:ascii="Century Gothic" w:hAnsi="Century Gothic" w:cs="Arial"/>
          <w:b/>
          <w:i/>
          <w:sz w:val="24"/>
          <w:szCs w:val="24"/>
          <w:lang w:val="es-ES_tradnl"/>
        </w:rPr>
        <w:t>De los Derechos y Obligac</w:t>
      </w:r>
      <w:r>
        <w:rPr>
          <w:rFonts w:ascii="Century Gothic" w:hAnsi="Century Gothic" w:cs="Arial"/>
          <w:b/>
          <w:i/>
          <w:sz w:val="24"/>
          <w:szCs w:val="24"/>
          <w:lang w:val="es-ES_tradnl"/>
        </w:rPr>
        <w:t>iones de los Partidos Políticos&gt;</w:t>
      </w:r>
      <w:r w:rsidRPr="00BE14F6">
        <w:rPr>
          <w:rFonts w:ascii="Century Gothic" w:hAnsi="Century Gothic" w:cs="Arial"/>
          <w:b/>
          <w:i/>
          <w:sz w:val="24"/>
          <w:szCs w:val="24"/>
          <w:lang w:val="es-ES_tradnl"/>
        </w:rPr>
        <w:t xml:space="preserve">, </w:t>
      </w:r>
      <w:r w:rsidRPr="00BE14F6">
        <w:rPr>
          <w:rFonts w:ascii="Century Gothic" w:hAnsi="Century Gothic" w:cs="Arial"/>
          <w:i/>
          <w:sz w:val="24"/>
          <w:szCs w:val="24"/>
          <w:lang w:val="es-ES_tradnl"/>
        </w:rPr>
        <w:t xml:space="preserve">establece entre los derechos de los partidos políticos acceder a las prerrogativas y recibir el financiamiento público, además se consigna la regla de que en las entidades federativas donde exista financiamiento local para los partidos políticos nacionales </w:t>
      </w:r>
      <w:r w:rsidRPr="00BE14F6">
        <w:rPr>
          <w:rFonts w:ascii="Century Gothic" w:hAnsi="Century Gothic" w:cs="Arial"/>
          <w:i/>
          <w:sz w:val="24"/>
          <w:szCs w:val="24"/>
          <w:lang w:val="es-ES_tradnl"/>
        </w:rPr>
        <w:lastRenderedPageBreak/>
        <w:t xml:space="preserve">que participen en las elecciones locales de la entidad, las leyes locales no podrán establecer limitaciones a dicho financiamiento, ni reducirlo por el financiamiento que reciban de sus dirigencias nacionales. </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p>
    <w:p w:rsid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r w:rsidRPr="00BE14F6">
        <w:rPr>
          <w:rFonts w:ascii="Century Gothic" w:hAnsi="Century Gothic" w:cs="Arial"/>
          <w:i/>
          <w:sz w:val="24"/>
          <w:szCs w:val="24"/>
          <w:lang w:val="es-ES_tradnl"/>
        </w:rPr>
        <w:t xml:space="preserve">Dicho cuerpo normativo, en el </w:t>
      </w:r>
      <w:r>
        <w:rPr>
          <w:rFonts w:ascii="Century Gothic" w:hAnsi="Century Gothic" w:cs="Arial"/>
          <w:i/>
          <w:sz w:val="24"/>
          <w:szCs w:val="24"/>
          <w:lang w:val="es-ES_tradnl"/>
        </w:rPr>
        <w:t>&lt;</w:t>
      </w:r>
      <w:r>
        <w:rPr>
          <w:rFonts w:ascii="Century Gothic" w:hAnsi="Century Gothic" w:cs="Arial"/>
          <w:b/>
          <w:i/>
          <w:sz w:val="24"/>
          <w:szCs w:val="24"/>
          <w:lang w:val="es-ES_tradnl"/>
        </w:rPr>
        <w:t>CAPÍTULO II&gt;</w:t>
      </w:r>
      <w:proofErr w:type="gramStart"/>
      <w:r w:rsidRPr="00BE14F6">
        <w:rPr>
          <w:rFonts w:ascii="Century Gothic" w:hAnsi="Century Gothic" w:cs="Arial"/>
          <w:b/>
          <w:i/>
          <w:sz w:val="24"/>
          <w:szCs w:val="24"/>
          <w:lang w:val="es-ES_tradnl"/>
        </w:rPr>
        <w:t xml:space="preserve">,  </w:t>
      </w:r>
      <w:r w:rsidRPr="00BE14F6">
        <w:rPr>
          <w:rFonts w:ascii="Century Gothic" w:hAnsi="Century Gothic" w:cs="Arial"/>
          <w:i/>
          <w:sz w:val="24"/>
          <w:szCs w:val="24"/>
          <w:lang w:val="es-ES_tradnl"/>
        </w:rPr>
        <w:t>denominado</w:t>
      </w:r>
      <w:proofErr w:type="gramEnd"/>
      <w:r w:rsidRPr="00BE14F6">
        <w:rPr>
          <w:rFonts w:ascii="Century Gothic" w:hAnsi="Century Gothic" w:cs="Arial"/>
          <w:b/>
          <w:i/>
          <w:sz w:val="24"/>
          <w:szCs w:val="24"/>
          <w:lang w:val="es-ES_tradnl"/>
        </w:rPr>
        <w:t xml:space="preserve"> </w:t>
      </w:r>
      <w:r>
        <w:rPr>
          <w:rFonts w:ascii="Century Gothic" w:hAnsi="Century Gothic" w:cs="Arial"/>
          <w:b/>
          <w:i/>
          <w:sz w:val="24"/>
          <w:szCs w:val="24"/>
          <w:lang w:val="es-ES_tradnl"/>
        </w:rPr>
        <w:t>&lt;</w:t>
      </w:r>
      <w:r w:rsidRPr="00BE14F6">
        <w:rPr>
          <w:rFonts w:ascii="Century Gothic" w:hAnsi="Century Gothic" w:cs="Arial"/>
          <w:b/>
          <w:i/>
          <w:sz w:val="24"/>
          <w:szCs w:val="24"/>
          <w:lang w:val="es-ES_tradnl"/>
        </w:rPr>
        <w:t xml:space="preserve">Del Financiamiento </w:t>
      </w:r>
      <w:r>
        <w:rPr>
          <w:rFonts w:ascii="Century Gothic" w:hAnsi="Century Gothic" w:cs="Arial"/>
          <w:b/>
          <w:i/>
          <w:sz w:val="24"/>
          <w:szCs w:val="24"/>
          <w:lang w:val="es-ES_tradnl"/>
        </w:rPr>
        <w:t>Privado&gt;</w:t>
      </w:r>
      <w:r w:rsidRPr="00BE14F6">
        <w:rPr>
          <w:rFonts w:ascii="Century Gothic" w:hAnsi="Century Gothic" w:cs="Arial"/>
          <w:b/>
          <w:i/>
          <w:sz w:val="24"/>
          <w:szCs w:val="24"/>
          <w:lang w:val="es-ES_tradnl"/>
        </w:rPr>
        <w:t xml:space="preserve">, </w:t>
      </w:r>
      <w:r w:rsidRPr="00BE14F6">
        <w:rPr>
          <w:rFonts w:ascii="Century Gothic" w:hAnsi="Century Gothic" w:cs="Arial"/>
          <w:i/>
          <w:sz w:val="24"/>
          <w:szCs w:val="24"/>
          <w:lang w:val="es-ES_tradnl"/>
        </w:rPr>
        <w:t xml:space="preserve">destaca  la posibilidad de  recibir financiamiento que no provenga del erario público, de la siguiente manera: </w:t>
      </w:r>
      <w:r w:rsidRPr="00BE14F6">
        <w:rPr>
          <w:rFonts w:ascii="Century Gothic" w:hAnsi="Century Gothic" w:cs="Arial"/>
          <w:b/>
          <w:i/>
          <w:sz w:val="24"/>
          <w:szCs w:val="24"/>
          <w:lang w:val="es-ES_tradnl"/>
        </w:rPr>
        <w:t>a)</w:t>
      </w:r>
      <w:r w:rsidRPr="00BE14F6">
        <w:rPr>
          <w:rFonts w:ascii="Century Gothic" w:hAnsi="Century Gothic" w:cs="Arial"/>
          <w:i/>
          <w:sz w:val="24"/>
          <w:szCs w:val="24"/>
          <w:lang w:val="es-ES_tradnl"/>
        </w:rPr>
        <w:tab/>
        <w:t xml:space="preserve">Financiamiento por la militancia; </w:t>
      </w:r>
      <w:r w:rsidRPr="00BE14F6">
        <w:rPr>
          <w:rFonts w:ascii="Century Gothic" w:hAnsi="Century Gothic" w:cs="Arial"/>
          <w:b/>
          <w:i/>
          <w:sz w:val="24"/>
          <w:szCs w:val="24"/>
          <w:lang w:val="es-ES_tradnl"/>
        </w:rPr>
        <w:t>b)</w:t>
      </w:r>
      <w:r w:rsidRPr="00BE14F6">
        <w:rPr>
          <w:rFonts w:ascii="Century Gothic" w:hAnsi="Century Gothic" w:cs="Arial"/>
          <w:i/>
          <w:sz w:val="24"/>
          <w:szCs w:val="24"/>
          <w:lang w:val="es-ES_tradnl"/>
        </w:rPr>
        <w:t xml:space="preserve">Financiamiento de simpatizantes; </w:t>
      </w:r>
      <w:r w:rsidRPr="00BE14F6">
        <w:rPr>
          <w:rFonts w:ascii="Century Gothic" w:hAnsi="Century Gothic" w:cs="Arial"/>
          <w:b/>
          <w:i/>
          <w:sz w:val="24"/>
          <w:szCs w:val="24"/>
          <w:lang w:val="es-ES_tradnl"/>
        </w:rPr>
        <w:t xml:space="preserve">c) </w:t>
      </w:r>
      <w:r w:rsidRPr="00BE14F6">
        <w:rPr>
          <w:rFonts w:ascii="Century Gothic" w:hAnsi="Century Gothic" w:cs="Arial"/>
          <w:i/>
          <w:sz w:val="24"/>
          <w:szCs w:val="24"/>
          <w:lang w:val="es-ES_tradnl"/>
        </w:rPr>
        <w:tab/>
        <w:t xml:space="preserve">Autofinanciamiento, y </w:t>
      </w:r>
      <w:r w:rsidRPr="00BE14F6">
        <w:rPr>
          <w:rFonts w:ascii="Century Gothic" w:hAnsi="Century Gothic" w:cs="Arial"/>
          <w:b/>
          <w:i/>
          <w:sz w:val="24"/>
          <w:szCs w:val="24"/>
          <w:lang w:val="es-ES_tradnl"/>
        </w:rPr>
        <w:t>d)</w:t>
      </w:r>
      <w:r w:rsidRPr="00BE14F6">
        <w:rPr>
          <w:rFonts w:ascii="Century Gothic" w:hAnsi="Century Gothic" w:cs="Arial"/>
          <w:i/>
          <w:sz w:val="24"/>
          <w:szCs w:val="24"/>
          <w:lang w:val="es-ES_tradnl"/>
        </w:rPr>
        <w:t xml:space="preserve"> Financiamiento por rendimientos financieros, fondos y fideicomisos. </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r w:rsidRPr="00BE14F6">
        <w:rPr>
          <w:rFonts w:ascii="Century Gothic" w:hAnsi="Century Gothic" w:cs="Arial"/>
          <w:i/>
          <w:sz w:val="24"/>
          <w:szCs w:val="24"/>
          <w:lang w:val="es-ES_tradnl"/>
        </w:rPr>
        <w:t xml:space="preserve">De acuerdo a la Ley General en cita, este financiamiento se ajustará a los siguientes límites anuales:  </w:t>
      </w:r>
      <w:r w:rsidRPr="00BE14F6">
        <w:rPr>
          <w:rFonts w:ascii="Century Gothic" w:hAnsi="Century Gothic" w:cs="Arial"/>
          <w:b/>
          <w:i/>
          <w:sz w:val="24"/>
          <w:szCs w:val="24"/>
          <w:lang w:val="es-ES_tradnl"/>
        </w:rPr>
        <w:t>a)</w:t>
      </w:r>
      <w:r w:rsidRPr="00BE14F6">
        <w:rPr>
          <w:rFonts w:ascii="Century Gothic" w:hAnsi="Century Gothic" w:cs="Arial"/>
          <w:b/>
          <w:i/>
          <w:sz w:val="24"/>
          <w:szCs w:val="24"/>
          <w:lang w:val="es-ES_tradnl"/>
        </w:rPr>
        <w:tab/>
      </w:r>
      <w:r w:rsidRPr="00BE14F6">
        <w:rPr>
          <w:rFonts w:ascii="Century Gothic" w:hAnsi="Century Gothic" w:cs="Arial"/>
          <w:i/>
          <w:sz w:val="24"/>
          <w:szCs w:val="24"/>
          <w:lang w:val="es-ES_tradnl"/>
        </w:rPr>
        <w:t xml:space="preserve">Para el caso de las aportaciones de militantes, el dos por ciento del financiamiento público otorgado a la totalidad de los partidos políticos para el sostenimiento de sus actividades ordinarias y precampañas en el año de que se trate; </w:t>
      </w:r>
      <w:r w:rsidRPr="00BE14F6">
        <w:rPr>
          <w:rFonts w:ascii="Century Gothic" w:hAnsi="Century Gothic" w:cs="Arial"/>
          <w:b/>
          <w:i/>
          <w:sz w:val="24"/>
          <w:szCs w:val="24"/>
          <w:lang w:val="es-ES_tradnl"/>
        </w:rPr>
        <w:t xml:space="preserve">b) </w:t>
      </w:r>
      <w:r w:rsidRPr="00BE14F6">
        <w:rPr>
          <w:rFonts w:ascii="Century Gothic" w:hAnsi="Century Gothic" w:cs="Arial"/>
          <w:i/>
          <w:sz w:val="24"/>
          <w:szCs w:val="24"/>
          <w:lang w:val="es-ES_tradnl"/>
        </w:rPr>
        <w:t xml:space="preserve">Para el caso de las aportaciones de candidatos, así como de simpatizantes durante los procesos electorales, el diez por ciento del tope de gasto para la elección presidencial inmediata anterior, para ser utilizadas en las campañas de sus candidatos; </w:t>
      </w:r>
      <w:r w:rsidRPr="00BE14F6">
        <w:rPr>
          <w:rFonts w:ascii="Century Gothic" w:hAnsi="Century Gothic" w:cs="Arial"/>
          <w:b/>
          <w:i/>
          <w:sz w:val="24"/>
          <w:szCs w:val="24"/>
          <w:lang w:val="es-ES_tradnl"/>
        </w:rPr>
        <w:t>c)</w:t>
      </w:r>
      <w:r w:rsidRPr="00BE14F6">
        <w:rPr>
          <w:rFonts w:ascii="Century Gothic" w:hAnsi="Century Gothic" w:cs="Arial"/>
          <w:b/>
          <w:i/>
          <w:sz w:val="24"/>
          <w:szCs w:val="24"/>
          <w:lang w:val="es-ES_tradnl"/>
        </w:rPr>
        <w:tab/>
      </w:r>
      <w:r w:rsidRPr="00BE14F6">
        <w:rPr>
          <w:rFonts w:ascii="Century Gothic" w:hAnsi="Century Gothic" w:cs="Arial"/>
          <w:i/>
          <w:sz w:val="24"/>
          <w:szCs w:val="24"/>
          <w:lang w:val="es-ES_tradnl"/>
        </w:rPr>
        <w:t xml:space="preserve">Cada partido político, a través del órgano previsto en el artículo 43 inciso c)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r w:rsidRPr="00BE14F6">
        <w:rPr>
          <w:rFonts w:ascii="Century Gothic" w:hAnsi="Century Gothic" w:cs="Arial"/>
          <w:b/>
          <w:i/>
          <w:sz w:val="24"/>
          <w:szCs w:val="24"/>
          <w:lang w:val="es-ES_tradnl"/>
        </w:rPr>
        <w:t>d)</w:t>
      </w:r>
      <w:r w:rsidRPr="00BE14F6">
        <w:rPr>
          <w:rFonts w:ascii="Century Gothic" w:hAnsi="Century Gothic" w:cs="Arial"/>
          <w:b/>
          <w:i/>
          <w:sz w:val="24"/>
          <w:szCs w:val="24"/>
          <w:lang w:val="es-ES_tradnl"/>
        </w:rPr>
        <w:tab/>
      </w:r>
      <w:r w:rsidRPr="00BE14F6">
        <w:rPr>
          <w:rFonts w:ascii="Century Gothic" w:hAnsi="Century Gothic" w:cs="Arial"/>
          <w:i/>
          <w:sz w:val="24"/>
          <w:szCs w:val="24"/>
          <w:lang w:val="es-ES_tradnl"/>
        </w:rPr>
        <w:t xml:space="preserve">Las aportaciones de simpatizantes tendrán como límite </w:t>
      </w:r>
      <w:r w:rsidRPr="00BE14F6">
        <w:rPr>
          <w:rFonts w:ascii="Century Gothic" w:hAnsi="Century Gothic" w:cs="Arial"/>
          <w:i/>
          <w:sz w:val="24"/>
          <w:szCs w:val="24"/>
          <w:lang w:val="es-ES_tradnl"/>
        </w:rPr>
        <w:lastRenderedPageBreak/>
        <w:t>individual anual el 0.5 por ciento del tope de gasto para la elección presidencial inmediata anterior.</w:t>
      </w:r>
    </w:p>
    <w:p w:rsidR="00BE14F6" w:rsidRDefault="00BE14F6" w:rsidP="00BE14F6">
      <w:pPr>
        <w:autoSpaceDE w:val="0"/>
        <w:autoSpaceDN w:val="0"/>
        <w:adjustRightInd w:val="0"/>
        <w:spacing w:line="360" w:lineRule="auto"/>
        <w:jc w:val="both"/>
        <w:rPr>
          <w:rFonts w:ascii="Century Gothic" w:hAnsi="Century Gothic" w:cs="Arial"/>
          <w:i/>
          <w:sz w:val="24"/>
          <w:szCs w:val="24"/>
          <w:lang w:val="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sidRPr="00BE14F6">
        <w:rPr>
          <w:rFonts w:ascii="Century Gothic" w:hAnsi="Century Gothic" w:cs="Arial"/>
          <w:i/>
          <w:sz w:val="24"/>
          <w:szCs w:val="24"/>
          <w:lang w:val="es-ES_tradnl"/>
        </w:rPr>
        <w:t>No obstante la regulación general, la Ley Electoral establece posibilidad de financiamiento público a los partidos políticos, siendo de interés que en e</w:t>
      </w:r>
      <w:r w:rsidRPr="00BE14F6">
        <w:rPr>
          <w:rFonts w:ascii="Century Gothic" w:hAnsi="Century Gothic" w:cs="Arial"/>
          <w:i/>
          <w:sz w:val="24"/>
          <w:szCs w:val="24"/>
        </w:rPr>
        <w:t xml:space="preserve">l </w:t>
      </w:r>
      <w:r w:rsidRPr="00BE14F6">
        <w:rPr>
          <w:rFonts w:ascii="Century Gothic" w:hAnsi="Century Gothic" w:cs="Arial"/>
          <w:b/>
          <w:i/>
          <w:sz w:val="24"/>
          <w:szCs w:val="24"/>
        </w:rPr>
        <w:t xml:space="preserve"> </w:t>
      </w:r>
      <w:r>
        <w:rPr>
          <w:rFonts w:ascii="Century Gothic" w:hAnsi="Century Gothic" w:cs="Arial"/>
          <w:b/>
          <w:i/>
          <w:sz w:val="24"/>
          <w:szCs w:val="24"/>
        </w:rPr>
        <w:t>&lt;CAPITULO TERCERO&gt;</w:t>
      </w:r>
      <w:r w:rsidRPr="00BE14F6">
        <w:rPr>
          <w:rFonts w:ascii="Century Gothic" w:hAnsi="Century Gothic" w:cs="Arial"/>
          <w:b/>
          <w:i/>
          <w:sz w:val="24"/>
          <w:szCs w:val="24"/>
        </w:rPr>
        <w:t xml:space="preserve">, </w:t>
      </w:r>
      <w:r w:rsidRPr="00BE14F6">
        <w:rPr>
          <w:rFonts w:ascii="Century Gothic" w:hAnsi="Century Gothic" w:cs="Arial"/>
          <w:i/>
          <w:sz w:val="24"/>
          <w:szCs w:val="24"/>
        </w:rPr>
        <w:t xml:space="preserve"> de manera particular regula el tema del financiamiento, entre otros entes, a los partidos políticos, estableciendo en el artículo 27, inciso y numeral 1), que el régimen de financiamiento de los partidos políticos, ya sea nacionales o estatales se regirá por lo dispuesto en la Ley General de Partidos Políticos sin perjuicio de tener derecho a las prerrogativas que esta Ley establece con cargo al erario público estatal. </w:t>
      </w:r>
    </w:p>
    <w:p w:rsidR="00BE14F6" w:rsidRDefault="00BE14F6" w:rsidP="00BE14F6">
      <w:pPr>
        <w:autoSpaceDE w:val="0"/>
        <w:autoSpaceDN w:val="0"/>
        <w:adjustRightInd w:val="0"/>
        <w:spacing w:line="360" w:lineRule="auto"/>
        <w:jc w:val="both"/>
        <w:rPr>
          <w:rFonts w:ascii="Century Gothic" w:hAnsi="Century Gothic" w:cs="Arial"/>
          <w:i/>
          <w:sz w:val="24"/>
          <w:szCs w:val="24"/>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sidRPr="00BE14F6">
        <w:rPr>
          <w:rFonts w:ascii="Century Gothic" w:hAnsi="Century Gothic" w:cs="Arial"/>
          <w:i/>
          <w:sz w:val="24"/>
          <w:szCs w:val="24"/>
        </w:rPr>
        <w:t>Con la propuesta de reforma legal se pretende el aumentar los montos para que los partidos políticos reciban financiamiento privado, sin rebasar el límite constitucional, es decir la garantía de que los recursos públicos prevalezc</w:t>
      </w:r>
      <w:r>
        <w:rPr>
          <w:rFonts w:ascii="Century Gothic" w:hAnsi="Century Gothic" w:cs="Arial"/>
          <w:i/>
          <w:sz w:val="24"/>
          <w:szCs w:val="24"/>
        </w:rPr>
        <w:t>an sobre los de origen privado.”</w:t>
      </w:r>
    </w:p>
    <w:p w:rsidR="00BE14F6" w:rsidRDefault="00BE14F6" w:rsidP="00D70291">
      <w:pPr>
        <w:spacing w:after="0" w:line="360" w:lineRule="auto"/>
        <w:jc w:val="both"/>
        <w:rPr>
          <w:rFonts w:ascii="Century Gothic" w:eastAsia="Times New Roman" w:hAnsi="Century Gothic" w:cs="Arial"/>
          <w:bCs/>
          <w:sz w:val="24"/>
          <w:szCs w:val="24"/>
          <w:lang w:val="es-ES_tradnl" w:eastAsia="es-ES_tradnl"/>
        </w:rPr>
      </w:pPr>
    </w:p>
    <w:p w:rsidR="00D70291" w:rsidRDefault="00D70291" w:rsidP="00D70291">
      <w:pPr>
        <w:spacing w:after="0" w:line="360" w:lineRule="auto"/>
        <w:jc w:val="both"/>
        <w:rPr>
          <w:rFonts w:ascii="Century Gothic" w:eastAsia="Times New Roman" w:hAnsi="Century Gothic" w:cs="Arial"/>
          <w:bCs/>
          <w:sz w:val="24"/>
          <w:szCs w:val="24"/>
          <w:lang w:val="es-ES_tradnl" w:eastAsia="es-ES_tradnl"/>
        </w:rPr>
      </w:pPr>
    </w:p>
    <w:p w:rsidR="00D70291" w:rsidRPr="008D2A24" w:rsidRDefault="00D70291" w:rsidP="00D70291">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D70291" w:rsidRPr="008D2A24" w:rsidRDefault="00D70291" w:rsidP="00D70291">
      <w:pPr>
        <w:spacing w:after="0" w:line="360" w:lineRule="auto"/>
        <w:jc w:val="both"/>
        <w:rPr>
          <w:rFonts w:ascii="Century Gothic" w:eastAsia="Times New Roman" w:hAnsi="Century Gothic" w:cs="Times New Roman"/>
          <w:color w:val="000000"/>
          <w:sz w:val="24"/>
          <w:szCs w:val="24"/>
          <w:lang w:eastAsia="es-ES"/>
        </w:rPr>
      </w:pPr>
    </w:p>
    <w:p w:rsidR="00D70291" w:rsidRPr="008D2A24" w:rsidRDefault="00D70291" w:rsidP="00D70291">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lastRenderedPageBreak/>
        <w:t>CONSIDERACIONES</w:t>
      </w:r>
    </w:p>
    <w:p w:rsidR="00D70291" w:rsidRPr="008D2A24" w:rsidRDefault="00D70291" w:rsidP="00D70291">
      <w:pPr>
        <w:spacing w:after="0" w:line="360" w:lineRule="auto"/>
        <w:contextualSpacing/>
        <w:jc w:val="center"/>
        <w:rPr>
          <w:rFonts w:ascii="Century Gothic" w:eastAsia="Arial" w:hAnsi="Century Gothic" w:cs="Arial"/>
          <w:sz w:val="24"/>
          <w:szCs w:val="24"/>
          <w:lang w:eastAsia="es-ES"/>
        </w:rPr>
      </w:pPr>
    </w:p>
    <w:p w:rsidR="00D70291" w:rsidRPr="008D2A24" w:rsidRDefault="00D70291" w:rsidP="00D70291">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D70291" w:rsidRPr="008D2A24" w:rsidRDefault="00D70291" w:rsidP="00D70291">
      <w:pPr>
        <w:spacing w:after="0" w:line="360" w:lineRule="auto"/>
        <w:contextualSpacing/>
        <w:jc w:val="both"/>
        <w:rPr>
          <w:rFonts w:ascii="Century Gothic" w:eastAsia="Arial" w:hAnsi="Century Gothic" w:cs="Arial"/>
          <w:sz w:val="24"/>
          <w:szCs w:val="24"/>
          <w:lang w:eastAsia="es-ES"/>
        </w:rPr>
      </w:pPr>
    </w:p>
    <w:p w:rsidR="00CB4A7A" w:rsidRDefault="00D70291" w:rsidP="00CB4A7A">
      <w:pPr>
        <w:spacing w:after="0" w:line="360" w:lineRule="auto"/>
        <w:jc w:val="both"/>
        <w:rPr>
          <w:rFonts w:ascii="Century Gothic" w:eastAsia="Times New Roman" w:hAnsi="Century Gothic" w:cs="Arial"/>
          <w:sz w:val="24"/>
          <w:szCs w:val="24"/>
          <w:lang w:val="es-ES_tradnl" w:eastAsia="es-ES_tradnl"/>
        </w:rPr>
      </w:pPr>
      <w:r w:rsidRPr="003E596F">
        <w:rPr>
          <w:rFonts w:ascii="Century Gothic" w:eastAsia="Arial" w:hAnsi="Century Gothic" w:cs="Arial"/>
          <w:b/>
          <w:sz w:val="24"/>
          <w:szCs w:val="24"/>
          <w:lang w:eastAsia="es-ES"/>
        </w:rPr>
        <w:t xml:space="preserve">II.- </w:t>
      </w:r>
      <w:r>
        <w:rPr>
          <w:rFonts w:ascii="Century Gothic" w:eastAsia="Arial" w:hAnsi="Century Gothic" w:cs="Arial"/>
          <w:sz w:val="24"/>
          <w:szCs w:val="24"/>
          <w:lang w:eastAsia="es-ES"/>
        </w:rPr>
        <w:t xml:space="preserve">La iniciativa que motiva el presente dictamen tiene como finalidad, como quedó asentado </w:t>
      </w:r>
      <w:r w:rsidR="00CB4A7A">
        <w:rPr>
          <w:rFonts w:ascii="Century Gothic" w:eastAsia="Arial" w:hAnsi="Century Gothic" w:cs="Arial"/>
          <w:sz w:val="24"/>
          <w:szCs w:val="24"/>
          <w:lang w:eastAsia="es-ES"/>
        </w:rPr>
        <w:t xml:space="preserve">en el proemio de este documento, </w:t>
      </w:r>
      <w:r w:rsidR="00CB4A7A">
        <w:rPr>
          <w:rFonts w:ascii="Century Gothic" w:eastAsia="Times New Roman" w:hAnsi="Century Gothic" w:cs="Arial"/>
          <w:sz w:val="24"/>
          <w:szCs w:val="24"/>
          <w:lang w:val="es-ES_tradnl" w:eastAsia="es-ES_tradnl"/>
        </w:rPr>
        <w:t xml:space="preserve">ampliar el financiamiento privado a los partidos políticos. Para lo cual, se propone una reforma y adición al artículo 28 de la Ley Electoral, en ese sentido. </w:t>
      </w:r>
    </w:p>
    <w:p w:rsidR="00CB4A7A" w:rsidRDefault="00CB4A7A" w:rsidP="00CB4A7A">
      <w:pPr>
        <w:spacing w:after="0" w:line="360" w:lineRule="auto"/>
        <w:jc w:val="both"/>
        <w:rPr>
          <w:rFonts w:ascii="Century Gothic" w:eastAsia="Times New Roman" w:hAnsi="Century Gothic" w:cs="Arial"/>
          <w:sz w:val="24"/>
          <w:szCs w:val="24"/>
          <w:lang w:val="es-ES_tradnl" w:eastAsia="es-ES_tradnl"/>
        </w:rPr>
      </w:pPr>
    </w:p>
    <w:p w:rsidR="00CB4A7A" w:rsidRDefault="00CB4A7A"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 xml:space="preserve">Sin embargo, antes de entrar el estudio </w:t>
      </w:r>
      <w:r w:rsidR="00B95DF9">
        <w:rPr>
          <w:rFonts w:ascii="Century Gothic" w:eastAsia="Times New Roman" w:hAnsi="Century Gothic" w:cs="Arial"/>
          <w:sz w:val="24"/>
          <w:szCs w:val="24"/>
          <w:lang w:val="es-ES_tradnl" w:eastAsia="es-ES_tradnl"/>
        </w:rPr>
        <w:t xml:space="preserve">de fondo </w:t>
      </w:r>
      <w:r>
        <w:rPr>
          <w:rFonts w:ascii="Century Gothic" w:eastAsia="Times New Roman" w:hAnsi="Century Gothic" w:cs="Arial"/>
          <w:sz w:val="24"/>
          <w:szCs w:val="24"/>
          <w:lang w:val="es-ES_tradnl" w:eastAsia="es-ES_tradnl"/>
        </w:rPr>
        <w:t>de</w:t>
      </w:r>
      <w:r w:rsidR="00AC76AC">
        <w:rPr>
          <w:rFonts w:ascii="Century Gothic" w:eastAsia="Times New Roman" w:hAnsi="Century Gothic" w:cs="Arial"/>
          <w:sz w:val="24"/>
          <w:szCs w:val="24"/>
          <w:lang w:val="es-ES_tradnl" w:eastAsia="es-ES_tradnl"/>
        </w:rPr>
        <w:t xml:space="preserve"> la pretensión de los iniciadores</w:t>
      </w:r>
      <w:r>
        <w:rPr>
          <w:rFonts w:ascii="Century Gothic" w:eastAsia="Times New Roman" w:hAnsi="Century Gothic" w:cs="Arial"/>
          <w:sz w:val="24"/>
          <w:szCs w:val="24"/>
          <w:lang w:val="es-ES_tradnl" w:eastAsia="es-ES_tradnl"/>
        </w:rPr>
        <w:t>, esta Comisión hace la precisión que dado que la redacción vigente del numeral</w:t>
      </w:r>
      <w:r w:rsidR="00BC478B">
        <w:rPr>
          <w:rFonts w:ascii="Century Gothic" w:eastAsia="Times New Roman" w:hAnsi="Century Gothic" w:cs="Arial"/>
          <w:sz w:val="24"/>
          <w:szCs w:val="24"/>
          <w:lang w:val="es-ES_tradnl" w:eastAsia="es-ES_tradnl"/>
        </w:rPr>
        <w:t xml:space="preserve"> antes citado</w:t>
      </w:r>
      <w:r>
        <w:rPr>
          <w:rFonts w:ascii="Century Gothic" w:eastAsia="Times New Roman" w:hAnsi="Century Gothic" w:cs="Arial"/>
          <w:sz w:val="24"/>
          <w:szCs w:val="24"/>
          <w:lang w:val="es-ES_tradnl" w:eastAsia="es-ES_tradnl"/>
        </w:rPr>
        <w:t xml:space="preserve">, no contempla regulación alguna </w:t>
      </w:r>
      <w:r w:rsidR="00B95DF9">
        <w:rPr>
          <w:rFonts w:ascii="Century Gothic" w:eastAsia="Times New Roman" w:hAnsi="Century Gothic" w:cs="Arial"/>
          <w:sz w:val="24"/>
          <w:szCs w:val="24"/>
          <w:lang w:val="es-ES_tradnl" w:eastAsia="es-ES_tradnl"/>
        </w:rPr>
        <w:t>en relación al tema, sería más adecuado que el planteamiento sea establecer límites para el financiamiento privado de los partidos políticos, es decir, consagrar una regla especial. Lo anterior, sin que se contravenga en ningún momento lo dispuesto en las leyes generales</w:t>
      </w:r>
      <w:r w:rsidR="0071309D">
        <w:rPr>
          <w:rFonts w:ascii="Century Gothic" w:eastAsia="Times New Roman" w:hAnsi="Century Gothic" w:cs="Arial"/>
          <w:sz w:val="24"/>
          <w:szCs w:val="24"/>
          <w:lang w:val="es-ES_tradnl" w:eastAsia="es-ES_tradnl"/>
        </w:rPr>
        <w:t xml:space="preserve"> en la materia</w:t>
      </w:r>
      <w:r w:rsidR="00B95DF9">
        <w:rPr>
          <w:rFonts w:ascii="Century Gothic" w:eastAsia="Times New Roman" w:hAnsi="Century Gothic" w:cs="Arial"/>
          <w:sz w:val="24"/>
          <w:szCs w:val="24"/>
          <w:lang w:val="es-ES_tradnl" w:eastAsia="es-ES_tradnl"/>
        </w:rPr>
        <w:t xml:space="preserve"> ni en la Constitución Política de los Estados Unidos Mexicanos, por las razones que más adelante se expondrán en este documento. </w:t>
      </w:r>
    </w:p>
    <w:p w:rsidR="0071309D" w:rsidRDefault="0071309D" w:rsidP="00CB4A7A">
      <w:pPr>
        <w:spacing w:after="0" w:line="360" w:lineRule="auto"/>
        <w:jc w:val="both"/>
        <w:rPr>
          <w:rFonts w:ascii="Century Gothic" w:eastAsia="Times New Roman" w:hAnsi="Century Gothic" w:cs="Arial"/>
          <w:sz w:val="24"/>
          <w:szCs w:val="24"/>
          <w:lang w:val="es-ES_tradnl" w:eastAsia="es-ES_tradnl"/>
        </w:rPr>
      </w:pPr>
    </w:p>
    <w:p w:rsidR="0071309D" w:rsidRDefault="0071309D" w:rsidP="00CB4A7A">
      <w:pPr>
        <w:spacing w:after="0" w:line="360" w:lineRule="auto"/>
        <w:jc w:val="both"/>
        <w:rPr>
          <w:rFonts w:ascii="Century Gothic" w:eastAsia="Times New Roman" w:hAnsi="Century Gothic" w:cs="Arial"/>
          <w:sz w:val="24"/>
          <w:szCs w:val="24"/>
          <w:lang w:val="es-ES_tradnl" w:eastAsia="es-ES_tradnl"/>
        </w:rPr>
      </w:pPr>
      <w:r w:rsidRPr="0071309D">
        <w:rPr>
          <w:rFonts w:ascii="Century Gothic" w:eastAsia="Times New Roman" w:hAnsi="Century Gothic" w:cs="Arial"/>
          <w:b/>
          <w:sz w:val="24"/>
          <w:szCs w:val="24"/>
          <w:lang w:val="es-ES_tradnl" w:eastAsia="es-ES_tradnl"/>
        </w:rPr>
        <w:t xml:space="preserve">III.- </w:t>
      </w:r>
      <w:r>
        <w:rPr>
          <w:rFonts w:ascii="Century Gothic" w:eastAsia="Times New Roman" w:hAnsi="Century Gothic" w:cs="Arial"/>
          <w:sz w:val="24"/>
          <w:szCs w:val="24"/>
          <w:lang w:val="es-ES_tradnl" w:eastAsia="es-ES_tradnl"/>
        </w:rPr>
        <w:t xml:space="preserve">Actualmente, se debate en la escena parlamentaria de nuestro país lo relativo a la conveniencia de reducir o eliminar el financiamiento público a los partidos políticos. </w:t>
      </w:r>
    </w:p>
    <w:p w:rsidR="00BC478B" w:rsidRDefault="00BC478B" w:rsidP="00CB4A7A">
      <w:pPr>
        <w:spacing w:after="0" w:line="360" w:lineRule="auto"/>
        <w:jc w:val="both"/>
        <w:rPr>
          <w:rFonts w:ascii="Century Gothic" w:eastAsia="Times New Roman" w:hAnsi="Century Gothic" w:cs="Arial"/>
          <w:sz w:val="24"/>
          <w:szCs w:val="24"/>
          <w:lang w:val="es-ES_tradnl" w:eastAsia="es-ES_tradnl"/>
        </w:rPr>
      </w:pPr>
    </w:p>
    <w:p w:rsidR="00BC478B" w:rsidRDefault="00BC478B"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lastRenderedPageBreak/>
        <w:t>Como mencionan los iniciadores, en su exposición de motivos, en este H. Congreso se han presentado diversas iniciativas que persiguen la finalidad referida en el párrafo próximo anter</w:t>
      </w:r>
      <w:r w:rsidR="000F5D2D">
        <w:rPr>
          <w:rFonts w:ascii="Century Gothic" w:eastAsia="Times New Roman" w:hAnsi="Century Gothic" w:cs="Arial"/>
          <w:sz w:val="24"/>
          <w:szCs w:val="24"/>
          <w:lang w:val="es-ES_tradnl" w:eastAsia="es-ES_tradnl"/>
        </w:rPr>
        <w:t xml:space="preserve">ior, las cuáles se encuentran en análisis en diversas comisiones de dictamen legislativo. </w:t>
      </w:r>
    </w:p>
    <w:p w:rsidR="00640804" w:rsidRDefault="00640804" w:rsidP="00CB4A7A">
      <w:pPr>
        <w:spacing w:after="0" w:line="360" w:lineRule="auto"/>
        <w:jc w:val="both"/>
        <w:rPr>
          <w:rFonts w:ascii="Century Gothic" w:eastAsia="Times New Roman" w:hAnsi="Century Gothic" w:cs="Arial"/>
          <w:sz w:val="24"/>
          <w:szCs w:val="24"/>
          <w:lang w:val="es-ES_tradnl" w:eastAsia="es-ES_tradnl"/>
        </w:rPr>
      </w:pPr>
    </w:p>
    <w:p w:rsidR="000F5D2D" w:rsidRDefault="00640804"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Los argumentos para justificar dicha reducción</w:t>
      </w:r>
      <w:r w:rsidR="00BC478B">
        <w:rPr>
          <w:rFonts w:ascii="Century Gothic" w:eastAsia="Times New Roman" w:hAnsi="Century Gothic" w:cs="Arial"/>
          <w:sz w:val="24"/>
          <w:szCs w:val="24"/>
          <w:lang w:val="es-ES_tradnl" w:eastAsia="es-ES_tradnl"/>
        </w:rPr>
        <w:t xml:space="preserve"> o eliminación</w:t>
      </w:r>
      <w:r>
        <w:rPr>
          <w:rFonts w:ascii="Century Gothic" w:eastAsia="Times New Roman" w:hAnsi="Century Gothic" w:cs="Arial"/>
          <w:sz w:val="24"/>
          <w:szCs w:val="24"/>
          <w:lang w:val="es-ES_tradnl" w:eastAsia="es-ES_tradnl"/>
        </w:rPr>
        <w:t xml:space="preserve"> son muchos y variados, pero no es propósito de este dictamen el examinarlos, no obstante, lo que sí se puede afirmar es que </w:t>
      </w:r>
      <w:r w:rsidR="00BC478B">
        <w:rPr>
          <w:rFonts w:ascii="Century Gothic" w:eastAsia="Times New Roman" w:hAnsi="Century Gothic" w:cs="Arial"/>
          <w:sz w:val="24"/>
          <w:szCs w:val="24"/>
          <w:lang w:val="es-ES_tradnl" w:eastAsia="es-ES_tradnl"/>
        </w:rPr>
        <w:t>de actualizarse tal hipótesis, un tópico cuyo análisis resulta imprescindible explorar es, precisamente, el financiamiento privado que como derecho les corresponde a los partidos pol</w:t>
      </w:r>
      <w:r w:rsidR="000F5D2D">
        <w:rPr>
          <w:rFonts w:ascii="Century Gothic" w:eastAsia="Times New Roman" w:hAnsi="Century Gothic" w:cs="Arial"/>
          <w:sz w:val="24"/>
          <w:szCs w:val="24"/>
          <w:lang w:val="es-ES_tradnl" w:eastAsia="es-ES_tradnl"/>
        </w:rPr>
        <w:t xml:space="preserve">íticos, ya que debe </w:t>
      </w:r>
      <w:r w:rsidR="00176BA5">
        <w:rPr>
          <w:rFonts w:ascii="Century Gothic" w:eastAsia="Times New Roman" w:hAnsi="Century Gothic" w:cs="Arial"/>
          <w:sz w:val="24"/>
          <w:szCs w:val="24"/>
          <w:lang w:val="es-ES_tradnl" w:eastAsia="es-ES_tradnl"/>
        </w:rPr>
        <w:t xml:space="preserve">garantizarse que </w:t>
      </w:r>
      <w:r w:rsidR="000F5D2D">
        <w:rPr>
          <w:rFonts w:ascii="Century Gothic" w:eastAsia="Times New Roman" w:hAnsi="Century Gothic" w:cs="Arial"/>
          <w:sz w:val="24"/>
          <w:szCs w:val="24"/>
          <w:lang w:val="es-ES_tradnl" w:eastAsia="es-ES_tradnl"/>
        </w:rPr>
        <w:t xml:space="preserve">dichos institutos </w:t>
      </w:r>
      <w:r w:rsidR="00176BA5">
        <w:rPr>
          <w:rFonts w:ascii="Century Gothic" w:eastAsia="Times New Roman" w:hAnsi="Century Gothic" w:cs="Arial"/>
          <w:sz w:val="24"/>
          <w:szCs w:val="24"/>
          <w:lang w:val="es-ES_tradnl" w:eastAsia="es-ES_tradnl"/>
        </w:rPr>
        <w:t xml:space="preserve">cuenten con </w:t>
      </w:r>
      <w:r w:rsidR="000F5D2D">
        <w:rPr>
          <w:rFonts w:ascii="Century Gothic" w:eastAsia="Times New Roman" w:hAnsi="Century Gothic" w:cs="Arial"/>
          <w:sz w:val="24"/>
          <w:szCs w:val="24"/>
          <w:lang w:val="es-ES_tradnl" w:eastAsia="es-ES_tradnl"/>
        </w:rPr>
        <w:t xml:space="preserve">los medios económicos para que puedan seguir cumpliendo con sus fines, mismos que son de trascendental importancia para seguir construyendo una democracia plural y participativa. </w:t>
      </w: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Cabe destacar que en algunos sistemas electorales, como</w:t>
      </w:r>
      <w:r w:rsidR="00023483">
        <w:rPr>
          <w:rFonts w:ascii="Century Gothic" w:eastAsia="Times New Roman" w:hAnsi="Century Gothic" w:cs="Arial"/>
          <w:sz w:val="24"/>
          <w:szCs w:val="24"/>
          <w:lang w:val="es-ES_tradnl" w:eastAsia="es-ES_tradnl"/>
        </w:rPr>
        <w:t xml:space="preserve"> el caso de Estados Unidos de América, no existe el financiamiento público para los partidos políticos, lo cual ha validado su propia Corte Suprema, por lo que cada persona candidata debe de allegarse de recursos propios para poder desarrollar su campaña. </w:t>
      </w:r>
    </w:p>
    <w:p w:rsidR="00023483" w:rsidRDefault="00023483" w:rsidP="00CB4A7A">
      <w:pPr>
        <w:spacing w:after="0" w:line="360" w:lineRule="auto"/>
        <w:jc w:val="both"/>
        <w:rPr>
          <w:rFonts w:ascii="Century Gothic" w:eastAsia="Times New Roman" w:hAnsi="Century Gothic" w:cs="Arial"/>
          <w:sz w:val="24"/>
          <w:szCs w:val="24"/>
          <w:lang w:val="es-ES_tradnl" w:eastAsia="es-ES_tradnl"/>
        </w:rPr>
      </w:pPr>
    </w:p>
    <w:p w:rsidR="00023483" w:rsidRDefault="00023483"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En México, es un hecho que lo relativo a la vigilancia y escrutinio del financiamiento público</w:t>
      </w:r>
      <w:r w:rsidR="007F5F7E">
        <w:rPr>
          <w:rFonts w:ascii="Century Gothic" w:eastAsia="Times New Roman" w:hAnsi="Century Gothic" w:cs="Arial"/>
          <w:sz w:val="24"/>
          <w:szCs w:val="24"/>
          <w:lang w:val="es-ES_tradnl" w:eastAsia="es-ES_tradnl"/>
        </w:rPr>
        <w:t xml:space="preserve"> a los partidos </w:t>
      </w:r>
      <w:proofErr w:type="gramStart"/>
      <w:r w:rsidR="007F5F7E">
        <w:rPr>
          <w:rFonts w:ascii="Century Gothic" w:eastAsia="Times New Roman" w:hAnsi="Century Gothic" w:cs="Arial"/>
          <w:sz w:val="24"/>
          <w:szCs w:val="24"/>
          <w:lang w:val="es-ES_tradnl" w:eastAsia="es-ES_tradnl"/>
        </w:rPr>
        <w:t xml:space="preserve">políticos </w:t>
      </w:r>
      <w:r>
        <w:rPr>
          <w:rFonts w:ascii="Century Gothic" w:eastAsia="Times New Roman" w:hAnsi="Century Gothic" w:cs="Arial"/>
          <w:sz w:val="24"/>
          <w:szCs w:val="24"/>
          <w:lang w:val="es-ES_tradnl" w:eastAsia="es-ES_tradnl"/>
        </w:rPr>
        <w:t xml:space="preserve"> es</w:t>
      </w:r>
      <w:proofErr w:type="gramEnd"/>
      <w:r>
        <w:rPr>
          <w:rFonts w:ascii="Century Gothic" w:eastAsia="Times New Roman" w:hAnsi="Century Gothic" w:cs="Arial"/>
          <w:sz w:val="24"/>
          <w:szCs w:val="24"/>
          <w:lang w:val="es-ES_tradnl" w:eastAsia="es-ES_tradnl"/>
        </w:rPr>
        <w:t xml:space="preserve"> un rubro ampliamen</w:t>
      </w:r>
      <w:r w:rsidR="004B2C80">
        <w:rPr>
          <w:rFonts w:ascii="Century Gothic" w:eastAsia="Times New Roman" w:hAnsi="Century Gothic" w:cs="Arial"/>
          <w:sz w:val="24"/>
          <w:szCs w:val="24"/>
          <w:lang w:val="es-ES_tradnl" w:eastAsia="es-ES_tradnl"/>
        </w:rPr>
        <w:t>te regulado por la legislación</w:t>
      </w:r>
      <w:r>
        <w:rPr>
          <w:rFonts w:ascii="Century Gothic" w:eastAsia="Times New Roman" w:hAnsi="Century Gothic" w:cs="Arial"/>
          <w:sz w:val="24"/>
          <w:szCs w:val="24"/>
          <w:lang w:val="es-ES_tradnl" w:eastAsia="es-ES_tradnl"/>
        </w:rPr>
        <w:t>, en donde los criterios de inspección</w:t>
      </w:r>
      <w:r w:rsidR="007F5F7E">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 xml:space="preserve">revisten aún más </w:t>
      </w:r>
      <w:r w:rsidR="007F5F7E">
        <w:rPr>
          <w:rFonts w:ascii="Century Gothic" w:eastAsia="Times New Roman" w:hAnsi="Century Gothic" w:cs="Arial"/>
          <w:sz w:val="24"/>
          <w:szCs w:val="24"/>
          <w:lang w:val="es-ES_tradnl" w:eastAsia="es-ES_tradnl"/>
        </w:rPr>
        <w:t xml:space="preserve">severidad que los que realiza la autoridad fiscal para con las y los contribuyentes. No obstante, lo relativo al financiamiento privado se ha empezado a reglamentar desde hace apenas unos </w:t>
      </w:r>
      <w:r w:rsidR="007F5F7E">
        <w:rPr>
          <w:rFonts w:ascii="Century Gothic" w:eastAsia="Times New Roman" w:hAnsi="Century Gothic" w:cs="Arial"/>
          <w:sz w:val="24"/>
          <w:szCs w:val="24"/>
          <w:lang w:val="es-ES_tradnl" w:eastAsia="es-ES_tradnl"/>
        </w:rPr>
        <w:lastRenderedPageBreak/>
        <w:t xml:space="preserve">años, y existen ciertos vacíos en los cuerpos normativos locales, como </w:t>
      </w:r>
      <w:r w:rsidR="00E3283A">
        <w:rPr>
          <w:rFonts w:ascii="Century Gothic" w:eastAsia="Times New Roman" w:hAnsi="Century Gothic" w:cs="Arial"/>
          <w:sz w:val="24"/>
          <w:szCs w:val="24"/>
          <w:lang w:val="es-ES_tradnl" w:eastAsia="es-ES_tradnl"/>
        </w:rPr>
        <w:t xml:space="preserve">en </w:t>
      </w:r>
      <w:r w:rsidR="007F5F7E">
        <w:rPr>
          <w:rFonts w:ascii="Century Gothic" w:eastAsia="Times New Roman" w:hAnsi="Century Gothic" w:cs="Arial"/>
          <w:sz w:val="24"/>
          <w:szCs w:val="24"/>
          <w:lang w:val="es-ES_tradnl" w:eastAsia="es-ES_tradnl"/>
        </w:rPr>
        <w:t>el caso que ahora nos ocupa, donde, como señal</w:t>
      </w:r>
      <w:r w:rsidR="00E3283A">
        <w:rPr>
          <w:rFonts w:ascii="Century Gothic" w:eastAsia="Times New Roman" w:hAnsi="Century Gothic" w:cs="Arial"/>
          <w:sz w:val="24"/>
          <w:szCs w:val="24"/>
          <w:lang w:val="es-ES_tradnl" w:eastAsia="es-ES_tradnl"/>
        </w:rPr>
        <w:t>ó</w:t>
      </w:r>
      <w:r w:rsidR="007F5F7E">
        <w:rPr>
          <w:rFonts w:ascii="Century Gothic" w:eastAsia="Times New Roman" w:hAnsi="Century Gothic" w:cs="Arial"/>
          <w:sz w:val="24"/>
          <w:szCs w:val="24"/>
          <w:lang w:val="es-ES_tradnl" w:eastAsia="es-ES_tradnl"/>
        </w:rPr>
        <w:t>, el artículo correlativo de la Ley Electoral no contempla disposición alguna al respecto. Por lo que, quienes integramos esta Comisi</w:t>
      </w:r>
      <w:r w:rsidR="00D60FF4">
        <w:rPr>
          <w:rFonts w:ascii="Century Gothic" w:eastAsia="Times New Roman" w:hAnsi="Century Gothic" w:cs="Arial"/>
          <w:sz w:val="24"/>
          <w:szCs w:val="24"/>
          <w:lang w:val="es-ES_tradnl" w:eastAsia="es-ES_tradnl"/>
        </w:rPr>
        <w:t>ón estimamos necesario</w:t>
      </w:r>
      <w:r w:rsidR="007F5F7E">
        <w:rPr>
          <w:rFonts w:ascii="Century Gothic" w:eastAsia="Times New Roman" w:hAnsi="Century Gothic" w:cs="Arial"/>
          <w:sz w:val="24"/>
          <w:szCs w:val="24"/>
          <w:lang w:val="es-ES_tradnl" w:eastAsia="es-ES_tradnl"/>
        </w:rPr>
        <w:t xml:space="preserve"> que se analice el tema, tomando como punto de partida la iniciativa que motiva el presente, a fin de perfeccionar en esta Entidad el ordenamiento legal correspondiente. </w:t>
      </w: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r w:rsidRPr="00176BA5">
        <w:rPr>
          <w:rFonts w:ascii="Century Gothic" w:eastAsia="Times New Roman" w:hAnsi="Century Gothic" w:cs="Arial"/>
          <w:b/>
          <w:sz w:val="24"/>
          <w:szCs w:val="24"/>
          <w:lang w:val="es-ES_tradnl" w:eastAsia="es-ES_tradnl"/>
        </w:rPr>
        <w:t xml:space="preserve">IV.- </w:t>
      </w:r>
      <w:r w:rsidR="00D60FF4">
        <w:rPr>
          <w:rFonts w:ascii="Century Gothic" w:eastAsia="Times New Roman" w:hAnsi="Century Gothic" w:cs="Arial"/>
          <w:sz w:val="24"/>
          <w:szCs w:val="24"/>
          <w:lang w:val="es-ES_tradnl" w:eastAsia="es-ES_tradnl"/>
        </w:rPr>
        <w:t>En primer término, resulta inexorable señalar lo consagrado en el artículo 41, fracción II, en su primer párrafo,</w:t>
      </w:r>
      <w:r w:rsidR="00F00D00">
        <w:rPr>
          <w:rFonts w:ascii="Century Gothic" w:eastAsia="Times New Roman" w:hAnsi="Century Gothic" w:cs="Arial"/>
          <w:sz w:val="24"/>
          <w:szCs w:val="24"/>
          <w:lang w:val="es-ES_tradnl" w:eastAsia="es-ES_tradnl"/>
        </w:rPr>
        <w:t xml:space="preserve"> de la Constitución Política de los Estados Unidos </w:t>
      </w:r>
      <w:r w:rsidR="00043A9E">
        <w:rPr>
          <w:rFonts w:ascii="Century Gothic" w:eastAsia="Times New Roman" w:hAnsi="Century Gothic" w:cs="Arial"/>
          <w:sz w:val="24"/>
          <w:szCs w:val="24"/>
          <w:lang w:val="es-ES_tradnl" w:eastAsia="es-ES_tradnl"/>
        </w:rPr>
        <w:t>Mexicanos</w:t>
      </w:r>
      <w:r w:rsidR="00F00D00">
        <w:rPr>
          <w:rFonts w:ascii="Century Gothic" w:eastAsia="Times New Roman" w:hAnsi="Century Gothic" w:cs="Arial"/>
          <w:sz w:val="24"/>
          <w:szCs w:val="24"/>
          <w:lang w:val="es-ES_tradnl" w:eastAsia="es-ES_tradnl"/>
        </w:rPr>
        <w:t>,</w:t>
      </w:r>
      <w:r w:rsidR="00D60FF4">
        <w:rPr>
          <w:rFonts w:ascii="Century Gothic" w:eastAsia="Times New Roman" w:hAnsi="Century Gothic" w:cs="Arial"/>
          <w:sz w:val="24"/>
          <w:szCs w:val="24"/>
          <w:lang w:val="es-ES_tradnl" w:eastAsia="es-ES_tradnl"/>
        </w:rPr>
        <w:t xml:space="preserve"> el cual a la letra dice: </w:t>
      </w:r>
    </w:p>
    <w:p w:rsidR="00D60FF4" w:rsidRDefault="00D60FF4" w:rsidP="00CB4A7A">
      <w:pPr>
        <w:spacing w:after="0" w:line="360" w:lineRule="auto"/>
        <w:jc w:val="both"/>
        <w:rPr>
          <w:rFonts w:ascii="Century Gothic" w:eastAsia="Times New Roman" w:hAnsi="Century Gothic" w:cs="Arial"/>
          <w:sz w:val="24"/>
          <w:szCs w:val="24"/>
          <w:lang w:val="es-ES_tradnl" w:eastAsia="es-ES_tradnl"/>
        </w:rPr>
      </w:pPr>
    </w:p>
    <w:p w:rsidR="00D60FF4" w:rsidRDefault="00D60FF4" w:rsidP="00CB4A7A">
      <w:pPr>
        <w:spacing w:after="0" w:line="360" w:lineRule="auto"/>
        <w:jc w:val="both"/>
        <w:rPr>
          <w:rFonts w:ascii="Century Gothic" w:hAnsi="Century Gothic"/>
          <w:i/>
          <w:sz w:val="24"/>
          <w:szCs w:val="24"/>
        </w:rPr>
      </w:pPr>
      <w:r w:rsidRPr="00D60FF4">
        <w:rPr>
          <w:rFonts w:ascii="Century Gothic" w:hAnsi="Century Gothic"/>
          <w:i/>
          <w:sz w:val="24"/>
          <w:szCs w:val="24"/>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D60FF4" w:rsidRDefault="00D60FF4" w:rsidP="00CB4A7A">
      <w:pPr>
        <w:spacing w:after="0" w:line="360" w:lineRule="auto"/>
        <w:jc w:val="both"/>
        <w:rPr>
          <w:rFonts w:ascii="Century Gothic" w:hAnsi="Century Gothic"/>
          <w:i/>
          <w:sz w:val="24"/>
          <w:szCs w:val="24"/>
        </w:rPr>
      </w:pPr>
    </w:p>
    <w:p w:rsidR="00D60FF4" w:rsidRDefault="00D60FF4" w:rsidP="00CB4A7A">
      <w:pPr>
        <w:spacing w:after="0" w:line="360" w:lineRule="auto"/>
        <w:jc w:val="both"/>
        <w:rPr>
          <w:rFonts w:ascii="Century Gothic" w:hAnsi="Century Gothic"/>
          <w:sz w:val="24"/>
          <w:szCs w:val="24"/>
        </w:rPr>
      </w:pPr>
      <w:r>
        <w:rPr>
          <w:rFonts w:ascii="Century Gothic" w:hAnsi="Century Gothic"/>
          <w:sz w:val="24"/>
          <w:szCs w:val="24"/>
        </w:rPr>
        <w:t xml:space="preserve">Aunado a lo anterior, el mismo numeral, en idéntica fracción, pero en su párrafo tercero, dispone: </w:t>
      </w:r>
    </w:p>
    <w:p w:rsidR="00D60FF4" w:rsidRDefault="00D60FF4" w:rsidP="00CB4A7A">
      <w:pPr>
        <w:spacing w:after="0" w:line="360" w:lineRule="auto"/>
        <w:jc w:val="both"/>
        <w:rPr>
          <w:rFonts w:ascii="Century Gothic" w:hAnsi="Century Gothic"/>
          <w:sz w:val="24"/>
          <w:szCs w:val="24"/>
        </w:rPr>
      </w:pPr>
    </w:p>
    <w:p w:rsidR="00D60FF4" w:rsidRDefault="00D60FF4" w:rsidP="00CB4A7A">
      <w:pPr>
        <w:spacing w:after="0" w:line="360" w:lineRule="auto"/>
        <w:jc w:val="both"/>
        <w:rPr>
          <w:rFonts w:ascii="Century Gothic" w:hAnsi="Century Gothic"/>
          <w:i/>
          <w:sz w:val="24"/>
          <w:szCs w:val="24"/>
        </w:rPr>
      </w:pPr>
      <w:r>
        <w:rPr>
          <w:rFonts w:ascii="Century Gothic" w:hAnsi="Century Gothic"/>
          <w:i/>
          <w:sz w:val="24"/>
          <w:szCs w:val="24"/>
        </w:rPr>
        <w:t>“</w:t>
      </w:r>
      <w:r w:rsidRPr="00D60FF4">
        <w:rPr>
          <w:rFonts w:ascii="Century Gothic" w:hAnsi="Century Gothic"/>
          <w:i/>
          <w:sz w:val="24"/>
          <w:szCs w:val="24"/>
        </w:rPr>
        <w:t xml:space="preserve">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w:t>
      </w:r>
      <w:r w:rsidRPr="00D60FF4">
        <w:rPr>
          <w:rFonts w:ascii="Century Gothic" w:hAnsi="Century Gothic"/>
          <w:i/>
          <w:sz w:val="24"/>
          <w:szCs w:val="24"/>
        </w:rPr>
        <w:lastRenderedPageBreak/>
        <w:t>campaña, del origen y uso de todos los recursos con que cuenten; asimismo, dispondrá las sanciones que deban imponerse por el incumplimiento de estas disposiciones.</w:t>
      </w:r>
      <w:r>
        <w:rPr>
          <w:rFonts w:ascii="Century Gothic" w:hAnsi="Century Gothic"/>
          <w:i/>
          <w:sz w:val="24"/>
          <w:szCs w:val="24"/>
        </w:rPr>
        <w:t>”</w:t>
      </w:r>
    </w:p>
    <w:p w:rsidR="00074409" w:rsidRDefault="0007440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sz w:val="24"/>
          <w:szCs w:val="24"/>
        </w:rPr>
      </w:pPr>
      <w:r>
        <w:rPr>
          <w:rFonts w:ascii="Century Gothic" w:hAnsi="Century Gothic"/>
          <w:sz w:val="24"/>
          <w:szCs w:val="24"/>
        </w:rPr>
        <w:t xml:space="preserve">Ahora bien, antes de esgrimir algunas consideraciones en torno a qué interpretación se le dará a lo preceptuado en el referido artículo de la Constitución Federal, en lo relativo al segmento normativo que señala </w:t>
      </w:r>
      <w:r w:rsidRPr="00074409">
        <w:rPr>
          <w:rFonts w:ascii="Century Gothic" w:hAnsi="Century Gothic"/>
          <w:i/>
          <w:sz w:val="24"/>
          <w:szCs w:val="24"/>
        </w:rPr>
        <w:t>“La ley..”</w:t>
      </w:r>
      <w:r>
        <w:rPr>
          <w:rFonts w:ascii="Century Gothic" w:hAnsi="Century Gothic"/>
          <w:sz w:val="24"/>
          <w:szCs w:val="24"/>
        </w:rPr>
        <w:t xml:space="preserve">, es menester advertir que la Ley General de Partidos Políticos, en su artículo, 1 señala: </w:t>
      </w:r>
    </w:p>
    <w:p w:rsidR="00074409" w:rsidRDefault="00074409" w:rsidP="00CB4A7A">
      <w:pPr>
        <w:spacing w:after="0" w:line="360" w:lineRule="auto"/>
        <w:jc w:val="both"/>
        <w:rPr>
          <w:rFonts w:ascii="Century Gothic" w:hAnsi="Century Gothic"/>
          <w:sz w:val="24"/>
          <w:szCs w:val="24"/>
        </w:rPr>
      </w:pPr>
    </w:p>
    <w:p w:rsidR="00074409" w:rsidRDefault="00BB7C39" w:rsidP="00CB4A7A">
      <w:pPr>
        <w:spacing w:after="0" w:line="360" w:lineRule="auto"/>
        <w:jc w:val="both"/>
        <w:rPr>
          <w:rFonts w:ascii="Century Gothic" w:hAnsi="Century Gothic"/>
          <w:i/>
          <w:sz w:val="24"/>
          <w:szCs w:val="24"/>
        </w:rPr>
      </w:pPr>
      <w:r>
        <w:rPr>
          <w:rFonts w:ascii="Century Gothic" w:hAnsi="Century Gothic"/>
          <w:i/>
          <w:sz w:val="24"/>
          <w:szCs w:val="24"/>
        </w:rPr>
        <w:t>“</w:t>
      </w:r>
      <w:r w:rsidR="00074409" w:rsidRPr="00074409">
        <w:rPr>
          <w:rFonts w:ascii="Century Gothic" w:hAnsi="Century Gothic"/>
          <w:i/>
          <w:sz w:val="24"/>
          <w:szCs w:val="24"/>
        </w:rPr>
        <w:t xml:space="preserve">1. La presente Ley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 de: </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a) La constitución de los partidos políticos, así como los plazos y requisitos para su registro legal;</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 b) Los derechos y obligaciones de sus militantes; </w:t>
      </w:r>
    </w:p>
    <w:p w:rsidR="00BB7C39" w:rsidRPr="00074409" w:rsidRDefault="00BB7C39" w:rsidP="00CB4A7A">
      <w:pPr>
        <w:spacing w:after="0" w:line="360" w:lineRule="auto"/>
        <w:jc w:val="both"/>
        <w:rPr>
          <w:rFonts w:ascii="Century Gothic" w:hAnsi="Century Gothic"/>
          <w:i/>
          <w:sz w:val="24"/>
          <w:szCs w:val="24"/>
        </w:rPr>
      </w:pPr>
    </w:p>
    <w:p w:rsidR="00BB7C3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c) Los lineamientos básicos para la integración de sus órganos directivos, la postulación de sus candidatos, la conducción de sus actividades de forma democrática, sus prerrogativas y la transparencia en el uso de recursos; </w:t>
      </w:r>
    </w:p>
    <w:p w:rsidR="00BB7C39" w:rsidRDefault="00BB7C39" w:rsidP="00CB4A7A">
      <w:pPr>
        <w:spacing w:after="0" w:line="360" w:lineRule="auto"/>
        <w:jc w:val="both"/>
        <w:rPr>
          <w:rFonts w:ascii="Century Gothic" w:hAnsi="Century Gothic"/>
          <w:i/>
          <w:sz w:val="24"/>
          <w:szCs w:val="24"/>
        </w:rPr>
      </w:pPr>
    </w:p>
    <w:p w:rsidR="00BB7C3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d) Los contenidos mínim</w:t>
      </w:r>
      <w:r w:rsidR="00BB7C39">
        <w:rPr>
          <w:rFonts w:ascii="Century Gothic" w:hAnsi="Century Gothic"/>
          <w:i/>
          <w:sz w:val="24"/>
          <w:szCs w:val="24"/>
        </w:rPr>
        <w:t>os de sus documentos básicos;</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e) Las formas de participación electoral a través de la figura de coaliciones; </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f) El sistema de fiscalización de los ingresos y egresos de los recursos;</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 g) La organización y funcionamiento de sus órganos internos, así como los mecanismos de justicia </w:t>
      </w:r>
      <w:proofErr w:type="spellStart"/>
      <w:r w:rsidRPr="00074409">
        <w:rPr>
          <w:rFonts w:ascii="Century Gothic" w:hAnsi="Century Gothic"/>
          <w:i/>
          <w:sz w:val="24"/>
          <w:szCs w:val="24"/>
        </w:rPr>
        <w:t>intrapartidaria</w:t>
      </w:r>
      <w:proofErr w:type="spellEnd"/>
      <w:r w:rsidRPr="00074409">
        <w:rPr>
          <w:rFonts w:ascii="Century Gothic" w:hAnsi="Century Gothic"/>
          <w:i/>
          <w:sz w:val="24"/>
          <w:szCs w:val="24"/>
        </w:rPr>
        <w:t>;</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h) Los procedimientos y sanciones aplicables al incumplimiento de sus obligaciones; </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i) El régimen normativo aplicable en caso de pérdida de registro y liquidación de los partidos políticos, y</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 j) El régimen jurídico aplicable a las agrupaciones políticas nacionales.</w:t>
      </w:r>
      <w:r w:rsidR="00BB7C39">
        <w:rPr>
          <w:rFonts w:ascii="Century Gothic" w:hAnsi="Century Gothic"/>
          <w:i/>
          <w:sz w:val="24"/>
          <w:szCs w:val="24"/>
        </w:rPr>
        <w:t>”</w:t>
      </w:r>
    </w:p>
    <w:p w:rsidR="00043A9E" w:rsidRDefault="00043A9E" w:rsidP="00CB4A7A">
      <w:pPr>
        <w:spacing w:after="0" w:line="360" w:lineRule="auto"/>
        <w:jc w:val="both"/>
        <w:rPr>
          <w:rFonts w:ascii="Century Gothic" w:hAnsi="Century Gothic"/>
          <w:i/>
          <w:sz w:val="24"/>
          <w:szCs w:val="24"/>
        </w:rPr>
      </w:pPr>
    </w:p>
    <w:p w:rsidR="00043A9E" w:rsidRDefault="00A006F5" w:rsidP="00CB4A7A">
      <w:pPr>
        <w:spacing w:after="0" w:line="360" w:lineRule="auto"/>
        <w:jc w:val="both"/>
        <w:rPr>
          <w:rFonts w:ascii="Century Gothic" w:hAnsi="Century Gothic"/>
          <w:sz w:val="24"/>
          <w:szCs w:val="24"/>
        </w:rPr>
      </w:pPr>
      <w:r>
        <w:rPr>
          <w:rFonts w:ascii="Century Gothic" w:hAnsi="Century Gothic"/>
          <w:sz w:val="24"/>
          <w:szCs w:val="24"/>
        </w:rPr>
        <w:t>Así mismo</w:t>
      </w:r>
      <w:r w:rsidR="00043A9E">
        <w:rPr>
          <w:rFonts w:ascii="Century Gothic" w:hAnsi="Century Gothic"/>
          <w:sz w:val="24"/>
          <w:szCs w:val="24"/>
        </w:rPr>
        <w:t xml:space="preserve">, la Ley General citada refiere, en su artículo 50, numeral 2, que: </w:t>
      </w:r>
    </w:p>
    <w:p w:rsidR="00043A9E" w:rsidRDefault="00043A9E" w:rsidP="00CB4A7A">
      <w:pPr>
        <w:spacing w:after="0" w:line="360" w:lineRule="auto"/>
        <w:jc w:val="both"/>
        <w:rPr>
          <w:rFonts w:ascii="Century Gothic" w:hAnsi="Century Gothic"/>
          <w:sz w:val="24"/>
          <w:szCs w:val="24"/>
        </w:rPr>
      </w:pPr>
    </w:p>
    <w:p w:rsidR="00043A9E" w:rsidRDefault="00043A9E" w:rsidP="00CB4A7A">
      <w:pPr>
        <w:spacing w:after="0" w:line="360" w:lineRule="auto"/>
        <w:jc w:val="both"/>
        <w:rPr>
          <w:rFonts w:ascii="Century Gothic" w:hAnsi="Century Gothic"/>
          <w:i/>
          <w:sz w:val="24"/>
          <w:szCs w:val="24"/>
        </w:rPr>
      </w:pPr>
      <w:r w:rsidRPr="00043A9E">
        <w:rPr>
          <w:rFonts w:ascii="Century Gothic" w:hAnsi="Century Gothic"/>
          <w:i/>
          <w:sz w:val="24"/>
          <w:szCs w:val="24"/>
        </w:rPr>
        <w:t>“2. El financiamiento público deberá prevalecer sobre otros tipos de financiamiento y será destinado para el sostenimiento de actividades ordinarias permanentes, gastos de procesos electorales y para actividades específicas como entidades de interés público.”</w:t>
      </w:r>
    </w:p>
    <w:p w:rsidR="00043A9E" w:rsidRDefault="00043A9E" w:rsidP="00CB4A7A">
      <w:pPr>
        <w:spacing w:after="0" w:line="360" w:lineRule="auto"/>
        <w:jc w:val="both"/>
        <w:rPr>
          <w:rFonts w:ascii="Century Gothic" w:hAnsi="Century Gothic"/>
          <w:i/>
          <w:sz w:val="24"/>
          <w:szCs w:val="24"/>
        </w:rPr>
      </w:pPr>
    </w:p>
    <w:p w:rsidR="00043A9E" w:rsidRDefault="00043A9E" w:rsidP="00CB4A7A">
      <w:pPr>
        <w:spacing w:after="0" w:line="360" w:lineRule="auto"/>
        <w:jc w:val="both"/>
        <w:rPr>
          <w:rFonts w:ascii="Century Gothic" w:hAnsi="Century Gothic"/>
          <w:sz w:val="24"/>
          <w:szCs w:val="24"/>
        </w:rPr>
      </w:pPr>
      <w:r>
        <w:rPr>
          <w:rFonts w:ascii="Century Gothic" w:hAnsi="Century Gothic"/>
          <w:sz w:val="24"/>
          <w:szCs w:val="24"/>
        </w:rPr>
        <w:t xml:space="preserve">En razón de lo antes vertido, se puede concluir que tanto la Constitución Federal como a Ley General de Partidos Políticos coinciden que el financiamiento público deberá </w:t>
      </w:r>
      <w:r>
        <w:rPr>
          <w:rFonts w:ascii="Century Gothic" w:hAnsi="Century Gothic"/>
          <w:sz w:val="24"/>
          <w:szCs w:val="24"/>
        </w:rPr>
        <w:lastRenderedPageBreak/>
        <w:t>prevalecer sobre</w:t>
      </w:r>
      <w:r w:rsidR="00F5411F">
        <w:rPr>
          <w:rFonts w:ascii="Century Gothic" w:hAnsi="Century Gothic"/>
          <w:sz w:val="24"/>
          <w:szCs w:val="24"/>
        </w:rPr>
        <w:t xml:space="preserve"> otros tipos de financiamiento, entendiéndose en esto último, por supuesto, el privado. </w:t>
      </w:r>
    </w:p>
    <w:p w:rsidR="000B3F83" w:rsidRDefault="000B3F83" w:rsidP="00CB4A7A">
      <w:pPr>
        <w:spacing w:after="0" w:line="360" w:lineRule="auto"/>
        <w:jc w:val="both"/>
        <w:rPr>
          <w:rFonts w:ascii="Century Gothic" w:hAnsi="Century Gothic"/>
          <w:sz w:val="24"/>
          <w:szCs w:val="24"/>
        </w:rPr>
      </w:pPr>
    </w:p>
    <w:p w:rsidR="000B3F83" w:rsidRDefault="000B3F83" w:rsidP="00CB4A7A">
      <w:pPr>
        <w:spacing w:after="0" w:line="360" w:lineRule="auto"/>
        <w:jc w:val="both"/>
        <w:rPr>
          <w:rFonts w:ascii="Century Gothic" w:hAnsi="Century Gothic"/>
          <w:sz w:val="24"/>
          <w:szCs w:val="24"/>
        </w:rPr>
      </w:pPr>
      <w:r>
        <w:rPr>
          <w:rFonts w:ascii="Century Gothic" w:hAnsi="Century Gothic"/>
          <w:sz w:val="24"/>
          <w:szCs w:val="24"/>
        </w:rPr>
        <w:t xml:space="preserve">Continuando con el análisis del texto constitucional, se tiene que el segmento normativo que dispone: “… </w:t>
      </w:r>
      <w:r w:rsidRPr="00D60FF4">
        <w:rPr>
          <w:rFonts w:ascii="Century Gothic" w:hAnsi="Century Gothic"/>
          <w:i/>
          <w:sz w:val="24"/>
          <w:szCs w:val="24"/>
        </w:rPr>
        <w:t>La propia ley establecerá el monto máximo que tendrán las aportaciones de sus militantes y simpatizantes;</w:t>
      </w:r>
      <w:r>
        <w:rPr>
          <w:rFonts w:ascii="Century Gothic" w:hAnsi="Century Gothic"/>
          <w:i/>
          <w:sz w:val="24"/>
          <w:szCs w:val="24"/>
        </w:rPr>
        <w:t>…”</w:t>
      </w:r>
      <w:r>
        <w:rPr>
          <w:rFonts w:ascii="Century Gothic" w:hAnsi="Century Gothic"/>
          <w:sz w:val="24"/>
          <w:szCs w:val="24"/>
        </w:rPr>
        <w:t xml:space="preserve">, establece en términos abiertos cuál será la ley que regule dichos aspectos, y no puede ni debe entenderse que será la Ley General de Partidos Políticos, puesto que ésta, en su numeral 1 que fue transcrito con antelación, proporciona un catálogo específico de los temas cuya regulación será competencia exclusiva de dicho ordenamiento, en el cual no se encuentra lo relativo al financiamiento privado. </w:t>
      </w:r>
    </w:p>
    <w:p w:rsidR="000B3F83" w:rsidRDefault="000B3F83" w:rsidP="00CB4A7A">
      <w:pPr>
        <w:spacing w:after="0" w:line="360" w:lineRule="auto"/>
        <w:jc w:val="both"/>
        <w:rPr>
          <w:rFonts w:ascii="Century Gothic" w:hAnsi="Century Gothic"/>
          <w:sz w:val="24"/>
          <w:szCs w:val="24"/>
        </w:rPr>
      </w:pPr>
    </w:p>
    <w:p w:rsidR="00043A9E" w:rsidRDefault="000B3F83" w:rsidP="00CB4A7A">
      <w:pPr>
        <w:spacing w:after="0" w:line="360" w:lineRule="auto"/>
        <w:jc w:val="both"/>
        <w:rPr>
          <w:rFonts w:ascii="Century Gothic" w:hAnsi="Century Gothic"/>
          <w:sz w:val="24"/>
          <w:szCs w:val="24"/>
        </w:rPr>
      </w:pPr>
      <w:r>
        <w:rPr>
          <w:rFonts w:ascii="Century Gothic" w:hAnsi="Century Gothic"/>
          <w:sz w:val="24"/>
          <w:szCs w:val="24"/>
        </w:rPr>
        <w:t xml:space="preserve">Por lo tanto, </w:t>
      </w:r>
      <w:r w:rsidR="00670B48">
        <w:rPr>
          <w:rFonts w:ascii="Century Gothic" w:hAnsi="Century Gothic"/>
          <w:sz w:val="24"/>
          <w:szCs w:val="24"/>
        </w:rPr>
        <w:t xml:space="preserve">se deduce que dado que lo relativo al financiamiento privado no se encuentra en las hipótesis antes referidas de reserva de la Ley General en comento, debe entenderse que esta Soberanía es competente para legislar sobre ese tópico, y, en razón de ello, la Ley Electoral del Estado de Chihuahua es el ordenamiento idóneo para incorporar la pretensión de los iniciadores. </w:t>
      </w:r>
    </w:p>
    <w:p w:rsidR="00A006F5" w:rsidRDefault="00A006F5" w:rsidP="00CB4A7A">
      <w:pPr>
        <w:spacing w:after="0" w:line="360" w:lineRule="auto"/>
        <w:jc w:val="both"/>
        <w:rPr>
          <w:rFonts w:ascii="Century Gothic" w:hAnsi="Century Gothic"/>
          <w:sz w:val="24"/>
          <w:szCs w:val="24"/>
        </w:rPr>
      </w:pPr>
    </w:p>
    <w:p w:rsidR="00A006F5" w:rsidRDefault="00285BBF" w:rsidP="00CB4A7A">
      <w:pPr>
        <w:spacing w:after="0" w:line="360" w:lineRule="auto"/>
        <w:jc w:val="both"/>
        <w:rPr>
          <w:rFonts w:ascii="Century Gothic" w:hAnsi="Century Gothic"/>
          <w:sz w:val="24"/>
          <w:szCs w:val="24"/>
        </w:rPr>
      </w:pPr>
      <w:r>
        <w:rPr>
          <w:rFonts w:ascii="Century Gothic" w:hAnsi="Century Gothic"/>
          <w:sz w:val="24"/>
          <w:szCs w:val="24"/>
        </w:rPr>
        <w:t xml:space="preserve">De igual manera, es necesario destacar que la Ley General en cuestión, en su artículo 56, numeral 2, dispone: </w:t>
      </w:r>
    </w:p>
    <w:p w:rsidR="00285BBF" w:rsidRDefault="00285BBF" w:rsidP="00CB4A7A">
      <w:pPr>
        <w:spacing w:after="0" w:line="360" w:lineRule="auto"/>
        <w:jc w:val="both"/>
        <w:rPr>
          <w:rFonts w:ascii="Century Gothic" w:hAnsi="Century Gothic"/>
          <w:sz w:val="24"/>
          <w:szCs w:val="24"/>
        </w:rPr>
      </w:pPr>
    </w:p>
    <w:p w:rsidR="00285BBF" w:rsidRPr="00285BBF" w:rsidRDefault="00285BBF" w:rsidP="00CB4A7A">
      <w:pPr>
        <w:spacing w:after="0" w:line="360" w:lineRule="auto"/>
        <w:jc w:val="both"/>
        <w:rPr>
          <w:rFonts w:ascii="Century Gothic" w:hAnsi="Century Gothic"/>
          <w:i/>
          <w:sz w:val="24"/>
          <w:szCs w:val="24"/>
        </w:rPr>
      </w:pPr>
      <w:r>
        <w:rPr>
          <w:rFonts w:ascii="Century Gothic" w:hAnsi="Century Gothic"/>
          <w:i/>
          <w:sz w:val="24"/>
          <w:szCs w:val="24"/>
        </w:rPr>
        <w:t>“</w:t>
      </w:r>
      <w:r w:rsidRPr="00285BBF">
        <w:rPr>
          <w:rFonts w:ascii="Century Gothic" w:hAnsi="Century Gothic"/>
          <w:i/>
          <w:sz w:val="24"/>
          <w:szCs w:val="24"/>
        </w:rPr>
        <w:t>2. El financiamiento privado se ajustará a los siguientes límites anuales:</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lastRenderedPageBreak/>
        <w:t xml:space="preserve">a) Para el caso de las aportaciones de militantes, el dos por ciento del financiamiento público otorgado a la totalidad de los partidos políticos para el sostenimiento de sus actividades ordinarias y precampañas en el año de que se trate; </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t xml:space="preserve">b) Para el caso de las aportaciones de candidatos, así como de simpatizantes durante los procesos electorales, el diez por ciento del tope de gasto para la elección presidencial inmediata anterior, para ser utilizadas en las campañas de sus candidatos; </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t>c) Cada partido político, a través del órgano previsto en el artículo 43 inciso c)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t xml:space="preserve"> d) Las aportaciones de simpatizantes tendrán como límite individual anual el 0.5 por ciento del tope de gasto para la elección presidencial inmediata anterior.</w:t>
      </w:r>
      <w:r>
        <w:rPr>
          <w:rFonts w:ascii="Century Gothic" w:hAnsi="Century Gothic"/>
          <w:i/>
          <w:sz w:val="24"/>
          <w:szCs w:val="24"/>
        </w:rPr>
        <w:t>”</w:t>
      </w:r>
    </w:p>
    <w:p w:rsid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sz w:val="24"/>
          <w:szCs w:val="24"/>
        </w:rPr>
      </w:pPr>
      <w:r>
        <w:rPr>
          <w:rFonts w:ascii="Century Gothic" w:hAnsi="Century Gothic"/>
          <w:sz w:val="24"/>
          <w:szCs w:val="24"/>
        </w:rPr>
        <w:t xml:space="preserve">Sin embargo, es indispensable aclarar que los parámetros establecidos en el artículo antes expuesto son para partidos políticos nacionales, </w:t>
      </w:r>
      <w:r w:rsidR="004B2C80">
        <w:rPr>
          <w:rFonts w:ascii="Century Gothic" w:hAnsi="Century Gothic"/>
          <w:sz w:val="24"/>
          <w:szCs w:val="24"/>
        </w:rPr>
        <w:t xml:space="preserve">y no pueden resultar vinculantes </w:t>
      </w:r>
      <w:r>
        <w:rPr>
          <w:rFonts w:ascii="Century Gothic" w:hAnsi="Century Gothic"/>
          <w:sz w:val="24"/>
          <w:szCs w:val="24"/>
        </w:rPr>
        <w:t>a los procesos electorales de las entidades federativas</w:t>
      </w:r>
      <w:r w:rsidR="00AE5FDC">
        <w:rPr>
          <w:rFonts w:ascii="Century Gothic" w:hAnsi="Century Gothic"/>
          <w:sz w:val="24"/>
          <w:szCs w:val="24"/>
        </w:rPr>
        <w:t>, es decir, se trata</w:t>
      </w:r>
      <w:r>
        <w:rPr>
          <w:rFonts w:ascii="Century Gothic" w:hAnsi="Century Gothic"/>
          <w:sz w:val="24"/>
          <w:szCs w:val="24"/>
        </w:rPr>
        <w:t xml:space="preserve"> de una regla general que no puede aplicar por analogía a los casos estatales</w:t>
      </w:r>
      <w:r w:rsidR="00AE5FDC">
        <w:rPr>
          <w:rFonts w:ascii="Century Gothic" w:hAnsi="Century Gothic"/>
          <w:sz w:val="24"/>
          <w:szCs w:val="24"/>
        </w:rPr>
        <w:t xml:space="preserve">. De lo contrario, los montos resultarían exagerados y desproporcionados. </w:t>
      </w:r>
    </w:p>
    <w:p w:rsidR="00AE5FDC" w:rsidRDefault="00AE5FDC" w:rsidP="00CB4A7A">
      <w:pPr>
        <w:spacing w:after="0" w:line="360" w:lineRule="auto"/>
        <w:jc w:val="both"/>
        <w:rPr>
          <w:rFonts w:ascii="Century Gothic" w:hAnsi="Century Gothic"/>
          <w:sz w:val="24"/>
          <w:szCs w:val="24"/>
        </w:rPr>
      </w:pPr>
    </w:p>
    <w:p w:rsidR="006C2B2E" w:rsidRDefault="00AE5FDC" w:rsidP="00CB4A7A">
      <w:pPr>
        <w:spacing w:after="0" w:line="360" w:lineRule="auto"/>
        <w:jc w:val="both"/>
        <w:rPr>
          <w:rFonts w:ascii="Century Gothic" w:hAnsi="Century Gothic"/>
          <w:sz w:val="24"/>
          <w:szCs w:val="24"/>
        </w:rPr>
      </w:pPr>
      <w:r>
        <w:rPr>
          <w:rFonts w:ascii="Century Gothic" w:hAnsi="Century Gothic"/>
          <w:sz w:val="24"/>
          <w:szCs w:val="24"/>
        </w:rPr>
        <w:lastRenderedPageBreak/>
        <w:t>En virtud de lo que se ha venido señalando, esta Comisión coincide con la iniciativa en estudio en el sentido de que debe establecerse, en la legislación local en la materia, una regulación que disponga el monto máximo de financiamiento privado al que tendrán derecho a percibir los partidos políticos en la Entidad, puesto que no puede seguirse la regla propuesta por la Ley General de Partidos Políticos, por tratarse, como se señaló, de una disposición aplicable a los partidos pol</w:t>
      </w:r>
      <w:r w:rsidR="008764A8">
        <w:rPr>
          <w:rFonts w:ascii="Century Gothic" w:hAnsi="Century Gothic"/>
          <w:sz w:val="24"/>
          <w:szCs w:val="24"/>
        </w:rPr>
        <w:t xml:space="preserve">íticos nacionales. Así como también, por las razones antes mencionadas, este Alto Cuerpo Colegiado cuenta con la facultad para legislar sobre el tema en análisis, por no encontrarse dentro de las hipótesis de reserva de la Ley General en escrutinio. </w:t>
      </w:r>
    </w:p>
    <w:p w:rsidR="008764A8" w:rsidRDefault="008764A8" w:rsidP="00CB4A7A">
      <w:pPr>
        <w:spacing w:after="0" w:line="360" w:lineRule="auto"/>
        <w:jc w:val="both"/>
        <w:rPr>
          <w:rFonts w:ascii="Century Gothic" w:hAnsi="Century Gothic"/>
          <w:sz w:val="24"/>
          <w:szCs w:val="24"/>
        </w:rPr>
      </w:pPr>
    </w:p>
    <w:p w:rsidR="008764A8" w:rsidRDefault="008764A8" w:rsidP="00CB4A7A">
      <w:pPr>
        <w:spacing w:after="0" w:line="360" w:lineRule="auto"/>
        <w:jc w:val="both"/>
        <w:rPr>
          <w:rFonts w:ascii="Century Gothic" w:hAnsi="Century Gothic"/>
          <w:sz w:val="24"/>
          <w:szCs w:val="24"/>
        </w:rPr>
      </w:pPr>
      <w:r>
        <w:rPr>
          <w:rFonts w:ascii="Century Gothic" w:hAnsi="Century Gothic"/>
          <w:sz w:val="24"/>
          <w:szCs w:val="24"/>
        </w:rPr>
        <w:t xml:space="preserve">Complementa lo anterior, </w:t>
      </w:r>
      <w:r w:rsidR="00D3465F">
        <w:rPr>
          <w:rFonts w:ascii="Century Gothic" w:hAnsi="Century Gothic"/>
          <w:sz w:val="24"/>
          <w:szCs w:val="24"/>
        </w:rPr>
        <w:t xml:space="preserve">que la propuesta de la iniciativa en análisis no contraviene la única regla que existe en el texto constitucional federal sobre el asunto que se ha venido examinando, consistente en que el financiamiento público deberá de prevalecer sobre el privado. </w:t>
      </w:r>
    </w:p>
    <w:p w:rsidR="00D3465F" w:rsidRDefault="00D3465F" w:rsidP="00CB4A7A">
      <w:pPr>
        <w:spacing w:after="0" w:line="360" w:lineRule="auto"/>
        <w:jc w:val="both"/>
        <w:rPr>
          <w:rFonts w:ascii="Century Gothic" w:hAnsi="Century Gothic"/>
          <w:sz w:val="24"/>
          <w:szCs w:val="24"/>
        </w:rPr>
      </w:pPr>
    </w:p>
    <w:p w:rsidR="00E642A9" w:rsidRPr="00285BBF" w:rsidRDefault="00A262F4" w:rsidP="00CB4A7A">
      <w:pPr>
        <w:spacing w:after="0" w:line="360" w:lineRule="auto"/>
        <w:jc w:val="both"/>
        <w:rPr>
          <w:rFonts w:ascii="Century Gothic" w:hAnsi="Century Gothic"/>
          <w:sz w:val="24"/>
          <w:szCs w:val="24"/>
        </w:rPr>
      </w:pPr>
      <w:r>
        <w:rPr>
          <w:rFonts w:ascii="Century Gothic" w:hAnsi="Century Gothic"/>
          <w:sz w:val="24"/>
          <w:szCs w:val="24"/>
        </w:rPr>
        <w:t xml:space="preserve">De ahí que, por los argumentos que han quedado descritos en estas consideraciones, quienes integramos esta Comisión de Dictamen estimamos oportuna y viable la iniciativa que motiva el presente. </w:t>
      </w:r>
    </w:p>
    <w:p w:rsidR="00BB7C39" w:rsidRPr="00BB7C39" w:rsidRDefault="00BB7C39" w:rsidP="00CB4A7A">
      <w:pPr>
        <w:spacing w:after="0" w:line="360" w:lineRule="auto"/>
        <w:jc w:val="both"/>
        <w:rPr>
          <w:rFonts w:ascii="Century Gothic" w:hAnsi="Century Gothic"/>
          <w:sz w:val="24"/>
          <w:szCs w:val="24"/>
        </w:rPr>
      </w:pPr>
    </w:p>
    <w:p w:rsidR="00D70291" w:rsidRPr="00571012" w:rsidRDefault="00D70291" w:rsidP="00D70291">
      <w:pPr>
        <w:spacing w:after="0" w:line="360" w:lineRule="auto"/>
        <w:jc w:val="both"/>
        <w:rPr>
          <w:rFonts w:ascii="Century Gothic" w:eastAsia="Arial" w:hAnsi="Century Gothic" w:cs="Arial"/>
          <w:sz w:val="24"/>
          <w:szCs w:val="24"/>
          <w:lang w:val="es-ES_tradnl" w:eastAsia="es-ES_tradnl"/>
        </w:rPr>
      </w:pPr>
      <w:r w:rsidRPr="008D2A24">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D70291" w:rsidRDefault="00D70291" w:rsidP="002F0EBB">
      <w:pPr>
        <w:tabs>
          <w:tab w:val="left" w:pos="993"/>
        </w:tabs>
        <w:spacing w:after="0" w:line="360" w:lineRule="auto"/>
        <w:jc w:val="center"/>
        <w:rPr>
          <w:rFonts w:ascii="Century Gothic" w:eastAsia="Arial" w:hAnsi="Century Gothic" w:cs="Arial"/>
          <w:b/>
          <w:color w:val="000000"/>
          <w:sz w:val="28"/>
          <w:szCs w:val="28"/>
          <w:lang w:eastAsia="es-MX"/>
        </w:rPr>
      </w:pPr>
      <w:r>
        <w:rPr>
          <w:rFonts w:ascii="Century Gothic" w:eastAsia="Arial" w:hAnsi="Century Gothic" w:cs="Arial"/>
          <w:b/>
          <w:color w:val="000000"/>
          <w:sz w:val="28"/>
          <w:szCs w:val="28"/>
          <w:lang w:eastAsia="es-MX"/>
        </w:rPr>
        <w:t>DECRETO</w:t>
      </w:r>
    </w:p>
    <w:p w:rsidR="00375C48" w:rsidRPr="00375C48" w:rsidRDefault="00D70291" w:rsidP="00375C48">
      <w:pPr>
        <w:spacing w:line="360" w:lineRule="auto"/>
        <w:jc w:val="both"/>
        <w:rPr>
          <w:rFonts w:ascii="Century Gothic" w:hAnsi="Century Gothic" w:cs="Arial"/>
          <w:sz w:val="24"/>
          <w:szCs w:val="24"/>
        </w:rPr>
      </w:pPr>
      <w:r w:rsidRPr="00375C48">
        <w:rPr>
          <w:rFonts w:ascii="Century Gothic" w:hAnsi="Century Gothic" w:cs="Arial"/>
          <w:b/>
          <w:sz w:val="28"/>
          <w:szCs w:val="28"/>
        </w:rPr>
        <w:lastRenderedPageBreak/>
        <w:t>ARTÍCULO ÚNICO.-</w:t>
      </w:r>
      <w:r w:rsidR="00F207EA">
        <w:rPr>
          <w:rFonts w:ascii="Century Gothic" w:hAnsi="Century Gothic" w:cs="Arial"/>
          <w:b/>
          <w:sz w:val="28"/>
          <w:szCs w:val="28"/>
        </w:rPr>
        <w:t xml:space="preserve"> </w:t>
      </w:r>
      <w:r w:rsidR="00F207EA" w:rsidRPr="00553F4E">
        <w:rPr>
          <w:rFonts w:ascii="Century Gothic" w:hAnsi="Century Gothic" w:cs="Arial"/>
          <w:sz w:val="24"/>
          <w:szCs w:val="24"/>
        </w:rPr>
        <w:t xml:space="preserve">Se reforma el artículo 28, inciso 8) y se </w:t>
      </w:r>
      <w:r w:rsidR="00677E1D">
        <w:rPr>
          <w:rFonts w:ascii="Century Gothic" w:hAnsi="Century Gothic" w:cs="Arial"/>
          <w:sz w:val="24"/>
          <w:szCs w:val="24"/>
        </w:rPr>
        <w:t xml:space="preserve">le </w:t>
      </w:r>
      <w:r w:rsidR="00F207EA" w:rsidRPr="00553F4E">
        <w:rPr>
          <w:rFonts w:ascii="Century Gothic" w:hAnsi="Century Gothic" w:cs="Arial"/>
          <w:sz w:val="24"/>
          <w:szCs w:val="24"/>
        </w:rPr>
        <w:t>adiciona el inciso 9)</w:t>
      </w:r>
      <w:r w:rsidR="00677E1D">
        <w:rPr>
          <w:rFonts w:ascii="Century Gothic" w:hAnsi="Century Gothic" w:cs="Arial"/>
          <w:sz w:val="24"/>
          <w:szCs w:val="24"/>
        </w:rPr>
        <w:t>,</w:t>
      </w:r>
      <w:r w:rsidR="00553F4E">
        <w:rPr>
          <w:rFonts w:ascii="Century Gothic" w:hAnsi="Century Gothic" w:cs="Arial"/>
          <w:sz w:val="24"/>
          <w:szCs w:val="24"/>
        </w:rPr>
        <w:t xml:space="preserve"> </w:t>
      </w:r>
      <w:r w:rsidR="00375C48" w:rsidRPr="00375C48">
        <w:rPr>
          <w:rFonts w:ascii="Century Gothic" w:hAnsi="Century Gothic" w:cs="Arial"/>
          <w:sz w:val="24"/>
          <w:szCs w:val="24"/>
        </w:rPr>
        <w:t>de la Ley Electoral del Estado</w:t>
      </w:r>
      <w:r w:rsidR="00553F4E">
        <w:rPr>
          <w:rFonts w:ascii="Century Gothic" w:hAnsi="Century Gothic" w:cs="Arial"/>
          <w:sz w:val="24"/>
          <w:szCs w:val="24"/>
        </w:rPr>
        <w:t xml:space="preserve"> de Chihuahua, para quedar redactado de la siguiente manera</w:t>
      </w:r>
      <w:r w:rsidR="00375C48" w:rsidRPr="00375C48">
        <w:rPr>
          <w:rFonts w:ascii="Century Gothic" w:hAnsi="Century Gothic" w:cs="Arial"/>
          <w:sz w:val="24"/>
          <w:szCs w:val="24"/>
        </w:rPr>
        <w:t xml:space="preserve">: </w:t>
      </w:r>
    </w:p>
    <w:p w:rsidR="00375C48" w:rsidRPr="00553F4E" w:rsidRDefault="00553F4E" w:rsidP="00375C48">
      <w:pPr>
        <w:spacing w:line="360" w:lineRule="auto"/>
        <w:jc w:val="both"/>
        <w:rPr>
          <w:rFonts w:ascii="Century Gothic" w:hAnsi="Century Gothic" w:cs="Arial"/>
          <w:sz w:val="24"/>
          <w:szCs w:val="24"/>
        </w:rPr>
      </w:pPr>
      <w:r>
        <w:rPr>
          <w:rFonts w:ascii="Century Gothic" w:hAnsi="Century Gothic" w:cs="Arial"/>
          <w:b/>
          <w:sz w:val="24"/>
          <w:szCs w:val="24"/>
        </w:rPr>
        <w:t xml:space="preserve">Artículo </w:t>
      </w:r>
      <w:proofErr w:type="gramStart"/>
      <w:r>
        <w:rPr>
          <w:rFonts w:ascii="Century Gothic" w:hAnsi="Century Gothic" w:cs="Arial"/>
          <w:b/>
          <w:sz w:val="24"/>
          <w:szCs w:val="24"/>
        </w:rPr>
        <w:t xml:space="preserve">28 </w:t>
      </w:r>
      <w:r>
        <w:rPr>
          <w:rFonts w:ascii="Century Gothic" w:hAnsi="Century Gothic" w:cs="Arial"/>
          <w:sz w:val="24"/>
          <w:szCs w:val="24"/>
        </w:rPr>
        <w:t>…</w:t>
      </w:r>
      <w:proofErr w:type="gramEnd"/>
    </w:p>
    <w:p w:rsidR="006227B6" w:rsidRDefault="006227B6" w:rsidP="00375C48">
      <w:pPr>
        <w:spacing w:line="360" w:lineRule="auto"/>
        <w:jc w:val="both"/>
        <w:rPr>
          <w:rFonts w:ascii="Century Gothic" w:hAnsi="Century Gothic" w:cs="Arial"/>
          <w:sz w:val="24"/>
          <w:szCs w:val="24"/>
        </w:rPr>
      </w:pPr>
    </w:p>
    <w:p w:rsidR="00375C48" w:rsidRPr="00381158" w:rsidRDefault="00375C48" w:rsidP="00677E1D">
      <w:pPr>
        <w:spacing w:line="360" w:lineRule="auto"/>
        <w:ind w:firstLine="708"/>
        <w:jc w:val="both"/>
        <w:rPr>
          <w:rFonts w:ascii="Century Gothic" w:hAnsi="Century Gothic" w:cs="Arial"/>
          <w:sz w:val="24"/>
          <w:szCs w:val="24"/>
        </w:rPr>
      </w:pPr>
      <w:r w:rsidRPr="00381158">
        <w:rPr>
          <w:rFonts w:ascii="Century Gothic" w:hAnsi="Century Gothic" w:cs="Arial"/>
          <w:sz w:val="24"/>
          <w:szCs w:val="24"/>
        </w:rPr>
        <w:t>1)</w:t>
      </w:r>
      <w:r w:rsidRPr="00375C48">
        <w:rPr>
          <w:rFonts w:ascii="Century Gothic" w:hAnsi="Century Gothic" w:cs="Arial"/>
          <w:b/>
          <w:sz w:val="24"/>
          <w:szCs w:val="24"/>
        </w:rPr>
        <w:t xml:space="preserve"> </w:t>
      </w:r>
      <w:r w:rsidRPr="00381158">
        <w:rPr>
          <w:rFonts w:ascii="Century Gothic" w:hAnsi="Century Gothic" w:cs="Arial"/>
          <w:sz w:val="24"/>
          <w:szCs w:val="24"/>
        </w:rPr>
        <w:t>a</w:t>
      </w:r>
      <w:r w:rsidRPr="00375C48">
        <w:rPr>
          <w:rFonts w:ascii="Century Gothic" w:hAnsi="Century Gothic" w:cs="Arial"/>
          <w:b/>
          <w:sz w:val="24"/>
          <w:szCs w:val="24"/>
        </w:rPr>
        <w:t xml:space="preserve"> </w:t>
      </w:r>
      <w:r w:rsidRPr="00381158">
        <w:rPr>
          <w:rFonts w:ascii="Century Gothic" w:hAnsi="Century Gothic" w:cs="Arial"/>
          <w:sz w:val="24"/>
          <w:szCs w:val="24"/>
        </w:rPr>
        <w:t>7</w:t>
      </w:r>
      <w:proofErr w:type="gramStart"/>
      <w:r w:rsidRPr="00381158">
        <w:rPr>
          <w:rFonts w:ascii="Century Gothic" w:hAnsi="Century Gothic" w:cs="Arial"/>
          <w:sz w:val="24"/>
          <w:szCs w:val="24"/>
        </w:rPr>
        <w:t>) ...</w:t>
      </w:r>
      <w:proofErr w:type="gramEnd"/>
      <w:r w:rsidRPr="00381158">
        <w:rPr>
          <w:rFonts w:ascii="Century Gothic" w:hAnsi="Century Gothic" w:cs="Arial"/>
          <w:sz w:val="24"/>
          <w:szCs w:val="24"/>
        </w:rPr>
        <w:t xml:space="preserve"> </w:t>
      </w:r>
    </w:p>
    <w:p w:rsidR="00375C48" w:rsidRPr="00375C48" w:rsidRDefault="00375C48" w:rsidP="00375C48">
      <w:pPr>
        <w:spacing w:line="360" w:lineRule="auto"/>
        <w:jc w:val="both"/>
        <w:rPr>
          <w:rFonts w:ascii="Century Gothic" w:hAnsi="Century Gothic" w:cs="Arial"/>
          <w:b/>
          <w:sz w:val="24"/>
          <w:szCs w:val="24"/>
        </w:rPr>
      </w:pPr>
    </w:p>
    <w:p w:rsidR="00375C48" w:rsidRPr="00375C48" w:rsidRDefault="00375C48" w:rsidP="00677E1D">
      <w:pPr>
        <w:spacing w:line="360" w:lineRule="auto"/>
        <w:ind w:firstLine="708"/>
        <w:jc w:val="both"/>
        <w:rPr>
          <w:rFonts w:ascii="Century Gothic" w:hAnsi="Century Gothic" w:cs="Arial"/>
          <w:b/>
          <w:sz w:val="24"/>
          <w:szCs w:val="24"/>
        </w:rPr>
      </w:pPr>
      <w:r w:rsidRPr="00375C48">
        <w:rPr>
          <w:rFonts w:ascii="Century Gothic" w:hAnsi="Century Gothic" w:cs="Arial"/>
          <w:b/>
          <w:sz w:val="24"/>
          <w:szCs w:val="24"/>
        </w:rPr>
        <w:t>8) El financiamiento privado se ajustará a los siguientes límites anuales:</w:t>
      </w:r>
    </w:p>
    <w:p w:rsidR="00375C48" w:rsidRPr="00375C48" w:rsidRDefault="00375C48" w:rsidP="00677E1D">
      <w:pPr>
        <w:spacing w:line="360" w:lineRule="auto"/>
        <w:ind w:left="1843" w:hanging="427"/>
        <w:jc w:val="both"/>
        <w:rPr>
          <w:rFonts w:ascii="Century Gothic" w:hAnsi="Century Gothic" w:cs="Arial"/>
          <w:b/>
          <w:sz w:val="24"/>
          <w:szCs w:val="24"/>
        </w:rPr>
      </w:pPr>
      <w:r w:rsidRPr="00375C48">
        <w:rPr>
          <w:rFonts w:ascii="Century Gothic" w:hAnsi="Century Gothic" w:cs="Arial"/>
          <w:b/>
          <w:sz w:val="24"/>
          <w:szCs w:val="24"/>
        </w:rPr>
        <w:t xml:space="preserve">I. </w:t>
      </w:r>
      <w:r w:rsidR="00677E1D">
        <w:rPr>
          <w:rFonts w:ascii="Century Gothic" w:hAnsi="Century Gothic" w:cs="Arial"/>
          <w:b/>
          <w:sz w:val="24"/>
          <w:szCs w:val="24"/>
        </w:rPr>
        <w:tab/>
      </w:r>
      <w:r w:rsidRPr="00375C48">
        <w:rPr>
          <w:rFonts w:ascii="Century Gothic" w:hAnsi="Century Gothic" w:cs="Arial"/>
          <w:b/>
          <w:sz w:val="24"/>
          <w:szCs w:val="24"/>
        </w:rPr>
        <w:t xml:space="preserve">Para el caso de las aportaciones de militantes, </w:t>
      </w:r>
      <w:r w:rsidR="00356524">
        <w:rPr>
          <w:rFonts w:ascii="Century Gothic" w:hAnsi="Century Gothic" w:cs="Arial"/>
          <w:b/>
          <w:sz w:val="24"/>
          <w:szCs w:val="24"/>
        </w:rPr>
        <w:t xml:space="preserve">hasta </w:t>
      </w:r>
      <w:r w:rsidRPr="00375C48">
        <w:rPr>
          <w:rFonts w:ascii="Century Gothic" w:hAnsi="Century Gothic" w:cs="Arial"/>
          <w:b/>
          <w:sz w:val="24"/>
          <w:szCs w:val="24"/>
        </w:rPr>
        <w:t>el 80% del financiamiento público otorgado a cada uno de los partidos políticos para el sostenimiento de sus actividades ordinarias y de camp</w:t>
      </w:r>
      <w:r w:rsidR="006227B6">
        <w:rPr>
          <w:rFonts w:ascii="Century Gothic" w:hAnsi="Century Gothic" w:cs="Arial"/>
          <w:b/>
          <w:sz w:val="24"/>
          <w:szCs w:val="24"/>
        </w:rPr>
        <w:t>aña en el año de que se trate.</w:t>
      </w:r>
    </w:p>
    <w:p w:rsidR="00375C48" w:rsidRPr="00375C48" w:rsidRDefault="00677E1D" w:rsidP="00677E1D">
      <w:pPr>
        <w:spacing w:line="360" w:lineRule="auto"/>
        <w:ind w:left="1843" w:hanging="425"/>
        <w:jc w:val="both"/>
        <w:rPr>
          <w:rFonts w:ascii="Century Gothic" w:hAnsi="Century Gothic" w:cs="Arial"/>
          <w:b/>
          <w:sz w:val="24"/>
          <w:szCs w:val="24"/>
        </w:rPr>
      </w:pPr>
      <w:r>
        <w:rPr>
          <w:rFonts w:ascii="Century Gothic" w:hAnsi="Century Gothic" w:cs="Arial"/>
          <w:b/>
          <w:sz w:val="24"/>
          <w:szCs w:val="24"/>
        </w:rPr>
        <w:t xml:space="preserve">II. </w:t>
      </w:r>
      <w:r w:rsidR="00375C48" w:rsidRPr="00375C48">
        <w:rPr>
          <w:rFonts w:ascii="Century Gothic" w:hAnsi="Century Gothic" w:cs="Arial"/>
          <w:b/>
          <w:sz w:val="24"/>
          <w:szCs w:val="24"/>
        </w:rPr>
        <w:t xml:space="preserve">Para el caso de las aportaciones de </w:t>
      </w:r>
      <w:r w:rsidR="006227B6">
        <w:rPr>
          <w:rFonts w:ascii="Century Gothic" w:hAnsi="Century Gothic" w:cs="Arial"/>
          <w:b/>
          <w:sz w:val="24"/>
          <w:szCs w:val="24"/>
        </w:rPr>
        <w:t>personas precandidatas, candidata</w:t>
      </w:r>
      <w:r w:rsidR="00375C48" w:rsidRPr="00375C48">
        <w:rPr>
          <w:rFonts w:ascii="Century Gothic" w:hAnsi="Century Gothic" w:cs="Arial"/>
          <w:b/>
          <w:sz w:val="24"/>
          <w:szCs w:val="24"/>
        </w:rPr>
        <w:t xml:space="preserve">s, así como de simpatizantes durante los procesos electorales, </w:t>
      </w:r>
      <w:r w:rsidR="00356524">
        <w:rPr>
          <w:rFonts w:ascii="Century Gothic" w:hAnsi="Century Gothic" w:cs="Arial"/>
          <w:b/>
          <w:sz w:val="24"/>
          <w:szCs w:val="24"/>
        </w:rPr>
        <w:t xml:space="preserve">hasta </w:t>
      </w:r>
      <w:r w:rsidR="00375C48" w:rsidRPr="00375C48">
        <w:rPr>
          <w:rFonts w:ascii="Century Gothic" w:hAnsi="Century Gothic" w:cs="Arial"/>
          <w:b/>
          <w:sz w:val="24"/>
          <w:szCs w:val="24"/>
        </w:rPr>
        <w:t>el 15% del tope de gast</w:t>
      </w:r>
      <w:r w:rsidR="006227B6">
        <w:rPr>
          <w:rFonts w:ascii="Century Gothic" w:hAnsi="Century Gothic" w:cs="Arial"/>
          <w:b/>
          <w:sz w:val="24"/>
          <w:szCs w:val="24"/>
        </w:rPr>
        <w:t>o para la elección de Gubernatura</w:t>
      </w:r>
      <w:r w:rsidR="00375C48" w:rsidRPr="00375C48">
        <w:rPr>
          <w:rFonts w:ascii="Century Gothic" w:hAnsi="Century Gothic" w:cs="Arial"/>
          <w:b/>
          <w:sz w:val="24"/>
          <w:szCs w:val="24"/>
        </w:rPr>
        <w:t xml:space="preserve"> inmediata anterior, para ser utilizadas en las campañas de </w:t>
      </w:r>
      <w:proofErr w:type="gramStart"/>
      <w:r w:rsidR="00375C48" w:rsidRPr="00375C48">
        <w:rPr>
          <w:rFonts w:ascii="Century Gothic" w:hAnsi="Century Gothic" w:cs="Arial"/>
          <w:b/>
          <w:sz w:val="24"/>
          <w:szCs w:val="24"/>
        </w:rPr>
        <w:t xml:space="preserve">sus </w:t>
      </w:r>
      <w:r w:rsidR="003119BE">
        <w:rPr>
          <w:rFonts w:ascii="Century Gothic" w:hAnsi="Century Gothic" w:cs="Arial"/>
          <w:b/>
          <w:sz w:val="24"/>
          <w:szCs w:val="24"/>
        </w:rPr>
        <w:t xml:space="preserve"> can</w:t>
      </w:r>
      <w:r w:rsidR="002F0EBB">
        <w:rPr>
          <w:rFonts w:ascii="Century Gothic" w:hAnsi="Century Gothic" w:cs="Arial"/>
          <w:b/>
          <w:sz w:val="24"/>
          <w:szCs w:val="24"/>
        </w:rPr>
        <w:t>didatas</w:t>
      </w:r>
      <w:proofErr w:type="gramEnd"/>
      <w:r w:rsidR="002F0EBB">
        <w:rPr>
          <w:rFonts w:ascii="Century Gothic" w:hAnsi="Century Gothic" w:cs="Arial"/>
          <w:b/>
          <w:sz w:val="24"/>
          <w:szCs w:val="24"/>
        </w:rPr>
        <w:t xml:space="preserve"> y candidatos. </w:t>
      </w:r>
    </w:p>
    <w:p w:rsidR="00375C48" w:rsidRPr="00375C48" w:rsidRDefault="00375C48" w:rsidP="00677E1D">
      <w:pPr>
        <w:spacing w:line="360" w:lineRule="auto"/>
        <w:ind w:left="1843" w:hanging="425"/>
        <w:jc w:val="both"/>
        <w:rPr>
          <w:rFonts w:ascii="Century Gothic" w:hAnsi="Century Gothic" w:cs="Arial"/>
          <w:b/>
          <w:sz w:val="24"/>
          <w:szCs w:val="24"/>
        </w:rPr>
      </w:pPr>
      <w:r w:rsidRPr="00375C48">
        <w:rPr>
          <w:rFonts w:ascii="Century Gothic" w:hAnsi="Century Gothic" w:cs="Arial"/>
          <w:b/>
          <w:sz w:val="24"/>
          <w:szCs w:val="24"/>
        </w:rPr>
        <w:t xml:space="preserve">III. Cada partido político, </w:t>
      </w:r>
      <w:r w:rsidR="00C5269E" w:rsidRPr="00C5269E">
        <w:rPr>
          <w:rFonts w:ascii="Century Gothic" w:hAnsi="Century Gothic" w:cs="Arial"/>
          <w:b/>
          <w:sz w:val="24"/>
          <w:szCs w:val="24"/>
        </w:rPr>
        <w:t xml:space="preserve">a través de su órgano interno competente, </w:t>
      </w:r>
      <w:r w:rsidRPr="00375C48">
        <w:rPr>
          <w:rFonts w:ascii="Century Gothic" w:hAnsi="Century Gothic" w:cs="Arial"/>
          <w:b/>
          <w:sz w:val="24"/>
          <w:szCs w:val="24"/>
        </w:rPr>
        <w:t>determinará libremente los montos mínimos y máximos y la periodicidad de las cuotas ordinarias y extraordinarias de sus militantes, así como de las aportaciones voluntar</w:t>
      </w:r>
      <w:r w:rsidR="003119BE">
        <w:rPr>
          <w:rFonts w:ascii="Century Gothic" w:hAnsi="Century Gothic" w:cs="Arial"/>
          <w:b/>
          <w:sz w:val="24"/>
          <w:szCs w:val="24"/>
        </w:rPr>
        <w:t xml:space="preserve">ias y personales que </w:t>
      </w:r>
      <w:r w:rsidR="003119BE">
        <w:rPr>
          <w:rFonts w:ascii="Century Gothic" w:hAnsi="Century Gothic" w:cs="Arial"/>
          <w:b/>
          <w:sz w:val="24"/>
          <w:szCs w:val="24"/>
        </w:rPr>
        <w:lastRenderedPageBreak/>
        <w:t>la</w:t>
      </w:r>
      <w:r w:rsidRPr="00375C48">
        <w:rPr>
          <w:rFonts w:ascii="Century Gothic" w:hAnsi="Century Gothic" w:cs="Arial"/>
          <w:b/>
          <w:sz w:val="24"/>
          <w:szCs w:val="24"/>
        </w:rPr>
        <w:t>s</w:t>
      </w:r>
      <w:r w:rsidR="003119BE">
        <w:rPr>
          <w:rFonts w:ascii="Century Gothic" w:hAnsi="Century Gothic" w:cs="Arial"/>
          <w:b/>
          <w:sz w:val="24"/>
          <w:szCs w:val="24"/>
        </w:rPr>
        <w:t xml:space="preserve"> personas precandidatas y candidata</w:t>
      </w:r>
      <w:r w:rsidRPr="00375C48">
        <w:rPr>
          <w:rFonts w:ascii="Century Gothic" w:hAnsi="Century Gothic" w:cs="Arial"/>
          <w:b/>
          <w:sz w:val="24"/>
          <w:szCs w:val="24"/>
        </w:rPr>
        <w:t>s aporten exclusivamente par</w:t>
      </w:r>
      <w:r w:rsidR="003119BE">
        <w:rPr>
          <w:rFonts w:ascii="Century Gothic" w:hAnsi="Century Gothic" w:cs="Arial"/>
          <w:b/>
          <w:sz w:val="24"/>
          <w:szCs w:val="24"/>
        </w:rPr>
        <w:t>a sus precampañas y campañas.</w:t>
      </w:r>
    </w:p>
    <w:p w:rsidR="00375C48" w:rsidRPr="00375C48" w:rsidRDefault="00375C48" w:rsidP="00677E1D">
      <w:pPr>
        <w:spacing w:line="360" w:lineRule="auto"/>
        <w:ind w:left="1843" w:hanging="427"/>
        <w:jc w:val="both"/>
        <w:rPr>
          <w:rFonts w:ascii="Century Gothic" w:hAnsi="Century Gothic" w:cs="Arial"/>
          <w:b/>
          <w:sz w:val="24"/>
          <w:szCs w:val="24"/>
        </w:rPr>
      </w:pPr>
      <w:r w:rsidRPr="00375C48">
        <w:rPr>
          <w:rFonts w:ascii="Century Gothic" w:hAnsi="Century Gothic" w:cs="Arial"/>
          <w:b/>
          <w:sz w:val="24"/>
          <w:szCs w:val="24"/>
        </w:rPr>
        <w:t xml:space="preserve">IV. Las aportaciones de simpatizantes, </w:t>
      </w:r>
      <w:r w:rsidR="003119BE">
        <w:rPr>
          <w:rFonts w:ascii="Century Gothic" w:hAnsi="Century Gothic" w:cs="Arial"/>
          <w:b/>
          <w:sz w:val="24"/>
          <w:szCs w:val="24"/>
        </w:rPr>
        <w:t>personas precandidatas y candidata</w:t>
      </w:r>
      <w:r w:rsidRPr="00375C48">
        <w:rPr>
          <w:rFonts w:ascii="Century Gothic" w:hAnsi="Century Gothic" w:cs="Arial"/>
          <w:b/>
          <w:sz w:val="24"/>
          <w:szCs w:val="24"/>
        </w:rPr>
        <w:t>s tendrán como límite i</w:t>
      </w:r>
      <w:r w:rsidR="00677E1D">
        <w:rPr>
          <w:rFonts w:ascii="Century Gothic" w:hAnsi="Century Gothic" w:cs="Arial"/>
          <w:b/>
          <w:sz w:val="24"/>
          <w:szCs w:val="24"/>
        </w:rPr>
        <w:t xml:space="preserve">ndividual anual </w:t>
      </w:r>
      <w:r w:rsidR="00356524">
        <w:rPr>
          <w:rFonts w:ascii="Century Gothic" w:hAnsi="Century Gothic" w:cs="Arial"/>
          <w:b/>
          <w:sz w:val="24"/>
          <w:szCs w:val="24"/>
        </w:rPr>
        <w:t xml:space="preserve">hasta </w:t>
      </w:r>
      <w:r w:rsidR="00677E1D">
        <w:rPr>
          <w:rFonts w:ascii="Century Gothic" w:hAnsi="Century Gothic" w:cs="Arial"/>
          <w:b/>
          <w:sz w:val="24"/>
          <w:szCs w:val="24"/>
        </w:rPr>
        <w:t>el 1%</w:t>
      </w:r>
      <w:r w:rsidRPr="00375C48">
        <w:rPr>
          <w:rFonts w:ascii="Century Gothic" w:hAnsi="Century Gothic" w:cs="Arial"/>
          <w:b/>
          <w:sz w:val="24"/>
          <w:szCs w:val="24"/>
        </w:rPr>
        <w:t xml:space="preserve"> del tope de gasto para la</w:t>
      </w:r>
      <w:r w:rsidR="003119BE">
        <w:rPr>
          <w:rFonts w:ascii="Century Gothic" w:hAnsi="Century Gothic" w:cs="Arial"/>
          <w:b/>
          <w:sz w:val="24"/>
          <w:szCs w:val="24"/>
        </w:rPr>
        <w:t xml:space="preserve"> elección de Gubernatura</w:t>
      </w:r>
      <w:r w:rsidRPr="00375C48">
        <w:rPr>
          <w:rFonts w:ascii="Century Gothic" w:hAnsi="Century Gothic" w:cs="Arial"/>
          <w:b/>
          <w:sz w:val="24"/>
          <w:szCs w:val="24"/>
        </w:rPr>
        <w:t xml:space="preserve"> inmediata anterior. Precisando que en todos estos casos, el Instituto Estatal Electoral deberá garantizar que los recursos públicos prevalezcan sobre los recursos de origen privado. </w:t>
      </w:r>
    </w:p>
    <w:p w:rsidR="00D70291" w:rsidRPr="002F0EBB" w:rsidRDefault="00375C48" w:rsidP="00CC5FED">
      <w:pPr>
        <w:spacing w:line="360" w:lineRule="auto"/>
        <w:ind w:left="1134" w:hanging="425"/>
        <w:jc w:val="both"/>
        <w:rPr>
          <w:rFonts w:ascii="Century Gothic" w:hAnsi="Century Gothic" w:cs="Arial"/>
          <w:b/>
          <w:sz w:val="24"/>
          <w:szCs w:val="24"/>
        </w:rPr>
      </w:pPr>
      <w:r w:rsidRPr="00375C48">
        <w:rPr>
          <w:rFonts w:ascii="Century Gothic" w:hAnsi="Century Gothic" w:cs="Arial"/>
          <w:b/>
          <w:sz w:val="24"/>
          <w:szCs w:val="24"/>
        </w:rPr>
        <w:t>9) La fiscalización de recursos previstos en este artículo, estará a cargo del Instituto Nacional Electoral y sus órganos especiali</w:t>
      </w:r>
      <w:bookmarkStart w:id="0" w:name="_GoBack"/>
      <w:bookmarkEnd w:id="0"/>
      <w:r w:rsidRPr="00375C48">
        <w:rPr>
          <w:rFonts w:ascii="Century Gothic" w:hAnsi="Century Gothic" w:cs="Arial"/>
          <w:b/>
          <w:sz w:val="24"/>
          <w:szCs w:val="24"/>
        </w:rPr>
        <w:t>zados, de conformidad con la Ley General de Instituciones y Procedimient</w:t>
      </w:r>
      <w:r w:rsidR="006227B6">
        <w:rPr>
          <w:rFonts w:ascii="Century Gothic" w:hAnsi="Century Gothic" w:cs="Arial"/>
          <w:b/>
          <w:sz w:val="24"/>
          <w:szCs w:val="24"/>
        </w:rPr>
        <w:t>os Electorales, Ley General de P</w:t>
      </w:r>
      <w:r w:rsidRPr="00375C48">
        <w:rPr>
          <w:rFonts w:ascii="Century Gothic" w:hAnsi="Century Gothic" w:cs="Arial"/>
          <w:b/>
          <w:sz w:val="24"/>
          <w:szCs w:val="24"/>
        </w:rPr>
        <w:t>artidos Políticos y demás disposiciones aplicables.</w:t>
      </w:r>
    </w:p>
    <w:p w:rsidR="00D70291" w:rsidRDefault="00CC5FED" w:rsidP="00D70291">
      <w:pPr>
        <w:spacing w:after="0" w:line="336" w:lineRule="auto"/>
        <w:ind w:right="157"/>
        <w:jc w:val="center"/>
        <w:rPr>
          <w:rFonts w:ascii="Century Gothic" w:hAnsi="Century Gothic" w:cs="Arial"/>
          <w:b/>
          <w:sz w:val="28"/>
          <w:szCs w:val="28"/>
        </w:rPr>
      </w:pPr>
      <w:r>
        <w:rPr>
          <w:rFonts w:ascii="Century Gothic" w:hAnsi="Century Gothic" w:cs="Arial"/>
          <w:b/>
          <w:sz w:val="28"/>
          <w:szCs w:val="28"/>
        </w:rPr>
        <w:t>TRANSITORIO</w:t>
      </w:r>
    </w:p>
    <w:p w:rsidR="00D70291" w:rsidRDefault="00D70291" w:rsidP="00D70291">
      <w:pPr>
        <w:spacing w:after="0" w:line="336" w:lineRule="auto"/>
        <w:ind w:right="157"/>
        <w:jc w:val="both"/>
        <w:rPr>
          <w:rFonts w:ascii="Century Gothic" w:hAnsi="Century Gothic" w:cs="Arial"/>
          <w:b/>
          <w:sz w:val="24"/>
          <w:szCs w:val="24"/>
        </w:rPr>
      </w:pPr>
    </w:p>
    <w:p w:rsidR="00D70291" w:rsidRPr="0049451B" w:rsidRDefault="00A262F4" w:rsidP="00D70291">
      <w:pPr>
        <w:spacing w:after="0" w:line="336" w:lineRule="auto"/>
        <w:ind w:right="157"/>
        <w:jc w:val="both"/>
        <w:rPr>
          <w:rFonts w:ascii="Century Gothic" w:hAnsi="Century Gothic" w:cs="Arial"/>
          <w:sz w:val="24"/>
          <w:szCs w:val="24"/>
        </w:rPr>
      </w:pPr>
      <w:r>
        <w:rPr>
          <w:rFonts w:ascii="Century Gothic" w:hAnsi="Century Gothic" w:cs="Arial"/>
          <w:b/>
          <w:sz w:val="28"/>
          <w:szCs w:val="28"/>
        </w:rPr>
        <w:t>ARTÍCULO ÚNICO</w:t>
      </w:r>
      <w:r w:rsidR="00D70291" w:rsidRPr="0049451B">
        <w:rPr>
          <w:rFonts w:ascii="Century Gothic" w:hAnsi="Century Gothic" w:cs="Arial"/>
          <w:b/>
          <w:sz w:val="28"/>
          <w:szCs w:val="28"/>
        </w:rPr>
        <w:t>.-</w:t>
      </w:r>
      <w:r w:rsidR="00D70291" w:rsidRPr="003F43BA">
        <w:rPr>
          <w:rFonts w:ascii="Century Gothic" w:hAnsi="Century Gothic" w:cs="Arial"/>
          <w:b/>
          <w:sz w:val="24"/>
          <w:szCs w:val="24"/>
        </w:rPr>
        <w:t xml:space="preserve"> </w:t>
      </w:r>
      <w:r w:rsidR="00D70291" w:rsidRPr="0049451B">
        <w:rPr>
          <w:rFonts w:ascii="Century Gothic" w:hAnsi="Century Gothic" w:cs="Arial"/>
          <w:sz w:val="24"/>
          <w:szCs w:val="24"/>
        </w:rPr>
        <w:t>El presente Decreto entrará en vigor al día siguiente de su publicación en el Periódico Oficial del Estado.</w:t>
      </w:r>
    </w:p>
    <w:p w:rsidR="00D70291" w:rsidRPr="00217D92" w:rsidRDefault="00D70291" w:rsidP="00D70291">
      <w:pPr>
        <w:spacing w:after="0" w:line="336" w:lineRule="auto"/>
        <w:ind w:right="157"/>
        <w:jc w:val="both"/>
        <w:rPr>
          <w:rFonts w:ascii="Arial" w:hAnsi="Arial" w:cs="Arial"/>
          <w:b/>
          <w:sz w:val="24"/>
          <w:szCs w:val="24"/>
        </w:rPr>
      </w:pPr>
    </w:p>
    <w:p w:rsidR="00D70291" w:rsidRPr="0049451B" w:rsidRDefault="00D70291" w:rsidP="00D70291">
      <w:pPr>
        <w:spacing w:after="0" w:line="336" w:lineRule="auto"/>
        <w:ind w:right="157"/>
        <w:jc w:val="both"/>
        <w:rPr>
          <w:rFonts w:ascii="Century Gothic" w:hAnsi="Century Gothic" w:cs="Arial"/>
          <w:sz w:val="24"/>
          <w:szCs w:val="24"/>
          <w:lang w:val="es-ES_tradnl"/>
        </w:rPr>
      </w:pPr>
      <w:r w:rsidRPr="0049451B">
        <w:rPr>
          <w:rFonts w:ascii="Century Gothic" w:hAnsi="Century Gothic" w:cs="Arial"/>
          <w:b/>
          <w:sz w:val="28"/>
          <w:szCs w:val="28"/>
        </w:rPr>
        <w:t>ECONÓMICO</w:t>
      </w:r>
      <w:r w:rsidRPr="0049451B">
        <w:rPr>
          <w:rFonts w:ascii="Century Gothic" w:hAnsi="Century Gothic" w:cs="Arial"/>
          <w:b/>
          <w:sz w:val="28"/>
          <w:szCs w:val="28"/>
          <w:lang w:val="es-ES_tradnl"/>
        </w:rPr>
        <w:t xml:space="preserve">. </w:t>
      </w:r>
      <w:r w:rsidRPr="0049451B">
        <w:rPr>
          <w:rFonts w:ascii="Century Gothic" w:hAnsi="Century Gothic" w:cs="Arial"/>
          <w:sz w:val="24"/>
          <w:szCs w:val="24"/>
          <w:lang w:val="es-ES_tradnl"/>
        </w:rPr>
        <w:t>Aprobado que sea túrnese a la Secretaría para q</w:t>
      </w:r>
      <w:r>
        <w:rPr>
          <w:rFonts w:ascii="Century Gothic" w:hAnsi="Century Gothic" w:cs="Arial"/>
          <w:sz w:val="24"/>
          <w:szCs w:val="24"/>
          <w:lang w:val="es-ES_tradnl"/>
        </w:rPr>
        <w:t>ue elabore la M</w:t>
      </w:r>
      <w:r w:rsidRPr="0049451B">
        <w:rPr>
          <w:rFonts w:ascii="Century Gothic" w:hAnsi="Century Gothic" w:cs="Arial"/>
          <w:sz w:val="24"/>
          <w:szCs w:val="24"/>
          <w:lang w:val="es-ES_tradnl"/>
        </w:rPr>
        <w:t>inuta de Decreto en</w:t>
      </w:r>
      <w:r>
        <w:rPr>
          <w:rFonts w:ascii="Century Gothic" w:hAnsi="Century Gothic" w:cs="Arial"/>
          <w:sz w:val="24"/>
          <w:szCs w:val="24"/>
          <w:lang w:val="es-ES_tradnl"/>
        </w:rPr>
        <w:t xml:space="preserve"> los términos en que deba publicarse. </w:t>
      </w:r>
    </w:p>
    <w:p w:rsidR="002F0EBB" w:rsidRDefault="002F0EBB" w:rsidP="00D70291">
      <w:pPr>
        <w:spacing w:after="0" w:line="360" w:lineRule="auto"/>
        <w:ind w:right="191"/>
        <w:jc w:val="both"/>
        <w:rPr>
          <w:rFonts w:ascii="Century Gothic" w:eastAsia="Times New Roman" w:hAnsi="Century Gothic" w:cs="Arial"/>
          <w:spacing w:val="10"/>
          <w:sz w:val="24"/>
          <w:szCs w:val="24"/>
          <w:lang w:val="es-ES_tradnl" w:eastAsia="es-ES_tradnl"/>
        </w:rPr>
      </w:pPr>
    </w:p>
    <w:p w:rsidR="00D70291" w:rsidRPr="002F0EBB" w:rsidRDefault="00D70291" w:rsidP="002F0EBB">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3545FB">
        <w:rPr>
          <w:rFonts w:ascii="Century Gothic" w:eastAsia="Times New Roman" w:hAnsi="Century Gothic" w:cs="Arial"/>
          <w:spacing w:val="10"/>
          <w:sz w:val="24"/>
          <w:szCs w:val="24"/>
          <w:lang w:val="es-ES_tradnl" w:eastAsia="es-ES_tradnl"/>
        </w:rPr>
        <w:t>hihuahua, Chihuahua, a los 29</w:t>
      </w:r>
      <w:r w:rsidRPr="008D2A24">
        <w:rPr>
          <w:rFonts w:ascii="Century Gothic" w:eastAsia="Times New Roman" w:hAnsi="Century Gothic" w:cs="Arial"/>
          <w:spacing w:val="10"/>
          <w:sz w:val="24"/>
          <w:szCs w:val="24"/>
          <w:lang w:val="es-ES_tradnl" w:eastAsia="es-ES_tradnl"/>
        </w:rPr>
        <w:t xml:space="preserve"> días d</w:t>
      </w:r>
      <w:r>
        <w:rPr>
          <w:rFonts w:ascii="Century Gothic" w:eastAsia="Times New Roman" w:hAnsi="Century Gothic" w:cs="Arial"/>
          <w:spacing w:val="10"/>
          <w:sz w:val="24"/>
          <w:szCs w:val="24"/>
          <w:lang w:val="es-ES_tradnl" w:eastAsia="es-ES_tradnl"/>
        </w:rPr>
        <w:t>el mes de junio del año 2020.</w:t>
      </w:r>
    </w:p>
    <w:p w:rsidR="00C5269E" w:rsidRDefault="00C5269E" w:rsidP="00D70291">
      <w:pPr>
        <w:spacing w:after="0" w:line="360" w:lineRule="auto"/>
        <w:ind w:right="191"/>
        <w:jc w:val="center"/>
        <w:rPr>
          <w:rFonts w:ascii="Century Gothic" w:eastAsia="Times New Roman" w:hAnsi="Century Gothic" w:cs="Arial"/>
          <w:b/>
          <w:spacing w:val="10"/>
          <w:sz w:val="24"/>
          <w:szCs w:val="24"/>
          <w:lang w:val="es-ES_tradnl" w:eastAsia="es-ES_tradnl"/>
        </w:rPr>
      </w:pPr>
    </w:p>
    <w:p w:rsidR="00D70291" w:rsidRPr="008D2A24" w:rsidRDefault="00D70291" w:rsidP="00D70291">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 xml:space="preserve">ASÍ LO APROBÓ LA COMISIÓN PRIMERA DE GOBERNACIÓN Y PUNTOS CONSTITUCIONALES, EN REUNIÓN DE FECHA </w:t>
      </w:r>
      <w:r w:rsidR="00C42396">
        <w:rPr>
          <w:rFonts w:ascii="Century Gothic" w:eastAsia="Times New Roman" w:hAnsi="Century Gothic" w:cs="Arial"/>
          <w:b/>
          <w:spacing w:val="10"/>
          <w:sz w:val="24"/>
          <w:szCs w:val="24"/>
          <w:lang w:val="es-ES_tradnl" w:eastAsia="es-ES_tradnl"/>
        </w:rPr>
        <w:t>26</w:t>
      </w:r>
      <w:r>
        <w:rPr>
          <w:rFonts w:ascii="Century Gothic" w:eastAsia="Times New Roman" w:hAnsi="Century Gothic" w:cs="Arial"/>
          <w:b/>
          <w:spacing w:val="10"/>
          <w:sz w:val="24"/>
          <w:szCs w:val="24"/>
          <w:lang w:val="es-ES_tradnl" w:eastAsia="es-ES_tradnl"/>
        </w:rPr>
        <w:t xml:space="preserve"> DE JUNIO </w:t>
      </w:r>
      <w:r w:rsidRPr="008D2A24">
        <w:rPr>
          <w:rFonts w:ascii="Century Gothic" w:eastAsia="Times New Roman" w:hAnsi="Century Gothic" w:cs="Arial"/>
          <w:b/>
          <w:spacing w:val="10"/>
          <w:sz w:val="24"/>
          <w:szCs w:val="24"/>
          <w:lang w:val="es-ES_tradnl" w:eastAsia="es-ES_tradnl"/>
        </w:rPr>
        <w:t>DE</w:t>
      </w:r>
      <w:r>
        <w:rPr>
          <w:rFonts w:ascii="Century Gothic" w:eastAsia="Times New Roman" w:hAnsi="Century Gothic" w:cs="Arial"/>
          <w:b/>
          <w:spacing w:val="10"/>
          <w:sz w:val="24"/>
          <w:szCs w:val="24"/>
          <w:lang w:val="es-ES_tradnl" w:eastAsia="es-ES_tradnl"/>
        </w:rPr>
        <w:t>L</w:t>
      </w:r>
      <w:r w:rsidRPr="008D2A24">
        <w:rPr>
          <w:rFonts w:ascii="Century Gothic" w:eastAsia="Times New Roman" w:hAnsi="Century Gothic" w:cs="Arial"/>
          <w:b/>
          <w:spacing w:val="10"/>
          <w:sz w:val="24"/>
          <w:szCs w:val="24"/>
          <w:lang w:val="es-ES_tradnl" w:eastAsia="es-ES_tradnl"/>
        </w:rPr>
        <w:t xml:space="preserve"> 2020.</w:t>
      </w:r>
    </w:p>
    <w:p w:rsidR="00D70291" w:rsidRPr="008D2A24" w:rsidRDefault="00D70291" w:rsidP="00D70291">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fldChar w:fldCharType="begin"/>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"http://www.congresochihuahua.gob.mx/diputados/TimThumb.php?src=imagenes/fotos/1188.jpg&amp;w=260&amp;h=280&amp;zc=1" \* MERGEFORMATINET</w:instrText>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7" r:href="rId8"/>
                </v:shape>
              </w:pict>
            </w:r>
            <w:r w:rsidR="00C34B83">
              <w:rPr>
                <w:rFonts w:ascii="Century Gothic" w:eastAsia="Times New Roman" w:hAnsi="Century Gothic" w:cs="Times New Roman"/>
                <w:noProof/>
                <w:color w:val="000000"/>
                <w:sz w:val="24"/>
                <w:szCs w:val="24"/>
                <w:lang w:eastAsia="es-MX"/>
              </w:rPr>
              <w:fldChar w:fldCharType="end"/>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proofErr w:type="spellStart"/>
            <w:r w:rsidRPr="008D2A24">
              <w:rPr>
                <w:rFonts w:ascii="Century Gothic" w:eastAsia="Times New Roman" w:hAnsi="Century Gothic" w:cs="Arial"/>
                <w:b/>
                <w:color w:val="000000"/>
                <w:sz w:val="24"/>
                <w:szCs w:val="24"/>
                <w:lang w:val="es-ES" w:eastAsia="es-ES"/>
              </w:rPr>
              <w:t>DIP</w:t>
            </w:r>
            <w:proofErr w:type="spellEnd"/>
            <w:r w:rsidRPr="008D2A24">
              <w:rPr>
                <w:rFonts w:ascii="Century Gothic" w:eastAsia="Times New Roman" w:hAnsi="Century Gothic" w:cs="Arial"/>
                <w:b/>
                <w:color w:val="000000"/>
                <w:sz w:val="24"/>
                <w:szCs w:val="24"/>
                <w:lang w:val="es-ES" w:eastAsia="es-ES"/>
              </w:rPr>
              <w:t>. MIGUEL FRANCISCO LA TORRE SÁENZ</w:t>
            </w:r>
          </w:p>
          <w:p w:rsidR="00D70291" w:rsidRPr="008D2A24" w:rsidRDefault="00D70291" w:rsidP="00D0634C">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fldChar w:fldCharType="begin"/>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9" r:href="rId10"/>
                </v:shape>
              </w:pict>
            </w:r>
            <w:r w:rsidR="00C34B83">
              <w:rPr>
                <w:rFonts w:ascii="Century Gothic" w:eastAsia="Times New Roman" w:hAnsi="Century Gothic" w:cs="Times New Roman"/>
                <w:noProof/>
                <w:color w:val="000000"/>
                <w:sz w:val="24"/>
                <w:szCs w:val="24"/>
                <w:lang w:eastAsia="es-MX"/>
              </w:rPr>
              <w:fldChar w:fldCharType="end"/>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proofErr w:type="spellStart"/>
            <w:r w:rsidRPr="008D2A24">
              <w:rPr>
                <w:rFonts w:ascii="Century Gothic" w:eastAsia="Times New Roman" w:hAnsi="Century Gothic" w:cs="Arial"/>
                <w:b/>
                <w:color w:val="000000"/>
                <w:sz w:val="24"/>
                <w:szCs w:val="24"/>
                <w:lang w:val="es-ES" w:eastAsia="es-ES"/>
              </w:rPr>
              <w:t>DIP</w:t>
            </w:r>
            <w:proofErr w:type="spellEnd"/>
            <w:r w:rsidRPr="008D2A24">
              <w:rPr>
                <w:rFonts w:ascii="Century Gothic" w:eastAsia="Times New Roman" w:hAnsi="Century Gothic" w:cs="Arial"/>
                <w:b/>
                <w:color w:val="000000"/>
                <w:sz w:val="24"/>
                <w:szCs w:val="24"/>
                <w:lang w:val="es-ES" w:eastAsia="es-ES"/>
              </w:rPr>
              <w:t>. FRANCISCO HUMBERTO CHÁVEZ HERRERA</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fldChar w:fldCharType="begin"/>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 \* MERGEFORMATINET</w:instrText>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1" r:href="rId12"/>
                </v:shape>
              </w:pict>
            </w:r>
            <w:r w:rsidR="00C34B83">
              <w:rPr>
                <w:rFonts w:ascii="Century Gothic" w:eastAsia="Times New Roman" w:hAnsi="Century Gothic" w:cs="Times New Roman"/>
                <w:noProof/>
                <w:color w:val="000000"/>
                <w:sz w:val="24"/>
                <w:szCs w:val="24"/>
                <w:lang w:eastAsia="es-MX"/>
              </w:rPr>
              <w:fldChar w:fldCharType="end"/>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proofErr w:type="spellStart"/>
            <w:r w:rsidRPr="008D2A24">
              <w:rPr>
                <w:rFonts w:ascii="Century Gothic" w:eastAsia="Times New Roman" w:hAnsi="Century Gothic" w:cs="Arial"/>
                <w:b/>
                <w:color w:val="000000"/>
                <w:sz w:val="24"/>
                <w:szCs w:val="24"/>
                <w:lang w:val="es-ES" w:eastAsia="es-ES"/>
              </w:rPr>
              <w:t>DIP</w:t>
            </w:r>
            <w:proofErr w:type="spellEnd"/>
            <w:r w:rsidRPr="008D2A24">
              <w:rPr>
                <w:rFonts w:ascii="Century Gothic" w:eastAsia="Times New Roman" w:hAnsi="Century Gothic" w:cs="Arial"/>
                <w:b/>
                <w:color w:val="000000"/>
                <w:sz w:val="24"/>
                <w:szCs w:val="24"/>
                <w:lang w:val="es-ES" w:eastAsia="es-ES"/>
              </w:rPr>
              <w:t>. RENÉ FRÍAS BENCOMO</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fldChar w:fldCharType="begin"/>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MERGEFORMATINET</w:instrText>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3" r:href="rId14"/>
                </v:shape>
              </w:pict>
            </w:r>
            <w:r w:rsidR="00C34B83">
              <w:rPr>
                <w:rFonts w:ascii="Century Gothic" w:eastAsia="Times New Roman" w:hAnsi="Century Gothic" w:cs="Times New Roman"/>
                <w:noProof/>
                <w:color w:val="000000"/>
                <w:sz w:val="24"/>
                <w:szCs w:val="24"/>
                <w:lang w:eastAsia="es-MX"/>
              </w:rPr>
              <w:fldChar w:fldCharType="end"/>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proofErr w:type="spellStart"/>
            <w:r w:rsidRPr="008D2A24">
              <w:rPr>
                <w:rFonts w:ascii="Century Gothic" w:eastAsia="Times New Roman" w:hAnsi="Century Gothic" w:cs="Arial"/>
                <w:b/>
                <w:color w:val="000000"/>
                <w:sz w:val="24"/>
                <w:szCs w:val="24"/>
                <w:lang w:val="es-ES" w:eastAsia="es-ES"/>
              </w:rPr>
              <w:t>DIP</w:t>
            </w:r>
            <w:proofErr w:type="spellEnd"/>
            <w:r w:rsidRPr="008D2A24">
              <w:rPr>
                <w:rFonts w:ascii="Century Gothic" w:eastAsia="Times New Roman" w:hAnsi="Century Gothic" w:cs="Arial"/>
                <w:b/>
                <w:color w:val="000000"/>
                <w:sz w:val="24"/>
                <w:szCs w:val="24"/>
                <w:lang w:val="es-ES" w:eastAsia="es-ES"/>
              </w:rPr>
              <w:t xml:space="preserve">. RUBÉN AGUILAR JIMÉNEZ </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fldChar w:fldCharType="begin"/>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instrText>INCLUDEPICTURE  "http://www.congresochihuahua.gob.mx/diputad</w:instrText>
            </w:r>
            <w:r w:rsidR="00C34B83">
              <w:rPr>
                <w:rFonts w:ascii="Century Gothic" w:eastAsia="Times New Roman" w:hAnsi="Century Gothic" w:cs="Times New Roman"/>
                <w:noProof/>
                <w:color w:val="000000"/>
                <w:sz w:val="24"/>
                <w:szCs w:val="24"/>
                <w:lang w:eastAsia="es-MX"/>
              </w:rPr>
              <w:instrText>os/TimThumb.php?src=imagenes/fotos/1202.jpg&amp;w=260&amp;h=280&amp;zc=1" \* MERGEFORMATINET</w:instrText>
            </w:r>
            <w:r w:rsidR="00C34B83">
              <w:rPr>
                <w:rFonts w:ascii="Century Gothic" w:eastAsia="Times New Roman" w:hAnsi="Century Gothic" w:cs="Times New Roman"/>
                <w:noProof/>
                <w:color w:val="000000"/>
                <w:sz w:val="24"/>
                <w:szCs w:val="24"/>
                <w:lang w:eastAsia="es-MX"/>
              </w:rPr>
              <w:instrText xml:space="preserve"> </w:instrText>
            </w:r>
            <w:r w:rsidR="00C34B83">
              <w:rPr>
                <w:rFonts w:ascii="Century Gothic" w:eastAsia="Times New Roman" w:hAnsi="Century Gothic" w:cs="Times New Roman"/>
                <w:noProof/>
                <w:color w:val="000000"/>
                <w:sz w:val="24"/>
                <w:szCs w:val="24"/>
                <w:lang w:eastAsia="es-MX"/>
              </w:rPr>
              <w:fldChar w:fldCharType="separate"/>
            </w:r>
            <w:r w:rsidR="00C34B83">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5" r:href="rId16"/>
                </v:shape>
              </w:pict>
            </w:r>
            <w:r w:rsidR="00C34B83">
              <w:rPr>
                <w:rFonts w:ascii="Century Gothic" w:eastAsia="Times New Roman" w:hAnsi="Century Gothic" w:cs="Times New Roman"/>
                <w:noProof/>
                <w:color w:val="000000"/>
                <w:sz w:val="24"/>
                <w:szCs w:val="24"/>
                <w:lang w:eastAsia="es-MX"/>
              </w:rPr>
              <w:fldChar w:fldCharType="end"/>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proofErr w:type="spellStart"/>
            <w:r w:rsidRPr="008D2A24">
              <w:rPr>
                <w:rFonts w:ascii="Century Gothic" w:eastAsia="Times New Roman" w:hAnsi="Century Gothic" w:cs="Arial"/>
                <w:b/>
                <w:color w:val="000000"/>
                <w:sz w:val="24"/>
                <w:szCs w:val="24"/>
                <w:lang w:val="es-ES" w:eastAsia="es-ES"/>
              </w:rPr>
              <w:t>DIP</w:t>
            </w:r>
            <w:proofErr w:type="spellEnd"/>
            <w:r w:rsidRPr="008D2A24">
              <w:rPr>
                <w:rFonts w:ascii="Century Gothic" w:eastAsia="Times New Roman" w:hAnsi="Century Gothic" w:cs="Arial"/>
                <w:b/>
                <w:color w:val="000000"/>
                <w:sz w:val="24"/>
                <w:szCs w:val="24"/>
                <w:lang w:val="es-ES" w:eastAsia="es-ES"/>
              </w:rPr>
              <w:t xml:space="preserve">. ALEJANDRO GLORIA GONZÁLEZ </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bl>
    <w:p w:rsidR="00D70291" w:rsidRPr="008D2A24" w:rsidRDefault="00D70291" w:rsidP="00D70291">
      <w:pPr>
        <w:spacing w:after="0" w:line="360" w:lineRule="auto"/>
        <w:jc w:val="both"/>
        <w:rPr>
          <w:rFonts w:ascii="Century Gothic" w:eastAsia="Times New Roman" w:hAnsi="Century Gothic" w:cs="Arial"/>
          <w:sz w:val="24"/>
          <w:szCs w:val="24"/>
          <w:lang w:val="es-ES_tradnl" w:eastAsia="es-ES_tradnl"/>
        </w:rPr>
      </w:pPr>
    </w:p>
    <w:p w:rsidR="002F0EBB" w:rsidRPr="002F0EBB" w:rsidRDefault="00D70291" w:rsidP="002F0EBB">
      <w:pPr>
        <w:spacing w:after="0" w:line="360" w:lineRule="auto"/>
        <w:jc w:val="both"/>
        <w:rPr>
          <w:rFonts w:ascii="Century Gothic" w:eastAsia="Times New Roman" w:hAnsi="Century Gothic" w:cs="Arial"/>
          <w:sz w:val="16"/>
          <w:szCs w:val="16"/>
          <w:lang w:val="es-ES_tradnl" w:eastAsia="es-ES_tradnl"/>
        </w:rPr>
      </w:pPr>
      <w:r w:rsidRPr="002F0EBB">
        <w:rPr>
          <w:rFonts w:ascii="Century Gothic" w:eastAsia="Times New Roman" w:hAnsi="Century Gothic" w:cs="Arial"/>
          <w:sz w:val="16"/>
          <w:szCs w:val="16"/>
          <w:lang w:val="es-ES_tradnl" w:eastAsia="es-ES_tradnl"/>
        </w:rPr>
        <w:t xml:space="preserve">La presente </w:t>
      </w:r>
      <w:proofErr w:type="spellStart"/>
      <w:r w:rsidRPr="002F0EBB">
        <w:rPr>
          <w:rFonts w:ascii="Century Gothic" w:eastAsia="Times New Roman" w:hAnsi="Century Gothic" w:cs="Arial"/>
          <w:sz w:val="16"/>
          <w:szCs w:val="16"/>
          <w:lang w:val="es-ES_tradnl" w:eastAsia="es-ES_tradnl"/>
        </w:rPr>
        <w:t>ho</w:t>
      </w:r>
      <w:proofErr w:type="spellEnd"/>
      <w:r w:rsidRPr="002F0EBB">
        <w:rPr>
          <w:rFonts w:ascii="Century Gothic" w:eastAsia="Times New Roman" w:hAnsi="Century Gothic" w:cs="Arial"/>
          <w:sz w:val="16"/>
          <w:szCs w:val="16"/>
          <w:lang w:eastAsia="es-ES_tradnl"/>
        </w:rPr>
        <w:t xml:space="preserve">ja de firmas corresponde al </w:t>
      </w:r>
      <w:proofErr w:type="gramStart"/>
      <w:r w:rsidRPr="002F0EBB">
        <w:rPr>
          <w:rFonts w:ascii="Century Gothic" w:eastAsia="Times New Roman" w:hAnsi="Century Gothic" w:cs="Arial"/>
          <w:sz w:val="16"/>
          <w:szCs w:val="16"/>
          <w:lang w:eastAsia="es-ES_tradnl"/>
        </w:rPr>
        <w:t>Dictamen  que</w:t>
      </w:r>
      <w:proofErr w:type="gramEnd"/>
      <w:r w:rsidRPr="002F0EBB">
        <w:rPr>
          <w:rFonts w:ascii="Century Gothic" w:eastAsia="Times New Roman" w:hAnsi="Century Gothic" w:cs="Arial"/>
          <w:sz w:val="16"/>
          <w:szCs w:val="16"/>
          <w:lang w:eastAsia="es-ES_tradnl"/>
        </w:rPr>
        <w:t xml:space="preserve"> recae a la iniciativa </w:t>
      </w:r>
      <w:r w:rsidR="002F0EBB" w:rsidRPr="002F0EBB">
        <w:rPr>
          <w:rFonts w:ascii="Century Gothic" w:eastAsia="Times New Roman" w:hAnsi="Century Gothic" w:cs="Arial"/>
          <w:sz w:val="16"/>
          <w:szCs w:val="16"/>
          <w:lang w:eastAsia="es-ES_tradnl"/>
        </w:rPr>
        <w:t xml:space="preserve">número 1958 </w:t>
      </w:r>
      <w:r w:rsidR="002F0EBB" w:rsidRPr="002F0EBB">
        <w:rPr>
          <w:rFonts w:ascii="Century Gothic" w:eastAsia="Times New Roman" w:hAnsi="Century Gothic" w:cs="Arial"/>
          <w:sz w:val="16"/>
          <w:szCs w:val="16"/>
          <w:lang w:val="es-ES_tradnl" w:eastAsia="es-ES_tradnl"/>
        </w:rPr>
        <w:t xml:space="preserve">con carácter de decreto a efecto de reformar y adicionar diversas disposiciones del artículo 28 de la Ley Electoral del Estado de Chihuahua, a fin de ampliar el financiamiento privado a los partidos políticos. </w:t>
      </w:r>
    </w:p>
    <w:sectPr w:rsidR="002F0EBB" w:rsidRPr="002F0EBB" w:rsidSect="00D0634C">
      <w:headerReference w:type="default" r:id="rId17"/>
      <w:footerReference w:type="default" r:id="rId18"/>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85" w:rsidRDefault="00CD5485" w:rsidP="00D70291">
      <w:pPr>
        <w:spacing w:after="0" w:line="240" w:lineRule="auto"/>
      </w:pPr>
      <w:r>
        <w:separator/>
      </w:r>
    </w:p>
  </w:endnote>
  <w:endnote w:type="continuationSeparator" w:id="0">
    <w:p w:rsidR="00CD5485" w:rsidRDefault="00CD5485" w:rsidP="00D7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85" w:rsidRPr="00E23780" w:rsidRDefault="00CD5485" w:rsidP="00D0634C">
    <w:pPr>
      <w:pStyle w:val="Piedepgina"/>
      <w:tabs>
        <w:tab w:val="center" w:pos="4986"/>
        <w:tab w:val="right" w:pos="9972"/>
      </w:tabs>
      <w:jc w:val="right"/>
      <w:rPr>
        <w:sz w:val="18"/>
        <w:szCs w:val="18"/>
      </w:rPr>
    </w:pPr>
    <w:r>
      <w:tab/>
    </w:r>
    <w:r>
      <w:tab/>
    </w:r>
    <w:r>
      <w:rPr>
        <w:lang w:val="es-ES_tradnl"/>
      </w:rPr>
      <w:fldChar w:fldCharType="begin"/>
    </w:r>
    <w:r>
      <w:instrText>PAGE   \* MERGEFORMAT</w:instrText>
    </w:r>
    <w:r>
      <w:rPr>
        <w:lang w:val="es-ES_tradnl"/>
      </w:rPr>
      <w:fldChar w:fldCharType="separate"/>
    </w:r>
    <w:r w:rsidR="00C34B83" w:rsidRPr="00C34B83">
      <w:rPr>
        <w:noProof/>
        <w:lang w:val="es-ES"/>
      </w:rPr>
      <w:t>16</w:t>
    </w:r>
    <w:r>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CD5485" w:rsidRPr="004804CA" w:rsidRDefault="00CD5485" w:rsidP="00D0634C">
    <w:pPr>
      <w:pStyle w:val="Piedepgina"/>
      <w:jc w:val="right"/>
      <w:rPr>
        <w:rFonts w:ascii="Century Gothic" w:hAnsi="Century Gothic"/>
        <w:sz w:val="18"/>
        <w:szCs w:val="18"/>
        <w:lang w:val="en-US"/>
      </w:rPr>
    </w:pPr>
    <w:r>
      <w:rPr>
        <w:rFonts w:ascii="Century Gothic" w:hAnsi="Century Gothic"/>
        <w:sz w:val="18"/>
        <w:szCs w:val="18"/>
        <w:lang w:val="en-US"/>
      </w:rPr>
      <w:t>A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85" w:rsidRDefault="00CD5485" w:rsidP="00D70291">
      <w:pPr>
        <w:spacing w:after="0" w:line="240" w:lineRule="auto"/>
      </w:pPr>
      <w:r>
        <w:separator/>
      </w:r>
    </w:p>
  </w:footnote>
  <w:footnote w:type="continuationSeparator" w:id="0">
    <w:p w:rsidR="00CD5485" w:rsidRDefault="00CD5485" w:rsidP="00D70291">
      <w:pPr>
        <w:spacing w:after="0" w:line="240" w:lineRule="auto"/>
      </w:pPr>
      <w:r>
        <w:continuationSeparator/>
      </w:r>
    </w:p>
  </w:footnote>
  <w:footnote w:id="1">
    <w:p w:rsidR="00CD5485" w:rsidRDefault="00CD5485" w:rsidP="00BE14F6">
      <w:pPr>
        <w:pStyle w:val="Textonotapie"/>
      </w:pPr>
      <w:r>
        <w:rPr>
          <w:rStyle w:val="Refdenotaalpie"/>
        </w:rPr>
        <w:footnoteRef/>
      </w:r>
      <w:r>
        <w:t xml:space="preserve"> Recuperado </w:t>
      </w:r>
      <w:r w:rsidRPr="00BE14F6">
        <w:t xml:space="preserve">de </w:t>
      </w:r>
      <w:hyperlink r:id="rId1" w:history="1">
        <w:r w:rsidRPr="00BE14F6">
          <w:rPr>
            <w:rStyle w:val="Hipervnculo"/>
            <w:color w:val="auto"/>
          </w:rPr>
          <w:t>https://archivos.juridicas.unam.mx/www/bjv/libros/4/1968/6.pdf</w:t>
        </w:r>
      </w:hyperlink>
      <w:r>
        <w:t xml:space="preserve"> el 17 de junio de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85" w:rsidRPr="00F9709B" w:rsidRDefault="00CD5485" w:rsidP="00D0634C">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CD5485" w:rsidRPr="00F9709B" w:rsidRDefault="00CD5485" w:rsidP="00D0634C">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CD5485" w:rsidRDefault="00CD5485" w:rsidP="00D0634C">
    <w:pPr>
      <w:pStyle w:val="Encabezado"/>
      <w:jc w:val="right"/>
      <w:rPr>
        <w:rFonts w:ascii="Century Gothic" w:hAnsi="Century Gothic"/>
        <w:sz w:val="18"/>
        <w:szCs w:val="18"/>
      </w:rPr>
    </w:pPr>
  </w:p>
  <w:p w:rsidR="00CD5485" w:rsidRDefault="00CD5485" w:rsidP="00D0634C">
    <w:pPr>
      <w:pStyle w:val="Encabezado"/>
      <w:jc w:val="right"/>
      <w:rPr>
        <w:rFonts w:ascii="Century Gothic" w:hAnsi="Century Gothic"/>
        <w:sz w:val="18"/>
        <w:szCs w:val="18"/>
      </w:rPr>
    </w:pPr>
  </w:p>
  <w:p w:rsidR="00CD5485" w:rsidRDefault="00CD5485" w:rsidP="00D0634C">
    <w:pPr>
      <w:pStyle w:val="Encabezado"/>
      <w:jc w:val="right"/>
      <w:rPr>
        <w:rFonts w:ascii="Century Gothic" w:hAnsi="Century Gothic"/>
        <w:b/>
      </w:rPr>
    </w:pPr>
    <w:r>
      <w:rPr>
        <w:rFonts w:ascii="Century Gothic" w:hAnsi="Century Gothic"/>
        <w:b/>
      </w:rPr>
      <w:t>LXVI LEGISLATURA</w:t>
    </w:r>
  </w:p>
  <w:p w:rsidR="00CD5485" w:rsidRPr="000A6C7D" w:rsidRDefault="00CD5485" w:rsidP="00D0634C">
    <w:pPr>
      <w:pStyle w:val="Encabezado"/>
      <w:jc w:val="right"/>
      <w:rPr>
        <w:rFonts w:ascii="Century Gothic" w:hAnsi="Century Gothic"/>
        <w:b/>
      </w:rPr>
    </w:pPr>
    <w:proofErr w:type="spellStart"/>
    <w:r>
      <w:rPr>
        <w:rFonts w:ascii="Century Gothic" w:hAnsi="Century Gothic"/>
        <w:b/>
      </w:rPr>
      <w:t>DCPGPC</w:t>
    </w:r>
    <w:proofErr w:type="spellEnd"/>
    <w:r>
      <w:rPr>
        <w:rFonts w:ascii="Century Gothic" w:hAnsi="Century Gothic"/>
        <w:b/>
      </w:rPr>
      <w:t>/36/2020</w:t>
    </w:r>
  </w:p>
  <w:p w:rsidR="00CD5485" w:rsidRPr="002B1678" w:rsidRDefault="00CD5485" w:rsidP="00D063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633BA"/>
    <w:multiLevelType w:val="hybridMultilevel"/>
    <w:tmpl w:val="9864D680"/>
    <w:lvl w:ilvl="0" w:tplc="566E16CA">
      <w:start w:val="1"/>
      <w:numFmt w:val="bullet"/>
      <w:lvlText w:val=""/>
      <w:lvlJc w:val="left"/>
      <w:pPr>
        <w:ind w:left="434" w:hanging="360"/>
      </w:pPr>
      <w:rPr>
        <w:rFonts w:ascii="Symbol" w:eastAsia="Times New Roman" w:hAnsi="Symbol" w:cs="Tahoma" w:hint="default"/>
      </w:rPr>
    </w:lvl>
    <w:lvl w:ilvl="1" w:tplc="080A0003" w:tentative="1">
      <w:start w:val="1"/>
      <w:numFmt w:val="bullet"/>
      <w:lvlText w:val="o"/>
      <w:lvlJc w:val="left"/>
      <w:pPr>
        <w:ind w:left="1154" w:hanging="360"/>
      </w:pPr>
      <w:rPr>
        <w:rFonts w:ascii="Courier New" w:hAnsi="Courier New" w:cs="Courier New" w:hint="default"/>
      </w:rPr>
    </w:lvl>
    <w:lvl w:ilvl="2" w:tplc="080A0005" w:tentative="1">
      <w:start w:val="1"/>
      <w:numFmt w:val="bullet"/>
      <w:lvlText w:val=""/>
      <w:lvlJc w:val="left"/>
      <w:pPr>
        <w:ind w:left="1874" w:hanging="360"/>
      </w:pPr>
      <w:rPr>
        <w:rFonts w:ascii="Wingdings" w:hAnsi="Wingdings" w:hint="default"/>
      </w:rPr>
    </w:lvl>
    <w:lvl w:ilvl="3" w:tplc="080A0001" w:tentative="1">
      <w:start w:val="1"/>
      <w:numFmt w:val="bullet"/>
      <w:lvlText w:val=""/>
      <w:lvlJc w:val="left"/>
      <w:pPr>
        <w:ind w:left="2594" w:hanging="360"/>
      </w:pPr>
      <w:rPr>
        <w:rFonts w:ascii="Symbol" w:hAnsi="Symbol" w:hint="default"/>
      </w:rPr>
    </w:lvl>
    <w:lvl w:ilvl="4" w:tplc="080A0003" w:tentative="1">
      <w:start w:val="1"/>
      <w:numFmt w:val="bullet"/>
      <w:lvlText w:val="o"/>
      <w:lvlJc w:val="left"/>
      <w:pPr>
        <w:ind w:left="3314" w:hanging="360"/>
      </w:pPr>
      <w:rPr>
        <w:rFonts w:ascii="Courier New" w:hAnsi="Courier New" w:cs="Courier New" w:hint="default"/>
      </w:rPr>
    </w:lvl>
    <w:lvl w:ilvl="5" w:tplc="080A0005" w:tentative="1">
      <w:start w:val="1"/>
      <w:numFmt w:val="bullet"/>
      <w:lvlText w:val=""/>
      <w:lvlJc w:val="left"/>
      <w:pPr>
        <w:ind w:left="4034" w:hanging="360"/>
      </w:pPr>
      <w:rPr>
        <w:rFonts w:ascii="Wingdings" w:hAnsi="Wingdings" w:hint="default"/>
      </w:rPr>
    </w:lvl>
    <w:lvl w:ilvl="6" w:tplc="080A0001" w:tentative="1">
      <w:start w:val="1"/>
      <w:numFmt w:val="bullet"/>
      <w:lvlText w:val=""/>
      <w:lvlJc w:val="left"/>
      <w:pPr>
        <w:ind w:left="4754" w:hanging="360"/>
      </w:pPr>
      <w:rPr>
        <w:rFonts w:ascii="Symbol" w:hAnsi="Symbol" w:hint="default"/>
      </w:rPr>
    </w:lvl>
    <w:lvl w:ilvl="7" w:tplc="080A0003" w:tentative="1">
      <w:start w:val="1"/>
      <w:numFmt w:val="bullet"/>
      <w:lvlText w:val="o"/>
      <w:lvlJc w:val="left"/>
      <w:pPr>
        <w:ind w:left="5474" w:hanging="360"/>
      </w:pPr>
      <w:rPr>
        <w:rFonts w:ascii="Courier New" w:hAnsi="Courier New" w:cs="Courier New" w:hint="default"/>
      </w:rPr>
    </w:lvl>
    <w:lvl w:ilvl="8" w:tplc="080A0005" w:tentative="1">
      <w:start w:val="1"/>
      <w:numFmt w:val="bullet"/>
      <w:lvlText w:val=""/>
      <w:lvlJc w:val="left"/>
      <w:pPr>
        <w:ind w:left="6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91"/>
    <w:rsid w:val="00023483"/>
    <w:rsid w:val="00043A9E"/>
    <w:rsid w:val="00074409"/>
    <w:rsid w:val="000810F2"/>
    <w:rsid w:val="000B3F83"/>
    <w:rsid w:val="000F5D2D"/>
    <w:rsid w:val="00176BA5"/>
    <w:rsid w:val="0019215E"/>
    <w:rsid w:val="001C5054"/>
    <w:rsid w:val="00285BBF"/>
    <w:rsid w:val="002F0EBB"/>
    <w:rsid w:val="003119BE"/>
    <w:rsid w:val="003545FB"/>
    <w:rsid w:val="00356524"/>
    <w:rsid w:val="00375C48"/>
    <w:rsid w:val="00381158"/>
    <w:rsid w:val="003C1605"/>
    <w:rsid w:val="004B2C80"/>
    <w:rsid w:val="00553F4E"/>
    <w:rsid w:val="005B53B9"/>
    <w:rsid w:val="0061328A"/>
    <w:rsid w:val="006227B6"/>
    <w:rsid w:val="00640804"/>
    <w:rsid w:val="00654408"/>
    <w:rsid w:val="00670B48"/>
    <w:rsid w:val="00677E1D"/>
    <w:rsid w:val="006A7886"/>
    <w:rsid w:val="006C2B2E"/>
    <w:rsid w:val="0071309D"/>
    <w:rsid w:val="007455A9"/>
    <w:rsid w:val="007F5F7E"/>
    <w:rsid w:val="008764A8"/>
    <w:rsid w:val="00885BC2"/>
    <w:rsid w:val="00A006F5"/>
    <w:rsid w:val="00A262F4"/>
    <w:rsid w:val="00AC76AC"/>
    <w:rsid w:val="00AE5FDC"/>
    <w:rsid w:val="00B95DF9"/>
    <w:rsid w:val="00BB7C39"/>
    <w:rsid w:val="00BC478B"/>
    <w:rsid w:val="00BE14F6"/>
    <w:rsid w:val="00C34B83"/>
    <w:rsid w:val="00C42396"/>
    <w:rsid w:val="00C5269E"/>
    <w:rsid w:val="00CB4A7A"/>
    <w:rsid w:val="00CC5FED"/>
    <w:rsid w:val="00CD5485"/>
    <w:rsid w:val="00D0634C"/>
    <w:rsid w:val="00D2567F"/>
    <w:rsid w:val="00D3465F"/>
    <w:rsid w:val="00D51180"/>
    <w:rsid w:val="00D60FF4"/>
    <w:rsid w:val="00D70291"/>
    <w:rsid w:val="00E3283A"/>
    <w:rsid w:val="00E642A9"/>
    <w:rsid w:val="00EC47A9"/>
    <w:rsid w:val="00F00D00"/>
    <w:rsid w:val="00F207EA"/>
    <w:rsid w:val="00F54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214D69D-57E7-43E9-A0EC-50578DB1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02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291"/>
  </w:style>
  <w:style w:type="paragraph" w:styleId="Encabezado">
    <w:name w:val="header"/>
    <w:basedOn w:val="Normal"/>
    <w:link w:val="EncabezadoCar"/>
    <w:uiPriority w:val="99"/>
    <w:unhideWhenUsed/>
    <w:rsid w:val="00D702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291"/>
  </w:style>
  <w:style w:type="paragraph" w:styleId="Textonotapie">
    <w:name w:val="footnote text"/>
    <w:basedOn w:val="Normal"/>
    <w:link w:val="TextonotapieCar"/>
    <w:uiPriority w:val="99"/>
    <w:semiHidden/>
    <w:unhideWhenUsed/>
    <w:rsid w:val="00D702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291"/>
    <w:rPr>
      <w:sz w:val="20"/>
      <w:szCs w:val="20"/>
    </w:rPr>
  </w:style>
  <w:style w:type="character" w:styleId="Refdenotaalpie">
    <w:name w:val="footnote reference"/>
    <w:basedOn w:val="Fuentedeprrafopredeter"/>
    <w:uiPriority w:val="99"/>
    <w:semiHidden/>
    <w:unhideWhenUsed/>
    <w:rsid w:val="00D70291"/>
    <w:rPr>
      <w:vertAlign w:val="superscript"/>
    </w:rPr>
  </w:style>
  <w:style w:type="character" w:styleId="Hipervnculo">
    <w:name w:val="Hyperlink"/>
    <w:basedOn w:val="Fuentedeprrafopredeter"/>
    <w:uiPriority w:val="99"/>
    <w:semiHidden/>
    <w:unhideWhenUsed/>
    <w:rsid w:val="00D70291"/>
    <w:rPr>
      <w:color w:val="0000FF"/>
      <w:u w:val="single"/>
    </w:rPr>
  </w:style>
  <w:style w:type="paragraph" w:styleId="NormalWeb">
    <w:name w:val="Normal (Web)"/>
    <w:basedOn w:val="Normal"/>
    <w:uiPriority w:val="99"/>
    <w:unhideWhenUsed/>
    <w:rsid w:val="00D702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B7C39"/>
    <w:pPr>
      <w:ind w:left="720"/>
      <w:contextualSpacing/>
    </w:pPr>
  </w:style>
  <w:style w:type="paragraph" w:styleId="Textodeglobo">
    <w:name w:val="Balloon Text"/>
    <w:basedOn w:val="Normal"/>
    <w:link w:val="TextodegloboCar"/>
    <w:uiPriority w:val="99"/>
    <w:semiHidden/>
    <w:unhideWhenUsed/>
    <w:rsid w:val="00C34B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vos.juridicas.unam.mx/www/bjv/libros/4/1968/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8919</Words>
  <Characters>49056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Sonia Pérez Chacón</cp:lastModifiedBy>
  <cp:revision>4</cp:revision>
  <cp:lastPrinted>2020-06-30T19:46:00Z</cp:lastPrinted>
  <dcterms:created xsi:type="dcterms:W3CDTF">2020-06-30T19:45:00Z</dcterms:created>
  <dcterms:modified xsi:type="dcterms:W3CDTF">2020-06-30T19:46:00Z</dcterms:modified>
</cp:coreProperties>
</file>