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F5" w:rsidRDefault="001A08F5" w:rsidP="00332437">
      <w:pPr>
        <w:pStyle w:val="Ttulo1"/>
        <w:tabs>
          <w:tab w:val="left" w:pos="5385"/>
        </w:tabs>
        <w:ind w:left="567"/>
        <w:rPr>
          <w:rFonts w:ascii="Century Gothic" w:hAnsi="Century Gothic"/>
        </w:rPr>
      </w:pPr>
    </w:p>
    <w:p w:rsidR="001A08F5" w:rsidRPr="009568FB" w:rsidRDefault="001A08F5" w:rsidP="00332437">
      <w:pPr>
        <w:pStyle w:val="Ttulo1"/>
        <w:tabs>
          <w:tab w:val="left" w:pos="5385"/>
        </w:tabs>
        <w:ind w:left="567"/>
        <w:rPr>
          <w:rFonts w:ascii="Century Gothic" w:hAnsi="Century Gothic"/>
        </w:rPr>
      </w:pPr>
      <w:r w:rsidRPr="009568FB">
        <w:rPr>
          <w:rFonts w:ascii="Century Gothic" w:hAnsi="Century Gothic"/>
        </w:rPr>
        <w:t>H. CONGRESO DEL ESTADO</w:t>
      </w:r>
    </w:p>
    <w:p w:rsidR="001A08F5" w:rsidRPr="009568FB" w:rsidRDefault="001A08F5" w:rsidP="00332437">
      <w:pPr>
        <w:ind w:left="567"/>
        <w:jc w:val="both"/>
        <w:rPr>
          <w:rFonts w:ascii="Century Gothic" w:hAnsi="Century Gothic" w:cs="Arial"/>
          <w:b/>
          <w:bCs/>
        </w:rPr>
      </w:pPr>
      <w:r w:rsidRPr="009568FB">
        <w:rPr>
          <w:rFonts w:ascii="Century Gothic" w:hAnsi="Century Gothic" w:cs="Arial"/>
          <w:b/>
          <w:bCs/>
        </w:rPr>
        <w:t>P R E S E N T E. –</w:t>
      </w:r>
    </w:p>
    <w:p w:rsidR="001A08F5" w:rsidRPr="009568FB" w:rsidRDefault="001A08F5" w:rsidP="00332437">
      <w:pPr>
        <w:tabs>
          <w:tab w:val="left" w:pos="6840"/>
        </w:tabs>
        <w:spacing w:line="360" w:lineRule="auto"/>
        <w:ind w:left="567"/>
        <w:jc w:val="both"/>
        <w:rPr>
          <w:rFonts w:ascii="Century Gothic" w:hAnsi="Century Gothic" w:cs="Arial"/>
          <w:b/>
          <w:bCs/>
        </w:rPr>
      </w:pPr>
      <w:r>
        <w:rPr>
          <w:rFonts w:ascii="Century Gothic" w:hAnsi="Century Gothic" w:cs="Arial"/>
          <w:b/>
          <w:bCs/>
        </w:rPr>
        <w:tab/>
      </w:r>
    </w:p>
    <w:p w:rsidR="001A08F5" w:rsidRPr="009568FB" w:rsidRDefault="001A08F5" w:rsidP="00332437">
      <w:pPr>
        <w:pStyle w:val="Textoindependiente"/>
        <w:spacing w:line="360" w:lineRule="auto"/>
        <w:ind w:left="567"/>
        <w:rPr>
          <w:rFonts w:ascii="Century Gothic" w:hAnsi="Century Gothic" w:cs="Arial"/>
        </w:rPr>
      </w:pPr>
      <w:r>
        <w:rPr>
          <w:rFonts w:ascii="Century Gothic" w:hAnsi="Century Gothic" w:cs="Arial"/>
        </w:rPr>
        <w:t>La Comisión de Economía, Turismo y Servicios</w:t>
      </w:r>
      <w:r w:rsidRPr="009568FB">
        <w:rPr>
          <w:rFonts w:ascii="Century Gothic" w:hAnsi="Century Gothic" w:cs="Arial"/>
        </w:rPr>
        <w:t xml:space="preserve">, </w:t>
      </w:r>
      <w:r w:rsidRPr="0002744E">
        <w:rPr>
          <w:rFonts w:ascii="Century Gothic" w:eastAsia="Arial" w:hAnsi="Century Gothic" w:cs="Arial"/>
        </w:rPr>
        <w:t>con fundamento en lo dispuesto</w:t>
      </w:r>
      <w:r>
        <w:rPr>
          <w:rFonts w:ascii="Century Gothic" w:eastAsia="Arial" w:hAnsi="Century Gothic" w:cs="Arial"/>
        </w:rPr>
        <w:t xml:space="preserve"> por el artículo</w:t>
      </w:r>
      <w:r w:rsidR="004E18B1">
        <w:rPr>
          <w:rFonts w:ascii="Century Gothic" w:eastAsia="Arial" w:hAnsi="Century Gothic" w:cs="Arial"/>
        </w:rPr>
        <w:t xml:space="preserve"> 58</w:t>
      </w:r>
      <w:r w:rsidRPr="003B1094">
        <w:rPr>
          <w:rFonts w:ascii="Century Gothic" w:eastAsia="Arial" w:hAnsi="Century Gothic" w:cs="Arial"/>
        </w:rPr>
        <w:t>, fracción I de la Constitución Política del Estado de Chihuahua; los artículos 87, 88 y 111 de la Ley Orgánica; así como por los artículos 80 y 81 del Reglamento Interior y de Prácticas Parlamentarias</w:t>
      </w:r>
      <w:r>
        <w:rPr>
          <w:rFonts w:ascii="Century Gothic" w:eastAsia="Arial" w:hAnsi="Century Gothic" w:cs="Arial"/>
        </w:rPr>
        <w:t>, ambos ordenamientos del Poder Legislativo del Estado de Chihuahua;</w:t>
      </w:r>
      <w:r w:rsidRPr="0002744E">
        <w:rPr>
          <w:rFonts w:ascii="Century Gothic" w:eastAsia="Arial" w:hAnsi="Century Gothic" w:cs="Arial"/>
        </w:rPr>
        <w:t xml:space="preserve"> somete a la consideración del Pleno el presente Dictamen, elaborado con base en los siguientes</w:t>
      </w:r>
      <w:r>
        <w:rPr>
          <w:rFonts w:ascii="Century Gothic" w:eastAsia="Arial" w:hAnsi="Century Gothic" w:cs="Arial"/>
        </w:rPr>
        <w:t>:</w:t>
      </w:r>
    </w:p>
    <w:p w:rsidR="001A08F5" w:rsidRDefault="001A08F5" w:rsidP="00332437">
      <w:pPr>
        <w:pStyle w:val="Textoindependiente"/>
        <w:ind w:firstLine="993"/>
        <w:rPr>
          <w:rFonts w:ascii="Century Gothic" w:hAnsi="Century Gothic" w:cs="Arial"/>
          <w:b/>
        </w:rPr>
      </w:pPr>
    </w:p>
    <w:p w:rsidR="001A08F5" w:rsidRPr="009568FB" w:rsidRDefault="001A08F5" w:rsidP="00332437">
      <w:pPr>
        <w:pStyle w:val="Textoindependiente"/>
        <w:ind w:firstLine="993"/>
        <w:rPr>
          <w:rFonts w:ascii="Century Gothic" w:hAnsi="Century Gothic" w:cs="Arial"/>
          <w:b/>
        </w:rPr>
      </w:pPr>
    </w:p>
    <w:p w:rsidR="001A08F5" w:rsidRDefault="001A08F5" w:rsidP="00332437">
      <w:pPr>
        <w:pStyle w:val="Ttulo2"/>
        <w:spacing w:line="360" w:lineRule="auto"/>
        <w:rPr>
          <w:rFonts w:ascii="Century Gothic" w:hAnsi="Century Gothic" w:cs="Arial"/>
        </w:rPr>
      </w:pPr>
      <w:r w:rsidRPr="009568FB">
        <w:rPr>
          <w:rFonts w:ascii="Century Gothic" w:hAnsi="Century Gothic" w:cs="Arial"/>
        </w:rPr>
        <w:t>A N T E C E D E N T E S</w:t>
      </w:r>
    </w:p>
    <w:p w:rsidR="001A08F5" w:rsidRPr="009F2AAC" w:rsidRDefault="001A08F5" w:rsidP="00332437"/>
    <w:p w:rsidR="001A08F5" w:rsidRPr="009568FB" w:rsidRDefault="001A08F5" w:rsidP="00332437">
      <w:pPr>
        <w:rPr>
          <w:rFonts w:ascii="Century Gothic" w:hAnsi="Century Gothic" w:cs="Arial"/>
        </w:rPr>
      </w:pPr>
    </w:p>
    <w:p w:rsidR="001A08F5" w:rsidRDefault="001A08F5" w:rsidP="00332437">
      <w:pPr>
        <w:shd w:val="clear" w:color="auto" w:fill="FFFFFF"/>
        <w:tabs>
          <w:tab w:val="left" w:pos="9639"/>
        </w:tabs>
        <w:spacing w:line="360" w:lineRule="auto"/>
        <w:ind w:left="567"/>
        <w:jc w:val="both"/>
        <w:rPr>
          <w:rFonts w:ascii="Century Gothic" w:hAnsi="Century Gothic" w:cs="Arial"/>
        </w:rPr>
      </w:pPr>
      <w:r w:rsidRPr="009568FB">
        <w:rPr>
          <w:rFonts w:ascii="Century Gothic" w:hAnsi="Century Gothic" w:cs="Arial"/>
          <w:b/>
          <w:bCs/>
        </w:rPr>
        <w:t xml:space="preserve">I.- </w:t>
      </w:r>
      <w:r>
        <w:rPr>
          <w:rFonts w:ascii="Century Gothic" w:hAnsi="Century Gothic" w:cs="Arial"/>
        </w:rPr>
        <w:t>Con fecha catorce de agosto de dos mil diecinueve, el Diputado Omar Bazán Flores, integrante del Grupo Parlamentario del Partido Revolucionario Institucional, presentó I</w:t>
      </w:r>
      <w:r w:rsidRPr="00E24D27">
        <w:rPr>
          <w:rFonts w:ascii="Century Gothic" w:hAnsi="Century Gothic" w:cs="Arial"/>
        </w:rPr>
        <w:t>niciativa mediante la cual propone</w:t>
      </w:r>
      <w:r>
        <w:rPr>
          <w:rFonts w:ascii="Century Gothic" w:hAnsi="Century Gothic" w:cs="Arial"/>
        </w:rPr>
        <w:t xml:space="preserve"> exhortar a la Secretaría de Comunicaciones y Transportes del Gobierno Federal y al Instituto Federal de Telecomunicaciones, para que en el ejercicio de sus atribuciones y conforme a lo previsto en la Ley Federal de Telecomunicaciones y </w:t>
      </w:r>
      <w:r w:rsidR="00696DF3">
        <w:rPr>
          <w:rFonts w:ascii="Century Gothic" w:hAnsi="Century Gothic" w:cs="Arial"/>
        </w:rPr>
        <w:t>Radiodifusión</w:t>
      </w:r>
      <w:r>
        <w:rPr>
          <w:rFonts w:ascii="Century Gothic" w:hAnsi="Century Gothic" w:cs="Arial"/>
        </w:rPr>
        <w:t>, amplíen a los concesionarios de telefonía celular e internet con cobertura en el Estado</w:t>
      </w:r>
      <w:r w:rsidR="009B795B">
        <w:rPr>
          <w:rFonts w:ascii="Century Gothic" w:hAnsi="Century Gothic" w:cs="Arial"/>
        </w:rPr>
        <w:t xml:space="preserve"> de Chihuahua, las obligaciones </w:t>
      </w:r>
      <w:r>
        <w:rPr>
          <w:rFonts w:ascii="Century Gothic" w:hAnsi="Century Gothic" w:cs="Arial"/>
        </w:rPr>
        <w:t xml:space="preserve">de cobertura geográfica, poblacional o social, de conectividad en sitios </w:t>
      </w:r>
      <w:r w:rsidR="00696DF3">
        <w:rPr>
          <w:rFonts w:ascii="Century Gothic" w:hAnsi="Century Gothic" w:cs="Arial"/>
        </w:rPr>
        <w:t>públicos</w:t>
      </w:r>
      <w:r w:rsidR="008E3694">
        <w:rPr>
          <w:rFonts w:ascii="Century Gothic" w:hAnsi="Century Gothic" w:cs="Arial"/>
        </w:rPr>
        <w:t xml:space="preserve"> y de contribución </w:t>
      </w:r>
      <w:r>
        <w:rPr>
          <w:rFonts w:ascii="Century Gothic" w:hAnsi="Century Gothic" w:cs="Arial"/>
        </w:rPr>
        <w:t>a la cobe</w:t>
      </w:r>
      <w:r w:rsidR="00D370C4">
        <w:rPr>
          <w:rFonts w:ascii="Century Gothic" w:hAnsi="Century Gothic" w:cs="Arial"/>
        </w:rPr>
        <w:t xml:space="preserve">rtura universal, en los </w:t>
      </w:r>
      <w:r w:rsidR="00696DF3">
        <w:rPr>
          <w:rFonts w:ascii="Century Gothic" w:hAnsi="Century Gothic" w:cs="Arial"/>
        </w:rPr>
        <w:t>términos</w:t>
      </w:r>
      <w:r w:rsidR="00D370C4">
        <w:rPr>
          <w:rFonts w:ascii="Century Gothic" w:hAnsi="Century Gothic" w:cs="Arial"/>
        </w:rPr>
        <w:t xml:space="preserve"> previstos en la Ley. </w:t>
      </w:r>
    </w:p>
    <w:p w:rsidR="001A08F5" w:rsidRDefault="001A08F5" w:rsidP="001A08F5">
      <w:pPr>
        <w:shd w:val="clear" w:color="auto" w:fill="FFFFFF"/>
        <w:tabs>
          <w:tab w:val="left" w:pos="9763"/>
        </w:tabs>
        <w:spacing w:line="360" w:lineRule="auto"/>
        <w:jc w:val="both"/>
        <w:rPr>
          <w:rFonts w:ascii="Century Gothic" w:hAnsi="Century Gothic" w:cs="Arial"/>
        </w:rPr>
      </w:pPr>
    </w:p>
    <w:p w:rsidR="001A08F5" w:rsidRDefault="001A08F5" w:rsidP="00332437">
      <w:pPr>
        <w:shd w:val="clear" w:color="auto" w:fill="FFFFFF"/>
        <w:tabs>
          <w:tab w:val="left" w:pos="9639"/>
        </w:tabs>
        <w:spacing w:line="360" w:lineRule="auto"/>
        <w:ind w:left="567"/>
        <w:jc w:val="both"/>
        <w:rPr>
          <w:rFonts w:ascii="Century Gothic" w:eastAsia="Arial" w:hAnsi="Century Gothic" w:cs="Arial"/>
        </w:rPr>
      </w:pPr>
      <w:r w:rsidRPr="00E24D27">
        <w:rPr>
          <w:rFonts w:ascii="Century Gothic" w:hAnsi="Century Gothic" w:cs="Arial"/>
          <w:b/>
        </w:rPr>
        <w:t>II.-</w:t>
      </w:r>
      <w:r>
        <w:rPr>
          <w:rFonts w:ascii="Century Gothic" w:hAnsi="Century Gothic" w:cs="Arial"/>
        </w:rPr>
        <w:t xml:space="preserve"> La Presidencia del H. Congreso del Estado, con fecha </w:t>
      </w:r>
      <w:r w:rsidR="004B40AC">
        <w:rPr>
          <w:rFonts w:ascii="Century Gothic" w:hAnsi="Century Gothic" w:cs="Arial"/>
        </w:rPr>
        <w:t xml:space="preserve">diecinueve de agosto </w:t>
      </w:r>
      <w:r>
        <w:rPr>
          <w:rFonts w:ascii="Century Gothic" w:hAnsi="Century Gothic" w:cs="Arial"/>
        </w:rPr>
        <w:t xml:space="preserve">del año dos mil diecinueve, y en </w:t>
      </w:r>
      <w:r>
        <w:rPr>
          <w:rFonts w:ascii="Century Gothic" w:eastAsia="Arial" w:hAnsi="Century Gothic" w:cs="Arial"/>
        </w:rPr>
        <w:t>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w:t>
      </w:r>
    </w:p>
    <w:p w:rsidR="001A08F5" w:rsidRPr="00BF48B7" w:rsidRDefault="001A08F5" w:rsidP="00332437">
      <w:pPr>
        <w:shd w:val="clear" w:color="auto" w:fill="FFFFFF"/>
        <w:tabs>
          <w:tab w:val="left" w:pos="9763"/>
        </w:tabs>
        <w:ind w:left="567"/>
        <w:jc w:val="both"/>
        <w:rPr>
          <w:rFonts w:ascii="Century Gothic" w:hAnsi="Century Gothic" w:cs="Arial"/>
        </w:rPr>
      </w:pPr>
    </w:p>
    <w:p w:rsidR="001A08F5" w:rsidRDefault="001A08F5" w:rsidP="00332437">
      <w:pPr>
        <w:pStyle w:val="Textoindependiente"/>
        <w:spacing w:line="360" w:lineRule="auto"/>
        <w:ind w:left="567"/>
        <w:rPr>
          <w:rFonts w:ascii="Century Gothic" w:hAnsi="Century Gothic" w:cs="Arial"/>
          <w:bCs/>
        </w:rPr>
      </w:pPr>
      <w:r w:rsidRPr="009568FB">
        <w:rPr>
          <w:rFonts w:ascii="Century Gothic" w:hAnsi="Century Gothic" w:cs="Arial"/>
          <w:b/>
          <w:bCs/>
        </w:rPr>
        <w:t>II</w:t>
      </w:r>
      <w:r>
        <w:rPr>
          <w:rFonts w:ascii="Century Gothic" w:hAnsi="Century Gothic" w:cs="Arial"/>
          <w:b/>
          <w:bCs/>
        </w:rPr>
        <w:t>I</w:t>
      </w:r>
      <w:r w:rsidRPr="009568FB">
        <w:rPr>
          <w:rFonts w:ascii="Century Gothic" w:hAnsi="Century Gothic" w:cs="Arial"/>
          <w:b/>
          <w:bCs/>
        </w:rPr>
        <w:t xml:space="preserve">.- </w:t>
      </w:r>
      <w:r w:rsidRPr="009568FB">
        <w:rPr>
          <w:rFonts w:ascii="Century Gothic" w:hAnsi="Century Gothic" w:cs="Arial"/>
          <w:bCs/>
        </w:rPr>
        <w:t xml:space="preserve">La Iniciativa </w:t>
      </w:r>
      <w:r>
        <w:rPr>
          <w:rFonts w:ascii="Century Gothic" w:hAnsi="Century Gothic" w:cs="Arial"/>
          <w:bCs/>
        </w:rPr>
        <w:t>se sustenta en la siguiente exposición de motivos:</w:t>
      </w:r>
    </w:p>
    <w:p w:rsidR="001A08F5" w:rsidRPr="00E65428" w:rsidRDefault="001A08F5" w:rsidP="00CD0001">
      <w:pPr>
        <w:spacing w:line="360" w:lineRule="auto"/>
        <w:ind w:left="284" w:right="567"/>
        <w:jc w:val="center"/>
        <w:rPr>
          <w:rFonts w:ascii="Century Gothic" w:hAnsi="Century Gothic" w:cs="Arial"/>
          <w:i/>
        </w:rPr>
      </w:pPr>
    </w:p>
    <w:p w:rsidR="00F44AA2" w:rsidRPr="00F44AA2" w:rsidRDefault="00F44AA2" w:rsidP="00CD0001">
      <w:pPr>
        <w:tabs>
          <w:tab w:val="left" w:pos="9072"/>
        </w:tabs>
        <w:spacing w:line="360" w:lineRule="auto"/>
        <w:ind w:left="1134" w:right="567"/>
        <w:jc w:val="center"/>
        <w:rPr>
          <w:rFonts w:ascii="Century Gothic" w:hAnsi="Century Gothic" w:cs="Arial"/>
          <w:b/>
          <w:i/>
        </w:rPr>
      </w:pPr>
      <w:proofErr w:type="gramStart"/>
      <w:r w:rsidRPr="00F44AA2">
        <w:rPr>
          <w:rFonts w:ascii="Century Gothic" w:hAnsi="Century Gothic" w:cs="Arial"/>
          <w:b/>
          <w:i/>
        </w:rPr>
        <w:t>“ EXPOSICIÓN</w:t>
      </w:r>
      <w:proofErr w:type="gramEnd"/>
      <w:r w:rsidRPr="00F44AA2">
        <w:rPr>
          <w:rFonts w:ascii="Century Gothic" w:hAnsi="Century Gothic" w:cs="Arial"/>
          <w:b/>
          <w:i/>
        </w:rPr>
        <w:t xml:space="preserve"> DE MOTIVOS</w:t>
      </w:r>
    </w:p>
    <w:p w:rsidR="00F44AA2" w:rsidRPr="00F44AA2" w:rsidRDefault="00F44AA2" w:rsidP="00CD0001">
      <w:pPr>
        <w:tabs>
          <w:tab w:val="left" w:pos="9072"/>
        </w:tabs>
        <w:spacing w:line="360" w:lineRule="auto"/>
        <w:ind w:left="1134" w:right="567"/>
        <w:jc w:val="both"/>
        <w:rPr>
          <w:rFonts w:ascii="Century Gothic" w:hAnsi="Century Gothic" w:cs="Arial"/>
          <w:i/>
        </w:rPr>
      </w:pPr>
    </w:p>
    <w:p w:rsidR="00F44AA2" w:rsidRPr="00F44AA2" w:rsidRDefault="00F44AA2" w:rsidP="00CD0001">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Los actos discriminatorios atentan en mayor medida con</w:t>
      </w:r>
      <w:r w:rsidR="00B51F40">
        <w:rPr>
          <w:rFonts w:ascii="Century Gothic" w:hAnsi="Century Gothic" w:cs="Arial"/>
          <w:i/>
        </w:rPr>
        <w:t xml:space="preserve">tra los grupos sociales que </w:t>
      </w:r>
      <w:r w:rsidRPr="00F44AA2">
        <w:rPr>
          <w:rFonts w:ascii="Century Gothic" w:hAnsi="Century Gothic" w:cs="Arial"/>
          <w:i/>
        </w:rPr>
        <w:t xml:space="preserve">se encuentran en situación vulnerable ya de suyo desprotegidos. La reacción natural del Estado es dictar normas protectoras, máxime cuando en el orden </w:t>
      </w:r>
      <w:proofErr w:type="gramStart"/>
      <w:r w:rsidRPr="00F44AA2">
        <w:rPr>
          <w:rFonts w:ascii="Century Gothic" w:hAnsi="Century Gothic" w:cs="Arial"/>
          <w:i/>
        </w:rPr>
        <w:t>jurídico internacional esa</w:t>
      </w:r>
      <w:proofErr w:type="gramEnd"/>
      <w:r w:rsidRPr="00F44AA2">
        <w:rPr>
          <w:rFonts w:ascii="Century Gothic" w:hAnsi="Century Gothic" w:cs="Arial"/>
          <w:i/>
        </w:rPr>
        <w:t xml:space="preserve"> es la exigencia.</w:t>
      </w:r>
    </w:p>
    <w:p w:rsidR="0026414B" w:rsidRDefault="0026414B" w:rsidP="00CD0001">
      <w:pPr>
        <w:tabs>
          <w:tab w:val="left" w:pos="9072"/>
        </w:tabs>
        <w:spacing w:line="360" w:lineRule="auto"/>
        <w:ind w:left="1134" w:right="567"/>
        <w:jc w:val="both"/>
        <w:rPr>
          <w:rFonts w:ascii="Century Gothic" w:hAnsi="Century Gothic" w:cs="Arial"/>
          <w:i/>
        </w:rPr>
      </w:pPr>
    </w:p>
    <w:p w:rsidR="00F44AA2" w:rsidRPr="00F44AA2" w:rsidRDefault="00F44AA2" w:rsidP="00CD0001">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En ese contexto la reforma constitucional en</w:t>
      </w:r>
      <w:r w:rsidR="0035695D">
        <w:rPr>
          <w:rFonts w:ascii="Century Gothic" w:hAnsi="Century Gothic" w:cs="Arial"/>
          <w:i/>
        </w:rPr>
        <w:t xml:space="preserve"> materia de derechos humanos,</w:t>
      </w:r>
      <w:r w:rsidRPr="00F44AA2">
        <w:rPr>
          <w:rFonts w:ascii="Century Gothic" w:hAnsi="Century Gothic" w:cs="Arial"/>
          <w:i/>
        </w:rPr>
        <w:t xml:space="preserve"> publicada en el Diario Oficial de la Federación el 10 de junio de 2011, generó nuevos deberes para las autoridades del Estado Mexicano, en el sentido de promover,  respetar, proteger y garantizar los derechos human</w:t>
      </w:r>
      <w:r w:rsidR="00B51F40">
        <w:rPr>
          <w:rFonts w:ascii="Century Gothic" w:hAnsi="Century Gothic" w:cs="Arial"/>
          <w:i/>
        </w:rPr>
        <w:t xml:space="preserve">os, con independencia de su </w:t>
      </w:r>
      <w:r w:rsidRPr="00F44AA2">
        <w:rPr>
          <w:rFonts w:ascii="Century Gothic" w:hAnsi="Century Gothic" w:cs="Arial"/>
          <w:i/>
        </w:rPr>
        <w:t xml:space="preserve">fuente, es la propia Constitución Política de los Estados Unidos Mexicanos que reconoce diversos derechos humanos económicos, sociales y </w:t>
      </w:r>
      <w:r w:rsidRPr="00F44AA2">
        <w:rPr>
          <w:rFonts w:ascii="Century Gothic" w:hAnsi="Century Gothic" w:cs="Arial"/>
          <w:i/>
        </w:rPr>
        <w:lastRenderedPageBreak/>
        <w:t>culturales como la alimentación nutritiva, suficiente y de calidad; la educ</w:t>
      </w:r>
      <w:r w:rsidR="00B51F40">
        <w:rPr>
          <w:rFonts w:ascii="Century Gothic" w:hAnsi="Century Gothic" w:cs="Arial"/>
          <w:i/>
        </w:rPr>
        <w:t xml:space="preserve">ación de calidad; el acceso a </w:t>
      </w:r>
      <w:r w:rsidRPr="00F44AA2">
        <w:rPr>
          <w:rFonts w:ascii="Century Gothic" w:hAnsi="Century Gothic" w:cs="Arial"/>
          <w:i/>
        </w:rPr>
        <w:t>los servicios de protección de la salud; un medio ambiente adecuado para el  desarrollo y bienestar de las personas; la vivienda digna y decorosa; el acceso a la cultura; el acceso a la información y a sus tecnologías, así como a los servicios de radiodifusión y telecomunicaciones, incluido el Internet y la telefonía celular; además  los distintos derechos humanos bajo los principios de interd</w:t>
      </w:r>
      <w:r w:rsidR="00B51F40">
        <w:rPr>
          <w:rFonts w:ascii="Century Gothic" w:hAnsi="Century Gothic" w:cs="Arial"/>
          <w:i/>
        </w:rPr>
        <w:t xml:space="preserve">ependencia y </w:t>
      </w:r>
      <w:r w:rsidRPr="00F44AA2">
        <w:rPr>
          <w:rFonts w:ascii="Century Gothic" w:hAnsi="Century Gothic" w:cs="Arial"/>
          <w:i/>
        </w:rPr>
        <w:t>universalidad, se conjugan para ejercerse conjuntament</w:t>
      </w:r>
      <w:r w:rsidR="00B51F40">
        <w:rPr>
          <w:rFonts w:ascii="Century Gothic" w:hAnsi="Century Gothic" w:cs="Arial"/>
          <w:i/>
        </w:rPr>
        <w:t xml:space="preserve">e haciéndose efectivos </w:t>
      </w:r>
      <w:r w:rsidRPr="00F44AA2">
        <w:rPr>
          <w:rFonts w:ascii="Century Gothic" w:hAnsi="Century Gothic" w:cs="Arial"/>
          <w:i/>
        </w:rPr>
        <w:t>unos a otros.</w:t>
      </w:r>
    </w:p>
    <w:p w:rsidR="00F44AA2" w:rsidRPr="00F44AA2" w:rsidRDefault="00F44AA2" w:rsidP="00CD0001">
      <w:pPr>
        <w:tabs>
          <w:tab w:val="left" w:pos="9072"/>
        </w:tabs>
        <w:spacing w:line="360" w:lineRule="auto"/>
        <w:ind w:left="1134" w:right="567"/>
        <w:jc w:val="both"/>
        <w:rPr>
          <w:rFonts w:ascii="Century Gothic" w:hAnsi="Century Gothic" w:cs="Arial"/>
          <w:i/>
        </w:rPr>
      </w:pPr>
    </w:p>
    <w:p w:rsidR="00F44AA2" w:rsidRPr="00F44AA2" w:rsidRDefault="00F44AA2" w:rsidP="00CD0001">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Por universalidad debemos entender que los derechos humanos son inherentes a  todos y conciernen a la comunidad internacional en su t</w:t>
      </w:r>
      <w:r w:rsidR="00B51F40">
        <w:rPr>
          <w:rFonts w:ascii="Century Gothic" w:hAnsi="Century Gothic" w:cs="Arial"/>
          <w:i/>
        </w:rPr>
        <w:t xml:space="preserve">otalidad; en esta medida,   </w:t>
      </w:r>
      <w:r w:rsidRPr="00F44AA2">
        <w:rPr>
          <w:rFonts w:ascii="Century Gothic" w:hAnsi="Century Gothic" w:cs="Arial"/>
          <w:i/>
        </w:rPr>
        <w:t>son inviolables, lo que no quiere decir que sean absolutos, sino que son protegidos porque no puede infringirse la dignidad humana, pues lo</w:t>
      </w:r>
      <w:r w:rsidR="00B51F40">
        <w:rPr>
          <w:rFonts w:ascii="Century Gothic" w:hAnsi="Century Gothic" w:cs="Arial"/>
          <w:i/>
        </w:rPr>
        <w:t xml:space="preserve"> razonable es pensar que </w:t>
      </w:r>
      <w:r w:rsidRPr="00F44AA2">
        <w:rPr>
          <w:rFonts w:ascii="Century Gothic" w:hAnsi="Century Gothic" w:cs="Arial"/>
          <w:i/>
        </w:rPr>
        <w:t xml:space="preserve">se adecuan a las circunstancias; por ello, en razón de esta flexibilidad es que son universales, ya que su naturaleza permite que, al amoldarse a las contingencias, siempre estén con la persona. En relación con lo anterior, la Corte Interamericana de Derechos Humanos (Caso de la "Masacre de </w:t>
      </w:r>
      <w:proofErr w:type="spellStart"/>
      <w:r w:rsidRPr="00F44AA2">
        <w:rPr>
          <w:rFonts w:ascii="Century Gothic" w:hAnsi="Century Gothic" w:cs="Arial"/>
          <w:i/>
        </w:rPr>
        <w:t>Mapiripán</w:t>
      </w:r>
      <w:proofErr w:type="spellEnd"/>
      <w:r w:rsidRPr="00F44AA2">
        <w:rPr>
          <w:rFonts w:ascii="Century Gothic" w:hAnsi="Century Gothic" w:cs="Arial"/>
          <w:i/>
        </w:rPr>
        <w:t xml:space="preserve"> vs Colombia) ha           señalado que los tratados de derechos humanos son instrumentos vivos, cuya interpretación tiene que acompañar la evolución de los tiempos y las condiciones de vida actuales, interpretación evolutiva que es consecuente con las re</w:t>
      </w:r>
      <w:r w:rsidR="00B51F40">
        <w:rPr>
          <w:rFonts w:ascii="Century Gothic" w:hAnsi="Century Gothic" w:cs="Arial"/>
          <w:i/>
        </w:rPr>
        <w:t xml:space="preserve">glas generales </w:t>
      </w:r>
      <w:r w:rsidRPr="00F44AA2">
        <w:rPr>
          <w:rFonts w:ascii="Century Gothic" w:hAnsi="Century Gothic" w:cs="Arial"/>
          <w:i/>
        </w:rPr>
        <w:t xml:space="preserve">de interpretación </w:t>
      </w:r>
      <w:r w:rsidRPr="00F44AA2">
        <w:rPr>
          <w:rFonts w:ascii="Century Gothic" w:hAnsi="Century Gothic" w:cs="Arial"/>
          <w:i/>
        </w:rPr>
        <w:lastRenderedPageBreak/>
        <w:t xml:space="preserve">consagradas en </w:t>
      </w:r>
      <w:r w:rsidR="00B51F40">
        <w:rPr>
          <w:rFonts w:ascii="Century Gothic" w:hAnsi="Century Gothic" w:cs="Arial"/>
          <w:i/>
        </w:rPr>
        <w:t xml:space="preserve">el artículo 29 de la Convención </w:t>
      </w:r>
      <w:r w:rsidRPr="00F44AA2">
        <w:rPr>
          <w:rFonts w:ascii="Century Gothic" w:hAnsi="Century Gothic" w:cs="Arial"/>
          <w:i/>
        </w:rPr>
        <w:t>Americana sobre Derechos Humanos, así como las establecidas por la Co</w:t>
      </w:r>
      <w:r w:rsidR="00B51F40">
        <w:rPr>
          <w:rFonts w:ascii="Century Gothic" w:hAnsi="Century Gothic" w:cs="Arial"/>
          <w:i/>
        </w:rPr>
        <w:t xml:space="preserve">nvención de Viena sobre </w:t>
      </w:r>
      <w:r w:rsidRPr="00F44AA2">
        <w:rPr>
          <w:rFonts w:ascii="Century Gothic" w:hAnsi="Century Gothic" w:cs="Arial"/>
          <w:i/>
        </w:rPr>
        <w:t xml:space="preserve"> el Derecho de los Tratados.</w:t>
      </w:r>
    </w:p>
    <w:p w:rsidR="00F44AA2" w:rsidRPr="00F44AA2" w:rsidRDefault="00F44AA2" w:rsidP="00CD0001">
      <w:pPr>
        <w:tabs>
          <w:tab w:val="left" w:pos="9072"/>
        </w:tabs>
        <w:spacing w:line="360" w:lineRule="auto"/>
        <w:ind w:left="1134" w:right="567"/>
        <w:jc w:val="both"/>
        <w:rPr>
          <w:rFonts w:ascii="Century Gothic" w:hAnsi="Century Gothic" w:cs="Arial"/>
          <w:i/>
        </w:rPr>
      </w:pPr>
    </w:p>
    <w:p w:rsidR="00F44AA2" w:rsidRPr="00F44AA2" w:rsidRDefault="00F44AA2" w:rsidP="00CD0001">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La interdependencia e indivisibilidad de los derechos humanos implica que están relacionados entre sí, esto es, no puede hacerse ninguna separación ni pensar que unos son más importantes que otros, deben interpretarse y tomarse en su conjunto  y no como elementos aislados. Todos los derechos humanos y las libertades fundamentales son indivisibles e interdependientes; debe darse igual atención y  urgente consideración a la aplicación, promoción y p</w:t>
      </w:r>
      <w:r w:rsidR="00B51F40">
        <w:rPr>
          <w:rFonts w:ascii="Century Gothic" w:hAnsi="Century Gothic" w:cs="Arial"/>
          <w:i/>
        </w:rPr>
        <w:t xml:space="preserve">rotección de los derechos </w:t>
      </w:r>
      <w:r w:rsidRPr="00F44AA2">
        <w:rPr>
          <w:rFonts w:ascii="Century Gothic" w:hAnsi="Century Gothic" w:cs="Arial"/>
          <w:i/>
        </w:rPr>
        <w:t>civiles, políticos, económicos, sociales y culturales; esto es, complementarse, potenciarse o reforzarse recíprocamente.</w:t>
      </w:r>
    </w:p>
    <w:p w:rsidR="00F44AA2" w:rsidRPr="00F44AA2" w:rsidRDefault="00F44AA2" w:rsidP="00CD0001">
      <w:pPr>
        <w:tabs>
          <w:tab w:val="left" w:pos="9072"/>
        </w:tabs>
        <w:spacing w:line="360" w:lineRule="auto"/>
        <w:ind w:left="1134" w:right="567"/>
        <w:jc w:val="both"/>
        <w:rPr>
          <w:rFonts w:ascii="Century Gothic" w:hAnsi="Century Gothic" w:cs="Arial"/>
          <w:i/>
        </w:rPr>
      </w:pPr>
    </w:p>
    <w:p w:rsidR="00F44AA2" w:rsidRPr="00F44AA2" w:rsidRDefault="00F44AA2" w:rsidP="00CD0001">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Así, los llamados delitos de discriminación han sido institu</w:t>
      </w:r>
      <w:r w:rsidR="00B51F40">
        <w:rPr>
          <w:rFonts w:ascii="Century Gothic" w:hAnsi="Century Gothic" w:cs="Arial"/>
          <w:i/>
        </w:rPr>
        <w:t xml:space="preserve">idos en diversos países </w:t>
      </w:r>
      <w:r w:rsidRPr="00F44AA2">
        <w:rPr>
          <w:rFonts w:ascii="Century Gothic" w:hAnsi="Century Gothic" w:cs="Arial"/>
          <w:i/>
        </w:rPr>
        <w:t>como mecanismos de tutela dirigidos a todos los colec</w:t>
      </w:r>
      <w:r w:rsidR="00B51F40">
        <w:rPr>
          <w:rFonts w:ascii="Century Gothic" w:hAnsi="Century Gothic" w:cs="Arial"/>
          <w:i/>
        </w:rPr>
        <w:t xml:space="preserve">tivos que se encuentran </w:t>
      </w:r>
      <w:r w:rsidRPr="00F44AA2">
        <w:rPr>
          <w:rFonts w:ascii="Century Gothic" w:hAnsi="Century Gothic" w:cs="Arial"/>
          <w:i/>
        </w:rPr>
        <w:t>situados en una posición social desventajosa que aten</w:t>
      </w:r>
      <w:r w:rsidR="00B51F40">
        <w:rPr>
          <w:rFonts w:ascii="Century Gothic" w:hAnsi="Century Gothic" w:cs="Arial"/>
          <w:i/>
        </w:rPr>
        <w:t xml:space="preserve">ta en principio contra la </w:t>
      </w:r>
      <w:r w:rsidRPr="00F44AA2">
        <w:rPr>
          <w:rFonts w:ascii="Century Gothic" w:hAnsi="Century Gothic" w:cs="Arial"/>
          <w:i/>
        </w:rPr>
        <w:t>dignidad humana y le impide ejercer a plenitud los d</w:t>
      </w:r>
      <w:r w:rsidR="00B51F40">
        <w:rPr>
          <w:rFonts w:ascii="Century Gothic" w:hAnsi="Century Gothic" w:cs="Arial"/>
          <w:i/>
        </w:rPr>
        <w:t xml:space="preserve">erechos humanos que les </w:t>
      </w:r>
      <w:r w:rsidRPr="00F44AA2">
        <w:rPr>
          <w:rFonts w:ascii="Century Gothic" w:hAnsi="Century Gothic" w:cs="Arial"/>
          <w:i/>
        </w:rPr>
        <w:t xml:space="preserve">asisten. En efecto, la discriminación no se refiere a una distinción no justificada entre dos términos válidos de comparación, sino que es reflejo </w:t>
      </w:r>
      <w:r w:rsidR="009434DD">
        <w:rPr>
          <w:rFonts w:ascii="Century Gothic" w:hAnsi="Century Gothic" w:cs="Arial"/>
          <w:i/>
        </w:rPr>
        <w:t xml:space="preserve">de una actitud en contra </w:t>
      </w:r>
      <w:r w:rsidRPr="00F44AA2">
        <w:rPr>
          <w:rFonts w:ascii="Century Gothic" w:hAnsi="Century Gothic" w:cs="Arial"/>
          <w:i/>
        </w:rPr>
        <w:t>de ciertos colectivos que poseen uno o más carac</w:t>
      </w:r>
      <w:r w:rsidR="009434DD">
        <w:rPr>
          <w:rFonts w:ascii="Century Gothic" w:hAnsi="Century Gothic" w:cs="Arial"/>
          <w:i/>
        </w:rPr>
        <w:t xml:space="preserve">teres comunes que los </w:t>
      </w:r>
      <w:r w:rsidRPr="00F44AA2">
        <w:rPr>
          <w:rFonts w:ascii="Century Gothic" w:hAnsi="Century Gothic" w:cs="Arial"/>
          <w:i/>
        </w:rPr>
        <w:t xml:space="preserve">diferencian. La discriminación </w:t>
      </w:r>
      <w:r w:rsidRPr="00F44AA2">
        <w:rPr>
          <w:rFonts w:ascii="Century Gothic" w:hAnsi="Century Gothic" w:cs="Arial"/>
          <w:i/>
        </w:rPr>
        <w:lastRenderedPageBreak/>
        <w:t>trasciende a un ámbito de co</w:t>
      </w:r>
      <w:r w:rsidR="009434DD">
        <w:rPr>
          <w:rFonts w:ascii="Century Gothic" w:hAnsi="Century Gothic" w:cs="Arial"/>
          <w:i/>
        </w:rPr>
        <w:t>ntenido social, con lo</w:t>
      </w:r>
      <w:r w:rsidRPr="00F44AA2">
        <w:rPr>
          <w:rFonts w:ascii="Century Gothic" w:hAnsi="Century Gothic" w:cs="Arial"/>
          <w:i/>
        </w:rPr>
        <w:t xml:space="preserve"> cual se niega un reconocimiento en el goce o ejercicio de derechos en virtud de una serie de rasgos que identifican a una persona como integrante de un colectivo que requiere cierto nivel de protección. En otras palabras, un acto d</w:t>
      </w:r>
      <w:r w:rsidR="009434DD">
        <w:rPr>
          <w:rFonts w:ascii="Century Gothic" w:hAnsi="Century Gothic" w:cs="Arial"/>
          <w:i/>
        </w:rPr>
        <w:t xml:space="preserve">iscriminatorio, junto  </w:t>
      </w:r>
      <w:r w:rsidRPr="00F44AA2">
        <w:rPr>
          <w:rFonts w:ascii="Century Gothic" w:hAnsi="Century Gothic" w:cs="Arial"/>
          <w:i/>
        </w:rPr>
        <w:t>a la vulneración individual que representa, trasciende hasta la esfera colectiva, imposibilitando el acceso a derechos, prestaciones y servicios garantizados en condiciones de igualdad a todos los miembros de un grupo social.</w:t>
      </w:r>
    </w:p>
    <w:p w:rsidR="009434DD" w:rsidRDefault="009434DD" w:rsidP="00CD0001">
      <w:pPr>
        <w:tabs>
          <w:tab w:val="left" w:pos="9072"/>
        </w:tabs>
        <w:spacing w:line="360" w:lineRule="auto"/>
        <w:ind w:left="1134" w:right="567"/>
        <w:jc w:val="both"/>
        <w:rPr>
          <w:rFonts w:ascii="Century Gothic" w:hAnsi="Century Gothic" w:cs="Arial"/>
          <w:i/>
        </w:rPr>
      </w:pPr>
    </w:p>
    <w:p w:rsidR="00F44AA2" w:rsidRPr="00F44AA2" w:rsidRDefault="00F44AA2" w:rsidP="00CD0001">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 xml:space="preserve">El Estado de Chihuahua se compone de 67 municipios y representa 12.62% del territorio nacional, cuenta con </w:t>
      </w:r>
      <w:r w:rsidRPr="00F44AA2">
        <w:rPr>
          <w:rFonts w:ascii="Century Gothic" w:hAnsi="Century Gothic" w:cs="Arial"/>
          <w:i/>
          <w:color w:val="000000"/>
          <w:lang w:eastAsia="es-MX"/>
        </w:rPr>
        <w:t>3</w:t>
      </w:r>
      <w:proofErr w:type="gramStart"/>
      <w:r w:rsidRPr="00F44AA2">
        <w:rPr>
          <w:rFonts w:ascii="Century Gothic" w:hAnsi="Century Gothic" w:cs="Arial"/>
          <w:i/>
          <w:color w:val="000000"/>
          <w:lang w:eastAsia="es-MX"/>
        </w:rPr>
        <w:t>,556,574</w:t>
      </w:r>
      <w:proofErr w:type="gramEnd"/>
      <w:r w:rsidRPr="00F44AA2">
        <w:rPr>
          <w:rFonts w:ascii="Century Gothic" w:hAnsi="Century Gothic" w:cs="Arial"/>
          <w:i/>
          <w:color w:val="000000"/>
          <w:lang w:eastAsia="es-MX"/>
        </w:rPr>
        <w:t xml:space="preserve"> </w:t>
      </w:r>
      <w:r w:rsidRPr="00F44AA2">
        <w:rPr>
          <w:rFonts w:ascii="Century Gothic" w:hAnsi="Century Gothic" w:cs="Arial"/>
          <w:i/>
        </w:rPr>
        <w:t>habitantes, el 3.0% del total del país. La distribución de población es de 85% urbana y 15% rural; a nivel nacional el dato es de 78 y 22 % respectivamente. Tenemos una escolaridad 9.5% de secundaria concluida; 9.2 el promedio nacional. Hablantes de lengua indígena de 3 años y más: 3 de cada 100 personas. A nivel nacional 7 de cada 100 personas hablan lengua indígena. Sector de actividad que más aporta al PIB estatal: Comercio. Aportación al PIB Nacional: 2.8%</w:t>
      </w:r>
    </w:p>
    <w:p w:rsidR="00F44AA2" w:rsidRPr="00F44AA2" w:rsidRDefault="00F44AA2" w:rsidP="00CD0001">
      <w:pPr>
        <w:tabs>
          <w:tab w:val="left" w:pos="9072"/>
        </w:tabs>
        <w:spacing w:line="360" w:lineRule="auto"/>
        <w:ind w:left="1134" w:right="567"/>
        <w:jc w:val="both"/>
        <w:rPr>
          <w:rFonts w:ascii="Century Gothic" w:hAnsi="Century Gothic" w:cs="Arial"/>
          <w:i/>
        </w:rPr>
      </w:pPr>
    </w:p>
    <w:p w:rsidR="00F44AA2" w:rsidRPr="00F44AA2" w:rsidRDefault="00F44AA2" w:rsidP="00CD0001">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 xml:space="preserve">En la siguiente tabla mostramos el número real de habitantes que tienen acceso a internet por municipio encontrando que solo </w:t>
      </w:r>
      <w:r w:rsidRPr="00F44AA2">
        <w:rPr>
          <w:rFonts w:ascii="Century Gothic" w:hAnsi="Century Gothic" w:cs="Arial"/>
          <w:i/>
          <w:color w:val="000000"/>
          <w:lang w:eastAsia="es-MX"/>
        </w:rPr>
        <w:t xml:space="preserve">876, 304 pero lo más graves es que el acceso a internet  en 12 de los 67 municipios, en general solo en las cabeceras municipales, de tal manera que es muy amplio el sector de la población que queda sin </w:t>
      </w:r>
      <w:r w:rsidRPr="00F44AA2">
        <w:rPr>
          <w:rFonts w:ascii="Century Gothic" w:hAnsi="Century Gothic" w:cs="Arial"/>
          <w:i/>
          <w:color w:val="000000"/>
          <w:lang w:eastAsia="es-MX"/>
        </w:rPr>
        <w:lastRenderedPageBreak/>
        <w:t xml:space="preserve">acceso a este servicio que se identifica con la telefonía celular, pues debido a la infraestructura y capacidad instalada quien tiene acceso a un celular tendrá acceso al servicio de internet, por lo que esta estadística nos da el grado y dimensión de la incomunicación existente en el Estado: </w:t>
      </w:r>
    </w:p>
    <w:p w:rsidR="00F44AA2" w:rsidRPr="00F44AA2" w:rsidRDefault="00F44AA2" w:rsidP="002E0735">
      <w:pPr>
        <w:ind w:left="284" w:right="900"/>
        <w:jc w:val="both"/>
        <w:rPr>
          <w:rFonts w:ascii="Century Gothic" w:hAnsi="Century Gothic" w:cs="Arial"/>
          <w:i/>
        </w:rPr>
      </w:pPr>
    </w:p>
    <w:tbl>
      <w:tblPr>
        <w:tblW w:w="7705" w:type="dxa"/>
        <w:jc w:val="center"/>
        <w:tblCellMar>
          <w:left w:w="70" w:type="dxa"/>
          <w:right w:w="70" w:type="dxa"/>
        </w:tblCellMar>
        <w:tblLook w:val="04A0" w:firstRow="1" w:lastRow="0" w:firstColumn="1" w:lastColumn="0" w:noHBand="0" w:noVBand="1"/>
      </w:tblPr>
      <w:tblGrid>
        <w:gridCol w:w="2094"/>
        <w:gridCol w:w="1482"/>
        <w:gridCol w:w="1165"/>
        <w:gridCol w:w="1482"/>
        <w:gridCol w:w="1482"/>
      </w:tblGrid>
      <w:tr w:rsidR="00677706" w:rsidRPr="00677706" w:rsidTr="0026414B">
        <w:trPr>
          <w:trHeight w:val="780"/>
          <w:jc w:val="center"/>
        </w:trPr>
        <w:tc>
          <w:tcPr>
            <w:tcW w:w="2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MUNICIPIO</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677706" w:rsidRPr="00677706" w:rsidRDefault="00677706" w:rsidP="0052224D">
            <w:pPr>
              <w:rPr>
                <w:rFonts w:ascii="Century Gothic" w:hAnsi="Century Gothic" w:cs="Arial"/>
                <w:i/>
                <w:color w:val="000000"/>
                <w:lang w:eastAsia="es-MX"/>
              </w:rPr>
            </w:pPr>
            <w:r w:rsidRPr="00677706">
              <w:rPr>
                <w:rFonts w:ascii="Century Gothic" w:hAnsi="Century Gothic" w:cs="Arial"/>
                <w:i/>
                <w:color w:val="000000"/>
                <w:lang w:eastAsia="es-MX"/>
              </w:rPr>
              <w:t>HABITANTES</w:t>
            </w:r>
          </w:p>
        </w:tc>
        <w:tc>
          <w:tcPr>
            <w:tcW w:w="1165" w:type="dxa"/>
            <w:tcBorders>
              <w:top w:val="single" w:sz="4" w:space="0" w:color="auto"/>
              <w:left w:val="nil"/>
              <w:bottom w:val="single" w:sz="4" w:space="0" w:color="auto"/>
              <w:right w:val="single" w:sz="4" w:space="0" w:color="auto"/>
            </w:tcBorders>
            <w:shd w:val="clear" w:color="auto" w:fill="auto"/>
            <w:vAlign w:val="bottom"/>
            <w:hideMark/>
          </w:tcPr>
          <w:p w:rsidR="00677706" w:rsidRPr="00677706" w:rsidRDefault="00677706" w:rsidP="0052224D">
            <w:pPr>
              <w:rPr>
                <w:rFonts w:ascii="Century Gothic" w:hAnsi="Century Gothic" w:cs="Arial"/>
                <w:i/>
                <w:color w:val="000000"/>
                <w:lang w:eastAsia="es-MX"/>
              </w:rPr>
            </w:pPr>
            <w:r w:rsidRPr="00677706">
              <w:rPr>
                <w:rFonts w:ascii="Century Gothic" w:hAnsi="Century Gothic" w:cs="Arial"/>
                <w:i/>
                <w:color w:val="000000"/>
                <w:lang w:eastAsia="es-MX"/>
              </w:rPr>
              <w:t>% CON ACCESO A INTERNET</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677706" w:rsidRPr="00677706" w:rsidRDefault="00677706" w:rsidP="0052224D">
            <w:pPr>
              <w:rPr>
                <w:rFonts w:ascii="Century Gothic" w:hAnsi="Century Gothic" w:cs="Arial"/>
                <w:i/>
                <w:color w:val="000000"/>
                <w:lang w:eastAsia="es-MX"/>
              </w:rPr>
            </w:pPr>
            <w:r w:rsidRPr="00677706">
              <w:rPr>
                <w:rFonts w:ascii="Century Gothic" w:hAnsi="Century Gothic" w:cs="Arial"/>
                <w:i/>
                <w:color w:val="000000"/>
                <w:lang w:eastAsia="es-MX"/>
              </w:rPr>
              <w:t>HABITANTES SIN ACCESO A INTERNET</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677706" w:rsidRPr="00677706" w:rsidRDefault="00677706" w:rsidP="0052224D">
            <w:pPr>
              <w:rPr>
                <w:rFonts w:ascii="Century Gothic" w:hAnsi="Century Gothic" w:cs="Arial"/>
                <w:i/>
                <w:color w:val="000000"/>
                <w:lang w:eastAsia="es-MX"/>
              </w:rPr>
            </w:pPr>
            <w:r w:rsidRPr="00677706">
              <w:rPr>
                <w:rFonts w:ascii="Century Gothic" w:hAnsi="Century Gothic" w:cs="Arial"/>
                <w:i/>
                <w:color w:val="000000"/>
                <w:lang w:eastAsia="es-MX"/>
              </w:rPr>
              <w:t>HABITANTES CON ACCESO A INTERNET</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Chihuahua</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878062</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38.87</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341303</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536759</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Hidalgo del Parral</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109510</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27.43</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30039</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79471</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Juárez</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1391180</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25.55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355446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1035734</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Delicias</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148045</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23.76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35175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112870</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Cuauhtémoc</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168482</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21.43</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36106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132376</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Nuevo Casas Grandes</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63412</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19.95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12651</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50761</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San Francisco del Oro</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5086</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18.79</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956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4130</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Camargo</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51572</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18.21</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9391</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42181</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Jiménez</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42860</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15.93</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6828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36032</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Aldama</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24761</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15.73</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3895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20866</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Ojinaga</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28040</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15.53</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4355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23685</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Santa Bárbara</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10721</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15.45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1656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9065</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Allende</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8751</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13.57</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1188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7563</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Saucillo</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31196</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12.56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3918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27278</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Meoqui</w:t>
            </w:r>
            <w:proofErr w:type="spellEnd"/>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44752</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11.61</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5196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39556</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Ahumada</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12568</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11.46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1440</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11128</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Buenaventura</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23438</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10.87</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2548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20890</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Galeana</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6021</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10.66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642</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5379</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Gómez Farías</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8905</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10.08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898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8007</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lastRenderedPageBreak/>
              <w:t>Santa Isabel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4099</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9.29</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381</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3718</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Casas Grandes</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11432</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9.17</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1048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10384</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Julimes</w:t>
            </w:r>
            <w:proofErr w:type="spellEnd"/>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4448</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8.42</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375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4073</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Ascensión</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24966</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8.38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2092</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22874</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Madera</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29233</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8.14</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2380</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26853</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Guerrero</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39064</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8.06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3149</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35915</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Bocoyna</w:t>
            </w:r>
            <w:proofErr w:type="spellEnd"/>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27909</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7.51</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2096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25813</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Namiquipa</w:t>
            </w:r>
            <w:proofErr w:type="spellEnd"/>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23255</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6.8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1581</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21674</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Rosales</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16896</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6.45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1090</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15806</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Aquiles Serdán</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15516</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5.47</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849</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14667</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Ignacio Zaragoza</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6903</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5.25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362</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6541</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Janos</w:t>
            </w:r>
            <w:proofErr w:type="spellEnd"/>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10974</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5.02</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551</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10423</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Guachochi</w:t>
            </w:r>
            <w:proofErr w:type="spellEnd"/>
            <w:r w:rsidRPr="00677706">
              <w:rPr>
                <w:rFonts w:ascii="Century Gothic" w:hAnsi="Century Gothic" w:cs="Arial"/>
                <w:i/>
                <w:color w:val="000000"/>
                <w:lang w:eastAsia="es-MX"/>
              </w:rPr>
              <w:t>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45544</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4.93</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2245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43299</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Praxedis</w:t>
            </w:r>
            <w:proofErr w:type="spellEnd"/>
            <w:r w:rsidRPr="00677706">
              <w:rPr>
                <w:rFonts w:ascii="Century Gothic" w:hAnsi="Century Gothic" w:cs="Arial"/>
                <w:i/>
                <w:color w:val="000000"/>
                <w:lang w:eastAsia="es-MX"/>
              </w:rPr>
              <w:t xml:space="preserve"> G. Guerrero</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5486</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4.47</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245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5241</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Gran Morelos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2466</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4.02</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99</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2367</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López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4007</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3.89</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156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3851</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Riva Palacio</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7969</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3.88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309</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7660</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Valle de Zaragoza</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5199</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3.86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201</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4998</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Guadalupe</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5272</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3.69</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195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5077</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La Cruz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3861</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3.65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141</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3720</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San Francisco de Conchos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2471</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3.45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85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2386</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Matachí</w:t>
            </w:r>
            <w:proofErr w:type="spellEnd"/>
            <w:r w:rsidRPr="00677706">
              <w:rPr>
                <w:rFonts w:ascii="Century Gothic" w:hAnsi="Century Gothic" w:cs="Arial"/>
                <w:i/>
                <w:color w:val="000000"/>
                <w:lang w:eastAsia="es-MX"/>
              </w:rPr>
              <w:t>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2961</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3.39</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100</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2861</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El Tule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1697</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3.08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52</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1645</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Matamoros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4371</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2.66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116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4255</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Chínipas</w:t>
            </w:r>
            <w:proofErr w:type="spellEnd"/>
            <w:r w:rsidRPr="00677706">
              <w:rPr>
                <w:rFonts w:ascii="Century Gothic" w:hAnsi="Century Gothic" w:cs="Arial"/>
                <w:i/>
                <w:color w:val="000000"/>
                <w:lang w:eastAsia="es-MX"/>
              </w:rPr>
              <w:t>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7501</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2.48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186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7315</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Nonoava</w:t>
            </w:r>
            <w:proofErr w:type="spellEnd"/>
            <w:r w:rsidRPr="00677706">
              <w:rPr>
                <w:rFonts w:ascii="Century Gothic" w:hAnsi="Century Gothic" w:cs="Arial"/>
                <w:i/>
                <w:color w:val="000000"/>
                <w:lang w:eastAsia="es-MX"/>
              </w:rPr>
              <w:t>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2574</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2.31</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59</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2515</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Guazapares</w:t>
            </w:r>
            <w:proofErr w:type="spellEnd"/>
            <w:r w:rsidRPr="00677706">
              <w:rPr>
                <w:rFonts w:ascii="Century Gothic" w:hAnsi="Century Gothic" w:cs="Arial"/>
                <w:i/>
                <w:color w:val="000000"/>
                <w:lang w:eastAsia="es-MX"/>
              </w:rPr>
              <w:t>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7429</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2.28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169</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7260</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Bachíniva</w:t>
            </w:r>
            <w:proofErr w:type="spellEnd"/>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6156</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2.26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139</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6017</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lastRenderedPageBreak/>
              <w:t>San Francisco de Borja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2136</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2.25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2088</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Coronado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2096</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2.07</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43</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2053</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Coyame</w:t>
            </w:r>
            <w:proofErr w:type="spellEnd"/>
            <w:r w:rsidRPr="00677706">
              <w:rPr>
                <w:rFonts w:ascii="Century Gothic" w:hAnsi="Century Gothic" w:cs="Arial"/>
                <w:i/>
                <w:color w:val="000000"/>
                <w:lang w:eastAsia="es-MX"/>
              </w:rPr>
              <w:t xml:space="preserve"> del Sotol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1684</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1.96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33</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1651</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Cusihuiriachi</w:t>
            </w:r>
            <w:proofErr w:type="spellEnd"/>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4594</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1.86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85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4509</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Belisario Domínguez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2491</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1.78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44</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52224D">
            <w:pPr>
              <w:jc w:val="right"/>
              <w:rPr>
                <w:rFonts w:ascii="Century Gothic" w:hAnsi="Century Gothic" w:cs="Arial"/>
                <w:i/>
                <w:color w:val="000000"/>
                <w:lang w:eastAsia="es-MX"/>
              </w:rPr>
            </w:pPr>
            <w:r w:rsidRPr="00677706">
              <w:rPr>
                <w:rFonts w:ascii="Century Gothic" w:hAnsi="Century Gothic" w:cs="Arial"/>
                <w:i/>
                <w:color w:val="000000"/>
                <w:lang w:eastAsia="es-MX"/>
              </w:rPr>
              <w:t>2447</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Satevó</w:t>
            </w:r>
            <w:proofErr w:type="spellEnd"/>
            <w:r w:rsidRPr="00677706">
              <w:rPr>
                <w:rFonts w:ascii="Century Gothic" w:hAnsi="Century Gothic" w:cs="Arial"/>
                <w:i/>
                <w:color w:val="000000"/>
                <w:lang w:eastAsia="es-MX"/>
              </w:rPr>
              <w:t>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3159</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1.73</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55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3104</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Guadalupe y Calvo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56130</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1.64</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921</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55209</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Temósachic</w:t>
            </w:r>
            <w:proofErr w:type="spellEnd"/>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6425</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1.63</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105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6320</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Balleza</w:t>
            </w:r>
            <w:proofErr w:type="spellEnd"/>
            <w:r w:rsidRPr="00677706">
              <w:rPr>
                <w:rFonts w:ascii="Century Gothic" w:hAnsi="Century Gothic" w:cs="Arial"/>
                <w:i/>
                <w:color w:val="000000"/>
                <w:lang w:eastAsia="es-MX"/>
              </w:rPr>
              <w:t>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16824</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1.59</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268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16556</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Carichí</w:t>
            </w:r>
            <w:proofErr w:type="spellEnd"/>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9211</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1.59</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146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9065</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Manuel Benavides</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1403</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1.41</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20</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1383</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Ocampo</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7569</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1.26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95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7474</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Urique</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20947</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1.08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226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20721</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Rosario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2018</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1.03</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21</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1997</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Batopilas</w:t>
            </w:r>
            <w:proofErr w:type="spellEnd"/>
            <w:r w:rsidRPr="00677706">
              <w:rPr>
                <w:rFonts w:ascii="Century Gothic" w:hAnsi="Century Gothic" w:cs="Arial"/>
                <w:i/>
                <w:color w:val="000000"/>
                <w:lang w:eastAsia="es-MX"/>
              </w:rPr>
              <w:t>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11289</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0.56</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63</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11226</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Moris</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5141</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0.44</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23</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5118</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Uruachi</w:t>
            </w:r>
            <w:proofErr w:type="spellEnd"/>
            <w:r w:rsidRPr="00677706">
              <w:rPr>
                <w:rFonts w:ascii="Century Gothic" w:hAnsi="Century Gothic" w:cs="Arial"/>
                <w:i/>
                <w:color w:val="000000"/>
                <w:lang w:eastAsia="es-MX"/>
              </w:rPr>
              <w:t>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6094</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0.38</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23</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6071</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Morelos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7797</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0.05</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4</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7793</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Huejotitán</w:t>
            </w:r>
            <w:proofErr w:type="spellEnd"/>
            <w:r w:rsidRPr="00677706">
              <w:rPr>
                <w:rFonts w:ascii="Century Gothic" w:hAnsi="Century Gothic" w:cs="Arial"/>
                <w:i/>
                <w:color w:val="000000"/>
                <w:lang w:eastAsia="es-MX"/>
              </w:rPr>
              <w:t>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952</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0</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0</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952</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proofErr w:type="spellStart"/>
            <w:r w:rsidRPr="00677706">
              <w:rPr>
                <w:rFonts w:ascii="Century Gothic" w:hAnsi="Century Gothic" w:cs="Arial"/>
                <w:i/>
                <w:color w:val="000000"/>
                <w:lang w:eastAsia="es-MX"/>
              </w:rPr>
              <w:t>Maguarichi</w:t>
            </w:r>
            <w:proofErr w:type="spellEnd"/>
            <w:r w:rsidRPr="00677706">
              <w:rPr>
                <w:rFonts w:ascii="Century Gothic" w:hAnsi="Century Gothic" w:cs="Arial"/>
                <w:i/>
                <w:color w:val="000000"/>
                <w:lang w:eastAsia="es-MX"/>
              </w:rPr>
              <w:t>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1593</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0</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0</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1593</w:t>
            </w:r>
          </w:p>
        </w:tc>
      </w:tr>
      <w:tr w:rsidR="00677706" w:rsidRPr="00677706" w:rsidTr="0026414B">
        <w:trPr>
          <w:trHeight w:val="300"/>
          <w:jc w:val="center"/>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677706" w:rsidRPr="00677706" w:rsidRDefault="00677706" w:rsidP="00503072">
            <w:pPr>
              <w:ind w:left="209"/>
              <w:rPr>
                <w:rFonts w:ascii="Century Gothic" w:hAnsi="Century Gothic" w:cs="Arial"/>
                <w:i/>
                <w:color w:val="000000"/>
                <w:lang w:eastAsia="es-MX"/>
              </w:rPr>
            </w:pPr>
            <w:r w:rsidRPr="00677706">
              <w:rPr>
                <w:rFonts w:ascii="Century Gothic" w:hAnsi="Century Gothic" w:cs="Arial"/>
                <w:i/>
                <w:color w:val="000000"/>
                <w:lang w:eastAsia="es-MX"/>
              </w:rPr>
              <w:t>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3556574</w:t>
            </w:r>
          </w:p>
        </w:tc>
        <w:tc>
          <w:tcPr>
            <w:tcW w:w="1165"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rPr>
                <w:rFonts w:ascii="Century Gothic" w:hAnsi="Century Gothic" w:cs="Arial"/>
                <w:i/>
                <w:color w:val="000000"/>
                <w:lang w:eastAsia="es-MX"/>
              </w:rPr>
            </w:pPr>
            <w:r w:rsidRPr="00677706">
              <w:rPr>
                <w:rFonts w:ascii="Century Gothic" w:hAnsi="Century Gothic" w:cs="Arial"/>
                <w:i/>
                <w:color w:val="000000"/>
                <w:lang w:eastAsia="es-MX"/>
              </w:rPr>
              <w:t> </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876304</w:t>
            </w:r>
          </w:p>
        </w:tc>
        <w:tc>
          <w:tcPr>
            <w:tcW w:w="1482" w:type="dxa"/>
            <w:tcBorders>
              <w:top w:val="nil"/>
              <w:left w:val="nil"/>
              <w:bottom w:val="single" w:sz="4" w:space="0" w:color="auto"/>
              <w:right w:val="single" w:sz="4" w:space="0" w:color="auto"/>
            </w:tcBorders>
            <w:shd w:val="clear" w:color="auto" w:fill="auto"/>
            <w:noWrap/>
            <w:vAlign w:val="bottom"/>
            <w:hideMark/>
          </w:tcPr>
          <w:p w:rsidR="00677706" w:rsidRPr="00677706" w:rsidRDefault="00677706" w:rsidP="00332437">
            <w:pPr>
              <w:ind w:left="-75"/>
              <w:jc w:val="right"/>
              <w:rPr>
                <w:rFonts w:ascii="Century Gothic" w:hAnsi="Century Gothic" w:cs="Arial"/>
                <w:i/>
                <w:color w:val="000000"/>
                <w:lang w:eastAsia="es-MX"/>
              </w:rPr>
            </w:pPr>
            <w:r w:rsidRPr="00677706">
              <w:rPr>
                <w:rFonts w:ascii="Century Gothic" w:hAnsi="Century Gothic" w:cs="Arial"/>
                <w:i/>
                <w:color w:val="000000"/>
                <w:lang w:eastAsia="es-MX"/>
              </w:rPr>
              <w:t>2680270</w:t>
            </w:r>
          </w:p>
        </w:tc>
      </w:tr>
    </w:tbl>
    <w:p w:rsidR="00677706" w:rsidRDefault="00677706" w:rsidP="002E0735">
      <w:pPr>
        <w:ind w:left="284" w:right="900"/>
        <w:rPr>
          <w:rFonts w:ascii="Century Gothic" w:hAnsi="Century Gothic" w:cs="Arial"/>
          <w:i/>
          <w:color w:val="222222"/>
          <w:shd w:val="clear" w:color="auto" w:fill="FFFFFF"/>
          <w:lang w:eastAsia="es-MX"/>
        </w:rPr>
      </w:pPr>
    </w:p>
    <w:p w:rsidR="00677706" w:rsidRDefault="00677706" w:rsidP="003F761A">
      <w:pPr>
        <w:ind w:left="851" w:right="900"/>
        <w:rPr>
          <w:rFonts w:ascii="Century Gothic" w:hAnsi="Century Gothic" w:cs="Arial"/>
          <w:i/>
          <w:color w:val="222222"/>
          <w:shd w:val="clear" w:color="auto" w:fill="FFFFFF"/>
          <w:lang w:eastAsia="es-MX"/>
        </w:rPr>
      </w:pPr>
    </w:p>
    <w:p w:rsidR="00F44AA2" w:rsidRPr="00F44AA2" w:rsidRDefault="00F44AA2" w:rsidP="00503072">
      <w:pPr>
        <w:spacing w:line="360" w:lineRule="auto"/>
        <w:ind w:left="1134" w:right="567"/>
        <w:jc w:val="both"/>
        <w:rPr>
          <w:rFonts w:ascii="Century Gothic" w:hAnsi="Century Gothic" w:cs="Arial"/>
          <w:i/>
        </w:rPr>
      </w:pPr>
      <w:r w:rsidRPr="00F44AA2">
        <w:rPr>
          <w:rFonts w:ascii="Century Gothic" w:hAnsi="Century Gothic" w:cs="Arial"/>
          <w:i/>
        </w:rPr>
        <w:t>Existen pues derechos humanos que pudiesen no visualizarse con el grado de importancia que se merecen, pues su connotación al parecer económica no les da la dimensión debida, pero se analiza su interdependencia con los otros derechos humanos encontramos su verdadera importancia. El ej</w:t>
      </w:r>
      <w:r w:rsidR="003F761A">
        <w:rPr>
          <w:rFonts w:ascii="Century Gothic" w:hAnsi="Century Gothic" w:cs="Arial"/>
          <w:i/>
        </w:rPr>
        <w:t xml:space="preserve">ercicio real y efectivo de los </w:t>
      </w:r>
      <w:r w:rsidRPr="00F44AA2">
        <w:rPr>
          <w:rFonts w:ascii="Century Gothic" w:hAnsi="Century Gothic" w:cs="Arial"/>
          <w:i/>
        </w:rPr>
        <w:t xml:space="preserve">derechos </w:t>
      </w:r>
      <w:r w:rsidRPr="00F44AA2">
        <w:rPr>
          <w:rFonts w:ascii="Century Gothic" w:hAnsi="Century Gothic" w:cs="Arial"/>
          <w:i/>
        </w:rPr>
        <w:lastRenderedPageBreak/>
        <w:t>depende cada vez y en mayor medida del sumi</w:t>
      </w:r>
      <w:r w:rsidR="00757C98">
        <w:rPr>
          <w:rFonts w:ascii="Century Gothic" w:hAnsi="Century Gothic" w:cs="Arial"/>
          <w:i/>
        </w:rPr>
        <w:t>nistro de energía eléctrica</w:t>
      </w:r>
      <w:r w:rsidRPr="00F44AA2">
        <w:rPr>
          <w:rFonts w:ascii="Century Gothic" w:hAnsi="Century Gothic" w:cs="Arial"/>
          <w:i/>
        </w:rPr>
        <w:t xml:space="preserve"> y del acceso a los medios modernos de comunic</w:t>
      </w:r>
      <w:r w:rsidR="00757C98">
        <w:rPr>
          <w:rFonts w:ascii="Century Gothic" w:hAnsi="Century Gothic" w:cs="Arial"/>
          <w:i/>
        </w:rPr>
        <w:t>ación.  En efecto, en el estado</w:t>
      </w:r>
      <w:r w:rsidRPr="00F44AA2">
        <w:rPr>
          <w:rFonts w:ascii="Century Gothic" w:hAnsi="Century Gothic" w:cs="Arial"/>
          <w:i/>
        </w:rPr>
        <w:t xml:space="preserve"> actual del desarrollo científico y tecnológico,</w:t>
      </w:r>
      <w:r w:rsidR="009434DD">
        <w:rPr>
          <w:rFonts w:ascii="Century Gothic" w:hAnsi="Century Gothic" w:cs="Arial"/>
          <w:i/>
        </w:rPr>
        <w:t xml:space="preserve"> los satisfactores materiales e </w:t>
      </w:r>
      <w:r w:rsidRPr="00F44AA2">
        <w:rPr>
          <w:rFonts w:ascii="Century Gothic" w:hAnsi="Century Gothic" w:cs="Arial"/>
          <w:i/>
        </w:rPr>
        <w:t>i</w:t>
      </w:r>
      <w:r w:rsidR="009434DD">
        <w:rPr>
          <w:rFonts w:ascii="Century Gothic" w:hAnsi="Century Gothic" w:cs="Arial"/>
          <w:i/>
        </w:rPr>
        <w:t xml:space="preserve">nmateriales </w:t>
      </w:r>
      <w:r w:rsidRPr="00F44AA2">
        <w:rPr>
          <w:rFonts w:ascii="Century Gothic" w:hAnsi="Century Gothic" w:cs="Arial"/>
          <w:i/>
        </w:rPr>
        <w:t>(tangibles e intangibles), se encuent</w:t>
      </w:r>
      <w:r w:rsidR="009434DD">
        <w:rPr>
          <w:rFonts w:ascii="Century Gothic" w:hAnsi="Century Gothic" w:cs="Arial"/>
          <w:i/>
        </w:rPr>
        <w:t>ran estrechamente ligados a la</w:t>
      </w:r>
      <w:r w:rsidRPr="00F44AA2">
        <w:rPr>
          <w:rFonts w:ascii="Century Gothic" w:hAnsi="Century Gothic" w:cs="Arial"/>
          <w:i/>
        </w:rPr>
        <w:t xml:space="preserve"> energía eléctrica, al acceso a la telefonía celular y al se</w:t>
      </w:r>
      <w:r w:rsidR="009434DD">
        <w:rPr>
          <w:rFonts w:ascii="Century Gothic" w:hAnsi="Century Gothic" w:cs="Arial"/>
          <w:i/>
        </w:rPr>
        <w:t>rvicio de internet, los cuales</w:t>
      </w:r>
      <w:r w:rsidRPr="00F44AA2">
        <w:rPr>
          <w:rFonts w:ascii="Century Gothic" w:hAnsi="Century Gothic" w:cs="Arial"/>
          <w:i/>
        </w:rPr>
        <w:t xml:space="preserve"> son usados en prácticamente todos los ámbitos de la actividad humana para  generar energía lumínica, mecánica y térmica, así como para el procesamiento de </w:t>
      </w:r>
      <w:r w:rsidR="005F70B4">
        <w:rPr>
          <w:rFonts w:ascii="Century Gothic" w:hAnsi="Century Gothic" w:cs="Arial"/>
          <w:i/>
        </w:rPr>
        <w:t>l</w:t>
      </w:r>
      <w:r w:rsidRPr="00F44AA2">
        <w:rPr>
          <w:rFonts w:ascii="Century Gothic" w:hAnsi="Century Gothic" w:cs="Arial"/>
          <w:i/>
        </w:rPr>
        <w:t xml:space="preserve">a información y la realización de las telecomunicaciones. Por esta razón es que el acceso a la energía eléctrica y a las tecnologías de la información y comunicación se </w:t>
      </w:r>
      <w:proofErr w:type="gramStart"/>
      <w:r w:rsidRPr="00F44AA2">
        <w:rPr>
          <w:rFonts w:ascii="Century Gothic" w:hAnsi="Century Gothic" w:cs="Arial"/>
          <w:i/>
        </w:rPr>
        <w:t>reconocen</w:t>
      </w:r>
      <w:proofErr w:type="gramEnd"/>
      <w:r w:rsidRPr="00F44AA2">
        <w:rPr>
          <w:rFonts w:ascii="Century Gothic" w:hAnsi="Century Gothic" w:cs="Arial"/>
          <w:i/>
        </w:rPr>
        <w:t xml:space="preserve"> como derechos humanos por ser un presupuesto indispensable, al constituir una condición necesaria para</w:t>
      </w:r>
      <w:r w:rsidR="009434DD">
        <w:rPr>
          <w:rFonts w:ascii="Century Gothic" w:hAnsi="Century Gothic" w:cs="Arial"/>
          <w:i/>
        </w:rPr>
        <w:t xml:space="preserve"> el goce de múltiples derechos </w:t>
      </w:r>
      <w:r w:rsidRPr="00F44AA2">
        <w:rPr>
          <w:rFonts w:ascii="Century Gothic" w:hAnsi="Century Gothic" w:cs="Arial"/>
          <w:i/>
        </w:rPr>
        <w:t xml:space="preserve"> fundamentales.</w:t>
      </w:r>
    </w:p>
    <w:p w:rsidR="00F44AA2" w:rsidRPr="00F44AA2" w:rsidRDefault="00F44AA2" w:rsidP="00503072">
      <w:pPr>
        <w:spacing w:line="360" w:lineRule="auto"/>
        <w:ind w:left="1134" w:right="567"/>
        <w:jc w:val="both"/>
        <w:rPr>
          <w:rFonts w:ascii="Century Gothic" w:hAnsi="Century Gothic" w:cs="Arial"/>
          <w:i/>
        </w:rPr>
      </w:pPr>
    </w:p>
    <w:p w:rsidR="00F44AA2" w:rsidRPr="00F44AA2" w:rsidRDefault="00F44AA2" w:rsidP="00503072">
      <w:pPr>
        <w:spacing w:line="360" w:lineRule="auto"/>
        <w:ind w:left="1134" w:right="567"/>
        <w:jc w:val="both"/>
        <w:rPr>
          <w:rFonts w:ascii="Century Gothic" w:hAnsi="Century Gothic" w:cs="Arial"/>
          <w:i/>
        </w:rPr>
      </w:pPr>
      <w:r w:rsidRPr="00F44AA2">
        <w:rPr>
          <w:rFonts w:ascii="Century Gothic" w:hAnsi="Century Gothic" w:cs="Arial"/>
          <w:i/>
        </w:rPr>
        <w:t>En ese sentido encontramos que el acceso a internet y a</w:t>
      </w:r>
      <w:r w:rsidR="009434DD">
        <w:rPr>
          <w:rFonts w:ascii="Century Gothic" w:hAnsi="Century Gothic" w:cs="Arial"/>
          <w:i/>
        </w:rPr>
        <w:t xml:space="preserve"> la telefonía celular no es</w:t>
      </w:r>
      <w:r w:rsidRPr="00F44AA2">
        <w:rPr>
          <w:rFonts w:ascii="Century Gothic" w:hAnsi="Century Gothic" w:cs="Arial"/>
          <w:i/>
        </w:rPr>
        <w:t xml:space="preserve"> un lujo, es un derecho humano que permite el ejercicio efectivo de otros muchos, como el de la libertad de expresión, que se ejerce actualmente través de las redes sociales, así pues el avance de la modernidad y las tecnologías, implicaron que el Estado Mexicano hiciera frente a las nuevas realidades que surgieron, entre ellas la Internet. Así pues, el 11 de junio de 2013 el artículo 6o. de la Constitución Política de los Estados Unidos Mexicanos sufrió una reforma, para establecer como  mandato para </w:t>
      </w:r>
      <w:r w:rsidRPr="00F44AA2">
        <w:rPr>
          <w:rFonts w:ascii="Century Gothic" w:hAnsi="Century Gothic" w:cs="Arial"/>
          <w:i/>
        </w:rPr>
        <w:lastRenderedPageBreak/>
        <w:t xml:space="preserve">el Estado, garantizar el derecho de acceso a las tecnologías de la información y comunicación, así como los servicios de radiodifusión y telecomunicaciones, incluido el de banda ancha e Internet. </w:t>
      </w:r>
    </w:p>
    <w:p w:rsidR="00F44AA2" w:rsidRPr="00F44AA2" w:rsidRDefault="00F44AA2" w:rsidP="00503072">
      <w:pPr>
        <w:spacing w:line="360" w:lineRule="auto"/>
        <w:ind w:left="1134" w:right="567"/>
        <w:jc w:val="both"/>
        <w:rPr>
          <w:rFonts w:ascii="Century Gothic" w:hAnsi="Century Gothic" w:cs="Arial"/>
          <w:i/>
        </w:rPr>
      </w:pPr>
    </w:p>
    <w:p w:rsidR="00F44AA2" w:rsidRPr="00F44AA2" w:rsidRDefault="00F44AA2" w:rsidP="00503072">
      <w:pPr>
        <w:spacing w:line="360" w:lineRule="auto"/>
        <w:ind w:left="1134" w:right="567"/>
        <w:jc w:val="both"/>
        <w:rPr>
          <w:rFonts w:ascii="Century Gothic" w:hAnsi="Century Gothic" w:cs="Arial"/>
          <w:i/>
          <w:iCs/>
        </w:rPr>
      </w:pPr>
      <w:r w:rsidRPr="00F44AA2">
        <w:rPr>
          <w:rFonts w:ascii="Century Gothic" w:hAnsi="Century Gothic" w:cs="Arial"/>
          <w:i/>
        </w:rPr>
        <w:t>En el dictamen de la Comisión de Puntos Constitucionales de la Cámara de Senadores relativo a la reforma en materia de teleco</w:t>
      </w:r>
      <w:r w:rsidR="00862A87">
        <w:rPr>
          <w:rFonts w:ascii="Century Gothic" w:hAnsi="Century Gothic" w:cs="Arial"/>
          <w:i/>
        </w:rPr>
        <w:t xml:space="preserve">municaciones,  se precisaron, </w:t>
      </w:r>
      <w:r w:rsidRPr="00F44AA2">
        <w:rPr>
          <w:rFonts w:ascii="Century Gothic" w:hAnsi="Century Gothic" w:cs="Arial"/>
          <w:i/>
        </w:rPr>
        <w:t xml:space="preserve"> entre otras, las siguientes razones para incluir en el catálogo de derechos fundamentales el acceso a la Internet: </w:t>
      </w:r>
      <w:r w:rsidRPr="00F44AA2">
        <w:rPr>
          <w:rFonts w:ascii="Century Gothic" w:hAnsi="Century Gothic" w:cs="Arial"/>
          <w:i/>
          <w:iCs/>
        </w:rPr>
        <w:t xml:space="preserve">La Internet se ha consolidado como la herramienta de comunicación e interconexión del siglo XXI y ha expandido el terreno para la diversidad, la tolerancia y el ejercicio pleno de los derechos humanos, en particular el derecho a la libertad de expresión y el acceso a la información. La        reforma tiene como objeto garantizar la libertad de expresión y de difusión, y el derecho a la información. La Internet constituye una herramienta básica para el desarrollo personal y profesional de estudiantes y de la sociedad de cualquier país. </w:t>
      </w:r>
    </w:p>
    <w:p w:rsidR="00F44AA2" w:rsidRPr="00F44AA2" w:rsidRDefault="00F44AA2" w:rsidP="00503072">
      <w:pPr>
        <w:spacing w:line="360" w:lineRule="auto"/>
        <w:ind w:left="1134" w:right="567"/>
        <w:jc w:val="both"/>
        <w:rPr>
          <w:rFonts w:ascii="Century Gothic" w:hAnsi="Century Gothic" w:cs="Arial"/>
          <w:i/>
          <w:iCs/>
        </w:rPr>
      </w:pPr>
    </w:p>
    <w:p w:rsidR="00F44AA2" w:rsidRPr="00F44AA2" w:rsidRDefault="00F44AA2" w:rsidP="00503072">
      <w:pPr>
        <w:spacing w:line="360" w:lineRule="auto"/>
        <w:ind w:left="1134" w:right="567"/>
        <w:jc w:val="both"/>
        <w:rPr>
          <w:rFonts w:ascii="Century Gothic" w:hAnsi="Century Gothic" w:cs="Arial"/>
          <w:i/>
          <w:iCs/>
        </w:rPr>
      </w:pPr>
      <w:r w:rsidRPr="00F44AA2">
        <w:rPr>
          <w:rFonts w:ascii="Century Gothic" w:hAnsi="Century Gothic" w:cs="Arial"/>
          <w:i/>
          <w:iCs/>
        </w:rPr>
        <w:t xml:space="preserve">El acceso a Internet es un derecho fundamental por su importancia en cuanto a la libertad de prensa, de pensamiento, de expresión, desarrollo de la personalidad y   libre consciencia se refiere. </w:t>
      </w:r>
    </w:p>
    <w:p w:rsidR="00F44AA2" w:rsidRPr="00F44AA2" w:rsidRDefault="00F44AA2" w:rsidP="00503072">
      <w:pPr>
        <w:spacing w:line="360" w:lineRule="auto"/>
        <w:ind w:left="1134" w:right="567"/>
        <w:jc w:val="both"/>
        <w:rPr>
          <w:rFonts w:ascii="Century Gothic" w:hAnsi="Century Gothic" w:cs="Arial"/>
          <w:i/>
        </w:rPr>
      </w:pPr>
    </w:p>
    <w:p w:rsidR="00F44AA2" w:rsidRPr="00F44AA2" w:rsidRDefault="00F44AA2" w:rsidP="00503072">
      <w:pPr>
        <w:spacing w:line="360" w:lineRule="auto"/>
        <w:ind w:left="1134" w:right="567"/>
        <w:jc w:val="both"/>
        <w:rPr>
          <w:rFonts w:ascii="Century Gothic" w:hAnsi="Century Gothic" w:cs="Arial"/>
          <w:i/>
        </w:rPr>
      </w:pPr>
      <w:r w:rsidRPr="00F44AA2">
        <w:rPr>
          <w:rFonts w:ascii="Century Gothic" w:hAnsi="Century Gothic" w:cs="Arial"/>
          <w:i/>
        </w:rPr>
        <w:t xml:space="preserve">Por consiguiente, se advierte con meridiana claridad que la inclusión en la Carta Magna del acceso a Internet como un verdadero </w:t>
      </w:r>
      <w:r w:rsidRPr="00F44AA2">
        <w:rPr>
          <w:rFonts w:ascii="Century Gothic" w:hAnsi="Century Gothic" w:cs="Arial"/>
          <w:i/>
        </w:rPr>
        <w:lastRenderedPageBreak/>
        <w:t>derecho fundamental, se centró en potencializar los derechos fundamentales de libertad de expresión y acceso a la información, ya que con ellos es evidente que se ejercen los demás derechos   humanos, entre ellos los de carácter político, se combate la corrupción, pero además son herramienta importante para denunciar toda clase de actos en contra  de la sociedad, violencia en contra de las mujeres, entre más se encuentra   comunicada una comunidad, este tipo de acto denunciados en las redes sociales conforman el inicio de los mecanismos efectivos de presión social, que son efectivos contra la impunidad de los actos discriminatorios y violentos en contra d ellos grupos más vulnerables, como lo son las mujeres y lo indígenas.</w:t>
      </w:r>
    </w:p>
    <w:p w:rsidR="00F44AA2" w:rsidRPr="00F44AA2" w:rsidRDefault="00F44AA2" w:rsidP="00503072">
      <w:pPr>
        <w:spacing w:line="360" w:lineRule="auto"/>
        <w:ind w:left="1134" w:right="567"/>
        <w:jc w:val="both"/>
        <w:rPr>
          <w:rFonts w:ascii="Century Gothic" w:hAnsi="Century Gothic" w:cs="Arial"/>
          <w:i/>
        </w:rPr>
      </w:pPr>
    </w:p>
    <w:p w:rsidR="00F44AA2" w:rsidRPr="00F44AA2" w:rsidRDefault="00F44AA2" w:rsidP="00503072">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Por su parte, el Consejo de Derechos Humanos de la Organización de las Naciones Unidas, el 12 de septiembre de 2011 emitió la observación general 34, sobre el artículo 19 del Pacto Internacional de Derechos Civiles y Políticos en la que          estableció lo siguiente:</w:t>
      </w:r>
    </w:p>
    <w:p w:rsidR="00F44AA2" w:rsidRPr="00F44AA2" w:rsidRDefault="00814A12" w:rsidP="00503072">
      <w:pPr>
        <w:tabs>
          <w:tab w:val="left" w:pos="9072"/>
        </w:tabs>
        <w:spacing w:line="360" w:lineRule="auto"/>
        <w:ind w:left="1134" w:right="567"/>
        <w:jc w:val="both"/>
        <w:rPr>
          <w:rFonts w:ascii="Century Gothic" w:hAnsi="Century Gothic" w:cs="Arial"/>
          <w:i/>
        </w:rPr>
      </w:pPr>
      <w:r>
        <w:rPr>
          <w:rFonts w:ascii="Century Gothic" w:hAnsi="Century Gothic" w:cs="Arial"/>
          <w:i/>
        </w:rPr>
        <w:t>•</w:t>
      </w:r>
      <w:r w:rsidR="00E377F5">
        <w:rPr>
          <w:rFonts w:ascii="Century Gothic" w:hAnsi="Century Gothic" w:cs="Arial"/>
          <w:i/>
        </w:rPr>
        <w:t xml:space="preserve"> </w:t>
      </w:r>
      <w:r w:rsidR="00F44AA2" w:rsidRPr="00F44AA2">
        <w:rPr>
          <w:rFonts w:ascii="Century Gothic" w:hAnsi="Century Gothic" w:cs="Arial"/>
          <w:i/>
        </w:rPr>
        <w:t>La libertad de expresión es una condición necesaria para el logro de los principios de transparencia y rendición de cuentas</w:t>
      </w:r>
      <w:r w:rsidR="00E377F5">
        <w:rPr>
          <w:rFonts w:ascii="Century Gothic" w:hAnsi="Century Gothic" w:cs="Arial"/>
          <w:i/>
        </w:rPr>
        <w:t xml:space="preserve"> que, a su vez, son esenciales</w:t>
      </w:r>
      <w:r w:rsidR="00F44AA2" w:rsidRPr="00F44AA2">
        <w:rPr>
          <w:rFonts w:ascii="Century Gothic" w:hAnsi="Century Gothic" w:cs="Arial"/>
          <w:i/>
        </w:rPr>
        <w:t xml:space="preserve"> para la promoción y la protección de los derechos humanos.</w:t>
      </w:r>
    </w:p>
    <w:p w:rsidR="00F44AA2" w:rsidRPr="00F44AA2" w:rsidRDefault="00F44AA2" w:rsidP="00503072">
      <w:pPr>
        <w:tabs>
          <w:tab w:val="left" w:pos="8647"/>
        </w:tabs>
        <w:spacing w:line="360" w:lineRule="auto"/>
        <w:ind w:left="1134" w:right="567"/>
        <w:jc w:val="both"/>
        <w:rPr>
          <w:rFonts w:ascii="Century Gothic" w:hAnsi="Century Gothic" w:cs="Arial"/>
          <w:b/>
          <w:bCs/>
          <w:i/>
          <w:u w:val="single"/>
        </w:rPr>
      </w:pPr>
      <w:r w:rsidRPr="00F44AA2">
        <w:rPr>
          <w:rFonts w:ascii="Century Gothic" w:hAnsi="Century Gothic" w:cs="Arial"/>
          <w:i/>
        </w:rPr>
        <w:t>•</w:t>
      </w:r>
      <w:r w:rsidRPr="00F44AA2">
        <w:rPr>
          <w:rFonts w:ascii="Century Gothic" w:hAnsi="Century Gothic" w:cs="Arial"/>
          <w:b/>
          <w:bCs/>
          <w:i/>
          <w:u w:val="single"/>
        </w:rPr>
        <w:t>Los Estados parte deberían tomar todas las medidas necesarias para fomentar la independencia de los nuevos medios de comunicación como        Internet y asegurar el acceso a los mismos.</w:t>
      </w:r>
    </w:p>
    <w:p w:rsidR="00F44AA2" w:rsidRPr="00F44AA2" w:rsidRDefault="00F44AA2" w:rsidP="00503072">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lastRenderedPageBreak/>
        <w:t>•Toda limitación al funcionamiento de los sitios w</w:t>
      </w:r>
      <w:r w:rsidR="00862A87">
        <w:rPr>
          <w:rFonts w:ascii="Century Gothic" w:hAnsi="Century Gothic" w:cs="Arial"/>
          <w:i/>
        </w:rPr>
        <w:t xml:space="preserve">eb, los blogs u otros sistemas </w:t>
      </w:r>
      <w:r w:rsidRPr="00F44AA2">
        <w:rPr>
          <w:rFonts w:ascii="Century Gothic" w:hAnsi="Century Gothic" w:cs="Arial"/>
          <w:i/>
        </w:rPr>
        <w:t xml:space="preserve"> de difusión de información en Internet, solo será admisible en la medida en que sea compatible con el derecho de libertad de expresión.</w:t>
      </w:r>
    </w:p>
    <w:p w:rsidR="00F44AA2" w:rsidRPr="00F44AA2" w:rsidRDefault="00F44AA2" w:rsidP="00503072">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•Las restricciones permisibles se deben referir en general a un contenido concreto; las prohibiciones genéricas del funcionamiento de ciertos sitios y sistemas        no son compatibles con la libertad de expresión.</w:t>
      </w:r>
    </w:p>
    <w:p w:rsidR="00F44AA2" w:rsidRPr="00F44AA2" w:rsidRDefault="00F44AA2" w:rsidP="00503072">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•Tampoco es compatible con la libertad de expres</w:t>
      </w:r>
      <w:r w:rsidR="004B651F">
        <w:rPr>
          <w:rFonts w:ascii="Century Gothic" w:hAnsi="Century Gothic" w:cs="Arial"/>
          <w:i/>
        </w:rPr>
        <w:t xml:space="preserve">ión, prohibir que un sitio o  </w:t>
      </w:r>
      <w:r w:rsidRPr="00F44AA2">
        <w:rPr>
          <w:rFonts w:ascii="Century Gothic" w:hAnsi="Century Gothic" w:cs="Arial"/>
          <w:i/>
        </w:rPr>
        <w:t>un sistema de difusión de la información publique material por el mero hecho de que ese material pueda contener críticas al gobierno o al sistema político al que este se adhiere.</w:t>
      </w:r>
    </w:p>
    <w:p w:rsidR="00F44AA2" w:rsidRPr="00F44AA2" w:rsidRDefault="00F44AA2" w:rsidP="00503072">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En ese tenor la Ley Federal de Telecomunicaciones y Radiodifusión publicada en el Diario Oficial de la Federación el 14 de julio de 2014, en su artículo 3 reconoce la cobertura universal como acceso de la población en general a los servicios de telecomunicaciones:</w:t>
      </w:r>
    </w:p>
    <w:p w:rsidR="00F44AA2" w:rsidRPr="00F44AA2" w:rsidRDefault="00F44AA2" w:rsidP="00503072">
      <w:pPr>
        <w:pStyle w:val="Texto"/>
        <w:tabs>
          <w:tab w:val="left" w:pos="9072"/>
        </w:tabs>
        <w:spacing w:after="0" w:line="360" w:lineRule="auto"/>
        <w:ind w:left="1134" w:right="567"/>
        <w:rPr>
          <w:rFonts w:ascii="Century Gothic" w:hAnsi="Century Gothic"/>
          <w:i/>
          <w:iCs/>
          <w:sz w:val="24"/>
          <w:szCs w:val="24"/>
          <w:lang w:val="es-ES_tradnl"/>
        </w:rPr>
      </w:pPr>
      <w:bookmarkStart w:id="0" w:name="Artículo_3"/>
      <w:r w:rsidRPr="00F44AA2">
        <w:rPr>
          <w:rFonts w:ascii="Century Gothic" w:hAnsi="Century Gothic"/>
          <w:b/>
          <w:i/>
          <w:iCs/>
          <w:sz w:val="24"/>
          <w:szCs w:val="24"/>
          <w:lang w:val="es-ES_tradnl"/>
        </w:rPr>
        <w:t>Artículo 3</w:t>
      </w:r>
      <w:bookmarkEnd w:id="0"/>
      <w:r w:rsidRPr="00F44AA2">
        <w:rPr>
          <w:rFonts w:ascii="Century Gothic" w:hAnsi="Century Gothic"/>
          <w:b/>
          <w:i/>
          <w:iCs/>
          <w:sz w:val="24"/>
          <w:szCs w:val="24"/>
          <w:lang w:val="es-ES_tradnl"/>
        </w:rPr>
        <w:t>.</w:t>
      </w:r>
      <w:r w:rsidRPr="00F44AA2">
        <w:rPr>
          <w:rFonts w:ascii="Century Gothic" w:hAnsi="Century Gothic"/>
          <w:i/>
          <w:iCs/>
          <w:sz w:val="24"/>
          <w:szCs w:val="24"/>
          <w:lang w:val="es-ES_tradnl"/>
        </w:rPr>
        <w:t xml:space="preserve"> Para los efectos de esta Ley se entenderá por:</w:t>
      </w:r>
    </w:p>
    <w:p w:rsidR="00F44AA2" w:rsidRPr="00F44AA2" w:rsidRDefault="00F44AA2" w:rsidP="00503072">
      <w:pPr>
        <w:pStyle w:val="Texto"/>
        <w:tabs>
          <w:tab w:val="left" w:pos="9072"/>
        </w:tabs>
        <w:spacing w:after="0" w:line="360" w:lineRule="auto"/>
        <w:ind w:left="1134" w:right="567"/>
        <w:rPr>
          <w:rFonts w:ascii="Century Gothic" w:hAnsi="Century Gothic"/>
          <w:i/>
          <w:iCs/>
          <w:sz w:val="24"/>
          <w:szCs w:val="24"/>
          <w:lang w:val="es-ES_tradnl"/>
        </w:rPr>
      </w:pPr>
      <w:r w:rsidRPr="00F44AA2">
        <w:rPr>
          <w:rFonts w:ascii="Century Gothic" w:hAnsi="Century Gothic"/>
          <w:i/>
          <w:iCs/>
          <w:sz w:val="24"/>
          <w:szCs w:val="24"/>
          <w:lang w:val="es-ES_tradnl"/>
        </w:rPr>
        <w:t>…</w:t>
      </w:r>
    </w:p>
    <w:p w:rsidR="00F44AA2" w:rsidRPr="00F44AA2" w:rsidRDefault="00F44AA2" w:rsidP="00503072">
      <w:pPr>
        <w:pStyle w:val="Texto"/>
        <w:tabs>
          <w:tab w:val="left" w:pos="9072"/>
        </w:tabs>
        <w:spacing w:after="0" w:line="360" w:lineRule="auto"/>
        <w:ind w:left="1134" w:right="567"/>
        <w:rPr>
          <w:rFonts w:ascii="Century Gothic" w:hAnsi="Century Gothic"/>
          <w:i/>
          <w:iCs/>
          <w:sz w:val="24"/>
          <w:szCs w:val="24"/>
          <w:lang w:val="es-ES_tradnl"/>
        </w:rPr>
      </w:pPr>
    </w:p>
    <w:p w:rsidR="00F44AA2" w:rsidRPr="00F44AA2" w:rsidRDefault="00F44AA2" w:rsidP="00503072">
      <w:pPr>
        <w:pStyle w:val="Texto"/>
        <w:tabs>
          <w:tab w:val="left" w:pos="8647"/>
        </w:tabs>
        <w:spacing w:after="0" w:line="360" w:lineRule="auto"/>
        <w:ind w:left="1134" w:right="567" w:firstLine="0"/>
        <w:rPr>
          <w:rFonts w:ascii="Century Gothic" w:hAnsi="Century Gothic"/>
          <w:i/>
          <w:iCs/>
          <w:sz w:val="24"/>
          <w:szCs w:val="24"/>
          <w:lang w:val="es-ES_tradnl"/>
        </w:rPr>
      </w:pPr>
      <w:r w:rsidRPr="00F44AA2">
        <w:rPr>
          <w:rFonts w:ascii="Century Gothic" w:hAnsi="Century Gothic"/>
          <w:b/>
          <w:i/>
          <w:iCs/>
          <w:sz w:val="24"/>
          <w:szCs w:val="24"/>
          <w:lang w:val="es-ES_tradnl"/>
        </w:rPr>
        <w:t>X.</w:t>
      </w:r>
      <w:r w:rsidR="00E377F5" w:rsidRPr="00F44AA2">
        <w:rPr>
          <w:rFonts w:ascii="Century Gothic" w:hAnsi="Century Gothic"/>
          <w:b/>
          <w:i/>
          <w:iCs/>
          <w:sz w:val="24"/>
          <w:szCs w:val="24"/>
          <w:lang w:val="es-ES_tradnl"/>
        </w:rPr>
        <w:t xml:space="preserve"> </w:t>
      </w:r>
      <w:r w:rsidRPr="00F44AA2">
        <w:rPr>
          <w:rFonts w:ascii="Century Gothic" w:hAnsi="Century Gothic"/>
          <w:b/>
          <w:i/>
          <w:iCs/>
          <w:sz w:val="24"/>
          <w:szCs w:val="24"/>
          <w:lang w:val="es-ES_tradnl"/>
        </w:rPr>
        <w:t>Cobertura universal:</w:t>
      </w:r>
      <w:r w:rsidRPr="00F44AA2">
        <w:rPr>
          <w:rFonts w:ascii="Century Gothic" w:hAnsi="Century Gothic"/>
          <w:i/>
          <w:iCs/>
          <w:sz w:val="24"/>
          <w:szCs w:val="24"/>
          <w:lang w:val="es-ES_tradnl"/>
        </w:rPr>
        <w:t xml:space="preserve"> Acceso de la población en general a los servicios de telecomunicaciones determinados por la Secretaría, bajo condiciones de disponibilidad, asequibilidad y accesibilidad;</w:t>
      </w:r>
    </w:p>
    <w:p w:rsidR="00F44AA2" w:rsidRPr="00F44AA2" w:rsidRDefault="00F44AA2" w:rsidP="00503072">
      <w:pPr>
        <w:pStyle w:val="Texto"/>
        <w:tabs>
          <w:tab w:val="left" w:pos="8647"/>
        </w:tabs>
        <w:spacing w:after="0" w:line="360" w:lineRule="auto"/>
        <w:ind w:left="1134" w:right="567" w:firstLine="0"/>
        <w:rPr>
          <w:rFonts w:ascii="Century Gothic" w:hAnsi="Century Gothic"/>
          <w:i/>
          <w:iCs/>
          <w:sz w:val="24"/>
          <w:szCs w:val="24"/>
        </w:rPr>
      </w:pPr>
      <w:r w:rsidRPr="00F44AA2">
        <w:rPr>
          <w:rFonts w:ascii="Century Gothic" w:hAnsi="Century Gothic"/>
          <w:b/>
          <w:i/>
          <w:iCs/>
          <w:sz w:val="24"/>
          <w:szCs w:val="24"/>
          <w:lang w:val="es-ES_tradnl"/>
        </w:rPr>
        <w:t>…</w:t>
      </w:r>
    </w:p>
    <w:p w:rsidR="00F44AA2" w:rsidRPr="00F44AA2" w:rsidRDefault="00F44AA2" w:rsidP="00503072">
      <w:pPr>
        <w:tabs>
          <w:tab w:val="left" w:pos="8647"/>
        </w:tabs>
        <w:spacing w:line="360" w:lineRule="auto"/>
        <w:ind w:left="1134" w:right="567"/>
        <w:jc w:val="both"/>
        <w:rPr>
          <w:rFonts w:ascii="Century Gothic" w:hAnsi="Century Gothic" w:cs="Arial"/>
          <w:i/>
          <w:lang w:val="es-ES_tradnl"/>
        </w:rPr>
      </w:pPr>
      <w:r w:rsidRPr="00F44AA2">
        <w:rPr>
          <w:rFonts w:ascii="Century Gothic" w:hAnsi="Century Gothic" w:cs="Arial"/>
          <w:i/>
        </w:rPr>
        <w:lastRenderedPageBreak/>
        <w:t xml:space="preserve">En la referida Ley se crea el </w:t>
      </w:r>
      <w:r w:rsidRPr="00F44AA2">
        <w:rPr>
          <w:rFonts w:ascii="Century Gothic" w:hAnsi="Century Gothic" w:cs="Arial"/>
          <w:i/>
          <w:lang w:val="es-ES_tradnl"/>
        </w:rPr>
        <w:t>Instituto Federal de Telecomunicaciones que es un órgano público autónomo, independiente en sus decisiones y funcionamiento, con personalidad jurídica y patrimonio propios, que tiene por objeto regular y promover la competencia y el desarrollo eficiente de las telecomunicaciones y la radiodifusión en el ámbito de las atribuciones que le confieren la Constitución y en los términos que fijan las leyes.</w:t>
      </w:r>
    </w:p>
    <w:p w:rsidR="00F44AA2" w:rsidRPr="00F44AA2" w:rsidRDefault="00F44AA2" w:rsidP="00503072">
      <w:pPr>
        <w:tabs>
          <w:tab w:val="left" w:pos="9072"/>
        </w:tabs>
        <w:spacing w:line="360" w:lineRule="auto"/>
        <w:ind w:left="1134" w:right="567"/>
        <w:jc w:val="both"/>
        <w:rPr>
          <w:rFonts w:ascii="Century Gothic" w:hAnsi="Century Gothic" w:cs="Arial"/>
          <w:i/>
          <w:lang w:val="es-ES_tradnl"/>
        </w:rPr>
      </w:pPr>
    </w:p>
    <w:p w:rsidR="00F44AA2" w:rsidRPr="00F44AA2" w:rsidRDefault="00F44AA2" w:rsidP="00503072">
      <w:pPr>
        <w:tabs>
          <w:tab w:val="left" w:pos="9072"/>
        </w:tabs>
        <w:spacing w:line="360" w:lineRule="auto"/>
        <w:ind w:left="1134" w:right="567"/>
        <w:jc w:val="both"/>
        <w:rPr>
          <w:rFonts w:ascii="Century Gothic" w:hAnsi="Century Gothic" w:cs="Arial"/>
          <w:i/>
          <w:lang w:val="es-ES_tradnl"/>
        </w:rPr>
      </w:pPr>
      <w:r w:rsidRPr="00F44AA2">
        <w:rPr>
          <w:rFonts w:ascii="Century Gothic" w:hAnsi="Century Gothic" w:cs="Arial"/>
          <w:i/>
          <w:lang w:val="es-ES_tradnl"/>
        </w:rPr>
        <w:t xml:space="preserve">Tanto al Instituto Federal de Telecomunicaciones como a la Secretaría de Comunicaciones y Transportes les corresponde planear las políticas que garanticen la cobertura universal, según lo señala los artículos 9 fracción III y 15 </w:t>
      </w:r>
      <w:proofErr w:type="gramStart"/>
      <w:r w:rsidRPr="00F44AA2">
        <w:rPr>
          <w:rFonts w:ascii="Century Gothic" w:hAnsi="Century Gothic" w:cs="Arial"/>
          <w:i/>
          <w:lang w:val="es-ES_tradnl"/>
        </w:rPr>
        <w:t>fracción</w:t>
      </w:r>
      <w:proofErr w:type="gramEnd"/>
      <w:r w:rsidRPr="00F44AA2">
        <w:rPr>
          <w:rFonts w:ascii="Century Gothic" w:hAnsi="Century Gothic" w:cs="Arial"/>
          <w:i/>
          <w:lang w:val="es-ES_tradnl"/>
        </w:rPr>
        <w:t xml:space="preserve"> XLIII de la </w:t>
      </w:r>
      <w:r w:rsidRPr="00F44AA2">
        <w:rPr>
          <w:rFonts w:ascii="Century Gothic" w:hAnsi="Century Gothic" w:cs="Arial"/>
          <w:i/>
        </w:rPr>
        <w:t>Ley Federal de Telecomunicaciones y Radiodifusión:</w:t>
      </w:r>
    </w:p>
    <w:p w:rsidR="00F44AA2" w:rsidRPr="00F44AA2" w:rsidRDefault="00F44AA2" w:rsidP="00503072">
      <w:pPr>
        <w:pStyle w:val="Texto"/>
        <w:tabs>
          <w:tab w:val="left" w:pos="9072"/>
        </w:tabs>
        <w:spacing w:after="0" w:line="360" w:lineRule="auto"/>
        <w:ind w:left="1134" w:right="567"/>
        <w:rPr>
          <w:rFonts w:ascii="Century Gothic" w:hAnsi="Century Gothic"/>
          <w:i/>
          <w:iCs/>
          <w:sz w:val="24"/>
          <w:szCs w:val="24"/>
          <w:lang w:val="es-ES_tradnl"/>
        </w:rPr>
      </w:pPr>
      <w:bookmarkStart w:id="1" w:name="Artículo_9"/>
      <w:bookmarkStart w:id="2" w:name="Artículo_15"/>
      <w:r w:rsidRPr="00F44AA2">
        <w:rPr>
          <w:rFonts w:ascii="Century Gothic" w:hAnsi="Century Gothic"/>
          <w:b/>
          <w:i/>
          <w:iCs/>
          <w:sz w:val="24"/>
          <w:szCs w:val="24"/>
          <w:lang w:val="es-ES_tradnl"/>
        </w:rPr>
        <w:t>Artículo 9</w:t>
      </w:r>
      <w:bookmarkEnd w:id="1"/>
      <w:r w:rsidRPr="00F44AA2">
        <w:rPr>
          <w:rFonts w:ascii="Century Gothic" w:hAnsi="Century Gothic"/>
          <w:b/>
          <w:i/>
          <w:iCs/>
          <w:sz w:val="24"/>
          <w:szCs w:val="24"/>
          <w:lang w:val="es-ES_tradnl"/>
        </w:rPr>
        <w:t>.</w:t>
      </w:r>
      <w:r w:rsidRPr="00F44AA2">
        <w:rPr>
          <w:rFonts w:ascii="Century Gothic" w:hAnsi="Century Gothic"/>
          <w:i/>
          <w:iCs/>
          <w:sz w:val="24"/>
          <w:szCs w:val="24"/>
          <w:lang w:val="es-ES_tradnl"/>
        </w:rPr>
        <w:t xml:space="preserve"> Corresponde a la Secretaría:</w:t>
      </w:r>
    </w:p>
    <w:p w:rsidR="00F44AA2" w:rsidRPr="00F44AA2" w:rsidRDefault="00F44AA2" w:rsidP="00503072">
      <w:pPr>
        <w:pStyle w:val="Texto"/>
        <w:tabs>
          <w:tab w:val="left" w:pos="9072"/>
        </w:tabs>
        <w:spacing w:after="0" w:line="360" w:lineRule="auto"/>
        <w:ind w:left="1134" w:right="567"/>
        <w:rPr>
          <w:rFonts w:ascii="Century Gothic" w:hAnsi="Century Gothic"/>
          <w:i/>
          <w:iCs/>
          <w:sz w:val="24"/>
          <w:szCs w:val="24"/>
          <w:lang w:val="es-ES_tradnl"/>
        </w:rPr>
      </w:pPr>
      <w:r w:rsidRPr="00F44AA2">
        <w:rPr>
          <w:rFonts w:ascii="Century Gothic" w:hAnsi="Century Gothic"/>
          <w:i/>
          <w:iCs/>
          <w:sz w:val="24"/>
          <w:szCs w:val="24"/>
          <w:lang w:val="es-ES_tradnl"/>
        </w:rPr>
        <w:t>…</w:t>
      </w:r>
    </w:p>
    <w:p w:rsidR="00F44AA2" w:rsidRPr="00F44AA2" w:rsidRDefault="00E377F5" w:rsidP="00503072">
      <w:pPr>
        <w:pStyle w:val="Texto"/>
        <w:tabs>
          <w:tab w:val="left" w:pos="9072"/>
        </w:tabs>
        <w:spacing w:after="0" w:line="360" w:lineRule="auto"/>
        <w:ind w:left="1134" w:right="567" w:firstLine="0"/>
        <w:rPr>
          <w:rFonts w:ascii="Century Gothic" w:hAnsi="Century Gothic"/>
          <w:i/>
          <w:iCs/>
          <w:sz w:val="24"/>
          <w:szCs w:val="24"/>
          <w:lang w:val="es-ES_tradnl"/>
        </w:rPr>
      </w:pPr>
      <w:proofErr w:type="spellStart"/>
      <w:r>
        <w:rPr>
          <w:rFonts w:ascii="Century Gothic" w:hAnsi="Century Gothic"/>
          <w:b/>
          <w:i/>
          <w:iCs/>
          <w:sz w:val="24"/>
          <w:szCs w:val="24"/>
          <w:lang w:val="es-ES_tradnl"/>
        </w:rPr>
        <w:t>III.</w:t>
      </w:r>
      <w:r w:rsidR="00F44AA2" w:rsidRPr="00F44AA2">
        <w:rPr>
          <w:rFonts w:ascii="Century Gothic" w:hAnsi="Century Gothic"/>
          <w:i/>
          <w:iCs/>
          <w:sz w:val="24"/>
          <w:szCs w:val="24"/>
          <w:lang w:val="es-ES_tradnl"/>
        </w:rPr>
        <w:t>Planear</w:t>
      </w:r>
      <w:proofErr w:type="spellEnd"/>
      <w:r w:rsidR="00F44AA2" w:rsidRPr="00F44AA2">
        <w:rPr>
          <w:rFonts w:ascii="Century Gothic" w:hAnsi="Century Gothic"/>
          <w:i/>
          <w:iCs/>
          <w:sz w:val="24"/>
          <w:szCs w:val="24"/>
          <w:lang w:val="es-ES_tradnl"/>
        </w:rPr>
        <w:t>, fijar, instrumentar y conducir las políticas y programas de cobertura universal y cobertura social de conformidad con lo establecido en esta Ley;</w:t>
      </w:r>
    </w:p>
    <w:p w:rsidR="00F44AA2" w:rsidRPr="00F44AA2" w:rsidRDefault="00F44AA2" w:rsidP="00503072">
      <w:pPr>
        <w:pStyle w:val="Texto"/>
        <w:tabs>
          <w:tab w:val="left" w:pos="9072"/>
        </w:tabs>
        <w:spacing w:after="0" w:line="360" w:lineRule="auto"/>
        <w:ind w:left="1134" w:right="567" w:firstLine="0"/>
        <w:rPr>
          <w:rFonts w:ascii="Century Gothic" w:hAnsi="Century Gothic"/>
          <w:i/>
          <w:iCs/>
          <w:sz w:val="24"/>
          <w:szCs w:val="24"/>
          <w:lang w:val="es-ES_tradnl"/>
        </w:rPr>
      </w:pPr>
      <w:r w:rsidRPr="00F44AA2">
        <w:rPr>
          <w:rFonts w:ascii="Century Gothic" w:hAnsi="Century Gothic"/>
          <w:b/>
          <w:i/>
          <w:iCs/>
          <w:sz w:val="24"/>
          <w:szCs w:val="24"/>
          <w:lang w:val="es-ES_tradnl"/>
        </w:rPr>
        <w:t>…</w:t>
      </w:r>
    </w:p>
    <w:p w:rsidR="00F44AA2" w:rsidRPr="00F44AA2" w:rsidRDefault="00E377F5" w:rsidP="00503072">
      <w:pPr>
        <w:pStyle w:val="Texto"/>
        <w:tabs>
          <w:tab w:val="left" w:pos="9072"/>
        </w:tabs>
        <w:spacing w:after="0" w:line="360" w:lineRule="auto"/>
        <w:ind w:left="1134" w:right="567" w:firstLine="0"/>
        <w:rPr>
          <w:rFonts w:ascii="Century Gothic" w:hAnsi="Century Gothic"/>
          <w:i/>
          <w:iCs/>
          <w:sz w:val="24"/>
          <w:szCs w:val="24"/>
          <w:lang w:val="es-ES_tradnl"/>
        </w:rPr>
      </w:pPr>
      <w:proofErr w:type="spellStart"/>
      <w:r>
        <w:rPr>
          <w:rFonts w:ascii="Century Gothic" w:hAnsi="Century Gothic"/>
          <w:b/>
          <w:i/>
          <w:iCs/>
          <w:sz w:val="24"/>
          <w:szCs w:val="24"/>
          <w:lang w:val="es-ES_tradnl"/>
        </w:rPr>
        <w:t>VII.</w:t>
      </w:r>
      <w:r w:rsidR="00F44AA2" w:rsidRPr="00F44AA2">
        <w:rPr>
          <w:rFonts w:ascii="Century Gothic" w:hAnsi="Century Gothic"/>
          <w:i/>
          <w:iCs/>
          <w:sz w:val="24"/>
          <w:szCs w:val="24"/>
          <w:lang w:val="es-ES_tradnl"/>
        </w:rPr>
        <w:t>Establecer</w:t>
      </w:r>
      <w:proofErr w:type="spellEnd"/>
      <w:r w:rsidR="00F44AA2" w:rsidRPr="00F44AA2">
        <w:rPr>
          <w:rFonts w:ascii="Century Gothic" w:hAnsi="Century Gothic"/>
          <w:i/>
          <w:iCs/>
          <w:sz w:val="24"/>
          <w:szCs w:val="24"/>
          <w:lang w:val="es-ES_tradnl"/>
        </w:rPr>
        <w:t xml:space="preserve"> programas de acceso a banda ancha en sitios públicos que identifiquen el número de sitios a conectar cada año de manera progresiva, hasta alcanzar la cobertura universal;</w:t>
      </w:r>
    </w:p>
    <w:p w:rsidR="00F44AA2" w:rsidRPr="00F44AA2" w:rsidRDefault="00F44AA2" w:rsidP="00503072">
      <w:pPr>
        <w:pStyle w:val="Texto"/>
        <w:tabs>
          <w:tab w:val="left" w:pos="9072"/>
        </w:tabs>
        <w:spacing w:after="0" w:line="360" w:lineRule="auto"/>
        <w:ind w:left="1134" w:right="567" w:firstLine="0"/>
        <w:rPr>
          <w:rFonts w:ascii="Century Gothic" w:hAnsi="Century Gothic"/>
          <w:i/>
          <w:iCs/>
          <w:sz w:val="24"/>
          <w:szCs w:val="24"/>
          <w:lang w:val="es-ES_tradnl"/>
        </w:rPr>
      </w:pPr>
      <w:r w:rsidRPr="00F44AA2">
        <w:rPr>
          <w:rFonts w:ascii="Century Gothic" w:hAnsi="Century Gothic"/>
          <w:b/>
          <w:i/>
          <w:iCs/>
          <w:sz w:val="24"/>
          <w:szCs w:val="24"/>
          <w:lang w:val="es-ES_tradnl"/>
        </w:rPr>
        <w:t>…</w:t>
      </w:r>
    </w:p>
    <w:p w:rsidR="00F44AA2" w:rsidRPr="00F44AA2" w:rsidRDefault="00F44AA2" w:rsidP="00503072">
      <w:pPr>
        <w:pStyle w:val="Texto"/>
        <w:tabs>
          <w:tab w:val="left" w:pos="9072"/>
        </w:tabs>
        <w:spacing w:after="0" w:line="360" w:lineRule="auto"/>
        <w:ind w:left="1134" w:right="567" w:firstLine="0"/>
        <w:rPr>
          <w:rFonts w:ascii="Century Gothic" w:hAnsi="Century Gothic"/>
          <w:b/>
          <w:i/>
          <w:iCs/>
          <w:sz w:val="24"/>
          <w:szCs w:val="24"/>
          <w:lang w:val="es-ES_tradnl"/>
        </w:rPr>
      </w:pPr>
    </w:p>
    <w:p w:rsidR="00F44AA2" w:rsidRPr="00F44AA2" w:rsidRDefault="00F44AA2" w:rsidP="00503072">
      <w:pPr>
        <w:pStyle w:val="Texto"/>
        <w:tabs>
          <w:tab w:val="left" w:pos="9072"/>
        </w:tabs>
        <w:spacing w:after="0" w:line="360" w:lineRule="auto"/>
        <w:ind w:left="1134" w:right="567" w:firstLine="0"/>
        <w:rPr>
          <w:rFonts w:ascii="Century Gothic" w:hAnsi="Century Gothic"/>
          <w:i/>
          <w:iCs/>
          <w:sz w:val="24"/>
          <w:szCs w:val="24"/>
          <w:lang w:val="es-ES_tradnl"/>
        </w:rPr>
      </w:pPr>
      <w:r w:rsidRPr="00F44AA2">
        <w:rPr>
          <w:rFonts w:ascii="Century Gothic" w:hAnsi="Century Gothic"/>
          <w:b/>
          <w:i/>
          <w:iCs/>
          <w:sz w:val="24"/>
          <w:szCs w:val="24"/>
          <w:lang w:val="es-ES_tradnl"/>
        </w:rPr>
        <w:lastRenderedPageBreak/>
        <w:t>Artículo 15</w:t>
      </w:r>
      <w:bookmarkEnd w:id="2"/>
      <w:r w:rsidRPr="00F44AA2">
        <w:rPr>
          <w:rFonts w:ascii="Century Gothic" w:hAnsi="Century Gothic"/>
          <w:b/>
          <w:i/>
          <w:iCs/>
          <w:sz w:val="24"/>
          <w:szCs w:val="24"/>
          <w:lang w:val="es-ES_tradnl"/>
        </w:rPr>
        <w:t>.</w:t>
      </w:r>
      <w:r w:rsidRPr="00F44AA2">
        <w:rPr>
          <w:rFonts w:ascii="Century Gothic" w:hAnsi="Century Gothic"/>
          <w:i/>
          <w:iCs/>
          <w:sz w:val="24"/>
          <w:szCs w:val="24"/>
          <w:lang w:val="es-ES_tradnl"/>
        </w:rPr>
        <w:t xml:space="preserve"> Para el ejercicio de sus atribuciones corresponde al Instituto:</w:t>
      </w:r>
    </w:p>
    <w:p w:rsidR="00F44AA2" w:rsidRPr="00F44AA2" w:rsidRDefault="00F44AA2" w:rsidP="00503072">
      <w:pPr>
        <w:pStyle w:val="Texto"/>
        <w:tabs>
          <w:tab w:val="left" w:pos="9072"/>
        </w:tabs>
        <w:spacing w:after="0" w:line="360" w:lineRule="auto"/>
        <w:ind w:left="1134" w:right="567" w:firstLine="0"/>
        <w:rPr>
          <w:rFonts w:ascii="Century Gothic" w:hAnsi="Century Gothic"/>
          <w:i/>
          <w:iCs/>
          <w:sz w:val="24"/>
          <w:szCs w:val="24"/>
          <w:lang w:val="es-ES_tradnl"/>
        </w:rPr>
      </w:pPr>
      <w:r w:rsidRPr="00F44AA2">
        <w:rPr>
          <w:rFonts w:ascii="Century Gothic" w:hAnsi="Century Gothic"/>
          <w:i/>
          <w:iCs/>
          <w:sz w:val="24"/>
          <w:szCs w:val="24"/>
          <w:lang w:val="es-ES_tradnl"/>
        </w:rPr>
        <w:t>…</w:t>
      </w:r>
    </w:p>
    <w:p w:rsidR="00F44AA2" w:rsidRPr="00F44AA2" w:rsidRDefault="00E377F5" w:rsidP="00503072">
      <w:pPr>
        <w:pStyle w:val="Texto"/>
        <w:tabs>
          <w:tab w:val="left" w:pos="9072"/>
          <w:tab w:val="left" w:pos="9356"/>
        </w:tabs>
        <w:spacing w:after="0" w:line="360" w:lineRule="auto"/>
        <w:ind w:left="1134" w:right="567" w:firstLine="0"/>
        <w:rPr>
          <w:rFonts w:ascii="Century Gothic" w:hAnsi="Century Gothic"/>
          <w:i/>
          <w:iCs/>
          <w:sz w:val="24"/>
          <w:szCs w:val="24"/>
          <w:lang w:val="es-ES_tradnl"/>
        </w:rPr>
      </w:pPr>
      <w:r>
        <w:rPr>
          <w:rFonts w:ascii="Century Gothic" w:hAnsi="Century Gothic"/>
          <w:b/>
          <w:i/>
          <w:iCs/>
          <w:sz w:val="24"/>
          <w:szCs w:val="24"/>
          <w:lang w:val="es-ES_tradnl"/>
        </w:rPr>
        <w:t xml:space="preserve">XLIII. </w:t>
      </w:r>
      <w:r w:rsidR="00F44AA2" w:rsidRPr="00F44AA2">
        <w:rPr>
          <w:rFonts w:ascii="Century Gothic" w:hAnsi="Century Gothic"/>
          <w:i/>
          <w:iCs/>
          <w:sz w:val="24"/>
          <w:szCs w:val="24"/>
          <w:lang w:val="es-ES_tradnl"/>
        </w:rPr>
        <w:t>Establecer a los concesionarios las obligaciones de cobertura         geográfica, poblacional o social, de conectividad en sitios públicos y de contribución a la cobertura universal, en</w:t>
      </w:r>
      <w:r w:rsidR="0026414B">
        <w:rPr>
          <w:rFonts w:ascii="Century Gothic" w:hAnsi="Century Gothic"/>
          <w:i/>
          <w:iCs/>
          <w:sz w:val="24"/>
          <w:szCs w:val="24"/>
          <w:lang w:val="es-ES_tradnl"/>
        </w:rPr>
        <w:t xml:space="preserve"> los términos previstos en esta</w:t>
      </w:r>
      <w:r w:rsidR="00F44AA2" w:rsidRPr="00F44AA2">
        <w:rPr>
          <w:rFonts w:ascii="Century Gothic" w:hAnsi="Century Gothic"/>
          <w:i/>
          <w:iCs/>
          <w:sz w:val="24"/>
          <w:szCs w:val="24"/>
          <w:lang w:val="es-ES_tradnl"/>
        </w:rPr>
        <w:t xml:space="preserve"> Ley.</w:t>
      </w:r>
      <w:r w:rsidR="00F44AA2" w:rsidRPr="00F44AA2">
        <w:rPr>
          <w:rFonts w:ascii="Century Gothic" w:hAnsi="Century Gothic"/>
          <w:b/>
          <w:i/>
          <w:iCs/>
          <w:sz w:val="24"/>
          <w:szCs w:val="24"/>
          <w:lang w:val="es-ES_tradnl"/>
        </w:rPr>
        <w:t xml:space="preserve"> </w:t>
      </w:r>
      <w:r w:rsidR="00F44AA2" w:rsidRPr="00F44AA2">
        <w:rPr>
          <w:rFonts w:ascii="Century Gothic" w:hAnsi="Century Gothic"/>
          <w:i/>
          <w:iCs/>
          <w:sz w:val="24"/>
          <w:szCs w:val="24"/>
          <w:lang w:val="es-ES_tradnl"/>
        </w:rPr>
        <w:t>Para estos efectos, el Instituto considerará las propuestas de la Secretaría conforme a los planes y programas respectivos;</w:t>
      </w:r>
    </w:p>
    <w:p w:rsidR="00F44AA2" w:rsidRPr="00F44AA2" w:rsidRDefault="00F44AA2" w:rsidP="00503072">
      <w:pPr>
        <w:pStyle w:val="Texto"/>
        <w:tabs>
          <w:tab w:val="left" w:pos="9072"/>
          <w:tab w:val="left" w:pos="9356"/>
        </w:tabs>
        <w:spacing w:after="0" w:line="360" w:lineRule="auto"/>
        <w:ind w:left="1134" w:right="567" w:firstLine="0"/>
        <w:rPr>
          <w:rFonts w:ascii="Century Gothic" w:hAnsi="Century Gothic"/>
          <w:i/>
          <w:iCs/>
          <w:sz w:val="24"/>
          <w:szCs w:val="24"/>
          <w:lang w:val="es-ES_tradnl"/>
        </w:rPr>
      </w:pPr>
      <w:r w:rsidRPr="00F44AA2">
        <w:rPr>
          <w:rFonts w:ascii="Century Gothic" w:hAnsi="Century Gothic"/>
          <w:b/>
          <w:i/>
          <w:iCs/>
          <w:sz w:val="24"/>
          <w:szCs w:val="24"/>
          <w:lang w:val="es-ES_tradnl"/>
        </w:rPr>
        <w:t>…</w:t>
      </w:r>
    </w:p>
    <w:p w:rsidR="00F44AA2" w:rsidRPr="00F44AA2" w:rsidRDefault="00F44AA2" w:rsidP="00503072">
      <w:pPr>
        <w:tabs>
          <w:tab w:val="left" w:pos="9072"/>
          <w:tab w:val="left" w:pos="9356"/>
        </w:tabs>
        <w:spacing w:line="360" w:lineRule="auto"/>
        <w:ind w:left="1134" w:right="567"/>
        <w:jc w:val="both"/>
        <w:rPr>
          <w:rFonts w:ascii="Century Gothic" w:hAnsi="Century Gothic" w:cs="Arial"/>
          <w:i/>
        </w:rPr>
      </w:pPr>
      <w:r w:rsidRPr="00F44AA2">
        <w:rPr>
          <w:rFonts w:ascii="Century Gothic" w:hAnsi="Century Gothic" w:cs="Arial"/>
          <w:i/>
        </w:rPr>
        <w:t>Dentro del Plan nacional de Desarrollo del gobierno del presidente Andrés Manuel López Obrador, se plantea pasar del 87 por ciento de cobertura a Internet que se        tenía en el país en 2018 a 95 por ciento cuando concluya el sexenio en 2024, pero dichos datos no concuerdan con la realidad geográfica al momento de que analizan        las comunidades y localidades en concreto, sobr</w:t>
      </w:r>
      <w:r w:rsidR="0026414B">
        <w:rPr>
          <w:rFonts w:ascii="Century Gothic" w:hAnsi="Century Gothic" w:cs="Arial"/>
          <w:i/>
        </w:rPr>
        <w:t xml:space="preserve">e todo en un estado tan grande </w:t>
      </w:r>
      <w:r w:rsidRPr="00F44AA2">
        <w:rPr>
          <w:rFonts w:ascii="Century Gothic" w:hAnsi="Century Gothic" w:cs="Arial"/>
          <w:i/>
        </w:rPr>
        <w:t xml:space="preserve">  como en Chihuahua.</w:t>
      </w:r>
    </w:p>
    <w:p w:rsidR="00F44AA2" w:rsidRPr="00F44AA2" w:rsidRDefault="00F44AA2" w:rsidP="00503072">
      <w:pPr>
        <w:tabs>
          <w:tab w:val="left" w:pos="9072"/>
          <w:tab w:val="left" w:pos="9356"/>
        </w:tabs>
        <w:spacing w:line="360" w:lineRule="auto"/>
        <w:ind w:left="1134" w:right="567"/>
        <w:jc w:val="both"/>
        <w:rPr>
          <w:rFonts w:ascii="Century Gothic" w:hAnsi="Century Gothic" w:cs="Arial"/>
          <w:i/>
        </w:rPr>
      </w:pPr>
    </w:p>
    <w:p w:rsidR="00F44AA2" w:rsidRPr="00F44AA2" w:rsidRDefault="00F44AA2" w:rsidP="00503072">
      <w:pPr>
        <w:tabs>
          <w:tab w:val="left" w:pos="9072"/>
          <w:tab w:val="left" w:pos="9356"/>
        </w:tabs>
        <w:spacing w:line="360" w:lineRule="auto"/>
        <w:ind w:left="1134" w:right="567"/>
        <w:jc w:val="both"/>
        <w:rPr>
          <w:rFonts w:ascii="Century Gothic" w:hAnsi="Century Gothic" w:cs="Arial"/>
          <w:i/>
        </w:rPr>
      </w:pPr>
      <w:r w:rsidRPr="00F44AA2">
        <w:rPr>
          <w:rFonts w:ascii="Century Gothic" w:hAnsi="Century Gothic" w:cs="Arial"/>
          <w:i/>
        </w:rPr>
        <w:t>El Ejecutivo Federal para alcanzar el objetivo, propone impulsar el desarrollo de infraestructura de radiodifusión y telecomunicaciones en redes críticas y de alto desempeño, así como promover el acceso a Internet y banda ancha como servicios fundamentales para el bienestar y la inclusión social.</w:t>
      </w:r>
    </w:p>
    <w:p w:rsidR="00F44AA2" w:rsidRPr="00F44AA2" w:rsidRDefault="00F44AA2" w:rsidP="00503072">
      <w:pPr>
        <w:tabs>
          <w:tab w:val="left" w:pos="9072"/>
        </w:tabs>
        <w:spacing w:line="360" w:lineRule="auto"/>
        <w:ind w:left="1134" w:right="567"/>
        <w:jc w:val="both"/>
        <w:rPr>
          <w:rFonts w:ascii="Century Gothic" w:hAnsi="Century Gothic" w:cs="Arial"/>
          <w:i/>
        </w:rPr>
      </w:pPr>
    </w:p>
    <w:p w:rsidR="00F44AA2" w:rsidRPr="00F44AA2" w:rsidRDefault="00F44AA2" w:rsidP="00503072">
      <w:pPr>
        <w:tabs>
          <w:tab w:val="left" w:pos="9356"/>
        </w:tabs>
        <w:spacing w:line="360" w:lineRule="auto"/>
        <w:ind w:left="1134" w:right="567"/>
        <w:jc w:val="both"/>
        <w:rPr>
          <w:rFonts w:ascii="Century Gothic" w:hAnsi="Century Gothic" w:cs="Arial"/>
          <w:i/>
        </w:rPr>
      </w:pPr>
      <w:r w:rsidRPr="00F44AA2">
        <w:rPr>
          <w:rFonts w:ascii="Century Gothic" w:hAnsi="Century Gothic" w:cs="Arial"/>
          <w:i/>
        </w:rPr>
        <w:lastRenderedPageBreak/>
        <w:t xml:space="preserve">Fomentar el desarrollo tecnológico sostenible y accesible en diversos campos de  las telecomunicaciones y la radiodifusión a nivel nacional, y desarrollar habilidades  y modelos para la transformación digital, adecuándolas a las necesidades por sexo, edad y en los diferentes territorios, son otros de los objetivos. Otras de las acciones consisten en promover la economía digital accesible para toda la población, atendiendo la brecha de acceso a las tecnologías de la </w:t>
      </w:r>
      <w:r w:rsidR="00E377F5">
        <w:rPr>
          <w:rFonts w:ascii="Century Gothic" w:hAnsi="Century Gothic" w:cs="Arial"/>
          <w:i/>
        </w:rPr>
        <w:t xml:space="preserve">información y comunicación </w:t>
      </w:r>
      <w:r w:rsidRPr="00F44AA2">
        <w:rPr>
          <w:rFonts w:ascii="Century Gothic" w:hAnsi="Century Gothic" w:cs="Arial"/>
          <w:i/>
        </w:rPr>
        <w:t>en comunidades marginadas y con pr</w:t>
      </w:r>
      <w:r w:rsidR="0026414B">
        <w:rPr>
          <w:rFonts w:ascii="Century Gothic" w:hAnsi="Century Gothic" w:cs="Arial"/>
          <w:i/>
        </w:rPr>
        <w:t>esencia de población indígena y</w:t>
      </w:r>
      <w:r w:rsidRPr="00F44AA2">
        <w:rPr>
          <w:rFonts w:ascii="Century Gothic" w:hAnsi="Century Gothic" w:cs="Arial"/>
          <w:i/>
        </w:rPr>
        <w:t xml:space="preserve"> </w:t>
      </w:r>
      <w:proofErr w:type="spellStart"/>
      <w:r w:rsidRPr="00F44AA2">
        <w:rPr>
          <w:rFonts w:ascii="Century Gothic" w:hAnsi="Century Gothic" w:cs="Arial"/>
          <w:i/>
        </w:rPr>
        <w:t>afromexicana</w:t>
      </w:r>
      <w:proofErr w:type="spellEnd"/>
      <w:r w:rsidRPr="00F44AA2">
        <w:rPr>
          <w:rFonts w:ascii="Century Gothic" w:hAnsi="Century Gothic" w:cs="Arial"/>
          <w:i/>
        </w:rPr>
        <w:t xml:space="preserve">. En el Plan Nacional de Desarrollo </w:t>
      </w:r>
      <w:r w:rsidR="004B651F">
        <w:rPr>
          <w:rFonts w:ascii="Century Gothic" w:hAnsi="Century Gothic" w:cs="Arial"/>
          <w:i/>
        </w:rPr>
        <w:t xml:space="preserve">se señala que el acceso a los  </w:t>
      </w:r>
      <w:r w:rsidRPr="00F44AA2">
        <w:rPr>
          <w:rFonts w:ascii="Century Gothic" w:hAnsi="Century Gothic" w:cs="Arial"/>
          <w:i/>
        </w:rPr>
        <w:t xml:space="preserve"> servicios de radiodifusión y telecomunicaciones es fundamental para el desarrollo económico, ya que contribuye a la reducción de las disparidades en materia   educativa e impulsa la creación de capacidades en beneficio de la economía globalizada. "Para potenciar los beneficios </w:t>
      </w:r>
      <w:r w:rsidR="004B651F">
        <w:rPr>
          <w:rFonts w:ascii="Century Gothic" w:hAnsi="Century Gothic" w:cs="Arial"/>
          <w:i/>
        </w:rPr>
        <w:t>de las telecomunicaciones en el</w:t>
      </w:r>
      <w:r w:rsidRPr="00F44AA2">
        <w:rPr>
          <w:rFonts w:ascii="Century Gothic" w:hAnsi="Century Gothic" w:cs="Arial"/>
          <w:i/>
        </w:rPr>
        <w:t xml:space="preserve"> desarrollo económico, se requiere del diseño y de la ejecución de políticas públicas integrales en materia de infraestructura, educación, competencia, tecnología e innovación".</w:t>
      </w:r>
    </w:p>
    <w:p w:rsidR="00F44AA2" w:rsidRPr="00F44AA2" w:rsidRDefault="00F44AA2" w:rsidP="00503072">
      <w:pPr>
        <w:tabs>
          <w:tab w:val="left" w:pos="9072"/>
        </w:tabs>
        <w:spacing w:line="360" w:lineRule="auto"/>
        <w:ind w:left="1134" w:right="567"/>
        <w:jc w:val="both"/>
        <w:rPr>
          <w:rFonts w:ascii="Century Gothic" w:hAnsi="Century Gothic" w:cs="Arial"/>
          <w:i/>
        </w:rPr>
      </w:pPr>
    </w:p>
    <w:p w:rsidR="00F44AA2" w:rsidRPr="00F44AA2" w:rsidRDefault="00F44AA2" w:rsidP="00503072">
      <w:pPr>
        <w:tabs>
          <w:tab w:val="left" w:pos="9356"/>
        </w:tabs>
        <w:spacing w:line="360" w:lineRule="auto"/>
        <w:ind w:left="1134" w:right="567"/>
        <w:jc w:val="both"/>
        <w:rPr>
          <w:rFonts w:ascii="Century Gothic" w:hAnsi="Century Gothic" w:cs="Arial"/>
          <w:i/>
        </w:rPr>
      </w:pPr>
      <w:r w:rsidRPr="00F44AA2">
        <w:rPr>
          <w:rFonts w:ascii="Century Gothic" w:hAnsi="Century Gothic" w:cs="Arial"/>
          <w:i/>
        </w:rPr>
        <w:t xml:space="preserve">Asimismo, el documento refiere que México cuenta con brechas significativas en materia de acceso a Internet y banda ancha, lo cual se observa tanto a nivel regional como internacional, y según la OCDE, en 2018 México ocupó el lugar 36 de 37 en materia de suscripciones de banda ancha fija por cada 100 habitantes, con 16 </w:t>
      </w:r>
      <w:r w:rsidRPr="00F44AA2">
        <w:rPr>
          <w:rFonts w:ascii="Century Gothic" w:hAnsi="Century Gothic" w:cs="Arial"/>
          <w:i/>
        </w:rPr>
        <w:lastRenderedPageBreak/>
        <w:t>suscripciones menos que el promedio (31). La tendencia se mantiene al analizar el número de suscripciones de banda ancha móvil por cada 100 habitantes, en donde México ocupa el lugar 35 con 67 suscripciones, 39 suscripciones menos que el promedio.</w:t>
      </w:r>
    </w:p>
    <w:p w:rsidR="00F44AA2" w:rsidRPr="00F44AA2" w:rsidRDefault="00F44AA2" w:rsidP="00503072">
      <w:pPr>
        <w:tabs>
          <w:tab w:val="left" w:pos="9072"/>
        </w:tabs>
        <w:spacing w:line="360" w:lineRule="auto"/>
        <w:ind w:left="1134" w:right="567"/>
        <w:jc w:val="both"/>
        <w:rPr>
          <w:rFonts w:ascii="Century Gothic" w:hAnsi="Century Gothic" w:cs="Arial"/>
          <w:i/>
        </w:rPr>
      </w:pPr>
    </w:p>
    <w:p w:rsidR="00F44AA2" w:rsidRPr="00F44AA2" w:rsidRDefault="00F44AA2" w:rsidP="00503072">
      <w:pPr>
        <w:spacing w:line="360" w:lineRule="auto"/>
        <w:ind w:left="1134" w:right="567"/>
        <w:jc w:val="both"/>
        <w:rPr>
          <w:rFonts w:ascii="Century Gothic" w:hAnsi="Century Gothic" w:cs="Arial"/>
          <w:i/>
        </w:rPr>
      </w:pPr>
      <w:r w:rsidRPr="00F44AA2">
        <w:rPr>
          <w:rFonts w:ascii="Century Gothic" w:hAnsi="Century Gothic" w:cs="Arial"/>
          <w:i/>
        </w:rPr>
        <w:t>El Plan Nacional de Desarrollo reconoce que a nivel regional, 86% de las personas usuarias de Internet se ubican en áreas urbanas y el resto (14 por ciento) en áreas rurales; asimismo, 71 por ciento de la población urbana es usuaria de Internet,</w:t>
      </w:r>
      <w:r w:rsidR="004B651F">
        <w:rPr>
          <w:rFonts w:ascii="Century Gothic" w:hAnsi="Century Gothic" w:cs="Arial"/>
          <w:i/>
        </w:rPr>
        <w:t xml:space="preserve"> </w:t>
      </w:r>
      <w:r w:rsidRPr="00F44AA2">
        <w:rPr>
          <w:rFonts w:ascii="Century Gothic" w:hAnsi="Century Gothic" w:cs="Arial"/>
          <w:i/>
        </w:rPr>
        <w:t xml:space="preserve">mientras que solo 39% lo es en el ámbito rural. Específicamente, las entidades federativas que registran las proporciones más bajas de usuarios de Internet en  zonas urbanas son: Chiapas, Oaxaca, Tlaxcala y Michoacán; en el caso </w:t>
      </w:r>
      <w:r w:rsidR="004B651F">
        <w:rPr>
          <w:rFonts w:ascii="Century Gothic" w:hAnsi="Century Gothic" w:cs="Arial"/>
          <w:i/>
        </w:rPr>
        <w:t xml:space="preserve">de las </w:t>
      </w:r>
      <w:r w:rsidRPr="00F44AA2">
        <w:rPr>
          <w:rFonts w:ascii="Century Gothic" w:hAnsi="Century Gothic" w:cs="Arial"/>
          <w:i/>
        </w:rPr>
        <w:t>zonas rurales, los estados con proporciones más bajas son Chiapas, Guerrero, Veracruz y Zacatecas.</w:t>
      </w:r>
    </w:p>
    <w:p w:rsidR="00F44AA2" w:rsidRPr="00F44AA2" w:rsidRDefault="00F44AA2" w:rsidP="00503072">
      <w:pPr>
        <w:tabs>
          <w:tab w:val="left" w:pos="9072"/>
        </w:tabs>
        <w:spacing w:line="360" w:lineRule="auto"/>
        <w:ind w:left="1134" w:right="567"/>
        <w:jc w:val="both"/>
        <w:rPr>
          <w:rFonts w:ascii="Century Gothic" w:hAnsi="Century Gothic" w:cs="Arial"/>
          <w:i/>
          <w:iCs/>
        </w:rPr>
      </w:pPr>
    </w:p>
    <w:p w:rsidR="00F44AA2" w:rsidRPr="00F44AA2" w:rsidRDefault="00F44AA2" w:rsidP="00503072">
      <w:pPr>
        <w:tabs>
          <w:tab w:val="left" w:pos="8647"/>
          <w:tab w:val="left" w:pos="9072"/>
        </w:tabs>
        <w:spacing w:line="360" w:lineRule="auto"/>
        <w:ind w:left="1134" w:right="567"/>
        <w:jc w:val="both"/>
        <w:rPr>
          <w:rFonts w:ascii="Century Gothic" w:hAnsi="Century Gothic" w:cs="Arial"/>
          <w:i/>
        </w:rPr>
      </w:pPr>
      <w:r w:rsidRPr="00F44AA2">
        <w:rPr>
          <w:rFonts w:ascii="Century Gothic" w:hAnsi="Century Gothic" w:cs="Arial"/>
          <w:i/>
          <w:iCs/>
        </w:rPr>
        <w:t>"La política del Gobierno de México deberá estar orientada a desarrollar de manera eficiente las telecomunicaciones y la radiodifusión para</w:t>
      </w:r>
      <w:r w:rsidR="0026414B">
        <w:rPr>
          <w:rFonts w:ascii="Century Gothic" w:hAnsi="Century Gothic" w:cs="Arial"/>
          <w:i/>
          <w:iCs/>
        </w:rPr>
        <w:t xml:space="preserve"> el beneficio de los usuarios</w:t>
      </w:r>
      <w:r w:rsidRPr="00F44AA2">
        <w:rPr>
          <w:rFonts w:ascii="Century Gothic" w:hAnsi="Century Gothic" w:cs="Arial"/>
          <w:i/>
          <w:iCs/>
        </w:rPr>
        <w:t xml:space="preserve"> a nivel nacional, manteniendo las condiciones de competencia, certidumbre a la inversión, marco institucional eficaz y regulación oportuna, moderna y pertinente",</w:t>
      </w:r>
      <w:r w:rsidRPr="00F44AA2">
        <w:rPr>
          <w:rFonts w:ascii="Century Gothic" w:hAnsi="Century Gothic" w:cs="Arial"/>
          <w:i/>
        </w:rPr>
        <w:t xml:space="preserve"> señala el Plan Nacional de Desarrollo.</w:t>
      </w:r>
    </w:p>
    <w:p w:rsidR="00F44AA2" w:rsidRPr="00F44AA2" w:rsidRDefault="00F44AA2" w:rsidP="00503072">
      <w:pPr>
        <w:tabs>
          <w:tab w:val="left" w:pos="8647"/>
          <w:tab w:val="left" w:pos="9072"/>
        </w:tabs>
        <w:spacing w:line="360" w:lineRule="auto"/>
        <w:ind w:left="1134" w:right="567"/>
        <w:jc w:val="both"/>
        <w:rPr>
          <w:rFonts w:ascii="Century Gothic" w:hAnsi="Century Gothic" w:cs="Arial"/>
          <w:i/>
          <w:iCs/>
        </w:rPr>
      </w:pPr>
    </w:p>
    <w:p w:rsidR="00F44AA2" w:rsidRPr="00F44AA2" w:rsidRDefault="00F44AA2" w:rsidP="00503072">
      <w:pPr>
        <w:tabs>
          <w:tab w:val="left" w:pos="9072"/>
        </w:tabs>
        <w:spacing w:line="360" w:lineRule="auto"/>
        <w:ind w:left="1134" w:right="567"/>
        <w:jc w:val="both"/>
        <w:rPr>
          <w:rFonts w:ascii="Century Gothic" w:hAnsi="Century Gothic" w:cs="Arial"/>
          <w:i/>
          <w:iCs/>
        </w:rPr>
      </w:pPr>
      <w:r w:rsidRPr="00F44AA2">
        <w:rPr>
          <w:rFonts w:ascii="Century Gothic" w:hAnsi="Century Gothic" w:cs="Arial"/>
          <w:i/>
          <w:iCs/>
        </w:rPr>
        <w:t>"Al promover el acceso a Internet y banda ancha se preten</w:t>
      </w:r>
      <w:r w:rsidR="0026414B">
        <w:rPr>
          <w:rFonts w:ascii="Century Gothic" w:hAnsi="Century Gothic" w:cs="Arial"/>
          <w:i/>
          <w:iCs/>
        </w:rPr>
        <w:t xml:space="preserve">de fortalecer la competitividad </w:t>
      </w:r>
      <w:r w:rsidRPr="00F44AA2">
        <w:rPr>
          <w:rFonts w:ascii="Century Gothic" w:hAnsi="Century Gothic" w:cs="Arial"/>
          <w:i/>
          <w:iCs/>
        </w:rPr>
        <w:t xml:space="preserve">de las empresas y elevar la </w:t>
      </w:r>
      <w:r w:rsidRPr="00F44AA2">
        <w:rPr>
          <w:rFonts w:ascii="Century Gothic" w:hAnsi="Century Gothic" w:cs="Arial"/>
          <w:i/>
          <w:iCs/>
        </w:rPr>
        <w:lastRenderedPageBreak/>
        <w:t>product</w:t>
      </w:r>
      <w:r w:rsidR="0026414B">
        <w:rPr>
          <w:rFonts w:ascii="Century Gothic" w:hAnsi="Century Gothic" w:cs="Arial"/>
          <w:i/>
          <w:iCs/>
        </w:rPr>
        <w:t xml:space="preserve">ividad de las personas </w:t>
      </w:r>
      <w:r w:rsidRPr="00F44AA2">
        <w:rPr>
          <w:rFonts w:ascii="Century Gothic" w:hAnsi="Century Gothic" w:cs="Arial"/>
          <w:i/>
          <w:iCs/>
        </w:rPr>
        <w:t xml:space="preserve">trabajadoras. Por lo tanto, será necesario dar especial atención al desarrollo de operaciones de comercio electrónico y de </w:t>
      </w:r>
      <w:proofErr w:type="spellStart"/>
      <w:r w:rsidRPr="00F44AA2">
        <w:rPr>
          <w:rFonts w:ascii="Century Gothic" w:hAnsi="Century Gothic" w:cs="Arial"/>
          <w:i/>
          <w:iCs/>
        </w:rPr>
        <w:t>ciberseguridad</w:t>
      </w:r>
      <w:proofErr w:type="spellEnd"/>
      <w:r w:rsidRPr="00F44AA2">
        <w:rPr>
          <w:rFonts w:ascii="Century Gothic" w:hAnsi="Century Gothic" w:cs="Arial"/>
          <w:i/>
          <w:iCs/>
        </w:rPr>
        <w:t>, así como al uso de productos financieros asociados al Internet".</w:t>
      </w:r>
    </w:p>
    <w:p w:rsidR="00F44AA2" w:rsidRPr="00F44AA2" w:rsidRDefault="00F44AA2" w:rsidP="00503072">
      <w:pPr>
        <w:tabs>
          <w:tab w:val="left" w:pos="9072"/>
        </w:tabs>
        <w:spacing w:line="360" w:lineRule="auto"/>
        <w:ind w:left="1134" w:right="567"/>
        <w:jc w:val="both"/>
        <w:rPr>
          <w:rFonts w:ascii="Century Gothic" w:hAnsi="Century Gothic" w:cs="Arial"/>
          <w:i/>
        </w:rPr>
      </w:pPr>
    </w:p>
    <w:p w:rsidR="00F44AA2" w:rsidRPr="00F44AA2" w:rsidRDefault="00F44AA2" w:rsidP="00503072">
      <w:pPr>
        <w:tabs>
          <w:tab w:val="left" w:pos="8647"/>
          <w:tab w:val="left" w:pos="9072"/>
        </w:tabs>
        <w:spacing w:line="360" w:lineRule="auto"/>
        <w:ind w:left="1134" w:right="567"/>
        <w:jc w:val="both"/>
        <w:rPr>
          <w:rFonts w:ascii="Century Gothic" w:hAnsi="Century Gothic" w:cs="Arial"/>
          <w:i/>
        </w:rPr>
      </w:pPr>
      <w:r w:rsidRPr="00F44AA2">
        <w:rPr>
          <w:rFonts w:ascii="Century Gothic" w:hAnsi="Century Gothic" w:cs="Arial"/>
          <w:i/>
        </w:rPr>
        <w:t>Pero estos indicadores parecen alejarse de la realidad, se olvida pues que las  grandes empresas de telefonía celular solo invierten en zonas rentables dejando grandes zonas territoriales y a población vulnerable sin posibilidades de   comunicación alguna y el Ejecutivo Federal parce olvidar que tiene a su alcance incluir en los planes anules de cobertura de los concesionarios obligaciones que signifiquen una verdadera solidaridad social que contribuya a concretar la cobertura universal.</w:t>
      </w:r>
    </w:p>
    <w:p w:rsidR="00F44AA2" w:rsidRPr="00F44AA2" w:rsidRDefault="00F44AA2" w:rsidP="00503072">
      <w:pPr>
        <w:tabs>
          <w:tab w:val="left" w:pos="9072"/>
        </w:tabs>
        <w:spacing w:line="360" w:lineRule="auto"/>
        <w:ind w:left="1134" w:right="567"/>
        <w:jc w:val="both"/>
        <w:rPr>
          <w:rFonts w:ascii="Century Gothic" w:hAnsi="Century Gothic" w:cs="Arial"/>
          <w:i/>
        </w:rPr>
      </w:pPr>
    </w:p>
    <w:p w:rsidR="00F44AA2" w:rsidRPr="00F44AA2" w:rsidRDefault="00F44AA2" w:rsidP="00503072">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Para ello es indispensable que en los planes se hagan desagregaciones geográficas por municipio y localidad a fin de evitar que por la concent</w:t>
      </w:r>
      <w:r w:rsidR="00393766">
        <w:rPr>
          <w:rFonts w:ascii="Century Gothic" w:hAnsi="Century Gothic" w:cs="Arial"/>
          <w:i/>
        </w:rPr>
        <w:t xml:space="preserve">ración de la cobertura en </w:t>
      </w:r>
      <w:r w:rsidRPr="00F44AA2">
        <w:rPr>
          <w:rFonts w:ascii="Century Gothic" w:hAnsi="Century Gothic" w:cs="Arial"/>
          <w:i/>
        </w:rPr>
        <w:t>zonas urbanas de fácil acceso se discrimine a la población de zonas geográficas apartadas o difícil acceso por falta de capacidad instalada.</w:t>
      </w:r>
    </w:p>
    <w:p w:rsidR="00F44AA2" w:rsidRPr="00F44AA2" w:rsidRDefault="00F44AA2" w:rsidP="00503072">
      <w:pPr>
        <w:tabs>
          <w:tab w:val="left" w:pos="9072"/>
        </w:tabs>
        <w:spacing w:line="360" w:lineRule="auto"/>
        <w:ind w:left="1134" w:right="567"/>
        <w:jc w:val="both"/>
        <w:rPr>
          <w:rFonts w:ascii="Century Gothic" w:hAnsi="Century Gothic" w:cs="Arial"/>
          <w:i/>
        </w:rPr>
      </w:pPr>
    </w:p>
    <w:p w:rsidR="00F44AA2" w:rsidRPr="00F44AA2" w:rsidRDefault="00F44AA2" w:rsidP="00503072">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 xml:space="preserve">Antes de empezar en hacer grandes inversiones en telecomunicaciones por parte del Gobierno Federal y del Gobierno del estado, deben de aplicarse los principios contenido en nuestra constitución y en la Ley Federal de Telecomunicaciones y </w:t>
      </w:r>
      <w:r w:rsidRPr="00F44AA2">
        <w:rPr>
          <w:rFonts w:ascii="Century Gothic" w:hAnsi="Century Gothic" w:cs="Arial"/>
          <w:i/>
        </w:rPr>
        <w:lastRenderedPageBreak/>
        <w:t xml:space="preserve">Radiodifusión, sobre todo cuando se analiza que el sector de la telefonía móvil en México es uno de los más rentables, dado que </w:t>
      </w:r>
      <w:r w:rsidR="00393766">
        <w:rPr>
          <w:rFonts w:ascii="Century Gothic" w:hAnsi="Century Gothic" w:cs="Arial"/>
          <w:i/>
        </w:rPr>
        <w:t>mantiene su tasa de crecimiento</w:t>
      </w:r>
      <w:r w:rsidRPr="00F44AA2">
        <w:rPr>
          <w:rFonts w:ascii="Century Gothic" w:hAnsi="Century Gothic" w:cs="Arial"/>
          <w:i/>
        </w:rPr>
        <w:t xml:space="preserve"> anual por ingresos de 11.2%.</w:t>
      </w:r>
    </w:p>
    <w:p w:rsidR="00F44AA2" w:rsidRPr="00F44AA2" w:rsidRDefault="00F44AA2" w:rsidP="00503072">
      <w:pPr>
        <w:tabs>
          <w:tab w:val="left" w:pos="9072"/>
        </w:tabs>
        <w:spacing w:line="360" w:lineRule="auto"/>
        <w:ind w:left="1134" w:right="567"/>
        <w:jc w:val="both"/>
        <w:rPr>
          <w:rFonts w:ascii="Century Gothic" w:hAnsi="Century Gothic" w:cs="Arial"/>
          <w:i/>
        </w:rPr>
      </w:pPr>
    </w:p>
    <w:p w:rsidR="00F44AA2" w:rsidRPr="00F44AA2" w:rsidRDefault="00F44AA2" w:rsidP="00503072">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 xml:space="preserve">En el segundo trimestre de  2018, los operadores </w:t>
      </w:r>
      <w:r w:rsidR="004D14C5">
        <w:rPr>
          <w:rFonts w:ascii="Century Gothic" w:hAnsi="Century Gothic" w:cs="Arial"/>
          <w:i/>
        </w:rPr>
        <w:t xml:space="preserve">móviles generaron $70,562 </w:t>
      </w:r>
      <w:r w:rsidRPr="00F44AA2">
        <w:rPr>
          <w:rFonts w:ascii="Century Gothic" w:hAnsi="Century Gothic" w:cs="Arial"/>
          <w:i/>
        </w:rPr>
        <w:t>millones de pesos.</w:t>
      </w:r>
    </w:p>
    <w:p w:rsidR="00F44AA2" w:rsidRPr="00F44AA2" w:rsidRDefault="00F44AA2" w:rsidP="00503072">
      <w:pPr>
        <w:tabs>
          <w:tab w:val="left" w:pos="9072"/>
        </w:tabs>
        <w:spacing w:line="360" w:lineRule="auto"/>
        <w:ind w:left="1134" w:right="567"/>
        <w:jc w:val="both"/>
        <w:rPr>
          <w:rFonts w:ascii="Century Gothic" w:hAnsi="Century Gothic" w:cs="Arial"/>
          <w:i/>
        </w:rPr>
      </w:pPr>
    </w:p>
    <w:p w:rsidR="00F44AA2" w:rsidRPr="00F44AA2" w:rsidRDefault="00F44AA2" w:rsidP="00503072">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Al segmentar por ingresos de los principales agentes d</w:t>
      </w:r>
      <w:r w:rsidR="004D14C5">
        <w:rPr>
          <w:rFonts w:ascii="Century Gothic" w:hAnsi="Century Gothic" w:cs="Arial"/>
          <w:i/>
        </w:rPr>
        <w:t xml:space="preserve">el mercado resalta lo  </w:t>
      </w:r>
      <w:r w:rsidRPr="00F44AA2">
        <w:rPr>
          <w:rFonts w:ascii="Century Gothic" w:hAnsi="Century Gothic" w:cs="Arial"/>
          <w:i/>
        </w:rPr>
        <w:t>siguiente:</w:t>
      </w:r>
    </w:p>
    <w:p w:rsidR="00F44AA2" w:rsidRPr="00F44AA2" w:rsidRDefault="00F44AA2" w:rsidP="00503072">
      <w:pPr>
        <w:tabs>
          <w:tab w:val="left" w:pos="9072"/>
        </w:tabs>
        <w:spacing w:line="360" w:lineRule="auto"/>
        <w:ind w:left="1134" w:right="567"/>
        <w:jc w:val="both"/>
        <w:rPr>
          <w:rFonts w:ascii="Century Gothic" w:hAnsi="Century Gothic" w:cs="Arial"/>
          <w:i/>
        </w:rPr>
      </w:pPr>
    </w:p>
    <w:p w:rsidR="00F44AA2" w:rsidRPr="00F44AA2" w:rsidRDefault="00F44AA2" w:rsidP="00503072">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Telcel: registró $49,567 millones de pesos (13.9% más que en 2017), con lo que ostenta una participación de mercado de 70.3%, más que en el trimestre inmediato anterior.</w:t>
      </w:r>
    </w:p>
    <w:p w:rsidR="00F44AA2" w:rsidRPr="00F44AA2" w:rsidRDefault="00F44AA2" w:rsidP="00503072">
      <w:pPr>
        <w:tabs>
          <w:tab w:val="left" w:pos="9072"/>
        </w:tabs>
        <w:spacing w:line="360" w:lineRule="auto"/>
        <w:ind w:left="1134" w:right="567"/>
        <w:jc w:val="both"/>
        <w:rPr>
          <w:rFonts w:ascii="Century Gothic" w:hAnsi="Century Gothic" w:cs="Arial"/>
          <w:i/>
        </w:rPr>
      </w:pPr>
    </w:p>
    <w:p w:rsidR="00F44AA2" w:rsidRPr="00F44AA2" w:rsidRDefault="00F44AA2" w:rsidP="00503072">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AT&amp;T: sumó $13,501 millones (9.4% más que un año atrás).</w:t>
      </w:r>
    </w:p>
    <w:p w:rsidR="00F44AA2" w:rsidRPr="00F44AA2" w:rsidRDefault="00F44AA2" w:rsidP="00503072">
      <w:pPr>
        <w:tabs>
          <w:tab w:val="left" w:pos="9072"/>
        </w:tabs>
        <w:spacing w:line="360" w:lineRule="auto"/>
        <w:ind w:left="1134" w:right="567"/>
        <w:jc w:val="both"/>
        <w:rPr>
          <w:rFonts w:ascii="Century Gothic" w:hAnsi="Century Gothic" w:cs="Arial"/>
          <w:i/>
        </w:rPr>
      </w:pPr>
    </w:p>
    <w:p w:rsidR="00F44AA2" w:rsidRPr="00F44AA2" w:rsidRDefault="00F44AA2" w:rsidP="00503072">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Movistar: reportó $7,213 millones (2.4% menos que el periodo anterior), impactado</w:t>
      </w:r>
      <w:r w:rsidR="00393766">
        <w:rPr>
          <w:rFonts w:ascii="Century Gothic" w:hAnsi="Century Gothic" w:cs="Arial"/>
          <w:i/>
        </w:rPr>
        <w:t xml:space="preserve"> </w:t>
      </w:r>
      <w:r w:rsidRPr="00F44AA2">
        <w:rPr>
          <w:rFonts w:ascii="Century Gothic" w:hAnsi="Century Gothic" w:cs="Arial"/>
          <w:i/>
        </w:rPr>
        <w:t>por la disminución en tarifas de interconexión y mayor competencia en prepago.</w:t>
      </w:r>
    </w:p>
    <w:p w:rsidR="00F44AA2" w:rsidRPr="00F44AA2" w:rsidRDefault="00F44AA2" w:rsidP="00503072">
      <w:pPr>
        <w:tabs>
          <w:tab w:val="left" w:pos="9072"/>
        </w:tabs>
        <w:spacing w:line="360" w:lineRule="auto"/>
        <w:ind w:left="1134" w:right="567"/>
        <w:jc w:val="both"/>
        <w:rPr>
          <w:rFonts w:ascii="Century Gothic" w:hAnsi="Century Gothic" w:cs="Arial"/>
          <w:i/>
        </w:rPr>
      </w:pPr>
      <w:r w:rsidRPr="00F44AA2">
        <w:rPr>
          <w:rFonts w:ascii="Century Gothic" w:hAnsi="Century Gothic" w:cs="Arial"/>
          <w:i/>
        </w:rPr>
        <w:t>No hay duda pues que las compañías de telefonía celular pue</w:t>
      </w:r>
      <w:r w:rsidR="00393766">
        <w:rPr>
          <w:rFonts w:ascii="Century Gothic" w:hAnsi="Century Gothic" w:cs="Arial"/>
          <w:i/>
        </w:rPr>
        <w:t>den orientar parte de</w:t>
      </w:r>
      <w:r w:rsidRPr="00F44AA2">
        <w:rPr>
          <w:rFonts w:ascii="Century Gothic" w:hAnsi="Century Gothic" w:cs="Arial"/>
          <w:i/>
        </w:rPr>
        <w:t xml:space="preserve"> sus inversiones en lograr una verdadera cobertu</w:t>
      </w:r>
      <w:r w:rsidR="00393766">
        <w:rPr>
          <w:rFonts w:ascii="Century Gothic" w:hAnsi="Century Gothic" w:cs="Arial"/>
          <w:i/>
        </w:rPr>
        <w:t xml:space="preserve">ra universal y no un cobertura </w:t>
      </w:r>
      <w:r w:rsidRPr="00F44AA2">
        <w:rPr>
          <w:rFonts w:ascii="Century Gothic" w:hAnsi="Century Gothic" w:cs="Arial"/>
          <w:i/>
        </w:rPr>
        <w:t>geográfica comercial, que se concentre solo en las áreas</w:t>
      </w:r>
      <w:r w:rsidR="00393766">
        <w:rPr>
          <w:rFonts w:ascii="Century Gothic" w:hAnsi="Century Gothic" w:cs="Arial"/>
          <w:i/>
        </w:rPr>
        <w:t xml:space="preserve"> en las que puedan beneficiarse </w:t>
      </w:r>
      <w:r w:rsidRPr="00F44AA2">
        <w:rPr>
          <w:rFonts w:ascii="Century Gothic" w:hAnsi="Century Gothic" w:cs="Arial"/>
          <w:i/>
        </w:rPr>
        <w:t xml:space="preserve">directamente por contratación directa, cuando lo que necesitamos urgentemente es </w:t>
      </w:r>
      <w:r w:rsidRPr="00F44AA2">
        <w:rPr>
          <w:rFonts w:ascii="Century Gothic" w:hAnsi="Century Gothic" w:cs="Arial"/>
          <w:i/>
        </w:rPr>
        <w:lastRenderedPageBreak/>
        <w:t>ampliar la cobertura a la zonas más vulnerables y desprotegidas  del Estado.</w:t>
      </w:r>
    </w:p>
    <w:p w:rsidR="00F44AA2" w:rsidRPr="00F44AA2" w:rsidRDefault="00F44AA2" w:rsidP="00503072">
      <w:pPr>
        <w:tabs>
          <w:tab w:val="left" w:pos="9072"/>
        </w:tabs>
        <w:spacing w:line="360" w:lineRule="auto"/>
        <w:ind w:left="1134" w:right="567"/>
        <w:jc w:val="both"/>
        <w:rPr>
          <w:rFonts w:ascii="Century Gothic" w:hAnsi="Century Gothic" w:cs="Arial"/>
          <w:i/>
        </w:rPr>
      </w:pPr>
    </w:p>
    <w:p w:rsidR="00F44AA2" w:rsidRPr="00F44AA2" w:rsidRDefault="00F44AA2" w:rsidP="00503072">
      <w:pPr>
        <w:tabs>
          <w:tab w:val="left" w:pos="9072"/>
        </w:tabs>
        <w:spacing w:line="360" w:lineRule="auto"/>
        <w:ind w:left="1134" w:right="567"/>
        <w:jc w:val="both"/>
        <w:rPr>
          <w:rFonts w:ascii="Century Gothic" w:hAnsi="Century Gothic" w:cs="Arial"/>
          <w:i/>
          <w:lang w:val="es-ES_tradnl"/>
        </w:rPr>
      </w:pPr>
      <w:r w:rsidRPr="00F44AA2">
        <w:rPr>
          <w:rFonts w:ascii="Century Gothic" w:hAnsi="Century Gothic" w:cs="Arial"/>
          <w:i/>
        </w:rPr>
        <w:t xml:space="preserve">Es importante que al momento de diseñar los planes anuales de ampliación de cobertura el Instituto Federal de Telecomunicaciones y la </w:t>
      </w:r>
      <w:r w:rsidRPr="00F44AA2">
        <w:rPr>
          <w:rFonts w:ascii="Century Gothic" w:hAnsi="Century Gothic" w:cs="Arial"/>
          <w:i/>
          <w:lang w:val="es-ES_tradnl"/>
        </w:rPr>
        <w:t>Secretaría de Comunicaciones y Transportes tengan esta visión, que los datos de acceso a  internet no sean virtuales, sino que efectivamente la cobertura sea real, en el mayor número de municipios, en su localidades y comunidades, y no sólo en la cabeceras municipales, hablara de porcentaje de cobertura con datos globales, sin desagregarlos por localidad, incluso en las ciudades por colonia, nos lleva a hacer declaraciones como las del Plan Nacional de Desarr</w:t>
      </w:r>
      <w:r w:rsidR="00357083">
        <w:rPr>
          <w:rFonts w:ascii="Century Gothic" w:hAnsi="Century Gothic" w:cs="Arial"/>
          <w:i/>
          <w:lang w:val="es-ES_tradnl"/>
        </w:rPr>
        <w:t xml:space="preserve">ollo que señalan una cobertura </w:t>
      </w:r>
      <w:r w:rsidRPr="00F44AA2">
        <w:rPr>
          <w:rFonts w:ascii="Century Gothic" w:hAnsi="Century Gothic" w:cs="Arial"/>
          <w:i/>
          <w:lang w:val="es-ES_tradnl"/>
        </w:rPr>
        <w:t>del 87% cuando ese nivel no se alcanza ni siquiera en las zonas urbanas.</w:t>
      </w:r>
    </w:p>
    <w:p w:rsidR="00F44AA2" w:rsidRPr="00F44AA2" w:rsidRDefault="00F44AA2" w:rsidP="00503072">
      <w:pPr>
        <w:tabs>
          <w:tab w:val="left" w:pos="9072"/>
        </w:tabs>
        <w:spacing w:line="360" w:lineRule="auto"/>
        <w:ind w:left="1134" w:right="567"/>
        <w:jc w:val="both"/>
        <w:rPr>
          <w:rFonts w:ascii="Century Gothic" w:hAnsi="Century Gothic" w:cs="Arial"/>
          <w:i/>
          <w:lang w:val="es-ES_tradnl"/>
        </w:rPr>
      </w:pPr>
    </w:p>
    <w:p w:rsidR="00F44AA2" w:rsidRPr="00F44AA2" w:rsidRDefault="00F44AA2" w:rsidP="00503072">
      <w:pPr>
        <w:tabs>
          <w:tab w:val="left" w:pos="9072"/>
        </w:tabs>
        <w:spacing w:line="360" w:lineRule="auto"/>
        <w:ind w:left="1134" w:right="567"/>
        <w:jc w:val="both"/>
        <w:rPr>
          <w:rFonts w:ascii="Century Gothic" w:hAnsi="Century Gothic" w:cs="Arial"/>
          <w:i/>
          <w:lang w:val="es-ES_tradnl"/>
        </w:rPr>
      </w:pPr>
      <w:r w:rsidRPr="00F44AA2">
        <w:rPr>
          <w:rFonts w:ascii="Century Gothic" w:hAnsi="Century Gothic" w:cs="Arial"/>
          <w:i/>
          <w:lang w:val="es-ES_tradnl"/>
        </w:rPr>
        <w:t>Debemos ser realistas y por consiguiente considerar que gran parte de la población  en México y en nuestro estado no tienen acceso a inter</w:t>
      </w:r>
      <w:r w:rsidR="00295385">
        <w:rPr>
          <w:rFonts w:ascii="Century Gothic" w:hAnsi="Century Gothic" w:cs="Arial"/>
          <w:i/>
          <w:lang w:val="es-ES_tradnl"/>
        </w:rPr>
        <w:t xml:space="preserve">net ni a la telefonía celular, </w:t>
      </w:r>
      <w:r w:rsidRPr="00F44AA2">
        <w:rPr>
          <w:rFonts w:ascii="Century Gothic" w:hAnsi="Century Gothic" w:cs="Arial"/>
          <w:i/>
          <w:lang w:val="es-ES_tradnl"/>
        </w:rPr>
        <w:t>por lo que es necesario reconocer que a este gran segmento de la población se le  está discriminando, al no tener acceso al servicio de i</w:t>
      </w:r>
      <w:r w:rsidR="00295385">
        <w:rPr>
          <w:rFonts w:ascii="Century Gothic" w:hAnsi="Century Gothic" w:cs="Arial"/>
          <w:i/>
          <w:lang w:val="es-ES_tradnl"/>
        </w:rPr>
        <w:t xml:space="preserve">nternet y con ello se niega el </w:t>
      </w:r>
      <w:r w:rsidRPr="00F44AA2">
        <w:rPr>
          <w:rFonts w:ascii="Century Gothic" w:hAnsi="Century Gothic" w:cs="Arial"/>
          <w:i/>
          <w:lang w:val="es-ES_tradnl"/>
        </w:rPr>
        <w:t xml:space="preserve"> goce o ejercicio efectivos de los demás derechos humanos que otras personas integrantes de un colectivo si lo tienen, por lo que los grupos sin acceso a las nuevas tecnologías de la comunicación se les debe con</w:t>
      </w:r>
      <w:r w:rsidR="00295385">
        <w:rPr>
          <w:rFonts w:ascii="Century Gothic" w:hAnsi="Century Gothic" w:cs="Arial"/>
          <w:i/>
          <w:lang w:val="es-ES_tradnl"/>
        </w:rPr>
        <w:t>siderar como grupos vulnerables</w:t>
      </w:r>
      <w:r w:rsidRPr="00F44AA2">
        <w:rPr>
          <w:rFonts w:ascii="Century Gothic" w:hAnsi="Century Gothic" w:cs="Arial"/>
          <w:i/>
          <w:lang w:val="es-ES_tradnl"/>
        </w:rPr>
        <w:t xml:space="preserve"> que requiere mayor </w:t>
      </w:r>
      <w:r w:rsidRPr="00F44AA2">
        <w:rPr>
          <w:rFonts w:ascii="Century Gothic" w:hAnsi="Century Gothic" w:cs="Arial"/>
          <w:i/>
          <w:lang w:val="es-ES_tradnl"/>
        </w:rPr>
        <w:lastRenderedPageBreak/>
        <w:t>nivel de protección, resultando en una obligación del Estado mexicano garantizar la cobertura universal de dicho servicio conforme lo señala el artículo 6º de la Constitución delos Estados Unidos Mexicanos:</w:t>
      </w:r>
    </w:p>
    <w:p w:rsidR="00F44AA2" w:rsidRPr="00F44AA2" w:rsidRDefault="00F44AA2" w:rsidP="00503072">
      <w:pPr>
        <w:tabs>
          <w:tab w:val="left" w:pos="9072"/>
        </w:tabs>
        <w:spacing w:line="360" w:lineRule="auto"/>
        <w:ind w:left="1134" w:right="567"/>
        <w:jc w:val="both"/>
        <w:rPr>
          <w:rFonts w:ascii="Century Gothic" w:hAnsi="Century Gothic" w:cs="Arial"/>
          <w:i/>
          <w:lang w:val="es-ES_tradnl"/>
        </w:rPr>
      </w:pPr>
    </w:p>
    <w:p w:rsidR="00F44AA2" w:rsidRPr="00F44AA2" w:rsidRDefault="00F44AA2" w:rsidP="0026414B">
      <w:pPr>
        <w:pStyle w:val="Texto"/>
        <w:tabs>
          <w:tab w:val="left" w:pos="9072"/>
        </w:tabs>
        <w:spacing w:after="0" w:line="360" w:lineRule="auto"/>
        <w:ind w:left="1134" w:right="567" w:firstLine="0"/>
        <w:rPr>
          <w:rFonts w:ascii="Century Gothic" w:hAnsi="Century Gothic"/>
          <w:i/>
          <w:iCs/>
          <w:sz w:val="24"/>
          <w:szCs w:val="24"/>
        </w:rPr>
      </w:pPr>
      <w:bookmarkStart w:id="3" w:name="Artículo_6o"/>
      <w:r w:rsidRPr="00F44AA2">
        <w:rPr>
          <w:rFonts w:ascii="Century Gothic" w:hAnsi="Century Gothic"/>
          <w:b/>
          <w:i/>
          <w:iCs/>
          <w:sz w:val="24"/>
          <w:szCs w:val="24"/>
        </w:rPr>
        <w:t>Artículo 6o</w:t>
      </w:r>
      <w:bookmarkEnd w:id="3"/>
      <w:r w:rsidRPr="00F44AA2">
        <w:rPr>
          <w:rFonts w:ascii="Century Gothic" w:hAnsi="Century Gothic"/>
          <w:b/>
          <w:i/>
          <w:iCs/>
          <w:sz w:val="24"/>
          <w:szCs w:val="24"/>
        </w:rPr>
        <w:t>.</w:t>
      </w:r>
      <w:r w:rsidRPr="00F44AA2">
        <w:rPr>
          <w:rFonts w:ascii="Century Gothic" w:hAnsi="Century Gothic"/>
          <w:i/>
          <w:iCs/>
          <w:sz w:val="24"/>
          <w:szCs w:val="24"/>
        </w:rPr>
        <w:t xml:space="preserve"> La manifestación de las ideas no será objeto de ninguna inquisición judicial o administrativa, sino en el caso de que ataque </w:t>
      </w:r>
      <w:r w:rsidR="002A7A50">
        <w:rPr>
          <w:rFonts w:ascii="Century Gothic" w:hAnsi="Century Gothic"/>
          <w:i/>
          <w:iCs/>
          <w:sz w:val="24"/>
          <w:szCs w:val="24"/>
        </w:rPr>
        <w:t xml:space="preserve">a la moral, la vida privada o </w:t>
      </w:r>
      <w:r w:rsidRPr="00F44AA2">
        <w:rPr>
          <w:rFonts w:ascii="Century Gothic" w:hAnsi="Century Gothic"/>
          <w:i/>
          <w:iCs/>
          <w:sz w:val="24"/>
          <w:szCs w:val="24"/>
        </w:rPr>
        <w:t xml:space="preserve"> los derechos de terceros, provoque algún delito, o</w:t>
      </w:r>
      <w:r w:rsidR="002A7A50">
        <w:rPr>
          <w:rFonts w:ascii="Century Gothic" w:hAnsi="Century Gothic"/>
          <w:i/>
          <w:iCs/>
          <w:sz w:val="24"/>
          <w:szCs w:val="24"/>
        </w:rPr>
        <w:t xml:space="preserve"> perturbe el orden público; el </w:t>
      </w:r>
      <w:r w:rsidRPr="00F44AA2">
        <w:rPr>
          <w:rFonts w:ascii="Century Gothic" w:hAnsi="Century Gothic"/>
          <w:i/>
          <w:iCs/>
          <w:sz w:val="24"/>
          <w:szCs w:val="24"/>
        </w:rPr>
        <w:t xml:space="preserve"> derecho de réplica será ejercido en los términos dispuestos por la ley. El derecho a  la información será garantizado por el Estado.</w:t>
      </w:r>
    </w:p>
    <w:p w:rsidR="00F44AA2" w:rsidRPr="00F44AA2" w:rsidRDefault="00F44AA2" w:rsidP="00503072">
      <w:pPr>
        <w:tabs>
          <w:tab w:val="left" w:pos="9072"/>
        </w:tabs>
        <w:spacing w:line="360" w:lineRule="auto"/>
        <w:ind w:left="1134" w:right="567" w:firstLine="289"/>
        <w:jc w:val="both"/>
        <w:rPr>
          <w:rFonts w:ascii="Century Gothic" w:hAnsi="Century Gothic" w:cs="Arial"/>
          <w:i/>
          <w:iCs/>
        </w:rPr>
      </w:pPr>
    </w:p>
    <w:p w:rsidR="00F44AA2" w:rsidRPr="00F44AA2" w:rsidRDefault="00F44AA2" w:rsidP="00503072">
      <w:pPr>
        <w:pStyle w:val="Texto"/>
        <w:tabs>
          <w:tab w:val="left" w:pos="9072"/>
        </w:tabs>
        <w:spacing w:after="0" w:line="360" w:lineRule="auto"/>
        <w:ind w:left="1134" w:right="567" w:firstLine="0"/>
        <w:rPr>
          <w:rFonts w:ascii="Century Gothic" w:hAnsi="Century Gothic"/>
          <w:i/>
          <w:iCs/>
          <w:sz w:val="24"/>
          <w:szCs w:val="24"/>
        </w:rPr>
      </w:pPr>
      <w:r w:rsidRPr="00F44AA2">
        <w:rPr>
          <w:rFonts w:ascii="Century Gothic" w:hAnsi="Century Gothic"/>
          <w:i/>
          <w:iCs/>
          <w:sz w:val="24"/>
          <w:szCs w:val="24"/>
        </w:rPr>
        <w:t>Toda persona tiene derecho al libre acceso a información plural y oportuna, así   como a buscar, recibir y difundir información e ideas de toda índole por cualquier  medio de expresión.</w:t>
      </w:r>
    </w:p>
    <w:p w:rsidR="00F44AA2" w:rsidRPr="00F44AA2" w:rsidRDefault="00F44AA2" w:rsidP="00503072">
      <w:pPr>
        <w:pStyle w:val="Texto"/>
        <w:tabs>
          <w:tab w:val="left" w:pos="9072"/>
        </w:tabs>
        <w:spacing w:after="0" w:line="360" w:lineRule="auto"/>
        <w:ind w:left="1134" w:right="567"/>
        <w:rPr>
          <w:rFonts w:ascii="Century Gothic" w:hAnsi="Century Gothic"/>
          <w:i/>
          <w:iCs/>
          <w:sz w:val="24"/>
          <w:szCs w:val="24"/>
        </w:rPr>
      </w:pPr>
    </w:p>
    <w:p w:rsidR="00F44AA2" w:rsidRPr="00F44AA2" w:rsidRDefault="00F44AA2" w:rsidP="00503072">
      <w:pPr>
        <w:pStyle w:val="Texto"/>
        <w:tabs>
          <w:tab w:val="left" w:pos="9072"/>
        </w:tabs>
        <w:spacing w:after="0" w:line="360" w:lineRule="auto"/>
        <w:ind w:left="1134" w:right="567" w:firstLine="0"/>
        <w:rPr>
          <w:rFonts w:ascii="Century Gothic" w:hAnsi="Century Gothic"/>
          <w:i/>
          <w:iCs/>
          <w:sz w:val="24"/>
          <w:szCs w:val="24"/>
        </w:rPr>
      </w:pPr>
      <w:r w:rsidRPr="00F44AA2">
        <w:rPr>
          <w:rFonts w:ascii="Century Gothic" w:hAnsi="Century Gothic"/>
          <w:b/>
          <w:bCs/>
          <w:i/>
          <w:iCs/>
          <w:sz w:val="24"/>
          <w:szCs w:val="24"/>
          <w:u w:val="single"/>
        </w:rPr>
        <w:t>El Estado garantizará el derecho de acceso a las tecnologías de la         información y comunicación, así como a los servicios de radiodifusión y telecomunicaciones, incluido el de banda ancha e internet. Para tales efectos, el Estado establecerá condiciones de competencia e</w:t>
      </w:r>
      <w:r w:rsidR="007018C3">
        <w:rPr>
          <w:rFonts w:ascii="Century Gothic" w:hAnsi="Century Gothic"/>
          <w:b/>
          <w:bCs/>
          <w:i/>
          <w:iCs/>
          <w:sz w:val="24"/>
          <w:szCs w:val="24"/>
          <w:u w:val="single"/>
        </w:rPr>
        <w:t xml:space="preserve">fectiva en la prestación </w:t>
      </w:r>
      <w:r w:rsidRPr="00F44AA2">
        <w:rPr>
          <w:rFonts w:ascii="Century Gothic" w:hAnsi="Century Gothic"/>
          <w:b/>
          <w:bCs/>
          <w:i/>
          <w:iCs/>
          <w:sz w:val="24"/>
          <w:szCs w:val="24"/>
          <w:u w:val="single"/>
        </w:rPr>
        <w:t>de dichos servicios</w:t>
      </w:r>
      <w:r w:rsidRPr="00F44AA2">
        <w:rPr>
          <w:rFonts w:ascii="Century Gothic" w:hAnsi="Century Gothic"/>
          <w:i/>
          <w:iCs/>
          <w:sz w:val="24"/>
          <w:szCs w:val="24"/>
        </w:rPr>
        <w:t>.”</w:t>
      </w:r>
    </w:p>
    <w:p w:rsidR="00F44AA2" w:rsidRPr="00E65428" w:rsidRDefault="00F44AA2" w:rsidP="00503072">
      <w:pPr>
        <w:pStyle w:val="Textoindependiente"/>
        <w:spacing w:line="360" w:lineRule="auto"/>
        <w:ind w:left="1134" w:right="567"/>
        <w:rPr>
          <w:rFonts w:ascii="Century Gothic" w:hAnsi="Century Gothic" w:cs="Arial"/>
          <w:bCs/>
          <w:i/>
        </w:rPr>
      </w:pPr>
    </w:p>
    <w:p w:rsidR="001A08F5" w:rsidRDefault="001A08F5" w:rsidP="008143DE">
      <w:pPr>
        <w:pStyle w:val="Textoindependiente"/>
        <w:spacing w:line="360" w:lineRule="auto"/>
        <w:ind w:left="567"/>
        <w:rPr>
          <w:rFonts w:ascii="Century Gothic" w:hAnsi="Century Gothic" w:cs="Arial"/>
        </w:rPr>
      </w:pPr>
      <w:r>
        <w:rPr>
          <w:rFonts w:ascii="Century Gothic" w:hAnsi="Century Gothic" w:cs="Arial"/>
        </w:rPr>
        <w:lastRenderedPageBreak/>
        <w:t>Al tenor de lo anterior, la Comisión de Economía, Turismo y Servicios</w:t>
      </w:r>
      <w:r w:rsidRPr="009568FB">
        <w:rPr>
          <w:rFonts w:ascii="Century Gothic" w:hAnsi="Century Gothic" w:cs="Arial"/>
        </w:rPr>
        <w:t xml:space="preserve">, después de entrar al estudio de </w:t>
      </w:r>
      <w:r w:rsidR="00FA19EA">
        <w:rPr>
          <w:rFonts w:ascii="Century Gothic" w:hAnsi="Century Gothic" w:cs="Arial"/>
        </w:rPr>
        <w:t>la I</w:t>
      </w:r>
      <w:r>
        <w:rPr>
          <w:rFonts w:ascii="Century Gothic" w:hAnsi="Century Gothic" w:cs="Arial"/>
        </w:rPr>
        <w:t xml:space="preserve">niciativa </w:t>
      </w:r>
      <w:r w:rsidRPr="009568FB">
        <w:rPr>
          <w:rFonts w:ascii="Century Gothic" w:hAnsi="Century Gothic" w:cs="Arial"/>
        </w:rPr>
        <w:t>de mérito, tiene a bien formular las siguientes</w:t>
      </w:r>
    </w:p>
    <w:p w:rsidR="001A08F5" w:rsidRDefault="001A08F5" w:rsidP="001A08F5">
      <w:pPr>
        <w:pStyle w:val="Textoindependiente"/>
        <w:spacing w:line="360" w:lineRule="auto"/>
        <w:rPr>
          <w:rFonts w:ascii="Century Gothic" w:hAnsi="Century Gothic" w:cs="Arial"/>
        </w:rPr>
      </w:pPr>
    </w:p>
    <w:p w:rsidR="001A08F5" w:rsidRDefault="001A08F5" w:rsidP="00503072">
      <w:pPr>
        <w:pStyle w:val="Textoindependiente"/>
        <w:spacing w:line="360" w:lineRule="auto"/>
        <w:ind w:left="567"/>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rsidR="001A08F5" w:rsidRPr="009568FB" w:rsidRDefault="001A08F5" w:rsidP="00503072">
      <w:pPr>
        <w:pStyle w:val="Textoindependiente"/>
        <w:spacing w:line="360" w:lineRule="auto"/>
        <w:ind w:left="567"/>
        <w:jc w:val="center"/>
        <w:rPr>
          <w:rFonts w:ascii="Century Gothic" w:hAnsi="Century Gothic" w:cs="Arial"/>
          <w:b/>
          <w:bCs/>
        </w:rPr>
      </w:pPr>
    </w:p>
    <w:p w:rsidR="001A08F5" w:rsidRPr="009568FB" w:rsidRDefault="001A08F5" w:rsidP="00503072">
      <w:pPr>
        <w:ind w:left="567"/>
        <w:jc w:val="both"/>
        <w:rPr>
          <w:rFonts w:ascii="Century Gothic" w:hAnsi="Century Gothic" w:cs="Arial"/>
          <w:b/>
          <w:bCs/>
        </w:rPr>
      </w:pPr>
    </w:p>
    <w:p w:rsidR="001A08F5" w:rsidRDefault="001A08F5" w:rsidP="00503072">
      <w:pPr>
        <w:spacing w:line="360" w:lineRule="auto"/>
        <w:ind w:left="567"/>
        <w:jc w:val="both"/>
        <w:rPr>
          <w:rFonts w:ascii="Century Gothic" w:hAnsi="Century Gothic" w:cs="Arial"/>
        </w:rPr>
      </w:pPr>
      <w:r w:rsidRPr="009568FB">
        <w:rPr>
          <w:rFonts w:ascii="Century Gothic" w:hAnsi="Century Gothic" w:cs="Arial"/>
          <w:b/>
          <w:bCs/>
        </w:rPr>
        <w:t>I.-</w:t>
      </w:r>
      <w:r w:rsidRPr="009568FB">
        <w:rPr>
          <w:rFonts w:ascii="Century Gothic" w:hAnsi="Century Gothic" w:cs="Arial"/>
        </w:rPr>
        <w:t xml:space="preserve"> </w:t>
      </w:r>
      <w:r w:rsidR="00FA19EA">
        <w:rPr>
          <w:rFonts w:ascii="Century Gothic" w:hAnsi="Century Gothic" w:cs="Arial"/>
        </w:rPr>
        <w:t>Al analizar la competencia</w:t>
      </w:r>
      <w:r>
        <w:rPr>
          <w:rFonts w:ascii="Century Gothic" w:hAnsi="Century Gothic" w:cs="Arial"/>
        </w:rPr>
        <w:t xml:space="preserve"> de este Alto cuerpo Colegiado, quienes integramos esta Comisión</w:t>
      </w:r>
      <w:r w:rsidR="00FA19EA">
        <w:rPr>
          <w:rFonts w:ascii="Century Gothic" w:hAnsi="Century Gothic" w:cs="Arial"/>
        </w:rPr>
        <w:t>,</w:t>
      </w:r>
      <w:r>
        <w:rPr>
          <w:rFonts w:ascii="Century Gothic" w:hAnsi="Century Gothic" w:cs="Arial"/>
        </w:rPr>
        <w:t xml:space="preserve"> no encontramos impedimento alguno para conocer del presente asunto. </w:t>
      </w:r>
    </w:p>
    <w:p w:rsidR="001A08F5" w:rsidRDefault="001A08F5" w:rsidP="00503072">
      <w:pPr>
        <w:ind w:left="567"/>
        <w:jc w:val="both"/>
        <w:rPr>
          <w:rFonts w:ascii="Century Gothic" w:hAnsi="Century Gothic" w:cs="Arial"/>
        </w:rPr>
      </w:pPr>
    </w:p>
    <w:p w:rsidR="00BC411F" w:rsidRDefault="001A08F5" w:rsidP="00503072">
      <w:pPr>
        <w:shd w:val="clear" w:color="auto" w:fill="FFFFFF"/>
        <w:tabs>
          <w:tab w:val="left" w:pos="9639"/>
        </w:tabs>
        <w:spacing w:line="360" w:lineRule="auto"/>
        <w:ind w:left="567"/>
        <w:jc w:val="both"/>
        <w:rPr>
          <w:rFonts w:ascii="Century Gothic" w:hAnsi="Century Gothic" w:cs="Arial"/>
        </w:rPr>
      </w:pPr>
      <w:r w:rsidRPr="008742B3">
        <w:rPr>
          <w:rFonts w:ascii="Century Gothic" w:hAnsi="Century Gothic" w:cs="Arial"/>
          <w:b/>
        </w:rPr>
        <w:t>II.-</w:t>
      </w:r>
      <w:r>
        <w:rPr>
          <w:rFonts w:ascii="Century Gothic" w:hAnsi="Century Gothic" w:cs="Arial"/>
          <w:b/>
        </w:rPr>
        <w:t xml:space="preserve"> </w:t>
      </w:r>
      <w:r>
        <w:rPr>
          <w:rFonts w:ascii="Century Gothic" w:hAnsi="Century Gothic" w:cs="Arial"/>
        </w:rPr>
        <w:t xml:space="preserve">En efecto, como ha quedado asentado en antecedentes, la presente Iniciativa tiene por </w:t>
      </w:r>
      <w:r w:rsidR="00BC411F">
        <w:rPr>
          <w:rFonts w:ascii="Century Gothic" w:hAnsi="Century Gothic" w:cs="Arial"/>
        </w:rPr>
        <w:t xml:space="preserve">objeto exhortar a la Secretaría de Comunicaciones y Transportes del Gobierno Federal y al Instituto Federal de Telecomunicaciones, </w:t>
      </w:r>
      <w:r w:rsidR="007A1F82">
        <w:rPr>
          <w:rFonts w:ascii="Century Gothic" w:hAnsi="Century Gothic" w:cs="Arial"/>
        </w:rPr>
        <w:t>a efecto de que</w:t>
      </w:r>
      <w:r w:rsidR="008C4DE6">
        <w:rPr>
          <w:rFonts w:ascii="Century Gothic" w:hAnsi="Century Gothic" w:cs="Arial"/>
        </w:rPr>
        <w:t xml:space="preserve"> amplíen a los concesionarios de telefonía celular e internet con cobertura en el Estado de Chihuahua, las obligaciones de cobertura geográfica, poblacional o social, de conectividad en sitios públicos y de contribución a la cobertura universal.</w:t>
      </w:r>
    </w:p>
    <w:p w:rsidR="00BC411F" w:rsidRDefault="00BC411F" w:rsidP="005F70B4">
      <w:pPr>
        <w:shd w:val="clear" w:color="auto" w:fill="FFFFFF"/>
        <w:tabs>
          <w:tab w:val="left" w:pos="9639"/>
        </w:tabs>
        <w:spacing w:line="360" w:lineRule="auto"/>
        <w:ind w:left="567" w:right="333"/>
        <w:jc w:val="both"/>
        <w:rPr>
          <w:rFonts w:ascii="Century Gothic" w:hAnsi="Century Gothic" w:cs="Arial"/>
        </w:rPr>
      </w:pPr>
    </w:p>
    <w:p w:rsidR="001A08F5" w:rsidRDefault="001A08F5" w:rsidP="008143DE">
      <w:pPr>
        <w:tabs>
          <w:tab w:val="left" w:pos="9639"/>
        </w:tabs>
        <w:spacing w:line="360" w:lineRule="auto"/>
        <w:ind w:left="567"/>
        <w:jc w:val="both"/>
        <w:rPr>
          <w:rFonts w:ascii="Century Gothic" w:eastAsia="Arial" w:hAnsi="Century Gothic" w:cs="Arial"/>
        </w:rPr>
      </w:pPr>
      <w:r>
        <w:rPr>
          <w:rFonts w:ascii="Century Gothic" w:eastAsia="Arial" w:hAnsi="Century Gothic" w:cs="Arial"/>
          <w:b/>
        </w:rPr>
        <w:t>III</w:t>
      </w:r>
      <w:r w:rsidRPr="008E1B69">
        <w:rPr>
          <w:rFonts w:ascii="Century Gothic" w:eastAsia="Arial" w:hAnsi="Century Gothic" w:cs="Arial"/>
          <w:b/>
        </w:rPr>
        <w:t>.-</w:t>
      </w:r>
      <w:r w:rsidRPr="008E1B69">
        <w:rPr>
          <w:rFonts w:ascii="Century Gothic" w:eastAsia="Arial" w:hAnsi="Century Gothic" w:cs="Arial"/>
        </w:rPr>
        <w:t xml:space="preserve"> </w:t>
      </w:r>
      <w:r>
        <w:rPr>
          <w:rFonts w:ascii="Century Gothic" w:eastAsia="Arial" w:hAnsi="Century Gothic" w:cs="Arial"/>
        </w:rPr>
        <w:t>Con el propósito de que el Pleno de esta Soberanía cuente con mayores elementos para pronunciarse al respecto, resulta necesario exponer lo siguiente:</w:t>
      </w:r>
    </w:p>
    <w:p w:rsidR="005E6F56" w:rsidRDefault="005E6F56" w:rsidP="008143DE">
      <w:pPr>
        <w:tabs>
          <w:tab w:val="left" w:pos="9639"/>
        </w:tabs>
        <w:spacing w:line="360" w:lineRule="auto"/>
        <w:ind w:left="567"/>
        <w:jc w:val="both"/>
        <w:rPr>
          <w:rFonts w:ascii="Century Gothic" w:hAnsi="Century Gothic"/>
          <w:shd w:val="clear" w:color="auto" w:fill="FFFFFF"/>
        </w:rPr>
      </w:pPr>
    </w:p>
    <w:p w:rsidR="002B7E26" w:rsidRDefault="005E6F56" w:rsidP="008143DE">
      <w:pPr>
        <w:tabs>
          <w:tab w:val="left" w:pos="9639"/>
        </w:tabs>
        <w:spacing w:line="360" w:lineRule="auto"/>
        <w:ind w:left="567"/>
        <w:jc w:val="both"/>
        <w:rPr>
          <w:rFonts w:ascii="Century Gothic" w:eastAsia="Arial" w:hAnsi="Century Gothic" w:cs="Arial"/>
          <w:i/>
        </w:rPr>
      </w:pPr>
      <w:r>
        <w:rPr>
          <w:rFonts w:ascii="Century Gothic" w:hAnsi="Century Gothic"/>
          <w:shd w:val="clear" w:color="auto" w:fill="FFFFFF"/>
        </w:rPr>
        <w:t xml:space="preserve">La </w:t>
      </w:r>
      <w:r w:rsidR="00B76E5E" w:rsidRPr="00B76E5E">
        <w:rPr>
          <w:rFonts w:ascii="Century Gothic" w:hAnsi="Century Gothic"/>
          <w:shd w:val="clear" w:color="auto" w:fill="FFFFFF"/>
        </w:rPr>
        <w:t xml:space="preserve">Secretaría de Comunicaciones y Transportes </w:t>
      </w:r>
      <w:r>
        <w:rPr>
          <w:rFonts w:ascii="Century Gothic" w:hAnsi="Century Gothic"/>
          <w:shd w:val="clear" w:color="auto" w:fill="FFFFFF"/>
        </w:rPr>
        <w:t xml:space="preserve">tiene como visión: </w:t>
      </w:r>
      <w:r w:rsidR="00B76E5E" w:rsidRPr="005E6F56">
        <w:rPr>
          <w:rFonts w:ascii="Century Gothic" w:hAnsi="Century Gothic"/>
          <w:i/>
          <w:shd w:val="clear" w:color="auto" w:fill="FFFFFF"/>
        </w:rPr>
        <w:t>“</w:t>
      </w:r>
      <w:r w:rsidR="008A2DE0" w:rsidRPr="005E6F56">
        <w:rPr>
          <w:rFonts w:ascii="Century Gothic" w:hAnsi="Century Gothic"/>
          <w:i/>
          <w:shd w:val="clear" w:color="auto" w:fill="FFFFFF"/>
        </w:rPr>
        <w:t xml:space="preserve">Ser una dependencia eficiente en su gestión rectora del Sector, que garantice al país </w:t>
      </w:r>
      <w:r w:rsidR="008A2DE0" w:rsidRPr="005E6F56">
        <w:rPr>
          <w:rFonts w:ascii="Century Gothic" w:hAnsi="Century Gothic"/>
          <w:i/>
          <w:shd w:val="clear" w:color="auto" w:fill="FFFFFF"/>
        </w:rPr>
        <w:lastRenderedPageBreak/>
        <w:t xml:space="preserve">infraestructura de comunicaciones y transportes moderna y suficiente, </w:t>
      </w:r>
      <w:r w:rsidR="008A2DE0" w:rsidRPr="005E6F56">
        <w:rPr>
          <w:rFonts w:ascii="Century Gothic" w:hAnsi="Century Gothic"/>
          <w:b/>
          <w:i/>
          <w:shd w:val="clear" w:color="auto" w:fill="FFFFFF"/>
        </w:rPr>
        <w:t>que promueva la prestación de servicios de calidad y competitivos, que responda a las expectativas de la ciudadanía y a las tendencias de la globalización,</w:t>
      </w:r>
      <w:r w:rsidR="008A2DE0" w:rsidRPr="005E6F56">
        <w:rPr>
          <w:rFonts w:ascii="Century Gothic" w:hAnsi="Century Gothic"/>
          <w:i/>
          <w:shd w:val="clear" w:color="auto" w:fill="FFFFFF"/>
        </w:rPr>
        <w:t xml:space="preserve"> contribuyendo con ello al desarrollo sustentable del país, preservando el medio ambiente y la seguridad.</w:t>
      </w:r>
      <w:r w:rsidR="00B76E5E" w:rsidRPr="005E6F56">
        <w:rPr>
          <w:rFonts w:ascii="Century Gothic" w:hAnsi="Century Gothic"/>
          <w:i/>
          <w:shd w:val="clear" w:color="auto" w:fill="FFFFFF"/>
        </w:rPr>
        <w:t>”</w:t>
      </w:r>
      <w:r w:rsidR="00C2038F" w:rsidRPr="005E6F56">
        <w:rPr>
          <w:rStyle w:val="Refdenotaalpie"/>
          <w:rFonts w:ascii="Century Gothic" w:hAnsi="Century Gothic"/>
          <w:i/>
          <w:shd w:val="clear" w:color="auto" w:fill="FFFFFF"/>
        </w:rPr>
        <w:footnoteReference w:id="1"/>
      </w:r>
    </w:p>
    <w:p w:rsidR="005E6F56" w:rsidRDefault="005E6F56" w:rsidP="008143DE">
      <w:pPr>
        <w:tabs>
          <w:tab w:val="left" w:pos="9639"/>
        </w:tabs>
        <w:spacing w:line="360" w:lineRule="auto"/>
        <w:jc w:val="right"/>
        <w:rPr>
          <w:rFonts w:ascii="Century Gothic" w:eastAsia="Arial" w:hAnsi="Century Gothic" w:cs="Arial"/>
          <w:i/>
        </w:rPr>
      </w:pPr>
    </w:p>
    <w:p w:rsidR="005E6F56" w:rsidRPr="005E6F56" w:rsidRDefault="00F106DC" w:rsidP="008143DE">
      <w:pPr>
        <w:tabs>
          <w:tab w:val="left" w:pos="9214"/>
        </w:tabs>
        <w:spacing w:after="300" w:line="360" w:lineRule="auto"/>
        <w:ind w:left="567"/>
        <w:jc w:val="both"/>
        <w:rPr>
          <w:rFonts w:ascii="Century Gothic" w:hAnsi="Century Gothic" w:cs="Arial"/>
          <w:color w:val="333333"/>
          <w:lang w:val="es-MX" w:eastAsia="es-MX"/>
        </w:rPr>
      </w:pPr>
      <w:r>
        <w:rPr>
          <w:rFonts w:ascii="Century Gothic" w:hAnsi="Century Gothic" w:cs="Arial"/>
          <w:color w:val="333333"/>
          <w:lang w:val="es-MX" w:eastAsia="es-MX"/>
        </w:rPr>
        <w:t>“</w:t>
      </w:r>
      <w:r w:rsidR="005E6F56" w:rsidRPr="005E6F56">
        <w:rPr>
          <w:rFonts w:ascii="Century Gothic" w:hAnsi="Century Gothic" w:cs="Arial"/>
          <w:color w:val="333333"/>
          <w:lang w:val="es-MX" w:eastAsia="es-MX"/>
        </w:rPr>
        <w:t>Con el propósito de contribuir al logro de uno de los objetivos prioritarios del Gobierno de México, que es generar mayor bienestar para la población a través del acceso a Internet en todo el país, la Secretaría de Comunicaciones y Transportes (SCT), a través de la Subsecretaría de Comunicaciones, presentó el Programa de Cobertura Social.</w:t>
      </w:r>
      <w:r w:rsidR="002977F6">
        <w:rPr>
          <w:rFonts w:ascii="Century Gothic" w:hAnsi="Century Gothic" w:cs="Arial"/>
          <w:color w:val="333333"/>
          <w:lang w:val="es-MX" w:eastAsia="es-MX"/>
        </w:rPr>
        <w:t>”</w:t>
      </w:r>
      <w:r w:rsidR="005E6F56" w:rsidRPr="00990643">
        <w:rPr>
          <w:rStyle w:val="Refdenotaalpie"/>
          <w:rFonts w:ascii="Century Gothic" w:hAnsi="Century Gothic" w:cs="Arial"/>
          <w:color w:val="333333"/>
          <w:lang w:val="es-MX" w:eastAsia="es-MX"/>
        </w:rPr>
        <w:footnoteReference w:id="2"/>
      </w:r>
    </w:p>
    <w:p w:rsidR="005E6F56" w:rsidRPr="005E6F56" w:rsidRDefault="0080162D" w:rsidP="008143DE">
      <w:pPr>
        <w:tabs>
          <w:tab w:val="left" w:pos="9639"/>
        </w:tabs>
        <w:spacing w:after="300" w:line="360" w:lineRule="auto"/>
        <w:ind w:left="567"/>
        <w:jc w:val="both"/>
        <w:rPr>
          <w:rFonts w:ascii="Century Gothic" w:hAnsi="Century Gothic" w:cs="Arial"/>
          <w:color w:val="333333"/>
          <w:lang w:val="es-MX" w:eastAsia="es-MX"/>
        </w:rPr>
      </w:pPr>
      <w:r>
        <w:rPr>
          <w:rFonts w:ascii="Century Gothic" w:hAnsi="Century Gothic" w:cs="Arial"/>
          <w:color w:val="333333"/>
          <w:lang w:val="es-MX" w:eastAsia="es-MX"/>
        </w:rPr>
        <w:t xml:space="preserve">De lo anterior se desprende, que la finalidad  del </w:t>
      </w:r>
      <w:r w:rsidR="005E6F56" w:rsidRPr="005E6F56">
        <w:rPr>
          <w:rFonts w:ascii="Century Gothic" w:hAnsi="Century Gothic" w:cs="Arial"/>
          <w:color w:val="333333"/>
          <w:lang w:val="es-MX" w:eastAsia="es-MX"/>
        </w:rPr>
        <w:t xml:space="preserve">Programa de Cobertura Social es </w:t>
      </w:r>
      <w:r>
        <w:rPr>
          <w:rFonts w:ascii="Century Gothic" w:hAnsi="Century Gothic" w:cs="Arial"/>
          <w:color w:val="333333"/>
          <w:lang w:val="es-MX" w:eastAsia="es-MX"/>
        </w:rPr>
        <w:t xml:space="preserve">promover el incremento de </w:t>
      </w:r>
      <w:r w:rsidR="005E6F56" w:rsidRPr="005E6F56">
        <w:rPr>
          <w:rFonts w:ascii="Century Gothic" w:hAnsi="Century Gothic" w:cs="Arial"/>
          <w:color w:val="333333"/>
          <w:lang w:val="es-MX" w:eastAsia="es-MX"/>
        </w:rPr>
        <w:t xml:space="preserve">la cobertura de las redes y </w:t>
      </w:r>
      <w:r>
        <w:rPr>
          <w:rFonts w:ascii="Century Gothic" w:hAnsi="Century Gothic" w:cs="Arial"/>
          <w:color w:val="333333"/>
          <w:lang w:val="es-MX" w:eastAsia="es-MX"/>
        </w:rPr>
        <w:t xml:space="preserve">el acierto </w:t>
      </w:r>
      <w:r w:rsidR="005E6F56" w:rsidRPr="005E6F56">
        <w:rPr>
          <w:rFonts w:ascii="Century Gothic" w:hAnsi="Century Gothic" w:cs="Arial"/>
          <w:color w:val="333333"/>
          <w:lang w:val="es-MX" w:eastAsia="es-MX"/>
        </w:rPr>
        <w:t xml:space="preserve">de los servicios de telecomunicaciones y radiodifusión, </w:t>
      </w:r>
      <w:r w:rsidRPr="005E6F56">
        <w:rPr>
          <w:rFonts w:ascii="Century Gothic" w:hAnsi="Century Gothic" w:cs="Arial"/>
          <w:color w:val="333333"/>
          <w:lang w:val="es-MX" w:eastAsia="es-MX"/>
        </w:rPr>
        <w:t>conteniendo</w:t>
      </w:r>
      <w:r w:rsidR="005E6F56" w:rsidRPr="005E6F56">
        <w:rPr>
          <w:rFonts w:ascii="Century Gothic" w:hAnsi="Century Gothic" w:cs="Arial"/>
          <w:color w:val="333333"/>
          <w:lang w:val="es-MX" w:eastAsia="es-MX"/>
        </w:rPr>
        <w:t xml:space="preserve"> banda ancha e Internet, bajo </w:t>
      </w:r>
      <w:r>
        <w:rPr>
          <w:rFonts w:ascii="Century Gothic" w:hAnsi="Century Gothic" w:cs="Arial"/>
          <w:color w:val="333333"/>
          <w:lang w:val="es-MX" w:eastAsia="es-MX"/>
        </w:rPr>
        <w:t xml:space="preserve">las </w:t>
      </w:r>
      <w:r w:rsidR="005E6F56" w:rsidRPr="005E6F56">
        <w:rPr>
          <w:rFonts w:ascii="Century Gothic" w:hAnsi="Century Gothic" w:cs="Arial"/>
          <w:color w:val="333333"/>
          <w:lang w:val="es-MX" w:eastAsia="es-MX"/>
        </w:rPr>
        <w:t xml:space="preserve">condiciones y accesibilidad en las zonas, </w:t>
      </w:r>
      <w:r w:rsidRPr="005E6F56">
        <w:rPr>
          <w:rFonts w:ascii="Century Gothic" w:hAnsi="Century Gothic" w:cs="Arial"/>
          <w:color w:val="333333"/>
          <w:lang w:val="es-MX" w:eastAsia="es-MX"/>
        </w:rPr>
        <w:t>determinadas</w:t>
      </w:r>
      <w:r w:rsidR="005E6F56" w:rsidRPr="005E6F56">
        <w:rPr>
          <w:rFonts w:ascii="Century Gothic" w:hAnsi="Century Gothic" w:cs="Arial"/>
          <w:color w:val="333333"/>
          <w:lang w:val="es-MX" w:eastAsia="es-MX"/>
        </w:rPr>
        <w:t xml:space="preserve"> por la </w:t>
      </w:r>
      <w:r>
        <w:rPr>
          <w:rFonts w:ascii="Century Gothic" w:hAnsi="Century Gothic" w:cs="Arial"/>
          <w:color w:val="333333"/>
          <w:lang w:val="es-MX" w:eastAsia="es-MX"/>
        </w:rPr>
        <w:t xml:space="preserve">misma </w:t>
      </w:r>
      <w:r w:rsidR="005E6F56" w:rsidRPr="005E6F56">
        <w:rPr>
          <w:rFonts w:ascii="Century Gothic" w:hAnsi="Century Gothic" w:cs="Arial"/>
          <w:color w:val="333333"/>
          <w:lang w:val="es-MX" w:eastAsia="es-MX"/>
        </w:rPr>
        <w:t>Secretaría</w:t>
      </w:r>
      <w:r>
        <w:rPr>
          <w:rFonts w:ascii="Century Gothic" w:hAnsi="Century Gothic" w:cs="Arial"/>
          <w:color w:val="333333"/>
          <w:lang w:val="es-MX" w:eastAsia="es-MX"/>
        </w:rPr>
        <w:t>.</w:t>
      </w:r>
    </w:p>
    <w:p w:rsidR="005E6F56" w:rsidRPr="005E6F56" w:rsidRDefault="00E75F62" w:rsidP="008143DE">
      <w:pPr>
        <w:tabs>
          <w:tab w:val="left" w:pos="9214"/>
        </w:tabs>
        <w:spacing w:after="300" w:line="360" w:lineRule="auto"/>
        <w:ind w:left="567"/>
        <w:jc w:val="both"/>
        <w:rPr>
          <w:rFonts w:ascii="Century Gothic" w:hAnsi="Century Gothic" w:cs="Arial"/>
          <w:i/>
          <w:color w:val="333333"/>
          <w:lang w:val="es-MX" w:eastAsia="es-MX"/>
        </w:rPr>
      </w:pPr>
      <w:r>
        <w:rPr>
          <w:rFonts w:ascii="Century Gothic" w:hAnsi="Century Gothic" w:cs="Arial"/>
          <w:i/>
          <w:color w:val="333333"/>
          <w:lang w:val="es-MX" w:eastAsia="es-MX"/>
        </w:rPr>
        <w:t>“El</w:t>
      </w:r>
      <w:r w:rsidR="005E6F56" w:rsidRPr="005E6F56">
        <w:rPr>
          <w:rFonts w:ascii="Century Gothic" w:hAnsi="Century Gothic" w:cs="Arial"/>
          <w:i/>
          <w:color w:val="333333"/>
          <w:lang w:val="es-MX" w:eastAsia="es-MX"/>
        </w:rPr>
        <w:t xml:space="preserve"> Programa de Cobertura Social fue elaborado con base en los lineamientos y proyectos establecidos en el Plan Nacional de Desarrollo 2019 – 2024 y atiende a las Zonas de Atención Prioritaria para el año 2019, definidas por el Gobierno de México. Asimismo, identifica las localidades sin servicios de </w:t>
      </w:r>
      <w:r w:rsidR="005E6F56" w:rsidRPr="005E6F56">
        <w:rPr>
          <w:rFonts w:ascii="Century Gothic" w:hAnsi="Century Gothic" w:cs="Arial"/>
          <w:i/>
          <w:color w:val="333333"/>
          <w:lang w:val="es-MX" w:eastAsia="es-MX"/>
        </w:rPr>
        <w:lastRenderedPageBreak/>
        <w:t>telecomunicaciones, incluyendo banda ancha e Internet, para facilitar las acciones del gobierno, de los concesionarios y de la sociedad civil con el objetivo de llevar estos servicios a donde actualmente no existen.</w:t>
      </w:r>
      <w:r>
        <w:rPr>
          <w:rFonts w:ascii="Century Gothic" w:hAnsi="Century Gothic" w:cs="Arial"/>
          <w:i/>
          <w:color w:val="333333"/>
          <w:lang w:val="es-MX" w:eastAsia="es-MX"/>
        </w:rPr>
        <w:t>”</w:t>
      </w:r>
      <w:r w:rsidR="00A214CD">
        <w:rPr>
          <w:rStyle w:val="Refdenotaalpie"/>
          <w:rFonts w:ascii="Century Gothic" w:hAnsi="Century Gothic" w:cs="Arial"/>
          <w:i/>
          <w:color w:val="333333"/>
          <w:lang w:val="es-MX" w:eastAsia="es-MX"/>
        </w:rPr>
        <w:footnoteReference w:id="3"/>
      </w:r>
    </w:p>
    <w:p w:rsidR="002D36D6" w:rsidRDefault="002D36D6" w:rsidP="008143DE">
      <w:pPr>
        <w:tabs>
          <w:tab w:val="left" w:pos="9639"/>
        </w:tabs>
        <w:spacing w:after="300" w:line="360" w:lineRule="auto"/>
        <w:ind w:left="567"/>
        <w:jc w:val="both"/>
        <w:rPr>
          <w:rFonts w:ascii="Century Gothic" w:hAnsi="Century Gothic" w:cs="Arial"/>
          <w:color w:val="333333"/>
          <w:lang w:val="es-MX" w:eastAsia="es-MX"/>
        </w:rPr>
      </w:pPr>
      <w:r>
        <w:rPr>
          <w:rFonts w:ascii="Century Gothic" w:hAnsi="Century Gothic" w:cs="Arial"/>
          <w:color w:val="333333"/>
          <w:lang w:val="es-MX" w:eastAsia="es-MX"/>
        </w:rPr>
        <w:t xml:space="preserve">En ese sentido, </w:t>
      </w:r>
      <w:r w:rsidR="00E75F62">
        <w:rPr>
          <w:rFonts w:ascii="Century Gothic" w:hAnsi="Century Gothic" w:cs="Arial"/>
          <w:color w:val="333333"/>
          <w:lang w:val="es-MX" w:eastAsia="es-MX"/>
        </w:rPr>
        <w:t xml:space="preserve">el programa mencionado tiene entre sus objetivos </w:t>
      </w:r>
      <w:r w:rsidR="005E6F56" w:rsidRPr="005E6F56">
        <w:rPr>
          <w:rFonts w:ascii="Century Gothic" w:hAnsi="Century Gothic" w:cs="Arial"/>
          <w:color w:val="333333"/>
          <w:lang w:val="es-MX" w:eastAsia="es-MX"/>
        </w:rPr>
        <w:t xml:space="preserve">identificar las principales localidades sin servicio y </w:t>
      </w:r>
      <w:r>
        <w:rPr>
          <w:rFonts w:ascii="Century Gothic" w:hAnsi="Century Gothic" w:cs="Arial"/>
          <w:color w:val="333333"/>
          <w:lang w:val="es-MX" w:eastAsia="es-MX"/>
        </w:rPr>
        <w:t xml:space="preserve">atender especialmente a </w:t>
      </w:r>
      <w:r w:rsidR="005E6F56" w:rsidRPr="005E6F56">
        <w:rPr>
          <w:rFonts w:ascii="Century Gothic" w:hAnsi="Century Gothic" w:cs="Arial"/>
          <w:color w:val="333333"/>
          <w:lang w:val="es-MX" w:eastAsia="es-MX"/>
        </w:rPr>
        <w:t>las zonas marginadas del país, a efecto de que todas las personas</w:t>
      </w:r>
      <w:r>
        <w:rPr>
          <w:rFonts w:ascii="Century Gothic" w:hAnsi="Century Gothic" w:cs="Arial"/>
          <w:color w:val="333333"/>
          <w:lang w:val="es-MX" w:eastAsia="es-MX"/>
        </w:rPr>
        <w:t>, principalmente los grupos vulnerables</w:t>
      </w:r>
      <w:r w:rsidR="005E6F56" w:rsidRPr="005E6F56">
        <w:rPr>
          <w:rFonts w:ascii="Century Gothic" w:hAnsi="Century Gothic" w:cs="Arial"/>
          <w:color w:val="333333"/>
          <w:lang w:val="es-MX" w:eastAsia="es-MX"/>
        </w:rPr>
        <w:t xml:space="preserve">, </w:t>
      </w:r>
      <w:r>
        <w:rPr>
          <w:rFonts w:ascii="Century Gothic" w:hAnsi="Century Gothic" w:cs="Arial"/>
          <w:color w:val="333333"/>
          <w:lang w:val="es-MX" w:eastAsia="es-MX"/>
        </w:rPr>
        <w:t xml:space="preserve">cuenten con </w:t>
      </w:r>
      <w:r w:rsidR="005E6F56" w:rsidRPr="005E6F56">
        <w:rPr>
          <w:rFonts w:ascii="Century Gothic" w:hAnsi="Century Gothic" w:cs="Arial"/>
          <w:color w:val="333333"/>
          <w:lang w:val="es-MX" w:eastAsia="es-MX"/>
        </w:rPr>
        <w:t>acceso a las nuevas tecnologías,</w:t>
      </w:r>
      <w:r>
        <w:rPr>
          <w:rFonts w:ascii="Century Gothic" w:hAnsi="Century Gothic" w:cs="Arial"/>
          <w:color w:val="333333"/>
          <w:lang w:val="es-MX" w:eastAsia="es-MX"/>
        </w:rPr>
        <w:t xml:space="preserve"> logrando con ello un alto nivel de desarrollo social, evitando la discriminación.</w:t>
      </w:r>
    </w:p>
    <w:p w:rsidR="0019479F" w:rsidRDefault="0019479F" w:rsidP="008143DE">
      <w:pPr>
        <w:tabs>
          <w:tab w:val="left" w:pos="9639"/>
        </w:tabs>
        <w:spacing w:line="360" w:lineRule="auto"/>
        <w:ind w:left="567"/>
        <w:jc w:val="both"/>
        <w:rPr>
          <w:rFonts w:ascii="Century Gothic" w:hAnsi="Century Gothic"/>
          <w:color w:val="000000"/>
        </w:rPr>
      </w:pPr>
      <w:r w:rsidRPr="0019479F">
        <w:rPr>
          <w:rFonts w:ascii="Century Gothic" w:hAnsi="Century Gothic" w:cs="Arial"/>
          <w:color w:val="333333"/>
          <w:lang w:val="es-MX" w:eastAsia="es-MX"/>
        </w:rPr>
        <w:t xml:space="preserve">Por otra parte la misión del Instituto Federal de Comunicaciones es: </w:t>
      </w:r>
      <w:r>
        <w:rPr>
          <w:rFonts w:ascii="Century Gothic" w:hAnsi="Century Gothic" w:cs="Arial"/>
          <w:color w:val="333333"/>
          <w:lang w:val="es-MX" w:eastAsia="es-MX"/>
        </w:rPr>
        <w:t>“</w:t>
      </w:r>
      <w:r w:rsidRPr="0019479F">
        <w:rPr>
          <w:rFonts w:ascii="Century Gothic" w:hAnsi="Century Gothic"/>
          <w:color w:val="000000"/>
        </w:rPr>
        <w:t>desarrollar de forma eficiente las telecomunicaciones y la radiodifusión para el beneficio de los usuarios y audiencias del país a través de:</w:t>
      </w:r>
    </w:p>
    <w:p w:rsidR="00EE09BB" w:rsidRPr="0019479F" w:rsidRDefault="00EE09BB" w:rsidP="008143DE">
      <w:pPr>
        <w:tabs>
          <w:tab w:val="left" w:pos="9639"/>
        </w:tabs>
        <w:spacing w:line="360" w:lineRule="auto"/>
        <w:ind w:left="567"/>
        <w:jc w:val="both"/>
        <w:rPr>
          <w:rFonts w:ascii="Century Gothic" w:hAnsi="Century Gothic"/>
          <w:color w:val="000000"/>
          <w:lang w:val="es-MX" w:eastAsia="es-MX"/>
        </w:rPr>
      </w:pPr>
    </w:p>
    <w:p w:rsidR="0019479F" w:rsidRPr="0019479F" w:rsidRDefault="0019479F" w:rsidP="008143DE">
      <w:pPr>
        <w:tabs>
          <w:tab w:val="left" w:pos="9639"/>
        </w:tabs>
        <w:spacing w:after="150" w:line="360" w:lineRule="auto"/>
        <w:ind w:left="567"/>
        <w:jc w:val="both"/>
        <w:rPr>
          <w:rFonts w:ascii="Century Gothic" w:hAnsi="Century Gothic"/>
          <w:color w:val="000000"/>
        </w:rPr>
      </w:pPr>
      <w:r w:rsidRPr="0019479F">
        <w:rPr>
          <w:rFonts w:ascii="Century Gothic" w:hAnsi="Century Gothic"/>
          <w:color w:val="000000"/>
        </w:rPr>
        <w:t>I. Regular, promover y supervisar el uso, aprovechamiento y explotación del espectro radioeléctrico, la infraestructura, las redes y la prestación de los servicios;</w:t>
      </w:r>
    </w:p>
    <w:p w:rsidR="0019479F" w:rsidRPr="0019479F" w:rsidRDefault="0019479F" w:rsidP="008143DE">
      <w:pPr>
        <w:tabs>
          <w:tab w:val="left" w:pos="9639"/>
        </w:tabs>
        <w:spacing w:after="150" w:line="360" w:lineRule="auto"/>
        <w:ind w:left="567"/>
        <w:jc w:val="both"/>
        <w:rPr>
          <w:rFonts w:ascii="Century Gothic" w:hAnsi="Century Gothic"/>
          <w:color w:val="000000"/>
        </w:rPr>
      </w:pPr>
      <w:r w:rsidRPr="0019479F">
        <w:rPr>
          <w:rFonts w:ascii="Century Gothic" w:hAnsi="Century Gothic"/>
          <w:color w:val="000000"/>
        </w:rPr>
        <w:t>II. Impulsar condiciones de competencia efectiva en los mercados; y</w:t>
      </w:r>
    </w:p>
    <w:p w:rsidR="0019479F" w:rsidRPr="0019479F" w:rsidRDefault="0019479F" w:rsidP="008143DE">
      <w:pPr>
        <w:tabs>
          <w:tab w:val="left" w:pos="9639"/>
        </w:tabs>
        <w:spacing w:after="150" w:line="360" w:lineRule="auto"/>
        <w:ind w:left="567"/>
        <w:jc w:val="both"/>
        <w:rPr>
          <w:rFonts w:ascii="Century Gothic" w:hAnsi="Century Gothic"/>
          <w:color w:val="000000"/>
        </w:rPr>
      </w:pPr>
      <w:r w:rsidRPr="0019479F">
        <w:rPr>
          <w:rFonts w:ascii="Century Gothic" w:hAnsi="Century Gothic"/>
          <w:color w:val="000000"/>
        </w:rPr>
        <w:t>III. Promover el acceso a las tecnologías y servicios de telecomunicaciones y radiodifusión.</w:t>
      </w:r>
      <w:r>
        <w:rPr>
          <w:rFonts w:ascii="Century Gothic" w:hAnsi="Century Gothic"/>
          <w:color w:val="000000"/>
        </w:rPr>
        <w:t>”</w:t>
      </w:r>
      <w:r>
        <w:rPr>
          <w:rStyle w:val="Refdenotaalpie"/>
          <w:rFonts w:ascii="Century Gothic" w:hAnsi="Century Gothic"/>
          <w:color w:val="000000"/>
        </w:rPr>
        <w:footnoteReference w:id="4"/>
      </w:r>
    </w:p>
    <w:p w:rsidR="005F70B4" w:rsidRDefault="005F70B4" w:rsidP="007A02F5">
      <w:pPr>
        <w:pStyle w:val="Texto"/>
        <w:spacing w:after="0" w:line="360" w:lineRule="auto"/>
        <w:ind w:firstLine="0"/>
        <w:rPr>
          <w:rFonts w:ascii="Century Gothic" w:eastAsia="Arial" w:hAnsi="Century Gothic" w:cs="Arial"/>
          <w:b/>
          <w:sz w:val="24"/>
          <w:szCs w:val="24"/>
        </w:rPr>
      </w:pPr>
    </w:p>
    <w:p w:rsidR="001A08F5" w:rsidRPr="00F6699E" w:rsidRDefault="001A08F5" w:rsidP="008143DE">
      <w:pPr>
        <w:pStyle w:val="Texto"/>
        <w:spacing w:after="0" w:line="360" w:lineRule="auto"/>
        <w:ind w:left="567" w:firstLine="0"/>
        <w:rPr>
          <w:rFonts w:ascii="Century Gothic" w:hAnsi="Century Gothic"/>
          <w:sz w:val="24"/>
          <w:szCs w:val="24"/>
        </w:rPr>
      </w:pPr>
      <w:r w:rsidRPr="007A4D91">
        <w:rPr>
          <w:rFonts w:ascii="Century Gothic" w:eastAsia="Arial" w:hAnsi="Century Gothic" w:cs="Arial"/>
          <w:b/>
          <w:sz w:val="24"/>
          <w:szCs w:val="24"/>
        </w:rPr>
        <w:lastRenderedPageBreak/>
        <w:t>IV.</w:t>
      </w:r>
      <w:r w:rsidR="00EE09BB">
        <w:rPr>
          <w:rFonts w:ascii="Century Gothic" w:eastAsia="Arial" w:hAnsi="Century Gothic" w:cs="Arial"/>
          <w:b/>
          <w:sz w:val="24"/>
          <w:szCs w:val="24"/>
        </w:rPr>
        <w:t>-</w:t>
      </w:r>
      <w:r w:rsidRPr="007A4D91">
        <w:rPr>
          <w:rFonts w:ascii="Century Gothic" w:eastAsia="Arial" w:hAnsi="Century Gothic" w:cs="Arial"/>
          <w:sz w:val="24"/>
          <w:szCs w:val="24"/>
        </w:rPr>
        <w:t xml:space="preserve"> Ahora bien, dado que </w:t>
      </w:r>
      <w:r w:rsidR="00545AEE" w:rsidRPr="007A4D91">
        <w:rPr>
          <w:rFonts w:ascii="Century Gothic" w:hAnsi="Century Gothic" w:cs="Arial"/>
          <w:sz w:val="24"/>
          <w:szCs w:val="24"/>
          <w:lang w:val="es-MX" w:eastAsia="es-MX"/>
        </w:rPr>
        <w:t xml:space="preserve">la </w:t>
      </w:r>
      <w:r w:rsidR="00545AEE" w:rsidRPr="005E6F56">
        <w:rPr>
          <w:rFonts w:ascii="Century Gothic" w:hAnsi="Century Gothic" w:cs="Arial"/>
          <w:sz w:val="24"/>
          <w:szCs w:val="24"/>
          <w:lang w:val="es-MX" w:eastAsia="es-MX"/>
        </w:rPr>
        <w:t xml:space="preserve">Constitución Política de los Estados Unidos Mexicanos, </w:t>
      </w:r>
      <w:r w:rsidR="007A4D91" w:rsidRPr="007A4D91">
        <w:rPr>
          <w:rFonts w:ascii="Century Gothic" w:hAnsi="Century Gothic" w:cs="Arial"/>
          <w:sz w:val="24"/>
          <w:szCs w:val="24"/>
          <w:lang w:val="es-MX" w:eastAsia="es-MX"/>
        </w:rPr>
        <w:t>en su artículo 6º establece textualmente lo siguiente: “</w:t>
      </w:r>
      <w:r w:rsidR="007A4D91" w:rsidRPr="007A4D91">
        <w:rPr>
          <w:rFonts w:ascii="Century Gothic" w:hAnsi="Century Gothic"/>
          <w:sz w:val="24"/>
          <w:szCs w:val="24"/>
        </w:rPr>
        <w:t xml:space="preserve">El Estado garantizará el derecho de acceso a las tecnologías de la información y comunicación, así como a los </w:t>
      </w:r>
      <w:r w:rsidR="007A4D91" w:rsidRPr="007A02F5">
        <w:rPr>
          <w:rFonts w:ascii="Century Gothic" w:hAnsi="Century Gothic"/>
          <w:sz w:val="24"/>
          <w:szCs w:val="24"/>
        </w:rPr>
        <w:t>servicios de radiodifusión y telecomunicaciones, incluido el de banda ancha e internet. Para tales efectos, el Estado establecerá condiciones de competencia efectiva en la prestación de dichos servicios.”</w:t>
      </w:r>
      <w:r w:rsidR="007A02F5" w:rsidRPr="007A02F5">
        <w:rPr>
          <w:rFonts w:ascii="Century Gothic" w:hAnsi="Century Gothic"/>
          <w:sz w:val="24"/>
          <w:szCs w:val="24"/>
        </w:rPr>
        <w:t xml:space="preserve"> </w:t>
      </w:r>
      <w:r w:rsidR="007A02F5">
        <w:rPr>
          <w:rFonts w:ascii="Century Gothic" w:hAnsi="Century Gothic" w:cs="Arial"/>
          <w:color w:val="333333"/>
          <w:sz w:val="24"/>
          <w:szCs w:val="24"/>
          <w:lang w:val="es-MX" w:eastAsia="es-MX"/>
        </w:rPr>
        <w:t xml:space="preserve">y </w:t>
      </w:r>
      <w:r w:rsidR="007A02F5" w:rsidRPr="007A02F5">
        <w:rPr>
          <w:rFonts w:ascii="Century Gothic" w:hAnsi="Century Gothic" w:cs="Arial"/>
          <w:color w:val="333333"/>
          <w:sz w:val="24"/>
          <w:szCs w:val="24"/>
          <w:lang w:val="es-MX" w:eastAsia="es-MX"/>
        </w:rPr>
        <w:t>que</w:t>
      </w:r>
      <w:r w:rsidR="007A02F5">
        <w:rPr>
          <w:rFonts w:ascii="Century Gothic" w:hAnsi="Century Gothic" w:cs="Arial"/>
          <w:color w:val="333333"/>
          <w:sz w:val="24"/>
          <w:szCs w:val="24"/>
          <w:lang w:val="es-MX" w:eastAsia="es-MX"/>
        </w:rPr>
        <w:t xml:space="preserve"> además</w:t>
      </w:r>
      <w:r w:rsidR="007A4D91" w:rsidRPr="007A02F5">
        <w:rPr>
          <w:rFonts w:ascii="Century Gothic" w:hAnsi="Century Gothic" w:cs="Arial"/>
          <w:color w:val="333333"/>
          <w:sz w:val="24"/>
          <w:szCs w:val="24"/>
          <w:lang w:val="es-MX" w:eastAsia="es-MX"/>
        </w:rPr>
        <w:t xml:space="preserve">, </w:t>
      </w:r>
      <w:r w:rsidR="005E118F">
        <w:rPr>
          <w:rFonts w:ascii="Century Gothic" w:hAnsi="Century Gothic" w:cs="Arial"/>
          <w:color w:val="333333"/>
          <w:sz w:val="24"/>
          <w:szCs w:val="24"/>
          <w:lang w:val="es-MX" w:eastAsia="es-MX"/>
        </w:rPr>
        <w:t>l</w:t>
      </w:r>
      <w:r w:rsidR="00545AEE" w:rsidRPr="005E6F56">
        <w:rPr>
          <w:rFonts w:ascii="Century Gothic" w:hAnsi="Century Gothic" w:cs="Arial"/>
          <w:color w:val="333333"/>
          <w:sz w:val="24"/>
          <w:szCs w:val="24"/>
          <w:lang w:val="es-MX" w:eastAsia="es-MX"/>
        </w:rPr>
        <w:t xml:space="preserve">a Ley Federal de Telecomunicaciones y Radiodifusión </w:t>
      </w:r>
      <w:r w:rsidR="00F6699E">
        <w:rPr>
          <w:rFonts w:ascii="Century Gothic" w:hAnsi="Century Gothic" w:cs="Arial"/>
          <w:color w:val="333333"/>
          <w:sz w:val="24"/>
          <w:szCs w:val="24"/>
          <w:lang w:val="es-MX" w:eastAsia="es-MX"/>
        </w:rPr>
        <w:t xml:space="preserve">impone </w:t>
      </w:r>
      <w:r w:rsidR="007A4D91" w:rsidRPr="007A02F5">
        <w:rPr>
          <w:rFonts w:ascii="Century Gothic" w:hAnsi="Century Gothic" w:cs="Arial"/>
          <w:color w:val="333333"/>
          <w:sz w:val="24"/>
          <w:szCs w:val="24"/>
          <w:lang w:val="es-MX" w:eastAsia="es-MX"/>
        </w:rPr>
        <w:t xml:space="preserve">a </w:t>
      </w:r>
      <w:r w:rsidR="00545AEE" w:rsidRPr="005E6F56">
        <w:rPr>
          <w:rFonts w:ascii="Century Gothic" w:hAnsi="Century Gothic" w:cs="Arial"/>
          <w:color w:val="333333"/>
          <w:sz w:val="24"/>
          <w:szCs w:val="24"/>
          <w:lang w:val="es-MX" w:eastAsia="es-MX"/>
        </w:rPr>
        <w:t xml:space="preserve">la </w:t>
      </w:r>
      <w:r w:rsidR="007A4D91" w:rsidRPr="007A02F5">
        <w:rPr>
          <w:rFonts w:ascii="Century Gothic" w:hAnsi="Century Gothic" w:cs="Arial"/>
          <w:color w:val="333333"/>
          <w:sz w:val="24"/>
          <w:szCs w:val="24"/>
          <w:lang w:val="es-MX" w:eastAsia="es-MX"/>
        </w:rPr>
        <w:t xml:space="preserve">Secretaría de Comunicaciones y Transportes del Gobierno Federal </w:t>
      </w:r>
      <w:r w:rsidR="00F6699E">
        <w:rPr>
          <w:rFonts w:ascii="Century Gothic" w:hAnsi="Century Gothic" w:cs="Arial"/>
          <w:color w:val="333333"/>
          <w:sz w:val="24"/>
          <w:szCs w:val="24"/>
          <w:lang w:val="es-MX" w:eastAsia="es-MX"/>
        </w:rPr>
        <w:t>la obligación de</w:t>
      </w:r>
      <w:r w:rsidR="007A4D91" w:rsidRPr="007A02F5">
        <w:rPr>
          <w:rFonts w:ascii="Century Gothic" w:hAnsi="Century Gothic" w:cs="Arial"/>
          <w:color w:val="333333"/>
          <w:sz w:val="24"/>
          <w:szCs w:val="24"/>
          <w:lang w:val="es-MX" w:eastAsia="es-MX"/>
        </w:rPr>
        <w:t xml:space="preserve">: </w:t>
      </w:r>
      <w:r w:rsidR="00545AEE" w:rsidRPr="005E6F56">
        <w:rPr>
          <w:rFonts w:ascii="Century Gothic" w:hAnsi="Century Gothic" w:cs="Arial"/>
          <w:i/>
          <w:color w:val="333333"/>
          <w:sz w:val="24"/>
          <w:szCs w:val="24"/>
          <w:lang w:val="es-MX" w:eastAsia="es-MX"/>
        </w:rPr>
        <w:t>“planear, fijar, instrumentar y conducir las políticas y los programas de cobertura universal y cobertura social”.</w:t>
      </w:r>
      <w:r w:rsidR="00AD0CF3" w:rsidRPr="007A02F5">
        <w:rPr>
          <w:rStyle w:val="Refdenotaalpie"/>
          <w:rFonts w:ascii="Century Gothic" w:hAnsi="Century Gothic" w:cs="Arial"/>
          <w:i/>
          <w:color w:val="333333"/>
          <w:sz w:val="24"/>
          <w:szCs w:val="24"/>
          <w:lang w:val="es-MX" w:eastAsia="es-MX"/>
        </w:rPr>
        <w:footnoteReference w:id="5"/>
      </w:r>
      <w:r w:rsidR="00AD0CF3" w:rsidRPr="007A02F5">
        <w:rPr>
          <w:rFonts w:ascii="Century Gothic" w:hAnsi="Century Gothic" w:cs="Arial"/>
          <w:sz w:val="24"/>
          <w:szCs w:val="24"/>
        </w:rPr>
        <w:t xml:space="preserve">, </w:t>
      </w:r>
      <w:r w:rsidRPr="007A02F5">
        <w:rPr>
          <w:rFonts w:ascii="Century Gothic" w:hAnsi="Century Gothic" w:cs="Arial"/>
          <w:sz w:val="24"/>
          <w:szCs w:val="24"/>
        </w:rPr>
        <w:t xml:space="preserve">a </w:t>
      </w:r>
      <w:r w:rsidRPr="00F6699E">
        <w:rPr>
          <w:rFonts w:ascii="Century Gothic" w:hAnsi="Century Gothic" w:cs="Arial"/>
          <w:sz w:val="24"/>
          <w:szCs w:val="24"/>
        </w:rPr>
        <w:t xml:space="preserve">quienes integramos </w:t>
      </w:r>
      <w:r w:rsidRPr="00F6699E">
        <w:rPr>
          <w:rFonts w:ascii="Century Gothic" w:hAnsi="Century Gothic"/>
          <w:sz w:val="24"/>
          <w:szCs w:val="24"/>
        </w:rPr>
        <w:t xml:space="preserve">esta Comisión nos parece positivo </w:t>
      </w:r>
      <w:r w:rsidR="007A4D91" w:rsidRPr="00F6699E">
        <w:rPr>
          <w:rFonts w:ascii="Century Gothic" w:hAnsi="Century Gothic"/>
          <w:sz w:val="24"/>
          <w:szCs w:val="24"/>
        </w:rPr>
        <w:t>exhortar a la Secretaría de Comunicaciones y Transportes del Gobierno Federal, a través de la Subsecretaría de Comunicaciones, así como al Instituto Federal de Comunicaciones a efecto de que amplíen a los concesionarios de telefonía celular e internet con cobertura en el Estado de Chihuahua, las obligaciones de cobertura geográfica poblacional o social, de conectividad en sitios públicos y de contribución a la cobertura universal</w:t>
      </w:r>
      <w:r w:rsidRPr="00F6699E">
        <w:rPr>
          <w:rFonts w:ascii="Century Gothic" w:eastAsia="Arial" w:hAnsi="Century Gothic" w:cs="Arial"/>
          <w:sz w:val="24"/>
          <w:szCs w:val="24"/>
        </w:rPr>
        <w:t>, por lo cual</w:t>
      </w:r>
      <w:r w:rsidR="00F836B2">
        <w:rPr>
          <w:rFonts w:ascii="Century Gothic" w:eastAsia="Arial" w:hAnsi="Century Gothic" w:cs="Arial"/>
          <w:sz w:val="24"/>
          <w:szCs w:val="24"/>
        </w:rPr>
        <w:t>,</w:t>
      </w:r>
      <w:r w:rsidRPr="00F6699E">
        <w:rPr>
          <w:rFonts w:ascii="Century Gothic" w:eastAsia="Arial" w:hAnsi="Century Gothic" w:cs="Arial"/>
          <w:sz w:val="24"/>
          <w:szCs w:val="24"/>
        </w:rPr>
        <w:t xml:space="preserve"> esta Comisión de Dictamen Legislativo</w:t>
      </w:r>
      <w:r w:rsidR="00F836B2">
        <w:rPr>
          <w:rFonts w:ascii="Century Gothic" w:eastAsia="Arial" w:hAnsi="Century Gothic" w:cs="Arial"/>
          <w:sz w:val="24"/>
          <w:szCs w:val="24"/>
        </w:rPr>
        <w:t>,</w:t>
      </w:r>
      <w:r w:rsidRPr="00F6699E">
        <w:rPr>
          <w:rFonts w:ascii="Century Gothic" w:eastAsia="Arial" w:hAnsi="Century Gothic" w:cs="Arial"/>
          <w:sz w:val="24"/>
          <w:szCs w:val="24"/>
        </w:rPr>
        <w:t xml:space="preserve"> no encuentra obstáculo alguno para proceder en tal sentido al exhorto, por tratarse de </w:t>
      </w:r>
      <w:r w:rsidR="004137AE">
        <w:rPr>
          <w:rFonts w:ascii="Century Gothic" w:eastAsia="Arial" w:hAnsi="Century Gothic" w:cs="Arial"/>
          <w:sz w:val="24"/>
          <w:szCs w:val="24"/>
        </w:rPr>
        <w:t xml:space="preserve">contribuir a que mayor parte de las localidades cuenten con acceso a los medios de comunicación como el internet, </w:t>
      </w:r>
      <w:r w:rsidR="00F836B2">
        <w:rPr>
          <w:rFonts w:ascii="Century Gothic" w:eastAsia="Arial" w:hAnsi="Century Gothic" w:cs="Arial"/>
          <w:sz w:val="24"/>
          <w:szCs w:val="24"/>
        </w:rPr>
        <w:t>según lo hace saber el Iniciador.</w:t>
      </w:r>
    </w:p>
    <w:p w:rsidR="001A08F5" w:rsidRDefault="001A08F5" w:rsidP="001A08F5">
      <w:pPr>
        <w:spacing w:line="360" w:lineRule="auto"/>
        <w:jc w:val="both"/>
        <w:rPr>
          <w:rFonts w:ascii="Century Gothic" w:eastAsia="Arial" w:hAnsi="Century Gothic" w:cs="Arial"/>
        </w:rPr>
      </w:pPr>
    </w:p>
    <w:p w:rsidR="001A08F5" w:rsidRDefault="001A08F5" w:rsidP="008143DE">
      <w:pPr>
        <w:pStyle w:val="Textoindependiente"/>
        <w:spacing w:line="360" w:lineRule="auto"/>
        <w:ind w:left="567"/>
        <w:rPr>
          <w:rFonts w:ascii="Century Gothic" w:eastAsia="Arial Unicode MS" w:hAnsi="Century Gothic" w:cs="Arial"/>
        </w:rPr>
      </w:pPr>
      <w:r>
        <w:rPr>
          <w:rFonts w:ascii="Century Gothic" w:hAnsi="Century Gothic" w:cs="Arial"/>
          <w:b/>
        </w:rPr>
        <w:lastRenderedPageBreak/>
        <w:t>V</w:t>
      </w:r>
      <w:r w:rsidRPr="009C1746">
        <w:rPr>
          <w:rFonts w:ascii="Century Gothic" w:hAnsi="Century Gothic" w:cs="Arial"/>
          <w:b/>
        </w:rPr>
        <w:t>.-</w:t>
      </w:r>
      <w:r>
        <w:rPr>
          <w:rFonts w:ascii="Century Gothic" w:hAnsi="Century Gothic" w:cs="Arial"/>
        </w:rPr>
        <w:t xml:space="preserve"> En virtud de lo expuesto</w:t>
      </w:r>
      <w:r w:rsidRPr="009568FB">
        <w:rPr>
          <w:rFonts w:ascii="Century Gothic" w:hAnsi="Century Gothic" w:cs="Arial"/>
        </w:rPr>
        <w:t xml:space="preserve">, </w:t>
      </w:r>
      <w:r w:rsidRPr="009568FB">
        <w:rPr>
          <w:rFonts w:ascii="Century Gothic" w:eastAsia="Arial Unicode MS" w:hAnsi="Century Gothic" w:cs="Arial"/>
        </w:rPr>
        <w:t>somete</w:t>
      </w:r>
      <w:r>
        <w:rPr>
          <w:rFonts w:ascii="Century Gothic" w:eastAsia="Arial Unicode MS" w:hAnsi="Century Gothic" w:cs="Arial"/>
        </w:rPr>
        <w:t>mos</w:t>
      </w:r>
      <w:r w:rsidRPr="009568FB">
        <w:rPr>
          <w:rFonts w:ascii="Century Gothic" w:eastAsia="Arial Unicode MS" w:hAnsi="Century Gothic" w:cs="Arial"/>
        </w:rPr>
        <w:t xml:space="preserve"> a la consi</w:t>
      </w:r>
      <w:r>
        <w:rPr>
          <w:rFonts w:ascii="Century Gothic" w:eastAsia="Arial Unicode MS" w:hAnsi="Century Gothic" w:cs="Arial"/>
        </w:rPr>
        <w:t>deración del Pleno el presente proyecto de:</w:t>
      </w:r>
    </w:p>
    <w:p w:rsidR="001A08F5" w:rsidRDefault="001A08F5" w:rsidP="008143DE">
      <w:pPr>
        <w:pStyle w:val="Textoindependiente"/>
        <w:ind w:left="567"/>
        <w:rPr>
          <w:rFonts w:ascii="Century Gothic" w:eastAsia="Arial Unicode MS" w:hAnsi="Century Gothic" w:cs="Arial"/>
        </w:rPr>
      </w:pPr>
    </w:p>
    <w:p w:rsidR="001A08F5" w:rsidRPr="00DC7267" w:rsidRDefault="001A08F5" w:rsidP="008143DE">
      <w:pPr>
        <w:spacing w:line="360" w:lineRule="auto"/>
        <w:ind w:left="567"/>
        <w:jc w:val="center"/>
        <w:rPr>
          <w:rFonts w:ascii="Century Gothic" w:eastAsia="Arial" w:hAnsi="Century Gothic" w:cs="Arial"/>
          <w:b/>
          <w:sz w:val="28"/>
          <w:szCs w:val="28"/>
        </w:rPr>
      </w:pPr>
      <w:r w:rsidRPr="00DC7267">
        <w:rPr>
          <w:rFonts w:ascii="Century Gothic" w:eastAsia="Arial" w:hAnsi="Century Gothic" w:cs="Arial"/>
          <w:b/>
          <w:sz w:val="28"/>
          <w:szCs w:val="28"/>
        </w:rPr>
        <w:t>ACUERDO</w:t>
      </w:r>
    </w:p>
    <w:p w:rsidR="001A08F5" w:rsidRPr="00616CA9" w:rsidRDefault="001A08F5" w:rsidP="008143DE">
      <w:pPr>
        <w:spacing w:line="360" w:lineRule="auto"/>
        <w:ind w:left="567"/>
        <w:jc w:val="center"/>
        <w:rPr>
          <w:rFonts w:ascii="Century Gothic" w:eastAsia="Arial" w:hAnsi="Century Gothic" w:cs="Arial"/>
          <w:b/>
          <w:sz w:val="28"/>
          <w:szCs w:val="28"/>
        </w:rPr>
      </w:pPr>
    </w:p>
    <w:p w:rsidR="007841D2" w:rsidRDefault="00DE65CA" w:rsidP="008143DE">
      <w:pPr>
        <w:spacing w:line="360" w:lineRule="auto"/>
        <w:ind w:left="567"/>
        <w:jc w:val="both"/>
        <w:rPr>
          <w:rFonts w:ascii="Century Gothic" w:eastAsia="Arial" w:hAnsi="Century Gothic" w:cs="Arial"/>
        </w:rPr>
      </w:pPr>
      <w:bookmarkStart w:id="4" w:name="_gjdgxs" w:colFirst="0" w:colLast="0"/>
      <w:bookmarkEnd w:id="4"/>
      <w:r w:rsidRPr="00616CA9">
        <w:rPr>
          <w:rFonts w:ascii="Century Gothic" w:eastAsia="Arial" w:hAnsi="Century Gothic" w:cs="Arial"/>
          <w:b/>
          <w:sz w:val="28"/>
          <w:szCs w:val="28"/>
        </w:rPr>
        <w:t>PRIMERO</w:t>
      </w:r>
      <w:r w:rsidR="001A08F5" w:rsidRPr="00616CA9">
        <w:rPr>
          <w:rFonts w:ascii="Century Gothic" w:eastAsia="Arial" w:hAnsi="Century Gothic" w:cs="Arial"/>
          <w:b/>
          <w:sz w:val="28"/>
          <w:szCs w:val="28"/>
        </w:rPr>
        <w:t>.-</w:t>
      </w:r>
      <w:r w:rsidR="001A08F5" w:rsidRPr="00EE4E4F">
        <w:rPr>
          <w:rFonts w:ascii="Century Gothic" w:eastAsia="Arial" w:hAnsi="Century Gothic" w:cs="Arial"/>
          <w:b/>
        </w:rPr>
        <w:t xml:space="preserve"> </w:t>
      </w:r>
      <w:r w:rsidR="001A08F5" w:rsidRPr="00EE4E4F">
        <w:rPr>
          <w:rFonts w:ascii="Century Gothic" w:eastAsia="Arial" w:hAnsi="Century Gothic" w:cs="Arial"/>
        </w:rPr>
        <w:t xml:space="preserve">La Sexagésima Sexta Legislatura del </w:t>
      </w:r>
      <w:r w:rsidR="001A08F5">
        <w:rPr>
          <w:rFonts w:ascii="Century Gothic" w:eastAsia="Arial" w:hAnsi="Century Gothic" w:cs="Arial"/>
        </w:rPr>
        <w:t xml:space="preserve">Honorable Congreso del </w:t>
      </w:r>
      <w:r w:rsidR="001A08F5" w:rsidRPr="00EE4E4F">
        <w:rPr>
          <w:rFonts w:ascii="Century Gothic" w:eastAsia="Arial" w:hAnsi="Century Gothic" w:cs="Arial"/>
        </w:rPr>
        <w:t>Estado de Chihuahua, exhorta</w:t>
      </w:r>
      <w:r w:rsidR="001A08F5">
        <w:rPr>
          <w:rFonts w:ascii="Century Gothic" w:eastAsia="Arial" w:hAnsi="Century Gothic" w:cs="Arial"/>
        </w:rPr>
        <w:t xml:space="preserve"> de manera atenta y respetuosa </w:t>
      </w:r>
      <w:r w:rsidR="007841D2">
        <w:rPr>
          <w:rFonts w:ascii="Century Gothic" w:eastAsia="Arial" w:hAnsi="Century Gothic" w:cs="Arial"/>
        </w:rPr>
        <w:t>al titular de la Secretaría de Comunicaciones y Transportes del Gobierno Federal, as</w:t>
      </w:r>
      <w:r w:rsidR="00E80104">
        <w:rPr>
          <w:rFonts w:ascii="Century Gothic" w:eastAsia="Arial" w:hAnsi="Century Gothic" w:cs="Arial"/>
        </w:rPr>
        <w:t>í como al Presidente del</w:t>
      </w:r>
      <w:r w:rsidR="007841D2">
        <w:rPr>
          <w:rFonts w:ascii="Century Gothic" w:eastAsia="Arial" w:hAnsi="Century Gothic" w:cs="Arial"/>
        </w:rPr>
        <w:t xml:space="preserve"> Instituto Federal de Telecomunicaciones</w:t>
      </w:r>
      <w:r w:rsidR="004E6A4F">
        <w:rPr>
          <w:rFonts w:ascii="Century Gothic" w:eastAsia="Arial" w:hAnsi="Century Gothic" w:cs="Arial"/>
        </w:rPr>
        <w:t>,</w:t>
      </w:r>
      <w:r w:rsidR="007841D2">
        <w:rPr>
          <w:rFonts w:ascii="Century Gothic" w:eastAsia="Arial" w:hAnsi="Century Gothic" w:cs="Arial"/>
        </w:rPr>
        <w:t xml:space="preserve"> para que en el ejercicio de sus atribuciones, amplíen a los concesionarios de telefonía celular e internet</w:t>
      </w:r>
      <w:r w:rsidR="004E6A4F">
        <w:rPr>
          <w:rFonts w:ascii="Century Gothic" w:eastAsia="Arial" w:hAnsi="Century Gothic" w:cs="Arial"/>
        </w:rPr>
        <w:t>,</w:t>
      </w:r>
      <w:r w:rsidR="007841D2">
        <w:rPr>
          <w:rFonts w:ascii="Century Gothic" w:eastAsia="Arial" w:hAnsi="Century Gothic" w:cs="Arial"/>
        </w:rPr>
        <w:t xml:space="preserve"> con cobertura en el Estado de Chihuahua, las obligaciones de cobertura geográfica, poblacional o social, de conectividad en sitios públicos y de contribución a la cobertura universal.</w:t>
      </w:r>
    </w:p>
    <w:p w:rsidR="00DE65CA" w:rsidRPr="00616CA9" w:rsidRDefault="00DE65CA" w:rsidP="008143DE">
      <w:pPr>
        <w:spacing w:line="360" w:lineRule="auto"/>
        <w:ind w:left="567"/>
        <w:jc w:val="both"/>
        <w:rPr>
          <w:rFonts w:ascii="Century Gothic" w:eastAsia="Arial" w:hAnsi="Century Gothic" w:cs="Arial"/>
          <w:sz w:val="28"/>
          <w:szCs w:val="28"/>
        </w:rPr>
      </w:pPr>
    </w:p>
    <w:p w:rsidR="00DE65CA" w:rsidRPr="00DE65CA" w:rsidRDefault="00DE65CA" w:rsidP="008143DE">
      <w:pPr>
        <w:spacing w:line="360" w:lineRule="auto"/>
        <w:ind w:left="567"/>
        <w:jc w:val="both"/>
        <w:rPr>
          <w:rFonts w:ascii="Century Gothic" w:eastAsia="Arial" w:hAnsi="Century Gothic" w:cs="Arial"/>
        </w:rPr>
      </w:pPr>
      <w:r w:rsidRPr="00616CA9">
        <w:rPr>
          <w:rFonts w:ascii="Century Gothic" w:eastAsia="Arial" w:hAnsi="Century Gothic" w:cs="Arial"/>
          <w:b/>
          <w:sz w:val="28"/>
          <w:szCs w:val="28"/>
        </w:rPr>
        <w:t>SEGUNDO.-</w:t>
      </w:r>
      <w:r>
        <w:rPr>
          <w:rFonts w:ascii="Century Gothic" w:eastAsia="Arial" w:hAnsi="Century Gothic" w:cs="Arial"/>
        </w:rPr>
        <w:t xml:space="preserve"> Remítase el presente Acuerdo a las autoridades mencionadas.</w:t>
      </w:r>
    </w:p>
    <w:p w:rsidR="001A08F5" w:rsidRPr="00783BD1" w:rsidRDefault="001A08F5" w:rsidP="001A08F5">
      <w:pPr>
        <w:spacing w:line="360" w:lineRule="auto"/>
        <w:jc w:val="both"/>
        <w:rPr>
          <w:rFonts w:ascii="Century Gothic" w:eastAsia="Arial" w:hAnsi="Century Gothic" w:cs="Arial"/>
          <w:sz w:val="28"/>
          <w:szCs w:val="28"/>
        </w:rPr>
      </w:pPr>
    </w:p>
    <w:p w:rsidR="001A08F5" w:rsidRPr="00EE4E4F" w:rsidRDefault="001A08F5" w:rsidP="008143DE">
      <w:pPr>
        <w:spacing w:line="360" w:lineRule="auto"/>
        <w:ind w:left="567"/>
        <w:jc w:val="both"/>
        <w:rPr>
          <w:rFonts w:ascii="Century Gothic" w:eastAsia="Arial" w:hAnsi="Century Gothic" w:cs="Arial"/>
        </w:rPr>
      </w:pPr>
      <w:r w:rsidRPr="00783BD1">
        <w:rPr>
          <w:rFonts w:ascii="Century Gothic" w:eastAsia="Arial" w:hAnsi="Century Gothic" w:cs="Arial"/>
          <w:b/>
          <w:sz w:val="28"/>
          <w:szCs w:val="28"/>
        </w:rPr>
        <w:t>ECONÓMICO.-</w:t>
      </w:r>
      <w:r>
        <w:rPr>
          <w:rFonts w:ascii="Century Gothic" w:eastAsia="Arial" w:hAnsi="Century Gothic" w:cs="Arial"/>
        </w:rPr>
        <w:t xml:space="preserve"> Aprobado que sea, túrnese a la Secretaría para los efectos </w:t>
      </w:r>
      <w:r w:rsidR="004E6A4F">
        <w:rPr>
          <w:rFonts w:ascii="Century Gothic" w:eastAsia="Arial" w:hAnsi="Century Gothic" w:cs="Arial"/>
        </w:rPr>
        <w:t>a que haya lugar.</w:t>
      </w:r>
    </w:p>
    <w:p w:rsidR="001A08F5" w:rsidRPr="00783BD1" w:rsidRDefault="001A08F5" w:rsidP="008143DE">
      <w:pPr>
        <w:spacing w:line="360" w:lineRule="auto"/>
        <w:ind w:left="567"/>
        <w:jc w:val="both"/>
        <w:rPr>
          <w:rFonts w:ascii="Century Gothic" w:eastAsia="Arial" w:hAnsi="Century Gothic" w:cs="Arial"/>
          <w:sz w:val="28"/>
          <w:szCs w:val="28"/>
        </w:rPr>
      </w:pPr>
    </w:p>
    <w:p w:rsidR="001A08F5" w:rsidRDefault="001A08F5" w:rsidP="008143DE">
      <w:pPr>
        <w:spacing w:line="360" w:lineRule="auto"/>
        <w:ind w:left="567"/>
        <w:jc w:val="both"/>
        <w:rPr>
          <w:rFonts w:ascii="Century Gothic" w:eastAsia="Arial" w:hAnsi="Century Gothic" w:cs="Arial"/>
        </w:rPr>
      </w:pPr>
      <w:r w:rsidRPr="00783BD1">
        <w:rPr>
          <w:rFonts w:ascii="Century Gothic" w:eastAsia="Arial" w:hAnsi="Century Gothic" w:cs="Arial"/>
          <w:b/>
          <w:sz w:val="28"/>
          <w:szCs w:val="28"/>
        </w:rPr>
        <w:t>D A D O</w:t>
      </w:r>
      <w:r w:rsidRPr="00EE4E4F">
        <w:rPr>
          <w:rFonts w:ascii="Century Gothic" w:eastAsia="Arial" w:hAnsi="Century Gothic" w:cs="Arial"/>
        </w:rPr>
        <w:t xml:space="preserve"> en el Salón de Sesiones del H. Congreso del Estado, a l</w:t>
      </w:r>
      <w:r w:rsidR="000D620D">
        <w:rPr>
          <w:rFonts w:ascii="Century Gothic" w:eastAsia="Arial" w:hAnsi="Century Gothic" w:cs="Arial"/>
        </w:rPr>
        <w:t>os veintidós</w:t>
      </w:r>
      <w:r>
        <w:rPr>
          <w:rFonts w:ascii="Century Gothic" w:eastAsia="Arial" w:hAnsi="Century Gothic" w:cs="Arial"/>
        </w:rPr>
        <w:t xml:space="preserve"> </w:t>
      </w:r>
      <w:r w:rsidRPr="00EE4E4F">
        <w:rPr>
          <w:rFonts w:ascii="Century Gothic" w:eastAsia="Arial" w:hAnsi="Century Gothic" w:cs="Arial"/>
        </w:rPr>
        <w:t>días del mes de</w:t>
      </w:r>
      <w:r>
        <w:rPr>
          <w:rFonts w:ascii="Century Gothic" w:eastAsia="Arial" w:hAnsi="Century Gothic" w:cs="Arial"/>
        </w:rPr>
        <w:t xml:space="preserve"> </w:t>
      </w:r>
      <w:r w:rsidR="00A104A8">
        <w:rPr>
          <w:rFonts w:ascii="Century Gothic" w:eastAsia="Arial" w:hAnsi="Century Gothic" w:cs="Arial"/>
        </w:rPr>
        <w:t xml:space="preserve">octubre </w:t>
      </w:r>
      <w:r>
        <w:rPr>
          <w:rFonts w:ascii="Century Gothic" w:eastAsia="Arial" w:hAnsi="Century Gothic" w:cs="Arial"/>
        </w:rPr>
        <w:t>del año dos mil diecinueve</w:t>
      </w:r>
      <w:r w:rsidRPr="00EE4E4F">
        <w:rPr>
          <w:rFonts w:ascii="Century Gothic" w:eastAsia="Arial" w:hAnsi="Century Gothic" w:cs="Arial"/>
        </w:rPr>
        <w:t>.</w:t>
      </w:r>
    </w:p>
    <w:p w:rsidR="001A08F5" w:rsidRDefault="001A08F5" w:rsidP="001A08F5">
      <w:pPr>
        <w:spacing w:line="360" w:lineRule="auto"/>
        <w:jc w:val="both"/>
        <w:rPr>
          <w:rFonts w:ascii="Century Gothic" w:eastAsia="Arial" w:hAnsi="Century Gothic" w:cs="Arial"/>
        </w:rPr>
      </w:pPr>
    </w:p>
    <w:p w:rsidR="001A08F5" w:rsidRDefault="001A08F5" w:rsidP="001A08F5">
      <w:pPr>
        <w:spacing w:line="360" w:lineRule="auto"/>
        <w:jc w:val="both"/>
        <w:rPr>
          <w:rFonts w:ascii="Century Gothic" w:eastAsia="Arial" w:hAnsi="Century Gothic" w:cs="Arial"/>
        </w:rPr>
      </w:pPr>
      <w:bookmarkStart w:id="5" w:name="_GoBack"/>
      <w:bookmarkEnd w:id="5"/>
    </w:p>
    <w:p w:rsidR="001A08F5" w:rsidRDefault="001A08F5" w:rsidP="001A08F5">
      <w:pPr>
        <w:pStyle w:val="Normal1"/>
        <w:spacing w:line="360" w:lineRule="auto"/>
        <w:jc w:val="both"/>
        <w:rPr>
          <w:rFonts w:ascii="Century Gothic" w:eastAsia="Arial" w:hAnsi="Century Gothic" w:cs="Arial"/>
          <w:b/>
        </w:rPr>
      </w:pPr>
      <w:r w:rsidRPr="009F2AAC">
        <w:rPr>
          <w:rFonts w:ascii="Century Gothic" w:eastAsia="Arial" w:hAnsi="Century Gothic" w:cs="Arial"/>
          <w:b/>
        </w:rPr>
        <w:lastRenderedPageBreak/>
        <w:t>Así lo aprobó la Comisión de</w:t>
      </w:r>
      <w:r>
        <w:rPr>
          <w:rFonts w:ascii="Century Gothic" w:eastAsia="Arial" w:hAnsi="Century Gothic" w:cs="Arial"/>
          <w:b/>
        </w:rPr>
        <w:t xml:space="preserve"> Economía, Turismo y Servicios, en reunión de fecha </w:t>
      </w:r>
      <w:r w:rsidR="008143DE">
        <w:rPr>
          <w:rFonts w:ascii="Century Gothic" w:eastAsia="Arial" w:hAnsi="Century Gothic" w:cs="Arial"/>
          <w:b/>
        </w:rPr>
        <w:t xml:space="preserve">17 </w:t>
      </w:r>
      <w:r>
        <w:rPr>
          <w:rFonts w:ascii="Century Gothic" w:eastAsia="Arial" w:hAnsi="Century Gothic" w:cs="Arial"/>
          <w:b/>
        </w:rPr>
        <w:t xml:space="preserve">de </w:t>
      </w:r>
      <w:r w:rsidR="008143DE">
        <w:rPr>
          <w:rFonts w:ascii="Century Gothic" w:eastAsia="Arial" w:hAnsi="Century Gothic" w:cs="Arial"/>
          <w:b/>
        </w:rPr>
        <w:t xml:space="preserve">octubre </w:t>
      </w:r>
      <w:r w:rsidRPr="009F2AAC">
        <w:rPr>
          <w:rFonts w:ascii="Century Gothic" w:eastAsia="Arial" w:hAnsi="Century Gothic" w:cs="Arial"/>
          <w:b/>
        </w:rPr>
        <w:t>del año dos mil dieci</w:t>
      </w:r>
      <w:r>
        <w:rPr>
          <w:rFonts w:ascii="Century Gothic" w:eastAsia="Arial" w:hAnsi="Century Gothic" w:cs="Arial"/>
          <w:b/>
        </w:rPr>
        <w:t>nueve</w:t>
      </w:r>
      <w:r w:rsidRPr="009F2AAC">
        <w:rPr>
          <w:rFonts w:ascii="Century Gothic" w:eastAsia="Arial" w:hAnsi="Century Gothic" w:cs="Arial"/>
          <w:b/>
        </w:rPr>
        <w:t>.</w:t>
      </w:r>
    </w:p>
    <w:p w:rsidR="001A08F5" w:rsidRDefault="001A08F5" w:rsidP="001A08F5"/>
    <w:p w:rsidR="001A08F5" w:rsidRPr="00E4295E" w:rsidRDefault="001A08F5" w:rsidP="001A08F5">
      <w:pPr>
        <w:pStyle w:val="Normal1"/>
        <w:spacing w:line="360" w:lineRule="auto"/>
        <w:jc w:val="both"/>
        <w:rPr>
          <w:rFonts w:ascii="Century Gothic" w:eastAsia="Arial" w:hAnsi="Century Gothic" w:cs="Arial"/>
          <w:b/>
          <w:sz w:val="22"/>
          <w:szCs w:val="22"/>
        </w:rPr>
      </w:pPr>
      <w:r w:rsidRPr="00E4295E">
        <w:rPr>
          <w:rFonts w:ascii="Century Gothic" w:eastAsia="Arial" w:hAnsi="Century Gothic" w:cs="Arial"/>
          <w:b/>
          <w:sz w:val="22"/>
          <w:szCs w:val="22"/>
        </w:rPr>
        <w:t xml:space="preserve">POR LA </w:t>
      </w:r>
      <w:r w:rsidRPr="00E4295E">
        <w:rPr>
          <w:rFonts w:ascii="Century Gothic" w:eastAsia="Arial" w:hAnsi="Century Gothic" w:cs="Arial"/>
          <w:b/>
          <w:smallCaps/>
          <w:sz w:val="22"/>
          <w:szCs w:val="22"/>
        </w:rPr>
        <w:t xml:space="preserve">COMISIÓN </w:t>
      </w:r>
      <w:r w:rsidRPr="00E4295E">
        <w:rPr>
          <w:rFonts w:ascii="Century Gothic" w:eastAsia="Arial" w:hAnsi="Century Gothic" w:cs="Arial"/>
          <w:b/>
          <w:sz w:val="22"/>
          <w:szCs w:val="22"/>
        </w:rPr>
        <w:t>DE ECONOMÍA, TURISMO Y SERVICIOS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500"/>
        <w:gridCol w:w="2013"/>
        <w:gridCol w:w="1544"/>
        <w:gridCol w:w="1918"/>
      </w:tblGrid>
      <w:tr w:rsidR="001A08F5" w:rsidRPr="00E4295E" w:rsidTr="008143DE">
        <w:trPr>
          <w:jc w:val="center"/>
        </w:trPr>
        <w:tc>
          <w:tcPr>
            <w:tcW w:w="1665" w:type="dxa"/>
          </w:tcPr>
          <w:p w:rsidR="001A08F5" w:rsidRPr="00E4295E" w:rsidRDefault="001A08F5" w:rsidP="009434DD">
            <w:pPr>
              <w:pStyle w:val="Normal1"/>
              <w:spacing w:line="360" w:lineRule="auto"/>
              <w:jc w:val="both"/>
              <w:rPr>
                <w:rFonts w:ascii="Century Gothic" w:hAnsi="Century Gothic" w:cs="Arial"/>
                <w:b/>
                <w:sz w:val="22"/>
                <w:szCs w:val="22"/>
              </w:rPr>
            </w:pPr>
          </w:p>
        </w:tc>
        <w:tc>
          <w:tcPr>
            <w:tcW w:w="2500" w:type="dxa"/>
          </w:tcPr>
          <w:p w:rsidR="001A08F5" w:rsidRPr="00E4295E" w:rsidRDefault="001A08F5" w:rsidP="009434DD">
            <w:pPr>
              <w:pStyle w:val="Normal1"/>
              <w:spacing w:line="360" w:lineRule="auto"/>
              <w:jc w:val="center"/>
              <w:rPr>
                <w:rFonts w:ascii="Century Gothic" w:hAnsi="Century Gothic" w:cs="Arial"/>
                <w:b/>
                <w:sz w:val="22"/>
                <w:szCs w:val="22"/>
              </w:rPr>
            </w:pPr>
            <w:r w:rsidRPr="00E4295E">
              <w:rPr>
                <w:rFonts w:ascii="Century Gothic" w:hAnsi="Century Gothic" w:cs="Arial"/>
                <w:b/>
                <w:sz w:val="22"/>
                <w:szCs w:val="22"/>
              </w:rPr>
              <w:t>INTEGRANTES</w:t>
            </w:r>
          </w:p>
        </w:tc>
        <w:tc>
          <w:tcPr>
            <w:tcW w:w="2013" w:type="dxa"/>
          </w:tcPr>
          <w:p w:rsidR="001A08F5" w:rsidRPr="00E4295E" w:rsidRDefault="001A08F5" w:rsidP="009434DD">
            <w:pPr>
              <w:pStyle w:val="Normal1"/>
              <w:spacing w:line="360" w:lineRule="auto"/>
              <w:jc w:val="center"/>
              <w:rPr>
                <w:rFonts w:ascii="Century Gothic" w:hAnsi="Century Gothic" w:cs="Arial"/>
                <w:b/>
                <w:sz w:val="22"/>
                <w:szCs w:val="22"/>
              </w:rPr>
            </w:pPr>
            <w:r w:rsidRPr="00E4295E">
              <w:rPr>
                <w:rFonts w:ascii="Century Gothic" w:hAnsi="Century Gothic" w:cs="Arial"/>
                <w:b/>
                <w:sz w:val="22"/>
                <w:szCs w:val="22"/>
              </w:rPr>
              <w:t>A FAVOR</w:t>
            </w:r>
          </w:p>
        </w:tc>
        <w:tc>
          <w:tcPr>
            <w:tcW w:w="1544" w:type="dxa"/>
          </w:tcPr>
          <w:p w:rsidR="001A08F5" w:rsidRPr="00E4295E" w:rsidRDefault="001A08F5" w:rsidP="009434DD">
            <w:pPr>
              <w:pStyle w:val="Normal1"/>
              <w:spacing w:line="360" w:lineRule="auto"/>
              <w:jc w:val="center"/>
              <w:rPr>
                <w:rFonts w:ascii="Century Gothic" w:hAnsi="Century Gothic" w:cs="Arial"/>
                <w:b/>
                <w:sz w:val="22"/>
                <w:szCs w:val="22"/>
              </w:rPr>
            </w:pPr>
            <w:r w:rsidRPr="00E4295E">
              <w:rPr>
                <w:rFonts w:ascii="Century Gothic" w:hAnsi="Century Gothic" w:cs="Arial"/>
                <w:b/>
                <w:sz w:val="22"/>
                <w:szCs w:val="22"/>
              </w:rPr>
              <w:t>EN CONTRA</w:t>
            </w:r>
          </w:p>
        </w:tc>
        <w:tc>
          <w:tcPr>
            <w:tcW w:w="1918" w:type="dxa"/>
          </w:tcPr>
          <w:p w:rsidR="001A08F5" w:rsidRPr="00E4295E" w:rsidRDefault="001A08F5" w:rsidP="009434DD">
            <w:pPr>
              <w:pStyle w:val="Normal1"/>
              <w:spacing w:line="360" w:lineRule="auto"/>
              <w:jc w:val="center"/>
              <w:rPr>
                <w:rFonts w:ascii="Century Gothic" w:hAnsi="Century Gothic" w:cs="Arial"/>
                <w:b/>
                <w:sz w:val="22"/>
                <w:szCs w:val="22"/>
              </w:rPr>
            </w:pPr>
            <w:r w:rsidRPr="00E4295E">
              <w:rPr>
                <w:rFonts w:ascii="Century Gothic" w:hAnsi="Century Gothic" w:cs="Arial"/>
                <w:b/>
                <w:sz w:val="22"/>
                <w:szCs w:val="22"/>
              </w:rPr>
              <w:t>ABSTENCIÓN</w:t>
            </w:r>
          </w:p>
        </w:tc>
      </w:tr>
      <w:tr w:rsidR="001A08F5" w:rsidRPr="00E4295E" w:rsidTr="008143DE">
        <w:trPr>
          <w:jc w:val="center"/>
        </w:trPr>
        <w:tc>
          <w:tcPr>
            <w:tcW w:w="1665" w:type="dxa"/>
          </w:tcPr>
          <w:p w:rsidR="001A08F5" w:rsidRPr="00E4295E" w:rsidRDefault="001A08F5" w:rsidP="009434DD">
            <w:pPr>
              <w:pStyle w:val="Normal1"/>
              <w:spacing w:line="360" w:lineRule="auto"/>
              <w:jc w:val="both"/>
              <w:rPr>
                <w:rFonts w:ascii="Century Gothic" w:hAnsi="Century Gothic" w:cs="Arial"/>
                <w:b/>
                <w:sz w:val="22"/>
                <w:szCs w:val="22"/>
              </w:rPr>
            </w:pPr>
            <w:r w:rsidRPr="00E4295E">
              <w:rPr>
                <w:rFonts w:ascii="Century Gothic" w:hAnsi="Century Gothic" w:cs="Arial"/>
                <w:b/>
                <w:noProof/>
                <w:sz w:val="22"/>
                <w:szCs w:val="22"/>
              </w:rPr>
              <w:drawing>
                <wp:inline distT="0" distB="0" distL="0" distR="0" wp14:anchorId="1507A4D4" wp14:editId="614B2777">
                  <wp:extent cx="897255" cy="897255"/>
                  <wp:effectExtent l="19050" t="0" r="0" b="0"/>
                  <wp:docPr id="9" name="Imagen 4"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7"/>
                          <pic:cNvPicPr>
                            <a:picLocks noChangeAspect="1" noChangeArrowheads="1"/>
                          </pic:cNvPicPr>
                        </pic:nvPicPr>
                        <pic:blipFill>
                          <a:blip r:embed="rId8" cstate="print"/>
                          <a:srcRect/>
                          <a:stretch>
                            <a:fillRect/>
                          </a:stretch>
                        </pic:blipFill>
                        <pic:spPr bwMode="auto">
                          <a:xfrm>
                            <a:off x="0" y="0"/>
                            <a:ext cx="897255" cy="897255"/>
                          </a:xfrm>
                          <a:prstGeom prst="rect">
                            <a:avLst/>
                          </a:prstGeom>
                          <a:noFill/>
                          <a:ln w="9525">
                            <a:noFill/>
                            <a:miter lim="800000"/>
                            <a:headEnd/>
                            <a:tailEnd/>
                          </a:ln>
                        </pic:spPr>
                      </pic:pic>
                    </a:graphicData>
                  </a:graphic>
                </wp:inline>
              </w:drawing>
            </w:r>
          </w:p>
        </w:tc>
        <w:tc>
          <w:tcPr>
            <w:tcW w:w="2500" w:type="dxa"/>
          </w:tcPr>
          <w:p w:rsidR="001A08F5" w:rsidRPr="00E4295E" w:rsidRDefault="001A08F5" w:rsidP="009434DD">
            <w:pPr>
              <w:pStyle w:val="Normal1"/>
              <w:spacing w:line="360" w:lineRule="auto"/>
              <w:jc w:val="center"/>
              <w:rPr>
                <w:rFonts w:ascii="Century Gothic" w:hAnsi="Century Gothic" w:cs="Arial"/>
                <w:b/>
                <w:sz w:val="22"/>
                <w:szCs w:val="22"/>
              </w:rPr>
            </w:pPr>
            <w:r w:rsidRPr="00E4295E">
              <w:rPr>
                <w:rFonts w:ascii="Century Gothic" w:eastAsia="Arial" w:hAnsi="Century Gothic" w:cs="Arial"/>
                <w:b/>
                <w:sz w:val="22"/>
                <w:szCs w:val="22"/>
              </w:rPr>
              <w:t>DIP. JORGE CARLOS SOTO PRIETO</w:t>
            </w:r>
          </w:p>
          <w:p w:rsidR="001A08F5" w:rsidRPr="00E4295E" w:rsidRDefault="001A08F5" w:rsidP="009434DD">
            <w:pPr>
              <w:pStyle w:val="Normal1"/>
              <w:spacing w:line="360" w:lineRule="auto"/>
              <w:jc w:val="center"/>
              <w:rPr>
                <w:rFonts w:ascii="Century Gothic" w:hAnsi="Century Gothic" w:cs="Arial"/>
                <w:b/>
                <w:sz w:val="22"/>
                <w:szCs w:val="22"/>
              </w:rPr>
            </w:pPr>
          </w:p>
        </w:tc>
        <w:tc>
          <w:tcPr>
            <w:tcW w:w="2013" w:type="dxa"/>
          </w:tcPr>
          <w:p w:rsidR="001A08F5" w:rsidRPr="00E4295E" w:rsidRDefault="001A08F5" w:rsidP="009434DD">
            <w:pPr>
              <w:pStyle w:val="Normal1"/>
              <w:spacing w:line="360" w:lineRule="auto"/>
              <w:jc w:val="both"/>
              <w:rPr>
                <w:rFonts w:ascii="Century Gothic" w:hAnsi="Century Gothic" w:cs="Arial"/>
                <w:b/>
                <w:sz w:val="22"/>
                <w:szCs w:val="22"/>
              </w:rPr>
            </w:pPr>
          </w:p>
        </w:tc>
        <w:tc>
          <w:tcPr>
            <w:tcW w:w="1544" w:type="dxa"/>
          </w:tcPr>
          <w:p w:rsidR="001A08F5" w:rsidRPr="00E4295E" w:rsidRDefault="001A08F5" w:rsidP="009434DD">
            <w:pPr>
              <w:pStyle w:val="Normal1"/>
              <w:spacing w:line="360" w:lineRule="auto"/>
              <w:jc w:val="both"/>
              <w:rPr>
                <w:rFonts w:ascii="Century Gothic" w:hAnsi="Century Gothic" w:cs="Arial"/>
                <w:b/>
                <w:sz w:val="22"/>
                <w:szCs w:val="22"/>
              </w:rPr>
            </w:pPr>
          </w:p>
        </w:tc>
        <w:tc>
          <w:tcPr>
            <w:tcW w:w="1918" w:type="dxa"/>
          </w:tcPr>
          <w:p w:rsidR="001A08F5" w:rsidRPr="00E4295E" w:rsidRDefault="001A08F5" w:rsidP="009434DD">
            <w:pPr>
              <w:pStyle w:val="Normal1"/>
              <w:spacing w:line="360" w:lineRule="auto"/>
              <w:jc w:val="both"/>
              <w:rPr>
                <w:rFonts w:ascii="Century Gothic" w:hAnsi="Century Gothic" w:cs="Arial"/>
                <w:b/>
                <w:sz w:val="22"/>
                <w:szCs w:val="22"/>
              </w:rPr>
            </w:pPr>
          </w:p>
        </w:tc>
      </w:tr>
      <w:tr w:rsidR="001A08F5" w:rsidRPr="00E4295E" w:rsidTr="008143DE">
        <w:trPr>
          <w:jc w:val="center"/>
        </w:trPr>
        <w:tc>
          <w:tcPr>
            <w:tcW w:w="1665" w:type="dxa"/>
          </w:tcPr>
          <w:p w:rsidR="001A08F5" w:rsidRPr="00E4295E" w:rsidRDefault="001A08F5" w:rsidP="009434DD">
            <w:pPr>
              <w:pStyle w:val="Normal1"/>
              <w:spacing w:line="360" w:lineRule="auto"/>
              <w:jc w:val="both"/>
              <w:rPr>
                <w:rFonts w:ascii="Century Gothic" w:hAnsi="Century Gothic" w:cs="Arial"/>
                <w:b/>
                <w:sz w:val="22"/>
                <w:szCs w:val="22"/>
              </w:rPr>
            </w:pPr>
            <w:r w:rsidRPr="00E4295E">
              <w:rPr>
                <w:noProof/>
                <w:sz w:val="22"/>
                <w:szCs w:val="22"/>
              </w:rPr>
              <w:drawing>
                <wp:inline distT="0" distB="0" distL="0" distR="0" wp14:anchorId="1B35E0E4" wp14:editId="7D014A70">
                  <wp:extent cx="888365" cy="888365"/>
                  <wp:effectExtent l="19050" t="0" r="6985" b="0"/>
                  <wp:docPr id="7" name="Imagen 3"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8"/>
                          <pic:cNvPicPr>
                            <a:picLocks noChangeAspect="1" noChangeArrowheads="1"/>
                          </pic:cNvPicPr>
                        </pic:nvPicPr>
                        <pic:blipFill>
                          <a:blip r:embed="rId9" cstate="print"/>
                          <a:srcRect/>
                          <a:stretch>
                            <a:fillRect/>
                          </a:stretch>
                        </pic:blipFill>
                        <pic:spPr bwMode="auto">
                          <a:xfrm>
                            <a:off x="0" y="0"/>
                            <a:ext cx="888365" cy="888365"/>
                          </a:xfrm>
                          <a:prstGeom prst="rect">
                            <a:avLst/>
                          </a:prstGeom>
                          <a:noFill/>
                          <a:ln w="9525">
                            <a:noFill/>
                            <a:miter lim="800000"/>
                            <a:headEnd/>
                            <a:tailEnd/>
                          </a:ln>
                        </pic:spPr>
                      </pic:pic>
                    </a:graphicData>
                  </a:graphic>
                </wp:inline>
              </w:drawing>
            </w:r>
          </w:p>
        </w:tc>
        <w:tc>
          <w:tcPr>
            <w:tcW w:w="2500" w:type="dxa"/>
          </w:tcPr>
          <w:p w:rsidR="001A08F5" w:rsidRPr="00E4295E" w:rsidRDefault="001A08F5" w:rsidP="009434DD">
            <w:pPr>
              <w:pStyle w:val="Normal1"/>
              <w:spacing w:line="360" w:lineRule="auto"/>
              <w:jc w:val="center"/>
              <w:rPr>
                <w:rFonts w:ascii="Century Gothic" w:eastAsia="Arial" w:hAnsi="Century Gothic" w:cs="Arial"/>
                <w:b/>
                <w:sz w:val="22"/>
                <w:szCs w:val="22"/>
              </w:rPr>
            </w:pPr>
            <w:r w:rsidRPr="00E4295E">
              <w:rPr>
                <w:rFonts w:ascii="Century Gothic" w:eastAsia="Arial" w:hAnsi="Century Gothic" w:cs="Arial"/>
                <w:b/>
                <w:sz w:val="22"/>
                <w:szCs w:val="22"/>
              </w:rPr>
              <w:t>DIP. ANNA ELIZABETH CHÁVEZ MATA</w:t>
            </w:r>
          </w:p>
          <w:p w:rsidR="001A08F5" w:rsidRPr="00E4295E" w:rsidRDefault="001A08F5" w:rsidP="009434DD">
            <w:pPr>
              <w:pStyle w:val="Normal1"/>
              <w:spacing w:line="360" w:lineRule="auto"/>
              <w:jc w:val="center"/>
              <w:rPr>
                <w:rFonts w:ascii="Century Gothic" w:hAnsi="Century Gothic" w:cs="Arial"/>
                <w:b/>
                <w:sz w:val="22"/>
                <w:szCs w:val="22"/>
              </w:rPr>
            </w:pPr>
            <w:r w:rsidRPr="00E4295E">
              <w:rPr>
                <w:rFonts w:ascii="Century Gothic" w:eastAsia="Arial" w:hAnsi="Century Gothic" w:cs="Arial"/>
                <w:b/>
                <w:sz w:val="22"/>
                <w:szCs w:val="22"/>
              </w:rPr>
              <w:t>SECRETARIA</w:t>
            </w:r>
          </w:p>
        </w:tc>
        <w:tc>
          <w:tcPr>
            <w:tcW w:w="2013" w:type="dxa"/>
          </w:tcPr>
          <w:p w:rsidR="001A08F5" w:rsidRPr="00E4295E" w:rsidRDefault="001A08F5" w:rsidP="009434DD">
            <w:pPr>
              <w:pStyle w:val="Normal1"/>
              <w:spacing w:line="360" w:lineRule="auto"/>
              <w:jc w:val="both"/>
              <w:rPr>
                <w:rFonts w:ascii="Century Gothic" w:hAnsi="Century Gothic" w:cs="Arial"/>
                <w:b/>
                <w:sz w:val="22"/>
                <w:szCs w:val="22"/>
              </w:rPr>
            </w:pPr>
          </w:p>
        </w:tc>
        <w:tc>
          <w:tcPr>
            <w:tcW w:w="1544" w:type="dxa"/>
          </w:tcPr>
          <w:p w:rsidR="001A08F5" w:rsidRPr="00E4295E" w:rsidRDefault="001A08F5" w:rsidP="009434DD">
            <w:pPr>
              <w:pStyle w:val="Normal1"/>
              <w:spacing w:line="360" w:lineRule="auto"/>
              <w:jc w:val="both"/>
              <w:rPr>
                <w:rFonts w:ascii="Century Gothic" w:hAnsi="Century Gothic" w:cs="Arial"/>
                <w:b/>
                <w:sz w:val="22"/>
                <w:szCs w:val="22"/>
              </w:rPr>
            </w:pPr>
          </w:p>
        </w:tc>
        <w:tc>
          <w:tcPr>
            <w:tcW w:w="1918" w:type="dxa"/>
          </w:tcPr>
          <w:p w:rsidR="001A08F5" w:rsidRPr="00E4295E" w:rsidRDefault="001A08F5" w:rsidP="009434DD">
            <w:pPr>
              <w:pStyle w:val="Normal1"/>
              <w:spacing w:line="360" w:lineRule="auto"/>
              <w:jc w:val="both"/>
              <w:rPr>
                <w:rFonts w:ascii="Century Gothic" w:hAnsi="Century Gothic" w:cs="Arial"/>
                <w:b/>
                <w:sz w:val="22"/>
                <w:szCs w:val="22"/>
              </w:rPr>
            </w:pPr>
          </w:p>
        </w:tc>
      </w:tr>
      <w:tr w:rsidR="001A08F5" w:rsidRPr="00E4295E" w:rsidTr="008143DE">
        <w:trPr>
          <w:jc w:val="center"/>
        </w:trPr>
        <w:tc>
          <w:tcPr>
            <w:tcW w:w="1665" w:type="dxa"/>
          </w:tcPr>
          <w:p w:rsidR="001A08F5" w:rsidRPr="00E4295E" w:rsidRDefault="001A08F5" w:rsidP="009434DD">
            <w:pPr>
              <w:pStyle w:val="Normal1"/>
              <w:spacing w:line="360" w:lineRule="auto"/>
              <w:jc w:val="both"/>
              <w:rPr>
                <w:rFonts w:ascii="Century Gothic" w:hAnsi="Century Gothic" w:cs="Arial"/>
                <w:b/>
                <w:sz w:val="22"/>
                <w:szCs w:val="22"/>
              </w:rPr>
            </w:pPr>
            <w:r w:rsidRPr="00E4295E">
              <w:rPr>
                <w:noProof/>
                <w:sz w:val="22"/>
                <w:szCs w:val="22"/>
              </w:rPr>
              <w:drawing>
                <wp:inline distT="0" distB="0" distL="0" distR="0" wp14:anchorId="3591B30F" wp14:editId="318F1068">
                  <wp:extent cx="888365" cy="888365"/>
                  <wp:effectExtent l="19050" t="0" r="6985" b="0"/>
                  <wp:docPr id="10" name="Imagen 1" descr="http://www.congresochihuahua.gob.mx/TimThumb.php?src=diputados/imagenes/fotos/1176.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6.jpg&amp;w=260&amp;h=260&amp;zc=1"/>
                          <pic:cNvPicPr>
                            <a:picLocks noChangeAspect="1" noChangeArrowheads="1"/>
                          </pic:cNvPicPr>
                        </pic:nvPicPr>
                        <pic:blipFill>
                          <a:blip r:embed="rId10" cstate="print"/>
                          <a:srcRect/>
                          <a:stretch>
                            <a:fillRect/>
                          </a:stretch>
                        </pic:blipFill>
                        <pic:spPr bwMode="auto">
                          <a:xfrm>
                            <a:off x="0" y="0"/>
                            <a:ext cx="888389" cy="888389"/>
                          </a:xfrm>
                          <a:prstGeom prst="rect">
                            <a:avLst/>
                          </a:prstGeom>
                          <a:noFill/>
                          <a:ln w="9525">
                            <a:noFill/>
                            <a:miter lim="800000"/>
                            <a:headEnd/>
                            <a:tailEnd/>
                          </a:ln>
                        </pic:spPr>
                      </pic:pic>
                    </a:graphicData>
                  </a:graphic>
                </wp:inline>
              </w:drawing>
            </w:r>
          </w:p>
        </w:tc>
        <w:tc>
          <w:tcPr>
            <w:tcW w:w="2500" w:type="dxa"/>
          </w:tcPr>
          <w:p w:rsidR="001A08F5" w:rsidRPr="00E4295E" w:rsidRDefault="001A08F5" w:rsidP="009434DD">
            <w:pPr>
              <w:pStyle w:val="Normal1"/>
              <w:spacing w:line="360" w:lineRule="auto"/>
              <w:jc w:val="center"/>
              <w:rPr>
                <w:rFonts w:ascii="Century Gothic" w:eastAsia="Arial" w:hAnsi="Century Gothic" w:cs="Arial"/>
                <w:b/>
                <w:sz w:val="22"/>
                <w:szCs w:val="22"/>
              </w:rPr>
            </w:pPr>
            <w:r w:rsidRPr="00E4295E">
              <w:rPr>
                <w:rFonts w:ascii="Century Gothic" w:eastAsia="Arial" w:hAnsi="Century Gothic" w:cs="Arial"/>
                <w:b/>
                <w:sz w:val="22"/>
                <w:szCs w:val="22"/>
              </w:rPr>
              <w:t>DIP. ANA CARMEN ESTRADA GARCÍA</w:t>
            </w:r>
          </w:p>
          <w:p w:rsidR="001A08F5" w:rsidRPr="00E4295E" w:rsidRDefault="001A08F5" w:rsidP="009434DD">
            <w:pPr>
              <w:pStyle w:val="Normal1"/>
              <w:spacing w:line="360" w:lineRule="auto"/>
              <w:jc w:val="center"/>
              <w:rPr>
                <w:rFonts w:ascii="Century Gothic" w:hAnsi="Century Gothic" w:cs="Arial"/>
                <w:b/>
                <w:sz w:val="22"/>
                <w:szCs w:val="22"/>
              </w:rPr>
            </w:pPr>
            <w:r w:rsidRPr="00E4295E">
              <w:rPr>
                <w:rFonts w:ascii="Century Gothic" w:eastAsia="Arial" w:hAnsi="Century Gothic" w:cs="Arial"/>
                <w:b/>
                <w:sz w:val="22"/>
                <w:szCs w:val="22"/>
              </w:rPr>
              <w:t>VOCAL</w:t>
            </w:r>
          </w:p>
        </w:tc>
        <w:tc>
          <w:tcPr>
            <w:tcW w:w="2013" w:type="dxa"/>
          </w:tcPr>
          <w:p w:rsidR="001A08F5" w:rsidRPr="00E4295E" w:rsidRDefault="001A08F5" w:rsidP="009434DD">
            <w:pPr>
              <w:pStyle w:val="Normal1"/>
              <w:spacing w:line="360" w:lineRule="auto"/>
              <w:jc w:val="both"/>
              <w:rPr>
                <w:rFonts w:ascii="Century Gothic" w:hAnsi="Century Gothic" w:cs="Arial"/>
                <w:b/>
                <w:sz w:val="22"/>
                <w:szCs w:val="22"/>
              </w:rPr>
            </w:pPr>
          </w:p>
        </w:tc>
        <w:tc>
          <w:tcPr>
            <w:tcW w:w="1544" w:type="dxa"/>
          </w:tcPr>
          <w:p w:rsidR="001A08F5" w:rsidRPr="00E4295E" w:rsidRDefault="001A08F5" w:rsidP="009434DD">
            <w:pPr>
              <w:pStyle w:val="Normal1"/>
              <w:spacing w:line="360" w:lineRule="auto"/>
              <w:jc w:val="both"/>
              <w:rPr>
                <w:rFonts w:ascii="Century Gothic" w:hAnsi="Century Gothic" w:cs="Arial"/>
                <w:b/>
                <w:sz w:val="22"/>
                <w:szCs w:val="22"/>
              </w:rPr>
            </w:pPr>
          </w:p>
        </w:tc>
        <w:tc>
          <w:tcPr>
            <w:tcW w:w="1918" w:type="dxa"/>
          </w:tcPr>
          <w:p w:rsidR="001A08F5" w:rsidRPr="00E4295E" w:rsidRDefault="001A08F5" w:rsidP="009434DD">
            <w:pPr>
              <w:pStyle w:val="Normal1"/>
              <w:spacing w:line="360" w:lineRule="auto"/>
              <w:jc w:val="both"/>
              <w:rPr>
                <w:rFonts w:ascii="Century Gothic" w:hAnsi="Century Gothic" w:cs="Arial"/>
                <w:b/>
                <w:sz w:val="22"/>
                <w:szCs w:val="22"/>
              </w:rPr>
            </w:pPr>
          </w:p>
        </w:tc>
      </w:tr>
      <w:tr w:rsidR="001A08F5" w:rsidRPr="00E4295E" w:rsidTr="008143DE">
        <w:trPr>
          <w:jc w:val="center"/>
        </w:trPr>
        <w:tc>
          <w:tcPr>
            <w:tcW w:w="1665" w:type="dxa"/>
          </w:tcPr>
          <w:p w:rsidR="001A08F5" w:rsidRPr="00E4295E" w:rsidRDefault="001A08F5" w:rsidP="009434DD">
            <w:pPr>
              <w:pStyle w:val="Normal1"/>
              <w:spacing w:line="360" w:lineRule="auto"/>
              <w:jc w:val="both"/>
              <w:rPr>
                <w:noProof/>
                <w:sz w:val="22"/>
                <w:szCs w:val="22"/>
              </w:rPr>
            </w:pPr>
            <w:r w:rsidRPr="00E4295E">
              <w:rPr>
                <w:noProof/>
                <w:sz w:val="22"/>
                <w:szCs w:val="22"/>
              </w:rPr>
              <w:drawing>
                <wp:inline distT="0" distB="0" distL="0" distR="0" wp14:anchorId="587523F8" wp14:editId="20F1D828">
                  <wp:extent cx="888365" cy="888365"/>
                  <wp:effectExtent l="19050" t="0" r="6985" b="0"/>
                  <wp:docPr id="11" name="Imagen 4" descr="http://www.congresochihuahua.gob.mx/TimThumb.php?src=diputados/imagenes/fotos/1173.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TimThumb.php?src=diputados/imagenes/fotos/1173.jpg&amp;w=260&amp;h=260&amp;zc=1"/>
                          <pic:cNvPicPr>
                            <a:picLocks noChangeAspect="1" noChangeArrowheads="1"/>
                          </pic:cNvPicPr>
                        </pic:nvPicPr>
                        <pic:blipFill>
                          <a:blip r:embed="rId11" cstate="print"/>
                          <a:srcRect/>
                          <a:stretch>
                            <a:fillRect/>
                          </a:stretch>
                        </pic:blipFill>
                        <pic:spPr bwMode="auto">
                          <a:xfrm>
                            <a:off x="0" y="0"/>
                            <a:ext cx="891175" cy="891175"/>
                          </a:xfrm>
                          <a:prstGeom prst="rect">
                            <a:avLst/>
                          </a:prstGeom>
                          <a:noFill/>
                          <a:ln w="9525">
                            <a:noFill/>
                            <a:miter lim="800000"/>
                            <a:headEnd/>
                            <a:tailEnd/>
                          </a:ln>
                        </pic:spPr>
                      </pic:pic>
                    </a:graphicData>
                  </a:graphic>
                </wp:inline>
              </w:drawing>
            </w:r>
          </w:p>
        </w:tc>
        <w:tc>
          <w:tcPr>
            <w:tcW w:w="2500" w:type="dxa"/>
          </w:tcPr>
          <w:p w:rsidR="001A08F5" w:rsidRPr="00E4295E" w:rsidRDefault="001A08F5" w:rsidP="009434DD">
            <w:pPr>
              <w:pStyle w:val="Normal1"/>
              <w:spacing w:line="360" w:lineRule="auto"/>
              <w:jc w:val="center"/>
              <w:rPr>
                <w:rFonts w:ascii="Century Gothic" w:eastAsia="Arial" w:hAnsi="Century Gothic" w:cs="Arial"/>
                <w:b/>
                <w:sz w:val="22"/>
                <w:szCs w:val="22"/>
              </w:rPr>
            </w:pPr>
            <w:r w:rsidRPr="00E4295E">
              <w:rPr>
                <w:rFonts w:ascii="Century Gothic" w:eastAsia="Arial" w:hAnsi="Century Gothic" w:cs="Arial"/>
                <w:b/>
                <w:sz w:val="22"/>
                <w:szCs w:val="22"/>
              </w:rPr>
              <w:t>DIP. PATRICIA GLORIA JURADO ALONSO</w:t>
            </w:r>
          </w:p>
          <w:p w:rsidR="001A08F5" w:rsidRPr="00E4295E" w:rsidRDefault="001A08F5" w:rsidP="009434DD">
            <w:pPr>
              <w:pStyle w:val="Normal1"/>
              <w:spacing w:line="360" w:lineRule="auto"/>
              <w:jc w:val="center"/>
              <w:rPr>
                <w:rFonts w:ascii="Century Gothic" w:eastAsia="Arial" w:hAnsi="Century Gothic" w:cs="Arial"/>
                <w:b/>
                <w:sz w:val="22"/>
                <w:szCs w:val="22"/>
              </w:rPr>
            </w:pPr>
            <w:r w:rsidRPr="00E4295E">
              <w:rPr>
                <w:rFonts w:ascii="Century Gothic" w:eastAsia="Arial" w:hAnsi="Century Gothic" w:cs="Arial"/>
                <w:b/>
                <w:sz w:val="22"/>
                <w:szCs w:val="22"/>
              </w:rPr>
              <w:t>VOCAL</w:t>
            </w:r>
          </w:p>
        </w:tc>
        <w:tc>
          <w:tcPr>
            <w:tcW w:w="2013" w:type="dxa"/>
          </w:tcPr>
          <w:p w:rsidR="001A08F5" w:rsidRPr="00E4295E" w:rsidRDefault="001A08F5" w:rsidP="009434DD">
            <w:pPr>
              <w:pStyle w:val="Normal1"/>
              <w:spacing w:line="360" w:lineRule="auto"/>
              <w:jc w:val="both"/>
              <w:rPr>
                <w:rFonts w:ascii="Century Gothic" w:hAnsi="Century Gothic" w:cs="Arial"/>
                <w:b/>
                <w:sz w:val="22"/>
                <w:szCs w:val="22"/>
              </w:rPr>
            </w:pPr>
          </w:p>
        </w:tc>
        <w:tc>
          <w:tcPr>
            <w:tcW w:w="1544" w:type="dxa"/>
          </w:tcPr>
          <w:p w:rsidR="001A08F5" w:rsidRPr="00E4295E" w:rsidRDefault="001A08F5" w:rsidP="009434DD">
            <w:pPr>
              <w:pStyle w:val="Normal1"/>
              <w:spacing w:line="360" w:lineRule="auto"/>
              <w:jc w:val="both"/>
              <w:rPr>
                <w:rFonts w:ascii="Century Gothic" w:hAnsi="Century Gothic" w:cs="Arial"/>
                <w:b/>
                <w:sz w:val="22"/>
                <w:szCs w:val="22"/>
              </w:rPr>
            </w:pPr>
          </w:p>
        </w:tc>
        <w:tc>
          <w:tcPr>
            <w:tcW w:w="1918" w:type="dxa"/>
          </w:tcPr>
          <w:p w:rsidR="001A08F5" w:rsidRPr="00E4295E" w:rsidRDefault="001A08F5" w:rsidP="009434DD">
            <w:pPr>
              <w:pStyle w:val="Normal1"/>
              <w:spacing w:line="360" w:lineRule="auto"/>
              <w:jc w:val="both"/>
              <w:rPr>
                <w:rFonts w:ascii="Century Gothic" w:hAnsi="Century Gothic" w:cs="Arial"/>
                <w:b/>
                <w:sz w:val="22"/>
                <w:szCs w:val="22"/>
              </w:rPr>
            </w:pPr>
          </w:p>
        </w:tc>
      </w:tr>
      <w:tr w:rsidR="001A08F5" w:rsidRPr="00E4295E" w:rsidTr="008143DE">
        <w:trPr>
          <w:jc w:val="center"/>
        </w:trPr>
        <w:tc>
          <w:tcPr>
            <w:tcW w:w="1665" w:type="dxa"/>
          </w:tcPr>
          <w:p w:rsidR="001A08F5" w:rsidRPr="00E4295E" w:rsidRDefault="001A08F5" w:rsidP="009434DD">
            <w:pPr>
              <w:pStyle w:val="Normal1"/>
              <w:spacing w:line="360" w:lineRule="auto"/>
              <w:jc w:val="both"/>
              <w:rPr>
                <w:noProof/>
                <w:sz w:val="22"/>
                <w:szCs w:val="22"/>
              </w:rPr>
            </w:pPr>
            <w:r w:rsidRPr="00E4295E">
              <w:rPr>
                <w:noProof/>
                <w:sz w:val="22"/>
                <w:szCs w:val="22"/>
              </w:rPr>
              <w:drawing>
                <wp:inline distT="0" distB="0" distL="0" distR="0" wp14:anchorId="78FE420E" wp14:editId="4D3916E2">
                  <wp:extent cx="900752" cy="900752"/>
                  <wp:effectExtent l="19050" t="0" r="0" b="0"/>
                  <wp:docPr id="12" name="Imagen 7" descr="http://www.congresochihuahua.gob.mx/TimThumb.php?src=diputados/imagenes/fotos/119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TimThumb.php?src=diputados/imagenes/fotos/1192.jpg&amp;w=260&amp;h=260&amp;zc=1"/>
                          <pic:cNvPicPr>
                            <a:picLocks noChangeAspect="1" noChangeArrowheads="1"/>
                          </pic:cNvPicPr>
                        </pic:nvPicPr>
                        <pic:blipFill>
                          <a:blip r:embed="rId12" cstate="print"/>
                          <a:srcRect/>
                          <a:stretch>
                            <a:fillRect/>
                          </a:stretch>
                        </pic:blipFill>
                        <pic:spPr bwMode="auto">
                          <a:xfrm>
                            <a:off x="0" y="0"/>
                            <a:ext cx="900776" cy="900776"/>
                          </a:xfrm>
                          <a:prstGeom prst="rect">
                            <a:avLst/>
                          </a:prstGeom>
                          <a:noFill/>
                          <a:ln w="9525">
                            <a:noFill/>
                            <a:miter lim="800000"/>
                            <a:headEnd/>
                            <a:tailEnd/>
                          </a:ln>
                        </pic:spPr>
                      </pic:pic>
                    </a:graphicData>
                  </a:graphic>
                </wp:inline>
              </w:drawing>
            </w:r>
          </w:p>
        </w:tc>
        <w:tc>
          <w:tcPr>
            <w:tcW w:w="2500" w:type="dxa"/>
          </w:tcPr>
          <w:p w:rsidR="001A08F5" w:rsidRPr="00E4295E" w:rsidRDefault="001A08F5" w:rsidP="009434DD">
            <w:pPr>
              <w:pStyle w:val="Normal1"/>
              <w:spacing w:line="360" w:lineRule="auto"/>
              <w:jc w:val="center"/>
              <w:rPr>
                <w:rFonts w:ascii="Century Gothic" w:eastAsia="Arial" w:hAnsi="Century Gothic" w:cs="Arial"/>
                <w:b/>
                <w:sz w:val="22"/>
                <w:szCs w:val="22"/>
              </w:rPr>
            </w:pPr>
            <w:r w:rsidRPr="00E4295E">
              <w:rPr>
                <w:rFonts w:ascii="Century Gothic" w:eastAsia="Arial" w:hAnsi="Century Gothic" w:cs="Arial"/>
                <w:b/>
                <w:sz w:val="22"/>
                <w:szCs w:val="22"/>
              </w:rPr>
              <w:t>DIP. LUIS ALBERTO AGUILAR LOZOYA</w:t>
            </w:r>
          </w:p>
          <w:p w:rsidR="001A08F5" w:rsidRPr="00E4295E" w:rsidRDefault="001A08F5" w:rsidP="009434DD">
            <w:pPr>
              <w:pStyle w:val="Normal1"/>
              <w:spacing w:line="360" w:lineRule="auto"/>
              <w:jc w:val="center"/>
              <w:rPr>
                <w:rFonts w:ascii="Century Gothic" w:eastAsia="Arial" w:hAnsi="Century Gothic" w:cs="Arial"/>
                <w:b/>
                <w:sz w:val="22"/>
                <w:szCs w:val="22"/>
              </w:rPr>
            </w:pPr>
            <w:r w:rsidRPr="00E4295E">
              <w:rPr>
                <w:rFonts w:ascii="Century Gothic" w:eastAsia="Arial" w:hAnsi="Century Gothic" w:cs="Arial"/>
                <w:b/>
                <w:sz w:val="22"/>
                <w:szCs w:val="22"/>
              </w:rPr>
              <w:t>VOCAL</w:t>
            </w:r>
          </w:p>
        </w:tc>
        <w:tc>
          <w:tcPr>
            <w:tcW w:w="2013" w:type="dxa"/>
          </w:tcPr>
          <w:p w:rsidR="001A08F5" w:rsidRPr="00E4295E" w:rsidRDefault="001A08F5" w:rsidP="009434DD">
            <w:pPr>
              <w:pStyle w:val="Normal1"/>
              <w:spacing w:line="360" w:lineRule="auto"/>
              <w:jc w:val="both"/>
              <w:rPr>
                <w:rFonts w:ascii="Century Gothic" w:hAnsi="Century Gothic" w:cs="Arial"/>
                <w:b/>
                <w:sz w:val="22"/>
                <w:szCs w:val="22"/>
              </w:rPr>
            </w:pPr>
          </w:p>
        </w:tc>
        <w:tc>
          <w:tcPr>
            <w:tcW w:w="1544" w:type="dxa"/>
          </w:tcPr>
          <w:p w:rsidR="001A08F5" w:rsidRPr="00E4295E" w:rsidRDefault="001A08F5" w:rsidP="009434DD">
            <w:pPr>
              <w:pStyle w:val="Normal1"/>
              <w:spacing w:line="360" w:lineRule="auto"/>
              <w:jc w:val="both"/>
              <w:rPr>
                <w:rFonts w:ascii="Century Gothic" w:hAnsi="Century Gothic" w:cs="Arial"/>
                <w:b/>
                <w:sz w:val="22"/>
                <w:szCs w:val="22"/>
              </w:rPr>
            </w:pPr>
          </w:p>
        </w:tc>
        <w:tc>
          <w:tcPr>
            <w:tcW w:w="1918" w:type="dxa"/>
          </w:tcPr>
          <w:p w:rsidR="001A08F5" w:rsidRPr="00E4295E" w:rsidRDefault="001A08F5" w:rsidP="009434DD">
            <w:pPr>
              <w:pStyle w:val="Normal1"/>
              <w:spacing w:line="360" w:lineRule="auto"/>
              <w:jc w:val="both"/>
              <w:rPr>
                <w:rFonts w:ascii="Century Gothic" w:hAnsi="Century Gothic" w:cs="Arial"/>
                <w:b/>
                <w:sz w:val="22"/>
                <w:szCs w:val="22"/>
              </w:rPr>
            </w:pPr>
          </w:p>
        </w:tc>
      </w:tr>
    </w:tbl>
    <w:p w:rsidR="009434DD" w:rsidRDefault="008143DE" w:rsidP="008143DE">
      <w:pPr>
        <w:shd w:val="clear" w:color="auto" w:fill="FFFFFF"/>
        <w:tabs>
          <w:tab w:val="left" w:pos="2978"/>
        </w:tabs>
        <w:spacing w:after="200" w:line="276" w:lineRule="auto"/>
        <w:jc w:val="both"/>
      </w:pPr>
      <w:r w:rsidRPr="008143DE">
        <w:rPr>
          <w:rFonts w:ascii="Century Gothic" w:eastAsia="Arial" w:hAnsi="Century Gothic" w:cs="Arial"/>
          <w:sz w:val="16"/>
          <w:szCs w:val="16"/>
          <w:lang w:val="es-MX" w:eastAsia="es-MX"/>
        </w:rPr>
        <w:t xml:space="preserve">La presente hoja de firmas corresponde al Dictamen </w:t>
      </w:r>
      <w:r w:rsidRPr="008143DE">
        <w:rPr>
          <w:rFonts w:ascii="Century Gothic" w:hAnsi="Century Gothic"/>
          <w:sz w:val="16"/>
          <w:szCs w:val="16"/>
          <w:lang w:val="es-MX" w:eastAsia="es-MX"/>
        </w:rPr>
        <w:t>DCETS/0</w:t>
      </w:r>
      <w:r>
        <w:rPr>
          <w:rFonts w:ascii="Century Gothic" w:hAnsi="Century Gothic"/>
          <w:sz w:val="16"/>
          <w:szCs w:val="16"/>
          <w:lang w:val="es-MX" w:eastAsia="es-MX"/>
        </w:rPr>
        <w:t>8</w:t>
      </w:r>
      <w:r w:rsidRPr="008143DE">
        <w:rPr>
          <w:rFonts w:ascii="Century Gothic" w:hAnsi="Century Gothic"/>
          <w:sz w:val="16"/>
          <w:szCs w:val="16"/>
          <w:lang w:val="es-MX" w:eastAsia="es-MX"/>
        </w:rPr>
        <w:t xml:space="preserve">/2019 de </w:t>
      </w:r>
      <w:r w:rsidRPr="008143DE">
        <w:rPr>
          <w:rFonts w:ascii="Century Gothic" w:eastAsia="Arial" w:hAnsi="Century Gothic" w:cs="Arial"/>
          <w:sz w:val="16"/>
          <w:szCs w:val="16"/>
          <w:lang w:val="es-MX" w:eastAsia="es-MX"/>
        </w:rPr>
        <w:t>la Comisión de Economía, Turismo y Servicios.</w:t>
      </w:r>
    </w:p>
    <w:sectPr w:rsidR="009434DD" w:rsidSect="008143DE">
      <w:headerReference w:type="default" r:id="rId13"/>
      <w:footerReference w:type="even" r:id="rId14"/>
      <w:footerReference w:type="default" r:id="rId15"/>
      <w:pgSz w:w="12240" w:h="15840" w:code="1"/>
      <w:pgMar w:top="2286" w:right="146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AEF" w:rsidRDefault="00B17AEF" w:rsidP="001A08F5">
      <w:r>
        <w:separator/>
      </w:r>
    </w:p>
  </w:endnote>
  <w:endnote w:type="continuationSeparator" w:id="0">
    <w:p w:rsidR="00B17AEF" w:rsidRDefault="00B17AEF" w:rsidP="001A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artika">
    <w:altName w:val="Bell MT"/>
    <w:charset w:val="00"/>
    <w:family w:val="roman"/>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4DD" w:rsidRDefault="009434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434DD" w:rsidRDefault="009434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20"/>
        <w:szCs w:val="20"/>
      </w:rPr>
      <w:id w:val="-1729301681"/>
      <w:docPartObj>
        <w:docPartGallery w:val="Page Numbers (Bottom of Page)"/>
        <w:docPartUnique/>
      </w:docPartObj>
    </w:sdtPr>
    <w:sdtEndPr/>
    <w:sdtContent>
      <w:p w:rsidR="009434DD" w:rsidRPr="006322C9" w:rsidRDefault="009434DD" w:rsidP="009434DD">
        <w:pPr>
          <w:pStyle w:val="Piedepgina"/>
          <w:jc w:val="center"/>
          <w:rPr>
            <w:rFonts w:ascii="Century Gothic" w:hAnsi="Century Gothic"/>
            <w:sz w:val="20"/>
            <w:szCs w:val="20"/>
            <w:lang w:val="en-US"/>
          </w:rPr>
        </w:pPr>
        <w:r w:rsidRPr="006322C9">
          <w:rPr>
            <w:rFonts w:ascii="Century Gothic" w:hAnsi="Century Gothic"/>
            <w:sz w:val="16"/>
            <w:szCs w:val="16"/>
            <w:lang w:val="en-US"/>
          </w:rPr>
          <w:t xml:space="preserve">                                                                       </w:t>
        </w:r>
        <w:r>
          <w:rPr>
            <w:rFonts w:ascii="Century Gothic" w:hAnsi="Century Gothic"/>
            <w:sz w:val="16"/>
            <w:szCs w:val="16"/>
            <w:lang w:val="en-US"/>
          </w:rPr>
          <w:t xml:space="preserve">                          </w:t>
        </w:r>
        <w:r w:rsidRPr="006322C9">
          <w:rPr>
            <w:rFonts w:ascii="Century Gothic" w:hAnsi="Century Gothic"/>
            <w:sz w:val="16"/>
            <w:szCs w:val="16"/>
            <w:lang w:val="en-US"/>
          </w:rPr>
          <w:t xml:space="preserve">     </w:t>
        </w:r>
        <w:r>
          <w:rPr>
            <w:rFonts w:ascii="Century Gothic" w:hAnsi="Century Gothic"/>
            <w:sz w:val="16"/>
            <w:szCs w:val="16"/>
            <w:lang w:val="en-US"/>
          </w:rPr>
          <w:t xml:space="preserve">            </w:t>
        </w:r>
        <w:r w:rsidRPr="006322C9">
          <w:rPr>
            <w:rFonts w:ascii="Century Gothic" w:hAnsi="Century Gothic"/>
            <w:sz w:val="16"/>
            <w:szCs w:val="16"/>
            <w:lang w:val="en-US"/>
          </w:rPr>
          <w:t xml:space="preserve">   </w:t>
        </w:r>
        <w:r w:rsidR="00B45949">
          <w:rPr>
            <w:rFonts w:ascii="Century Gothic" w:hAnsi="Century Gothic"/>
            <w:sz w:val="16"/>
            <w:szCs w:val="16"/>
            <w:lang w:val="en-US"/>
          </w:rPr>
          <w:t xml:space="preserve">                       A1073</w:t>
        </w:r>
        <w:r w:rsidRPr="006322C9">
          <w:rPr>
            <w:rFonts w:ascii="Century Gothic" w:hAnsi="Century Gothic"/>
            <w:sz w:val="16"/>
            <w:szCs w:val="16"/>
            <w:lang w:val="en-US"/>
          </w:rPr>
          <w:t>/LEAT/GAOR/JRMCH/RAM</w:t>
        </w:r>
      </w:p>
    </w:sdtContent>
  </w:sdt>
  <w:p w:rsidR="009434DD" w:rsidRPr="006322C9" w:rsidRDefault="009434DD">
    <w:pPr>
      <w:pStyle w:val="Piedepgina"/>
      <w:rPr>
        <w:rFonts w:ascii="Century Gothic" w:hAnsi="Century Gothic"/>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AEF" w:rsidRDefault="00B17AEF" w:rsidP="001A08F5">
      <w:r>
        <w:separator/>
      </w:r>
    </w:p>
  </w:footnote>
  <w:footnote w:type="continuationSeparator" w:id="0">
    <w:p w:rsidR="00B17AEF" w:rsidRDefault="00B17AEF" w:rsidP="001A08F5">
      <w:r>
        <w:continuationSeparator/>
      </w:r>
    </w:p>
  </w:footnote>
  <w:footnote w:id="1">
    <w:p w:rsidR="00C2038F" w:rsidRPr="005E6F56" w:rsidRDefault="00C2038F">
      <w:pPr>
        <w:pStyle w:val="Textonotapie"/>
        <w:rPr>
          <w:rFonts w:ascii="Century Gothic" w:hAnsi="Century Gothic"/>
          <w:sz w:val="16"/>
          <w:szCs w:val="16"/>
          <w:lang w:val="es-MX"/>
        </w:rPr>
      </w:pPr>
      <w:r w:rsidRPr="005E6F56">
        <w:rPr>
          <w:rStyle w:val="Refdenotaalpie"/>
          <w:rFonts w:ascii="Century Gothic" w:hAnsi="Century Gothic"/>
          <w:sz w:val="16"/>
          <w:szCs w:val="16"/>
        </w:rPr>
        <w:footnoteRef/>
      </w:r>
      <w:r w:rsidRPr="005E6F56">
        <w:rPr>
          <w:rFonts w:ascii="Century Gothic" w:hAnsi="Century Gothic"/>
          <w:sz w:val="16"/>
          <w:szCs w:val="16"/>
        </w:rPr>
        <w:t xml:space="preserve"> </w:t>
      </w:r>
      <w:hyperlink r:id="rId1" w:history="1">
        <w:r w:rsidRPr="005E6F56">
          <w:rPr>
            <w:rFonts w:ascii="Century Gothic" w:hAnsi="Century Gothic"/>
            <w:sz w:val="16"/>
            <w:szCs w:val="16"/>
          </w:rPr>
          <w:t>http://www.sct.gob.mx/informacion-general/</w:t>
        </w:r>
      </w:hyperlink>
      <w:r w:rsidRPr="005E6F56">
        <w:rPr>
          <w:rFonts w:ascii="Century Gothic" w:hAnsi="Century Gothic"/>
          <w:sz w:val="16"/>
          <w:szCs w:val="16"/>
        </w:rPr>
        <w:t xml:space="preserve">        15/10/2019</w:t>
      </w:r>
    </w:p>
  </w:footnote>
  <w:footnote w:id="2">
    <w:p w:rsidR="005E6F56" w:rsidRPr="005E6F56" w:rsidRDefault="005E6F56">
      <w:pPr>
        <w:pStyle w:val="Textonotapie"/>
        <w:rPr>
          <w:lang w:val="es-MX"/>
        </w:rPr>
      </w:pPr>
      <w:r w:rsidRPr="005E6F56">
        <w:rPr>
          <w:rStyle w:val="Refdenotaalpie"/>
          <w:rFonts w:ascii="Century Gothic" w:hAnsi="Century Gothic"/>
          <w:sz w:val="16"/>
          <w:szCs w:val="16"/>
        </w:rPr>
        <w:footnoteRef/>
      </w:r>
      <w:r w:rsidRPr="005E6F56">
        <w:rPr>
          <w:rFonts w:ascii="Century Gothic" w:hAnsi="Century Gothic"/>
          <w:sz w:val="16"/>
          <w:szCs w:val="16"/>
        </w:rPr>
        <w:t xml:space="preserve"> </w:t>
      </w:r>
      <w:hyperlink r:id="rId2" w:history="1">
        <w:r w:rsidRPr="005E6F56">
          <w:rPr>
            <w:rFonts w:ascii="Century Gothic" w:hAnsi="Century Gothic"/>
            <w:sz w:val="16"/>
            <w:szCs w:val="16"/>
          </w:rPr>
          <w:t>https://manufactura.mx/innovacion/2019/10/09/sct-llevara-internet-a-comunidades-con-alto-grado-de-marginacion</w:t>
        </w:r>
      </w:hyperlink>
      <w:r w:rsidR="000B1B10">
        <w:rPr>
          <w:rFonts w:ascii="Century Gothic" w:hAnsi="Century Gothic"/>
          <w:sz w:val="16"/>
          <w:szCs w:val="16"/>
        </w:rPr>
        <w:t xml:space="preserve"> 15/10/2019</w:t>
      </w:r>
    </w:p>
  </w:footnote>
  <w:footnote w:id="3">
    <w:p w:rsidR="00A214CD" w:rsidRPr="00A214CD" w:rsidRDefault="00A214CD">
      <w:pPr>
        <w:pStyle w:val="Textonotapie"/>
        <w:rPr>
          <w:rFonts w:ascii="Century Gothic" w:hAnsi="Century Gothic"/>
          <w:sz w:val="16"/>
          <w:szCs w:val="16"/>
          <w:lang w:val="es-MX"/>
        </w:rPr>
      </w:pPr>
      <w:r w:rsidRPr="00A214CD">
        <w:rPr>
          <w:rStyle w:val="Refdenotaalpie"/>
          <w:rFonts w:ascii="Century Gothic" w:hAnsi="Century Gothic"/>
          <w:sz w:val="16"/>
          <w:szCs w:val="16"/>
        </w:rPr>
        <w:footnoteRef/>
      </w:r>
      <w:r w:rsidRPr="00A214CD">
        <w:rPr>
          <w:rFonts w:ascii="Century Gothic" w:hAnsi="Century Gothic"/>
          <w:sz w:val="16"/>
          <w:szCs w:val="16"/>
        </w:rPr>
        <w:t xml:space="preserve"> </w:t>
      </w:r>
      <w:hyperlink r:id="rId3" w:history="1">
        <w:r w:rsidR="0026414B" w:rsidRPr="005E6F56">
          <w:rPr>
            <w:rFonts w:ascii="Century Gothic" w:hAnsi="Century Gothic"/>
            <w:sz w:val="16"/>
            <w:szCs w:val="16"/>
          </w:rPr>
          <w:t>https://manufactura.mx/innovacion/2019/10/09/sct-llevara-internet-a-comunidades-con-alto-grado-de-marginacion</w:t>
        </w:r>
      </w:hyperlink>
    </w:p>
  </w:footnote>
  <w:footnote w:id="4">
    <w:p w:rsidR="0019479F" w:rsidRPr="0019479F" w:rsidRDefault="0019479F">
      <w:pPr>
        <w:pStyle w:val="Textonotapie"/>
        <w:rPr>
          <w:rFonts w:ascii="Century Gothic" w:hAnsi="Century Gothic"/>
          <w:sz w:val="16"/>
          <w:szCs w:val="16"/>
          <w:lang w:val="es-MX"/>
        </w:rPr>
      </w:pPr>
      <w:r w:rsidRPr="0019479F">
        <w:rPr>
          <w:rStyle w:val="Refdenotaalpie"/>
          <w:rFonts w:ascii="Century Gothic" w:hAnsi="Century Gothic"/>
          <w:sz w:val="16"/>
          <w:szCs w:val="16"/>
        </w:rPr>
        <w:footnoteRef/>
      </w:r>
      <w:r w:rsidRPr="0019479F">
        <w:rPr>
          <w:rFonts w:ascii="Century Gothic" w:hAnsi="Century Gothic"/>
          <w:sz w:val="16"/>
          <w:szCs w:val="16"/>
        </w:rPr>
        <w:t xml:space="preserve"> </w:t>
      </w:r>
      <w:hyperlink r:id="rId4" w:history="1">
        <w:r w:rsidRPr="0019479F">
          <w:rPr>
            <w:rFonts w:ascii="Century Gothic" w:hAnsi="Century Gothic"/>
            <w:sz w:val="16"/>
            <w:szCs w:val="16"/>
          </w:rPr>
          <w:t>http://www.ift.org.mx/conocenos/filosofia</w:t>
        </w:r>
      </w:hyperlink>
      <w:r w:rsidR="00AF34E4">
        <w:rPr>
          <w:rFonts w:ascii="Century Gothic" w:hAnsi="Century Gothic"/>
          <w:sz w:val="16"/>
          <w:szCs w:val="16"/>
        </w:rPr>
        <w:t xml:space="preserve">                                                                                                  15/10/2019  </w:t>
      </w:r>
    </w:p>
  </w:footnote>
  <w:footnote w:id="5">
    <w:p w:rsidR="00AD0CF3" w:rsidRPr="00AD0CF3" w:rsidRDefault="00AD0CF3">
      <w:pPr>
        <w:pStyle w:val="Textonotapie"/>
        <w:rPr>
          <w:rFonts w:ascii="Century Gothic" w:hAnsi="Century Gothic"/>
          <w:sz w:val="16"/>
          <w:szCs w:val="16"/>
          <w:lang w:val="es-MX"/>
        </w:rPr>
      </w:pPr>
      <w:r w:rsidRPr="0019479F">
        <w:rPr>
          <w:rStyle w:val="Refdenotaalpie"/>
          <w:rFonts w:ascii="Century Gothic" w:hAnsi="Century Gothic"/>
          <w:sz w:val="16"/>
          <w:szCs w:val="16"/>
        </w:rPr>
        <w:footnoteRef/>
      </w:r>
      <w:r w:rsidRPr="0019479F">
        <w:rPr>
          <w:rFonts w:ascii="Century Gothic" w:hAnsi="Century Gothic"/>
          <w:sz w:val="16"/>
          <w:szCs w:val="16"/>
        </w:rPr>
        <w:t xml:space="preserve"> </w:t>
      </w:r>
      <w:hyperlink r:id="rId5" w:history="1">
        <w:r w:rsidRPr="0019479F">
          <w:rPr>
            <w:rFonts w:ascii="Century Gothic" w:hAnsi="Century Gothic"/>
            <w:sz w:val="16"/>
            <w:szCs w:val="16"/>
          </w:rPr>
          <w:t>https://www.gob.mx/sct/prensa/la-sct-presenta-su-programa-de-cobertura-social?idiom=es</w:t>
        </w:r>
      </w:hyperlink>
      <w:r>
        <w:rPr>
          <w:rFonts w:ascii="Century Gothic" w:hAnsi="Century Gothic"/>
          <w:sz w:val="16"/>
          <w:szCs w:val="16"/>
        </w:rPr>
        <w:t xml:space="preserve">          15/10/2019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4DD" w:rsidRDefault="009434DD" w:rsidP="009434DD">
    <w:pPr>
      <w:pStyle w:val="Encabezado"/>
      <w:jc w:val="right"/>
      <w:rPr>
        <w:rFonts w:ascii="Century Gothic" w:hAnsi="Century Gothic" w:cs="Arial"/>
        <w:b/>
        <w:sz w:val="18"/>
        <w:szCs w:val="18"/>
      </w:rPr>
    </w:pPr>
  </w:p>
  <w:p w:rsidR="009434DD" w:rsidRDefault="009434DD" w:rsidP="009434DD">
    <w:pPr>
      <w:pStyle w:val="Encabezado"/>
      <w:jc w:val="right"/>
      <w:rPr>
        <w:rFonts w:ascii="Century Gothic" w:hAnsi="Century Gothic" w:cs="Arial"/>
        <w:b/>
        <w:sz w:val="18"/>
        <w:szCs w:val="18"/>
      </w:rPr>
    </w:pPr>
  </w:p>
  <w:p w:rsidR="009434DD" w:rsidRPr="009568FB" w:rsidRDefault="009434DD" w:rsidP="00332437">
    <w:pPr>
      <w:pStyle w:val="Encabezado"/>
      <w:tabs>
        <w:tab w:val="clear" w:pos="8838"/>
      </w:tabs>
      <w:jc w:val="right"/>
      <w:rPr>
        <w:rFonts w:ascii="Century Gothic" w:hAnsi="Century Gothic"/>
        <w:b/>
        <w:sz w:val="18"/>
        <w:szCs w:val="18"/>
      </w:rPr>
    </w:pPr>
    <w:r>
      <w:rPr>
        <w:rFonts w:ascii="Century Gothic" w:hAnsi="Century Gothic" w:cs="Arial"/>
        <w:b/>
        <w:sz w:val="18"/>
        <w:szCs w:val="18"/>
      </w:rPr>
      <w:t>“2019</w:t>
    </w:r>
    <w:r w:rsidRPr="00290931">
      <w:rPr>
        <w:rFonts w:ascii="Century Gothic" w:hAnsi="Century Gothic" w:cs="Arial"/>
        <w:b/>
        <w:sz w:val="18"/>
        <w:szCs w:val="18"/>
      </w:rPr>
      <w:t>, Año</w:t>
    </w:r>
    <w:r>
      <w:rPr>
        <w:rFonts w:ascii="Century Gothic" w:hAnsi="Century Gothic" w:cs="Arial"/>
        <w:b/>
        <w:sz w:val="18"/>
        <w:szCs w:val="18"/>
      </w:rPr>
      <w:t xml:space="preserve"> Internacional de las Lenguas Indígenas</w:t>
    </w:r>
    <w:r w:rsidRPr="00290931">
      <w:rPr>
        <w:rFonts w:ascii="Century Gothic" w:hAnsi="Century Gothic" w:cs="Arial"/>
        <w:b/>
        <w:sz w:val="18"/>
        <w:szCs w:val="18"/>
      </w:rPr>
      <w:t>”</w:t>
    </w:r>
  </w:p>
  <w:p w:rsidR="009434DD" w:rsidRPr="009568FB" w:rsidRDefault="009434DD" w:rsidP="00332437">
    <w:pPr>
      <w:pStyle w:val="Encabezado"/>
      <w:tabs>
        <w:tab w:val="clear" w:pos="8838"/>
      </w:tabs>
      <w:jc w:val="center"/>
      <w:rPr>
        <w:rFonts w:ascii="Kartika" w:hAnsi="Kartika" w:cs="Kartika"/>
        <w:b/>
        <w:bCs/>
        <w:color w:val="444444"/>
        <w:sz w:val="18"/>
        <w:szCs w:val="18"/>
        <w:shd w:val="clear" w:color="auto" w:fill="FFFFFF"/>
      </w:rPr>
    </w:pPr>
  </w:p>
  <w:p w:rsidR="009434DD" w:rsidRPr="00450450" w:rsidRDefault="00332437" w:rsidP="00332437">
    <w:pPr>
      <w:pStyle w:val="Encabezado"/>
      <w:tabs>
        <w:tab w:val="clear" w:pos="8838"/>
        <w:tab w:val="left" w:pos="4956"/>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9434DD" w:rsidRDefault="009434DD" w:rsidP="00332437">
    <w:pPr>
      <w:pStyle w:val="Encabezado"/>
      <w:tabs>
        <w:tab w:val="clear" w:pos="8838"/>
      </w:tabs>
      <w:jc w:val="right"/>
      <w:rPr>
        <w:rFonts w:ascii="Century Gothic" w:hAnsi="Century Gothic"/>
        <w:b/>
        <w:sz w:val="28"/>
        <w:szCs w:val="28"/>
      </w:rPr>
    </w:pPr>
    <w:r>
      <w:rPr>
        <w:rFonts w:ascii="Century Gothic" w:hAnsi="Century Gothic"/>
        <w:b/>
        <w:sz w:val="28"/>
        <w:szCs w:val="28"/>
      </w:rPr>
      <w:t xml:space="preserve">Comisión </w:t>
    </w:r>
    <w:r w:rsidRPr="00BE3706">
      <w:rPr>
        <w:rFonts w:ascii="Century Gothic" w:hAnsi="Century Gothic"/>
        <w:b/>
        <w:sz w:val="28"/>
        <w:szCs w:val="28"/>
      </w:rPr>
      <w:t xml:space="preserve">de </w:t>
    </w:r>
    <w:r>
      <w:rPr>
        <w:rFonts w:ascii="Century Gothic" w:hAnsi="Century Gothic"/>
        <w:b/>
        <w:sz w:val="28"/>
        <w:szCs w:val="28"/>
      </w:rPr>
      <w:t>Economía, Turismo y Servicios</w:t>
    </w:r>
  </w:p>
  <w:p w:rsidR="009434DD" w:rsidRDefault="009434DD" w:rsidP="00332437">
    <w:pPr>
      <w:pStyle w:val="Encabezado"/>
      <w:tabs>
        <w:tab w:val="clear" w:pos="8838"/>
      </w:tabs>
      <w:jc w:val="right"/>
      <w:rPr>
        <w:rFonts w:ascii="Century Gothic" w:hAnsi="Century Gothic"/>
        <w:b/>
        <w:sz w:val="28"/>
        <w:szCs w:val="28"/>
      </w:rPr>
    </w:pPr>
    <w:r>
      <w:rPr>
        <w:rFonts w:ascii="Century Gothic" w:hAnsi="Century Gothic"/>
        <w:b/>
        <w:sz w:val="28"/>
        <w:szCs w:val="28"/>
      </w:rPr>
      <w:t>LXVI/LEGISLATURA</w:t>
    </w:r>
  </w:p>
  <w:p w:rsidR="009434DD" w:rsidRPr="00BE3706" w:rsidRDefault="009434DD" w:rsidP="00332437">
    <w:pPr>
      <w:pStyle w:val="Encabezado"/>
      <w:tabs>
        <w:tab w:val="clear" w:pos="8838"/>
      </w:tabs>
      <w:jc w:val="right"/>
      <w:rPr>
        <w:rFonts w:ascii="Century Gothic" w:hAnsi="Century Gothic"/>
        <w:b/>
        <w:sz w:val="28"/>
        <w:szCs w:val="28"/>
      </w:rPr>
    </w:pPr>
    <w:r>
      <w:rPr>
        <w:rFonts w:ascii="Century Gothic" w:hAnsi="Century Gothic"/>
        <w:b/>
        <w:sz w:val="28"/>
        <w:szCs w:val="28"/>
      </w:rPr>
      <w:t>DCETS/08/2019</w:t>
    </w:r>
  </w:p>
  <w:p w:rsidR="009434DD" w:rsidRDefault="009434DD" w:rsidP="009434DD">
    <w:pPr>
      <w:pStyle w:val="Encabezado"/>
      <w:jc w:val="center"/>
      <w:rPr>
        <w:rFonts w:ascii="Kunstler Script" w:hAnsi="Kunstler Script"/>
        <w:b/>
        <w:sz w:val="28"/>
        <w:szCs w:val="28"/>
      </w:rPr>
    </w:pPr>
  </w:p>
  <w:p w:rsidR="009434DD" w:rsidRDefault="009434DD" w:rsidP="009434DD">
    <w:pPr>
      <w:pStyle w:val="Encabezado"/>
      <w:jc w:val="center"/>
      <w:rPr>
        <w:rFonts w:ascii="Kunstler Script" w:hAnsi="Kunstler Script"/>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34081"/>
    <w:multiLevelType w:val="hybridMultilevel"/>
    <w:tmpl w:val="AD4CB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F5"/>
    <w:rsid w:val="0001448D"/>
    <w:rsid w:val="000276FD"/>
    <w:rsid w:val="00077D45"/>
    <w:rsid w:val="0009670E"/>
    <w:rsid w:val="000B1B10"/>
    <w:rsid w:val="000D620D"/>
    <w:rsid w:val="00154D69"/>
    <w:rsid w:val="0019479F"/>
    <w:rsid w:val="00196633"/>
    <w:rsid w:val="001A08F5"/>
    <w:rsid w:val="0026414B"/>
    <w:rsid w:val="0027018B"/>
    <w:rsid w:val="002932EF"/>
    <w:rsid w:val="00295385"/>
    <w:rsid w:val="002977F6"/>
    <w:rsid w:val="002A7A50"/>
    <w:rsid w:val="002B7E26"/>
    <w:rsid w:val="002D36D6"/>
    <w:rsid w:val="002E0735"/>
    <w:rsid w:val="00332437"/>
    <w:rsid w:val="0035233B"/>
    <w:rsid w:val="0035695D"/>
    <w:rsid w:val="00357083"/>
    <w:rsid w:val="00360EF5"/>
    <w:rsid w:val="00393766"/>
    <w:rsid w:val="003D11F9"/>
    <w:rsid w:val="003F761A"/>
    <w:rsid w:val="004137AE"/>
    <w:rsid w:val="004B40AC"/>
    <w:rsid w:val="004B651F"/>
    <w:rsid w:val="004D14C5"/>
    <w:rsid w:val="004E18B1"/>
    <w:rsid w:val="004E6A4F"/>
    <w:rsid w:val="00503072"/>
    <w:rsid w:val="00531CAA"/>
    <w:rsid w:val="00545AEE"/>
    <w:rsid w:val="00592870"/>
    <w:rsid w:val="005D5EBD"/>
    <w:rsid w:val="005E118F"/>
    <w:rsid w:val="005E6F56"/>
    <w:rsid w:val="005F70B4"/>
    <w:rsid w:val="00616CA9"/>
    <w:rsid w:val="00677706"/>
    <w:rsid w:val="00684C5B"/>
    <w:rsid w:val="00696DF3"/>
    <w:rsid w:val="007018C3"/>
    <w:rsid w:val="007123F1"/>
    <w:rsid w:val="00725C4B"/>
    <w:rsid w:val="00734546"/>
    <w:rsid w:val="00757C98"/>
    <w:rsid w:val="007825C2"/>
    <w:rsid w:val="00783BD1"/>
    <w:rsid w:val="007841D2"/>
    <w:rsid w:val="00793006"/>
    <w:rsid w:val="007A02F5"/>
    <w:rsid w:val="007A1F82"/>
    <w:rsid w:val="007A4D91"/>
    <w:rsid w:val="0080162D"/>
    <w:rsid w:val="008143DE"/>
    <w:rsid w:val="00814A12"/>
    <w:rsid w:val="00862A87"/>
    <w:rsid w:val="008743F1"/>
    <w:rsid w:val="0089284F"/>
    <w:rsid w:val="008A2DE0"/>
    <w:rsid w:val="008C4DE6"/>
    <w:rsid w:val="008E3694"/>
    <w:rsid w:val="009434DD"/>
    <w:rsid w:val="00955DF9"/>
    <w:rsid w:val="00967D52"/>
    <w:rsid w:val="00990643"/>
    <w:rsid w:val="009B795B"/>
    <w:rsid w:val="009D27B0"/>
    <w:rsid w:val="00A05243"/>
    <w:rsid w:val="00A104A8"/>
    <w:rsid w:val="00A12897"/>
    <w:rsid w:val="00A214CD"/>
    <w:rsid w:val="00A24967"/>
    <w:rsid w:val="00AC755F"/>
    <w:rsid w:val="00AD0CF3"/>
    <w:rsid w:val="00AD2BAA"/>
    <w:rsid w:val="00AF34E4"/>
    <w:rsid w:val="00B132C4"/>
    <w:rsid w:val="00B17AEF"/>
    <w:rsid w:val="00B45949"/>
    <w:rsid w:val="00B51F40"/>
    <w:rsid w:val="00B76E5E"/>
    <w:rsid w:val="00BB17E9"/>
    <w:rsid w:val="00BC411F"/>
    <w:rsid w:val="00BF3B68"/>
    <w:rsid w:val="00C2038F"/>
    <w:rsid w:val="00C434BE"/>
    <w:rsid w:val="00C575B8"/>
    <w:rsid w:val="00CD0001"/>
    <w:rsid w:val="00CE4BFF"/>
    <w:rsid w:val="00D03F52"/>
    <w:rsid w:val="00D370C4"/>
    <w:rsid w:val="00D758BD"/>
    <w:rsid w:val="00DB79D2"/>
    <w:rsid w:val="00DC2FEF"/>
    <w:rsid w:val="00DC7267"/>
    <w:rsid w:val="00DE65CA"/>
    <w:rsid w:val="00E377F5"/>
    <w:rsid w:val="00E75F62"/>
    <w:rsid w:val="00E80104"/>
    <w:rsid w:val="00E8190C"/>
    <w:rsid w:val="00E85726"/>
    <w:rsid w:val="00E86AE4"/>
    <w:rsid w:val="00EC5B9C"/>
    <w:rsid w:val="00EE09BB"/>
    <w:rsid w:val="00F0380A"/>
    <w:rsid w:val="00F106DC"/>
    <w:rsid w:val="00F44AA2"/>
    <w:rsid w:val="00F6699E"/>
    <w:rsid w:val="00F836B2"/>
    <w:rsid w:val="00F92DA6"/>
    <w:rsid w:val="00FA19EA"/>
    <w:rsid w:val="00FD4497"/>
    <w:rsid w:val="00FE04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3A8D4AE-B73D-4D9C-820F-B0CDE855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8F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A08F5"/>
    <w:pPr>
      <w:keepNext/>
      <w:jc w:val="both"/>
      <w:outlineLvl w:val="0"/>
    </w:pPr>
    <w:rPr>
      <w:rFonts w:ascii="Arial" w:hAnsi="Arial" w:cs="Arial"/>
      <w:b/>
      <w:bCs/>
    </w:rPr>
  </w:style>
  <w:style w:type="paragraph" w:styleId="Ttulo2">
    <w:name w:val="heading 2"/>
    <w:basedOn w:val="Normal"/>
    <w:next w:val="Normal"/>
    <w:link w:val="Ttulo2Car"/>
    <w:qFormat/>
    <w:rsid w:val="001A08F5"/>
    <w:pPr>
      <w:keepNext/>
      <w:jc w:val="center"/>
      <w:outlineLvl w:val="1"/>
    </w:pPr>
    <w:rPr>
      <w:rFonts w:ascii="Book Antiqua" w:hAnsi="Book Antiqu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08F5"/>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1A08F5"/>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1A08F5"/>
    <w:pPr>
      <w:tabs>
        <w:tab w:val="center" w:pos="4419"/>
        <w:tab w:val="right" w:pos="8838"/>
      </w:tabs>
    </w:pPr>
  </w:style>
  <w:style w:type="character" w:customStyle="1" w:styleId="EncabezadoCar">
    <w:name w:val="Encabezado Car"/>
    <w:basedOn w:val="Fuentedeprrafopredeter"/>
    <w:link w:val="Encabezado"/>
    <w:uiPriority w:val="99"/>
    <w:rsid w:val="001A08F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A08F5"/>
    <w:pPr>
      <w:tabs>
        <w:tab w:val="center" w:pos="4419"/>
        <w:tab w:val="right" w:pos="8838"/>
      </w:tabs>
    </w:pPr>
  </w:style>
  <w:style w:type="character" w:customStyle="1" w:styleId="PiedepginaCar">
    <w:name w:val="Pie de página Car"/>
    <w:basedOn w:val="Fuentedeprrafopredeter"/>
    <w:link w:val="Piedepgina"/>
    <w:uiPriority w:val="99"/>
    <w:rsid w:val="001A08F5"/>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1A08F5"/>
    <w:pPr>
      <w:jc w:val="both"/>
    </w:pPr>
    <w:rPr>
      <w:rFonts w:ascii="Book Antiqua" w:hAnsi="Book Antiqua"/>
    </w:rPr>
  </w:style>
  <w:style w:type="character" w:customStyle="1" w:styleId="TextoindependienteCar">
    <w:name w:val="Texto independiente Car"/>
    <w:basedOn w:val="Fuentedeprrafopredeter"/>
    <w:link w:val="Textoindependiente"/>
    <w:rsid w:val="001A08F5"/>
    <w:rPr>
      <w:rFonts w:ascii="Book Antiqua" w:eastAsia="Times New Roman" w:hAnsi="Book Antiqua" w:cs="Times New Roman"/>
      <w:sz w:val="24"/>
      <w:szCs w:val="24"/>
      <w:lang w:val="es-ES" w:eastAsia="es-ES"/>
    </w:rPr>
  </w:style>
  <w:style w:type="character" w:styleId="Nmerodepgina">
    <w:name w:val="page number"/>
    <w:basedOn w:val="Fuentedeprrafopredeter"/>
    <w:rsid w:val="001A08F5"/>
  </w:style>
  <w:style w:type="paragraph" w:styleId="Textonotapie">
    <w:name w:val="footnote text"/>
    <w:basedOn w:val="Normal"/>
    <w:link w:val="TextonotapieCar"/>
    <w:uiPriority w:val="99"/>
    <w:unhideWhenUsed/>
    <w:rsid w:val="001A08F5"/>
    <w:rPr>
      <w:sz w:val="20"/>
      <w:szCs w:val="20"/>
    </w:rPr>
  </w:style>
  <w:style w:type="character" w:customStyle="1" w:styleId="TextonotapieCar">
    <w:name w:val="Texto nota pie Car"/>
    <w:basedOn w:val="Fuentedeprrafopredeter"/>
    <w:link w:val="Textonotapie"/>
    <w:uiPriority w:val="99"/>
    <w:rsid w:val="001A08F5"/>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1A08F5"/>
    <w:rPr>
      <w:vertAlign w:val="superscript"/>
    </w:rPr>
  </w:style>
  <w:style w:type="paragraph" w:customStyle="1" w:styleId="Normal1">
    <w:name w:val="Normal1"/>
    <w:rsid w:val="001A08F5"/>
    <w:pPr>
      <w:spacing w:after="0" w:line="240" w:lineRule="auto"/>
    </w:pPr>
    <w:rPr>
      <w:rFonts w:ascii="Times New Roman" w:eastAsia="Times New Roman" w:hAnsi="Times New Roman" w:cs="Times New Roman"/>
      <w:color w:val="000000"/>
      <w:sz w:val="24"/>
      <w:szCs w:val="24"/>
      <w:lang w:eastAsia="es-MX"/>
    </w:rPr>
  </w:style>
  <w:style w:type="paragraph" w:styleId="NormalWeb">
    <w:name w:val="Normal (Web)"/>
    <w:basedOn w:val="Normal"/>
    <w:uiPriority w:val="99"/>
    <w:unhideWhenUsed/>
    <w:rsid w:val="001A08F5"/>
    <w:pPr>
      <w:spacing w:before="100" w:beforeAutospacing="1" w:after="100" w:afterAutospacing="1"/>
    </w:pPr>
    <w:rPr>
      <w:lang w:val="es-MX" w:eastAsia="es-MX"/>
    </w:rPr>
  </w:style>
  <w:style w:type="character" w:styleId="Hipervnculo">
    <w:name w:val="Hyperlink"/>
    <w:basedOn w:val="Fuentedeprrafopredeter"/>
    <w:uiPriority w:val="99"/>
    <w:unhideWhenUsed/>
    <w:rsid w:val="001A08F5"/>
    <w:rPr>
      <w:color w:val="0000FF"/>
      <w:u w:val="single"/>
    </w:rPr>
  </w:style>
  <w:style w:type="paragraph" w:styleId="Prrafodelista">
    <w:name w:val="List Paragraph"/>
    <w:basedOn w:val="Normal"/>
    <w:uiPriority w:val="34"/>
    <w:qFormat/>
    <w:rsid w:val="001A08F5"/>
    <w:pPr>
      <w:ind w:left="720"/>
      <w:contextualSpacing/>
    </w:pPr>
  </w:style>
  <w:style w:type="paragraph" w:customStyle="1" w:styleId="Texto">
    <w:name w:val="Texto"/>
    <w:basedOn w:val="Normal"/>
    <w:link w:val="TextoCar"/>
    <w:rsid w:val="00F44AA2"/>
    <w:pPr>
      <w:spacing w:after="101" w:line="216" w:lineRule="exact"/>
      <w:ind w:firstLine="288"/>
      <w:jc w:val="both"/>
    </w:pPr>
    <w:rPr>
      <w:rFonts w:ascii="Arial" w:hAnsi="Arial"/>
      <w:sz w:val="18"/>
      <w:szCs w:val="20"/>
    </w:rPr>
  </w:style>
  <w:style w:type="character" w:customStyle="1" w:styleId="TextoCar">
    <w:name w:val="Texto Car"/>
    <w:link w:val="Texto"/>
    <w:locked/>
    <w:rsid w:val="00F44AA2"/>
    <w:rPr>
      <w:rFonts w:ascii="Arial" w:eastAsia="Times New Roman" w:hAnsi="Arial" w:cs="Times New Roman"/>
      <w:sz w:val="18"/>
      <w:szCs w:val="20"/>
      <w:lang w:val="es-ES" w:eastAsia="es-ES"/>
    </w:rPr>
  </w:style>
  <w:style w:type="paragraph" w:styleId="Textodeglobo">
    <w:name w:val="Balloon Text"/>
    <w:basedOn w:val="Normal"/>
    <w:link w:val="TextodegloboCar"/>
    <w:uiPriority w:val="99"/>
    <w:semiHidden/>
    <w:unhideWhenUsed/>
    <w:rsid w:val="00BB17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7E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9308">
      <w:bodyDiv w:val="1"/>
      <w:marLeft w:val="0"/>
      <w:marRight w:val="0"/>
      <w:marTop w:val="0"/>
      <w:marBottom w:val="0"/>
      <w:divBdr>
        <w:top w:val="none" w:sz="0" w:space="0" w:color="auto"/>
        <w:left w:val="none" w:sz="0" w:space="0" w:color="auto"/>
        <w:bottom w:val="none" w:sz="0" w:space="0" w:color="auto"/>
        <w:right w:val="none" w:sz="0" w:space="0" w:color="auto"/>
      </w:divBdr>
    </w:div>
    <w:div w:id="13971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anufactura.mx/innovacion/2019/10/09/sct-llevara-internet-a-comunidades-con-alto-grado-de-marginacion" TargetMode="External"/><Relationship Id="rId2" Type="http://schemas.openxmlformats.org/officeDocument/2006/relationships/hyperlink" Target="https://manufactura.mx/innovacion/2019/10/09/sct-llevara-internet-a-comunidades-con-alto-grado-de-marginacion" TargetMode="External"/><Relationship Id="rId1" Type="http://schemas.openxmlformats.org/officeDocument/2006/relationships/hyperlink" Target="http://www.sct.gob.mx/informacion-general/" TargetMode="External"/><Relationship Id="rId5" Type="http://schemas.openxmlformats.org/officeDocument/2006/relationships/hyperlink" Target="https://www.gob.mx/sct/prensa/la-sct-presenta-su-programa-de-cobertura-social?idiom=es" TargetMode="External"/><Relationship Id="rId4" Type="http://schemas.openxmlformats.org/officeDocument/2006/relationships/hyperlink" Target="http://www.ift.org.mx/conocenos/filosof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57B6-B818-4DDE-9144-5EECC5A2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26</Pages>
  <Words>4888</Words>
  <Characters>26886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Aguirre Marquez</dc:creator>
  <cp:keywords/>
  <dc:description/>
  <cp:lastModifiedBy>Romina Aguirre Marquez</cp:lastModifiedBy>
  <cp:revision>111</cp:revision>
  <cp:lastPrinted>2019-10-17T14:57:00Z</cp:lastPrinted>
  <dcterms:created xsi:type="dcterms:W3CDTF">2019-10-14T20:32:00Z</dcterms:created>
  <dcterms:modified xsi:type="dcterms:W3CDTF">2019-10-21T18:51:00Z</dcterms:modified>
</cp:coreProperties>
</file>