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007A9" w14:textId="77777777" w:rsidR="001C2B61" w:rsidRPr="001C2B61" w:rsidRDefault="001C2B61" w:rsidP="001C2B61">
      <w:pPr>
        <w:spacing w:after="0" w:line="240" w:lineRule="auto"/>
        <w:ind w:right="284"/>
        <w:jc w:val="both"/>
        <w:rPr>
          <w:rFonts w:ascii="Century Gothic" w:hAnsi="Century Gothic"/>
          <w:b/>
          <w:sz w:val="25"/>
          <w:szCs w:val="25"/>
          <w:lang w:val="es-ES" w:eastAsia="es-ES"/>
        </w:rPr>
      </w:pPr>
      <w:r w:rsidRPr="001C2B61">
        <w:rPr>
          <w:rFonts w:ascii="Century Gothic" w:hAnsi="Century Gothic"/>
          <w:b/>
          <w:sz w:val="25"/>
          <w:szCs w:val="25"/>
          <w:lang w:val="es-ES" w:eastAsia="es-ES"/>
        </w:rPr>
        <w:t xml:space="preserve">DECRETO No.       </w:t>
      </w:r>
    </w:p>
    <w:p w14:paraId="2FD2C413" w14:textId="77777777" w:rsidR="001C2B61" w:rsidRPr="00EF4EE8" w:rsidRDefault="001C2B61" w:rsidP="001C2B61">
      <w:pPr>
        <w:spacing w:after="0" w:line="240" w:lineRule="auto"/>
        <w:ind w:right="284"/>
        <w:jc w:val="both"/>
        <w:rPr>
          <w:rFonts w:ascii="Century Gothic" w:hAnsi="Century Gothic"/>
          <w:sz w:val="25"/>
          <w:szCs w:val="25"/>
          <w:lang w:val="en-US" w:eastAsia="es-ES"/>
        </w:rPr>
      </w:pPr>
      <w:r w:rsidRPr="00EF4EE8">
        <w:rPr>
          <w:rFonts w:ascii="Century Gothic" w:hAnsi="Century Gothic"/>
          <w:b/>
          <w:sz w:val="25"/>
          <w:szCs w:val="25"/>
          <w:lang w:val="en-US" w:eastAsia="es-ES"/>
        </w:rPr>
        <w:softHyphen/>
      </w:r>
      <w:r w:rsidRPr="00EF4EE8">
        <w:rPr>
          <w:rFonts w:ascii="Century Gothic" w:hAnsi="Century Gothic"/>
          <w:b/>
          <w:sz w:val="25"/>
          <w:szCs w:val="25"/>
          <w:lang w:val="en-US" w:eastAsia="es-ES"/>
        </w:rPr>
        <w:softHyphen/>
      </w:r>
      <w:r w:rsidRPr="00EF4EE8">
        <w:rPr>
          <w:rFonts w:ascii="Century Gothic" w:hAnsi="Century Gothic"/>
          <w:b/>
          <w:sz w:val="25"/>
          <w:szCs w:val="25"/>
          <w:lang w:val="en-US" w:eastAsia="es-ES"/>
        </w:rPr>
        <w:softHyphen/>
      </w:r>
      <w:r w:rsidRPr="00EF4EE8">
        <w:rPr>
          <w:rFonts w:ascii="Century Gothic" w:hAnsi="Century Gothic"/>
          <w:b/>
          <w:sz w:val="25"/>
          <w:szCs w:val="25"/>
          <w:lang w:val="en-US" w:eastAsia="es-ES"/>
        </w:rPr>
        <w:softHyphen/>
      </w:r>
      <w:r w:rsidRPr="00EF4EE8">
        <w:rPr>
          <w:rFonts w:ascii="Century Gothic" w:hAnsi="Century Gothic"/>
          <w:b/>
          <w:sz w:val="25"/>
          <w:szCs w:val="25"/>
          <w:lang w:val="en-US" w:eastAsia="es-ES"/>
        </w:rPr>
        <w:softHyphen/>
      </w:r>
      <w:r w:rsidRPr="00EF4EE8">
        <w:rPr>
          <w:rFonts w:ascii="Century Gothic" w:hAnsi="Century Gothic"/>
          <w:b/>
          <w:sz w:val="25"/>
          <w:szCs w:val="25"/>
          <w:lang w:val="en-US" w:eastAsia="es-ES"/>
        </w:rPr>
        <w:softHyphen/>
      </w:r>
      <w:r w:rsidRPr="00EF4EE8">
        <w:rPr>
          <w:rFonts w:ascii="Century Gothic" w:hAnsi="Century Gothic"/>
          <w:b/>
          <w:sz w:val="25"/>
          <w:szCs w:val="25"/>
          <w:lang w:val="en-US" w:eastAsia="es-ES"/>
        </w:rPr>
        <w:softHyphen/>
      </w:r>
      <w:r w:rsidRPr="00EF4EE8">
        <w:rPr>
          <w:rFonts w:ascii="Century Gothic" w:hAnsi="Century Gothic"/>
          <w:b/>
          <w:sz w:val="25"/>
          <w:szCs w:val="25"/>
          <w:lang w:val="en-US" w:eastAsia="es-ES"/>
        </w:rPr>
        <w:softHyphen/>
      </w:r>
      <w:r w:rsidRPr="00EF4EE8">
        <w:rPr>
          <w:rFonts w:ascii="Century Gothic" w:hAnsi="Century Gothic"/>
          <w:b/>
          <w:sz w:val="25"/>
          <w:szCs w:val="25"/>
          <w:lang w:val="en-US" w:eastAsia="es-ES"/>
        </w:rPr>
        <w:softHyphen/>
      </w:r>
      <w:r w:rsidRPr="00EF4EE8">
        <w:rPr>
          <w:rFonts w:ascii="Century Gothic" w:hAnsi="Century Gothic"/>
          <w:b/>
          <w:sz w:val="25"/>
          <w:szCs w:val="25"/>
          <w:lang w:val="en-US" w:eastAsia="es-ES"/>
        </w:rPr>
        <w:softHyphen/>
      </w:r>
      <w:r w:rsidRPr="00EF4EE8">
        <w:rPr>
          <w:rFonts w:ascii="Century Gothic" w:hAnsi="Century Gothic"/>
          <w:b/>
          <w:sz w:val="25"/>
          <w:szCs w:val="25"/>
          <w:lang w:val="en-US" w:eastAsia="es-ES"/>
        </w:rPr>
        <w:softHyphen/>
      </w:r>
      <w:r w:rsidRPr="00EF4EE8">
        <w:rPr>
          <w:rFonts w:ascii="Century Gothic" w:hAnsi="Century Gothic"/>
          <w:b/>
          <w:sz w:val="25"/>
          <w:szCs w:val="25"/>
          <w:lang w:val="en-US" w:eastAsia="es-ES"/>
        </w:rPr>
        <w:softHyphen/>
        <w:t xml:space="preserve">LXVIII/AUOBF/0460/2025  I P.O. </w:t>
      </w:r>
    </w:p>
    <w:p w14:paraId="43B8D309" w14:textId="77777777" w:rsidR="001C2B61" w:rsidRPr="00EF4EE8" w:rsidRDefault="001C2B61" w:rsidP="001C2B61">
      <w:pPr>
        <w:spacing w:after="0" w:line="240" w:lineRule="auto"/>
        <w:ind w:left="284" w:right="284"/>
        <w:jc w:val="both"/>
        <w:rPr>
          <w:rFonts w:ascii="Century Gothic" w:hAnsi="Century Gothic"/>
          <w:b/>
          <w:sz w:val="20"/>
          <w:szCs w:val="20"/>
          <w:lang w:val="en-US" w:eastAsia="es-ES"/>
        </w:rPr>
      </w:pPr>
    </w:p>
    <w:p w14:paraId="2484DAB6" w14:textId="77777777" w:rsidR="001C2B61" w:rsidRPr="001C2B61" w:rsidRDefault="001C2B61" w:rsidP="001C2B61">
      <w:pPr>
        <w:spacing w:after="0" w:line="240" w:lineRule="auto"/>
        <w:ind w:right="49"/>
        <w:jc w:val="both"/>
        <w:rPr>
          <w:rFonts w:ascii="Century Gothic" w:hAnsi="Century Gothic"/>
          <w:b/>
          <w:sz w:val="26"/>
          <w:szCs w:val="26"/>
          <w:lang w:val="es-ES" w:eastAsia="es-ES"/>
        </w:rPr>
      </w:pPr>
      <w:r w:rsidRPr="001C2B61">
        <w:rPr>
          <w:rFonts w:ascii="Century Gothic" w:hAnsi="Century Gothic"/>
          <w:b/>
          <w:sz w:val="26"/>
          <w:szCs w:val="26"/>
          <w:lang w:val="es-ES" w:eastAsia="es-ES"/>
        </w:rPr>
        <w:t>LA SEXAGÉSIMA OCTAVA LEGISLATURA DEL HONORABLE CONGRESO DEL ESTADO DE CHIHUAHUA, REUNIDA EN SU PRIMER PERÍODO ORDINARIO DE SESIONES, DENTRO DEL SEGUNDO AÑO DE EJERCICIO CONSTITUCIONAL,</w:t>
      </w:r>
    </w:p>
    <w:p w14:paraId="17C734D0" w14:textId="77777777" w:rsidR="001C2B61" w:rsidRPr="001C2B61" w:rsidRDefault="001C2B61" w:rsidP="001C2B61">
      <w:pPr>
        <w:spacing w:after="0" w:line="240" w:lineRule="auto"/>
        <w:ind w:right="284"/>
        <w:jc w:val="both"/>
        <w:rPr>
          <w:rFonts w:ascii="Century Gothic" w:hAnsi="Century Gothic"/>
          <w:b/>
          <w:sz w:val="8"/>
          <w:szCs w:val="8"/>
          <w:lang w:val="es-ES" w:eastAsia="es-ES"/>
        </w:rPr>
      </w:pPr>
    </w:p>
    <w:p w14:paraId="5041C7FC" w14:textId="77777777" w:rsidR="001C2B61" w:rsidRPr="001C2B61" w:rsidRDefault="001C2B61" w:rsidP="001C2B61">
      <w:pPr>
        <w:spacing w:after="0" w:line="240" w:lineRule="auto"/>
        <w:ind w:right="284"/>
        <w:jc w:val="both"/>
        <w:rPr>
          <w:rFonts w:ascii="Century Gothic" w:hAnsi="Century Gothic"/>
          <w:b/>
          <w:sz w:val="16"/>
          <w:szCs w:val="16"/>
          <w:lang w:val="es-ES" w:eastAsia="es-ES"/>
        </w:rPr>
      </w:pPr>
    </w:p>
    <w:p w14:paraId="06A1DFC6" w14:textId="77777777" w:rsidR="001C2B61" w:rsidRPr="001C2B61" w:rsidRDefault="001C2B61" w:rsidP="001C2B61">
      <w:pPr>
        <w:spacing w:after="0" w:line="240" w:lineRule="auto"/>
        <w:ind w:right="284"/>
        <w:jc w:val="center"/>
        <w:rPr>
          <w:rFonts w:ascii="Century Gothic" w:hAnsi="Century Gothic"/>
          <w:b/>
          <w:sz w:val="28"/>
          <w:szCs w:val="28"/>
          <w:lang w:val="es-ES" w:eastAsia="es-ES"/>
        </w:rPr>
      </w:pPr>
      <w:r w:rsidRPr="001C2B61">
        <w:rPr>
          <w:rFonts w:ascii="Century Gothic" w:hAnsi="Century Gothic"/>
          <w:b/>
          <w:sz w:val="28"/>
          <w:szCs w:val="28"/>
          <w:lang w:val="es-ES" w:eastAsia="es-ES"/>
        </w:rPr>
        <w:t>D E C R E T A</w:t>
      </w:r>
    </w:p>
    <w:p w14:paraId="0B125E83" w14:textId="77777777" w:rsidR="001C2B61" w:rsidRPr="001C2B61" w:rsidRDefault="001C2B61" w:rsidP="001C2B61">
      <w:pPr>
        <w:spacing w:after="0" w:line="240" w:lineRule="auto"/>
        <w:jc w:val="both"/>
        <w:rPr>
          <w:rFonts w:ascii="Century Gothic" w:hAnsi="Century Gothic" w:cs="Arial"/>
          <w:b/>
          <w:bCs/>
          <w:sz w:val="16"/>
          <w:szCs w:val="16"/>
          <w:lang w:val="es-ES_tradnl" w:eastAsia="es-ES_tradnl"/>
        </w:rPr>
      </w:pPr>
      <w:r w:rsidRPr="001C2B61">
        <w:rPr>
          <w:rFonts w:ascii="Century Gothic" w:hAnsi="Century Gothic" w:cs="Arial"/>
          <w:b/>
          <w:bCs/>
          <w:sz w:val="16"/>
          <w:szCs w:val="16"/>
          <w:lang w:val="es-ES_tradnl" w:eastAsia="es-ES_tradnl"/>
        </w:rPr>
        <w:t xml:space="preserve"> </w:t>
      </w:r>
    </w:p>
    <w:p w14:paraId="5222780A" w14:textId="77777777" w:rsidR="001C2B61" w:rsidRPr="00016B1C" w:rsidRDefault="001C2B61" w:rsidP="00195A97">
      <w:pPr>
        <w:spacing w:after="160" w:line="360" w:lineRule="auto"/>
        <w:jc w:val="center"/>
        <w:rPr>
          <w:rFonts w:ascii="Century Gothic" w:eastAsia="Calibri" w:hAnsi="Century Gothic"/>
          <w:b/>
          <w:bCs/>
          <w:sz w:val="16"/>
          <w:szCs w:val="16"/>
          <w:lang w:eastAsia="en-US"/>
        </w:rPr>
      </w:pPr>
    </w:p>
    <w:p w14:paraId="13DE2884" w14:textId="6BCF0190" w:rsid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Artículo Primero.</w:t>
      </w:r>
      <w:r w:rsidRPr="00EE06FC">
        <w:rPr>
          <w:rFonts w:ascii="Century Gothic" w:eastAsia="Calibri" w:hAnsi="Century Gothic"/>
          <w:sz w:val="24"/>
          <w:szCs w:val="24"/>
          <w:lang w:eastAsia="en-US"/>
        </w:rPr>
        <w:t xml:space="preserve"> </w:t>
      </w:r>
      <w:r w:rsidRPr="00EE06FC">
        <w:rPr>
          <w:rFonts w:ascii="Century Gothic" w:eastAsia="Calibri" w:hAnsi="Century Gothic"/>
          <w:b/>
          <w:sz w:val="24"/>
          <w:szCs w:val="24"/>
          <w:lang w:eastAsia="en-US"/>
        </w:rPr>
        <w:t>Autorización del financiamiento conforme a los requisitos constitucionales</w:t>
      </w:r>
      <w:r>
        <w:rPr>
          <w:rFonts w:ascii="Century Gothic" w:eastAsia="Calibri" w:hAnsi="Century Gothic"/>
          <w:b/>
          <w:sz w:val="24"/>
          <w:szCs w:val="24"/>
          <w:lang w:eastAsia="en-US"/>
        </w:rPr>
        <w:t>.</w:t>
      </w:r>
    </w:p>
    <w:p w14:paraId="7F7BE958" w14:textId="77777777" w:rsidR="00EE06FC" w:rsidRPr="00CE5B35" w:rsidRDefault="00EE06FC" w:rsidP="00EE06FC">
      <w:pPr>
        <w:spacing w:after="160" w:line="360" w:lineRule="auto"/>
        <w:jc w:val="both"/>
        <w:rPr>
          <w:rFonts w:ascii="Century Gothic" w:eastAsia="Calibri" w:hAnsi="Century Gothic"/>
          <w:b/>
          <w:sz w:val="12"/>
          <w:szCs w:val="12"/>
          <w:lang w:eastAsia="en-US"/>
        </w:rPr>
      </w:pPr>
    </w:p>
    <w:p w14:paraId="3CCB2883" w14:textId="77777777" w:rsid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El Congreso del Estado Libre y Soberano de Chihuahua, una vez realizado el previo análisis del destino y la capacidad de pago del Estado de Chihuahua, así como el Techo de Financiamiento Neto que le corresponde al Estado de Chihuahua y los recursos que fungirán como fuente de pago de dicho financiamiento, y con la votación calificada de dos terceras partes de los miembros presentes de esta Soberanía, autoriza al Poder Ejecutivo del Estado a realizar las operaciones de financiamiento que expresamente se establecen en este Decreto, hasta por los montos y conforme a los destinos, términos y condiciones previstos en el mismo.</w:t>
      </w:r>
    </w:p>
    <w:p w14:paraId="4FB3D4DF" w14:textId="77777777" w:rsidR="00EE06FC" w:rsidRPr="00BC0B26" w:rsidRDefault="00EE06FC" w:rsidP="00EE06FC">
      <w:pPr>
        <w:spacing w:after="160" w:line="360" w:lineRule="auto"/>
        <w:jc w:val="both"/>
        <w:rPr>
          <w:rFonts w:ascii="Century Gothic" w:eastAsia="Calibri" w:hAnsi="Century Gothic"/>
          <w:sz w:val="16"/>
          <w:szCs w:val="16"/>
          <w:lang w:eastAsia="en-US"/>
        </w:rPr>
      </w:pPr>
    </w:p>
    <w:p w14:paraId="596CD6AA"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lastRenderedPageBreak/>
        <w:t>En consecuencia, el Estado de Chihuahua, a través del Poder Ejecutivo Estatal, y por conducto de la Secretaría de Hacienda, en los términos y condiciones previstos en este Decreto, y hasta por los montos establecidos en cada uno de los siguientes artículos, podrán contratar financiamiento en una o varias etapas, según corresponda, para llevar a cabo las operaciones a que se refieren dichos artículos.</w:t>
      </w:r>
    </w:p>
    <w:p w14:paraId="3F74206F" w14:textId="77777777" w:rsidR="00EE06FC" w:rsidRPr="00BC0B26" w:rsidRDefault="00EE06FC" w:rsidP="00EE06FC">
      <w:pPr>
        <w:spacing w:after="160" w:line="360" w:lineRule="auto"/>
        <w:jc w:val="both"/>
        <w:rPr>
          <w:rFonts w:ascii="Century Gothic" w:eastAsia="Calibri" w:hAnsi="Century Gothic"/>
          <w:sz w:val="16"/>
          <w:szCs w:val="16"/>
          <w:lang w:eastAsia="en-US"/>
        </w:rPr>
      </w:pPr>
    </w:p>
    <w:p w14:paraId="650D12A5" w14:textId="77777777" w:rsidR="00EE06FC" w:rsidRP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Artículo Segundo. Financiamiento para Inversión Público Productiva (el “Financiamiento IPP”).</w:t>
      </w:r>
    </w:p>
    <w:p w14:paraId="4191395B" w14:textId="77777777" w:rsidR="00EE06FC" w:rsidRPr="006628B4" w:rsidRDefault="00EE06FC" w:rsidP="00EE06FC">
      <w:pPr>
        <w:spacing w:after="160" w:line="360" w:lineRule="auto"/>
        <w:jc w:val="both"/>
        <w:rPr>
          <w:rFonts w:ascii="Century Gothic" w:eastAsia="Calibri" w:hAnsi="Century Gothic"/>
          <w:sz w:val="16"/>
          <w:szCs w:val="16"/>
          <w:lang w:eastAsia="en-US"/>
        </w:rPr>
      </w:pPr>
    </w:p>
    <w:p w14:paraId="6F018EA3" w14:textId="1635DC43"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2.1.</w:t>
      </w:r>
      <w:r w:rsidRPr="00EE06FC">
        <w:rPr>
          <w:rFonts w:ascii="Century Gothic" w:eastAsia="Calibri" w:hAnsi="Century Gothic"/>
          <w:sz w:val="24"/>
          <w:szCs w:val="24"/>
          <w:lang w:eastAsia="en-US"/>
        </w:rPr>
        <w:tab/>
      </w:r>
      <w:r w:rsidRPr="00EE06FC">
        <w:rPr>
          <w:rFonts w:ascii="Century Gothic" w:eastAsia="Calibri" w:hAnsi="Century Gothic"/>
          <w:sz w:val="24"/>
          <w:szCs w:val="24"/>
          <w:u w:val="single"/>
          <w:lang w:eastAsia="en-US"/>
        </w:rPr>
        <w:t>Autorización.</w:t>
      </w:r>
      <w:r w:rsidRPr="00EE06FC">
        <w:rPr>
          <w:rFonts w:ascii="Century Gothic" w:eastAsia="Calibri" w:hAnsi="Century Gothic"/>
          <w:sz w:val="24"/>
          <w:szCs w:val="24"/>
          <w:lang w:eastAsia="en-US"/>
        </w:rPr>
        <w:t xml:space="preserve"> Se autoriza al Estado, para que</w:t>
      </w:r>
      <w:r w:rsidR="003A1969">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por conducto de la Secretaría de Hacienda, y conforme a los términos y condiciones previstos en el presente Decreto, realice las gestiones administrativas y financieras necesarias para contratar, con cualquier institución integrante del sistema financiero mexicano y bajo las mejores condiciones de mercado, uno o varios financiam</w:t>
      </w:r>
      <w:r>
        <w:rPr>
          <w:rFonts w:ascii="Century Gothic" w:eastAsia="Calibri" w:hAnsi="Century Gothic"/>
          <w:sz w:val="24"/>
          <w:szCs w:val="24"/>
          <w:lang w:eastAsia="en-US"/>
        </w:rPr>
        <w:t xml:space="preserve">ientos por la cantidad de hasta </w:t>
      </w:r>
      <w:r w:rsidRPr="00EE06FC">
        <w:rPr>
          <w:rFonts w:ascii="Century Gothic" w:eastAsia="Calibri" w:hAnsi="Century Gothic"/>
          <w:sz w:val="24"/>
          <w:szCs w:val="24"/>
          <w:lang w:eastAsia="en-US"/>
        </w:rPr>
        <w:t>$3,000,000,000.00 (Tres mil millones de pesos 00/100 Moneda Nacional), más los recursos necesarios para cubrir los costos y gastos relacionados con su implementación y más fondos de reserva, de conformidad con lo previ</w:t>
      </w:r>
      <w:r>
        <w:rPr>
          <w:rFonts w:ascii="Century Gothic" w:eastAsia="Calibri" w:hAnsi="Century Gothic"/>
          <w:sz w:val="24"/>
          <w:szCs w:val="24"/>
          <w:lang w:eastAsia="en-US"/>
        </w:rPr>
        <w:t xml:space="preserve">sto más adelante en la presente </w:t>
      </w:r>
      <w:r w:rsidRPr="00EE06FC">
        <w:rPr>
          <w:rFonts w:ascii="Century Gothic" w:eastAsia="Calibri" w:hAnsi="Century Gothic"/>
          <w:sz w:val="24"/>
          <w:szCs w:val="24"/>
          <w:lang w:eastAsia="en-US"/>
        </w:rPr>
        <w:t xml:space="preserve">autorización. El Financiamiento IPP, de conformidad con lo previsto en el presente Decreto, tendrá como fuente de pago un porcentaje </w:t>
      </w:r>
      <w:r w:rsidRPr="00EE06FC">
        <w:rPr>
          <w:rFonts w:ascii="Century Gothic" w:eastAsia="Calibri" w:hAnsi="Century Gothic"/>
          <w:sz w:val="24"/>
          <w:szCs w:val="24"/>
          <w:lang w:eastAsia="en-US"/>
        </w:rPr>
        <w:lastRenderedPageBreak/>
        <w:t>suficiente y necesario de los derechos y los ingresos derivados de los mismos, que le corresponden al Estado del Fondo General de Participaciones referido en la Ley de Coordinación Fiscal.</w:t>
      </w:r>
    </w:p>
    <w:p w14:paraId="29C9FEA0" w14:textId="77777777" w:rsidR="00EE06FC" w:rsidRPr="00CE5B35" w:rsidRDefault="00EE06FC" w:rsidP="00EE06FC">
      <w:pPr>
        <w:spacing w:after="160" w:line="360" w:lineRule="auto"/>
        <w:jc w:val="both"/>
        <w:rPr>
          <w:rFonts w:ascii="Century Gothic" w:eastAsia="Calibri" w:hAnsi="Century Gothic"/>
          <w:sz w:val="12"/>
          <w:szCs w:val="12"/>
          <w:lang w:eastAsia="en-US"/>
        </w:rPr>
      </w:pPr>
    </w:p>
    <w:p w14:paraId="4539F9E5"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El importe del Financiamiento IPP no comprende intereses, comisiones, ni demás accesorios financieros y legales que deriven del mismo.</w:t>
      </w:r>
    </w:p>
    <w:p w14:paraId="5C34A1C1" w14:textId="77777777" w:rsidR="00EE06FC" w:rsidRPr="00CE5B35" w:rsidRDefault="00EE06FC" w:rsidP="00EE06FC">
      <w:pPr>
        <w:spacing w:after="160" w:line="360" w:lineRule="auto"/>
        <w:jc w:val="both"/>
        <w:rPr>
          <w:rFonts w:ascii="Century Gothic" w:eastAsia="Calibri" w:hAnsi="Century Gothic"/>
          <w:sz w:val="12"/>
          <w:szCs w:val="12"/>
          <w:lang w:eastAsia="en-US"/>
        </w:rPr>
      </w:pPr>
    </w:p>
    <w:p w14:paraId="6A2E419A"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La autorización anterior se otorga previo análisis de la capacidad de pago del Estado, el destino de los recursos derivados del Financiamiento IPP y los recursos que fungirán como fuente de pago de los contratos a través de los cuales se implemente dicho Financiamiento IPP.</w:t>
      </w:r>
    </w:p>
    <w:p w14:paraId="0B979EA5" w14:textId="77777777" w:rsidR="00EE06FC" w:rsidRPr="007317F9" w:rsidRDefault="00EE06FC" w:rsidP="00EE06FC">
      <w:pPr>
        <w:spacing w:after="160" w:line="360" w:lineRule="auto"/>
        <w:jc w:val="both"/>
        <w:rPr>
          <w:rFonts w:ascii="Century Gothic" w:eastAsia="Calibri" w:hAnsi="Century Gothic"/>
          <w:sz w:val="16"/>
          <w:szCs w:val="16"/>
          <w:lang w:eastAsia="en-US"/>
        </w:rPr>
      </w:pPr>
    </w:p>
    <w:p w14:paraId="52ADD06B" w14:textId="29F1DC01"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2.2.</w:t>
      </w:r>
      <w:r w:rsidRPr="00EE06FC">
        <w:rPr>
          <w:rFonts w:ascii="Century Gothic" w:eastAsia="Calibri" w:hAnsi="Century Gothic"/>
          <w:b/>
          <w:sz w:val="24"/>
          <w:szCs w:val="24"/>
          <w:lang w:eastAsia="en-US"/>
        </w:rPr>
        <w:tab/>
      </w:r>
      <w:r w:rsidRPr="00EE06FC">
        <w:rPr>
          <w:rFonts w:ascii="Century Gothic" w:eastAsia="Calibri" w:hAnsi="Century Gothic"/>
          <w:sz w:val="24"/>
          <w:szCs w:val="24"/>
          <w:u w:val="single"/>
          <w:lang w:eastAsia="en-US"/>
        </w:rPr>
        <w:t>Destino.</w:t>
      </w:r>
      <w:r w:rsidRPr="00EE06FC">
        <w:rPr>
          <w:rFonts w:ascii="Century Gothic" w:eastAsia="Calibri" w:hAnsi="Century Gothic"/>
          <w:sz w:val="24"/>
          <w:szCs w:val="24"/>
          <w:lang w:eastAsia="en-US"/>
        </w:rPr>
        <w:t xml:space="preserve"> De conformidad con lo previsto por los artículos 117, fracción VIII, de la Constitución Política de los Estados Unidos Mexicanos; 2, fracción XXV y 22, primer párrafo de la Ley de Disciplina Financiera de las Entidades Federativas y los Municipios, y 9</w:t>
      </w:r>
      <w:r w:rsidR="003A1969">
        <w:rPr>
          <w:rFonts w:ascii="Century Gothic" w:eastAsia="Calibri" w:hAnsi="Century Gothic"/>
          <w:sz w:val="24"/>
          <w:szCs w:val="24"/>
          <w:lang w:eastAsia="en-US"/>
        </w:rPr>
        <w:t>º</w:t>
      </w:r>
      <w:r w:rsidRPr="00EE06FC">
        <w:rPr>
          <w:rFonts w:ascii="Century Gothic" w:eastAsia="Calibri" w:hAnsi="Century Gothic"/>
          <w:sz w:val="24"/>
          <w:szCs w:val="24"/>
          <w:lang w:eastAsia="en-US"/>
        </w:rPr>
        <w:t xml:space="preserve"> de la Ley de Coordinación Fiscal, los recursos derivados del Financiamiento IPP deberán ser destinados a financiar proyectos de inversión pública productiva destinados a la construcción, inversión público productiva destinados a la construcción, reconstrucción, ampliación y conservación de infraestructura física o, en reconstrucción, ampliación y conservación de infraestructura física o, en su </w:t>
      </w:r>
      <w:r w:rsidRPr="00EE06FC">
        <w:rPr>
          <w:rFonts w:ascii="Century Gothic" w:eastAsia="Calibri" w:hAnsi="Century Gothic"/>
          <w:sz w:val="24"/>
          <w:szCs w:val="24"/>
          <w:lang w:eastAsia="en-US"/>
        </w:rPr>
        <w:lastRenderedPageBreak/>
        <w:t>caso, inversión para la adquisición de bienes cuyo objeto sea el equipamiento de dicha infraestructura física, en los rubros descritos a equipamiento de dicha infraestructura física, en los rubros descritos a continuación:</w:t>
      </w:r>
    </w:p>
    <w:p w14:paraId="2E39FF43" w14:textId="77777777" w:rsidR="00EE06FC" w:rsidRPr="00EE06FC" w:rsidRDefault="00EE06FC" w:rsidP="005C42FD">
      <w:pPr>
        <w:spacing w:after="160" w:line="360" w:lineRule="auto"/>
        <w:ind w:left="567" w:hanging="567"/>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a)</w:t>
      </w:r>
      <w:r w:rsidRPr="00EE06FC">
        <w:rPr>
          <w:rFonts w:ascii="Century Gothic" w:eastAsia="Calibri" w:hAnsi="Century Gothic"/>
          <w:b/>
          <w:sz w:val="24"/>
          <w:szCs w:val="24"/>
          <w:lang w:eastAsia="en-US"/>
        </w:rPr>
        <w:tab/>
        <w:t>Construcción de obras para el abastecimiento de agua, gas, electricidad y telecomunicaciones.</w:t>
      </w:r>
    </w:p>
    <w:p w14:paraId="320F2F2A" w14:textId="77777777" w:rsidR="00EE06FC" w:rsidRP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b)</w:t>
      </w:r>
      <w:r w:rsidRPr="00EE06FC">
        <w:rPr>
          <w:rFonts w:ascii="Century Gothic" w:eastAsia="Calibri" w:hAnsi="Century Gothic"/>
          <w:b/>
          <w:sz w:val="24"/>
          <w:szCs w:val="24"/>
          <w:lang w:eastAsia="en-US"/>
        </w:rPr>
        <w:tab/>
        <w:t>Construcción de vías de comunicación.</w:t>
      </w:r>
    </w:p>
    <w:p w14:paraId="5D38FEB9" w14:textId="77777777" w:rsidR="00EE06FC" w:rsidRP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c)</w:t>
      </w:r>
      <w:r w:rsidRPr="00EE06FC">
        <w:rPr>
          <w:rFonts w:ascii="Century Gothic" w:eastAsia="Calibri" w:hAnsi="Century Gothic"/>
          <w:b/>
          <w:sz w:val="24"/>
          <w:szCs w:val="24"/>
          <w:lang w:eastAsia="en-US"/>
        </w:rPr>
        <w:tab/>
        <w:t>División de terrenos y construcción de obras de urbanización.</w:t>
      </w:r>
    </w:p>
    <w:p w14:paraId="45455A25" w14:textId="3A9B7107" w:rsidR="00EE06FC" w:rsidRP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d)</w:t>
      </w:r>
      <w:r w:rsidRPr="00EE06FC">
        <w:rPr>
          <w:rFonts w:ascii="Century Gothic" w:eastAsia="Calibri" w:hAnsi="Century Gothic"/>
          <w:b/>
          <w:sz w:val="24"/>
          <w:szCs w:val="24"/>
          <w:lang w:eastAsia="en-US"/>
        </w:rPr>
        <w:tab/>
        <w:t>Edificación no habitacional.</w:t>
      </w:r>
    </w:p>
    <w:p w14:paraId="68147D8D" w14:textId="77777777" w:rsidR="00EE06FC" w:rsidRP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e)</w:t>
      </w:r>
      <w:r w:rsidRPr="00EE06FC">
        <w:rPr>
          <w:rFonts w:ascii="Century Gothic" w:eastAsia="Calibri" w:hAnsi="Century Gothic"/>
          <w:b/>
          <w:sz w:val="24"/>
          <w:szCs w:val="24"/>
          <w:lang w:eastAsia="en-US"/>
        </w:rPr>
        <w:tab/>
        <w:t>Instalación y equipamiento en construcciones.</w:t>
      </w:r>
    </w:p>
    <w:p w14:paraId="2055A577" w14:textId="77777777" w:rsidR="00EE06FC" w:rsidRP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f)</w:t>
      </w:r>
      <w:r w:rsidRPr="00EE06FC">
        <w:rPr>
          <w:rFonts w:ascii="Century Gothic" w:eastAsia="Calibri" w:hAnsi="Century Gothic"/>
          <w:b/>
          <w:sz w:val="24"/>
          <w:szCs w:val="24"/>
          <w:lang w:eastAsia="en-US"/>
        </w:rPr>
        <w:tab/>
        <w:t>Equipos de generación eléctrica, aparatos y accesorios eléctricos.</w:t>
      </w:r>
    </w:p>
    <w:p w14:paraId="5690C63E" w14:textId="77777777" w:rsidR="00EE06FC" w:rsidRP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g)</w:t>
      </w:r>
      <w:r w:rsidRPr="00EE06FC">
        <w:rPr>
          <w:rFonts w:ascii="Century Gothic" w:eastAsia="Calibri" w:hAnsi="Century Gothic"/>
          <w:b/>
          <w:sz w:val="24"/>
          <w:szCs w:val="24"/>
          <w:lang w:eastAsia="en-US"/>
        </w:rPr>
        <w:tab/>
        <w:t>Infraestructura y equipamiento en seguridad pública y de justicia</w:t>
      </w:r>
    </w:p>
    <w:p w14:paraId="53877B38" w14:textId="77777777" w:rsidR="00EE06FC" w:rsidRP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h)</w:t>
      </w:r>
      <w:r w:rsidRPr="00EE06FC">
        <w:rPr>
          <w:rFonts w:ascii="Century Gothic" w:eastAsia="Calibri" w:hAnsi="Century Gothic"/>
          <w:b/>
          <w:sz w:val="24"/>
          <w:szCs w:val="24"/>
          <w:lang w:eastAsia="en-US"/>
        </w:rPr>
        <w:tab/>
        <w:t>Infraestructura y equipamiento en el sector salud.</w:t>
      </w:r>
    </w:p>
    <w:p w14:paraId="78B81B0C" w14:textId="71C81302" w:rsidR="00EE06FC" w:rsidRPr="00EE06FC" w:rsidRDefault="00EE06FC" w:rsidP="005C42FD">
      <w:pPr>
        <w:spacing w:after="160" w:line="360" w:lineRule="auto"/>
        <w:ind w:left="709" w:hanging="709"/>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i)</w:t>
      </w:r>
      <w:r w:rsidRPr="00EE06FC">
        <w:rPr>
          <w:rFonts w:ascii="Century Gothic" w:eastAsia="Calibri" w:hAnsi="Century Gothic"/>
          <w:b/>
          <w:sz w:val="24"/>
          <w:szCs w:val="24"/>
          <w:lang w:eastAsia="en-US"/>
        </w:rPr>
        <w:tab/>
        <w:t>Infraestructura y equipamiento para el desarrollo de actividades primarias, incluyendo, pero no limitando, pesca, agricultura y ganadería.</w:t>
      </w:r>
    </w:p>
    <w:p w14:paraId="6B0F5CF0" w14:textId="77777777" w:rsidR="00EE06FC" w:rsidRPr="00614C9E" w:rsidRDefault="00EE06FC" w:rsidP="00EE06FC">
      <w:pPr>
        <w:spacing w:after="160" w:line="360" w:lineRule="auto"/>
        <w:jc w:val="both"/>
        <w:rPr>
          <w:rFonts w:ascii="Century Gothic" w:eastAsia="Calibri" w:hAnsi="Century Gothic"/>
          <w:sz w:val="16"/>
          <w:szCs w:val="16"/>
          <w:lang w:eastAsia="en-US"/>
        </w:rPr>
      </w:pPr>
    </w:p>
    <w:p w14:paraId="476D5681"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lastRenderedPageBreak/>
        <w:t>El detalle de los proyectos de inversión público productiva a desarrollarse deberá estar descrito en los contratos a través de los cuales se implemente el Financiamiento IPP.</w:t>
      </w:r>
    </w:p>
    <w:p w14:paraId="489C5B52" w14:textId="77777777" w:rsidR="00EE06FC" w:rsidRPr="00CE5B35" w:rsidRDefault="00EE06FC" w:rsidP="00EE06FC">
      <w:pPr>
        <w:spacing w:after="160" w:line="360" w:lineRule="auto"/>
        <w:jc w:val="both"/>
        <w:rPr>
          <w:rFonts w:ascii="Century Gothic" w:eastAsia="Calibri" w:hAnsi="Century Gothic"/>
          <w:sz w:val="12"/>
          <w:szCs w:val="12"/>
          <w:lang w:eastAsia="en-US"/>
        </w:rPr>
      </w:pPr>
    </w:p>
    <w:p w14:paraId="31682511"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Asimismo, en términos del artículo 22 de la Ley de Disciplina Financiera de las Entidades Federativas y los Municipios y del artículo 27 del Reglamento del Registro Público Único de Financiamientos y Obligaciones de Entidades Federativas y Municipios, podrá destinarse a la constitución de fondos de reserva y al pago de gastos y costos relacionados con la contratación del Financiamiento IPP.</w:t>
      </w:r>
    </w:p>
    <w:p w14:paraId="0362D392" w14:textId="77777777" w:rsidR="00EE06FC" w:rsidRPr="00CE5B35" w:rsidRDefault="00EE06FC" w:rsidP="00EE06FC">
      <w:pPr>
        <w:spacing w:after="160" w:line="360" w:lineRule="auto"/>
        <w:jc w:val="both"/>
        <w:rPr>
          <w:rFonts w:ascii="Century Gothic" w:eastAsia="Calibri" w:hAnsi="Century Gothic"/>
          <w:sz w:val="12"/>
          <w:szCs w:val="12"/>
          <w:lang w:eastAsia="en-US"/>
        </w:rPr>
      </w:pPr>
    </w:p>
    <w:p w14:paraId="015B4C14" w14:textId="378192FC"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2.3.</w:t>
      </w:r>
      <w:r w:rsidRPr="00EE06FC">
        <w:rPr>
          <w:rFonts w:ascii="Century Gothic" w:eastAsia="Calibri" w:hAnsi="Century Gothic"/>
          <w:sz w:val="24"/>
          <w:szCs w:val="24"/>
          <w:lang w:eastAsia="en-US"/>
        </w:rPr>
        <w:tab/>
      </w:r>
      <w:r w:rsidRPr="00EE06FC">
        <w:rPr>
          <w:rFonts w:ascii="Century Gothic" w:eastAsia="Calibri" w:hAnsi="Century Gothic"/>
          <w:sz w:val="24"/>
          <w:szCs w:val="24"/>
          <w:u w:val="single"/>
          <w:lang w:eastAsia="en-US"/>
        </w:rPr>
        <w:t>Fuente de pago.</w:t>
      </w:r>
      <w:r w:rsidRPr="00EE06FC">
        <w:rPr>
          <w:rFonts w:ascii="Century Gothic" w:eastAsia="Calibri" w:hAnsi="Century Gothic"/>
          <w:sz w:val="24"/>
          <w:szCs w:val="24"/>
          <w:lang w:eastAsia="en-US"/>
        </w:rPr>
        <w:t xml:space="preserve"> Se autoriza al Estado para afectar como fuente de pago de todas y cada una de las obligaciones que deriven del Financiamiento IPP, un porcentaje suficiente de los derechos e ingresos derivados de los mismos, que le corresponden al Estado del Fondo General de Participaciones a que hace referencia el artículo 9</w:t>
      </w:r>
      <w:r w:rsidR="005C42FD">
        <w:rPr>
          <w:rFonts w:ascii="Century Gothic" w:eastAsia="Calibri" w:hAnsi="Century Gothic"/>
          <w:sz w:val="24"/>
          <w:szCs w:val="24"/>
          <w:lang w:eastAsia="en-US"/>
        </w:rPr>
        <w:t>º</w:t>
      </w:r>
      <w:r w:rsidRPr="00EE06FC">
        <w:rPr>
          <w:rFonts w:ascii="Century Gothic" w:eastAsia="Calibri" w:hAnsi="Century Gothic"/>
          <w:sz w:val="24"/>
          <w:szCs w:val="24"/>
          <w:lang w:eastAsia="en-US"/>
        </w:rPr>
        <w:t xml:space="preserve"> de la Ley de Coordinación Fiscal, así como aquellos fondos que en su caso lo remplacen, sustituyan o complementen de tiempo en tiempo.</w:t>
      </w:r>
    </w:p>
    <w:p w14:paraId="26824C0C" w14:textId="77777777" w:rsidR="00EE06FC" w:rsidRPr="00CE5B35" w:rsidRDefault="00EE06FC" w:rsidP="00EE06FC">
      <w:pPr>
        <w:spacing w:after="160" w:line="360" w:lineRule="auto"/>
        <w:jc w:val="both"/>
        <w:rPr>
          <w:rFonts w:ascii="Century Gothic" w:eastAsia="Calibri" w:hAnsi="Century Gothic"/>
          <w:sz w:val="12"/>
          <w:szCs w:val="12"/>
          <w:lang w:eastAsia="en-US"/>
        </w:rPr>
      </w:pPr>
    </w:p>
    <w:p w14:paraId="3DD52A46" w14:textId="34FE9384"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El Estado deberá realizar las afectaciones anteriormente referidas, de manera irrevocable y hasta que sean totalmente liquidadas las obligaciones </w:t>
      </w:r>
      <w:r w:rsidRPr="00EE06FC">
        <w:rPr>
          <w:rFonts w:ascii="Century Gothic" w:eastAsia="Calibri" w:hAnsi="Century Gothic"/>
          <w:sz w:val="24"/>
          <w:szCs w:val="24"/>
          <w:lang w:eastAsia="en-US"/>
        </w:rPr>
        <w:lastRenderedPageBreak/>
        <w:t>que deriven del Financiamiento IPP contratado al amparo del presente Decreto. Dicha afectación permanecerá vigente</w:t>
      </w:r>
      <w:r>
        <w:rPr>
          <w:rFonts w:ascii="Century Gothic" w:eastAsia="Calibri" w:hAnsi="Century Gothic"/>
          <w:sz w:val="24"/>
          <w:szCs w:val="24"/>
          <w:lang w:eastAsia="en-US"/>
        </w:rPr>
        <w:t xml:space="preserve"> </w:t>
      </w:r>
      <w:r w:rsidRPr="00EE06FC">
        <w:rPr>
          <w:rFonts w:ascii="Century Gothic" w:eastAsia="Calibri" w:hAnsi="Century Gothic"/>
          <w:sz w:val="24"/>
          <w:szCs w:val="24"/>
          <w:lang w:eastAsia="en-US"/>
        </w:rPr>
        <w:t>en tanto existan obligaciones pendientes de pago y a cargo del Estado, derivadas del Financiamiento IPP.</w:t>
      </w:r>
    </w:p>
    <w:p w14:paraId="35C38E8E" w14:textId="77777777" w:rsidR="00EE06FC" w:rsidRPr="00CE5B35" w:rsidRDefault="00EE06FC" w:rsidP="00EE06FC">
      <w:pPr>
        <w:spacing w:after="160" w:line="360" w:lineRule="auto"/>
        <w:jc w:val="both"/>
        <w:rPr>
          <w:rFonts w:ascii="Century Gothic" w:eastAsia="Calibri" w:hAnsi="Century Gothic"/>
          <w:sz w:val="12"/>
          <w:szCs w:val="12"/>
          <w:lang w:eastAsia="en-US"/>
        </w:rPr>
      </w:pPr>
    </w:p>
    <w:p w14:paraId="2A40B03C"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El Estado deberá notificar a la Secretaría de Hacienda y Crédito Público, así como a cualquier otra autoridad que resulte competente, respecto de la afectación de las participaciones del Fondo General del Participaciones autorizada en el presente Decreto, instruyéndola irrevocablemente para efectos de que, en cada ministración, entrega, anticipo, ajuste o entero, abonen los flujos respectivos en el o los fideicomisos de garantía y/o fuente de pago que para tales efectos constituya, o modifique el Estado, de conformidad con lo previsto en el presente Decreto, y hasta por el plazo necesario para liquidar totalmente las obligaciones que deriven del Financiamiento IPP contratado al amparo del presente Decreto.</w:t>
      </w:r>
    </w:p>
    <w:p w14:paraId="0EB5AEB0" w14:textId="77777777" w:rsidR="00EE06FC" w:rsidRPr="00614C9E" w:rsidRDefault="00EE06FC" w:rsidP="00EE06FC">
      <w:pPr>
        <w:spacing w:after="160" w:line="360" w:lineRule="auto"/>
        <w:jc w:val="both"/>
        <w:rPr>
          <w:rFonts w:ascii="Century Gothic" w:eastAsia="Calibri" w:hAnsi="Century Gothic"/>
          <w:sz w:val="16"/>
          <w:szCs w:val="16"/>
          <w:lang w:eastAsia="en-US"/>
        </w:rPr>
      </w:pPr>
    </w:p>
    <w:p w14:paraId="6AFB54F3"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Asimismo, el Estado, a través del Poder Ejecutivo, y por conducto de la Secretaría de Hacienda, realizará las gestiones necesarias para que el porcentaje afectado de las participaciones del Fondo General de Participaciones ingresen al o los fideicomisos de fuente de pago que para tales efectos constituya o modifique el Estado de conformidad con el </w:t>
      </w:r>
      <w:r w:rsidRPr="00EE06FC">
        <w:rPr>
          <w:rFonts w:ascii="Century Gothic" w:eastAsia="Calibri" w:hAnsi="Century Gothic"/>
          <w:sz w:val="24"/>
          <w:szCs w:val="24"/>
          <w:lang w:eastAsia="en-US"/>
        </w:rPr>
        <w:lastRenderedPageBreak/>
        <w:t>presente Decreto, con la finalidad de que el fiduciario que administre los mismos, tenga el control necesario sobre los recursos para el pago de las obligaciones que deriven del Financiamiento IPP.</w:t>
      </w:r>
    </w:p>
    <w:p w14:paraId="46F6E543" w14:textId="77777777" w:rsidR="00EE06FC" w:rsidRPr="00071E18" w:rsidRDefault="00EE06FC" w:rsidP="00EE06FC">
      <w:pPr>
        <w:spacing w:after="160" w:line="360" w:lineRule="auto"/>
        <w:jc w:val="both"/>
        <w:rPr>
          <w:rFonts w:ascii="Century Gothic" w:eastAsia="Calibri" w:hAnsi="Century Gothic"/>
          <w:sz w:val="12"/>
          <w:szCs w:val="12"/>
          <w:lang w:eastAsia="en-US"/>
        </w:rPr>
      </w:pPr>
    </w:p>
    <w:p w14:paraId="34B6B9E6" w14:textId="07267E83"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Con independencia del vehículo al que se afecten las participaciones del Fondo General de Participaciones que funjan como fuente de pago del Financiamiento IPP, su afectación:</w:t>
      </w:r>
      <w:r>
        <w:rPr>
          <w:rFonts w:ascii="Century Gothic" w:eastAsia="Calibri" w:hAnsi="Century Gothic"/>
          <w:sz w:val="24"/>
          <w:szCs w:val="24"/>
          <w:lang w:eastAsia="en-US"/>
        </w:rPr>
        <w:t xml:space="preserve"> </w:t>
      </w:r>
      <w:r w:rsidRPr="00EE06FC">
        <w:rPr>
          <w:rFonts w:ascii="Century Gothic" w:eastAsia="Calibri" w:hAnsi="Century Gothic"/>
          <w:sz w:val="24"/>
          <w:szCs w:val="24"/>
          <w:lang w:eastAsia="en-US"/>
        </w:rPr>
        <w:t>(i) no podrá ser revocada o revertida sin el consentimiento previo, expreso y por escrito de las instituciones financieras mexicanas que hubieren otorgado los financiamientos a través de los cuales se implemente el Financiamiento IPP; y (ii) se considerará válida y vigente, independientemente de que se modifique su denominación o se sustituya por uno o varios nuevos conceptos que se refieran a situaciones jurídicas o de hecho iguales o similares, a las que dan origen a las participaciones federales del Fondo General de Participaciones.</w:t>
      </w:r>
    </w:p>
    <w:p w14:paraId="6106730F" w14:textId="77777777" w:rsidR="00EE06FC" w:rsidRPr="00614C9E" w:rsidRDefault="00EE06FC" w:rsidP="00EE06FC">
      <w:pPr>
        <w:spacing w:after="160" w:line="360" w:lineRule="auto"/>
        <w:jc w:val="both"/>
        <w:rPr>
          <w:rFonts w:ascii="Century Gothic" w:eastAsia="Calibri" w:hAnsi="Century Gothic"/>
          <w:sz w:val="16"/>
          <w:szCs w:val="16"/>
          <w:lang w:eastAsia="en-US"/>
        </w:rPr>
      </w:pPr>
      <w:r w:rsidRPr="00EE06FC">
        <w:rPr>
          <w:rFonts w:ascii="Century Gothic" w:eastAsia="Calibri" w:hAnsi="Century Gothic"/>
          <w:sz w:val="24"/>
          <w:szCs w:val="24"/>
          <w:lang w:eastAsia="en-US"/>
        </w:rPr>
        <w:t xml:space="preserve"> </w:t>
      </w:r>
    </w:p>
    <w:p w14:paraId="4F7903BB"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2.4.</w:t>
      </w:r>
      <w:r w:rsidRPr="00EE06FC">
        <w:rPr>
          <w:rFonts w:ascii="Century Gothic" w:eastAsia="Calibri" w:hAnsi="Century Gothic"/>
          <w:sz w:val="24"/>
          <w:szCs w:val="24"/>
          <w:lang w:eastAsia="en-US"/>
        </w:rPr>
        <w:tab/>
      </w:r>
      <w:r w:rsidRPr="00EE06FC">
        <w:rPr>
          <w:rFonts w:ascii="Century Gothic" w:eastAsia="Calibri" w:hAnsi="Century Gothic"/>
          <w:sz w:val="24"/>
          <w:szCs w:val="24"/>
          <w:u w:val="single"/>
          <w:lang w:eastAsia="en-US"/>
        </w:rPr>
        <w:t>Mecanismo de Administración y Fuente de Pago</w:t>
      </w:r>
      <w:r w:rsidRPr="00EE06FC">
        <w:rPr>
          <w:rFonts w:ascii="Century Gothic" w:eastAsia="Calibri" w:hAnsi="Century Gothic"/>
          <w:sz w:val="24"/>
          <w:szCs w:val="24"/>
          <w:lang w:eastAsia="en-US"/>
        </w:rPr>
        <w:t xml:space="preserve">. Se autoriza al Estado para constituir o modificar, por conducto de la Secretaría de Hacienda, el o los mecanismos de administración, fuente de pago y/o garantía, o cualquier otro acto jurídico análogo, que considere necesario para cumplir con las obligaciones a su cargo que deriven de los contratos a través de los cuales se implemente el Financiamiento IPP, incluyendo, de manera enunciativa, </w:t>
      </w:r>
      <w:r w:rsidRPr="00EE06FC">
        <w:rPr>
          <w:rFonts w:ascii="Century Gothic" w:eastAsia="Calibri" w:hAnsi="Century Gothic"/>
          <w:sz w:val="24"/>
          <w:szCs w:val="24"/>
          <w:lang w:eastAsia="en-US"/>
        </w:rPr>
        <w:lastRenderedPageBreak/>
        <w:t>mas no limitativa, fideicomisos irrevocables de administración, garantía y/o fuente de pago; a los que podrá afectar irrevocablemente las participaciones federales del Fondo General de Participaciones como fuente de pago y que deberán tener entre sus fines servir como mecanismo de garantía y/o fuente de pago de las obligaciones a cargo del Estado que deriven de dichos contratos a través de los cuales se implemente el Financiamiento IPP.</w:t>
      </w:r>
    </w:p>
    <w:p w14:paraId="7090EB62" w14:textId="77777777" w:rsidR="00EE06FC" w:rsidRPr="00614C9E" w:rsidRDefault="00EE06FC" w:rsidP="00EE06FC">
      <w:pPr>
        <w:spacing w:after="160" w:line="360" w:lineRule="auto"/>
        <w:jc w:val="both"/>
        <w:rPr>
          <w:rFonts w:ascii="Century Gothic" w:eastAsia="Calibri" w:hAnsi="Century Gothic"/>
          <w:sz w:val="16"/>
          <w:szCs w:val="16"/>
          <w:lang w:eastAsia="en-US"/>
        </w:rPr>
      </w:pPr>
    </w:p>
    <w:p w14:paraId="02A2EF43" w14:textId="2CE4C088"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Los fideicomisos de administración y fuente de pago no serán considerados</w:t>
      </w:r>
      <w:r w:rsidR="005C42FD">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en ningún caso</w:t>
      </w:r>
      <w:r w:rsidR="005C42FD">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como parte de la administración pública paraestatal, en el entendido que su supervisión y control estarán sujetos a lo dispuesto en las disposiciones legales aplicables.</w:t>
      </w:r>
    </w:p>
    <w:p w14:paraId="3FC19D1B" w14:textId="77777777" w:rsidR="00EE06FC" w:rsidRPr="00614C9E" w:rsidRDefault="00EE06FC" w:rsidP="00EE06FC">
      <w:pPr>
        <w:spacing w:after="160" w:line="360" w:lineRule="auto"/>
        <w:jc w:val="both"/>
        <w:rPr>
          <w:rFonts w:ascii="Century Gothic" w:eastAsia="Calibri" w:hAnsi="Century Gothic"/>
          <w:sz w:val="16"/>
          <w:szCs w:val="16"/>
          <w:lang w:eastAsia="en-US"/>
        </w:rPr>
      </w:pPr>
    </w:p>
    <w:p w14:paraId="01B4DE65"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Asimismo, dichos fideicomisos serán irrevocables y, por lo tanto, solo podrán ser terminados de conformidad con lo que expresamente se pacte en el o los mismos.</w:t>
      </w:r>
    </w:p>
    <w:p w14:paraId="12C47B0C" w14:textId="77777777" w:rsidR="00EE06FC" w:rsidRPr="00614C9E" w:rsidRDefault="00EE06FC" w:rsidP="00EE06FC">
      <w:pPr>
        <w:spacing w:after="160" w:line="360" w:lineRule="auto"/>
        <w:jc w:val="both"/>
        <w:rPr>
          <w:rFonts w:ascii="Century Gothic" w:eastAsia="Calibri" w:hAnsi="Century Gothic"/>
          <w:sz w:val="16"/>
          <w:szCs w:val="16"/>
          <w:lang w:eastAsia="en-US"/>
        </w:rPr>
      </w:pPr>
    </w:p>
    <w:p w14:paraId="16B1313D"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Dicho o dichos fideicomisos atenderán los requerimientos de información que le formulen los entes fiscalizadores, para lo cual tendrán la obligación de transparentar y rendir cuentas sobre el manejo de los recursos que se </w:t>
      </w:r>
      <w:r w:rsidRPr="00EE06FC">
        <w:rPr>
          <w:rFonts w:ascii="Century Gothic" w:eastAsia="Calibri" w:hAnsi="Century Gothic"/>
          <w:sz w:val="24"/>
          <w:szCs w:val="24"/>
          <w:lang w:eastAsia="en-US"/>
        </w:rPr>
        <w:lastRenderedPageBreak/>
        <w:t>hubieran aportado y a proporcionar los informes que permitan su vigilancia y fiscalización.</w:t>
      </w:r>
    </w:p>
    <w:p w14:paraId="26BAAC48" w14:textId="77777777" w:rsidR="00EE06FC" w:rsidRPr="00614C9E" w:rsidRDefault="00EE06FC" w:rsidP="00EE06FC">
      <w:pPr>
        <w:spacing w:after="160" w:line="360" w:lineRule="auto"/>
        <w:jc w:val="both"/>
        <w:rPr>
          <w:rFonts w:ascii="Century Gothic" w:eastAsia="Calibri" w:hAnsi="Century Gothic"/>
          <w:sz w:val="16"/>
          <w:szCs w:val="16"/>
          <w:lang w:eastAsia="en-US"/>
        </w:rPr>
      </w:pPr>
    </w:p>
    <w:p w14:paraId="627005B2"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2.5.</w:t>
      </w:r>
      <w:r w:rsidRPr="00EE06FC">
        <w:rPr>
          <w:rFonts w:ascii="Century Gothic" w:eastAsia="Calibri" w:hAnsi="Century Gothic"/>
          <w:b/>
          <w:sz w:val="24"/>
          <w:szCs w:val="24"/>
          <w:lang w:eastAsia="en-US"/>
        </w:rPr>
        <w:tab/>
      </w:r>
      <w:r w:rsidRPr="00EE06FC">
        <w:rPr>
          <w:rFonts w:ascii="Century Gothic" w:eastAsia="Calibri" w:hAnsi="Century Gothic"/>
          <w:sz w:val="24"/>
          <w:szCs w:val="24"/>
          <w:u w:val="single"/>
          <w:lang w:eastAsia="en-US"/>
        </w:rPr>
        <w:t xml:space="preserve">Plazo máximo de Vigencia del Financiamiento. </w:t>
      </w:r>
      <w:r w:rsidRPr="00EE06FC">
        <w:rPr>
          <w:rFonts w:ascii="Century Gothic" w:eastAsia="Calibri" w:hAnsi="Century Gothic"/>
          <w:sz w:val="24"/>
          <w:szCs w:val="24"/>
          <w:lang w:eastAsia="en-US"/>
        </w:rPr>
        <w:t>Para cada uno de los contratos a través de los cuales se implemente el Financiamiento IPP, hasta 25 (veinticinco) años equivalentes, aproximadamente, a 9,131 (nueve mil ciento treinta y un) días naturales, contados a partir de la fecha en que se celebren dichos contratos.</w:t>
      </w:r>
    </w:p>
    <w:p w14:paraId="7E9758B3" w14:textId="77777777" w:rsidR="00EE06FC" w:rsidRPr="00614C9E" w:rsidRDefault="00EE06FC" w:rsidP="00EE06FC">
      <w:pPr>
        <w:spacing w:after="160" w:line="360" w:lineRule="auto"/>
        <w:jc w:val="both"/>
        <w:rPr>
          <w:rFonts w:ascii="Century Gothic" w:eastAsia="Calibri" w:hAnsi="Century Gothic"/>
          <w:sz w:val="16"/>
          <w:szCs w:val="16"/>
          <w:lang w:eastAsia="en-US"/>
        </w:rPr>
      </w:pPr>
      <w:r w:rsidRPr="00EE06FC">
        <w:rPr>
          <w:rFonts w:ascii="Century Gothic" w:eastAsia="Calibri" w:hAnsi="Century Gothic"/>
          <w:sz w:val="24"/>
          <w:szCs w:val="24"/>
          <w:lang w:eastAsia="en-US"/>
        </w:rPr>
        <w:t xml:space="preserve"> </w:t>
      </w:r>
    </w:p>
    <w:p w14:paraId="0F32BF78"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En todo caso, los contratos mediante los cuales se formalice el Financiamiento IPP permanecerán vigentes, mientras existan obligaciones pendientes de pago a favor de los acreedores respectivos.</w:t>
      </w:r>
    </w:p>
    <w:p w14:paraId="28E81C90" w14:textId="77777777" w:rsidR="00EE06FC" w:rsidRPr="00614C9E" w:rsidRDefault="00EE06FC" w:rsidP="00EE06FC">
      <w:pPr>
        <w:spacing w:after="160" w:line="360" w:lineRule="auto"/>
        <w:jc w:val="both"/>
        <w:rPr>
          <w:rFonts w:ascii="Century Gothic" w:eastAsia="Calibri" w:hAnsi="Century Gothic"/>
          <w:sz w:val="16"/>
          <w:szCs w:val="16"/>
          <w:lang w:eastAsia="en-US"/>
        </w:rPr>
      </w:pPr>
    </w:p>
    <w:p w14:paraId="6B9C7C1A"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2.6.</w:t>
      </w:r>
      <w:r w:rsidRPr="00EE06FC">
        <w:rPr>
          <w:rFonts w:ascii="Century Gothic" w:eastAsia="Calibri" w:hAnsi="Century Gothic"/>
          <w:sz w:val="24"/>
          <w:szCs w:val="24"/>
          <w:lang w:eastAsia="en-US"/>
        </w:rPr>
        <w:tab/>
      </w:r>
      <w:r w:rsidRPr="00EE06FC">
        <w:rPr>
          <w:rFonts w:ascii="Century Gothic" w:eastAsia="Calibri" w:hAnsi="Century Gothic"/>
          <w:sz w:val="24"/>
          <w:szCs w:val="24"/>
          <w:u w:val="single"/>
          <w:lang w:eastAsia="en-US"/>
        </w:rPr>
        <w:t>Plazo máximo de Contratación y vigencia de la autorización.</w:t>
      </w:r>
      <w:r w:rsidRPr="00EE06FC">
        <w:rPr>
          <w:rFonts w:ascii="Century Gothic" w:eastAsia="Calibri" w:hAnsi="Century Gothic"/>
          <w:sz w:val="24"/>
          <w:szCs w:val="24"/>
          <w:lang w:eastAsia="en-US"/>
        </w:rPr>
        <w:t xml:space="preserve"> Cada uno de los contratos a través de los cuales se implemente el Financiamiento IPP deberán ser celebrados, a más tardar el 31 de diciembre de 2026. De igual forma el Estado, a través de la Secretaría, podrá ejercer la presente autorización hasta el 31 de diciembre de 2026.</w:t>
      </w:r>
    </w:p>
    <w:p w14:paraId="6D51EFB2" w14:textId="77777777" w:rsidR="00EE06FC" w:rsidRPr="00614C9E" w:rsidRDefault="00EE06FC" w:rsidP="00EE06FC">
      <w:pPr>
        <w:spacing w:after="160" w:line="360" w:lineRule="auto"/>
        <w:jc w:val="both"/>
        <w:rPr>
          <w:rFonts w:ascii="Century Gothic" w:eastAsia="Calibri" w:hAnsi="Century Gothic"/>
          <w:sz w:val="16"/>
          <w:szCs w:val="16"/>
          <w:lang w:eastAsia="en-US"/>
        </w:rPr>
      </w:pPr>
    </w:p>
    <w:p w14:paraId="7B658269"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lastRenderedPageBreak/>
        <w:t>2.7.</w:t>
      </w:r>
      <w:r w:rsidRPr="00EE06FC">
        <w:rPr>
          <w:rFonts w:ascii="Century Gothic" w:eastAsia="Calibri" w:hAnsi="Century Gothic"/>
          <w:sz w:val="24"/>
          <w:szCs w:val="24"/>
          <w:lang w:eastAsia="en-US"/>
        </w:rPr>
        <w:tab/>
      </w:r>
      <w:r w:rsidRPr="00EE06FC">
        <w:rPr>
          <w:rFonts w:ascii="Century Gothic" w:eastAsia="Calibri" w:hAnsi="Century Gothic"/>
          <w:sz w:val="24"/>
          <w:szCs w:val="24"/>
          <w:u w:val="single"/>
          <w:lang w:eastAsia="en-US"/>
        </w:rPr>
        <w:t>Tasa de Interés.</w:t>
      </w:r>
      <w:r w:rsidRPr="00EE06FC">
        <w:rPr>
          <w:rFonts w:ascii="Century Gothic" w:eastAsia="Calibri" w:hAnsi="Century Gothic"/>
          <w:sz w:val="24"/>
          <w:szCs w:val="24"/>
          <w:lang w:eastAsia="en-US"/>
        </w:rPr>
        <w:t xml:space="preserve"> El o los contratos a través de los cuales se implemente el Financiamiento IPP se fijarán con las tasas de interés que ofrezcan las mejores condiciones de mercado, de conformidad con los Lineamientos de la Metodología para el Cálculo del Menor Costo Financiero y de los Procesos Competitivos de los Financiamientos y Obligaciones a contratar por parte de las Entidades Federativas, los Municipios y sus Entes Públicos, emitidos por la Secretaría de Hacienda y Crédito Público del Gobierno Federal.</w:t>
      </w:r>
    </w:p>
    <w:p w14:paraId="0048F501" w14:textId="77777777" w:rsidR="00EE06FC" w:rsidRPr="005A75F0" w:rsidRDefault="00EE06FC" w:rsidP="00EE06FC">
      <w:pPr>
        <w:spacing w:after="160" w:line="360" w:lineRule="auto"/>
        <w:jc w:val="both"/>
        <w:rPr>
          <w:rFonts w:ascii="Century Gothic" w:eastAsia="Calibri" w:hAnsi="Century Gothic"/>
          <w:sz w:val="12"/>
          <w:szCs w:val="12"/>
          <w:lang w:eastAsia="en-US"/>
        </w:rPr>
      </w:pPr>
    </w:p>
    <w:p w14:paraId="09EBC869"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2.8.</w:t>
      </w:r>
      <w:r w:rsidRPr="00EE06FC">
        <w:rPr>
          <w:rFonts w:ascii="Century Gothic" w:eastAsia="Calibri" w:hAnsi="Century Gothic"/>
          <w:sz w:val="24"/>
          <w:szCs w:val="24"/>
          <w:lang w:eastAsia="en-US"/>
        </w:rPr>
        <w:tab/>
      </w:r>
      <w:r w:rsidRPr="00EE06FC">
        <w:rPr>
          <w:rFonts w:ascii="Century Gothic" w:eastAsia="Calibri" w:hAnsi="Century Gothic"/>
          <w:sz w:val="24"/>
          <w:szCs w:val="24"/>
          <w:u w:val="single"/>
          <w:lang w:eastAsia="en-US"/>
        </w:rPr>
        <w:t>Instrumentos Derivados.</w:t>
      </w:r>
      <w:r w:rsidRPr="00EE06FC">
        <w:rPr>
          <w:rFonts w:ascii="Century Gothic" w:eastAsia="Calibri" w:hAnsi="Century Gothic"/>
          <w:sz w:val="24"/>
          <w:szCs w:val="24"/>
          <w:lang w:eastAsia="en-US"/>
        </w:rPr>
        <w:t xml:space="preserve"> Con base en la presente autorización, el Estado podrá contratar instrumentos derivados para cubrir hasta la totalidad de los montos de cada crédito a través del cual se implemente el Financiamiento IPP, y por una vigencia igual o menor al plazo del Financiamiento IPP incluyendo, de manera enunciativa, mas no limitativa, contratos de cobertura o contratos de intercambios de tasas de interés, en los términos del Artículo Quinto de este Decreto.</w:t>
      </w:r>
    </w:p>
    <w:p w14:paraId="35741B98" w14:textId="77777777" w:rsidR="00EE06FC" w:rsidRPr="00614C9E" w:rsidRDefault="00EE06FC" w:rsidP="00EE06FC">
      <w:pPr>
        <w:spacing w:after="160" w:line="360" w:lineRule="auto"/>
        <w:jc w:val="both"/>
        <w:rPr>
          <w:rFonts w:ascii="Century Gothic" w:eastAsia="Calibri" w:hAnsi="Century Gothic"/>
          <w:sz w:val="16"/>
          <w:szCs w:val="16"/>
          <w:lang w:eastAsia="en-US"/>
        </w:rPr>
      </w:pPr>
    </w:p>
    <w:p w14:paraId="55C50E45" w14:textId="5EBAF94C"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2.9.</w:t>
      </w:r>
      <w:r w:rsidRPr="00EE06FC">
        <w:rPr>
          <w:rFonts w:ascii="Century Gothic" w:eastAsia="Calibri" w:hAnsi="Century Gothic"/>
          <w:sz w:val="24"/>
          <w:szCs w:val="24"/>
          <w:lang w:eastAsia="en-US"/>
        </w:rPr>
        <w:tab/>
      </w:r>
      <w:r w:rsidRPr="00EE06FC">
        <w:rPr>
          <w:rFonts w:ascii="Century Gothic" w:eastAsia="Calibri" w:hAnsi="Century Gothic"/>
          <w:sz w:val="24"/>
          <w:szCs w:val="24"/>
          <w:u w:val="single"/>
          <w:lang w:eastAsia="en-US"/>
        </w:rPr>
        <w:t>Proceso Competitivo.</w:t>
      </w:r>
      <w:r w:rsidRPr="00EE06FC">
        <w:rPr>
          <w:rFonts w:ascii="Century Gothic" w:eastAsia="Calibri" w:hAnsi="Century Gothic"/>
          <w:sz w:val="24"/>
          <w:szCs w:val="24"/>
          <w:lang w:eastAsia="en-US"/>
        </w:rPr>
        <w:t xml:space="preserve"> El contrato o contratos a través de los cuales se implemente el Financiamiento IPP, así como los Instrumentos Derivados que</w:t>
      </w:r>
      <w:r w:rsidR="005C42FD">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en su caso, el Estado contrate para cubrir los riesgos financieros y/o fortalecer la estructura del Financiamiento IPP, deberán reflejar las mejores condiciones ofrecidas por el mercado, para el Estado, en el momento de su </w:t>
      </w:r>
      <w:r w:rsidRPr="00EE06FC">
        <w:rPr>
          <w:rFonts w:ascii="Century Gothic" w:eastAsia="Calibri" w:hAnsi="Century Gothic"/>
          <w:sz w:val="24"/>
          <w:szCs w:val="24"/>
          <w:lang w:eastAsia="en-US"/>
        </w:rPr>
        <w:lastRenderedPageBreak/>
        <w:t>contratación, para lo cual el Estado implementará el o los procesos competitivos que resulten aplicables conforme a lo establecido en la Ley de Disciplina Financiera de las Entidades Federativas y los Municipios, así como en los Lineamientos</w:t>
      </w:r>
      <w:r>
        <w:rPr>
          <w:rFonts w:ascii="Century Gothic" w:eastAsia="Calibri" w:hAnsi="Century Gothic"/>
          <w:sz w:val="24"/>
          <w:szCs w:val="24"/>
          <w:lang w:eastAsia="en-US"/>
        </w:rPr>
        <w:t xml:space="preserve"> </w:t>
      </w:r>
      <w:r w:rsidRPr="00EE06FC">
        <w:rPr>
          <w:rFonts w:ascii="Century Gothic" w:eastAsia="Calibri" w:hAnsi="Century Gothic"/>
          <w:sz w:val="24"/>
          <w:szCs w:val="24"/>
          <w:lang w:eastAsia="en-US"/>
        </w:rPr>
        <w:t>de la Metodología para el Cálculo del menor Costo Financiero y de los Procesos Competitivos de los Financiamientos y Obligaciones a contratar por parte de las Entidades Federativas, los Municipios y sus Entes Públicos, emitidos por la Secretaría de Hacienda y Crédito Público del Gobierno Federal.</w:t>
      </w:r>
    </w:p>
    <w:p w14:paraId="03C15C44" w14:textId="77777777" w:rsidR="00EE06FC" w:rsidRPr="00730189" w:rsidRDefault="00EE06FC" w:rsidP="00EE06FC">
      <w:pPr>
        <w:spacing w:after="160" w:line="360" w:lineRule="auto"/>
        <w:jc w:val="both"/>
        <w:rPr>
          <w:rFonts w:ascii="Century Gothic" w:eastAsia="Calibri" w:hAnsi="Century Gothic"/>
          <w:sz w:val="12"/>
          <w:szCs w:val="12"/>
          <w:lang w:eastAsia="en-US"/>
        </w:rPr>
      </w:pPr>
    </w:p>
    <w:p w14:paraId="2BFD3F19" w14:textId="45FAC06C"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El Estado implementará un proceso competitivo que le permita recibir las mejores ofertas del mercado para el Financiamiento IPP, así como para los Instrumentos Derivados que</w:t>
      </w:r>
      <w:r w:rsidR="005C42FD">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en su caso, el Estado contrate para cubrir los riesgos financieros y/o fortalecer la estructura del Financiamiento IPP.</w:t>
      </w:r>
    </w:p>
    <w:p w14:paraId="2D6A63DF" w14:textId="77777777" w:rsidR="00EE06FC" w:rsidRPr="00730189" w:rsidRDefault="00EE06FC" w:rsidP="00EE06FC">
      <w:pPr>
        <w:spacing w:after="160" w:line="360" w:lineRule="auto"/>
        <w:jc w:val="both"/>
        <w:rPr>
          <w:rFonts w:ascii="Century Gothic" w:eastAsia="Calibri" w:hAnsi="Century Gothic"/>
          <w:sz w:val="12"/>
          <w:szCs w:val="12"/>
          <w:lang w:eastAsia="en-US"/>
        </w:rPr>
      </w:pPr>
    </w:p>
    <w:p w14:paraId="658627EB"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2.10.</w:t>
      </w:r>
      <w:r w:rsidRPr="00EE06FC">
        <w:rPr>
          <w:rFonts w:ascii="Century Gothic" w:eastAsia="Calibri" w:hAnsi="Century Gothic"/>
          <w:sz w:val="24"/>
          <w:szCs w:val="24"/>
          <w:lang w:eastAsia="en-US"/>
        </w:rPr>
        <w:tab/>
      </w:r>
      <w:r w:rsidRPr="00EE06FC">
        <w:rPr>
          <w:rFonts w:ascii="Century Gothic" w:eastAsia="Calibri" w:hAnsi="Century Gothic"/>
          <w:sz w:val="24"/>
          <w:szCs w:val="24"/>
          <w:u w:val="single"/>
          <w:lang w:eastAsia="en-US"/>
        </w:rPr>
        <w:t xml:space="preserve">Gastos y Fondos de Reserva. </w:t>
      </w:r>
      <w:r w:rsidRPr="00EE06FC">
        <w:rPr>
          <w:rFonts w:ascii="Century Gothic" w:eastAsia="Calibri" w:hAnsi="Century Gothic"/>
          <w:sz w:val="24"/>
          <w:szCs w:val="24"/>
          <w:lang w:eastAsia="en-US"/>
        </w:rPr>
        <w:t>Se autoriza al Estado, para:</w:t>
      </w:r>
    </w:p>
    <w:p w14:paraId="4FF160EC"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a)</w:t>
      </w:r>
      <w:r w:rsidRPr="00EE06FC">
        <w:rPr>
          <w:rFonts w:ascii="Century Gothic" w:eastAsia="Calibri" w:hAnsi="Century Gothic"/>
          <w:b/>
          <w:sz w:val="24"/>
          <w:szCs w:val="24"/>
          <w:lang w:eastAsia="en-US"/>
        </w:rPr>
        <w:tab/>
      </w:r>
      <w:r w:rsidRPr="00EE06FC">
        <w:rPr>
          <w:rFonts w:ascii="Century Gothic" w:eastAsia="Calibri" w:hAnsi="Century Gothic"/>
          <w:sz w:val="24"/>
          <w:szCs w:val="24"/>
          <w:lang w:eastAsia="en-US"/>
        </w:rPr>
        <w:t xml:space="preserve">Contratar y pagar los gastos y costos relacionados con la contratación del Financiamiento IPP, incluyendo sin limitar, comisiones de apertura, comisiones por disposición, comisiones por estructuración, costos por la contratación de calificadoras, de instrumentos derivados y/o garantías de pago, y cualesquiera otros gastos o costos asociados que en su caso se requieran para el diseño e instrumentación financiera y/o legal de las </w:t>
      </w:r>
      <w:r w:rsidRPr="00EE06FC">
        <w:rPr>
          <w:rFonts w:ascii="Century Gothic" w:eastAsia="Calibri" w:hAnsi="Century Gothic"/>
          <w:sz w:val="24"/>
          <w:szCs w:val="24"/>
          <w:lang w:eastAsia="en-US"/>
        </w:rPr>
        <w:lastRenderedPageBreak/>
        <w:t>operaciones a que se refiere la presente autorización y la contratación del Financiamiento IPP.</w:t>
      </w:r>
    </w:p>
    <w:p w14:paraId="7A2019AB" w14:textId="77777777" w:rsidR="00EE06FC" w:rsidRPr="00614C9E" w:rsidRDefault="00EE06FC" w:rsidP="00EE06FC">
      <w:pPr>
        <w:spacing w:after="160" w:line="360" w:lineRule="auto"/>
        <w:jc w:val="both"/>
        <w:rPr>
          <w:rFonts w:ascii="Century Gothic" w:eastAsia="Calibri" w:hAnsi="Century Gothic"/>
          <w:sz w:val="16"/>
          <w:szCs w:val="16"/>
          <w:lang w:eastAsia="en-US"/>
        </w:rPr>
      </w:pPr>
    </w:p>
    <w:p w14:paraId="3C85B074" w14:textId="3B2C85F2"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De conformidad con el artículo 22 de la Ley de </w:t>
      </w:r>
      <w:r w:rsidR="005C42FD" w:rsidRPr="005C42FD">
        <w:rPr>
          <w:rFonts w:ascii="Century Gothic" w:eastAsia="Calibri" w:hAnsi="Century Gothic"/>
          <w:sz w:val="24"/>
          <w:szCs w:val="24"/>
          <w:lang w:eastAsia="en-US"/>
        </w:rPr>
        <w:t>Disciplina Financiera de Entidades Federativas y Municipios</w:t>
      </w:r>
      <w:r w:rsidRPr="00EE06FC">
        <w:rPr>
          <w:rFonts w:ascii="Century Gothic" w:eastAsia="Calibri" w:hAnsi="Century Gothic"/>
          <w:sz w:val="24"/>
          <w:szCs w:val="24"/>
          <w:lang w:eastAsia="en-US"/>
        </w:rPr>
        <w:t>, el importe máximo que podrá destinarse del Financiamiento IPP autorizado mediante este Decreto</w:t>
      </w:r>
      <w:r w:rsidR="005C42FD">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para cubrir los gastos y costos relacionados con la contratación del mismo, no podrá exceder del 0.15% (cero punto quince por ciento) del monto del Financiamiento IPP.</w:t>
      </w:r>
    </w:p>
    <w:p w14:paraId="79C00EE3"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b)</w:t>
      </w:r>
      <w:r w:rsidRPr="00EE06FC">
        <w:rPr>
          <w:rFonts w:ascii="Century Gothic" w:eastAsia="Calibri" w:hAnsi="Century Gothic"/>
          <w:b/>
          <w:sz w:val="24"/>
          <w:szCs w:val="24"/>
          <w:lang w:eastAsia="en-US"/>
        </w:rPr>
        <w:tab/>
      </w:r>
      <w:r w:rsidRPr="00EE06FC">
        <w:rPr>
          <w:rFonts w:ascii="Century Gothic" w:eastAsia="Calibri" w:hAnsi="Century Gothic"/>
          <w:sz w:val="24"/>
          <w:szCs w:val="24"/>
          <w:lang w:eastAsia="en-US"/>
        </w:rPr>
        <w:t>Constituir y/o reconstituir el o los fondos de reservas que resulten necesarios para la implementación del Financiamiento IPP. Dichos fondos de reserva podrán constituirse hasta por un monto equivalente a 2 (dos) meses del servicio de la deuda del Financiamiento IPP, en el mes inmediato siguiente a la fecha de pago correspondiente.</w:t>
      </w:r>
    </w:p>
    <w:p w14:paraId="580814F9" w14:textId="77777777" w:rsidR="00EE06FC" w:rsidRPr="00614C9E" w:rsidRDefault="00EE06FC" w:rsidP="00EE06FC">
      <w:pPr>
        <w:spacing w:after="160" w:line="360" w:lineRule="auto"/>
        <w:jc w:val="both"/>
        <w:rPr>
          <w:rFonts w:ascii="Century Gothic" w:eastAsia="Calibri" w:hAnsi="Century Gothic"/>
          <w:sz w:val="16"/>
          <w:szCs w:val="16"/>
          <w:lang w:eastAsia="en-US"/>
        </w:rPr>
      </w:pPr>
      <w:r w:rsidRPr="00EE06FC">
        <w:rPr>
          <w:rFonts w:ascii="Century Gothic" w:eastAsia="Calibri" w:hAnsi="Century Gothic"/>
          <w:sz w:val="24"/>
          <w:szCs w:val="24"/>
          <w:lang w:eastAsia="en-US"/>
        </w:rPr>
        <w:t xml:space="preserve"> </w:t>
      </w:r>
    </w:p>
    <w:p w14:paraId="49196DB2" w14:textId="77777777" w:rsidR="00EE06FC" w:rsidRP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Artículo Tercero. Refinanciamiento de cuatro créditos de largo plazo.</w:t>
      </w:r>
    </w:p>
    <w:p w14:paraId="6F922C50" w14:textId="77777777" w:rsidR="00EE06FC" w:rsidRPr="00614C9E" w:rsidRDefault="00EE06FC" w:rsidP="00EE06FC">
      <w:pPr>
        <w:spacing w:after="160" w:line="360" w:lineRule="auto"/>
        <w:jc w:val="both"/>
        <w:rPr>
          <w:rFonts w:ascii="Century Gothic" w:eastAsia="Calibri" w:hAnsi="Century Gothic"/>
          <w:sz w:val="16"/>
          <w:szCs w:val="16"/>
          <w:lang w:eastAsia="en-US"/>
        </w:rPr>
      </w:pPr>
    </w:p>
    <w:p w14:paraId="0019418B" w14:textId="48EAFA4F"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Los recursos derivados del financiamiento autorizado en este Artículo, contratado a través de uno o más créditos, hasta por un monto de $15,741,839,657.59 (Quince mil setecientos cuarenta y un millones </w:t>
      </w:r>
      <w:r w:rsidRPr="00EE06FC">
        <w:rPr>
          <w:rFonts w:ascii="Century Gothic" w:eastAsia="Calibri" w:hAnsi="Century Gothic"/>
          <w:sz w:val="24"/>
          <w:szCs w:val="24"/>
          <w:lang w:eastAsia="en-US"/>
        </w:rPr>
        <w:lastRenderedPageBreak/>
        <w:t>ochocientos treinta y nueve mil seiscientos cincuenta y siete pesos 59/100 Moneda Nacional) sin incluir intereses, deberán destinarse al refinanciamiento de los financiamientos que a continuación se detallan, hasta por las cantidades señaladas en cada uno de los mismos, así como al pago de los gastos y costos relacionados con la contr</w:t>
      </w:r>
      <w:r w:rsidR="005C42FD">
        <w:rPr>
          <w:rFonts w:ascii="Century Gothic" w:eastAsia="Calibri" w:hAnsi="Century Gothic"/>
          <w:sz w:val="24"/>
          <w:szCs w:val="24"/>
          <w:lang w:eastAsia="en-US"/>
        </w:rPr>
        <w:t>atación, diseño, estructuración</w:t>
      </w:r>
      <w:r w:rsidRPr="00EE06FC">
        <w:rPr>
          <w:rFonts w:ascii="Century Gothic" w:eastAsia="Calibri" w:hAnsi="Century Gothic"/>
          <w:sz w:val="24"/>
          <w:szCs w:val="24"/>
          <w:lang w:eastAsia="en-US"/>
        </w:rPr>
        <w:t xml:space="preserve"> e instrumentación del refinanciamiento y, en su caso, la contratación de instrumentos derivados asociados al mismo, de conformidad con el artículo 22 de la Ley de Disciplina</w:t>
      </w:r>
      <w:r w:rsidR="005C42FD">
        <w:rPr>
          <w:rFonts w:ascii="Century Gothic" w:eastAsia="Calibri" w:hAnsi="Century Gothic"/>
          <w:sz w:val="24"/>
          <w:szCs w:val="24"/>
          <w:lang w:eastAsia="en-US"/>
        </w:rPr>
        <w:t xml:space="preserve"> Financiera</w:t>
      </w:r>
      <w:r w:rsidRPr="00EE06FC">
        <w:rPr>
          <w:rFonts w:ascii="Century Gothic" w:eastAsia="Calibri" w:hAnsi="Century Gothic"/>
          <w:sz w:val="24"/>
          <w:szCs w:val="24"/>
          <w:lang w:eastAsia="en-US"/>
        </w:rPr>
        <w:t xml:space="preserve"> de las Entidades Federativas y los Municipios:</w:t>
      </w:r>
    </w:p>
    <w:tbl>
      <w:tblPr>
        <w:tblStyle w:val="TableNormal"/>
        <w:tblW w:w="10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5"/>
        <w:gridCol w:w="1274"/>
        <w:gridCol w:w="1692"/>
        <w:gridCol w:w="993"/>
        <w:gridCol w:w="991"/>
        <w:gridCol w:w="1984"/>
        <w:gridCol w:w="1560"/>
        <w:gridCol w:w="991"/>
      </w:tblGrid>
      <w:tr w:rsidR="00B54879" w14:paraId="3FC915FD" w14:textId="77777777" w:rsidTr="00EF4EE8">
        <w:trPr>
          <w:trHeight w:val="351"/>
          <w:jc w:val="center"/>
        </w:trPr>
        <w:tc>
          <w:tcPr>
            <w:tcW w:w="995" w:type="dxa"/>
            <w:vMerge w:val="restart"/>
            <w:tcBorders>
              <w:bottom w:val="single" w:sz="4" w:space="0" w:color="000000"/>
            </w:tcBorders>
          </w:tcPr>
          <w:p w14:paraId="4B999575" w14:textId="77777777" w:rsidR="00B54879" w:rsidRDefault="00B54879" w:rsidP="009E70A2">
            <w:pPr>
              <w:pStyle w:val="TableParagraph"/>
              <w:spacing w:before="44"/>
              <w:rPr>
                <w:sz w:val="18"/>
              </w:rPr>
            </w:pPr>
          </w:p>
          <w:p w14:paraId="5E077927" w14:textId="77777777" w:rsidR="00B54879" w:rsidRDefault="00B54879" w:rsidP="009E70A2">
            <w:pPr>
              <w:pStyle w:val="TableParagraph"/>
              <w:spacing w:before="1"/>
              <w:ind w:left="128"/>
              <w:rPr>
                <w:sz w:val="18"/>
              </w:rPr>
            </w:pPr>
            <w:r>
              <w:rPr>
                <w:spacing w:val="-2"/>
                <w:sz w:val="18"/>
              </w:rPr>
              <w:t>Acreedor</w:t>
            </w:r>
          </w:p>
        </w:tc>
        <w:tc>
          <w:tcPr>
            <w:tcW w:w="1274" w:type="dxa"/>
            <w:vMerge w:val="restart"/>
            <w:tcBorders>
              <w:bottom w:val="single" w:sz="4" w:space="0" w:color="000000"/>
            </w:tcBorders>
          </w:tcPr>
          <w:p w14:paraId="5FBFAA3A" w14:textId="77777777" w:rsidR="00B54879" w:rsidRDefault="00B54879" w:rsidP="009E70A2">
            <w:pPr>
              <w:pStyle w:val="TableParagraph"/>
              <w:spacing w:before="134" w:line="276" w:lineRule="auto"/>
              <w:ind w:left="124" w:firstLine="132"/>
              <w:rPr>
                <w:sz w:val="18"/>
              </w:rPr>
            </w:pPr>
            <w:r>
              <w:rPr>
                <w:sz w:val="18"/>
              </w:rPr>
              <w:t xml:space="preserve">Fecha de </w:t>
            </w:r>
            <w:r>
              <w:rPr>
                <w:spacing w:val="-2"/>
                <w:sz w:val="18"/>
              </w:rPr>
              <w:t>Contratación</w:t>
            </w:r>
          </w:p>
        </w:tc>
        <w:tc>
          <w:tcPr>
            <w:tcW w:w="1692" w:type="dxa"/>
            <w:vMerge w:val="restart"/>
            <w:tcBorders>
              <w:bottom w:val="single" w:sz="4" w:space="0" w:color="000000"/>
            </w:tcBorders>
          </w:tcPr>
          <w:p w14:paraId="56F263D6" w14:textId="77777777" w:rsidR="00B54879" w:rsidRDefault="00B54879" w:rsidP="009E70A2">
            <w:pPr>
              <w:pStyle w:val="TableParagraph"/>
              <w:spacing w:before="44"/>
              <w:rPr>
                <w:sz w:val="18"/>
              </w:rPr>
            </w:pPr>
          </w:p>
          <w:p w14:paraId="2BECF0BF" w14:textId="77777777" w:rsidR="00B54879" w:rsidRDefault="00B54879" w:rsidP="009E70A2">
            <w:pPr>
              <w:pStyle w:val="TableParagraph"/>
              <w:spacing w:before="1"/>
              <w:ind w:left="14"/>
              <w:jc w:val="center"/>
              <w:rPr>
                <w:sz w:val="18"/>
              </w:rPr>
            </w:pPr>
            <w:r>
              <w:rPr>
                <w:spacing w:val="-4"/>
                <w:sz w:val="18"/>
              </w:rPr>
              <w:t>Monto</w:t>
            </w:r>
          </w:p>
        </w:tc>
        <w:tc>
          <w:tcPr>
            <w:tcW w:w="1984" w:type="dxa"/>
            <w:gridSpan w:val="2"/>
          </w:tcPr>
          <w:p w14:paraId="3BDC875C" w14:textId="77777777" w:rsidR="00B54879" w:rsidRDefault="00B54879" w:rsidP="009E70A2">
            <w:pPr>
              <w:pStyle w:val="TableParagraph"/>
              <w:spacing w:before="57"/>
              <w:ind w:left="16"/>
              <w:jc w:val="center"/>
              <w:rPr>
                <w:sz w:val="18"/>
              </w:rPr>
            </w:pPr>
            <w:r>
              <w:rPr>
                <w:spacing w:val="-4"/>
                <w:sz w:val="18"/>
              </w:rPr>
              <w:t>Tasa</w:t>
            </w:r>
          </w:p>
        </w:tc>
        <w:tc>
          <w:tcPr>
            <w:tcW w:w="1984" w:type="dxa"/>
            <w:vMerge w:val="restart"/>
            <w:tcBorders>
              <w:bottom w:val="single" w:sz="4" w:space="0" w:color="000000"/>
            </w:tcBorders>
          </w:tcPr>
          <w:p w14:paraId="1641A233" w14:textId="77777777" w:rsidR="00B54879" w:rsidRDefault="00B54879" w:rsidP="009E70A2">
            <w:pPr>
              <w:pStyle w:val="TableParagraph"/>
              <w:spacing w:before="134" w:line="276" w:lineRule="auto"/>
              <w:ind w:left="318" w:firstLine="96"/>
              <w:rPr>
                <w:sz w:val="18"/>
              </w:rPr>
            </w:pPr>
            <w:r>
              <w:rPr>
                <w:sz w:val="18"/>
              </w:rPr>
              <w:t>Saldo al 31 de Octubre</w:t>
            </w:r>
            <w:r>
              <w:rPr>
                <w:spacing w:val="-15"/>
                <w:sz w:val="18"/>
              </w:rPr>
              <w:t xml:space="preserve"> </w:t>
            </w:r>
            <w:r>
              <w:rPr>
                <w:sz w:val="18"/>
              </w:rPr>
              <w:t>de</w:t>
            </w:r>
            <w:r>
              <w:rPr>
                <w:spacing w:val="-12"/>
                <w:sz w:val="18"/>
              </w:rPr>
              <w:t xml:space="preserve"> </w:t>
            </w:r>
            <w:r>
              <w:rPr>
                <w:sz w:val="18"/>
              </w:rPr>
              <w:t>2025</w:t>
            </w:r>
          </w:p>
        </w:tc>
        <w:tc>
          <w:tcPr>
            <w:tcW w:w="1560" w:type="dxa"/>
            <w:vMerge w:val="restart"/>
            <w:tcBorders>
              <w:bottom w:val="single" w:sz="4" w:space="0" w:color="000000"/>
            </w:tcBorders>
          </w:tcPr>
          <w:p w14:paraId="6EF846D5" w14:textId="77777777" w:rsidR="00B54879" w:rsidRDefault="00B54879" w:rsidP="009E70A2">
            <w:pPr>
              <w:pStyle w:val="TableParagraph"/>
              <w:spacing w:before="44"/>
              <w:rPr>
                <w:sz w:val="18"/>
              </w:rPr>
            </w:pPr>
          </w:p>
          <w:p w14:paraId="45C23E15" w14:textId="77777777" w:rsidR="00B54879" w:rsidRDefault="00B54879" w:rsidP="009E70A2">
            <w:pPr>
              <w:pStyle w:val="TableParagraph"/>
              <w:spacing w:before="1"/>
              <w:ind w:left="209"/>
              <w:rPr>
                <w:sz w:val="18"/>
              </w:rPr>
            </w:pPr>
            <w:r>
              <w:rPr>
                <w:sz w:val="18"/>
              </w:rPr>
              <w:t>Clave</w:t>
            </w:r>
            <w:r>
              <w:rPr>
                <w:spacing w:val="-2"/>
                <w:sz w:val="18"/>
              </w:rPr>
              <w:t xml:space="preserve"> </w:t>
            </w:r>
            <w:r>
              <w:rPr>
                <w:sz w:val="18"/>
              </w:rPr>
              <w:t xml:space="preserve">de </w:t>
            </w:r>
            <w:r>
              <w:rPr>
                <w:spacing w:val="-5"/>
                <w:sz w:val="18"/>
              </w:rPr>
              <w:t>RPU</w:t>
            </w:r>
          </w:p>
        </w:tc>
        <w:tc>
          <w:tcPr>
            <w:tcW w:w="991" w:type="dxa"/>
            <w:vMerge w:val="restart"/>
            <w:tcBorders>
              <w:bottom w:val="single" w:sz="4" w:space="0" w:color="000000"/>
            </w:tcBorders>
          </w:tcPr>
          <w:p w14:paraId="47D48A43" w14:textId="77777777" w:rsidR="00B54879" w:rsidRDefault="00B54879" w:rsidP="009E70A2">
            <w:pPr>
              <w:pStyle w:val="TableParagraph"/>
              <w:spacing w:before="134" w:line="276" w:lineRule="auto"/>
              <w:ind w:left="221" w:hanging="63"/>
              <w:rPr>
                <w:sz w:val="18"/>
              </w:rPr>
            </w:pPr>
            <w:r>
              <w:rPr>
                <w:spacing w:val="-2"/>
                <w:sz w:val="18"/>
              </w:rPr>
              <w:t>Registro Estatal</w:t>
            </w:r>
          </w:p>
        </w:tc>
      </w:tr>
      <w:tr w:rsidR="00B54879" w14:paraId="61953199" w14:textId="77777777" w:rsidTr="00EF4EE8">
        <w:trPr>
          <w:trHeight w:val="475"/>
          <w:jc w:val="center"/>
        </w:trPr>
        <w:tc>
          <w:tcPr>
            <w:tcW w:w="995" w:type="dxa"/>
            <w:vMerge/>
            <w:tcBorders>
              <w:top w:val="nil"/>
              <w:bottom w:val="single" w:sz="4" w:space="0" w:color="000000"/>
            </w:tcBorders>
          </w:tcPr>
          <w:p w14:paraId="205D6919" w14:textId="77777777" w:rsidR="00B54879" w:rsidRDefault="00B54879" w:rsidP="009E70A2">
            <w:pPr>
              <w:rPr>
                <w:sz w:val="2"/>
                <w:szCs w:val="2"/>
              </w:rPr>
            </w:pPr>
          </w:p>
        </w:tc>
        <w:tc>
          <w:tcPr>
            <w:tcW w:w="1274" w:type="dxa"/>
            <w:vMerge/>
            <w:tcBorders>
              <w:top w:val="nil"/>
              <w:bottom w:val="single" w:sz="4" w:space="0" w:color="000000"/>
            </w:tcBorders>
          </w:tcPr>
          <w:p w14:paraId="3A95A3EC" w14:textId="77777777" w:rsidR="00B54879" w:rsidRDefault="00B54879" w:rsidP="009E70A2">
            <w:pPr>
              <w:rPr>
                <w:sz w:val="2"/>
                <w:szCs w:val="2"/>
              </w:rPr>
            </w:pPr>
          </w:p>
        </w:tc>
        <w:tc>
          <w:tcPr>
            <w:tcW w:w="1692" w:type="dxa"/>
            <w:vMerge/>
            <w:tcBorders>
              <w:top w:val="nil"/>
              <w:bottom w:val="single" w:sz="4" w:space="0" w:color="000000"/>
            </w:tcBorders>
          </w:tcPr>
          <w:p w14:paraId="19BE6549" w14:textId="77777777" w:rsidR="00B54879" w:rsidRDefault="00B54879" w:rsidP="009E70A2">
            <w:pPr>
              <w:rPr>
                <w:sz w:val="2"/>
                <w:szCs w:val="2"/>
              </w:rPr>
            </w:pPr>
          </w:p>
        </w:tc>
        <w:tc>
          <w:tcPr>
            <w:tcW w:w="993" w:type="dxa"/>
            <w:tcBorders>
              <w:bottom w:val="single" w:sz="4" w:space="0" w:color="000000"/>
            </w:tcBorders>
          </w:tcPr>
          <w:p w14:paraId="38405F1D" w14:textId="77777777" w:rsidR="00B54879" w:rsidRDefault="00B54879" w:rsidP="009E70A2">
            <w:pPr>
              <w:pStyle w:val="TableParagraph"/>
              <w:spacing w:before="117"/>
              <w:ind w:left="13"/>
              <w:jc w:val="center"/>
              <w:rPr>
                <w:sz w:val="18"/>
              </w:rPr>
            </w:pPr>
            <w:r>
              <w:rPr>
                <w:spacing w:val="-4"/>
                <w:sz w:val="18"/>
              </w:rPr>
              <w:t>TIIE</w:t>
            </w:r>
          </w:p>
        </w:tc>
        <w:tc>
          <w:tcPr>
            <w:tcW w:w="991" w:type="dxa"/>
            <w:tcBorders>
              <w:bottom w:val="single" w:sz="4" w:space="0" w:color="000000"/>
            </w:tcBorders>
          </w:tcPr>
          <w:p w14:paraId="188D9ADA" w14:textId="77777777" w:rsidR="00B54879" w:rsidRDefault="00B54879" w:rsidP="009E70A2">
            <w:pPr>
              <w:pStyle w:val="TableParagraph"/>
              <w:spacing w:before="117"/>
              <w:ind w:left="16"/>
              <w:jc w:val="center"/>
              <w:rPr>
                <w:sz w:val="18"/>
              </w:rPr>
            </w:pPr>
            <w:r>
              <w:rPr>
                <w:spacing w:val="-2"/>
                <w:sz w:val="18"/>
              </w:rPr>
              <w:t>Sobretasa</w:t>
            </w:r>
          </w:p>
        </w:tc>
        <w:tc>
          <w:tcPr>
            <w:tcW w:w="1984" w:type="dxa"/>
            <w:vMerge/>
            <w:tcBorders>
              <w:top w:val="nil"/>
              <w:bottom w:val="single" w:sz="4" w:space="0" w:color="000000"/>
            </w:tcBorders>
          </w:tcPr>
          <w:p w14:paraId="0B7A6355" w14:textId="77777777" w:rsidR="00B54879" w:rsidRDefault="00B54879" w:rsidP="009E70A2">
            <w:pPr>
              <w:rPr>
                <w:sz w:val="2"/>
                <w:szCs w:val="2"/>
              </w:rPr>
            </w:pPr>
          </w:p>
        </w:tc>
        <w:tc>
          <w:tcPr>
            <w:tcW w:w="1560" w:type="dxa"/>
            <w:vMerge/>
            <w:tcBorders>
              <w:top w:val="nil"/>
              <w:bottom w:val="single" w:sz="4" w:space="0" w:color="000000"/>
            </w:tcBorders>
          </w:tcPr>
          <w:p w14:paraId="714167F4" w14:textId="77777777" w:rsidR="00B54879" w:rsidRDefault="00B54879" w:rsidP="009E70A2">
            <w:pPr>
              <w:rPr>
                <w:sz w:val="2"/>
                <w:szCs w:val="2"/>
              </w:rPr>
            </w:pPr>
          </w:p>
        </w:tc>
        <w:tc>
          <w:tcPr>
            <w:tcW w:w="991" w:type="dxa"/>
            <w:vMerge/>
            <w:tcBorders>
              <w:top w:val="nil"/>
              <w:bottom w:val="single" w:sz="4" w:space="0" w:color="000000"/>
            </w:tcBorders>
          </w:tcPr>
          <w:p w14:paraId="753DDEB1" w14:textId="77777777" w:rsidR="00B54879" w:rsidRDefault="00B54879" w:rsidP="009E70A2">
            <w:pPr>
              <w:rPr>
                <w:sz w:val="2"/>
                <w:szCs w:val="2"/>
              </w:rPr>
            </w:pPr>
          </w:p>
        </w:tc>
      </w:tr>
      <w:tr w:rsidR="00B54879" w14:paraId="0BB82DFF" w14:textId="77777777" w:rsidTr="00EF4EE8">
        <w:trPr>
          <w:trHeight w:val="390"/>
          <w:jc w:val="center"/>
        </w:trPr>
        <w:tc>
          <w:tcPr>
            <w:tcW w:w="995" w:type="dxa"/>
            <w:tcBorders>
              <w:top w:val="single" w:sz="4" w:space="0" w:color="000000"/>
              <w:left w:val="single" w:sz="4" w:space="0" w:color="000000"/>
              <w:bottom w:val="single" w:sz="4" w:space="0" w:color="000000"/>
              <w:right w:val="single" w:sz="4" w:space="0" w:color="000000"/>
            </w:tcBorders>
          </w:tcPr>
          <w:p w14:paraId="339C99D1" w14:textId="77777777" w:rsidR="00B54879" w:rsidRDefault="00B54879" w:rsidP="009E70A2">
            <w:pPr>
              <w:pStyle w:val="TableParagraph"/>
              <w:spacing w:before="75"/>
              <w:ind w:left="13"/>
              <w:jc w:val="center"/>
              <w:rPr>
                <w:sz w:val="18"/>
              </w:rPr>
            </w:pPr>
            <w:r>
              <w:rPr>
                <w:spacing w:val="-2"/>
                <w:sz w:val="18"/>
              </w:rPr>
              <w:t>Banobras</w:t>
            </w:r>
          </w:p>
        </w:tc>
        <w:tc>
          <w:tcPr>
            <w:tcW w:w="1274" w:type="dxa"/>
            <w:tcBorders>
              <w:top w:val="single" w:sz="4" w:space="0" w:color="000000"/>
              <w:left w:val="single" w:sz="4" w:space="0" w:color="000000"/>
              <w:bottom w:val="single" w:sz="4" w:space="0" w:color="000000"/>
              <w:right w:val="single" w:sz="4" w:space="0" w:color="000000"/>
            </w:tcBorders>
          </w:tcPr>
          <w:p w14:paraId="19C5BB99" w14:textId="77777777" w:rsidR="00B54879" w:rsidRDefault="00B54879" w:rsidP="009E70A2">
            <w:pPr>
              <w:pStyle w:val="TableParagraph"/>
              <w:spacing w:before="75"/>
              <w:ind w:left="15"/>
              <w:jc w:val="center"/>
              <w:rPr>
                <w:sz w:val="18"/>
              </w:rPr>
            </w:pPr>
            <w:r>
              <w:rPr>
                <w:spacing w:val="-2"/>
                <w:sz w:val="18"/>
              </w:rPr>
              <w:t>31/07/2019</w:t>
            </w:r>
          </w:p>
        </w:tc>
        <w:tc>
          <w:tcPr>
            <w:tcW w:w="1692" w:type="dxa"/>
            <w:tcBorders>
              <w:top w:val="single" w:sz="4" w:space="0" w:color="000000"/>
              <w:left w:val="single" w:sz="4" w:space="0" w:color="000000"/>
              <w:bottom w:val="single" w:sz="4" w:space="0" w:color="000000"/>
              <w:right w:val="single" w:sz="4" w:space="0" w:color="000000"/>
            </w:tcBorders>
          </w:tcPr>
          <w:p w14:paraId="51BA99CC" w14:textId="77777777" w:rsidR="00B54879" w:rsidRDefault="00B54879" w:rsidP="009E70A2">
            <w:pPr>
              <w:pStyle w:val="TableParagraph"/>
              <w:spacing w:before="75"/>
              <w:ind w:left="13"/>
              <w:jc w:val="center"/>
              <w:rPr>
                <w:sz w:val="18"/>
              </w:rPr>
            </w:pPr>
            <w:r>
              <w:rPr>
                <w:spacing w:val="-2"/>
                <w:sz w:val="18"/>
              </w:rPr>
              <w:t>$5,000,000,000.00</w:t>
            </w:r>
          </w:p>
        </w:tc>
        <w:tc>
          <w:tcPr>
            <w:tcW w:w="993" w:type="dxa"/>
            <w:tcBorders>
              <w:top w:val="single" w:sz="4" w:space="0" w:color="000000"/>
              <w:left w:val="single" w:sz="4" w:space="0" w:color="000000"/>
              <w:bottom w:val="single" w:sz="4" w:space="0" w:color="000000"/>
              <w:right w:val="single" w:sz="4" w:space="0" w:color="000000"/>
            </w:tcBorders>
          </w:tcPr>
          <w:p w14:paraId="7EAB104E" w14:textId="77777777" w:rsidR="00B54879" w:rsidRDefault="00B54879" w:rsidP="009E70A2">
            <w:pPr>
              <w:pStyle w:val="TableParagraph"/>
              <w:spacing w:before="75"/>
              <w:ind w:left="13"/>
              <w:jc w:val="center"/>
              <w:rPr>
                <w:sz w:val="18"/>
              </w:rPr>
            </w:pPr>
            <w:r>
              <w:rPr>
                <w:sz w:val="18"/>
              </w:rPr>
              <w:t>TIIE 28</w:t>
            </w:r>
            <w:r>
              <w:rPr>
                <w:spacing w:val="-2"/>
                <w:sz w:val="18"/>
              </w:rPr>
              <w:t xml:space="preserve"> </w:t>
            </w:r>
            <w:r>
              <w:rPr>
                <w:spacing w:val="-10"/>
                <w:sz w:val="18"/>
              </w:rPr>
              <w:t>+</w:t>
            </w:r>
          </w:p>
        </w:tc>
        <w:tc>
          <w:tcPr>
            <w:tcW w:w="991" w:type="dxa"/>
            <w:tcBorders>
              <w:top w:val="single" w:sz="4" w:space="0" w:color="000000"/>
              <w:left w:val="single" w:sz="4" w:space="0" w:color="000000"/>
              <w:bottom w:val="single" w:sz="4" w:space="0" w:color="000000"/>
              <w:right w:val="single" w:sz="4" w:space="0" w:color="000000"/>
            </w:tcBorders>
          </w:tcPr>
          <w:p w14:paraId="039D8171" w14:textId="77777777" w:rsidR="00B54879" w:rsidRDefault="00B54879" w:rsidP="009E70A2">
            <w:pPr>
              <w:pStyle w:val="TableParagraph"/>
              <w:spacing w:before="75"/>
              <w:ind w:left="23" w:right="4"/>
              <w:jc w:val="center"/>
              <w:rPr>
                <w:sz w:val="18"/>
              </w:rPr>
            </w:pPr>
            <w:r>
              <w:rPr>
                <w:spacing w:val="-4"/>
                <w:sz w:val="18"/>
              </w:rPr>
              <w:t>0.41%</w:t>
            </w:r>
          </w:p>
        </w:tc>
        <w:tc>
          <w:tcPr>
            <w:tcW w:w="1984" w:type="dxa"/>
            <w:tcBorders>
              <w:top w:val="single" w:sz="4" w:space="0" w:color="000000"/>
              <w:left w:val="single" w:sz="4" w:space="0" w:color="000000"/>
              <w:bottom w:val="single" w:sz="4" w:space="0" w:color="000000"/>
              <w:right w:val="single" w:sz="4" w:space="0" w:color="000000"/>
            </w:tcBorders>
          </w:tcPr>
          <w:p w14:paraId="4C7B7E54" w14:textId="7BCECF86" w:rsidR="00B54879" w:rsidRDefault="00EF4EE8" w:rsidP="009E70A2">
            <w:pPr>
              <w:pStyle w:val="TableParagraph"/>
              <w:spacing w:before="75"/>
              <w:ind w:left="18"/>
              <w:jc w:val="center"/>
              <w:rPr>
                <w:sz w:val="18"/>
              </w:rPr>
            </w:pPr>
            <w:r>
              <w:rPr>
                <w:sz w:val="18"/>
              </w:rPr>
              <w:t>$</w:t>
            </w:r>
            <w:r>
              <w:rPr>
                <w:spacing w:val="1"/>
                <w:sz w:val="18"/>
              </w:rPr>
              <w:t xml:space="preserve"> </w:t>
            </w:r>
            <w:r>
              <w:rPr>
                <w:spacing w:val="-2"/>
                <w:sz w:val="18"/>
              </w:rPr>
              <w:t>4,824,647,120.00</w:t>
            </w:r>
          </w:p>
        </w:tc>
        <w:tc>
          <w:tcPr>
            <w:tcW w:w="1560" w:type="dxa"/>
            <w:tcBorders>
              <w:top w:val="single" w:sz="4" w:space="0" w:color="000000"/>
              <w:left w:val="single" w:sz="4" w:space="0" w:color="000000"/>
              <w:bottom w:val="single" w:sz="4" w:space="0" w:color="000000"/>
              <w:right w:val="single" w:sz="4" w:space="0" w:color="000000"/>
            </w:tcBorders>
          </w:tcPr>
          <w:p w14:paraId="38AA31C9" w14:textId="77777777" w:rsidR="00B54879" w:rsidRDefault="00B54879" w:rsidP="009E70A2">
            <w:pPr>
              <w:pStyle w:val="TableParagraph"/>
              <w:spacing w:before="75"/>
              <w:ind w:left="17"/>
              <w:jc w:val="center"/>
              <w:rPr>
                <w:sz w:val="18"/>
              </w:rPr>
            </w:pPr>
            <w:r>
              <w:rPr>
                <w:sz w:val="18"/>
              </w:rPr>
              <w:t>P08-</w:t>
            </w:r>
            <w:r>
              <w:rPr>
                <w:spacing w:val="-2"/>
                <w:sz w:val="18"/>
              </w:rPr>
              <w:t>0819029</w:t>
            </w:r>
          </w:p>
        </w:tc>
        <w:tc>
          <w:tcPr>
            <w:tcW w:w="991" w:type="dxa"/>
            <w:tcBorders>
              <w:top w:val="single" w:sz="4" w:space="0" w:color="000000"/>
              <w:left w:val="single" w:sz="4" w:space="0" w:color="000000"/>
              <w:bottom w:val="single" w:sz="4" w:space="0" w:color="000000"/>
              <w:right w:val="single" w:sz="4" w:space="0" w:color="000000"/>
            </w:tcBorders>
          </w:tcPr>
          <w:p w14:paraId="7444BA9E" w14:textId="77777777" w:rsidR="00B54879" w:rsidRDefault="00B54879" w:rsidP="009E70A2">
            <w:pPr>
              <w:pStyle w:val="TableParagraph"/>
              <w:spacing w:before="75"/>
              <w:ind w:left="23"/>
              <w:jc w:val="center"/>
              <w:rPr>
                <w:sz w:val="18"/>
              </w:rPr>
            </w:pPr>
            <w:r>
              <w:rPr>
                <w:spacing w:val="-2"/>
                <w:sz w:val="18"/>
              </w:rPr>
              <w:t>18/2019</w:t>
            </w:r>
          </w:p>
        </w:tc>
      </w:tr>
      <w:tr w:rsidR="00EF4EE8" w14:paraId="1E7E6F5B" w14:textId="77777777" w:rsidTr="00EF4EE8">
        <w:trPr>
          <w:trHeight w:val="393"/>
          <w:jc w:val="center"/>
        </w:trPr>
        <w:tc>
          <w:tcPr>
            <w:tcW w:w="995" w:type="dxa"/>
            <w:tcBorders>
              <w:top w:val="single" w:sz="4" w:space="0" w:color="000000"/>
              <w:left w:val="single" w:sz="4" w:space="0" w:color="000000"/>
              <w:bottom w:val="single" w:sz="4" w:space="0" w:color="000000"/>
              <w:right w:val="single" w:sz="4" w:space="0" w:color="000000"/>
            </w:tcBorders>
          </w:tcPr>
          <w:p w14:paraId="33C94703" w14:textId="77777777" w:rsidR="00EF4EE8" w:rsidRDefault="00EF4EE8" w:rsidP="00EF4EE8">
            <w:pPr>
              <w:pStyle w:val="TableParagraph"/>
              <w:spacing w:before="75"/>
              <w:ind w:left="13"/>
              <w:jc w:val="center"/>
              <w:rPr>
                <w:sz w:val="18"/>
              </w:rPr>
            </w:pPr>
            <w:r>
              <w:rPr>
                <w:spacing w:val="-2"/>
                <w:sz w:val="18"/>
              </w:rPr>
              <w:t>Banobras</w:t>
            </w:r>
          </w:p>
        </w:tc>
        <w:tc>
          <w:tcPr>
            <w:tcW w:w="1274" w:type="dxa"/>
            <w:tcBorders>
              <w:top w:val="single" w:sz="4" w:space="0" w:color="000000"/>
              <w:left w:val="single" w:sz="4" w:space="0" w:color="000000"/>
              <w:bottom w:val="single" w:sz="4" w:space="0" w:color="000000"/>
              <w:right w:val="single" w:sz="4" w:space="0" w:color="000000"/>
            </w:tcBorders>
          </w:tcPr>
          <w:p w14:paraId="4BB5FA7B" w14:textId="77777777" w:rsidR="00EF4EE8" w:rsidRDefault="00EF4EE8" w:rsidP="00EF4EE8">
            <w:pPr>
              <w:pStyle w:val="TableParagraph"/>
              <w:spacing w:before="75"/>
              <w:ind w:left="15"/>
              <w:jc w:val="center"/>
              <w:rPr>
                <w:sz w:val="18"/>
              </w:rPr>
            </w:pPr>
            <w:r>
              <w:rPr>
                <w:spacing w:val="-2"/>
                <w:sz w:val="18"/>
              </w:rPr>
              <w:t>31/07/2019</w:t>
            </w:r>
          </w:p>
        </w:tc>
        <w:tc>
          <w:tcPr>
            <w:tcW w:w="1692" w:type="dxa"/>
            <w:tcBorders>
              <w:top w:val="single" w:sz="4" w:space="0" w:color="000000"/>
              <w:left w:val="single" w:sz="4" w:space="0" w:color="000000"/>
              <w:bottom w:val="single" w:sz="4" w:space="0" w:color="000000"/>
              <w:right w:val="single" w:sz="4" w:space="0" w:color="000000"/>
            </w:tcBorders>
          </w:tcPr>
          <w:p w14:paraId="1F5729F6" w14:textId="77777777" w:rsidR="00EF4EE8" w:rsidRDefault="00EF4EE8" w:rsidP="00EF4EE8">
            <w:pPr>
              <w:pStyle w:val="TableParagraph"/>
              <w:spacing w:before="75"/>
              <w:ind w:left="13"/>
              <w:jc w:val="center"/>
              <w:rPr>
                <w:sz w:val="18"/>
              </w:rPr>
            </w:pPr>
            <w:r>
              <w:rPr>
                <w:spacing w:val="-2"/>
                <w:sz w:val="18"/>
              </w:rPr>
              <w:t>$5,000,000,000.00</w:t>
            </w:r>
          </w:p>
        </w:tc>
        <w:tc>
          <w:tcPr>
            <w:tcW w:w="993" w:type="dxa"/>
            <w:tcBorders>
              <w:top w:val="single" w:sz="4" w:space="0" w:color="000000"/>
              <w:left w:val="single" w:sz="4" w:space="0" w:color="000000"/>
              <w:bottom w:val="single" w:sz="4" w:space="0" w:color="000000"/>
              <w:right w:val="single" w:sz="4" w:space="0" w:color="000000"/>
            </w:tcBorders>
          </w:tcPr>
          <w:p w14:paraId="6DF17DB5" w14:textId="77777777" w:rsidR="00EF4EE8" w:rsidRDefault="00EF4EE8" w:rsidP="00EF4EE8">
            <w:pPr>
              <w:pStyle w:val="TableParagraph"/>
              <w:spacing w:before="75"/>
              <w:ind w:left="13"/>
              <w:jc w:val="center"/>
              <w:rPr>
                <w:sz w:val="18"/>
              </w:rPr>
            </w:pPr>
            <w:r>
              <w:rPr>
                <w:sz w:val="18"/>
              </w:rPr>
              <w:t>TIIE 28</w:t>
            </w:r>
            <w:r>
              <w:rPr>
                <w:spacing w:val="-2"/>
                <w:sz w:val="18"/>
              </w:rPr>
              <w:t xml:space="preserve"> </w:t>
            </w:r>
            <w:r>
              <w:rPr>
                <w:spacing w:val="-10"/>
                <w:sz w:val="18"/>
              </w:rPr>
              <w:t>+</w:t>
            </w:r>
          </w:p>
        </w:tc>
        <w:tc>
          <w:tcPr>
            <w:tcW w:w="991" w:type="dxa"/>
            <w:tcBorders>
              <w:top w:val="single" w:sz="4" w:space="0" w:color="000000"/>
              <w:left w:val="single" w:sz="4" w:space="0" w:color="000000"/>
              <w:bottom w:val="single" w:sz="4" w:space="0" w:color="000000"/>
              <w:right w:val="single" w:sz="4" w:space="0" w:color="000000"/>
            </w:tcBorders>
          </w:tcPr>
          <w:p w14:paraId="6470838F" w14:textId="77777777" w:rsidR="00EF4EE8" w:rsidRDefault="00EF4EE8" w:rsidP="00EF4EE8">
            <w:pPr>
              <w:pStyle w:val="TableParagraph"/>
              <w:spacing w:before="75"/>
              <w:ind w:left="23" w:right="4"/>
              <w:jc w:val="center"/>
              <w:rPr>
                <w:sz w:val="18"/>
              </w:rPr>
            </w:pPr>
            <w:r>
              <w:rPr>
                <w:spacing w:val="-4"/>
                <w:sz w:val="18"/>
              </w:rPr>
              <w:t>0.46%</w:t>
            </w:r>
          </w:p>
        </w:tc>
        <w:tc>
          <w:tcPr>
            <w:tcW w:w="1984" w:type="dxa"/>
            <w:tcBorders>
              <w:top w:val="single" w:sz="4" w:space="0" w:color="000000"/>
              <w:left w:val="single" w:sz="4" w:space="0" w:color="000000"/>
              <w:bottom w:val="single" w:sz="4" w:space="0" w:color="000000"/>
              <w:right w:val="single" w:sz="4" w:space="0" w:color="000000"/>
            </w:tcBorders>
          </w:tcPr>
          <w:p w14:paraId="4B73FA10" w14:textId="051104AE" w:rsidR="00EF4EE8" w:rsidRDefault="00EF4EE8" w:rsidP="00EF4EE8">
            <w:pPr>
              <w:pStyle w:val="TableParagraph"/>
              <w:spacing w:before="75"/>
              <w:ind w:left="18"/>
              <w:jc w:val="center"/>
              <w:rPr>
                <w:sz w:val="18"/>
              </w:rPr>
            </w:pPr>
            <w:r>
              <w:rPr>
                <w:sz w:val="18"/>
              </w:rPr>
              <w:t>$</w:t>
            </w:r>
            <w:r>
              <w:rPr>
                <w:spacing w:val="1"/>
                <w:sz w:val="18"/>
              </w:rPr>
              <w:t xml:space="preserve"> </w:t>
            </w:r>
            <w:r>
              <w:rPr>
                <w:spacing w:val="-2"/>
                <w:sz w:val="18"/>
              </w:rPr>
              <w:t>4,824,647,120.00</w:t>
            </w:r>
          </w:p>
        </w:tc>
        <w:tc>
          <w:tcPr>
            <w:tcW w:w="1560" w:type="dxa"/>
            <w:tcBorders>
              <w:top w:val="single" w:sz="4" w:space="0" w:color="000000"/>
              <w:left w:val="single" w:sz="4" w:space="0" w:color="000000"/>
              <w:bottom w:val="single" w:sz="4" w:space="0" w:color="000000"/>
              <w:right w:val="single" w:sz="4" w:space="0" w:color="000000"/>
            </w:tcBorders>
          </w:tcPr>
          <w:p w14:paraId="3B4D0DFB" w14:textId="77777777" w:rsidR="00EF4EE8" w:rsidRDefault="00EF4EE8" w:rsidP="00EF4EE8">
            <w:pPr>
              <w:pStyle w:val="TableParagraph"/>
              <w:spacing w:before="75"/>
              <w:ind w:left="17"/>
              <w:jc w:val="center"/>
              <w:rPr>
                <w:sz w:val="18"/>
              </w:rPr>
            </w:pPr>
            <w:r>
              <w:rPr>
                <w:sz w:val="18"/>
              </w:rPr>
              <w:t>P08-</w:t>
            </w:r>
            <w:r>
              <w:rPr>
                <w:spacing w:val="-2"/>
                <w:sz w:val="18"/>
              </w:rPr>
              <w:t>0819030</w:t>
            </w:r>
          </w:p>
        </w:tc>
        <w:tc>
          <w:tcPr>
            <w:tcW w:w="991" w:type="dxa"/>
            <w:tcBorders>
              <w:top w:val="single" w:sz="4" w:space="0" w:color="000000"/>
              <w:left w:val="single" w:sz="4" w:space="0" w:color="000000"/>
              <w:bottom w:val="single" w:sz="4" w:space="0" w:color="000000"/>
              <w:right w:val="single" w:sz="4" w:space="0" w:color="000000"/>
            </w:tcBorders>
          </w:tcPr>
          <w:p w14:paraId="161E2BAE" w14:textId="77777777" w:rsidR="00EF4EE8" w:rsidRDefault="00EF4EE8" w:rsidP="00EF4EE8">
            <w:pPr>
              <w:pStyle w:val="TableParagraph"/>
              <w:spacing w:before="75"/>
              <w:ind w:left="23"/>
              <w:jc w:val="center"/>
              <w:rPr>
                <w:sz w:val="18"/>
              </w:rPr>
            </w:pPr>
            <w:r>
              <w:rPr>
                <w:spacing w:val="-2"/>
                <w:sz w:val="18"/>
              </w:rPr>
              <w:t>19/2019</w:t>
            </w:r>
          </w:p>
        </w:tc>
      </w:tr>
      <w:tr w:rsidR="00EF4EE8" w14:paraId="41184828" w14:textId="77777777" w:rsidTr="00EF4EE8">
        <w:trPr>
          <w:trHeight w:val="391"/>
          <w:jc w:val="center"/>
        </w:trPr>
        <w:tc>
          <w:tcPr>
            <w:tcW w:w="995" w:type="dxa"/>
            <w:tcBorders>
              <w:top w:val="single" w:sz="4" w:space="0" w:color="000000"/>
              <w:left w:val="single" w:sz="4" w:space="0" w:color="000000"/>
              <w:bottom w:val="single" w:sz="4" w:space="0" w:color="000000"/>
              <w:right w:val="single" w:sz="4" w:space="0" w:color="000000"/>
            </w:tcBorders>
          </w:tcPr>
          <w:p w14:paraId="7382B1EC" w14:textId="77777777" w:rsidR="00EF4EE8" w:rsidRDefault="00EF4EE8" w:rsidP="00EF4EE8">
            <w:pPr>
              <w:pStyle w:val="TableParagraph"/>
              <w:spacing w:before="76"/>
              <w:ind w:left="13"/>
              <w:jc w:val="center"/>
              <w:rPr>
                <w:sz w:val="18"/>
              </w:rPr>
            </w:pPr>
            <w:r>
              <w:rPr>
                <w:spacing w:val="-2"/>
                <w:sz w:val="18"/>
              </w:rPr>
              <w:t>Banobras</w:t>
            </w:r>
          </w:p>
        </w:tc>
        <w:tc>
          <w:tcPr>
            <w:tcW w:w="1274" w:type="dxa"/>
            <w:tcBorders>
              <w:top w:val="single" w:sz="4" w:space="0" w:color="000000"/>
              <w:left w:val="single" w:sz="4" w:space="0" w:color="000000"/>
              <w:bottom w:val="single" w:sz="4" w:space="0" w:color="000000"/>
              <w:right w:val="single" w:sz="4" w:space="0" w:color="000000"/>
            </w:tcBorders>
          </w:tcPr>
          <w:p w14:paraId="77F0AFF4" w14:textId="77777777" w:rsidR="00EF4EE8" w:rsidRDefault="00EF4EE8" w:rsidP="00EF4EE8">
            <w:pPr>
              <w:pStyle w:val="TableParagraph"/>
              <w:spacing w:before="76"/>
              <w:ind w:left="15"/>
              <w:jc w:val="center"/>
              <w:rPr>
                <w:sz w:val="18"/>
              </w:rPr>
            </w:pPr>
            <w:r>
              <w:rPr>
                <w:spacing w:val="-2"/>
                <w:sz w:val="18"/>
              </w:rPr>
              <w:t>31/07/2019</w:t>
            </w:r>
          </w:p>
        </w:tc>
        <w:tc>
          <w:tcPr>
            <w:tcW w:w="1692" w:type="dxa"/>
            <w:tcBorders>
              <w:top w:val="single" w:sz="4" w:space="0" w:color="000000"/>
              <w:left w:val="single" w:sz="4" w:space="0" w:color="000000"/>
              <w:bottom w:val="single" w:sz="4" w:space="0" w:color="000000"/>
              <w:right w:val="single" w:sz="4" w:space="0" w:color="000000"/>
            </w:tcBorders>
          </w:tcPr>
          <w:p w14:paraId="679B2258" w14:textId="77777777" w:rsidR="00EF4EE8" w:rsidRDefault="00EF4EE8" w:rsidP="00EF4EE8">
            <w:pPr>
              <w:pStyle w:val="TableParagraph"/>
              <w:spacing w:before="76"/>
              <w:ind w:left="13"/>
              <w:jc w:val="center"/>
              <w:rPr>
                <w:sz w:val="18"/>
              </w:rPr>
            </w:pPr>
            <w:r>
              <w:rPr>
                <w:spacing w:val="-2"/>
                <w:sz w:val="18"/>
              </w:rPr>
              <w:t>$4,416,500,000.00</w:t>
            </w:r>
          </w:p>
        </w:tc>
        <w:tc>
          <w:tcPr>
            <w:tcW w:w="993" w:type="dxa"/>
            <w:tcBorders>
              <w:top w:val="single" w:sz="4" w:space="0" w:color="000000"/>
              <w:left w:val="single" w:sz="4" w:space="0" w:color="000000"/>
              <w:bottom w:val="single" w:sz="4" w:space="0" w:color="000000"/>
              <w:right w:val="single" w:sz="4" w:space="0" w:color="000000"/>
            </w:tcBorders>
          </w:tcPr>
          <w:p w14:paraId="458169CD" w14:textId="77777777" w:rsidR="00EF4EE8" w:rsidRDefault="00EF4EE8" w:rsidP="00EF4EE8">
            <w:pPr>
              <w:pStyle w:val="TableParagraph"/>
              <w:spacing w:before="76"/>
              <w:ind w:left="13"/>
              <w:jc w:val="center"/>
              <w:rPr>
                <w:sz w:val="18"/>
              </w:rPr>
            </w:pPr>
            <w:r>
              <w:rPr>
                <w:sz w:val="18"/>
              </w:rPr>
              <w:t>TIIE 28</w:t>
            </w:r>
            <w:r>
              <w:rPr>
                <w:spacing w:val="-2"/>
                <w:sz w:val="18"/>
              </w:rPr>
              <w:t xml:space="preserve"> </w:t>
            </w:r>
            <w:r>
              <w:rPr>
                <w:spacing w:val="-10"/>
                <w:sz w:val="18"/>
              </w:rPr>
              <w:t>+</w:t>
            </w:r>
          </w:p>
        </w:tc>
        <w:tc>
          <w:tcPr>
            <w:tcW w:w="991" w:type="dxa"/>
            <w:tcBorders>
              <w:top w:val="single" w:sz="4" w:space="0" w:color="000000"/>
              <w:left w:val="single" w:sz="4" w:space="0" w:color="000000"/>
              <w:bottom w:val="single" w:sz="4" w:space="0" w:color="000000"/>
              <w:right w:val="single" w:sz="4" w:space="0" w:color="000000"/>
            </w:tcBorders>
          </w:tcPr>
          <w:p w14:paraId="10C4C387" w14:textId="77777777" w:rsidR="00EF4EE8" w:rsidRDefault="00EF4EE8" w:rsidP="00EF4EE8">
            <w:pPr>
              <w:pStyle w:val="TableParagraph"/>
              <w:spacing w:before="76"/>
              <w:ind w:left="23" w:right="4"/>
              <w:jc w:val="center"/>
              <w:rPr>
                <w:sz w:val="18"/>
              </w:rPr>
            </w:pPr>
            <w:r>
              <w:rPr>
                <w:spacing w:val="-4"/>
                <w:sz w:val="18"/>
              </w:rPr>
              <w:t>0.51%</w:t>
            </w:r>
          </w:p>
        </w:tc>
        <w:tc>
          <w:tcPr>
            <w:tcW w:w="1984" w:type="dxa"/>
            <w:tcBorders>
              <w:top w:val="single" w:sz="4" w:space="0" w:color="000000"/>
              <w:left w:val="single" w:sz="4" w:space="0" w:color="000000"/>
              <w:bottom w:val="single" w:sz="4" w:space="0" w:color="000000"/>
              <w:right w:val="single" w:sz="4" w:space="0" w:color="000000"/>
            </w:tcBorders>
          </w:tcPr>
          <w:p w14:paraId="678DD4A7" w14:textId="78ED3105" w:rsidR="00EF4EE8" w:rsidRDefault="00EF4EE8" w:rsidP="00EF4EE8">
            <w:pPr>
              <w:pStyle w:val="TableParagraph"/>
              <w:spacing w:before="76"/>
              <w:ind w:left="18"/>
              <w:jc w:val="center"/>
              <w:rPr>
                <w:sz w:val="18"/>
              </w:rPr>
            </w:pPr>
            <w:r>
              <w:rPr>
                <w:sz w:val="18"/>
              </w:rPr>
              <w:t>$</w:t>
            </w:r>
            <w:r>
              <w:rPr>
                <w:spacing w:val="1"/>
                <w:sz w:val="18"/>
              </w:rPr>
              <w:t xml:space="preserve"> </w:t>
            </w:r>
            <w:r>
              <w:rPr>
                <w:spacing w:val="-2"/>
                <w:sz w:val="18"/>
              </w:rPr>
              <w:t>4,261,610,800.74</w:t>
            </w:r>
          </w:p>
        </w:tc>
        <w:tc>
          <w:tcPr>
            <w:tcW w:w="1560" w:type="dxa"/>
            <w:tcBorders>
              <w:top w:val="single" w:sz="4" w:space="0" w:color="000000"/>
              <w:left w:val="single" w:sz="4" w:space="0" w:color="000000"/>
              <w:bottom w:val="single" w:sz="4" w:space="0" w:color="000000"/>
              <w:right w:val="single" w:sz="4" w:space="0" w:color="000000"/>
            </w:tcBorders>
          </w:tcPr>
          <w:p w14:paraId="4723F6DD" w14:textId="77777777" w:rsidR="00EF4EE8" w:rsidRDefault="00EF4EE8" w:rsidP="00EF4EE8">
            <w:pPr>
              <w:pStyle w:val="TableParagraph"/>
              <w:spacing w:before="76"/>
              <w:ind w:left="17"/>
              <w:jc w:val="center"/>
              <w:rPr>
                <w:sz w:val="18"/>
              </w:rPr>
            </w:pPr>
            <w:r>
              <w:rPr>
                <w:sz w:val="18"/>
              </w:rPr>
              <w:t>P08-</w:t>
            </w:r>
            <w:r>
              <w:rPr>
                <w:spacing w:val="-2"/>
                <w:sz w:val="18"/>
              </w:rPr>
              <w:t>0819028</w:t>
            </w:r>
          </w:p>
        </w:tc>
        <w:tc>
          <w:tcPr>
            <w:tcW w:w="991" w:type="dxa"/>
            <w:tcBorders>
              <w:top w:val="single" w:sz="4" w:space="0" w:color="000000"/>
              <w:left w:val="single" w:sz="4" w:space="0" w:color="000000"/>
              <w:bottom w:val="single" w:sz="4" w:space="0" w:color="000000"/>
              <w:right w:val="single" w:sz="4" w:space="0" w:color="000000"/>
            </w:tcBorders>
          </w:tcPr>
          <w:p w14:paraId="49C26137" w14:textId="77777777" w:rsidR="00EF4EE8" w:rsidRDefault="00EF4EE8" w:rsidP="00EF4EE8">
            <w:pPr>
              <w:pStyle w:val="TableParagraph"/>
              <w:spacing w:before="76"/>
              <w:ind w:left="23"/>
              <w:jc w:val="center"/>
              <w:rPr>
                <w:sz w:val="18"/>
              </w:rPr>
            </w:pPr>
            <w:r>
              <w:rPr>
                <w:spacing w:val="-2"/>
                <w:sz w:val="18"/>
              </w:rPr>
              <w:t>17/2019</w:t>
            </w:r>
          </w:p>
        </w:tc>
      </w:tr>
      <w:tr w:rsidR="00EF4EE8" w14:paraId="0A2EB5C8" w14:textId="77777777" w:rsidTr="00EF4EE8">
        <w:trPr>
          <w:trHeight w:val="393"/>
          <w:jc w:val="center"/>
        </w:trPr>
        <w:tc>
          <w:tcPr>
            <w:tcW w:w="995" w:type="dxa"/>
            <w:tcBorders>
              <w:top w:val="single" w:sz="4" w:space="0" w:color="000000"/>
              <w:left w:val="single" w:sz="4" w:space="0" w:color="000000"/>
              <w:bottom w:val="single" w:sz="4" w:space="0" w:color="000000"/>
              <w:right w:val="single" w:sz="4" w:space="0" w:color="000000"/>
            </w:tcBorders>
          </w:tcPr>
          <w:p w14:paraId="5B9503D1" w14:textId="77777777" w:rsidR="00EF4EE8" w:rsidRDefault="00EF4EE8" w:rsidP="00EF4EE8">
            <w:pPr>
              <w:pStyle w:val="TableParagraph"/>
              <w:spacing w:before="75"/>
              <w:ind w:left="13" w:right="1"/>
              <w:jc w:val="center"/>
              <w:rPr>
                <w:sz w:val="18"/>
              </w:rPr>
            </w:pPr>
            <w:r>
              <w:rPr>
                <w:spacing w:val="-2"/>
                <w:sz w:val="18"/>
              </w:rPr>
              <w:t>Santander</w:t>
            </w:r>
          </w:p>
        </w:tc>
        <w:tc>
          <w:tcPr>
            <w:tcW w:w="1274" w:type="dxa"/>
            <w:tcBorders>
              <w:top w:val="single" w:sz="4" w:space="0" w:color="000000"/>
              <w:left w:val="single" w:sz="4" w:space="0" w:color="000000"/>
              <w:bottom w:val="single" w:sz="4" w:space="0" w:color="000000"/>
              <w:right w:val="single" w:sz="4" w:space="0" w:color="000000"/>
            </w:tcBorders>
          </w:tcPr>
          <w:p w14:paraId="7EC0483B" w14:textId="77777777" w:rsidR="00EF4EE8" w:rsidRDefault="00EF4EE8" w:rsidP="00EF4EE8">
            <w:pPr>
              <w:pStyle w:val="TableParagraph"/>
              <w:spacing w:before="75"/>
              <w:ind w:left="15"/>
              <w:jc w:val="center"/>
              <w:rPr>
                <w:sz w:val="18"/>
              </w:rPr>
            </w:pPr>
            <w:r>
              <w:rPr>
                <w:spacing w:val="-2"/>
                <w:sz w:val="18"/>
              </w:rPr>
              <w:t>15/07/2019</w:t>
            </w:r>
          </w:p>
        </w:tc>
        <w:tc>
          <w:tcPr>
            <w:tcW w:w="1692" w:type="dxa"/>
            <w:tcBorders>
              <w:top w:val="single" w:sz="4" w:space="0" w:color="000000"/>
              <w:left w:val="single" w:sz="4" w:space="0" w:color="000000"/>
              <w:bottom w:val="single" w:sz="4" w:space="0" w:color="000000"/>
              <w:right w:val="single" w:sz="4" w:space="0" w:color="000000"/>
            </w:tcBorders>
          </w:tcPr>
          <w:p w14:paraId="31A0016F" w14:textId="77777777" w:rsidR="00EF4EE8" w:rsidRDefault="00EF4EE8" w:rsidP="00EF4EE8">
            <w:pPr>
              <w:pStyle w:val="TableParagraph"/>
              <w:spacing w:before="75"/>
              <w:ind w:left="13"/>
              <w:jc w:val="center"/>
              <w:rPr>
                <w:sz w:val="18"/>
              </w:rPr>
            </w:pPr>
            <w:r>
              <w:rPr>
                <w:spacing w:val="-2"/>
                <w:sz w:val="18"/>
              </w:rPr>
              <w:t>$1,900,000,000.00</w:t>
            </w:r>
          </w:p>
        </w:tc>
        <w:tc>
          <w:tcPr>
            <w:tcW w:w="993" w:type="dxa"/>
            <w:tcBorders>
              <w:top w:val="single" w:sz="4" w:space="0" w:color="000000"/>
              <w:left w:val="single" w:sz="4" w:space="0" w:color="000000"/>
              <w:bottom w:val="single" w:sz="4" w:space="0" w:color="000000"/>
              <w:right w:val="single" w:sz="4" w:space="0" w:color="000000"/>
            </w:tcBorders>
          </w:tcPr>
          <w:p w14:paraId="6263DEDB" w14:textId="77777777" w:rsidR="00EF4EE8" w:rsidRDefault="00EF4EE8" w:rsidP="00EF4EE8">
            <w:pPr>
              <w:pStyle w:val="TableParagraph"/>
              <w:spacing w:before="75"/>
              <w:ind w:left="13"/>
              <w:jc w:val="center"/>
              <w:rPr>
                <w:sz w:val="18"/>
              </w:rPr>
            </w:pPr>
            <w:r>
              <w:rPr>
                <w:sz w:val="18"/>
              </w:rPr>
              <w:t>TIIE 28</w:t>
            </w:r>
            <w:r>
              <w:rPr>
                <w:spacing w:val="-2"/>
                <w:sz w:val="18"/>
              </w:rPr>
              <w:t xml:space="preserve"> </w:t>
            </w:r>
            <w:r>
              <w:rPr>
                <w:spacing w:val="-10"/>
                <w:sz w:val="18"/>
              </w:rPr>
              <w:t>+</w:t>
            </w:r>
          </w:p>
        </w:tc>
        <w:tc>
          <w:tcPr>
            <w:tcW w:w="991" w:type="dxa"/>
            <w:tcBorders>
              <w:top w:val="single" w:sz="4" w:space="0" w:color="000000"/>
              <w:left w:val="single" w:sz="4" w:space="0" w:color="000000"/>
              <w:bottom w:val="single" w:sz="4" w:space="0" w:color="000000"/>
              <w:right w:val="single" w:sz="4" w:space="0" w:color="000000"/>
            </w:tcBorders>
          </w:tcPr>
          <w:p w14:paraId="2C69681A" w14:textId="77777777" w:rsidR="00EF4EE8" w:rsidRDefault="00EF4EE8" w:rsidP="00EF4EE8">
            <w:pPr>
              <w:pStyle w:val="TableParagraph"/>
              <w:spacing w:before="75"/>
              <w:ind w:left="23" w:right="4"/>
              <w:jc w:val="center"/>
              <w:rPr>
                <w:sz w:val="18"/>
              </w:rPr>
            </w:pPr>
            <w:r>
              <w:rPr>
                <w:spacing w:val="-4"/>
                <w:sz w:val="18"/>
              </w:rPr>
              <w:t>0.75%</w:t>
            </w:r>
          </w:p>
        </w:tc>
        <w:tc>
          <w:tcPr>
            <w:tcW w:w="1984" w:type="dxa"/>
            <w:tcBorders>
              <w:top w:val="single" w:sz="4" w:space="0" w:color="000000"/>
              <w:left w:val="single" w:sz="4" w:space="0" w:color="000000"/>
              <w:bottom w:val="single" w:sz="4" w:space="0" w:color="000000"/>
              <w:right w:val="single" w:sz="4" w:space="0" w:color="000000"/>
            </w:tcBorders>
          </w:tcPr>
          <w:p w14:paraId="62CB808A" w14:textId="3E7E744B" w:rsidR="00EF4EE8" w:rsidRDefault="00EF4EE8" w:rsidP="00EF4EE8">
            <w:pPr>
              <w:pStyle w:val="TableParagraph"/>
              <w:spacing w:before="75"/>
              <w:ind w:left="18"/>
              <w:jc w:val="center"/>
              <w:rPr>
                <w:sz w:val="18"/>
              </w:rPr>
            </w:pPr>
            <w:r>
              <w:rPr>
                <w:sz w:val="18"/>
              </w:rPr>
              <w:t>$</w:t>
            </w:r>
            <w:r>
              <w:rPr>
                <w:spacing w:val="1"/>
                <w:sz w:val="18"/>
              </w:rPr>
              <w:t xml:space="preserve"> </w:t>
            </w:r>
            <w:r>
              <w:rPr>
                <w:spacing w:val="-2"/>
                <w:sz w:val="18"/>
              </w:rPr>
              <w:t>1,830,934,616.85</w:t>
            </w:r>
          </w:p>
        </w:tc>
        <w:tc>
          <w:tcPr>
            <w:tcW w:w="1560" w:type="dxa"/>
            <w:tcBorders>
              <w:top w:val="single" w:sz="4" w:space="0" w:color="000000"/>
              <w:left w:val="single" w:sz="4" w:space="0" w:color="000000"/>
              <w:bottom w:val="single" w:sz="4" w:space="0" w:color="000000"/>
              <w:right w:val="single" w:sz="4" w:space="0" w:color="000000"/>
            </w:tcBorders>
          </w:tcPr>
          <w:p w14:paraId="340F18D5" w14:textId="77777777" w:rsidR="00EF4EE8" w:rsidRDefault="00EF4EE8" w:rsidP="00EF4EE8">
            <w:pPr>
              <w:pStyle w:val="TableParagraph"/>
              <w:spacing w:before="75"/>
              <w:ind w:left="17"/>
              <w:jc w:val="center"/>
              <w:rPr>
                <w:sz w:val="18"/>
              </w:rPr>
            </w:pPr>
            <w:r>
              <w:rPr>
                <w:sz w:val="18"/>
              </w:rPr>
              <w:t>P08-</w:t>
            </w:r>
            <w:r>
              <w:rPr>
                <w:spacing w:val="-2"/>
                <w:sz w:val="18"/>
              </w:rPr>
              <w:t>0919038</w:t>
            </w:r>
          </w:p>
        </w:tc>
        <w:tc>
          <w:tcPr>
            <w:tcW w:w="991" w:type="dxa"/>
            <w:tcBorders>
              <w:top w:val="single" w:sz="4" w:space="0" w:color="000000"/>
              <w:left w:val="single" w:sz="4" w:space="0" w:color="000000"/>
              <w:bottom w:val="single" w:sz="4" w:space="0" w:color="000000"/>
              <w:right w:val="single" w:sz="4" w:space="0" w:color="000000"/>
            </w:tcBorders>
          </w:tcPr>
          <w:p w14:paraId="42387008" w14:textId="77777777" w:rsidR="00EF4EE8" w:rsidRDefault="00EF4EE8" w:rsidP="00EF4EE8">
            <w:pPr>
              <w:pStyle w:val="TableParagraph"/>
              <w:spacing w:before="75"/>
              <w:ind w:left="23"/>
              <w:jc w:val="center"/>
              <w:rPr>
                <w:sz w:val="18"/>
              </w:rPr>
            </w:pPr>
            <w:r>
              <w:rPr>
                <w:spacing w:val="-2"/>
                <w:sz w:val="18"/>
              </w:rPr>
              <w:t>13/2019</w:t>
            </w:r>
          </w:p>
        </w:tc>
      </w:tr>
    </w:tbl>
    <w:p w14:paraId="63F413A9"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5CCEADBC"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Los financiamientos autorizados en el presente Artículo podrán instrumentarse a través de uno o varios contratos de crédito, hasta por un plazo de 25 (veinticinco) años equivalentes, aproximadamente, a 9,131 (nueve mil ciento treinta y un) días naturales, contados a partir de la firma de cada contrato de crédito.</w:t>
      </w:r>
    </w:p>
    <w:p w14:paraId="7FEBF982" w14:textId="77777777" w:rsidR="00EE06FC" w:rsidRPr="00614C9E" w:rsidRDefault="00EE06FC" w:rsidP="00EE06FC">
      <w:pPr>
        <w:spacing w:after="160" w:line="360" w:lineRule="auto"/>
        <w:jc w:val="both"/>
        <w:rPr>
          <w:rFonts w:ascii="Century Gothic" w:eastAsia="Calibri" w:hAnsi="Century Gothic"/>
          <w:sz w:val="16"/>
          <w:szCs w:val="16"/>
          <w:lang w:eastAsia="en-US"/>
        </w:rPr>
      </w:pPr>
    </w:p>
    <w:p w14:paraId="1ACFE5DE" w14:textId="3D006916" w:rsidR="00EE06FC" w:rsidRPr="00B54879" w:rsidRDefault="00EE06FC" w:rsidP="00EE06FC">
      <w:pPr>
        <w:spacing w:after="160" w:line="360" w:lineRule="auto"/>
        <w:jc w:val="both"/>
        <w:rPr>
          <w:rFonts w:ascii="Century Gothic" w:eastAsia="Calibri" w:hAnsi="Century Gothic"/>
          <w:b/>
          <w:sz w:val="24"/>
          <w:szCs w:val="24"/>
          <w:lang w:eastAsia="en-US"/>
        </w:rPr>
      </w:pPr>
      <w:r w:rsidRPr="00B54879">
        <w:rPr>
          <w:rFonts w:ascii="Century Gothic" w:eastAsia="Calibri" w:hAnsi="Century Gothic"/>
          <w:b/>
          <w:sz w:val="24"/>
          <w:szCs w:val="24"/>
          <w:lang w:eastAsia="en-US"/>
        </w:rPr>
        <w:t>Artículo Cuarto. Refinanciamiento del Bono Cupón Cero</w:t>
      </w:r>
      <w:r w:rsidR="00B54879" w:rsidRPr="00B54879">
        <w:rPr>
          <w:rFonts w:ascii="Century Gothic" w:eastAsia="Calibri" w:hAnsi="Century Gothic"/>
          <w:b/>
          <w:sz w:val="24"/>
          <w:szCs w:val="24"/>
          <w:lang w:eastAsia="en-US"/>
        </w:rPr>
        <w:t>.</w:t>
      </w:r>
    </w:p>
    <w:p w14:paraId="34B23005" w14:textId="77777777" w:rsidR="00EE06FC" w:rsidRPr="00614C9E" w:rsidRDefault="00EE06FC" w:rsidP="00EE06FC">
      <w:pPr>
        <w:spacing w:after="160" w:line="360" w:lineRule="auto"/>
        <w:jc w:val="both"/>
        <w:rPr>
          <w:rFonts w:ascii="Century Gothic" w:eastAsia="Calibri" w:hAnsi="Century Gothic"/>
          <w:sz w:val="16"/>
          <w:szCs w:val="16"/>
          <w:lang w:eastAsia="en-US"/>
        </w:rPr>
      </w:pPr>
    </w:p>
    <w:p w14:paraId="6A2127C5" w14:textId="799192F2"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Los recursos derivados del financiamiento autorizado en este Artículo, contratado a través de uno o más créditos, hasta por un monto de $665,394,050.16 (Seiscientos sesenta y cinco millones trescientos noventa y cuatro mil cincuenta pesos 16/100 Moneda Nacional) sin incluir intereses, deberán destinarse al refinanciamiento del financiamiento otorgado</w:t>
      </w:r>
      <w:r w:rsidR="00B54879">
        <w:rPr>
          <w:rFonts w:ascii="Century Gothic" w:eastAsia="Calibri" w:hAnsi="Century Gothic"/>
          <w:sz w:val="24"/>
          <w:szCs w:val="24"/>
          <w:lang w:eastAsia="en-US"/>
        </w:rPr>
        <w:t xml:space="preserve"> </w:t>
      </w:r>
      <w:r w:rsidRPr="00EE06FC">
        <w:rPr>
          <w:rFonts w:ascii="Century Gothic" w:eastAsia="Calibri" w:hAnsi="Century Gothic"/>
          <w:sz w:val="24"/>
          <w:szCs w:val="24"/>
          <w:lang w:eastAsia="en-US"/>
        </w:rPr>
        <w:t>al Estado</w:t>
      </w:r>
      <w:r w:rsidR="005C42FD">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por BANOBRAS, al amparo del programa federal Fondo de Apoyo para la Infraestructura y Seguridad Pública (PROFISE):</w:t>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84"/>
        <w:gridCol w:w="1274"/>
        <w:gridCol w:w="1560"/>
        <w:gridCol w:w="1274"/>
        <w:gridCol w:w="994"/>
        <w:gridCol w:w="1627"/>
        <w:gridCol w:w="1349"/>
        <w:gridCol w:w="993"/>
      </w:tblGrid>
      <w:tr w:rsidR="00B54879" w14:paraId="1021D71F" w14:textId="77777777" w:rsidTr="00B54879">
        <w:trPr>
          <w:trHeight w:val="364"/>
          <w:jc w:val="center"/>
        </w:trPr>
        <w:tc>
          <w:tcPr>
            <w:tcW w:w="984" w:type="dxa"/>
            <w:vMerge w:val="restart"/>
          </w:tcPr>
          <w:p w14:paraId="79A2BC37" w14:textId="77777777" w:rsidR="00B54879" w:rsidRDefault="00B54879" w:rsidP="009E70A2">
            <w:pPr>
              <w:pStyle w:val="TableParagraph"/>
              <w:spacing w:before="56"/>
              <w:rPr>
                <w:sz w:val="18"/>
              </w:rPr>
            </w:pPr>
          </w:p>
          <w:p w14:paraId="731B9365" w14:textId="77777777" w:rsidR="00B54879" w:rsidRDefault="00B54879" w:rsidP="009E70A2">
            <w:pPr>
              <w:pStyle w:val="TableParagraph"/>
              <w:spacing w:before="1"/>
              <w:ind w:left="126"/>
              <w:rPr>
                <w:sz w:val="18"/>
              </w:rPr>
            </w:pPr>
            <w:r>
              <w:rPr>
                <w:spacing w:val="-2"/>
                <w:sz w:val="18"/>
              </w:rPr>
              <w:t>Acreedor</w:t>
            </w:r>
          </w:p>
        </w:tc>
        <w:tc>
          <w:tcPr>
            <w:tcW w:w="1274" w:type="dxa"/>
            <w:vMerge w:val="restart"/>
          </w:tcPr>
          <w:p w14:paraId="03F28EFE" w14:textId="77777777" w:rsidR="00B54879" w:rsidRDefault="00B54879" w:rsidP="009E70A2">
            <w:pPr>
              <w:pStyle w:val="TableParagraph"/>
              <w:spacing w:before="144" w:line="278" w:lineRule="auto"/>
              <w:ind w:left="129" w:firstLine="132"/>
              <w:rPr>
                <w:sz w:val="18"/>
              </w:rPr>
            </w:pPr>
            <w:r>
              <w:rPr>
                <w:sz w:val="18"/>
              </w:rPr>
              <w:t xml:space="preserve">Fecha de </w:t>
            </w:r>
            <w:r>
              <w:rPr>
                <w:spacing w:val="-2"/>
                <w:sz w:val="18"/>
              </w:rPr>
              <w:t>Contratación</w:t>
            </w:r>
          </w:p>
        </w:tc>
        <w:tc>
          <w:tcPr>
            <w:tcW w:w="1560" w:type="dxa"/>
            <w:vMerge w:val="restart"/>
          </w:tcPr>
          <w:p w14:paraId="0B645F26" w14:textId="77777777" w:rsidR="00B54879" w:rsidRDefault="00B54879" w:rsidP="009E70A2">
            <w:pPr>
              <w:pStyle w:val="TableParagraph"/>
              <w:spacing w:before="144" w:line="278" w:lineRule="auto"/>
              <w:ind w:left="336" w:firstLine="194"/>
              <w:rPr>
                <w:sz w:val="18"/>
              </w:rPr>
            </w:pPr>
            <w:r>
              <w:rPr>
                <w:spacing w:val="-2"/>
                <w:sz w:val="18"/>
              </w:rPr>
              <w:t>Monto Contratado</w:t>
            </w:r>
          </w:p>
        </w:tc>
        <w:tc>
          <w:tcPr>
            <w:tcW w:w="2268" w:type="dxa"/>
            <w:gridSpan w:val="2"/>
          </w:tcPr>
          <w:p w14:paraId="24A2E31D" w14:textId="77777777" w:rsidR="00B54879" w:rsidRDefault="00B54879" w:rsidP="009E70A2">
            <w:pPr>
              <w:pStyle w:val="TableParagraph"/>
              <w:spacing w:before="62"/>
              <w:ind w:left="25"/>
              <w:jc w:val="center"/>
              <w:rPr>
                <w:sz w:val="18"/>
              </w:rPr>
            </w:pPr>
            <w:r>
              <w:rPr>
                <w:spacing w:val="-4"/>
                <w:sz w:val="18"/>
              </w:rPr>
              <w:t>Tasa</w:t>
            </w:r>
          </w:p>
        </w:tc>
        <w:tc>
          <w:tcPr>
            <w:tcW w:w="1627" w:type="dxa"/>
            <w:vMerge w:val="restart"/>
          </w:tcPr>
          <w:p w14:paraId="17EF8CC1" w14:textId="77777777" w:rsidR="00B54879" w:rsidRDefault="00B54879" w:rsidP="009E70A2">
            <w:pPr>
              <w:pStyle w:val="TableParagraph"/>
              <w:spacing w:before="144" w:line="278" w:lineRule="auto"/>
              <w:ind w:left="145" w:right="117" w:firstLine="93"/>
              <w:rPr>
                <w:sz w:val="18"/>
              </w:rPr>
            </w:pPr>
            <w:r>
              <w:rPr>
                <w:sz w:val="18"/>
              </w:rPr>
              <w:t>Saldo al 31 de Octubre</w:t>
            </w:r>
            <w:r>
              <w:rPr>
                <w:spacing w:val="-15"/>
                <w:sz w:val="18"/>
              </w:rPr>
              <w:t xml:space="preserve"> </w:t>
            </w:r>
            <w:r>
              <w:rPr>
                <w:sz w:val="18"/>
              </w:rPr>
              <w:t>de</w:t>
            </w:r>
            <w:r>
              <w:rPr>
                <w:spacing w:val="-12"/>
                <w:sz w:val="18"/>
              </w:rPr>
              <w:t xml:space="preserve"> </w:t>
            </w:r>
            <w:r>
              <w:rPr>
                <w:sz w:val="18"/>
              </w:rPr>
              <w:t>2025</w:t>
            </w:r>
          </w:p>
        </w:tc>
        <w:tc>
          <w:tcPr>
            <w:tcW w:w="1349" w:type="dxa"/>
            <w:vMerge w:val="restart"/>
          </w:tcPr>
          <w:p w14:paraId="5BF78AF3" w14:textId="77777777" w:rsidR="00B54879" w:rsidRDefault="00B54879" w:rsidP="009E70A2">
            <w:pPr>
              <w:pStyle w:val="TableParagraph"/>
              <w:spacing w:before="56"/>
              <w:rPr>
                <w:sz w:val="18"/>
              </w:rPr>
            </w:pPr>
          </w:p>
          <w:p w14:paraId="429A6704" w14:textId="77777777" w:rsidR="00B54879" w:rsidRDefault="00B54879" w:rsidP="009E70A2">
            <w:pPr>
              <w:pStyle w:val="TableParagraph"/>
              <w:spacing w:before="1"/>
              <w:ind w:left="104"/>
              <w:rPr>
                <w:sz w:val="18"/>
              </w:rPr>
            </w:pPr>
            <w:r>
              <w:rPr>
                <w:sz w:val="18"/>
              </w:rPr>
              <w:t>Clave</w:t>
            </w:r>
            <w:r>
              <w:rPr>
                <w:spacing w:val="-2"/>
                <w:sz w:val="18"/>
              </w:rPr>
              <w:t xml:space="preserve"> </w:t>
            </w:r>
            <w:r>
              <w:rPr>
                <w:sz w:val="18"/>
              </w:rPr>
              <w:t xml:space="preserve">de </w:t>
            </w:r>
            <w:r>
              <w:rPr>
                <w:spacing w:val="-5"/>
                <w:sz w:val="18"/>
              </w:rPr>
              <w:t>RPU</w:t>
            </w:r>
          </w:p>
        </w:tc>
        <w:tc>
          <w:tcPr>
            <w:tcW w:w="993" w:type="dxa"/>
            <w:vMerge w:val="restart"/>
          </w:tcPr>
          <w:p w14:paraId="386EDD05" w14:textId="77777777" w:rsidR="00B54879" w:rsidRDefault="00B54879" w:rsidP="009E70A2">
            <w:pPr>
              <w:pStyle w:val="TableParagraph"/>
              <w:spacing w:before="144" w:line="278" w:lineRule="auto"/>
              <w:ind w:left="225" w:right="137" w:hanging="63"/>
              <w:rPr>
                <w:sz w:val="18"/>
              </w:rPr>
            </w:pPr>
            <w:r>
              <w:rPr>
                <w:spacing w:val="-2"/>
                <w:sz w:val="18"/>
              </w:rPr>
              <w:t>Registro Estatal</w:t>
            </w:r>
          </w:p>
        </w:tc>
      </w:tr>
      <w:tr w:rsidR="00B54879" w14:paraId="39517FA6" w14:textId="77777777" w:rsidTr="00B54879">
        <w:trPr>
          <w:trHeight w:val="481"/>
          <w:jc w:val="center"/>
        </w:trPr>
        <w:tc>
          <w:tcPr>
            <w:tcW w:w="984" w:type="dxa"/>
            <w:vMerge/>
            <w:tcBorders>
              <w:top w:val="nil"/>
            </w:tcBorders>
          </w:tcPr>
          <w:p w14:paraId="7D466C9E" w14:textId="77777777" w:rsidR="00B54879" w:rsidRDefault="00B54879" w:rsidP="009E70A2">
            <w:pPr>
              <w:rPr>
                <w:sz w:val="2"/>
                <w:szCs w:val="2"/>
              </w:rPr>
            </w:pPr>
          </w:p>
        </w:tc>
        <w:tc>
          <w:tcPr>
            <w:tcW w:w="1274" w:type="dxa"/>
            <w:vMerge/>
            <w:tcBorders>
              <w:top w:val="nil"/>
            </w:tcBorders>
          </w:tcPr>
          <w:p w14:paraId="11C1D79F" w14:textId="77777777" w:rsidR="00B54879" w:rsidRDefault="00B54879" w:rsidP="009E70A2">
            <w:pPr>
              <w:rPr>
                <w:sz w:val="2"/>
                <w:szCs w:val="2"/>
              </w:rPr>
            </w:pPr>
          </w:p>
        </w:tc>
        <w:tc>
          <w:tcPr>
            <w:tcW w:w="1560" w:type="dxa"/>
            <w:vMerge/>
            <w:tcBorders>
              <w:top w:val="nil"/>
            </w:tcBorders>
          </w:tcPr>
          <w:p w14:paraId="5479A9BB" w14:textId="77777777" w:rsidR="00B54879" w:rsidRDefault="00B54879" w:rsidP="009E70A2">
            <w:pPr>
              <w:rPr>
                <w:sz w:val="2"/>
                <w:szCs w:val="2"/>
              </w:rPr>
            </w:pPr>
          </w:p>
        </w:tc>
        <w:tc>
          <w:tcPr>
            <w:tcW w:w="1274" w:type="dxa"/>
          </w:tcPr>
          <w:p w14:paraId="5A7142E6" w14:textId="77777777" w:rsidR="00B54879" w:rsidRDefault="00B54879" w:rsidP="009E70A2">
            <w:pPr>
              <w:pStyle w:val="TableParagraph"/>
              <w:spacing w:before="122"/>
              <w:ind w:left="28" w:right="3"/>
              <w:jc w:val="center"/>
              <w:rPr>
                <w:sz w:val="18"/>
              </w:rPr>
            </w:pPr>
            <w:r>
              <w:rPr>
                <w:spacing w:val="-4"/>
                <w:sz w:val="18"/>
              </w:rPr>
              <w:t>TIIE</w:t>
            </w:r>
          </w:p>
        </w:tc>
        <w:tc>
          <w:tcPr>
            <w:tcW w:w="994" w:type="dxa"/>
          </w:tcPr>
          <w:p w14:paraId="462054D6" w14:textId="77777777" w:rsidR="00B54879" w:rsidRDefault="00B54879" w:rsidP="009E70A2">
            <w:pPr>
              <w:pStyle w:val="TableParagraph"/>
              <w:spacing w:before="122"/>
              <w:ind w:left="26" w:right="3"/>
              <w:jc w:val="center"/>
              <w:rPr>
                <w:sz w:val="18"/>
              </w:rPr>
            </w:pPr>
            <w:r>
              <w:rPr>
                <w:spacing w:val="-2"/>
                <w:sz w:val="18"/>
              </w:rPr>
              <w:t>Sobretasa</w:t>
            </w:r>
          </w:p>
        </w:tc>
        <w:tc>
          <w:tcPr>
            <w:tcW w:w="1627" w:type="dxa"/>
            <w:vMerge/>
            <w:tcBorders>
              <w:top w:val="nil"/>
            </w:tcBorders>
          </w:tcPr>
          <w:p w14:paraId="61636311" w14:textId="77777777" w:rsidR="00B54879" w:rsidRDefault="00B54879" w:rsidP="009E70A2">
            <w:pPr>
              <w:rPr>
                <w:sz w:val="2"/>
                <w:szCs w:val="2"/>
              </w:rPr>
            </w:pPr>
          </w:p>
        </w:tc>
        <w:tc>
          <w:tcPr>
            <w:tcW w:w="1349" w:type="dxa"/>
            <w:vMerge/>
            <w:tcBorders>
              <w:top w:val="nil"/>
            </w:tcBorders>
          </w:tcPr>
          <w:p w14:paraId="3CDC6E66" w14:textId="77777777" w:rsidR="00B54879" w:rsidRDefault="00B54879" w:rsidP="009E70A2">
            <w:pPr>
              <w:rPr>
                <w:sz w:val="2"/>
                <w:szCs w:val="2"/>
              </w:rPr>
            </w:pPr>
          </w:p>
        </w:tc>
        <w:tc>
          <w:tcPr>
            <w:tcW w:w="993" w:type="dxa"/>
            <w:vMerge/>
            <w:tcBorders>
              <w:top w:val="nil"/>
            </w:tcBorders>
          </w:tcPr>
          <w:p w14:paraId="6F84161E" w14:textId="77777777" w:rsidR="00B54879" w:rsidRDefault="00B54879" w:rsidP="009E70A2">
            <w:pPr>
              <w:rPr>
                <w:sz w:val="2"/>
                <w:szCs w:val="2"/>
              </w:rPr>
            </w:pPr>
          </w:p>
        </w:tc>
      </w:tr>
      <w:tr w:rsidR="00B54879" w14:paraId="2EC22B3E" w14:textId="77777777" w:rsidTr="00B54879">
        <w:trPr>
          <w:trHeight w:val="402"/>
          <w:jc w:val="center"/>
        </w:trPr>
        <w:tc>
          <w:tcPr>
            <w:tcW w:w="984" w:type="dxa"/>
          </w:tcPr>
          <w:p w14:paraId="069ADBCD" w14:textId="77777777" w:rsidR="00B54879" w:rsidRDefault="00B54879" w:rsidP="009E70A2">
            <w:pPr>
              <w:pStyle w:val="TableParagraph"/>
              <w:spacing w:before="81"/>
              <w:ind w:left="107"/>
              <w:rPr>
                <w:sz w:val="18"/>
              </w:rPr>
            </w:pPr>
            <w:r>
              <w:rPr>
                <w:spacing w:val="-2"/>
                <w:sz w:val="18"/>
              </w:rPr>
              <w:t>Banobras</w:t>
            </w:r>
          </w:p>
        </w:tc>
        <w:tc>
          <w:tcPr>
            <w:tcW w:w="1274" w:type="dxa"/>
          </w:tcPr>
          <w:p w14:paraId="7DEEE870" w14:textId="77777777" w:rsidR="00B54879" w:rsidRDefault="00B54879" w:rsidP="009E70A2">
            <w:pPr>
              <w:pStyle w:val="TableParagraph"/>
              <w:spacing w:before="81"/>
              <w:ind w:left="189"/>
              <w:rPr>
                <w:sz w:val="18"/>
              </w:rPr>
            </w:pPr>
            <w:r>
              <w:rPr>
                <w:spacing w:val="-2"/>
                <w:sz w:val="18"/>
              </w:rPr>
              <w:t>02/10/2012</w:t>
            </w:r>
          </w:p>
        </w:tc>
        <w:tc>
          <w:tcPr>
            <w:tcW w:w="1560" w:type="dxa"/>
          </w:tcPr>
          <w:p w14:paraId="51580DE4" w14:textId="77777777" w:rsidR="00B54879" w:rsidRDefault="00B54879" w:rsidP="009E70A2">
            <w:pPr>
              <w:pStyle w:val="TableParagraph"/>
              <w:spacing w:before="81"/>
              <w:ind w:left="106"/>
              <w:rPr>
                <w:sz w:val="18"/>
              </w:rPr>
            </w:pPr>
            <w:r>
              <w:rPr>
                <w:spacing w:val="-2"/>
                <w:sz w:val="18"/>
              </w:rPr>
              <w:t>$655,394,050.16</w:t>
            </w:r>
          </w:p>
        </w:tc>
        <w:tc>
          <w:tcPr>
            <w:tcW w:w="1274" w:type="dxa"/>
          </w:tcPr>
          <w:p w14:paraId="3A19D1C0" w14:textId="77777777" w:rsidR="00B54879" w:rsidRDefault="00B54879" w:rsidP="009E70A2">
            <w:pPr>
              <w:pStyle w:val="TableParagraph"/>
              <w:spacing w:before="81"/>
              <w:ind w:left="28"/>
              <w:jc w:val="center"/>
              <w:rPr>
                <w:sz w:val="18"/>
              </w:rPr>
            </w:pPr>
            <w:r>
              <w:rPr>
                <w:sz w:val="18"/>
              </w:rPr>
              <w:t>Tasa</w:t>
            </w:r>
            <w:r>
              <w:rPr>
                <w:spacing w:val="-12"/>
                <w:sz w:val="18"/>
              </w:rPr>
              <w:t xml:space="preserve"> </w:t>
            </w:r>
            <w:r>
              <w:rPr>
                <w:sz w:val="18"/>
              </w:rPr>
              <w:t>Base</w:t>
            </w:r>
            <w:r>
              <w:rPr>
                <w:spacing w:val="-12"/>
                <w:sz w:val="18"/>
              </w:rPr>
              <w:t xml:space="preserve"> </w:t>
            </w:r>
            <w:r>
              <w:rPr>
                <w:spacing w:val="-10"/>
                <w:sz w:val="18"/>
              </w:rPr>
              <w:t>+</w:t>
            </w:r>
          </w:p>
        </w:tc>
        <w:tc>
          <w:tcPr>
            <w:tcW w:w="994" w:type="dxa"/>
          </w:tcPr>
          <w:p w14:paraId="0B907823" w14:textId="77777777" w:rsidR="00B54879" w:rsidRDefault="00B54879" w:rsidP="009E70A2">
            <w:pPr>
              <w:pStyle w:val="TableParagraph"/>
              <w:spacing w:before="81"/>
              <w:ind w:left="26"/>
              <w:jc w:val="center"/>
              <w:rPr>
                <w:sz w:val="18"/>
              </w:rPr>
            </w:pPr>
            <w:r>
              <w:rPr>
                <w:spacing w:val="-2"/>
                <w:sz w:val="18"/>
              </w:rPr>
              <w:t>1.34%</w:t>
            </w:r>
          </w:p>
        </w:tc>
        <w:tc>
          <w:tcPr>
            <w:tcW w:w="1627" w:type="dxa"/>
          </w:tcPr>
          <w:p w14:paraId="405D91D5" w14:textId="77777777" w:rsidR="00B54879" w:rsidRDefault="00B54879" w:rsidP="009E70A2">
            <w:pPr>
              <w:pStyle w:val="TableParagraph"/>
              <w:spacing w:before="81"/>
              <w:ind w:left="140"/>
              <w:rPr>
                <w:sz w:val="18"/>
              </w:rPr>
            </w:pPr>
            <w:r>
              <w:rPr>
                <w:spacing w:val="-2"/>
                <w:sz w:val="18"/>
              </w:rPr>
              <w:t>$637,014,515.00</w:t>
            </w:r>
          </w:p>
        </w:tc>
        <w:tc>
          <w:tcPr>
            <w:tcW w:w="1349" w:type="dxa"/>
          </w:tcPr>
          <w:p w14:paraId="60B07E48" w14:textId="77777777" w:rsidR="00B54879" w:rsidRDefault="00B54879" w:rsidP="009E70A2">
            <w:pPr>
              <w:pStyle w:val="TableParagraph"/>
              <w:spacing w:before="81"/>
              <w:ind w:left="136"/>
              <w:rPr>
                <w:sz w:val="18"/>
              </w:rPr>
            </w:pPr>
            <w:r>
              <w:rPr>
                <w:sz w:val="18"/>
              </w:rPr>
              <w:t>P08-</w:t>
            </w:r>
            <w:r>
              <w:rPr>
                <w:spacing w:val="-2"/>
                <w:sz w:val="18"/>
              </w:rPr>
              <w:t>1012154</w:t>
            </w:r>
          </w:p>
        </w:tc>
        <w:tc>
          <w:tcPr>
            <w:tcW w:w="993" w:type="dxa"/>
          </w:tcPr>
          <w:p w14:paraId="6DE96B31" w14:textId="77777777" w:rsidR="00B54879" w:rsidRDefault="00B54879" w:rsidP="009E70A2">
            <w:pPr>
              <w:pStyle w:val="TableParagraph"/>
              <w:spacing w:before="81"/>
              <w:ind w:left="174"/>
              <w:rPr>
                <w:sz w:val="18"/>
              </w:rPr>
            </w:pPr>
            <w:r>
              <w:rPr>
                <w:spacing w:val="-2"/>
                <w:sz w:val="18"/>
              </w:rPr>
              <w:t>33/2012</w:t>
            </w:r>
          </w:p>
        </w:tc>
      </w:tr>
    </w:tbl>
    <w:p w14:paraId="14FF9306"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02A74E19" w14:textId="60BF3D7B"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Adicionalmente, se autoriza al Poder Ejecutivo Estatal, por conducto de la Secretaría de Hacienda, para que realice las gestiones necesarias y/o convenientes ante BANOBRAS</w:t>
      </w:r>
      <w:r w:rsidR="005C42FD">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para adecuar los contratos de crédito a las reglas de operación del programa antes referido.</w:t>
      </w:r>
    </w:p>
    <w:p w14:paraId="676BCAA7"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2D4A6401"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lastRenderedPageBreak/>
        <w:t>Asimismo, se autoriza al Poder Ejecutivo Estatal, por conducto de la Secretaría de Hacienda, en relación con el refinanciamiento del financiamiento contratado bajo el PROFISE, a optar entre:</w:t>
      </w:r>
    </w:p>
    <w:p w14:paraId="71A01C5D"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B54879">
        <w:rPr>
          <w:rFonts w:ascii="Century Gothic" w:eastAsia="Calibri" w:hAnsi="Century Gothic"/>
          <w:b/>
          <w:sz w:val="24"/>
          <w:szCs w:val="24"/>
          <w:lang w:eastAsia="en-US"/>
        </w:rPr>
        <w:t>a)</w:t>
      </w:r>
      <w:r w:rsidRPr="00B54879">
        <w:rPr>
          <w:rFonts w:ascii="Century Gothic" w:eastAsia="Calibri" w:hAnsi="Century Gothic"/>
          <w:b/>
          <w:sz w:val="24"/>
          <w:szCs w:val="24"/>
          <w:lang w:eastAsia="en-US"/>
        </w:rPr>
        <w:tab/>
      </w:r>
      <w:r w:rsidRPr="00EE06FC">
        <w:rPr>
          <w:rFonts w:ascii="Century Gothic" w:eastAsia="Calibri" w:hAnsi="Century Gothic"/>
          <w:sz w:val="24"/>
          <w:szCs w:val="24"/>
          <w:lang w:eastAsia="en-US"/>
        </w:rPr>
        <w:t>Aplicar los recursos derivados de los bonos cupón cero a la amortización anticipada de los créditos correspondientes, directamente o a través del mecanismo de pago que se considere conveniente por el Estado, o bien</w:t>
      </w:r>
    </w:p>
    <w:p w14:paraId="4353252C" w14:textId="460A1492" w:rsidR="00EE06FC" w:rsidRPr="00EE06FC" w:rsidRDefault="00EE06FC" w:rsidP="00EE06FC">
      <w:pPr>
        <w:spacing w:after="160" w:line="360" w:lineRule="auto"/>
        <w:jc w:val="both"/>
        <w:rPr>
          <w:rFonts w:ascii="Century Gothic" w:eastAsia="Calibri" w:hAnsi="Century Gothic"/>
          <w:sz w:val="24"/>
          <w:szCs w:val="24"/>
          <w:lang w:eastAsia="en-US"/>
        </w:rPr>
      </w:pPr>
      <w:r w:rsidRPr="00B54879">
        <w:rPr>
          <w:rFonts w:ascii="Century Gothic" w:eastAsia="Calibri" w:hAnsi="Century Gothic"/>
          <w:b/>
          <w:sz w:val="24"/>
          <w:szCs w:val="24"/>
          <w:lang w:eastAsia="en-US"/>
        </w:rPr>
        <w:t>b)</w:t>
      </w:r>
      <w:r w:rsidRPr="00B54879">
        <w:rPr>
          <w:rFonts w:ascii="Century Gothic" w:eastAsia="Calibri" w:hAnsi="Century Gothic"/>
          <w:b/>
          <w:sz w:val="24"/>
          <w:szCs w:val="24"/>
          <w:lang w:eastAsia="en-US"/>
        </w:rPr>
        <w:tab/>
      </w:r>
      <w:r w:rsidRPr="00EE06FC">
        <w:rPr>
          <w:rFonts w:ascii="Century Gothic" w:eastAsia="Calibri" w:hAnsi="Century Gothic"/>
          <w:sz w:val="24"/>
          <w:szCs w:val="24"/>
          <w:lang w:eastAsia="en-US"/>
        </w:rPr>
        <w:t>A</w:t>
      </w:r>
      <w:r w:rsidR="005C42FD">
        <w:rPr>
          <w:rFonts w:ascii="Century Gothic" w:eastAsia="Calibri" w:hAnsi="Century Gothic"/>
          <w:sz w:val="24"/>
          <w:szCs w:val="24"/>
          <w:lang w:eastAsia="en-US"/>
        </w:rPr>
        <w:t>l</w:t>
      </w:r>
      <w:r w:rsidRPr="00EE06FC">
        <w:rPr>
          <w:rFonts w:ascii="Century Gothic" w:eastAsia="Calibri" w:hAnsi="Century Gothic"/>
          <w:sz w:val="24"/>
          <w:szCs w:val="24"/>
          <w:lang w:eastAsia="en-US"/>
        </w:rPr>
        <w:t xml:space="preserve"> refinanciar en su totalidad los saldos insolutos de los créditos de referencia, con recursos distintos a los bonos cupón cero y de los que pueda disponer</w:t>
      </w:r>
      <w:r w:rsidR="005C42FD">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de conformidad con la legislación aplicable y de este Decreto, y a redimir anticipadamente dichos bonos cupón cero en beneficio del Estado, a efecto que los recursos efectivamente recibidos por la Secretaría de Hacienda, por la redención de los bonos cupón cero, sean destinados en términos de las reglas de operación del PROFISE.</w:t>
      </w:r>
    </w:p>
    <w:p w14:paraId="67C5D88E" w14:textId="77777777" w:rsidR="00EE06FC" w:rsidRPr="00614C9E" w:rsidRDefault="00EE06FC" w:rsidP="00EE06FC">
      <w:pPr>
        <w:spacing w:after="160" w:line="360" w:lineRule="auto"/>
        <w:jc w:val="both"/>
        <w:rPr>
          <w:rFonts w:ascii="Century Gothic" w:eastAsia="Calibri" w:hAnsi="Century Gothic"/>
          <w:sz w:val="16"/>
          <w:szCs w:val="16"/>
          <w:lang w:eastAsia="en-US"/>
        </w:rPr>
      </w:pPr>
    </w:p>
    <w:p w14:paraId="2C11BC0B"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El financiamiento autorizado en el presente Artículo podrá instrumentarse a través de uno o varios contratos de crédito, hasta por un plazo de 25 (veinticinco) años equivalentes aproximadamente a 9,131 (nueve mil ciento treinta y un) días naturales, contados a partir de la firma de cada contrato de crédito o instrumento de financiamiento.</w:t>
      </w:r>
    </w:p>
    <w:p w14:paraId="3F67C085" w14:textId="77777777" w:rsidR="00EE06FC" w:rsidRPr="00614C9E" w:rsidRDefault="00EE06FC" w:rsidP="00EE06FC">
      <w:pPr>
        <w:spacing w:after="160" w:line="360" w:lineRule="auto"/>
        <w:jc w:val="both"/>
        <w:rPr>
          <w:rFonts w:ascii="Century Gothic" w:eastAsia="Calibri" w:hAnsi="Century Gothic"/>
          <w:sz w:val="16"/>
          <w:szCs w:val="16"/>
          <w:lang w:eastAsia="en-US"/>
        </w:rPr>
      </w:pPr>
      <w:r w:rsidRPr="00EE06FC">
        <w:rPr>
          <w:rFonts w:ascii="Century Gothic" w:eastAsia="Calibri" w:hAnsi="Century Gothic"/>
          <w:sz w:val="24"/>
          <w:szCs w:val="24"/>
          <w:lang w:eastAsia="en-US"/>
        </w:rPr>
        <w:t xml:space="preserve"> </w:t>
      </w:r>
    </w:p>
    <w:p w14:paraId="0A5195F2" w14:textId="77777777" w:rsidR="00EE06FC" w:rsidRPr="00B54879" w:rsidRDefault="00EE06FC" w:rsidP="00EE06FC">
      <w:pPr>
        <w:spacing w:after="160" w:line="360" w:lineRule="auto"/>
        <w:jc w:val="both"/>
        <w:rPr>
          <w:rFonts w:ascii="Century Gothic" w:eastAsia="Calibri" w:hAnsi="Century Gothic"/>
          <w:b/>
          <w:sz w:val="24"/>
          <w:szCs w:val="24"/>
          <w:lang w:eastAsia="en-US"/>
        </w:rPr>
      </w:pPr>
      <w:r w:rsidRPr="00B54879">
        <w:rPr>
          <w:rFonts w:ascii="Century Gothic" w:eastAsia="Calibri" w:hAnsi="Century Gothic"/>
          <w:b/>
          <w:sz w:val="24"/>
          <w:szCs w:val="24"/>
          <w:lang w:eastAsia="en-US"/>
        </w:rPr>
        <w:lastRenderedPageBreak/>
        <w:t>Artículo Quinto. Instrumentos derivados y coberturas.</w:t>
      </w:r>
    </w:p>
    <w:p w14:paraId="76F22067" w14:textId="77777777" w:rsidR="00EE06FC" w:rsidRPr="00730189" w:rsidRDefault="00EE06FC" w:rsidP="00EE06FC">
      <w:pPr>
        <w:spacing w:after="160" w:line="360" w:lineRule="auto"/>
        <w:jc w:val="both"/>
        <w:rPr>
          <w:rFonts w:ascii="Century Gothic" w:eastAsia="Calibri" w:hAnsi="Century Gothic"/>
          <w:sz w:val="8"/>
          <w:szCs w:val="8"/>
          <w:lang w:eastAsia="en-US"/>
        </w:rPr>
      </w:pPr>
    </w:p>
    <w:p w14:paraId="332001EE" w14:textId="681471D6" w:rsidR="00EE06FC" w:rsidRDefault="00A2347D" w:rsidP="00EE06FC">
      <w:pPr>
        <w:spacing w:after="160" w:line="360" w:lineRule="auto"/>
        <w:jc w:val="both"/>
        <w:rPr>
          <w:rFonts w:ascii="Century Gothic" w:eastAsia="Calibri" w:hAnsi="Century Gothic"/>
          <w:sz w:val="24"/>
          <w:szCs w:val="24"/>
          <w:lang w:eastAsia="en-US"/>
        </w:rPr>
      </w:pPr>
      <w:r w:rsidRPr="00A2347D">
        <w:rPr>
          <w:rFonts w:ascii="Century Gothic" w:eastAsia="Calibri" w:hAnsi="Century Gothic"/>
          <w:sz w:val="24"/>
          <w:szCs w:val="24"/>
          <w:lang w:eastAsia="en-US"/>
        </w:rPr>
        <w:t>Con el fin de mitigar los riesgos de un alza en la tasa de interés de la deuda pública autorizada en el presente decreto a cargo del Estado, previo análisis del destino y la capacidad, se autoriza al Gobierno del Estado de Chihuahua, por conducto de los funcionarios facultados, para que, en el caso de considerarlo conveniente, celebre instrumentos derivados respecto de los créditos que contrate en términos de los artículos segundo y tercero  de este Decreto, así como de los siguientes contratos de crédito vigentes:</w:t>
      </w:r>
    </w:p>
    <w:tbl>
      <w:tblPr>
        <w:tblpPr w:leftFromText="141" w:rightFromText="141" w:vertAnchor="text" w:horzAnchor="margin" w:tblpXSpec="center" w:tblpY="131"/>
        <w:tblW w:w="9209" w:type="dxa"/>
        <w:tblLayout w:type="fixed"/>
        <w:tblCellMar>
          <w:left w:w="70" w:type="dxa"/>
          <w:right w:w="70" w:type="dxa"/>
        </w:tblCellMar>
        <w:tblLook w:val="04A0" w:firstRow="1" w:lastRow="0" w:firstColumn="1" w:lastColumn="0" w:noHBand="0" w:noVBand="1"/>
      </w:tblPr>
      <w:tblGrid>
        <w:gridCol w:w="1555"/>
        <w:gridCol w:w="1559"/>
        <w:gridCol w:w="1843"/>
        <w:gridCol w:w="2126"/>
        <w:gridCol w:w="2126"/>
      </w:tblGrid>
      <w:tr w:rsidR="00A2347D" w:rsidRPr="00A2347D" w14:paraId="1090D6A8" w14:textId="77777777" w:rsidTr="00A2347D">
        <w:trPr>
          <w:trHeight w:val="680"/>
        </w:trPr>
        <w:tc>
          <w:tcPr>
            <w:tcW w:w="1555" w:type="dxa"/>
            <w:tcBorders>
              <w:top w:val="single" w:sz="4" w:space="0" w:color="auto"/>
              <w:left w:val="single" w:sz="4" w:space="0" w:color="auto"/>
              <w:bottom w:val="single" w:sz="4" w:space="0" w:color="auto"/>
              <w:right w:val="single" w:sz="4" w:space="0" w:color="auto"/>
            </w:tcBorders>
            <w:vAlign w:val="center"/>
            <w:hideMark/>
          </w:tcPr>
          <w:p w14:paraId="61F85613" w14:textId="77777777" w:rsidR="00A2347D" w:rsidRPr="00A2347D" w:rsidRDefault="00A2347D" w:rsidP="009E41A9">
            <w:pPr>
              <w:jc w:val="center"/>
              <w:rPr>
                <w:rFonts w:ascii="Century Gothic" w:hAnsi="Century Gothic" w:cs="Arial"/>
                <w:b/>
                <w:bCs/>
                <w:sz w:val="20"/>
                <w:szCs w:val="20"/>
              </w:rPr>
            </w:pPr>
            <w:bookmarkStart w:id="0" w:name="_Hlk154574888"/>
            <w:r w:rsidRPr="00A2347D">
              <w:rPr>
                <w:rFonts w:ascii="Century Gothic" w:hAnsi="Century Gothic" w:cs="Arial"/>
                <w:b/>
                <w:bCs/>
                <w:sz w:val="20"/>
                <w:szCs w:val="20"/>
              </w:rPr>
              <w:t>CLAVE DE INSCRIPCIÓN</w:t>
            </w:r>
          </w:p>
        </w:tc>
        <w:tc>
          <w:tcPr>
            <w:tcW w:w="1559" w:type="dxa"/>
            <w:tcBorders>
              <w:top w:val="single" w:sz="4" w:space="0" w:color="auto"/>
              <w:left w:val="single" w:sz="4" w:space="0" w:color="auto"/>
              <w:bottom w:val="single" w:sz="4" w:space="0" w:color="auto"/>
              <w:right w:val="single" w:sz="4" w:space="0" w:color="auto"/>
            </w:tcBorders>
            <w:vAlign w:val="center"/>
          </w:tcPr>
          <w:p w14:paraId="0F0AFDB5" w14:textId="77777777" w:rsidR="00A2347D" w:rsidRPr="00A2347D" w:rsidRDefault="00A2347D" w:rsidP="009E41A9">
            <w:pPr>
              <w:jc w:val="center"/>
              <w:rPr>
                <w:rFonts w:ascii="Century Gothic" w:hAnsi="Century Gothic" w:cs="Arial"/>
                <w:b/>
                <w:bCs/>
                <w:sz w:val="20"/>
                <w:szCs w:val="20"/>
              </w:rPr>
            </w:pPr>
            <w:r w:rsidRPr="00A2347D">
              <w:rPr>
                <w:rFonts w:ascii="Century Gothic" w:hAnsi="Century Gothic" w:cs="Arial"/>
                <w:b/>
                <w:bCs/>
                <w:sz w:val="20"/>
                <w:szCs w:val="20"/>
              </w:rPr>
              <w:t>INSTITUCIÓN FINANCIERA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B3C453" w14:textId="77777777" w:rsidR="00A2347D" w:rsidRPr="00A2347D" w:rsidRDefault="00A2347D" w:rsidP="009E41A9">
            <w:pPr>
              <w:jc w:val="center"/>
              <w:rPr>
                <w:rFonts w:ascii="Century Gothic" w:hAnsi="Century Gothic" w:cs="Arial"/>
                <w:b/>
                <w:bCs/>
                <w:sz w:val="20"/>
                <w:szCs w:val="20"/>
              </w:rPr>
            </w:pPr>
            <w:r w:rsidRPr="00A2347D">
              <w:rPr>
                <w:rFonts w:ascii="Century Gothic" w:hAnsi="Century Gothic" w:cs="Arial"/>
                <w:b/>
                <w:bCs/>
                <w:sz w:val="20"/>
                <w:szCs w:val="20"/>
              </w:rPr>
              <w:t>FECHA DE CONTRATACIÓN</w:t>
            </w:r>
          </w:p>
        </w:tc>
        <w:tc>
          <w:tcPr>
            <w:tcW w:w="2126" w:type="dxa"/>
            <w:tcBorders>
              <w:top w:val="single" w:sz="4" w:space="0" w:color="auto"/>
              <w:left w:val="nil"/>
              <w:bottom w:val="single" w:sz="4" w:space="0" w:color="auto"/>
              <w:right w:val="single" w:sz="4" w:space="0" w:color="auto"/>
            </w:tcBorders>
            <w:vAlign w:val="center"/>
            <w:hideMark/>
          </w:tcPr>
          <w:p w14:paraId="127F6724" w14:textId="77777777" w:rsidR="00A2347D" w:rsidRPr="00A2347D" w:rsidRDefault="00A2347D" w:rsidP="009E41A9">
            <w:pPr>
              <w:jc w:val="center"/>
              <w:rPr>
                <w:rFonts w:ascii="Century Gothic" w:hAnsi="Century Gothic" w:cs="Arial"/>
                <w:b/>
                <w:bCs/>
                <w:sz w:val="20"/>
                <w:szCs w:val="20"/>
              </w:rPr>
            </w:pPr>
            <w:r w:rsidRPr="00A2347D">
              <w:rPr>
                <w:rFonts w:ascii="Century Gothic" w:hAnsi="Century Gothic" w:cs="Arial"/>
                <w:b/>
                <w:bCs/>
                <w:sz w:val="20"/>
                <w:szCs w:val="20"/>
              </w:rPr>
              <w:t>MONTO ORIGINAL CONTRATADO</w:t>
            </w:r>
          </w:p>
        </w:tc>
        <w:tc>
          <w:tcPr>
            <w:tcW w:w="2126" w:type="dxa"/>
            <w:tcBorders>
              <w:top w:val="single" w:sz="4" w:space="0" w:color="auto"/>
              <w:left w:val="nil"/>
              <w:bottom w:val="single" w:sz="4" w:space="0" w:color="auto"/>
              <w:right w:val="single" w:sz="4" w:space="0" w:color="auto"/>
            </w:tcBorders>
            <w:vAlign w:val="center"/>
            <w:hideMark/>
          </w:tcPr>
          <w:p w14:paraId="3CA49264" w14:textId="77777777" w:rsidR="00A2347D" w:rsidRPr="00A2347D" w:rsidRDefault="00A2347D" w:rsidP="009E41A9">
            <w:pPr>
              <w:jc w:val="center"/>
              <w:rPr>
                <w:rFonts w:ascii="Century Gothic" w:hAnsi="Century Gothic" w:cs="Arial"/>
                <w:b/>
                <w:bCs/>
                <w:sz w:val="20"/>
                <w:szCs w:val="20"/>
              </w:rPr>
            </w:pPr>
            <w:r w:rsidRPr="00A2347D">
              <w:rPr>
                <w:rFonts w:ascii="Century Gothic" w:hAnsi="Century Gothic" w:cs="Arial"/>
                <w:b/>
                <w:bCs/>
                <w:sz w:val="20"/>
                <w:szCs w:val="20"/>
              </w:rPr>
              <w:t>MONTO NOCIONAL AUTORIZADO</w:t>
            </w:r>
          </w:p>
        </w:tc>
      </w:tr>
      <w:tr w:rsidR="00A2347D" w:rsidRPr="00A2347D" w14:paraId="2B2788D5"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hideMark/>
          </w:tcPr>
          <w:p w14:paraId="1F8793B8"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A08-0223008</w:t>
            </w:r>
          </w:p>
        </w:tc>
        <w:tc>
          <w:tcPr>
            <w:tcW w:w="1559" w:type="dxa"/>
            <w:tcBorders>
              <w:top w:val="single" w:sz="4" w:space="0" w:color="auto"/>
              <w:left w:val="single" w:sz="4" w:space="0" w:color="auto"/>
              <w:bottom w:val="single" w:sz="4" w:space="0" w:color="auto"/>
              <w:right w:val="single" w:sz="4" w:space="0" w:color="auto"/>
            </w:tcBorders>
            <w:vAlign w:val="center"/>
          </w:tcPr>
          <w:p w14:paraId="2F3AC586"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BANOBRAS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B86AAF"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28/12/2022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E1C6F1"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$479,433,765.12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99DFB1" w14:textId="77777777" w:rsidR="00A2347D" w:rsidRPr="00A2347D" w:rsidRDefault="00A2347D" w:rsidP="009E41A9">
            <w:pPr>
              <w:jc w:val="center"/>
              <w:rPr>
                <w:rFonts w:ascii="Century Gothic" w:hAnsi="Century Gothic" w:cs="Arial"/>
                <w:sz w:val="20"/>
                <w:szCs w:val="20"/>
              </w:rPr>
            </w:pPr>
            <w:r w:rsidRPr="00A2347D">
              <w:rPr>
                <w:rFonts w:ascii="Century Gothic" w:hAnsi="Century Gothic" w:cs="Arial"/>
                <w:color w:val="000000"/>
                <w:sz w:val="20"/>
                <w:szCs w:val="20"/>
              </w:rPr>
              <w:t xml:space="preserve">$470,057,408.41 </w:t>
            </w:r>
          </w:p>
        </w:tc>
      </w:tr>
      <w:tr w:rsidR="00A2347D" w:rsidRPr="00A2347D" w14:paraId="7B7F0A43"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tcPr>
          <w:p w14:paraId="26B90CDA"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A08-1123089</w:t>
            </w:r>
          </w:p>
        </w:tc>
        <w:tc>
          <w:tcPr>
            <w:tcW w:w="1559" w:type="dxa"/>
            <w:tcBorders>
              <w:top w:val="single" w:sz="4" w:space="0" w:color="auto"/>
              <w:left w:val="single" w:sz="4" w:space="0" w:color="auto"/>
              <w:bottom w:val="single" w:sz="4" w:space="0" w:color="auto"/>
              <w:right w:val="single" w:sz="4" w:space="0" w:color="auto"/>
            </w:tcBorders>
            <w:vAlign w:val="center"/>
          </w:tcPr>
          <w:p w14:paraId="242EC6E3"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BANOBRAS</w:t>
            </w:r>
          </w:p>
        </w:tc>
        <w:tc>
          <w:tcPr>
            <w:tcW w:w="1843" w:type="dxa"/>
            <w:tcBorders>
              <w:top w:val="single" w:sz="4" w:space="0" w:color="auto"/>
              <w:left w:val="single" w:sz="4" w:space="0" w:color="auto"/>
              <w:bottom w:val="single" w:sz="4" w:space="0" w:color="auto"/>
              <w:right w:val="single" w:sz="4" w:space="0" w:color="auto"/>
            </w:tcBorders>
            <w:vAlign w:val="center"/>
          </w:tcPr>
          <w:p w14:paraId="3190B514"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15/08/2023</w:t>
            </w:r>
          </w:p>
        </w:tc>
        <w:tc>
          <w:tcPr>
            <w:tcW w:w="2126" w:type="dxa"/>
            <w:tcBorders>
              <w:top w:val="single" w:sz="4" w:space="0" w:color="auto"/>
              <w:left w:val="single" w:sz="4" w:space="0" w:color="auto"/>
              <w:bottom w:val="single" w:sz="4" w:space="0" w:color="auto"/>
              <w:right w:val="single" w:sz="4" w:space="0" w:color="auto"/>
            </w:tcBorders>
            <w:vAlign w:val="center"/>
          </w:tcPr>
          <w:p w14:paraId="177F861A"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$500,000,000.00 </w:t>
            </w:r>
          </w:p>
        </w:tc>
        <w:tc>
          <w:tcPr>
            <w:tcW w:w="2126" w:type="dxa"/>
            <w:tcBorders>
              <w:top w:val="single" w:sz="4" w:space="0" w:color="auto"/>
              <w:left w:val="single" w:sz="4" w:space="0" w:color="auto"/>
              <w:bottom w:val="single" w:sz="4" w:space="0" w:color="auto"/>
              <w:right w:val="single" w:sz="4" w:space="0" w:color="auto"/>
            </w:tcBorders>
            <w:vAlign w:val="center"/>
          </w:tcPr>
          <w:p w14:paraId="12485203"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$493,539,649.15 </w:t>
            </w:r>
          </w:p>
        </w:tc>
      </w:tr>
      <w:tr w:rsidR="00A2347D" w:rsidRPr="00A2347D" w14:paraId="5571A2C1"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tcPr>
          <w:p w14:paraId="53B9AFFD"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P08-1012154</w:t>
            </w:r>
          </w:p>
        </w:tc>
        <w:tc>
          <w:tcPr>
            <w:tcW w:w="1559" w:type="dxa"/>
            <w:tcBorders>
              <w:top w:val="single" w:sz="4" w:space="0" w:color="auto"/>
              <w:left w:val="single" w:sz="4" w:space="0" w:color="auto"/>
              <w:bottom w:val="single" w:sz="4" w:space="0" w:color="auto"/>
              <w:right w:val="single" w:sz="4" w:space="0" w:color="auto"/>
            </w:tcBorders>
            <w:vAlign w:val="center"/>
          </w:tcPr>
          <w:p w14:paraId="15A15C4C"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BANOBRAS</w:t>
            </w:r>
          </w:p>
        </w:tc>
        <w:tc>
          <w:tcPr>
            <w:tcW w:w="1843" w:type="dxa"/>
            <w:tcBorders>
              <w:top w:val="single" w:sz="4" w:space="0" w:color="auto"/>
              <w:left w:val="single" w:sz="4" w:space="0" w:color="auto"/>
              <w:bottom w:val="single" w:sz="4" w:space="0" w:color="auto"/>
              <w:right w:val="single" w:sz="4" w:space="0" w:color="auto"/>
            </w:tcBorders>
            <w:vAlign w:val="center"/>
          </w:tcPr>
          <w:p w14:paraId="6A5E8BD9"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02/10/2012</w:t>
            </w:r>
          </w:p>
        </w:tc>
        <w:tc>
          <w:tcPr>
            <w:tcW w:w="2126" w:type="dxa"/>
            <w:tcBorders>
              <w:top w:val="single" w:sz="4" w:space="0" w:color="auto"/>
              <w:left w:val="single" w:sz="4" w:space="0" w:color="auto"/>
              <w:bottom w:val="single" w:sz="4" w:space="0" w:color="auto"/>
              <w:right w:val="single" w:sz="4" w:space="0" w:color="auto"/>
            </w:tcBorders>
            <w:vAlign w:val="center"/>
          </w:tcPr>
          <w:p w14:paraId="48280588"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$665,394,050.16 </w:t>
            </w:r>
          </w:p>
        </w:tc>
        <w:tc>
          <w:tcPr>
            <w:tcW w:w="2126" w:type="dxa"/>
            <w:tcBorders>
              <w:top w:val="single" w:sz="4" w:space="0" w:color="auto"/>
              <w:left w:val="single" w:sz="4" w:space="0" w:color="auto"/>
              <w:bottom w:val="single" w:sz="4" w:space="0" w:color="auto"/>
              <w:right w:val="single" w:sz="4" w:space="0" w:color="auto"/>
            </w:tcBorders>
            <w:vAlign w:val="center"/>
          </w:tcPr>
          <w:p w14:paraId="42691C5B"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$637,014,515.00 </w:t>
            </w:r>
          </w:p>
        </w:tc>
      </w:tr>
      <w:tr w:rsidR="00A2347D" w:rsidRPr="00A2347D" w14:paraId="77FFDA0A"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tcPr>
          <w:p w14:paraId="037D9BD6"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P08-0919038</w:t>
            </w:r>
          </w:p>
        </w:tc>
        <w:tc>
          <w:tcPr>
            <w:tcW w:w="1559" w:type="dxa"/>
            <w:tcBorders>
              <w:top w:val="single" w:sz="4" w:space="0" w:color="auto"/>
              <w:left w:val="single" w:sz="4" w:space="0" w:color="auto"/>
              <w:bottom w:val="single" w:sz="4" w:space="0" w:color="auto"/>
              <w:right w:val="single" w:sz="4" w:space="0" w:color="auto"/>
            </w:tcBorders>
            <w:vAlign w:val="center"/>
          </w:tcPr>
          <w:p w14:paraId="04D00C6E"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SANTANDER</w:t>
            </w:r>
          </w:p>
        </w:tc>
        <w:tc>
          <w:tcPr>
            <w:tcW w:w="1843" w:type="dxa"/>
            <w:tcBorders>
              <w:top w:val="single" w:sz="4" w:space="0" w:color="auto"/>
              <w:left w:val="single" w:sz="4" w:space="0" w:color="auto"/>
              <w:bottom w:val="single" w:sz="4" w:space="0" w:color="auto"/>
              <w:right w:val="single" w:sz="4" w:space="0" w:color="auto"/>
            </w:tcBorders>
            <w:vAlign w:val="center"/>
          </w:tcPr>
          <w:p w14:paraId="3C798777"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15/07/2019</w:t>
            </w:r>
          </w:p>
        </w:tc>
        <w:tc>
          <w:tcPr>
            <w:tcW w:w="2126" w:type="dxa"/>
            <w:tcBorders>
              <w:top w:val="single" w:sz="4" w:space="0" w:color="auto"/>
              <w:left w:val="single" w:sz="4" w:space="0" w:color="auto"/>
              <w:bottom w:val="single" w:sz="4" w:space="0" w:color="auto"/>
              <w:right w:val="single" w:sz="4" w:space="0" w:color="auto"/>
            </w:tcBorders>
            <w:vAlign w:val="center"/>
          </w:tcPr>
          <w:p w14:paraId="1D4EC037"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$1,900,000,000.00 </w:t>
            </w:r>
          </w:p>
        </w:tc>
        <w:tc>
          <w:tcPr>
            <w:tcW w:w="2126" w:type="dxa"/>
            <w:tcBorders>
              <w:top w:val="single" w:sz="4" w:space="0" w:color="auto"/>
              <w:left w:val="single" w:sz="4" w:space="0" w:color="auto"/>
              <w:bottom w:val="single" w:sz="4" w:space="0" w:color="auto"/>
              <w:right w:val="single" w:sz="4" w:space="0" w:color="auto"/>
            </w:tcBorders>
            <w:vAlign w:val="center"/>
          </w:tcPr>
          <w:p w14:paraId="7130CB9A"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$1,830,934,616.86 </w:t>
            </w:r>
          </w:p>
        </w:tc>
      </w:tr>
      <w:tr w:rsidR="00A2347D" w:rsidRPr="00A2347D" w14:paraId="449A8F50"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tcPr>
          <w:p w14:paraId="2D5C9EA8"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P08-0819028</w:t>
            </w:r>
          </w:p>
        </w:tc>
        <w:tc>
          <w:tcPr>
            <w:tcW w:w="1559" w:type="dxa"/>
            <w:tcBorders>
              <w:top w:val="single" w:sz="4" w:space="0" w:color="auto"/>
              <w:left w:val="single" w:sz="4" w:space="0" w:color="auto"/>
              <w:bottom w:val="single" w:sz="4" w:space="0" w:color="auto"/>
              <w:right w:val="single" w:sz="4" w:space="0" w:color="auto"/>
            </w:tcBorders>
            <w:vAlign w:val="center"/>
          </w:tcPr>
          <w:p w14:paraId="553F5198"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BANOBRAS</w:t>
            </w:r>
          </w:p>
        </w:tc>
        <w:tc>
          <w:tcPr>
            <w:tcW w:w="1843" w:type="dxa"/>
            <w:tcBorders>
              <w:top w:val="single" w:sz="4" w:space="0" w:color="auto"/>
              <w:left w:val="single" w:sz="4" w:space="0" w:color="auto"/>
              <w:bottom w:val="single" w:sz="4" w:space="0" w:color="auto"/>
              <w:right w:val="single" w:sz="4" w:space="0" w:color="auto"/>
            </w:tcBorders>
            <w:vAlign w:val="center"/>
          </w:tcPr>
          <w:p w14:paraId="792A27C1"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31/07/2019</w:t>
            </w:r>
          </w:p>
        </w:tc>
        <w:tc>
          <w:tcPr>
            <w:tcW w:w="2126" w:type="dxa"/>
            <w:tcBorders>
              <w:top w:val="single" w:sz="4" w:space="0" w:color="auto"/>
              <w:left w:val="single" w:sz="4" w:space="0" w:color="auto"/>
              <w:bottom w:val="single" w:sz="4" w:space="0" w:color="auto"/>
              <w:right w:val="single" w:sz="4" w:space="0" w:color="auto"/>
            </w:tcBorders>
            <w:vAlign w:val="center"/>
          </w:tcPr>
          <w:p w14:paraId="61441AC3"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$4,416,500,000.00 </w:t>
            </w:r>
          </w:p>
        </w:tc>
        <w:tc>
          <w:tcPr>
            <w:tcW w:w="2126" w:type="dxa"/>
            <w:tcBorders>
              <w:top w:val="single" w:sz="4" w:space="0" w:color="auto"/>
              <w:left w:val="single" w:sz="4" w:space="0" w:color="auto"/>
              <w:bottom w:val="single" w:sz="4" w:space="0" w:color="auto"/>
              <w:right w:val="single" w:sz="4" w:space="0" w:color="auto"/>
            </w:tcBorders>
            <w:vAlign w:val="center"/>
          </w:tcPr>
          <w:p w14:paraId="0CC38A3A"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$4,261,610,800.74 </w:t>
            </w:r>
          </w:p>
        </w:tc>
      </w:tr>
      <w:tr w:rsidR="00A2347D" w:rsidRPr="00A2347D" w14:paraId="2A0C5E65"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tcPr>
          <w:p w14:paraId="7878CB66"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P08-0819029</w:t>
            </w:r>
          </w:p>
        </w:tc>
        <w:tc>
          <w:tcPr>
            <w:tcW w:w="1559" w:type="dxa"/>
            <w:tcBorders>
              <w:top w:val="single" w:sz="4" w:space="0" w:color="auto"/>
              <w:left w:val="single" w:sz="4" w:space="0" w:color="auto"/>
              <w:bottom w:val="single" w:sz="4" w:space="0" w:color="auto"/>
              <w:right w:val="single" w:sz="4" w:space="0" w:color="auto"/>
            </w:tcBorders>
            <w:vAlign w:val="center"/>
          </w:tcPr>
          <w:p w14:paraId="4D1FF201"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BANOBRAS</w:t>
            </w:r>
          </w:p>
        </w:tc>
        <w:tc>
          <w:tcPr>
            <w:tcW w:w="1843" w:type="dxa"/>
            <w:tcBorders>
              <w:top w:val="single" w:sz="4" w:space="0" w:color="auto"/>
              <w:left w:val="single" w:sz="4" w:space="0" w:color="auto"/>
              <w:bottom w:val="single" w:sz="4" w:space="0" w:color="auto"/>
              <w:right w:val="single" w:sz="4" w:space="0" w:color="auto"/>
            </w:tcBorders>
            <w:vAlign w:val="center"/>
          </w:tcPr>
          <w:p w14:paraId="5D93E435"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31/07/2019</w:t>
            </w:r>
          </w:p>
        </w:tc>
        <w:tc>
          <w:tcPr>
            <w:tcW w:w="2126" w:type="dxa"/>
            <w:tcBorders>
              <w:top w:val="single" w:sz="4" w:space="0" w:color="auto"/>
              <w:left w:val="single" w:sz="4" w:space="0" w:color="auto"/>
              <w:bottom w:val="single" w:sz="4" w:space="0" w:color="auto"/>
              <w:right w:val="single" w:sz="4" w:space="0" w:color="auto"/>
            </w:tcBorders>
            <w:vAlign w:val="center"/>
          </w:tcPr>
          <w:p w14:paraId="0DA6A8E9"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$5,000,000,000.00 </w:t>
            </w:r>
          </w:p>
        </w:tc>
        <w:tc>
          <w:tcPr>
            <w:tcW w:w="2126" w:type="dxa"/>
            <w:tcBorders>
              <w:top w:val="single" w:sz="4" w:space="0" w:color="auto"/>
              <w:left w:val="single" w:sz="4" w:space="0" w:color="auto"/>
              <w:bottom w:val="single" w:sz="4" w:space="0" w:color="auto"/>
              <w:right w:val="single" w:sz="4" w:space="0" w:color="auto"/>
            </w:tcBorders>
            <w:vAlign w:val="center"/>
          </w:tcPr>
          <w:p w14:paraId="4DAABC73"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$4,824,647,120.00 </w:t>
            </w:r>
          </w:p>
        </w:tc>
      </w:tr>
      <w:tr w:rsidR="00A2347D" w:rsidRPr="00A2347D" w14:paraId="48F2AA09"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tcPr>
          <w:p w14:paraId="378E21A2"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P08-0819030</w:t>
            </w:r>
          </w:p>
        </w:tc>
        <w:tc>
          <w:tcPr>
            <w:tcW w:w="1559" w:type="dxa"/>
            <w:tcBorders>
              <w:top w:val="single" w:sz="4" w:space="0" w:color="auto"/>
              <w:left w:val="single" w:sz="4" w:space="0" w:color="auto"/>
              <w:bottom w:val="single" w:sz="4" w:space="0" w:color="auto"/>
              <w:right w:val="single" w:sz="4" w:space="0" w:color="auto"/>
            </w:tcBorders>
            <w:vAlign w:val="center"/>
          </w:tcPr>
          <w:p w14:paraId="62AD0EA1"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BANOBRAS</w:t>
            </w:r>
          </w:p>
        </w:tc>
        <w:tc>
          <w:tcPr>
            <w:tcW w:w="1843" w:type="dxa"/>
            <w:tcBorders>
              <w:top w:val="single" w:sz="4" w:space="0" w:color="auto"/>
              <w:left w:val="single" w:sz="4" w:space="0" w:color="auto"/>
              <w:bottom w:val="single" w:sz="4" w:space="0" w:color="auto"/>
              <w:right w:val="single" w:sz="4" w:space="0" w:color="auto"/>
            </w:tcBorders>
            <w:vAlign w:val="center"/>
          </w:tcPr>
          <w:p w14:paraId="24171AF8"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31/07/2019</w:t>
            </w:r>
          </w:p>
        </w:tc>
        <w:tc>
          <w:tcPr>
            <w:tcW w:w="2126" w:type="dxa"/>
            <w:tcBorders>
              <w:top w:val="single" w:sz="4" w:space="0" w:color="auto"/>
              <w:left w:val="single" w:sz="4" w:space="0" w:color="auto"/>
              <w:bottom w:val="single" w:sz="4" w:space="0" w:color="auto"/>
              <w:right w:val="single" w:sz="4" w:space="0" w:color="auto"/>
            </w:tcBorders>
            <w:vAlign w:val="center"/>
          </w:tcPr>
          <w:p w14:paraId="257265D3"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$5,000,000,000.00 </w:t>
            </w:r>
          </w:p>
        </w:tc>
        <w:tc>
          <w:tcPr>
            <w:tcW w:w="2126" w:type="dxa"/>
            <w:tcBorders>
              <w:top w:val="single" w:sz="4" w:space="0" w:color="auto"/>
              <w:left w:val="single" w:sz="4" w:space="0" w:color="auto"/>
              <w:bottom w:val="single" w:sz="4" w:space="0" w:color="auto"/>
              <w:right w:val="single" w:sz="4" w:space="0" w:color="auto"/>
            </w:tcBorders>
            <w:vAlign w:val="center"/>
          </w:tcPr>
          <w:p w14:paraId="30B91F4D"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$4,824,647,120.00 </w:t>
            </w:r>
          </w:p>
        </w:tc>
      </w:tr>
      <w:tr w:rsidR="00A2347D" w:rsidRPr="00A2347D" w14:paraId="099A9934"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tcPr>
          <w:p w14:paraId="2071E5AD"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P08-0424028</w:t>
            </w:r>
          </w:p>
        </w:tc>
        <w:tc>
          <w:tcPr>
            <w:tcW w:w="1559" w:type="dxa"/>
            <w:tcBorders>
              <w:top w:val="single" w:sz="4" w:space="0" w:color="auto"/>
              <w:left w:val="single" w:sz="4" w:space="0" w:color="auto"/>
              <w:bottom w:val="single" w:sz="4" w:space="0" w:color="auto"/>
              <w:right w:val="single" w:sz="4" w:space="0" w:color="auto"/>
            </w:tcBorders>
            <w:vAlign w:val="center"/>
          </w:tcPr>
          <w:p w14:paraId="4C84DF7C"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BANOBRAS</w:t>
            </w:r>
          </w:p>
        </w:tc>
        <w:tc>
          <w:tcPr>
            <w:tcW w:w="1843" w:type="dxa"/>
            <w:tcBorders>
              <w:top w:val="single" w:sz="4" w:space="0" w:color="auto"/>
              <w:left w:val="single" w:sz="4" w:space="0" w:color="auto"/>
              <w:bottom w:val="single" w:sz="4" w:space="0" w:color="auto"/>
              <w:right w:val="single" w:sz="4" w:space="0" w:color="auto"/>
            </w:tcBorders>
            <w:vAlign w:val="center"/>
          </w:tcPr>
          <w:p w14:paraId="207E7662"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29/12/2023</w:t>
            </w:r>
          </w:p>
        </w:tc>
        <w:tc>
          <w:tcPr>
            <w:tcW w:w="2126" w:type="dxa"/>
            <w:tcBorders>
              <w:top w:val="single" w:sz="4" w:space="0" w:color="auto"/>
              <w:left w:val="single" w:sz="4" w:space="0" w:color="auto"/>
              <w:bottom w:val="single" w:sz="4" w:space="0" w:color="auto"/>
              <w:right w:val="single" w:sz="4" w:space="0" w:color="auto"/>
            </w:tcBorders>
            <w:vAlign w:val="center"/>
          </w:tcPr>
          <w:p w14:paraId="2E905B61"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$1,000,000,000.00 </w:t>
            </w:r>
          </w:p>
        </w:tc>
        <w:tc>
          <w:tcPr>
            <w:tcW w:w="2126" w:type="dxa"/>
            <w:tcBorders>
              <w:top w:val="single" w:sz="4" w:space="0" w:color="auto"/>
              <w:left w:val="single" w:sz="4" w:space="0" w:color="auto"/>
              <w:bottom w:val="single" w:sz="4" w:space="0" w:color="auto"/>
              <w:right w:val="single" w:sz="4" w:space="0" w:color="auto"/>
            </w:tcBorders>
            <w:vAlign w:val="center"/>
          </w:tcPr>
          <w:p w14:paraId="730E608B"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$782,178,041.30 </w:t>
            </w:r>
          </w:p>
        </w:tc>
      </w:tr>
      <w:tr w:rsidR="00A2347D" w:rsidRPr="00A2347D" w14:paraId="60FFA51D"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tcPr>
          <w:p w14:paraId="0AF4182A"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P08-0424027</w:t>
            </w:r>
          </w:p>
        </w:tc>
        <w:tc>
          <w:tcPr>
            <w:tcW w:w="1559" w:type="dxa"/>
            <w:tcBorders>
              <w:top w:val="single" w:sz="4" w:space="0" w:color="auto"/>
              <w:left w:val="single" w:sz="4" w:space="0" w:color="auto"/>
              <w:bottom w:val="single" w:sz="4" w:space="0" w:color="auto"/>
              <w:right w:val="single" w:sz="4" w:space="0" w:color="auto"/>
            </w:tcBorders>
            <w:vAlign w:val="center"/>
          </w:tcPr>
          <w:p w14:paraId="514FC68B"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BANOBRAS</w:t>
            </w:r>
          </w:p>
        </w:tc>
        <w:tc>
          <w:tcPr>
            <w:tcW w:w="1843" w:type="dxa"/>
            <w:tcBorders>
              <w:top w:val="single" w:sz="4" w:space="0" w:color="auto"/>
              <w:left w:val="single" w:sz="4" w:space="0" w:color="auto"/>
              <w:bottom w:val="single" w:sz="4" w:space="0" w:color="auto"/>
              <w:right w:val="single" w:sz="4" w:space="0" w:color="auto"/>
            </w:tcBorders>
            <w:vAlign w:val="center"/>
          </w:tcPr>
          <w:p w14:paraId="7C80A0AD"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29/12/2023</w:t>
            </w:r>
          </w:p>
        </w:tc>
        <w:tc>
          <w:tcPr>
            <w:tcW w:w="2126" w:type="dxa"/>
            <w:tcBorders>
              <w:top w:val="single" w:sz="4" w:space="0" w:color="auto"/>
              <w:left w:val="single" w:sz="4" w:space="0" w:color="auto"/>
              <w:bottom w:val="single" w:sz="4" w:space="0" w:color="auto"/>
              <w:right w:val="single" w:sz="4" w:space="0" w:color="auto"/>
            </w:tcBorders>
            <w:vAlign w:val="center"/>
          </w:tcPr>
          <w:p w14:paraId="6DA11969"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$1,000,000,000.00 </w:t>
            </w:r>
          </w:p>
        </w:tc>
        <w:tc>
          <w:tcPr>
            <w:tcW w:w="2126" w:type="dxa"/>
            <w:tcBorders>
              <w:top w:val="single" w:sz="4" w:space="0" w:color="auto"/>
              <w:left w:val="single" w:sz="4" w:space="0" w:color="auto"/>
              <w:bottom w:val="single" w:sz="4" w:space="0" w:color="auto"/>
              <w:right w:val="single" w:sz="4" w:space="0" w:color="auto"/>
            </w:tcBorders>
            <w:vAlign w:val="center"/>
          </w:tcPr>
          <w:p w14:paraId="5858C80E"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$808,638,952.89 </w:t>
            </w:r>
          </w:p>
        </w:tc>
      </w:tr>
      <w:tr w:rsidR="00A2347D" w:rsidRPr="00A2347D" w14:paraId="108E5A5B"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tcPr>
          <w:p w14:paraId="4A6E362E"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lastRenderedPageBreak/>
              <w:t>P08-0424029</w:t>
            </w:r>
          </w:p>
        </w:tc>
        <w:tc>
          <w:tcPr>
            <w:tcW w:w="1559" w:type="dxa"/>
            <w:tcBorders>
              <w:top w:val="single" w:sz="4" w:space="0" w:color="auto"/>
              <w:left w:val="single" w:sz="4" w:space="0" w:color="auto"/>
              <w:bottom w:val="single" w:sz="4" w:space="0" w:color="auto"/>
              <w:right w:val="single" w:sz="4" w:space="0" w:color="auto"/>
            </w:tcBorders>
            <w:vAlign w:val="center"/>
          </w:tcPr>
          <w:p w14:paraId="01216B17"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BBVA</w:t>
            </w:r>
          </w:p>
        </w:tc>
        <w:tc>
          <w:tcPr>
            <w:tcW w:w="1843" w:type="dxa"/>
            <w:tcBorders>
              <w:top w:val="single" w:sz="4" w:space="0" w:color="auto"/>
              <w:left w:val="single" w:sz="4" w:space="0" w:color="auto"/>
              <w:bottom w:val="single" w:sz="4" w:space="0" w:color="auto"/>
              <w:right w:val="single" w:sz="4" w:space="0" w:color="auto"/>
            </w:tcBorders>
            <w:vAlign w:val="center"/>
          </w:tcPr>
          <w:p w14:paraId="7A1605CD"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28/12/2023</w:t>
            </w:r>
          </w:p>
        </w:tc>
        <w:tc>
          <w:tcPr>
            <w:tcW w:w="2126" w:type="dxa"/>
            <w:tcBorders>
              <w:top w:val="single" w:sz="4" w:space="0" w:color="auto"/>
              <w:left w:val="single" w:sz="4" w:space="0" w:color="auto"/>
              <w:bottom w:val="single" w:sz="4" w:space="0" w:color="auto"/>
              <w:right w:val="single" w:sz="4" w:space="0" w:color="auto"/>
            </w:tcBorders>
            <w:vAlign w:val="center"/>
          </w:tcPr>
          <w:p w14:paraId="39E98F5F"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$500,000,000.00 </w:t>
            </w:r>
          </w:p>
        </w:tc>
        <w:tc>
          <w:tcPr>
            <w:tcW w:w="2126" w:type="dxa"/>
            <w:tcBorders>
              <w:top w:val="single" w:sz="4" w:space="0" w:color="auto"/>
              <w:left w:val="single" w:sz="4" w:space="0" w:color="auto"/>
              <w:bottom w:val="single" w:sz="4" w:space="0" w:color="auto"/>
              <w:right w:val="single" w:sz="4" w:space="0" w:color="auto"/>
            </w:tcBorders>
            <w:vAlign w:val="center"/>
          </w:tcPr>
          <w:p w14:paraId="502E054E"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$420,704,375.21 </w:t>
            </w:r>
          </w:p>
        </w:tc>
      </w:tr>
      <w:tr w:rsidR="00A2347D" w:rsidRPr="00A2347D" w14:paraId="644B3DF0"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tcPr>
          <w:p w14:paraId="402D0071"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P08-0424030</w:t>
            </w:r>
          </w:p>
        </w:tc>
        <w:tc>
          <w:tcPr>
            <w:tcW w:w="1559" w:type="dxa"/>
            <w:tcBorders>
              <w:top w:val="single" w:sz="4" w:space="0" w:color="auto"/>
              <w:left w:val="single" w:sz="4" w:space="0" w:color="auto"/>
              <w:bottom w:val="single" w:sz="4" w:space="0" w:color="auto"/>
              <w:right w:val="single" w:sz="4" w:space="0" w:color="auto"/>
            </w:tcBorders>
            <w:vAlign w:val="center"/>
          </w:tcPr>
          <w:p w14:paraId="1976CF69"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BANORTE</w:t>
            </w:r>
          </w:p>
        </w:tc>
        <w:tc>
          <w:tcPr>
            <w:tcW w:w="1843" w:type="dxa"/>
            <w:tcBorders>
              <w:top w:val="single" w:sz="4" w:space="0" w:color="auto"/>
              <w:left w:val="single" w:sz="4" w:space="0" w:color="auto"/>
              <w:bottom w:val="single" w:sz="4" w:space="0" w:color="auto"/>
              <w:right w:val="single" w:sz="4" w:space="0" w:color="auto"/>
            </w:tcBorders>
            <w:vAlign w:val="center"/>
          </w:tcPr>
          <w:p w14:paraId="7DFFB93F"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28/12/2023</w:t>
            </w:r>
          </w:p>
        </w:tc>
        <w:tc>
          <w:tcPr>
            <w:tcW w:w="2126" w:type="dxa"/>
            <w:tcBorders>
              <w:top w:val="single" w:sz="4" w:space="0" w:color="auto"/>
              <w:left w:val="single" w:sz="4" w:space="0" w:color="auto"/>
              <w:bottom w:val="single" w:sz="4" w:space="0" w:color="auto"/>
              <w:right w:val="single" w:sz="4" w:space="0" w:color="auto"/>
            </w:tcBorders>
            <w:vAlign w:val="center"/>
          </w:tcPr>
          <w:p w14:paraId="56729860"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$500,000,000.00 </w:t>
            </w:r>
          </w:p>
        </w:tc>
        <w:tc>
          <w:tcPr>
            <w:tcW w:w="2126" w:type="dxa"/>
            <w:tcBorders>
              <w:top w:val="single" w:sz="4" w:space="0" w:color="auto"/>
              <w:left w:val="single" w:sz="4" w:space="0" w:color="auto"/>
              <w:bottom w:val="single" w:sz="4" w:space="0" w:color="auto"/>
              <w:right w:val="single" w:sz="4" w:space="0" w:color="auto"/>
            </w:tcBorders>
            <w:vAlign w:val="center"/>
          </w:tcPr>
          <w:p w14:paraId="054C89B3"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$418,035,685.47 </w:t>
            </w:r>
          </w:p>
        </w:tc>
      </w:tr>
      <w:tr w:rsidR="00A2347D" w:rsidRPr="00A2347D" w14:paraId="24DF5BE3"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tcPr>
          <w:p w14:paraId="35941CF2"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P08-0125006</w:t>
            </w:r>
          </w:p>
        </w:tc>
        <w:tc>
          <w:tcPr>
            <w:tcW w:w="1559" w:type="dxa"/>
            <w:tcBorders>
              <w:top w:val="single" w:sz="4" w:space="0" w:color="auto"/>
              <w:left w:val="single" w:sz="4" w:space="0" w:color="auto"/>
              <w:bottom w:val="single" w:sz="4" w:space="0" w:color="auto"/>
              <w:right w:val="single" w:sz="4" w:space="0" w:color="auto"/>
            </w:tcBorders>
            <w:vAlign w:val="center"/>
          </w:tcPr>
          <w:p w14:paraId="0E2733F4"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BBVA MÉXICO</w:t>
            </w:r>
          </w:p>
        </w:tc>
        <w:tc>
          <w:tcPr>
            <w:tcW w:w="1843" w:type="dxa"/>
            <w:tcBorders>
              <w:top w:val="single" w:sz="4" w:space="0" w:color="auto"/>
              <w:left w:val="single" w:sz="4" w:space="0" w:color="auto"/>
              <w:bottom w:val="single" w:sz="4" w:space="0" w:color="auto"/>
              <w:right w:val="single" w:sz="4" w:space="0" w:color="auto"/>
            </w:tcBorders>
            <w:vAlign w:val="center"/>
          </w:tcPr>
          <w:p w14:paraId="1100C86C"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21/11/2024</w:t>
            </w:r>
          </w:p>
        </w:tc>
        <w:tc>
          <w:tcPr>
            <w:tcW w:w="2126" w:type="dxa"/>
            <w:tcBorders>
              <w:top w:val="single" w:sz="4" w:space="0" w:color="auto"/>
              <w:left w:val="single" w:sz="4" w:space="0" w:color="auto"/>
              <w:bottom w:val="single" w:sz="4" w:space="0" w:color="auto"/>
              <w:right w:val="single" w:sz="4" w:space="0" w:color="auto"/>
            </w:tcBorders>
            <w:vAlign w:val="center"/>
          </w:tcPr>
          <w:p w14:paraId="66159439"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$4,728,800,000.00 </w:t>
            </w:r>
          </w:p>
        </w:tc>
        <w:tc>
          <w:tcPr>
            <w:tcW w:w="2126" w:type="dxa"/>
            <w:tcBorders>
              <w:top w:val="single" w:sz="4" w:space="0" w:color="auto"/>
              <w:left w:val="single" w:sz="4" w:space="0" w:color="auto"/>
              <w:bottom w:val="single" w:sz="4" w:space="0" w:color="auto"/>
              <w:right w:val="single" w:sz="4" w:space="0" w:color="auto"/>
            </w:tcBorders>
            <w:vAlign w:val="center"/>
          </w:tcPr>
          <w:p w14:paraId="64E4495D"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$4,674,342,278.16 </w:t>
            </w:r>
          </w:p>
        </w:tc>
      </w:tr>
      <w:tr w:rsidR="00A2347D" w:rsidRPr="00A2347D" w14:paraId="27FC9136"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tcPr>
          <w:p w14:paraId="27D4EAE8"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P08-0125007</w:t>
            </w:r>
          </w:p>
        </w:tc>
        <w:tc>
          <w:tcPr>
            <w:tcW w:w="1559" w:type="dxa"/>
            <w:tcBorders>
              <w:top w:val="single" w:sz="4" w:space="0" w:color="auto"/>
              <w:left w:val="single" w:sz="4" w:space="0" w:color="auto"/>
              <w:bottom w:val="single" w:sz="4" w:space="0" w:color="auto"/>
              <w:right w:val="single" w:sz="4" w:space="0" w:color="auto"/>
            </w:tcBorders>
            <w:vAlign w:val="center"/>
          </w:tcPr>
          <w:p w14:paraId="2E449F26"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SANTANDER</w:t>
            </w:r>
          </w:p>
        </w:tc>
        <w:tc>
          <w:tcPr>
            <w:tcW w:w="1843" w:type="dxa"/>
            <w:tcBorders>
              <w:top w:val="single" w:sz="4" w:space="0" w:color="auto"/>
              <w:left w:val="single" w:sz="4" w:space="0" w:color="auto"/>
              <w:bottom w:val="single" w:sz="4" w:space="0" w:color="auto"/>
              <w:right w:val="single" w:sz="4" w:space="0" w:color="auto"/>
            </w:tcBorders>
            <w:vAlign w:val="center"/>
          </w:tcPr>
          <w:p w14:paraId="199A389E"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21/11/2024</w:t>
            </w:r>
          </w:p>
        </w:tc>
        <w:tc>
          <w:tcPr>
            <w:tcW w:w="2126" w:type="dxa"/>
            <w:tcBorders>
              <w:top w:val="single" w:sz="4" w:space="0" w:color="auto"/>
              <w:left w:val="single" w:sz="4" w:space="0" w:color="auto"/>
              <w:bottom w:val="single" w:sz="4" w:space="0" w:color="auto"/>
              <w:right w:val="single" w:sz="4" w:space="0" w:color="auto"/>
            </w:tcBorders>
            <w:vAlign w:val="center"/>
          </w:tcPr>
          <w:p w14:paraId="4C7AC7A2"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$500,000,000.00 </w:t>
            </w:r>
          </w:p>
        </w:tc>
        <w:tc>
          <w:tcPr>
            <w:tcW w:w="2126" w:type="dxa"/>
            <w:tcBorders>
              <w:top w:val="single" w:sz="4" w:space="0" w:color="auto"/>
              <w:left w:val="single" w:sz="4" w:space="0" w:color="auto"/>
              <w:bottom w:val="single" w:sz="4" w:space="0" w:color="auto"/>
              <w:right w:val="single" w:sz="4" w:space="0" w:color="auto"/>
            </w:tcBorders>
            <w:vAlign w:val="center"/>
          </w:tcPr>
          <w:p w14:paraId="1D498192"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$499,508,489.97 </w:t>
            </w:r>
          </w:p>
        </w:tc>
      </w:tr>
      <w:tr w:rsidR="00A2347D" w:rsidRPr="00A2347D" w14:paraId="3892DF79"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tcPr>
          <w:p w14:paraId="1F5B8FEC"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P08-0125008</w:t>
            </w:r>
          </w:p>
        </w:tc>
        <w:tc>
          <w:tcPr>
            <w:tcW w:w="1559" w:type="dxa"/>
            <w:tcBorders>
              <w:top w:val="single" w:sz="4" w:space="0" w:color="auto"/>
              <w:left w:val="single" w:sz="4" w:space="0" w:color="auto"/>
              <w:bottom w:val="single" w:sz="4" w:space="0" w:color="auto"/>
              <w:right w:val="single" w:sz="4" w:space="0" w:color="auto"/>
            </w:tcBorders>
            <w:vAlign w:val="center"/>
          </w:tcPr>
          <w:p w14:paraId="16AD1945"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SANTANDER</w:t>
            </w:r>
          </w:p>
        </w:tc>
        <w:tc>
          <w:tcPr>
            <w:tcW w:w="1843" w:type="dxa"/>
            <w:tcBorders>
              <w:top w:val="single" w:sz="4" w:space="0" w:color="auto"/>
              <w:left w:val="single" w:sz="4" w:space="0" w:color="auto"/>
              <w:bottom w:val="single" w:sz="4" w:space="0" w:color="auto"/>
              <w:right w:val="single" w:sz="4" w:space="0" w:color="auto"/>
            </w:tcBorders>
            <w:vAlign w:val="center"/>
          </w:tcPr>
          <w:p w14:paraId="09AF18F4"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21/11/2024</w:t>
            </w:r>
          </w:p>
        </w:tc>
        <w:tc>
          <w:tcPr>
            <w:tcW w:w="2126" w:type="dxa"/>
            <w:tcBorders>
              <w:top w:val="single" w:sz="4" w:space="0" w:color="auto"/>
              <w:left w:val="single" w:sz="4" w:space="0" w:color="auto"/>
              <w:bottom w:val="single" w:sz="4" w:space="0" w:color="auto"/>
              <w:right w:val="single" w:sz="4" w:space="0" w:color="auto"/>
            </w:tcBorders>
            <w:vAlign w:val="center"/>
          </w:tcPr>
          <w:p w14:paraId="1D5CF48D"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$500,000,000.00 </w:t>
            </w:r>
          </w:p>
        </w:tc>
        <w:tc>
          <w:tcPr>
            <w:tcW w:w="2126" w:type="dxa"/>
            <w:tcBorders>
              <w:top w:val="single" w:sz="4" w:space="0" w:color="auto"/>
              <w:left w:val="single" w:sz="4" w:space="0" w:color="auto"/>
              <w:bottom w:val="single" w:sz="4" w:space="0" w:color="auto"/>
              <w:right w:val="single" w:sz="4" w:space="0" w:color="auto"/>
            </w:tcBorders>
            <w:vAlign w:val="center"/>
          </w:tcPr>
          <w:p w14:paraId="121E89A3"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$499,508,489.97 </w:t>
            </w:r>
          </w:p>
        </w:tc>
      </w:tr>
      <w:tr w:rsidR="00A2347D" w:rsidRPr="00A2347D" w14:paraId="0C9E9A32"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tcPr>
          <w:p w14:paraId="7593F3B4"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P08-0125009</w:t>
            </w:r>
          </w:p>
        </w:tc>
        <w:tc>
          <w:tcPr>
            <w:tcW w:w="1559" w:type="dxa"/>
            <w:tcBorders>
              <w:top w:val="single" w:sz="4" w:space="0" w:color="auto"/>
              <w:left w:val="single" w:sz="4" w:space="0" w:color="auto"/>
              <w:bottom w:val="single" w:sz="4" w:space="0" w:color="auto"/>
              <w:right w:val="single" w:sz="4" w:space="0" w:color="auto"/>
            </w:tcBorders>
            <w:vAlign w:val="center"/>
          </w:tcPr>
          <w:p w14:paraId="47F93CEC"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BBVA MÉXICO</w:t>
            </w:r>
          </w:p>
        </w:tc>
        <w:tc>
          <w:tcPr>
            <w:tcW w:w="1843" w:type="dxa"/>
            <w:tcBorders>
              <w:top w:val="single" w:sz="4" w:space="0" w:color="auto"/>
              <w:left w:val="single" w:sz="4" w:space="0" w:color="auto"/>
              <w:bottom w:val="single" w:sz="4" w:space="0" w:color="auto"/>
              <w:right w:val="single" w:sz="4" w:space="0" w:color="auto"/>
            </w:tcBorders>
            <w:vAlign w:val="center"/>
          </w:tcPr>
          <w:p w14:paraId="3FA2FF61"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21/11/2024</w:t>
            </w:r>
          </w:p>
        </w:tc>
        <w:tc>
          <w:tcPr>
            <w:tcW w:w="2126" w:type="dxa"/>
            <w:tcBorders>
              <w:top w:val="single" w:sz="4" w:space="0" w:color="auto"/>
              <w:left w:val="single" w:sz="4" w:space="0" w:color="auto"/>
              <w:bottom w:val="single" w:sz="4" w:space="0" w:color="auto"/>
              <w:right w:val="single" w:sz="4" w:space="0" w:color="auto"/>
            </w:tcBorders>
            <w:vAlign w:val="center"/>
          </w:tcPr>
          <w:p w14:paraId="6B2BF750"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$1,000,000,000.00 </w:t>
            </w:r>
          </w:p>
        </w:tc>
        <w:tc>
          <w:tcPr>
            <w:tcW w:w="2126" w:type="dxa"/>
            <w:tcBorders>
              <w:top w:val="single" w:sz="4" w:space="0" w:color="auto"/>
              <w:left w:val="single" w:sz="4" w:space="0" w:color="auto"/>
              <w:bottom w:val="single" w:sz="4" w:space="0" w:color="auto"/>
              <w:right w:val="single" w:sz="4" w:space="0" w:color="auto"/>
            </w:tcBorders>
            <w:vAlign w:val="center"/>
          </w:tcPr>
          <w:p w14:paraId="10BBB86B"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$985,075,634.56 </w:t>
            </w:r>
          </w:p>
        </w:tc>
      </w:tr>
      <w:tr w:rsidR="00A2347D" w:rsidRPr="00A2347D" w14:paraId="3E6A40DB"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hideMark/>
          </w:tcPr>
          <w:p w14:paraId="3B8E21EB"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P08-0125010</w:t>
            </w:r>
          </w:p>
        </w:tc>
        <w:tc>
          <w:tcPr>
            <w:tcW w:w="1559" w:type="dxa"/>
            <w:tcBorders>
              <w:top w:val="single" w:sz="4" w:space="0" w:color="auto"/>
              <w:left w:val="single" w:sz="4" w:space="0" w:color="auto"/>
              <w:bottom w:val="single" w:sz="4" w:space="0" w:color="auto"/>
              <w:right w:val="single" w:sz="4" w:space="0" w:color="auto"/>
            </w:tcBorders>
            <w:vAlign w:val="center"/>
          </w:tcPr>
          <w:p w14:paraId="56B7FF39"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BANORTE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C71927"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20/11/2024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1CD924"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$1,500,000,000.00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C30A2C" w14:textId="77777777" w:rsidR="00A2347D" w:rsidRPr="00A2347D" w:rsidRDefault="00A2347D" w:rsidP="009E41A9">
            <w:pPr>
              <w:jc w:val="center"/>
              <w:rPr>
                <w:rFonts w:ascii="Century Gothic" w:hAnsi="Century Gothic" w:cs="Arial"/>
                <w:sz w:val="20"/>
                <w:szCs w:val="20"/>
              </w:rPr>
            </w:pPr>
            <w:r w:rsidRPr="00A2347D">
              <w:rPr>
                <w:rFonts w:ascii="Century Gothic" w:hAnsi="Century Gothic" w:cs="Arial"/>
                <w:color w:val="000000"/>
                <w:sz w:val="20"/>
                <w:szCs w:val="20"/>
              </w:rPr>
              <w:t xml:space="preserve">$1,483,035,086.13 </w:t>
            </w:r>
          </w:p>
        </w:tc>
      </w:tr>
      <w:tr w:rsidR="00A2347D" w:rsidRPr="00A2347D" w14:paraId="46E6EE92"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hideMark/>
          </w:tcPr>
          <w:p w14:paraId="0D46E99A"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P08-0125011</w:t>
            </w:r>
          </w:p>
        </w:tc>
        <w:tc>
          <w:tcPr>
            <w:tcW w:w="1559" w:type="dxa"/>
            <w:tcBorders>
              <w:top w:val="single" w:sz="4" w:space="0" w:color="auto"/>
              <w:left w:val="single" w:sz="4" w:space="0" w:color="auto"/>
              <w:bottom w:val="single" w:sz="4" w:space="0" w:color="auto"/>
              <w:right w:val="single" w:sz="4" w:space="0" w:color="auto"/>
            </w:tcBorders>
            <w:vAlign w:val="center"/>
          </w:tcPr>
          <w:p w14:paraId="747C7CD4"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SANTANDER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CDC095"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21/11/2024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61FFCC"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$1,000,000,000.00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9F35FD"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$997,553,352.39 </w:t>
            </w:r>
          </w:p>
        </w:tc>
      </w:tr>
      <w:tr w:rsidR="00A2347D" w:rsidRPr="00A2347D" w14:paraId="74005146"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hideMark/>
          </w:tcPr>
          <w:p w14:paraId="245B31B4"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P08-0125012</w:t>
            </w:r>
          </w:p>
        </w:tc>
        <w:tc>
          <w:tcPr>
            <w:tcW w:w="1559" w:type="dxa"/>
            <w:tcBorders>
              <w:top w:val="single" w:sz="4" w:space="0" w:color="auto"/>
              <w:left w:val="single" w:sz="4" w:space="0" w:color="auto"/>
              <w:bottom w:val="single" w:sz="4" w:space="0" w:color="auto"/>
              <w:right w:val="single" w:sz="4" w:space="0" w:color="auto"/>
            </w:tcBorders>
            <w:vAlign w:val="center"/>
          </w:tcPr>
          <w:p w14:paraId="598E97FC"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SANTANDER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699755"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21/11/2024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3DF6A3A"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$494,681,662.97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FAFE72"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 xml:space="preserve">$470,743,589.01 </w:t>
            </w:r>
          </w:p>
        </w:tc>
      </w:tr>
      <w:tr w:rsidR="00A2347D" w:rsidRPr="00A2347D" w14:paraId="413CBF95"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tcPr>
          <w:p w14:paraId="4B3ADFFE"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P08-1225071</w:t>
            </w:r>
          </w:p>
        </w:tc>
        <w:tc>
          <w:tcPr>
            <w:tcW w:w="1559" w:type="dxa"/>
            <w:tcBorders>
              <w:top w:val="single" w:sz="4" w:space="0" w:color="auto"/>
              <w:left w:val="single" w:sz="4" w:space="0" w:color="auto"/>
              <w:bottom w:val="single" w:sz="4" w:space="0" w:color="auto"/>
              <w:right w:val="single" w:sz="4" w:space="0" w:color="auto"/>
            </w:tcBorders>
            <w:vAlign w:val="center"/>
          </w:tcPr>
          <w:p w14:paraId="2CAFECF7"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BANOBRAS</w:t>
            </w:r>
          </w:p>
        </w:tc>
        <w:tc>
          <w:tcPr>
            <w:tcW w:w="1843" w:type="dxa"/>
            <w:tcBorders>
              <w:top w:val="single" w:sz="4" w:space="0" w:color="auto"/>
              <w:left w:val="single" w:sz="4" w:space="0" w:color="auto"/>
              <w:bottom w:val="single" w:sz="4" w:space="0" w:color="auto"/>
              <w:right w:val="single" w:sz="4" w:space="0" w:color="auto"/>
            </w:tcBorders>
            <w:vAlign w:val="center"/>
          </w:tcPr>
          <w:p w14:paraId="74228376"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26/12/2024</w:t>
            </w:r>
          </w:p>
        </w:tc>
        <w:tc>
          <w:tcPr>
            <w:tcW w:w="2126" w:type="dxa"/>
            <w:tcBorders>
              <w:top w:val="single" w:sz="4" w:space="0" w:color="auto"/>
              <w:left w:val="single" w:sz="4" w:space="0" w:color="auto"/>
              <w:bottom w:val="single" w:sz="4" w:space="0" w:color="auto"/>
              <w:right w:val="single" w:sz="4" w:space="0" w:color="auto"/>
            </w:tcBorders>
            <w:vAlign w:val="center"/>
          </w:tcPr>
          <w:p w14:paraId="6B1A4DDC"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$1,347,000,000.00</w:t>
            </w:r>
          </w:p>
        </w:tc>
        <w:tc>
          <w:tcPr>
            <w:tcW w:w="2126" w:type="dxa"/>
            <w:tcBorders>
              <w:top w:val="single" w:sz="4" w:space="0" w:color="auto"/>
              <w:left w:val="single" w:sz="4" w:space="0" w:color="auto"/>
              <w:bottom w:val="single" w:sz="4" w:space="0" w:color="auto"/>
              <w:right w:val="single" w:sz="4" w:space="0" w:color="auto"/>
            </w:tcBorders>
            <w:vAlign w:val="center"/>
          </w:tcPr>
          <w:p w14:paraId="6B29E4D5"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$1,347,000,000.00</w:t>
            </w:r>
          </w:p>
        </w:tc>
      </w:tr>
      <w:tr w:rsidR="00A2347D" w:rsidRPr="00A2347D" w14:paraId="733A10B3"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tcPr>
          <w:p w14:paraId="528E88E0"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P08-1225072</w:t>
            </w:r>
          </w:p>
        </w:tc>
        <w:tc>
          <w:tcPr>
            <w:tcW w:w="1559" w:type="dxa"/>
            <w:tcBorders>
              <w:top w:val="single" w:sz="4" w:space="0" w:color="auto"/>
              <w:left w:val="single" w:sz="4" w:space="0" w:color="auto"/>
              <w:bottom w:val="single" w:sz="4" w:space="0" w:color="auto"/>
              <w:right w:val="single" w:sz="4" w:space="0" w:color="auto"/>
            </w:tcBorders>
            <w:vAlign w:val="center"/>
          </w:tcPr>
          <w:p w14:paraId="4125D9BC"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BANORTE</w:t>
            </w:r>
          </w:p>
        </w:tc>
        <w:tc>
          <w:tcPr>
            <w:tcW w:w="1843" w:type="dxa"/>
            <w:tcBorders>
              <w:top w:val="single" w:sz="4" w:space="0" w:color="auto"/>
              <w:left w:val="single" w:sz="4" w:space="0" w:color="auto"/>
              <w:bottom w:val="single" w:sz="4" w:space="0" w:color="auto"/>
              <w:right w:val="single" w:sz="4" w:space="0" w:color="auto"/>
            </w:tcBorders>
            <w:vAlign w:val="center"/>
          </w:tcPr>
          <w:p w14:paraId="641ECB66"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26/12/2024</w:t>
            </w:r>
          </w:p>
        </w:tc>
        <w:tc>
          <w:tcPr>
            <w:tcW w:w="2126" w:type="dxa"/>
            <w:tcBorders>
              <w:top w:val="single" w:sz="4" w:space="0" w:color="auto"/>
              <w:left w:val="single" w:sz="4" w:space="0" w:color="auto"/>
              <w:bottom w:val="single" w:sz="4" w:space="0" w:color="auto"/>
              <w:right w:val="single" w:sz="4" w:space="0" w:color="auto"/>
            </w:tcBorders>
            <w:vAlign w:val="center"/>
          </w:tcPr>
          <w:p w14:paraId="0C6DFA8C"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$2,000,000,000.00</w:t>
            </w:r>
          </w:p>
        </w:tc>
        <w:tc>
          <w:tcPr>
            <w:tcW w:w="2126" w:type="dxa"/>
            <w:tcBorders>
              <w:top w:val="single" w:sz="4" w:space="0" w:color="auto"/>
              <w:left w:val="single" w:sz="4" w:space="0" w:color="auto"/>
              <w:bottom w:val="single" w:sz="4" w:space="0" w:color="auto"/>
              <w:right w:val="single" w:sz="4" w:space="0" w:color="auto"/>
            </w:tcBorders>
            <w:vAlign w:val="center"/>
          </w:tcPr>
          <w:p w14:paraId="72319550"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$2,000,000,000.00</w:t>
            </w:r>
          </w:p>
        </w:tc>
      </w:tr>
      <w:tr w:rsidR="00A2347D" w:rsidRPr="00A2347D" w14:paraId="202CBE1D"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tcPr>
          <w:p w14:paraId="159F9FF0"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P08-1225073</w:t>
            </w:r>
          </w:p>
        </w:tc>
        <w:tc>
          <w:tcPr>
            <w:tcW w:w="1559" w:type="dxa"/>
            <w:tcBorders>
              <w:top w:val="single" w:sz="4" w:space="0" w:color="auto"/>
              <w:left w:val="single" w:sz="4" w:space="0" w:color="auto"/>
              <w:bottom w:val="single" w:sz="4" w:space="0" w:color="auto"/>
              <w:right w:val="single" w:sz="4" w:space="0" w:color="auto"/>
            </w:tcBorders>
            <w:vAlign w:val="center"/>
          </w:tcPr>
          <w:p w14:paraId="27C765DF"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BANORTE</w:t>
            </w:r>
          </w:p>
        </w:tc>
        <w:tc>
          <w:tcPr>
            <w:tcW w:w="1843" w:type="dxa"/>
            <w:tcBorders>
              <w:top w:val="single" w:sz="4" w:space="0" w:color="auto"/>
              <w:left w:val="single" w:sz="4" w:space="0" w:color="auto"/>
              <w:bottom w:val="single" w:sz="4" w:space="0" w:color="auto"/>
              <w:right w:val="single" w:sz="4" w:space="0" w:color="auto"/>
            </w:tcBorders>
            <w:vAlign w:val="center"/>
          </w:tcPr>
          <w:p w14:paraId="279BF1E2"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26/12/2024</w:t>
            </w:r>
          </w:p>
        </w:tc>
        <w:tc>
          <w:tcPr>
            <w:tcW w:w="2126" w:type="dxa"/>
            <w:tcBorders>
              <w:top w:val="single" w:sz="4" w:space="0" w:color="auto"/>
              <w:left w:val="single" w:sz="4" w:space="0" w:color="auto"/>
              <w:bottom w:val="single" w:sz="4" w:space="0" w:color="auto"/>
              <w:right w:val="single" w:sz="4" w:space="0" w:color="auto"/>
            </w:tcBorders>
            <w:vAlign w:val="center"/>
          </w:tcPr>
          <w:p w14:paraId="249B24B9"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$1,300,000,000.00</w:t>
            </w:r>
          </w:p>
        </w:tc>
        <w:tc>
          <w:tcPr>
            <w:tcW w:w="2126" w:type="dxa"/>
            <w:tcBorders>
              <w:top w:val="single" w:sz="4" w:space="0" w:color="auto"/>
              <w:left w:val="single" w:sz="4" w:space="0" w:color="auto"/>
              <w:bottom w:val="single" w:sz="4" w:space="0" w:color="auto"/>
              <w:right w:val="single" w:sz="4" w:space="0" w:color="auto"/>
            </w:tcBorders>
            <w:vAlign w:val="center"/>
          </w:tcPr>
          <w:p w14:paraId="6EDC9AD5"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$1,300,000,000.00</w:t>
            </w:r>
          </w:p>
        </w:tc>
      </w:tr>
      <w:tr w:rsidR="00A2347D" w:rsidRPr="00A2347D" w14:paraId="7F9A5E3C"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tcPr>
          <w:p w14:paraId="6F862531"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P08-1225074</w:t>
            </w:r>
          </w:p>
        </w:tc>
        <w:tc>
          <w:tcPr>
            <w:tcW w:w="1559" w:type="dxa"/>
            <w:tcBorders>
              <w:top w:val="single" w:sz="4" w:space="0" w:color="auto"/>
              <w:left w:val="single" w:sz="4" w:space="0" w:color="auto"/>
              <w:bottom w:val="single" w:sz="4" w:space="0" w:color="auto"/>
              <w:right w:val="single" w:sz="4" w:space="0" w:color="auto"/>
            </w:tcBorders>
            <w:vAlign w:val="center"/>
          </w:tcPr>
          <w:p w14:paraId="084DADA8"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BANOBRAS</w:t>
            </w:r>
          </w:p>
        </w:tc>
        <w:tc>
          <w:tcPr>
            <w:tcW w:w="1843" w:type="dxa"/>
            <w:tcBorders>
              <w:top w:val="single" w:sz="4" w:space="0" w:color="auto"/>
              <w:left w:val="single" w:sz="4" w:space="0" w:color="auto"/>
              <w:bottom w:val="single" w:sz="4" w:space="0" w:color="auto"/>
              <w:right w:val="single" w:sz="4" w:space="0" w:color="auto"/>
            </w:tcBorders>
            <w:vAlign w:val="center"/>
          </w:tcPr>
          <w:p w14:paraId="270BCC64"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31/12/2024</w:t>
            </w:r>
          </w:p>
        </w:tc>
        <w:tc>
          <w:tcPr>
            <w:tcW w:w="2126" w:type="dxa"/>
            <w:tcBorders>
              <w:top w:val="single" w:sz="4" w:space="0" w:color="auto"/>
              <w:left w:val="single" w:sz="4" w:space="0" w:color="auto"/>
              <w:bottom w:val="single" w:sz="4" w:space="0" w:color="auto"/>
              <w:right w:val="single" w:sz="4" w:space="0" w:color="auto"/>
            </w:tcBorders>
            <w:vAlign w:val="center"/>
          </w:tcPr>
          <w:p w14:paraId="0AACE150"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$1,626,030,056.54</w:t>
            </w:r>
          </w:p>
        </w:tc>
        <w:tc>
          <w:tcPr>
            <w:tcW w:w="2126" w:type="dxa"/>
            <w:tcBorders>
              <w:top w:val="single" w:sz="4" w:space="0" w:color="auto"/>
              <w:left w:val="single" w:sz="4" w:space="0" w:color="auto"/>
              <w:bottom w:val="single" w:sz="4" w:space="0" w:color="auto"/>
              <w:right w:val="single" w:sz="4" w:space="0" w:color="auto"/>
            </w:tcBorders>
            <w:vAlign w:val="center"/>
          </w:tcPr>
          <w:p w14:paraId="254C6A65"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$1,626,030,056.54</w:t>
            </w:r>
          </w:p>
        </w:tc>
      </w:tr>
      <w:tr w:rsidR="00A2347D" w:rsidRPr="00A2347D" w14:paraId="709E0C1A" w14:textId="77777777" w:rsidTr="00A2347D">
        <w:trPr>
          <w:trHeight w:val="482"/>
        </w:trPr>
        <w:tc>
          <w:tcPr>
            <w:tcW w:w="1555" w:type="dxa"/>
            <w:tcBorders>
              <w:top w:val="single" w:sz="4" w:space="0" w:color="auto"/>
              <w:left w:val="single" w:sz="4" w:space="0" w:color="auto"/>
              <w:bottom w:val="single" w:sz="4" w:space="0" w:color="auto"/>
              <w:right w:val="single" w:sz="4" w:space="0" w:color="auto"/>
            </w:tcBorders>
            <w:vAlign w:val="center"/>
          </w:tcPr>
          <w:p w14:paraId="601E10D1"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P08-1225075</w:t>
            </w:r>
          </w:p>
        </w:tc>
        <w:tc>
          <w:tcPr>
            <w:tcW w:w="1559" w:type="dxa"/>
            <w:tcBorders>
              <w:top w:val="single" w:sz="4" w:space="0" w:color="auto"/>
              <w:left w:val="single" w:sz="4" w:space="0" w:color="auto"/>
              <w:bottom w:val="single" w:sz="4" w:space="0" w:color="auto"/>
              <w:right w:val="single" w:sz="4" w:space="0" w:color="auto"/>
            </w:tcBorders>
            <w:vAlign w:val="center"/>
          </w:tcPr>
          <w:p w14:paraId="7C7806DA"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BANOBRAS</w:t>
            </w:r>
          </w:p>
        </w:tc>
        <w:tc>
          <w:tcPr>
            <w:tcW w:w="1843" w:type="dxa"/>
            <w:tcBorders>
              <w:top w:val="single" w:sz="4" w:space="0" w:color="auto"/>
              <w:left w:val="single" w:sz="4" w:space="0" w:color="auto"/>
              <w:bottom w:val="single" w:sz="4" w:space="0" w:color="auto"/>
              <w:right w:val="single" w:sz="4" w:space="0" w:color="auto"/>
            </w:tcBorders>
            <w:vAlign w:val="center"/>
          </w:tcPr>
          <w:p w14:paraId="23ABCCBD"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31/12/2024</w:t>
            </w:r>
          </w:p>
        </w:tc>
        <w:tc>
          <w:tcPr>
            <w:tcW w:w="2126" w:type="dxa"/>
            <w:tcBorders>
              <w:top w:val="single" w:sz="4" w:space="0" w:color="auto"/>
              <w:left w:val="single" w:sz="4" w:space="0" w:color="auto"/>
              <w:bottom w:val="single" w:sz="4" w:space="0" w:color="auto"/>
              <w:right w:val="single" w:sz="4" w:space="0" w:color="auto"/>
            </w:tcBorders>
            <w:vAlign w:val="center"/>
          </w:tcPr>
          <w:p w14:paraId="10DA25BC"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$245,891,500.00</w:t>
            </w:r>
          </w:p>
        </w:tc>
        <w:tc>
          <w:tcPr>
            <w:tcW w:w="2126" w:type="dxa"/>
            <w:tcBorders>
              <w:top w:val="single" w:sz="4" w:space="0" w:color="auto"/>
              <w:left w:val="single" w:sz="4" w:space="0" w:color="auto"/>
              <w:bottom w:val="single" w:sz="4" w:space="0" w:color="auto"/>
              <w:right w:val="single" w:sz="4" w:space="0" w:color="auto"/>
            </w:tcBorders>
            <w:vAlign w:val="center"/>
          </w:tcPr>
          <w:p w14:paraId="1BE6642E" w14:textId="77777777" w:rsidR="00A2347D" w:rsidRPr="00A2347D" w:rsidRDefault="00A2347D" w:rsidP="009E41A9">
            <w:pPr>
              <w:jc w:val="center"/>
              <w:rPr>
                <w:rFonts w:ascii="Century Gothic" w:hAnsi="Century Gothic" w:cs="Arial"/>
                <w:color w:val="000000"/>
                <w:sz w:val="20"/>
                <w:szCs w:val="20"/>
              </w:rPr>
            </w:pPr>
            <w:r w:rsidRPr="00A2347D">
              <w:rPr>
                <w:rFonts w:ascii="Century Gothic" w:hAnsi="Century Gothic" w:cs="Arial"/>
                <w:color w:val="000000"/>
                <w:sz w:val="20"/>
                <w:szCs w:val="20"/>
              </w:rPr>
              <w:t>$245,891,500.00</w:t>
            </w:r>
          </w:p>
        </w:tc>
      </w:tr>
      <w:bookmarkEnd w:id="0"/>
    </w:tbl>
    <w:p w14:paraId="722B3B0F" w14:textId="1EFAC1CB" w:rsidR="00A2347D" w:rsidRPr="0026445D" w:rsidRDefault="00A2347D" w:rsidP="00EE06FC">
      <w:pPr>
        <w:spacing w:after="160" w:line="360" w:lineRule="auto"/>
        <w:jc w:val="both"/>
        <w:rPr>
          <w:rFonts w:ascii="Century Gothic" w:eastAsia="Calibri" w:hAnsi="Century Gothic"/>
          <w:sz w:val="16"/>
          <w:szCs w:val="16"/>
          <w:lang w:eastAsia="en-US"/>
        </w:rPr>
      </w:pPr>
    </w:p>
    <w:p w14:paraId="01F1F748" w14:textId="77777777" w:rsidR="00A2347D" w:rsidRPr="00A2347D" w:rsidRDefault="00A2347D" w:rsidP="00A2347D">
      <w:pPr>
        <w:spacing w:after="160" w:line="360" w:lineRule="auto"/>
        <w:jc w:val="both"/>
        <w:rPr>
          <w:rFonts w:ascii="Century Gothic" w:eastAsia="Calibri" w:hAnsi="Century Gothic"/>
          <w:sz w:val="24"/>
          <w:szCs w:val="24"/>
          <w:lang w:eastAsia="en-US"/>
        </w:rPr>
      </w:pPr>
      <w:r w:rsidRPr="00A2347D">
        <w:rPr>
          <w:rFonts w:ascii="Century Gothic" w:eastAsia="Calibri" w:hAnsi="Century Gothic"/>
          <w:sz w:val="24"/>
          <w:szCs w:val="24"/>
          <w:lang w:eastAsia="en-US"/>
        </w:rPr>
        <w:t xml:space="preserve">Los instrumentos derivados deberán celebrarse con la o las instituciones financieras del Sistema Financiero Mexicano que ofrezcan las mejores condiciones de mercado, previo proceso competitivo, y autorizando a la Secretaría de Hacienda para determinar el tipo de instrumento derivado por contratar, incluyendo los plazos y demás condiciones. </w:t>
      </w:r>
    </w:p>
    <w:p w14:paraId="3AA82C74" w14:textId="4729BB9A" w:rsidR="00A2347D" w:rsidRPr="0026445D" w:rsidRDefault="00A2347D" w:rsidP="00A2347D">
      <w:pPr>
        <w:spacing w:after="160" w:line="360" w:lineRule="auto"/>
        <w:jc w:val="both"/>
        <w:rPr>
          <w:rFonts w:ascii="Century Gothic" w:eastAsia="Calibri" w:hAnsi="Century Gothic"/>
          <w:sz w:val="10"/>
          <w:szCs w:val="10"/>
          <w:lang w:eastAsia="en-US"/>
        </w:rPr>
      </w:pPr>
    </w:p>
    <w:p w14:paraId="7F85ADE6" w14:textId="60BE278C" w:rsidR="00A2347D" w:rsidRPr="00EE06FC" w:rsidRDefault="00A2347D" w:rsidP="00A2347D">
      <w:pPr>
        <w:spacing w:after="160" w:line="360" w:lineRule="auto"/>
        <w:jc w:val="both"/>
        <w:rPr>
          <w:rFonts w:ascii="Century Gothic" w:eastAsia="Calibri" w:hAnsi="Century Gothic"/>
          <w:sz w:val="24"/>
          <w:szCs w:val="24"/>
          <w:lang w:eastAsia="en-US"/>
        </w:rPr>
      </w:pPr>
      <w:r w:rsidRPr="00A2347D">
        <w:rPr>
          <w:rFonts w:ascii="Century Gothic" w:eastAsia="Calibri" w:hAnsi="Century Gothic"/>
          <w:sz w:val="24"/>
          <w:szCs w:val="24"/>
          <w:lang w:eastAsia="en-US"/>
        </w:rPr>
        <w:t>Por hasta $39,450,696,761.76 (Treinta y nueve mil cuatrocientos cincuenta millones seiscientos noventa y seis mil setecientos sesenta y un pesos 76/100 M.N.) de monto nocional, a un plazo de hasta 5 años, pudiendo comprometer como fuente de pago un porcentaje suficiente y necesario del Fondo General de Participaciones o de los Ingresos Locales del Estado.</w:t>
      </w:r>
    </w:p>
    <w:p w14:paraId="6DF6E8DE" w14:textId="77777777" w:rsidR="00EE06FC" w:rsidRPr="0026445D" w:rsidRDefault="00EE06FC" w:rsidP="00EE06FC">
      <w:pPr>
        <w:spacing w:after="160" w:line="360" w:lineRule="auto"/>
        <w:jc w:val="both"/>
        <w:rPr>
          <w:rFonts w:ascii="Century Gothic" w:eastAsia="Calibri" w:hAnsi="Century Gothic"/>
          <w:sz w:val="14"/>
          <w:szCs w:val="14"/>
          <w:lang w:eastAsia="en-US"/>
        </w:rPr>
      </w:pPr>
    </w:p>
    <w:p w14:paraId="34506B95" w14:textId="77777777" w:rsidR="00EE06FC" w:rsidRPr="00B54879" w:rsidRDefault="00EE06FC" w:rsidP="00EE06FC">
      <w:pPr>
        <w:spacing w:after="160" w:line="360" w:lineRule="auto"/>
        <w:jc w:val="both"/>
        <w:rPr>
          <w:rFonts w:ascii="Century Gothic" w:eastAsia="Calibri" w:hAnsi="Century Gothic"/>
          <w:b/>
          <w:sz w:val="24"/>
          <w:szCs w:val="24"/>
          <w:lang w:eastAsia="en-US"/>
        </w:rPr>
      </w:pPr>
      <w:r w:rsidRPr="00B54879">
        <w:rPr>
          <w:rFonts w:ascii="Century Gothic" w:eastAsia="Calibri" w:hAnsi="Century Gothic"/>
          <w:b/>
          <w:sz w:val="24"/>
          <w:szCs w:val="24"/>
          <w:lang w:eastAsia="en-US"/>
        </w:rPr>
        <w:t>Artículo Sexto. Fuente de Pago y Mecanismos de Administración.</w:t>
      </w:r>
    </w:p>
    <w:p w14:paraId="0C3C125E" w14:textId="77777777" w:rsidR="00EE06FC" w:rsidRPr="0026445D" w:rsidRDefault="00EE06FC" w:rsidP="00EE06FC">
      <w:pPr>
        <w:spacing w:after="160" w:line="360" w:lineRule="auto"/>
        <w:jc w:val="both"/>
        <w:rPr>
          <w:rFonts w:ascii="Century Gothic" w:eastAsia="Calibri" w:hAnsi="Century Gothic"/>
          <w:sz w:val="12"/>
          <w:szCs w:val="12"/>
          <w:lang w:eastAsia="en-US"/>
        </w:rPr>
      </w:pPr>
    </w:p>
    <w:p w14:paraId="7ED21F9A" w14:textId="1ED92963"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Se autoriza al Poder Ejecutivo, por conducto de la Secretaría de Hacienda, para que</w:t>
      </w:r>
      <w:r w:rsidR="005C42FD">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sin perjuicio de afectaciones previas, afecte como fuente de pago de los financiamientos, los instrumentos derivados y coberturas que se contraten con fundamento en los Artículos Primero, Segundo, Tercero, Cuarto y Quinto de este Decreto, el derecho a recibir y los flujos de recursos que deriven hasta del 35.00% (Treinta y cinco por ciento) de las</w:t>
      </w:r>
      <w:r w:rsidR="00B54879">
        <w:rPr>
          <w:rFonts w:ascii="Century Gothic" w:eastAsia="Calibri" w:hAnsi="Century Gothic"/>
          <w:sz w:val="24"/>
          <w:szCs w:val="24"/>
          <w:lang w:eastAsia="en-US"/>
        </w:rPr>
        <w:t xml:space="preserve"> </w:t>
      </w:r>
      <w:r w:rsidRPr="00EE06FC">
        <w:rPr>
          <w:rFonts w:ascii="Century Gothic" w:eastAsia="Calibri" w:hAnsi="Century Gothic"/>
          <w:sz w:val="24"/>
          <w:szCs w:val="24"/>
          <w:lang w:eastAsia="en-US"/>
        </w:rPr>
        <w:t>participaciones presentes y futuras que en ingresos federales</w:t>
      </w:r>
      <w:r w:rsidR="005C42FD">
        <w:rPr>
          <w:rFonts w:ascii="Century Gothic" w:eastAsia="Calibri" w:hAnsi="Century Gothic"/>
          <w:sz w:val="24"/>
          <w:szCs w:val="24"/>
          <w:lang w:eastAsia="en-US"/>
        </w:rPr>
        <w:t xml:space="preserve"> le</w:t>
      </w:r>
      <w:r w:rsidRPr="00EE06FC">
        <w:rPr>
          <w:rFonts w:ascii="Century Gothic" w:eastAsia="Calibri" w:hAnsi="Century Gothic"/>
          <w:sz w:val="24"/>
          <w:szCs w:val="24"/>
          <w:lang w:eastAsia="en-US"/>
        </w:rPr>
        <w:t xml:space="preserve"> corresponden al Estado de Chihuahua del Fondo de General de Participaciones a qu</w:t>
      </w:r>
      <w:r w:rsidR="005C42FD">
        <w:rPr>
          <w:rFonts w:ascii="Century Gothic" w:eastAsia="Calibri" w:hAnsi="Century Gothic"/>
          <w:sz w:val="24"/>
          <w:szCs w:val="24"/>
          <w:lang w:eastAsia="en-US"/>
        </w:rPr>
        <w:t>e hace referencia el artículo 9º</w:t>
      </w:r>
      <w:r w:rsidRPr="00EE06FC">
        <w:rPr>
          <w:rFonts w:ascii="Century Gothic" w:eastAsia="Calibri" w:hAnsi="Century Gothic"/>
          <w:sz w:val="24"/>
          <w:szCs w:val="24"/>
          <w:lang w:eastAsia="en-US"/>
        </w:rPr>
        <w:t xml:space="preserve"> de la Ley de Coordinación Fiscal, así como aquellos fondos que en su caso lo reemplacen, sustituyan o complementen de tiempo en tiempo, excluyendo las participaciones que de dicho fondo corresponden a los municipios.</w:t>
      </w:r>
    </w:p>
    <w:p w14:paraId="21B2EF01" w14:textId="77777777" w:rsidR="0026445D" w:rsidRPr="0026445D" w:rsidRDefault="0026445D" w:rsidP="00EE06FC">
      <w:pPr>
        <w:spacing w:after="160" w:line="360" w:lineRule="auto"/>
        <w:jc w:val="both"/>
        <w:rPr>
          <w:rFonts w:ascii="Century Gothic" w:eastAsia="Calibri" w:hAnsi="Century Gothic"/>
          <w:sz w:val="10"/>
          <w:szCs w:val="10"/>
          <w:lang w:eastAsia="en-US"/>
        </w:rPr>
      </w:pPr>
    </w:p>
    <w:p w14:paraId="263427DD" w14:textId="5398A306"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lastRenderedPageBreak/>
        <w:t>El Poder Ejecutivo, por conducto de la Secretaría de Hacienda, deberá realizar las afectaciones anteriormente referidas, de manera irrevocable y hasta que sean totalmente liquidadas las obligaciones que deriven del financiamiento y coberturas y al amparo de los Artículos Primero, Segundo, Tercero, Cuarto y Quinto del presente Decreto. Dicha afectación permanecerá vigente en tanto existan obligaciones pendientes de pago, y a cargo del Estado de Chihuahua, derivadas del financiamiento, coberturas y garantías contratados con base en los Artículos Primero, Segundo, Tercero, Cuarto y Quinto del presente Decreto.</w:t>
      </w:r>
    </w:p>
    <w:p w14:paraId="39EA1F74" w14:textId="77777777" w:rsidR="00EE06FC" w:rsidRPr="0026445D" w:rsidRDefault="00EE06FC" w:rsidP="00EE06FC">
      <w:pPr>
        <w:spacing w:after="160" w:line="360" w:lineRule="auto"/>
        <w:jc w:val="both"/>
        <w:rPr>
          <w:rFonts w:ascii="Century Gothic" w:eastAsia="Calibri" w:hAnsi="Century Gothic"/>
          <w:sz w:val="16"/>
          <w:szCs w:val="16"/>
          <w:lang w:eastAsia="en-US"/>
        </w:rPr>
      </w:pPr>
    </w:p>
    <w:p w14:paraId="65C57AA2"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El Poder Ejecutivo, por conducto de la Secretaría de Hacienda, deberá notificar a la Secretaría de Hacienda y Crédito Público del Poder Ejecutivo Federal, así como a cualquier otra autoridad que resulte competente, respecto de la afectación de las participaciones del Fondo General de Participaciones autorizada en el presente artículo, instruyéndolas irrevocablemente para efectos de que, en cada ministración, entrega, anticipo, ajuste o entero, abonen los flujos respectivos en el o los fideicomisos de fuente de pago que para tales efectos constituya, o modifique el Estado de Chihuahua, de conformidad con lo previsto en el presente Decreto, y hasta por el plazo necesario para liquidar totalmente las obligaciones que deriven del financiamiento, coberturas y garantías contratados al amparo </w:t>
      </w:r>
      <w:r w:rsidRPr="00EE06FC">
        <w:rPr>
          <w:rFonts w:ascii="Century Gothic" w:eastAsia="Calibri" w:hAnsi="Century Gothic"/>
          <w:sz w:val="24"/>
          <w:szCs w:val="24"/>
          <w:lang w:eastAsia="en-US"/>
        </w:rPr>
        <w:lastRenderedPageBreak/>
        <w:t>de los Artículos Primero, Segundo, Tercero, Cuarto y Quinto del presente Decreto.</w:t>
      </w:r>
    </w:p>
    <w:p w14:paraId="63FE7C5B" w14:textId="77777777" w:rsidR="00EE06FC" w:rsidRPr="0026445D" w:rsidRDefault="00EE06FC" w:rsidP="00EE06FC">
      <w:pPr>
        <w:spacing w:after="160" w:line="360" w:lineRule="auto"/>
        <w:jc w:val="both"/>
        <w:rPr>
          <w:rFonts w:ascii="Century Gothic" w:eastAsia="Calibri" w:hAnsi="Century Gothic"/>
          <w:sz w:val="12"/>
          <w:szCs w:val="12"/>
          <w:lang w:eastAsia="en-US"/>
        </w:rPr>
      </w:pPr>
    </w:p>
    <w:p w14:paraId="11172B38" w14:textId="18179FB8"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El Poder Ejecutivo, por conducto de la Secretaría de Hacienda, realizará las gestiones necesarias para que el porcentaje afectado de las participaciones del Fondo General de Participaciones, ingresen al o los fideicomisos de fuente de pago que para tales efectos constituya o modifique el Estado de Chihuahua, de conformidad con el presente Decreto,</w:t>
      </w:r>
      <w:r w:rsidR="00B54879">
        <w:rPr>
          <w:rFonts w:ascii="Century Gothic" w:eastAsia="Calibri" w:hAnsi="Century Gothic"/>
          <w:sz w:val="24"/>
          <w:szCs w:val="24"/>
          <w:lang w:eastAsia="en-US"/>
        </w:rPr>
        <w:t xml:space="preserve"> </w:t>
      </w:r>
      <w:r w:rsidRPr="00EE06FC">
        <w:rPr>
          <w:rFonts w:ascii="Century Gothic" w:eastAsia="Calibri" w:hAnsi="Century Gothic"/>
          <w:sz w:val="24"/>
          <w:szCs w:val="24"/>
          <w:lang w:eastAsia="en-US"/>
        </w:rPr>
        <w:t>con la finalidad de que el fiduciario que administre los mismos, tenga el control necesario sobre los recursos para el pago de las obligaciones que deriven del financiamiento, coberturas y garantías contratados al amparo de los Artículos Primero, Segundo, Tercero, Cuarto y Quinto del presente Decreto.</w:t>
      </w:r>
    </w:p>
    <w:p w14:paraId="40E1AECD" w14:textId="77777777" w:rsidR="00EE06FC" w:rsidRPr="0026445D" w:rsidRDefault="00EE06FC" w:rsidP="00EE06FC">
      <w:pPr>
        <w:spacing w:after="160" w:line="360" w:lineRule="auto"/>
        <w:jc w:val="both"/>
        <w:rPr>
          <w:rFonts w:ascii="Century Gothic" w:eastAsia="Calibri" w:hAnsi="Century Gothic"/>
          <w:sz w:val="12"/>
          <w:szCs w:val="12"/>
          <w:lang w:eastAsia="en-US"/>
        </w:rPr>
      </w:pPr>
    </w:p>
    <w:p w14:paraId="2CFBD5CD"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Con independencia del vehículo al que se afecten las participaciones del Fondo General de Participaciones que funjan como fuente de pago del financiamiento, coberturas y garantías contratados en términos de los Artículos Primero, Segundo, Tercero, Cuarto y Quinto del presente Decreto, su afectación:</w:t>
      </w:r>
    </w:p>
    <w:p w14:paraId="179A5802"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B54879">
        <w:rPr>
          <w:rFonts w:ascii="Century Gothic" w:eastAsia="Calibri" w:hAnsi="Century Gothic"/>
          <w:b/>
          <w:sz w:val="24"/>
          <w:szCs w:val="24"/>
          <w:lang w:eastAsia="en-US"/>
        </w:rPr>
        <w:t>a)</w:t>
      </w:r>
      <w:r w:rsidRPr="00B54879">
        <w:rPr>
          <w:rFonts w:ascii="Century Gothic" w:eastAsia="Calibri" w:hAnsi="Century Gothic"/>
          <w:b/>
          <w:sz w:val="24"/>
          <w:szCs w:val="24"/>
          <w:lang w:eastAsia="en-US"/>
        </w:rPr>
        <w:tab/>
      </w:r>
      <w:r w:rsidRPr="00EE06FC">
        <w:rPr>
          <w:rFonts w:ascii="Century Gothic" w:eastAsia="Calibri" w:hAnsi="Century Gothic"/>
          <w:sz w:val="24"/>
          <w:szCs w:val="24"/>
          <w:lang w:eastAsia="en-US"/>
        </w:rPr>
        <w:t xml:space="preserve">No podrá ser revocada o revertida sin el consentimiento previo, expreso y por escrito de las instituciones financieras mexicanas que hubieren </w:t>
      </w:r>
      <w:r w:rsidRPr="00EE06FC">
        <w:rPr>
          <w:rFonts w:ascii="Century Gothic" w:eastAsia="Calibri" w:hAnsi="Century Gothic"/>
          <w:sz w:val="24"/>
          <w:szCs w:val="24"/>
          <w:lang w:eastAsia="en-US"/>
        </w:rPr>
        <w:lastRenderedPageBreak/>
        <w:t>otorgado los créditos a través de los cuales se implemente el contratado al amparo de este Decreto, y</w:t>
      </w:r>
    </w:p>
    <w:p w14:paraId="172F09AA" w14:textId="77777777" w:rsidR="00EE06FC" w:rsidRPr="0026445D" w:rsidRDefault="00EE06FC" w:rsidP="00EE06FC">
      <w:pPr>
        <w:spacing w:after="160" w:line="360" w:lineRule="auto"/>
        <w:jc w:val="both"/>
        <w:rPr>
          <w:rFonts w:ascii="Century Gothic" w:eastAsia="Calibri" w:hAnsi="Century Gothic"/>
          <w:sz w:val="12"/>
          <w:szCs w:val="12"/>
          <w:lang w:eastAsia="en-US"/>
        </w:rPr>
      </w:pPr>
    </w:p>
    <w:p w14:paraId="0292766F"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B54879">
        <w:rPr>
          <w:rFonts w:ascii="Century Gothic" w:eastAsia="Calibri" w:hAnsi="Century Gothic"/>
          <w:b/>
          <w:sz w:val="24"/>
          <w:szCs w:val="24"/>
          <w:lang w:eastAsia="en-US"/>
        </w:rPr>
        <w:t>b)</w:t>
      </w:r>
      <w:r w:rsidRPr="00B54879">
        <w:rPr>
          <w:rFonts w:ascii="Century Gothic" w:eastAsia="Calibri" w:hAnsi="Century Gothic"/>
          <w:b/>
          <w:sz w:val="24"/>
          <w:szCs w:val="24"/>
          <w:lang w:eastAsia="en-US"/>
        </w:rPr>
        <w:tab/>
      </w:r>
      <w:r w:rsidRPr="00EE06FC">
        <w:rPr>
          <w:rFonts w:ascii="Century Gothic" w:eastAsia="Calibri" w:hAnsi="Century Gothic"/>
          <w:sz w:val="24"/>
          <w:szCs w:val="24"/>
          <w:lang w:eastAsia="en-US"/>
        </w:rPr>
        <w:t>Se considerará válida y vigente, independientemente de que se modifique su denominación o se sustituya por uno o varios nuevos conceptos que se refieran a situaciones jurídicas o de hecho iguales o similares, a las que dan origen a las participaciones federales del Fondo General de Participaciones.</w:t>
      </w:r>
    </w:p>
    <w:p w14:paraId="47D6323A" w14:textId="77777777" w:rsidR="00EE06FC" w:rsidRPr="00C66ADE" w:rsidRDefault="00EE06FC" w:rsidP="00EE06FC">
      <w:pPr>
        <w:spacing w:after="160" w:line="360" w:lineRule="auto"/>
        <w:jc w:val="both"/>
        <w:rPr>
          <w:rFonts w:ascii="Century Gothic" w:eastAsia="Calibri" w:hAnsi="Century Gothic"/>
          <w:sz w:val="14"/>
          <w:szCs w:val="14"/>
          <w:lang w:eastAsia="en-US"/>
        </w:rPr>
      </w:pPr>
    </w:p>
    <w:p w14:paraId="21FB4AB8" w14:textId="45B9A738"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Adicionalmente, se autoriza al Poder Ejecutivo, por conducto de la Secretaría de Hacienda, a constituir o modificar el o los mecanismos de administración, fuente de pago y/o garantía y/o fuente alterna de pago, o cualquier otro acto jurídico análogo, que considere necesario para cumplir con las obligaciones a su cargo que deriven de los contratos a través de los cuales se implementen las respectivas operaciones de financiamiento autorizadas en este Decreto, incluyendo, de manera enunciativa, más no limitativa, fideicomisos irrevocables de administración, </w:t>
      </w:r>
      <w:r w:rsidR="005C42FD">
        <w:rPr>
          <w:rFonts w:ascii="Century Gothic" w:eastAsia="Calibri" w:hAnsi="Century Gothic"/>
          <w:sz w:val="24"/>
          <w:szCs w:val="24"/>
          <w:lang w:eastAsia="en-US"/>
        </w:rPr>
        <w:t xml:space="preserve">fuente de pago y/o </w:t>
      </w:r>
      <w:r w:rsidRPr="00EE06FC">
        <w:rPr>
          <w:rFonts w:ascii="Century Gothic" w:eastAsia="Calibri" w:hAnsi="Century Gothic"/>
          <w:sz w:val="24"/>
          <w:szCs w:val="24"/>
          <w:lang w:eastAsia="en-US"/>
        </w:rPr>
        <w:t xml:space="preserve">garantía y/o fuente alterna de pago; a los que podrá afectar irrevocablemente las participaciones federales del Fondo General de Participaciones como fuente de pago y que deberán tener entre sus fines servir como mecanismo de fuente de pago de las obligaciones a cargo del </w:t>
      </w:r>
      <w:r w:rsidRPr="00EE06FC">
        <w:rPr>
          <w:rFonts w:ascii="Century Gothic" w:eastAsia="Calibri" w:hAnsi="Century Gothic"/>
          <w:sz w:val="24"/>
          <w:szCs w:val="24"/>
          <w:lang w:eastAsia="en-US"/>
        </w:rPr>
        <w:lastRenderedPageBreak/>
        <w:t>Estado de Chihuahua que deriven de dichos contratos a través de los cuales se</w:t>
      </w:r>
      <w:r w:rsidR="00B54879">
        <w:rPr>
          <w:rFonts w:ascii="Century Gothic" w:eastAsia="Calibri" w:hAnsi="Century Gothic"/>
          <w:sz w:val="24"/>
          <w:szCs w:val="24"/>
          <w:lang w:eastAsia="en-US"/>
        </w:rPr>
        <w:t xml:space="preserve"> </w:t>
      </w:r>
      <w:r w:rsidRPr="00EE06FC">
        <w:rPr>
          <w:rFonts w:ascii="Century Gothic" w:eastAsia="Calibri" w:hAnsi="Century Gothic"/>
          <w:sz w:val="24"/>
          <w:szCs w:val="24"/>
          <w:lang w:eastAsia="en-US"/>
        </w:rPr>
        <w:t>implementen el financiamiento, las coberturas y las garantías contratados al amparo de los Artículos Primero, Segundo, Tercero, Cuarto y Quinto del presente Decreto.</w:t>
      </w:r>
    </w:p>
    <w:p w14:paraId="406E45B1" w14:textId="77777777" w:rsidR="00EE06FC" w:rsidRPr="00C66ADE" w:rsidRDefault="00EE06FC" w:rsidP="00EE06FC">
      <w:pPr>
        <w:spacing w:after="160" w:line="360" w:lineRule="auto"/>
        <w:jc w:val="both"/>
        <w:rPr>
          <w:rFonts w:ascii="Century Gothic" w:eastAsia="Calibri" w:hAnsi="Century Gothic"/>
          <w:sz w:val="10"/>
          <w:szCs w:val="10"/>
          <w:lang w:eastAsia="en-US"/>
        </w:rPr>
      </w:pPr>
    </w:p>
    <w:p w14:paraId="617470C3"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En el fideicomiso o los fideicomisos de administración y fuente de pago deberá estipularse que una vez que se hayan liquidado en su totalidad el financiamiento formalizado a través de los contratos de crédito, instrumentos derivados y/o garantías de pago contratados al amparo de los Artículos Primero, Segundo, Tercero, Cuarto y Quinto del presente Decreto y que se encuentren inscritos en el mismo, se revertirá al Estado de Chihuahua el derecho a las participaciones que se hubieren afectado al patrimonio del fideicomiso o de los fideicomisos, así como cualesquiera cantidades líquidas que existieran en las cuentas del fideicomiso o de los fideicomisos correspondientes, previa presentación al fiduciario y a las autoridades competentes de la Secretaría de Hacienda y Crédito Público del Poder Ejecutivo Federal, de la documentación que expidan las instituciones financieras acreedoras de los créditos, instrumentos derivados y/o garantías que se otorguen al Estado de Chihuahua contratados al amparo de los Artículos Primero, Segundo, Tercero, Cuarto y Quinto del presente Decreto, referentes a la liquidación total de las obligaciones de pago correspondientes.</w:t>
      </w:r>
    </w:p>
    <w:p w14:paraId="4B16E465" w14:textId="77777777" w:rsidR="00EE06FC" w:rsidRPr="00614C9E" w:rsidRDefault="00EE06FC" w:rsidP="00EE06FC">
      <w:pPr>
        <w:spacing w:after="160" w:line="360" w:lineRule="auto"/>
        <w:jc w:val="both"/>
        <w:rPr>
          <w:rFonts w:ascii="Century Gothic" w:eastAsia="Calibri" w:hAnsi="Century Gothic"/>
          <w:sz w:val="12"/>
          <w:szCs w:val="12"/>
          <w:lang w:eastAsia="en-US"/>
        </w:rPr>
      </w:pPr>
    </w:p>
    <w:p w14:paraId="4844E4B0" w14:textId="41285BB4"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El fideicomiso o los fideicomisos de administración y fuente de pago no serán considerados</w:t>
      </w:r>
      <w:r w:rsidR="00C755EF">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en ningún caso</w:t>
      </w:r>
      <w:r w:rsidR="00C755EF">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como parte de la administración pública paraestatal, en el entendido que su supervisión y control estarán sujetos a lo dispuesto en las disposiciones legales aplicables. Dichos fideicomisos serán irrevocables.</w:t>
      </w:r>
    </w:p>
    <w:p w14:paraId="1606004B" w14:textId="77777777" w:rsidR="00EE06FC" w:rsidRPr="00614C9E" w:rsidRDefault="00EE06FC" w:rsidP="00EE06FC">
      <w:pPr>
        <w:spacing w:after="160" w:line="360" w:lineRule="auto"/>
        <w:jc w:val="both"/>
        <w:rPr>
          <w:rFonts w:ascii="Century Gothic" w:eastAsia="Calibri" w:hAnsi="Century Gothic"/>
          <w:sz w:val="12"/>
          <w:szCs w:val="12"/>
          <w:lang w:eastAsia="en-US"/>
        </w:rPr>
      </w:pPr>
    </w:p>
    <w:p w14:paraId="7F45F43D"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Con independencia de su naturaleza, dicho o dichos fideicomisos atenderán los requerimientos de información que le formulen los entes fiscalizadores, para lo cual tendrán la obligación de transparentar y rendir cuentas sobre el manejo de los recursos que se hubieran aportado y a proporcionar los informes que permitan su vigilancia y fiscalización.</w:t>
      </w:r>
    </w:p>
    <w:p w14:paraId="39B7D4CD" w14:textId="77777777" w:rsidR="00EE06FC" w:rsidRPr="00614C9E" w:rsidRDefault="00EE06FC" w:rsidP="00EE06FC">
      <w:pPr>
        <w:spacing w:after="160" w:line="360" w:lineRule="auto"/>
        <w:jc w:val="both"/>
        <w:rPr>
          <w:rFonts w:ascii="Century Gothic" w:eastAsia="Calibri" w:hAnsi="Century Gothic"/>
          <w:sz w:val="16"/>
          <w:szCs w:val="16"/>
          <w:lang w:eastAsia="en-US"/>
        </w:rPr>
      </w:pPr>
      <w:r w:rsidRPr="00EE06FC">
        <w:rPr>
          <w:rFonts w:ascii="Century Gothic" w:eastAsia="Calibri" w:hAnsi="Century Gothic"/>
          <w:sz w:val="24"/>
          <w:szCs w:val="24"/>
          <w:lang w:eastAsia="en-US"/>
        </w:rPr>
        <w:t xml:space="preserve"> </w:t>
      </w:r>
    </w:p>
    <w:p w14:paraId="5C6B9410" w14:textId="77777777" w:rsidR="00EE06FC" w:rsidRPr="00B54879" w:rsidRDefault="00EE06FC" w:rsidP="00EE06FC">
      <w:pPr>
        <w:spacing w:after="160" w:line="360" w:lineRule="auto"/>
        <w:jc w:val="both"/>
        <w:rPr>
          <w:rFonts w:ascii="Century Gothic" w:eastAsia="Calibri" w:hAnsi="Century Gothic"/>
          <w:b/>
          <w:sz w:val="24"/>
          <w:szCs w:val="24"/>
          <w:lang w:eastAsia="en-US"/>
        </w:rPr>
      </w:pPr>
      <w:r w:rsidRPr="00B54879">
        <w:rPr>
          <w:rFonts w:ascii="Century Gothic" w:eastAsia="Calibri" w:hAnsi="Century Gothic"/>
          <w:b/>
          <w:sz w:val="24"/>
          <w:szCs w:val="24"/>
          <w:lang w:eastAsia="en-US"/>
        </w:rPr>
        <w:t>Artículo Séptimo. Plazo máximo de contratación y vigencia de la autorización.</w:t>
      </w:r>
    </w:p>
    <w:p w14:paraId="261C109E" w14:textId="77777777" w:rsidR="00EE06FC" w:rsidRPr="00614C9E" w:rsidRDefault="00EE06FC" w:rsidP="00EE06FC">
      <w:pPr>
        <w:spacing w:after="160" w:line="360" w:lineRule="auto"/>
        <w:jc w:val="both"/>
        <w:rPr>
          <w:rFonts w:ascii="Century Gothic" w:eastAsia="Calibri" w:hAnsi="Century Gothic"/>
          <w:sz w:val="12"/>
          <w:szCs w:val="12"/>
          <w:lang w:eastAsia="en-US"/>
        </w:rPr>
      </w:pPr>
    </w:p>
    <w:p w14:paraId="72B44514" w14:textId="5AD9BA4B"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El financiamiento </w:t>
      </w:r>
      <w:r w:rsidR="00C755EF">
        <w:rPr>
          <w:rFonts w:ascii="Century Gothic" w:eastAsia="Calibri" w:hAnsi="Century Gothic"/>
          <w:sz w:val="24"/>
          <w:szCs w:val="24"/>
          <w:lang w:eastAsia="en-US"/>
        </w:rPr>
        <w:t>o los financiamientos</w:t>
      </w:r>
      <w:r w:rsidRPr="00EE06FC">
        <w:rPr>
          <w:rFonts w:ascii="Century Gothic" w:eastAsia="Calibri" w:hAnsi="Century Gothic"/>
          <w:sz w:val="24"/>
          <w:szCs w:val="24"/>
          <w:lang w:eastAsia="en-US"/>
        </w:rPr>
        <w:t xml:space="preserve"> autorizado</w:t>
      </w:r>
      <w:r w:rsidR="00C755EF">
        <w:rPr>
          <w:rFonts w:ascii="Century Gothic" w:eastAsia="Calibri" w:hAnsi="Century Gothic"/>
          <w:sz w:val="24"/>
          <w:szCs w:val="24"/>
          <w:lang w:eastAsia="en-US"/>
        </w:rPr>
        <w:t xml:space="preserve">s </w:t>
      </w:r>
      <w:r w:rsidRPr="00EE06FC">
        <w:rPr>
          <w:rFonts w:ascii="Century Gothic" w:eastAsia="Calibri" w:hAnsi="Century Gothic"/>
          <w:sz w:val="24"/>
          <w:szCs w:val="24"/>
          <w:lang w:eastAsia="en-US"/>
        </w:rPr>
        <w:t>en este Decreto podrá</w:t>
      </w:r>
      <w:r w:rsidR="00C755EF">
        <w:rPr>
          <w:rFonts w:ascii="Century Gothic" w:eastAsia="Calibri" w:hAnsi="Century Gothic"/>
          <w:sz w:val="24"/>
          <w:szCs w:val="24"/>
          <w:lang w:eastAsia="en-US"/>
        </w:rPr>
        <w:t>n</w:t>
      </w:r>
      <w:r w:rsidRPr="00EE06FC">
        <w:rPr>
          <w:rFonts w:ascii="Century Gothic" w:eastAsia="Calibri" w:hAnsi="Century Gothic"/>
          <w:sz w:val="24"/>
          <w:szCs w:val="24"/>
          <w:lang w:eastAsia="en-US"/>
        </w:rPr>
        <w:t xml:space="preserve"> instrumentarse a través de uno o varios contratos de crédito u operaciones análogas de financiamiento, hasta por un plazo de 25 (veinticinco) años equivalentes aproximadamente hasta 9,131 (nueve mil ciento treinta y un) </w:t>
      </w:r>
      <w:r w:rsidRPr="00EE06FC">
        <w:rPr>
          <w:rFonts w:ascii="Century Gothic" w:eastAsia="Calibri" w:hAnsi="Century Gothic"/>
          <w:sz w:val="24"/>
          <w:szCs w:val="24"/>
          <w:lang w:eastAsia="en-US"/>
        </w:rPr>
        <w:lastRenderedPageBreak/>
        <w:t>días naturales, contados a partir de la firma de cada contrato de crédito o instrumento de financiamiento.</w:t>
      </w:r>
    </w:p>
    <w:p w14:paraId="08CAF8F2" w14:textId="77777777" w:rsidR="00EE06FC" w:rsidRPr="00C66ADE" w:rsidRDefault="00EE06FC" w:rsidP="00EE06FC">
      <w:pPr>
        <w:spacing w:after="160" w:line="360" w:lineRule="auto"/>
        <w:jc w:val="both"/>
        <w:rPr>
          <w:rFonts w:ascii="Century Gothic" w:eastAsia="Calibri" w:hAnsi="Century Gothic"/>
          <w:sz w:val="12"/>
          <w:szCs w:val="12"/>
          <w:lang w:eastAsia="en-US"/>
        </w:rPr>
      </w:pPr>
    </w:p>
    <w:p w14:paraId="6DBD05F2"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El Poder Ejecutivo, por conducto de la Secretaría de Hacienda, podrá ejercer las autorizaciones establecidas en el presente Decreto, a más tardar en el ejercicio fiscal 2026, conforme al artículo 24, fracción V, de la Ley de Disciplina Financiera de las Entidades Federativas y los Municipios.</w:t>
      </w:r>
    </w:p>
    <w:p w14:paraId="079A114C" w14:textId="77777777" w:rsidR="00EE06FC" w:rsidRPr="00C66ADE" w:rsidRDefault="00EE06FC" w:rsidP="00EE06FC">
      <w:pPr>
        <w:spacing w:after="160" w:line="360" w:lineRule="auto"/>
        <w:jc w:val="both"/>
        <w:rPr>
          <w:rFonts w:ascii="Century Gothic" w:eastAsia="Calibri" w:hAnsi="Century Gothic"/>
          <w:sz w:val="12"/>
          <w:szCs w:val="12"/>
          <w:lang w:eastAsia="en-US"/>
        </w:rPr>
      </w:pPr>
    </w:p>
    <w:p w14:paraId="3C96582B" w14:textId="77777777" w:rsidR="00EE06FC" w:rsidRPr="00B54879" w:rsidRDefault="00EE06FC" w:rsidP="00EE06FC">
      <w:pPr>
        <w:spacing w:after="160" w:line="360" w:lineRule="auto"/>
        <w:jc w:val="both"/>
        <w:rPr>
          <w:rFonts w:ascii="Century Gothic" w:eastAsia="Calibri" w:hAnsi="Century Gothic"/>
          <w:b/>
          <w:sz w:val="24"/>
          <w:szCs w:val="24"/>
          <w:lang w:eastAsia="en-US"/>
        </w:rPr>
      </w:pPr>
      <w:r w:rsidRPr="00B54879">
        <w:rPr>
          <w:rFonts w:ascii="Century Gothic" w:eastAsia="Calibri" w:hAnsi="Century Gothic"/>
          <w:b/>
          <w:sz w:val="24"/>
          <w:szCs w:val="24"/>
          <w:lang w:eastAsia="en-US"/>
        </w:rPr>
        <w:t>Artículo Octavo. Proceso Competitivo.</w:t>
      </w:r>
    </w:p>
    <w:p w14:paraId="04351AD9" w14:textId="77777777" w:rsidR="00EE06FC" w:rsidRPr="00614C9E" w:rsidRDefault="00EE06FC" w:rsidP="00EE06FC">
      <w:pPr>
        <w:spacing w:after="160" w:line="360" w:lineRule="auto"/>
        <w:jc w:val="both"/>
        <w:rPr>
          <w:rFonts w:ascii="Century Gothic" w:eastAsia="Calibri" w:hAnsi="Century Gothic"/>
          <w:sz w:val="12"/>
          <w:szCs w:val="12"/>
          <w:lang w:eastAsia="en-US"/>
        </w:rPr>
      </w:pPr>
    </w:p>
    <w:p w14:paraId="0453B673" w14:textId="6DCCACFB"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Las operaciones autorizadas en el presente Decreto</w:t>
      </w:r>
      <w:r w:rsidR="00C755EF">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deberán contratarse con las instituciones financieras del sistema financiero mexicano que ofrezcan las mejores condiciones de mercado.</w:t>
      </w:r>
    </w:p>
    <w:p w14:paraId="1A8B156C" w14:textId="77777777" w:rsidR="00EE06FC" w:rsidRPr="00C66ADE" w:rsidRDefault="00EE06FC" w:rsidP="00EE06FC">
      <w:pPr>
        <w:spacing w:after="160" w:line="360" w:lineRule="auto"/>
        <w:jc w:val="both"/>
        <w:rPr>
          <w:rFonts w:ascii="Century Gothic" w:eastAsia="Calibri" w:hAnsi="Century Gothic"/>
          <w:sz w:val="12"/>
          <w:szCs w:val="12"/>
          <w:lang w:eastAsia="en-US"/>
        </w:rPr>
      </w:pPr>
    </w:p>
    <w:p w14:paraId="64C19A30"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Con tal fin, el Poder Ejecutivo, por conducto de la Secretaría de Hacienda, deberá convocar a licitaciones públicas en términos de la Ley de Disciplina Financiera de las Entidades Federativas y los Municipios, de la Ley de Deuda Pública para el Estado de Chihuahua y sus Municipios, y atendiendo los Lineamientos de la Metodología para el Cálculo del Menor Costo Financiero y de los Procesos Competitivos de los Financiamientos y Obligaciones a contratar por parte de las Entidades Federativas, los Municipios y sus Entes </w:t>
      </w:r>
      <w:r w:rsidRPr="00EE06FC">
        <w:rPr>
          <w:rFonts w:ascii="Century Gothic" w:eastAsia="Calibri" w:hAnsi="Century Gothic"/>
          <w:sz w:val="24"/>
          <w:szCs w:val="24"/>
          <w:lang w:eastAsia="en-US"/>
        </w:rPr>
        <w:lastRenderedPageBreak/>
        <w:t>Públicos, emitidos por la Secretaría de Hacienda y Crédito Público del Poder Ejecutivo Federal.</w:t>
      </w:r>
    </w:p>
    <w:p w14:paraId="724507FD" w14:textId="77777777" w:rsidR="00EE06FC" w:rsidRPr="00CC6651" w:rsidRDefault="00EE06FC" w:rsidP="00EE06FC">
      <w:pPr>
        <w:spacing w:after="160" w:line="360" w:lineRule="auto"/>
        <w:jc w:val="both"/>
        <w:rPr>
          <w:rFonts w:ascii="Century Gothic" w:eastAsia="Calibri" w:hAnsi="Century Gothic"/>
          <w:sz w:val="12"/>
          <w:szCs w:val="12"/>
          <w:lang w:eastAsia="en-US"/>
        </w:rPr>
      </w:pPr>
    </w:p>
    <w:p w14:paraId="5D506BF8"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La Secretaría de Hacienda estará facultada para definir y resolver los aspectos no previstos en las disposiciones aplicables.</w:t>
      </w:r>
    </w:p>
    <w:p w14:paraId="714AFB0F" w14:textId="77777777" w:rsidR="00EE06FC" w:rsidRPr="00CC6651" w:rsidRDefault="00EE06FC" w:rsidP="00EE06FC">
      <w:pPr>
        <w:spacing w:after="160" w:line="360" w:lineRule="auto"/>
        <w:jc w:val="both"/>
        <w:rPr>
          <w:rFonts w:ascii="Century Gothic" w:eastAsia="Calibri" w:hAnsi="Century Gothic"/>
          <w:sz w:val="12"/>
          <w:szCs w:val="12"/>
          <w:lang w:eastAsia="en-US"/>
        </w:rPr>
      </w:pPr>
      <w:r w:rsidRPr="00EE06FC">
        <w:rPr>
          <w:rFonts w:ascii="Century Gothic" w:eastAsia="Calibri" w:hAnsi="Century Gothic"/>
          <w:sz w:val="24"/>
          <w:szCs w:val="24"/>
          <w:lang w:eastAsia="en-US"/>
        </w:rPr>
        <w:t xml:space="preserve"> </w:t>
      </w:r>
    </w:p>
    <w:p w14:paraId="648E52DA"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Las operaciones autorizadas deberán ser pagaderas en pesos y dentro del territorio nacional, con la prohibición expresa de su cesión a personas, físicas o morales, de nacionalidad extranjera.</w:t>
      </w:r>
    </w:p>
    <w:p w14:paraId="430D5E52" w14:textId="77777777" w:rsidR="00EE06FC" w:rsidRPr="00614C9E" w:rsidRDefault="00EE06FC" w:rsidP="00EE06FC">
      <w:pPr>
        <w:spacing w:after="160" w:line="360" w:lineRule="auto"/>
        <w:jc w:val="both"/>
        <w:rPr>
          <w:rFonts w:ascii="Century Gothic" w:eastAsia="Calibri" w:hAnsi="Century Gothic"/>
          <w:sz w:val="16"/>
          <w:szCs w:val="16"/>
          <w:lang w:eastAsia="en-US"/>
        </w:rPr>
      </w:pPr>
    </w:p>
    <w:p w14:paraId="72E8438E" w14:textId="77777777" w:rsidR="00EE06FC" w:rsidRPr="00B54879" w:rsidRDefault="00EE06FC" w:rsidP="00EE06FC">
      <w:pPr>
        <w:spacing w:after="160" w:line="360" w:lineRule="auto"/>
        <w:jc w:val="both"/>
        <w:rPr>
          <w:rFonts w:ascii="Century Gothic" w:eastAsia="Calibri" w:hAnsi="Century Gothic"/>
          <w:b/>
          <w:sz w:val="24"/>
          <w:szCs w:val="24"/>
          <w:lang w:eastAsia="en-US"/>
        </w:rPr>
      </w:pPr>
      <w:r w:rsidRPr="00B54879">
        <w:rPr>
          <w:rFonts w:ascii="Century Gothic" w:eastAsia="Calibri" w:hAnsi="Century Gothic"/>
          <w:b/>
          <w:sz w:val="24"/>
          <w:szCs w:val="24"/>
          <w:lang w:eastAsia="en-US"/>
        </w:rPr>
        <w:t>Artículo Noveno. Gastos y Costos / Fondos de Reserva.</w:t>
      </w:r>
    </w:p>
    <w:p w14:paraId="5374A1A2" w14:textId="77777777" w:rsidR="00EE06FC" w:rsidRPr="00614C9E" w:rsidRDefault="00EE06FC" w:rsidP="00EE06FC">
      <w:pPr>
        <w:spacing w:after="160" w:line="360" w:lineRule="auto"/>
        <w:jc w:val="both"/>
        <w:rPr>
          <w:rFonts w:ascii="Century Gothic" w:eastAsia="Calibri" w:hAnsi="Century Gothic"/>
          <w:sz w:val="16"/>
          <w:szCs w:val="16"/>
          <w:lang w:eastAsia="en-US"/>
        </w:rPr>
      </w:pPr>
    </w:p>
    <w:p w14:paraId="3ECCF331"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Se autoriza al Poder Ejecutivo, por conducto de la Secretaría de Hacienda, para:</w:t>
      </w:r>
    </w:p>
    <w:p w14:paraId="420A13D4"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B54879">
        <w:rPr>
          <w:rFonts w:ascii="Century Gothic" w:eastAsia="Calibri" w:hAnsi="Century Gothic"/>
          <w:b/>
          <w:sz w:val="24"/>
          <w:szCs w:val="24"/>
          <w:lang w:eastAsia="en-US"/>
        </w:rPr>
        <w:t>I.</w:t>
      </w:r>
      <w:r w:rsidRPr="00B54879">
        <w:rPr>
          <w:rFonts w:ascii="Century Gothic" w:eastAsia="Calibri" w:hAnsi="Century Gothic"/>
          <w:b/>
          <w:sz w:val="24"/>
          <w:szCs w:val="24"/>
          <w:lang w:eastAsia="en-US"/>
        </w:rPr>
        <w:tab/>
      </w:r>
      <w:r w:rsidRPr="00EE06FC">
        <w:rPr>
          <w:rFonts w:ascii="Century Gothic" w:eastAsia="Calibri" w:hAnsi="Century Gothic"/>
          <w:sz w:val="24"/>
          <w:szCs w:val="24"/>
          <w:lang w:eastAsia="en-US"/>
        </w:rPr>
        <w:t xml:space="preserve">Contratar y pagar los gastos y costos relacionados con la contratación de las respectivas operaciones de financiamiento (s) autorizadas en este Decreto, incluyendo sin limitar, comisiones de apertura, comisiones por disposición, comisiones por estructuración, servicios notariales, costos por la contratación de calificadoras, de instrumentos derivados y/o garantías de pago, sin incluir honorarios por asesoría profesional, técnica, legal y </w:t>
      </w:r>
      <w:r w:rsidRPr="00EE06FC">
        <w:rPr>
          <w:rFonts w:ascii="Century Gothic" w:eastAsia="Calibri" w:hAnsi="Century Gothic"/>
          <w:sz w:val="24"/>
          <w:szCs w:val="24"/>
          <w:lang w:eastAsia="en-US"/>
        </w:rPr>
        <w:lastRenderedPageBreak/>
        <w:t>financiera, asimismo, cualesquiera otros gastos o costos asociados en su caso y que se requieran para el diseño e instrumentación financiera y/o legal de las operaciones a que se refiere la presente autorización y la contratación del financiamiento autorizado en este Decreto.</w:t>
      </w:r>
    </w:p>
    <w:p w14:paraId="17A772C0" w14:textId="77777777" w:rsidR="00EE06FC" w:rsidRPr="00CC6651" w:rsidRDefault="00EE06FC" w:rsidP="00EE06FC">
      <w:pPr>
        <w:spacing w:after="160" w:line="360" w:lineRule="auto"/>
        <w:jc w:val="both"/>
        <w:rPr>
          <w:rFonts w:ascii="Century Gothic" w:eastAsia="Calibri" w:hAnsi="Century Gothic"/>
          <w:sz w:val="12"/>
          <w:szCs w:val="12"/>
          <w:lang w:eastAsia="en-US"/>
        </w:rPr>
      </w:pPr>
    </w:p>
    <w:p w14:paraId="0DE9F536" w14:textId="0E52DDFE"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De conformidad con el párrafo segundo del artículo 22 de la Ley de Disciplina Financiera de las Entidades Federativas y lo</w:t>
      </w:r>
      <w:r w:rsidR="00C755EF">
        <w:rPr>
          <w:rFonts w:ascii="Century Gothic" w:eastAsia="Calibri" w:hAnsi="Century Gothic"/>
          <w:sz w:val="24"/>
          <w:szCs w:val="24"/>
          <w:lang w:eastAsia="en-US"/>
        </w:rPr>
        <w:t xml:space="preserve">s Municipios, el importe máximo </w:t>
      </w:r>
      <w:r w:rsidRPr="00EE06FC">
        <w:rPr>
          <w:rFonts w:ascii="Century Gothic" w:eastAsia="Calibri" w:hAnsi="Century Gothic"/>
          <w:sz w:val="24"/>
          <w:szCs w:val="24"/>
          <w:lang w:eastAsia="en-US"/>
        </w:rPr>
        <w:t>que podrá destinarse del financiamiento autorizado en este Decreto</w:t>
      </w:r>
      <w:r w:rsidR="00C755EF">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para cubrir los gastos y costos relacionados con la contratación de las respectivas operaciones de financiamiento autorizadas en el mismo</w:t>
      </w:r>
      <w:r w:rsidR="00C755EF">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no podrá exceder del 0.15 por ciento del monto de la respectiva operación.</w:t>
      </w:r>
    </w:p>
    <w:p w14:paraId="6370DAB4" w14:textId="77777777" w:rsidR="00EE06FC" w:rsidRPr="00CC6651" w:rsidRDefault="00EE06FC" w:rsidP="00EE06FC">
      <w:pPr>
        <w:spacing w:after="160" w:line="360" w:lineRule="auto"/>
        <w:jc w:val="both"/>
        <w:rPr>
          <w:rFonts w:ascii="Century Gothic" w:eastAsia="Calibri" w:hAnsi="Century Gothic"/>
          <w:sz w:val="12"/>
          <w:szCs w:val="12"/>
          <w:lang w:eastAsia="en-US"/>
        </w:rPr>
      </w:pPr>
    </w:p>
    <w:p w14:paraId="7B830D2B"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B54879">
        <w:rPr>
          <w:rFonts w:ascii="Century Gothic" w:eastAsia="Calibri" w:hAnsi="Century Gothic"/>
          <w:b/>
          <w:sz w:val="24"/>
          <w:szCs w:val="24"/>
          <w:lang w:eastAsia="en-US"/>
        </w:rPr>
        <w:t>II.</w:t>
      </w:r>
      <w:r w:rsidRPr="00B54879">
        <w:rPr>
          <w:rFonts w:ascii="Century Gothic" w:eastAsia="Calibri" w:hAnsi="Century Gothic"/>
          <w:b/>
          <w:sz w:val="24"/>
          <w:szCs w:val="24"/>
          <w:lang w:eastAsia="en-US"/>
        </w:rPr>
        <w:tab/>
      </w:r>
      <w:r w:rsidRPr="00EE06FC">
        <w:rPr>
          <w:rFonts w:ascii="Century Gothic" w:eastAsia="Calibri" w:hAnsi="Century Gothic"/>
          <w:sz w:val="24"/>
          <w:szCs w:val="24"/>
          <w:lang w:eastAsia="en-US"/>
        </w:rPr>
        <w:t>Constituir y/o reconstituir, con cargo al Presupuesto correspondiente, el o los fondos de reservas que resulten necesarios para la implementación de las respectivas operaciones de financiamiento autorizadas en este Decreto.</w:t>
      </w:r>
    </w:p>
    <w:p w14:paraId="6D9D2C65" w14:textId="77777777" w:rsidR="00EE06FC" w:rsidRPr="004650B7" w:rsidRDefault="00EE06FC" w:rsidP="00EE06FC">
      <w:pPr>
        <w:spacing w:after="160" w:line="360" w:lineRule="auto"/>
        <w:jc w:val="both"/>
        <w:rPr>
          <w:rFonts w:ascii="Century Gothic" w:eastAsia="Calibri" w:hAnsi="Century Gothic"/>
          <w:sz w:val="12"/>
          <w:szCs w:val="12"/>
          <w:lang w:eastAsia="en-US"/>
        </w:rPr>
      </w:pPr>
      <w:r w:rsidRPr="004650B7">
        <w:rPr>
          <w:rFonts w:ascii="Century Gothic" w:eastAsia="Calibri" w:hAnsi="Century Gothic"/>
          <w:sz w:val="12"/>
          <w:szCs w:val="12"/>
          <w:lang w:eastAsia="en-US"/>
        </w:rPr>
        <w:t xml:space="preserve"> </w:t>
      </w:r>
    </w:p>
    <w:p w14:paraId="41BD0F9C" w14:textId="77777777" w:rsidR="00EE06FC" w:rsidRPr="00B54879" w:rsidRDefault="00EE06FC" w:rsidP="00EE06FC">
      <w:pPr>
        <w:spacing w:after="160" w:line="360" w:lineRule="auto"/>
        <w:jc w:val="both"/>
        <w:rPr>
          <w:rFonts w:ascii="Century Gothic" w:eastAsia="Calibri" w:hAnsi="Century Gothic"/>
          <w:b/>
          <w:sz w:val="24"/>
          <w:szCs w:val="24"/>
          <w:lang w:eastAsia="en-US"/>
        </w:rPr>
      </w:pPr>
      <w:r w:rsidRPr="00B54879">
        <w:rPr>
          <w:rFonts w:ascii="Century Gothic" w:eastAsia="Calibri" w:hAnsi="Century Gothic"/>
          <w:b/>
          <w:sz w:val="24"/>
          <w:szCs w:val="24"/>
          <w:lang w:eastAsia="en-US"/>
        </w:rPr>
        <w:t>Artículo Décimo. Gestiones, aprobación y contrataciones.</w:t>
      </w:r>
    </w:p>
    <w:p w14:paraId="0D0CA353" w14:textId="77777777" w:rsidR="00EE06FC" w:rsidRPr="004650B7" w:rsidRDefault="00EE06FC" w:rsidP="00EE06FC">
      <w:pPr>
        <w:spacing w:after="160" w:line="360" w:lineRule="auto"/>
        <w:jc w:val="both"/>
        <w:rPr>
          <w:rFonts w:ascii="Century Gothic" w:eastAsia="Calibri" w:hAnsi="Century Gothic"/>
          <w:sz w:val="10"/>
          <w:szCs w:val="10"/>
          <w:lang w:eastAsia="en-US"/>
        </w:rPr>
      </w:pPr>
    </w:p>
    <w:p w14:paraId="5F373E99"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Para llevar a cabo la contratación del financiamiento, las coberturas y las garantías determinados en el presente Decreto, se autoriza al Poder </w:t>
      </w:r>
      <w:r w:rsidRPr="00EE06FC">
        <w:rPr>
          <w:rFonts w:ascii="Century Gothic" w:eastAsia="Calibri" w:hAnsi="Century Gothic"/>
          <w:sz w:val="24"/>
          <w:szCs w:val="24"/>
          <w:lang w:eastAsia="en-US"/>
        </w:rPr>
        <w:lastRenderedPageBreak/>
        <w:t>Ejecutivo, por conducto de la Secretaría de Hacienda, para que negocie y apruebe las bases, términos, condiciones y modalidades que estime necesarias y/o convenientes para la celebración de los contratos de crédito y/o los instrumentos derivados, así como para que suscriba los contratos, convenios, títulos y documentos para la contratación de las operaciones que se autorizan en el presente Decreto, incluyendo títulos de crédito y demás instrumentos legales requeridos para tales efectos.</w:t>
      </w:r>
    </w:p>
    <w:p w14:paraId="65695B95" w14:textId="77777777" w:rsidR="00EE06FC" w:rsidRPr="00614C9E" w:rsidRDefault="00EE06FC" w:rsidP="00EE06FC">
      <w:pPr>
        <w:spacing w:after="160" w:line="360" w:lineRule="auto"/>
        <w:jc w:val="both"/>
        <w:rPr>
          <w:rFonts w:ascii="Century Gothic" w:eastAsia="Calibri" w:hAnsi="Century Gothic"/>
          <w:sz w:val="16"/>
          <w:szCs w:val="16"/>
          <w:lang w:eastAsia="en-US"/>
        </w:rPr>
      </w:pPr>
    </w:p>
    <w:p w14:paraId="15EB4177"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Adicionalmente, se autoriza al Poder Ejecutivo, por conducto de la Secretaría de Hacienda, para que realice todas las gestiones, negociaciones y trámites necesarios ante las entidades públicas y privadas que correspondan, tendientes a la celebración de los contratos de crédito y/o los instrumentos derivados, la constitución y/o modificación de los fideicomisos irrevocables de administración y pago, así como para celebrar todos los actos jurídicos necesarios y/o convenientes para dar cumplimiento al presente Decreto, incluyendo instrucciones y/o notificación a las autoridades competentes; y, una vez celebrados, para dar cumplimiento a los contratos, instrumentos derivados, títulos de crédito y/o documentos correspondientes.</w:t>
      </w:r>
    </w:p>
    <w:p w14:paraId="7D3B4001" w14:textId="77777777" w:rsidR="00EE06FC" w:rsidRPr="00614C9E" w:rsidRDefault="00EE06FC" w:rsidP="00EE06FC">
      <w:pPr>
        <w:spacing w:after="160" w:line="360" w:lineRule="auto"/>
        <w:jc w:val="both"/>
        <w:rPr>
          <w:rFonts w:ascii="Century Gothic" w:eastAsia="Calibri" w:hAnsi="Century Gothic"/>
          <w:sz w:val="16"/>
          <w:szCs w:val="16"/>
          <w:lang w:eastAsia="en-US"/>
        </w:rPr>
      </w:pPr>
    </w:p>
    <w:p w14:paraId="65135508"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lastRenderedPageBreak/>
        <w:t>El Poder Ejecutivo, por conducto de la Secretaría de Hacienda, podrá realizar las contrataciones que resulten necesarias y/o convenientes, incluyendo sin limitar, la contratación de agencias calificadoras para la calificación del Estado, la calificación preliminar del financiamiento y la calificación definitiva de los contratos de crédito, servicios notariales, asesorías financiera, jurídica y/o cualesquiera otros servicios necesarios y/o convenientes para el diseño e instrumentación de las operaciones que se autorizan en este Decreto y para pagar los gastos y costos asociados a la contratación del financiamiento y de los instrumentos derivados.</w:t>
      </w:r>
    </w:p>
    <w:p w14:paraId="5CC24C7B" w14:textId="77777777" w:rsidR="00FD1E02" w:rsidRPr="00FD1E02" w:rsidRDefault="00FD1E02" w:rsidP="00EE06FC">
      <w:pPr>
        <w:spacing w:after="160" w:line="360" w:lineRule="auto"/>
        <w:jc w:val="both"/>
        <w:rPr>
          <w:rFonts w:ascii="Century Gothic" w:eastAsia="Calibri" w:hAnsi="Century Gothic"/>
          <w:b/>
          <w:sz w:val="12"/>
          <w:szCs w:val="12"/>
          <w:lang w:eastAsia="en-US"/>
        </w:rPr>
      </w:pPr>
    </w:p>
    <w:p w14:paraId="139E372E" w14:textId="7053DFEC" w:rsidR="00EE06FC" w:rsidRPr="00B54879" w:rsidRDefault="00C755EF" w:rsidP="00EE06FC">
      <w:pPr>
        <w:spacing w:after="160" w:line="360" w:lineRule="auto"/>
        <w:jc w:val="both"/>
        <w:rPr>
          <w:rFonts w:ascii="Century Gothic" w:eastAsia="Calibri" w:hAnsi="Century Gothic"/>
          <w:b/>
          <w:sz w:val="24"/>
          <w:szCs w:val="24"/>
          <w:lang w:eastAsia="en-US"/>
        </w:rPr>
      </w:pPr>
      <w:r>
        <w:rPr>
          <w:rFonts w:ascii="Century Gothic" w:eastAsia="Calibri" w:hAnsi="Century Gothic"/>
          <w:b/>
          <w:sz w:val="24"/>
          <w:szCs w:val="24"/>
          <w:lang w:eastAsia="en-US"/>
        </w:rPr>
        <w:t>Artículo Und</w:t>
      </w:r>
      <w:r w:rsidR="00EE06FC" w:rsidRPr="00B54879">
        <w:rPr>
          <w:rFonts w:ascii="Century Gothic" w:eastAsia="Calibri" w:hAnsi="Century Gothic"/>
          <w:b/>
          <w:sz w:val="24"/>
          <w:szCs w:val="24"/>
          <w:lang w:eastAsia="en-US"/>
        </w:rPr>
        <w:t>écimo. Inscripción en el Registro Púb</w:t>
      </w:r>
      <w:r>
        <w:rPr>
          <w:rFonts w:ascii="Century Gothic" w:eastAsia="Calibri" w:hAnsi="Century Gothic"/>
          <w:b/>
          <w:sz w:val="24"/>
          <w:szCs w:val="24"/>
          <w:lang w:eastAsia="en-US"/>
        </w:rPr>
        <w:t>l</w:t>
      </w:r>
      <w:r w:rsidR="00EE06FC" w:rsidRPr="00B54879">
        <w:rPr>
          <w:rFonts w:ascii="Century Gothic" w:eastAsia="Calibri" w:hAnsi="Century Gothic"/>
          <w:b/>
          <w:sz w:val="24"/>
          <w:szCs w:val="24"/>
          <w:lang w:eastAsia="en-US"/>
        </w:rPr>
        <w:t>ico Único y en el Registro Público de Financiamientos y Obligaciones del Estado de Chihuahua.</w:t>
      </w:r>
    </w:p>
    <w:p w14:paraId="37B79EE0" w14:textId="77777777" w:rsidR="00EE06FC" w:rsidRPr="00FD1E02" w:rsidRDefault="00EE06FC" w:rsidP="00EE06FC">
      <w:pPr>
        <w:spacing w:after="160" w:line="360" w:lineRule="auto"/>
        <w:jc w:val="both"/>
        <w:rPr>
          <w:rFonts w:ascii="Century Gothic" w:eastAsia="Calibri" w:hAnsi="Century Gothic"/>
          <w:sz w:val="12"/>
          <w:szCs w:val="12"/>
          <w:lang w:eastAsia="en-US"/>
        </w:rPr>
      </w:pPr>
    </w:p>
    <w:p w14:paraId="1A56D5F0" w14:textId="5E45CA32"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Una vez celebrados el o los contratos de crédito y, en su caso, los instrumentos derivados que impliquen obligaciones a cargo del Estado de Chihuahua</w:t>
      </w:r>
      <w:r w:rsidR="00C755EF">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mayores a un año</w:t>
      </w:r>
      <w:r w:rsidR="00C755EF">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autor</w:t>
      </w:r>
      <w:r w:rsidR="00C755EF">
        <w:rPr>
          <w:rFonts w:ascii="Century Gothic" w:eastAsia="Calibri" w:hAnsi="Century Gothic"/>
          <w:sz w:val="24"/>
          <w:szCs w:val="24"/>
          <w:lang w:eastAsia="en-US"/>
        </w:rPr>
        <w:t>izados en el presente Decreto, e</w:t>
      </w:r>
      <w:r w:rsidRPr="00EE06FC">
        <w:rPr>
          <w:rFonts w:ascii="Century Gothic" w:eastAsia="Calibri" w:hAnsi="Century Gothic"/>
          <w:sz w:val="24"/>
          <w:szCs w:val="24"/>
          <w:lang w:eastAsia="en-US"/>
        </w:rPr>
        <w:t>stos deberán inscribirse, en términos de la normativa aplicable, en el Registro Público de Financiamientos y Obligaciones del Estado de Chihuahua a cargo de la Secretaría de Hacienda; así como en el Registro Público Único, a cargo de la Secretaría de Hacienda y Crédito Público del Poder Ejecutivo Federal.</w:t>
      </w:r>
    </w:p>
    <w:p w14:paraId="105A1482" w14:textId="77777777" w:rsidR="00EE06FC" w:rsidRPr="00FD1E02" w:rsidRDefault="00EE06FC" w:rsidP="00EE06FC">
      <w:pPr>
        <w:spacing w:after="160" w:line="360" w:lineRule="auto"/>
        <w:jc w:val="both"/>
        <w:rPr>
          <w:rFonts w:ascii="Century Gothic" w:eastAsia="Calibri" w:hAnsi="Century Gothic"/>
          <w:sz w:val="12"/>
          <w:szCs w:val="12"/>
          <w:lang w:eastAsia="en-US"/>
        </w:rPr>
      </w:pPr>
    </w:p>
    <w:p w14:paraId="4F6F79FA" w14:textId="6AD17B2B" w:rsidR="00F4441A" w:rsidRPr="009C5FB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A más tardar 10 (diez) días posteriores a la respectiva inscripción de los instrumentos jurídicos correspondientes en el Registro Público Único, el Estado de Chihuahua deberá publicar en su página oficial de Internet los instrumentos legales formalizados bajo el presente Decreto.</w:t>
      </w:r>
    </w:p>
    <w:p w14:paraId="02A744B0" w14:textId="77777777" w:rsidR="00F4441A" w:rsidRPr="00FD1E02" w:rsidRDefault="00F4441A" w:rsidP="00811049">
      <w:pPr>
        <w:spacing w:after="160" w:line="360" w:lineRule="auto"/>
        <w:jc w:val="both"/>
        <w:rPr>
          <w:rFonts w:ascii="Century Gothic" w:eastAsia="Calibri" w:hAnsi="Century Gothic"/>
          <w:sz w:val="8"/>
          <w:szCs w:val="8"/>
          <w:lang w:eastAsia="en-US"/>
        </w:rPr>
      </w:pPr>
    </w:p>
    <w:p w14:paraId="5C8ED03D" w14:textId="2011FE9F" w:rsidR="00EE06FC" w:rsidRPr="00B54879" w:rsidRDefault="00EE06FC" w:rsidP="00FD1E02">
      <w:pPr>
        <w:spacing w:after="0" w:line="360" w:lineRule="auto"/>
        <w:jc w:val="center"/>
        <w:rPr>
          <w:rFonts w:ascii="Century Gothic" w:eastAsia="Calibri" w:hAnsi="Century Gothic"/>
          <w:b/>
          <w:bCs/>
          <w:sz w:val="28"/>
          <w:szCs w:val="28"/>
          <w:lang w:val="en-US" w:eastAsia="en-US"/>
        </w:rPr>
      </w:pPr>
      <w:r w:rsidRPr="00B54879">
        <w:rPr>
          <w:rFonts w:ascii="Century Gothic" w:eastAsia="Calibri" w:hAnsi="Century Gothic"/>
          <w:b/>
          <w:bCs/>
          <w:sz w:val="28"/>
          <w:szCs w:val="28"/>
          <w:lang w:val="en-US" w:eastAsia="en-US"/>
        </w:rPr>
        <w:t>T</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R</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A</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N</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S</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I</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T</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O</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R</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I</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O</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S</w:t>
      </w:r>
    </w:p>
    <w:p w14:paraId="6DD78E72" w14:textId="77777777" w:rsidR="00EE06FC" w:rsidRPr="00614C9E" w:rsidRDefault="00EE06FC" w:rsidP="00FD1E02">
      <w:pPr>
        <w:spacing w:after="0" w:line="360" w:lineRule="auto"/>
        <w:jc w:val="both"/>
        <w:rPr>
          <w:rFonts w:ascii="Century Gothic" w:eastAsia="Calibri" w:hAnsi="Century Gothic"/>
          <w:b/>
          <w:bCs/>
          <w:sz w:val="16"/>
          <w:szCs w:val="16"/>
          <w:lang w:val="en-US" w:eastAsia="en-US"/>
        </w:rPr>
      </w:pPr>
    </w:p>
    <w:p w14:paraId="3F8F8638" w14:textId="27D44879" w:rsidR="00EE06FC" w:rsidRDefault="00B54879" w:rsidP="00FD1E02">
      <w:pPr>
        <w:spacing w:after="0" w:line="360" w:lineRule="auto"/>
        <w:jc w:val="both"/>
        <w:rPr>
          <w:rFonts w:ascii="Century Gothic" w:eastAsia="Calibri" w:hAnsi="Century Gothic"/>
          <w:bCs/>
          <w:sz w:val="24"/>
          <w:szCs w:val="24"/>
          <w:lang w:eastAsia="en-US"/>
        </w:rPr>
      </w:pPr>
      <w:r>
        <w:rPr>
          <w:rFonts w:ascii="Century Gothic" w:eastAsia="Calibri" w:hAnsi="Century Gothic"/>
          <w:b/>
          <w:bCs/>
          <w:sz w:val="28"/>
          <w:szCs w:val="28"/>
          <w:lang w:eastAsia="en-US"/>
        </w:rPr>
        <w:t xml:space="preserve">ARTÍCULO </w:t>
      </w:r>
      <w:r w:rsidR="00EE06FC" w:rsidRPr="00EE06FC">
        <w:rPr>
          <w:rFonts w:ascii="Century Gothic" w:eastAsia="Calibri" w:hAnsi="Century Gothic"/>
          <w:b/>
          <w:bCs/>
          <w:sz w:val="28"/>
          <w:szCs w:val="28"/>
          <w:lang w:eastAsia="en-US"/>
        </w:rPr>
        <w:t xml:space="preserve">PRIMERO.- </w:t>
      </w:r>
      <w:r w:rsidR="00EE06FC" w:rsidRPr="00B54879">
        <w:rPr>
          <w:rFonts w:ascii="Century Gothic" w:eastAsia="Calibri" w:hAnsi="Century Gothic"/>
          <w:bCs/>
          <w:sz w:val="24"/>
          <w:szCs w:val="24"/>
          <w:lang w:eastAsia="en-US"/>
        </w:rPr>
        <w:t>El presente Decreto entrará en vigor el día de su publicación en el Periódico Oficial del Estado.</w:t>
      </w:r>
    </w:p>
    <w:p w14:paraId="15ED1B55" w14:textId="77777777" w:rsidR="00FD1E02" w:rsidRPr="00FD1E02" w:rsidRDefault="00FD1E02" w:rsidP="00FD1E02">
      <w:pPr>
        <w:spacing w:after="0" w:line="360" w:lineRule="auto"/>
        <w:jc w:val="both"/>
        <w:rPr>
          <w:rFonts w:ascii="Century Gothic" w:eastAsia="Calibri" w:hAnsi="Century Gothic"/>
          <w:b/>
          <w:bCs/>
          <w:sz w:val="16"/>
          <w:szCs w:val="16"/>
          <w:lang w:eastAsia="en-US"/>
        </w:rPr>
      </w:pPr>
    </w:p>
    <w:p w14:paraId="001CE2D2" w14:textId="77777777" w:rsidR="00EE06FC" w:rsidRPr="00FD1E02" w:rsidRDefault="00EE06FC" w:rsidP="00FD1E02">
      <w:pPr>
        <w:spacing w:after="0" w:line="360" w:lineRule="auto"/>
        <w:jc w:val="both"/>
        <w:rPr>
          <w:rFonts w:ascii="Century Gothic" w:eastAsia="Calibri" w:hAnsi="Century Gothic"/>
          <w:b/>
          <w:bCs/>
          <w:sz w:val="8"/>
          <w:szCs w:val="8"/>
          <w:lang w:eastAsia="en-US"/>
        </w:rPr>
      </w:pPr>
    </w:p>
    <w:p w14:paraId="6F365460" w14:textId="443E4965" w:rsidR="00EE06FC" w:rsidRDefault="00B54879" w:rsidP="00FD1E02">
      <w:pPr>
        <w:spacing w:after="0" w:line="360" w:lineRule="auto"/>
        <w:jc w:val="both"/>
        <w:rPr>
          <w:rFonts w:ascii="Century Gothic" w:eastAsia="Calibri" w:hAnsi="Century Gothic"/>
          <w:bCs/>
          <w:sz w:val="24"/>
          <w:szCs w:val="24"/>
          <w:lang w:eastAsia="en-US"/>
        </w:rPr>
      </w:pPr>
      <w:r>
        <w:rPr>
          <w:rFonts w:ascii="Century Gothic" w:eastAsia="Calibri" w:hAnsi="Century Gothic"/>
          <w:b/>
          <w:bCs/>
          <w:sz w:val="28"/>
          <w:szCs w:val="28"/>
          <w:lang w:eastAsia="en-US"/>
        </w:rPr>
        <w:t xml:space="preserve">ARTÍCULO </w:t>
      </w:r>
      <w:r w:rsidR="00EE06FC" w:rsidRPr="00EE06FC">
        <w:rPr>
          <w:rFonts w:ascii="Century Gothic" w:eastAsia="Calibri" w:hAnsi="Century Gothic"/>
          <w:b/>
          <w:bCs/>
          <w:sz w:val="28"/>
          <w:szCs w:val="28"/>
          <w:lang w:eastAsia="en-US"/>
        </w:rPr>
        <w:t xml:space="preserve">SEGUNDO.- </w:t>
      </w:r>
      <w:r w:rsidR="00EE06FC" w:rsidRPr="00B54879">
        <w:rPr>
          <w:rFonts w:ascii="Century Gothic" w:eastAsia="Calibri" w:hAnsi="Century Gothic"/>
          <w:bCs/>
          <w:sz w:val="24"/>
          <w:szCs w:val="24"/>
          <w:lang w:eastAsia="en-US"/>
        </w:rPr>
        <w:t>Se derogan todas las disposiciones que se opongan al contenido de este Decreto.</w:t>
      </w:r>
    </w:p>
    <w:p w14:paraId="24928667" w14:textId="77777777" w:rsidR="00FD1E02" w:rsidRPr="00FD1E02" w:rsidRDefault="00FD1E02" w:rsidP="00FD1E02">
      <w:pPr>
        <w:spacing w:after="0" w:line="360" w:lineRule="auto"/>
        <w:jc w:val="both"/>
        <w:rPr>
          <w:rFonts w:ascii="Century Gothic" w:eastAsia="Calibri" w:hAnsi="Century Gothic"/>
          <w:b/>
          <w:bCs/>
          <w:sz w:val="16"/>
          <w:szCs w:val="16"/>
          <w:lang w:eastAsia="en-US"/>
        </w:rPr>
      </w:pPr>
    </w:p>
    <w:p w14:paraId="124FC8A9" w14:textId="77777777" w:rsidR="00EE06FC" w:rsidRPr="00FD1E02" w:rsidRDefault="00EE06FC" w:rsidP="00FD1E02">
      <w:pPr>
        <w:spacing w:after="0" w:line="360" w:lineRule="auto"/>
        <w:jc w:val="both"/>
        <w:rPr>
          <w:rFonts w:ascii="Century Gothic" w:eastAsia="Calibri" w:hAnsi="Century Gothic"/>
          <w:b/>
          <w:bCs/>
          <w:sz w:val="8"/>
          <w:szCs w:val="8"/>
          <w:lang w:eastAsia="en-US"/>
        </w:rPr>
      </w:pPr>
    </w:p>
    <w:p w14:paraId="38BE89A0" w14:textId="243AE7AD" w:rsidR="00F4441A" w:rsidRDefault="00B54879" w:rsidP="00FD1E02">
      <w:pPr>
        <w:spacing w:after="0" w:line="360" w:lineRule="auto"/>
        <w:jc w:val="both"/>
        <w:rPr>
          <w:rFonts w:ascii="Century Gothic" w:eastAsia="Calibri" w:hAnsi="Century Gothic"/>
          <w:bCs/>
          <w:sz w:val="24"/>
          <w:szCs w:val="28"/>
          <w:lang w:eastAsia="en-US"/>
        </w:rPr>
      </w:pPr>
      <w:r>
        <w:rPr>
          <w:rFonts w:ascii="Century Gothic" w:eastAsia="Calibri" w:hAnsi="Century Gothic"/>
          <w:b/>
          <w:bCs/>
          <w:sz w:val="28"/>
          <w:szCs w:val="28"/>
          <w:lang w:eastAsia="en-US"/>
        </w:rPr>
        <w:t xml:space="preserve">ARTÍCULO </w:t>
      </w:r>
      <w:r w:rsidR="00EE06FC" w:rsidRPr="00EE06FC">
        <w:rPr>
          <w:rFonts w:ascii="Century Gothic" w:eastAsia="Calibri" w:hAnsi="Century Gothic"/>
          <w:b/>
          <w:bCs/>
          <w:sz w:val="28"/>
          <w:szCs w:val="28"/>
          <w:lang w:eastAsia="en-US"/>
        </w:rPr>
        <w:t xml:space="preserve">TERCERO.- </w:t>
      </w:r>
      <w:r w:rsidR="00EE06FC" w:rsidRPr="00B54879">
        <w:rPr>
          <w:rFonts w:ascii="Century Gothic" w:eastAsia="Calibri" w:hAnsi="Century Gothic"/>
          <w:bCs/>
          <w:sz w:val="24"/>
          <w:szCs w:val="28"/>
          <w:lang w:eastAsia="en-US"/>
        </w:rPr>
        <w:t>Se autoriza al Poder Ejecutivo del Estado, por conducto de la Secretaría de Hacienda, para que lleve a cabo las adecuaciones presupuestarias y administrativas que se requieran en virtud de la presente autorización.</w:t>
      </w:r>
    </w:p>
    <w:p w14:paraId="02D68B8D" w14:textId="77777777" w:rsidR="00FD1E02" w:rsidRPr="00FD1E02" w:rsidRDefault="00FD1E02" w:rsidP="00FD1E02">
      <w:pPr>
        <w:spacing w:after="0" w:line="360" w:lineRule="auto"/>
        <w:jc w:val="both"/>
        <w:rPr>
          <w:rFonts w:ascii="Century Gothic" w:eastAsia="Calibri" w:hAnsi="Century Gothic"/>
          <w:sz w:val="20"/>
          <w:szCs w:val="20"/>
          <w:lang w:eastAsia="en-US"/>
        </w:rPr>
      </w:pPr>
    </w:p>
    <w:p w14:paraId="4E650E95" w14:textId="44321D08" w:rsidR="001C2B61" w:rsidRDefault="001C2B61" w:rsidP="00FD1E02">
      <w:pPr>
        <w:spacing w:after="0" w:line="360" w:lineRule="auto"/>
        <w:ind w:right="17"/>
        <w:jc w:val="both"/>
        <w:rPr>
          <w:rFonts w:ascii="Century Gothic" w:hAnsi="Century Gothic"/>
          <w:sz w:val="24"/>
          <w:szCs w:val="24"/>
          <w:lang w:val="es-ES" w:eastAsia="es-ES"/>
        </w:rPr>
      </w:pPr>
      <w:r w:rsidRPr="001C2B61">
        <w:rPr>
          <w:rFonts w:ascii="Century Gothic" w:hAnsi="Century Gothic"/>
          <w:b/>
          <w:sz w:val="28"/>
          <w:szCs w:val="28"/>
          <w:lang w:val="es-ES" w:eastAsia="es-ES"/>
        </w:rPr>
        <w:t>D A D O</w:t>
      </w:r>
      <w:r w:rsidRPr="001C2B61">
        <w:rPr>
          <w:rFonts w:ascii="Century Gothic" w:hAnsi="Century Gothic"/>
          <w:lang w:val="es-ES" w:eastAsia="es-ES"/>
        </w:rPr>
        <w:t xml:space="preserve"> </w:t>
      </w:r>
      <w:r w:rsidRPr="001C2B61">
        <w:rPr>
          <w:rFonts w:ascii="Century Gothic" w:hAnsi="Century Gothic"/>
          <w:sz w:val="24"/>
          <w:szCs w:val="24"/>
          <w:lang w:val="es-ES" w:eastAsia="es-ES"/>
        </w:rPr>
        <w:t>en el Salón de Sesiones del Poder Legislativo, en la ciudad de Chihuahua, Chih., a los dieciséis días del mes de diciembre del año dos mil veinticinco.</w:t>
      </w:r>
    </w:p>
    <w:p w14:paraId="519087A8" w14:textId="77777777" w:rsidR="00FD1E02" w:rsidRPr="001C2B61" w:rsidRDefault="00FD1E02" w:rsidP="00FD1E02">
      <w:pPr>
        <w:spacing w:after="0" w:line="360" w:lineRule="auto"/>
        <w:ind w:right="17"/>
        <w:jc w:val="both"/>
        <w:rPr>
          <w:rFonts w:ascii="Century Gothic" w:hAnsi="Century Gothic"/>
          <w:sz w:val="16"/>
          <w:szCs w:val="16"/>
          <w:lang w:val="es-ES" w:eastAsia="es-ES"/>
        </w:rPr>
      </w:pPr>
    </w:p>
    <w:p w14:paraId="3C5A5239" w14:textId="77777777" w:rsidR="00A2303F" w:rsidRPr="00A2303F" w:rsidRDefault="00A2303F" w:rsidP="00A2303F">
      <w:pPr>
        <w:keepNext/>
        <w:spacing w:after="0" w:line="240" w:lineRule="auto"/>
        <w:ind w:left="284" w:right="284"/>
        <w:jc w:val="center"/>
        <w:outlineLvl w:val="2"/>
        <w:rPr>
          <w:rFonts w:ascii="Century Gothic" w:hAnsi="Century Gothic"/>
          <w:b/>
          <w:sz w:val="26"/>
          <w:szCs w:val="26"/>
          <w:lang w:val="es-ES" w:eastAsia="es-ES"/>
        </w:rPr>
      </w:pPr>
      <w:r w:rsidRPr="00A2303F">
        <w:rPr>
          <w:rFonts w:ascii="Century Gothic" w:hAnsi="Century Gothic"/>
          <w:b/>
          <w:sz w:val="26"/>
          <w:szCs w:val="26"/>
          <w:lang w:val="es-ES" w:eastAsia="es-ES"/>
        </w:rPr>
        <w:t>PRESIDENTE</w:t>
      </w:r>
    </w:p>
    <w:p w14:paraId="70113A88" w14:textId="77777777" w:rsidR="00A2303F" w:rsidRPr="00A2303F" w:rsidRDefault="00A2303F" w:rsidP="00A2303F">
      <w:pPr>
        <w:spacing w:after="0" w:line="240" w:lineRule="auto"/>
        <w:rPr>
          <w:rFonts w:ascii="Century Gothic" w:hAnsi="Century Gothic"/>
          <w:b/>
          <w:lang w:val="es-ES" w:eastAsia="es-ES"/>
        </w:rPr>
      </w:pPr>
    </w:p>
    <w:p w14:paraId="5FFF6DD6" w14:textId="77777777" w:rsidR="00A2303F" w:rsidRPr="00A2303F" w:rsidRDefault="00A2303F" w:rsidP="00A2303F">
      <w:pPr>
        <w:spacing w:after="0" w:line="240" w:lineRule="auto"/>
        <w:jc w:val="center"/>
        <w:rPr>
          <w:rFonts w:ascii="Century Gothic" w:hAnsi="Century Gothic"/>
          <w:b/>
          <w:lang w:val="es-ES" w:eastAsia="es-ES"/>
        </w:rPr>
      </w:pPr>
    </w:p>
    <w:p w14:paraId="6525A373" w14:textId="77777777" w:rsidR="00A2303F" w:rsidRPr="00A2303F" w:rsidRDefault="00A2303F" w:rsidP="00A2303F">
      <w:pPr>
        <w:spacing w:after="0" w:line="240" w:lineRule="auto"/>
        <w:rPr>
          <w:rFonts w:ascii="Century Gothic" w:hAnsi="Century Gothic"/>
          <w:b/>
          <w:lang w:val="es-ES" w:eastAsia="es-ES"/>
        </w:rPr>
      </w:pPr>
    </w:p>
    <w:p w14:paraId="6FFC6484" w14:textId="77777777" w:rsidR="00A2303F" w:rsidRPr="00A2303F" w:rsidRDefault="00A2303F" w:rsidP="00A2303F">
      <w:pPr>
        <w:spacing w:after="0" w:line="240" w:lineRule="auto"/>
        <w:rPr>
          <w:rFonts w:ascii="Century Gothic" w:hAnsi="Century Gothic"/>
          <w:b/>
          <w:lang w:val="es-ES" w:eastAsia="es-ES"/>
        </w:rPr>
      </w:pPr>
    </w:p>
    <w:p w14:paraId="40A911D1" w14:textId="77777777" w:rsidR="00A2303F" w:rsidRPr="00A2303F" w:rsidRDefault="00A2303F" w:rsidP="00A2303F">
      <w:pPr>
        <w:spacing w:after="0" w:line="240" w:lineRule="auto"/>
        <w:rPr>
          <w:rFonts w:ascii="Century Gothic" w:hAnsi="Century Gothic"/>
          <w:b/>
          <w:lang w:val="es-ES" w:eastAsia="es-ES"/>
        </w:rPr>
      </w:pPr>
    </w:p>
    <w:p w14:paraId="311D4E20" w14:textId="77777777" w:rsidR="00A2303F" w:rsidRPr="00A2303F" w:rsidRDefault="00A2303F" w:rsidP="00A2303F">
      <w:pPr>
        <w:spacing w:after="0" w:line="240" w:lineRule="auto"/>
        <w:rPr>
          <w:rFonts w:ascii="Century Gothic" w:hAnsi="Century Gothic"/>
          <w:b/>
          <w:sz w:val="24"/>
          <w:szCs w:val="24"/>
          <w:lang w:val="es-ES" w:eastAsia="es-ES"/>
        </w:rPr>
      </w:pPr>
    </w:p>
    <w:p w14:paraId="4C4AFB3D" w14:textId="77777777" w:rsidR="00A2303F" w:rsidRPr="00A2303F" w:rsidRDefault="00A2303F" w:rsidP="00A2303F">
      <w:pPr>
        <w:spacing w:after="0" w:line="240" w:lineRule="auto"/>
        <w:jc w:val="center"/>
        <w:rPr>
          <w:rFonts w:ascii="Century Gothic" w:hAnsi="Century Gothic"/>
          <w:b/>
          <w:sz w:val="26"/>
          <w:szCs w:val="26"/>
          <w:lang w:val="es-ES" w:eastAsia="es-ES"/>
        </w:rPr>
      </w:pPr>
      <w:r w:rsidRPr="00A2303F">
        <w:rPr>
          <w:rFonts w:ascii="Century Gothic" w:hAnsi="Century Gothic"/>
          <w:b/>
          <w:sz w:val="26"/>
          <w:szCs w:val="26"/>
          <w:lang w:val="es-ES" w:eastAsia="es-ES"/>
        </w:rPr>
        <w:t>DIP. GUILLERMO PATRICIO RAMÍREZ GUTIÉRREZ</w:t>
      </w:r>
    </w:p>
    <w:p w14:paraId="7395364A" w14:textId="77777777" w:rsidR="00A2303F" w:rsidRPr="00A2303F" w:rsidRDefault="00A2303F" w:rsidP="00A2303F">
      <w:pPr>
        <w:spacing w:after="0" w:line="240" w:lineRule="auto"/>
        <w:rPr>
          <w:rFonts w:ascii="Century Gothic" w:hAnsi="Century Gothic"/>
          <w:b/>
          <w:sz w:val="24"/>
          <w:szCs w:val="24"/>
          <w:lang w:val="es-ES" w:eastAsia="es-ES"/>
        </w:rPr>
      </w:pPr>
    </w:p>
    <w:p w14:paraId="3E509AA3" w14:textId="77777777" w:rsidR="00A2303F" w:rsidRPr="00A2303F" w:rsidRDefault="00A2303F" w:rsidP="00A2303F">
      <w:pPr>
        <w:spacing w:after="0" w:line="240" w:lineRule="auto"/>
        <w:rPr>
          <w:rFonts w:ascii="Century Gothic" w:hAnsi="Century Gothic"/>
          <w:b/>
          <w:sz w:val="24"/>
          <w:szCs w:val="24"/>
          <w:lang w:val="es-ES" w:eastAsia="es-ES"/>
        </w:rPr>
      </w:pPr>
    </w:p>
    <w:p w14:paraId="35492C78" w14:textId="77777777" w:rsidR="00A2303F" w:rsidRPr="00A2303F" w:rsidRDefault="00A2303F" w:rsidP="00A2303F">
      <w:pPr>
        <w:spacing w:after="0" w:line="240" w:lineRule="auto"/>
        <w:rPr>
          <w:rFonts w:ascii="Century Gothic" w:hAnsi="Century Gothic"/>
          <w:b/>
          <w:sz w:val="24"/>
          <w:szCs w:val="24"/>
          <w:lang w:val="es-ES" w:eastAsia="es-ES"/>
        </w:rPr>
      </w:pPr>
    </w:p>
    <w:p w14:paraId="533BB57C" w14:textId="77777777" w:rsidR="00A2303F" w:rsidRPr="00A2303F" w:rsidRDefault="00A2303F" w:rsidP="00A2303F">
      <w:pPr>
        <w:spacing w:after="0" w:line="240" w:lineRule="auto"/>
        <w:rPr>
          <w:rFonts w:ascii="Century Gothic" w:hAnsi="Century Gothic"/>
          <w:b/>
          <w:sz w:val="24"/>
          <w:szCs w:val="24"/>
          <w:lang w:val="es-ES" w:eastAsia="es-ES"/>
        </w:rPr>
      </w:pPr>
    </w:p>
    <w:p w14:paraId="34AE313C" w14:textId="77777777" w:rsidR="00A2303F" w:rsidRPr="00A2303F" w:rsidRDefault="00A2303F" w:rsidP="00A2303F">
      <w:pPr>
        <w:spacing w:after="0" w:line="240" w:lineRule="auto"/>
        <w:rPr>
          <w:rFonts w:ascii="Century Gothic" w:hAnsi="Century Gothic"/>
          <w:b/>
          <w:sz w:val="24"/>
          <w:szCs w:val="24"/>
          <w:lang w:val="es-ES" w:eastAsia="es-ES"/>
        </w:rPr>
      </w:pPr>
    </w:p>
    <w:p w14:paraId="19A3A6D0" w14:textId="77777777" w:rsidR="00A2303F" w:rsidRPr="00A2303F" w:rsidRDefault="00A2303F" w:rsidP="00A2303F">
      <w:pPr>
        <w:spacing w:after="0" w:line="240" w:lineRule="auto"/>
        <w:rPr>
          <w:rFonts w:ascii="Century Gothic" w:hAnsi="Century Gothic"/>
          <w:b/>
          <w:sz w:val="24"/>
          <w:szCs w:val="24"/>
          <w:lang w:val="es-ES" w:eastAsia="es-ES"/>
        </w:rPr>
      </w:pPr>
    </w:p>
    <w:tbl>
      <w:tblPr>
        <w:tblW w:w="9363" w:type="dxa"/>
        <w:jc w:val="center"/>
        <w:tblLook w:val="01E0" w:firstRow="1" w:lastRow="1" w:firstColumn="1" w:lastColumn="1" w:noHBand="0" w:noVBand="0"/>
      </w:tblPr>
      <w:tblGrid>
        <w:gridCol w:w="4969"/>
        <w:gridCol w:w="4394"/>
      </w:tblGrid>
      <w:tr w:rsidR="00A2303F" w:rsidRPr="00A2303F" w14:paraId="1851B336" w14:textId="77777777" w:rsidTr="009E76ED">
        <w:trPr>
          <w:jc w:val="center"/>
        </w:trPr>
        <w:tc>
          <w:tcPr>
            <w:tcW w:w="4969" w:type="dxa"/>
          </w:tcPr>
          <w:p w14:paraId="36432F23" w14:textId="77777777" w:rsidR="00A2303F" w:rsidRPr="00A2303F" w:rsidRDefault="00A2303F" w:rsidP="00A2303F">
            <w:pPr>
              <w:spacing w:before="60" w:after="120" w:line="240" w:lineRule="auto"/>
              <w:ind w:right="40"/>
              <w:jc w:val="center"/>
              <w:rPr>
                <w:rFonts w:ascii="Century Gothic" w:hAnsi="Century Gothic" w:cs="Arial"/>
                <w:iCs/>
                <w:sz w:val="26"/>
                <w:szCs w:val="26"/>
                <w:lang w:val="es-ES" w:eastAsia="es-ES"/>
              </w:rPr>
            </w:pPr>
            <w:r w:rsidRPr="00A2303F">
              <w:rPr>
                <w:rFonts w:ascii="Century Gothic" w:hAnsi="Century Gothic"/>
                <w:b/>
                <w:sz w:val="26"/>
                <w:szCs w:val="26"/>
                <w:lang w:val="es-ES" w:eastAsia="es-ES"/>
              </w:rPr>
              <w:t>SECRETARIO</w:t>
            </w:r>
          </w:p>
          <w:p w14:paraId="4A7426AF" w14:textId="77777777" w:rsidR="00A2303F" w:rsidRPr="00A2303F" w:rsidRDefault="00A2303F" w:rsidP="00A2303F">
            <w:pPr>
              <w:spacing w:before="60" w:after="120" w:line="240" w:lineRule="auto"/>
              <w:ind w:right="40"/>
              <w:jc w:val="both"/>
              <w:rPr>
                <w:rFonts w:ascii="Century Gothic" w:hAnsi="Century Gothic" w:cs="Arial"/>
                <w:iCs/>
                <w:sz w:val="2"/>
                <w:szCs w:val="2"/>
                <w:lang w:val="es-ES" w:eastAsia="es-ES"/>
              </w:rPr>
            </w:pPr>
          </w:p>
          <w:p w14:paraId="64FCE0A9" w14:textId="77777777" w:rsidR="00A2303F" w:rsidRPr="00A2303F" w:rsidRDefault="00A2303F" w:rsidP="00A2303F">
            <w:pPr>
              <w:spacing w:before="60" w:after="120" w:line="240" w:lineRule="auto"/>
              <w:ind w:right="40"/>
              <w:jc w:val="both"/>
              <w:rPr>
                <w:rFonts w:ascii="Century Gothic" w:hAnsi="Century Gothic" w:cs="Arial"/>
                <w:iCs/>
                <w:sz w:val="2"/>
                <w:szCs w:val="2"/>
                <w:lang w:val="es-ES" w:eastAsia="es-ES"/>
              </w:rPr>
            </w:pPr>
          </w:p>
          <w:p w14:paraId="5443B279" w14:textId="77777777" w:rsidR="00A2303F" w:rsidRPr="00A2303F" w:rsidRDefault="00A2303F" w:rsidP="00A2303F">
            <w:pPr>
              <w:spacing w:before="60" w:after="120" w:line="240" w:lineRule="auto"/>
              <w:ind w:right="40"/>
              <w:jc w:val="both"/>
              <w:rPr>
                <w:rFonts w:ascii="Century Gothic" w:hAnsi="Century Gothic" w:cs="Arial"/>
                <w:iCs/>
                <w:sz w:val="2"/>
                <w:szCs w:val="2"/>
                <w:lang w:val="es-ES" w:eastAsia="es-ES"/>
              </w:rPr>
            </w:pPr>
          </w:p>
          <w:p w14:paraId="4422A832" w14:textId="77777777" w:rsidR="00A2303F" w:rsidRPr="00A2303F" w:rsidRDefault="00A2303F" w:rsidP="00A2303F">
            <w:pPr>
              <w:spacing w:before="60" w:after="120" w:line="240" w:lineRule="auto"/>
              <w:ind w:right="40"/>
              <w:jc w:val="both"/>
              <w:rPr>
                <w:rFonts w:ascii="Century Gothic" w:hAnsi="Century Gothic" w:cs="Arial"/>
                <w:iCs/>
                <w:sz w:val="2"/>
                <w:szCs w:val="2"/>
                <w:lang w:val="es-ES" w:eastAsia="es-ES"/>
              </w:rPr>
            </w:pPr>
          </w:p>
          <w:p w14:paraId="009B50A6" w14:textId="77777777" w:rsidR="00A2303F" w:rsidRPr="00A2303F" w:rsidRDefault="00A2303F" w:rsidP="00A2303F">
            <w:pPr>
              <w:spacing w:before="60" w:after="120" w:line="240" w:lineRule="auto"/>
              <w:ind w:right="40"/>
              <w:jc w:val="both"/>
              <w:rPr>
                <w:rFonts w:ascii="Century Gothic" w:hAnsi="Century Gothic" w:cs="Arial"/>
                <w:iCs/>
                <w:sz w:val="2"/>
                <w:szCs w:val="2"/>
                <w:lang w:val="es-ES" w:eastAsia="es-ES"/>
              </w:rPr>
            </w:pPr>
          </w:p>
          <w:p w14:paraId="6171928C" w14:textId="77777777" w:rsidR="00A2303F" w:rsidRPr="00A2303F" w:rsidRDefault="00A2303F" w:rsidP="00A2303F">
            <w:pPr>
              <w:spacing w:before="60" w:after="120" w:line="240" w:lineRule="auto"/>
              <w:ind w:right="40"/>
              <w:jc w:val="both"/>
              <w:rPr>
                <w:rFonts w:ascii="Century Gothic" w:hAnsi="Century Gothic" w:cs="Arial"/>
                <w:iCs/>
                <w:sz w:val="2"/>
                <w:szCs w:val="2"/>
                <w:lang w:val="es-ES" w:eastAsia="es-ES"/>
              </w:rPr>
            </w:pPr>
          </w:p>
          <w:p w14:paraId="5D0FDF13" w14:textId="77777777" w:rsidR="00A2303F" w:rsidRPr="00A2303F" w:rsidRDefault="00A2303F" w:rsidP="00A2303F">
            <w:pPr>
              <w:spacing w:before="60" w:after="120" w:line="240" w:lineRule="auto"/>
              <w:ind w:right="40"/>
              <w:jc w:val="both"/>
              <w:rPr>
                <w:rFonts w:ascii="Century Gothic" w:hAnsi="Century Gothic" w:cs="Arial"/>
                <w:iCs/>
                <w:sz w:val="2"/>
                <w:szCs w:val="2"/>
                <w:lang w:val="es-ES" w:eastAsia="es-ES"/>
              </w:rPr>
            </w:pPr>
          </w:p>
          <w:p w14:paraId="44EDB584" w14:textId="77777777" w:rsidR="00A2303F" w:rsidRPr="00A2303F" w:rsidRDefault="00A2303F" w:rsidP="00A2303F">
            <w:pPr>
              <w:spacing w:before="60" w:after="120" w:line="240" w:lineRule="auto"/>
              <w:ind w:right="40"/>
              <w:jc w:val="both"/>
              <w:rPr>
                <w:rFonts w:ascii="Century Gothic" w:hAnsi="Century Gothic" w:cs="Arial"/>
                <w:iCs/>
                <w:sz w:val="2"/>
                <w:szCs w:val="2"/>
                <w:lang w:val="es-ES" w:eastAsia="es-ES"/>
              </w:rPr>
            </w:pPr>
          </w:p>
          <w:p w14:paraId="6E596C15" w14:textId="77777777" w:rsidR="00A2303F" w:rsidRPr="00A2303F" w:rsidRDefault="00A2303F" w:rsidP="00A2303F">
            <w:pPr>
              <w:spacing w:before="60" w:after="120" w:line="240" w:lineRule="auto"/>
              <w:ind w:right="40"/>
              <w:jc w:val="both"/>
              <w:rPr>
                <w:rFonts w:ascii="Century Gothic" w:hAnsi="Century Gothic" w:cs="Arial"/>
                <w:iCs/>
                <w:sz w:val="2"/>
                <w:szCs w:val="2"/>
                <w:lang w:val="es-ES" w:eastAsia="es-ES"/>
              </w:rPr>
            </w:pPr>
          </w:p>
          <w:p w14:paraId="77944761" w14:textId="77777777" w:rsidR="00A2303F" w:rsidRPr="00A2303F" w:rsidRDefault="00A2303F" w:rsidP="00A2303F">
            <w:pPr>
              <w:spacing w:before="60" w:after="120" w:line="240" w:lineRule="auto"/>
              <w:ind w:right="40"/>
              <w:jc w:val="both"/>
              <w:rPr>
                <w:rFonts w:ascii="Century Gothic" w:hAnsi="Century Gothic" w:cs="Arial"/>
                <w:iCs/>
                <w:sz w:val="2"/>
                <w:szCs w:val="2"/>
                <w:lang w:val="es-ES" w:eastAsia="es-ES"/>
              </w:rPr>
            </w:pPr>
          </w:p>
          <w:p w14:paraId="0E8347DB" w14:textId="77777777" w:rsidR="00A2303F" w:rsidRPr="00A2303F" w:rsidRDefault="00A2303F" w:rsidP="00A2303F">
            <w:pPr>
              <w:spacing w:before="60" w:after="120" w:line="240" w:lineRule="auto"/>
              <w:ind w:right="40"/>
              <w:jc w:val="both"/>
              <w:rPr>
                <w:rFonts w:ascii="Century Gothic" w:hAnsi="Century Gothic" w:cs="Arial"/>
                <w:b/>
                <w:iCs/>
                <w:sz w:val="2"/>
                <w:szCs w:val="2"/>
                <w:lang w:val="es-ES" w:eastAsia="es-ES"/>
              </w:rPr>
            </w:pPr>
          </w:p>
          <w:p w14:paraId="5D685A86" w14:textId="77777777" w:rsidR="00A2303F" w:rsidRPr="00A2303F" w:rsidRDefault="00A2303F" w:rsidP="00A2303F">
            <w:pPr>
              <w:spacing w:before="60" w:after="120" w:line="240" w:lineRule="auto"/>
              <w:ind w:right="40"/>
              <w:jc w:val="both"/>
              <w:rPr>
                <w:rFonts w:ascii="Century Gothic" w:hAnsi="Century Gothic" w:cs="Arial"/>
                <w:b/>
                <w:iCs/>
                <w:sz w:val="2"/>
                <w:szCs w:val="2"/>
                <w:lang w:val="es-ES" w:eastAsia="es-ES"/>
              </w:rPr>
            </w:pPr>
          </w:p>
          <w:p w14:paraId="0765A8D7" w14:textId="77777777" w:rsidR="00A2303F" w:rsidRPr="00A2303F" w:rsidRDefault="00A2303F" w:rsidP="00A2303F">
            <w:pPr>
              <w:spacing w:before="60" w:after="120" w:line="240" w:lineRule="auto"/>
              <w:ind w:right="40"/>
              <w:jc w:val="center"/>
              <w:rPr>
                <w:rFonts w:ascii="Century Gothic" w:hAnsi="Century Gothic"/>
                <w:b/>
                <w:sz w:val="26"/>
                <w:szCs w:val="26"/>
                <w:lang w:val="es-ES" w:eastAsia="es-ES"/>
              </w:rPr>
            </w:pPr>
            <w:r w:rsidRPr="00A2303F">
              <w:rPr>
                <w:rFonts w:ascii="Century Gothic" w:hAnsi="Century Gothic" w:cs="Arial"/>
                <w:b/>
                <w:iCs/>
                <w:sz w:val="26"/>
                <w:szCs w:val="26"/>
                <w:lang w:val="es-ES" w:eastAsia="es-ES"/>
              </w:rPr>
              <w:t>DIP. FRANCISCO ADRIÁN SÁNCHEZ VILLEGAS</w:t>
            </w:r>
          </w:p>
        </w:tc>
        <w:tc>
          <w:tcPr>
            <w:tcW w:w="4394" w:type="dxa"/>
          </w:tcPr>
          <w:p w14:paraId="620AF1A2" w14:textId="77777777" w:rsidR="00A2303F" w:rsidRPr="00A2303F" w:rsidRDefault="00A2303F" w:rsidP="00A2303F">
            <w:pPr>
              <w:spacing w:before="60" w:after="120" w:line="240" w:lineRule="auto"/>
              <w:ind w:right="40"/>
              <w:jc w:val="center"/>
              <w:rPr>
                <w:rFonts w:ascii="Century Gothic" w:hAnsi="Century Gothic" w:cs="Arial"/>
                <w:iCs/>
                <w:sz w:val="26"/>
                <w:szCs w:val="26"/>
                <w:lang w:val="es-ES" w:eastAsia="es-ES"/>
              </w:rPr>
            </w:pPr>
            <w:r w:rsidRPr="00A2303F">
              <w:rPr>
                <w:rFonts w:ascii="Century Gothic" w:hAnsi="Century Gothic"/>
                <w:b/>
                <w:sz w:val="26"/>
                <w:szCs w:val="26"/>
                <w:lang w:val="es-ES" w:eastAsia="es-ES"/>
              </w:rPr>
              <w:t>SECRETARIO</w:t>
            </w:r>
          </w:p>
          <w:p w14:paraId="58E4B029" w14:textId="77777777" w:rsidR="00A2303F" w:rsidRPr="00A2303F" w:rsidRDefault="00A2303F" w:rsidP="00A2303F">
            <w:pPr>
              <w:spacing w:before="60" w:after="120" w:line="240" w:lineRule="auto"/>
              <w:ind w:right="40"/>
              <w:jc w:val="both"/>
              <w:rPr>
                <w:rFonts w:ascii="Century Gothic" w:hAnsi="Century Gothic" w:cs="Arial"/>
                <w:iCs/>
                <w:sz w:val="2"/>
                <w:szCs w:val="2"/>
                <w:lang w:val="es-ES" w:eastAsia="es-ES"/>
              </w:rPr>
            </w:pPr>
          </w:p>
          <w:p w14:paraId="58470CB4" w14:textId="77777777" w:rsidR="00A2303F" w:rsidRPr="00A2303F" w:rsidRDefault="00A2303F" w:rsidP="00A2303F">
            <w:pPr>
              <w:spacing w:before="60" w:after="120" w:line="240" w:lineRule="auto"/>
              <w:ind w:right="40"/>
              <w:jc w:val="both"/>
              <w:rPr>
                <w:rFonts w:ascii="Century Gothic" w:hAnsi="Century Gothic" w:cs="Arial"/>
                <w:iCs/>
                <w:sz w:val="2"/>
                <w:szCs w:val="2"/>
                <w:lang w:val="es-ES" w:eastAsia="es-ES"/>
              </w:rPr>
            </w:pPr>
          </w:p>
          <w:p w14:paraId="38BF403D" w14:textId="77777777" w:rsidR="00A2303F" w:rsidRPr="00A2303F" w:rsidRDefault="00A2303F" w:rsidP="00A2303F">
            <w:pPr>
              <w:spacing w:before="60" w:after="120" w:line="240" w:lineRule="auto"/>
              <w:ind w:right="40"/>
              <w:jc w:val="both"/>
              <w:rPr>
                <w:rFonts w:ascii="Century Gothic" w:hAnsi="Century Gothic" w:cs="Arial"/>
                <w:iCs/>
                <w:sz w:val="2"/>
                <w:szCs w:val="2"/>
                <w:lang w:val="es-ES" w:eastAsia="es-ES"/>
              </w:rPr>
            </w:pPr>
          </w:p>
          <w:p w14:paraId="1C103EC0" w14:textId="77777777" w:rsidR="00A2303F" w:rsidRPr="00A2303F" w:rsidRDefault="00A2303F" w:rsidP="00A2303F">
            <w:pPr>
              <w:spacing w:before="60" w:after="120" w:line="240" w:lineRule="auto"/>
              <w:ind w:right="40"/>
              <w:jc w:val="both"/>
              <w:rPr>
                <w:rFonts w:ascii="Century Gothic" w:hAnsi="Century Gothic" w:cs="Arial"/>
                <w:iCs/>
                <w:sz w:val="2"/>
                <w:szCs w:val="2"/>
                <w:lang w:val="es-ES" w:eastAsia="es-ES"/>
              </w:rPr>
            </w:pPr>
          </w:p>
          <w:p w14:paraId="36441661" w14:textId="77777777" w:rsidR="00A2303F" w:rsidRPr="00A2303F" w:rsidRDefault="00A2303F" w:rsidP="00A2303F">
            <w:pPr>
              <w:spacing w:before="60" w:after="120" w:line="240" w:lineRule="auto"/>
              <w:ind w:right="40"/>
              <w:jc w:val="both"/>
              <w:rPr>
                <w:rFonts w:ascii="Century Gothic" w:hAnsi="Century Gothic" w:cs="Arial"/>
                <w:b/>
                <w:iCs/>
                <w:sz w:val="2"/>
                <w:szCs w:val="2"/>
                <w:lang w:val="es-ES" w:eastAsia="es-ES"/>
              </w:rPr>
            </w:pPr>
          </w:p>
          <w:p w14:paraId="6D1B5DC7" w14:textId="77777777" w:rsidR="00A2303F" w:rsidRPr="00A2303F" w:rsidRDefault="00A2303F" w:rsidP="00A2303F">
            <w:pPr>
              <w:spacing w:before="60" w:after="120" w:line="240" w:lineRule="auto"/>
              <w:ind w:right="40"/>
              <w:jc w:val="both"/>
              <w:rPr>
                <w:rFonts w:ascii="Century Gothic" w:hAnsi="Century Gothic" w:cs="Arial"/>
                <w:b/>
                <w:iCs/>
                <w:sz w:val="2"/>
                <w:szCs w:val="2"/>
                <w:lang w:val="es-ES" w:eastAsia="es-ES"/>
              </w:rPr>
            </w:pPr>
          </w:p>
          <w:p w14:paraId="4DE993A1" w14:textId="77777777" w:rsidR="00A2303F" w:rsidRPr="00A2303F" w:rsidRDefault="00A2303F" w:rsidP="00A2303F">
            <w:pPr>
              <w:spacing w:before="60" w:after="120" w:line="240" w:lineRule="auto"/>
              <w:ind w:right="40"/>
              <w:jc w:val="both"/>
              <w:rPr>
                <w:rFonts w:ascii="Century Gothic" w:hAnsi="Century Gothic" w:cs="Arial"/>
                <w:b/>
                <w:iCs/>
                <w:sz w:val="2"/>
                <w:szCs w:val="2"/>
                <w:lang w:val="es-ES" w:eastAsia="es-ES"/>
              </w:rPr>
            </w:pPr>
          </w:p>
          <w:p w14:paraId="14D1568A" w14:textId="77777777" w:rsidR="00A2303F" w:rsidRPr="00A2303F" w:rsidRDefault="00A2303F" w:rsidP="00A2303F">
            <w:pPr>
              <w:spacing w:before="60" w:after="120" w:line="240" w:lineRule="auto"/>
              <w:ind w:right="40"/>
              <w:jc w:val="both"/>
              <w:rPr>
                <w:rFonts w:ascii="Century Gothic" w:hAnsi="Century Gothic" w:cs="Arial"/>
                <w:b/>
                <w:iCs/>
                <w:sz w:val="2"/>
                <w:szCs w:val="2"/>
                <w:lang w:val="es-ES" w:eastAsia="es-ES"/>
              </w:rPr>
            </w:pPr>
          </w:p>
          <w:p w14:paraId="3DF1B7D0" w14:textId="77777777" w:rsidR="00A2303F" w:rsidRPr="00A2303F" w:rsidRDefault="00A2303F" w:rsidP="00A2303F">
            <w:pPr>
              <w:spacing w:before="60" w:after="120" w:line="240" w:lineRule="auto"/>
              <w:ind w:right="40"/>
              <w:jc w:val="both"/>
              <w:rPr>
                <w:rFonts w:ascii="Century Gothic" w:hAnsi="Century Gothic" w:cs="Arial"/>
                <w:b/>
                <w:iCs/>
                <w:sz w:val="2"/>
                <w:szCs w:val="2"/>
                <w:lang w:val="es-ES" w:eastAsia="es-ES"/>
              </w:rPr>
            </w:pPr>
          </w:p>
          <w:p w14:paraId="7D256B91" w14:textId="77777777" w:rsidR="00A2303F" w:rsidRPr="00A2303F" w:rsidRDefault="00A2303F" w:rsidP="00A2303F">
            <w:pPr>
              <w:spacing w:before="60" w:after="120" w:line="240" w:lineRule="auto"/>
              <w:ind w:right="40"/>
              <w:jc w:val="both"/>
              <w:rPr>
                <w:rFonts w:ascii="Century Gothic" w:hAnsi="Century Gothic" w:cs="Arial"/>
                <w:b/>
                <w:iCs/>
                <w:sz w:val="2"/>
                <w:szCs w:val="2"/>
                <w:lang w:val="es-ES" w:eastAsia="es-ES"/>
              </w:rPr>
            </w:pPr>
          </w:p>
          <w:p w14:paraId="1F9CA50B" w14:textId="77777777" w:rsidR="00A2303F" w:rsidRPr="00A2303F" w:rsidRDefault="00A2303F" w:rsidP="00A2303F">
            <w:pPr>
              <w:spacing w:before="60" w:after="120" w:line="240" w:lineRule="auto"/>
              <w:ind w:right="40"/>
              <w:jc w:val="both"/>
              <w:rPr>
                <w:rFonts w:ascii="Century Gothic" w:hAnsi="Century Gothic" w:cs="Arial"/>
                <w:b/>
                <w:iCs/>
                <w:sz w:val="2"/>
                <w:szCs w:val="2"/>
                <w:lang w:val="es-ES" w:eastAsia="es-ES"/>
              </w:rPr>
            </w:pPr>
          </w:p>
          <w:p w14:paraId="57746B24" w14:textId="77777777" w:rsidR="00A2303F" w:rsidRPr="00A2303F" w:rsidRDefault="00A2303F" w:rsidP="00A2303F">
            <w:pPr>
              <w:spacing w:before="60" w:after="120" w:line="240" w:lineRule="auto"/>
              <w:ind w:right="40"/>
              <w:jc w:val="both"/>
              <w:rPr>
                <w:rFonts w:ascii="Century Gothic" w:hAnsi="Century Gothic" w:cs="Arial"/>
                <w:b/>
                <w:iCs/>
                <w:sz w:val="2"/>
                <w:szCs w:val="2"/>
                <w:lang w:val="es-ES" w:eastAsia="es-ES"/>
              </w:rPr>
            </w:pPr>
          </w:p>
          <w:p w14:paraId="283F1D3F" w14:textId="77777777" w:rsidR="00A2303F" w:rsidRPr="00A2303F" w:rsidRDefault="00A2303F" w:rsidP="00A2303F">
            <w:pPr>
              <w:spacing w:after="0" w:line="240" w:lineRule="auto"/>
              <w:jc w:val="center"/>
              <w:rPr>
                <w:rFonts w:ascii="Century Gothic" w:hAnsi="Century Gothic"/>
                <w:b/>
                <w:sz w:val="26"/>
                <w:szCs w:val="26"/>
                <w:lang w:val="es-ES" w:eastAsia="es-ES"/>
              </w:rPr>
            </w:pPr>
            <w:r w:rsidRPr="00A2303F">
              <w:rPr>
                <w:rFonts w:ascii="Century Gothic" w:hAnsi="Century Gothic" w:cs="Arial"/>
                <w:b/>
                <w:iCs/>
                <w:sz w:val="26"/>
                <w:szCs w:val="26"/>
                <w:lang w:val="es-ES" w:eastAsia="es-ES"/>
              </w:rPr>
              <w:t>DIP. PEDRO TORRES ESTRADA</w:t>
            </w:r>
          </w:p>
        </w:tc>
      </w:tr>
    </w:tbl>
    <w:p w14:paraId="1154D05F" w14:textId="77777777" w:rsidR="00A2303F" w:rsidRPr="00A2303F" w:rsidRDefault="00A2303F" w:rsidP="00A2303F">
      <w:pPr>
        <w:spacing w:after="0" w:line="240" w:lineRule="auto"/>
        <w:rPr>
          <w:rFonts w:ascii="Times New Roman" w:hAnsi="Times New Roman"/>
          <w:sz w:val="20"/>
          <w:szCs w:val="20"/>
          <w:lang w:val="es-ES" w:eastAsia="es-ES"/>
        </w:rPr>
      </w:pPr>
    </w:p>
    <w:p w14:paraId="7DCA975D" w14:textId="77777777" w:rsidR="00A2303F" w:rsidRPr="00A2303F" w:rsidRDefault="00A2303F" w:rsidP="00A2303F">
      <w:pPr>
        <w:spacing w:after="0" w:line="312" w:lineRule="auto"/>
        <w:ind w:right="18"/>
        <w:jc w:val="both"/>
        <w:rPr>
          <w:rFonts w:ascii="Century Gothic" w:hAnsi="Century Gothic"/>
          <w:sz w:val="24"/>
          <w:szCs w:val="24"/>
          <w:lang w:val="es-ES" w:eastAsia="es-ES"/>
        </w:rPr>
      </w:pPr>
    </w:p>
    <w:p w14:paraId="601DB63B" w14:textId="77777777" w:rsidR="00A2303F" w:rsidRPr="00A2303F" w:rsidRDefault="00A2303F" w:rsidP="00A2303F">
      <w:pPr>
        <w:spacing w:after="0" w:line="312" w:lineRule="auto"/>
        <w:ind w:right="18"/>
        <w:jc w:val="both"/>
        <w:rPr>
          <w:rFonts w:ascii="Century Gothic" w:hAnsi="Century Gothic"/>
          <w:sz w:val="24"/>
          <w:szCs w:val="24"/>
          <w:lang w:val="es-ES" w:eastAsia="es-ES"/>
        </w:rPr>
      </w:pPr>
    </w:p>
    <w:p w14:paraId="6EE4E18D" w14:textId="77777777" w:rsidR="00A2303F" w:rsidRPr="00A2303F" w:rsidRDefault="00A2303F" w:rsidP="00A2303F">
      <w:pPr>
        <w:spacing w:after="0" w:line="312" w:lineRule="auto"/>
        <w:ind w:right="18"/>
        <w:jc w:val="both"/>
        <w:rPr>
          <w:rFonts w:ascii="Century Gothic" w:hAnsi="Century Gothic"/>
          <w:sz w:val="24"/>
          <w:szCs w:val="24"/>
          <w:lang w:val="es-ES" w:eastAsia="es-ES"/>
        </w:rPr>
      </w:pPr>
    </w:p>
    <w:p w14:paraId="5DADE28B" w14:textId="7ABAF1CD" w:rsidR="00A2303F" w:rsidRDefault="00A2303F" w:rsidP="00A2303F">
      <w:pPr>
        <w:spacing w:after="0" w:line="312" w:lineRule="auto"/>
        <w:ind w:right="18"/>
        <w:jc w:val="both"/>
        <w:rPr>
          <w:rFonts w:ascii="Century Gothic" w:hAnsi="Century Gothic"/>
          <w:sz w:val="24"/>
          <w:szCs w:val="24"/>
          <w:lang w:val="es-ES" w:eastAsia="es-ES"/>
        </w:rPr>
      </w:pPr>
    </w:p>
    <w:p w14:paraId="70DB4E37" w14:textId="77777777" w:rsidR="00614C9E" w:rsidRPr="00A2303F" w:rsidRDefault="00614C9E" w:rsidP="00A2303F">
      <w:pPr>
        <w:spacing w:after="0" w:line="312" w:lineRule="auto"/>
        <w:ind w:right="18"/>
        <w:jc w:val="both"/>
        <w:rPr>
          <w:rFonts w:ascii="Century Gothic" w:hAnsi="Century Gothic"/>
          <w:sz w:val="24"/>
          <w:szCs w:val="24"/>
          <w:lang w:val="es-ES" w:eastAsia="es-ES"/>
        </w:rPr>
      </w:pPr>
    </w:p>
    <w:p w14:paraId="181B9398" w14:textId="77777777" w:rsidR="00A2303F" w:rsidRPr="009C5FBC" w:rsidRDefault="00A2303F" w:rsidP="001C2B61">
      <w:pPr>
        <w:spacing w:after="0" w:line="360" w:lineRule="auto"/>
        <w:jc w:val="both"/>
        <w:rPr>
          <w:rFonts w:ascii="Century Gothic" w:hAnsi="Century Gothic"/>
          <w:sz w:val="24"/>
          <w:szCs w:val="24"/>
        </w:rPr>
      </w:pPr>
    </w:p>
    <w:sectPr w:rsidR="00A2303F" w:rsidRPr="009C5FBC" w:rsidSect="007F21D8">
      <w:headerReference w:type="default" r:id="rId8"/>
      <w:footerReference w:type="default" r:id="rId9"/>
      <w:pgSz w:w="12240" w:h="15840" w:code="1"/>
      <w:pgMar w:top="4366" w:right="1701" w:bottom="1701" w:left="1701"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29327" w14:textId="77777777" w:rsidR="000B7A6F" w:rsidRDefault="000B7A6F" w:rsidP="006856B5">
      <w:pPr>
        <w:spacing w:after="0" w:line="240" w:lineRule="auto"/>
      </w:pPr>
      <w:r>
        <w:separator/>
      </w:r>
    </w:p>
  </w:endnote>
  <w:endnote w:type="continuationSeparator" w:id="0">
    <w:p w14:paraId="3551DE73" w14:textId="77777777" w:rsidR="000B7A6F" w:rsidRDefault="000B7A6F" w:rsidP="0068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604213"/>
      <w:docPartObj>
        <w:docPartGallery w:val="Page Numbers (Bottom of Page)"/>
        <w:docPartUnique/>
      </w:docPartObj>
    </w:sdtPr>
    <w:sdtEndPr>
      <w:rPr>
        <w:rFonts w:ascii="Times New Roman" w:hAnsi="Times New Roman"/>
        <w:sz w:val="18"/>
        <w:szCs w:val="18"/>
      </w:rPr>
    </w:sdtEndPr>
    <w:sdtContent>
      <w:p w14:paraId="5E77DED2" w14:textId="77777777" w:rsidR="006628B4" w:rsidRPr="00DF3973" w:rsidRDefault="006628B4" w:rsidP="006628B4">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107E1B87" w14:textId="77777777" w:rsidR="007317F9" w:rsidRPr="00DF3973" w:rsidRDefault="007317F9" w:rsidP="00BC0B26">
        <w:pPr>
          <w:pStyle w:val="Piedepgina"/>
          <w:tabs>
            <w:tab w:val="left" w:pos="4055"/>
            <w:tab w:val="center" w:pos="4477"/>
          </w:tabs>
          <w:jc w:val="center"/>
          <w:rPr>
            <w:rFonts w:ascii="Century Gothic" w:hAnsi="Century Gothic"/>
            <w:b/>
            <w:bCs/>
            <w:sz w:val="14"/>
            <w:szCs w:val="14"/>
          </w:rPr>
        </w:pPr>
      </w:p>
      <w:p w14:paraId="1C064F27" w14:textId="3A4D4CED" w:rsidR="009B38F3" w:rsidRDefault="00A2303F" w:rsidP="006628B4">
        <w:pPr>
          <w:pStyle w:val="Piedepgina"/>
          <w:jc w:val="center"/>
          <w:rPr>
            <w:rFonts w:ascii="Times New Roman" w:hAnsi="Times New Roman"/>
            <w:sz w:val="18"/>
            <w:szCs w:val="18"/>
          </w:rPr>
        </w:pPr>
        <w:r w:rsidRPr="007317F9">
          <w:rPr>
            <w:rFonts w:ascii="Times New Roman" w:hAnsi="Times New Roman"/>
            <w:sz w:val="18"/>
            <w:szCs w:val="18"/>
          </w:rPr>
          <w:fldChar w:fldCharType="begin"/>
        </w:r>
        <w:r w:rsidRPr="007317F9">
          <w:rPr>
            <w:rFonts w:ascii="Times New Roman" w:hAnsi="Times New Roman"/>
            <w:sz w:val="18"/>
            <w:szCs w:val="18"/>
          </w:rPr>
          <w:instrText>PAGE   \* MERGEFORMAT</w:instrText>
        </w:r>
        <w:r w:rsidRPr="007317F9">
          <w:rPr>
            <w:rFonts w:ascii="Times New Roman" w:hAnsi="Times New Roman"/>
            <w:sz w:val="18"/>
            <w:szCs w:val="18"/>
          </w:rPr>
          <w:fldChar w:fldCharType="separate"/>
        </w:r>
        <w:r w:rsidRPr="007317F9">
          <w:rPr>
            <w:rFonts w:ascii="Times New Roman" w:hAnsi="Times New Roman"/>
            <w:sz w:val="18"/>
            <w:szCs w:val="18"/>
            <w:lang w:val="es-ES"/>
          </w:rPr>
          <w:t>2</w:t>
        </w:r>
        <w:r w:rsidRPr="007317F9">
          <w:rPr>
            <w:rFonts w:ascii="Times New Roman" w:hAnsi="Times New Roman"/>
            <w:sz w:val="18"/>
            <w:szCs w:val="18"/>
          </w:rPr>
          <w:fldChar w:fldCharType="end"/>
        </w:r>
      </w:p>
    </w:sdtContent>
  </w:sdt>
  <w:p w14:paraId="428CEFBF" w14:textId="77777777" w:rsidR="006628B4" w:rsidRPr="007C0D2D" w:rsidRDefault="006628B4" w:rsidP="006628B4">
    <w:pPr>
      <w:pStyle w:val="Piedepgina"/>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872CE" w14:textId="77777777" w:rsidR="000B7A6F" w:rsidRDefault="000B7A6F" w:rsidP="006856B5">
      <w:pPr>
        <w:spacing w:after="0" w:line="240" w:lineRule="auto"/>
      </w:pPr>
      <w:r>
        <w:separator/>
      </w:r>
    </w:p>
  </w:footnote>
  <w:footnote w:type="continuationSeparator" w:id="0">
    <w:p w14:paraId="3CB696F8" w14:textId="77777777" w:rsidR="000B7A6F" w:rsidRDefault="000B7A6F" w:rsidP="0068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E022" w14:textId="5CB18F66" w:rsidR="009B38F3" w:rsidRDefault="009B38F3" w:rsidP="006F2600">
    <w:pPr>
      <w:pStyle w:val="Encabezado"/>
      <w:spacing w:line="276" w:lineRule="auto"/>
      <w:jc w:val="right"/>
      <w:rPr>
        <w:rFonts w:ascii="Century Gothic" w:hAnsi="Century Gothic"/>
        <w:b/>
        <w:sz w:val="32"/>
        <w:szCs w:val="40"/>
      </w:rPr>
    </w:pPr>
  </w:p>
  <w:p w14:paraId="7D944034" w14:textId="77777777" w:rsidR="001C2B61" w:rsidRPr="00076D61" w:rsidRDefault="001C2B61" w:rsidP="001C2B61">
    <w:pPr>
      <w:pStyle w:val="Encabezado"/>
      <w:jc w:val="right"/>
      <w:rPr>
        <w:rFonts w:ascii="Century Gothic" w:hAnsi="Century Gothic"/>
        <w:b/>
        <w:sz w:val="24"/>
        <w:szCs w:val="24"/>
      </w:rPr>
    </w:pPr>
    <w:r w:rsidRPr="00076D61">
      <w:rPr>
        <w:rFonts w:ascii="Century Gothic" w:hAnsi="Century Gothic"/>
        <w:b/>
        <w:sz w:val="24"/>
        <w:szCs w:val="24"/>
      </w:rPr>
      <w:t>DECRETO No.</w:t>
    </w:r>
  </w:p>
  <w:p w14:paraId="5F155B41" w14:textId="31AA0C2E" w:rsidR="009B38F3" w:rsidRDefault="001C2B61" w:rsidP="001C2B61">
    <w:pPr>
      <w:ind w:right="23"/>
      <w:jc w:val="right"/>
      <w:rPr>
        <w:rFonts w:ascii="Century Gothic" w:hAnsi="Century Gothic"/>
        <w:b/>
        <w:sz w:val="32"/>
        <w:szCs w:val="40"/>
      </w:rPr>
    </w:pPr>
    <w:r w:rsidRPr="00076D61">
      <w:rPr>
        <w:rFonts w:ascii="Century Gothic" w:hAnsi="Century Gothic"/>
        <w:b/>
        <w:sz w:val="24"/>
        <w:szCs w:val="24"/>
        <w:lang w:val="en-US"/>
      </w:rPr>
      <w:softHyphen/>
    </w:r>
    <w:r w:rsidRPr="00076D61">
      <w:rPr>
        <w:rFonts w:ascii="Century Gothic" w:hAnsi="Century Gothic"/>
        <w:b/>
        <w:sz w:val="24"/>
        <w:szCs w:val="24"/>
        <w:lang w:val="en-US"/>
      </w:rPr>
      <w:softHyphen/>
    </w:r>
    <w:r>
      <w:rPr>
        <w:rFonts w:ascii="Century Gothic" w:hAnsi="Century Gothic"/>
        <w:b/>
        <w:sz w:val="24"/>
        <w:szCs w:val="24"/>
        <w:lang w:val="en-US"/>
      </w:rPr>
      <w:softHyphen/>
    </w:r>
    <w:r>
      <w:rPr>
        <w:rFonts w:ascii="Century Gothic" w:hAnsi="Century Gothic"/>
        <w:b/>
        <w:sz w:val="24"/>
        <w:szCs w:val="24"/>
        <w:lang w:val="en-US"/>
      </w:rPr>
      <w:softHyphen/>
    </w:r>
    <w:r>
      <w:rPr>
        <w:rFonts w:ascii="Century Gothic" w:hAnsi="Century Gothic"/>
        <w:b/>
        <w:sz w:val="24"/>
        <w:szCs w:val="24"/>
        <w:lang w:val="en-US"/>
      </w:rPr>
      <w:softHyphen/>
    </w:r>
    <w:r>
      <w:rPr>
        <w:rFonts w:ascii="Century Gothic" w:hAnsi="Century Gothic"/>
        <w:b/>
        <w:sz w:val="24"/>
        <w:szCs w:val="24"/>
        <w:lang w:val="en-US"/>
      </w:rPr>
      <w:softHyphen/>
    </w:r>
    <w:r>
      <w:rPr>
        <w:rFonts w:ascii="Century Gothic" w:hAnsi="Century Gothic"/>
        <w:b/>
        <w:sz w:val="24"/>
        <w:szCs w:val="24"/>
        <w:lang w:val="en-US"/>
      </w:rPr>
      <w:softHyphen/>
    </w:r>
    <w:r>
      <w:rPr>
        <w:rFonts w:ascii="Century Gothic" w:hAnsi="Century Gothic"/>
        <w:b/>
        <w:sz w:val="24"/>
        <w:szCs w:val="24"/>
        <w:lang w:val="en-US"/>
      </w:rPr>
      <w:softHyphen/>
    </w:r>
    <w:r>
      <w:rPr>
        <w:rFonts w:ascii="Century Gothic" w:hAnsi="Century Gothic"/>
        <w:b/>
        <w:sz w:val="24"/>
        <w:szCs w:val="24"/>
        <w:lang w:val="en-US"/>
      </w:rPr>
      <w:softHyphen/>
    </w:r>
    <w:r>
      <w:rPr>
        <w:rFonts w:ascii="Century Gothic" w:hAnsi="Century Gothic"/>
        <w:b/>
        <w:sz w:val="24"/>
        <w:szCs w:val="24"/>
        <w:lang w:val="en-US"/>
      </w:rPr>
      <w:softHyphen/>
    </w:r>
    <w:r>
      <w:rPr>
        <w:rFonts w:ascii="Century Gothic" w:hAnsi="Century Gothic"/>
        <w:b/>
        <w:sz w:val="24"/>
        <w:szCs w:val="24"/>
        <w:lang w:val="en-US"/>
      </w:rPr>
      <w:softHyphen/>
    </w:r>
    <w:r>
      <w:rPr>
        <w:rFonts w:ascii="Century Gothic" w:hAnsi="Century Gothic"/>
        <w:b/>
        <w:sz w:val="24"/>
        <w:szCs w:val="24"/>
        <w:lang w:val="en-US"/>
      </w:rPr>
      <w:softHyphen/>
      <w:t>LXVIII/</w:t>
    </w:r>
    <w:proofErr w:type="spellStart"/>
    <w:r>
      <w:rPr>
        <w:rFonts w:ascii="Century Gothic" w:hAnsi="Century Gothic"/>
        <w:b/>
        <w:sz w:val="24"/>
        <w:szCs w:val="24"/>
        <w:lang w:val="en-US"/>
      </w:rPr>
      <w:t>AUOBF</w:t>
    </w:r>
    <w:proofErr w:type="spellEnd"/>
    <w:r>
      <w:rPr>
        <w:rFonts w:ascii="Century Gothic" w:hAnsi="Century Gothic"/>
        <w:b/>
        <w:sz w:val="24"/>
        <w:szCs w:val="24"/>
        <w:lang w:val="en-US"/>
      </w:rPr>
      <w:t>/0460/2025</w:t>
    </w:r>
    <w:r w:rsidRPr="00076D61">
      <w:rPr>
        <w:rFonts w:ascii="Century Gothic" w:hAnsi="Century Gothic"/>
        <w:b/>
        <w:sz w:val="24"/>
        <w:szCs w:val="24"/>
        <w:lang w:val="en-US"/>
      </w:rPr>
      <w:t xml:space="preserve">  </w:t>
    </w:r>
    <w:r>
      <w:rPr>
        <w:rFonts w:ascii="Century Gothic" w:hAnsi="Century Gothic"/>
        <w:b/>
        <w:sz w:val="24"/>
        <w:szCs w:val="24"/>
        <w:lang w:val="en-US"/>
      </w:rPr>
      <w:t>I</w:t>
    </w:r>
    <w:r w:rsidRPr="00076D61">
      <w:rPr>
        <w:rFonts w:ascii="Century Gothic" w:hAnsi="Century Gothic"/>
        <w:b/>
        <w:sz w:val="24"/>
        <w:szCs w:val="24"/>
        <w:lang w:val="en-US"/>
      </w:rPr>
      <w:t xml:space="preserve"> P.</w:t>
    </w:r>
    <w:r>
      <w:rPr>
        <w:rFonts w:ascii="Century Gothic" w:hAnsi="Century Gothic"/>
        <w:b/>
        <w:sz w:val="24"/>
        <w:szCs w:val="24"/>
        <w:lang w:val="en-US"/>
      </w:rPr>
      <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41"/>
    <w:multiLevelType w:val="hybridMultilevel"/>
    <w:tmpl w:val="D8DC09C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3E04A1"/>
    <w:multiLevelType w:val="hybridMultilevel"/>
    <w:tmpl w:val="04C08E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C20246"/>
    <w:multiLevelType w:val="hybridMultilevel"/>
    <w:tmpl w:val="59020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F210A2"/>
    <w:multiLevelType w:val="hybridMultilevel"/>
    <w:tmpl w:val="2690D1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4F3C27"/>
    <w:multiLevelType w:val="hybridMultilevel"/>
    <w:tmpl w:val="A61C2C2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E7A1DA8"/>
    <w:multiLevelType w:val="hybridMultilevel"/>
    <w:tmpl w:val="DA8CAB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E992FB2"/>
    <w:multiLevelType w:val="hybridMultilevel"/>
    <w:tmpl w:val="EF1ECFE6"/>
    <w:lvl w:ilvl="0" w:tplc="657CC206">
      <w:start w:val="1"/>
      <w:numFmt w:val="decimal"/>
      <w:lvlText w:val="%1."/>
      <w:lvlJc w:val="left"/>
      <w:pPr>
        <w:ind w:left="1065" w:hanging="705"/>
      </w:pPr>
      <w:rPr>
        <w:rFonts w:eastAsia="Calibri" w:cs="Times New Roman" w:hint="default"/>
        <w:color w:val="7030A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703A9B"/>
    <w:multiLevelType w:val="hybridMultilevel"/>
    <w:tmpl w:val="0E96D39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6B26CE3"/>
    <w:multiLevelType w:val="hybridMultilevel"/>
    <w:tmpl w:val="70F00D64"/>
    <w:lvl w:ilvl="0" w:tplc="43A213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F5E97"/>
    <w:multiLevelType w:val="hybridMultilevel"/>
    <w:tmpl w:val="D0888640"/>
    <w:lvl w:ilvl="0" w:tplc="FFFFFFFF">
      <w:start w:val="1"/>
      <w:numFmt w:val="lowerRoman"/>
      <w:lvlText w:val="(%1)"/>
      <w:lvlJc w:val="left"/>
      <w:pPr>
        <w:ind w:left="1287" w:hanging="720"/>
      </w:pPr>
      <w:rPr>
        <w:rFonts w:hint="default"/>
        <w:u w:val="no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DCD6F63"/>
    <w:multiLevelType w:val="hybridMultilevel"/>
    <w:tmpl w:val="F8043CEC"/>
    <w:lvl w:ilvl="0" w:tplc="954AC92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1E7A6CD0"/>
    <w:multiLevelType w:val="hybridMultilevel"/>
    <w:tmpl w:val="EFC4CD56"/>
    <w:lvl w:ilvl="0" w:tplc="1C7280F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73138F"/>
    <w:multiLevelType w:val="hybridMultilevel"/>
    <w:tmpl w:val="6D4438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7A06F1F"/>
    <w:multiLevelType w:val="hybridMultilevel"/>
    <w:tmpl w:val="70F00D6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182B32"/>
    <w:multiLevelType w:val="hybridMultilevel"/>
    <w:tmpl w:val="AA9E13C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E2F0E5E"/>
    <w:multiLevelType w:val="hybridMultilevel"/>
    <w:tmpl w:val="B674097A"/>
    <w:lvl w:ilvl="0" w:tplc="080A000B">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6" w15:restartNumberingAfterBreak="0">
    <w:nsid w:val="32227C16"/>
    <w:multiLevelType w:val="hybridMultilevel"/>
    <w:tmpl w:val="47A62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52300F"/>
    <w:multiLevelType w:val="hybridMultilevel"/>
    <w:tmpl w:val="84AE8B2C"/>
    <w:lvl w:ilvl="0" w:tplc="439064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71B444B"/>
    <w:multiLevelType w:val="hybridMultilevel"/>
    <w:tmpl w:val="572A7300"/>
    <w:lvl w:ilvl="0" w:tplc="0AE8CE5C">
      <w:start w:val="1"/>
      <w:numFmt w:val="low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9" w15:restartNumberingAfterBreak="0">
    <w:nsid w:val="40345369"/>
    <w:multiLevelType w:val="hybridMultilevel"/>
    <w:tmpl w:val="C226A14E"/>
    <w:lvl w:ilvl="0" w:tplc="15A81422">
      <w:start w:val="3"/>
      <w:numFmt w:val="bullet"/>
      <w:lvlText w:val="-"/>
      <w:lvlJc w:val="left"/>
      <w:pPr>
        <w:ind w:left="1080" w:hanging="360"/>
      </w:pPr>
      <w:rPr>
        <w:rFonts w:ascii="Century Gothic" w:eastAsia="Calibri" w:hAnsi="Century Gothic"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43265663"/>
    <w:multiLevelType w:val="hybridMultilevel"/>
    <w:tmpl w:val="2C3ED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B05EE9"/>
    <w:multiLevelType w:val="hybridMultilevel"/>
    <w:tmpl w:val="85E29ABC"/>
    <w:lvl w:ilvl="0" w:tplc="866AFAB4">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2" w15:restartNumberingAfterBreak="0">
    <w:nsid w:val="457F6C7E"/>
    <w:multiLevelType w:val="hybridMultilevel"/>
    <w:tmpl w:val="ECBC91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76834AA"/>
    <w:multiLevelType w:val="multilevel"/>
    <w:tmpl w:val="FDB467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8B32AE"/>
    <w:multiLevelType w:val="hybridMultilevel"/>
    <w:tmpl w:val="6D4438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C83080F"/>
    <w:multiLevelType w:val="hybridMultilevel"/>
    <w:tmpl w:val="D0888640"/>
    <w:lvl w:ilvl="0" w:tplc="EF229D32">
      <w:start w:val="1"/>
      <w:numFmt w:val="lowerRoman"/>
      <w:lvlText w:val="(%1)"/>
      <w:lvlJc w:val="left"/>
      <w:pPr>
        <w:ind w:left="1287" w:hanging="72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DE21A71"/>
    <w:multiLevelType w:val="hybridMultilevel"/>
    <w:tmpl w:val="F15E542A"/>
    <w:lvl w:ilvl="0" w:tplc="080A000B">
      <w:start w:val="1"/>
      <w:numFmt w:val="bullet"/>
      <w:lvlText w:val=""/>
      <w:lvlJc w:val="left"/>
      <w:pPr>
        <w:ind w:left="502"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FAB1A44"/>
    <w:multiLevelType w:val="hybridMultilevel"/>
    <w:tmpl w:val="C03C72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592E073B"/>
    <w:multiLevelType w:val="hybridMultilevel"/>
    <w:tmpl w:val="36DC07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0B97697"/>
    <w:multiLevelType w:val="hybridMultilevel"/>
    <w:tmpl w:val="566CC3E6"/>
    <w:lvl w:ilvl="0" w:tplc="D75C73D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0" w15:restartNumberingAfterBreak="0">
    <w:nsid w:val="709B42B6"/>
    <w:multiLevelType w:val="hybridMultilevel"/>
    <w:tmpl w:val="DB4CAC0E"/>
    <w:lvl w:ilvl="0" w:tplc="155A716C">
      <w:start w:val="1"/>
      <w:numFmt w:val="lowerRoman"/>
      <w:lvlText w:val="(%1)"/>
      <w:lvlJc w:val="left"/>
      <w:pPr>
        <w:ind w:left="1287" w:hanging="72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287660A"/>
    <w:multiLevelType w:val="hybridMultilevel"/>
    <w:tmpl w:val="FA54189E"/>
    <w:lvl w:ilvl="0" w:tplc="972E597A">
      <w:start w:val="2"/>
      <w:numFmt w:val="bullet"/>
      <w:lvlText w:val="-"/>
      <w:lvlJc w:val="left"/>
      <w:pPr>
        <w:ind w:left="927" w:hanging="360"/>
      </w:pPr>
      <w:rPr>
        <w:rFonts w:ascii="Century Gothic" w:eastAsia="Calibri" w:hAnsi="Century Gothic"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2" w15:restartNumberingAfterBreak="0">
    <w:nsid w:val="72F15E9D"/>
    <w:multiLevelType w:val="hybridMultilevel"/>
    <w:tmpl w:val="3DCE78FE"/>
    <w:lvl w:ilvl="0" w:tplc="954AC92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3" w15:restartNumberingAfterBreak="0">
    <w:nsid w:val="74F47544"/>
    <w:multiLevelType w:val="hybridMultilevel"/>
    <w:tmpl w:val="0BF28794"/>
    <w:lvl w:ilvl="0" w:tplc="B460603C">
      <w:start w:val="1"/>
      <w:numFmt w:val="decimal"/>
      <w:lvlText w:val="%1."/>
      <w:lvlJc w:val="left"/>
      <w:pPr>
        <w:ind w:left="1622" w:hanging="360"/>
      </w:pPr>
      <w:rPr>
        <w:rFonts w:ascii="Arial" w:eastAsia="Arial" w:hAnsi="Arial" w:cs="Arial" w:hint="default"/>
        <w:b/>
        <w:bCs/>
        <w:w w:val="100"/>
        <w:sz w:val="24"/>
        <w:szCs w:val="24"/>
        <w:lang w:val="es-ES" w:eastAsia="en-US" w:bidi="ar-SA"/>
      </w:rPr>
    </w:lvl>
    <w:lvl w:ilvl="1" w:tplc="798430EA">
      <w:start w:val="1"/>
      <w:numFmt w:val="lowerLetter"/>
      <w:lvlText w:val="%2."/>
      <w:lvlJc w:val="left"/>
      <w:pPr>
        <w:ind w:left="1622" w:hanging="360"/>
      </w:pPr>
      <w:rPr>
        <w:rFonts w:ascii="Arial MT" w:eastAsia="Arial MT" w:hAnsi="Arial MT" w:cs="Arial MT" w:hint="default"/>
        <w:w w:val="100"/>
        <w:sz w:val="24"/>
        <w:szCs w:val="24"/>
        <w:lang w:val="es-ES" w:eastAsia="en-US" w:bidi="ar-SA"/>
      </w:rPr>
    </w:lvl>
    <w:lvl w:ilvl="2" w:tplc="09985B5C">
      <w:numFmt w:val="bullet"/>
      <w:lvlText w:val="•"/>
      <w:lvlJc w:val="left"/>
      <w:pPr>
        <w:ind w:left="3548" w:hanging="360"/>
      </w:pPr>
      <w:rPr>
        <w:rFonts w:hint="default"/>
        <w:lang w:val="es-ES" w:eastAsia="en-US" w:bidi="ar-SA"/>
      </w:rPr>
    </w:lvl>
    <w:lvl w:ilvl="3" w:tplc="3DC87CF2">
      <w:numFmt w:val="bullet"/>
      <w:lvlText w:val="•"/>
      <w:lvlJc w:val="left"/>
      <w:pPr>
        <w:ind w:left="4512" w:hanging="360"/>
      </w:pPr>
      <w:rPr>
        <w:rFonts w:hint="default"/>
        <w:lang w:val="es-ES" w:eastAsia="en-US" w:bidi="ar-SA"/>
      </w:rPr>
    </w:lvl>
    <w:lvl w:ilvl="4" w:tplc="B478FBBA">
      <w:numFmt w:val="bullet"/>
      <w:lvlText w:val="•"/>
      <w:lvlJc w:val="left"/>
      <w:pPr>
        <w:ind w:left="5476" w:hanging="360"/>
      </w:pPr>
      <w:rPr>
        <w:rFonts w:hint="default"/>
        <w:lang w:val="es-ES" w:eastAsia="en-US" w:bidi="ar-SA"/>
      </w:rPr>
    </w:lvl>
    <w:lvl w:ilvl="5" w:tplc="C51EB71E">
      <w:numFmt w:val="bullet"/>
      <w:lvlText w:val="•"/>
      <w:lvlJc w:val="left"/>
      <w:pPr>
        <w:ind w:left="6440" w:hanging="360"/>
      </w:pPr>
      <w:rPr>
        <w:rFonts w:hint="default"/>
        <w:lang w:val="es-ES" w:eastAsia="en-US" w:bidi="ar-SA"/>
      </w:rPr>
    </w:lvl>
    <w:lvl w:ilvl="6" w:tplc="7188C738">
      <w:numFmt w:val="bullet"/>
      <w:lvlText w:val="•"/>
      <w:lvlJc w:val="left"/>
      <w:pPr>
        <w:ind w:left="7404" w:hanging="360"/>
      </w:pPr>
      <w:rPr>
        <w:rFonts w:hint="default"/>
        <w:lang w:val="es-ES" w:eastAsia="en-US" w:bidi="ar-SA"/>
      </w:rPr>
    </w:lvl>
    <w:lvl w:ilvl="7" w:tplc="23746BAE">
      <w:numFmt w:val="bullet"/>
      <w:lvlText w:val="•"/>
      <w:lvlJc w:val="left"/>
      <w:pPr>
        <w:ind w:left="8368" w:hanging="360"/>
      </w:pPr>
      <w:rPr>
        <w:rFonts w:hint="default"/>
        <w:lang w:val="es-ES" w:eastAsia="en-US" w:bidi="ar-SA"/>
      </w:rPr>
    </w:lvl>
    <w:lvl w:ilvl="8" w:tplc="7E7CBB72">
      <w:numFmt w:val="bullet"/>
      <w:lvlText w:val="•"/>
      <w:lvlJc w:val="left"/>
      <w:pPr>
        <w:ind w:left="9332" w:hanging="360"/>
      </w:pPr>
      <w:rPr>
        <w:rFonts w:hint="default"/>
        <w:lang w:val="es-ES" w:eastAsia="en-US" w:bidi="ar-SA"/>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2"/>
  </w:num>
  <w:num w:numId="10">
    <w:abstractNumId w:val="2"/>
  </w:num>
  <w:num w:numId="11">
    <w:abstractNumId w:val="10"/>
  </w:num>
  <w:num w:numId="12">
    <w:abstractNumId w:val="3"/>
  </w:num>
  <w:num w:numId="13">
    <w:abstractNumId w:val="21"/>
  </w:num>
  <w:num w:numId="14">
    <w:abstractNumId w:val="29"/>
  </w:num>
  <w:num w:numId="15">
    <w:abstractNumId w:val="7"/>
  </w:num>
  <w:num w:numId="16">
    <w:abstractNumId w:val="8"/>
  </w:num>
  <w:num w:numId="17">
    <w:abstractNumId w:val="13"/>
  </w:num>
  <w:num w:numId="18">
    <w:abstractNumId w:val="18"/>
  </w:num>
  <w:num w:numId="19">
    <w:abstractNumId w:val="30"/>
  </w:num>
  <w:num w:numId="20">
    <w:abstractNumId w:val="25"/>
  </w:num>
  <w:num w:numId="21">
    <w:abstractNumId w:val="9"/>
  </w:num>
  <w:num w:numId="22">
    <w:abstractNumId w:val="4"/>
  </w:num>
  <w:num w:numId="23">
    <w:abstractNumId w:val="31"/>
  </w:num>
  <w:num w:numId="24">
    <w:abstractNumId w:val="28"/>
  </w:num>
  <w:num w:numId="25">
    <w:abstractNumId w:val="33"/>
  </w:num>
  <w:num w:numId="26">
    <w:abstractNumId w:val="6"/>
  </w:num>
  <w:num w:numId="27">
    <w:abstractNumId w:val="27"/>
  </w:num>
  <w:num w:numId="28">
    <w:abstractNumId w:val="19"/>
  </w:num>
  <w:num w:numId="29">
    <w:abstractNumId w:val="16"/>
  </w:num>
  <w:num w:numId="30">
    <w:abstractNumId w:val="14"/>
  </w:num>
  <w:num w:numId="31">
    <w:abstractNumId w:val="15"/>
  </w:num>
  <w:num w:numId="32">
    <w:abstractNumId w:val="20"/>
  </w:num>
  <w:num w:numId="33">
    <w:abstractNumId w:val="26"/>
  </w:num>
  <w:num w:numId="3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6B5"/>
    <w:rsid w:val="00002E05"/>
    <w:rsid w:val="0000415F"/>
    <w:rsid w:val="00012E63"/>
    <w:rsid w:val="00013560"/>
    <w:rsid w:val="00016647"/>
    <w:rsid w:val="00016B1C"/>
    <w:rsid w:val="00020D1F"/>
    <w:rsid w:val="00021020"/>
    <w:rsid w:val="000235E7"/>
    <w:rsid w:val="00024D79"/>
    <w:rsid w:val="000267A1"/>
    <w:rsid w:val="00027181"/>
    <w:rsid w:val="0002761B"/>
    <w:rsid w:val="000300C0"/>
    <w:rsid w:val="0003334F"/>
    <w:rsid w:val="00034DEF"/>
    <w:rsid w:val="000361F8"/>
    <w:rsid w:val="0003676D"/>
    <w:rsid w:val="00036AE1"/>
    <w:rsid w:val="000407AD"/>
    <w:rsid w:val="00044FD8"/>
    <w:rsid w:val="00045857"/>
    <w:rsid w:val="00053C53"/>
    <w:rsid w:val="00054777"/>
    <w:rsid w:val="00055153"/>
    <w:rsid w:val="00055B13"/>
    <w:rsid w:val="0005625E"/>
    <w:rsid w:val="00061DAA"/>
    <w:rsid w:val="00063B85"/>
    <w:rsid w:val="00064A39"/>
    <w:rsid w:val="00070CC2"/>
    <w:rsid w:val="00071E18"/>
    <w:rsid w:val="0007219A"/>
    <w:rsid w:val="00073049"/>
    <w:rsid w:val="00074774"/>
    <w:rsid w:val="00075DEF"/>
    <w:rsid w:val="00082321"/>
    <w:rsid w:val="000829EA"/>
    <w:rsid w:val="00085342"/>
    <w:rsid w:val="0008746B"/>
    <w:rsid w:val="00090286"/>
    <w:rsid w:val="000933F9"/>
    <w:rsid w:val="00097EC7"/>
    <w:rsid w:val="000A03A1"/>
    <w:rsid w:val="000A0D5B"/>
    <w:rsid w:val="000A1E76"/>
    <w:rsid w:val="000A68A9"/>
    <w:rsid w:val="000B3DD0"/>
    <w:rsid w:val="000B7A6F"/>
    <w:rsid w:val="000C4749"/>
    <w:rsid w:val="000C61F2"/>
    <w:rsid w:val="000C6BC4"/>
    <w:rsid w:val="000C7183"/>
    <w:rsid w:val="000C7A93"/>
    <w:rsid w:val="000D5C5F"/>
    <w:rsid w:val="000E26D1"/>
    <w:rsid w:val="000E3F31"/>
    <w:rsid w:val="000E413D"/>
    <w:rsid w:val="000E437A"/>
    <w:rsid w:val="000E6320"/>
    <w:rsid w:val="000E71CD"/>
    <w:rsid w:val="000E773D"/>
    <w:rsid w:val="000F200E"/>
    <w:rsid w:val="000F2F10"/>
    <w:rsid w:val="000F43AA"/>
    <w:rsid w:val="000F6B9B"/>
    <w:rsid w:val="000F712E"/>
    <w:rsid w:val="00100614"/>
    <w:rsid w:val="00100ECD"/>
    <w:rsid w:val="00103D3F"/>
    <w:rsid w:val="00104180"/>
    <w:rsid w:val="00105528"/>
    <w:rsid w:val="00106AAA"/>
    <w:rsid w:val="001074F0"/>
    <w:rsid w:val="00111806"/>
    <w:rsid w:val="00113ECD"/>
    <w:rsid w:val="00117A79"/>
    <w:rsid w:val="00120147"/>
    <w:rsid w:val="001225DF"/>
    <w:rsid w:val="001266A2"/>
    <w:rsid w:val="00126B4A"/>
    <w:rsid w:val="00127878"/>
    <w:rsid w:val="0013165C"/>
    <w:rsid w:val="00132893"/>
    <w:rsid w:val="001370A0"/>
    <w:rsid w:val="00140930"/>
    <w:rsid w:val="00140D07"/>
    <w:rsid w:val="001457AA"/>
    <w:rsid w:val="001470CF"/>
    <w:rsid w:val="00150BFF"/>
    <w:rsid w:val="001527DB"/>
    <w:rsid w:val="00153AA6"/>
    <w:rsid w:val="0015661D"/>
    <w:rsid w:val="00156C0B"/>
    <w:rsid w:val="00160190"/>
    <w:rsid w:val="00160B24"/>
    <w:rsid w:val="00160FE6"/>
    <w:rsid w:val="0016350D"/>
    <w:rsid w:val="0016538D"/>
    <w:rsid w:val="00166C60"/>
    <w:rsid w:val="00171575"/>
    <w:rsid w:val="00171A72"/>
    <w:rsid w:val="0017375B"/>
    <w:rsid w:val="00175723"/>
    <w:rsid w:val="0018367C"/>
    <w:rsid w:val="00183EEB"/>
    <w:rsid w:val="00184A54"/>
    <w:rsid w:val="00187045"/>
    <w:rsid w:val="001875CD"/>
    <w:rsid w:val="00187E23"/>
    <w:rsid w:val="00191968"/>
    <w:rsid w:val="00192282"/>
    <w:rsid w:val="001938A6"/>
    <w:rsid w:val="00195784"/>
    <w:rsid w:val="00195A97"/>
    <w:rsid w:val="001A0994"/>
    <w:rsid w:val="001A0A30"/>
    <w:rsid w:val="001A1350"/>
    <w:rsid w:val="001A733C"/>
    <w:rsid w:val="001A733F"/>
    <w:rsid w:val="001A746A"/>
    <w:rsid w:val="001A74B5"/>
    <w:rsid w:val="001B0220"/>
    <w:rsid w:val="001B0E85"/>
    <w:rsid w:val="001B2345"/>
    <w:rsid w:val="001B31EB"/>
    <w:rsid w:val="001B3281"/>
    <w:rsid w:val="001C1FDC"/>
    <w:rsid w:val="001C2B61"/>
    <w:rsid w:val="001C4815"/>
    <w:rsid w:val="001C71DE"/>
    <w:rsid w:val="001D09ED"/>
    <w:rsid w:val="001D2CD5"/>
    <w:rsid w:val="001E0DD3"/>
    <w:rsid w:val="001E3BCB"/>
    <w:rsid w:val="001E725D"/>
    <w:rsid w:val="001F3C20"/>
    <w:rsid w:val="00200AAC"/>
    <w:rsid w:val="00202CD2"/>
    <w:rsid w:val="00202DBA"/>
    <w:rsid w:val="0020450B"/>
    <w:rsid w:val="00206AFB"/>
    <w:rsid w:val="002111E6"/>
    <w:rsid w:val="00217E19"/>
    <w:rsid w:val="00220A4A"/>
    <w:rsid w:val="00220DA5"/>
    <w:rsid w:val="00221EB1"/>
    <w:rsid w:val="00224DBB"/>
    <w:rsid w:val="00225C60"/>
    <w:rsid w:val="0023118E"/>
    <w:rsid w:val="00233189"/>
    <w:rsid w:val="00234240"/>
    <w:rsid w:val="00234487"/>
    <w:rsid w:val="002346CA"/>
    <w:rsid w:val="00234A2C"/>
    <w:rsid w:val="00234C3E"/>
    <w:rsid w:val="002376D6"/>
    <w:rsid w:val="0024104F"/>
    <w:rsid w:val="0024226A"/>
    <w:rsid w:val="00242D80"/>
    <w:rsid w:val="00244724"/>
    <w:rsid w:val="00250A9A"/>
    <w:rsid w:val="00250D6F"/>
    <w:rsid w:val="00253065"/>
    <w:rsid w:val="00253743"/>
    <w:rsid w:val="00253AD7"/>
    <w:rsid w:val="00254A54"/>
    <w:rsid w:val="002614B4"/>
    <w:rsid w:val="002626E8"/>
    <w:rsid w:val="0026445D"/>
    <w:rsid w:val="00265BDA"/>
    <w:rsid w:val="00266DD2"/>
    <w:rsid w:val="00267058"/>
    <w:rsid w:val="00267EFD"/>
    <w:rsid w:val="002710B1"/>
    <w:rsid w:val="002710E2"/>
    <w:rsid w:val="00271D11"/>
    <w:rsid w:val="002720C4"/>
    <w:rsid w:val="00272978"/>
    <w:rsid w:val="00272D92"/>
    <w:rsid w:val="00276D41"/>
    <w:rsid w:val="00282DC9"/>
    <w:rsid w:val="00284BB6"/>
    <w:rsid w:val="00286308"/>
    <w:rsid w:val="00290AAD"/>
    <w:rsid w:val="00290F96"/>
    <w:rsid w:val="00291711"/>
    <w:rsid w:val="002A0F93"/>
    <w:rsid w:val="002A1950"/>
    <w:rsid w:val="002A299F"/>
    <w:rsid w:val="002A4609"/>
    <w:rsid w:val="002B3EF9"/>
    <w:rsid w:val="002B41DD"/>
    <w:rsid w:val="002C0365"/>
    <w:rsid w:val="002C05AE"/>
    <w:rsid w:val="002C09E7"/>
    <w:rsid w:val="002C18D9"/>
    <w:rsid w:val="002C2FD8"/>
    <w:rsid w:val="002C42F1"/>
    <w:rsid w:val="002C4A92"/>
    <w:rsid w:val="002C6FFE"/>
    <w:rsid w:val="002C71F2"/>
    <w:rsid w:val="002C7345"/>
    <w:rsid w:val="002D05D2"/>
    <w:rsid w:val="002D0872"/>
    <w:rsid w:val="002D0BC1"/>
    <w:rsid w:val="002D1211"/>
    <w:rsid w:val="002D1565"/>
    <w:rsid w:val="002D2DEF"/>
    <w:rsid w:val="002D7093"/>
    <w:rsid w:val="002E122B"/>
    <w:rsid w:val="002E147A"/>
    <w:rsid w:val="002E3F0E"/>
    <w:rsid w:val="002E618D"/>
    <w:rsid w:val="002E6F9A"/>
    <w:rsid w:val="002E7B83"/>
    <w:rsid w:val="002E7B9C"/>
    <w:rsid w:val="002F1147"/>
    <w:rsid w:val="002F5C65"/>
    <w:rsid w:val="002F5D17"/>
    <w:rsid w:val="0030042C"/>
    <w:rsid w:val="00300935"/>
    <w:rsid w:val="003042CE"/>
    <w:rsid w:val="003062D4"/>
    <w:rsid w:val="003074DC"/>
    <w:rsid w:val="003079DE"/>
    <w:rsid w:val="0031008A"/>
    <w:rsid w:val="00310794"/>
    <w:rsid w:val="00310A8B"/>
    <w:rsid w:val="00315E05"/>
    <w:rsid w:val="003176CD"/>
    <w:rsid w:val="00317735"/>
    <w:rsid w:val="003223EE"/>
    <w:rsid w:val="003225D4"/>
    <w:rsid w:val="003266A4"/>
    <w:rsid w:val="00326C02"/>
    <w:rsid w:val="00327579"/>
    <w:rsid w:val="00330D4B"/>
    <w:rsid w:val="0033126B"/>
    <w:rsid w:val="003401E7"/>
    <w:rsid w:val="003422A7"/>
    <w:rsid w:val="003423E3"/>
    <w:rsid w:val="0034517E"/>
    <w:rsid w:val="00347021"/>
    <w:rsid w:val="00347670"/>
    <w:rsid w:val="00350123"/>
    <w:rsid w:val="00351049"/>
    <w:rsid w:val="003521DD"/>
    <w:rsid w:val="00353275"/>
    <w:rsid w:val="00354847"/>
    <w:rsid w:val="00355681"/>
    <w:rsid w:val="003615EC"/>
    <w:rsid w:val="00361F47"/>
    <w:rsid w:val="00362147"/>
    <w:rsid w:val="003678D4"/>
    <w:rsid w:val="00367B16"/>
    <w:rsid w:val="00367D95"/>
    <w:rsid w:val="00372A3B"/>
    <w:rsid w:val="00375F5E"/>
    <w:rsid w:val="00375FCD"/>
    <w:rsid w:val="00381630"/>
    <w:rsid w:val="0038283F"/>
    <w:rsid w:val="00382FC0"/>
    <w:rsid w:val="00383383"/>
    <w:rsid w:val="003860EC"/>
    <w:rsid w:val="00391F80"/>
    <w:rsid w:val="003935CD"/>
    <w:rsid w:val="00395ECC"/>
    <w:rsid w:val="00396406"/>
    <w:rsid w:val="003A1969"/>
    <w:rsid w:val="003A64B0"/>
    <w:rsid w:val="003A76EE"/>
    <w:rsid w:val="003A77A9"/>
    <w:rsid w:val="003B2686"/>
    <w:rsid w:val="003B2D09"/>
    <w:rsid w:val="003B31F2"/>
    <w:rsid w:val="003C05B6"/>
    <w:rsid w:val="003C2581"/>
    <w:rsid w:val="003D4556"/>
    <w:rsid w:val="003D5025"/>
    <w:rsid w:val="003E3438"/>
    <w:rsid w:val="003E45B3"/>
    <w:rsid w:val="003E4FAB"/>
    <w:rsid w:val="003E5925"/>
    <w:rsid w:val="003E7077"/>
    <w:rsid w:val="003F0F20"/>
    <w:rsid w:val="003F4059"/>
    <w:rsid w:val="003F68EA"/>
    <w:rsid w:val="00403993"/>
    <w:rsid w:val="00403B7F"/>
    <w:rsid w:val="00413071"/>
    <w:rsid w:val="0041434B"/>
    <w:rsid w:val="00414B59"/>
    <w:rsid w:val="00422615"/>
    <w:rsid w:val="0042342A"/>
    <w:rsid w:val="0042349B"/>
    <w:rsid w:val="00424442"/>
    <w:rsid w:val="00426810"/>
    <w:rsid w:val="0043115D"/>
    <w:rsid w:val="00431F4F"/>
    <w:rsid w:val="00433065"/>
    <w:rsid w:val="00437BE5"/>
    <w:rsid w:val="00437D3D"/>
    <w:rsid w:val="00442BE3"/>
    <w:rsid w:val="00444719"/>
    <w:rsid w:val="00445722"/>
    <w:rsid w:val="004470C1"/>
    <w:rsid w:val="00451389"/>
    <w:rsid w:val="00451971"/>
    <w:rsid w:val="00452F27"/>
    <w:rsid w:val="0045351A"/>
    <w:rsid w:val="004539B5"/>
    <w:rsid w:val="00454128"/>
    <w:rsid w:val="004549F4"/>
    <w:rsid w:val="00455B9A"/>
    <w:rsid w:val="00455BDD"/>
    <w:rsid w:val="00456DAE"/>
    <w:rsid w:val="00460A9E"/>
    <w:rsid w:val="00462050"/>
    <w:rsid w:val="00462A88"/>
    <w:rsid w:val="004633E4"/>
    <w:rsid w:val="00464332"/>
    <w:rsid w:val="004650B7"/>
    <w:rsid w:val="0046615C"/>
    <w:rsid w:val="0047148F"/>
    <w:rsid w:val="00471BB6"/>
    <w:rsid w:val="0047294B"/>
    <w:rsid w:val="00473E48"/>
    <w:rsid w:val="00473E77"/>
    <w:rsid w:val="00475945"/>
    <w:rsid w:val="004770FC"/>
    <w:rsid w:val="00482313"/>
    <w:rsid w:val="004835C9"/>
    <w:rsid w:val="00483782"/>
    <w:rsid w:val="00483BD7"/>
    <w:rsid w:val="00484DD8"/>
    <w:rsid w:val="00487644"/>
    <w:rsid w:val="00487766"/>
    <w:rsid w:val="00487A8B"/>
    <w:rsid w:val="00490B97"/>
    <w:rsid w:val="0049396E"/>
    <w:rsid w:val="0049416C"/>
    <w:rsid w:val="0049740E"/>
    <w:rsid w:val="004A0577"/>
    <w:rsid w:val="004A2182"/>
    <w:rsid w:val="004A5A38"/>
    <w:rsid w:val="004B3849"/>
    <w:rsid w:val="004B6D6A"/>
    <w:rsid w:val="004B7B92"/>
    <w:rsid w:val="004C3CC2"/>
    <w:rsid w:val="004C44B4"/>
    <w:rsid w:val="004C4B48"/>
    <w:rsid w:val="004D0717"/>
    <w:rsid w:val="004D1A95"/>
    <w:rsid w:val="004D2EA7"/>
    <w:rsid w:val="004D33FF"/>
    <w:rsid w:val="004D591F"/>
    <w:rsid w:val="004D5E18"/>
    <w:rsid w:val="004E1B6D"/>
    <w:rsid w:val="004E315D"/>
    <w:rsid w:val="004E36AB"/>
    <w:rsid w:val="004E5318"/>
    <w:rsid w:val="004F5493"/>
    <w:rsid w:val="004F5A5B"/>
    <w:rsid w:val="005044BE"/>
    <w:rsid w:val="00506E8F"/>
    <w:rsid w:val="00507A0D"/>
    <w:rsid w:val="0051020A"/>
    <w:rsid w:val="00514D89"/>
    <w:rsid w:val="00521618"/>
    <w:rsid w:val="00524C2B"/>
    <w:rsid w:val="00525677"/>
    <w:rsid w:val="005270B6"/>
    <w:rsid w:val="005275E8"/>
    <w:rsid w:val="00530E81"/>
    <w:rsid w:val="00531323"/>
    <w:rsid w:val="00532DCE"/>
    <w:rsid w:val="005401B6"/>
    <w:rsid w:val="00540E2B"/>
    <w:rsid w:val="00540EC9"/>
    <w:rsid w:val="00542B92"/>
    <w:rsid w:val="00546433"/>
    <w:rsid w:val="00547CB0"/>
    <w:rsid w:val="00552140"/>
    <w:rsid w:val="005545DC"/>
    <w:rsid w:val="0056180C"/>
    <w:rsid w:val="00561A65"/>
    <w:rsid w:val="00561DC2"/>
    <w:rsid w:val="005622C4"/>
    <w:rsid w:val="0056335E"/>
    <w:rsid w:val="00570233"/>
    <w:rsid w:val="00570AA9"/>
    <w:rsid w:val="00572EE4"/>
    <w:rsid w:val="005776A8"/>
    <w:rsid w:val="00580810"/>
    <w:rsid w:val="00582E3B"/>
    <w:rsid w:val="00584611"/>
    <w:rsid w:val="0058531E"/>
    <w:rsid w:val="0059114C"/>
    <w:rsid w:val="00597B53"/>
    <w:rsid w:val="005A0143"/>
    <w:rsid w:val="005A02F4"/>
    <w:rsid w:val="005A1970"/>
    <w:rsid w:val="005A2872"/>
    <w:rsid w:val="005A393D"/>
    <w:rsid w:val="005A6241"/>
    <w:rsid w:val="005A6290"/>
    <w:rsid w:val="005A75F0"/>
    <w:rsid w:val="005B18F8"/>
    <w:rsid w:val="005B2431"/>
    <w:rsid w:val="005B2620"/>
    <w:rsid w:val="005B530E"/>
    <w:rsid w:val="005C073C"/>
    <w:rsid w:val="005C0B72"/>
    <w:rsid w:val="005C42FD"/>
    <w:rsid w:val="005C5132"/>
    <w:rsid w:val="005C6DC3"/>
    <w:rsid w:val="005D1330"/>
    <w:rsid w:val="005E0966"/>
    <w:rsid w:val="005E36F2"/>
    <w:rsid w:val="005E67DA"/>
    <w:rsid w:val="005E6D05"/>
    <w:rsid w:val="005E76C3"/>
    <w:rsid w:val="005F1362"/>
    <w:rsid w:val="005F2A04"/>
    <w:rsid w:val="005F3880"/>
    <w:rsid w:val="005F3E1E"/>
    <w:rsid w:val="005F48D6"/>
    <w:rsid w:val="00601D62"/>
    <w:rsid w:val="006045D2"/>
    <w:rsid w:val="006047BD"/>
    <w:rsid w:val="00604F49"/>
    <w:rsid w:val="00610D6A"/>
    <w:rsid w:val="006122EA"/>
    <w:rsid w:val="00613B1C"/>
    <w:rsid w:val="00614C9E"/>
    <w:rsid w:val="006161AF"/>
    <w:rsid w:val="006166E8"/>
    <w:rsid w:val="00623502"/>
    <w:rsid w:val="00631408"/>
    <w:rsid w:val="00632E4C"/>
    <w:rsid w:val="00632E52"/>
    <w:rsid w:val="00634A70"/>
    <w:rsid w:val="00635316"/>
    <w:rsid w:val="00635691"/>
    <w:rsid w:val="00637855"/>
    <w:rsid w:val="006400B0"/>
    <w:rsid w:val="0064203A"/>
    <w:rsid w:val="006439F3"/>
    <w:rsid w:val="00643C22"/>
    <w:rsid w:val="00647F03"/>
    <w:rsid w:val="0065154C"/>
    <w:rsid w:val="00655B97"/>
    <w:rsid w:val="006578C4"/>
    <w:rsid w:val="00657AE8"/>
    <w:rsid w:val="00657D82"/>
    <w:rsid w:val="006603DD"/>
    <w:rsid w:val="00662342"/>
    <w:rsid w:val="006628B4"/>
    <w:rsid w:val="00665BD9"/>
    <w:rsid w:val="00666CBB"/>
    <w:rsid w:val="00671ADE"/>
    <w:rsid w:val="00676296"/>
    <w:rsid w:val="006779A7"/>
    <w:rsid w:val="00677BB6"/>
    <w:rsid w:val="00681CBA"/>
    <w:rsid w:val="0068386F"/>
    <w:rsid w:val="006856B5"/>
    <w:rsid w:val="006857F3"/>
    <w:rsid w:val="0068670D"/>
    <w:rsid w:val="00690A96"/>
    <w:rsid w:val="00692B9F"/>
    <w:rsid w:val="00693016"/>
    <w:rsid w:val="00693487"/>
    <w:rsid w:val="00695B8E"/>
    <w:rsid w:val="006A0E1B"/>
    <w:rsid w:val="006A2A06"/>
    <w:rsid w:val="006A3491"/>
    <w:rsid w:val="006A4BC3"/>
    <w:rsid w:val="006B173B"/>
    <w:rsid w:val="006B1A64"/>
    <w:rsid w:val="006B6B90"/>
    <w:rsid w:val="006B6C2B"/>
    <w:rsid w:val="006C0094"/>
    <w:rsid w:val="006C201D"/>
    <w:rsid w:val="006C22A7"/>
    <w:rsid w:val="006C44B3"/>
    <w:rsid w:val="006C5C87"/>
    <w:rsid w:val="006C6656"/>
    <w:rsid w:val="006D1910"/>
    <w:rsid w:val="006D7E15"/>
    <w:rsid w:val="006E658E"/>
    <w:rsid w:val="006E6D83"/>
    <w:rsid w:val="006F0D1C"/>
    <w:rsid w:val="006F2600"/>
    <w:rsid w:val="006F5730"/>
    <w:rsid w:val="006F5863"/>
    <w:rsid w:val="006F5D59"/>
    <w:rsid w:val="006F5DF3"/>
    <w:rsid w:val="006F6E09"/>
    <w:rsid w:val="006F7AB6"/>
    <w:rsid w:val="006F7EF2"/>
    <w:rsid w:val="00703034"/>
    <w:rsid w:val="0070581D"/>
    <w:rsid w:val="00705DD9"/>
    <w:rsid w:val="00706336"/>
    <w:rsid w:val="00710843"/>
    <w:rsid w:val="00710B16"/>
    <w:rsid w:val="0071194E"/>
    <w:rsid w:val="007125D0"/>
    <w:rsid w:val="00712FFD"/>
    <w:rsid w:val="0071475F"/>
    <w:rsid w:val="007168A1"/>
    <w:rsid w:val="00722903"/>
    <w:rsid w:val="0072389F"/>
    <w:rsid w:val="007245C6"/>
    <w:rsid w:val="00724F37"/>
    <w:rsid w:val="00726C9A"/>
    <w:rsid w:val="007271CB"/>
    <w:rsid w:val="00730189"/>
    <w:rsid w:val="007317F9"/>
    <w:rsid w:val="00734E44"/>
    <w:rsid w:val="007411A8"/>
    <w:rsid w:val="007413E3"/>
    <w:rsid w:val="00750D00"/>
    <w:rsid w:val="0075285B"/>
    <w:rsid w:val="007533A1"/>
    <w:rsid w:val="007543C6"/>
    <w:rsid w:val="00756F73"/>
    <w:rsid w:val="007571DB"/>
    <w:rsid w:val="00757741"/>
    <w:rsid w:val="0076686A"/>
    <w:rsid w:val="007676AE"/>
    <w:rsid w:val="00770857"/>
    <w:rsid w:val="00771E6A"/>
    <w:rsid w:val="00772CEE"/>
    <w:rsid w:val="00773DCA"/>
    <w:rsid w:val="0077499F"/>
    <w:rsid w:val="00774F24"/>
    <w:rsid w:val="00781382"/>
    <w:rsid w:val="00782A2F"/>
    <w:rsid w:val="00782BF3"/>
    <w:rsid w:val="00783CE0"/>
    <w:rsid w:val="0078617A"/>
    <w:rsid w:val="007871B5"/>
    <w:rsid w:val="00787FE7"/>
    <w:rsid w:val="00790207"/>
    <w:rsid w:val="007902B4"/>
    <w:rsid w:val="00792E68"/>
    <w:rsid w:val="00796821"/>
    <w:rsid w:val="00796D7D"/>
    <w:rsid w:val="007A1225"/>
    <w:rsid w:val="007A21FA"/>
    <w:rsid w:val="007A633B"/>
    <w:rsid w:val="007A7202"/>
    <w:rsid w:val="007A7E96"/>
    <w:rsid w:val="007B0E49"/>
    <w:rsid w:val="007B1BFA"/>
    <w:rsid w:val="007B4E57"/>
    <w:rsid w:val="007B5923"/>
    <w:rsid w:val="007C059C"/>
    <w:rsid w:val="007C06C9"/>
    <w:rsid w:val="007C0D2D"/>
    <w:rsid w:val="007C2269"/>
    <w:rsid w:val="007C3822"/>
    <w:rsid w:val="007C488C"/>
    <w:rsid w:val="007C6384"/>
    <w:rsid w:val="007C6E88"/>
    <w:rsid w:val="007C6F12"/>
    <w:rsid w:val="007D02AC"/>
    <w:rsid w:val="007D0833"/>
    <w:rsid w:val="007D0FB7"/>
    <w:rsid w:val="007D2838"/>
    <w:rsid w:val="007D2AC6"/>
    <w:rsid w:val="007D4726"/>
    <w:rsid w:val="007D48DC"/>
    <w:rsid w:val="007E0167"/>
    <w:rsid w:val="007E2CAE"/>
    <w:rsid w:val="007E35AE"/>
    <w:rsid w:val="007E5103"/>
    <w:rsid w:val="007E511E"/>
    <w:rsid w:val="007E62DE"/>
    <w:rsid w:val="007E6EB9"/>
    <w:rsid w:val="007E7FE1"/>
    <w:rsid w:val="007F21D8"/>
    <w:rsid w:val="007F4FF1"/>
    <w:rsid w:val="007F58B4"/>
    <w:rsid w:val="007F6D09"/>
    <w:rsid w:val="00800E89"/>
    <w:rsid w:val="0080412C"/>
    <w:rsid w:val="00804EC7"/>
    <w:rsid w:val="00805D61"/>
    <w:rsid w:val="008066A7"/>
    <w:rsid w:val="008067DA"/>
    <w:rsid w:val="00806B1C"/>
    <w:rsid w:val="00807E9A"/>
    <w:rsid w:val="00811049"/>
    <w:rsid w:val="0081676D"/>
    <w:rsid w:val="008209F7"/>
    <w:rsid w:val="008249D8"/>
    <w:rsid w:val="00824F97"/>
    <w:rsid w:val="00835A2B"/>
    <w:rsid w:val="008362B8"/>
    <w:rsid w:val="008402DF"/>
    <w:rsid w:val="0084250A"/>
    <w:rsid w:val="008433C2"/>
    <w:rsid w:val="0084745D"/>
    <w:rsid w:val="0085568C"/>
    <w:rsid w:val="00856F48"/>
    <w:rsid w:val="0086091A"/>
    <w:rsid w:val="0086251E"/>
    <w:rsid w:val="00863674"/>
    <w:rsid w:val="00866767"/>
    <w:rsid w:val="00870845"/>
    <w:rsid w:val="00871654"/>
    <w:rsid w:val="00871D62"/>
    <w:rsid w:val="00875C03"/>
    <w:rsid w:val="00875D3F"/>
    <w:rsid w:val="00876443"/>
    <w:rsid w:val="00876704"/>
    <w:rsid w:val="00876C4C"/>
    <w:rsid w:val="00877A78"/>
    <w:rsid w:val="008818C0"/>
    <w:rsid w:val="008832B9"/>
    <w:rsid w:val="00884D05"/>
    <w:rsid w:val="008917EA"/>
    <w:rsid w:val="008927D7"/>
    <w:rsid w:val="008928E6"/>
    <w:rsid w:val="008938B7"/>
    <w:rsid w:val="00894046"/>
    <w:rsid w:val="0089494F"/>
    <w:rsid w:val="00895178"/>
    <w:rsid w:val="008A21D8"/>
    <w:rsid w:val="008A32B3"/>
    <w:rsid w:val="008A485B"/>
    <w:rsid w:val="008A4B03"/>
    <w:rsid w:val="008A6159"/>
    <w:rsid w:val="008B1D11"/>
    <w:rsid w:val="008B46CD"/>
    <w:rsid w:val="008B4E55"/>
    <w:rsid w:val="008B637A"/>
    <w:rsid w:val="008C259D"/>
    <w:rsid w:val="008C3FA3"/>
    <w:rsid w:val="008C492B"/>
    <w:rsid w:val="008C58E7"/>
    <w:rsid w:val="008C74B8"/>
    <w:rsid w:val="008D14C0"/>
    <w:rsid w:val="008D277D"/>
    <w:rsid w:val="008D3E8F"/>
    <w:rsid w:val="008E06AF"/>
    <w:rsid w:val="008E0F88"/>
    <w:rsid w:val="008E5CEB"/>
    <w:rsid w:val="008E7D9C"/>
    <w:rsid w:val="008F12DC"/>
    <w:rsid w:val="008F4476"/>
    <w:rsid w:val="008F4938"/>
    <w:rsid w:val="008F697D"/>
    <w:rsid w:val="008F6B9F"/>
    <w:rsid w:val="008F7003"/>
    <w:rsid w:val="009021D2"/>
    <w:rsid w:val="0090463B"/>
    <w:rsid w:val="009052BD"/>
    <w:rsid w:val="00907CA2"/>
    <w:rsid w:val="00910494"/>
    <w:rsid w:val="00912E71"/>
    <w:rsid w:val="00913FE0"/>
    <w:rsid w:val="0091417A"/>
    <w:rsid w:val="009149ED"/>
    <w:rsid w:val="00914AD5"/>
    <w:rsid w:val="00914DCE"/>
    <w:rsid w:val="0091797E"/>
    <w:rsid w:val="00917EE2"/>
    <w:rsid w:val="0092422B"/>
    <w:rsid w:val="00927E59"/>
    <w:rsid w:val="00931218"/>
    <w:rsid w:val="0093274A"/>
    <w:rsid w:val="00933C04"/>
    <w:rsid w:val="00936E72"/>
    <w:rsid w:val="00953440"/>
    <w:rsid w:val="00957477"/>
    <w:rsid w:val="009625F9"/>
    <w:rsid w:val="00962CF6"/>
    <w:rsid w:val="0096567A"/>
    <w:rsid w:val="009657C8"/>
    <w:rsid w:val="00971295"/>
    <w:rsid w:val="009726BC"/>
    <w:rsid w:val="00974253"/>
    <w:rsid w:val="009817F1"/>
    <w:rsid w:val="0098580F"/>
    <w:rsid w:val="0099081A"/>
    <w:rsid w:val="009967DD"/>
    <w:rsid w:val="009A008D"/>
    <w:rsid w:val="009A7E93"/>
    <w:rsid w:val="009B1EDB"/>
    <w:rsid w:val="009B2770"/>
    <w:rsid w:val="009B305D"/>
    <w:rsid w:val="009B38F3"/>
    <w:rsid w:val="009B4412"/>
    <w:rsid w:val="009B7FD6"/>
    <w:rsid w:val="009C532C"/>
    <w:rsid w:val="009C5FBC"/>
    <w:rsid w:val="009D3CA1"/>
    <w:rsid w:val="009D53DF"/>
    <w:rsid w:val="009D74B6"/>
    <w:rsid w:val="009E0AE6"/>
    <w:rsid w:val="009E1D5D"/>
    <w:rsid w:val="009E2B70"/>
    <w:rsid w:val="009E32E7"/>
    <w:rsid w:val="009E7179"/>
    <w:rsid w:val="009F0E9C"/>
    <w:rsid w:val="009F4024"/>
    <w:rsid w:val="009F4648"/>
    <w:rsid w:val="009F5CAC"/>
    <w:rsid w:val="009F6F52"/>
    <w:rsid w:val="009F7C2C"/>
    <w:rsid w:val="00A01696"/>
    <w:rsid w:val="00A022B0"/>
    <w:rsid w:val="00A02E91"/>
    <w:rsid w:val="00A03C8E"/>
    <w:rsid w:val="00A0522A"/>
    <w:rsid w:val="00A0583F"/>
    <w:rsid w:val="00A059B1"/>
    <w:rsid w:val="00A06484"/>
    <w:rsid w:val="00A07716"/>
    <w:rsid w:val="00A1226B"/>
    <w:rsid w:val="00A123B5"/>
    <w:rsid w:val="00A12F75"/>
    <w:rsid w:val="00A16B0A"/>
    <w:rsid w:val="00A2223B"/>
    <w:rsid w:val="00A22FF8"/>
    <w:rsid w:val="00A2303F"/>
    <w:rsid w:val="00A2347D"/>
    <w:rsid w:val="00A24B70"/>
    <w:rsid w:val="00A25316"/>
    <w:rsid w:val="00A257DA"/>
    <w:rsid w:val="00A27705"/>
    <w:rsid w:val="00A3068F"/>
    <w:rsid w:val="00A30D7B"/>
    <w:rsid w:val="00A316DB"/>
    <w:rsid w:val="00A34E74"/>
    <w:rsid w:val="00A35479"/>
    <w:rsid w:val="00A427BA"/>
    <w:rsid w:val="00A4310B"/>
    <w:rsid w:val="00A47535"/>
    <w:rsid w:val="00A53B1B"/>
    <w:rsid w:val="00A53BEB"/>
    <w:rsid w:val="00A540E1"/>
    <w:rsid w:val="00A563A6"/>
    <w:rsid w:val="00A5664A"/>
    <w:rsid w:val="00A57D9E"/>
    <w:rsid w:val="00A618A8"/>
    <w:rsid w:val="00A61A8F"/>
    <w:rsid w:val="00A62891"/>
    <w:rsid w:val="00A64A06"/>
    <w:rsid w:val="00A654DE"/>
    <w:rsid w:val="00A70E55"/>
    <w:rsid w:val="00A71253"/>
    <w:rsid w:val="00A71C0E"/>
    <w:rsid w:val="00A71E77"/>
    <w:rsid w:val="00A7218A"/>
    <w:rsid w:val="00A73682"/>
    <w:rsid w:val="00A7378C"/>
    <w:rsid w:val="00A74C3E"/>
    <w:rsid w:val="00A76C79"/>
    <w:rsid w:val="00A804BE"/>
    <w:rsid w:val="00A809A0"/>
    <w:rsid w:val="00A81314"/>
    <w:rsid w:val="00A81684"/>
    <w:rsid w:val="00A82081"/>
    <w:rsid w:val="00A85F00"/>
    <w:rsid w:val="00A93093"/>
    <w:rsid w:val="00A942D2"/>
    <w:rsid w:val="00A94D1F"/>
    <w:rsid w:val="00A95A86"/>
    <w:rsid w:val="00A97D3A"/>
    <w:rsid w:val="00AA282D"/>
    <w:rsid w:val="00AA33A9"/>
    <w:rsid w:val="00AA41FA"/>
    <w:rsid w:val="00AB00BE"/>
    <w:rsid w:val="00AB35BE"/>
    <w:rsid w:val="00AB3BCC"/>
    <w:rsid w:val="00AB6163"/>
    <w:rsid w:val="00AC2C28"/>
    <w:rsid w:val="00AC4EC2"/>
    <w:rsid w:val="00AC5191"/>
    <w:rsid w:val="00AC7AFB"/>
    <w:rsid w:val="00AC7EBC"/>
    <w:rsid w:val="00AD6723"/>
    <w:rsid w:val="00AD72C5"/>
    <w:rsid w:val="00AE12B8"/>
    <w:rsid w:val="00AE16D4"/>
    <w:rsid w:val="00AE4365"/>
    <w:rsid w:val="00AE466D"/>
    <w:rsid w:val="00AE4F59"/>
    <w:rsid w:val="00AE5EFC"/>
    <w:rsid w:val="00AE6240"/>
    <w:rsid w:val="00AE708E"/>
    <w:rsid w:val="00AF25E4"/>
    <w:rsid w:val="00AF3A8E"/>
    <w:rsid w:val="00AF42D0"/>
    <w:rsid w:val="00AF42ED"/>
    <w:rsid w:val="00AF610E"/>
    <w:rsid w:val="00AF6D59"/>
    <w:rsid w:val="00AF7058"/>
    <w:rsid w:val="00B01009"/>
    <w:rsid w:val="00B01931"/>
    <w:rsid w:val="00B01BFD"/>
    <w:rsid w:val="00B0203F"/>
    <w:rsid w:val="00B11480"/>
    <w:rsid w:val="00B12224"/>
    <w:rsid w:val="00B133E0"/>
    <w:rsid w:val="00B13E1E"/>
    <w:rsid w:val="00B15782"/>
    <w:rsid w:val="00B170A6"/>
    <w:rsid w:val="00B20BFD"/>
    <w:rsid w:val="00B20D20"/>
    <w:rsid w:val="00B21B0C"/>
    <w:rsid w:val="00B23BD3"/>
    <w:rsid w:val="00B24299"/>
    <w:rsid w:val="00B2552D"/>
    <w:rsid w:val="00B25B14"/>
    <w:rsid w:val="00B335FB"/>
    <w:rsid w:val="00B36B93"/>
    <w:rsid w:val="00B43068"/>
    <w:rsid w:val="00B449DD"/>
    <w:rsid w:val="00B4645D"/>
    <w:rsid w:val="00B52161"/>
    <w:rsid w:val="00B52DD5"/>
    <w:rsid w:val="00B54879"/>
    <w:rsid w:val="00B55995"/>
    <w:rsid w:val="00B5685D"/>
    <w:rsid w:val="00B56B6C"/>
    <w:rsid w:val="00B610E1"/>
    <w:rsid w:val="00B618FE"/>
    <w:rsid w:val="00B61E38"/>
    <w:rsid w:val="00B6451F"/>
    <w:rsid w:val="00B72394"/>
    <w:rsid w:val="00B7277C"/>
    <w:rsid w:val="00B732B9"/>
    <w:rsid w:val="00B74BD8"/>
    <w:rsid w:val="00B75D07"/>
    <w:rsid w:val="00B80C6E"/>
    <w:rsid w:val="00B81733"/>
    <w:rsid w:val="00B825E1"/>
    <w:rsid w:val="00B85B61"/>
    <w:rsid w:val="00B85F12"/>
    <w:rsid w:val="00B90239"/>
    <w:rsid w:val="00B96A04"/>
    <w:rsid w:val="00BA189D"/>
    <w:rsid w:val="00BA47D2"/>
    <w:rsid w:val="00BA5178"/>
    <w:rsid w:val="00BB0F50"/>
    <w:rsid w:val="00BB3215"/>
    <w:rsid w:val="00BB7116"/>
    <w:rsid w:val="00BC0B26"/>
    <w:rsid w:val="00BC0C8E"/>
    <w:rsid w:val="00BC18FD"/>
    <w:rsid w:val="00BC2662"/>
    <w:rsid w:val="00BC2758"/>
    <w:rsid w:val="00BC7A62"/>
    <w:rsid w:val="00BD1072"/>
    <w:rsid w:val="00BD1E85"/>
    <w:rsid w:val="00BD5F1B"/>
    <w:rsid w:val="00BD7879"/>
    <w:rsid w:val="00BE1201"/>
    <w:rsid w:val="00BE2588"/>
    <w:rsid w:val="00BE34FA"/>
    <w:rsid w:val="00BE37C4"/>
    <w:rsid w:val="00BF15B0"/>
    <w:rsid w:val="00BF1E03"/>
    <w:rsid w:val="00BF2C2D"/>
    <w:rsid w:val="00BF467A"/>
    <w:rsid w:val="00BF4929"/>
    <w:rsid w:val="00BF52E2"/>
    <w:rsid w:val="00BF670B"/>
    <w:rsid w:val="00BF78D5"/>
    <w:rsid w:val="00BF7D4E"/>
    <w:rsid w:val="00C00DF3"/>
    <w:rsid w:val="00C016A4"/>
    <w:rsid w:val="00C06188"/>
    <w:rsid w:val="00C10AFC"/>
    <w:rsid w:val="00C10D69"/>
    <w:rsid w:val="00C1468E"/>
    <w:rsid w:val="00C159D9"/>
    <w:rsid w:val="00C2171A"/>
    <w:rsid w:val="00C25B34"/>
    <w:rsid w:val="00C26646"/>
    <w:rsid w:val="00C3220C"/>
    <w:rsid w:val="00C32D73"/>
    <w:rsid w:val="00C34098"/>
    <w:rsid w:val="00C3496D"/>
    <w:rsid w:val="00C3687D"/>
    <w:rsid w:val="00C412F4"/>
    <w:rsid w:val="00C44A6A"/>
    <w:rsid w:val="00C45E0D"/>
    <w:rsid w:val="00C47E8F"/>
    <w:rsid w:val="00C502D3"/>
    <w:rsid w:val="00C51AD0"/>
    <w:rsid w:val="00C66ADE"/>
    <w:rsid w:val="00C6727F"/>
    <w:rsid w:val="00C7025C"/>
    <w:rsid w:val="00C71498"/>
    <w:rsid w:val="00C72756"/>
    <w:rsid w:val="00C755EF"/>
    <w:rsid w:val="00C76433"/>
    <w:rsid w:val="00C76A98"/>
    <w:rsid w:val="00C80F8E"/>
    <w:rsid w:val="00C82BB0"/>
    <w:rsid w:val="00C831C2"/>
    <w:rsid w:val="00C84DEB"/>
    <w:rsid w:val="00C923C5"/>
    <w:rsid w:val="00C97DBB"/>
    <w:rsid w:val="00CA0C5F"/>
    <w:rsid w:val="00CA1861"/>
    <w:rsid w:val="00CA5247"/>
    <w:rsid w:val="00CA524B"/>
    <w:rsid w:val="00CA656D"/>
    <w:rsid w:val="00CB0E55"/>
    <w:rsid w:val="00CB2701"/>
    <w:rsid w:val="00CB2CCC"/>
    <w:rsid w:val="00CB4353"/>
    <w:rsid w:val="00CB5E50"/>
    <w:rsid w:val="00CB69D3"/>
    <w:rsid w:val="00CB7CAE"/>
    <w:rsid w:val="00CB7EAC"/>
    <w:rsid w:val="00CC2CA9"/>
    <w:rsid w:val="00CC2DA4"/>
    <w:rsid w:val="00CC3B8A"/>
    <w:rsid w:val="00CC4544"/>
    <w:rsid w:val="00CC5B52"/>
    <w:rsid w:val="00CC6651"/>
    <w:rsid w:val="00CD013F"/>
    <w:rsid w:val="00CD0414"/>
    <w:rsid w:val="00CD0905"/>
    <w:rsid w:val="00CD31D1"/>
    <w:rsid w:val="00CD31EB"/>
    <w:rsid w:val="00CD5D6F"/>
    <w:rsid w:val="00CE0C96"/>
    <w:rsid w:val="00CE5B35"/>
    <w:rsid w:val="00CE7118"/>
    <w:rsid w:val="00CF01E9"/>
    <w:rsid w:val="00CF1055"/>
    <w:rsid w:val="00CF30F0"/>
    <w:rsid w:val="00CF34AC"/>
    <w:rsid w:val="00CF5113"/>
    <w:rsid w:val="00D00F75"/>
    <w:rsid w:val="00D0403B"/>
    <w:rsid w:val="00D04262"/>
    <w:rsid w:val="00D104C0"/>
    <w:rsid w:val="00D136CE"/>
    <w:rsid w:val="00D151E9"/>
    <w:rsid w:val="00D24626"/>
    <w:rsid w:val="00D249DF"/>
    <w:rsid w:val="00D266C2"/>
    <w:rsid w:val="00D33877"/>
    <w:rsid w:val="00D34681"/>
    <w:rsid w:val="00D3472A"/>
    <w:rsid w:val="00D356AA"/>
    <w:rsid w:val="00D35DFC"/>
    <w:rsid w:val="00D368B1"/>
    <w:rsid w:val="00D377F7"/>
    <w:rsid w:val="00D40BB6"/>
    <w:rsid w:val="00D43C23"/>
    <w:rsid w:val="00D45406"/>
    <w:rsid w:val="00D4769B"/>
    <w:rsid w:val="00D507D8"/>
    <w:rsid w:val="00D535FE"/>
    <w:rsid w:val="00D615EE"/>
    <w:rsid w:val="00D66DB5"/>
    <w:rsid w:val="00D70065"/>
    <w:rsid w:val="00D701FF"/>
    <w:rsid w:val="00D713E8"/>
    <w:rsid w:val="00D716F1"/>
    <w:rsid w:val="00D71FFF"/>
    <w:rsid w:val="00D72FF1"/>
    <w:rsid w:val="00D72FFE"/>
    <w:rsid w:val="00D7372F"/>
    <w:rsid w:val="00D739BC"/>
    <w:rsid w:val="00D73F40"/>
    <w:rsid w:val="00D76CD6"/>
    <w:rsid w:val="00D81E88"/>
    <w:rsid w:val="00D83972"/>
    <w:rsid w:val="00D84659"/>
    <w:rsid w:val="00D84913"/>
    <w:rsid w:val="00D87EA9"/>
    <w:rsid w:val="00D902D2"/>
    <w:rsid w:val="00D911A2"/>
    <w:rsid w:val="00D93878"/>
    <w:rsid w:val="00D93E8E"/>
    <w:rsid w:val="00D93F4F"/>
    <w:rsid w:val="00D954B1"/>
    <w:rsid w:val="00D970EC"/>
    <w:rsid w:val="00DA0B98"/>
    <w:rsid w:val="00DA194B"/>
    <w:rsid w:val="00DA44A1"/>
    <w:rsid w:val="00DA68A1"/>
    <w:rsid w:val="00DA6F95"/>
    <w:rsid w:val="00DB20E4"/>
    <w:rsid w:val="00DB5AA7"/>
    <w:rsid w:val="00DC0A03"/>
    <w:rsid w:val="00DC1857"/>
    <w:rsid w:val="00DC2505"/>
    <w:rsid w:val="00DC448C"/>
    <w:rsid w:val="00DC50D0"/>
    <w:rsid w:val="00DC5CFF"/>
    <w:rsid w:val="00DD22C8"/>
    <w:rsid w:val="00DD312D"/>
    <w:rsid w:val="00DD6783"/>
    <w:rsid w:val="00DE00BB"/>
    <w:rsid w:val="00DE208F"/>
    <w:rsid w:val="00DE286A"/>
    <w:rsid w:val="00DE3100"/>
    <w:rsid w:val="00DE357F"/>
    <w:rsid w:val="00DE48B4"/>
    <w:rsid w:val="00DF0819"/>
    <w:rsid w:val="00DF08ED"/>
    <w:rsid w:val="00DF18F2"/>
    <w:rsid w:val="00DF64A5"/>
    <w:rsid w:val="00DF7371"/>
    <w:rsid w:val="00E0123D"/>
    <w:rsid w:val="00E02FB1"/>
    <w:rsid w:val="00E04B69"/>
    <w:rsid w:val="00E06C15"/>
    <w:rsid w:val="00E11559"/>
    <w:rsid w:val="00E1498B"/>
    <w:rsid w:val="00E15A84"/>
    <w:rsid w:val="00E20DFC"/>
    <w:rsid w:val="00E21FF0"/>
    <w:rsid w:val="00E234BB"/>
    <w:rsid w:val="00E25B3B"/>
    <w:rsid w:val="00E263CC"/>
    <w:rsid w:val="00E26D10"/>
    <w:rsid w:val="00E31BA5"/>
    <w:rsid w:val="00E35318"/>
    <w:rsid w:val="00E353DB"/>
    <w:rsid w:val="00E35628"/>
    <w:rsid w:val="00E35AC0"/>
    <w:rsid w:val="00E36F9C"/>
    <w:rsid w:val="00E40EDC"/>
    <w:rsid w:val="00E41DD5"/>
    <w:rsid w:val="00E420A8"/>
    <w:rsid w:val="00E43B94"/>
    <w:rsid w:val="00E556C0"/>
    <w:rsid w:val="00E55869"/>
    <w:rsid w:val="00E61E22"/>
    <w:rsid w:val="00E64FB6"/>
    <w:rsid w:val="00E65607"/>
    <w:rsid w:val="00E71B6A"/>
    <w:rsid w:val="00E727B8"/>
    <w:rsid w:val="00E74C29"/>
    <w:rsid w:val="00E83323"/>
    <w:rsid w:val="00E84F49"/>
    <w:rsid w:val="00E86394"/>
    <w:rsid w:val="00E868C9"/>
    <w:rsid w:val="00E91423"/>
    <w:rsid w:val="00E9218E"/>
    <w:rsid w:val="00E94604"/>
    <w:rsid w:val="00E9530F"/>
    <w:rsid w:val="00E9589B"/>
    <w:rsid w:val="00E960EB"/>
    <w:rsid w:val="00EA0D24"/>
    <w:rsid w:val="00EA126C"/>
    <w:rsid w:val="00EA3D06"/>
    <w:rsid w:val="00EA4CF9"/>
    <w:rsid w:val="00EA6CE4"/>
    <w:rsid w:val="00EB06E7"/>
    <w:rsid w:val="00EB0F7A"/>
    <w:rsid w:val="00EB398E"/>
    <w:rsid w:val="00EB65F0"/>
    <w:rsid w:val="00EB70DE"/>
    <w:rsid w:val="00ED3E17"/>
    <w:rsid w:val="00ED6A0A"/>
    <w:rsid w:val="00ED7039"/>
    <w:rsid w:val="00EE06FC"/>
    <w:rsid w:val="00EE1FFA"/>
    <w:rsid w:val="00EE3612"/>
    <w:rsid w:val="00EE39DD"/>
    <w:rsid w:val="00EE3A7C"/>
    <w:rsid w:val="00EE5BE7"/>
    <w:rsid w:val="00EE6626"/>
    <w:rsid w:val="00EE7A17"/>
    <w:rsid w:val="00EE7EF7"/>
    <w:rsid w:val="00EF31B0"/>
    <w:rsid w:val="00EF31EC"/>
    <w:rsid w:val="00EF4EE8"/>
    <w:rsid w:val="00EF66D8"/>
    <w:rsid w:val="00EF7530"/>
    <w:rsid w:val="00F04FBB"/>
    <w:rsid w:val="00F05368"/>
    <w:rsid w:val="00F065BA"/>
    <w:rsid w:val="00F10780"/>
    <w:rsid w:val="00F1539F"/>
    <w:rsid w:val="00F25ACE"/>
    <w:rsid w:val="00F31CC7"/>
    <w:rsid w:val="00F3324E"/>
    <w:rsid w:val="00F347F0"/>
    <w:rsid w:val="00F41226"/>
    <w:rsid w:val="00F4441A"/>
    <w:rsid w:val="00F44A8B"/>
    <w:rsid w:val="00F467E8"/>
    <w:rsid w:val="00F479C8"/>
    <w:rsid w:val="00F52F78"/>
    <w:rsid w:val="00F539BF"/>
    <w:rsid w:val="00F547EA"/>
    <w:rsid w:val="00F54E42"/>
    <w:rsid w:val="00F54EC0"/>
    <w:rsid w:val="00F55C20"/>
    <w:rsid w:val="00F57791"/>
    <w:rsid w:val="00F60637"/>
    <w:rsid w:val="00F61860"/>
    <w:rsid w:val="00F63B61"/>
    <w:rsid w:val="00F64013"/>
    <w:rsid w:val="00F64FED"/>
    <w:rsid w:val="00F658C2"/>
    <w:rsid w:val="00F65E1C"/>
    <w:rsid w:val="00F66975"/>
    <w:rsid w:val="00F731D6"/>
    <w:rsid w:val="00F746E5"/>
    <w:rsid w:val="00F75443"/>
    <w:rsid w:val="00F8514F"/>
    <w:rsid w:val="00F85601"/>
    <w:rsid w:val="00F85C3F"/>
    <w:rsid w:val="00F86236"/>
    <w:rsid w:val="00F866F4"/>
    <w:rsid w:val="00F86BE2"/>
    <w:rsid w:val="00F87C85"/>
    <w:rsid w:val="00F9055D"/>
    <w:rsid w:val="00F90D78"/>
    <w:rsid w:val="00F946D0"/>
    <w:rsid w:val="00F94C8D"/>
    <w:rsid w:val="00F974A4"/>
    <w:rsid w:val="00FA1D3F"/>
    <w:rsid w:val="00FA52A1"/>
    <w:rsid w:val="00FB0D11"/>
    <w:rsid w:val="00FB5F83"/>
    <w:rsid w:val="00FB7217"/>
    <w:rsid w:val="00FC0420"/>
    <w:rsid w:val="00FC08F2"/>
    <w:rsid w:val="00FC37A1"/>
    <w:rsid w:val="00FD0313"/>
    <w:rsid w:val="00FD0945"/>
    <w:rsid w:val="00FD09C7"/>
    <w:rsid w:val="00FD1E02"/>
    <w:rsid w:val="00FD4DF0"/>
    <w:rsid w:val="00FD5FFF"/>
    <w:rsid w:val="00FD61DF"/>
    <w:rsid w:val="00FD6865"/>
    <w:rsid w:val="00FE0DAA"/>
    <w:rsid w:val="00FE0ECB"/>
    <w:rsid w:val="00FE3095"/>
    <w:rsid w:val="00FF278F"/>
    <w:rsid w:val="00FF477C"/>
    <w:rsid w:val="00FF5821"/>
    <w:rsid w:val="00FF6735"/>
    <w:rsid w:val="00FF6DC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AE7D3"/>
  <w15:docId w15:val="{8D4B1675-D886-4E53-ADB6-283E48DD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630"/>
    <w:pPr>
      <w:spacing w:after="200" w:line="276" w:lineRule="auto"/>
    </w:pPr>
    <w:rPr>
      <w:sz w:val="22"/>
      <w:szCs w:val="22"/>
    </w:rPr>
  </w:style>
  <w:style w:type="paragraph" w:styleId="Ttulo1">
    <w:name w:val="heading 1"/>
    <w:basedOn w:val="Normal"/>
    <w:next w:val="Normal"/>
    <w:link w:val="Ttulo1Car"/>
    <w:rsid w:val="00610D6A"/>
    <w:pPr>
      <w:keepNext/>
      <w:keepLines/>
      <w:spacing w:before="480" w:after="120" w:line="240" w:lineRule="auto"/>
      <w:outlineLvl w:val="0"/>
    </w:pPr>
    <w:rPr>
      <w:rFonts w:ascii="Times New Roman" w:hAnsi="Times New Roman"/>
      <w:b/>
      <w:sz w:val="48"/>
      <w:szCs w:val="48"/>
      <w:lang w:val="es-ES" w:eastAsia="es-ES"/>
    </w:rPr>
  </w:style>
  <w:style w:type="paragraph" w:styleId="Ttulo2">
    <w:name w:val="heading 2"/>
    <w:basedOn w:val="Normal"/>
    <w:next w:val="Normal"/>
    <w:link w:val="Ttulo2Car"/>
    <w:rsid w:val="00610D6A"/>
    <w:pPr>
      <w:keepNext/>
      <w:keepLines/>
      <w:spacing w:before="360" w:after="80" w:line="240" w:lineRule="auto"/>
      <w:outlineLvl w:val="1"/>
    </w:pPr>
    <w:rPr>
      <w:rFonts w:ascii="Times New Roman" w:hAnsi="Times New Roman"/>
      <w:b/>
      <w:sz w:val="36"/>
      <w:szCs w:val="36"/>
      <w:lang w:val="es-ES" w:eastAsia="es-ES"/>
    </w:rPr>
  </w:style>
  <w:style w:type="paragraph" w:styleId="Ttulo3">
    <w:name w:val="heading 3"/>
    <w:basedOn w:val="Normal"/>
    <w:next w:val="Normal"/>
    <w:link w:val="Ttulo3Car"/>
    <w:semiHidden/>
    <w:unhideWhenUsed/>
    <w:qFormat/>
    <w:rsid w:val="00610D6A"/>
    <w:pPr>
      <w:keepNext/>
      <w:spacing w:before="240" w:after="60" w:line="240" w:lineRule="auto"/>
      <w:outlineLvl w:val="2"/>
    </w:pPr>
    <w:rPr>
      <w:rFonts w:ascii="Calibri Light" w:hAnsi="Calibri Light"/>
      <w:b/>
      <w:bCs/>
      <w:sz w:val="26"/>
      <w:szCs w:val="26"/>
      <w:lang w:val="es-ES" w:eastAsia="es-ES"/>
    </w:rPr>
  </w:style>
  <w:style w:type="paragraph" w:styleId="Ttulo4">
    <w:name w:val="heading 4"/>
    <w:basedOn w:val="Normal"/>
    <w:next w:val="Normal"/>
    <w:link w:val="Ttulo4Car"/>
    <w:rsid w:val="00610D6A"/>
    <w:pPr>
      <w:keepNext/>
      <w:keepLines/>
      <w:spacing w:before="240" w:after="40" w:line="240" w:lineRule="auto"/>
      <w:outlineLvl w:val="3"/>
    </w:pPr>
    <w:rPr>
      <w:rFonts w:ascii="Times New Roman" w:hAnsi="Times New Roman"/>
      <w:b/>
      <w:sz w:val="24"/>
      <w:szCs w:val="24"/>
      <w:lang w:val="es-ES" w:eastAsia="es-ES"/>
    </w:rPr>
  </w:style>
  <w:style w:type="paragraph" w:styleId="Ttulo5">
    <w:name w:val="heading 5"/>
    <w:basedOn w:val="Normal"/>
    <w:next w:val="Normal"/>
    <w:link w:val="Ttulo5Car"/>
    <w:rsid w:val="00610D6A"/>
    <w:pPr>
      <w:keepNext/>
      <w:keepLines/>
      <w:spacing w:before="220" w:after="40" w:line="240" w:lineRule="auto"/>
      <w:outlineLvl w:val="4"/>
    </w:pPr>
    <w:rPr>
      <w:rFonts w:ascii="Times New Roman" w:hAnsi="Times New Roman"/>
      <w:b/>
      <w:lang w:val="es-ES" w:eastAsia="es-ES"/>
    </w:rPr>
  </w:style>
  <w:style w:type="paragraph" w:styleId="Ttulo6">
    <w:name w:val="heading 6"/>
    <w:basedOn w:val="Normal"/>
    <w:next w:val="Normal"/>
    <w:link w:val="Ttulo6Car"/>
    <w:rsid w:val="00610D6A"/>
    <w:pPr>
      <w:keepNext/>
      <w:keepLines/>
      <w:spacing w:before="200" w:after="40" w:line="240" w:lineRule="auto"/>
      <w:outlineLvl w:val="5"/>
    </w:pPr>
    <w:rPr>
      <w:rFonts w:ascii="Times New Roman" w:hAnsi="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856B5"/>
    <w:rPr>
      <w:rFonts w:ascii="Times New Roman" w:hAnsi="Times New Roman"/>
      <w:color w:val="000000"/>
      <w:sz w:val="24"/>
      <w:lang w:val="es-ES" w:eastAsia="es-ES"/>
    </w:rPr>
  </w:style>
  <w:style w:type="character" w:customStyle="1" w:styleId="Estilo2">
    <w:name w:val="Estilo2"/>
    <w:uiPriority w:val="1"/>
    <w:rsid w:val="006856B5"/>
    <w:rPr>
      <w:rFonts w:ascii="Arial" w:hAnsi="Arial" w:cs="Arial" w:hint="default"/>
      <w:b/>
      <w:bCs w:val="0"/>
      <w:caps/>
      <w:sz w:val="24"/>
    </w:rPr>
  </w:style>
  <w:style w:type="character" w:customStyle="1" w:styleId="NOMBRES">
    <w:name w:val="NOMBRES"/>
    <w:uiPriority w:val="1"/>
    <w:rsid w:val="006856B5"/>
    <w:rPr>
      <w:rFonts w:ascii="Arial" w:hAnsi="Arial" w:cs="Arial" w:hint="default"/>
      <w:b/>
      <w:bCs w:val="0"/>
      <w:sz w:val="24"/>
    </w:rPr>
  </w:style>
  <w:style w:type="paragraph" w:styleId="Encabezado">
    <w:name w:val="header"/>
    <w:basedOn w:val="Normal"/>
    <w:link w:val="EncabezadoCar"/>
    <w:uiPriority w:val="99"/>
    <w:unhideWhenUsed/>
    <w:rsid w:val="006856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56B5"/>
  </w:style>
  <w:style w:type="paragraph" w:styleId="Piedepgina">
    <w:name w:val="footer"/>
    <w:basedOn w:val="Normal"/>
    <w:link w:val="PiedepginaCar"/>
    <w:uiPriority w:val="99"/>
    <w:unhideWhenUsed/>
    <w:rsid w:val="006856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56B5"/>
  </w:style>
  <w:style w:type="paragraph" w:styleId="Prrafodelista">
    <w:name w:val="List Paragraph"/>
    <w:basedOn w:val="Normal"/>
    <w:link w:val="PrrafodelistaCar"/>
    <w:uiPriority w:val="34"/>
    <w:qFormat/>
    <w:rsid w:val="006856B5"/>
    <w:pPr>
      <w:ind w:left="720"/>
      <w:contextualSpacing/>
    </w:pPr>
    <w:rPr>
      <w:rFonts w:eastAsia="Calibri"/>
      <w:lang w:eastAsia="en-US"/>
    </w:rPr>
  </w:style>
  <w:style w:type="paragraph" w:styleId="Textoindependiente">
    <w:name w:val="Body Text"/>
    <w:basedOn w:val="Normal"/>
    <w:link w:val="TextoindependienteCar"/>
    <w:uiPriority w:val="1"/>
    <w:qFormat/>
    <w:rsid w:val="005044BE"/>
    <w:pPr>
      <w:spacing w:after="0" w:line="240" w:lineRule="auto"/>
      <w:jc w:val="both"/>
    </w:pPr>
    <w:rPr>
      <w:rFonts w:ascii="Book Antiqua" w:hAnsi="Book Antiqua"/>
      <w:sz w:val="24"/>
      <w:szCs w:val="24"/>
      <w:lang w:val="es-ES" w:eastAsia="es-ES"/>
    </w:rPr>
  </w:style>
  <w:style w:type="character" w:customStyle="1" w:styleId="TextoindependienteCar">
    <w:name w:val="Texto independiente Car"/>
    <w:link w:val="Textoindependiente"/>
    <w:uiPriority w:val="1"/>
    <w:rsid w:val="005044BE"/>
    <w:rPr>
      <w:rFonts w:ascii="Book Antiqua" w:eastAsia="Times New Roman" w:hAnsi="Book Antiqua" w:cs="Times New Roman"/>
      <w:sz w:val="24"/>
      <w:szCs w:val="24"/>
      <w:lang w:val="es-ES" w:eastAsia="es-ES"/>
    </w:rPr>
  </w:style>
  <w:style w:type="paragraph" w:styleId="Textonotapie">
    <w:name w:val="footnote text"/>
    <w:basedOn w:val="Normal"/>
    <w:link w:val="TextonotapieCar"/>
    <w:uiPriority w:val="99"/>
    <w:semiHidden/>
    <w:unhideWhenUsed/>
    <w:rsid w:val="005622C4"/>
    <w:pPr>
      <w:spacing w:after="0" w:line="240" w:lineRule="auto"/>
    </w:pPr>
    <w:rPr>
      <w:sz w:val="20"/>
      <w:szCs w:val="20"/>
    </w:rPr>
  </w:style>
  <w:style w:type="character" w:customStyle="1" w:styleId="TextonotapieCar">
    <w:name w:val="Texto nota pie Car"/>
    <w:link w:val="Textonotapie"/>
    <w:uiPriority w:val="99"/>
    <w:semiHidden/>
    <w:rsid w:val="005622C4"/>
    <w:rPr>
      <w:sz w:val="20"/>
      <w:szCs w:val="20"/>
    </w:rPr>
  </w:style>
  <w:style w:type="character" w:styleId="Refdenotaalpie">
    <w:name w:val="footnote reference"/>
    <w:uiPriority w:val="99"/>
    <w:semiHidden/>
    <w:unhideWhenUsed/>
    <w:rsid w:val="005622C4"/>
    <w:rPr>
      <w:vertAlign w:val="superscript"/>
    </w:rPr>
  </w:style>
  <w:style w:type="paragraph" w:customStyle="1" w:styleId="Texto">
    <w:name w:val="Texto"/>
    <w:basedOn w:val="Normal"/>
    <w:link w:val="TextoCar"/>
    <w:rsid w:val="002C4A92"/>
    <w:pPr>
      <w:spacing w:after="101" w:line="216" w:lineRule="exact"/>
      <w:ind w:firstLine="288"/>
      <w:jc w:val="both"/>
    </w:pPr>
    <w:rPr>
      <w:rFonts w:ascii="Arial" w:hAnsi="Arial"/>
      <w:sz w:val="18"/>
      <w:szCs w:val="20"/>
      <w:lang w:val="es-ES" w:eastAsia="es-ES"/>
    </w:rPr>
  </w:style>
  <w:style w:type="character" w:customStyle="1" w:styleId="TextoCar">
    <w:name w:val="Texto Car"/>
    <w:link w:val="Texto"/>
    <w:locked/>
    <w:rsid w:val="002C4A92"/>
    <w:rPr>
      <w:rFonts w:ascii="Arial" w:eastAsia="Times New Roman" w:hAnsi="Arial" w:cs="Times New Roman"/>
      <w:sz w:val="18"/>
      <w:szCs w:val="20"/>
      <w:lang w:val="es-ES" w:eastAsia="es-ES"/>
    </w:rPr>
  </w:style>
  <w:style w:type="character" w:styleId="Hipervnculo">
    <w:name w:val="Hyperlink"/>
    <w:uiPriority w:val="99"/>
    <w:unhideWhenUsed/>
    <w:rsid w:val="00013560"/>
    <w:rPr>
      <w:color w:val="0000FF"/>
      <w:u w:val="single"/>
    </w:rPr>
  </w:style>
  <w:style w:type="paragraph" w:customStyle="1" w:styleId="Normal2">
    <w:name w:val="Normal2"/>
    <w:rsid w:val="00070CC2"/>
    <w:rPr>
      <w:rFonts w:ascii="Times New Roman" w:hAnsi="Times New Roman"/>
      <w:color w:val="000000"/>
      <w:sz w:val="24"/>
      <w:lang w:val="es-ES" w:eastAsia="es-ES"/>
    </w:rPr>
  </w:style>
  <w:style w:type="paragraph" w:styleId="Textodeglobo">
    <w:name w:val="Balloon Text"/>
    <w:basedOn w:val="Normal"/>
    <w:link w:val="TextodegloboCar"/>
    <w:uiPriority w:val="99"/>
    <w:semiHidden/>
    <w:unhideWhenUsed/>
    <w:rsid w:val="00070CC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070CC2"/>
    <w:rPr>
      <w:rFonts w:ascii="Tahoma" w:hAnsi="Tahoma" w:cs="Tahoma"/>
      <w:sz w:val="16"/>
      <w:szCs w:val="16"/>
    </w:rPr>
  </w:style>
  <w:style w:type="table" w:styleId="Tablaconcuadrcula">
    <w:name w:val="Table Grid"/>
    <w:basedOn w:val="Tablanormal"/>
    <w:uiPriority w:val="39"/>
    <w:rsid w:val="00623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451389"/>
    <w:rPr>
      <w:color w:val="605E5C"/>
      <w:shd w:val="clear" w:color="auto" w:fill="E1DFDD"/>
    </w:rPr>
  </w:style>
  <w:style w:type="character" w:customStyle="1" w:styleId="Ttulo1Car">
    <w:name w:val="Título 1 Car"/>
    <w:link w:val="Ttulo1"/>
    <w:rsid w:val="00610D6A"/>
    <w:rPr>
      <w:rFonts w:ascii="Times New Roman" w:hAnsi="Times New Roman"/>
      <w:b/>
      <w:sz w:val="48"/>
      <w:szCs w:val="48"/>
      <w:lang w:val="es-ES" w:eastAsia="es-ES"/>
    </w:rPr>
  </w:style>
  <w:style w:type="character" w:customStyle="1" w:styleId="Ttulo2Car">
    <w:name w:val="Título 2 Car"/>
    <w:link w:val="Ttulo2"/>
    <w:rsid w:val="00610D6A"/>
    <w:rPr>
      <w:rFonts w:ascii="Times New Roman" w:hAnsi="Times New Roman"/>
      <w:b/>
      <w:sz w:val="36"/>
      <w:szCs w:val="36"/>
      <w:lang w:val="es-ES" w:eastAsia="es-ES"/>
    </w:rPr>
  </w:style>
  <w:style w:type="character" w:customStyle="1" w:styleId="Ttulo3Car">
    <w:name w:val="Título 3 Car"/>
    <w:link w:val="Ttulo3"/>
    <w:semiHidden/>
    <w:rsid w:val="00610D6A"/>
    <w:rPr>
      <w:rFonts w:ascii="Calibri Light" w:hAnsi="Calibri Light"/>
      <w:b/>
      <w:bCs/>
      <w:sz w:val="26"/>
      <w:szCs w:val="26"/>
      <w:lang w:val="es-ES" w:eastAsia="es-ES"/>
    </w:rPr>
  </w:style>
  <w:style w:type="character" w:customStyle="1" w:styleId="Ttulo4Car">
    <w:name w:val="Título 4 Car"/>
    <w:link w:val="Ttulo4"/>
    <w:rsid w:val="00610D6A"/>
    <w:rPr>
      <w:rFonts w:ascii="Times New Roman" w:hAnsi="Times New Roman"/>
      <w:b/>
      <w:sz w:val="24"/>
      <w:szCs w:val="24"/>
      <w:lang w:val="es-ES" w:eastAsia="es-ES"/>
    </w:rPr>
  </w:style>
  <w:style w:type="character" w:customStyle="1" w:styleId="Ttulo5Car">
    <w:name w:val="Título 5 Car"/>
    <w:link w:val="Ttulo5"/>
    <w:rsid w:val="00610D6A"/>
    <w:rPr>
      <w:rFonts w:ascii="Times New Roman" w:hAnsi="Times New Roman"/>
      <w:b/>
      <w:sz w:val="22"/>
      <w:szCs w:val="22"/>
      <w:lang w:val="es-ES" w:eastAsia="es-ES"/>
    </w:rPr>
  </w:style>
  <w:style w:type="character" w:customStyle="1" w:styleId="Ttulo6Car">
    <w:name w:val="Título 6 Car"/>
    <w:link w:val="Ttulo6"/>
    <w:rsid w:val="00610D6A"/>
    <w:rPr>
      <w:rFonts w:ascii="Times New Roman" w:hAnsi="Times New Roman"/>
      <w:b/>
      <w:lang w:val="es-ES" w:eastAsia="es-ES"/>
    </w:rPr>
  </w:style>
  <w:style w:type="numbering" w:customStyle="1" w:styleId="Sinlista1">
    <w:name w:val="Sin lista1"/>
    <w:next w:val="Sinlista"/>
    <w:uiPriority w:val="99"/>
    <w:semiHidden/>
    <w:unhideWhenUsed/>
    <w:rsid w:val="00610D6A"/>
  </w:style>
  <w:style w:type="character" w:customStyle="1" w:styleId="PrrafodelistaCar">
    <w:name w:val="Párrafo de lista Car"/>
    <w:link w:val="Prrafodelista"/>
    <w:uiPriority w:val="34"/>
    <w:locked/>
    <w:rsid w:val="00610D6A"/>
    <w:rPr>
      <w:rFonts w:eastAsia="Calibri"/>
      <w:sz w:val="22"/>
      <w:szCs w:val="22"/>
      <w:lang w:eastAsia="en-US"/>
    </w:rPr>
  </w:style>
  <w:style w:type="table" w:customStyle="1" w:styleId="Tablaconcuadrcula1">
    <w:name w:val="Tabla con cuadrícula1"/>
    <w:basedOn w:val="Tablanormal"/>
    <w:next w:val="Tablaconcuadrcula"/>
    <w:uiPriority w:val="39"/>
    <w:rsid w:val="00610D6A"/>
    <w:rPr>
      <w:rFonts w:ascii="Times New Roman" w:hAnsi="Times New Roman"/>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10D6A"/>
    <w:rPr>
      <w:sz w:val="16"/>
      <w:szCs w:val="16"/>
    </w:rPr>
  </w:style>
  <w:style w:type="paragraph" w:styleId="Textocomentario">
    <w:name w:val="annotation text"/>
    <w:basedOn w:val="Normal"/>
    <w:link w:val="TextocomentarioCar"/>
    <w:uiPriority w:val="99"/>
    <w:unhideWhenUsed/>
    <w:rsid w:val="00610D6A"/>
    <w:pPr>
      <w:spacing w:after="0" w:line="240" w:lineRule="auto"/>
    </w:pPr>
    <w:rPr>
      <w:rFonts w:ascii="Times New Roman" w:eastAsia="PMingLiU" w:hAnsi="Times New Roman"/>
      <w:sz w:val="20"/>
      <w:szCs w:val="20"/>
      <w:lang w:eastAsia="en-US"/>
    </w:rPr>
  </w:style>
  <w:style w:type="character" w:customStyle="1" w:styleId="TextocomentarioCar">
    <w:name w:val="Texto comentario Car"/>
    <w:link w:val="Textocomentario"/>
    <w:uiPriority w:val="99"/>
    <w:rsid w:val="00610D6A"/>
    <w:rPr>
      <w:rFonts w:ascii="Times New Roman" w:eastAsia="PMingLiU" w:hAnsi="Times New Roman"/>
      <w:lang w:eastAsia="en-US"/>
    </w:rPr>
  </w:style>
  <w:style w:type="paragraph" w:styleId="Asuntodelcomentario">
    <w:name w:val="annotation subject"/>
    <w:basedOn w:val="Textocomentario"/>
    <w:next w:val="Textocomentario"/>
    <w:link w:val="AsuntodelcomentarioCar"/>
    <w:uiPriority w:val="99"/>
    <w:semiHidden/>
    <w:unhideWhenUsed/>
    <w:rsid w:val="00610D6A"/>
    <w:rPr>
      <w:b/>
      <w:bCs/>
    </w:rPr>
  </w:style>
  <w:style w:type="character" w:customStyle="1" w:styleId="AsuntodelcomentarioCar">
    <w:name w:val="Asunto del comentario Car"/>
    <w:link w:val="Asuntodelcomentario"/>
    <w:uiPriority w:val="99"/>
    <w:semiHidden/>
    <w:rsid w:val="00610D6A"/>
    <w:rPr>
      <w:rFonts w:ascii="Times New Roman" w:eastAsia="PMingLiU" w:hAnsi="Times New Roman"/>
      <w:b/>
      <w:bCs/>
      <w:lang w:eastAsia="en-US"/>
    </w:rPr>
  </w:style>
  <w:style w:type="paragraph" w:styleId="Revisin">
    <w:name w:val="Revision"/>
    <w:hidden/>
    <w:uiPriority w:val="99"/>
    <w:semiHidden/>
    <w:rsid w:val="00610D6A"/>
    <w:rPr>
      <w:rFonts w:ascii="Times New Roman" w:eastAsia="PMingLiU" w:hAnsi="Times New Roman"/>
      <w:sz w:val="22"/>
      <w:szCs w:val="22"/>
      <w:lang w:eastAsia="en-US"/>
    </w:rPr>
  </w:style>
  <w:style w:type="table" w:customStyle="1" w:styleId="TableNormal1">
    <w:name w:val="Table Normal1"/>
    <w:rsid w:val="00610D6A"/>
    <w:rPr>
      <w:rFonts w:ascii="Times New Roman" w:hAnsi="Times New Roman"/>
      <w:sz w:val="24"/>
      <w:szCs w:val="24"/>
      <w:lang w:val="es-ES" w:eastAsia="en-US"/>
    </w:rPr>
    <w:tblPr>
      <w:tblCellMar>
        <w:top w:w="0" w:type="dxa"/>
        <w:left w:w="0" w:type="dxa"/>
        <w:bottom w:w="0" w:type="dxa"/>
        <w:right w:w="0" w:type="dxa"/>
      </w:tblCellMar>
    </w:tblPr>
  </w:style>
  <w:style w:type="paragraph" w:styleId="Ttulo">
    <w:name w:val="Title"/>
    <w:basedOn w:val="Normal"/>
    <w:next w:val="Normal"/>
    <w:link w:val="TtuloCar"/>
    <w:rsid w:val="00610D6A"/>
    <w:pPr>
      <w:keepNext/>
      <w:keepLines/>
      <w:spacing w:before="480" w:after="120" w:line="240" w:lineRule="auto"/>
    </w:pPr>
    <w:rPr>
      <w:rFonts w:ascii="Times New Roman" w:hAnsi="Times New Roman"/>
      <w:b/>
      <w:sz w:val="72"/>
      <w:szCs w:val="72"/>
      <w:lang w:val="es-ES" w:eastAsia="es-ES"/>
    </w:rPr>
  </w:style>
  <w:style w:type="character" w:customStyle="1" w:styleId="TtuloCar">
    <w:name w:val="Título Car"/>
    <w:link w:val="Ttulo"/>
    <w:rsid w:val="00610D6A"/>
    <w:rPr>
      <w:rFonts w:ascii="Times New Roman" w:hAnsi="Times New Roman"/>
      <w:b/>
      <w:sz w:val="72"/>
      <w:szCs w:val="72"/>
      <w:lang w:val="es-ES" w:eastAsia="es-ES"/>
    </w:rPr>
  </w:style>
  <w:style w:type="character" w:styleId="Nmerodepgina">
    <w:name w:val="page number"/>
    <w:rsid w:val="00610D6A"/>
  </w:style>
  <w:style w:type="paragraph" w:customStyle="1" w:styleId="Estilo">
    <w:name w:val="Estilo"/>
    <w:basedOn w:val="Sinespaciado"/>
    <w:link w:val="EstiloCar"/>
    <w:qFormat/>
    <w:rsid w:val="00610D6A"/>
  </w:style>
  <w:style w:type="character" w:customStyle="1" w:styleId="EstiloCar">
    <w:name w:val="Estilo Car"/>
    <w:link w:val="Estilo"/>
    <w:rsid w:val="00610D6A"/>
    <w:rPr>
      <w:rFonts w:ascii="Times New Roman" w:hAnsi="Times New Roman"/>
      <w:sz w:val="24"/>
      <w:szCs w:val="24"/>
      <w:lang w:val="es-ES" w:eastAsia="es-ES"/>
    </w:rPr>
  </w:style>
  <w:style w:type="paragraph" w:styleId="NormalWeb">
    <w:name w:val="Normal (Web)"/>
    <w:basedOn w:val="Normal"/>
    <w:uiPriority w:val="99"/>
    <w:unhideWhenUsed/>
    <w:rsid w:val="00610D6A"/>
    <w:pPr>
      <w:spacing w:before="100" w:beforeAutospacing="1" w:after="100" w:afterAutospacing="1" w:line="240" w:lineRule="auto"/>
    </w:pPr>
    <w:rPr>
      <w:rFonts w:ascii="Times New Roman" w:hAnsi="Times New Roman"/>
      <w:sz w:val="24"/>
      <w:szCs w:val="24"/>
    </w:rPr>
  </w:style>
  <w:style w:type="paragraph" w:styleId="Sinespaciado">
    <w:name w:val="No Spacing"/>
    <w:uiPriority w:val="1"/>
    <w:qFormat/>
    <w:rsid w:val="00610D6A"/>
    <w:rPr>
      <w:rFonts w:ascii="Times New Roman" w:hAnsi="Times New Roman"/>
      <w:sz w:val="24"/>
      <w:szCs w:val="24"/>
      <w:lang w:val="es-ES" w:eastAsia="es-ES"/>
    </w:rPr>
  </w:style>
  <w:style w:type="paragraph" w:styleId="Subttulo">
    <w:name w:val="Subtitle"/>
    <w:basedOn w:val="Normal"/>
    <w:next w:val="Normal"/>
    <w:link w:val="SubttuloCar"/>
    <w:rsid w:val="00610D6A"/>
    <w:pPr>
      <w:keepNext/>
      <w:keepLines/>
      <w:spacing w:before="360" w:after="80" w:line="240" w:lineRule="auto"/>
    </w:pPr>
    <w:rPr>
      <w:rFonts w:ascii="Georgia" w:eastAsia="Georgia" w:hAnsi="Georgia" w:cs="Georgia"/>
      <w:i/>
      <w:color w:val="666666"/>
      <w:sz w:val="48"/>
      <w:szCs w:val="48"/>
      <w:lang w:val="es-ES" w:eastAsia="es-ES"/>
    </w:rPr>
  </w:style>
  <w:style w:type="character" w:customStyle="1" w:styleId="SubttuloCar">
    <w:name w:val="Subtítulo Car"/>
    <w:link w:val="Subttulo"/>
    <w:rsid w:val="00610D6A"/>
    <w:rPr>
      <w:rFonts w:ascii="Georgia" w:eastAsia="Georgia" w:hAnsi="Georgia" w:cs="Georgia"/>
      <w:i/>
      <w:color w:val="666666"/>
      <w:sz w:val="48"/>
      <w:szCs w:val="48"/>
      <w:lang w:val="es-ES" w:eastAsia="es-ES"/>
    </w:rPr>
  </w:style>
  <w:style w:type="numbering" w:customStyle="1" w:styleId="Sinlista2">
    <w:name w:val="Sin lista2"/>
    <w:next w:val="Sinlista"/>
    <w:uiPriority w:val="99"/>
    <w:semiHidden/>
    <w:unhideWhenUsed/>
    <w:rsid w:val="00B13E1E"/>
  </w:style>
  <w:style w:type="table" w:customStyle="1" w:styleId="Tablaconcuadrcula2">
    <w:name w:val="Tabla con cuadrícula2"/>
    <w:basedOn w:val="Tablanormal"/>
    <w:next w:val="Tablaconcuadrcula"/>
    <w:uiPriority w:val="39"/>
    <w:rsid w:val="00B13E1E"/>
    <w:rPr>
      <w:rFonts w:ascii="Times New Roman" w:hAnsi="Times New Roman"/>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13E1E"/>
    <w:rPr>
      <w:rFonts w:ascii="Times New Roman" w:hAnsi="Times New Roman"/>
      <w:sz w:val="24"/>
      <w:szCs w:val="24"/>
      <w:lang w:val="es-ES" w:eastAsia="en-US"/>
    </w:rPr>
    <w:tblPr>
      <w:tblCellMar>
        <w:top w:w="0" w:type="dxa"/>
        <w:left w:w="0" w:type="dxa"/>
        <w:bottom w:w="0" w:type="dxa"/>
        <w:right w:w="0" w:type="dxa"/>
      </w:tblCellMar>
    </w:tblPr>
  </w:style>
  <w:style w:type="paragraph" w:customStyle="1" w:styleId="Titulo1">
    <w:name w:val="Titulo 1"/>
    <w:basedOn w:val="Texto"/>
    <w:rsid w:val="008066A7"/>
    <w:pPr>
      <w:pBdr>
        <w:bottom w:val="single" w:sz="12" w:space="1" w:color="auto"/>
      </w:pBdr>
      <w:spacing w:before="120" w:after="0" w:line="240" w:lineRule="auto"/>
      <w:ind w:firstLine="0"/>
      <w:outlineLvl w:val="0"/>
    </w:pPr>
    <w:rPr>
      <w:rFonts w:ascii="Times New Roman" w:hAnsi="Times New Roman" w:cs="Arial"/>
      <w:b/>
      <w:szCs w:val="18"/>
      <w:lang w:val="es-MX" w:eastAsia="es-MX"/>
    </w:rPr>
  </w:style>
  <w:style w:type="numbering" w:customStyle="1" w:styleId="Sinlista3">
    <w:name w:val="Sin lista3"/>
    <w:next w:val="Sinlista"/>
    <w:uiPriority w:val="99"/>
    <w:semiHidden/>
    <w:unhideWhenUsed/>
    <w:rsid w:val="00F4441A"/>
  </w:style>
  <w:style w:type="table" w:customStyle="1" w:styleId="TableNormal">
    <w:name w:val="Table Normal"/>
    <w:uiPriority w:val="2"/>
    <w:semiHidden/>
    <w:unhideWhenUsed/>
    <w:qFormat/>
    <w:rsid w:val="00F4441A"/>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441A"/>
    <w:pPr>
      <w:widowControl w:val="0"/>
      <w:autoSpaceDE w:val="0"/>
      <w:autoSpaceDN w:val="0"/>
      <w:spacing w:after="0" w:line="240" w:lineRule="auto"/>
    </w:pPr>
    <w:rPr>
      <w:rFonts w:ascii="Arial MT" w:eastAsia="Arial MT" w:hAnsi="Arial MT" w:cs="Arial MT"/>
      <w:lang w:val="es-ES" w:eastAsia="en-US"/>
    </w:rPr>
  </w:style>
  <w:style w:type="paragraph" w:styleId="Textoindependiente3">
    <w:name w:val="Body Text 3"/>
    <w:basedOn w:val="Normal"/>
    <w:link w:val="Textoindependiente3Car"/>
    <w:uiPriority w:val="99"/>
    <w:semiHidden/>
    <w:unhideWhenUsed/>
    <w:rsid w:val="001C2B6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C2B61"/>
    <w:rPr>
      <w:sz w:val="16"/>
      <w:szCs w:val="16"/>
    </w:rPr>
  </w:style>
  <w:style w:type="paragraph" w:styleId="Sangradetextonormal">
    <w:name w:val="Body Text Indent"/>
    <w:basedOn w:val="Normal"/>
    <w:link w:val="SangradetextonormalCar"/>
    <w:uiPriority w:val="99"/>
    <w:semiHidden/>
    <w:unhideWhenUsed/>
    <w:rsid w:val="001C2B61"/>
    <w:pPr>
      <w:spacing w:after="120"/>
      <w:ind w:left="283"/>
    </w:pPr>
  </w:style>
  <w:style w:type="character" w:customStyle="1" w:styleId="SangradetextonormalCar">
    <w:name w:val="Sangría de texto normal Car"/>
    <w:basedOn w:val="Fuentedeprrafopredeter"/>
    <w:link w:val="Sangradetextonormal"/>
    <w:uiPriority w:val="99"/>
    <w:semiHidden/>
    <w:rsid w:val="001C2B6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3020">
      <w:bodyDiv w:val="1"/>
      <w:marLeft w:val="0"/>
      <w:marRight w:val="0"/>
      <w:marTop w:val="0"/>
      <w:marBottom w:val="0"/>
      <w:divBdr>
        <w:top w:val="none" w:sz="0" w:space="0" w:color="auto"/>
        <w:left w:val="none" w:sz="0" w:space="0" w:color="auto"/>
        <w:bottom w:val="none" w:sz="0" w:space="0" w:color="auto"/>
        <w:right w:val="none" w:sz="0" w:space="0" w:color="auto"/>
      </w:divBdr>
    </w:div>
    <w:div w:id="359861166">
      <w:bodyDiv w:val="1"/>
      <w:marLeft w:val="0"/>
      <w:marRight w:val="0"/>
      <w:marTop w:val="0"/>
      <w:marBottom w:val="0"/>
      <w:divBdr>
        <w:top w:val="none" w:sz="0" w:space="0" w:color="auto"/>
        <w:left w:val="none" w:sz="0" w:space="0" w:color="auto"/>
        <w:bottom w:val="none" w:sz="0" w:space="0" w:color="auto"/>
        <w:right w:val="none" w:sz="0" w:space="0" w:color="auto"/>
      </w:divBdr>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83365023">
      <w:bodyDiv w:val="1"/>
      <w:marLeft w:val="0"/>
      <w:marRight w:val="0"/>
      <w:marTop w:val="0"/>
      <w:marBottom w:val="0"/>
      <w:divBdr>
        <w:top w:val="none" w:sz="0" w:space="0" w:color="auto"/>
        <w:left w:val="none" w:sz="0" w:space="0" w:color="auto"/>
        <w:bottom w:val="none" w:sz="0" w:space="0" w:color="auto"/>
        <w:right w:val="none" w:sz="0" w:space="0" w:color="auto"/>
      </w:divBdr>
    </w:div>
    <w:div w:id="796530165">
      <w:bodyDiv w:val="1"/>
      <w:marLeft w:val="0"/>
      <w:marRight w:val="0"/>
      <w:marTop w:val="0"/>
      <w:marBottom w:val="0"/>
      <w:divBdr>
        <w:top w:val="none" w:sz="0" w:space="0" w:color="auto"/>
        <w:left w:val="none" w:sz="0" w:space="0" w:color="auto"/>
        <w:bottom w:val="none" w:sz="0" w:space="0" w:color="auto"/>
        <w:right w:val="none" w:sz="0" w:space="0" w:color="auto"/>
      </w:divBdr>
    </w:div>
    <w:div w:id="1110510098">
      <w:bodyDiv w:val="1"/>
      <w:marLeft w:val="0"/>
      <w:marRight w:val="0"/>
      <w:marTop w:val="0"/>
      <w:marBottom w:val="0"/>
      <w:divBdr>
        <w:top w:val="none" w:sz="0" w:space="0" w:color="auto"/>
        <w:left w:val="none" w:sz="0" w:space="0" w:color="auto"/>
        <w:bottom w:val="none" w:sz="0" w:space="0" w:color="auto"/>
        <w:right w:val="none" w:sz="0" w:space="0" w:color="auto"/>
      </w:divBdr>
      <w:divsChild>
        <w:div w:id="766463216">
          <w:marLeft w:val="0"/>
          <w:marRight w:val="0"/>
          <w:marTop w:val="0"/>
          <w:marBottom w:val="0"/>
          <w:divBdr>
            <w:top w:val="none" w:sz="0" w:space="0" w:color="auto"/>
            <w:left w:val="none" w:sz="0" w:space="0" w:color="auto"/>
            <w:bottom w:val="none" w:sz="0" w:space="0" w:color="auto"/>
            <w:right w:val="none" w:sz="0" w:space="0" w:color="auto"/>
          </w:divBdr>
        </w:div>
        <w:div w:id="874074137">
          <w:marLeft w:val="0"/>
          <w:marRight w:val="0"/>
          <w:marTop w:val="0"/>
          <w:marBottom w:val="0"/>
          <w:divBdr>
            <w:top w:val="none" w:sz="0" w:space="0" w:color="auto"/>
            <w:left w:val="none" w:sz="0" w:space="0" w:color="auto"/>
            <w:bottom w:val="none" w:sz="0" w:space="0" w:color="auto"/>
            <w:right w:val="none" w:sz="0" w:space="0" w:color="auto"/>
          </w:divBdr>
        </w:div>
        <w:div w:id="948196716">
          <w:marLeft w:val="0"/>
          <w:marRight w:val="0"/>
          <w:marTop w:val="0"/>
          <w:marBottom w:val="0"/>
          <w:divBdr>
            <w:top w:val="none" w:sz="0" w:space="0" w:color="auto"/>
            <w:left w:val="none" w:sz="0" w:space="0" w:color="auto"/>
            <w:bottom w:val="none" w:sz="0" w:space="0" w:color="auto"/>
            <w:right w:val="none" w:sz="0" w:space="0" w:color="auto"/>
          </w:divBdr>
        </w:div>
        <w:div w:id="962930795">
          <w:marLeft w:val="0"/>
          <w:marRight w:val="0"/>
          <w:marTop w:val="0"/>
          <w:marBottom w:val="0"/>
          <w:divBdr>
            <w:top w:val="none" w:sz="0" w:space="0" w:color="auto"/>
            <w:left w:val="none" w:sz="0" w:space="0" w:color="auto"/>
            <w:bottom w:val="none" w:sz="0" w:space="0" w:color="auto"/>
            <w:right w:val="none" w:sz="0" w:space="0" w:color="auto"/>
          </w:divBdr>
        </w:div>
        <w:div w:id="998462948">
          <w:marLeft w:val="0"/>
          <w:marRight w:val="0"/>
          <w:marTop w:val="0"/>
          <w:marBottom w:val="0"/>
          <w:divBdr>
            <w:top w:val="none" w:sz="0" w:space="0" w:color="auto"/>
            <w:left w:val="none" w:sz="0" w:space="0" w:color="auto"/>
            <w:bottom w:val="none" w:sz="0" w:space="0" w:color="auto"/>
            <w:right w:val="none" w:sz="0" w:space="0" w:color="auto"/>
          </w:divBdr>
        </w:div>
        <w:div w:id="1253588224">
          <w:marLeft w:val="0"/>
          <w:marRight w:val="0"/>
          <w:marTop w:val="0"/>
          <w:marBottom w:val="0"/>
          <w:divBdr>
            <w:top w:val="none" w:sz="0" w:space="0" w:color="auto"/>
            <w:left w:val="none" w:sz="0" w:space="0" w:color="auto"/>
            <w:bottom w:val="none" w:sz="0" w:space="0" w:color="auto"/>
            <w:right w:val="none" w:sz="0" w:space="0" w:color="auto"/>
          </w:divBdr>
        </w:div>
        <w:div w:id="2132167416">
          <w:marLeft w:val="0"/>
          <w:marRight w:val="0"/>
          <w:marTop w:val="0"/>
          <w:marBottom w:val="0"/>
          <w:divBdr>
            <w:top w:val="none" w:sz="0" w:space="0" w:color="auto"/>
            <w:left w:val="none" w:sz="0" w:space="0" w:color="auto"/>
            <w:bottom w:val="none" w:sz="0" w:space="0" w:color="auto"/>
            <w:right w:val="none" w:sz="0" w:space="0" w:color="auto"/>
          </w:divBdr>
        </w:div>
      </w:divsChild>
    </w:div>
    <w:div w:id="1570768391">
      <w:bodyDiv w:val="1"/>
      <w:marLeft w:val="0"/>
      <w:marRight w:val="0"/>
      <w:marTop w:val="0"/>
      <w:marBottom w:val="0"/>
      <w:divBdr>
        <w:top w:val="none" w:sz="0" w:space="0" w:color="auto"/>
        <w:left w:val="none" w:sz="0" w:space="0" w:color="auto"/>
        <w:bottom w:val="none" w:sz="0" w:space="0" w:color="auto"/>
        <w:right w:val="none" w:sz="0" w:space="0" w:color="auto"/>
      </w:divBdr>
    </w:div>
    <w:div w:id="1852405475">
      <w:bodyDiv w:val="1"/>
      <w:marLeft w:val="0"/>
      <w:marRight w:val="0"/>
      <w:marTop w:val="0"/>
      <w:marBottom w:val="0"/>
      <w:divBdr>
        <w:top w:val="none" w:sz="0" w:space="0" w:color="auto"/>
        <w:left w:val="none" w:sz="0" w:space="0" w:color="auto"/>
        <w:bottom w:val="none" w:sz="0" w:space="0" w:color="auto"/>
        <w:right w:val="none" w:sz="0" w:space="0" w:color="auto"/>
      </w:divBdr>
    </w:div>
    <w:div w:id="1904946132">
      <w:bodyDiv w:val="1"/>
      <w:marLeft w:val="0"/>
      <w:marRight w:val="0"/>
      <w:marTop w:val="0"/>
      <w:marBottom w:val="0"/>
      <w:divBdr>
        <w:top w:val="none" w:sz="0" w:space="0" w:color="auto"/>
        <w:left w:val="none" w:sz="0" w:space="0" w:color="auto"/>
        <w:bottom w:val="none" w:sz="0" w:space="0" w:color="auto"/>
        <w:right w:val="none" w:sz="0" w:space="0" w:color="auto"/>
      </w:divBdr>
    </w:div>
    <w:div w:id="2034573730">
      <w:bodyDiv w:val="1"/>
      <w:marLeft w:val="0"/>
      <w:marRight w:val="0"/>
      <w:marTop w:val="0"/>
      <w:marBottom w:val="0"/>
      <w:divBdr>
        <w:top w:val="none" w:sz="0" w:space="0" w:color="auto"/>
        <w:left w:val="none" w:sz="0" w:space="0" w:color="auto"/>
        <w:bottom w:val="none" w:sz="0" w:space="0" w:color="auto"/>
        <w:right w:val="none" w:sz="0" w:space="0" w:color="auto"/>
      </w:divBdr>
    </w:div>
    <w:div w:id="2062896502">
      <w:bodyDiv w:val="1"/>
      <w:marLeft w:val="0"/>
      <w:marRight w:val="0"/>
      <w:marTop w:val="0"/>
      <w:marBottom w:val="0"/>
      <w:divBdr>
        <w:top w:val="none" w:sz="0" w:space="0" w:color="auto"/>
        <w:left w:val="none" w:sz="0" w:space="0" w:color="auto"/>
        <w:bottom w:val="none" w:sz="0" w:space="0" w:color="auto"/>
        <w:right w:val="none" w:sz="0" w:space="0" w:color="auto"/>
      </w:divBdr>
      <w:divsChild>
        <w:div w:id="287587716">
          <w:marLeft w:val="0"/>
          <w:marRight w:val="0"/>
          <w:marTop w:val="0"/>
          <w:marBottom w:val="0"/>
          <w:divBdr>
            <w:top w:val="none" w:sz="0" w:space="0" w:color="auto"/>
            <w:left w:val="none" w:sz="0" w:space="0" w:color="auto"/>
            <w:bottom w:val="none" w:sz="0" w:space="0" w:color="auto"/>
            <w:right w:val="none" w:sz="0" w:space="0" w:color="auto"/>
          </w:divBdr>
        </w:div>
        <w:div w:id="350188514">
          <w:marLeft w:val="0"/>
          <w:marRight w:val="0"/>
          <w:marTop w:val="0"/>
          <w:marBottom w:val="0"/>
          <w:divBdr>
            <w:top w:val="none" w:sz="0" w:space="0" w:color="auto"/>
            <w:left w:val="none" w:sz="0" w:space="0" w:color="auto"/>
            <w:bottom w:val="none" w:sz="0" w:space="0" w:color="auto"/>
            <w:right w:val="none" w:sz="0" w:space="0" w:color="auto"/>
          </w:divBdr>
        </w:div>
        <w:div w:id="553733279">
          <w:marLeft w:val="0"/>
          <w:marRight w:val="0"/>
          <w:marTop w:val="0"/>
          <w:marBottom w:val="0"/>
          <w:divBdr>
            <w:top w:val="none" w:sz="0" w:space="0" w:color="auto"/>
            <w:left w:val="none" w:sz="0" w:space="0" w:color="auto"/>
            <w:bottom w:val="none" w:sz="0" w:space="0" w:color="auto"/>
            <w:right w:val="none" w:sz="0" w:space="0" w:color="auto"/>
          </w:divBdr>
        </w:div>
        <w:div w:id="866412402">
          <w:marLeft w:val="0"/>
          <w:marRight w:val="0"/>
          <w:marTop w:val="0"/>
          <w:marBottom w:val="0"/>
          <w:divBdr>
            <w:top w:val="none" w:sz="0" w:space="0" w:color="auto"/>
            <w:left w:val="none" w:sz="0" w:space="0" w:color="auto"/>
            <w:bottom w:val="none" w:sz="0" w:space="0" w:color="auto"/>
            <w:right w:val="none" w:sz="0" w:space="0" w:color="auto"/>
          </w:divBdr>
        </w:div>
        <w:div w:id="1586837064">
          <w:marLeft w:val="0"/>
          <w:marRight w:val="0"/>
          <w:marTop w:val="0"/>
          <w:marBottom w:val="0"/>
          <w:divBdr>
            <w:top w:val="none" w:sz="0" w:space="0" w:color="auto"/>
            <w:left w:val="none" w:sz="0" w:space="0" w:color="auto"/>
            <w:bottom w:val="none" w:sz="0" w:space="0" w:color="auto"/>
            <w:right w:val="none" w:sz="0" w:space="0" w:color="auto"/>
          </w:divBdr>
        </w:div>
        <w:div w:id="1771580479">
          <w:marLeft w:val="0"/>
          <w:marRight w:val="0"/>
          <w:marTop w:val="0"/>
          <w:marBottom w:val="0"/>
          <w:divBdr>
            <w:top w:val="none" w:sz="0" w:space="0" w:color="auto"/>
            <w:left w:val="none" w:sz="0" w:space="0" w:color="auto"/>
            <w:bottom w:val="none" w:sz="0" w:space="0" w:color="auto"/>
            <w:right w:val="none" w:sz="0" w:space="0" w:color="auto"/>
          </w:divBdr>
        </w:div>
        <w:div w:id="2117825053">
          <w:marLeft w:val="0"/>
          <w:marRight w:val="0"/>
          <w:marTop w:val="0"/>
          <w:marBottom w:val="0"/>
          <w:divBdr>
            <w:top w:val="none" w:sz="0" w:space="0" w:color="auto"/>
            <w:left w:val="none" w:sz="0" w:space="0" w:color="auto"/>
            <w:bottom w:val="none" w:sz="0" w:space="0" w:color="auto"/>
            <w:right w:val="none" w:sz="0" w:space="0" w:color="auto"/>
          </w:divBdr>
        </w:div>
      </w:divsChild>
    </w:div>
    <w:div w:id="21183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1BB2A-3E50-46B7-8BF1-A0FFEBE79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5370</Words>
  <Characters>29538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acastillo</dc:creator>
  <cp:lastModifiedBy>congreso chihuahua</cp:lastModifiedBy>
  <cp:revision>7</cp:revision>
  <cp:lastPrinted>2025-12-26T15:37:00Z</cp:lastPrinted>
  <dcterms:created xsi:type="dcterms:W3CDTF">2025-12-26T15:32:00Z</dcterms:created>
  <dcterms:modified xsi:type="dcterms:W3CDTF">2025-12-26T15:38:00Z</dcterms:modified>
</cp:coreProperties>
</file>