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7BE" w14:textId="77777777" w:rsidR="000E2842" w:rsidRPr="00FD05B1" w:rsidRDefault="000E2842" w:rsidP="000E2842">
      <w:pPr>
        <w:spacing w:after="160" w:line="360" w:lineRule="auto"/>
        <w:jc w:val="center"/>
        <w:rPr>
          <w:rFonts w:ascii="Century Gothic" w:eastAsia="Calibri" w:hAnsi="Century Gothic"/>
          <w:b/>
          <w:lang w:val="es-MX" w:eastAsia="en-US"/>
        </w:rPr>
      </w:pPr>
      <w:r w:rsidRPr="00FD05B1">
        <w:rPr>
          <w:rFonts w:ascii="Century Gothic" w:eastAsia="Calibri" w:hAnsi="Century Gothic"/>
          <w:b/>
          <w:lang w:val="es-MX" w:eastAsia="en-US"/>
        </w:rPr>
        <w:t>Anexo a la Ley de Ingresos correspondie</w:t>
      </w:r>
      <w:r>
        <w:rPr>
          <w:rFonts w:ascii="Century Gothic" w:eastAsia="Calibri" w:hAnsi="Century Gothic"/>
          <w:b/>
          <w:lang w:val="es-MX" w:eastAsia="en-US"/>
        </w:rPr>
        <w:t xml:space="preserve">nte al Municipio de </w:t>
      </w:r>
      <w:proofErr w:type="spellStart"/>
      <w:r>
        <w:rPr>
          <w:rFonts w:ascii="Century Gothic" w:eastAsia="Calibri" w:hAnsi="Century Gothic"/>
          <w:b/>
          <w:lang w:val="es-MX" w:eastAsia="en-US"/>
        </w:rPr>
        <w:t>Maguarichi</w:t>
      </w:r>
      <w:proofErr w:type="spellEnd"/>
      <w:r w:rsidRPr="00FD05B1">
        <w:rPr>
          <w:rFonts w:ascii="Century Gothic" w:eastAsia="Calibri" w:hAnsi="Century Gothic"/>
          <w:b/>
          <w:lang w:val="es-MX" w:eastAsia="en-US"/>
        </w:rPr>
        <w:t xml:space="preserve"> 2023</w:t>
      </w:r>
    </w:p>
    <w:p w14:paraId="7042699E" w14:textId="77777777" w:rsidR="000E2842" w:rsidRPr="00FD05B1" w:rsidRDefault="000E2842" w:rsidP="000E2842">
      <w:pPr>
        <w:spacing w:after="160" w:line="360" w:lineRule="auto"/>
        <w:jc w:val="both"/>
        <w:rPr>
          <w:rFonts w:ascii="Century Gothic" w:eastAsia="Calibri" w:hAnsi="Century Gothic"/>
          <w:lang w:val="es-MX" w:eastAsia="en-US"/>
        </w:rPr>
      </w:pPr>
      <w:r w:rsidRPr="00FD05B1">
        <w:rPr>
          <w:rFonts w:ascii="Century Gothic" w:eastAsia="Calibri" w:hAnsi="Century Gothic"/>
          <w:lang w:val="es-MX" w:eastAsia="en-US"/>
        </w:rPr>
        <w:t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</w:t>
      </w:r>
      <w:r>
        <w:rPr>
          <w:rFonts w:ascii="Century Gothic" w:eastAsia="Calibri" w:hAnsi="Century Gothic"/>
          <w:lang w:val="es-MX" w:eastAsia="en-US"/>
        </w:rPr>
        <w:t xml:space="preserve">irá el Municipio de </w:t>
      </w:r>
      <w:proofErr w:type="spellStart"/>
      <w:r>
        <w:rPr>
          <w:rFonts w:ascii="Century Gothic" w:eastAsia="Calibri" w:hAnsi="Century Gothic"/>
          <w:lang w:val="es-MX" w:eastAsia="en-US"/>
        </w:rPr>
        <w:t>Maguarichi</w:t>
      </w:r>
      <w:proofErr w:type="spellEnd"/>
      <w:r w:rsidRPr="00FD05B1">
        <w:rPr>
          <w:rFonts w:ascii="Century Gothic" w:eastAsia="Calibri" w:hAnsi="Century Gothic"/>
          <w:lang w:val="es-MX" w:eastAsia="en-US"/>
        </w:rPr>
        <w:t>, durante el Ejercicio Fiscal del año 2023.</w:t>
      </w: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944"/>
        <w:gridCol w:w="1764"/>
      </w:tblGrid>
      <w:tr w:rsidR="000E2842" w14:paraId="5FEAC4DC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CD82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Ingresos Locales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87C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919" w14:textId="77777777" w:rsidR="000E2842" w:rsidRDefault="000E2842" w:rsidP="00154DD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2842" w14:paraId="180D7A2A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0F47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Impuestos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EB17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183,100.00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218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DB99CA3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FC2" w14:textId="77777777" w:rsidR="000E2842" w:rsidRDefault="000E2842" w:rsidP="000E2842">
            <w:pPr>
              <w:spacing w:line="276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Contribuciones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AFA7" w14:textId="77777777" w:rsidR="000E2842" w:rsidRDefault="000E2842" w:rsidP="000E2842">
            <w:pPr>
              <w:spacing w:line="276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                 - 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BE7" w14:textId="77777777" w:rsidR="000E2842" w:rsidRDefault="000E2842" w:rsidP="000E2842">
            <w:pPr>
              <w:spacing w:line="276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02BBE8B4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EC62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Derechos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5D45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127,500.00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E8AC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6AFEC7A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E92D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Productos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4E7F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  59,800.00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4551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8F7A48A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B2B3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Aprovechamientos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6793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208,700.00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7A1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C332C55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0F15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Ingresos no comprendidos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F8760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  30,550.00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3355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688A6F3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744B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proofErr w:type="gramStart"/>
            <w:r>
              <w:rPr>
                <w:rFonts w:ascii="Century Gothic" w:hAnsi="Century Gothic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entury Gothic" w:hAnsi="Century Gothic" w:cs="Calibri"/>
                <w:b/>
                <w:bCs/>
                <w:color w:val="000000"/>
              </w:rPr>
              <w:t xml:space="preserve"> de Ingresos Locales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6305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A7BB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609,650.00</w:t>
            </w:r>
          </w:p>
        </w:tc>
      </w:tr>
      <w:tr w:rsidR="000E2842" w14:paraId="00EBE74C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6F0E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Participaciones Federales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719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D799" w14:textId="77777777" w:rsidR="000E2842" w:rsidRDefault="000E2842" w:rsidP="00154DD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2842" w14:paraId="1D12F7F1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F27F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Fondo General de Participaciones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F291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15,210,602.51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06E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215E2CD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9311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Fondo de Fomento Municipal 70%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E0F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2,749,251.00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B18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000951C2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8619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Fondo de Fomento Municipal 30%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4CB0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137,641.62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373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5FEE5BDE" w14:textId="77777777" w:rsidTr="00154DD5">
        <w:trPr>
          <w:trHeight w:val="102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1DD4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Impuestos Sobre Producción y Servicios en materia de cervezas, bebidas alcohólicas y tabacos labrados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F0CA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422,221.01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1AF2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B0DD2BC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3716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lastRenderedPageBreak/>
              <w:t>Fondo de Fiscalización y Recaudación (FOFIR)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318B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949,373.21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036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7B66F3C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24F9" w14:textId="77777777" w:rsidR="000E2842" w:rsidRDefault="000E2842" w:rsidP="00154DD5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Impuestos Sobre Autos Nuevos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6AE1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365,245.86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E7D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65520DA9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0F83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Impuesto Sobre Tenencia y Uso de Vehículos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FB34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287.01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D8B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2FBD8A05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0961" w14:textId="77777777" w:rsidR="000E2842" w:rsidRDefault="000E2842" w:rsidP="00154DD5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ISR Bienes Inmuebles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80D0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100,403.30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9CB5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1F931001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B97C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Cuotas de Gasolina y Diésel 70%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174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36,539.48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ECF3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6C55D36A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B527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Cuotas de Gasolina y Diésel 30%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7B40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15,659.78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72D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07804837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80F2" w14:textId="77777777" w:rsidR="000E2842" w:rsidRDefault="000E2842" w:rsidP="000E2842">
            <w:pPr>
              <w:spacing w:line="276" w:lineRule="auto"/>
              <w:jc w:val="both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Fondo ISR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B8C13" w14:textId="34B28877" w:rsidR="000E2842" w:rsidRDefault="000E2842" w:rsidP="000E2842">
            <w:pPr>
              <w:spacing w:line="276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               - 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54E" w14:textId="77777777" w:rsidR="000E2842" w:rsidRDefault="000E2842" w:rsidP="000E2842">
            <w:pPr>
              <w:spacing w:line="276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0D461BA5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884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proofErr w:type="gramStart"/>
            <w:r>
              <w:rPr>
                <w:rFonts w:ascii="Century Gothic" w:hAnsi="Century Gothic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entury Gothic" w:hAnsi="Century Gothic" w:cs="Calibri"/>
                <w:b/>
                <w:bCs/>
                <w:color w:val="000000"/>
              </w:rPr>
              <w:t xml:space="preserve"> de Participaciones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52E" w14:textId="77777777" w:rsidR="000E2842" w:rsidRDefault="000E2842" w:rsidP="00154DD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EC3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19,987,224.78</w:t>
            </w:r>
          </w:p>
        </w:tc>
      </w:tr>
      <w:tr w:rsidR="000E2842" w14:paraId="6C67248B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4362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Aportaciones Estatales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A84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73B7" w14:textId="77777777" w:rsidR="000E2842" w:rsidRDefault="000E2842" w:rsidP="00154DD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2842" w14:paraId="20D6F909" w14:textId="77777777" w:rsidTr="00154DD5">
        <w:trPr>
          <w:trHeight w:val="68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EC5F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Fondo para el Desarrollo Socioeconómico Municipal (FODESEM)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C65D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2,048,965.31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D0F" w14:textId="77777777" w:rsidR="000E2842" w:rsidRDefault="000E2842" w:rsidP="00154DD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842" w14:paraId="1E1A7A32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86EA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Aportaciones Federales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522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95F" w14:textId="77777777" w:rsidR="000E2842" w:rsidRDefault="000E2842" w:rsidP="00154DD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2842" w14:paraId="7C70A1AC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8AFB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F.I.S.M.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AF94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6,494,204.00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5ED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3DC73237" w14:textId="77777777" w:rsidTr="00154DD5">
        <w:trPr>
          <w:trHeight w:val="340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5C1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bookmarkStart w:id="0" w:name="_Hlk122968459"/>
            <w:r>
              <w:rPr>
                <w:rFonts w:ascii="Century Gothic" w:hAnsi="Century Gothic" w:cs="Calibri"/>
                <w:color w:val="000000"/>
              </w:rPr>
              <w:t>F.A.F.M.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E0BD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1,155,698.50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244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4C197794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3708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proofErr w:type="gramStart"/>
            <w:r>
              <w:rPr>
                <w:rFonts w:ascii="Century Gothic" w:hAnsi="Century Gothic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entury Gothic" w:hAnsi="Century Gothic" w:cs="Calibri"/>
                <w:b/>
                <w:bCs/>
                <w:color w:val="000000"/>
              </w:rPr>
              <w:t xml:space="preserve"> de Aportaciones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995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B481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9,698,867.81</w:t>
            </w:r>
          </w:p>
        </w:tc>
      </w:tr>
      <w:tr w:rsidR="000E2842" w14:paraId="3C4AF43A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43E2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Ingresos Extraordinarios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3C7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4FB6" w14:textId="77777777" w:rsidR="000E2842" w:rsidRDefault="000E2842" w:rsidP="00154DD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2842" w14:paraId="47ACF3C1" w14:textId="77777777" w:rsidTr="000E2842">
        <w:trPr>
          <w:trHeight w:val="75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1955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Empréstitos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09790" w14:textId="5C5ECD52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                - 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64D" w14:textId="77777777" w:rsidR="000E2842" w:rsidRDefault="000E2842" w:rsidP="000E2842">
            <w:pPr>
              <w:spacing w:line="360" w:lineRule="auto"/>
              <w:rPr>
                <w:rFonts w:ascii="Century Gothic" w:hAnsi="Century Gothic" w:cs="Calibri"/>
                <w:color w:val="000000"/>
              </w:rPr>
            </w:pPr>
          </w:p>
        </w:tc>
      </w:tr>
      <w:tr w:rsidR="000E2842" w14:paraId="097363BE" w14:textId="77777777" w:rsidTr="000E2842">
        <w:trPr>
          <w:trHeight w:val="69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0FA6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proofErr w:type="gramStart"/>
            <w:r>
              <w:rPr>
                <w:rFonts w:ascii="Century Gothic" w:hAnsi="Century Gothic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entury Gothic" w:hAnsi="Century Gothic" w:cs="Calibri"/>
                <w:b/>
                <w:bCs/>
                <w:color w:val="000000"/>
              </w:rPr>
              <w:t xml:space="preserve"> Ingresos Extraordinarios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9A7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C084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             -   </w:t>
            </w:r>
          </w:p>
        </w:tc>
      </w:tr>
      <w:tr w:rsidR="000E2842" w14:paraId="1715B206" w14:textId="77777777" w:rsidTr="00154DD5">
        <w:trPr>
          <w:trHeight w:val="31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370F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56C" w14:textId="77777777" w:rsidR="000E2842" w:rsidRDefault="000E2842" w:rsidP="00154DD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1D7" w14:textId="77777777" w:rsidR="000E2842" w:rsidRDefault="000E2842" w:rsidP="00154DD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2842" w14:paraId="4820E3D6" w14:textId="77777777" w:rsidTr="00154DD5">
        <w:trPr>
          <w:trHeight w:val="32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5D82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proofErr w:type="gramStart"/>
            <w:r>
              <w:rPr>
                <w:rFonts w:ascii="Century Gothic" w:hAnsi="Century Gothic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entury Gothic" w:hAnsi="Century Gothic" w:cs="Calibri"/>
                <w:b/>
                <w:bCs/>
                <w:color w:val="000000"/>
              </w:rPr>
              <w:t xml:space="preserve"> Global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915" w14:textId="77777777" w:rsidR="000E2842" w:rsidRDefault="000E2842" w:rsidP="00154DD5">
            <w:pPr>
              <w:spacing w:line="36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680F" w14:textId="77777777" w:rsidR="000E2842" w:rsidRDefault="000E2842" w:rsidP="00154DD5">
            <w:pPr>
              <w:spacing w:line="360" w:lineRule="auto"/>
              <w:jc w:val="right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30,295,742.59</w:t>
            </w:r>
          </w:p>
        </w:tc>
      </w:tr>
    </w:tbl>
    <w:p w14:paraId="30D16129" w14:textId="77777777" w:rsidR="000E2842" w:rsidRDefault="000E2842" w:rsidP="000E2842">
      <w:pPr>
        <w:spacing w:line="360" w:lineRule="auto"/>
        <w:rPr>
          <w:rStyle w:val="nfasis"/>
          <w:rFonts w:ascii="Century Gothic" w:hAnsi="Century Gothic" w:cs="Arial"/>
          <w:i w:val="0"/>
        </w:rPr>
      </w:pPr>
    </w:p>
    <w:bookmarkEnd w:id="0"/>
    <w:p w14:paraId="430FF33B" w14:textId="77777777" w:rsidR="00A87E67" w:rsidRPr="000E2842" w:rsidRDefault="00A87E67" w:rsidP="000E2842"/>
    <w:sectPr w:rsidR="00A87E67" w:rsidRPr="000E2842" w:rsidSect="00485387">
      <w:headerReference w:type="default" r:id="rId6"/>
      <w:pgSz w:w="12240" w:h="15840" w:code="1"/>
      <w:pgMar w:top="1418" w:right="1701" w:bottom="1418" w:left="1701" w:header="720" w:footer="720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A2F0" w14:textId="77777777" w:rsidR="00E320C1" w:rsidRDefault="00E320C1">
      <w:r>
        <w:separator/>
      </w:r>
    </w:p>
  </w:endnote>
  <w:endnote w:type="continuationSeparator" w:id="0">
    <w:p w14:paraId="0EBDA633" w14:textId="77777777" w:rsidR="00E320C1" w:rsidRDefault="00E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6BD" w14:textId="77777777" w:rsidR="00E320C1" w:rsidRDefault="00E320C1">
      <w:r>
        <w:separator/>
      </w:r>
    </w:p>
  </w:footnote>
  <w:footnote w:type="continuationSeparator" w:id="0">
    <w:p w14:paraId="1311305D" w14:textId="77777777" w:rsidR="00E320C1" w:rsidRDefault="00E3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F3C9" w14:textId="171388FD" w:rsidR="006D1664" w:rsidRDefault="00E320C1">
    <w:pPr>
      <w:pStyle w:val="Encabezado"/>
    </w:pPr>
  </w:p>
  <w:p w14:paraId="637B126C" w14:textId="77777777" w:rsidR="00485387" w:rsidRDefault="00485387">
    <w:pPr>
      <w:pStyle w:val="Encabezado"/>
    </w:pPr>
  </w:p>
  <w:p w14:paraId="7CE442B4" w14:textId="77777777" w:rsidR="006D1664" w:rsidRDefault="00E320C1">
    <w:pPr>
      <w:pStyle w:val="Encabezado"/>
    </w:pPr>
  </w:p>
  <w:p w14:paraId="5BDFE7AE" w14:textId="77777777" w:rsidR="006D1664" w:rsidRDefault="00E320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06"/>
    <w:rsid w:val="000E2842"/>
    <w:rsid w:val="00485387"/>
    <w:rsid w:val="006C4406"/>
    <w:rsid w:val="00A87E67"/>
    <w:rsid w:val="00C4003D"/>
    <w:rsid w:val="00E320C1"/>
    <w:rsid w:val="00E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D819"/>
  <w15:chartTrackingRefBased/>
  <w15:docId w15:val="{31C37523-C73F-4F29-90E7-E516671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0E2842"/>
    <w:rPr>
      <w:i/>
      <w:iCs/>
    </w:rPr>
  </w:style>
  <w:style w:type="paragraph" w:styleId="Encabezado">
    <w:name w:val="header"/>
    <w:basedOn w:val="Normal"/>
    <w:link w:val="EncabezadoCar"/>
    <w:rsid w:val="000E28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28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00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3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Maria Gonzalez Ramos</dc:creator>
  <cp:keywords/>
  <dc:description/>
  <cp:lastModifiedBy>Sonia Pérez Chacón</cp:lastModifiedBy>
  <cp:revision>5</cp:revision>
  <cp:lastPrinted>2022-12-27T14:51:00Z</cp:lastPrinted>
  <dcterms:created xsi:type="dcterms:W3CDTF">2022-12-26T23:32:00Z</dcterms:created>
  <dcterms:modified xsi:type="dcterms:W3CDTF">2022-12-27T14:51:00Z</dcterms:modified>
</cp:coreProperties>
</file>