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</w:t>
      </w:r>
      <w:r w:rsidR="00F479D0">
        <w:rPr>
          <w:rFonts w:ascii="Century Gothic" w:hAnsi="Century Gothic"/>
          <w:b/>
          <w:sz w:val="25"/>
          <w:szCs w:val="25"/>
          <w:lang w:val="es-MX"/>
        </w:rPr>
        <w:t>IM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30</w:t>
      </w:r>
      <w:r w:rsidR="009D5763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F479D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F479D0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F479D0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F479D0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3D4D83" w:rsidRPr="003D4D83" w:rsidRDefault="003D4D83" w:rsidP="003D4D83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3D4D83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3D4D83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3D4D83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Se reforma la fracción II, numeral 9, del apartado de la Tarifa de </w:t>
      </w:r>
      <w:r w:rsidRPr="003D4D83">
        <w:rPr>
          <w:rFonts w:ascii="Century Gothic" w:eastAsia="Calibri" w:hAnsi="Century Gothic" w:cs="Arial"/>
          <w:sz w:val="24"/>
          <w:szCs w:val="24"/>
          <w:lang w:val="es-MX" w:eastAsia="en-US"/>
        </w:rPr>
        <w:t>la Ley de Ingresos del Municipio de Ahumada, para el Ejercicio Fiscal 2022,</w:t>
      </w:r>
      <w:r w:rsidRPr="003D4D83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</w:t>
      </w:r>
      <w:r w:rsidRPr="003D4D83">
        <w:rPr>
          <w:rFonts w:ascii="Century Gothic" w:eastAsia="Calibri" w:hAnsi="Century Gothic" w:cs="Arial"/>
          <w:sz w:val="24"/>
          <w:szCs w:val="24"/>
          <w:lang w:val="es-MX" w:eastAsia="en-US"/>
        </w:rPr>
        <w:t>para quedar en los siguientes términos:</w:t>
      </w:r>
    </w:p>
    <w:p w:rsidR="003D4D83" w:rsidRPr="003D4D83" w:rsidRDefault="003D4D83" w:rsidP="003D4D83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3D4D83" w:rsidRPr="003D4D83" w:rsidRDefault="003D4D83" w:rsidP="003D4D83">
      <w:pPr>
        <w:spacing w:line="360" w:lineRule="auto"/>
        <w:ind w:right="-34"/>
        <w:jc w:val="center"/>
        <w:outlineLvl w:val="0"/>
        <w:rPr>
          <w:rFonts w:ascii="Century Gothic" w:eastAsia="Calibri" w:hAnsi="Century Gothic" w:cs="Arial"/>
          <w:b/>
          <w:sz w:val="28"/>
          <w:szCs w:val="24"/>
          <w:lang w:val="en-US" w:eastAsia="en-US"/>
        </w:rPr>
      </w:pPr>
      <w:r w:rsidRPr="003D4D83">
        <w:rPr>
          <w:rFonts w:ascii="Century Gothic" w:eastAsia="Calibri" w:hAnsi="Century Gothic" w:cs="Arial"/>
          <w:b/>
          <w:sz w:val="28"/>
          <w:szCs w:val="24"/>
          <w:lang w:val="en-US" w:eastAsia="en-US"/>
        </w:rPr>
        <w:t>T A R I F A</w:t>
      </w: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sz w:val="24"/>
          <w:szCs w:val="24"/>
          <w:lang w:val="en-US" w:eastAsia="en-US"/>
        </w:rPr>
      </w:pPr>
      <w:r w:rsidRPr="003D4D83">
        <w:rPr>
          <w:rFonts w:ascii="Century Gothic" w:eastAsia="Calibri" w:hAnsi="Century Gothic" w:cs="Arial"/>
          <w:sz w:val="24"/>
          <w:szCs w:val="24"/>
          <w:lang w:val="en-US" w:eastAsia="en-US"/>
        </w:rPr>
        <w:t>…</w:t>
      </w: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sz w:val="24"/>
          <w:szCs w:val="24"/>
          <w:lang w:val="en-US" w:eastAsia="en-US"/>
        </w:rPr>
      </w:pPr>
      <w:r w:rsidRPr="003D4D83">
        <w:rPr>
          <w:rFonts w:ascii="Century Gothic" w:eastAsia="Calibri" w:hAnsi="Century Gothic" w:cs="Arial"/>
          <w:b/>
          <w:sz w:val="24"/>
          <w:szCs w:val="24"/>
          <w:lang w:val="en-US" w:eastAsia="en-US"/>
        </w:rPr>
        <w:t xml:space="preserve">II. </w:t>
      </w:r>
      <w:r w:rsidRPr="003D4D83">
        <w:rPr>
          <w:rFonts w:ascii="Century Gothic" w:eastAsia="Calibri" w:hAnsi="Century Gothic" w:cs="Arial"/>
          <w:sz w:val="24"/>
          <w:szCs w:val="24"/>
          <w:lang w:val="en-US" w:eastAsia="en-US"/>
        </w:rPr>
        <w:t>…</w:t>
      </w:r>
      <w:bookmarkStart w:id="0" w:name="_GoBack"/>
      <w:bookmarkEnd w:id="0"/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sz w:val="24"/>
          <w:szCs w:val="24"/>
          <w:lang w:val="en-US" w:eastAsia="en-US"/>
        </w:rPr>
      </w:pPr>
      <w:r w:rsidRPr="003D4D83">
        <w:rPr>
          <w:rFonts w:ascii="Century Gothic" w:eastAsia="Calibri" w:hAnsi="Century Gothic" w:cs="Arial"/>
          <w:b/>
          <w:sz w:val="24"/>
          <w:szCs w:val="24"/>
          <w:lang w:val="en-US" w:eastAsia="en-US"/>
        </w:rPr>
        <w:t xml:space="preserve">1. </w:t>
      </w:r>
      <w:r w:rsidRPr="003D4D83">
        <w:rPr>
          <w:rFonts w:ascii="Century Gothic" w:eastAsia="Calibri" w:hAnsi="Century Gothic" w:cs="Arial"/>
          <w:sz w:val="24"/>
          <w:szCs w:val="24"/>
          <w:lang w:val="en-US" w:eastAsia="en-US"/>
        </w:rPr>
        <w:t>a</w:t>
      </w:r>
      <w:r w:rsidRPr="003D4D83">
        <w:rPr>
          <w:rFonts w:ascii="Century Gothic" w:eastAsia="Calibri" w:hAnsi="Century Gothic" w:cs="Arial"/>
          <w:b/>
          <w:sz w:val="24"/>
          <w:szCs w:val="24"/>
          <w:lang w:val="en-US" w:eastAsia="en-US"/>
        </w:rPr>
        <w:t xml:space="preserve"> 8. </w:t>
      </w:r>
      <w:r w:rsidRPr="003D4D83">
        <w:rPr>
          <w:rFonts w:ascii="Century Gothic" w:eastAsia="Calibri" w:hAnsi="Century Gothic" w:cs="Arial"/>
          <w:sz w:val="24"/>
          <w:szCs w:val="24"/>
          <w:lang w:val="en-US" w:eastAsia="en-US"/>
        </w:rPr>
        <w:t>…</w:t>
      </w: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3D4D83" w:rsidRPr="003D4D83" w:rsidRDefault="003D4D83" w:rsidP="003D4D83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  <w:r w:rsidRPr="003D4D83">
        <w:rPr>
          <w:rFonts w:ascii="Century Gothic" w:eastAsia="Calibri" w:hAnsi="Century Gothic"/>
          <w:b/>
          <w:sz w:val="24"/>
          <w:szCs w:val="22"/>
          <w:lang w:val="es-MX" w:eastAsia="en-US"/>
        </w:rPr>
        <w:t>9.</w:t>
      </w:r>
      <w:r w:rsidRPr="003D4D83">
        <w:rPr>
          <w:rFonts w:ascii="Century Gothic" w:eastAsia="Calibri" w:hAnsi="Century Gothic"/>
          <w:sz w:val="24"/>
          <w:szCs w:val="22"/>
          <w:lang w:val="es-MX" w:eastAsia="en-US"/>
        </w:rPr>
        <w:t xml:space="preserve"> …</w:t>
      </w:r>
    </w:p>
    <w:p w:rsidR="003D4D83" w:rsidRPr="003D4D83" w:rsidRDefault="003D4D83" w:rsidP="003D4D83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</w:p>
    <w:p w:rsidR="003D4D83" w:rsidRPr="003D4D83" w:rsidRDefault="003D4D83" w:rsidP="003D4D83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  <w:r w:rsidRPr="003D4D83">
        <w:rPr>
          <w:rFonts w:ascii="Century Gothic" w:eastAsia="Calibri" w:hAnsi="Century Gothic"/>
          <w:sz w:val="24"/>
          <w:szCs w:val="22"/>
          <w:lang w:val="es-MX" w:eastAsia="en-US"/>
        </w:rPr>
        <w:lastRenderedPageBreak/>
        <w:t>…</w:t>
      </w:r>
    </w:p>
    <w:p w:rsidR="003D4D83" w:rsidRPr="003D4D83" w:rsidRDefault="003D4D83" w:rsidP="003D4D83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</w:p>
    <w:p w:rsidR="003D4D83" w:rsidRPr="003D4D83" w:rsidRDefault="003D4D83" w:rsidP="003D4D83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  <w:r w:rsidRPr="003D4D83">
        <w:rPr>
          <w:rFonts w:ascii="Century Gothic" w:eastAsia="Calibri" w:hAnsi="Century Gothic"/>
          <w:sz w:val="24"/>
          <w:szCs w:val="22"/>
          <w:lang w:val="es-MX" w:eastAsia="en-US"/>
        </w:rPr>
        <w:t xml:space="preserve">1. Los contribuyentes que cuentan con contrato de suministro de energía eléctrica con la Comisión Federal de Electricidad (CFE), deberán pagar una cuota fija mensual de </w:t>
      </w:r>
      <w:r w:rsidRPr="003D4D83">
        <w:rPr>
          <w:rFonts w:ascii="Century Gothic" w:eastAsia="Calibri" w:hAnsi="Century Gothic"/>
          <w:b/>
          <w:sz w:val="24"/>
          <w:szCs w:val="22"/>
          <w:lang w:val="es-MX" w:eastAsia="en-US"/>
        </w:rPr>
        <w:t>$85.00 (Ochenta y cinco pesos 00/100 M.N.)</w:t>
      </w:r>
      <w:r w:rsidRPr="003D4D83">
        <w:rPr>
          <w:rFonts w:ascii="Century Gothic" w:eastAsia="Calibri" w:hAnsi="Century Gothic"/>
          <w:sz w:val="24"/>
          <w:szCs w:val="22"/>
          <w:lang w:val="es-MX" w:eastAsia="en-US"/>
        </w:rPr>
        <w:t xml:space="preserve"> o una cuota fija bimestral de </w:t>
      </w:r>
      <w:r w:rsidRPr="003D4D83">
        <w:rPr>
          <w:rFonts w:ascii="Century Gothic" w:eastAsia="Calibri" w:hAnsi="Century Gothic"/>
          <w:b/>
          <w:sz w:val="24"/>
          <w:szCs w:val="22"/>
          <w:lang w:val="es-MX" w:eastAsia="en-US"/>
        </w:rPr>
        <w:t>$170.00 (Ciento setenta pesos 00/100 M.N.)</w:t>
      </w:r>
      <w:r w:rsidRPr="003D4D83">
        <w:rPr>
          <w:rFonts w:ascii="Century Gothic" w:eastAsia="Calibri" w:hAnsi="Century Gothic"/>
          <w:sz w:val="24"/>
          <w:szCs w:val="22"/>
          <w:lang w:val="es-MX" w:eastAsia="en-US"/>
        </w:rPr>
        <w:t xml:space="preserve"> por el derecho de alumbrado público simultáneamente en el recibo que expida dicho organismo en los términos del convenio que se establezca con la citada comisión.</w:t>
      </w:r>
    </w:p>
    <w:p w:rsidR="003D4D83" w:rsidRPr="003D4D83" w:rsidRDefault="003D4D83" w:rsidP="003D4D83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</w:p>
    <w:p w:rsidR="003D4D83" w:rsidRPr="003D4D83" w:rsidRDefault="003D4D83" w:rsidP="003D4D83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  <w:r w:rsidRPr="003D4D83">
        <w:rPr>
          <w:rFonts w:ascii="Century Gothic" w:eastAsia="Calibri" w:hAnsi="Century Gothic"/>
          <w:sz w:val="24"/>
          <w:szCs w:val="22"/>
          <w:lang w:val="es-MX" w:eastAsia="en-US"/>
        </w:rPr>
        <w:t xml:space="preserve">2. Para el caso de los terrenos baldíos, predios rústicos, urbanos, semiurbanos y/o en desuso que no son usuarios de la Comisión Federal de Electricidad, se establece una cuota DAP bimestral de </w:t>
      </w:r>
      <w:r w:rsidRPr="003D4D83">
        <w:rPr>
          <w:rFonts w:ascii="Century Gothic" w:eastAsia="Calibri" w:hAnsi="Century Gothic"/>
          <w:b/>
          <w:sz w:val="24"/>
          <w:szCs w:val="22"/>
          <w:lang w:val="es-MX" w:eastAsia="en-US"/>
        </w:rPr>
        <w:t>$170.00 (Ciento setenta pesos 00/100 M.N.)</w:t>
      </w:r>
      <w:r w:rsidRPr="003D4D83">
        <w:rPr>
          <w:rFonts w:ascii="Century Gothic" w:eastAsia="Calibri" w:hAnsi="Century Gothic"/>
          <w:sz w:val="24"/>
          <w:szCs w:val="22"/>
          <w:lang w:val="es-MX" w:eastAsia="en-US"/>
        </w:rPr>
        <w:t xml:space="preserve"> misma que deberá liquidarse al vencimiento del periodo correspondiente a juicio del contribuyente en las oficinas de la Tesorería Municipal o bien en los organismos o empresas autorizadas para tal efecto previo a convenio respectivo quienes expedirán también el recibo correspondiente.</w:t>
      </w: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sz w:val="24"/>
          <w:szCs w:val="24"/>
          <w:lang w:val="en-US" w:eastAsia="en-US"/>
        </w:rPr>
      </w:pPr>
      <w:r w:rsidRPr="003D4D83">
        <w:rPr>
          <w:rFonts w:ascii="Century Gothic" w:eastAsia="Calibri" w:hAnsi="Century Gothic" w:cs="Arial"/>
          <w:b/>
          <w:sz w:val="24"/>
          <w:szCs w:val="24"/>
          <w:lang w:val="en-US" w:eastAsia="en-US"/>
        </w:rPr>
        <w:t xml:space="preserve">10. </w:t>
      </w:r>
      <w:r w:rsidRPr="003D4D83">
        <w:rPr>
          <w:rFonts w:ascii="Century Gothic" w:eastAsia="Calibri" w:hAnsi="Century Gothic" w:cs="Arial"/>
          <w:sz w:val="24"/>
          <w:szCs w:val="24"/>
          <w:lang w:val="en-US" w:eastAsia="en-US"/>
        </w:rPr>
        <w:t>a</w:t>
      </w:r>
      <w:r w:rsidRPr="003D4D83">
        <w:rPr>
          <w:rFonts w:ascii="Century Gothic" w:eastAsia="Calibri" w:hAnsi="Century Gothic" w:cs="Arial"/>
          <w:b/>
          <w:sz w:val="24"/>
          <w:szCs w:val="24"/>
          <w:lang w:val="en-US" w:eastAsia="en-US"/>
        </w:rPr>
        <w:t xml:space="preserve"> 18. </w:t>
      </w:r>
      <w:r w:rsidRPr="003D4D83">
        <w:rPr>
          <w:rFonts w:ascii="Century Gothic" w:eastAsia="Calibri" w:hAnsi="Century Gothic" w:cs="Arial"/>
          <w:sz w:val="24"/>
          <w:szCs w:val="24"/>
          <w:lang w:val="en-US" w:eastAsia="en-US"/>
        </w:rPr>
        <w:t>…</w:t>
      </w: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sz w:val="24"/>
          <w:szCs w:val="24"/>
          <w:lang w:val="en-US" w:eastAsia="en-US"/>
        </w:rPr>
      </w:pP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sz w:val="24"/>
          <w:szCs w:val="24"/>
          <w:lang w:val="en-US" w:eastAsia="en-US"/>
        </w:rPr>
      </w:pPr>
      <w:r w:rsidRPr="003D4D83">
        <w:rPr>
          <w:rFonts w:ascii="Century Gothic" w:eastAsia="Calibri" w:hAnsi="Century Gothic" w:cs="Arial"/>
          <w:b/>
          <w:sz w:val="24"/>
          <w:szCs w:val="24"/>
          <w:lang w:val="en-US" w:eastAsia="en-US"/>
        </w:rPr>
        <w:t>III.</w:t>
      </w:r>
      <w:r w:rsidRPr="003D4D83">
        <w:rPr>
          <w:rFonts w:ascii="Century Gothic" w:eastAsia="Calibri" w:hAnsi="Century Gothic" w:cs="Arial"/>
          <w:sz w:val="24"/>
          <w:szCs w:val="24"/>
          <w:lang w:val="en-US" w:eastAsia="en-US"/>
        </w:rPr>
        <w:t xml:space="preserve"> …</w:t>
      </w: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3D4D83" w:rsidRPr="003D4D83" w:rsidRDefault="003D4D83" w:rsidP="003D4D83">
      <w:pPr>
        <w:spacing w:line="360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n-US" w:eastAsia="en-US"/>
        </w:rPr>
      </w:pPr>
      <w:r w:rsidRPr="003D4D83">
        <w:rPr>
          <w:rFonts w:ascii="Century Gothic" w:eastAsia="Calibri" w:hAnsi="Century Gothic" w:cs="Arial"/>
          <w:b/>
          <w:sz w:val="28"/>
          <w:szCs w:val="24"/>
          <w:lang w:val="en-US" w:eastAsia="en-US"/>
        </w:rPr>
        <w:t xml:space="preserve">T R A N S I T O R I O </w:t>
      </w:r>
    </w:p>
    <w:p w:rsidR="003D4D83" w:rsidRPr="003D4D83" w:rsidRDefault="003D4D83" w:rsidP="003D4D83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3D4D83" w:rsidRPr="003D4D83" w:rsidRDefault="003D4D83" w:rsidP="003D4D83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3D4D83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3D4D83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F479D0" w:rsidRDefault="00F479D0" w:rsidP="003D4D83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3D4D83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F479D0">
        <w:rPr>
          <w:rFonts w:ascii="Century Gothic" w:hAnsi="Century Gothic"/>
          <w:szCs w:val="24"/>
        </w:rPr>
        <w:t>veinte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F479D0" w:rsidRDefault="00F479D0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3D4D83" w:rsidRDefault="003D4D83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A6E9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19" w:rsidRDefault="00984019">
      <w:r>
        <w:separator/>
      </w:r>
    </w:p>
  </w:endnote>
  <w:endnote w:type="continuationSeparator" w:id="0">
    <w:p w:rsidR="00984019" w:rsidRDefault="0098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6E9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19" w:rsidRDefault="00984019">
      <w:r>
        <w:separator/>
      </w:r>
    </w:p>
  </w:footnote>
  <w:footnote w:type="continuationSeparator" w:id="0">
    <w:p w:rsidR="00984019" w:rsidRDefault="0098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C23A14">
      <w:rPr>
        <w:rFonts w:ascii="Century Gothic" w:hAnsi="Century Gothic"/>
        <w:b/>
        <w:sz w:val="24"/>
        <w:szCs w:val="24"/>
        <w:lang w:val="en-US"/>
      </w:rPr>
      <w:t>L</w:t>
    </w:r>
    <w:r w:rsidR="00F479D0">
      <w:rPr>
        <w:rFonts w:ascii="Century Gothic" w:hAnsi="Century Gothic"/>
        <w:b/>
        <w:sz w:val="24"/>
        <w:szCs w:val="24"/>
        <w:lang w:val="en-US"/>
      </w:rPr>
      <w:t>IM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30</w:t>
    </w:r>
    <w:r w:rsidR="009D5763">
      <w:rPr>
        <w:rFonts w:ascii="Century Gothic" w:hAnsi="Century Gothic"/>
        <w:b/>
        <w:sz w:val="24"/>
        <w:szCs w:val="24"/>
        <w:lang w:val="en-US"/>
      </w:rPr>
      <w:t>8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D4D83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A6E9C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26352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84019"/>
    <w:rsid w:val="00990BBB"/>
    <w:rsid w:val="009B03DA"/>
    <w:rsid w:val="009B7F9A"/>
    <w:rsid w:val="009C002D"/>
    <w:rsid w:val="009C1FE5"/>
    <w:rsid w:val="009C6ABC"/>
    <w:rsid w:val="009D5763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245A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B6F23"/>
    <w:rsid w:val="00BC336A"/>
    <w:rsid w:val="00BC625C"/>
    <w:rsid w:val="00BC7135"/>
    <w:rsid w:val="00BD084D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3A1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80</cp:revision>
  <cp:lastPrinted>2022-09-21T14:07:00Z</cp:lastPrinted>
  <dcterms:created xsi:type="dcterms:W3CDTF">2018-08-29T18:38:00Z</dcterms:created>
  <dcterms:modified xsi:type="dcterms:W3CDTF">2022-09-21T14:07:00Z</dcterms:modified>
</cp:coreProperties>
</file>